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4BC3" w14:textId="74347DD6" w:rsidR="005C157F" w:rsidRPr="00A261BD" w:rsidRDefault="00A261BD" w:rsidP="00A261BD">
      <w:pPr>
        <w:autoSpaceDE w:val="0"/>
        <w:autoSpaceDN w:val="0"/>
        <w:adjustRightInd w:val="0"/>
        <w:spacing w:before="0" w:after="0"/>
        <w:jc w:val="center"/>
        <w:rPr>
          <w:rFonts w:ascii="Arial" w:eastAsia="Times New Roman" w:hAnsi="Arial" w:cs="Arial"/>
          <w:b/>
          <w:bCs/>
          <w:i/>
          <w:color w:val="000080"/>
          <w:sz w:val="28"/>
          <w:szCs w:val="28"/>
          <w:lang w:eastAsia="en-AU"/>
        </w:rPr>
      </w:pPr>
      <w:r w:rsidRPr="00A36DE2">
        <w:rPr>
          <w:noProof/>
          <w:lang w:eastAsia="en-AU"/>
        </w:rPr>
        <w:drawing>
          <wp:inline distT="0" distB="0" distL="0" distR="0" wp14:anchorId="29600F24" wp14:editId="65319298">
            <wp:extent cx="5731510" cy="1805940"/>
            <wp:effectExtent l="0" t="0" r="0" b="0"/>
            <wp:docPr id="6" name="Picture 6" descr="M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5940"/>
                    </a:xfrm>
                    <a:prstGeom prst="rect">
                      <a:avLst/>
                    </a:prstGeom>
                    <a:noFill/>
                    <a:ln>
                      <a:noFill/>
                    </a:ln>
                  </pic:spPr>
                </pic:pic>
              </a:graphicData>
            </a:graphic>
          </wp:inline>
        </w:drawing>
      </w:r>
    </w:p>
    <w:p w14:paraId="3EF91201" w14:textId="77777777" w:rsidR="00CD626A" w:rsidRDefault="00CD626A" w:rsidP="00CD626A">
      <w:pPr>
        <w:tabs>
          <w:tab w:val="left" w:pos="3402"/>
        </w:tabs>
        <w:spacing w:before="240" w:after="0"/>
        <w:jc w:val="center"/>
        <w:rPr>
          <w:rFonts w:ascii="Arial" w:eastAsia="Times New Roman" w:hAnsi="Arial" w:cs="Arial"/>
          <w:b/>
          <w:bCs/>
          <w:i/>
          <w:color w:val="000080"/>
          <w:sz w:val="28"/>
          <w:szCs w:val="28"/>
          <w:lang w:eastAsia="en-AU"/>
        </w:rPr>
      </w:pPr>
      <w:r>
        <w:rPr>
          <w:rFonts w:ascii="Arial" w:eastAsia="Times New Roman" w:hAnsi="Arial" w:cs="Arial"/>
          <w:b/>
          <w:bCs/>
          <w:i/>
          <w:color w:val="000080"/>
          <w:sz w:val="28"/>
          <w:szCs w:val="28"/>
          <w:lang w:eastAsia="en-AU"/>
        </w:rPr>
        <w:t xml:space="preserve">Application </w:t>
      </w:r>
      <w:r w:rsidRPr="00A261BD">
        <w:rPr>
          <w:rFonts w:ascii="Arial" w:eastAsia="Times New Roman" w:hAnsi="Arial" w:cs="Arial"/>
          <w:b/>
          <w:bCs/>
          <w:i/>
          <w:color w:val="000080"/>
          <w:sz w:val="28"/>
          <w:szCs w:val="28"/>
          <w:lang w:eastAsia="en-AU"/>
        </w:rPr>
        <w:t>1602.1 – NTRK fusion testing in patients with locally advanced or metastatic solid tumour to determine eligibility for larotrectinib (</w:t>
      </w:r>
      <w:proofErr w:type="spellStart"/>
      <w:r w:rsidRPr="00A261BD">
        <w:rPr>
          <w:rFonts w:ascii="Arial" w:eastAsia="Times New Roman" w:hAnsi="Arial" w:cs="Arial"/>
          <w:b/>
          <w:bCs/>
          <w:i/>
          <w:color w:val="000080"/>
          <w:sz w:val="28"/>
          <w:szCs w:val="28"/>
          <w:lang w:eastAsia="en-AU"/>
        </w:rPr>
        <w:t>Vitrakvi</w:t>
      </w:r>
      <w:proofErr w:type="spellEnd"/>
      <w:r w:rsidRPr="00A261BD">
        <w:rPr>
          <w:rFonts w:ascii="Arial" w:eastAsia="Times New Roman" w:hAnsi="Arial" w:cs="Arial"/>
          <w:b/>
          <w:bCs/>
          <w:i/>
          <w:color w:val="000080"/>
          <w:sz w:val="28"/>
          <w:szCs w:val="28"/>
          <w:lang w:eastAsia="en-AU"/>
        </w:rPr>
        <w:t>)</w:t>
      </w:r>
    </w:p>
    <w:p w14:paraId="28E772FE" w14:textId="174B4DEC" w:rsidR="005C157F" w:rsidRPr="00A261BD" w:rsidRDefault="005C157F" w:rsidP="00A261BD">
      <w:pPr>
        <w:tabs>
          <w:tab w:val="left" w:pos="3402"/>
        </w:tabs>
        <w:spacing w:before="240" w:after="0"/>
        <w:jc w:val="left"/>
        <w:rPr>
          <w:rFonts w:ascii="Arial" w:eastAsia="Times New Roman" w:hAnsi="Arial" w:cs="Arial"/>
          <w:b/>
          <w:szCs w:val="24"/>
          <w:lang w:eastAsia="en-AU"/>
        </w:rPr>
      </w:pPr>
      <w:r w:rsidRPr="00A261BD">
        <w:rPr>
          <w:rFonts w:ascii="Arial" w:eastAsia="Times New Roman" w:hAnsi="Arial" w:cs="Arial"/>
          <w:b/>
          <w:szCs w:val="24"/>
          <w:lang w:eastAsia="en-AU"/>
        </w:rPr>
        <w:t>Applicant:</w:t>
      </w:r>
      <w:r w:rsidR="00A261BD">
        <w:rPr>
          <w:rFonts w:ascii="Arial" w:eastAsia="Times New Roman" w:hAnsi="Arial" w:cs="Arial"/>
          <w:b/>
          <w:szCs w:val="24"/>
          <w:lang w:eastAsia="en-AU"/>
        </w:rPr>
        <w:tab/>
      </w:r>
      <w:r w:rsidRPr="00A261BD">
        <w:rPr>
          <w:rFonts w:ascii="Arial" w:eastAsia="Times New Roman" w:hAnsi="Arial" w:cs="Arial"/>
          <w:b/>
          <w:szCs w:val="24"/>
          <w:lang w:eastAsia="en-AU"/>
        </w:rPr>
        <w:t>Bayer Australia Ltd</w:t>
      </w:r>
    </w:p>
    <w:p w14:paraId="23A5A3C1" w14:textId="77777777" w:rsidR="00A261BD" w:rsidRPr="00A261BD" w:rsidRDefault="00A261BD" w:rsidP="00A261BD">
      <w:pPr>
        <w:tabs>
          <w:tab w:val="left" w:pos="3420"/>
        </w:tabs>
        <w:spacing w:before="240" w:after="0"/>
        <w:jc w:val="left"/>
        <w:rPr>
          <w:rFonts w:ascii="Arial" w:eastAsia="Times New Roman" w:hAnsi="Arial" w:cs="Arial"/>
          <w:b/>
          <w:szCs w:val="24"/>
          <w:lang w:eastAsia="en-AU"/>
        </w:rPr>
      </w:pPr>
      <w:r w:rsidRPr="00A261BD">
        <w:rPr>
          <w:rFonts w:ascii="Arial" w:eastAsia="Times New Roman" w:hAnsi="Arial" w:cs="Arial"/>
          <w:b/>
          <w:szCs w:val="24"/>
          <w:lang w:eastAsia="en-AU"/>
        </w:rPr>
        <w:t xml:space="preserve">Date of MSAC consideration: </w:t>
      </w:r>
      <w:bookmarkStart w:id="0" w:name="_Hlk89076073"/>
      <w:r w:rsidRPr="00A261BD">
        <w:rPr>
          <w:rFonts w:ascii="Arial" w:eastAsia="Times New Roman" w:hAnsi="Arial" w:cs="Arial"/>
          <w:b/>
          <w:szCs w:val="24"/>
          <w:lang w:eastAsia="en-AU"/>
        </w:rPr>
        <w:t>83rd MSAC Meeting, 25-26 November 2021</w:t>
      </w:r>
      <w:bookmarkEnd w:id="0"/>
    </w:p>
    <w:p w14:paraId="2487F8C2" w14:textId="77777777" w:rsidR="00A261BD" w:rsidRPr="00A261BD" w:rsidRDefault="00A261BD" w:rsidP="00A261BD">
      <w:pPr>
        <w:spacing w:before="240" w:after="360"/>
        <w:rPr>
          <w:rFonts w:ascii="Times New Roman" w:hAnsi="Times New Roman" w:cs="Times New Roman"/>
          <w:color w:val="0000FF"/>
          <w:szCs w:val="24"/>
          <w:u w:val="single"/>
        </w:rPr>
      </w:pPr>
      <w:bookmarkStart w:id="1" w:name="_Hlk89076079"/>
      <w:r w:rsidRPr="00A261BD">
        <w:rPr>
          <w:rFonts w:ascii="Times New Roman" w:hAnsi="Times New Roman" w:cs="Times New Roman"/>
          <w:szCs w:val="24"/>
        </w:rPr>
        <w:t xml:space="preserve">Context for decision: MSAC makes its advice in accordance with its Terms of Reference, </w:t>
      </w:r>
      <w:hyperlink r:id="rId9" w:tooltip="Link to Medical Services Advisory Committee website" w:history="1">
        <w:r w:rsidRPr="00A261BD">
          <w:rPr>
            <w:rStyle w:val="Hyperlink"/>
            <w:rFonts w:ascii="Times New Roman" w:hAnsi="Times New Roman" w:cs="Times New Roman"/>
            <w:szCs w:val="24"/>
          </w:rPr>
          <w:t>visit the MSAC website</w:t>
        </w:r>
      </w:hyperlink>
    </w:p>
    <w:bookmarkEnd w:id="1"/>
    <w:p w14:paraId="1AFA37CB" w14:textId="77777777" w:rsidR="00214D77" w:rsidRPr="00837F24" w:rsidRDefault="00214D77" w:rsidP="00864249">
      <w:pPr>
        <w:pStyle w:val="Heading1"/>
        <w:numPr>
          <w:ilvl w:val="0"/>
          <w:numId w:val="3"/>
        </w:numPr>
        <w:spacing w:before="360" w:line="240" w:lineRule="auto"/>
        <w:ind w:left="720" w:hanging="720"/>
        <w:rPr>
          <w:rFonts w:ascii="Arial" w:hAnsi="Arial" w:cs="Arial"/>
          <w:bCs/>
          <w:lang w:eastAsia="en-AU"/>
        </w:rPr>
      </w:pPr>
      <w:r w:rsidRPr="00837F24">
        <w:rPr>
          <w:rFonts w:ascii="Arial" w:hAnsi="Arial" w:cs="Arial"/>
          <w:bCs/>
          <w:lang w:eastAsia="en-AU"/>
        </w:rPr>
        <w:t>Purpose of application</w:t>
      </w:r>
    </w:p>
    <w:p w14:paraId="19AE27C4" w14:textId="5E44BA85" w:rsidR="00214D77" w:rsidRPr="00214D77" w:rsidRDefault="00214D77" w:rsidP="00214D77">
      <w:pPr>
        <w:keepNext/>
        <w:keepLines/>
        <w:spacing w:before="0" w:after="240"/>
        <w:jc w:val="left"/>
        <w:rPr>
          <w:rFonts w:ascii="Times New Roman" w:eastAsia="Calibri" w:hAnsi="Times New Roman" w:cs="Times New Roman"/>
          <w:color w:val="000000"/>
        </w:rPr>
      </w:pPr>
      <w:r w:rsidRPr="00214D77">
        <w:rPr>
          <w:rFonts w:ascii="Times New Roman" w:eastAsia="Calibri" w:hAnsi="Times New Roman" w:cs="Times New Roman"/>
          <w:color w:val="000000"/>
        </w:rPr>
        <w:t xml:space="preserve">The resubmission was received from Bayer Australia Limited by the Department of Health. It </w:t>
      </w:r>
      <w:r w:rsidR="006C4574">
        <w:rPr>
          <w:rFonts w:ascii="Times New Roman" w:eastAsia="Calibri" w:hAnsi="Times New Roman" w:cs="Times New Roman"/>
          <w:color w:val="000000"/>
        </w:rPr>
        <w:t xml:space="preserve">comprised </w:t>
      </w:r>
      <w:r w:rsidRPr="00214D77">
        <w:rPr>
          <w:rFonts w:ascii="Times New Roman" w:eastAsia="Calibri" w:hAnsi="Times New Roman" w:cs="Times New Roman"/>
          <w:color w:val="000000"/>
        </w:rPr>
        <w:t xml:space="preserve">an integrated </w:t>
      </w:r>
      <w:proofErr w:type="spellStart"/>
      <w:r w:rsidRPr="00214D77">
        <w:rPr>
          <w:rFonts w:ascii="Times New Roman" w:eastAsia="Calibri" w:hAnsi="Times New Roman" w:cs="Times New Roman"/>
          <w:color w:val="000000"/>
        </w:rPr>
        <w:t>codependent</w:t>
      </w:r>
      <w:proofErr w:type="spellEnd"/>
      <w:r w:rsidRPr="00214D77">
        <w:rPr>
          <w:rFonts w:ascii="Times New Roman" w:eastAsia="Calibri" w:hAnsi="Times New Roman" w:cs="Times New Roman"/>
          <w:color w:val="000000"/>
        </w:rPr>
        <w:t xml:space="preserve"> </w:t>
      </w:r>
      <w:r w:rsidR="006C4574">
        <w:rPr>
          <w:rFonts w:ascii="Times New Roman" w:eastAsia="Calibri" w:hAnsi="Times New Roman" w:cs="Times New Roman"/>
          <w:color w:val="000000"/>
        </w:rPr>
        <w:t>submission</w:t>
      </w:r>
      <w:r w:rsidRPr="00214D77">
        <w:rPr>
          <w:rFonts w:ascii="Times New Roman" w:eastAsia="Calibri" w:hAnsi="Times New Roman" w:cs="Times New Roman"/>
          <w:color w:val="000000"/>
        </w:rPr>
        <w:t xml:space="preserve"> for:</w:t>
      </w:r>
    </w:p>
    <w:p w14:paraId="493849F8" w14:textId="77777777" w:rsidR="00214D77" w:rsidRPr="00214D77" w:rsidRDefault="00214D77" w:rsidP="00864249">
      <w:pPr>
        <w:pStyle w:val="ListParagraph"/>
        <w:numPr>
          <w:ilvl w:val="0"/>
          <w:numId w:val="30"/>
        </w:numPr>
        <w:spacing w:after="120"/>
        <w:jc w:val="left"/>
        <w:rPr>
          <w:rFonts w:ascii="Times New Roman" w:eastAsia="Calibri" w:hAnsi="Times New Roman" w:cs="Times New Roman"/>
        </w:rPr>
      </w:pPr>
      <w:r w:rsidRPr="00214D77">
        <w:rPr>
          <w:rFonts w:ascii="Times New Roman" w:eastAsia="Calibri" w:hAnsi="Times New Roman" w:cs="Times New Roman"/>
        </w:rPr>
        <w:t xml:space="preserve">Medicare Benefits Schedule (MBS) listing of immunohistochemistry (IHC), fluorescence </w:t>
      </w:r>
      <w:r w:rsidRPr="00214D77">
        <w:rPr>
          <w:rFonts w:ascii="Times New Roman" w:eastAsia="Calibri" w:hAnsi="Times New Roman" w:cs="Times New Roman"/>
          <w:i/>
        </w:rPr>
        <w:t>in situ</w:t>
      </w:r>
      <w:r w:rsidRPr="00214D77">
        <w:rPr>
          <w:rFonts w:ascii="Times New Roman" w:eastAsia="Calibri" w:hAnsi="Times New Roman" w:cs="Times New Roman"/>
        </w:rPr>
        <w:t xml:space="preserve"> hybridisation (FISH) and next generation sequencing (NGS) testing. These were for the evaluation of </w:t>
      </w:r>
      <w:r w:rsidRPr="00214D77">
        <w:rPr>
          <w:rFonts w:ascii="Times New Roman" w:eastAsia="Calibri" w:hAnsi="Times New Roman" w:cs="Times New Roman"/>
          <w:color w:val="000000"/>
        </w:rPr>
        <w:t>a neurotrophic tyrosine receptor kinase (</w:t>
      </w:r>
      <w:r w:rsidRPr="00214D77">
        <w:rPr>
          <w:rFonts w:ascii="Times New Roman" w:eastAsia="Calibri" w:hAnsi="Times New Roman" w:cs="Times New Roman"/>
          <w:i/>
          <w:color w:val="000000"/>
        </w:rPr>
        <w:t>NTRK</w:t>
      </w:r>
      <w:r w:rsidRPr="00214D77">
        <w:rPr>
          <w:rFonts w:ascii="Times New Roman" w:eastAsia="Calibri" w:hAnsi="Times New Roman" w:cs="Times New Roman"/>
          <w:color w:val="000000"/>
        </w:rPr>
        <w:t xml:space="preserve">) gene fusion </w:t>
      </w:r>
      <w:r w:rsidRPr="00214D77">
        <w:rPr>
          <w:rFonts w:ascii="Times New Roman" w:eastAsia="Calibri" w:hAnsi="Times New Roman" w:cs="Times New Roman"/>
        </w:rPr>
        <w:t>to determine eligibility for treatment with larotrectinib in paediatric patients with locally advanced or metastatic solid tumours of any origin and in adult patients with locally advanced or metastatic mammary analogue secretory carcinoma (MASC), secretory breast carcinoma (SBC) colorectal cancer (CRC), soft tissue sarcoma (STS), non-small cell lung cancer (NSCLC) or thyroid cancer</w:t>
      </w:r>
    </w:p>
    <w:p w14:paraId="6874468F" w14:textId="6F7EAD38" w:rsidR="00214D77" w:rsidRDefault="00214D77" w:rsidP="00864249">
      <w:pPr>
        <w:pStyle w:val="ListParagraph"/>
        <w:numPr>
          <w:ilvl w:val="0"/>
          <w:numId w:val="30"/>
        </w:numPr>
        <w:spacing w:after="120"/>
        <w:jc w:val="left"/>
        <w:rPr>
          <w:rFonts w:ascii="Times New Roman" w:eastAsia="Calibri" w:hAnsi="Times New Roman" w:cs="Times New Roman"/>
        </w:rPr>
      </w:pPr>
      <w:r w:rsidRPr="00214D77">
        <w:rPr>
          <w:rFonts w:ascii="Times New Roman" w:eastAsia="Calibri" w:hAnsi="Times New Roman" w:cs="Times New Roman"/>
        </w:rPr>
        <w:t xml:space="preserve">Pharmaceutical Benefits Scheme (PBS) Section 100 Authority Required listing of larotrectinib for the treatment of </w:t>
      </w:r>
      <w:r w:rsidRPr="00214D77">
        <w:rPr>
          <w:rFonts w:ascii="Times New Roman" w:eastAsia="Calibri" w:hAnsi="Times New Roman" w:cs="Times New Roman"/>
          <w:i/>
        </w:rPr>
        <w:t>NTRK</w:t>
      </w:r>
      <w:r w:rsidRPr="00214D77">
        <w:rPr>
          <w:rFonts w:ascii="Times New Roman" w:eastAsia="Calibri" w:hAnsi="Times New Roman" w:cs="Times New Roman"/>
        </w:rPr>
        <w:t xml:space="preserve"> fusion positive solid tumours (as listed above) that are unresectable locally advanced or metastatic or locally advanced and would otherwise require disfiguring surgery or limb amputation to achieve a complete surgical resection.</w:t>
      </w:r>
    </w:p>
    <w:p w14:paraId="3E60993A" w14:textId="77777777" w:rsidR="00837F24" w:rsidRPr="00837F24" w:rsidRDefault="00837F24" w:rsidP="00864249">
      <w:pPr>
        <w:pStyle w:val="Heading1"/>
        <w:numPr>
          <w:ilvl w:val="0"/>
          <w:numId w:val="3"/>
        </w:numPr>
        <w:spacing w:before="240" w:after="240" w:line="240" w:lineRule="auto"/>
        <w:ind w:left="720" w:hanging="720"/>
        <w:rPr>
          <w:rFonts w:ascii="Arial" w:hAnsi="Arial" w:cs="Arial"/>
          <w:bCs/>
          <w:lang w:eastAsia="en-AU"/>
        </w:rPr>
      </w:pPr>
      <w:bookmarkStart w:id="2" w:name="_Hlk89076481"/>
      <w:r w:rsidRPr="00837F24">
        <w:rPr>
          <w:rFonts w:ascii="Arial" w:hAnsi="Arial" w:cs="Arial"/>
          <w:bCs/>
          <w:lang w:eastAsia="en-AU"/>
        </w:rPr>
        <w:lastRenderedPageBreak/>
        <w:t>MSAC’s advice to the Minister</w:t>
      </w:r>
    </w:p>
    <w:p w14:paraId="7CDC01E4" w14:textId="1F0685C6" w:rsidR="000E1BFC" w:rsidRPr="000E1BFC" w:rsidRDefault="000E1BFC" w:rsidP="000E1BFC">
      <w:pPr>
        <w:pStyle w:val="Heading2"/>
        <w:numPr>
          <w:ilvl w:val="0"/>
          <w:numId w:val="0"/>
        </w:numPr>
        <w:ind w:hanging="13"/>
        <w:rPr>
          <w:rFonts w:ascii="Times New Roman" w:hAnsi="Times New Roman" w:cs="Times New Roman"/>
          <w:b w:val="0"/>
          <w:i w:val="0"/>
          <w:sz w:val="24"/>
          <w:szCs w:val="24"/>
        </w:rPr>
      </w:pPr>
      <w:r w:rsidRPr="000E1BFC">
        <w:rPr>
          <w:rFonts w:ascii="Times New Roman" w:hAnsi="Times New Roman" w:cs="Times New Roman"/>
          <w:b w:val="0"/>
          <w:bCs/>
          <w:i w:val="0"/>
          <w:sz w:val="24"/>
          <w:szCs w:val="24"/>
        </w:rPr>
        <w:t xml:space="preserve">After considering the strength of the available evidence in relation to comparative safety, clinical effectiveness and cost-effectiveness, MSAC supported the creation of new MBS items for </w:t>
      </w:r>
      <w:r w:rsidRPr="000C198C">
        <w:rPr>
          <w:rFonts w:ascii="Times New Roman" w:hAnsi="Times New Roman" w:cs="Times New Roman"/>
          <w:b w:val="0"/>
          <w:bCs/>
          <w:iCs/>
          <w:sz w:val="24"/>
          <w:szCs w:val="24"/>
        </w:rPr>
        <w:t>NTRK</w:t>
      </w:r>
      <w:r w:rsidRPr="000E1BFC">
        <w:rPr>
          <w:rFonts w:ascii="Times New Roman" w:hAnsi="Times New Roman" w:cs="Times New Roman"/>
          <w:b w:val="0"/>
          <w:bCs/>
          <w:i w:val="0"/>
          <w:sz w:val="24"/>
          <w:szCs w:val="24"/>
        </w:rPr>
        <w:t xml:space="preserve"> fusion testing to determine eligibility for treatment with larotrectinib in all paediatric patients, and adult patients with high-frequency </w:t>
      </w:r>
      <w:r w:rsidRPr="000C198C">
        <w:rPr>
          <w:rFonts w:ascii="Times New Roman" w:hAnsi="Times New Roman" w:cs="Times New Roman"/>
          <w:b w:val="0"/>
          <w:bCs/>
          <w:iCs/>
          <w:sz w:val="24"/>
          <w:szCs w:val="24"/>
        </w:rPr>
        <w:t xml:space="preserve">NTRK </w:t>
      </w:r>
      <w:r w:rsidRPr="000E1BFC">
        <w:rPr>
          <w:rFonts w:ascii="Times New Roman" w:hAnsi="Times New Roman" w:cs="Times New Roman"/>
          <w:b w:val="0"/>
          <w:bCs/>
          <w:i w:val="0"/>
          <w:sz w:val="24"/>
          <w:szCs w:val="24"/>
        </w:rPr>
        <w:t xml:space="preserve">fusion cancer types. Separate items would be required for separate methodologies due to their differing costs and performance and the need to allow time for pathology laboratories to develop the capacity to provide NGS-based services. MSAC did not support public funding for adult patients with any type of tumour harbouring </w:t>
      </w:r>
      <w:r w:rsidRPr="000C198C">
        <w:rPr>
          <w:rFonts w:ascii="Times New Roman" w:hAnsi="Times New Roman" w:cs="Times New Roman"/>
          <w:b w:val="0"/>
          <w:bCs/>
          <w:iCs/>
          <w:sz w:val="24"/>
          <w:szCs w:val="24"/>
        </w:rPr>
        <w:t>NTRK</w:t>
      </w:r>
      <w:r w:rsidRPr="000E1BFC">
        <w:rPr>
          <w:rFonts w:ascii="Times New Roman" w:hAnsi="Times New Roman" w:cs="Times New Roman"/>
          <w:b w:val="0"/>
          <w:bCs/>
          <w:i w:val="0"/>
          <w:sz w:val="24"/>
          <w:szCs w:val="24"/>
        </w:rPr>
        <w:t xml:space="preserve"> fusion at low frequency due to poorer test performance and in alignment with the Pharmaceutical Benefits Advisory Committee’s (PBAC’s) intention to not recommend listing larotrectinib in this population on the PBS.</w:t>
      </w:r>
    </w:p>
    <w:p w14:paraId="1F417FCA" w14:textId="77777777" w:rsidR="000E1BFC" w:rsidRPr="000E1BFC" w:rsidRDefault="000E1BFC" w:rsidP="000E1BFC">
      <w:pPr>
        <w:rPr>
          <w:rFonts w:ascii="Times New Roman" w:hAnsi="Times New Roman" w:cs="Times New Roman"/>
          <w:szCs w:val="24"/>
        </w:rPr>
      </w:pPr>
      <w:r w:rsidRPr="000E1BFC">
        <w:rPr>
          <w:rFonts w:ascii="Times New Roman" w:hAnsi="Times New Roman" w:cs="Times New Roman"/>
          <w:szCs w:val="24"/>
        </w:rPr>
        <w:t>MSAC supported the following item descriptors:</w:t>
      </w:r>
    </w:p>
    <w:tbl>
      <w:tblPr>
        <w:tblStyle w:val="HTATableshaded"/>
        <w:tblW w:w="0" w:type="auto"/>
        <w:tblLook w:val="04A0" w:firstRow="1" w:lastRow="0" w:firstColumn="1" w:lastColumn="0" w:noHBand="0" w:noVBand="1"/>
        <w:tblCaption w:val="Proposed Item Descriptor Table"/>
        <w:tblDescription w:val="MSAC supported descriptor"/>
      </w:tblPr>
      <w:tblGrid>
        <w:gridCol w:w="9016"/>
      </w:tblGrid>
      <w:tr w:rsidR="000E1BFC" w14:paraId="056FA30F" w14:textId="77777777" w:rsidTr="00695C4D">
        <w:trPr>
          <w:cnfStyle w:val="100000000000" w:firstRow="1" w:lastRow="0" w:firstColumn="0" w:lastColumn="0" w:oddVBand="0" w:evenVBand="0" w:oddHBand="0" w:evenHBand="0" w:firstRowFirstColumn="0" w:firstRowLastColumn="0" w:lastRowFirstColumn="0" w:lastRowLastColumn="0"/>
        </w:trPr>
        <w:tc>
          <w:tcPr>
            <w:tcW w:w="9016" w:type="dxa"/>
            <w:hideMark/>
          </w:tcPr>
          <w:p w14:paraId="2ED03AE1" w14:textId="45B989F4" w:rsidR="000E1BFC" w:rsidRPr="00711B8B" w:rsidRDefault="000E1BFC" w:rsidP="0045098B">
            <w:pPr>
              <w:pStyle w:val="Tabletextleft"/>
              <w:keepNext/>
              <w:keepLines/>
              <w:tabs>
                <w:tab w:val="left" w:pos="3718"/>
              </w:tabs>
              <w:rPr>
                <w:rFonts w:ascii="Arial Narrow" w:hAnsi="Arial Narrow"/>
                <w:b/>
                <w:bCs/>
                <w:sz w:val="20"/>
                <w:szCs w:val="18"/>
              </w:rPr>
            </w:pPr>
            <w:r w:rsidRPr="00711B8B">
              <w:rPr>
                <w:rFonts w:ascii="Arial Narrow" w:hAnsi="Arial Narrow"/>
                <w:b/>
                <w:bCs/>
                <w:sz w:val="20"/>
                <w:szCs w:val="18"/>
              </w:rPr>
              <w:t xml:space="preserve">Item number AAAA </w:t>
            </w:r>
            <w:r w:rsidR="0045098B">
              <w:rPr>
                <w:rFonts w:ascii="Arial Narrow" w:hAnsi="Arial Narrow"/>
                <w:b/>
                <w:bCs/>
                <w:sz w:val="20"/>
                <w:szCs w:val="18"/>
              </w:rPr>
              <w:tab/>
            </w:r>
            <w:r w:rsidRPr="00711B8B">
              <w:rPr>
                <w:rFonts w:ascii="Arial Narrow" w:hAnsi="Arial Narrow"/>
                <w:b/>
                <w:bCs/>
                <w:sz w:val="20"/>
                <w:szCs w:val="18"/>
              </w:rPr>
              <w:t>Category 6 (Pathology services) – Group P7 Genetics</w:t>
            </w:r>
          </w:p>
        </w:tc>
      </w:tr>
      <w:tr w:rsidR="000E1BFC" w14:paraId="3F6BC8B8" w14:textId="77777777" w:rsidTr="00695C4D">
        <w:tc>
          <w:tcPr>
            <w:tcW w:w="9016" w:type="dxa"/>
            <w:tcBorders>
              <w:top w:val="single" w:sz="4" w:space="0" w:color="auto"/>
              <w:left w:val="single" w:sz="4" w:space="0" w:color="auto"/>
              <w:bottom w:val="single" w:sz="4" w:space="0" w:color="auto"/>
              <w:right w:val="single" w:sz="4" w:space="0" w:color="auto"/>
            </w:tcBorders>
          </w:tcPr>
          <w:p w14:paraId="71BF5AD7" w14:textId="7D6B0DEA" w:rsidR="000E1BFC" w:rsidRPr="00267B87" w:rsidRDefault="000E1BFC" w:rsidP="00CF31A8">
            <w:pPr>
              <w:rPr>
                <w:rFonts w:ascii="Arial Narrow" w:hAnsi="Arial Narrow"/>
                <w:sz w:val="20"/>
              </w:rPr>
            </w:pPr>
            <w:r w:rsidRPr="00711B8B">
              <w:rPr>
                <w:rFonts w:ascii="Arial Narrow" w:hAnsi="Arial Narrow"/>
                <w:sz w:val="20"/>
              </w:rPr>
              <w:t>Fluorescence in-situ hybridisation (FISH) test of tumour tissue from a patient</w:t>
            </w:r>
            <w:r w:rsidR="00711B8B">
              <w:rPr>
                <w:rFonts w:ascii="Arial Narrow" w:hAnsi="Arial Narrow"/>
                <w:sz w:val="20"/>
              </w:rPr>
              <w:t xml:space="preserve"> with </w:t>
            </w:r>
            <w:r w:rsidRPr="000C198C">
              <w:rPr>
                <w:rFonts w:ascii="Arial Narrow" w:hAnsi="Arial Narrow"/>
                <w:sz w:val="20"/>
              </w:rPr>
              <w:t>locally advanced</w:t>
            </w:r>
            <w:r w:rsidR="00711B8B">
              <w:rPr>
                <w:rFonts w:ascii="Arial Narrow" w:hAnsi="Arial Narrow"/>
                <w:sz w:val="20"/>
              </w:rPr>
              <w:t xml:space="preserve"> or metastatic neurotrophic solid tumour </w:t>
            </w:r>
            <w:r w:rsidR="00711B8B" w:rsidRPr="00A21256">
              <w:rPr>
                <w:rFonts w:ascii="Arial Narrow" w:hAnsi="Arial Narrow"/>
                <w:color w:val="000000" w:themeColor="text1"/>
                <w:sz w:val="20"/>
              </w:rPr>
              <w:t>at risk of being caused by a tropomyosin receptor kinase (</w:t>
            </w:r>
            <w:r w:rsidR="00711B8B" w:rsidRPr="00CF31A8">
              <w:rPr>
                <w:rFonts w:ascii="Arial Narrow" w:hAnsi="Arial Narrow"/>
                <w:i/>
                <w:iCs/>
                <w:color w:val="000000" w:themeColor="text1"/>
                <w:sz w:val="20"/>
              </w:rPr>
              <w:t>NTRK</w:t>
            </w:r>
            <w:r w:rsidR="00711B8B" w:rsidRPr="00A21256">
              <w:rPr>
                <w:rFonts w:ascii="Arial Narrow" w:hAnsi="Arial Narrow"/>
                <w:color w:val="000000" w:themeColor="text1"/>
                <w:sz w:val="20"/>
              </w:rPr>
              <w:t>) gene fusion as determined by either</w:t>
            </w:r>
            <w:r w:rsidR="0056051D">
              <w:rPr>
                <w:rFonts w:ascii="Arial Narrow" w:hAnsi="Arial Narrow"/>
                <w:color w:val="000000" w:themeColor="text1"/>
                <w:sz w:val="20"/>
              </w:rPr>
              <w:t>:</w:t>
            </w:r>
          </w:p>
          <w:p w14:paraId="3FCB5FD3" w14:textId="52610F3E" w:rsidR="00711B8B" w:rsidRDefault="00711B8B" w:rsidP="00864249">
            <w:pPr>
              <w:pStyle w:val="ListParagraph"/>
              <w:keepNext/>
              <w:keepLines/>
              <w:numPr>
                <w:ilvl w:val="0"/>
                <w:numId w:val="34"/>
              </w:numPr>
              <w:spacing w:before="40"/>
              <w:contextualSpacing/>
              <w:jc w:val="left"/>
              <w:rPr>
                <w:rFonts w:ascii="Arial Narrow" w:hAnsi="Arial Narrow"/>
                <w:color w:val="auto"/>
                <w:sz w:val="20"/>
              </w:rPr>
            </w:pPr>
            <w:r>
              <w:rPr>
                <w:rFonts w:ascii="Arial Narrow" w:hAnsi="Arial Narrow"/>
                <w:color w:val="auto"/>
                <w:sz w:val="20"/>
              </w:rPr>
              <w:t>occurring in a child</w:t>
            </w:r>
            <w:r w:rsidR="000E1BFC" w:rsidRPr="00711B8B">
              <w:rPr>
                <w:rFonts w:ascii="Arial Narrow" w:hAnsi="Arial Narrow"/>
                <w:color w:val="auto"/>
                <w:sz w:val="20"/>
              </w:rPr>
              <w:t xml:space="preserve"> less than 18 years</w:t>
            </w:r>
            <w:r>
              <w:rPr>
                <w:rFonts w:ascii="Arial Narrow" w:hAnsi="Arial Narrow"/>
                <w:color w:val="auto"/>
                <w:sz w:val="20"/>
              </w:rPr>
              <w:t xml:space="preserve"> of age</w:t>
            </w:r>
            <w:r w:rsidR="0056051D">
              <w:rPr>
                <w:rFonts w:ascii="Arial Narrow" w:hAnsi="Arial Narrow"/>
                <w:color w:val="auto"/>
                <w:sz w:val="20"/>
              </w:rPr>
              <w:t>,</w:t>
            </w:r>
            <w:r w:rsidR="000E1BFC" w:rsidRPr="00711B8B">
              <w:rPr>
                <w:rFonts w:ascii="Arial Narrow" w:hAnsi="Arial Narrow"/>
                <w:color w:val="auto"/>
                <w:sz w:val="20"/>
              </w:rPr>
              <w:t xml:space="preserve"> OR</w:t>
            </w:r>
          </w:p>
          <w:p w14:paraId="1346700B" w14:textId="7797CFAE" w:rsidR="0056051D" w:rsidRDefault="0056051D" w:rsidP="00864249">
            <w:pPr>
              <w:pStyle w:val="ListParagraph"/>
              <w:keepNext/>
              <w:keepLines/>
              <w:numPr>
                <w:ilvl w:val="0"/>
                <w:numId w:val="34"/>
              </w:numPr>
              <w:spacing w:before="40"/>
              <w:contextualSpacing/>
              <w:jc w:val="left"/>
              <w:rPr>
                <w:rFonts w:ascii="Arial Narrow" w:hAnsi="Arial Narrow"/>
                <w:color w:val="auto"/>
                <w:sz w:val="20"/>
              </w:rPr>
            </w:pPr>
            <w:r>
              <w:rPr>
                <w:rFonts w:ascii="Arial Narrow" w:hAnsi="Arial Narrow"/>
                <w:color w:val="auto"/>
                <w:sz w:val="20"/>
              </w:rPr>
              <w:t xml:space="preserve">being </w:t>
            </w:r>
            <w:r w:rsidR="000E1BFC" w:rsidRPr="00A21256">
              <w:rPr>
                <w:rFonts w:ascii="Arial Narrow" w:hAnsi="Arial Narrow"/>
                <w:color w:val="auto"/>
                <w:sz w:val="20"/>
              </w:rPr>
              <w:t>mammary analogue secretory carcinoma of the salivary gland</w:t>
            </w:r>
            <w:r>
              <w:rPr>
                <w:rFonts w:ascii="Arial Narrow" w:hAnsi="Arial Narrow"/>
                <w:color w:val="auto"/>
                <w:sz w:val="20"/>
              </w:rPr>
              <w:t>,</w:t>
            </w:r>
            <w:r w:rsidR="000E1BFC" w:rsidRPr="00A21256">
              <w:rPr>
                <w:rFonts w:ascii="Arial Narrow" w:hAnsi="Arial Narrow"/>
                <w:color w:val="auto"/>
                <w:sz w:val="20"/>
              </w:rPr>
              <w:t xml:space="preserve"> </w:t>
            </w:r>
            <w:r w:rsidRPr="00A21256">
              <w:rPr>
                <w:rFonts w:ascii="Arial Narrow" w:hAnsi="Arial Narrow"/>
                <w:color w:val="auto"/>
                <w:sz w:val="20"/>
              </w:rPr>
              <w:t>OR</w:t>
            </w:r>
          </w:p>
          <w:p w14:paraId="550CDC12" w14:textId="04827034" w:rsidR="000E1BFC" w:rsidRPr="00A21256" w:rsidRDefault="0056051D" w:rsidP="00864249">
            <w:pPr>
              <w:pStyle w:val="ListParagraph"/>
              <w:keepNext/>
              <w:keepLines/>
              <w:numPr>
                <w:ilvl w:val="0"/>
                <w:numId w:val="34"/>
              </w:numPr>
              <w:spacing w:before="40"/>
              <w:contextualSpacing/>
              <w:jc w:val="left"/>
              <w:rPr>
                <w:rFonts w:ascii="Arial Narrow" w:hAnsi="Arial Narrow"/>
                <w:color w:val="auto"/>
                <w:sz w:val="20"/>
              </w:rPr>
            </w:pPr>
            <w:r>
              <w:rPr>
                <w:rFonts w:ascii="Arial Narrow" w:hAnsi="Arial Narrow"/>
                <w:color w:val="auto"/>
                <w:sz w:val="20"/>
              </w:rPr>
              <w:t>being</w:t>
            </w:r>
            <w:r w:rsidR="000E1BFC" w:rsidRPr="00A21256">
              <w:rPr>
                <w:rFonts w:ascii="Arial Narrow" w:hAnsi="Arial Narrow"/>
                <w:color w:val="auto"/>
                <w:sz w:val="20"/>
              </w:rPr>
              <w:t xml:space="preserve"> secretory breast cancer,</w:t>
            </w:r>
          </w:p>
          <w:p w14:paraId="69638304" w14:textId="77777777" w:rsidR="000E1BFC" w:rsidRPr="00711B8B" w:rsidRDefault="000E1BFC">
            <w:pPr>
              <w:spacing w:after="40"/>
              <w:rPr>
                <w:rFonts w:ascii="Arial Narrow" w:hAnsi="Arial Narrow"/>
                <w:sz w:val="20"/>
              </w:rPr>
            </w:pPr>
            <w:r w:rsidRPr="00711B8B">
              <w:rPr>
                <w:rFonts w:ascii="Arial Narrow" w:hAnsi="Arial Narrow"/>
                <w:sz w:val="20"/>
              </w:rPr>
              <w:t>requested by a specialist or consultant physician to determine if requirements relating to neurotrophic tropomyosin receptor kinase (</w:t>
            </w:r>
            <w:r w:rsidRPr="00711B8B">
              <w:rPr>
                <w:rFonts w:ascii="Arial Narrow" w:hAnsi="Arial Narrow"/>
                <w:i/>
                <w:iCs/>
                <w:sz w:val="20"/>
              </w:rPr>
              <w:t>NTRK1, NTRK2, or NTRK3</w:t>
            </w:r>
            <w:r w:rsidRPr="00711B8B">
              <w:rPr>
                <w:rFonts w:ascii="Arial Narrow" w:hAnsi="Arial Narrow"/>
                <w:sz w:val="20"/>
              </w:rPr>
              <w:t>) fusions for access to a tropomyosin receptor kinase (</w:t>
            </w:r>
            <w:proofErr w:type="spellStart"/>
            <w:r w:rsidRPr="00711B8B">
              <w:rPr>
                <w:rFonts w:ascii="Arial Narrow" w:hAnsi="Arial Narrow"/>
                <w:sz w:val="20"/>
              </w:rPr>
              <w:t>Trk</w:t>
            </w:r>
            <w:proofErr w:type="spellEnd"/>
            <w:r w:rsidRPr="00711B8B">
              <w:rPr>
                <w:rFonts w:ascii="Arial Narrow" w:hAnsi="Arial Narrow"/>
                <w:sz w:val="20"/>
              </w:rPr>
              <w:t>) inhibitor under the Pharmaceutical Benefits Scheme (PBS) are fulfilled.</w:t>
            </w:r>
          </w:p>
          <w:p w14:paraId="653B6A82" w14:textId="77777777" w:rsidR="000E1BFC" w:rsidRPr="00711B8B" w:rsidRDefault="000E1BFC">
            <w:pPr>
              <w:spacing w:after="40"/>
              <w:rPr>
                <w:rFonts w:ascii="Arial Narrow" w:hAnsi="Arial Narrow"/>
                <w:sz w:val="20"/>
              </w:rPr>
            </w:pPr>
            <w:r w:rsidRPr="00711B8B">
              <w:rPr>
                <w:rFonts w:ascii="Arial Narrow" w:hAnsi="Arial Narrow"/>
                <w:sz w:val="20"/>
              </w:rPr>
              <w:t>This item cannot be claimed if MBS item BBBB has been claimed for the same patient.</w:t>
            </w:r>
          </w:p>
          <w:p w14:paraId="3371DA4A" w14:textId="77777777" w:rsidR="000E1BFC" w:rsidRPr="00711B8B" w:rsidRDefault="000E1BFC">
            <w:pPr>
              <w:spacing w:after="40"/>
              <w:rPr>
                <w:rFonts w:ascii="Arial Narrow" w:hAnsi="Arial Narrow"/>
                <w:sz w:val="20"/>
              </w:rPr>
            </w:pPr>
            <w:r w:rsidRPr="00711B8B">
              <w:rPr>
                <w:rFonts w:ascii="Arial Narrow" w:hAnsi="Arial Narrow"/>
                <w:sz w:val="20"/>
              </w:rPr>
              <w:t>Applicable only once per cancer diagnosis.</w:t>
            </w:r>
          </w:p>
          <w:p w14:paraId="0D70E772" w14:textId="7CCDFD9C" w:rsidR="000E1BFC" w:rsidRPr="00711B8B" w:rsidRDefault="000E1BFC" w:rsidP="00695C4D">
            <w:pPr>
              <w:keepNext/>
              <w:keepLines/>
              <w:spacing w:after="40"/>
              <w:rPr>
                <w:rFonts w:ascii="Arial Narrow" w:hAnsi="Arial Narrow"/>
                <w:sz w:val="20"/>
              </w:rPr>
            </w:pPr>
            <w:r w:rsidRPr="00711B8B">
              <w:rPr>
                <w:rFonts w:ascii="Arial Narrow" w:hAnsi="Arial Narrow"/>
                <w:b/>
                <w:bCs/>
                <w:sz w:val="20"/>
              </w:rPr>
              <w:t xml:space="preserve">Fee:  </w:t>
            </w:r>
            <w:r w:rsidRPr="00711B8B">
              <w:rPr>
                <w:rFonts w:ascii="Arial Narrow" w:hAnsi="Arial Narrow"/>
                <w:sz w:val="20"/>
              </w:rPr>
              <w:t>$400.00.</w:t>
            </w:r>
            <w:r w:rsidRPr="00711B8B">
              <w:rPr>
                <w:rFonts w:ascii="Arial Narrow" w:hAnsi="Arial Narrow"/>
                <w:b/>
                <w:bCs/>
                <w:sz w:val="20"/>
              </w:rPr>
              <w:t xml:space="preserve">  Benefit: </w:t>
            </w:r>
            <w:r w:rsidRPr="00711B8B">
              <w:rPr>
                <w:rFonts w:ascii="Arial Narrow" w:hAnsi="Arial Narrow"/>
                <w:sz w:val="20"/>
              </w:rPr>
              <w:t xml:space="preserve">75% = $300.00 85% = $340.00 for 1 </w:t>
            </w:r>
            <w:r w:rsidRPr="00711B8B">
              <w:rPr>
                <w:rFonts w:ascii="Arial Narrow" w:hAnsi="Arial Narrow"/>
                <w:i/>
                <w:iCs/>
                <w:sz w:val="20"/>
              </w:rPr>
              <w:t>NTRK</w:t>
            </w:r>
            <w:r w:rsidRPr="00711B8B">
              <w:rPr>
                <w:rFonts w:ascii="Arial Narrow" w:hAnsi="Arial Narrow"/>
                <w:sz w:val="20"/>
              </w:rPr>
              <w:t xml:space="preserve"> fusion test</w:t>
            </w:r>
          </w:p>
        </w:tc>
      </w:tr>
      <w:tr w:rsidR="00695C4D" w:rsidRPr="00695C4D" w14:paraId="1BAF9E9B" w14:textId="77777777" w:rsidTr="00695C4D">
        <w:tc>
          <w:tcPr>
            <w:tcW w:w="9016" w:type="dxa"/>
          </w:tcPr>
          <w:p w14:paraId="2BD4C37D" w14:textId="4A4DDFEE" w:rsidR="00695C4D" w:rsidRPr="00695C4D" w:rsidRDefault="00695C4D" w:rsidP="009847B8">
            <w:pPr>
              <w:spacing w:before="40" w:after="0"/>
              <w:jc w:val="left"/>
              <w:rPr>
                <w:rFonts w:ascii="Arial Narrow" w:hAnsi="Arial Narrow"/>
                <w:b/>
                <w:bCs/>
                <w:sz w:val="20"/>
                <w:szCs w:val="20"/>
              </w:rPr>
            </w:pPr>
            <w:r w:rsidRPr="00695C4D">
              <w:rPr>
                <w:rFonts w:ascii="Arial Narrow" w:hAnsi="Arial Narrow"/>
                <w:b/>
                <w:bCs/>
                <w:sz w:val="20"/>
                <w:szCs w:val="20"/>
              </w:rPr>
              <w:t>Two tests described in item AAAA</w:t>
            </w:r>
          </w:p>
          <w:p w14:paraId="1C5C4AD5" w14:textId="77777777" w:rsidR="00695C4D" w:rsidRPr="00695C4D" w:rsidRDefault="00695C4D" w:rsidP="0045098B">
            <w:pPr>
              <w:keepNext/>
              <w:keepLines/>
              <w:spacing w:before="240" w:after="40"/>
              <w:jc w:val="left"/>
              <w:rPr>
                <w:rFonts w:ascii="Arial Narrow" w:hAnsi="Arial Narrow"/>
                <w:sz w:val="20"/>
                <w:szCs w:val="20"/>
              </w:rPr>
            </w:pPr>
            <w:r w:rsidRPr="00695C4D">
              <w:rPr>
                <w:rFonts w:ascii="Arial Narrow" w:hAnsi="Arial Narrow"/>
                <w:b/>
                <w:bCs/>
                <w:sz w:val="20"/>
                <w:szCs w:val="20"/>
              </w:rPr>
              <w:t>Fee:</w:t>
            </w:r>
            <w:r w:rsidRPr="00695C4D">
              <w:rPr>
                <w:rFonts w:ascii="Arial Narrow" w:hAnsi="Arial Narrow"/>
                <w:sz w:val="20"/>
                <w:szCs w:val="20"/>
              </w:rPr>
              <w:t xml:space="preserve">  $533.00.  </w:t>
            </w:r>
            <w:r w:rsidRPr="00695C4D">
              <w:rPr>
                <w:rFonts w:ascii="Arial Narrow" w:hAnsi="Arial Narrow"/>
                <w:b/>
                <w:bCs/>
                <w:sz w:val="20"/>
                <w:szCs w:val="20"/>
              </w:rPr>
              <w:t>Benefit:</w:t>
            </w:r>
            <w:r w:rsidRPr="00695C4D">
              <w:rPr>
                <w:rFonts w:ascii="Arial Narrow" w:hAnsi="Arial Narrow"/>
                <w:sz w:val="20"/>
                <w:szCs w:val="20"/>
              </w:rPr>
              <w:t xml:space="preserve"> 75% = $400.00 85% = $453.00</w:t>
            </w:r>
          </w:p>
        </w:tc>
      </w:tr>
      <w:tr w:rsidR="00695C4D" w:rsidRPr="00695C4D" w14:paraId="2FC29BFC" w14:textId="77777777" w:rsidTr="00695C4D">
        <w:tc>
          <w:tcPr>
            <w:tcW w:w="9016" w:type="dxa"/>
          </w:tcPr>
          <w:p w14:paraId="12599E6B" w14:textId="4F2933E4" w:rsidR="00695C4D" w:rsidRPr="00695C4D" w:rsidRDefault="00695C4D" w:rsidP="009847B8">
            <w:pPr>
              <w:spacing w:before="40" w:after="0"/>
              <w:jc w:val="left"/>
              <w:rPr>
                <w:rFonts w:ascii="Arial Narrow" w:hAnsi="Arial Narrow"/>
                <w:b/>
                <w:bCs/>
                <w:sz w:val="20"/>
                <w:szCs w:val="20"/>
              </w:rPr>
            </w:pPr>
            <w:r w:rsidRPr="00695C4D">
              <w:rPr>
                <w:rFonts w:ascii="Arial Narrow" w:hAnsi="Arial Narrow"/>
                <w:b/>
                <w:bCs/>
                <w:sz w:val="20"/>
                <w:szCs w:val="20"/>
              </w:rPr>
              <w:t>Three or more tests described in item AAAA</w:t>
            </w:r>
          </w:p>
          <w:p w14:paraId="131F3861" w14:textId="73E1FDA1" w:rsidR="00695C4D" w:rsidRPr="00695C4D" w:rsidRDefault="00695C4D" w:rsidP="0045098B">
            <w:pPr>
              <w:keepNext/>
              <w:keepLines/>
              <w:spacing w:before="240" w:after="0"/>
              <w:jc w:val="left"/>
              <w:rPr>
                <w:rFonts w:ascii="Arial Narrow" w:hAnsi="Arial Narrow"/>
                <w:sz w:val="20"/>
                <w:szCs w:val="20"/>
              </w:rPr>
            </w:pPr>
            <w:r w:rsidRPr="00695C4D">
              <w:rPr>
                <w:rFonts w:ascii="Arial Narrow" w:hAnsi="Arial Narrow"/>
                <w:b/>
                <w:bCs/>
                <w:sz w:val="20"/>
                <w:szCs w:val="20"/>
              </w:rPr>
              <w:t>Fee:</w:t>
            </w:r>
            <w:r w:rsidRPr="00695C4D">
              <w:rPr>
                <w:rFonts w:ascii="Arial Narrow" w:hAnsi="Arial Narrow"/>
                <w:sz w:val="20"/>
                <w:szCs w:val="20"/>
              </w:rPr>
              <w:t xml:space="preserve">  $667.00.  </w:t>
            </w:r>
            <w:r w:rsidRPr="00695C4D">
              <w:rPr>
                <w:rFonts w:ascii="Arial Narrow" w:hAnsi="Arial Narrow"/>
                <w:b/>
                <w:bCs/>
                <w:sz w:val="20"/>
                <w:szCs w:val="20"/>
              </w:rPr>
              <w:t>Benefit:</w:t>
            </w:r>
            <w:r w:rsidRPr="00695C4D">
              <w:rPr>
                <w:rFonts w:ascii="Arial Narrow" w:hAnsi="Arial Narrow"/>
                <w:sz w:val="20"/>
                <w:szCs w:val="20"/>
              </w:rPr>
              <w:t xml:space="preserve"> 75% = $500.00 85% = $5</w:t>
            </w:r>
            <w:r w:rsidR="009B567D">
              <w:rPr>
                <w:rFonts w:ascii="Arial Narrow" w:hAnsi="Arial Narrow"/>
                <w:sz w:val="20"/>
                <w:szCs w:val="20"/>
              </w:rPr>
              <w:t>79</w:t>
            </w:r>
            <w:r w:rsidRPr="00695C4D">
              <w:rPr>
                <w:rFonts w:ascii="Arial Narrow" w:hAnsi="Arial Narrow"/>
                <w:sz w:val="20"/>
                <w:szCs w:val="20"/>
              </w:rPr>
              <w:t>.</w:t>
            </w:r>
            <w:r w:rsidR="009B567D">
              <w:rPr>
                <w:rFonts w:ascii="Arial Narrow" w:hAnsi="Arial Narrow"/>
                <w:sz w:val="20"/>
                <w:szCs w:val="20"/>
              </w:rPr>
              <w:t>1</w:t>
            </w:r>
            <w:r w:rsidRPr="00695C4D">
              <w:rPr>
                <w:rFonts w:ascii="Arial Narrow" w:hAnsi="Arial Narrow"/>
                <w:sz w:val="20"/>
                <w:szCs w:val="20"/>
              </w:rPr>
              <w:t>0</w:t>
            </w:r>
            <w:r w:rsidR="008864BB">
              <w:rPr>
                <w:rFonts w:ascii="Arial Narrow" w:hAnsi="Arial Narrow"/>
                <w:sz w:val="20"/>
                <w:szCs w:val="20"/>
                <w:vertAlign w:val="superscript"/>
              </w:rPr>
              <w:t>a</w:t>
            </w:r>
          </w:p>
        </w:tc>
      </w:tr>
    </w:tbl>
    <w:p w14:paraId="25001F8D" w14:textId="2530F0E2" w:rsidR="000E1BFC" w:rsidRPr="00D33321" w:rsidRDefault="008864BB" w:rsidP="00D33321">
      <w:pPr>
        <w:pStyle w:val="Tablenotes"/>
      </w:pPr>
      <w:proofErr w:type="spellStart"/>
      <w:r>
        <w:rPr>
          <w:vertAlign w:val="superscript"/>
        </w:rPr>
        <w:t>a</w:t>
      </w:r>
      <w:proofErr w:type="spellEnd"/>
      <w:r>
        <w:rPr>
          <w:vertAlign w:val="superscript"/>
        </w:rPr>
        <w:t xml:space="preserve"> </w:t>
      </w:r>
      <w:r>
        <w:t>Accounting for Greatest Permissible Gap</w:t>
      </w:r>
    </w:p>
    <w:tbl>
      <w:tblPr>
        <w:tblStyle w:val="HTATableshaded"/>
        <w:tblW w:w="5000" w:type="pct"/>
        <w:tblLook w:val="04A0" w:firstRow="1" w:lastRow="0" w:firstColumn="1" w:lastColumn="0" w:noHBand="0" w:noVBand="1"/>
        <w:tblCaption w:val="Proposed Item Descriptor Table"/>
        <w:tblDescription w:val="MSAC supported descriptor"/>
      </w:tblPr>
      <w:tblGrid>
        <w:gridCol w:w="9016"/>
      </w:tblGrid>
      <w:tr w:rsidR="000E1BFC" w14:paraId="419CF76C" w14:textId="77777777" w:rsidTr="000E1BFC">
        <w:trPr>
          <w:cnfStyle w:val="100000000000" w:firstRow="1" w:lastRow="0" w:firstColumn="0" w:lastColumn="0" w:oddVBand="0" w:evenVBand="0" w:oddHBand="0" w:evenHBand="0" w:firstRowFirstColumn="0" w:firstRowLastColumn="0" w:lastRowFirstColumn="0" w:lastRowLastColumn="0"/>
        </w:trPr>
        <w:tc>
          <w:tcPr>
            <w:tcW w:w="5000" w:type="pct"/>
            <w:hideMark/>
          </w:tcPr>
          <w:p w14:paraId="10C71C7F" w14:textId="5411EF1A" w:rsidR="000E1BFC" w:rsidRPr="0045098B" w:rsidRDefault="000E1BFC" w:rsidP="0045098B">
            <w:pPr>
              <w:pStyle w:val="Tabletextleft"/>
              <w:keepNext/>
              <w:keepLines/>
              <w:tabs>
                <w:tab w:val="left" w:pos="3530"/>
              </w:tabs>
              <w:rPr>
                <w:rFonts w:ascii="Arial Narrow" w:hAnsi="Arial Narrow"/>
                <w:b/>
                <w:bCs/>
                <w:sz w:val="20"/>
                <w:szCs w:val="18"/>
              </w:rPr>
            </w:pPr>
            <w:r w:rsidRPr="00711B8B">
              <w:rPr>
                <w:rFonts w:ascii="Arial Narrow" w:hAnsi="Arial Narrow"/>
                <w:b/>
                <w:bCs/>
                <w:sz w:val="20"/>
                <w:szCs w:val="18"/>
              </w:rPr>
              <w:t xml:space="preserve">Item number BBBB </w:t>
            </w:r>
            <w:r w:rsidR="0045098B">
              <w:rPr>
                <w:rFonts w:ascii="Arial Narrow" w:hAnsi="Arial Narrow"/>
                <w:b/>
                <w:bCs/>
                <w:sz w:val="20"/>
                <w:szCs w:val="18"/>
              </w:rPr>
              <w:tab/>
            </w:r>
            <w:r w:rsidRPr="00711B8B">
              <w:rPr>
                <w:rFonts w:ascii="Arial Narrow" w:hAnsi="Arial Narrow"/>
                <w:b/>
                <w:bCs/>
                <w:sz w:val="20"/>
                <w:szCs w:val="18"/>
              </w:rPr>
              <w:t>Category 6 (Pathology services) – Group P7 Genetics</w:t>
            </w:r>
          </w:p>
        </w:tc>
      </w:tr>
      <w:tr w:rsidR="000E1BFC" w14:paraId="564F6FA1" w14:textId="77777777" w:rsidTr="000E1BFC">
        <w:tc>
          <w:tcPr>
            <w:tcW w:w="5000" w:type="pct"/>
            <w:tcBorders>
              <w:top w:val="single" w:sz="4" w:space="0" w:color="auto"/>
              <w:left w:val="single" w:sz="4" w:space="0" w:color="auto"/>
              <w:bottom w:val="single" w:sz="4" w:space="0" w:color="auto"/>
              <w:right w:val="single" w:sz="4" w:space="0" w:color="auto"/>
            </w:tcBorders>
          </w:tcPr>
          <w:p w14:paraId="268F1AB0" w14:textId="5DF3AD91" w:rsidR="00F5688A" w:rsidRPr="00EB7C86" w:rsidRDefault="000E1BFC" w:rsidP="0056051D">
            <w:pPr>
              <w:keepNext/>
              <w:keepLines/>
              <w:rPr>
                <w:rFonts w:ascii="Arial Narrow" w:hAnsi="Arial Narrow"/>
                <w:sz w:val="20"/>
              </w:rPr>
            </w:pPr>
            <w:r w:rsidRPr="00711B8B">
              <w:rPr>
                <w:rFonts w:ascii="Arial Narrow" w:hAnsi="Arial Narrow"/>
                <w:sz w:val="20"/>
              </w:rPr>
              <w:t>Next generation sequencing (NGS) test</w:t>
            </w:r>
            <w:r w:rsidR="00F5688A">
              <w:rPr>
                <w:rFonts w:ascii="Arial Narrow" w:hAnsi="Arial Narrow"/>
                <w:sz w:val="20"/>
              </w:rPr>
              <w:t xml:space="preserve"> for </w:t>
            </w:r>
            <w:r w:rsidR="006C4574" w:rsidRPr="00711B8B">
              <w:rPr>
                <w:rFonts w:ascii="Arial Narrow" w:hAnsi="Arial Narrow"/>
                <w:sz w:val="20"/>
                <w:lang w:bidi="en-US"/>
              </w:rPr>
              <w:t>neurotrophic tropomyosin receptor kinase (</w:t>
            </w:r>
            <w:r w:rsidR="00F5688A">
              <w:rPr>
                <w:rFonts w:ascii="Arial Narrow" w:hAnsi="Arial Narrow"/>
                <w:i/>
                <w:iCs/>
                <w:sz w:val="20"/>
              </w:rPr>
              <w:t>NTRK1</w:t>
            </w:r>
            <w:r w:rsidR="00F5688A">
              <w:rPr>
                <w:rFonts w:ascii="Arial Narrow" w:hAnsi="Arial Narrow"/>
                <w:sz w:val="20"/>
              </w:rPr>
              <w:t xml:space="preserve">, </w:t>
            </w:r>
            <w:r w:rsidR="00F5688A">
              <w:rPr>
                <w:rFonts w:ascii="Arial Narrow" w:hAnsi="Arial Narrow"/>
                <w:i/>
                <w:iCs/>
                <w:sz w:val="20"/>
              </w:rPr>
              <w:t>NTRK2</w:t>
            </w:r>
            <w:r w:rsidR="00F5688A">
              <w:rPr>
                <w:rFonts w:ascii="Arial Narrow" w:hAnsi="Arial Narrow"/>
                <w:sz w:val="20"/>
              </w:rPr>
              <w:t xml:space="preserve">, </w:t>
            </w:r>
            <w:r w:rsidR="00F5688A">
              <w:rPr>
                <w:rFonts w:ascii="Arial Narrow" w:hAnsi="Arial Narrow"/>
                <w:i/>
                <w:iCs/>
                <w:sz w:val="20"/>
              </w:rPr>
              <w:t>NTRK3</w:t>
            </w:r>
            <w:r w:rsidR="006C4574">
              <w:rPr>
                <w:rFonts w:ascii="Arial Narrow" w:hAnsi="Arial Narrow"/>
                <w:sz w:val="20"/>
              </w:rPr>
              <w:t>)</w:t>
            </w:r>
            <w:r w:rsidR="00F5688A">
              <w:rPr>
                <w:rFonts w:ascii="Arial Narrow" w:hAnsi="Arial Narrow"/>
                <w:sz w:val="20"/>
              </w:rPr>
              <w:t xml:space="preserve"> fusions by RNA or DNA </w:t>
            </w:r>
            <w:r w:rsidR="006C4574">
              <w:rPr>
                <w:rFonts w:ascii="Arial Narrow" w:hAnsi="Arial Narrow"/>
                <w:sz w:val="20"/>
              </w:rPr>
              <w:t>in</w:t>
            </w:r>
            <w:r w:rsidRPr="00711B8B">
              <w:rPr>
                <w:rFonts w:ascii="Arial Narrow" w:hAnsi="Arial Narrow"/>
                <w:sz w:val="20"/>
              </w:rPr>
              <w:t xml:space="preserve"> tumour tissue from a patient</w:t>
            </w:r>
            <w:r w:rsidR="00F5688A">
              <w:rPr>
                <w:rFonts w:ascii="Arial Narrow" w:hAnsi="Arial Narrow"/>
                <w:sz w:val="20"/>
              </w:rPr>
              <w:t xml:space="preserve"> with locally advanced </w:t>
            </w:r>
            <w:r w:rsidR="0056051D">
              <w:rPr>
                <w:rFonts w:ascii="Arial Narrow" w:hAnsi="Arial Narrow"/>
                <w:sz w:val="20"/>
              </w:rPr>
              <w:t xml:space="preserve">or metastatic neurotrophic solid tumour </w:t>
            </w:r>
            <w:r w:rsidR="00F5688A">
              <w:rPr>
                <w:rFonts w:ascii="Arial Narrow" w:hAnsi="Arial Narrow"/>
                <w:sz w:val="20"/>
              </w:rPr>
              <w:t>at risk of being caused by a</w:t>
            </w:r>
            <w:r w:rsidR="006C4574">
              <w:rPr>
                <w:rFonts w:ascii="Arial Narrow" w:hAnsi="Arial Narrow"/>
                <w:sz w:val="20"/>
              </w:rPr>
              <w:t>n</w:t>
            </w:r>
            <w:r w:rsidR="00F5688A">
              <w:rPr>
                <w:rFonts w:ascii="Arial Narrow" w:hAnsi="Arial Narrow"/>
                <w:sz w:val="20"/>
              </w:rPr>
              <w:t xml:space="preserve"> </w:t>
            </w:r>
            <w:r w:rsidR="00F5688A" w:rsidRPr="00EB7C86">
              <w:rPr>
                <w:rFonts w:ascii="Arial Narrow" w:hAnsi="Arial Narrow"/>
                <w:i/>
                <w:iCs/>
                <w:sz w:val="20"/>
              </w:rPr>
              <w:t>NTRK</w:t>
            </w:r>
            <w:r w:rsidR="00F5688A">
              <w:rPr>
                <w:rFonts w:ascii="Arial Narrow" w:hAnsi="Arial Narrow"/>
                <w:sz w:val="20"/>
              </w:rPr>
              <w:t xml:space="preserve"> gene fusion as determined by either</w:t>
            </w:r>
            <w:r w:rsidR="0056051D">
              <w:rPr>
                <w:rFonts w:ascii="Arial Narrow" w:hAnsi="Arial Narrow"/>
                <w:sz w:val="20"/>
              </w:rPr>
              <w:t>:</w:t>
            </w:r>
          </w:p>
          <w:p w14:paraId="5AFF8F9A" w14:textId="77FBA233" w:rsidR="00F5688A" w:rsidRDefault="00F5688A" w:rsidP="00864249">
            <w:pPr>
              <w:pStyle w:val="ListParagraph"/>
              <w:keepNext/>
              <w:keepLines/>
              <w:numPr>
                <w:ilvl w:val="0"/>
                <w:numId w:val="34"/>
              </w:numPr>
              <w:spacing w:before="40"/>
              <w:contextualSpacing/>
              <w:jc w:val="left"/>
              <w:rPr>
                <w:rFonts w:ascii="Arial Narrow" w:hAnsi="Arial Narrow"/>
                <w:color w:val="auto"/>
                <w:sz w:val="20"/>
              </w:rPr>
            </w:pPr>
            <w:r>
              <w:rPr>
                <w:rFonts w:ascii="Arial Narrow" w:hAnsi="Arial Narrow"/>
                <w:color w:val="auto"/>
                <w:sz w:val="20"/>
              </w:rPr>
              <w:t>occurring in a child</w:t>
            </w:r>
            <w:r w:rsidRPr="00711B8B">
              <w:rPr>
                <w:rFonts w:ascii="Arial Narrow" w:hAnsi="Arial Narrow"/>
                <w:color w:val="auto"/>
                <w:sz w:val="20"/>
              </w:rPr>
              <w:t xml:space="preserve"> less than 18 years</w:t>
            </w:r>
            <w:r>
              <w:rPr>
                <w:rFonts w:ascii="Arial Narrow" w:hAnsi="Arial Narrow"/>
                <w:color w:val="auto"/>
                <w:sz w:val="20"/>
              </w:rPr>
              <w:t xml:space="preserve"> of age</w:t>
            </w:r>
            <w:r w:rsidR="0056051D">
              <w:rPr>
                <w:rFonts w:ascii="Arial Narrow" w:hAnsi="Arial Narrow"/>
                <w:color w:val="auto"/>
                <w:sz w:val="20"/>
              </w:rPr>
              <w:t>,</w:t>
            </w:r>
            <w:r w:rsidRPr="00711B8B">
              <w:rPr>
                <w:rFonts w:ascii="Arial Narrow" w:hAnsi="Arial Narrow"/>
                <w:color w:val="auto"/>
                <w:sz w:val="20"/>
              </w:rPr>
              <w:t xml:space="preserve"> OR</w:t>
            </w:r>
          </w:p>
          <w:p w14:paraId="5BA09652" w14:textId="0B8A8600" w:rsidR="0056051D" w:rsidRDefault="0056051D" w:rsidP="00864249">
            <w:pPr>
              <w:pStyle w:val="ListParagraph"/>
              <w:keepNext/>
              <w:keepLines/>
              <w:numPr>
                <w:ilvl w:val="0"/>
                <w:numId w:val="34"/>
              </w:numPr>
              <w:spacing w:before="40"/>
              <w:contextualSpacing/>
              <w:jc w:val="left"/>
              <w:rPr>
                <w:rFonts w:ascii="Arial Narrow" w:hAnsi="Arial Narrow"/>
                <w:color w:val="auto"/>
                <w:sz w:val="20"/>
              </w:rPr>
            </w:pPr>
            <w:r>
              <w:rPr>
                <w:rFonts w:ascii="Arial Narrow" w:hAnsi="Arial Narrow"/>
                <w:color w:val="auto"/>
                <w:sz w:val="20"/>
              </w:rPr>
              <w:t xml:space="preserve">being </w:t>
            </w:r>
            <w:r w:rsidRPr="00711B8B">
              <w:rPr>
                <w:rFonts w:ascii="Arial Narrow" w:hAnsi="Arial Narrow"/>
                <w:color w:val="auto"/>
                <w:sz w:val="20"/>
              </w:rPr>
              <w:t>mammary analogue secretory carcinoma of the salivary gland</w:t>
            </w:r>
            <w:r>
              <w:rPr>
                <w:rFonts w:ascii="Arial Narrow" w:hAnsi="Arial Narrow"/>
                <w:color w:val="auto"/>
                <w:sz w:val="20"/>
              </w:rPr>
              <w:t>,</w:t>
            </w:r>
            <w:r w:rsidRPr="00711B8B">
              <w:rPr>
                <w:rFonts w:ascii="Arial Narrow" w:hAnsi="Arial Narrow"/>
                <w:color w:val="auto"/>
                <w:sz w:val="20"/>
              </w:rPr>
              <w:t xml:space="preserve"> OR</w:t>
            </w:r>
          </w:p>
          <w:p w14:paraId="1934F398" w14:textId="77874353" w:rsidR="00F5688A" w:rsidRPr="00711B8B" w:rsidRDefault="0056051D" w:rsidP="00864249">
            <w:pPr>
              <w:pStyle w:val="ListParagraph"/>
              <w:keepNext/>
              <w:keepLines/>
              <w:numPr>
                <w:ilvl w:val="0"/>
                <w:numId w:val="34"/>
              </w:numPr>
              <w:spacing w:before="40"/>
              <w:contextualSpacing/>
              <w:jc w:val="left"/>
              <w:rPr>
                <w:rFonts w:ascii="Arial Narrow" w:hAnsi="Arial Narrow"/>
                <w:color w:val="auto"/>
                <w:sz w:val="20"/>
              </w:rPr>
            </w:pPr>
            <w:r>
              <w:rPr>
                <w:rFonts w:ascii="Arial Narrow" w:hAnsi="Arial Narrow"/>
                <w:color w:val="auto"/>
                <w:sz w:val="20"/>
              </w:rPr>
              <w:t>being</w:t>
            </w:r>
            <w:r w:rsidRPr="00711B8B">
              <w:rPr>
                <w:rFonts w:ascii="Arial Narrow" w:hAnsi="Arial Narrow"/>
                <w:color w:val="auto"/>
                <w:sz w:val="20"/>
              </w:rPr>
              <w:t xml:space="preserve"> secretory breast cancer,</w:t>
            </w:r>
          </w:p>
          <w:p w14:paraId="434F13CF" w14:textId="77777777" w:rsidR="000E1BFC" w:rsidRPr="00711B8B" w:rsidRDefault="000E1BFC">
            <w:pPr>
              <w:keepLines/>
              <w:spacing w:after="40"/>
              <w:rPr>
                <w:rFonts w:ascii="Arial Narrow" w:hAnsi="Arial Narrow"/>
                <w:sz w:val="20"/>
                <w:lang w:bidi="en-US"/>
              </w:rPr>
            </w:pPr>
            <w:r w:rsidRPr="00711B8B">
              <w:rPr>
                <w:rFonts w:ascii="Arial Narrow" w:hAnsi="Arial Narrow"/>
                <w:sz w:val="20"/>
                <w:lang w:bidi="en-US"/>
              </w:rPr>
              <w:t>requested by a specialist or consultant physician to determine if requirements relating to neurotrophic tropomyosin receptor kinase (</w:t>
            </w:r>
            <w:r w:rsidRPr="00711B8B">
              <w:rPr>
                <w:rFonts w:ascii="Arial Narrow" w:hAnsi="Arial Narrow"/>
                <w:i/>
                <w:iCs/>
                <w:sz w:val="20"/>
                <w:lang w:bidi="en-US"/>
              </w:rPr>
              <w:t>NTRK1, NTRK2 or NTRK3</w:t>
            </w:r>
            <w:r w:rsidRPr="00711B8B">
              <w:rPr>
                <w:rFonts w:ascii="Arial Narrow" w:hAnsi="Arial Narrow"/>
                <w:sz w:val="20"/>
                <w:lang w:bidi="en-US"/>
              </w:rPr>
              <w:t xml:space="preserve">) fusions for access to a </w:t>
            </w:r>
            <w:proofErr w:type="spellStart"/>
            <w:r w:rsidRPr="00711B8B">
              <w:rPr>
                <w:rFonts w:ascii="Arial Narrow" w:hAnsi="Arial Narrow"/>
                <w:sz w:val="20"/>
                <w:lang w:bidi="en-US"/>
              </w:rPr>
              <w:t>Trk</w:t>
            </w:r>
            <w:proofErr w:type="spellEnd"/>
            <w:r w:rsidRPr="00711B8B">
              <w:rPr>
                <w:rFonts w:ascii="Arial Narrow" w:hAnsi="Arial Narrow"/>
                <w:sz w:val="20"/>
                <w:lang w:bidi="en-US"/>
              </w:rPr>
              <w:t xml:space="preserve"> inhibitor under the Pharmaceutical Benefits Scheme (PBS) are fulfilled.</w:t>
            </w:r>
          </w:p>
          <w:p w14:paraId="4BB7B27B" w14:textId="77777777" w:rsidR="000E1BFC" w:rsidRPr="00711B8B" w:rsidRDefault="000E1BFC">
            <w:pPr>
              <w:keepNext/>
              <w:keepLines/>
              <w:spacing w:after="40"/>
              <w:rPr>
                <w:rFonts w:ascii="Arial Narrow" w:hAnsi="Arial Narrow"/>
                <w:sz w:val="20"/>
                <w:lang w:bidi="en-US"/>
              </w:rPr>
            </w:pPr>
            <w:r w:rsidRPr="00711B8B">
              <w:rPr>
                <w:rFonts w:ascii="Arial Narrow" w:hAnsi="Arial Narrow"/>
                <w:sz w:val="20"/>
                <w:lang w:bidi="en-US"/>
              </w:rPr>
              <w:t>This item cannot be claimed if MBS item AAAA has been claimed for the same patient.</w:t>
            </w:r>
          </w:p>
          <w:p w14:paraId="6147010F" w14:textId="77777777" w:rsidR="000E1BFC" w:rsidRPr="00711B8B" w:rsidRDefault="000E1BFC">
            <w:pPr>
              <w:keepNext/>
              <w:keepLines/>
              <w:spacing w:after="40"/>
              <w:rPr>
                <w:rFonts w:ascii="Arial Narrow" w:hAnsi="Arial Narrow"/>
                <w:sz w:val="20"/>
                <w:lang w:bidi="en-US"/>
              </w:rPr>
            </w:pPr>
            <w:r w:rsidRPr="00711B8B">
              <w:rPr>
                <w:rFonts w:ascii="Arial Narrow" w:hAnsi="Arial Narrow"/>
                <w:sz w:val="20"/>
                <w:lang w:bidi="en-US"/>
              </w:rPr>
              <w:t>Applicable only once per cancer diagnosis.</w:t>
            </w:r>
          </w:p>
          <w:p w14:paraId="38EC24E0" w14:textId="2DC693A6" w:rsidR="000E1BFC" w:rsidRPr="00D33321" w:rsidRDefault="000E1BFC">
            <w:pPr>
              <w:keepNext/>
              <w:keepLines/>
              <w:rPr>
                <w:rFonts w:ascii="Arial Narrow" w:hAnsi="Arial Narrow"/>
                <w:sz w:val="20"/>
                <w:vertAlign w:val="superscript"/>
              </w:rPr>
            </w:pPr>
            <w:r w:rsidRPr="00711B8B">
              <w:rPr>
                <w:rFonts w:ascii="Arial Narrow" w:hAnsi="Arial Narrow"/>
                <w:b/>
                <w:bCs/>
                <w:sz w:val="20"/>
                <w:lang w:bidi="en-US"/>
              </w:rPr>
              <w:t>Fee:</w:t>
            </w:r>
            <w:r w:rsidRPr="00711B8B">
              <w:rPr>
                <w:rFonts w:ascii="Arial Narrow" w:hAnsi="Arial Narrow"/>
                <w:sz w:val="20"/>
                <w:lang w:bidi="en-US"/>
              </w:rPr>
              <w:t xml:space="preserve">  $1,000.00  </w:t>
            </w:r>
            <w:r w:rsidRPr="00711B8B">
              <w:rPr>
                <w:rFonts w:ascii="Arial Narrow" w:hAnsi="Arial Narrow"/>
                <w:b/>
                <w:bCs/>
                <w:sz w:val="20"/>
                <w:lang w:bidi="en-US"/>
              </w:rPr>
              <w:t>Benefit</w:t>
            </w:r>
            <w:r w:rsidRPr="00711B8B">
              <w:rPr>
                <w:rFonts w:ascii="Arial Narrow" w:hAnsi="Arial Narrow"/>
                <w:sz w:val="20"/>
                <w:lang w:bidi="en-US"/>
              </w:rPr>
              <w:t>: 75% = $750.00 85% = $</w:t>
            </w:r>
            <w:r w:rsidR="006F3CEB">
              <w:rPr>
                <w:rFonts w:ascii="Arial Narrow" w:hAnsi="Arial Narrow"/>
                <w:sz w:val="20"/>
                <w:lang w:bidi="en-US"/>
              </w:rPr>
              <w:t>912</w:t>
            </w:r>
            <w:r w:rsidRPr="00711B8B">
              <w:rPr>
                <w:rFonts w:ascii="Arial Narrow" w:hAnsi="Arial Narrow"/>
                <w:sz w:val="20"/>
                <w:lang w:bidi="en-US"/>
              </w:rPr>
              <w:t>.</w:t>
            </w:r>
            <w:r w:rsidR="006F3CEB">
              <w:rPr>
                <w:rFonts w:ascii="Arial Narrow" w:hAnsi="Arial Narrow"/>
                <w:sz w:val="20"/>
                <w:lang w:bidi="en-US"/>
              </w:rPr>
              <w:t>1</w:t>
            </w:r>
            <w:r w:rsidRPr="00711B8B">
              <w:rPr>
                <w:rFonts w:ascii="Arial Narrow" w:hAnsi="Arial Narrow"/>
                <w:sz w:val="20"/>
                <w:lang w:bidi="en-US"/>
              </w:rPr>
              <w:t>0</w:t>
            </w:r>
            <w:r w:rsidR="008864BB">
              <w:rPr>
                <w:rFonts w:ascii="Arial Narrow" w:hAnsi="Arial Narrow"/>
                <w:sz w:val="20"/>
                <w:vertAlign w:val="superscript"/>
                <w:lang w:bidi="en-US"/>
              </w:rPr>
              <w:t>a</w:t>
            </w:r>
          </w:p>
        </w:tc>
      </w:tr>
    </w:tbl>
    <w:p w14:paraId="1A840714" w14:textId="51229C9A" w:rsidR="00F5688A" w:rsidRDefault="008864BB" w:rsidP="00D33321">
      <w:pPr>
        <w:pStyle w:val="Tablenotes"/>
      </w:pPr>
      <w:proofErr w:type="spellStart"/>
      <w:r>
        <w:rPr>
          <w:vertAlign w:val="superscript"/>
        </w:rPr>
        <w:t>a</w:t>
      </w:r>
      <w:proofErr w:type="spellEnd"/>
      <w:r>
        <w:rPr>
          <w:vertAlign w:val="superscript"/>
        </w:rPr>
        <w:t xml:space="preserve"> </w:t>
      </w:r>
      <w:r>
        <w:t>Accounting for Greatest Permissible Gap</w:t>
      </w:r>
    </w:p>
    <w:p w14:paraId="376896CD" w14:textId="77777777" w:rsidR="000E1BFC" w:rsidRPr="0045098B" w:rsidRDefault="000E1BFC" w:rsidP="00695C4D">
      <w:pPr>
        <w:keepNext/>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b/>
          <w:bCs/>
          <w:color w:val="000000"/>
          <w:szCs w:val="20"/>
          <w:lang w:eastAsia="en-AU"/>
        </w:rPr>
      </w:pPr>
      <w:r w:rsidRPr="0045098B">
        <w:rPr>
          <w:rFonts w:ascii="Times New Roman" w:eastAsia="Times New Roman" w:hAnsi="Times New Roman" w:cs="Times New Roman"/>
          <w:b/>
          <w:bCs/>
          <w:color w:val="000000"/>
          <w:szCs w:val="20"/>
          <w:lang w:eastAsia="en-AU"/>
        </w:rPr>
        <w:lastRenderedPageBreak/>
        <w:t>Consumer summary</w:t>
      </w:r>
    </w:p>
    <w:p w14:paraId="426E109D" w14:textId="7034598E" w:rsidR="000E1BFC" w:rsidRPr="000E1BFC" w:rsidRDefault="000E1BFC" w:rsidP="000E1BFC">
      <w:pPr>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Bayer Australia Ltd applied for public funding via the Medicare Benefits Schedule (MBS) for genetic testing for neurotrophic tropomyosin receptor kinase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gene fusion status in </w:t>
      </w:r>
      <w:r w:rsidR="00F67C5F">
        <w:rPr>
          <w:rFonts w:ascii="Times New Roman" w:eastAsia="Times New Roman" w:hAnsi="Times New Roman" w:cs="Times New Roman"/>
          <w:szCs w:val="20"/>
          <w:lang w:eastAsia="en-AU"/>
        </w:rPr>
        <w:t>children</w:t>
      </w:r>
      <w:r w:rsidR="00A37F96">
        <w:rPr>
          <w:rFonts w:ascii="Times New Roman" w:eastAsia="Times New Roman" w:hAnsi="Times New Roman" w:cs="Times New Roman"/>
          <w:szCs w:val="20"/>
          <w:lang w:eastAsia="en-AU"/>
        </w:rPr>
        <w:t xml:space="preserve"> and some adult </w:t>
      </w:r>
      <w:r w:rsidRPr="000E1BFC">
        <w:rPr>
          <w:rFonts w:ascii="Times New Roman" w:eastAsia="Times New Roman" w:hAnsi="Times New Roman" w:cs="Times New Roman"/>
          <w:szCs w:val="20"/>
          <w:lang w:eastAsia="en-AU"/>
        </w:rPr>
        <w:t>patients with locally advanced or metastatic solid tumours to help determine if they could benefit from the medicine larotrectinib. This was a resubmission.</w:t>
      </w:r>
    </w:p>
    <w:p w14:paraId="13801E38" w14:textId="31B5D19E" w:rsidR="000E1BFC" w:rsidRPr="000E1BFC" w:rsidRDefault="000E1BFC" w:rsidP="000E1BFC">
      <w:pPr>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 xml:space="preserve">This was a </w:t>
      </w:r>
      <w:proofErr w:type="spellStart"/>
      <w:r w:rsidRPr="000E1BFC">
        <w:rPr>
          <w:rFonts w:ascii="Times New Roman" w:eastAsia="Times New Roman" w:hAnsi="Times New Roman" w:cs="Times New Roman"/>
          <w:szCs w:val="20"/>
          <w:lang w:eastAsia="en-AU"/>
        </w:rPr>
        <w:t>codependent</w:t>
      </w:r>
      <w:proofErr w:type="spellEnd"/>
      <w:r w:rsidRPr="000E1BFC">
        <w:rPr>
          <w:rFonts w:ascii="Times New Roman" w:eastAsia="Times New Roman" w:hAnsi="Times New Roman" w:cs="Times New Roman"/>
          <w:szCs w:val="20"/>
          <w:lang w:eastAsia="en-AU"/>
        </w:rPr>
        <w:t xml:space="preserve"> application, meaning that genetic test</w:t>
      </w:r>
      <w:r w:rsidR="006C4574">
        <w:rPr>
          <w:rFonts w:ascii="Times New Roman" w:eastAsia="Times New Roman" w:hAnsi="Times New Roman" w:cs="Times New Roman"/>
          <w:szCs w:val="20"/>
          <w:lang w:eastAsia="en-AU"/>
        </w:rPr>
        <w:t>ing</w:t>
      </w:r>
      <w:r w:rsidRPr="000E1BFC">
        <w:rPr>
          <w:rFonts w:ascii="Times New Roman" w:eastAsia="Times New Roman" w:hAnsi="Times New Roman" w:cs="Times New Roman"/>
          <w:szCs w:val="20"/>
          <w:lang w:eastAsia="en-AU"/>
        </w:rPr>
        <w:t xml:space="preserve"> is needed to identify patients who might benefit from the medicine. The application for larotrectinib was considered by the Pharmaceutical Benefits Advisory Committee (PBAC), which deferred its decision on larotrectinib pending MSAC’s advice</w:t>
      </w:r>
      <w:r w:rsidR="00F67C5F">
        <w:rPr>
          <w:rFonts w:ascii="Times New Roman" w:eastAsia="Times New Roman" w:hAnsi="Times New Roman" w:cs="Times New Roman"/>
          <w:szCs w:val="20"/>
          <w:lang w:eastAsia="en-AU"/>
        </w:rPr>
        <w:t xml:space="preserve"> on the funding of </w:t>
      </w:r>
      <w:r w:rsidR="00F67C5F" w:rsidRPr="006C4574">
        <w:rPr>
          <w:rFonts w:ascii="Times New Roman" w:eastAsia="Times New Roman" w:hAnsi="Times New Roman" w:cs="Times New Roman"/>
          <w:i/>
          <w:iCs/>
          <w:szCs w:val="20"/>
          <w:lang w:eastAsia="en-AU"/>
        </w:rPr>
        <w:t>NTRK</w:t>
      </w:r>
      <w:r w:rsidR="00F67C5F">
        <w:rPr>
          <w:rFonts w:ascii="Times New Roman" w:eastAsia="Times New Roman" w:hAnsi="Times New Roman" w:cs="Times New Roman"/>
          <w:szCs w:val="20"/>
          <w:lang w:eastAsia="en-AU"/>
        </w:rPr>
        <w:t xml:space="preserve"> testing</w:t>
      </w:r>
      <w:r w:rsidRPr="000E1BFC">
        <w:rPr>
          <w:rFonts w:ascii="Times New Roman" w:eastAsia="Times New Roman" w:hAnsi="Times New Roman" w:cs="Times New Roman"/>
          <w:szCs w:val="20"/>
          <w:lang w:eastAsia="en-AU"/>
        </w:rPr>
        <w:t>.</w:t>
      </w:r>
    </w:p>
    <w:p w14:paraId="35141340" w14:textId="77777777" w:rsidR="000E1BFC" w:rsidRPr="000E1BFC" w:rsidRDefault="000E1BFC" w:rsidP="000E1BFC">
      <w:pPr>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There are three</w:t>
      </w:r>
      <w:r w:rsidRPr="000E1BFC">
        <w:rPr>
          <w:rFonts w:ascii="Times New Roman" w:eastAsia="Times New Roman" w:hAnsi="Times New Roman" w:cs="Times New Roman"/>
          <w:i/>
          <w:szCs w:val="20"/>
          <w:lang w:eastAsia="en-AU"/>
        </w:rPr>
        <w:t xml:space="preserve"> NTRK</w:t>
      </w:r>
      <w:r w:rsidRPr="000E1BFC">
        <w:rPr>
          <w:rFonts w:ascii="Times New Roman" w:eastAsia="Times New Roman" w:hAnsi="Times New Roman" w:cs="Times New Roman"/>
          <w:szCs w:val="20"/>
          <w:lang w:eastAsia="en-AU"/>
        </w:rPr>
        <w:t xml:space="preserve"> genes: </w:t>
      </w:r>
      <w:r w:rsidRPr="000E1BFC">
        <w:rPr>
          <w:rFonts w:ascii="Times New Roman" w:eastAsia="Times New Roman" w:hAnsi="Times New Roman" w:cs="Times New Roman"/>
          <w:i/>
          <w:szCs w:val="20"/>
          <w:lang w:eastAsia="en-AU"/>
        </w:rPr>
        <w:t>NTRK1</w:t>
      </w:r>
      <w:r w:rsidRPr="000E1BFC">
        <w:rPr>
          <w:rFonts w:ascii="Times New Roman" w:eastAsia="Times New Roman" w:hAnsi="Times New Roman" w:cs="Times New Roman"/>
          <w:szCs w:val="20"/>
          <w:lang w:eastAsia="en-AU"/>
        </w:rPr>
        <w:t xml:space="preserve">, </w:t>
      </w:r>
      <w:r w:rsidRPr="000E1BFC">
        <w:rPr>
          <w:rFonts w:ascii="Times New Roman" w:eastAsia="Times New Roman" w:hAnsi="Times New Roman" w:cs="Times New Roman"/>
          <w:i/>
          <w:szCs w:val="20"/>
          <w:lang w:eastAsia="en-AU"/>
        </w:rPr>
        <w:t>NTRK2</w:t>
      </w:r>
      <w:r w:rsidRPr="000E1BFC">
        <w:rPr>
          <w:rFonts w:ascii="Times New Roman" w:eastAsia="Times New Roman" w:hAnsi="Times New Roman" w:cs="Times New Roman"/>
          <w:szCs w:val="20"/>
          <w:lang w:eastAsia="en-AU"/>
        </w:rPr>
        <w:t xml:space="preserve"> and </w:t>
      </w:r>
      <w:r w:rsidRPr="000E1BFC">
        <w:rPr>
          <w:rFonts w:ascii="Times New Roman" w:eastAsia="Times New Roman" w:hAnsi="Times New Roman" w:cs="Times New Roman"/>
          <w:i/>
          <w:szCs w:val="20"/>
          <w:lang w:eastAsia="en-AU"/>
        </w:rPr>
        <w:t>NTRK3</w:t>
      </w:r>
      <w:r w:rsidRPr="000E1BFC">
        <w:rPr>
          <w:rFonts w:ascii="Times New Roman" w:eastAsia="Times New Roman" w:hAnsi="Times New Roman" w:cs="Times New Roman"/>
          <w:szCs w:val="20"/>
          <w:lang w:eastAsia="en-AU"/>
        </w:rPr>
        <w:t xml:space="preserve">. They instruct cells in the body to produce specific proteins, called </w:t>
      </w:r>
      <w:proofErr w:type="spellStart"/>
      <w:r w:rsidRPr="000E1BFC">
        <w:rPr>
          <w:rFonts w:ascii="Times New Roman" w:eastAsia="Times New Roman" w:hAnsi="Times New Roman" w:cs="Times New Roman"/>
          <w:szCs w:val="20"/>
          <w:lang w:eastAsia="en-AU"/>
        </w:rPr>
        <w:t>Trk</w:t>
      </w:r>
      <w:proofErr w:type="spellEnd"/>
      <w:r w:rsidRPr="000E1BFC">
        <w:rPr>
          <w:rFonts w:ascii="Times New Roman" w:eastAsia="Times New Roman" w:hAnsi="Times New Roman" w:cs="Times New Roman"/>
          <w:szCs w:val="20"/>
          <w:lang w:eastAsia="en-AU"/>
        </w:rPr>
        <w:t xml:space="preserve"> proteins. In some types of cancer,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genes can be fused with other genes in a way that causes more of the </w:t>
      </w:r>
      <w:proofErr w:type="spellStart"/>
      <w:r w:rsidRPr="000E1BFC">
        <w:rPr>
          <w:rFonts w:ascii="Times New Roman" w:eastAsia="Times New Roman" w:hAnsi="Times New Roman" w:cs="Times New Roman"/>
          <w:szCs w:val="20"/>
          <w:lang w:eastAsia="en-AU"/>
        </w:rPr>
        <w:t>Trk</w:t>
      </w:r>
      <w:proofErr w:type="spellEnd"/>
      <w:r w:rsidRPr="000E1BFC">
        <w:rPr>
          <w:rFonts w:ascii="Times New Roman" w:eastAsia="Times New Roman" w:hAnsi="Times New Roman" w:cs="Times New Roman"/>
          <w:szCs w:val="20"/>
          <w:lang w:eastAsia="en-AU"/>
        </w:rPr>
        <w:t xml:space="preserve"> proteins to be made in the cancer cells, making the cancer cells survive longer.</w:t>
      </w:r>
    </w:p>
    <w:p w14:paraId="5E334DF9" w14:textId="27375598" w:rsidR="000E1BFC" w:rsidRPr="000E1BFC" w:rsidRDefault="000E1BFC" w:rsidP="000E1BFC">
      <w:pPr>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 xml:space="preserve">Larotrectinib is a medicine that targets cancer cells that have a lot of </w:t>
      </w:r>
      <w:proofErr w:type="spellStart"/>
      <w:r w:rsidRPr="000E1BFC">
        <w:rPr>
          <w:rFonts w:ascii="Times New Roman" w:eastAsia="Times New Roman" w:hAnsi="Times New Roman" w:cs="Times New Roman"/>
          <w:szCs w:val="20"/>
          <w:lang w:eastAsia="en-AU"/>
        </w:rPr>
        <w:t>Trk</w:t>
      </w:r>
      <w:proofErr w:type="spellEnd"/>
      <w:r w:rsidRPr="000E1BFC">
        <w:rPr>
          <w:rFonts w:ascii="Times New Roman" w:eastAsia="Times New Roman" w:hAnsi="Times New Roman" w:cs="Times New Roman"/>
          <w:szCs w:val="20"/>
          <w:lang w:eastAsia="en-AU"/>
        </w:rPr>
        <w:t xml:space="preserve"> protein, and can help destroy these cells. The application stated that testing for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gene fusions can help </w:t>
      </w:r>
      <w:r w:rsidR="006C4574">
        <w:rPr>
          <w:rFonts w:ascii="Times New Roman" w:eastAsia="Times New Roman" w:hAnsi="Times New Roman" w:cs="Times New Roman"/>
          <w:szCs w:val="20"/>
          <w:lang w:eastAsia="en-AU"/>
        </w:rPr>
        <w:t xml:space="preserve">show if a </w:t>
      </w:r>
      <w:r w:rsidRPr="000E1BFC">
        <w:rPr>
          <w:rFonts w:ascii="Times New Roman" w:eastAsia="Times New Roman" w:hAnsi="Times New Roman" w:cs="Times New Roman"/>
          <w:szCs w:val="20"/>
          <w:lang w:eastAsia="en-AU"/>
        </w:rPr>
        <w:t>patient is likely to benefit from larotrectinib.</w:t>
      </w:r>
    </w:p>
    <w:p w14:paraId="71432D7C" w14:textId="77777777" w:rsidR="000E1BFC" w:rsidRPr="000E1BFC" w:rsidRDefault="000E1BFC" w:rsidP="000E1BFC">
      <w:pPr>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 xml:space="preserve">Overall,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gene fusions are rare, found in less than 1% of all solid tumours. However, these fusions are more common in certain types of rare cancer. In these “high frequency” tumours,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fusions are found in 80% or more of these tumours.</w:t>
      </w:r>
    </w:p>
    <w:p w14:paraId="3934DAB2" w14:textId="77777777" w:rsidR="000E1BFC" w:rsidRPr="000E1BFC" w:rsidRDefault="000E1BFC" w:rsidP="000E1BFC">
      <w:pPr>
        <w:keepNext/>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 xml:space="preserve">This application was for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gene fusion testing across four subgroups:</w:t>
      </w:r>
    </w:p>
    <w:p w14:paraId="632E4BA9" w14:textId="09E2F1A1" w:rsidR="00670FE7" w:rsidRDefault="00670FE7" w:rsidP="00670FE7">
      <w:pPr>
        <w:pStyle w:val="BoxBullet"/>
      </w:pPr>
      <w:r>
        <w:t xml:space="preserve">children with advanced cancers that have a high frequency of </w:t>
      </w:r>
      <w:r>
        <w:rPr>
          <w:i/>
        </w:rPr>
        <w:t>NTRK</w:t>
      </w:r>
      <w:r>
        <w:t xml:space="preserve"> gene fusions</w:t>
      </w:r>
    </w:p>
    <w:p w14:paraId="02196BF0" w14:textId="77777777" w:rsidR="00670FE7" w:rsidRDefault="00670FE7" w:rsidP="00670FE7">
      <w:pPr>
        <w:pStyle w:val="BoxBullet"/>
      </w:pPr>
      <w:r>
        <w:t xml:space="preserve">children with advanced cancers that have a low frequency of </w:t>
      </w:r>
      <w:r>
        <w:rPr>
          <w:i/>
        </w:rPr>
        <w:t>NTRK</w:t>
      </w:r>
      <w:r>
        <w:t xml:space="preserve"> gene fusions</w:t>
      </w:r>
    </w:p>
    <w:p w14:paraId="244E8BFD" w14:textId="2E47F522" w:rsidR="00670FE7" w:rsidRDefault="00670FE7" w:rsidP="00670FE7">
      <w:pPr>
        <w:pStyle w:val="BoxBullet"/>
      </w:pPr>
      <w:r>
        <w:t xml:space="preserve">adults with </w:t>
      </w:r>
      <w:r w:rsidR="00F67C5F">
        <w:t xml:space="preserve">some </w:t>
      </w:r>
      <w:r>
        <w:t xml:space="preserve">advanced cancers that have a high frequency of </w:t>
      </w:r>
      <w:r>
        <w:rPr>
          <w:i/>
        </w:rPr>
        <w:t>NTRK</w:t>
      </w:r>
      <w:r>
        <w:t xml:space="preserve"> gene fusions</w:t>
      </w:r>
    </w:p>
    <w:p w14:paraId="745D2C6C" w14:textId="4B57AFE0" w:rsidR="00670FE7" w:rsidRDefault="00670FE7" w:rsidP="00670FE7">
      <w:pPr>
        <w:pStyle w:val="BoxBullet"/>
      </w:pPr>
      <w:r>
        <w:t xml:space="preserve">adults with </w:t>
      </w:r>
      <w:r w:rsidR="00F67C5F">
        <w:t xml:space="preserve">some </w:t>
      </w:r>
      <w:r>
        <w:t xml:space="preserve">advanced cancers that have a low frequency of </w:t>
      </w:r>
      <w:r>
        <w:rPr>
          <w:i/>
        </w:rPr>
        <w:t>NTRK</w:t>
      </w:r>
      <w:r>
        <w:t xml:space="preserve"> gene fusions, but only if the result of another type of test (immunohistochemistry, or IHC) suggests that an </w:t>
      </w:r>
      <w:r>
        <w:rPr>
          <w:i/>
        </w:rPr>
        <w:t>NTRK</w:t>
      </w:r>
      <w:r>
        <w:t xml:space="preserve"> fusion is involved.</w:t>
      </w:r>
    </w:p>
    <w:p w14:paraId="1ED2FE6A" w14:textId="10DB6EBB" w:rsidR="000E1BFC" w:rsidRPr="000E1BFC" w:rsidRDefault="000E1BFC" w:rsidP="00670FE7">
      <w:pPr>
        <w:pBdr>
          <w:top w:val="single" w:sz="4" w:space="4" w:color="000000"/>
          <w:left w:val="single" w:sz="4" w:space="4" w:color="000000"/>
          <w:bottom w:val="single" w:sz="4" w:space="4" w:color="000000"/>
          <w:right w:val="single" w:sz="4" w:space="4" w:color="000000"/>
        </w:pBdr>
        <w:tabs>
          <w:tab w:val="num" w:pos="0"/>
        </w:tabs>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 xml:space="preserve">MSAC considered that genetic testing of cancers in children is more commonly performed than in adults. Children usually get a panel of genetic tests to characterise their cancer as soon as possible, to reduce the delay in finding the most appropriate treatment. It is also best to avoid radiation and untargeted chemotherapy in children, as these can have long-term effects. This means it would be preferable for the doctor treating a child with an advanced cancer to know </w:t>
      </w:r>
      <w:r w:rsidR="006C4574">
        <w:rPr>
          <w:rFonts w:ascii="Times New Roman" w:eastAsia="Times New Roman" w:hAnsi="Times New Roman" w:cs="Times New Roman"/>
          <w:szCs w:val="20"/>
          <w:lang w:eastAsia="en-AU"/>
        </w:rPr>
        <w:t>whether</w:t>
      </w:r>
      <w:r w:rsidRPr="000E1BFC">
        <w:rPr>
          <w:rFonts w:ascii="Times New Roman" w:eastAsia="Times New Roman" w:hAnsi="Times New Roman" w:cs="Times New Roman"/>
          <w:szCs w:val="20"/>
          <w:lang w:eastAsia="en-AU"/>
        </w:rPr>
        <w:t xml:space="preserve"> the tumour has an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fusion to inform a decision about starting larotrectinib.</w:t>
      </w:r>
    </w:p>
    <w:p w14:paraId="1F76E9FF" w14:textId="18BA0A04" w:rsidR="000E1BFC" w:rsidRPr="000E1BFC" w:rsidRDefault="000E1BFC" w:rsidP="000E1BFC">
      <w:pPr>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 xml:space="preserve">For adults, MSAC advised that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testing would likely most benefit those with cancers that have a high frequency of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fusions.</w:t>
      </w:r>
    </w:p>
    <w:p w14:paraId="2FFBAC09" w14:textId="77777777" w:rsidR="000E1BFC" w:rsidRPr="000E1BFC" w:rsidRDefault="000E1BFC" w:rsidP="000E1BFC">
      <w:pPr>
        <w:pBdr>
          <w:top w:val="single" w:sz="4" w:space="4" w:color="000000"/>
          <w:left w:val="single" w:sz="4" w:space="4" w:color="000000"/>
          <w:bottom w:val="single" w:sz="4" w:space="4" w:color="000000"/>
          <w:right w:val="single" w:sz="4" w:space="4" w:color="000000"/>
        </w:pBdr>
        <w:spacing w:before="0" w:after="120"/>
        <w:jc w:val="left"/>
        <w:rPr>
          <w:rFonts w:ascii="Arial" w:eastAsia="Times New Roman" w:hAnsi="Arial" w:cs="Arial"/>
          <w:b/>
          <w:bCs/>
          <w:szCs w:val="20"/>
          <w:lang w:eastAsia="en-AU"/>
        </w:rPr>
      </w:pPr>
      <w:r w:rsidRPr="000E1BFC">
        <w:rPr>
          <w:rFonts w:ascii="Arial" w:eastAsia="Times New Roman" w:hAnsi="Arial" w:cs="Arial"/>
          <w:b/>
          <w:bCs/>
          <w:szCs w:val="20"/>
          <w:lang w:eastAsia="en-AU"/>
        </w:rPr>
        <w:t>MSAC’s advice to the Commonwealth Minister for Health</w:t>
      </w:r>
    </w:p>
    <w:p w14:paraId="1AE314F9" w14:textId="68C5792C" w:rsidR="00837F24" w:rsidRPr="00F67C5F" w:rsidRDefault="000E1BFC" w:rsidP="00F67C5F">
      <w:pPr>
        <w:pBdr>
          <w:top w:val="single" w:sz="4" w:space="4" w:color="000000"/>
          <w:left w:val="single" w:sz="4" w:space="4" w:color="000000"/>
          <w:bottom w:val="single" w:sz="4" w:space="4" w:color="000000"/>
          <w:right w:val="single" w:sz="4" w:space="4" w:color="000000"/>
        </w:pBdr>
        <w:spacing w:before="0" w:after="120"/>
        <w:jc w:val="left"/>
        <w:rPr>
          <w:rFonts w:ascii="Times New Roman" w:eastAsia="Times New Roman" w:hAnsi="Times New Roman" w:cs="Times New Roman"/>
          <w:szCs w:val="20"/>
          <w:lang w:eastAsia="en-AU"/>
        </w:rPr>
      </w:pPr>
      <w:r w:rsidRPr="000E1BFC">
        <w:rPr>
          <w:rFonts w:ascii="Times New Roman" w:eastAsia="Times New Roman" w:hAnsi="Times New Roman" w:cs="Times New Roman"/>
          <w:szCs w:val="20"/>
          <w:lang w:eastAsia="en-AU"/>
        </w:rPr>
        <w:t xml:space="preserve">MSAC supported testing for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gene fusion status in all children with locally advanced or metastatic solid tumours, and in adults with</w:t>
      </w:r>
      <w:r w:rsidR="00F67C5F">
        <w:rPr>
          <w:rFonts w:ascii="Times New Roman" w:eastAsia="Times New Roman" w:hAnsi="Times New Roman" w:cs="Times New Roman"/>
          <w:szCs w:val="20"/>
          <w:lang w:eastAsia="en-AU"/>
        </w:rPr>
        <w:t xml:space="preserve"> some</w:t>
      </w:r>
      <w:r w:rsidRPr="000E1BFC">
        <w:rPr>
          <w:rFonts w:ascii="Times New Roman" w:eastAsia="Times New Roman" w:hAnsi="Times New Roman" w:cs="Times New Roman"/>
          <w:szCs w:val="20"/>
          <w:lang w:eastAsia="en-AU"/>
        </w:rPr>
        <w:t xml:space="preserve"> locally advanced or metastatic solid tumours that have a high frequency of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fusion, to help determine eligibility for larotrectinib. MSAC determined that this testing is safe, effective and cost-effective. MSAC did not support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gene fusion testing for adults with tumours that have a low frequency of </w:t>
      </w:r>
      <w:r w:rsidRPr="000E1BFC">
        <w:rPr>
          <w:rFonts w:ascii="Times New Roman" w:eastAsia="Times New Roman" w:hAnsi="Times New Roman" w:cs="Times New Roman"/>
          <w:i/>
          <w:szCs w:val="20"/>
          <w:lang w:eastAsia="en-AU"/>
        </w:rPr>
        <w:t>NTRK</w:t>
      </w:r>
      <w:r w:rsidRPr="000E1BFC">
        <w:rPr>
          <w:rFonts w:ascii="Times New Roman" w:eastAsia="Times New Roman" w:hAnsi="Times New Roman" w:cs="Times New Roman"/>
          <w:szCs w:val="20"/>
          <w:lang w:eastAsia="en-AU"/>
        </w:rPr>
        <w:t xml:space="preserve"> fusions, because it was not likely to provide value for money.</w:t>
      </w:r>
    </w:p>
    <w:p w14:paraId="14A85233" w14:textId="77D49556" w:rsidR="00837F24" w:rsidRPr="00837F24" w:rsidRDefault="00837F24" w:rsidP="00864249">
      <w:pPr>
        <w:pStyle w:val="Heading1"/>
        <w:numPr>
          <w:ilvl w:val="0"/>
          <w:numId w:val="3"/>
        </w:numPr>
        <w:spacing w:before="240" w:after="240" w:line="240" w:lineRule="auto"/>
        <w:ind w:left="720" w:hanging="720"/>
        <w:rPr>
          <w:rFonts w:ascii="Arial" w:hAnsi="Arial" w:cs="Arial"/>
          <w:bCs/>
          <w:lang w:eastAsia="en-AU"/>
        </w:rPr>
      </w:pPr>
      <w:r w:rsidRPr="00837F24">
        <w:rPr>
          <w:rFonts w:ascii="Arial" w:hAnsi="Arial" w:cs="Arial"/>
          <w:bCs/>
          <w:lang w:eastAsia="en-AU"/>
        </w:rPr>
        <w:lastRenderedPageBreak/>
        <w:t>Summary of consideration and rationale for MSAC’s advice</w:t>
      </w:r>
    </w:p>
    <w:bookmarkEnd w:id="2"/>
    <w:p w14:paraId="4C337BDC" w14:textId="6A38F307" w:rsidR="000E1BFC" w:rsidRPr="000E1BFC" w:rsidRDefault="000E1BFC" w:rsidP="000E1BFC">
      <w:p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MSAC noted the purpose of this </w:t>
      </w:r>
      <w:r w:rsidR="006C4574">
        <w:rPr>
          <w:rFonts w:ascii="Times New Roman" w:eastAsia="Times New Roman" w:hAnsi="Times New Roman" w:cs="Times New Roman"/>
          <w:color w:val="000000"/>
          <w:szCs w:val="20"/>
          <w:lang w:eastAsia="en-AU"/>
        </w:rPr>
        <w:t xml:space="preserve">integrated </w:t>
      </w:r>
      <w:proofErr w:type="spellStart"/>
      <w:r w:rsidRPr="000E1BFC">
        <w:rPr>
          <w:rFonts w:ascii="Times New Roman" w:eastAsia="Times New Roman" w:hAnsi="Times New Roman" w:cs="Times New Roman"/>
          <w:color w:val="000000"/>
          <w:szCs w:val="20"/>
          <w:lang w:eastAsia="en-AU"/>
        </w:rPr>
        <w:t>codependent</w:t>
      </w:r>
      <w:proofErr w:type="spellEnd"/>
      <w:r w:rsidRPr="000E1BFC">
        <w:rPr>
          <w:rFonts w:ascii="Times New Roman" w:eastAsia="Times New Roman" w:hAnsi="Times New Roman" w:cs="Times New Roman"/>
          <w:color w:val="000000"/>
          <w:szCs w:val="20"/>
          <w:lang w:eastAsia="en-AU"/>
        </w:rPr>
        <w:t xml:space="preserve"> submission was to request MBS listing of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 testing to determine eligibility for treatment with larotrectinib in patients with locally advanced or metastatic solid tumours; and to request PBS listing of larotrectinib for the treatment of the same conditions.</w:t>
      </w:r>
    </w:p>
    <w:p w14:paraId="6E2379DD" w14:textId="77777777" w:rsidR="000E1BFC" w:rsidRPr="000E1BFC" w:rsidRDefault="000E1BFC" w:rsidP="000E1BFC">
      <w:pPr>
        <w:keepNext/>
        <w:spacing w:before="0" w:after="12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MSAC noted the proposed populations in the application:</w:t>
      </w:r>
    </w:p>
    <w:p w14:paraId="62071668" w14:textId="6CB94B1C" w:rsidR="000E1BFC" w:rsidRPr="000E1BFC" w:rsidRDefault="000E1BFC" w:rsidP="00864249">
      <w:pPr>
        <w:numPr>
          <w:ilvl w:val="0"/>
          <w:numId w:val="36"/>
        </w:num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paediatric patients with locally advanced or metastatic solid tumours with </w:t>
      </w:r>
      <w:r w:rsidR="00E96390">
        <w:rPr>
          <w:rFonts w:ascii="Times New Roman" w:eastAsia="Times New Roman" w:hAnsi="Times New Roman" w:cs="Times New Roman"/>
          <w:color w:val="000000"/>
          <w:szCs w:val="20"/>
          <w:lang w:eastAsia="en-AU"/>
        </w:rPr>
        <w:t xml:space="preserve">a </w:t>
      </w:r>
      <w:r w:rsidRPr="000E1BFC">
        <w:rPr>
          <w:rFonts w:ascii="Times New Roman" w:eastAsia="Times New Roman" w:hAnsi="Times New Roman" w:cs="Times New Roman"/>
          <w:color w:val="000000"/>
          <w:szCs w:val="20"/>
          <w:lang w:eastAsia="en-AU"/>
        </w:rPr>
        <w:t>high</w:t>
      </w:r>
      <w:r w:rsidR="00E96390">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 xml:space="preserve">frequency of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fusions (first-line testing)</w:t>
      </w:r>
    </w:p>
    <w:p w14:paraId="44F38F30" w14:textId="4D10A20B" w:rsidR="000E1BFC" w:rsidRPr="000E1BFC" w:rsidRDefault="000E1BFC" w:rsidP="00864249">
      <w:pPr>
        <w:numPr>
          <w:ilvl w:val="0"/>
          <w:numId w:val="36"/>
        </w:num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adult patients with locally advanced or metastatic solid tumours with </w:t>
      </w:r>
      <w:r w:rsidR="00E96390">
        <w:rPr>
          <w:rFonts w:ascii="Times New Roman" w:eastAsia="Times New Roman" w:hAnsi="Times New Roman" w:cs="Times New Roman"/>
          <w:color w:val="000000"/>
          <w:szCs w:val="20"/>
          <w:lang w:eastAsia="en-AU"/>
        </w:rPr>
        <w:t xml:space="preserve">a </w:t>
      </w:r>
      <w:r w:rsidRPr="000E1BFC">
        <w:rPr>
          <w:rFonts w:ascii="Times New Roman" w:eastAsia="Times New Roman" w:hAnsi="Times New Roman" w:cs="Times New Roman"/>
          <w:color w:val="000000"/>
          <w:szCs w:val="20"/>
          <w:lang w:eastAsia="en-AU"/>
        </w:rPr>
        <w:t>high</w:t>
      </w:r>
      <w:r w:rsidR="00E96390">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 xml:space="preserve">frequency of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fusions (first-line testing)</w:t>
      </w:r>
    </w:p>
    <w:p w14:paraId="4EC9047F" w14:textId="54960D8D" w:rsidR="000E1BFC" w:rsidRPr="000E1BFC" w:rsidRDefault="000E1BFC" w:rsidP="00864249">
      <w:pPr>
        <w:numPr>
          <w:ilvl w:val="0"/>
          <w:numId w:val="36"/>
        </w:num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paediatric patients with locally advanced or metastatic solid tumours with </w:t>
      </w:r>
      <w:r w:rsidR="00E96390">
        <w:rPr>
          <w:rFonts w:ascii="Times New Roman" w:eastAsia="Times New Roman" w:hAnsi="Times New Roman" w:cs="Times New Roman"/>
          <w:color w:val="000000"/>
          <w:szCs w:val="20"/>
          <w:lang w:eastAsia="en-AU"/>
        </w:rPr>
        <w:t xml:space="preserve">a </w:t>
      </w:r>
      <w:r w:rsidRPr="000E1BFC">
        <w:rPr>
          <w:rFonts w:ascii="Times New Roman" w:eastAsia="Times New Roman" w:hAnsi="Times New Roman" w:cs="Times New Roman"/>
          <w:color w:val="000000"/>
          <w:szCs w:val="20"/>
          <w:lang w:eastAsia="en-AU"/>
        </w:rPr>
        <w:t>low</w:t>
      </w:r>
      <w:r w:rsidR="00E96390">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frequency</w:t>
      </w:r>
      <w:r w:rsidR="006C4574">
        <w:rPr>
          <w:rFonts w:ascii="Times New Roman" w:eastAsia="Times New Roman" w:hAnsi="Times New Roman" w:cs="Times New Roman"/>
          <w:color w:val="000000"/>
          <w:szCs w:val="20"/>
          <w:lang w:eastAsia="en-AU"/>
        </w:rPr>
        <w:t xml:space="preserve"> of</w:t>
      </w:r>
      <w:r w:rsidRPr="000E1BFC">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fusions (first-line testing)</w:t>
      </w:r>
    </w:p>
    <w:p w14:paraId="10BE50BC" w14:textId="77646BBF" w:rsidR="000E1BFC" w:rsidRPr="000E1BFC" w:rsidRDefault="000E1BFC" w:rsidP="00864249">
      <w:pPr>
        <w:numPr>
          <w:ilvl w:val="0"/>
          <w:numId w:val="36"/>
        </w:num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adult patients with locally advanced or metastatic solid tumours with </w:t>
      </w:r>
      <w:r w:rsidR="00E96390">
        <w:rPr>
          <w:rFonts w:ascii="Times New Roman" w:eastAsia="Times New Roman" w:hAnsi="Times New Roman" w:cs="Times New Roman"/>
          <w:color w:val="000000"/>
          <w:szCs w:val="20"/>
          <w:lang w:eastAsia="en-AU"/>
        </w:rPr>
        <w:t xml:space="preserve">a </w:t>
      </w:r>
      <w:r w:rsidRPr="000E1BFC">
        <w:rPr>
          <w:rFonts w:ascii="Times New Roman" w:eastAsia="Times New Roman" w:hAnsi="Times New Roman" w:cs="Times New Roman"/>
          <w:color w:val="000000"/>
          <w:szCs w:val="20"/>
          <w:lang w:eastAsia="en-AU"/>
        </w:rPr>
        <w:t>low</w:t>
      </w:r>
      <w:r w:rsidR="00E96390">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 xml:space="preserve">frequency </w:t>
      </w:r>
      <w:r w:rsidR="006C4574">
        <w:rPr>
          <w:rFonts w:ascii="Times New Roman" w:eastAsia="Times New Roman" w:hAnsi="Times New Roman" w:cs="Times New Roman"/>
          <w:color w:val="000000"/>
          <w:szCs w:val="20"/>
          <w:lang w:eastAsia="en-AU"/>
        </w:rPr>
        <w:t xml:space="preserve">of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fusions, who have relapsed/refractory disease and after prior immunohistochemistry [IHC] testing returns a positive result.</w:t>
      </w:r>
    </w:p>
    <w:p w14:paraId="702BF28B" w14:textId="2F2A9207" w:rsidR="000E1BFC" w:rsidRPr="000E1BFC" w:rsidRDefault="000E1BFC" w:rsidP="000E1BFC">
      <w:p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MSAC noted that, for the original submission in November 2020, the PBAC had deferred its decision regarding larotrectinib, and MSAC did not support listing the test because of this deferral. MSAC </w:t>
      </w:r>
      <w:r w:rsidR="00A92B29">
        <w:rPr>
          <w:rFonts w:ascii="Times New Roman" w:eastAsia="Times New Roman" w:hAnsi="Times New Roman" w:cs="Times New Roman"/>
          <w:color w:val="000000"/>
          <w:szCs w:val="20"/>
          <w:lang w:eastAsia="en-AU"/>
        </w:rPr>
        <w:t xml:space="preserve">instead </w:t>
      </w:r>
      <w:r w:rsidRPr="000E1BFC">
        <w:rPr>
          <w:rFonts w:ascii="Times New Roman" w:eastAsia="Times New Roman" w:hAnsi="Times New Roman" w:cs="Times New Roman"/>
          <w:color w:val="000000"/>
          <w:szCs w:val="20"/>
          <w:lang w:eastAsia="en-AU"/>
        </w:rPr>
        <w:t xml:space="preserve">foreshadowed that it would expedite a reconsideration of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 testing in paediatric patients if the PBAC recommends larotrectinib for this population, but advised there are additional issues requiring reconsideration for adult patients (</w:t>
      </w:r>
      <w:hyperlink r:id="rId10" w:history="1">
        <w:r w:rsidRPr="000E1BFC">
          <w:rPr>
            <w:rFonts w:ascii="Times New Roman" w:eastAsia="Times New Roman" w:hAnsi="Times New Roman" w:cs="Times New Roman"/>
            <w:color w:val="0000FF"/>
            <w:szCs w:val="20"/>
            <w:u w:val="single"/>
            <w:lang w:eastAsia="en-AU"/>
          </w:rPr>
          <w:t>Application 1602 Public Summary Document</w:t>
        </w:r>
      </w:hyperlink>
      <w:r w:rsidRPr="000E1BFC">
        <w:rPr>
          <w:rFonts w:ascii="Times New Roman" w:eastAsia="Times New Roman" w:hAnsi="Times New Roman" w:cs="Times New Roman"/>
          <w:color w:val="000000"/>
          <w:szCs w:val="20"/>
          <w:lang w:eastAsia="en-AU"/>
        </w:rPr>
        <w:t>, page 1).</w:t>
      </w:r>
    </w:p>
    <w:p w14:paraId="6104ABD1" w14:textId="4508018F" w:rsidR="000E1BFC" w:rsidRPr="000E1BFC" w:rsidRDefault="00A5188E" w:rsidP="000E1BFC">
      <w:pPr>
        <w:spacing w:before="0" w:after="240"/>
        <w:jc w:val="left"/>
        <w:rPr>
          <w:rFonts w:ascii="Times New Roman" w:eastAsia="Times New Roman" w:hAnsi="Times New Roman" w:cs="Times New Roman"/>
          <w:color w:val="000000"/>
          <w:szCs w:val="20"/>
          <w:lang w:val="en-GB" w:eastAsia="en-AU"/>
        </w:rPr>
      </w:pPr>
      <w:r w:rsidRPr="00A5188E">
        <w:rPr>
          <w:rFonts w:ascii="Times New Roman" w:eastAsia="Times New Roman" w:hAnsi="Times New Roman" w:cs="Times New Roman"/>
          <w:color w:val="000000"/>
          <w:szCs w:val="20"/>
          <w:lang w:val="en-GB" w:eastAsia="en-AU"/>
        </w:rPr>
        <w:t>MSAC noted the application was considered at a joint meeting of the Economics Sub-Committee of the PBAC</w:t>
      </w:r>
      <w:r>
        <w:rPr>
          <w:rFonts w:ascii="Times New Roman" w:eastAsia="Times New Roman" w:hAnsi="Times New Roman" w:cs="Times New Roman"/>
          <w:color w:val="000000"/>
          <w:szCs w:val="20"/>
          <w:lang w:val="en-GB" w:eastAsia="en-AU"/>
        </w:rPr>
        <w:t xml:space="preserve"> </w:t>
      </w:r>
      <w:r w:rsidRPr="00A5188E">
        <w:rPr>
          <w:rFonts w:ascii="Times New Roman" w:eastAsia="Times New Roman" w:hAnsi="Times New Roman" w:cs="Times New Roman"/>
          <w:color w:val="000000"/>
          <w:szCs w:val="20"/>
          <w:lang w:val="en-GB" w:eastAsia="en-AU"/>
        </w:rPr>
        <w:t>and the Evaluation Sub-Committee of MSAC (the ESCs) in October</w:t>
      </w:r>
      <w:r w:rsidR="00870E5B">
        <w:rPr>
          <w:rFonts w:ascii="Times New Roman" w:eastAsia="Times New Roman" w:hAnsi="Times New Roman" w:cs="Times New Roman"/>
          <w:color w:val="000000"/>
          <w:szCs w:val="20"/>
          <w:lang w:val="en-GB" w:eastAsia="en-AU"/>
        </w:rPr>
        <w:t> </w:t>
      </w:r>
      <w:r w:rsidRPr="00A5188E">
        <w:rPr>
          <w:rFonts w:ascii="Times New Roman" w:eastAsia="Times New Roman" w:hAnsi="Times New Roman" w:cs="Times New Roman"/>
          <w:color w:val="000000"/>
          <w:szCs w:val="20"/>
          <w:lang w:val="en-GB" w:eastAsia="en-AU"/>
        </w:rPr>
        <w:t>202</w:t>
      </w:r>
      <w:r>
        <w:rPr>
          <w:rFonts w:ascii="Times New Roman" w:eastAsia="Times New Roman" w:hAnsi="Times New Roman" w:cs="Times New Roman"/>
          <w:color w:val="000000"/>
          <w:szCs w:val="20"/>
          <w:lang w:val="en-GB" w:eastAsia="en-AU"/>
        </w:rPr>
        <w:t>1</w:t>
      </w:r>
      <w:r w:rsidRPr="00A5188E">
        <w:rPr>
          <w:rFonts w:ascii="Times New Roman" w:eastAsia="Times New Roman" w:hAnsi="Times New Roman" w:cs="Times New Roman"/>
          <w:color w:val="000000"/>
          <w:szCs w:val="20"/>
          <w:lang w:val="en-GB" w:eastAsia="en-AU"/>
        </w:rPr>
        <w:t xml:space="preserve">. </w:t>
      </w:r>
      <w:r w:rsidR="000E1BFC" w:rsidRPr="000E1BFC">
        <w:rPr>
          <w:rFonts w:ascii="Times New Roman" w:eastAsia="Times New Roman" w:hAnsi="Times New Roman" w:cs="Times New Roman"/>
          <w:color w:val="000000"/>
          <w:szCs w:val="20"/>
          <w:lang w:val="en-GB" w:eastAsia="en-AU"/>
        </w:rPr>
        <w:t xml:space="preserve">MSAC noted that the PBAC, at its November 2021 meeting, was of a mind to recommend listing larotrectinib for paediatric patients and adult patients with tumours harbouring </w:t>
      </w:r>
      <w:r w:rsidR="000E1BFC" w:rsidRPr="000E1BFC">
        <w:rPr>
          <w:rFonts w:ascii="Times New Roman" w:eastAsia="Times New Roman" w:hAnsi="Times New Roman" w:cs="Times New Roman"/>
          <w:i/>
          <w:iCs/>
          <w:color w:val="000000"/>
          <w:szCs w:val="20"/>
          <w:lang w:val="en-GB" w:eastAsia="en-AU"/>
        </w:rPr>
        <w:t>NTRK</w:t>
      </w:r>
      <w:r w:rsidR="000E1BFC" w:rsidRPr="000E1BFC">
        <w:rPr>
          <w:rFonts w:ascii="Times New Roman" w:eastAsia="Times New Roman" w:hAnsi="Times New Roman" w:cs="Times New Roman"/>
          <w:color w:val="000000"/>
          <w:szCs w:val="20"/>
          <w:lang w:val="en-GB" w:eastAsia="en-AU"/>
        </w:rPr>
        <w:t xml:space="preserve"> fusions at high frequency on the basis that the incremental cost-effectiveness ratio (ICER) in these populations was acceptable at the proposed price, pending MSAC advice on the funding of the </w:t>
      </w:r>
      <w:proofErr w:type="spellStart"/>
      <w:r w:rsidR="000E1BFC" w:rsidRPr="000E1BFC">
        <w:rPr>
          <w:rFonts w:ascii="Times New Roman" w:eastAsia="Times New Roman" w:hAnsi="Times New Roman" w:cs="Times New Roman"/>
          <w:color w:val="000000"/>
          <w:szCs w:val="20"/>
          <w:lang w:val="en-GB" w:eastAsia="en-AU"/>
        </w:rPr>
        <w:t>codependent</w:t>
      </w:r>
      <w:proofErr w:type="spellEnd"/>
      <w:r w:rsidR="000E1BFC" w:rsidRPr="000E1BFC">
        <w:rPr>
          <w:rFonts w:ascii="Times New Roman" w:eastAsia="Times New Roman" w:hAnsi="Times New Roman" w:cs="Times New Roman"/>
          <w:color w:val="000000"/>
          <w:szCs w:val="20"/>
          <w:lang w:val="en-GB" w:eastAsia="en-AU"/>
        </w:rPr>
        <w:t xml:space="preserve"> </w:t>
      </w:r>
      <w:r w:rsidR="000E1BFC" w:rsidRPr="000E1BFC">
        <w:rPr>
          <w:rFonts w:ascii="Times New Roman" w:eastAsia="Times New Roman" w:hAnsi="Times New Roman" w:cs="Times New Roman"/>
          <w:i/>
          <w:iCs/>
          <w:color w:val="000000"/>
          <w:szCs w:val="20"/>
          <w:lang w:val="en-GB" w:eastAsia="en-AU"/>
        </w:rPr>
        <w:t>NTRK</w:t>
      </w:r>
      <w:r w:rsidR="000E1BFC" w:rsidRPr="000E1BFC">
        <w:rPr>
          <w:rFonts w:ascii="Times New Roman" w:eastAsia="Times New Roman" w:hAnsi="Times New Roman" w:cs="Times New Roman"/>
          <w:color w:val="000000"/>
          <w:szCs w:val="20"/>
          <w:lang w:val="en-GB" w:eastAsia="en-AU"/>
        </w:rPr>
        <w:t xml:space="preserve"> testing. The PBAC also considered there was a high clinical need for effective treatments for patients with </w:t>
      </w:r>
      <w:r w:rsidR="000E1BFC" w:rsidRPr="000E1BFC">
        <w:rPr>
          <w:rFonts w:ascii="Times New Roman" w:eastAsia="Times New Roman" w:hAnsi="Times New Roman" w:cs="Times New Roman"/>
          <w:i/>
          <w:iCs/>
          <w:color w:val="000000"/>
          <w:szCs w:val="20"/>
          <w:lang w:val="en-GB" w:eastAsia="en-AU"/>
        </w:rPr>
        <w:t>NTRK</w:t>
      </w:r>
      <w:r w:rsidR="000E1BFC" w:rsidRPr="000E1BFC">
        <w:rPr>
          <w:rFonts w:ascii="Times New Roman" w:eastAsia="Times New Roman" w:hAnsi="Times New Roman" w:cs="Times New Roman"/>
          <w:color w:val="000000"/>
          <w:szCs w:val="20"/>
          <w:lang w:val="en-GB" w:eastAsia="en-AU"/>
        </w:rPr>
        <w:t xml:space="preserve"> fusion tumours in these populations. The PBAC did not recommend listing larotrectinib for adult patients with any type of tumour harbouring </w:t>
      </w:r>
      <w:r w:rsidR="000E1BFC" w:rsidRPr="000E1BFC">
        <w:rPr>
          <w:rFonts w:ascii="Times New Roman" w:eastAsia="Times New Roman" w:hAnsi="Times New Roman" w:cs="Times New Roman"/>
          <w:i/>
          <w:iCs/>
          <w:color w:val="000000"/>
          <w:szCs w:val="20"/>
          <w:lang w:val="en-GB" w:eastAsia="en-AU"/>
        </w:rPr>
        <w:t>NTRK</w:t>
      </w:r>
      <w:r w:rsidR="000E1BFC" w:rsidRPr="000E1BFC">
        <w:rPr>
          <w:rFonts w:ascii="Times New Roman" w:eastAsia="Times New Roman" w:hAnsi="Times New Roman" w:cs="Times New Roman"/>
          <w:color w:val="000000"/>
          <w:szCs w:val="20"/>
          <w:lang w:val="en-GB" w:eastAsia="en-AU"/>
        </w:rPr>
        <w:t xml:space="preserve"> fusions at low frequency because the ICER for this population remained unacceptably high and uncertain. Further, the PBAC was uncertain of the clinical need within this patient population.</w:t>
      </w:r>
    </w:p>
    <w:p w14:paraId="110C2C62" w14:textId="26FCCC20" w:rsidR="00D75FA9" w:rsidRPr="000E1BFC" w:rsidRDefault="00D75FA9" w:rsidP="00D75FA9">
      <w:p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MSAC noted the proposed clinical management algorithm</w:t>
      </w:r>
      <w:r>
        <w:rPr>
          <w:rFonts w:ascii="Times New Roman" w:eastAsia="Times New Roman" w:hAnsi="Times New Roman" w:cs="Times New Roman"/>
          <w:color w:val="000000"/>
          <w:szCs w:val="20"/>
          <w:lang w:eastAsia="en-AU"/>
        </w:rPr>
        <w:t xml:space="preserve"> </w:t>
      </w:r>
      <w:r w:rsidR="00660D1B">
        <w:rPr>
          <w:rFonts w:ascii="Times New Roman" w:eastAsia="Times New Roman" w:hAnsi="Times New Roman" w:cs="Times New Roman"/>
          <w:color w:val="000000"/>
          <w:szCs w:val="20"/>
          <w:lang w:eastAsia="en-AU"/>
        </w:rPr>
        <w:t xml:space="preserve">in </w:t>
      </w:r>
      <w:r>
        <w:rPr>
          <w:rFonts w:ascii="Times New Roman" w:eastAsia="Times New Roman" w:hAnsi="Times New Roman" w:cs="Times New Roman"/>
          <w:color w:val="000000"/>
          <w:szCs w:val="20"/>
          <w:lang w:eastAsia="en-AU"/>
        </w:rPr>
        <w:t xml:space="preserve">which </w:t>
      </w:r>
      <w:r w:rsidRPr="00D75FA9">
        <w:rPr>
          <w:rFonts w:ascii="Times New Roman" w:eastAsia="Times New Roman" w:hAnsi="Times New Roman" w:cs="Times New Roman"/>
          <w:color w:val="000000"/>
          <w:szCs w:val="20"/>
          <w:lang w:eastAsia="en-AU"/>
        </w:rPr>
        <w:t>all paediatric</w:t>
      </w:r>
      <w:r>
        <w:rPr>
          <w:rFonts w:ascii="Times New Roman" w:eastAsia="Times New Roman" w:hAnsi="Times New Roman" w:cs="Times New Roman"/>
          <w:color w:val="000000"/>
          <w:szCs w:val="20"/>
          <w:lang w:eastAsia="en-AU"/>
        </w:rPr>
        <w:t xml:space="preserve"> </w:t>
      </w:r>
      <w:r w:rsidRPr="00D75FA9">
        <w:rPr>
          <w:rFonts w:ascii="Times New Roman" w:eastAsia="Times New Roman" w:hAnsi="Times New Roman" w:cs="Times New Roman"/>
          <w:color w:val="000000"/>
          <w:szCs w:val="20"/>
          <w:lang w:eastAsia="en-AU"/>
        </w:rPr>
        <w:t>and adult</w:t>
      </w:r>
      <w:r>
        <w:rPr>
          <w:rFonts w:ascii="Times New Roman" w:eastAsia="Times New Roman" w:hAnsi="Times New Roman" w:cs="Times New Roman"/>
          <w:color w:val="000000"/>
          <w:szCs w:val="20"/>
          <w:lang w:eastAsia="en-AU"/>
        </w:rPr>
        <w:t xml:space="preserve"> patients</w:t>
      </w:r>
      <w:r w:rsidR="00442F5B">
        <w:rPr>
          <w:rFonts w:ascii="Times New Roman" w:eastAsia="Times New Roman" w:hAnsi="Times New Roman" w:cs="Times New Roman"/>
          <w:color w:val="000000"/>
          <w:szCs w:val="20"/>
          <w:lang w:eastAsia="en-AU"/>
        </w:rPr>
        <w:t xml:space="preserve"> with</w:t>
      </w:r>
      <w:r w:rsidRPr="00D75FA9">
        <w:rPr>
          <w:rFonts w:ascii="Times New Roman" w:eastAsia="Times New Roman" w:hAnsi="Times New Roman" w:cs="Times New Roman"/>
          <w:color w:val="000000"/>
          <w:szCs w:val="20"/>
          <w:lang w:eastAsia="en-AU"/>
        </w:rPr>
        <w:t xml:space="preserve"> high frequency </w:t>
      </w:r>
      <w:r w:rsidR="00024D48" w:rsidRPr="00660D1B">
        <w:rPr>
          <w:rFonts w:ascii="Times New Roman" w:eastAsia="Times New Roman" w:hAnsi="Times New Roman" w:cs="Times New Roman"/>
          <w:i/>
          <w:iCs/>
          <w:color w:val="000000"/>
          <w:szCs w:val="20"/>
          <w:lang w:eastAsia="en-AU"/>
        </w:rPr>
        <w:t>NTRK</w:t>
      </w:r>
      <w:r w:rsidR="00024D48" w:rsidRPr="00D75FA9">
        <w:rPr>
          <w:rFonts w:ascii="Times New Roman" w:eastAsia="Times New Roman" w:hAnsi="Times New Roman" w:cs="Times New Roman"/>
          <w:color w:val="000000"/>
          <w:szCs w:val="20"/>
          <w:lang w:eastAsia="en-AU"/>
        </w:rPr>
        <w:t xml:space="preserve"> </w:t>
      </w:r>
      <w:r w:rsidR="00024D48">
        <w:rPr>
          <w:rFonts w:ascii="Times New Roman" w:eastAsia="Times New Roman" w:hAnsi="Times New Roman" w:cs="Times New Roman"/>
          <w:color w:val="000000"/>
          <w:szCs w:val="20"/>
          <w:lang w:eastAsia="en-AU"/>
        </w:rPr>
        <w:t xml:space="preserve">fusion </w:t>
      </w:r>
      <w:r w:rsidRPr="00D75FA9">
        <w:rPr>
          <w:rFonts w:ascii="Times New Roman" w:eastAsia="Times New Roman" w:hAnsi="Times New Roman" w:cs="Times New Roman"/>
          <w:color w:val="000000"/>
          <w:szCs w:val="20"/>
          <w:lang w:eastAsia="en-AU"/>
        </w:rPr>
        <w:t>tumour</w:t>
      </w:r>
      <w:r w:rsidR="006A6F7D">
        <w:rPr>
          <w:rFonts w:ascii="Times New Roman" w:eastAsia="Times New Roman" w:hAnsi="Times New Roman" w:cs="Times New Roman"/>
          <w:color w:val="000000"/>
          <w:szCs w:val="20"/>
          <w:lang w:eastAsia="en-AU"/>
        </w:rPr>
        <w:t xml:space="preserve"> type</w:t>
      </w:r>
      <w:r w:rsidRPr="00D75FA9">
        <w:rPr>
          <w:rFonts w:ascii="Times New Roman" w:eastAsia="Times New Roman" w:hAnsi="Times New Roman" w:cs="Times New Roman"/>
          <w:color w:val="000000"/>
          <w:szCs w:val="20"/>
          <w:lang w:eastAsia="en-AU"/>
        </w:rPr>
        <w:t xml:space="preserve">s </w:t>
      </w:r>
      <w:r w:rsidR="00442F5B">
        <w:rPr>
          <w:rFonts w:ascii="Times New Roman" w:eastAsia="Times New Roman" w:hAnsi="Times New Roman" w:cs="Times New Roman"/>
          <w:color w:val="000000"/>
          <w:szCs w:val="20"/>
          <w:lang w:eastAsia="en-AU"/>
        </w:rPr>
        <w:t>are tested directly with</w:t>
      </w:r>
      <w:r w:rsidRPr="00D75FA9">
        <w:rPr>
          <w:rFonts w:ascii="Times New Roman" w:eastAsia="Times New Roman" w:hAnsi="Times New Roman" w:cs="Times New Roman"/>
          <w:color w:val="000000"/>
          <w:szCs w:val="20"/>
          <w:lang w:eastAsia="en-AU"/>
        </w:rPr>
        <w:t xml:space="preserve"> </w:t>
      </w:r>
      <w:r w:rsidR="006A6F7D">
        <w:rPr>
          <w:rFonts w:ascii="Times New Roman" w:eastAsia="Times New Roman" w:hAnsi="Times New Roman" w:cs="Times New Roman"/>
          <w:color w:val="000000"/>
          <w:szCs w:val="20"/>
          <w:lang w:eastAsia="en-AU"/>
        </w:rPr>
        <w:t xml:space="preserve">either </w:t>
      </w:r>
      <w:r w:rsidRPr="00D75FA9">
        <w:rPr>
          <w:rFonts w:ascii="Times New Roman" w:eastAsia="Times New Roman" w:hAnsi="Times New Roman" w:cs="Times New Roman"/>
          <w:color w:val="000000"/>
          <w:szCs w:val="20"/>
          <w:lang w:eastAsia="en-AU"/>
        </w:rPr>
        <w:t>FISH</w:t>
      </w:r>
      <w:r w:rsidR="006A6F7D">
        <w:rPr>
          <w:rFonts w:ascii="Times New Roman" w:eastAsia="Times New Roman" w:hAnsi="Times New Roman" w:cs="Times New Roman"/>
          <w:color w:val="000000"/>
          <w:szCs w:val="20"/>
          <w:lang w:eastAsia="en-AU"/>
        </w:rPr>
        <w:t xml:space="preserve"> or </w:t>
      </w:r>
      <w:r w:rsidRPr="00D75FA9">
        <w:rPr>
          <w:rFonts w:ascii="Times New Roman" w:eastAsia="Times New Roman" w:hAnsi="Times New Roman" w:cs="Times New Roman"/>
          <w:color w:val="000000"/>
          <w:szCs w:val="20"/>
          <w:lang w:eastAsia="en-AU"/>
        </w:rPr>
        <w:t>NGS</w:t>
      </w:r>
      <w:r w:rsidR="00442F5B">
        <w:rPr>
          <w:rFonts w:ascii="Times New Roman" w:eastAsia="Times New Roman" w:hAnsi="Times New Roman" w:cs="Times New Roman"/>
          <w:color w:val="000000"/>
          <w:szCs w:val="20"/>
          <w:lang w:eastAsia="en-AU"/>
        </w:rPr>
        <w:t xml:space="preserve"> (using </w:t>
      </w:r>
      <w:r w:rsidR="006A6F7D">
        <w:rPr>
          <w:rFonts w:ascii="Times New Roman" w:eastAsia="Times New Roman" w:hAnsi="Times New Roman" w:cs="Times New Roman"/>
          <w:color w:val="000000"/>
          <w:szCs w:val="20"/>
          <w:lang w:eastAsia="en-AU"/>
        </w:rPr>
        <w:t>e</w:t>
      </w:r>
      <w:r w:rsidR="00442F5B">
        <w:rPr>
          <w:rFonts w:ascii="Times New Roman" w:eastAsia="Times New Roman" w:hAnsi="Times New Roman" w:cs="Times New Roman"/>
          <w:color w:val="000000"/>
          <w:szCs w:val="20"/>
          <w:lang w:eastAsia="en-AU"/>
        </w:rPr>
        <w:t>ither DNA or RNA)</w:t>
      </w:r>
      <w:r w:rsidRPr="00D75FA9">
        <w:rPr>
          <w:rFonts w:ascii="Times New Roman" w:eastAsia="Times New Roman" w:hAnsi="Times New Roman" w:cs="Times New Roman"/>
          <w:color w:val="000000"/>
          <w:szCs w:val="20"/>
          <w:lang w:eastAsia="en-AU"/>
        </w:rPr>
        <w:t xml:space="preserve"> </w:t>
      </w:r>
      <w:r w:rsidR="00442F5B">
        <w:rPr>
          <w:rFonts w:ascii="Times New Roman" w:eastAsia="Times New Roman" w:hAnsi="Times New Roman" w:cs="Times New Roman"/>
          <w:color w:val="000000"/>
          <w:szCs w:val="20"/>
          <w:lang w:eastAsia="en-AU"/>
        </w:rPr>
        <w:t>and a</w:t>
      </w:r>
      <w:r w:rsidR="00442F5B" w:rsidRPr="00442F5B">
        <w:rPr>
          <w:rFonts w:ascii="Times New Roman" w:eastAsia="Times New Roman" w:hAnsi="Times New Roman" w:cs="Times New Roman"/>
          <w:color w:val="000000"/>
          <w:szCs w:val="20"/>
          <w:lang w:eastAsia="en-AU"/>
        </w:rPr>
        <w:t xml:space="preserve">dult patients with low-frequency </w:t>
      </w:r>
      <w:r w:rsidR="00442F5B" w:rsidRPr="00660D1B">
        <w:rPr>
          <w:rFonts w:ascii="Times New Roman" w:eastAsia="Times New Roman" w:hAnsi="Times New Roman" w:cs="Times New Roman"/>
          <w:i/>
          <w:iCs/>
          <w:color w:val="000000"/>
          <w:szCs w:val="20"/>
          <w:lang w:eastAsia="en-AU"/>
        </w:rPr>
        <w:t xml:space="preserve">NTRK </w:t>
      </w:r>
      <w:r w:rsidR="00442F5B" w:rsidRPr="00442F5B">
        <w:rPr>
          <w:rFonts w:ascii="Times New Roman" w:eastAsia="Times New Roman" w:hAnsi="Times New Roman" w:cs="Times New Roman"/>
          <w:color w:val="000000"/>
          <w:szCs w:val="20"/>
          <w:lang w:eastAsia="en-AU"/>
        </w:rPr>
        <w:t>fusion tumour types are triaged with pan-</w:t>
      </w:r>
      <w:proofErr w:type="spellStart"/>
      <w:r w:rsidR="00442F5B" w:rsidRPr="00442F5B">
        <w:rPr>
          <w:rFonts w:ascii="Times New Roman" w:eastAsia="Times New Roman" w:hAnsi="Times New Roman" w:cs="Times New Roman"/>
          <w:color w:val="000000"/>
          <w:szCs w:val="20"/>
          <w:lang w:eastAsia="en-AU"/>
        </w:rPr>
        <w:t>Trk</w:t>
      </w:r>
      <w:proofErr w:type="spellEnd"/>
      <w:r w:rsidR="00442F5B" w:rsidRPr="00442F5B">
        <w:rPr>
          <w:rFonts w:ascii="Times New Roman" w:eastAsia="Times New Roman" w:hAnsi="Times New Roman" w:cs="Times New Roman"/>
          <w:color w:val="000000"/>
          <w:szCs w:val="20"/>
          <w:lang w:eastAsia="en-AU"/>
        </w:rPr>
        <w:t xml:space="preserve"> IHC </w:t>
      </w:r>
      <w:r w:rsidR="006A6F7D">
        <w:rPr>
          <w:rFonts w:ascii="Times New Roman" w:eastAsia="Times New Roman" w:hAnsi="Times New Roman" w:cs="Times New Roman"/>
          <w:color w:val="000000"/>
          <w:szCs w:val="20"/>
          <w:lang w:eastAsia="en-AU"/>
        </w:rPr>
        <w:t xml:space="preserve">with only those testing positive proceeding </w:t>
      </w:r>
      <w:r w:rsidR="00442F5B" w:rsidRPr="00442F5B">
        <w:rPr>
          <w:rFonts w:ascii="Times New Roman" w:eastAsia="Times New Roman" w:hAnsi="Times New Roman" w:cs="Times New Roman"/>
          <w:color w:val="000000"/>
          <w:szCs w:val="20"/>
          <w:lang w:eastAsia="en-AU"/>
        </w:rPr>
        <w:t>to access FISH</w:t>
      </w:r>
      <w:r w:rsidR="006A6F7D">
        <w:rPr>
          <w:rFonts w:ascii="Times New Roman" w:eastAsia="Times New Roman" w:hAnsi="Times New Roman" w:cs="Times New Roman"/>
          <w:color w:val="000000"/>
          <w:szCs w:val="20"/>
          <w:lang w:eastAsia="en-AU"/>
        </w:rPr>
        <w:t xml:space="preserve"> or </w:t>
      </w:r>
      <w:r w:rsidR="00442F5B" w:rsidRPr="00442F5B">
        <w:rPr>
          <w:rFonts w:ascii="Times New Roman" w:eastAsia="Times New Roman" w:hAnsi="Times New Roman" w:cs="Times New Roman"/>
          <w:color w:val="000000"/>
          <w:szCs w:val="20"/>
          <w:lang w:eastAsia="en-AU"/>
        </w:rPr>
        <w:t>NGS</w:t>
      </w:r>
      <w:r w:rsidR="006A6F7D">
        <w:rPr>
          <w:rFonts w:ascii="Times New Roman" w:eastAsia="Times New Roman" w:hAnsi="Times New Roman" w:cs="Times New Roman"/>
          <w:color w:val="000000"/>
          <w:szCs w:val="20"/>
          <w:lang w:eastAsia="en-AU"/>
        </w:rPr>
        <w:t xml:space="preserve"> testing</w:t>
      </w:r>
      <w:r w:rsidR="00442F5B">
        <w:rPr>
          <w:rFonts w:ascii="Times New Roman" w:eastAsia="Times New Roman" w:hAnsi="Times New Roman" w:cs="Times New Roman"/>
          <w:color w:val="000000"/>
          <w:szCs w:val="20"/>
          <w:lang w:eastAsia="en-AU"/>
        </w:rPr>
        <w:t xml:space="preserve">. </w:t>
      </w:r>
      <w:r w:rsidR="00442F5B" w:rsidRPr="000E1BFC">
        <w:rPr>
          <w:rFonts w:ascii="Times New Roman" w:eastAsia="Times New Roman" w:hAnsi="Times New Roman" w:cs="Times New Roman"/>
          <w:color w:val="000000"/>
          <w:szCs w:val="20"/>
          <w:lang w:eastAsia="en-AU"/>
        </w:rPr>
        <w:t xml:space="preserve">MSAC </w:t>
      </w:r>
      <w:r w:rsidR="006A6F7D">
        <w:rPr>
          <w:rFonts w:ascii="Times New Roman" w:eastAsia="Times New Roman" w:hAnsi="Times New Roman" w:cs="Times New Roman"/>
          <w:color w:val="000000"/>
          <w:szCs w:val="20"/>
          <w:lang w:eastAsia="en-AU"/>
        </w:rPr>
        <w:t xml:space="preserve">considered </w:t>
      </w:r>
      <w:r w:rsidR="00442F5B" w:rsidRPr="000E1BFC">
        <w:rPr>
          <w:rFonts w:ascii="Times New Roman" w:eastAsia="Times New Roman" w:hAnsi="Times New Roman" w:cs="Times New Roman"/>
          <w:color w:val="000000"/>
          <w:szCs w:val="20"/>
          <w:lang w:eastAsia="en-AU"/>
        </w:rPr>
        <w:t xml:space="preserve">the comparator </w:t>
      </w:r>
      <w:r w:rsidR="006A6F7D">
        <w:rPr>
          <w:rFonts w:ascii="Times New Roman" w:eastAsia="Times New Roman" w:hAnsi="Times New Roman" w:cs="Times New Roman"/>
          <w:color w:val="000000"/>
          <w:szCs w:val="20"/>
          <w:lang w:eastAsia="en-AU"/>
        </w:rPr>
        <w:t xml:space="preserve">of </w:t>
      </w:r>
      <w:r w:rsidR="00442F5B" w:rsidRPr="000E1BFC">
        <w:rPr>
          <w:rFonts w:ascii="Times New Roman" w:eastAsia="Times New Roman" w:hAnsi="Times New Roman" w:cs="Times New Roman"/>
          <w:color w:val="000000"/>
          <w:szCs w:val="20"/>
          <w:lang w:eastAsia="en-AU"/>
        </w:rPr>
        <w:t>no genetic testing</w:t>
      </w:r>
      <w:r w:rsidR="00361CFC">
        <w:rPr>
          <w:rFonts w:ascii="Times New Roman" w:eastAsia="Times New Roman" w:hAnsi="Times New Roman" w:cs="Times New Roman"/>
          <w:color w:val="000000"/>
          <w:szCs w:val="20"/>
          <w:lang w:eastAsia="en-AU"/>
        </w:rPr>
        <w:t xml:space="preserve"> and </w:t>
      </w:r>
      <w:r w:rsidR="00361CFC" w:rsidRPr="000E1BFC">
        <w:rPr>
          <w:rFonts w:ascii="Times New Roman" w:eastAsia="Times New Roman" w:hAnsi="Times New Roman" w:cs="Times New Roman"/>
          <w:color w:val="000000"/>
          <w:szCs w:val="20"/>
          <w:lang w:eastAsia="en-AU"/>
        </w:rPr>
        <w:t>standard of care</w:t>
      </w:r>
      <w:r w:rsidR="00361CFC">
        <w:rPr>
          <w:rFonts w:ascii="Times New Roman" w:eastAsia="Times New Roman" w:hAnsi="Times New Roman" w:cs="Times New Roman"/>
          <w:color w:val="000000"/>
          <w:szCs w:val="20"/>
          <w:lang w:eastAsia="en-AU"/>
        </w:rPr>
        <w:t xml:space="preserve"> was</w:t>
      </w:r>
      <w:r w:rsidR="00442F5B" w:rsidRPr="000E1BFC">
        <w:rPr>
          <w:rFonts w:ascii="Times New Roman" w:eastAsia="Times New Roman" w:hAnsi="Times New Roman" w:cs="Times New Roman"/>
          <w:color w:val="000000"/>
          <w:szCs w:val="20"/>
          <w:lang w:eastAsia="en-AU"/>
        </w:rPr>
        <w:t xml:space="preserve"> appropriate.</w:t>
      </w:r>
    </w:p>
    <w:p w14:paraId="1C3971DB" w14:textId="181038F2" w:rsidR="001741D3" w:rsidRDefault="00D75FA9" w:rsidP="000E1BFC">
      <w:pPr>
        <w:spacing w:before="0" w:after="240"/>
        <w:jc w:val="left"/>
        <w:rPr>
          <w:rFonts w:ascii="Times New Roman" w:eastAsia="Times New Roman" w:hAnsi="Times New Roman" w:cs="Times New Roman"/>
          <w:szCs w:val="20"/>
          <w:lang w:val="en-GB" w:eastAsia="en-AU"/>
        </w:rPr>
      </w:pPr>
      <w:r>
        <w:rPr>
          <w:rFonts w:ascii="Times New Roman" w:eastAsia="Times New Roman" w:hAnsi="Times New Roman" w:cs="Times New Roman"/>
          <w:color w:val="000000"/>
          <w:szCs w:val="20"/>
          <w:lang w:eastAsia="en-AU"/>
        </w:rPr>
        <w:t>MSAC</w:t>
      </w:r>
      <w:r w:rsidR="00442F5B">
        <w:rPr>
          <w:rFonts w:ascii="Times New Roman" w:eastAsia="Times New Roman" w:hAnsi="Times New Roman" w:cs="Times New Roman"/>
          <w:color w:val="000000"/>
          <w:szCs w:val="20"/>
          <w:lang w:eastAsia="en-AU"/>
        </w:rPr>
        <w:t xml:space="preserve"> </w:t>
      </w:r>
      <w:r w:rsidRPr="005C157F">
        <w:rPr>
          <w:rFonts w:ascii="Times New Roman" w:eastAsia="Times New Roman" w:hAnsi="Times New Roman" w:cs="Times New Roman"/>
          <w:szCs w:val="20"/>
          <w:lang w:val="en-GB" w:eastAsia="en-AU"/>
        </w:rPr>
        <w:t xml:space="preserve">considered the evidence </w:t>
      </w:r>
      <w:r w:rsidR="008669FC">
        <w:rPr>
          <w:rFonts w:ascii="Times New Roman" w:eastAsia="Times New Roman" w:hAnsi="Times New Roman" w:cs="Times New Roman"/>
          <w:szCs w:val="20"/>
          <w:lang w:val="en-GB" w:eastAsia="en-AU"/>
        </w:rPr>
        <w:t>for diagnostic accuracy</w:t>
      </w:r>
      <w:r w:rsidRPr="005C157F">
        <w:rPr>
          <w:rFonts w:ascii="Times New Roman" w:eastAsia="Times New Roman" w:hAnsi="Times New Roman" w:cs="Times New Roman"/>
          <w:szCs w:val="20"/>
          <w:lang w:val="en-GB" w:eastAsia="en-AU"/>
        </w:rPr>
        <w:t xml:space="preserve"> of pan-</w:t>
      </w:r>
      <w:proofErr w:type="spellStart"/>
      <w:r w:rsidRPr="005C157F">
        <w:rPr>
          <w:rFonts w:ascii="Times New Roman" w:eastAsia="Times New Roman" w:hAnsi="Times New Roman" w:cs="Times New Roman"/>
          <w:szCs w:val="20"/>
          <w:lang w:val="en-GB" w:eastAsia="en-AU"/>
        </w:rPr>
        <w:t>Trk</w:t>
      </w:r>
      <w:proofErr w:type="spellEnd"/>
      <w:r w:rsidRPr="005C157F">
        <w:rPr>
          <w:rFonts w:ascii="Times New Roman" w:eastAsia="Times New Roman" w:hAnsi="Times New Roman" w:cs="Times New Roman"/>
          <w:szCs w:val="20"/>
          <w:lang w:val="en-GB" w:eastAsia="en-AU"/>
        </w:rPr>
        <w:t xml:space="preserve"> IHC in adult patients with low-frequency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gene fusion cancer types</w:t>
      </w:r>
      <w:r w:rsidR="008669FC">
        <w:rPr>
          <w:rFonts w:ascii="Times New Roman" w:eastAsia="Times New Roman" w:hAnsi="Times New Roman" w:cs="Times New Roman"/>
          <w:szCs w:val="20"/>
          <w:lang w:val="en-GB" w:eastAsia="en-AU"/>
        </w:rPr>
        <w:t xml:space="preserve">. </w:t>
      </w:r>
      <w:r w:rsidR="0034380B">
        <w:rPr>
          <w:rFonts w:ascii="Times New Roman" w:eastAsia="Times New Roman" w:hAnsi="Times New Roman" w:cs="Times New Roman"/>
          <w:szCs w:val="20"/>
          <w:lang w:val="en-GB" w:eastAsia="en-AU"/>
        </w:rPr>
        <w:t xml:space="preserve">MSAC noted the results from a single case control study showed that </w:t>
      </w:r>
      <w:r w:rsidR="0034380B" w:rsidRPr="0034380B">
        <w:rPr>
          <w:rFonts w:ascii="Times New Roman" w:eastAsia="Times New Roman" w:hAnsi="Times New Roman" w:cs="Times New Roman"/>
          <w:i/>
          <w:iCs/>
          <w:szCs w:val="20"/>
          <w:lang w:val="en-US" w:eastAsia="en-AU"/>
        </w:rPr>
        <w:t>NTRK</w:t>
      </w:r>
      <w:r w:rsidR="006A6F7D">
        <w:rPr>
          <w:rFonts w:ascii="Times New Roman" w:eastAsia="Times New Roman" w:hAnsi="Times New Roman" w:cs="Times New Roman"/>
          <w:i/>
          <w:iCs/>
          <w:szCs w:val="20"/>
          <w:lang w:val="en-US" w:eastAsia="en-AU"/>
        </w:rPr>
        <w:t>1</w:t>
      </w:r>
      <w:r w:rsidR="0034380B" w:rsidRPr="0034380B">
        <w:rPr>
          <w:rFonts w:ascii="Times New Roman" w:eastAsia="Times New Roman" w:hAnsi="Times New Roman" w:cs="Times New Roman"/>
          <w:szCs w:val="20"/>
          <w:lang w:val="en-US" w:eastAsia="en-AU"/>
        </w:rPr>
        <w:t xml:space="preserve"> and </w:t>
      </w:r>
      <w:r w:rsidR="006A6F7D" w:rsidRPr="006A6F7D">
        <w:rPr>
          <w:rFonts w:ascii="Times New Roman" w:eastAsia="Times New Roman" w:hAnsi="Times New Roman" w:cs="Times New Roman"/>
          <w:i/>
          <w:iCs/>
          <w:szCs w:val="20"/>
          <w:lang w:val="en-US" w:eastAsia="en-AU"/>
        </w:rPr>
        <w:t>NTRK</w:t>
      </w:r>
      <w:r w:rsidR="0034380B" w:rsidRPr="006A6F7D">
        <w:rPr>
          <w:rFonts w:ascii="Times New Roman" w:eastAsia="Times New Roman" w:hAnsi="Times New Roman" w:cs="Times New Roman"/>
          <w:i/>
          <w:iCs/>
          <w:szCs w:val="20"/>
          <w:lang w:val="en-US" w:eastAsia="en-AU"/>
        </w:rPr>
        <w:t>2</w:t>
      </w:r>
      <w:r w:rsidR="0034380B" w:rsidRPr="0034380B">
        <w:rPr>
          <w:rFonts w:ascii="Times New Roman" w:eastAsia="Times New Roman" w:hAnsi="Times New Roman" w:cs="Times New Roman"/>
          <w:szCs w:val="20"/>
          <w:lang w:val="en-US" w:eastAsia="en-AU"/>
        </w:rPr>
        <w:t xml:space="preserve"> fusions are better detected with IHC than </w:t>
      </w:r>
      <w:r w:rsidR="0034380B" w:rsidRPr="0034380B">
        <w:rPr>
          <w:rFonts w:ascii="Times New Roman" w:eastAsia="Times New Roman" w:hAnsi="Times New Roman" w:cs="Times New Roman"/>
          <w:i/>
          <w:iCs/>
          <w:szCs w:val="20"/>
          <w:lang w:val="en-US" w:eastAsia="en-AU"/>
        </w:rPr>
        <w:lastRenderedPageBreak/>
        <w:t>NTRK</w:t>
      </w:r>
      <w:r w:rsidR="006A6F7D">
        <w:rPr>
          <w:rFonts w:ascii="Times New Roman" w:eastAsia="Times New Roman" w:hAnsi="Times New Roman" w:cs="Times New Roman"/>
          <w:i/>
          <w:iCs/>
          <w:szCs w:val="20"/>
          <w:lang w:val="en-US" w:eastAsia="en-AU"/>
        </w:rPr>
        <w:t>3</w:t>
      </w:r>
      <w:r w:rsidR="0034380B" w:rsidRPr="0034380B">
        <w:rPr>
          <w:rFonts w:ascii="Times New Roman" w:eastAsia="Times New Roman" w:hAnsi="Times New Roman" w:cs="Times New Roman"/>
          <w:szCs w:val="20"/>
          <w:lang w:val="en-US" w:eastAsia="en-AU"/>
        </w:rPr>
        <w:t xml:space="preserve"> fusions</w:t>
      </w:r>
      <w:r w:rsidR="0034380B">
        <w:rPr>
          <w:rFonts w:ascii="Times New Roman" w:eastAsia="Times New Roman" w:hAnsi="Times New Roman" w:cs="Times New Roman"/>
          <w:szCs w:val="20"/>
          <w:lang w:val="en-US" w:eastAsia="en-AU"/>
        </w:rPr>
        <w:t xml:space="preserve"> (see Table 6).</w:t>
      </w:r>
      <w:r w:rsidR="0034380B" w:rsidRPr="0034380B">
        <w:rPr>
          <w:rFonts w:ascii="Times New Roman" w:eastAsia="Times New Roman" w:hAnsi="Times New Roman" w:cs="Times New Roman"/>
          <w:szCs w:val="20"/>
          <w:lang w:val="en-GB" w:eastAsia="en-AU"/>
        </w:rPr>
        <w:t xml:space="preserve"> </w:t>
      </w:r>
      <w:r w:rsidR="008669FC">
        <w:rPr>
          <w:rFonts w:ascii="Times New Roman" w:eastAsia="Times New Roman" w:hAnsi="Times New Roman" w:cs="Times New Roman"/>
          <w:szCs w:val="20"/>
          <w:lang w:val="en-GB" w:eastAsia="en-AU"/>
        </w:rPr>
        <w:t>MSAC agreed with the ESCs wh</w:t>
      </w:r>
      <w:r w:rsidR="00BD38E0">
        <w:rPr>
          <w:rFonts w:ascii="Times New Roman" w:eastAsia="Times New Roman" w:hAnsi="Times New Roman" w:cs="Times New Roman"/>
          <w:szCs w:val="20"/>
          <w:lang w:val="en-GB" w:eastAsia="en-AU"/>
        </w:rPr>
        <w:t>ich</w:t>
      </w:r>
      <w:r w:rsidR="008669FC">
        <w:rPr>
          <w:rFonts w:ascii="Times New Roman" w:eastAsia="Times New Roman" w:hAnsi="Times New Roman" w:cs="Times New Roman"/>
          <w:szCs w:val="20"/>
          <w:lang w:val="en-GB" w:eastAsia="en-AU"/>
        </w:rPr>
        <w:t xml:space="preserve"> noted many uncertainties associated with </w:t>
      </w:r>
      <w:r w:rsidR="0034380B">
        <w:rPr>
          <w:rFonts w:ascii="Times New Roman" w:eastAsia="Times New Roman" w:hAnsi="Times New Roman" w:cs="Times New Roman"/>
          <w:szCs w:val="20"/>
          <w:lang w:val="en-GB" w:eastAsia="en-AU"/>
        </w:rPr>
        <w:t>this</w:t>
      </w:r>
      <w:r w:rsidR="008669FC">
        <w:rPr>
          <w:rFonts w:ascii="Times New Roman" w:eastAsia="Times New Roman" w:hAnsi="Times New Roman" w:cs="Times New Roman"/>
          <w:szCs w:val="20"/>
          <w:lang w:val="en-GB" w:eastAsia="en-AU"/>
        </w:rPr>
        <w:t xml:space="preserve"> study, including </w:t>
      </w:r>
      <w:r w:rsidR="008669FC" w:rsidRPr="008669FC">
        <w:rPr>
          <w:rFonts w:ascii="Times New Roman" w:eastAsia="Times New Roman" w:hAnsi="Times New Roman" w:cs="Times New Roman"/>
          <w:szCs w:val="20"/>
          <w:lang w:val="en-GB" w:eastAsia="en-AU"/>
        </w:rPr>
        <w:t>multiple domains at high risk of bias</w:t>
      </w:r>
      <w:r w:rsidR="00261542">
        <w:rPr>
          <w:rFonts w:ascii="Times New Roman" w:eastAsia="Times New Roman" w:hAnsi="Times New Roman" w:cs="Times New Roman"/>
          <w:szCs w:val="20"/>
          <w:lang w:val="en-GB" w:eastAsia="en-AU"/>
        </w:rPr>
        <w:t xml:space="preserve">, which </w:t>
      </w:r>
      <w:r w:rsidR="008669FC" w:rsidRPr="008669FC">
        <w:rPr>
          <w:rFonts w:ascii="Times New Roman" w:eastAsia="Times New Roman" w:hAnsi="Times New Roman" w:cs="Times New Roman"/>
          <w:szCs w:val="20"/>
          <w:lang w:val="en-GB" w:eastAsia="en-AU"/>
        </w:rPr>
        <w:t xml:space="preserve">resulted in little confidence in the estimates of effect size and thus the true test performance </w:t>
      </w:r>
      <w:r w:rsidR="00A21256">
        <w:rPr>
          <w:rFonts w:ascii="Times New Roman" w:eastAsia="Times New Roman" w:hAnsi="Times New Roman" w:cs="Times New Roman"/>
          <w:szCs w:val="20"/>
          <w:lang w:val="en-GB" w:eastAsia="en-AU"/>
        </w:rPr>
        <w:t xml:space="preserve">in </w:t>
      </w:r>
      <w:r w:rsidR="008669FC">
        <w:rPr>
          <w:rFonts w:ascii="Times New Roman" w:eastAsia="Times New Roman" w:hAnsi="Times New Roman" w:cs="Times New Roman"/>
          <w:szCs w:val="20"/>
          <w:lang w:val="en-GB" w:eastAsia="en-AU"/>
        </w:rPr>
        <w:t>this population</w:t>
      </w:r>
      <w:r w:rsidR="008669FC" w:rsidRPr="008669FC">
        <w:rPr>
          <w:rFonts w:ascii="Times New Roman" w:eastAsia="Times New Roman" w:hAnsi="Times New Roman" w:cs="Times New Roman"/>
          <w:szCs w:val="20"/>
          <w:lang w:val="en-GB" w:eastAsia="en-AU"/>
        </w:rPr>
        <w:t xml:space="preserve"> is unknown.</w:t>
      </w:r>
      <w:r w:rsidR="008669FC">
        <w:rPr>
          <w:rFonts w:ascii="Times New Roman" w:eastAsia="Times New Roman" w:hAnsi="Times New Roman" w:cs="Times New Roman"/>
          <w:szCs w:val="20"/>
          <w:lang w:val="en-GB" w:eastAsia="en-AU"/>
        </w:rPr>
        <w:t xml:space="preserve"> MSAC </w:t>
      </w:r>
      <w:r w:rsidR="00261542">
        <w:rPr>
          <w:rFonts w:ascii="Times New Roman" w:eastAsia="Times New Roman" w:hAnsi="Times New Roman" w:cs="Times New Roman"/>
          <w:szCs w:val="20"/>
          <w:lang w:val="en-GB" w:eastAsia="en-AU"/>
        </w:rPr>
        <w:t>discussed</w:t>
      </w:r>
      <w:r w:rsidR="008669FC">
        <w:rPr>
          <w:rFonts w:ascii="Times New Roman" w:eastAsia="Times New Roman" w:hAnsi="Times New Roman" w:cs="Times New Roman"/>
          <w:szCs w:val="20"/>
          <w:lang w:val="en-GB" w:eastAsia="en-AU"/>
        </w:rPr>
        <w:t xml:space="preserve"> </w:t>
      </w:r>
      <w:r w:rsidR="00261542">
        <w:rPr>
          <w:rFonts w:ascii="Times New Roman" w:eastAsia="Times New Roman" w:hAnsi="Times New Roman" w:cs="Times New Roman"/>
          <w:szCs w:val="20"/>
          <w:lang w:val="en-GB" w:eastAsia="en-AU"/>
        </w:rPr>
        <w:t xml:space="preserve">the issue of false positives with IHC, </w:t>
      </w:r>
      <w:r w:rsidR="00024D48">
        <w:rPr>
          <w:rFonts w:ascii="Times New Roman" w:eastAsia="Times New Roman" w:hAnsi="Times New Roman" w:cs="Times New Roman"/>
          <w:szCs w:val="20"/>
          <w:lang w:val="en-GB" w:eastAsia="en-AU"/>
        </w:rPr>
        <w:t xml:space="preserve">also </w:t>
      </w:r>
      <w:r w:rsidR="00261542">
        <w:rPr>
          <w:rFonts w:ascii="Times New Roman" w:eastAsia="Times New Roman" w:hAnsi="Times New Roman" w:cs="Times New Roman"/>
          <w:szCs w:val="20"/>
          <w:lang w:val="en-GB" w:eastAsia="en-AU"/>
        </w:rPr>
        <w:t xml:space="preserve">noting the results </w:t>
      </w:r>
      <w:r w:rsidR="00024D48">
        <w:rPr>
          <w:rFonts w:ascii="Times New Roman" w:eastAsia="Times New Roman" w:hAnsi="Times New Roman" w:cs="Times New Roman"/>
          <w:szCs w:val="20"/>
          <w:lang w:val="en-GB" w:eastAsia="en-AU"/>
        </w:rPr>
        <w:t>from</w:t>
      </w:r>
      <w:r w:rsidR="000C1474">
        <w:rPr>
          <w:rFonts w:ascii="Times New Roman" w:eastAsia="Times New Roman" w:hAnsi="Times New Roman" w:cs="Times New Roman"/>
          <w:szCs w:val="20"/>
          <w:lang w:val="en-GB" w:eastAsia="en-AU"/>
        </w:rPr>
        <w:t xml:space="preserve"> </w:t>
      </w:r>
      <w:r w:rsidR="007D48FC">
        <w:rPr>
          <w:rFonts w:ascii="Times New Roman" w:eastAsia="Times New Roman" w:hAnsi="Times New Roman" w:cs="Times New Roman"/>
          <w:szCs w:val="20"/>
          <w:lang w:val="en-GB" w:eastAsia="en-AU"/>
        </w:rPr>
        <w:t xml:space="preserve">a </w:t>
      </w:r>
      <w:r w:rsidR="000C1474">
        <w:rPr>
          <w:rFonts w:ascii="Times New Roman" w:eastAsia="Times New Roman" w:hAnsi="Times New Roman" w:cs="Times New Roman"/>
          <w:szCs w:val="20"/>
          <w:lang w:val="en-GB" w:eastAsia="en-AU"/>
        </w:rPr>
        <w:t>patient</w:t>
      </w:r>
      <w:r w:rsidR="007D48FC">
        <w:rPr>
          <w:rFonts w:ascii="Times New Roman" w:eastAsia="Times New Roman" w:hAnsi="Times New Roman" w:cs="Times New Roman"/>
          <w:szCs w:val="20"/>
          <w:lang w:val="en-GB" w:eastAsia="en-AU"/>
        </w:rPr>
        <w:t xml:space="preserve"> cohort</w:t>
      </w:r>
      <w:r w:rsidR="000C1474">
        <w:rPr>
          <w:rFonts w:ascii="Times New Roman" w:eastAsia="Times New Roman" w:hAnsi="Times New Roman" w:cs="Times New Roman"/>
          <w:szCs w:val="20"/>
          <w:lang w:val="en-GB" w:eastAsia="en-AU"/>
        </w:rPr>
        <w:t xml:space="preserve"> with lung cancer </w:t>
      </w:r>
      <w:r w:rsidR="00261542">
        <w:rPr>
          <w:rFonts w:ascii="Times New Roman" w:eastAsia="Times New Roman" w:hAnsi="Times New Roman" w:cs="Times New Roman"/>
          <w:szCs w:val="20"/>
          <w:lang w:val="en-GB" w:eastAsia="en-AU"/>
        </w:rPr>
        <w:t xml:space="preserve">from </w:t>
      </w:r>
      <w:proofErr w:type="spellStart"/>
      <w:r w:rsidR="00261542">
        <w:rPr>
          <w:rFonts w:ascii="Times New Roman" w:eastAsia="Times New Roman" w:hAnsi="Times New Roman" w:cs="Times New Roman"/>
          <w:szCs w:val="20"/>
          <w:lang w:val="en-GB" w:eastAsia="en-AU"/>
        </w:rPr>
        <w:t>Strohmeier</w:t>
      </w:r>
      <w:proofErr w:type="spellEnd"/>
      <w:r w:rsidR="00261542">
        <w:rPr>
          <w:rFonts w:ascii="Times New Roman" w:eastAsia="Times New Roman" w:hAnsi="Times New Roman" w:cs="Times New Roman"/>
          <w:szCs w:val="20"/>
          <w:lang w:val="en-GB" w:eastAsia="en-AU"/>
        </w:rPr>
        <w:t xml:space="preserve"> et al 2021</w:t>
      </w:r>
      <w:r w:rsidR="00361CFC">
        <w:rPr>
          <w:rStyle w:val="FootnoteReference"/>
          <w:rFonts w:ascii="Times New Roman" w:eastAsia="Times New Roman" w:hAnsi="Times New Roman" w:cs="Times New Roman"/>
          <w:szCs w:val="20"/>
          <w:lang w:val="en-GB" w:eastAsia="en-AU"/>
        </w:rPr>
        <w:footnoteReference w:id="1"/>
      </w:r>
      <w:r w:rsidR="00024D48">
        <w:rPr>
          <w:rFonts w:ascii="Times New Roman" w:eastAsia="Times New Roman" w:hAnsi="Times New Roman" w:cs="Times New Roman"/>
          <w:szCs w:val="20"/>
          <w:lang w:val="en-GB" w:eastAsia="en-AU"/>
        </w:rPr>
        <w:t>,</w:t>
      </w:r>
      <w:r w:rsidR="00261542">
        <w:rPr>
          <w:rFonts w:ascii="Times New Roman" w:eastAsia="Times New Roman" w:hAnsi="Times New Roman" w:cs="Times New Roman"/>
          <w:szCs w:val="20"/>
          <w:lang w:val="en-GB" w:eastAsia="en-AU"/>
        </w:rPr>
        <w:t xml:space="preserve"> which none of the 12 IHC</w:t>
      </w:r>
      <w:r w:rsidR="007D48FC">
        <w:rPr>
          <w:rFonts w:ascii="Times New Roman" w:eastAsia="Times New Roman" w:hAnsi="Times New Roman" w:cs="Times New Roman"/>
          <w:szCs w:val="20"/>
          <w:lang w:val="en-GB" w:eastAsia="en-AU"/>
        </w:rPr>
        <w:t>-</w:t>
      </w:r>
      <w:r w:rsidR="00261542">
        <w:rPr>
          <w:rFonts w:ascii="Times New Roman" w:eastAsia="Times New Roman" w:hAnsi="Times New Roman" w:cs="Times New Roman"/>
          <w:szCs w:val="20"/>
          <w:lang w:val="en-GB" w:eastAsia="en-AU"/>
        </w:rPr>
        <w:t xml:space="preserve">positive </w:t>
      </w:r>
      <w:proofErr w:type="spellStart"/>
      <w:r w:rsidR="00261542">
        <w:rPr>
          <w:rFonts w:ascii="Times New Roman" w:eastAsia="Times New Roman" w:hAnsi="Times New Roman" w:cs="Times New Roman"/>
          <w:szCs w:val="20"/>
          <w:lang w:val="en-GB" w:eastAsia="en-AU"/>
        </w:rPr>
        <w:t>tumors</w:t>
      </w:r>
      <w:proofErr w:type="spellEnd"/>
      <w:r w:rsidR="007D48FC">
        <w:rPr>
          <w:rFonts w:ascii="Times New Roman" w:eastAsia="Times New Roman" w:hAnsi="Times New Roman" w:cs="Times New Roman"/>
          <w:szCs w:val="20"/>
          <w:lang w:val="en-GB" w:eastAsia="en-AU"/>
        </w:rPr>
        <w:t xml:space="preserve"> (</w:t>
      </w:r>
      <w:r w:rsidR="007D48FC" w:rsidRPr="005C157F">
        <w:rPr>
          <w:rFonts w:ascii="Times New Roman" w:eastAsia="Times New Roman" w:hAnsi="Times New Roman" w:cs="Times New Roman"/>
          <w:szCs w:val="20"/>
          <w:lang w:eastAsia="en-AU"/>
        </w:rPr>
        <w:t>us</w:t>
      </w:r>
      <w:r w:rsidR="007D48FC">
        <w:rPr>
          <w:rFonts w:ascii="Times New Roman" w:eastAsia="Times New Roman" w:hAnsi="Times New Roman" w:cs="Times New Roman"/>
          <w:szCs w:val="20"/>
          <w:lang w:eastAsia="en-AU"/>
        </w:rPr>
        <w:t>ing a</w:t>
      </w:r>
      <w:r w:rsidR="007D48FC" w:rsidRPr="005C157F">
        <w:rPr>
          <w:rFonts w:ascii="Times New Roman" w:eastAsia="Times New Roman" w:hAnsi="Times New Roman" w:cs="Times New Roman"/>
          <w:szCs w:val="20"/>
          <w:lang w:eastAsia="en-AU"/>
        </w:rPr>
        <w:t xml:space="preserve"> definition of 1% </w:t>
      </w:r>
      <w:r w:rsidR="007D48FC">
        <w:rPr>
          <w:rFonts w:ascii="Times New Roman" w:eastAsia="Times New Roman" w:hAnsi="Times New Roman" w:cs="Times New Roman"/>
          <w:szCs w:val="20"/>
          <w:lang w:eastAsia="en-AU"/>
        </w:rPr>
        <w:t>IHC-</w:t>
      </w:r>
      <w:r w:rsidR="007D48FC" w:rsidRPr="005C157F">
        <w:rPr>
          <w:rFonts w:ascii="Times New Roman" w:eastAsia="Times New Roman" w:hAnsi="Times New Roman" w:cs="Times New Roman"/>
          <w:szCs w:val="20"/>
          <w:lang w:eastAsia="en-AU"/>
        </w:rPr>
        <w:t>positivity threshold</w:t>
      </w:r>
      <w:r w:rsidR="007D48FC">
        <w:rPr>
          <w:rFonts w:ascii="Times New Roman" w:eastAsia="Times New Roman" w:hAnsi="Times New Roman" w:cs="Times New Roman"/>
          <w:szCs w:val="20"/>
          <w:lang w:eastAsia="en-AU"/>
        </w:rPr>
        <w:t>)</w:t>
      </w:r>
      <w:r w:rsidR="00261542">
        <w:rPr>
          <w:rFonts w:ascii="Times New Roman" w:eastAsia="Times New Roman" w:hAnsi="Times New Roman" w:cs="Times New Roman"/>
          <w:szCs w:val="20"/>
          <w:lang w:val="en-GB" w:eastAsia="en-AU"/>
        </w:rPr>
        <w:t xml:space="preserve"> were positive on RNA testing when it could be done</w:t>
      </w:r>
      <w:r w:rsidR="007D48FC">
        <w:rPr>
          <w:rFonts w:ascii="Times New Roman" w:eastAsia="Times New Roman" w:hAnsi="Times New Roman" w:cs="Times New Roman"/>
          <w:szCs w:val="20"/>
          <w:lang w:val="en-GB" w:eastAsia="en-AU"/>
        </w:rPr>
        <w:t>.</w:t>
      </w:r>
    </w:p>
    <w:p w14:paraId="3244E0ED" w14:textId="33319558" w:rsidR="00CB00B8" w:rsidRDefault="00CB00B8" w:rsidP="000E1BFC">
      <w:pPr>
        <w:spacing w:before="0" w:after="240"/>
        <w:jc w:val="left"/>
        <w:rPr>
          <w:rFonts w:ascii="Times New Roman" w:eastAsia="Times New Roman" w:hAnsi="Times New Roman" w:cs="Times New Roman"/>
          <w:szCs w:val="20"/>
          <w:lang w:eastAsia="en-AU"/>
        </w:rPr>
      </w:pPr>
      <w:r>
        <w:rPr>
          <w:rFonts w:ascii="Times New Roman" w:eastAsia="Times New Roman" w:hAnsi="Times New Roman" w:cs="Times New Roman"/>
          <w:szCs w:val="20"/>
          <w:lang w:val="en-GB" w:eastAsia="en-AU"/>
        </w:rPr>
        <w:t xml:space="preserve">MSAC considered the evidence for diagnostic accuracy of </w:t>
      </w:r>
      <w:r w:rsidRPr="00531ABC">
        <w:rPr>
          <w:rFonts w:ascii="Times New Roman" w:eastAsia="Times New Roman" w:hAnsi="Times New Roman" w:cs="Times New Roman"/>
          <w:i/>
          <w:iCs/>
          <w:szCs w:val="20"/>
          <w:lang w:val="en-GB" w:eastAsia="en-AU"/>
        </w:rPr>
        <w:t>NTRK</w:t>
      </w:r>
      <w:r>
        <w:rPr>
          <w:rFonts w:ascii="Times New Roman" w:eastAsia="Times New Roman" w:hAnsi="Times New Roman" w:cs="Times New Roman"/>
          <w:szCs w:val="20"/>
          <w:lang w:val="en-GB" w:eastAsia="en-AU"/>
        </w:rPr>
        <w:t xml:space="preserve"> testing with FISH or NGS. MSAC agreed with </w:t>
      </w:r>
      <w:r w:rsidR="00870E5B">
        <w:rPr>
          <w:rFonts w:ascii="Times New Roman" w:eastAsia="Times New Roman" w:hAnsi="Times New Roman" w:cs="Times New Roman"/>
          <w:szCs w:val="20"/>
          <w:lang w:val="en-GB" w:eastAsia="en-AU"/>
        </w:rPr>
        <w:t xml:space="preserve">the </w:t>
      </w:r>
      <w:r>
        <w:rPr>
          <w:rFonts w:ascii="Times New Roman" w:eastAsia="Times New Roman" w:hAnsi="Times New Roman" w:cs="Times New Roman"/>
          <w:szCs w:val="20"/>
          <w:lang w:val="en-GB" w:eastAsia="en-AU"/>
        </w:rPr>
        <w:t xml:space="preserve">ESCs and considered that </w:t>
      </w:r>
      <w:r w:rsidRPr="005C157F">
        <w:rPr>
          <w:rFonts w:ascii="Times New Roman" w:eastAsia="Times New Roman" w:hAnsi="Times New Roman" w:cs="Times New Roman"/>
          <w:szCs w:val="20"/>
          <w:lang w:eastAsia="en-AU"/>
        </w:rPr>
        <w:t xml:space="preserve">FISH is not 100% sensitive and specific in </w:t>
      </w:r>
      <w:r w:rsidRPr="008B12AD">
        <w:rPr>
          <w:rFonts w:ascii="Times New Roman" w:eastAsia="Times New Roman" w:hAnsi="Times New Roman" w:cs="Times New Roman"/>
          <w:szCs w:val="20"/>
          <w:lang w:eastAsia="en-AU"/>
        </w:rPr>
        <w:t>usual pathology practice</w:t>
      </w:r>
      <w:r>
        <w:rPr>
          <w:rFonts w:ascii="Times New Roman" w:eastAsia="Times New Roman" w:hAnsi="Times New Roman" w:cs="Times New Roman"/>
          <w:szCs w:val="20"/>
          <w:lang w:eastAsia="en-AU"/>
        </w:rPr>
        <w:t xml:space="preserve"> </w:t>
      </w:r>
      <w:r w:rsidRPr="005C157F">
        <w:rPr>
          <w:rFonts w:ascii="Times New Roman" w:eastAsia="Times New Roman" w:hAnsi="Times New Roman" w:cs="Times New Roman"/>
          <w:szCs w:val="20"/>
          <w:lang w:eastAsia="en-AU"/>
        </w:rPr>
        <w:t xml:space="preserve">and noted that </w:t>
      </w:r>
      <w:r>
        <w:rPr>
          <w:rFonts w:ascii="Times New Roman" w:eastAsia="Times New Roman" w:hAnsi="Times New Roman" w:cs="Times New Roman"/>
          <w:szCs w:val="20"/>
          <w:lang w:eastAsia="en-AU"/>
        </w:rPr>
        <w:t>RNA-</w:t>
      </w:r>
      <w:r w:rsidRPr="005C157F">
        <w:rPr>
          <w:rFonts w:ascii="Times New Roman" w:eastAsia="Times New Roman" w:hAnsi="Times New Roman" w:cs="Times New Roman"/>
          <w:szCs w:val="20"/>
          <w:lang w:eastAsia="en-AU"/>
        </w:rPr>
        <w:t>NGS</w:t>
      </w:r>
      <w:r>
        <w:rPr>
          <w:rFonts w:ascii="Times New Roman" w:eastAsia="Times New Roman" w:hAnsi="Times New Roman" w:cs="Times New Roman"/>
          <w:szCs w:val="20"/>
          <w:lang w:eastAsia="en-AU"/>
        </w:rPr>
        <w:t xml:space="preserve"> is more sensitive than DNA-NGS, </w:t>
      </w:r>
      <w:r w:rsidR="00361CFC">
        <w:rPr>
          <w:rFonts w:ascii="Times New Roman" w:eastAsia="Times New Roman" w:hAnsi="Times New Roman" w:cs="Times New Roman"/>
          <w:szCs w:val="20"/>
          <w:lang w:eastAsia="en-AU"/>
        </w:rPr>
        <w:t>providing that RNA quality is optimal.</w:t>
      </w:r>
    </w:p>
    <w:p w14:paraId="50AC7C19" w14:textId="103B190E" w:rsidR="00361CFC" w:rsidRDefault="00361CFC" w:rsidP="000E1BFC">
      <w:pPr>
        <w:spacing w:before="0" w:after="240"/>
        <w:jc w:val="left"/>
        <w:rPr>
          <w:rFonts w:ascii="Times New Roman" w:eastAsia="Times New Roman" w:hAnsi="Times New Roman" w:cs="Times New Roman"/>
          <w:color w:val="000000"/>
          <w:szCs w:val="20"/>
          <w:lang w:eastAsia="en-AU"/>
        </w:rPr>
      </w:pPr>
      <w:r w:rsidRPr="005C157F">
        <w:rPr>
          <w:rFonts w:ascii="Times New Roman" w:eastAsia="Times New Roman" w:hAnsi="Times New Roman" w:cs="Times New Roman"/>
          <w:szCs w:val="20"/>
          <w:lang w:eastAsia="en-AU"/>
        </w:rPr>
        <w:t>Overall,</w:t>
      </w:r>
      <w:r>
        <w:rPr>
          <w:rFonts w:ascii="Times New Roman" w:eastAsia="Times New Roman" w:hAnsi="Times New Roman" w:cs="Times New Roman"/>
          <w:szCs w:val="20"/>
          <w:lang w:eastAsia="en-AU"/>
        </w:rPr>
        <w:t xml:space="preserve"> MSAC</w:t>
      </w:r>
      <w:r w:rsidR="007D48FC">
        <w:rPr>
          <w:rFonts w:ascii="Times New Roman" w:eastAsia="Times New Roman" w:hAnsi="Times New Roman" w:cs="Times New Roman"/>
          <w:szCs w:val="20"/>
          <w:lang w:eastAsia="en-AU"/>
        </w:rPr>
        <w:t xml:space="preserve"> agreed with the ESCs and</w:t>
      </w:r>
      <w:r>
        <w:rPr>
          <w:rFonts w:ascii="Times New Roman" w:eastAsia="Times New Roman" w:hAnsi="Times New Roman" w:cs="Times New Roman"/>
          <w:szCs w:val="20"/>
          <w:lang w:eastAsia="en-AU"/>
        </w:rPr>
        <w:t xml:space="preserve"> considered that </w:t>
      </w:r>
      <w:r w:rsidRPr="005C157F">
        <w:rPr>
          <w:rFonts w:ascii="Times New Roman" w:eastAsia="Times New Roman" w:hAnsi="Times New Roman" w:cs="Times New Roman"/>
          <w:szCs w:val="20"/>
          <w:lang w:eastAsia="en-AU"/>
        </w:rPr>
        <w:t xml:space="preserve">there continued to be limited evidence of the analytical performance of the proposed tests (i.e. </w:t>
      </w:r>
      <w:r w:rsidRPr="005C157F">
        <w:rPr>
          <w:rFonts w:ascii="Times New Roman" w:eastAsia="Times New Roman" w:hAnsi="Times New Roman" w:cs="Times New Roman"/>
          <w:szCs w:val="20"/>
          <w:lang w:val="en-GB" w:eastAsia="en-AU"/>
        </w:rPr>
        <w:t>NGS, FISH and IHC)</w:t>
      </w:r>
      <w:r w:rsidR="00E96390">
        <w:rPr>
          <w:rFonts w:ascii="Times New Roman" w:eastAsia="Times New Roman" w:hAnsi="Times New Roman" w:cs="Times New Roman"/>
          <w:szCs w:val="20"/>
          <w:lang w:val="en-GB" w:eastAsia="en-AU"/>
        </w:rPr>
        <w:t>. I</w:t>
      </w:r>
      <w:r w:rsidRPr="005C157F">
        <w:rPr>
          <w:rFonts w:ascii="Times New Roman" w:eastAsia="Times New Roman" w:hAnsi="Times New Roman" w:cs="Times New Roman"/>
          <w:szCs w:val="20"/>
          <w:lang w:val="en-GB" w:eastAsia="en-AU"/>
        </w:rPr>
        <w:t xml:space="preserve">n particular </w:t>
      </w:r>
      <w:r w:rsidR="0000573F">
        <w:rPr>
          <w:rFonts w:ascii="Times New Roman" w:eastAsia="Times New Roman" w:hAnsi="Times New Roman" w:cs="Times New Roman"/>
          <w:szCs w:val="20"/>
          <w:lang w:val="en-GB" w:eastAsia="en-AU"/>
        </w:rPr>
        <w:t xml:space="preserve">MSAC </w:t>
      </w:r>
      <w:r w:rsidR="00E96390">
        <w:rPr>
          <w:rFonts w:ascii="Times New Roman" w:eastAsia="Times New Roman" w:hAnsi="Times New Roman" w:cs="Times New Roman"/>
          <w:szCs w:val="20"/>
          <w:lang w:val="en-GB" w:eastAsia="en-AU"/>
        </w:rPr>
        <w:t xml:space="preserve">did not support this testing of </w:t>
      </w:r>
      <w:r w:rsidRPr="005C157F">
        <w:rPr>
          <w:rFonts w:ascii="Times New Roman" w:eastAsia="Times New Roman" w:hAnsi="Times New Roman" w:cs="Times New Roman"/>
          <w:szCs w:val="20"/>
          <w:lang w:val="en-GB" w:eastAsia="en-AU"/>
        </w:rPr>
        <w:t xml:space="preserve">adult patients with low-frequency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gene fusion cancer types </w:t>
      </w:r>
      <w:r w:rsidR="00E96390">
        <w:rPr>
          <w:rFonts w:ascii="Times New Roman" w:eastAsia="Times New Roman" w:hAnsi="Times New Roman" w:cs="Times New Roman"/>
          <w:szCs w:val="20"/>
          <w:lang w:val="en-GB" w:eastAsia="en-AU"/>
        </w:rPr>
        <w:t xml:space="preserve">because </w:t>
      </w:r>
      <w:r w:rsidR="00E96390" w:rsidRPr="005C157F">
        <w:rPr>
          <w:rFonts w:ascii="Times New Roman" w:eastAsia="Times New Roman" w:hAnsi="Times New Roman" w:cs="Times New Roman"/>
          <w:szCs w:val="20"/>
          <w:lang w:val="en-GB" w:eastAsia="en-AU"/>
        </w:rPr>
        <w:t xml:space="preserve">the evidence for </w:t>
      </w:r>
      <w:r w:rsidR="00E96390">
        <w:rPr>
          <w:rFonts w:ascii="Times New Roman" w:eastAsia="Times New Roman" w:hAnsi="Times New Roman" w:cs="Times New Roman"/>
          <w:szCs w:val="20"/>
          <w:lang w:val="en-GB" w:eastAsia="en-AU"/>
        </w:rPr>
        <w:t xml:space="preserve">these patients </w:t>
      </w:r>
      <w:r w:rsidRPr="005C157F">
        <w:rPr>
          <w:rFonts w:ascii="Times New Roman" w:eastAsia="Times New Roman" w:hAnsi="Times New Roman" w:cs="Times New Roman"/>
          <w:szCs w:val="20"/>
          <w:lang w:val="en-GB" w:eastAsia="en-AU"/>
        </w:rPr>
        <w:t xml:space="preserve">was highly uncertain and there was no study data presented that was generalisable to the </w:t>
      </w:r>
      <w:r w:rsidR="009B0719">
        <w:rPr>
          <w:rFonts w:ascii="Times New Roman" w:eastAsia="Times New Roman" w:hAnsi="Times New Roman" w:cs="Times New Roman"/>
          <w:szCs w:val="20"/>
          <w:lang w:val="en-GB" w:eastAsia="en-AU"/>
        </w:rPr>
        <w:t>requested adult low-frequency</w:t>
      </w:r>
      <w:r w:rsidRPr="005C157F">
        <w:rPr>
          <w:rFonts w:ascii="Times New Roman" w:eastAsia="Times New Roman" w:hAnsi="Times New Roman" w:cs="Times New Roman"/>
          <w:szCs w:val="20"/>
          <w:lang w:val="en-GB" w:eastAsia="en-AU"/>
        </w:rPr>
        <w:t xml:space="preserve"> population</w:t>
      </w:r>
      <w:r>
        <w:rPr>
          <w:rFonts w:ascii="Times New Roman" w:eastAsia="Times New Roman" w:hAnsi="Times New Roman" w:cs="Times New Roman"/>
          <w:szCs w:val="20"/>
          <w:lang w:val="en-GB" w:eastAsia="en-AU"/>
        </w:rPr>
        <w:t xml:space="preserve"> in </w:t>
      </w:r>
      <w:r w:rsidRPr="005C157F">
        <w:rPr>
          <w:rFonts w:ascii="Times New Roman" w:eastAsia="Times New Roman" w:hAnsi="Times New Roman" w:cs="Times New Roman"/>
          <w:szCs w:val="20"/>
          <w:lang w:val="en-GB" w:eastAsia="en-AU"/>
        </w:rPr>
        <w:t>Australia.</w:t>
      </w:r>
      <w:r w:rsidR="00E96390">
        <w:rPr>
          <w:rFonts w:ascii="Times New Roman" w:eastAsia="Times New Roman" w:hAnsi="Times New Roman" w:cs="Times New Roman"/>
          <w:szCs w:val="20"/>
          <w:lang w:val="en-GB" w:eastAsia="en-AU"/>
        </w:rPr>
        <w:t xml:space="preserve"> However, based on the limited evidence, MSAC also concluded that, although analytical performance varied across RNA-NGS, DNA-NGS and FISH, this was within </w:t>
      </w:r>
      <w:r w:rsidR="0000573F">
        <w:rPr>
          <w:rFonts w:ascii="Times New Roman" w:eastAsia="Times New Roman" w:hAnsi="Times New Roman" w:cs="Times New Roman"/>
          <w:szCs w:val="20"/>
          <w:lang w:val="en-GB" w:eastAsia="en-AU"/>
        </w:rPr>
        <w:t xml:space="preserve">acceptable </w:t>
      </w:r>
      <w:r w:rsidR="00E96390">
        <w:rPr>
          <w:rFonts w:ascii="Times New Roman" w:eastAsia="Times New Roman" w:hAnsi="Times New Roman" w:cs="Times New Roman"/>
          <w:szCs w:val="20"/>
          <w:lang w:val="en-GB" w:eastAsia="en-AU"/>
        </w:rPr>
        <w:t xml:space="preserve">limits for paediatric patients or adult patients with high-frequency </w:t>
      </w:r>
      <w:r w:rsidR="00E96390" w:rsidRPr="005C157F">
        <w:rPr>
          <w:rFonts w:ascii="Times New Roman" w:eastAsia="Times New Roman" w:hAnsi="Times New Roman" w:cs="Times New Roman"/>
          <w:i/>
          <w:iCs/>
          <w:szCs w:val="20"/>
          <w:lang w:val="en-GB" w:eastAsia="en-AU"/>
        </w:rPr>
        <w:t>NTRK</w:t>
      </w:r>
      <w:r w:rsidR="00E96390" w:rsidRPr="005C157F">
        <w:rPr>
          <w:rFonts w:ascii="Times New Roman" w:eastAsia="Times New Roman" w:hAnsi="Times New Roman" w:cs="Times New Roman"/>
          <w:szCs w:val="20"/>
          <w:lang w:val="en-GB" w:eastAsia="en-AU"/>
        </w:rPr>
        <w:t xml:space="preserve"> gene fusion cancer types</w:t>
      </w:r>
      <w:r w:rsidR="00E96390">
        <w:rPr>
          <w:rFonts w:ascii="Times New Roman" w:eastAsia="Times New Roman" w:hAnsi="Times New Roman" w:cs="Times New Roman"/>
          <w:szCs w:val="20"/>
          <w:lang w:val="en-GB" w:eastAsia="en-AU"/>
        </w:rPr>
        <w:t>.</w:t>
      </w:r>
    </w:p>
    <w:p w14:paraId="573333B5" w14:textId="14324D30" w:rsidR="000E1BFC" w:rsidRPr="000E1BFC" w:rsidRDefault="000E1BFC" w:rsidP="000E1BFC">
      <w:p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MSAC considered that the test was likely to be comparatively safe</w:t>
      </w:r>
      <w:r w:rsidR="00E96390">
        <w:rPr>
          <w:rFonts w:ascii="Times New Roman" w:eastAsia="Times New Roman" w:hAnsi="Times New Roman" w:cs="Times New Roman"/>
          <w:color w:val="000000"/>
          <w:szCs w:val="20"/>
          <w:lang w:eastAsia="en-AU"/>
        </w:rPr>
        <w:t xml:space="preserve"> if the rates of false positives and false negatives are sufficiently small</w:t>
      </w:r>
      <w:r w:rsidRPr="000E1BFC">
        <w:rPr>
          <w:rFonts w:ascii="Times New Roman" w:eastAsia="Times New Roman" w:hAnsi="Times New Roman" w:cs="Times New Roman"/>
          <w:color w:val="000000"/>
          <w:szCs w:val="20"/>
          <w:lang w:eastAsia="en-AU"/>
        </w:rPr>
        <w:t>, and noted the desire to avoid chemotherapy or radiotherapy in paediatric patients.</w:t>
      </w:r>
    </w:p>
    <w:p w14:paraId="625396C5" w14:textId="569CD63A" w:rsidR="000E1BFC" w:rsidRPr="000E1BFC" w:rsidRDefault="000E1BFC" w:rsidP="000E1BFC">
      <w:p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MSAC noted</w:t>
      </w:r>
      <w:r w:rsidR="00D565B4">
        <w:rPr>
          <w:rFonts w:ascii="Times New Roman" w:eastAsia="Times New Roman" w:hAnsi="Times New Roman" w:cs="Times New Roman"/>
          <w:color w:val="000000"/>
          <w:szCs w:val="20"/>
          <w:lang w:eastAsia="en-AU"/>
        </w:rPr>
        <w:t xml:space="preserve"> </w:t>
      </w:r>
      <w:r w:rsidR="00D565B4" w:rsidRPr="005C157F">
        <w:rPr>
          <w:rFonts w:ascii="Times New Roman" w:eastAsia="Times New Roman" w:hAnsi="Times New Roman" w:cs="Times New Roman"/>
          <w:szCs w:val="20"/>
          <w:lang w:eastAsia="en-AU"/>
        </w:rPr>
        <w:t>that</w:t>
      </w:r>
      <w:r w:rsidR="00222618">
        <w:rPr>
          <w:rFonts w:ascii="Times New Roman" w:eastAsia="Times New Roman" w:hAnsi="Times New Roman" w:cs="Times New Roman"/>
          <w:szCs w:val="20"/>
          <w:lang w:eastAsia="en-AU"/>
        </w:rPr>
        <w:t>,</w:t>
      </w:r>
      <w:r w:rsidR="00D565B4" w:rsidRPr="005C157F">
        <w:rPr>
          <w:rFonts w:ascii="Times New Roman" w:eastAsia="Times New Roman" w:hAnsi="Times New Roman" w:cs="Times New Roman"/>
          <w:szCs w:val="20"/>
          <w:lang w:eastAsia="en-AU"/>
        </w:rPr>
        <w:t xml:space="preserve"> while the model</w:t>
      </w:r>
      <w:r w:rsidR="00D565B4">
        <w:rPr>
          <w:rFonts w:ascii="Times New Roman" w:eastAsia="Times New Roman" w:hAnsi="Times New Roman" w:cs="Times New Roman"/>
          <w:szCs w:val="20"/>
          <w:lang w:eastAsia="en-AU"/>
        </w:rPr>
        <w:t>led economic evaluation</w:t>
      </w:r>
      <w:r w:rsidR="00D565B4" w:rsidRPr="005C157F">
        <w:rPr>
          <w:rFonts w:ascii="Times New Roman" w:eastAsia="Times New Roman" w:hAnsi="Times New Roman" w:cs="Times New Roman"/>
          <w:szCs w:val="20"/>
          <w:lang w:eastAsia="en-AU"/>
        </w:rPr>
        <w:t xml:space="preserve"> presented in the resubmission was restructured to allow the implications of false positive and false negative results to be analysed, the base case retained the assumption that NGS and FISH performed </w:t>
      </w:r>
      <w:r w:rsidR="00D565B4">
        <w:rPr>
          <w:rFonts w:ascii="Times New Roman" w:eastAsia="Times New Roman" w:hAnsi="Times New Roman" w:cs="Times New Roman"/>
          <w:szCs w:val="20"/>
          <w:lang w:eastAsia="en-AU"/>
        </w:rPr>
        <w:t xml:space="preserve">with </w:t>
      </w:r>
      <w:r w:rsidR="00D565B4" w:rsidRPr="005C157F">
        <w:rPr>
          <w:rFonts w:ascii="Times New Roman" w:eastAsia="Times New Roman" w:hAnsi="Times New Roman" w:cs="Times New Roman"/>
          <w:szCs w:val="20"/>
          <w:lang w:eastAsia="en-AU"/>
        </w:rPr>
        <w:t xml:space="preserve">100% sensitivity and 100% specificity. For </w:t>
      </w:r>
      <w:r w:rsidR="00D565B4" w:rsidRPr="005C157F">
        <w:rPr>
          <w:rFonts w:ascii="Times New Roman" w:eastAsia="Times New Roman" w:hAnsi="Times New Roman" w:cs="Times New Roman"/>
          <w:szCs w:val="20"/>
          <w:lang w:val="en-GB" w:eastAsia="en-AU"/>
        </w:rPr>
        <w:t xml:space="preserve">adult patients with low-frequency </w:t>
      </w:r>
      <w:r w:rsidR="00D565B4" w:rsidRPr="005C157F">
        <w:rPr>
          <w:rFonts w:ascii="Times New Roman" w:eastAsia="Times New Roman" w:hAnsi="Times New Roman" w:cs="Times New Roman"/>
          <w:i/>
          <w:iCs/>
          <w:szCs w:val="20"/>
          <w:lang w:val="en-GB" w:eastAsia="en-AU"/>
        </w:rPr>
        <w:t>NTRK</w:t>
      </w:r>
      <w:r w:rsidR="00D565B4" w:rsidRPr="005C157F">
        <w:rPr>
          <w:rFonts w:ascii="Times New Roman" w:eastAsia="Times New Roman" w:hAnsi="Times New Roman" w:cs="Times New Roman"/>
          <w:szCs w:val="20"/>
          <w:lang w:val="en-GB" w:eastAsia="en-AU"/>
        </w:rPr>
        <w:t xml:space="preserve"> gene fusion cancer types who require IHC testing, </w:t>
      </w:r>
      <w:r w:rsidR="00D565B4">
        <w:rPr>
          <w:rFonts w:ascii="Times New Roman" w:eastAsia="Times New Roman" w:hAnsi="Times New Roman" w:cs="Times New Roman"/>
          <w:szCs w:val="20"/>
          <w:lang w:val="en-GB" w:eastAsia="en-AU"/>
        </w:rPr>
        <w:t>MSAC</w:t>
      </w:r>
      <w:r w:rsidR="00D565B4" w:rsidRPr="005C157F">
        <w:rPr>
          <w:rFonts w:ascii="Times New Roman" w:eastAsia="Times New Roman" w:hAnsi="Times New Roman" w:cs="Times New Roman"/>
          <w:szCs w:val="20"/>
          <w:lang w:val="en-GB" w:eastAsia="en-AU"/>
        </w:rPr>
        <w:t xml:space="preserve"> noted </w:t>
      </w:r>
      <w:r w:rsidR="00D565B4" w:rsidRPr="005C157F">
        <w:rPr>
          <w:rFonts w:ascii="Times New Roman" w:eastAsia="Times New Roman" w:hAnsi="Times New Roman" w:cs="Times New Roman"/>
          <w:szCs w:val="20"/>
          <w:lang w:eastAsia="en-AU"/>
        </w:rPr>
        <w:t xml:space="preserve">that the </w:t>
      </w:r>
      <w:r w:rsidR="00D565B4">
        <w:rPr>
          <w:rFonts w:ascii="Times New Roman" w:eastAsia="Times New Roman" w:hAnsi="Times New Roman" w:cs="Times New Roman"/>
          <w:szCs w:val="20"/>
          <w:lang w:eastAsia="en-AU"/>
        </w:rPr>
        <w:t>resubmission</w:t>
      </w:r>
      <w:r w:rsidR="00D565B4" w:rsidRPr="005C157F">
        <w:rPr>
          <w:rFonts w:ascii="Times New Roman" w:eastAsia="Times New Roman" w:hAnsi="Times New Roman" w:cs="Times New Roman"/>
          <w:szCs w:val="20"/>
          <w:lang w:eastAsia="en-AU"/>
        </w:rPr>
        <w:t xml:space="preserve"> assumed 100% specificity</w:t>
      </w:r>
      <w:r w:rsidR="00D565B4">
        <w:rPr>
          <w:rFonts w:ascii="Times New Roman" w:eastAsia="Times New Roman" w:hAnsi="Times New Roman" w:cs="Times New Roman"/>
          <w:szCs w:val="20"/>
          <w:lang w:eastAsia="en-AU"/>
        </w:rPr>
        <w:t xml:space="preserve">, </w:t>
      </w:r>
      <w:r w:rsidRPr="000E1BFC">
        <w:rPr>
          <w:rFonts w:ascii="Times New Roman" w:eastAsia="Times New Roman" w:hAnsi="Times New Roman" w:cs="Times New Roman"/>
          <w:color w:val="000000"/>
          <w:szCs w:val="20"/>
          <w:lang w:eastAsia="en-AU"/>
        </w:rPr>
        <w:t xml:space="preserve">which was </w:t>
      </w:r>
      <w:r w:rsidR="00D565B4">
        <w:rPr>
          <w:rFonts w:ascii="Times New Roman" w:eastAsia="Times New Roman" w:hAnsi="Times New Roman" w:cs="Times New Roman"/>
          <w:color w:val="000000"/>
          <w:szCs w:val="20"/>
          <w:lang w:eastAsia="en-AU"/>
        </w:rPr>
        <w:t>in</w:t>
      </w:r>
      <w:r w:rsidRPr="000E1BFC">
        <w:rPr>
          <w:rFonts w:ascii="Times New Roman" w:eastAsia="Times New Roman" w:hAnsi="Times New Roman" w:cs="Times New Roman"/>
          <w:color w:val="000000"/>
          <w:szCs w:val="20"/>
          <w:lang w:eastAsia="en-AU"/>
        </w:rPr>
        <w:t>consistent with the clinical evidence. Reducing the specificity would result in more false positives in the low-frequency population, meaning more patients would be treated inappropriately, which would increase the ICER</w:t>
      </w:r>
      <w:r w:rsidR="007C44EC">
        <w:rPr>
          <w:rFonts w:ascii="Times New Roman" w:eastAsia="Times New Roman" w:hAnsi="Times New Roman" w:cs="Times New Roman"/>
          <w:color w:val="000000"/>
          <w:szCs w:val="20"/>
          <w:lang w:eastAsia="en-AU"/>
        </w:rPr>
        <w:t xml:space="preserve">. </w:t>
      </w:r>
      <w:r w:rsidR="007C44EC">
        <w:rPr>
          <w:rFonts w:ascii="Times New Roman" w:eastAsia="Times New Roman" w:hAnsi="Times New Roman" w:cs="Times New Roman"/>
          <w:szCs w:val="20"/>
          <w:lang w:eastAsia="en-AU"/>
        </w:rPr>
        <w:t>MSAC also</w:t>
      </w:r>
      <w:r w:rsidR="007C44EC" w:rsidRPr="005C157F">
        <w:rPr>
          <w:rFonts w:ascii="Times New Roman" w:eastAsia="Times New Roman" w:hAnsi="Times New Roman" w:cs="Times New Roman"/>
          <w:szCs w:val="20"/>
          <w:lang w:eastAsia="en-AU"/>
        </w:rPr>
        <w:t xml:space="preserve"> noted that the ICER in </w:t>
      </w:r>
      <w:r w:rsidR="007C44EC" w:rsidRPr="005C157F">
        <w:rPr>
          <w:rFonts w:ascii="Times New Roman" w:eastAsia="Times New Roman" w:hAnsi="Times New Roman" w:cs="Times New Roman"/>
          <w:szCs w:val="20"/>
          <w:lang w:val="en-GB" w:eastAsia="en-AU"/>
        </w:rPr>
        <w:t xml:space="preserve">adult patients with low-frequency </w:t>
      </w:r>
      <w:r w:rsidR="007C44EC" w:rsidRPr="005C157F">
        <w:rPr>
          <w:rFonts w:ascii="Times New Roman" w:eastAsia="Times New Roman" w:hAnsi="Times New Roman" w:cs="Times New Roman"/>
          <w:i/>
          <w:iCs/>
          <w:szCs w:val="20"/>
          <w:lang w:val="en-GB" w:eastAsia="en-AU"/>
        </w:rPr>
        <w:t>NTRK</w:t>
      </w:r>
      <w:r w:rsidR="007C44EC" w:rsidRPr="005C157F">
        <w:rPr>
          <w:rFonts w:ascii="Times New Roman" w:eastAsia="Times New Roman" w:hAnsi="Times New Roman" w:cs="Times New Roman"/>
          <w:szCs w:val="20"/>
          <w:lang w:val="en-GB" w:eastAsia="en-AU"/>
        </w:rPr>
        <w:t xml:space="preserve"> gene fusion cancer </w:t>
      </w:r>
      <w:r w:rsidR="007C44EC" w:rsidRPr="005C157F">
        <w:rPr>
          <w:rFonts w:ascii="Times New Roman" w:eastAsia="Times New Roman" w:hAnsi="Times New Roman" w:cs="Times New Roman"/>
          <w:szCs w:val="20"/>
          <w:lang w:eastAsia="en-AU"/>
        </w:rPr>
        <w:t xml:space="preserve">types was </w:t>
      </w:r>
      <w:r w:rsidR="00E34409">
        <w:rPr>
          <w:rFonts w:ascii="Times New Roman" w:eastAsia="Times New Roman" w:hAnsi="Times New Roman" w:cs="Times New Roman"/>
          <w:szCs w:val="20"/>
          <w:lang w:eastAsia="en-AU"/>
        </w:rPr>
        <w:t xml:space="preserve">less favourable and </w:t>
      </w:r>
      <w:r w:rsidR="007C44EC" w:rsidRPr="005C157F">
        <w:rPr>
          <w:rFonts w:ascii="Times New Roman" w:eastAsia="Times New Roman" w:hAnsi="Times New Roman" w:cs="Times New Roman"/>
          <w:szCs w:val="20"/>
          <w:lang w:eastAsia="en-AU"/>
        </w:rPr>
        <w:t>highly sensitive to changes in test performance</w:t>
      </w:r>
      <w:r w:rsidR="00D565B4">
        <w:rPr>
          <w:rFonts w:ascii="Times New Roman" w:eastAsia="Times New Roman" w:hAnsi="Times New Roman" w:cs="Times New Roman"/>
          <w:color w:val="000000"/>
          <w:szCs w:val="20"/>
          <w:lang w:eastAsia="en-AU"/>
        </w:rPr>
        <w:t xml:space="preserve"> (see Tab</w:t>
      </w:r>
      <w:r w:rsidR="00D56961">
        <w:rPr>
          <w:rFonts w:ascii="Times New Roman" w:eastAsia="Times New Roman" w:hAnsi="Times New Roman" w:cs="Times New Roman"/>
          <w:color w:val="000000"/>
          <w:szCs w:val="20"/>
          <w:lang w:eastAsia="en-AU"/>
        </w:rPr>
        <w:t>l</w:t>
      </w:r>
      <w:r w:rsidR="00D565B4">
        <w:rPr>
          <w:rFonts w:ascii="Times New Roman" w:eastAsia="Times New Roman" w:hAnsi="Times New Roman" w:cs="Times New Roman"/>
          <w:color w:val="000000"/>
          <w:szCs w:val="20"/>
          <w:lang w:eastAsia="en-AU"/>
        </w:rPr>
        <w:t>e 11)</w:t>
      </w:r>
      <w:r w:rsidRPr="000E1BFC">
        <w:rPr>
          <w:rFonts w:ascii="Times New Roman" w:eastAsia="Times New Roman" w:hAnsi="Times New Roman" w:cs="Times New Roman"/>
          <w:color w:val="000000"/>
          <w:szCs w:val="20"/>
          <w:lang w:eastAsia="en-AU"/>
        </w:rPr>
        <w:t>.</w:t>
      </w:r>
    </w:p>
    <w:p w14:paraId="3BCBF29C" w14:textId="4E316ED0" w:rsidR="000E1BFC" w:rsidRDefault="000E1BFC" w:rsidP="000E1BFC">
      <w:p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MSAC noted the financial and budgetary impacts, based on approximately </w:t>
      </w:r>
      <w:r w:rsidR="001A0896">
        <w:rPr>
          <w:rFonts w:ascii="Times New Roman" w:eastAsia="Times New Roman" w:hAnsi="Times New Roman" w:cs="Times New Roman"/>
          <w:color w:val="000000"/>
          <w:szCs w:val="20"/>
          <w:lang w:eastAsia="en-AU"/>
        </w:rPr>
        <w:t>&lt;</w:t>
      </w:r>
      <w:r w:rsidR="00352C38">
        <w:rPr>
          <w:rFonts w:ascii="Times New Roman" w:eastAsia="Times New Roman" w:hAnsi="Times New Roman" w:cs="Times New Roman"/>
          <w:color w:val="000000"/>
          <w:szCs w:val="20"/>
          <w:lang w:eastAsia="en-AU"/>
        </w:rPr>
        <w:t> </w:t>
      </w:r>
      <w:r w:rsidR="001A0896">
        <w:rPr>
          <w:rFonts w:ascii="Times New Roman" w:eastAsia="Times New Roman" w:hAnsi="Times New Roman" w:cs="Times New Roman"/>
          <w:color w:val="000000"/>
          <w:szCs w:val="20"/>
          <w:lang w:eastAsia="en-AU"/>
        </w:rPr>
        <w:t>500</w:t>
      </w:r>
      <w:r w:rsidR="00352C38">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eligible patients per year. MSAC noted the net cost to government (PBS and MBS) of approximately $</w:t>
      </w:r>
      <w:r w:rsidR="00326D43">
        <w:rPr>
          <w:rFonts w:ascii="Times New Roman" w:eastAsia="Times New Roman" w:hAnsi="Times New Roman" w:cs="Times New Roman"/>
          <w:color w:val="000000"/>
          <w:szCs w:val="20"/>
          <w:lang w:eastAsia="en-AU"/>
        </w:rPr>
        <w:t>1</w:t>
      </w:r>
      <w:r w:rsidR="001A0896">
        <w:rPr>
          <w:rFonts w:ascii="Times New Roman" w:eastAsia="Times New Roman" w:hAnsi="Times New Roman" w:cs="Times New Roman"/>
          <w:color w:val="000000"/>
          <w:szCs w:val="20"/>
          <w:lang w:eastAsia="en-AU"/>
        </w:rPr>
        <w:t>0 to &lt;</w:t>
      </w:r>
      <w:r w:rsidR="00352C38">
        <w:rPr>
          <w:rFonts w:ascii="Times New Roman" w:eastAsia="Times New Roman" w:hAnsi="Times New Roman" w:cs="Times New Roman"/>
          <w:color w:val="000000"/>
          <w:szCs w:val="20"/>
          <w:lang w:eastAsia="en-AU"/>
        </w:rPr>
        <w:t> </w:t>
      </w:r>
      <w:r w:rsidR="001A0896">
        <w:rPr>
          <w:rFonts w:ascii="Times New Roman" w:eastAsia="Times New Roman" w:hAnsi="Times New Roman" w:cs="Times New Roman"/>
          <w:color w:val="000000"/>
          <w:szCs w:val="20"/>
          <w:lang w:eastAsia="en-AU"/>
        </w:rPr>
        <w:t>$</w:t>
      </w:r>
      <w:r w:rsidR="00326D43">
        <w:rPr>
          <w:rFonts w:ascii="Times New Roman" w:eastAsia="Times New Roman" w:hAnsi="Times New Roman" w:cs="Times New Roman"/>
          <w:color w:val="000000"/>
          <w:szCs w:val="20"/>
          <w:lang w:eastAsia="en-AU"/>
        </w:rPr>
        <w:t>2</w:t>
      </w:r>
      <w:r w:rsidR="001A0896">
        <w:rPr>
          <w:rFonts w:ascii="Times New Roman" w:eastAsia="Times New Roman" w:hAnsi="Times New Roman" w:cs="Times New Roman"/>
          <w:color w:val="000000"/>
          <w:szCs w:val="20"/>
          <w:lang w:eastAsia="en-AU"/>
        </w:rPr>
        <w:t>0 million</w:t>
      </w:r>
      <w:r w:rsidRPr="000E1BFC">
        <w:rPr>
          <w:rFonts w:ascii="Times New Roman" w:eastAsia="Times New Roman" w:hAnsi="Times New Roman" w:cs="Times New Roman"/>
          <w:color w:val="000000"/>
          <w:szCs w:val="20"/>
          <w:lang w:eastAsia="en-AU"/>
        </w:rPr>
        <w:t xml:space="preserve"> to $</w:t>
      </w:r>
      <w:r w:rsidR="00326D43">
        <w:rPr>
          <w:rFonts w:ascii="Times New Roman" w:eastAsia="Times New Roman" w:hAnsi="Times New Roman" w:cs="Times New Roman"/>
          <w:color w:val="000000"/>
          <w:szCs w:val="20"/>
          <w:lang w:eastAsia="en-AU"/>
        </w:rPr>
        <w:t>1</w:t>
      </w:r>
      <w:r w:rsidR="001A0896">
        <w:rPr>
          <w:rFonts w:ascii="Times New Roman" w:eastAsia="Times New Roman" w:hAnsi="Times New Roman" w:cs="Times New Roman"/>
          <w:color w:val="000000"/>
          <w:szCs w:val="20"/>
          <w:lang w:eastAsia="en-AU"/>
        </w:rPr>
        <w:t>0 to &lt;</w:t>
      </w:r>
      <w:r w:rsidR="00352C38">
        <w:rPr>
          <w:rFonts w:ascii="Times New Roman" w:eastAsia="Times New Roman" w:hAnsi="Times New Roman" w:cs="Times New Roman"/>
          <w:color w:val="000000"/>
          <w:szCs w:val="20"/>
          <w:lang w:eastAsia="en-AU"/>
        </w:rPr>
        <w:t> </w:t>
      </w:r>
      <w:r w:rsidR="001A0896">
        <w:rPr>
          <w:rFonts w:ascii="Times New Roman" w:eastAsia="Times New Roman" w:hAnsi="Times New Roman" w:cs="Times New Roman"/>
          <w:color w:val="000000"/>
          <w:szCs w:val="20"/>
          <w:lang w:eastAsia="en-AU"/>
        </w:rPr>
        <w:t>$</w:t>
      </w:r>
      <w:r w:rsidR="00326D43">
        <w:rPr>
          <w:rFonts w:ascii="Times New Roman" w:eastAsia="Times New Roman" w:hAnsi="Times New Roman" w:cs="Times New Roman"/>
          <w:color w:val="000000"/>
          <w:szCs w:val="20"/>
          <w:lang w:eastAsia="en-AU"/>
        </w:rPr>
        <w:t>2</w:t>
      </w:r>
      <w:r w:rsidR="001A0896">
        <w:rPr>
          <w:rFonts w:ascii="Times New Roman" w:eastAsia="Times New Roman" w:hAnsi="Times New Roman" w:cs="Times New Roman"/>
          <w:color w:val="000000"/>
          <w:szCs w:val="20"/>
          <w:lang w:eastAsia="en-AU"/>
        </w:rPr>
        <w:t>0 million</w:t>
      </w:r>
      <w:r w:rsidR="001A0896" w:rsidRPr="000E1BFC">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per year, and the net cost to the MBS of $</w:t>
      </w:r>
      <w:r w:rsidR="001A0896">
        <w:rPr>
          <w:rFonts w:ascii="Times New Roman" w:eastAsia="Times New Roman" w:hAnsi="Times New Roman" w:cs="Times New Roman"/>
          <w:color w:val="000000"/>
          <w:szCs w:val="20"/>
          <w:lang w:eastAsia="en-AU"/>
        </w:rPr>
        <w:t>0 to &lt;</w:t>
      </w:r>
      <w:r w:rsidR="00352C38">
        <w:rPr>
          <w:rFonts w:ascii="Times New Roman" w:eastAsia="Times New Roman" w:hAnsi="Times New Roman" w:cs="Times New Roman"/>
          <w:color w:val="000000"/>
          <w:szCs w:val="20"/>
          <w:lang w:eastAsia="en-AU"/>
        </w:rPr>
        <w:t> </w:t>
      </w:r>
      <w:r w:rsidR="001A0896">
        <w:rPr>
          <w:rFonts w:ascii="Times New Roman" w:eastAsia="Times New Roman" w:hAnsi="Times New Roman" w:cs="Times New Roman"/>
          <w:color w:val="000000"/>
          <w:szCs w:val="20"/>
          <w:lang w:eastAsia="en-AU"/>
        </w:rPr>
        <w:t>$10 million</w:t>
      </w:r>
      <w:r w:rsidR="001A0896" w:rsidRPr="000E1BFC">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in Year 1 to $</w:t>
      </w:r>
      <w:r w:rsidR="001A0896">
        <w:rPr>
          <w:rFonts w:ascii="Times New Roman" w:eastAsia="Times New Roman" w:hAnsi="Times New Roman" w:cs="Times New Roman"/>
          <w:color w:val="000000"/>
          <w:szCs w:val="20"/>
          <w:lang w:eastAsia="en-AU"/>
        </w:rPr>
        <w:t>0 to &lt;</w:t>
      </w:r>
      <w:r w:rsidR="00352C38">
        <w:rPr>
          <w:rFonts w:ascii="Times New Roman" w:eastAsia="Times New Roman" w:hAnsi="Times New Roman" w:cs="Times New Roman"/>
          <w:color w:val="000000"/>
          <w:szCs w:val="20"/>
          <w:lang w:eastAsia="en-AU"/>
        </w:rPr>
        <w:t> </w:t>
      </w:r>
      <w:r w:rsidR="001A0896">
        <w:rPr>
          <w:rFonts w:ascii="Times New Roman" w:eastAsia="Times New Roman" w:hAnsi="Times New Roman" w:cs="Times New Roman"/>
          <w:color w:val="000000"/>
          <w:szCs w:val="20"/>
          <w:lang w:eastAsia="en-AU"/>
        </w:rPr>
        <w:t>$10 million</w:t>
      </w:r>
      <w:r w:rsidRPr="000E1BFC">
        <w:rPr>
          <w:rFonts w:ascii="Times New Roman" w:eastAsia="Times New Roman" w:hAnsi="Times New Roman" w:cs="Times New Roman"/>
          <w:color w:val="000000"/>
          <w:szCs w:val="20"/>
          <w:lang w:eastAsia="en-AU"/>
        </w:rPr>
        <w:t xml:space="preserve"> in Year 6. However, MSAC </w:t>
      </w:r>
      <w:r w:rsidR="008266D4">
        <w:rPr>
          <w:rFonts w:ascii="Times New Roman" w:eastAsia="Times New Roman" w:hAnsi="Times New Roman" w:cs="Times New Roman"/>
          <w:color w:val="000000"/>
          <w:szCs w:val="20"/>
          <w:lang w:eastAsia="en-AU"/>
        </w:rPr>
        <w:t xml:space="preserve">considered that </w:t>
      </w:r>
      <w:r w:rsidRPr="000E1BFC">
        <w:rPr>
          <w:rFonts w:ascii="Times New Roman" w:eastAsia="Times New Roman" w:hAnsi="Times New Roman" w:cs="Times New Roman"/>
          <w:color w:val="000000"/>
          <w:szCs w:val="20"/>
          <w:lang w:eastAsia="en-AU"/>
        </w:rPr>
        <w:t xml:space="preserve">the </w:t>
      </w:r>
      <w:r w:rsidR="003E1874">
        <w:rPr>
          <w:rFonts w:ascii="Times New Roman" w:eastAsia="Times New Roman" w:hAnsi="Times New Roman" w:cs="Times New Roman"/>
          <w:color w:val="000000"/>
          <w:szCs w:val="20"/>
          <w:lang w:eastAsia="en-AU"/>
        </w:rPr>
        <w:t xml:space="preserve">resubmission’s </w:t>
      </w:r>
      <w:r w:rsidRPr="000E1BFC">
        <w:rPr>
          <w:rFonts w:ascii="Times New Roman" w:eastAsia="Times New Roman" w:hAnsi="Times New Roman" w:cs="Times New Roman"/>
          <w:color w:val="000000"/>
          <w:szCs w:val="20"/>
          <w:lang w:eastAsia="en-AU"/>
        </w:rPr>
        <w:t xml:space="preserve">predicted number of NGS or FISH tests for paediatric </w:t>
      </w:r>
      <w:r w:rsidR="00222618">
        <w:rPr>
          <w:rFonts w:ascii="Times New Roman" w:eastAsia="Times New Roman" w:hAnsi="Times New Roman" w:cs="Times New Roman"/>
          <w:color w:val="000000"/>
          <w:szCs w:val="20"/>
          <w:lang w:eastAsia="en-AU"/>
        </w:rPr>
        <w:t>patients with low-</w:t>
      </w:r>
      <w:r w:rsidR="00222618">
        <w:rPr>
          <w:rFonts w:ascii="Times New Roman" w:eastAsia="Times New Roman" w:hAnsi="Times New Roman" w:cs="Times New Roman"/>
          <w:color w:val="000000"/>
          <w:szCs w:val="20"/>
          <w:lang w:eastAsia="en-AU"/>
        </w:rPr>
        <w:lastRenderedPageBreak/>
        <w:t xml:space="preserve">frequency tumours </w:t>
      </w:r>
      <w:r w:rsidR="003E1874">
        <w:rPr>
          <w:rFonts w:ascii="Times New Roman" w:eastAsia="Times New Roman" w:hAnsi="Times New Roman" w:cs="Times New Roman"/>
          <w:color w:val="000000"/>
          <w:szCs w:val="20"/>
          <w:lang w:eastAsia="en-AU"/>
        </w:rPr>
        <w:t>relative to</w:t>
      </w:r>
      <w:r w:rsidR="003E1874" w:rsidRPr="000E1BFC">
        <w:rPr>
          <w:rFonts w:ascii="Times New Roman" w:eastAsia="Times New Roman" w:hAnsi="Times New Roman" w:cs="Times New Roman"/>
          <w:color w:val="000000"/>
          <w:szCs w:val="20"/>
          <w:lang w:eastAsia="en-AU"/>
        </w:rPr>
        <w:t xml:space="preserve"> </w:t>
      </w:r>
      <w:r w:rsidRPr="000E1BFC">
        <w:rPr>
          <w:rFonts w:ascii="Times New Roman" w:eastAsia="Times New Roman" w:hAnsi="Times New Roman" w:cs="Times New Roman"/>
          <w:color w:val="000000"/>
          <w:szCs w:val="20"/>
          <w:lang w:eastAsia="en-AU"/>
        </w:rPr>
        <w:t>adult patients with low-frequency tumours (</w:t>
      </w:r>
      <w:r w:rsidR="00352C38">
        <w:rPr>
          <w:rFonts w:ascii="Times New Roman" w:eastAsia="Times New Roman" w:hAnsi="Times New Roman" w:cs="Times New Roman"/>
          <w:color w:val="000000"/>
          <w:szCs w:val="20"/>
          <w:lang w:eastAsia="en-AU"/>
        </w:rPr>
        <w:t>&lt; 500</w:t>
      </w:r>
      <w:r w:rsidR="003E1874">
        <w:rPr>
          <w:rFonts w:ascii="Times New Roman" w:eastAsia="Times New Roman" w:hAnsi="Times New Roman" w:cs="Times New Roman"/>
          <w:color w:val="000000"/>
          <w:szCs w:val="20"/>
          <w:lang w:eastAsia="en-AU"/>
        </w:rPr>
        <w:t xml:space="preserve"> vs. </w:t>
      </w:r>
      <w:r w:rsidR="00352C38">
        <w:rPr>
          <w:rFonts w:ascii="Times New Roman" w:eastAsia="Times New Roman" w:hAnsi="Times New Roman" w:cs="Times New Roman"/>
          <w:color w:val="000000"/>
          <w:szCs w:val="20"/>
          <w:lang w:eastAsia="en-AU"/>
        </w:rPr>
        <w:t>&lt; 500</w:t>
      </w:r>
      <w:r w:rsidRPr="000E1BFC">
        <w:rPr>
          <w:rFonts w:ascii="Times New Roman" w:eastAsia="Times New Roman" w:hAnsi="Times New Roman" w:cs="Times New Roman"/>
          <w:color w:val="000000"/>
          <w:szCs w:val="20"/>
          <w:lang w:eastAsia="en-AU"/>
        </w:rPr>
        <w:t xml:space="preserve"> per patient) seemed to be erroneously high, and this also affected the financial estimates.</w:t>
      </w:r>
    </w:p>
    <w:p w14:paraId="106A64FE" w14:textId="65ACC09D" w:rsidR="00A21256" w:rsidRPr="000E1BFC" w:rsidRDefault="00A21256" w:rsidP="000E1BFC">
      <w:pPr>
        <w:spacing w:before="0" w:after="240"/>
        <w:jc w:val="left"/>
        <w:rPr>
          <w:rFonts w:ascii="Times New Roman" w:eastAsia="Times New Roman" w:hAnsi="Times New Roman" w:cs="Times New Roman"/>
          <w:color w:val="000000"/>
          <w:szCs w:val="20"/>
          <w:lang w:eastAsia="en-AU"/>
        </w:rPr>
      </w:pPr>
      <w:r w:rsidRPr="000E1BFC">
        <w:rPr>
          <w:rFonts w:ascii="Times New Roman" w:eastAsia="Times New Roman" w:hAnsi="Times New Roman" w:cs="Times New Roman"/>
          <w:color w:val="000000"/>
          <w:szCs w:val="20"/>
          <w:lang w:eastAsia="en-AU"/>
        </w:rPr>
        <w:t xml:space="preserve">MSAC noted the consultation feedback received from the </w:t>
      </w:r>
      <w:r w:rsidR="000619B8">
        <w:rPr>
          <w:rFonts w:ascii="Times New Roman" w:eastAsia="Times New Roman" w:hAnsi="Times New Roman" w:cs="Times New Roman"/>
          <w:color w:val="000000"/>
          <w:szCs w:val="20"/>
          <w:lang w:eastAsia="en-AU"/>
        </w:rPr>
        <w:t xml:space="preserve">Children’s Cancer Institute (who lead the </w:t>
      </w:r>
      <w:r w:rsidR="000619B8" w:rsidRPr="000E1BFC">
        <w:rPr>
          <w:rFonts w:ascii="Times New Roman" w:eastAsia="Times New Roman" w:hAnsi="Times New Roman" w:cs="Times New Roman"/>
          <w:color w:val="000000"/>
          <w:szCs w:val="20"/>
          <w:lang w:eastAsia="en-AU"/>
        </w:rPr>
        <w:t>Zero Childhood Cancer</w:t>
      </w:r>
      <w:r w:rsidR="000619B8">
        <w:rPr>
          <w:rFonts w:ascii="Times New Roman" w:eastAsia="Times New Roman" w:hAnsi="Times New Roman" w:cs="Times New Roman"/>
          <w:color w:val="000000"/>
          <w:szCs w:val="20"/>
          <w:lang w:eastAsia="en-AU"/>
        </w:rPr>
        <w:t xml:space="preserve"> </w:t>
      </w:r>
      <w:r w:rsidR="000619B8" w:rsidRPr="000E1BFC">
        <w:rPr>
          <w:rFonts w:ascii="Times New Roman" w:eastAsia="Times New Roman" w:hAnsi="Times New Roman" w:cs="Times New Roman"/>
          <w:color w:val="000000"/>
          <w:szCs w:val="20"/>
          <w:lang w:eastAsia="en-AU"/>
        </w:rPr>
        <w:t>research program</w:t>
      </w:r>
      <w:r w:rsidR="000619B8">
        <w:rPr>
          <w:rFonts w:ascii="Times New Roman" w:eastAsia="Times New Roman" w:hAnsi="Times New Roman" w:cs="Times New Roman"/>
          <w:color w:val="000000"/>
          <w:szCs w:val="20"/>
          <w:lang w:eastAsia="en-AU"/>
        </w:rPr>
        <w:t>)</w:t>
      </w:r>
      <w:r w:rsidRPr="000E1BFC">
        <w:rPr>
          <w:rFonts w:ascii="Times New Roman" w:eastAsia="Times New Roman" w:hAnsi="Times New Roman" w:cs="Times New Roman"/>
          <w:color w:val="000000"/>
          <w:szCs w:val="20"/>
          <w:lang w:eastAsia="en-AU"/>
        </w:rPr>
        <w:t xml:space="preserve">, which supported not requiring IHC triage in paediatric patients, and advocated for use of NGS over FISH testing. However, MSAC noted that not all laboratories routinely perform NGS, and only a few laboratories in Australia perform NGS with RNA. MSAC therefore considered that FISH testing should be retained as an option, as testing is likely to occur outside those centres with NGS capability. MSAC noted that NGS is likely to become more available in the future. </w:t>
      </w:r>
      <w:r>
        <w:rPr>
          <w:rFonts w:ascii="Times New Roman" w:eastAsia="Times New Roman" w:hAnsi="Times New Roman" w:cs="Times New Roman"/>
          <w:color w:val="000000"/>
          <w:szCs w:val="20"/>
          <w:lang w:eastAsia="en-AU"/>
        </w:rPr>
        <w:t xml:space="preserve">In addition, </w:t>
      </w:r>
      <w:r w:rsidRPr="000E1BFC">
        <w:rPr>
          <w:rFonts w:ascii="Times New Roman" w:eastAsia="Times New Roman" w:hAnsi="Times New Roman" w:cs="Times New Roman"/>
          <w:color w:val="000000"/>
          <w:szCs w:val="20"/>
          <w:lang w:eastAsia="en-AU"/>
        </w:rPr>
        <w:t>MSAC noted the pre-MSAC response, which also acknowledged the uncertainty of utilisation of FISH vs NGS and the likelihood of this changing over time.</w:t>
      </w:r>
    </w:p>
    <w:p w14:paraId="20ABAEB4" w14:textId="7B6567BB" w:rsidR="00F86F3C" w:rsidRPr="000E1BFC" w:rsidDel="004F3D10" w:rsidRDefault="00F86F3C" w:rsidP="00F86F3C">
      <w:pPr>
        <w:spacing w:before="0" w:after="240"/>
        <w:jc w:val="left"/>
        <w:rPr>
          <w:rFonts w:ascii="Times New Roman" w:eastAsia="Times New Roman" w:hAnsi="Times New Roman" w:cs="Times New Roman"/>
          <w:color w:val="000000"/>
          <w:szCs w:val="20"/>
          <w:lang w:eastAsia="en-AU"/>
        </w:rPr>
      </w:pPr>
      <w:r w:rsidRPr="000E1BFC" w:rsidDel="004F3D10">
        <w:rPr>
          <w:rFonts w:ascii="Times New Roman" w:eastAsia="Times New Roman" w:hAnsi="Times New Roman" w:cs="Times New Roman"/>
          <w:color w:val="000000"/>
          <w:szCs w:val="20"/>
          <w:lang w:eastAsia="en-AU"/>
        </w:rPr>
        <w:t xml:space="preserve">MSAC </w:t>
      </w:r>
      <w:r>
        <w:rPr>
          <w:rFonts w:ascii="Times New Roman" w:eastAsia="Times New Roman" w:hAnsi="Times New Roman" w:cs="Times New Roman"/>
          <w:color w:val="000000"/>
          <w:szCs w:val="20"/>
          <w:lang w:eastAsia="en-AU"/>
        </w:rPr>
        <w:t>considered</w:t>
      </w:r>
      <w:r w:rsidRPr="000E1BFC" w:rsidDel="004F3D10">
        <w:rPr>
          <w:rFonts w:ascii="Times New Roman" w:eastAsia="Times New Roman" w:hAnsi="Times New Roman" w:cs="Times New Roman"/>
          <w:color w:val="000000"/>
          <w:szCs w:val="20"/>
          <w:lang w:eastAsia="en-AU"/>
        </w:rPr>
        <w:t xml:space="preserve"> the proposed fee</w:t>
      </w:r>
      <w:r w:rsidR="004C6F89">
        <w:rPr>
          <w:rFonts w:ascii="Times New Roman" w:eastAsia="Times New Roman" w:hAnsi="Times New Roman" w:cs="Times New Roman"/>
          <w:color w:val="000000"/>
          <w:szCs w:val="20"/>
          <w:lang w:eastAsia="en-AU"/>
        </w:rPr>
        <w:t>s</w:t>
      </w:r>
      <w:r w:rsidRPr="000E1BFC" w:rsidDel="004F3D10">
        <w:rPr>
          <w:rFonts w:ascii="Times New Roman" w:eastAsia="Times New Roman" w:hAnsi="Times New Roman" w:cs="Times New Roman"/>
          <w:color w:val="000000"/>
          <w:szCs w:val="20"/>
          <w:lang w:eastAsia="en-AU"/>
        </w:rPr>
        <w:t xml:space="preserve"> for </w:t>
      </w:r>
      <w:r w:rsidRPr="000E1BFC" w:rsidDel="004F3D10">
        <w:rPr>
          <w:rFonts w:ascii="Times New Roman" w:eastAsia="Times New Roman" w:hAnsi="Times New Roman" w:cs="Times New Roman"/>
          <w:i/>
          <w:iCs/>
          <w:color w:val="000000"/>
          <w:szCs w:val="20"/>
          <w:lang w:eastAsia="en-AU"/>
        </w:rPr>
        <w:t>NTRK</w:t>
      </w:r>
      <w:r w:rsidRPr="000E1BFC" w:rsidDel="004F3D10">
        <w:rPr>
          <w:rFonts w:ascii="Times New Roman" w:eastAsia="Times New Roman" w:hAnsi="Times New Roman" w:cs="Times New Roman"/>
          <w:color w:val="000000"/>
          <w:szCs w:val="20"/>
          <w:lang w:eastAsia="en-AU"/>
        </w:rPr>
        <w:t xml:space="preserve"> </w:t>
      </w:r>
      <w:r>
        <w:rPr>
          <w:rFonts w:ascii="Times New Roman" w:eastAsia="Times New Roman" w:hAnsi="Times New Roman" w:cs="Times New Roman"/>
          <w:color w:val="000000"/>
          <w:szCs w:val="20"/>
          <w:lang w:eastAsia="en-AU"/>
        </w:rPr>
        <w:t xml:space="preserve">gene fusion </w:t>
      </w:r>
      <w:r w:rsidRPr="000E1BFC" w:rsidDel="004F3D10">
        <w:rPr>
          <w:rFonts w:ascii="Times New Roman" w:eastAsia="Times New Roman" w:hAnsi="Times New Roman" w:cs="Times New Roman"/>
          <w:color w:val="000000"/>
          <w:szCs w:val="20"/>
          <w:lang w:eastAsia="en-AU"/>
        </w:rPr>
        <w:t xml:space="preserve">testing. MSAC recalled that, in its consideration of the original submission, MSAC had considered that the fee for </w:t>
      </w:r>
      <w:r>
        <w:rPr>
          <w:rFonts w:ascii="Times New Roman" w:eastAsia="Times New Roman" w:hAnsi="Times New Roman" w:cs="Times New Roman"/>
          <w:color w:val="000000"/>
          <w:szCs w:val="20"/>
          <w:lang w:eastAsia="en-AU"/>
        </w:rPr>
        <w:t>RNA-NGS</w:t>
      </w:r>
      <w:r w:rsidRPr="000E1BFC" w:rsidDel="004F3D10">
        <w:rPr>
          <w:rFonts w:ascii="Times New Roman" w:eastAsia="Times New Roman" w:hAnsi="Times New Roman" w:cs="Times New Roman"/>
          <w:color w:val="000000"/>
          <w:szCs w:val="20"/>
          <w:lang w:eastAsia="en-AU"/>
        </w:rPr>
        <w:t xml:space="preserve"> should be aligned with that for Alport testing (fee: $1,200; 75% benefit: $900) (</w:t>
      </w:r>
      <w:hyperlink r:id="rId11" w:history="1">
        <w:r w:rsidRPr="000E1BFC" w:rsidDel="004F3D10">
          <w:rPr>
            <w:rFonts w:ascii="Times New Roman" w:eastAsia="Times New Roman" w:hAnsi="Times New Roman" w:cs="Times New Roman"/>
            <w:color w:val="0000FF"/>
            <w:szCs w:val="20"/>
            <w:u w:val="single"/>
            <w:lang w:eastAsia="en-AU"/>
          </w:rPr>
          <w:t>Application 1602 Public Summary Document</w:t>
        </w:r>
      </w:hyperlink>
      <w:r w:rsidRPr="000E1BFC" w:rsidDel="004F3D10">
        <w:rPr>
          <w:rFonts w:ascii="Times New Roman" w:eastAsia="Times New Roman" w:hAnsi="Times New Roman" w:cs="Times New Roman"/>
          <w:color w:val="000000"/>
          <w:szCs w:val="20"/>
          <w:lang w:eastAsia="en-AU"/>
        </w:rPr>
        <w:t xml:space="preserve">, page 5). However, MSAC advised that, </w:t>
      </w:r>
      <w:r w:rsidR="004C6F89">
        <w:rPr>
          <w:rFonts w:ascii="Times New Roman" w:eastAsia="Times New Roman" w:hAnsi="Times New Roman" w:cs="Times New Roman"/>
          <w:color w:val="000000"/>
          <w:szCs w:val="20"/>
          <w:lang w:eastAsia="en-AU"/>
        </w:rPr>
        <w:t>because</w:t>
      </w:r>
      <w:r w:rsidRPr="000E1BFC" w:rsidDel="004F3D10">
        <w:rPr>
          <w:rFonts w:ascii="Times New Roman" w:eastAsia="Times New Roman" w:hAnsi="Times New Roman" w:cs="Times New Roman"/>
          <w:color w:val="000000"/>
          <w:szCs w:val="20"/>
          <w:lang w:eastAsia="en-AU"/>
        </w:rPr>
        <w:t xml:space="preserve"> the item descriptor allows either DNA</w:t>
      </w:r>
      <w:r w:rsidR="004C6F89">
        <w:rPr>
          <w:rFonts w:ascii="Times New Roman" w:eastAsia="Times New Roman" w:hAnsi="Times New Roman" w:cs="Times New Roman"/>
          <w:color w:val="000000"/>
          <w:szCs w:val="20"/>
          <w:lang w:eastAsia="en-AU"/>
        </w:rPr>
        <w:t>-NGS</w:t>
      </w:r>
      <w:r w:rsidRPr="000E1BFC" w:rsidDel="004F3D10">
        <w:rPr>
          <w:rFonts w:ascii="Times New Roman" w:eastAsia="Times New Roman" w:hAnsi="Times New Roman" w:cs="Times New Roman"/>
          <w:color w:val="000000"/>
          <w:szCs w:val="20"/>
          <w:lang w:eastAsia="en-AU"/>
        </w:rPr>
        <w:t xml:space="preserve"> or </w:t>
      </w:r>
      <w:r>
        <w:rPr>
          <w:rFonts w:ascii="Times New Roman" w:eastAsia="Times New Roman" w:hAnsi="Times New Roman" w:cs="Times New Roman"/>
          <w:color w:val="000000"/>
          <w:szCs w:val="20"/>
          <w:lang w:eastAsia="en-AU"/>
        </w:rPr>
        <w:t>RNA-NGS</w:t>
      </w:r>
      <w:r w:rsidRPr="000E1BFC" w:rsidDel="004F3D10">
        <w:rPr>
          <w:rFonts w:ascii="Times New Roman" w:eastAsia="Times New Roman" w:hAnsi="Times New Roman" w:cs="Times New Roman"/>
          <w:color w:val="000000"/>
          <w:szCs w:val="20"/>
          <w:lang w:eastAsia="en-AU"/>
        </w:rPr>
        <w:t xml:space="preserve"> at the laboratories’ discretion, an appropriate weighted fee for the NGS item would be $1,000, noting that few laboratories would perform </w:t>
      </w:r>
      <w:r>
        <w:rPr>
          <w:rFonts w:ascii="Times New Roman" w:eastAsia="Times New Roman" w:hAnsi="Times New Roman" w:cs="Times New Roman"/>
          <w:color w:val="000000"/>
          <w:szCs w:val="20"/>
          <w:lang w:eastAsia="en-AU"/>
        </w:rPr>
        <w:t>RNA-NGS</w:t>
      </w:r>
      <w:r w:rsidR="004C6F89">
        <w:rPr>
          <w:rFonts w:ascii="Times New Roman" w:eastAsia="Times New Roman" w:hAnsi="Times New Roman" w:cs="Times New Roman"/>
          <w:color w:val="000000"/>
          <w:szCs w:val="20"/>
          <w:lang w:eastAsia="en-AU"/>
        </w:rPr>
        <w:t xml:space="preserve"> in the near future</w:t>
      </w:r>
      <w:r w:rsidRPr="000E1BFC" w:rsidDel="004F3D10">
        <w:rPr>
          <w:rFonts w:ascii="Times New Roman" w:eastAsia="Times New Roman" w:hAnsi="Times New Roman" w:cs="Times New Roman"/>
          <w:color w:val="000000"/>
          <w:szCs w:val="20"/>
          <w:lang w:eastAsia="en-AU"/>
        </w:rPr>
        <w:t>. MSAC noted that</w:t>
      </w:r>
      <w:r w:rsidR="00764455">
        <w:rPr>
          <w:rFonts w:ascii="Times New Roman" w:eastAsia="Times New Roman" w:hAnsi="Times New Roman" w:cs="Times New Roman"/>
          <w:color w:val="000000"/>
          <w:szCs w:val="20"/>
          <w:lang w:eastAsia="en-AU"/>
        </w:rPr>
        <w:t xml:space="preserve"> </w:t>
      </w:r>
      <w:r w:rsidR="00773EDB">
        <w:rPr>
          <w:rFonts w:ascii="Times New Roman" w:eastAsia="Times New Roman" w:hAnsi="Times New Roman" w:cs="Times New Roman"/>
          <w:color w:val="000000"/>
          <w:szCs w:val="20"/>
          <w:lang w:eastAsia="en-AU"/>
        </w:rPr>
        <w:t>s</w:t>
      </w:r>
      <w:r w:rsidR="00764455" w:rsidRPr="00764455">
        <w:rPr>
          <w:rFonts w:ascii="Times New Roman" w:eastAsia="Times New Roman" w:hAnsi="Times New Roman" w:cs="Times New Roman"/>
          <w:color w:val="000000"/>
          <w:szCs w:val="20"/>
          <w:lang w:eastAsia="en-AU"/>
        </w:rPr>
        <w:t xml:space="preserve">eparate FISH probes are required for fusions in each of the </w:t>
      </w:r>
      <w:r w:rsidR="00764455" w:rsidRPr="00222618">
        <w:rPr>
          <w:rFonts w:ascii="Times New Roman" w:eastAsia="Times New Roman" w:hAnsi="Times New Roman" w:cs="Times New Roman"/>
          <w:i/>
          <w:iCs/>
          <w:color w:val="000000"/>
          <w:szCs w:val="20"/>
          <w:lang w:eastAsia="en-AU"/>
        </w:rPr>
        <w:t>NTRK1</w:t>
      </w:r>
      <w:r w:rsidR="00764455" w:rsidRPr="00764455">
        <w:rPr>
          <w:rFonts w:ascii="Times New Roman" w:eastAsia="Times New Roman" w:hAnsi="Times New Roman" w:cs="Times New Roman"/>
          <w:color w:val="000000"/>
          <w:szCs w:val="20"/>
          <w:lang w:eastAsia="en-AU"/>
        </w:rPr>
        <w:t xml:space="preserve">, </w:t>
      </w:r>
      <w:r w:rsidR="00764455" w:rsidRPr="00222618">
        <w:rPr>
          <w:rFonts w:ascii="Times New Roman" w:eastAsia="Times New Roman" w:hAnsi="Times New Roman" w:cs="Times New Roman"/>
          <w:i/>
          <w:iCs/>
          <w:color w:val="000000"/>
          <w:szCs w:val="20"/>
          <w:lang w:eastAsia="en-AU"/>
        </w:rPr>
        <w:t>NTRK2</w:t>
      </w:r>
      <w:r w:rsidR="00764455" w:rsidRPr="00764455">
        <w:rPr>
          <w:rFonts w:ascii="Times New Roman" w:eastAsia="Times New Roman" w:hAnsi="Times New Roman" w:cs="Times New Roman"/>
          <w:color w:val="000000"/>
          <w:szCs w:val="20"/>
          <w:lang w:eastAsia="en-AU"/>
        </w:rPr>
        <w:t xml:space="preserve"> and </w:t>
      </w:r>
      <w:r w:rsidR="00764455" w:rsidRPr="00222618">
        <w:rPr>
          <w:rFonts w:ascii="Times New Roman" w:eastAsia="Times New Roman" w:hAnsi="Times New Roman" w:cs="Times New Roman"/>
          <w:i/>
          <w:iCs/>
          <w:color w:val="000000"/>
          <w:szCs w:val="20"/>
          <w:lang w:eastAsia="en-AU"/>
        </w:rPr>
        <w:t>NTRK3</w:t>
      </w:r>
      <w:r w:rsidR="00764455" w:rsidRPr="00764455">
        <w:rPr>
          <w:rFonts w:ascii="Times New Roman" w:eastAsia="Times New Roman" w:hAnsi="Times New Roman" w:cs="Times New Roman"/>
          <w:color w:val="000000"/>
          <w:szCs w:val="20"/>
          <w:lang w:eastAsia="en-AU"/>
        </w:rPr>
        <w:t xml:space="preserve"> genes</w:t>
      </w:r>
      <w:r w:rsidR="003F11CA">
        <w:rPr>
          <w:rFonts w:ascii="Times New Roman" w:eastAsia="Times New Roman" w:hAnsi="Times New Roman" w:cs="Times New Roman"/>
          <w:color w:val="000000"/>
          <w:szCs w:val="20"/>
          <w:lang w:eastAsia="en-AU"/>
        </w:rPr>
        <w:t xml:space="preserve"> and that the </w:t>
      </w:r>
      <w:r w:rsidR="004C6F89">
        <w:rPr>
          <w:rFonts w:ascii="Times New Roman" w:eastAsia="Times New Roman" w:hAnsi="Times New Roman" w:cs="Times New Roman"/>
          <w:color w:val="000000"/>
          <w:szCs w:val="20"/>
          <w:lang w:eastAsia="en-AU"/>
        </w:rPr>
        <w:t xml:space="preserve">marginal </w:t>
      </w:r>
      <w:r w:rsidR="003F11CA">
        <w:rPr>
          <w:rFonts w:ascii="Times New Roman" w:eastAsia="Times New Roman" w:hAnsi="Times New Roman" w:cs="Times New Roman"/>
          <w:color w:val="000000"/>
          <w:szCs w:val="20"/>
          <w:lang w:eastAsia="en-AU"/>
        </w:rPr>
        <w:t>cost</w:t>
      </w:r>
      <w:r w:rsidR="004C6F89">
        <w:rPr>
          <w:rFonts w:ascii="Times New Roman" w:eastAsia="Times New Roman" w:hAnsi="Times New Roman" w:cs="Times New Roman"/>
          <w:color w:val="000000"/>
          <w:szCs w:val="20"/>
          <w:lang w:eastAsia="en-AU"/>
        </w:rPr>
        <w:t xml:space="preserve">s reduce for </w:t>
      </w:r>
      <w:r w:rsidR="00E2390D">
        <w:rPr>
          <w:rFonts w:ascii="Times New Roman" w:eastAsia="Times New Roman" w:hAnsi="Times New Roman" w:cs="Times New Roman"/>
          <w:color w:val="000000"/>
          <w:szCs w:val="20"/>
          <w:lang w:eastAsia="en-AU"/>
        </w:rPr>
        <w:t xml:space="preserve">using </w:t>
      </w:r>
      <w:r w:rsidR="004C6F89">
        <w:rPr>
          <w:rFonts w:ascii="Times New Roman" w:eastAsia="Times New Roman" w:hAnsi="Times New Roman" w:cs="Times New Roman"/>
          <w:color w:val="000000"/>
          <w:szCs w:val="20"/>
          <w:lang w:eastAsia="en-AU"/>
        </w:rPr>
        <w:t>additional probes</w:t>
      </w:r>
      <w:r w:rsidR="003F11CA">
        <w:rPr>
          <w:rFonts w:ascii="Times New Roman" w:eastAsia="Times New Roman" w:hAnsi="Times New Roman" w:cs="Times New Roman"/>
          <w:color w:val="000000"/>
          <w:szCs w:val="20"/>
          <w:lang w:eastAsia="en-AU"/>
        </w:rPr>
        <w:t xml:space="preserve">, which was consistent with the </w:t>
      </w:r>
      <w:r w:rsidR="004C6F89">
        <w:rPr>
          <w:rFonts w:ascii="Times New Roman" w:eastAsia="Times New Roman" w:hAnsi="Times New Roman" w:cs="Times New Roman"/>
          <w:color w:val="000000"/>
          <w:szCs w:val="20"/>
          <w:lang w:eastAsia="en-AU"/>
        </w:rPr>
        <w:t xml:space="preserve">fee structure in the </w:t>
      </w:r>
      <w:r w:rsidR="003F11CA">
        <w:rPr>
          <w:rFonts w:ascii="Times New Roman" w:eastAsia="Times New Roman" w:hAnsi="Times New Roman" w:cs="Times New Roman"/>
          <w:color w:val="000000"/>
          <w:szCs w:val="20"/>
          <w:lang w:eastAsia="en-AU"/>
        </w:rPr>
        <w:t xml:space="preserve">proposed MBS item. MSAC also noted </w:t>
      </w:r>
      <w:r w:rsidRPr="000E1BFC" w:rsidDel="004F3D10">
        <w:rPr>
          <w:rFonts w:ascii="Times New Roman" w:eastAsia="Times New Roman" w:hAnsi="Times New Roman" w:cs="Times New Roman"/>
          <w:color w:val="000000"/>
          <w:szCs w:val="20"/>
          <w:lang w:eastAsia="en-AU"/>
        </w:rPr>
        <w:t xml:space="preserve">the current fees for </w:t>
      </w:r>
      <w:r w:rsidR="003F11CA" w:rsidRPr="00222618">
        <w:rPr>
          <w:rFonts w:ascii="Times New Roman" w:eastAsia="Times New Roman" w:hAnsi="Times New Roman" w:cs="Times New Roman"/>
          <w:i/>
          <w:iCs/>
          <w:color w:val="000000"/>
          <w:szCs w:val="20"/>
          <w:lang w:eastAsia="en-AU"/>
        </w:rPr>
        <w:t>NTRK</w:t>
      </w:r>
      <w:r w:rsidR="003F11CA">
        <w:rPr>
          <w:rFonts w:ascii="Times New Roman" w:eastAsia="Times New Roman" w:hAnsi="Times New Roman" w:cs="Times New Roman"/>
          <w:color w:val="000000"/>
          <w:szCs w:val="20"/>
          <w:lang w:eastAsia="en-AU"/>
        </w:rPr>
        <w:t xml:space="preserve"> testing in patients with sarcoma ranged from $340 for 1 gene and $800 for </w:t>
      </w:r>
      <w:r w:rsidR="00E738CD">
        <w:rPr>
          <w:rFonts w:ascii="Times New Roman" w:eastAsia="Times New Roman" w:hAnsi="Times New Roman" w:cs="Times New Roman"/>
          <w:color w:val="000000"/>
          <w:szCs w:val="20"/>
          <w:lang w:eastAsia="en-AU"/>
        </w:rPr>
        <w:t>≥4</w:t>
      </w:r>
      <w:r w:rsidR="003F11CA">
        <w:rPr>
          <w:rFonts w:ascii="Times New Roman" w:eastAsia="Times New Roman" w:hAnsi="Times New Roman" w:cs="Times New Roman"/>
          <w:color w:val="000000"/>
          <w:szCs w:val="20"/>
          <w:lang w:eastAsia="en-AU"/>
        </w:rPr>
        <w:t xml:space="preserve"> genes (</w:t>
      </w:r>
      <w:r w:rsidR="00E2390D">
        <w:rPr>
          <w:rFonts w:ascii="Times New Roman" w:eastAsia="Times New Roman" w:hAnsi="Times New Roman" w:cs="Times New Roman"/>
          <w:color w:val="000000"/>
          <w:szCs w:val="20"/>
          <w:lang w:eastAsia="en-AU"/>
        </w:rPr>
        <w:t xml:space="preserve">method agnostic </w:t>
      </w:r>
      <w:r w:rsidR="003F11CA">
        <w:rPr>
          <w:rFonts w:ascii="Times New Roman" w:eastAsia="Times New Roman" w:hAnsi="Times New Roman" w:cs="Times New Roman"/>
          <w:color w:val="000000"/>
          <w:szCs w:val="20"/>
          <w:lang w:eastAsia="en-AU"/>
        </w:rPr>
        <w:t>MBS items 73374, 73375, 73376)</w:t>
      </w:r>
      <w:r w:rsidR="00E738CD">
        <w:rPr>
          <w:rFonts w:ascii="Times New Roman" w:eastAsia="Times New Roman" w:hAnsi="Times New Roman" w:cs="Times New Roman"/>
          <w:color w:val="000000"/>
          <w:szCs w:val="20"/>
          <w:lang w:eastAsia="en-AU"/>
        </w:rPr>
        <w:t xml:space="preserve"> and for </w:t>
      </w:r>
      <w:r w:rsidR="00E738CD" w:rsidRPr="00E738CD">
        <w:rPr>
          <w:rFonts w:ascii="Times New Roman" w:eastAsia="Times New Roman" w:hAnsi="Times New Roman" w:cs="Times New Roman"/>
          <w:color w:val="000000"/>
          <w:szCs w:val="20"/>
          <w:lang w:eastAsia="en-AU"/>
        </w:rPr>
        <w:t xml:space="preserve">characterisation of </w:t>
      </w:r>
      <w:r w:rsidR="00E738CD" w:rsidRPr="00222618">
        <w:rPr>
          <w:rFonts w:ascii="Times New Roman" w:eastAsia="Times New Roman" w:hAnsi="Times New Roman" w:cs="Times New Roman"/>
          <w:i/>
          <w:iCs/>
          <w:color w:val="000000"/>
          <w:szCs w:val="20"/>
          <w:lang w:eastAsia="en-AU"/>
        </w:rPr>
        <w:t>ETV6‑NTRK3</w:t>
      </w:r>
      <w:r w:rsidR="00E738CD" w:rsidRPr="00E738CD">
        <w:rPr>
          <w:rFonts w:ascii="Times New Roman" w:eastAsia="Times New Roman" w:hAnsi="Times New Roman" w:cs="Times New Roman"/>
          <w:color w:val="000000"/>
          <w:szCs w:val="20"/>
          <w:lang w:eastAsia="en-AU"/>
        </w:rPr>
        <w:t xml:space="preserve"> gene rearrangemen</w:t>
      </w:r>
      <w:r w:rsidR="00E738CD">
        <w:rPr>
          <w:rFonts w:ascii="Times New Roman" w:eastAsia="Times New Roman" w:hAnsi="Times New Roman" w:cs="Times New Roman"/>
          <w:color w:val="000000"/>
          <w:szCs w:val="20"/>
          <w:lang w:eastAsia="en-AU"/>
        </w:rPr>
        <w:t>t was $340 (</w:t>
      </w:r>
      <w:r w:rsidR="00E2390D">
        <w:rPr>
          <w:rFonts w:ascii="Times New Roman" w:eastAsia="Times New Roman" w:hAnsi="Times New Roman" w:cs="Times New Roman"/>
          <w:color w:val="000000"/>
          <w:szCs w:val="20"/>
          <w:lang w:eastAsia="en-AU"/>
        </w:rPr>
        <w:t xml:space="preserve">method agnostic </w:t>
      </w:r>
      <w:r w:rsidR="00E738CD">
        <w:rPr>
          <w:rFonts w:ascii="Times New Roman" w:eastAsia="Times New Roman" w:hAnsi="Times New Roman" w:cs="Times New Roman"/>
          <w:color w:val="000000"/>
          <w:szCs w:val="20"/>
          <w:lang w:eastAsia="en-AU"/>
        </w:rPr>
        <w:t>MBS item</w:t>
      </w:r>
      <w:r w:rsidR="00E2390D">
        <w:rPr>
          <w:rFonts w:ascii="Times New Roman" w:eastAsia="Times New Roman" w:hAnsi="Times New Roman" w:cs="Times New Roman"/>
          <w:color w:val="000000"/>
          <w:szCs w:val="20"/>
          <w:lang w:eastAsia="en-AU"/>
        </w:rPr>
        <w:t>s</w:t>
      </w:r>
      <w:r w:rsidR="00E738CD">
        <w:rPr>
          <w:rFonts w:ascii="Times New Roman" w:eastAsia="Times New Roman" w:hAnsi="Times New Roman" w:cs="Times New Roman"/>
          <w:color w:val="000000"/>
          <w:szCs w:val="20"/>
          <w:lang w:eastAsia="en-AU"/>
        </w:rPr>
        <w:t xml:space="preserve"> 73379, 73381). MSAC considered that this level of reimbursement would not be suitable for NGS</w:t>
      </w:r>
      <w:r w:rsidR="004C6F89">
        <w:rPr>
          <w:rFonts w:ascii="Times New Roman" w:eastAsia="Times New Roman" w:hAnsi="Times New Roman" w:cs="Times New Roman"/>
          <w:color w:val="000000"/>
          <w:szCs w:val="20"/>
          <w:lang w:eastAsia="en-AU"/>
        </w:rPr>
        <w:t xml:space="preserve">. MSAC supported the proposed fees for FISH testing on the basis </w:t>
      </w:r>
      <w:r w:rsidR="006A716D">
        <w:rPr>
          <w:rFonts w:ascii="Times New Roman" w:eastAsia="Times New Roman" w:hAnsi="Times New Roman" w:cs="Times New Roman"/>
          <w:color w:val="000000"/>
          <w:szCs w:val="20"/>
          <w:lang w:eastAsia="en-AU"/>
        </w:rPr>
        <w:t>that</w:t>
      </w:r>
      <w:r w:rsidR="00E738CD">
        <w:rPr>
          <w:rFonts w:ascii="Times New Roman" w:eastAsia="Times New Roman" w:hAnsi="Times New Roman" w:cs="Times New Roman"/>
          <w:color w:val="000000"/>
          <w:szCs w:val="20"/>
          <w:lang w:eastAsia="en-AU"/>
        </w:rPr>
        <w:t xml:space="preserve"> the </w:t>
      </w:r>
      <w:r w:rsidR="004C6F89">
        <w:rPr>
          <w:rFonts w:ascii="Times New Roman" w:eastAsia="Times New Roman" w:hAnsi="Times New Roman" w:cs="Times New Roman"/>
          <w:color w:val="000000"/>
          <w:szCs w:val="20"/>
          <w:lang w:eastAsia="en-AU"/>
        </w:rPr>
        <w:t xml:space="preserve">benchmark </w:t>
      </w:r>
      <w:r w:rsidR="00E738CD">
        <w:rPr>
          <w:rFonts w:ascii="Times New Roman" w:eastAsia="Times New Roman" w:hAnsi="Times New Roman" w:cs="Times New Roman"/>
          <w:color w:val="000000"/>
          <w:szCs w:val="20"/>
          <w:lang w:eastAsia="en-AU"/>
        </w:rPr>
        <w:t>fee</w:t>
      </w:r>
      <w:r w:rsidR="006A716D">
        <w:rPr>
          <w:rFonts w:ascii="Times New Roman" w:eastAsia="Times New Roman" w:hAnsi="Times New Roman" w:cs="Times New Roman"/>
          <w:color w:val="000000"/>
          <w:szCs w:val="20"/>
          <w:lang w:eastAsia="en-AU"/>
        </w:rPr>
        <w:t xml:space="preserve"> of $340</w:t>
      </w:r>
      <w:r w:rsidR="00E738CD">
        <w:rPr>
          <w:rFonts w:ascii="Times New Roman" w:eastAsia="Times New Roman" w:hAnsi="Times New Roman" w:cs="Times New Roman"/>
          <w:color w:val="000000"/>
          <w:szCs w:val="20"/>
          <w:lang w:eastAsia="en-AU"/>
        </w:rPr>
        <w:t xml:space="preserve"> may</w:t>
      </w:r>
      <w:r w:rsidR="00E738CD" w:rsidRPr="00E738CD">
        <w:rPr>
          <w:rFonts w:ascii="Times New Roman" w:eastAsia="Times New Roman" w:hAnsi="Times New Roman" w:cs="Times New Roman"/>
          <w:color w:val="000000"/>
          <w:szCs w:val="20"/>
          <w:lang w:eastAsia="en-AU"/>
        </w:rPr>
        <w:t xml:space="preserve"> </w:t>
      </w:r>
      <w:r w:rsidR="00E738CD">
        <w:rPr>
          <w:rFonts w:ascii="Times New Roman" w:eastAsia="Times New Roman" w:hAnsi="Times New Roman" w:cs="Times New Roman"/>
          <w:color w:val="000000"/>
          <w:szCs w:val="20"/>
          <w:lang w:eastAsia="en-AU"/>
        </w:rPr>
        <w:t>not</w:t>
      </w:r>
      <w:r w:rsidR="003F11CA">
        <w:rPr>
          <w:rFonts w:ascii="Times New Roman" w:eastAsia="Times New Roman" w:hAnsi="Times New Roman" w:cs="Times New Roman"/>
          <w:color w:val="000000"/>
          <w:szCs w:val="20"/>
          <w:lang w:eastAsia="en-AU"/>
        </w:rPr>
        <w:t xml:space="preserve"> </w:t>
      </w:r>
      <w:r w:rsidRPr="000E1BFC" w:rsidDel="004F3D10">
        <w:rPr>
          <w:rFonts w:ascii="Times New Roman" w:eastAsia="Times New Roman" w:hAnsi="Times New Roman" w:cs="Times New Roman"/>
          <w:color w:val="000000"/>
          <w:szCs w:val="20"/>
          <w:lang w:eastAsia="en-AU"/>
        </w:rPr>
        <w:t>reflect real-world costs for laboratories</w:t>
      </w:r>
      <w:r w:rsidR="00E738CD">
        <w:rPr>
          <w:rFonts w:ascii="Times New Roman" w:eastAsia="Times New Roman" w:hAnsi="Times New Roman" w:cs="Times New Roman"/>
          <w:color w:val="000000"/>
          <w:szCs w:val="20"/>
          <w:lang w:eastAsia="en-AU"/>
        </w:rPr>
        <w:t xml:space="preserve"> conducting FISH testing</w:t>
      </w:r>
      <w:r w:rsidRPr="000E1BFC" w:rsidDel="004F3D10">
        <w:rPr>
          <w:rFonts w:ascii="Times New Roman" w:eastAsia="Times New Roman" w:hAnsi="Times New Roman" w:cs="Times New Roman"/>
          <w:color w:val="000000"/>
          <w:szCs w:val="20"/>
          <w:lang w:eastAsia="en-AU"/>
        </w:rPr>
        <w:t>.</w:t>
      </w:r>
    </w:p>
    <w:p w14:paraId="48367804" w14:textId="67680FB4" w:rsidR="000E1BFC" w:rsidRPr="000E1BFC" w:rsidDel="004F3D10" w:rsidRDefault="000E1BFC" w:rsidP="000E1BFC">
      <w:pPr>
        <w:keepNext/>
        <w:spacing w:before="0" w:after="120"/>
        <w:jc w:val="left"/>
        <w:rPr>
          <w:rFonts w:ascii="Times New Roman" w:eastAsia="Times New Roman" w:hAnsi="Times New Roman" w:cs="Times New Roman"/>
          <w:color w:val="000000"/>
          <w:szCs w:val="20"/>
          <w:lang w:eastAsia="en-AU"/>
        </w:rPr>
      </w:pPr>
      <w:r w:rsidRPr="000E1BFC" w:rsidDel="004F3D10">
        <w:rPr>
          <w:rFonts w:ascii="Times New Roman" w:eastAsia="Times New Roman" w:hAnsi="Times New Roman" w:cs="Times New Roman"/>
          <w:color w:val="000000"/>
          <w:szCs w:val="20"/>
          <w:lang w:eastAsia="en-AU"/>
        </w:rPr>
        <w:t xml:space="preserve">MSAC </w:t>
      </w:r>
      <w:r w:rsidR="003A2CCD">
        <w:rPr>
          <w:rFonts w:ascii="Times New Roman" w:eastAsia="Times New Roman" w:hAnsi="Times New Roman" w:cs="Times New Roman"/>
          <w:color w:val="000000"/>
          <w:szCs w:val="20"/>
          <w:lang w:eastAsia="en-AU"/>
        </w:rPr>
        <w:t>considered</w:t>
      </w:r>
      <w:r w:rsidR="003A2CCD" w:rsidRPr="000E1BFC" w:rsidDel="004F3D10">
        <w:rPr>
          <w:rFonts w:ascii="Times New Roman" w:eastAsia="Times New Roman" w:hAnsi="Times New Roman" w:cs="Times New Roman"/>
          <w:color w:val="000000"/>
          <w:szCs w:val="20"/>
          <w:lang w:eastAsia="en-AU"/>
        </w:rPr>
        <w:t xml:space="preserve"> </w:t>
      </w:r>
      <w:r w:rsidRPr="000E1BFC" w:rsidDel="004F3D10">
        <w:rPr>
          <w:rFonts w:ascii="Times New Roman" w:eastAsia="Times New Roman" w:hAnsi="Times New Roman" w:cs="Times New Roman"/>
          <w:color w:val="000000"/>
          <w:szCs w:val="20"/>
          <w:lang w:eastAsia="en-AU"/>
        </w:rPr>
        <w:t>the proposed MBS item descriptors</w:t>
      </w:r>
      <w:r w:rsidR="00FD4762">
        <w:rPr>
          <w:rFonts w:ascii="Times New Roman" w:eastAsia="Times New Roman" w:hAnsi="Times New Roman" w:cs="Times New Roman"/>
          <w:color w:val="000000"/>
          <w:szCs w:val="20"/>
          <w:lang w:eastAsia="en-AU"/>
        </w:rPr>
        <w:t xml:space="preserve"> for </w:t>
      </w:r>
      <w:r w:rsidR="00FD4762" w:rsidRPr="004C6F89">
        <w:rPr>
          <w:rFonts w:ascii="Times New Roman" w:eastAsia="Times New Roman" w:hAnsi="Times New Roman" w:cs="Times New Roman"/>
          <w:i/>
          <w:iCs/>
          <w:color w:val="000000"/>
          <w:szCs w:val="20"/>
          <w:lang w:eastAsia="en-AU"/>
        </w:rPr>
        <w:t>NTRK</w:t>
      </w:r>
      <w:r w:rsidR="00FD4762">
        <w:rPr>
          <w:rFonts w:ascii="Times New Roman" w:eastAsia="Times New Roman" w:hAnsi="Times New Roman" w:cs="Times New Roman"/>
          <w:color w:val="000000"/>
          <w:szCs w:val="20"/>
          <w:lang w:eastAsia="en-AU"/>
        </w:rPr>
        <w:t xml:space="preserve"> gene fusion testing</w:t>
      </w:r>
      <w:r w:rsidR="00682795">
        <w:rPr>
          <w:rFonts w:ascii="Times New Roman" w:eastAsia="Times New Roman" w:hAnsi="Times New Roman" w:cs="Times New Roman"/>
          <w:color w:val="000000"/>
          <w:szCs w:val="20"/>
          <w:lang w:eastAsia="en-AU"/>
        </w:rPr>
        <w:t>.</w:t>
      </w:r>
      <w:r w:rsidR="004F0343">
        <w:rPr>
          <w:rFonts w:ascii="Times New Roman" w:eastAsia="Times New Roman" w:hAnsi="Times New Roman" w:cs="Times New Roman"/>
          <w:color w:val="000000"/>
          <w:szCs w:val="20"/>
          <w:lang w:eastAsia="en-AU"/>
        </w:rPr>
        <w:t xml:space="preserve"> </w:t>
      </w:r>
      <w:r w:rsidRPr="000E1BFC" w:rsidDel="004F3D10">
        <w:rPr>
          <w:rFonts w:ascii="Times New Roman" w:eastAsia="Times New Roman" w:hAnsi="Times New Roman" w:cs="Times New Roman"/>
          <w:color w:val="000000"/>
          <w:szCs w:val="20"/>
          <w:lang w:eastAsia="en-AU"/>
        </w:rPr>
        <w:t>MSAC advised that</w:t>
      </w:r>
      <w:r w:rsidR="003A2CCD">
        <w:rPr>
          <w:rFonts w:ascii="Times New Roman" w:eastAsia="Times New Roman" w:hAnsi="Times New Roman" w:cs="Times New Roman"/>
          <w:color w:val="000000"/>
          <w:szCs w:val="20"/>
          <w:lang w:eastAsia="en-AU"/>
        </w:rPr>
        <w:t xml:space="preserve"> s</w:t>
      </w:r>
      <w:r w:rsidR="003A2CCD" w:rsidRPr="00D56961">
        <w:rPr>
          <w:rFonts w:ascii="Times New Roman" w:eastAsia="Times New Roman" w:hAnsi="Times New Roman" w:cs="Times New Roman"/>
          <w:color w:val="000000"/>
          <w:szCs w:val="20"/>
          <w:lang w:eastAsia="en-AU"/>
        </w:rPr>
        <w:t xml:space="preserve">eparate </w:t>
      </w:r>
      <w:r w:rsidR="004C6F89">
        <w:rPr>
          <w:rFonts w:ascii="Times New Roman" w:eastAsia="Times New Roman" w:hAnsi="Times New Roman" w:cs="Times New Roman"/>
          <w:color w:val="000000"/>
          <w:szCs w:val="20"/>
          <w:lang w:eastAsia="en-AU"/>
        </w:rPr>
        <w:t xml:space="preserve">MBS </w:t>
      </w:r>
      <w:r w:rsidR="003A2CCD" w:rsidRPr="00D56961">
        <w:rPr>
          <w:rFonts w:ascii="Times New Roman" w:eastAsia="Times New Roman" w:hAnsi="Times New Roman" w:cs="Times New Roman"/>
          <w:color w:val="000000"/>
          <w:szCs w:val="20"/>
          <w:lang w:eastAsia="en-AU"/>
        </w:rPr>
        <w:t xml:space="preserve">items </w:t>
      </w:r>
      <w:r w:rsidR="00232106">
        <w:rPr>
          <w:rFonts w:ascii="Times New Roman" w:eastAsia="Times New Roman" w:hAnsi="Times New Roman" w:cs="Times New Roman"/>
          <w:color w:val="000000"/>
          <w:szCs w:val="20"/>
          <w:lang w:eastAsia="en-AU"/>
        </w:rPr>
        <w:t>sh</w:t>
      </w:r>
      <w:r w:rsidR="003A2CCD" w:rsidRPr="00D56961">
        <w:rPr>
          <w:rFonts w:ascii="Times New Roman" w:eastAsia="Times New Roman" w:hAnsi="Times New Roman" w:cs="Times New Roman"/>
          <w:color w:val="000000"/>
          <w:szCs w:val="20"/>
          <w:lang w:eastAsia="en-AU"/>
        </w:rPr>
        <w:t xml:space="preserve">ould be </w:t>
      </w:r>
      <w:r w:rsidR="00232106">
        <w:rPr>
          <w:rFonts w:ascii="Times New Roman" w:eastAsia="Times New Roman" w:hAnsi="Times New Roman" w:cs="Times New Roman"/>
          <w:color w:val="000000"/>
          <w:szCs w:val="20"/>
          <w:lang w:eastAsia="en-AU"/>
        </w:rPr>
        <w:t>created</w:t>
      </w:r>
      <w:r w:rsidR="003A2CCD" w:rsidRPr="00D56961">
        <w:rPr>
          <w:rFonts w:ascii="Times New Roman" w:eastAsia="Times New Roman" w:hAnsi="Times New Roman" w:cs="Times New Roman"/>
          <w:color w:val="000000"/>
          <w:szCs w:val="20"/>
          <w:lang w:eastAsia="en-AU"/>
        </w:rPr>
        <w:t xml:space="preserve"> for </w:t>
      </w:r>
      <w:r w:rsidR="004C6F89">
        <w:rPr>
          <w:rFonts w:ascii="Times New Roman" w:eastAsia="Times New Roman" w:hAnsi="Times New Roman" w:cs="Times New Roman"/>
          <w:color w:val="000000"/>
          <w:szCs w:val="20"/>
          <w:lang w:eastAsia="en-AU"/>
        </w:rPr>
        <w:t xml:space="preserve">the two </w:t>
      </w:r>
      <w:r w:rsidR="003A2CCD" w:rsidRPr="00D56961">
        <w:rPr>
          <w:rFonts w:ascii="Times New Roman" w:eastAsia="Times New Roman" w:hAnsi="Times New Roman" w:cs="Times New Roman"/>
          <w:color w:val="000000"/>
          <w:szCs w:val="20"/>
          <w:lang w:eastAsia="en-AU"/>
        </w:rPr>
        <w:t>separate methodologies due to their differing costs and performance and the need to allow time for pathology laboratories to develop the capacity to provide NGS-based services</w:t>
      </w:r>
      <w:r w:rsidR="008266D4">
        <w:rPr>
          <w:rFonts w:ascii="Times New Roman" w:eastAsia="Times New Roman" w:hAnsi="Times New Roman" w:cs="Times New Roman"/>
          <w:color w:val="000000"/>
          <w:szCs w:val="20"/>
          <w:lang w:eastAsia="en-AU"/>
        </w:rPr>
        <w:t>:</w:t>
      </w:r>
    </w:p>
    <w:p w14:paraId="6CA6FE1A" w14:textId="4D41905D" w:rsidR="000E1BFC" w:rsidRPr="000E1BFC" w:rsidDel="004F3D10" w:rsidRDefault="00267B87" w:rsidP="00864249">
      <w:pPr>
        <w:numPr>
          <w:ilvl w:val="0"/>
          <w:numId w:val="35"/>
        </w:numPr>
        <w:spacing w:before="0" w:after="120"/>
        <w:jc w:val="left"/>
        <w:rPr>
          <w:rFonts w:ascii="Times New Roman" w:eastAsia="Times New Roman" w:hAnsi="Times New Roman" w:cs="Times New Roman"/>
          <w:color w:val="000000"/>
          <w:szCs w:val="20"/>
          <w:lang w:eastAsia="en-AU"/>
        </w:rPr>
      </w:pPr>
      <w:r>
        <w:rPr>
          <w:rFonts w:ascii="Times New Roman" w:eastAsia="Times New Roman" w:hAnsi="Times New Roman" w:cs="Times New Roman"/>
          <w:color w:val="000000"/>
          <w:szCs w:val="20"/>
          <w:lang w:eastAsia="en-AU"/>
        </w:rPr>
        <w:t>O</w:t>
      </w:r>
      <w:r w:rsidR="000E1BFC" w:rsidRPr="000E1BFC" w:rsidDel="004F3D10">
        <w:rPr>
          <w:rFonts w:ascii="Times New Roman" w:eastAsia="Times New Roman" w:hAnsi="Times New Roman" w:cs="Times New Roman"/>
          <w:color w:val="000000"/>
          <w:szCs w:val="20"/>
          <w:lang w:eastAsia="en-AU"/>
        </w:rPr>
        <w:t xml:space="preserve">ne item for FISH testing in a patient who is either aged less than 18 years, </w:t>
      </w:r>
      <w:r w:rsidR="00F86F3C">
        <w:rPr>
          <w:rFonts w:ascii="Times New Roman" w:eastAsia="Times New Roman" w:hAnsi="Times New Roman" w:cs="Times New Roman"/>
          <w:color w:val="000000"/>
          <w:szCs w:val="20"/>
          <w:lang w:eastAsia="en-AU"/>
        </w:rPr>
        <w:t xml:space="preserve">or </w:t>
      </w:r>
      <w:r w:rsidR="003A2CCD">
        <w:rPr>
          <w:rFonts w:ascii="Times New Roman" w:eastAsia="Times New Roman" w:hAnsi="Times New Roman" w:cs="Times New Roman"/>
          <w:color w:val="000000"/>
          <w:szCs w:val="20"/>
          <w:lang w:eastAsia="en-AU"/>
        </w:rPr>
        <w:t xml:space="preserve">has a tumour type at high risk of being caused by a </w:t>
      </w:r>
      <w:r w:rsidR="003A2CCD" w:rsidRPr="00232106">
        <w:rPr>
          <w:rFonts w:ascii="Times New Roman" w:eastAsia="Times New Roman" w:hAnsi="Times New Roman" w:cs="Times New Roman"/>
          <w:i/>
          <w:iCs/>
          <w:color w:val="000000"/>
          <w:szCs w:val="20"/>
          <w:lang w:eastAsia="en-AU"/>
        </w:rPr>
        <w:t>NTRK</w:t>
      </w:r>
      <w:r w:rsidR="003A2CCD">
        <w:rPr>
          <w:rFonts w:ascii="Times New Roman" w:eastAsia="Times New Roman" w:hAnsi="Times New Roman" w:cs="Times New Roman"/>
          <w:color w:val="000000"/>
          <w:szCs w:val="20"/>
          <w:lang w:eastAsia="en-AU"/>
        </w:rPr>
        <w:t xml:space="preserve"> fusion</w:t>
      </w:r>
      <w:r w:rsidR="000E1BFC" w:rsidRPr="000E1BFC" w:rsidDel="004F3D10">
        <w:rPr>
          <w:rFonts w:ascii="Times New Roman" w:eastAsia="Times New Roman" w:hAnsi="Times New Roman" w:cs="Times New Roman"/>
          <w:color w:val="000000"/>
          <w:szCs w:val="20"/>
          <w:lang w:eastAsia="en-AU"/>
        </w:rPr>
        <w:t>, with a fee of $400 for one test, $533 for two tests or $667 for three tests</w:t>
      </w:r>
    </w:p>
    <w:p w14:paraId="5D6F24AE" w14:textId="54ADE1BC" w:rsidR="000E1BFC" w:rsidRPr="000E1BFC" w:rsidDel="004F3D10" w:rsidRDefault="003A2CCD" w:rsidP="00864249">
      <w:pPr>
        <w:numPr>
          <w:ilvl w:val="0"/>
          <w:numId w:val="35"/>
        </w:numPr>
        <w:spacing w:before="0" w:after="120"/>
        <w:jc w:val="left"/>
        <w:rPr>
          <w:rFonts w:ascii="Times New Roman" w:eastAsia="Times New Roman" w:hAnsi="Times New Roman" w:cs="Times New Roman"/>
          <w:color w:val="000000"/>
          <w:szCs w:val="20"/>
          <w:lang w:eastAsia="en-AU"/>
        </w:rPr>
      </w:pPr>
      <w:r>
        <w:rPr>
          <w:rFonts w:ascii="Times New Roman" w:eastAsia="Times New Roman" w:hAnsi="Times New Roman" w:cs="Times New Roman"/>
          <w:color w:val="000000"/>
          <w:szCs w:val="20"/>
          <w:lang w:eastAsia="en-AU"/>
        </w:rPr>
        <w:t>O</w:t>
      </w:r>
      <w:r w:rsidR="000E1BFC" w:rsidRPr="000E1BFC" w:rsidDel="004F3D10">
        <w:rPr>
          <w:rFonts w:ascii="Times New Roman" w:eastAsia="Times New Roman" w:hAnsi="Times New Roman" w:cs="Times New Roman"/>
          <w:color w:val="000000"/>
          <w:szCs w:val="20"/>
          <w:lang w:eastAsia="en-AU"/>
        </w:rPr>
        <w:t xml:space="preserve">ne item for NGS testing, using either DNA or RNA, in a patient who is either aged less than 18 years, </w:t>
      </w:r>
      <w:r w:rsidR="00F86F3C">
        <w:rPr>
          <w:rFonts w:ascii="Times New Roman" w:eastAsia="Times New Roman" w:hAnsi="Times New Roman" w:cs="Times New Roman"/>
          <w:color w:val="000000"/>
          <w:szCs w:val="20"/>
          <w:lang w:eastAsia="en-AU"/>
        </w:rPr>
        <w:t xml:space="preserve">or has a tumour type at high risk of being caused by a </w:t>
      </w:r>
      <w:r w:rsidR="00F86F3C" w:rsidRPr="00EB7C86">
        <w:rPr>
          <w:rFonts w:ascii="Times New Roman" w:eastAsia="Times New Roman" w:hAnsi="Times New Roman" w:cs="Times New Roman"/>
          <w:i/>
          <w:iCs/>
          <w:color w:val="000000"/>
          <w:szCs w:val="20"/>
          <w:lang w:eastAsia="en-AU"/>
        </w:rPr>
        <w:t>NTRK</w:t>
      </w:r>
      <w:r w:rsidR="00F86F3C">
        <w:rPr>
          <w:rFonts w:ascii="Times New Roman" w:eastAsia="Times New Roman" w:hAnsi="Times New Roman" w:cs="Times New Roman"/>
          <w:color w:val="000000"/>
          <w:szCs w:val="20"/>
          <w:lang w:eastAsia="en-AU"/>
        </w:rPr>
        <w:t xml:space="preserve"> fusion</w:t>
      </w:r>
      <w:r w:rsidR="000E1BFC" w:rsidRPr="000E1BFC" w:rsidDel="004F3D10">
        <w:rPr>
          <w:rFonts w:ascii="Times New Roman" w:eastAsia="Times New Roman" w:hAnsi="Times New Roman" w:cs="Times New Roman"/>
          <w:color w:val="000000"/>
          <w:szCs w:val="20"/>
          <w:lang w:eastAsia="en-AU"/>
        </w:rPr>
        <w:t>, with a fee of $1,000.</w:t>
      </w:r>
    </w:p>
    <w:p w14:paraId="2DE14CE6" w14:textId="7E814C0E" w:rsidR="003A2CCD" w:rsidRDefault="003A2CCD" w:rsidP="000E1BFC">
      <w:pPr>
        <w:spacing w:before="0" w:after="240"/>
        <w:jc w:val="left"/>
        <w:rPr>
          <w:rFonts w:ascii="Times New Roman" w:eastAsia="Times New Roman" w:hAnsi="Times New Roman" w:cs="Times New Roman"/>
          <w:color w:val="000000"/>
          <w:szCs w:val="20"/>
          <w:lang w:eastAsia="en-AU"/>
        </w:rPr>
      </w:pPr>
      <w:r w:rsidRPr="000E1BFC" w:rsidDel="004F3D10">
        <w:rPr>
          <w:rFonts w:ascii="Times New Roman" w:eastAsia="Times New Roman" w:hAnsi="Times New Roman" w:cs="Times New Roman"/>
          <w:color w:val="000000"/>
          <w:szCs w:val="20"/>
          <w:lang w:eastAsia="en-AU"/>
        </w:rPr>
        <w:t xml:space="preserve">MSAC also considered that the two cancer types with high frequency of </w:t>
      </w:r>
      <w:r w:rsidRPr="000E1BFC" w:rsidDel="004F3D10">
        <w:rPr>
          <w:rFonts w:ascii="Times New Roman" w:eastAsia="Times New Roman" w:hAnsi="Times New Roman" w:cs="Times New Roman"/>
          <w:i/>
          <w:iCs/>
          <w:color w:val="000000"/>
          <w:szCs w:val="20"/>
          <w:lang w:eastAsia="en-AU"/>
        </w:rPr>
        <w:t>NTRK</w:t>
      </w:r>
      <w:r w:rsidRPr="000E1BFC" w:rsidDel="004F3D10">
        <w:rPr>
          <w:rFonts w:ascii="Times New Roman" w:eastAsia="Times New Roman" w:hAnsi="Times New Roman" w:cs="Times New Roman"/>
          <w:color w:val="000000"/>
          <w:szCs w:val="20"/>
          <w:lang w:eastAsia="en-AU"/>
        </w:rPr>
        <w:t xml:space="preserve"> fusion in adults</w:t>
      </w:r>
      <w:r>
        <w:rPr>
          <w:rFonts w:ascii="Times New Roman" w:eastAsia="Times New Roman" w:hAnsi="Times New Roman" w:cs="Times New Roman"/>
          <w:color w:val="000000"/>
          <w:szCs w:val="20"/>
          <w:lang w:eastAsia="en-AU"/>
        </w:rPr>
        <w:t xml:space="preserve">: </w:t>
      </w:r>
      <w:r w:rsidRPr="000E1BFC" w:rsidDel="004F3D10">
        <w:rPr>
          <w:rFonts w:ascii="Times New Roman" w:eastAsia="Times New Roman" w:hAnsi="Times New Roman" w:cs="Times New Roman"/>
          <w:color w:val="000000"/>
          <w:szCs w:val="20"/>
          <w:lang w:eastAsia="en-AU"/>
        </w:rPr>
        <w:t>mammary analogue secretory carcinoma of the salivary gland or secretory breast cancer</w:t>
      </w:r>
      <w:r w:rsidR="004F0343">
        <w:rPr>
          <w:rFonts w:ascii="Times New Roman" w:eastAsia="Times New Roman" w:hAnsi="Times New Roman" w:cs="Times New Roman"/>
          <w:color w:val="000000"/>
          <w:szCs w:val="20"/>
          <w:lang w:eastAsia="en-AU"/>
        </w:rPr>
        <w:t>,</w:t>
      </w:r>
      <w:r w:rsidRPr="000E1BFC" w:rsidDel="004F3D10">
        <w:rPr>
          <w:rFonts w:ascii="Times New Roman" w:eastAsia="Times New Roman" w:hAnsi="Times New Roman" w:cs="Times New Roman"/>
          <w:color w:val="000000"/>
          <w:szCs w:val="20"/>
          <w:lang w:eastAsia="en-AU"/>
        </w:rPr>
        <w:t xml:space="preserve"> should be specified </w:t>
      </w:r>
      <w:r w:rsidR="00232106">
        <w:rPr>
          <w:rFonts w:ascii="Times New Roman" w:eastAsia="Times New Roman" w:hAnsi="Times New Roman" w:cs="Times New Roman"/>
          <w:color w:val="000000"/>
          <w:szCs w:val="20"/>
          <w:lang w:eastAsia="en-AU"/>
        </w:rPr>
        <w:t>in the item descriptor</w:t>
      </w:r>
      <w:r w:rsidRPr="000E1BFC" w:rsidDel="004F3D10">
        <w:rPr>
          <w:rFonts w:ascii="Times New Roman" w:eastAsia="Times New Roman" w:hAnsi="Times New Roman" w:cs="Times New Roman"/>
          <w:color w:val="000000"/>
          <w:szCs w:val="20"/>
          <w:lang w:eastAsia="en-AU"/>
        </w:rPr>
        <w:t>.</w:t>
      </w:r>
    </w:p>
    <w:p w14:paraId="0BDEFD28" w14:textId="1B5E6F00" w:rsidR="000E1BFC" w:rsidRDefault="000E1BFC" w:rsidP="000E1BFC">
      <w:pPr>
        <w:spacing w:before="0" w:after="240"/>
        <w:jc w:val="left"/>
        <w:rPr>
          <w:rFonts w:ascii="Times New Roman" w:eastAsia="Times New Roman" w:hAnsi="Times New Roman" w:cs="Times New Roman"/>
          <w:color w:val="000000"/>
          <w:szCs w:val="20"/>
          <w:lang w:eastAsia="en-AU"/>
        </w:rPr>
      </w:pPr>
      <w:r w:rsidRPr="000E1BFC" w:rsidDel="004F3D10">
        <w:rPr>
          <w:rFonts w:ascii="Times New Roman" w:eastAsia="Times New Roman" w:hAnsi="Times New Roman" w:cs="Times New Roman"/>
          <w:color w:val="000000"/>
          <w:szCs w:val="20"/>
          <w:lang w:eastAsia="en-AU"/>
        </w:rPr>
        <w:t xml:space="preserve">MSAC advised that only one item can be claimed per </w:t>
      </w:r>
      <w:r w:rsidR="00232106">
        <w:rPr>
          <w:rFonts w:ascii="Times New Roman" w:eastAsia="Times New Roman" w:hAnsi="Times New Roman" w:cs="Times New Roman"/>
          <w:color w:val="000000"/>
          <w:szCs w:val="20"/>
          <w:lang w:eastAsia="en-AU"/>
        </w:rPr>
        <w:t>cancer diagnosis</w:t>
      </w:r>
      <w:r w:rsidRPr="000E1BFC" w:rsidDel="004F3D10">
        <w:rPr>
          <w:rFonts w:ascii="Times New Roman" w:eastAsia="Times New Roman" w:hAnsi="Times New Roman" w:cs="Times New Roman"/>
          <w:color w:val="000000"/>
          <w:szCs w:val="20"/>
          <w:lang w:eastAsia="en-AU"/>
        </w:rPr>
        <w:t xml:space="preserve"> (for either FISH or NGS), not both, and that this would be decided by the testing laboratory.</w:t>
      </w:r>
    </w:p>
    <w:p w14:paraId="1EE9EB1F" w14:textId="3BAA5F5D" w:rsidR="00682795" w:rsidRDefault="00682795" w:rsidP="000E1BFC">
      <w:pPr>
        <w:spacing w:before="0" w:after="240"/>
        <w:jc w:val="left"/>
        <w:rPr>
          <w:rFonts w:ascii="Times New Roman" w:eastAsia="Times New Roman" w:hAnsi="Times New Roman" w:cs="Times New Roman"/>
          <w:color w:val="000000"/>
          <w:szCs w:val="20"/>
          <w:lang w:eastAsia="en-AU"/>
        </w:rPr>
      </w:pPr>
      <w:r>
        <w:rPr>
          <w:rFonts w:ascii="Times New Roman" w:eastAsia="Times New Roman" w:hAnsi="Times New Roman" w:cs="Times New Roman"/>
          <w:color w:val="000000"/>
          <w:szCs w:val="20"/>
          <w:lang w:eastAsia="en-AU"/>
        </w:rPr>
        <w:t xml:space="preserve">Overall, </w:t>
      </w:r>
      <w:r w:rsidRPr="000E1BFC">
        <w:rPr>
          <w:rFonts w:ascii="Times New Roman" w:eastAsia="Times New Roman" w:hAnsi="Times New Roman" w:cs="Times New Roman"/>
          <w:color w:val="000000"/>
          <w:szCs w:val="20"/>
          <w:lang w:eastAsia="en-AU"/>
        </w:rPr>
        <w:t xml:space="preserve">MSAC supported MBS </w:t>
      </w:r>
      <w:r>
        <w:rPr>
          <w:rFonts w:ascii="Times New Roman" w:eastAsia="Times New Roman" w:hAnsi="Times New Roman" w:cs="Times New Roman"/>
          <w:color w:val="000000"/>
          <w:szCs w:val="20"/>
          <w:lang w:eastAsia="en-AU"/>
        </w:rPr>
        <w:t>funding</w:t>
      </w:r>
      <w:r w:rsidRPr="000E1BFC">
        <w:rPr>
          <w:rFonts w:ascii="Times New Roman" w:eastAsia="Times New Roman" w:hAnsi="Times New Roman" w:cs="Times New Roman"/>
          <w:color w:val="000000"/>
          <w:szCs w:val="20"/>
          <w:lang w:eastAsia="en-AU"/>
        </w:rPr>
        <w:t xml:space="preserve"> of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 testing for all paediatric patients, and </w:t>
      </w:r>
      <w:r w:rsidRPr="00D56961">
        <w:rPr>
          <w:rFonts w:ascii="Times New Roman" w:eastAsia="Times New Roman" w:hAnsi="Times New Roman" w:cs="Times New Roman"/>
          <w:color w:val="000000"/>
          <w:szCs w:val="20"/>
          <w:lang w:eastAsia="en-AU"/>
        </w:rPr>
        <w:t xml:space="preserve">adult patients with high-frequency </w:t>
      </w:r>
      <w:r w:rsidRPr="00EB7C86">
        <w:rPr>
          <w:rFonts w:ascii="Times New Roman" w:eastAsia="Times New Roman" w:hAnsi="Times New Roman" w:cs="Times New Roman"/>
          <w:i/>
          <w:iCs/>
          <w:color w:val="000000"/>
          <w:szCs w:val="20"/>
          <w:lang w:eastAsia="en-AU"/>
        </w:rPr>
        <w:t>NTRK</w:t>
      </w:r>
      <w:r w:rsidRPr="00D56961">
        <w:rPr>
          <w:rFonts w:ascii="Times New Roman" w:eastAsia="Times New Roman" w:hAnsi="Times New Roman" w:cs="Times New Roman"/>
          <w:color w:val="000000"/>
          <w:szCs w:val="20"/>
          <w:lang w:eastAsia="en-AU"/>
        </w:rPr>
        <w:t xml:space="preserve"> fusion cancer types</w:t>
      </w:r>
      <w:r w:rsidRPr="000E1BFC">
        <w:rPr>
          <w:rFonts w:ascii="Times New Roman" w:eastAsia="Times New Roman" w:hAnsi="Times New Roman" w:cs="Times New Roman"/>
          <w:color w:val="000000"/>
          <w:szCs w:val="20"/>
          <w:lang w:eastAsia="en-AU"/>
        </w:rPr>
        <w:t>.</w:t>
      </w:r>
      <w:r w:rsidRPr="00D56961">
        <w:rPr>
          <w:rFonts w:ascii="Times New Roman" w:eastAsia="Times New Roman" w:hAnsi="Times New Roman" w:cs="Times New Roman"/>
          <w:color w:val="000000"/>
          <w:szCs w:val="20"/>
          <w:lang w:eastAsia="en-AU"/>
        </w:rPr>
        <w:t xml:space="preserve"> MSAC did not support </w:t>
      </w:r>
      <w:r w:rsidRPr="00D56961">
        <w:rPr>
          <w:rFonts w:ascii="Times New Roman" w:eastAsia="Times New Roman" w:hAnsi="Times New Roman" w:cs="Times New Roman"/>
          <w:color w:val="000000"/>
          <w:szCs w:val="20"/>
          <w:lang w:eastAsia="en-AU"/>
        </w:rPr>
        <w:lastRenderedPageBreak/>
        <w:t>public funding for adult patients with any type of tumour harbouring NTRK fusion</w:t>
      </w:r>
      <w:r w:rsidR="00232106">
        <w:rPr>
          <w:rFonts w:ascii="Times New Roman" w:eastAsia="Times New Roman" w:hAnsi="Times New Roman" w:cs="Times New Roman"/>
          <w:color w:val="000000"/>
          <w:szCs w:val="20"/>
          <w:lang w:eastAsia="en-AU"/>
        </w:rPr>
        <w:t>s</w:t>
      </w:r>
      <w:r w:rsidRPr="00D56961">
        <w:rPr>
          <w:rFonts w:ascii="Times New Roman" w:eastAsia="Times New Roman" w:hAnsi="Times New Roman" w:cs="Times New Roman"/>
          <w:color w:val="000000"/>
          <w:szCs w:val="20"/>
          <w:lang w:eastAsia="en-AU"/>
        </w:rPr>
        <w:t xml:space="preserve"> at low frequency due to poorer test performance and in alignment with the PBAC’s intention to not recommend listing larotrectinib in this population on the PBS.</w:t>
      </w:r>
      <w:r>
        <w:rPr>
          <w:rFonts w:ascii="Times New Roman" w:eastAsia="Times New Roman" w:hAnsi="Times New Roman" w:cs="Times New Roman"/>
          <w:color w:val="000000"/>
          <w:szCs w:val="20"/>
          <w:lang w:eastAsia="en-AU"/>
        </w:rPr>
        <w:t xml:space="preserve"> Thus, </w:t>
      </w:r>
      <w:r w:rsidRPr="000E1BFC">
        <w:rPr>
          <w:rFonts w:ascii="Times New Roman" w:eastAsia="Times New Roman" w:hAnsi="Times New Roman" w:cs="Times New Roman"/>
          <w:color w:val="000000"/>
          <w:szCs w:val="20"/>
          <w:lang w:eastAsia="en-AU"/>
        </w:rPr>
        <w:t xml:space="preserve">MSAC </w:t>
      </w:r>
      <w:r w:rsidR="00232106">
        <w:rPr>
          <w:rFonts w:ascii="Times New Roman" w:eastAsia="Times New Roman" w:hAnsi="Times New Roman" w:cs="Times New Roman"/>
          <w:color w:val="000000"/>
          <w:szCs w:val="20"/>
          <w:lang w:eastAsia="en-AU"/>
        </w:rPr>
        <w:t>advised</w:t>
      </w:r>
      <w:r w:rsidRPr="000E1BFC">
        <w:rPr>
          <w:rFonts w:ascii="Times New Roman" w:eastAsia="Times New Roman" w:hAnsi="Times New Roman" w:cs="Times New Roman"/>
          <w:color w:val="000000"/>
          <w:szCs w:val="20"/>
          <w:lang w:eastAsia="en-AU"/>
        </w:rPr>
        <w:t xml:space="preserve"> that </w:t>
      </w:r>
      <w:r w:rsidR="009A4D58">
        <w:rPr>
          <w:rFonts w:ascii="Times New Roman" w:eastAsia="Times New Roman" w:hAnsi="Times New Roman" w:cs="Times New Roman"/>
          <w:color w:val="000000"/>
          <w:szCs w:val="20"/>
          <w:lang w:eastAsia="en-AU"/>
        </w:rPr>
        <w:t>the proposed</w:t>
      </w:r>
      <w:r w:rsidRPr="000E1BFC">
        <w:rPr>
          <w:rFonts w:ascii="Times New Roman" w:eastAsia="Times New Roman" w:hAnsi="Times New Roman" w:cs="Times New Roman"/>
          <w:color w:val="000000"/>
          <w:szCs w:val="20"/>
          <w:lang w:eastAsia="en-AU"/>
        </w:rPr>
        <w:t xml:space="preserve"> MBS item for IHC testing prior to </w:t>
      </w:r>
      <w:r w:rsidRPr="000E1BFC">
        <w:rPr>
          <w:rFonts w:ascii="Times New Roman" w:eastAsia="Times New Roman" w:hAnsi="Times New Roman" w:cs="Times New Roman"/>
          <w:i/>
          <w:iCs/>
          <w:color w:val="000000"/>
          <w:szCs w:val="20"/>
          <w:lang w:eastAsia="en-AU"/>
        </w:rPr>
        <w:t>NTRK</w:t>
      </w:r>
      <w:r w:rsidRPr="000E1BFC">
        <w:rPr>
          <w:rFonts w:ascii="Times New Roman" w:eastAsia="Times New Roman" w:hAnsi="Times New Roman" w:cs="Times New Roman"/>
          <w:color w:val="000000"/>
          <w:szCs w:val="20"/>
          <w:lang w:eastAsia="en-AU"/>
        </w:rPr>
        <w:t xml:space="preserve"> fusion testing</w:t>
      </w:r>
      <w:r w:rsidR="009A4D58">
        <w:rPr>
          <w:rFonts w:ascii="Times New Roman" w:eastAsia="Times New Roman" w:hAnsi="Times New Roman" w:cs="Times New Roman"/>
          <w:color w:val="000000"/>
          <w:szCs w:val="20"/>
          <w:lang w:eastAsia="en-AU"/>
        </w:rPr>
        <w:t xml:space="preserve"> (see Table 2)</w:t>
      </w:r>
      <w:r w:rsidRPr="000E1BFC">
        <w:rPr>
          <w:rFonts w:ascii="Times New Roman" w:eastAsia="Times New Roman" w:hAnsi="Times New Roman" w:cs="Times New Roman"/>
          <w:color w:val="000000"/>
          <w:szCs w:val="20"/>
          <w:lang w:eastAsia="en-AU"/>
        </w:rPr>
        <w:t xml:space="preserve"> was not required</w:t>
      </w:r>
      <w:r w:rsidRPr="000E1BFC" w:rsidDel="004F3D10">
        <w:rPr>
          <w:rFonts w:ascii="Times New Roman" w:eastAsia="Times New Roman" w:hAnsi="Times New Roman" w:cs="Times New Roman"/>
          <w:color w:val="000000"/>
          <w:szCs w:val="20"/>
          <w:lang w:eastAsia="en-AU"/>
        </w:rPr>
        <w:t>.</w:t>
      </w:r>
      <w:r w:rsidR="00E96390">
        <w:rPr>
          <w:rFonts w:ascii="Times New Roman" w:eastAsia="Times New Roman" w:hAnsi="Times New Roman" w:cs="Times New Roman"/>
          <w:color w:val="000000"/>
          <w:szCs w:val="20"/>
          <w:lang w:eastAsia="en-AU"/>
        </w:rPr>
        <w:t xml:space="preserve"> However MSAC foreshadowed that, in the event </w:t>
      </w:r>
      <w:r w:rsidR="00E2390D">
        <w:rPr>
          <w:rFonts w:ascii="Times New Roman" w:eastAsia="Times New Roman" w:hAnsi="Times New Roman" w:cs="Times New Roman"/>
          <w:color w:val="000000"/>
          <w:szCs w:val="20"/>
          <w:lang w:eastAsia="en-AU"/>
        </w:rPr>
        <w:t xml:space="preserve">there was a satisfactory basis to change this advice, then with testing at the time of initial diagnosis </w:t>
      </w:r>
      <w:r w:rsidR="00B831AD">
        <w:rPr>
          <w:rFonts w:ascii="Times New Roman" w:eastAsia="Times New Roman" w:hAnsi="Times New Roman" w:cs="Times New Roman"/>
          <w:color w:val="000000"/>
          <w:szCs w:val="20"/>
          <w:lang w:eastAsia="en-AU"/>
        </w:rPr>
        <w:t xml:space="preserve">of metastatic or locally advanced disease </w:t>
      </w:r>
      <w:r w:rsidR="00E2390D">
        <w:rPr>
          <w:rFonts w:ascii="Times New Roman" w:eastAsia="Times New Roman" w:hAnsi="Times New Roman" w:cs="Times New Roman"/>
          <w:color w:val="000000"/>
          <w:szCs w:val="20"/>
          <w:lang w:eastAsia="en-AU"/>
        </w:rPr>
        <w:t>and 1% staining being considered positive</w:t>
      </w:r>
      <w:r w:rsidR="00B831AD">
        <w:rPr>
          <w:rFonts w:ascii="Times New Roman" w:eastAsia="Times New Roman" w:hAnsi="Times New Roman" w:cs="Times New Roman"/>
          <w:color w:val="000000"/>
          <w:szCs w:val="20"/>
          <w:lang w:eastAsia="en-AU"/>
        </w:rPr>
        <w:t xml:space="preserve"> (included as an explanatory note)</w:t>
      </w:r>
      <w:r w:rsidR="00E2390D">
        <w:rPr>
          <w:rFonts w:ascii="Times New Roman" w:eastAsia="Times New Roman" w:hAnsi="Times New Roman" w:cs="Times New Roman"/>
          <w:color w:val="000000"/>
          <w:szCs w:val="20"/>
          <w:lang w:eastAsia="en-AU"/>
        </w:rPr>
        <w:t>, the lower of the two current sets of IHC fees should apply.</w:t>
      </w:r>
    </w:p>
    <w:p w14:paraId="04A2A820" w14:textId="77777777" w:rsidR="000E1BFC" w:rsidRPr="000E1BFC" w:rsidRDefault="000E1BFC" w:rsidP="000E1BFC">
      <w:pPr>
        <w:keepNext/>
        <w:spacing w:before="240" w:after="240"/>
        <w:jc w:val="left"/>
        <w:outlineLvl w:val="1"/>
        <w:rPr>
          <w:rFonts w:ascii="Arial" w:eastAsia="Times New Roman" w:hAnsi="Arial" w:cs="Arial"/>
          <w:b/>
          <w:bCs/>
          <w:iCs/>
          <w:color w:val="000000"/>
          <w:szCs w:val="28"/>
          <w:lang w:eastAsia="en-AU"/>
        </w:rPr>
      </w:pPr>
      <w:r w:rsidRPr="000E1BFC">
        <w:rPr>
          <w:rFonts w:ascii="Arial" w:eastAsia="Times New Roman" w:hAnsi="Arial" w:cs="Arial"/>
          <w:b/>
          <w:bCs/>
          <w:iCs/>
          <w:color w:val="000000"/>
          <w:szCs w:val="28"/>
          <w:lang w:eastAsia="en-AU"/>
        </w:rPr>
        <w:t>Other discussion</w:t>
      </w:r>
    </w:p>
    <w:p w14:paraId="69C841AA" w14:textId="432F16E5" w:rsidR="00837F24" w:rsidRPr="000E1BFC" w:rsidRDefault="0099571C" w:rsidP="000E1BFC">
      <w:pPr>
        <w:spacing w:before="0" w:after="240"/>
        <w:jc w:val="left"/>
        <w:rPr>
          <w:rFonts w:ascii="Times New Roman" w:eastAsia="Times New Roman" w:hAnsi="Times New Roman" w:cs="Times New Roman"/>
          <w:color w:val="000000"/>
          <w:szCs w:val="20"/>
          <w:lang w:eastAsia="en-AU"/>
        </w:rPr>
      </w:pPr>
      <w:r>
        <w:rPr>
          <w:rFonts w:ascii="Times New Roman" w:eastAsia="Times New Roman" w:hAnsi="Times New Roman" w:cs="Times New Roman"/>
          <w:color w:val="000000"/>
          <w:szCs w:val="20"/>
          <w:lang w:eastAsia="en-AU"/>
        </w:rPr>
        <w:t>Redacted.</w:t>
      </w:r>
    </w:p>
    <w:p w14:paraId="23D9A445" w14:textId="10051327" w:rsidR="00214D77" w:rsidRPr="00837F24" w:rsidRDefault="00214D77" w:rsidP="00864249">
      <w:pPr>
        <w:pStyle w:val="Heading1"/>
        <w:numPr>
          <w:ilvl w:val="0"/>
          <w:numId w:val="3"/>
        </w:numPr>
        <w:spacing w:before="240" w:after="240" w:line="240" w:lineRule="auto"/>
        <w:ind w:left="720" w:hanging="720"/>
        <w:rPr>
          <w:rFonts w:ascii="Arial" w:hAnsi="Arial" w:cs="Arial"/>
          <w:bCs/>
          <w:lang w:eastAsia="en-AU"/>
        </w:rPr>
      </w:pPr>
      <w:r w:rsidRPr="00837F24">
        <w:rPr>
          <w:rFonts w:ascii="Arial" w:hAnsi="Arial" w:cs="Arial"/>
          <w:bCs/>
          <w:lang w:eastAsia="en-AU"/>
        </w:rPr>
        <w:t>Background</w:t>
      </w:r>
    </w:p>
    <w:p w14:paraId="6F7FB3BF" w14:textId="77777777" w:rsidR="00214D77" w:rsidRPr="00214D77" w:rsidRDefault="00214D77" w:rsidP="00214D77">
      <w:pPr>
        <w:spacing w:before="0" w:after="0"/>
        <w:jc w:val="left"/>
        <w:rPr>
          <w:rFonts w:ascii="Times New Roman" w:eastAsia="Calibri" w:hAnsi="Times New Roman" w:cs="Times New Roman"/>
          <w:szCs w:val="20"/>
        </w:rPr>
      </w:pPr>
      <w:r w:rsidRPr="00214D77">
        <w:rPr>
          <w:rFonts w:ascii="Times New Roman" w:eastAsia="Calibri" w:hAnsi="Times New Roman" w:cs="Times New Roman"/>
          <w:szCs w:val="20"/>
        </w:rPr>
        <w:t xml:space="preserve">MSAC has previously considered </w:t>
      </w:r>
      <w:r w:rsidRPr="00214D77">
        <w:rPr>
          <w:rFonts w:ascii="Times New Roman" w:eastAsia="Calibri" w:hAnsi="Times New Roman" w:cs="Times New Roman"/>
          <w:i/>
          <w:szCs w:val="20"/>
        </w:rPr>
        <w:t>NTRK</w:t>
      </w:r>
      <w:r w:rsidRPr="00214D77">
        <w:rPr>
          <w:rFonts w:ascii="Times New Roman" w:eastAsia="Calibri" w:hAnsi="Times New Roman" w:cs="Times New Roman"/>
          <w:szCs w:val="20"/>
        </w:rPr>
        <w:t xml:space="preserve"> fusion testing for access to larotrectinib for the treatment of </w:t>
      </w:r>
      <w:r w:rsidRPr="00214D77">
        <w:rPr>
          <w:rFonts w:ascii="Times New Roman" w:eastAsia="Calibri" w:hAnsi="Times New Roman" w:cs="Times New Roman"/>
          <w:i/>
          <w:szCs w:val="20"/>
        </w:rPr>
        <w:t>NTRK</w:t>
      </w:r>
      <w:r w:rsidRPr="00214D77">
        <w:rPr>
          <w:rFonts w:ascii="Times New Roman" w:eastAsia="Calibri" w:hAnsi="Times New Roman" w:cs="Times New Roman"/>
          <w:szCs w:val="20"/>
        </w:rPr>
        <w:t xml:space="preserve"> fusion positive locally advanced or metastatic solid tumours of any histology. The original application was considered by MSAC at its November 2020 meeting.</w:t>
      </w:r>
    </w:p>
    <w:p w14:paraId="01A0B626" w14:textId="1219339A" w:rsidR="00214D77" w:rsidRPr="00214D77" w:rsidRDefault="00214D77" w:rsidP="00837F24">
      <w:pPr>
        <w:tabs>
          <w:tab w:val="left" w:pos="720"/>
          <w:tab w:val="left" w:pos="1140"/>
        </w:tabs>
        <w:spacing w:before="24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The resubmission addressed the concerns of MSAC, with respect to the thirteen recommendations that were reported in the MSAC </w:t>
      </w:r>
      <w:hyperlink r:id="rId12" w:history="1">
        <w:r w:rsidRPr="00214D77">
          <w:rPr>
            <w:rFonts w:ascii="Times New Roman" w:eastAsia="Times New Roman" w:hAnsi="Times New Roman" w:cs="Times New Roman"/>
            <w:color w:val="0000FF"/>
            <w:szCs w:val="20"/>
            <w:u w:val="single"/>
            <w:lang w:eastAsia="en-AU"/>
          </w:rPr>
          <w:t>Discussion paper</w:t>
        </w:r>
      </w:hyperlink>
      <w:r w:rsidRPr="00214D77">
        <w:rPr>
          <w:rFonts w:ascii="Times New Roman" w:eastAsia="Times New Roman" w:hAnsi="Times New Roman" w:cs="Times New Roman"/>
          <w:szCs w:val="20"/>
          <w:lang w:eastAsia="en-AU"/>
        </w:rPr>
        <w:t>, which are presented in Table 1.</w:t>
      </w:r>
    </w:p>
    <w:p w14:paraId="61432A7F" w14:textId="478AE718" w:rsidR="00214D77" w:rsidRPr="00214D77" w:rsidRDefault="00214D77" w:rsidP="00837F24">
      <w:pPr>
        <w:keepNext/>
        <w:spacing w:before="240" w:after="40"/>
        <w:outlineLvl w:val="4"/>
        <w:rPr>
          <w:rFonts w:ascii="Arial Narrow" w:eastAsia="Times New Roman" w:hAnsi="Arial Narrow" w:cs="Arial"/>
          <w:b/>
          <w:bCs/>
          <w:iCs/>
          <w:sz w:val="20"/>
          <w:szCs w:val="20"/>
        </w:rPr>
      </w:pPr>
      <w:bookmarkStart w:id="3" w:name="_Ref47710493"/>
      <w:r w:rsidRPr="00214D77">
        <w:rPr>
          <w:rFonts w:ascii="Arial Narrow" w:eastAsia="Times New Roman" w:hAnsi="Arial Narrow" w:cs="Arial"/>
          <w:b/>
          <w:bCs/>
          <w:iCs/>
          <w:sz w:val="20"/>
          <w:szCs w:val="20"/>
        </w:rPr>
        <w:t>Table</w:t>
      </w:r>
      <w:bookmarkEnd w:id="3"/>
      <w:r w:rsidRPr="00214D77">
        <w:rPr>
          <w:rFonts w:ascii="Arial Narrow" w:eastAsia="Times New Roman" w:hAnsi="Arial Narrow" w:cs="Arial"/>
          <w:b/>
          <w:bCs/>
          <w:iCs/>
          <w:sz w:val="20"/>
          <w:szCs w:val="20"/>
        </w:rPr>
        <w:t xml:space="preserve"> 1</w:t>
      </w:r>
      <w:r w:rsidRPr="00214D77">
        <w:rPr>
          <w:rFonts w:ascii="Arial Narrow" w:eastAsia="Times New Roman" w:hAnsi="Arial Narrow" w:cs="Arial"/>
          <w:b/>
          <w:bCs/>
          <w:iCs/>
          <w:sz w:val="20"/>
          <w:szCs w:val="20"/>
        </w:rPr>
        <w:tab/>
        <w:t>MSAC concerns and how these were addressed in the resubmission</w:t>
      </w:r>
    </w:p>
    <w:tbl>
      <w:tblPr>
        <w:tblStyle w:val="ASDTable10"/>
        <w:tblW w:w="9209" w:type="dxa"/>
        <w:shd w:val="clear" w:color="auto" w:fill="FFFFFF"/>
        <w:tblLook w:val="04A0" w:firstRow="1" w:lastRow="0" w:firstColumn="1" w:lastColumn="0" w:noHBand="0" w:noVBand="1"/>
        <w:tblCaption w:val="Table 1 MSAC concerns and how these were addressed in the resubmission"/>
        <w:tblDescription w:val="Sumamry of MSAC concerns and how addressed in the resubmission"/>
      </w:tblPr>
      <w:tblGrid>
        <w:gridCol w:w="2547"/>
        <w:gridCol w:w="2220"/>
        <w:gridCol w:w="2221"/>
        <w:gridCol w:w="2221"/>
      </w:tblGrid>
      <w:tr w:rsidR="00214D77" w:rsidRPr="003964BE" w14:paraId="37A2D8EC" w14:textId="70FECE9F" w:rsidTr="00214D77">
        <w:trPr>
          <w:tblHeader/>
        </w:trPr>
        <w:tc>
          <w:tcPr>
            <w:tcW w:w="2547" w:type="dxa"/>
          </w:tcPr>
          <w:p w14:paraId="68C221EA" w14:textId="6A7AF2CC" w:rsidR="00214D77" w:rsidRPr="003964BE" w:rsidRDefault="00214D77" w:rsidP="00214D77">
            <w:pPr>
              <w:tabs>
                <w:tab w:val="left" w:pos="416"/>
                <w:tab w:val="left" w:pos="582"/>
                <w:tab w:val="left" w:pos="1134"/>
              </w:tabs>
              <w:spacing w:before="40"/>
              <w:jc w:val="left"/>
              <w:rPr>
                <w:rFonts w:ascii="Arial Narrow" w:eastAsia="Times New Roman" w:hAnsi="Arial Narrow" w:cs="Tahoma"/>
                <w:b/>
                <w:spacing w:val="-1"/>
                <w:sz w:val="20"/>
                <w:szCs w:val="20"/>
                <w:lang w:eastAsia="en-AU"/>
              </w:rPr>
            </w:pPr>
            <w:r w:rsidRPr="003964BE">
              <w:rPr>
                <w:rFonts w:ascii="Arial Narrow" w:eastAsia="Times New Roman" w:hAnsi="Arial Narrow" w:cs="Tahoma"/>
                <w:b/>
                <w:spacing w:val="-1"/>
                <w:sz w:val="20"/>
                <w:szCs w:val="20"/>
                <w:lang w:eastAsia="en-AU"/>
              </w:rPr>
              <w:t>Recommendations</w:t>
            </w:r>
          </w:p>
        </w:tc>
        <w:tc>
          <w:tcPr>
            <w:tcW w:w="2220" w:type="dxa"/>
          </w:tcPr>
          <w:p w14:paraId="7A9BF302" w14:textId="2FCAB0CC" w:rsidR="00214D77" w:rsidRPr="003964BE" w:rsidRDefault="00214D77" w:rsidP="00214D77">
            <w:pPr>
              <w:tabs>
                <w:tab w:val="left" w:pos="416"/>
                <w:tab w:val="left" w:pos="582"/>
                <w:tab w:val="left" w:pos="1134"/>
              </w:tabs>
              <w:spacing w:before="40"/>
              <w:jc w:val="left"/>
              <w:rPr>
                <w:rFonts w:ascii="Arial Narrow" w:eastAsia="Times New Roman" w:hAnsi="Arial Narrow" w:cs="Tahoma"/>
                <w:b/>
                <w:spacing w:val="-1"/>
                <w:sz w:val="20"/>
                <w:szCs w:val="20"/>
                <w:lang w:eastAsia="en-AU"/>
              </w:rPr>
            </w:pPr>
            <w:r w:rsidRPr="003964BE">
              <w:rPr>
                <w:rFonts w:ascii="Arial Narrow" w:eastAsia="Times New Roman" w:hAnsi="Arial Narrow" w:cs="Tahoma"/>
                <w:b/>
                <w:spacing w:val="-1"/>
                <w:sz w:val="20"/>
                <w:szCs w:val="20"/>
                <w:lang w:eastAsia="en-AU"/>
              </w:rPr>
              <w:t>MSAC, PBAC and ESCs comments about the original submission</w:t>
            </w:r>
          </w:p>
        </w:tc>
        <w:tc>
          <w:tcPr>
            <w:tcW w:w="2221" w:type="dxa"/>
          </w:tcPr>
          <w:p w14:paraId="4BC68E3C" w14:textId="74F4863E" w:rsidR="00214D77" w:rsidRPr="003964BE" w:rsidRDefault="00214D77" w:rsidP="00214D77">
            <w:pPr>
              <w:tabs>
                <w:tab w:val="left" w:pos="416"/>
                <w:tab w:val="left" w:pos="582"/>
                <w:tab w:val="left" w:pos="1134"/>
              </w:tabs>
              <w:spacing w:before="40"/>
              <w:jc w:val="left"/>
              <w:rPr>
                <w:rFonts w:ascii="Arial Narrow" w:eastAsia="Times New Roman" w:hAnsi="Arial Narrow" w:cs="Tahoma"/>
                <w:b/>
                <w:spacing w:val="-1"/>
                <w:sz w:val="20"/>
                <w:szCs w:val="20"/>
                <w:lang w:eastAsia="en-AU"/>
              </w:rPr>
            </w:pPr>
            <w:r w:rsidRPr="003964BE">
              <w:rPr>
                <w:rFonts w:ascii="Arial Narrow" w:eastAsia="Times New Roman" w:hAnsi="Arial Narrow" w:cs="Tahoma"/>
                <w:b/>
                <w:spacing w:val="-1"/>
                <w:sz w:val="20"/>
                <w:szCs w:val="20"/>
                <w:lang w:eastAsia="en-AU"/>
              </w:rPr>
              <w:t>How the resubmission addressed the recommendation</w:t>
            </w:r>
          </w:p>
        </w:tc>
        <w:tc>
          <w:tcPr>
            <w:tcW w:w="2221" w:type="dxa"/>
          </w:tcPr>
          <w:p w14:paraId="1B4B6D0A" w14:textId="152614F6" w:rsidR="00214D77" w:rsidRPr="003964BE" w:rsidRDefault="00214D77" w:rsidP="00214D77">
            <w:pPr>
              <w:tabs>
                <w:tab w:val="left" w:pos="416"/>
                <w:tab w:val="left" w:pos="582"/>
                <w:tab w:val="left" w:pos="1134"/>
              </w:tabs>
              <w:spacing w:before="40"/>
              <w:jc w:val="left"/>
              <w:rPr>
                <w:rFonts w:ascii="Arial Narrow" w:eastAsia="Times New Roman" w:hAnsi="Arial Narrow" w:cs="Tahoma"/>
                <w:b/>
                <w:spacing w:val="-1"/>
                <w:sz w:val="20"/>
                <w:szCs w:val="20"/>
                <w:lang w:eastAsia="en-AU"/>
              </w:rPr>
            </w:pPr>
            <w:r w:rsidRPr="003964BE">
              <w:rPr>
                <w:rFonts w:ascii="Arial Narrow" w:eastAsia="Times New Roman" w:hAnsi="Arial Narrow" w:cs="Tahoma"/>
                <w:b/>
                <w:spacing w:val="-1"/>
                <w:sz w:val="20"/>
                <w:szCs w:val="20"/>
                <w:lang w:eastAsia="en-AU"/>
              </w:rPr>
              <w:t>Was the issue addressed adequately in the resubmission?</w:t>
            </w:r>
          </w:p>
        </w:tc>
      </w:tr>
      <w:tr w:rsidR="00214D77" w:rsidRPr="003964BE" w14:paraId="204E2BEE" w14:textId="2009D14E" w:rsidTr="00214D77">
        <w:tc>
          <w:tcPr>
            <w:tcW w:w="2547" w:type="dxa"/>
          </w:tcPr>
          <w:p w14:paraId="7D68A9BA" w14:textId="42CA64BA"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A biological plausibility analysis to give the rationale as to why a therapeutic response to the treatment could be expected across diverse sites or organs.</w:t>
            </w:r>
          </w:p>
        </w:tc>
        <w:tc>
          <w:tcPr>
            <w:tcW w:w="2220" w:type="dxa"/>
          </w:tcPr>
          <w:p w14:paraId="3344362A" w14:textId="4A5CB18E"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biological plausibility of the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 being the oncogenic driver was not fully covered in the submission.</w:t>
            </w:r>
          </w:p>
        </w:tc>
        <w:tc>
          <w:tcPr>
            <w:tcW w:w="2221" w:type="dxa"/>
          </w:tcPr>
          <w:p w14:paraId="5ADEAAD2" w14:textId="1BA66027"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Results highlight the consistent treatment response of larotrectinib across different tumour types for the latest data cut (ePAS5; July 2020, Figure 2.60). This is consistent with the results presented in the original submission.</w:t>
            </w:r>
          </w:p>
        </w:tc>
        <w:tc>
          <w:tcPr>
            <w:tcW w:w="2221" w:type="dxa"/>
          </w:tcPr>
          <w:p w14:paraId="2B4C11A8" w14:textId="40A89FDE"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None of the 14 adult patients with low frequency NTRK fusion cancer types: Cholangiocarcinoma, pancreatic, appendiceal, hepatic, prostate or CNS cancers responded to treatment with larotrectinib, suggesting NTRK fusions may not be the primary oncogenic drivers in some of these tumour types.</w:t>
            </w:r>
          </w:p>
        </w:tc>
      </w:tr>
      <w:tr w:rsidR="00214D77" w:rsidRPr="003964BE" w14:paraId="112B08DB" w14:textId="33F2C9D6" w:rsidTr="00214D77">
        <w:tc>
          <w:tcPr>
            <w:tcW w:w="2547" w:type="dxa"/>
          </w:tcPr>
          <w:p w14:paraId="71F81164" w14:textId="31C70DF0"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Any other biomarkers that may have predictive value for the proposed treatment should be discussed.</w:t>
            </w:r>
          </w:p>
        </w:tc>
        <w:tc>
          <w:tcPr>
            <w:tcW w:w="2220" w:type="dxa"/>
          </w:tcPr>
          <w:p w14:paraId="54C0118D" w14:textId="429FE667"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submission did not fully address the co-occurrence of MSI-H, TMB and PD-L1 expression in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 positive tumours, and the possible implications for targeted treatment options.</w:t>
            </w:r>
          </w:p>
        </w:tc>
        <w:tc>
          <w:tcPr>
            <w:tcW w:w="2221" w:type="dxa"/>
          </w:tcPr>
          <w:p w14:paraId="676E4189" w14:textId="63E5D648"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Although co-occurrence of PD-L1, MSI-H and high TMB are expressed in some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 cancers such as CRC, PBS-listing for larotrectinib in CRC is proposed in R/R disease with no remaining suitable alternate therapy. Therefore, it is assumed patients with cancers such as CRC would have failed other targeted therapies before being eligible for larotrectinib.</w:t>
            </w:r>
          </w:p>
        </w:tc>
        <w:tc>
          <w:tcPr>
            <w:tcW w:w="2221" w:type="dxa"/>
          </w:tcPr>
          <w:p w14:paraId="0BD51384" w14:textId="1EF908A2"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This means that all NSCLC patients with </w:t>
            </w:r>
            <w:r w:rsidRPr="003964BE">
              <w:rPr>
                <w:rFonts w:ascii="Arial Narrow" w:eastAsia="Times New Roman" w:hAnsi="Arial Narrow" w:cs="Times New Roman"/>
                <w:i/>
                <w:sz w:val="20"/>
                <w:szCs w:val="20"/>
                <w:lang w:eastAsia="en-AU"/>
              </w:rPr>
              <w:t>NTRK</w:t>
            </w:r>
            <w:r w:rsidRPr="003964BE">
              <w:rPr>
                <w:rFonts w:ascii="Arial Narrow" w:eastAsia="Times New Roman" w:hAnsi="Arial Narrow" w:cs="Times New Roman"/>
                <w:sz w:val="20"/>
                <w:szCs w:val="20"/>
                <w:lang w:eastAsia="en-AU"/>
              </w:rPr>
              <w:t xml:space="preserve"> gene fusion tumours would receive treatment with checkpoint inhibitors pembrolizumab (if PD-L1 expression levels are high) or nivolumab prior to receiving larotrectinib.</w:t>
            </w:r>
          </w:p>
          <w:p w14:paraId="085A7444" w14:textId="17C677E8"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This is likely to affect the number of eligible patients, as delayed treatment may result in patients being too ill to receive larotrectinib (ECOG &gt;2).</w:t>
            </w:r>
          </w:p>
        </w:tc>
      </w:tr>
      <w:tr w:rsidR="00214D77" w:rsidRPr="003964BE" w14:paraId="2513899F" w14:textId="20044C86" w:rsidTr="00214D77">
        <w:tc>
          <w:tcPr>
            <w:tcW w:w="2547" w:type="dxa"/>
          </w:tcPr>
          <w:p w14:paraId="3AFF7D38" w14:textId="43DEC1A3"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lastRenderedPageBreak/>
              <w:t>The biomarker prevalence in the overall population should be reported, along with its prevalence in as many specific tumour types as possible.</w:t>
            </w:r>
          </w:p>
        </w:tc>
        <w:tc>
          <w:tcPr>
            <w:tcW w:w="2220" w:type="dxa"/>
          </w:tcPr>
          <w:p w14:paraId="7673A801" w14:textId="46675E51"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prevalence rate for paediatric STS used by the submission was not verifiable and likely inaccurate due to the inclusion of IFS, a known high frequency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cancer in the paediatric STS cohort.</w:t>
            </w:r>
          </w:p>
        </w:tc>
        <w:tc>
          <w:tcPr>
            <w:tcW w:w="2221" w:type="dxa"/>
          </w:tcPr>
          <w:p w14:paraId="4E012653" w14:textId="45A35D79"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Paediatric STS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prevalence was amended to 0.68% as recommended by </w:t>
            </w:r>
            <w:r w:rsidR="00F1071F" w:rsidRPr="003964BE">
              <w:rPr>
                <w:rFonts w:ascii="Arial Narrow" w:eastAsia="Times New Roman" w:hAnsi="Arial Narrow" w:cs="Times New Roman"/>
                <w:color w:val="000000"/>
                <w:sz w:val="20"/>
                <w:szCs w:val="20"/>
                <w:lang w:eastAsia="en-AU"/>
              </w:rPr>
              <w:t xml:space="preserve">the </w:t>
            </w:r>
            <w:r w:rsidRPr="003964BE">
              <w:rPr>
                <w:rFonts w:ascii="Arial Narrow" w:eastAsia="Times New Roman" w:hAnsi="Arial Narrow" w:cs="Times New Roman"/>
                <w:color w:val="000000"/>
                <w:sz w:val="20"/>
                <w:szCs w:val="20"/>
                <w:lang w:eastAsia="en-AU"/>
              </w:rPr>
              <w:t>ESC</w:t>
            </w:r>
            <w:r w:rsidR="00F1071F" w:rsidRPr="003964BE">
              <w:rPr>
                <w:rFonts w:ascii="Arial Narrow" w:eastAsia="Times New Roman" w:hAnsi="Arial Narrow" w:cs="Times New Roman"/>
                <w:color w:val="000000"/>
                <w:sz w:val="20"/>
                <w:szCs w:val="20"/>
                <w:lang w:eastAsia="en-AU"/>
              </w:rPr>
              <w:t>s</w:t>
            </w:r>
            <w:r w:rsidRPr="003964BE">
              <w:rPr>
                <w:rFonts w:ascii="Arial Narrow" w:eastAsia="Times New Roman" w:hAnsi="Arial Narrow" w:cs="Times New Roman"/>
                <w:color w:val="000000"/>
                <w:sz w:val="20"/>
                <w:szCs w:val="20"/>
                <w:lang w:eastAsia="en-AU"/>
              </w:rPr>
              <w:t xml:space="preserve"> and PBAC.</w:t>
            </w:r>
          </w:p>
        </w:tc>
        <w:tc>
          <w:tcPr>
            <w:tcW w:w="2221" w:type="dxa"/>
          </w:tcPr>
          <w:p w14:paraId="1D2810A7" w14:textId="37FDD5EA"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This is reasonable.</w:t>
            </w:r>
          </w:p>
        </w:tc>
      </w:tr>
      <w:tr w:rsidR="00214D77" w:rsidRPr="003964BE" w14:paraId="6B7FE1B7" w14:textId="38F17035" w:rsidTr="00214D77">
        <w:tc>
          <w:tcPr>
            <w:tcW w:w="2547" w:type="dxa"/>
          </w:tcPr>
          <w:p w14:paraId="79936004" w14:textId="1FB90E1F"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biomarker prevalence may change during the course of disease, especially if the biomarker is unstable, or has a prognostic effect (as for </w:t>
            </w:r>
            <w:proofErr w:type="spellStart"/>
            <w:r w:rsidRPr="003964BE">
              <w:rPr>
                <w:rFonts w:ascii="Arial Narrow" w:eastAsia="Times New Roman" w:hAnsi="Arial Narrow" w:cs="Times New Roman"/>
                <w:color w:val="000000"/>
                <w:sz w:val="20"/>
                <w:szCs w:val="20"/>
                <w:lang w:eastAsia="en-AU"/>
              </w:rPr>
              <w:t>dMMR</w:t>
            </w:r>
            <w:proofErr w:type="spellEnd"/>
            <w:r w:rsidRPr="003964BE">
              <w:rPr>
                <w:rFonts w:ascii="Arial Narrow" w:eastAsia="Times New Roman" w:hAnsi="Arial Narrow" w:cs="Times New Roman"/>
                <w:color w:val="000000"/>
                <w:sz w:val="20"/>
                <w:szCs w:val="20"/>
                <w:lang w:eastAsia="en-AU"/>
              </w:rPr>
              <w:t xml:space="preserve"> in CRC). Thus, the prevalence rate of the biomarker should be considered in the specific stage(s) of disease being targeted for testing and treatment.</w:t>
            </w:r>
          </w:p>
        </w:tc>
        <w:tc>
          <w:tcPr>
            <w:tcW w:w="2220" w:type="dxa"/>
          </w:tcPr>
          <w:p w14:paraId="25D76FB1" w14:textId="209BAE21"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stability and/or persistence of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fusions with tumour progression is largely unknown, and was not well covered in the submission.</w:t>
            </w:r>
          </w:p>
        </w:tc>
        <w:tc>
          <w:tcPr>
            <w:tcW w:w="2221" w:type="dxa"/>
          </w:tcPr>
          <w:p w14:paraId="54E4A50D" w14:textId="5C4DFF73"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No new data from the larotrectinib trials or literature review was identified in the resubmission and thus no further updates were included. </w:t>
            </w:r>
          </w:p>
          <w:p w14:paraId="629CD610" w14:textId="0CCE3B6D"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Testing for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 is proposed for patients with advanced disease and therefore the biomarker prevalence is not expected to change. </w:t>
            </w:r>
          </w:p>
        </w:tc>
        <w:tc>
          <w:tcPr>
            <w:tcW w:w="2221" w:type="dxa"/>
          </w:tcPr>
          <w:p w14:paraId="35CD04B2" w14:textId="5BA89618"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Testing is to occur at diagnosis of locally advanced or metastatic R/R disease, with no other suitable treatment options. </w:t>
            </w:r>
          </w:p>
          <w:p w14:paraId="1539F530" w14:textId="301F3999"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As noted by the resubmission, stability of the biomarker only becomes an issue if testing was to occur earlier (at diagnosis of earlier stage disease).</w:t>
            </w:r>
          </w:p>
        </w:tc>
      </w:tr>
      <w:tr w:rsidR="00214D77" w:rsidRPr="003964BE" w14:paraId="2EE1A449" w14:textId="6804D4E5" w:rsidTr="00214D77">
        <w:tc>
          <w:tcPr>
            <w:tcW w:w="2547" w:type="dxa"/>
          </w:tcPr>
          <w:p w14:paraId="24031AED" w14:textId="02111514"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The reference standard test and the evidentiary standard test should be nominated.</w:t>
            </w:r>
          </w:p>
        </w:tc>
        <w:tc>
          <w:tcPr>
            <w:tcW w:w="2220" w:type="dxa"/>
          </w:tcPr>
          <w:p w14:paraId="262CA9E0" w14:textId="41E5541F"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Well covered in the submission.</w:t>
            </w:r>
          </w:p>
        </w:tc>
        <w:tc>
          <w:tcPr>
            <w:tcW w:w="2221" w:type="dxa"/>
          </w:tcPr>
          <w:p w14:paraId="1A7DBD8F" w14:textId="14B4DF2A"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No further updates. </w:t>
            </w:r>
          </w:p>
        </w:tc>
        <w:tc>
          <w:tcPr>
            <w:tcW w:w="2221" w:type="dxa"/>
          </w:tcPr>
          <w:p w14:paraId="64DDDFDA" w14:textId="71F891F8"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No further information was required.</w:t>
            </w:r>
          </w:p>
        </w:tc>
      </w:tr>
      <w:tr w:rsidR="00214D77" w:rsidRPr="003964BE" w14:paraId="189C9B5C" w14:textId="2A45B4FF" w:rsidTr="00214D77">
        <w:tc>
          <w:tcPr>
            <w:tcW w:w="2547" w:type="dxa"/>
          </w:tcPr>
          <w:p w14:paraId="21684230" w14:textId="1A77EB5F"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If the proposed test is not the evidentiary standard test used in the supportive clinical trials assessing treatment efficacy, then bridging data should be provided to assess the comparability of the performance of the proposed test to the evidentiary standard test. Key differences that may affect or alter the eligibility/selection of patients for the proposed treatment should be identified.</w:t>
            </w:r>
          </w:p>
        </w:tc>
        <w:tc>
          <w:tcPr>
            <w:tcW w:w="2220" w:type="dxa"/>
          </w:tcPr>
          <w:p w14:paraId="37BFF1B9" w14:textId="53CE65B6"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The diagnostic accuracy of IHC and DNA-NGS was covered by the submission.</w:t>
            </w:r>
          </w:p>
        </w:tc>
        <w:tc>
          <w:tcPr>
            <w:tcW w:w="2221" w:type="dxa"/>
          </w:tcPr>
          <w:p w14:paraId="59A90838" w14:textId="785B9D63"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No further updates. </w:t>
            </w:r>
          </w:p>
        </w:tc>
        <w:tc>
          <w:tcPr>
            <w:tcW w:w="2221" w:type="dxa"/>
          </w:tcPr>
          <w:p w14:paraId="44AD2728" w14:textId="4E5F0516"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There is still a lack of evidence for assessing the accuracy of FISH for detecting </w:t>
            </w:r>
            <w:r w:rsidRPr="003964BE">
              <w:rPr>
                <w:rFonts w:ascii="Arial Narrow" w:eastAsia="Times New Roman" w:hAnsi="Arial Narrow" w:cs="Times New Roman"/>
                <w:i/>
                <w:sz w:val="20"/>
                <w:szCs w:val="20"/>
                <w:lang w:eastAsia="en-AU"/>
              </w:rPr>
              <w:t>NTRK1</w:t>
            </w:r>
            <w:r w:rsidRPr="003964BE">
              <w:rPr>
                <w:rFonts w:ascii="Arial Narrow" w:eastAsia="Times New Roman" w:hAnsi="Arial Narrow" w:cs="Times New Roman"/>
                <w:sz w:val="20"/>
                <w:szCs w:val="20"/>
                <w:lang w:eastAsia="en-AU"/>
              </w:rPr>
              <w:t xml:space="preserve"> and </w:t>
            </w:r>
            <w:r w:rsidRPr="003964BE">
              <w:rPr>
                <w:rFonts w:ascii="Arial Narrow" w:eastAsia="Times New Roman" w:hAnsi="Arial Narrow" w:cs="Times New Roman"/>
                <w:i/>
                <w:sz w:val="20"/>
                <w:szCs w:val="20"/>
                <w:lang w:eastAsia="en-AU"/>
              </w:rPr>
              <w:t>NTRK2</w:t>
            </w:r>
            <w:r w:rsidRPr="003964BE">
              <w:rPr>
                <w:rFonts w:ascii="Arial Narrow" w:eastAsia="Times New Roman" w:hAnsi="Arial Narrow" w:cs="Times New Roman"/>
                <w:sz w:val="20"/>
                <w:szCs w:val="20"/>
                <w:lang w:eastAsia="en-AU"/>
              </w:rPr>
              <w:t xml:space="preserve"> fusions.</w:t>
            </w:r>
          </w:p>
          <w:p w14:paraId="41C40911" w14:textId="7C50291A"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An additional study that compared pan-</w:t>
            </w:r>
            <w:proofErr w:type="spellStart"/>
            <w:r w:rsidRPr="003964BE">
              <w:rPr>
                <w:rFonts w:ascii="Arial Narrow" w:eastAsia="Times New Roman" w:hAnsi="Arial Narrow" w:cs="Times New Roman"/>
                <w:sz w:val="20"/>
                <w:szCs w:val="20"/>
                <w:lang w:eastAsia="en-AU"/>
              </w:rPr>
              <w:t>Trk</w:t>
            </w:r>
            <w:proofErr w:type="spellEnd"/>
            <w:r w:rsidRPr="003964BE">
              <w:rPr>
                <w:rFonts w:ascii="Arial Narrow" w:eastAsia="Times New Roman" w:hAnsi="Arial Narrow" w:cs="Times New Roman"/>
                <w:sz w:val="20"/>
                <w:szCs w:val="20"/>
                <w:lang w:eastAsia="en-AU"/>
              </w:rPr>
              <w:t xml:space="preserve"> IHC and FISH </w:t>
            </w:r>
            <w:r w:rsidRPr="003964BE">
              <w:rPr>
                <w:rFonts w:ascii="Arial Narrow" w:eastAsia="Times New Roman" w:hAnsi="Arial Narrow" w:cs="Times New Roman"/>
                <w:i/>
                <w:sz w:val="20"/>
                <w:szCs w:val="20"/>
                <w:lang w:eastAsia="en-AU"/>
              </w:rPr>
              <w:t>NTRK</w:t>
            </w:r>
            <w:r w:rsidRPr="003964BE">
              <w:rPr>
                <w:rFonts w:ascii="Arial Narrow" w:eastAsia="Times New Roman" w:hAnsi="Arial Narrow" w:cs="Times New Roman"/>
                <w:sz w:val="20"/>
                <w:szCs w:val="20"/>
                <w:lang w:eastAsia="en-AU"/>
              </w:rPr>
              <w:t xml:space="preserve"> fusion testing provides only concordance data </w:t>
            </w:r>
          </w:p>
        </w:tc>
      </w:tr>
      <w:tr w:rsidR="00214D77" w:rsidRPr="003964BE" w14:paraId="19109403" w14:textId="118FD09C" w:rsidTr="00214D77">
        <w:tc>
          <w:tcPr>
            <w:tcW w:w="2547" w:type="dxa"/>
          </w:tcPr>
          <w:p w14:paraId="4B00C527" w14:textId="6462547D"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Data on the accuracy of the test across tumour types should be provided to demonstrate that the test performance is consistent, or if not, to identify when other testing measures are required, e.g. varying diagnostic thresholds, at-risk patient populations etc.</w:t>
            </w:r>
          </w:p>
        </w:tc>
        <w:tc>
          <w:tcPr>
            <w:tcW w:w="2220" w:type="dxa"/>
          </w:tcPr>
          <w:p w14:paraId="779853DD" w14:textId="2CF3F3E7"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Diagnostic accuracy of IHC across different tumour types was discussed by the submission.</w:t>
            </w:r>
          </w:p>
          <w:p w14:paraId="29D6384D" w14:textId="463CB79E"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MSAC considered that more information was needed on the false negative rate for IHC and the reasons for this, as well as a definition of a positive IHC result (e.g. whether this would include weak positivity, or would be </w:t>
            </w:r>
            <w:r w:rsidRPr="003964BE">
              <w:rPr>
                <w:rFonts w:ascii="Arial Narrow" w:eastAsia="Times New Roman" w:hAnsi="Arial Narrow" w:cs="Times New Roman"/>
                <w:color w:val="000000"/>
                <w:sz w:val="20"/>
                <w:szCs w:val="20"/>
                <w:lang w:eastAsia="en-AU"/>
              </w:rPr>
              <w:lastRenderedPageBreak/>
              <w:t>better defined as “non-negative”)</w:t>
            </w:r>
          </w:p>
        </w:tc>
        <w:tc>
          <w:tcPr>
            <w:tcW w:w="2221" w:type="dxa"/>
          </w:tcPr>
          <w:p w14:paraId="1A3AB4EC" w14:textId="1E39E367"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lastRenderedPageBreak/>
              <w:t>Data relating to the diagnostic accuracy of IHC was updated, including 3 additional studies comparing IHC and RNA-NGS. However, overall conclusions relating to diagnostic performance for IHC remain consistent with the original submission.</w:t>
            </w:r>
          </w:p>
        </w:tc>
        <w:tc>
          <w:tcPr>
            <w:tcW w:w="2221" w:type="dxa"/>
          </w:tcPr>
          <w:p w14:paraId="593B7822" w14:textId="53128AEB"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Two of the three additional studies were identified during the previous evaluation. The third study provides diagnostic accuracy of IHC compared to RNA-NGS in paediatric patients with CMN (a paediatric high frequency </w:t>
            </w:r>
            <w:r w:rsidRPr="003964BE">
              <w:rPr>
                <w:rFonts w:ascii="Arial Narrow" w:eastAsia="Times New Roman" w:hAnsi="Arial Narrow" w:cs="Times New Roman"/>
                <w:i/>
                <w:sz w:val="20"/>
                <w:szCs w:val="20"/>
                <w:lang w:eastAsia="en-AU"/>
              </w:rPr>
              <w:t>NTRK</w:t>
            </w:r>
            <w:r w:rsidRPr="003964BE">
              <w:rPr>
                <w:rFonts w:ascii="Arial Narrow" w:eastAsia="Times New Roman" w:hAnsi="Arial Narrow" w:cs="Times New Roman"/>
                <w:sz w:val="20"/>
                <w:szCs w:val="20"/>
                <w:lang w:eastAsia="en-AU"/>
              </w:rPr>
              <w:t xml:space="preserve"> fusion cancer type). The overall conclusions remain consistent with the previous commentary.</w:t>
            </w:r>
          </w:p>
          <w:p w14:paraId="597C853E" w14:textId="4C55C5BD"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lastRenderedPageBreak/>
              <w:t>The false negative rate for IHC and the definition of a positive IHC result were not discussed in the resubmission</w:t>
            </w:r>
          </w:p>
        </w:tc>
      </w:tr>
      <w:tr w:rsidR="00214D77" w:rsidRPr="003964BE" w14:paraId="37420D80" w14:textId="7938C4A7" w:rsidTr="00214D77">
        <w:tc>
          <w:tcPr>
            <w:tcW w:w="2547" w:type="dxa"/>
          </w:tcPr>
          <w:p w14:paraId="2C0AED90" w14:textId="1C653265"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lastRenderedPageBreak/>
              <w:t>Test reproducibility is particularly important for pan-tumour assessments to demonstrate testing equivalence across different tumour types and for different diagnostic laboratories.</w:t>
            </w:r>
          </w:p>
        </w:tc>
        <w:tc>
          <w:tcPr>
            <w:tcW w:w="2220" w:type="dxa"/>
          </w:tcPr>
          <w:p w14:paraId="3A48892D" w14:textId="4254C3B4"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This was not fully covered in the submission. However, if the IHC, FISH, or NGS tests are performed in a NATA-accredited laboratory with a quality assurance program in place, test reproducibility should not be an issue.</w:t>
            </w:r>
          </w:p>
        </w:tc>
        <w:tc>
          <w:tcPr>
            <w:tcW w:w="2221" w:type="dxa"/>
          </w:tcPr>
          <w:p w14:paraId="0BC3515A" w14:textId="3E5DCCF7" w:rsidR="00214D77" w:rsidRPr="003964BE" w:rsidRDefault="006906B5"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The resubmission</w:t>
            </w:r>
            <w:r w:rsidR="00214D77" w:rsidRPr="003964BE">
              <w:rPr>
                <w:rFonts w:ascii="Arial Narrow" w:eastAsia="Times New Roman" w:hAnsi="Arial Narrow" w:cs="Times New Roman"/>
                <w:color w:val="000000"/>
                <w:sz w:val="20"/>
                <w:szCs w:val="20"/>
                <w:lang w:eastAsia="en-AU"/>
              </w:rPr>
              <w:t xml:space="preserve"> agree</w:t>
            </w:r>
            <w:r w:rsidRPr="003964BE">
              <w:rPr>
                <w:rFonts w:ascii="Arial Narrow" w:eastAsia="Times New Roman" w:hAnsi="Arial Narrow" w:cs="Times New Roman"/>
                <w:color w:val="000000"/>
                <w:sz w:val="20"/>
                <w:szCs w:val="20"/>
                <w:lang w:eastAsia="en-AU"/>
              </w:rPr>
              <w:t>d</w:t>
            </w:r>
            <w:r w:rsidR="00214D77" w:rsidRPr="003964BE">
              <w:rPr>
                <w:rFonts w:ascii="Arial Narrow" w:eastAsia="Times New Roman" w:hAnsi="Arial Narrow" w:cs="Times New Roman"/>
                <w:color w:val="000000"/>
                <w:sz w:val="20"/>
                <w:szCs w:val="20"/>
                <w:lang w:eastAsia="en-AU"/>
              </w:rPr>
              <w:t xml:space="preserve"> with PBAC/MSAC that test reproducibility should not be an issue given IHC, FISH and NGS tests are expected to be performed in NATA-accredited laboratories. </w:t>
            </w:r>
          </w:p>
          <w:p w14:paraId="5F14A08B" w14:textId="4E227B31"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Additional data relating to test reproducibility was presented: a multinational ring study analysed FISH and NGS for the detection of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gene fusions in various FFPE cancer tissues found inter-laboratory reproducibility was strong for both evaluated methodologies.</w:t>
            </w:r>
          </w:p>
        </w:tc>
        <w:tc>
          <w:tcPr>
            <w:tcW w:w="2221" w:type="dxa"/>
          </w:tcPr>
          <w:p w14:paraId="355FCCD6" w14:textId="1395E9D8"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The resubmission highlighted that the study by Kirchner et al (2020) found that both FISH and NGS for the detection of </w:t>
            </w:r>
            <w:r w:rsidRPr="003964BE">
              <w:rPr>
                <w:rFonts w:ascii="Arial Narrow" w:eastAsia="Times New Roman" w:hAnsi="Arial Narrow" w:cs="Times New Roman"/>
                <w:i/>
                <w:sz w:val="20"/>
                <w:szCs w:val="20"/>
                <w:lang w:eastAsia="en-AU"/>
              </w:rPr>
              <w:t>NTRK</w:t>
            </w:r>
            <w:r w:rsidRPr="003964BE">
              <w:rPr>
                <w:rFonts w:ascii="Arial Narrow" w:eastAsia="Times New Roman" w:hAnsi="Arial Narrow" w:cs="Times New Roman"/>
                <w:sz w:val="20"/>
                <w:szCs w:val="20"/>
                <w:lang w:eastAsia="en-AU"/>
              </w:rPr>
              <w:t xml:space="preserve"> gene fusions in various FFPE cancer tissues showed strong inter-laboratory reproducibility. This was reasonable.</w:t>
            </w:r>
          </w:p>
        </w:tc>
      </w:tr>
      <w:tr w:rsidR="00214D77" w:rsidRPr="003964BE" w14:paraId="1408248F" w14:textId="0B7D7DA3" w:rsidTr="00214D77">
        <w:tc>
          <w:tcPr>
            <w:tcW w:w="2547" w:type="dxa"/>
          </w:tcPr>
          <w:p w14:paraId="7C0CC695" w14:textId="1EF3F6BC"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It is important that the positive predictive value (PPV) and negative predictive value (NPV) for the biomarker test versus its reference standard is provided over the relevant biomarker prevalence range for the tumours being targeted to enable an assessment of the ratio of correct to incorrect test results.</w:t>
            </w:r>
          </w:p>
        </w:tc>
        <w:tc>
          <w:tcPr>
            <w:tcW w:w="2220" w:type="dxa"/>
          </w:tcPr>
          <w:p w14:paraId="112B2F3A" w14:textId="0360ABE4"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This was well covered in the submission.</w:t>
            </w:r>
          </w:p>
          <w:p w14:paraId="40BF8987" w14:textId="2C39B6B5"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However the economic analysis assumes 100% test performance of NGS and FISH. The model structure does not allow false positives to be modelled, and so the implications of inappropriate treatment and delayed appropriate treatment for these patients has not been considered.</w:t>
            </w:r>
          </w:p>
        </w:tc>
        <w:tc>
          <w:tcPr>
            <w:tcW w:w="2221" w:type="dxa"/>
          </w:tcPr>
          <w:p w14:paraId="0F0BE87F" w14:textId="2A51AE32"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The economic analysis was amended to a test-treat model for this resubmission which allows the implications of false FISH/NGS results to be considered.</w:t>
            </w:r>
          </w:p>
        </w:tc>
        <w:tc>
          <w:tcPr>
            <w:tcW w:w="2221" w:type="dxa"/>
          </w:tcPr>
          <w:p w14:paraId="56E30B8E" w14:textId="510CE14A" w:rsidR="00214D77" w:rsidRPr="003964BE" w:rsidRDefault="00214D77" w:rsidP="00214D77">
            <w:pPr>
              <w:spacing w:before="40"/>
              <w:jc w:val="left"/>
              <w:rPr>
                <w:rFonts w:ascii="Arial Narrow" w:eastAsia="Times New Roman" w:hAnsi="Arial Narrow" w:cs="Times New Roman"/>
                <w:sz w:val="20"/>
                <w:szCs w:val="20"/>
                <w:lang w:eastAsia="en-AU"/>
              </w:rPr>
            </w:pPr>
            <w:bookmarkStart w:id="4" w:name="OLE_LINK10"/>
            <w:bookmarkStart w:id="5" w:name="OLE_LINK11"/>
            <w:r w:rsidRPr="003964BE">
              <w:rPr>
                <w:rFonts w:ascii="Arial Narrow" w:eastAsia="Times New Roman" w:hAnsi="Arial Narrow" w:cs="Times New Roman"/>
                <w:sz w:val="20"/>
                <w:szCs w:val="20"/>
                <w:lang w:eastAsia="en-AU"/>
              </w:rPr>
              <w:t>While the model presented in the resubmission was restructured to allow the implications of false positive and false negative results to be analysed, the base case retains the assumption of 100% test performance of NGS (DNA and RNA) and FISH.</w:t>
            </w:r>
            <w:bookmarkEnd w:id="4"/>
            <w:bookmarkEnd w:id="5"/>
            <w:r w:rsidRPr="003964BE">
              <w:rPr>
                <w:rFonts w:ascii="Arial Narrow" w:eastAsia="Times New Roman" w:hAnsi="Arial Narrow" w:cs="Times New Roman"/>
                <w:sz w:val="20"/>
                <w:szCs w:val="20"/>
                <w:lang w:eastAsia="en-AU"/>
              </w:rPr>
              <w:t xml:space="preserve"> This was not reasonable </w:t>
            </w:r>
          </w:p>
          <w:p w14:paraId="5F3F21FF" w14:textId="57C068B3"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The ICER is sensitive, particularly in the low frequency populations, to changes in the specificity of NGS/FISH testing.</w:t>
            </w:r>
          </w:p>
        </w:tc>
      </w:tr>
      <w:tr w:rsidR="00214D77" w:rsidRPr="003964BE" w14:paraId="78E8A8BB" w14:textId="5795553C" w:rsidTr="00214D77">
        <w:tc>
          <w:tcPr>
            <w:tcW w:w="2547" w:type="dxa"/>
          </w:tcPr>
          <w:p w14:paraId="176F2B2A" w14:textId="489ABB8F"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MSAC/PBAC may consider it prudent to ensure that testing for access to a pan-tumour medication is not undertaken before other viable treatment options are considered. Alternatively, each patient could be individually triaged for either standard of care or the pan-tumour medicine, based on the prevalence of the biomarker in that tumour type and/or the population </w:t>
            </w:r>
            <w:r w:rsidRPr="003964BE">
              <w:rPr>
                <w:rFonts w:ascii="Arial Narrow" w:eastAsia="Times New Roman" w:hAnsi="Arial Narrow" w:cs="Times New Roman"/>
                <w:color w:val="000000"/>
                <w:sz w:val="20"/>
                <w:szCs w:val="20"/>
                <w:lang w:eastAsia="en-AU"/>
              </w:rPr>
              <w:lastRenderedPageBreak/>
              <w:t>level evidence supporting a potential treatment effect of the therapy in that patient.</w:t>
            </w:r>
          </w:p>
        </w:tc>
        <w:tc>
          <w:tcPr>
            <w:tcW w:w="2220" w:type="dxa"/>
          </w:tcPr>
          <w:p w14:paraId="1ED799FD" w14:textId="37A3142F"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lastRenderedPageBreak/>
              <w:t>The clinical algorithm proposed by the submission differed from that in the ratified PICO Confirmation.</w:t>
            </w:r>
          </w:p>
        </w:tc>
        <w:tc>
          <w:tcPr>
            <w:tcW w:w="2221" w:type="dxa"/>
          </w:tcPr>
          <w:p w14:paraId="503B4D6F" w14:textId="1210685A"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MSAC considered that it would be reasonable to allow populations with high-frequency tumour types to have direct access to FISH/NGS without a prior IHC test, and it would be reasonable for paediatric patients with low-frequency tumour types to have direct access to FISH/NGS without a prior IHC test because of the small numbers of these patients and the likelihood of their cancer being </w:t>
            </w:r>
            <w:proofErr w:type="spellStart"/>
            <w:r w:rsidRPr="003964BE">
              <w:rPr>
                <w:rFonts w:ascii="Arial Narrow" w:eastAsia="Times New Roman" w:hAnsi="Arial Narrow" w:cs="Times New Roman"/>
                <w:color w:val="000000"/>
                <w:sz w:val="20"/>
                <w:szCs w:val="20"/>
                <w:lang w:eastAsia="en-AU"/>
              </w:rPr>
              <w:lastRenderedPageBreak/>
              <w:t>oncogenically</w:t>
            </w:r>
            <w:proofErr w:type="spellEnd"/>
            <w:r w:rsidRPr="003964BE">
              <w:rPr>
                <w:rFonts w:ascii="Arial Narrow" w:eastAsia="Times New Roman" w:hAnsi="Arial Narrow" w:cs="Times New Roman"/>
                <w:color w:val="000000"/>
                <w:sz w:val="20"/>
                <w:szCs w:val="20"/>
                <w:lang w:eastAsia="en-AU"/>
              </w:rPr>
              <w:t xml:space="preserve"> driven by a detected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 is high (MSAC application 1602 2020 PSD p.4). </w:t>
            </w:r>
          </w:p>
          <w:p w14:paraId="0E1682F4" w14:textId="20C747F4"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Adult patients with low-frequency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 tumour types are triaged with pan-</w:t>
            </w:r>
            <w:proofErr w:type="spellStart"/>
            <w:r w:rsidRPr="003964BE">
              <w:rPr>
                <w:rFonts w:ascii="Arial Narrow" w:eastAsia="Times New Roman" w:hAnsi="Arial Narrow" w:cs="Times New Roman"/>
                <w:color w:val="000000"/>
                <w:sz w:val="20"/>
                <w:szCs w:val="20"/>
                <w:lang w:eastAsia="en-AU"/>
              </w:rPr>
              <w:t>Trk</w:t>
            </w:r>
            <w:proofErr w:type="spellEnd"/>
            <w:r w:rsidRPr="003964BE">
              <w:rPr>
                <w:rFonts w:ascii="Arial Narrow" w:eastAsia="Times New Roman" w:hAnsi="Arial Narrow" w:cs="Times New Roman"/>
                <w:color w:val="000000"/>
                <w:sz w:val="20"/>
                <w:szCs w:val="20"/>
                <w:lang w:eastAsia="en-AU"/>
              </w:rPr>
              <w:t xml:space="preserve"> IHC prior to access to FISH/NGS in proposed clinical algorithm. </w:t>
            </w:r>
          </w:p>
        </w:tc>
        <w:tc>
          <w:tcPr>
            <w:tcW w:w="2221" w:type="dxa"/>
          </w:tcPr>
          <w:p w14:paraId="10AA8623" w14:textId="0CDB63EE"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lastRenderedPageBreak/>
              <w:t>MSAC’s advice has been incorporated into the clinical management algorithm. However, according to the proposed clinical management algorithm, IHC testing has been delayed until the patient has failed all other treatment options. This should be amended so that testing still occurs at diagnosis of advanced disease but treatment is delayed until no viable options are available.</w:t>
            </w:r>
          </w:p>
        </w:tc>
      </w:tr>
      <w:tr w:rsidR="00214D77" w:rsidRPr="003964BE" w14:paraId="323409B4" w14:textId="3FE7AF61" w:rsidTr="00214D77">
        <w:tc>
          <w:tcPr>
            <w:tcW w:w="2547" w:type="dxa"/>
          </w:tcPr>
          <w:p w14:paraId="109DFABC" w14:textId="7B83468D"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lastRenderedPageBreak/>
              <w:t>For tumour types with very low prevalence rates, MSAC could consider the use of sequential testing to reduce the number of false positive patients who would be eligible for targeted treatment.</w:t>
            </w:r>
          </w:p>
        </w:tc>
        <w:tc>
          <w:tcPr>
            <w:tcW w:w="2220" w:type="dxa"/>
          </w:tcPr>
          <w:p w14:paraId="17A8A7E3" w14:textId="7D5A2868"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submission recommended to triage adults with low frequency </w:t>
            </w:r>
            <w:r w:rsidRPr="003964BE">
              <w:rPr>
                <w:rFonts w:ascii="Arial Narrow" w:eastAsia="Times New Roman" w:hAnsi="Arial Narrow" w:cs="Times New Roman"/>
                <w:i/>
                <w:color w:val="000000"/>
                <w:sz w:val="20"/>
                <w:szCs w:val="20"/>
                <w:lang w:eastAsia="en-AU"/>
              </w:rPr>
              <w:t>NTRK</w:t>
            </w:r>
            <w:r w:rsidRPr="003964BE">
              <w:rPr>
                <w:rFonts w:ascii="Arial Narrow" w:eastAsia="Times New Roman" w:hAnsi="Arial Narrow" w:cs="Times New Roman"/>
                <w:color w:val="000000"/>
                <w:sz w:val="20"/>
                <w:szCs w:val="20"/>
                <w:lang w:eastAsia="en-AU"/>
              </w:rPr>
              <w:t xml:space="preserve"> fusion cancers using IHC testing for but not for paediatric patients.</w:t>
            </w:r>
          </w:p>
        </w:tc>
        <w:tc>
          <w:tcPr>
            <w:tcW w:w="2221" w:type="dxa"/>
          </w:tcPr>
          <w:p w14:paraId="3C3D5BAC" w14:textId="0CA34E1B"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As discussed directly above, MSAC considered it appropriate to directly test all paediatrics and adult high frequency tumours with FISH/NGS directly (without IHC triage). </w:t>
            </w:r>
          </w:p>
        </w:tc>
        <w:tc>
          <w:tcPr>
            <w:tcW w:w="2221" w:type="dxa"/>
          </w:tcPr>
          <w:p w14:paraId="18F2B5C5" w14:textId="52D7E7E2"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Triage testing with pan-</w:t>
            </w:r>
            <w:proofErr w:type="spellStart"/>
            <w:r w:rsidRPr="003964BE">
              <w:rPr>
                <w:rFonts w:ascii="Arial Narrow" w:eastAsia="Times New Roman" w:hAnsi="Arial Narrow" w:cs="Times New Roman"/>
                <w:sz w:val="20"/>
                <w:szCs w:val="20"/>
                <w:lang w:eastAsia="en-AU"/>
              </w:rPr>
              <w:t>Trk</w:t>
            </w:r>
            <w:proofErr w:type="spellEnd"/>
            <w:r w:rsidRPr="003964BE">
              <w:rPr>
                <w:rFonts w:ascii="Arial Narrow" w:eastAsia="Times New Roman" w:hAnsi="Arial Narrow" w:cs="Times New Roman"/>
                <w:sz w:val="20"/>
                <w:szCs w:val="20"/>
                <w:lang w:eastAsia="en-AU"/>
              </w:rPr>
              <w:t xml:space="preserve"> IHC has been recommended for adult patients with low frequency </w:t>
            </w:r>
            <w:r w:rsidRPr="003964BE">
              <w:rPr>
                <w:rFonts w:ascii="Arial Narrow" w:eastAsia="Times New Roman" w:hAnsi="Arial Narrow" w:cs="Times New Roman"/>
                <w:i/>
                <w:sz w:val="20"/>
                <w:szCs w:val="20"/>
                <w:lang w:eastAsia="en-AU"/>
              </w:rPr>
              <w:t>NTRK</w:t>
            </w:r>
            <w:r w:rsidRPr="003964BE">
              <w:rPr>
                <w:rFonts w:ascii="Arial Narrow" w:eastAsia="Times New Roman" w:hAnsi="Arial Narrow" w:cs="Times New Roman"/>
                <w:sz w:val="20"/>
                <w:szCs w:val="20"/>
                <w:lang w:eastAsia="en-AU"/>
              </w:rPr>
              <w:t xml:space="preserve"> fusion cancer types in the resubmission</w:t>
            </w:r>
          </w:p>
        </w:tc>
      </w:tr>
      <w:tr w:rsidR="00214D77" w:rsidRPr="003964BE" w14:paraId="63FDAD7D" w14:textId="63346E0F" w:rsidTr="00214D77">
        <w:tc>
          <w:tcPr>
            <w:tcW w:w="2547" w:type="dxa"/>
          </w:tcPr>
          <w:p w14:paraId="11650EA4" w14:textId="50E30B69"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Should the prevalence of the biomarker change during the course of disease and in response to treatments such as chemotherapy or radiotherapy, a re-biopsy may be necessary which will have implications for patient safety, test uptake and costs.</w:t>
            </w:r>
          </w:p>
        </w:tc>
        <w:tc>
          <w:tcPr>
            <w:tcW w:w="2220" w:type="dxa"/>
          </w:tcPr>
          <w:p w14:paraId="6CEF71A8" w14:textId="7C1C6DD9"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This was not well covered in the submission. The prevalence of the biomarker may or may not change in response to treatment. However, resistance mutations are expected to occur.</w:t>
            </w:r>
          </w:p>
        </w:tc>
        <w:tc>
          <w:tcPr>
            <w:tcW w:w="2221" w:type="dxa"/>
          </w:tcPr>
          <w:p w14:paraId="38E83032" w14:textId="2C8FB1D0"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Although it is possible the biomarker could change during the course of disease, given the proposed PBS restriction criteria where patients are no longer eligible for PBS-subsidised larotrectinib following disease progression, this is unlikely to be an issue. </w:t>
            </w:r>
          </w:p>
          <w:p w14:paraId="3E8DB2E0" w14:textId="5036004D"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In addition, patients must not have received prior treatment with a </w:t>
            </w:r>
            <w:proofErr w:type="spellStart"/>
            <w:r w:rsidRPr="003964BE">
              <w:rPr>
                <w:rFonts w:ascii="Arial Narrow" w:eastAsia="Times New Roman" w:hAnsi="Arial Narrow" w:cs="Times New Roman"/>
                <w:color w:val="000000"/>
                <w:sz w:val="20"/>
                <w:szCs w:val="20"/>
                <w:lang w:eastAsia="en-AU"/>
              </w:rPr>
              <w:t>Trk</w:t>
            </w:r>
            <w:proofErr w:type="spellEnd"/>
            <w:r w:rsidRPr="003964BE">
              <w:rPr>
                <w:rFonts w:ascii="Arial Narrow" w:eastAsia="Times New Roman" w:hAnsi="Arial Narrow" w:cs="Times New Roman"/>
                <w:color w:val="000000"/>
                <w:sz w:val="20"/>
                <w:szCs w:val="20"/>
                <w:lang w:eastAsia="en-AU"/>
              </w:rPr>
              <w:t xml:space="preserve"> inhibitor to be eligible for PBS-subsidised larotrectinib.</w:t>
            </w:r>
          </w:p>
        </w:tc>
        <w:tc>
          <w:tcPr>
            <w:tcW w:w="2221" w:type="dxa"/>
          </w:tcPr>
          <w:p w14:paraId="5D140481" w14:textId="39934E6D"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As testing is to occur at the diagnosis of advanced disease, the stability of the biomarker should not be an issue. A </w:t>
            </w:r>
            <w:proofErr w:type="spellStart"/>
            <w:r w:rsidRPr="003964BE">
              <w:rPr>
                <w:rFonts w:ascii="Arial Narrow" w:eastAsia="Times New Roman" w:hAnsi="Arial Narrow" w:cs="Times New Roman"/>
                <w:sz w:val="20"/>
                <w:szCs w:val="20"/>
                <w:lang w:eastAsia="en-AU"/>
              </w:rPr>
              <w:t>rebiopsy</w:t>
            </w:r>
            <w:proofErr w:type="spellEnd"/>
            <w:r w:rsidRPr="003964BE">
              <w:rPr>
                <w:rFonts w:ascii="Arial Narrow" w:eastAsia="Times New Roman" w:hAnsi="Arial Narrow" w:cs="Times New Roman"/>
                <w:sz w:val="20"/>
                <w:szCs w:val="20"/>
                <w:lang w:eastAsia="en-AU"/>
              </w:rPr>
              <w:t xml:space="preserve"> should only be necessary if insufficient tumour material is available for </w:t>
            </w:r>
            <w:r w:rsidRPr="003964BE">
              <w:rPr>
                <w:rFonts w:ascii="Arial Narrow" w:eastAsia="Times New Roman" w:hAnsi="Arial Narrow" w:cs="Times New Roman"/>
                <w:i/>
                <w:sz w:val="20"/>
                <w:szCs w:val="20"/>
                <w:lang w:eastAsia="en-AU"/>
              </w:rPr>
              <w:t xml:space="preserve">NTRK </w:t>
            </w:r>
            <w:r w:rsidRPr="003964BE">
              <w:rPr>
                <w:rFonts w:ascii="Arial Narrow" w:eastAsia="Times New Roman" w:hAnsi="Arial Narrow" w:cs="Times New Roman"/>
                <w:sz w:val="20"/>
                <w:szCs w:val="20"/>
                <w:lang w:eastAsia="en-AU"/>
              </w:rPr>
              <w:t>fusion testing.</w:t>
            </w:r>
          </w:p>
        </w:tc>
      </w:tr>
      <w:tr w:rsidR="00214D77" w:rsidRPr="003964BE" w14:paraId="39C55719" w14:textId="0354B46C" w:rsidTr="00214D77">
        <w:tc>
          <w:tcPr>
            <w:tcW w:w="2547" w:type="dxa"/>
            <w:vMerge w:val="restart"/>
          </w:tcPr>
          <w:p w14:paraId="15F59271" w14:textId="4F4E7E22"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evidence is likely to consist of single-arm phase II trials in pan-tumour applications. Thus, demonstrating a therapeutic benefit will rely on the use of a reference case (most common cancer) of the effect size of the treatment in biomarker positive patients over the current standard of care. In the absence of randomised controlled trials, the comparison could be made using prognostic data from a historical data set with subgroup cohorts defined by having different test results (e.g. </w:t>
            </w:r>
            <w:proofErr w:type="spellStart"/>
            <w:r w:rsidRPr="003964BE">
              <w:rPr>
                <w:rFonts w:ascii="Arial Narrow" w:eastAsia="Times New Roman" w:hAnsi="Arial Narrow" w:cs="Times New Roman"/>
                <w:color w:val="000000"/>
                <w:sz w:val="20"/>
                <w:szCs w:val="20"/>
                <w:lang w:eastAsia="en-AU"/>
              </w:rPr>
              <w:t>dMMR</w:t>
            </w:r>
            <w:proofErr w:type="spellEnd"/>
            <w:r w:rsidRPr="003964BE">
              <w:rPr>
                <w:rFonts w:ascii="Arial Narrow" w:eastAsia="Times New Roman" w:hAnsi="Arial Narrow" w:cs="Times New Roman"/>
                <w:color w:val="000000"/>
                <w:sz w:val="20"/>
                <w:szCs w:val="20"/>
                <w:lang w:eastAsia="en-AU"/>
              </w:rPr>
              <w:t xml:space="preserve"> and </w:t>
            </w:r>
            <w:r w:rsidRPr="003964BE">
              <w:rPr>
                <w:rFonts w:ascii="Arial Narrow" w:eastAsia="Times New Roman" w:hAnsi="Arial Narrow" w:cs="Times New Roman"/>
                <w:color w:val="000000"/>
                <w:sz w:val="20"/>
                <w:szCs w:val="20"/>
                <w:lang w:eastAsia="en-AU"/>
              </w:rPr>
              <w:lastRenderedPageBreak/>
              <w:t>proficient MMR), against which the results of single-arm trials across a pan-tumour population can be benchmarked.</w:t>
            </w:r>
          </w:p>
        </w:tc>
        <w:tc>
          <w:tcPr>
            <w:tcW w:w="2220" w:type="dxa"/>
          </w:tcPr>
          <w:p w14:paraId="08FFC076" w14:textId="28D5C91D"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lastRenderedPageBreak/>
              <w:t>The submission used a naïve comparison between the single-arm larotrectinib trials compared with historical SoC trials.</w:t>
            </w:r>
          </w:p>
        </w:tc>
        <w:tc>
          <w:tcPr>
            <w:tcW w:w="2221" w:type="dxa"/>
          </w:tcPr>
          <w:p w14:paraId="56872650" w14:textId="52C21267"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approach to assessing the therapeutic benefit of larotrectinib remains unchanged for this resubmission. </w:t>
            </w:r>
          </w:p>
          <w:p w14:paraId="19D5B4CA" w14:textId="376B3092"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color w:val="000000"/>
                <w:sz w:val="20"/>
                <w:szCs w:val="20"/>
                <w:lang w:eastAsia="en-AU"/>
              </w:rPr>
              <w:t xml:space="preserve">The latest larotrectinib trial data across the three pivotal trials as well as updated SoC comparators was included for this resubmission. </w:t>
            </w:r>
          </w:p>
        </w:tc>
        <w:tc>
          <w:tcPr>
            <w:tcW w:w="2221" w:type="dxa"/>
          </w:tcPr>
          <w:p w14:paraId="3685682C" w14:textId="033D00BB"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Updated ePAS5 and SAS3 datasets were used in the resubmission. </w:t>
            </w:r>
          </w:p>
          <w:p w14:paraId="36FA4211" w14:textId="4BC584F0"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Updated SoC comparator studies were included for </w:t>
            </w:r>
            <w:r w:rsidR="00CF178C" w:rsidRPr="003964BE">
              <w:rPr>
                <w:rFonts w:ascii="Arial Narrow" w:eastAsia="Times New Roman" w:hAnsi="Arial Narrow" w:cs="Times New Roman"/>
                <w:sz w:val="20"/>
                <w:szCs w:val="20"/>
                <w:lang w:eastAsia="en-AU"/>
              </w:rPr>
              <w:t xml:space="preserve">adults </w:t>
            </w:r>
            <w:r w:rsidRPr="003964BE">
              <w:rPr>
                <w:rFonts w:ascii="Arial Narrow" w:eastAsia="Times New Roman" w:hAnsi="Arial Narrow" w:cs="Times New Roman"/>
                <w:sz w:val="20"/>
                <w:szCs w:val="20"/>
                <w:lang w:eastAsia="en-AU"/>
              </w:rPr>
              <w:t xml:space="preserve">with low frequency </w:t>
            </w:r>
            <w:r w:rsidRPr="003964BE">
              <w:rPr>
                <w:rFonts w:ascii="Arial Narrow" w:eastAsia="Times New Roman" w:hAnsi="Arial Narrow" w:cs="Times New Roman"/>
                <w:i/>
                <w:sz w:val="20"/>
                <w:szCs w:val="20"/>
                <w:lang w:eastAsia="en-AU"/>
              </w:rPr>
              <w:t xml:space="preserve">NTRK </w:t>
            </w:r>
            <w:r w:rsidRPr="003964BE">
              <w:rPr>
                <w:rFonts w:ascii="Arial Narrow" w:eastAsia="Times New Roman" w:hAnsi="Arial Narrow" w:cs="Times New Roman"/>
                <w:sz w:val="20"/>
                <w:szCs w:val="20"/>
                <w:lang w:eastAsia="en-AU"/>
              </w:rPr>
              <w:t>fusion tumour types: CRC, NSCLC, STS or thyroid cancer.</w:t>
            </w:r>
          </w:p>
        </w:tc>
      </w:tr>
      <w:tr w:rsidR="00214D77" w:rsidRPr="003964BE" w14:paraId="6AC7AED7" w14:textId="672EBD18" w:rsidTr="00214D77">
        <w:tc>
          <w:tcPr>
            <w:tcW w:w="2547" w:type="dxa"/>
            <w:vMerge/>
          </w:tcPr>
          <w:p w14:paraId="62AB3A83" w14:textId="053473A1" w:rsidR="00214D77" w:rsidRPr="003964BE" w:rsidRDefault="00214D77" w:rsidP="00864249">
            <w:pPr>
              <w:numPr>
                <w:ilvl w:val="0"/>
                <w:numId w:val="24"/>
              </w:numPr>
              <w:spacing w:before="40"/>
              <w:jc w:val="left"/>
              <w:rPr>
                <w:rFonts w:ascii="Arial Narrow" w:eastAsia="Times New Roman" w:hAnsi="Arial Narrow" w:cs="Times New Roman"/>
                <w:color w:val="000000"/>
                <w:sz w:val="20"/>
                <w:szCs w:val="20"/>
                <w:lang w:eastAsia="en-AU"/>
              </w:rPr>
            </w:pPr>
          </w:p>
        </w:tc>
        <w:tc>
          <w:tcPr>
            <w:tcW w:w="2220" w:type="dxa"/>
          </w:tcPr>
          <w:p w14:paraId="5DF0AB06" w14:textId="76147407" w:rsidR="00214D77" w:rsidRPr="003964BE" w:rsidRDefault="00214D77" w:rsidP="00214D77">
            <w:pPr>
              <w:spacing w:before="40"/>
              <w:jc w:val="left"/>
              <w:rPr>
                <w:rFonts w:ascii="Arial Narrow" w:eastAsia="Times New Roman" w:hAnsi="Arial Narrow" w:cs="Times New Roman"/>
                <w:color w:val="000000"/>
                <w:sz w:val="20"/>
                <w:szCs w:val="20"/>
                <w:lang w:eastAsia="en-AU"/>
              </w:rPr>
            </w:pPr>
            <w:r w:rsidRPr="003964BE">
              <w:rPr>
                <w:rFonts w:ascii="Arial Narrow" w:eastAsia="Times New Roman" w:hAnsi="Arial Narrow" w:cs="Times New Roman"/>
                <w:sz w:val="20"/>
                <w:szCs w:val="20"/>
                <w:lang w:eastAsia="en-AU"/>
              </w:rPr>
              <w:t xml:space="preserve">MSAC advised there are additional issues requiring reconsideration for adult patients, including an evidentiary basis to assess whether </w:t>
            </w:r>
            <w:r w:rsidRPr="003964BE">
              <w:rPr>
                <w:rFonts w:ascii="Arial Narrow" w:eastAsia="Times New Roman" w:hAnsi="Arial Narrow" w:cs="Times New Roman"/>
                <w:bCs/>
                <w:i/>
                <w:sz w:val="20"/>
                <w:szCs w:val="20"/>
                <w:lang w:eastAsia="en-AU"/>
              </w:rPr>
              <w:t>NTRK</w:t>
            </w:r>
            <w:r w:rsidRPr="003964BE">
              <w:rPr>
                <w:rFonts w:ascii="Arial Narrow" w:eastAsia="Times New Roman" w:hAnsi="Arial Narrow" w:cs="Times New Roman"/>
                <w:bCs/>
                <w:sz w:val="20"/>
                <w:szCs w:val="20"/>
                <w:lang w:eastAsia="en-AU"/>
              </w:rPr>
              <w:t xml:space="preserve"> fusion type </w:t>
            </w:r>
            <w:r w:rsidRPr="003964BE">
              <w:rPr>
                <w:rFonts w:ascii="Arial Narrow" w:eastAsia="Times New Roman" w:hAnsi="Arial Narrow" w:cs="Times New Roman"/>
                <w:sz w:val="20"/>
                <w:szCs w:val="20"/>
                <w:lang w:eastAsia="en-AU"/>
              </w:rPr>
              <w:t xml:space="preserve">predicts variation in larotrectinib response rates to better justify the recommended fee </w:t>
            </w:r>
            <w:r w:rsidRPr="003964BE">
              <w:rPr>
                <w:rFonts w:ascii="Arial Narrow" w:eastAsia="Times New Roman" w:hAnsi="Arial Narrow" w:cs="Times New Roman"/>
                <w:sz w:val="20"/>
                <w:szCs w:val="20"/>
                <w:lang w:eastAsia="en-AU"/>
              </w:rPr>
              <w:lastRenderedPageBreak/>
              <w:t>difference between RNA-NGS and FISH testing.</w:t>
            </w:r>
          </w:p>
        </w:tc>
        <w:tc>
          <w:tcPr>
            <w:tcW w:w="2221" w:type="dxa"/>
          </w:tcPr>
          <w:p w14:paraId="74DDF38C" w14:textId="5EDED6A8" w:rsidR="00214D77" w:rsidRPr="003964BE" w:rsidRDefault="00214D77" w:rsidP="00214D77">
            <w:pPr>
              <w:spacing w:before="40"/>
              <w:jc w:val="left"/>
              <w:rPr>
                <w:rFonts w:ascii="Arial Narrow" w:eastAsia="Times New Roman" w:hAnsi="Arial Narrow" w:cs="Times New Roman"/>
                <w:color w:val="000000"/>
                <w:sz w:val="20"/>
                <w:szCs w:val="20"/>
                <w:highlight w:val="yellow"/>
                <w:lang w:eastAsia="en-AU"/>
              </w:rPr>
            </w:pPr>
            <w:r w:rsidRPr="003964BE">
              <w:rPr>
                <w:rFonts w:ascii="Arial Narrow" w:eastAsia="Times New Roman" w:hAnsi="Arial Narrow" w:cs="Times New Roman"/>
                <w:color w:val="000000"/>
                <w:sz w:val="20"/>
                <w:szCs w:val="20"/>
                <w:lang w:eastAsia="en-AU"/>
              </w:rPr>
              <w:lastRenderedPageBreak/>
              <w:t>Not addressed</w:t>
            </w:r>
          </w:p>
        </w:tc>
        <w:tc>
          <w:tcPr>
            <w:tcW w:w="2221" w:type="dxa"/>
          </w:tcPr>
          <w:p w14:paraId="01D5310F" w14:textId="21D48D75" w:rsidR="00214D77" w:rsidRPr="003964BE" w:rsidRDefault="00214D77" w:rsidP="00214D77">
            <w:pPr>
              <w:spacing w:before="40"/>
              <w:jc w:val="left"/>
              <w:rPr>
                <w:rFonts w:ascii="Arial Narrow" w:eastAsia="Times New Roman" w:hAnsi="Arial Narrow" w:cs="Times New Roman"/>
                <w:sz w:val="20"/>
                <w:szCs w:val="20"/>
                <w:highlight w:val="yellow"/>
                <w:lang w:eastAsia="en-AU"/>
              </w:rPr>
            </w:pPr>
            <w:r w:rsidRPr="003964BE">
              <w:rPr>
                <w:rFonts w:ascii="Arial Narrow" w:eastAsia="Times New Roman" w:hAnsi="Arial Narrow" w:cs="Times New Roman"/>
                <w:sz w:val="20"/>
                <w:szCs w:val="20"/>
                <w:lang w:eastAsia="en-AU"/>
              </w:rPr>
              <w:t xml:space="preserve">The previous submission reported a higher objective response rate for </w:t>
            </w:r>
            <w:r w:rsidRPr="003964BE">
              <w:rPr>
                <w:rFonts w:ascii="Arial Narrow" w:eastAsia="Times New Roman" w:hAnsi="Arial Narrow" w:cs="Times New Roman"/>
                <w:i/>
                <w:sz w:val="20"/>
                <w:szCs w:val="20"/>
                <w:lang w:eastAsia="en-AU"/>
              </w:rPr>
              <w:t>NTRK3</w:t>
            </w:r>
            <w:r w:rsidRPr="003964BE">
              <w:rPr>
                <w:rFonts w:ascii="Arial Narrow" w:eastAsia="Times New Roman" w:hAnsi="Arial Narrow" w:cs="Times New Roman"/>
                <w:sz w:val="20"/>
                <w:szCs w:val="20"/>
                <w:lang w:eastAsia="en-AU"/>
              </w:rPr>
              <w:t xml:space="preserve"> fusions (85%), which includes most patients with high frequency</w:t>
            </w:r>
            <w:r w:rsidRPr="003964BE">
              <w:rPr>
                <w:rFonts w:ascii="Arial Narrow" w:eastAsia="Times New Roman" w:hAnsi="Arial Narrow" w:cs="Times New Roman"/>
                <w:i/>
                <w:sz w:val="20"/>
                <w:szCs w:val="20"/>
                <w:lang w:eastAsia="en-AU"/>
              </w:rPr>
              <w:t xml:space="preserve"> NTRK</w:t>
            </w:r>
            <w:r w:rsidRPr="003964BE">
              <w:rPr>
                <w:rFonts w:ascii="Arial Narrow" w:eastAsia="Times New Roman" w:hAnsi="Arial Narrow" w:cs="Times New Roman"/>
                <w:sz w:val="20"/>
                <w:szCs w:val="20"/>
                <w:lang w:eastAsia="en-AU"/>
              </w:rPr>
              <w:t xml:space="preserve"> fusion cancers, than for </w:t>
            </w:r>
            <w:r w:rsidRPr="003964BE">
              <w:rPr>
                <w:rFonts w:ascii="Arial Narrow" w:eastAsia="Times New Roman" w:hAnsi="Arial Narrow" w:cs="Times New Roman"/>
                <w:i/>
                <w:sz w:val="20"/>
                <w:szCs w:val="20"/>
                <w:lang w:eastAsia="en-AU"/>
              </w:rPr>
              <w:t>NTRK1</w:t>
            </w:r>
            <w:r w:rsidRPr="003964BE">
              <w:rPr>
                <w:rFonts w:ascii="Arial Narrow" w:eastAsia="Times New Roman" w:hAnsi="Arial Narrow" w:cs="Times New Roman"/>
                <w:sz w:val="20"/>
                <w:szCs w:val="20"/>
                <w:lang w:eastAsia="en-AU"/>
              </w:rPr>
              <w:t xml:space="preserve"> and </w:t>
            </w:r>
            <w:r w:rsidRPr="003964BE">
              <w:rPr>
                <w:rFonts w:ascii="Arial Narrow" w:eastAsia="Times New Roman" w:hAnsi="Arial Narrow" w:cs="Times New Roman"/>
                <w:i/>
                <w:sz w:val="20"/>
                <w:szCs w:val="20"/>
                <w:lang w:eastAsia="en-AU"/>
              </w:rPr>
              <w:t xml:space="preserve">NTRK2 </w:t>
            </w:r>
            <w:r w:rsidRPr="003964BE">
              <w:rPr>
                <w:rFonts w:ascii="Arial Narrow" w:eastAsia="Times New Roman" w:hAnsi="Arial Narrow" w:cs="Times New Roman"/>
                <w:sz w:val="20"/>
                <w:szCs w:val="20"/>
                <w:lang w:eastAsia="en-AU"/>
              </w:rPr>
              <w:t>fusions (63% and 50%, respectively).</w:t>
            </w:r>
          </w:p>
        </w:tc>
      </w:tr>
    </w:tbl>
    <w:p w14:paraId="098B5643" w14:textId="5CE5D2D1" w:rsidR="00214D77" w:rsidRPr="00214D77" w:rsidRDefault="00214D77" w:rsidP="000D274E">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lastRenderedPageBreak/>
        <w:t>Source: Table MSAC.3 pp 17-21 of the commentary</w:t>
      </w:r>
    </w:p>
    <w:p w14:paraId="59DA0D2A" w14:textId="353D5645" w:rsidR="00214D77" w:rsidRPr="00837F24" w:rsidRDefault="00214D77" w:rsidP="00864249">
      <w:pPr>
        <w:pStyle w:val="Heading1"/>
        <w:numPr>
          <w:ilvl w:val="0"/>
          <w:numId w:val="3"/>
        </w:numPr>
        <w:spacing w:before="240" w:after="240" w:line="240" w:lineRule="auto"/>
        <w:ind w:left="720" w:hanging="720"/>
        <w:rPr>
          <w:rFonts w:ascii="Arial" w:hAnsi="Arial" w:cs="Arial"/>
          <w:bCs/>
          <w:lang w:eastAsia="en-AU"/>
        </w:rPr>
      </w:pPr>
      <w:r w:rsidRPr="00837F24">
        <w:rPr>
          <w:rFonts w:ascii="Arial" w:hAnsi="Arial" w:cs="Arial"/>
          <w:bCs/>
          <w:lang w:eastAsia="en-AU"/>
        </w:rPr>
        <w:t>Prerequisites to implementation of any funding advice</w:t>
      </w:r>
    </w:p>
    <w:p w14:paraId="060D9734" w14:textId="30B11428" w:rsidR="00214D77" w:rsidRPr="00214D77" w:rsidRDefault="00214D77" w:rsidP="00837F24">
      <w:pPr>
        <w:spacing w:before="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The resubmission noted that both the MSK-IMPACT and </w:t>
      </w:r>
      <w:proofErr w:type="spellStart"/>
      <w:r w:rsidRPr="00214D77">
        <w:rPr>
          <w:rFonts w:ascii="Times New Roman" w:eastAsia="Times New Roman" w:hAnsi="Times New Roman" w:cs="Times New Roman"/>
          <w:szCs w:val="20"/>
          <w:lang w:eastAsia="en-AU"/>
        </w:rPr>
        <w:t>FoundationOne</w:t>
      </w:r>
      <w:proofErr w:type="spellEnd"/>
      <w:r w:rsidRPr="00214D77">
        <w:rPr>
          <w:rFonts w:ascii="Times New Roman" w:eastAsia="Times New Roman" w:hAnsi="Times New Roman" w:cs="Times New Roman"/>
          <w:szCs w:val="20"/>
          <w:lang w:eastAsia="en-AU"/>
        </w:rPr>
        <w:t xml:space="preserve"> </w:t>
      </w:r>
      <w:proofErr w:type="spellStart"/>
      <w:r w:rsidRPr="00214D77">
        <w:rPr>
          <w:rFonts w:ascii="Times New Roman" w:eastAsia="Times New Roman" w:hAnsi="Times New Roman" w:cs="Times New Roman"/>
          <w:szCs w:val="20"/>
          <w:lang w:eastAsia="en-AU"/>
        </w:rPr>
        <w:t>CDx</w:t>
      </w:r>
      <w:proofErr w:type="spellEnd"/>
      <w:r w:rsidRPr="00214D77">
        <w:rPr>
          <w:rFonts w:ascii="Times New Roman" w:eastAsia="Times New Roman" w:hAnsi="Times New Roman" w:cs="Times New Roman"/>
          <w:szCs w:val="20"/>
          <w:lang w:eastAsia="en-AU"/>
        </w:rPr>
        <w:t xml:space="preserve"> panels are commonly used to detect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fusions in the literature and that both panels are now available in Australia (MSAC application 1602 Public Summary Document [PSD] 2020, p11).</w:t>
      </w:r>
    </w:p>
    <w:p w14:paraId="6E39F624" w14:textId="753D9F44" w:rsidR="00214D77" w:rsidRDefault="00214D77" w:rsidP="000D274E">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MSAC </w:t>
      </w:r>
      <w:r w:rsidR="002C02F5">
        <w:rPr>
          <w:rFonts w:ascii="Times New Roman" w:eastAsia="Calibri" w:hAnsi="Times New Roman" w:cs="Times New Roman"/>
        </w:rPr>
        <w:t xml:space="preserve">previously </w:t>
      </w:r>
      <w:r w:rsidRPr="00214D77">
        <w:rPr>
          <w:rFonts w:ascii="Times New Roman" w:eastAsia="Calibri" w:hAnsi="Times New Roman" w:cs="Times New Roman"/>
        </w:rPr>
        <w:t>noted that a quality assurance program is available and that testing would likely be restricted to National Association of Testing Authorities (NATA) accredited laboratories whose scope of practice includes somatic FISH testing on fresh or paraffin-embedded tissue, and somatic NGS testing using DNA or RNA (MSAC application 1602 PSD 2020, p4).</w:t>
      </w:r>
      <w:r w:rsidR="002C02F5">
        <w:rPr>
          <w:rFonts w:ascii="Times New Roman" w:eastAsia="Calibri" w:hAnsi="Times New Roman" w:cs="Times New Roman"/>
        </w:rPr>
        <w:t xml:space="preserve"> </w:t>
      </w:r>
      <w:r w:rsidR="002C02F5" w:rsidRPr="00214D77">
        <w:rPr>
          <w:rFonts w:ascii="Times New Roman" w:eastAsia="Calibri" w:hAnsi="Times New Roman" w:cs="Times New Roman"/>
        </w:rPr>
        <w:t>Thirteen NATA-accredited Australian laboratories currently have RNA-NGS capabilities</w:t>
      </w:r>
      <w:r w:rsidR="002C02F5">
        <w:rPr>
          <w:rFonts w:ascii="Times New Roman" w:eastAsia="Calibri" w:hAnsi="Times New Roman" w:cs="Times New Roman"/>
        </w:rPr>
        <w:t>, but</w:t>
      </w:r>
      <w:r w:rsidR="002C02F5" w:rsidRPr="00214D77">
        <w:rPr>
          <w:rFonts w:ascii="Times New Roman" w:eastAsia="Calibri" w:hAnsi="Times New Roman" w:cs="Times New Roman"/>
        </w:rPr>
        <w:t xml:space="preserve"> only two laboratories are </w:t>
      </w:r>
      <w:r w:rsidR="002C02F5">
        <w:rPr>
          <w:rFonts w:ascii="Times New Roman" w:eastAsia="Calibri" w:hAnsi="Times New Roman" w:cs="Times New Roman"/>
        </w:rPr>
        <w:t xml:space="preserve">currently </w:t>
      </w:r>
      <w:r w:rsidR="002C02F5" w:rsidRPr="00214D77">
        <w:rPr>
          <w:rFonts w:ascii="Times New Roman" w:eastAsia="Calibri" w:hAnsi="Times New Roman" w:cs="Times New Roman"/>
        </w:rPr>
        <w:t xml:space="preserve">validated to perform </w:t>
      </w:r>
      <w:r w:rsidR="002C02F5" w:rsidRPr="00214D77">
        <w:rPr>
          <w:rFonts w:ascii="Times New Roman" w:eastAsia="Calibri" w:hAnsi="Times New Roman" w:cs="Times New Roman"/>
          <w:i/>
        </w:rPr>
        <w:t>NTRK</w:t>
      </w:r>
      <w:r w:rsidR="002C02F5" w:rsidRPr="00214D77">
        <w:rPr>
          <w:rFonts w:ascii="Times New Roman" w:eastAsia="Calibri" w:hAnsi="Times New Roman" w:cs="Times New Roman"/>
        </w:rPr>
        <w:t xml:space="preserve"> fusion testing.</w:t>
      </w:r>
    </w:p>
    <w:p w14:paraId="27E77203" w14:textId="6007FE64" w:rsidR="002C02F5" w:rsidRPr="000D274E" w:rsidRDefault="002C02F5" w:rsidP="000D274E">
      <w:pPr>
        <w:spacing w:before="0" w:after="240"/>
        <w:jc w:val="left"/>
        <w:rPr>
          <w:rFonts w:ascii="Times New Roman" w:eastAsia="Calibri" w:hAnsi="Times New Roman" w:cs="Times New Roman"/>
        </w:rPr>
      </w:pPr>
      <w:r>
        <w:rPr>
          <w:rFonts w:ascii="Times New Roman" w:eastAsia="Calibri" w:hAnsi="Times New Roman" w:cs="Times New Roman"/>
        </w:rPr>
        <w:t xml:space="preserve">The accreditation of </w:t>
      </w:r>
      <w:r w:rsidRPr="005C157F">
        <w:rPr>
          <w:rFonts w:ascii="Times New Roman" w:eastAsia="Times New Roman" w:hAnsi="Times New Roman" w:cs="Times New Roman"/>
          <w:szCs w:val="20"/>
          <w:lang w:val="en-GB" w:eastAsia="en-AU"/>
        </w:rPr>
        <w:t>pan-</w:t>
      </w:r>
      <w:proofErr w:type="spellStart"/>
      <w:r w:rsidRPr="005C157F">
        <w:rPr>
          <w:rFonts w:ascii="Times New Roman" w:eastAsia="Times New Roman" w:hAnsi="Times New Roman" w:cs="Times New Roman"/>
          <w:szCs w:val="20"/>
          <w:lang w:val="en-GB" w:eastAsia="en-AU"/>
        </w:rPr>
        <w:t>Trk</w:t>
      </w:r>
      <w:proofErr w:type="spellEnd"/>
      <w:r w:rsidRPr="005C157F">
        <w:rPr>
          <w:rFonts w:ascii="Times New Roman" w:eastAsia="Times New Roman" w:hAnsi="Times New Roman" w:cs="Times New Roman"/>
          <w:szCs w:val="20"/>
          <w:lang w:val="en-GB" w:eastAsia="en-AU"/>
        </w:rPr>
        <w:t xml:space="preserve"> IHC</w:t>
      </w:r>
      <w:r>
        <w:rPr>
          <w:rFonts w:ascii="Times New Roman" w:eastAsia="Times New Roman" w:hAnsi="Times New Roman" w:cs="Times New Roman"/>
          <w:szCs w:val="20"/>
          <w:lang w:val="en-GB" w:eastAsia="en-AU"/>
        </w:rPr>
        <w:t xml:space="preserve"> testing is yet to be developed.</w:t>
      </w:r>
    </w:p>
    <w:p w14:paraId="09830E53" w14:textId="25D7CF2F" w:rsidR="00214D77" w:rsidRPr="00837F24" w:rsidRDefault="00214D77" w:rsidP="00864249">
      <w:pPr>
        <w:pStyle w:val="Heading1"/>
        <w:numPr>
          <w:ilvl w:val="0"/>
          <w:numId w:val="3"/>
        </w:numPr>
        <w:spacing w:before="240" w:after="240" w:line="240" w:lineRule="auto"/>
        <w:ind w:left="720" w:hanging="720"/>
        <w:rPr>
          <w:rFonts w:ascii="Arial" w:hAnsi="Arial" w:cs="Arial"/>
          <w:bCs/>
          <w:lang w:eastAsia="en-AU"/>
        </w:rPr>
      </w:pPr>
      <w:r w:rsidRPr="00837F24">
        <w:rPr>
          <w:rFonts w:ascii="Arial" w:hAnsi="Arial" w:cs="Arial"/>
          <w:bCs/>
          <w:lang w:eastAsia="en-AU"/>
        </w:rPr>
        <w:t>Proposal for public funding</w:t>
      </w:r>
    </w:p>
    <w:p w14:paraId="59614AE9" w14:textId="36D04F3F" w:rsidR="00214D77" w:rsidRPr="00214D77" w:rsidRDefault="00214D77" w:rsidP="00837F24">
      <w:pPr>
        <w:spacing w:before="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To address the financial burden to pathology providers and the utilisation estimates and financial impact uncertainties in regard to IHC triage testing in adult low frequency tumours</w:t>
      </w:r>
      <w:r w:rsidR="002C02F5">
        <w:rPr>
          <w:rFonts w:ascii="Times New Roman" w:eastAsia="Times New Roman" w:hAnsi="Times New Roman" w:cs="Times New Roman"/>
          <w:szCs w:val="20"/>
          <w:lang w:eastAsia="en-AU"/>
        </w:rPr>
        <w:t>,</w:t>
      </w:r>
      <w:r w:rsidRPr="00214D77">
        <w:rPr>
          <w:rFonts w:ascii="Times New Roman" w:eastAsia="Times New Roman" w:hAnsi="Times New Roman" w:cs="Times New Roman"/>
          <w:szCs w:val="20"/>
          <w:lang w:eastAsia="en-AU"/>
        </w:rPr>
        <w:t xml:space="preserve"> a new MBS listing was proposed for pan-</w:t>
      </w:r>
      <w:proofErr w:type="spellStart"/>
      <w:r w:rsidRPr="00214D77">
        <w:rPr>
          <w:rFonts w:ascii="Times New Roman" w:eastAsia="Times New Roman" w:hAnsi="Times New Roman" w:cs="Times New Roman"/>
          <w:szCs w:val="20"/>
          <w:lang w:eastAsia="en-AU"/>
        </w:rPr>
        <w:t>Trk</w:t>
      </w:r>
      <w:proofErr w:type="spellEnd"/>
      <w:r w:rsidRPr="00214D77">
        <w:rPr>
          <w:rFonts w:ascii="Times New Roman" w:eastAsia="Times New Roman" w:hAnsi="Times New Roman" w:cs="Times New Roman"/>
          <w:szCs w:val="20"/>
          <w:lang w:eastAsia="en-AU"/>
        </w:rPr>
        <w:t xml:space="preserve"> IHC </w:t>
      </w:r>
      <w:r w:rsidR="002C02F5">
        <w:rPr>
          <w:rFonts w:ascii="Times New Roman" w:eastAsia="Times New Roman" w:hAnsi="Times New Roman" w:cs="Times New Roman"/>
          <w:szCs w:val="20"/>
          <w:lang w:eastAsia="en-AU"/>
        </w:rPr>
        <w:t>testing</w:t>
      </w:r>
      <w:r w:rsidRPr="00214D77">
        <w:rPr>
          <w:rFonts w:ascii="Times New Roman" w:eastAsia="Times New Roman" w:hAnsi="Times New Roman" w:cs="Times New Roman"/>
          <w:szCs w:val="20"/>
          <w:lang w:eastAsia="en-AU"/>
        </w:rPr>
        <w:t xml:space="preserve"> for adult low frequency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-fusion tumours as presented in the resubmission (Table </w:t>
      </w:r>
      <w:r w:rsidR="00A47E69">
        <w:rPr>
          <w:rFonts w:ascii="Times New Roman" w:eastAsia="Times New Roman" w:hAnsi="Times New Roman" w:cs="Times New Roman"/>
          <w:szCs w:val="20"/>
          <w:lang w:eastAsia="en-AU"/>
        </w:rPr>
        <w:t>2</w:t>
      </w:r>
      <w:r w:rsidRPr="00214D77">
        <w:rPr>
          <w:rFonts w:ascii="Times New Roman" w:eastAsia="Times New Roman" w:hAnsi="Times New Roman" w:cs="Times New Roman"/>
          <w:szCs w:val="20"/>
          <w:lang w:eastAsia="en-AU"/>
        </w:rPr>
        <w:t>).</w:t>
      </w:r>
    </w:p>
    <w:p w14:paraId="17EF098A" w14:textId="484DB3A5" w:rsidR="0045098B" w:rsidRPr="0045098B" w:rsidRDefault="00214D77" w:rsidP="0045098B">
      <w:pPr>
        <w:spacing w:before="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The commentary proposed amendments are in coloured text, noting the first dot point amendment was to list the cancer types eligible for testing in the item descriptor rather than listing them in a footnote; and the third dot point amendment was to allow pan-</w:t>
      </w:r>
      <w:proofErr w:type="spellStart"/>
      <w:r w:rsidRPr="00214D77">
        <w:rPr>
          <w:rFonts w:ascii="Times New Roman" w:eastAsia="Times New Roman" w:hAnsi="Times New Roman" w:cs="Times New Roman"/>
          <w:szCs w:val="20"/>
          <w:lang w:eastAsia="en-AU"/>
        </w:rPr>
        <w:t>Trk</w:t>
      </w:r>
      <w:proofErr w:type="spellEnd"/>
      <w:r w:rsidRPr="00214D77">
        <w:rPr>
          <w:rFonts w:ascii="Times New Roman" w:eastAsia="Times New Roman" w:hAnsi="Times New Roman" w:cs="Times New Roman"/>
          <w:szCs w:val="20"/>
          <w:lang w:eastAsia="en-AU"/>
        </w:rPr>
        <w:t xml:space="preserve"> IHC testing for adults with high frequency </w:t>
      </w:r>
      <w:r w:rsidRPr="002C02F5">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fusion cancer types (MASC of the salivary gland or SBC) if FISH or DNA-NGS methods are used instead of RNA-NGS to detect </w:t>
      </w:r>
      <w:r w:rsidRPr="002C02F5">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fusions. This was </w:t>
      </w:r>
      <w:bookmarkStart w:id="6" w:name="_Hlk83981706"/>
      <w:r w:rsidRPr="00214D77">
        <w:rPr>
          <w:rFonts w:ascii="Times New Roman" w:eastAsia="Times New Roman" w:hAnsi="Times New Roman" w:cs="Times New Roman"/>
          <w:szCs w:val="20"/>
          <w:lang w:eastAsia="en-AU"/>
        </w:rPr>
        <w:t>due to the inability of FISH and DNA-NGS to distinguish between an active and an inactive gene fusion</w:t>
      </w:r>
      <w:bookmarkEnd w:id="6"/>
      <w:r w:rsidRPr="00214D77">
        <w:rPr>
          <w:rFonts w:ascii="Times New Roman" w:eastAsia="Times New Roman" w:hAnsi="Times New Roman" w:cs="Times New Roman"/>
          <w:szCs w:val="20"/>
          <w:lang w:eastAsia="en-AU"/>
        </w:rPr>
        <w:t>.</w:t>
      </w:r>
      <w:r w:rsidR="0045098B">
        <w:rPr>
          <w:rFonts w:ascii="Arial Narrow" w:eastAsia="Times New Roman" w:hAnsi="Arial Narrow" w:cs="Arial"/>
          <w:b/>
          <w:bCs/>
          <w:iCs/>
          <w:sz w:val="20"/>
          <w:szCs w:val="20"/>
        </w:rPr>
        <w:br w:type="page"/>
      </w:r>
    </w:p>
    <w:p w14:paraId="0A33BC71" w14:textId="4873A789" w:rsidR="00214D77" w:rsidRPr="00214D77" w:rsidRDefault="00214D77" w:rsidP="00837F24">
      <w:pPr>
        <w:keepNext/>
        <w:spacing w:before="240" w:after="40"/>
        <w:outlineLvl w:val="4"/>
        <w:rPr>
          <w:rFonts w:ascii="Arial Narrow" w:eastAsia="Times New Roman" w:hAnsi="Arial Narrow" w:cs="Arial"/>
          <w:b/>
          <w:bCs/>
          <w:iCs/>
          <w:sz w:val="20"/>
          <w:szCs w:val="20"/>
        </w:rPr>
      </w:pPr>
      <w:r w:rsidRPr="00214D77">
        <w:rPr>
          <w:rFonts w:ascii="Arial Narrow" w:eastAsia="Times New Roman" w:hAnsi="Arial Narrow" w:cs="Arial"/>
          <w:b/>
          <w:bCs/>
          <w:iCs/>
          <w:sz w:val="20"/>
          <w:szCs w:val="20"/>
        </w:rPr>
        <w:lastRenderedPageBreak/>
        <w:t>Table 2</w:t>
      </w:r>
      <w:r w:rsidRPr="00214D77">
        <w:rPr>
          <w:rFonts w:ascii="Arial Narrow" w:eastAsia="Times New Roman" w:hAnsi="Arial Narrow" w:cs="Arial"/>
          <w:b/>
          <w:bCs/>
          <w:iCs/>
          <w:sz w:val="20"/>
          <w:szCs w:val="20"/>
        </w:rPr>
        <w:tab/>
      </w:r>
      <w:r w:rsidRPr="00214D77">
        <w:rPr>
          <w:rFonts w:ascii="Arial Narrow" w:eastAsia="Times New Roman" w:hAnsi="Arial Narrow" w:cs="Arial"/>
          <w:b/>
          <w:bCs/>
          <w:iCs/>
          <w:sz w:val="20"/>
          <w:szCs w:val="18"/>
        </w:rPr>
        <w:t>Proposed MBS listing for IHC testing in adult low frequency tumours, with modifications in coloured text added during the evaluation</w:t>
      </w:r>
    </w:p>
    <w:tbl>
      <w:tblPr>
        <w:tblStyle w:val="HTATableshade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listing for IHC testing in adult low frequency tumours, with modifications in coloured text added during the evaluation"/>
      </w:tblPr>
      <w:tblGrid>
        <w:gridCol w:w="9016"/>
      </w:tblGrid>
      <w:tr w:rsidR="00214D77" w:rsidRPr="00214D77" w14:paraId="5497B47D" w14:textId="77777777" w:rsidTr="00214D77">
        <w:trPr>
          <w:cnfStyle w:val="100000000000" w:firstRow="1" w:lastRow="0" w:firstColumn="0" w:lastColumn="0" w:oddVBand="0" w:evenVBand="0" w:oddHBand="0" w:evenHBand="0" w:firstRowFirstColumn="0" w:firstRowLastColumn="0" w:lastRowFirstColumn="0" w:lastRowLastColumn="0"/>
        </w:trPr>
        <w:tc>
          <w:tcPr>
            <w:tcW w:w="5000" w:type="pct"/>
          </w:tcPr>
          <w:p w14:paraId="7DD0F6C4" w14:textId="684403DD" w:rsidR="00214D77" w:rsidRPr="00214D77" w:rsidRDefault="00214D77" w:rsidP="00C12B59">
            <w:pPr>
              <w:tabs>
                <w:tab w:val="left" w:pos="3849"/>
              </w:tabs>
              <w:spacing w:before="40" w:after="40"/>
              <w:jc w:val="left"/>
              <w:rPr>
                <w:rFonts w:ascii="Arial Narrow" w:hAnsi="Arial Narrow"/>
                <w:b/>
                <w:sz w:val="20"/>
                <w:szCs w:val="20"/>
              </w:rPr>
            </w:pPr>
            <w:r w:rsidRPr="00214D77">
              <w:rPr>
                <w:rFonts w:ascii="Arial Narrow" w:hAnsi="Arial Narrow"/>
                <w:b/>
                <w:sz w:val="20"/>
                <w:szCs w:val="20"/>
              </w:rPr>
              <w:t>Item number: TBC</w:t>
            </w:r>
            <w:r w:rsidRPr="00214D77">
              <w:rPr>
                <w:rFonts w:ascii="Arial Narrow" w:hAnsi="Arial Narrow"/>
                <w:b/>
                <w:sz w:val="20"/>
                <w:szCs w:val="20"/>
              </w:rPr>
              <w:tab/>
              <w:t>Category 6 (Pathology services) – Group P5 Tissue Pathology</w:t>
            </w:r>
          </w:p>
        </w:tc>
      </w:tr>
      <w:tr w:rsidR="00214D77" w:rsidRPr="00214D77" w14:paraId="42F783E2" w14:textId="77777777" w:rsidTr="00214D77">
        <w:tc>
          <w:tcPr>
            <w:tcW w:w="5000" w:type="pct"/>
          </w:tcPr>
          <w:p w14:paraId="5AF3FFD7" w14:textId="7C2A4661" w:rsidR="00214D77" w:rsidRPr="00214D77" w:rsidRDefault="00214D77" w:rsidP="00214D77">
            <w:pPr>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 xml:space="preserve">Immunohistochemical examination of biopsy material by immunofluorescence, </w:t>
            </w:r>
            <w:proofErr w:type="spellStart"/>
            <w:r w:rsidRPr="00214D77">
              <w:rPr>
                <w:rFonts w:ascii="Arial Narrow" w:eastAsia="Calibri" w:hAnsi="Arial Narrow"/>
                <w:sz w:val="20"/>
              </w:rPr>
              <w:t>immunoperoxidase</w:t>
            </w:r>
            <w:proofErr w:type="spellEnd"/>
            <w:r w:rsidRPr="00214D77">
              <w:rPr>
                <w:rFonts w:ascii="Arial Narrow" w:eastAsia="Calibri" w:hAnsi="Arial Narrow"/>
                <w:sz w:val="20"/>
              </w:rPr>
              <w:t xml:space="preserve"> or other labelled antibody </w:t>
            </w:r>
            <w:r w:rsidRPr="00FD7816">
              <w:rPr>
                <w:rFonts w:ascii="Arial Narrow" w:eastAsia="Calibri" w:hAnsi="Arial Narrow"/>
                <w:sz w:val="20"/>
              </w:rPr>
              <w:t>techniques</w:t>
            </w:r>
            <w:r w:rsidR="00970533">
              <w:rPr>
                <w:rFonts w:ascii="Arial Narrow" w:eastAsia="Calibri" w:hAnsi="Arial Narrow"/>
                <w:sz w:val="20"/>
              </w:rPr>
              <w:t xml:space="preserve"> </w:t>
            </w:r>
            <w:r w:rsidR="00FD7816">
              <w:rPr>
                <w:rFonts w:ascii="Arial Narrow" w:eastAsia="Calibri" w:hAnsi="Arial Narrow"/>
                <w:color w:val="0000FF"/>
                <w:sz w:val="20"/>
              </w:rPr>
              <w:t>with</w:t>
            </w:r>
            <w:r w:rsidRPr="00214D77">
              <w:rPr>
                <w:rFonts w:ascii="Arial Narrow" w:eastAsia="Calibri" w:hAnsi="Arial Narrow"/>
                <w:sz w:val="20"/>
              </w:rPr>
              <w:t xml:space="preserve"> antigenic specificity for </w:t>
            </w:r>
            <w:r w:rsidRPr="00214D77">
              <w:rPr>
                <w:rFonts w:ascii="Arial Narrow" w:eastAsia="Calibri" w:hAnsi="Arial Narrow"/>
                <w:color w:val="0000FF"/>
                <w:sz w:val="20"/>
              </w:rPr>
              <w:t>tropomyosin receptor kinase (</w:t>
            </w:r>
            <w:proofErr w:type="spellStart"/>
            <w:r w:rsidRPr="00214D77">
              <w:rPr>
                <w:rFonts w:ascii="Arial Narrow" w:eastAsia="Calibri" w:hAnsi="Arial Narrow"/>
                <w:color w:val="0000FF"/>
                <w:sz w:val="20"/>
              </w:rPr>
              <w:t>Trk</w:t>
            </w:r>
            <w:proofErr w:type="spellEnd"/>
            <w:r w:rsidRPr="00214D77">
              <w:rPr>
                <w:rFonts w:ascii="Arial Narrow" w:eastAsia="Calibri" w:hAnsi="Arial Narrow"/>
                <w:color w:val="0000FF"/>
                <w:sz w:val="20"/>
              </w:rPr>
              <w:t>)</w:t>
            </w:r>
            <w:r w:rsidRPr="00214D77">
              <w:rPr>
                <w:rFonts w:ascii="Arial Narrow" w:eastAsia="Calibri" w:hAnsi="Arial Narrow"/>
                <w:sz w:val="20"/>
              </w:rPr>
              <w:t>.</w:t>
            </w:r>
          </w:p>
          <w:p w14:paraId="7D5BE680" w14:textId="77777777" w:rsidR="00214D77" w:rsidRPr="00214D77" w:rsidRDefault="00214D77" w:rsidP="00837F24">
            <w:pPr>
              <w:widowControl w:val="0"/>
              <w:spacing w:before="240" w:after="40" w:line="257" w:lineRule="auto"/>
              <w:jc w:val="left"/>
              <w:rPr>
                <w:rFonts w:ascii="Arial Narrow" w:eastAsia="Calibri" w:hAnsi="Arial Narrow"/>
                <w:sz w:val="20"/>
              </w:rPr>
            </w:pPr>
            <w:r w:rsidRPr="00214D77">
              <w:rPr>
                <w:rFonts w:ascii="Arial Narrow" w:eastAsia="Calibri" w:hAnsi="Arial Narrow"/>
                <w:sz w:val="20"/>
              </w:rPr>
              <w:t>Immunohistochemistry (IHC) examination of tumour tissue from a patient aged 18 years or over with:</w:t>
            </w:r>
          </w:p>
          <w:p w14:paraId="49A6ABB1" w14:textId="77777777" w:rsidR="00214D77" w:rsidRPr="00214D77" w:rsidRDefault="00214D77" w:rsidP="00864249">
            <w:pPr>
              <w:numPr>
                <w:ilvl w:val="0"/>
                <w:numId w:val="21"/>
              </w:numPr>
              <w:spacing w:before="40" w:after="40"/>
              <w:jc w:val="left"/>
              <w:rPr>
                <w:rFonts w:ascii="Arial Narrow" w:eastAsia="Calibri" w:hAnsi="Arial Narrow"/>
                <w:sz w:val="20"/>
              </w:rPr>
            </w:pPr>
            <w:r w:rsidRPr="00214D77">
              <w:rPr>
                <w:rFonts w:ascii="Arial Narrow" w:eastAsia="Calibri" w:hAnsi="Arial Narrow"/>
                <w:sz w:val="20"/>
              </w:rPr>
              <w:t>solid tumour cancer of one of the following types:</w:t>
            </w:r>
            <w:r w:rsidRPr="00214D77">
              <w:rPr>
                <w:rFonts w:ascii="Arial Narrow" w:eastAsia="Calibri" w:hAnsi="Arial Narrow"/>
                <w:color w:val="0000FF"/>
                <w:sz w:val="20"/>
                <w:szCs w:val="20"/>
              </w:rPr>
              <w:t xml:space="preserve"> soft tissue sarcoma, colorectal, </w:t>
            </w:r>
            <w:r w:rsidRPr="00214D77">
              <w:rPr>
                <w:rFonts w:ascii="Arial Narrow" w:eastAsia="Calibri" w:hAnsi="Arial Narrow"/>
                <w:i/>
                <w:color w:val="0000FF"/>
                <w:sz w:val="20"/>
                <w:szCs w:val="20"/>
              </w:rPr>
              <w:t>non-small cell lung</w:t>
            </w:r>
            <w:r w:rsidRPr="00214D77">
              <w:rPr>
                <w:rFonts w:ascii="Arial Narrow" w:eastAsia="Calibri" w:hAnsi="Arial Narrow"/>
                <w:color w:val="0000FF"/>
                <w:sz w:val="20"/>
                <w:szCs w:val="20"/>
              </w:rPr>
              <w:t>* or thyroid cancer</w:t>
            </w:r>
          </w:p>
          <w:p w14:paraId="1A15946C" w14:textId="77777777" w:rsidR="00214D77" w:rsidRPr="00214D77" w:rsidRDefault="00214D77" w:rsidP="00864249">
            <w:pPr>
              <w:numPr>
                <w:ilvl w:val="0"/>
                <w:numId w:val="21"/>
              </w:numPr>
              <w:spacing w:before="40" w:after="40"/>
              <w:jc w:val="left"/>
              <w:rPr>
                <w:rFonts w:ascii="Arial Narrow" w:eastAsia="Calibri" w:hAnsi="Arial Narrow"/>
                <w:sz w:val="20"/>
              </w:rPr>
            </w:pPr>
            <w:r w:rsidRPr="00214D77">
              <w:rPr>
                <w:rFonts w:ascii="Arial Narrow" w:eastAsia="Calibri" w:hAnsi="Arial Narrow"/>
                <w:sz w:val="20"/>
              </w:rPr>
              <w:t>which is metastatic OR is locally advanced where surgical resection is likely to result in severe morbidity,</w:t>
            </w:r>
          </w:p>
          <w:p w14:paraId="48EBB505" w14:textId="0F0EF267" w:rsidR="00214D77" w:rsidRPr="00214D77" w:rsidRDefault="00214D77" w:rsidP="00864249">
            <w:pPr>
              <w:numPr>
                <w:ilvl w:val="0"/>
                <w:numId w:val="21"/>
              </w:numPr>
              <w:spacing w:before="0" w:after="120"/>
              <w:jc w:val="left"/>
              <w:rPr>
                <w:rFonts w:ascii="Arial Narrow" w:eastAsia="Calibri" w:hAnsi="Arial Narrow"/>
                <w:color w:val="0000FF"/>
                <w:sz w:val="20"/>
                <w:szCs w:val="20"/>
              </w:rPr>
            </w:pPr>
            <w:r w:rsidRPr="00214D77">
              <w:rPr>
                <w:rFonts w:ascii="Arial Narrow" w:eastAsia="Calibri" w:hAnsi="Arial Narrow"/>
                <w:color w:val="0000FF"/>
                <w:sz w:val="20"/>
              </w:rPr>
              <w:t xml:space="preserve">solid tumour cancer of one of the following types: mammary analogue secretory carcinoma of the salivary gland or secretory breast cancer if </w:t>
            </w:r>
            <w:r w:rsidRPr="00214D77">
              <w:rPr>
                <w:rFonts w:ascii="Arial Narrow" w:eastAsia="Calibri" w:hAnsi="Arial Narrow"/>
                <w:i/>
                <w:color w:val="0000FF"/>
                <w:sz w:val="20"/>
              </w:rPr>
              <w:t>NTRK</w:t>
            </w:r>
            <w:r w:rsidRPr="00214D77">
              <w:rPr>
                <w:rFonts w:ascii="Arial Narrow" w:eastAsia="Calibri" w:hAnsi="Arial Narrow"/>
                <w:color w:val="0000FF"/>
                <w:sz w:val="20"/>
              </w:rPr>
              <w:t xml:space="preserve"> gene fusion testing was conducted using fluorescence in-situ hybridisation (FISH) or DNA-based next generation sequencing (NGS) methods and a </w:t>
            </w:r>
            <w:r w:rsidRPr="00214D77">
              <w:rPr>
                <w:rFonts w:ascii="Arial Narrow" w:eastAsia="Calibri" w:hAnsi="Arial Narrow"/>
                <w:i/>
                <w:color w:val="0000FF"/>
                <w:sz w:val="20"/>
              </w:rPr>
              <w:t>NTRK</w:t>
            </w:r>
            <w:r w:rsidRPr="00214D77">
              <w:rPr>
                <w:rFonts w:ascii="Arial Narrow" w:eastAsia="Calibri" w:hAnsi="Arial Narrow"/>
                <w:color w:val="0000FF"/>
                <w:sz w:val="20"/>
              </w:rPr>
              <w:t xml:space="preserve"> gene fusion was detected.</w:t>
            </w:r>
          </w:p>
          <w:p w14:paraId="4741D0E4" w14:textId="77777777" w:rsidR="00214D77" w:rsidRPr="00214D77" w:rsidRDefault="00214D77" w:rsidP="00837F24">
            <w:pPr>
              <w:widowControl w:val="0"/>
              <w:spacing w:before="240" w:after="40" w:line="257" w:lineRule="auto"/>
              <w:jc w:val="left"/>
              <w:rPr>
                <w:rFonts w:ascii="Arial Narrow" w:eastAsia="Calibri" w:hAnsi="Arial Narrow"/>
                <w:sz w:val="20"/>
              </w:rPr>
            </w:pPr>
            <w:r w:rsidRPr="00214D77">
              <w:rPr>
                <w:rFonts w:ascii="Arial Narrow" w:eastAsia="Calibri" w:hAnsi="Arial Narrow"/>
                <w:sz w:val="20"/>
              </w:rPr>
              <w:t>Applicable only once per cancer diagnosis.</w:t>
            </w:r>
          </w:p>
        </w:tc>
      </w:tr>
      <w:tr w:rsidR="00214D77" w:rsidRPr="00214D77" w14:paraId="77F2DEA0" w14:textId="77777777" w:rsidTr="00214D77">
        <w:tc>
          <w:tcPr>
            <w:tcW w:w="5000" w:type="pct"/>
          </w:tcPr>
          <w:p w14:paraId="2C8B52C3" w14:textId="67EAA2DC" w:rsidR="00214D77" w:rsidRPr="00214D77" w:rsidRDefault="00214D77" w:rsidP="00214D77">
            <w:pPr>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Fee:  $74.50</w:t>
            </w:r>
            <w:r w:rsidR="00A545E4">
              <w:rPr>
                <w:rFonts w:ascii="Arial Narrow" w:eastAsia="Calibri" w:hAnsi="Arial Narrow"/>
                <w:sz w:val="20"/>
              </w:rPr>
              <w:t xml:space="preserve"> </w:t>
            </w:r>
            <w:r w:rsidRPr="00214D77">
              <w:rPr>
                <w:rFonts w:ascii="Arial Narrow" w:eastAsia="Calibri" w:hAnsi="Arial Narrow"/>
                <w:sz w:val="20"/>
              </w:rPr>
              <w:t xml:space="preserve"> Benefit: 75% = $55.90 85% = $63.35</w:t>
            </w:r>
          </w:p>
        </w:tc>
      </w:tr>
    </w:tbl>
    <w:p w14:paraId="3B538D85" w14:textId="77777777" w:rsidR="00214D77" w:rsidRPr="00214D77" w:rsidRDefault="00214D77" w:rsidP="000D274E">
      <w:pPr>
        <w:widowControl w:val="0"/>
        <w:spacing w:before="0" w:after="240"/>
        <w:contextualSpacing/>
        <w:jc w:val="left"/>
        <w:rPr>
          <w:rFonts w:ascii="Arial Narrow" w:eastAsia="Times New Roman" w:hAnsi="Arial Narrow" w:cs="Arial"/>
          <w:iCs/>
          <w:snapToGrid w:val="0"/>
          <w:sz w:val="18"/>
          <w:szCs w:val="20"/>
        </w:rPr>
      </w:pPr>
      <w:r w:rsidRPr="00214D77">
        <w:rPr>
          <w:rFonts w:ascii="Arial Narrow" w:eastAsia="Times New Roman" w:hAnsi="Arial Narrow" w:cs="Arial"/>
          <w:iCs/>
          <w:snapToGrid w:val="0"/>
          <w:sz w:val="18"/>
          <w:szCs w:val="20"/>
        </w:rPr>
        <w:t>*Lung cancer was specified in the resubmission but this should be changed to non-small cell lung cancer to align with the PBS restriction and the population in the clinical trials</w:t>
      </w:r>
    </w:p>
    <w:p w14:paraId="0F6908A7" w14:textId="0CA5CA4D" w:rsidR="00214D77" w:rsidRDefault="00214D77" w:rsidP="00837F24">
      <w:pPr>
        <w:widowControl w:val="0"/>
        <w:spacing w:before="0" w:after="240"/>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Source: Table 1.14 p80 of the resubmission</w:t>
      </w:r>
    </w:p>
    <w:p w14:paraId="1E8D52DB" w14:textId="0C43F0D1" w:rsidR="00837F24" w:rsidRDefault="00214D77" w:rsidP="00837F24">
      <w:pPr>
        <w:spacing w:before="24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The MBS items requested for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 testing using FISH (AAAA or BBBB</w:t>
      </w:r>
      <w:r w:rsidR="00A47E69">
        <w:rPr>
          <w:rFonts w:ascii="Times New Roman" w:eastAsia="Times New Roman" w:hAnsi="Times New Roman" w:cs="Times New Roman"/>
          <w:szCs w:val="20"/>
          <w:lang w:eastAsia="en-AU"/>
        </w:rPr>
        <w:t>; see Table 3</w:t>
      </w:r>
      <w:r w:rsidRPr="00214D77">
        <w:rPr>
          <w:rFonts w:ascii="Times New Roman" w:eastAsia="Times New Roman" w:hAnsi="Times New Roman" w:cs="Times New Roman"/>
          <w:szCs w:val="20"/>
          <w:lang w:eastAsia="en-AU"/>
        </w:rPr>
        <w:t>) or NGS (DNA or RNA not specified; CCCC or DDDD</w:t>
      </w:r>
      <w:r w:rsidR="00A47E69">
        <w:rPr>
          <w:rFonts w:ascii="Times New Roman" w:eastAsia="Times New Roman" w:hAnsi="Times New Roman" w:cs="Times New Roman"/>
          <w:szCs w:val="20"/>
          <w:lang w:eastAsia="en-AU"/>
        </w:rPr>
        <w:t>; see Table 3</w:t>
      </w:r>
      <w:r w:rsidRPr="00214D77">
        <w:rPr>
          <w:rFonts w:ascii="Times New Roman" w:eastAsia="Times New Roman" w:hAnsi="Times New Roman" w:cs="Times New Roman"/>
          <w:szCs w:val="20"/>
          <w:lang w:eastAsia="en-AU"/>
        </w:rPr>
        <w:t>) in the resubmission have taken into account the advice from MSAC and are listed below (see MSAC application 1602 PSD 2020, pp5-6).</w:t>
      </w:r>
    </w:p>
    <w:p w14:paraId="49E8D5A8" w14:textId="57B03926" w:rsidR="00214D77" w:rsidRPr="00214D77" w:rsidRDefault="00214D77" w:rsidP="00837F24">
      <w:pPr>
        <w:spacing w:before="24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The red </w:t>
      </w:r>
      <w:r w:rsidR="00BA3286">
        <w:rPr>
          <w:rFonts w:ascii="Times New Roman" w:eastAsia="Times New Roman" w:hAnsi="Times New Roman" w:cs="Times New Roman"/>
          <w:szCs w:val="20"/>
          <w:lang w:eastAsia="en-AU"/>
        </w:rPr>
        <w:t>text</w:t>
      </w:r>
      <w:r w:rsidRPr="00214D77">
        <w:rPr>
          <w:rFonts w:ascii="Times New Roman" w:eastAsia="Times New Roman" w:hAnsi="Times New Roman" w:cs="Times New Roman"/>
          <w:szCs w:val="20"/>
          <w:lang w:eastAsia="en-AU"/>
        </w:rPr>
        <w:t xml:space="preserve"> indicates MSAC-proposed amendments to the proposed listings. The blue text is an amendment suggested during the evaluation to list the cancer types eligible for testing in the item descriptor rather than as a footnote (consistent with pan-</w:t>
      </w:r>
      <w:proofErr w:type="spellStart"/>
      <w:r w:rsidRPr="00214D77">
        <w:rPr>
          <w:rFonts w:ascii="Times New Roman" w:eastAsia="Times New Roman" w:hAnsi="Times New Roman" w:cs="Times New Roman"/>
          <w:szCs w:val="20"/>
          <w:lang w:eastAsia="en-AU"/>
        </w:rPr>
        <w:t>Trk</w:t>
      </w:r>
      <w:proofErr w:type="spellEnd"/>
      <w:r w:rsidRPr="00214D77">
        <w:rPr>
          <w:rFonts w:ascii="Times New Roman" w:eastAsia="Times New Roman" w:hAnsi="Times New Roman" w:cs="Times New Roman"/>
          <w:szCs w:val="20"/>
          <w:lang w:eastAsia="en-AU"/>
        </w:rPr>
        <w:t xml:space="preserve"> IHC MBS item).</w:t>
      </w:r>
    </w:p>
    <w:p w14:paraId="6EDF8818" w14:textId="77777777" w:rsidR="00837F24" w:rsidRDefault="00214D77" w:rsidP="00214D77">
      <w:pPr>
        <w:spacing w:before="0" w:after="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The resubmission specified lung cancer in the MBS listings, which is broader than the proposed PBS listing that specified NSCLC. All patients with lung cancer in the larotrectinib studies had NSCLC.</w:t>
      </w:r>
    </w:p>
    <w:p w14:paraId="53082A12" w14:textId="1074E713" w:rsidR="00214D77" w:rsidRPr="00214D77" w:rsidRDefault="00214D77" w:rsidP="00837F24">
      <w:pPr>
        <w:spacing w:before="240" w:after="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 xml:space="preserve">The resubmission also specified MASC of the salivary gland in the MBS descriptor whereas salivary gland tumour (a broader term) was specified in the PBS restriction. MASC was the most commonly represented high frequency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cancer occurring in adults in the larotrectinib studies, but accounts for approximately only 4.5% of all salivary gland tumours.</w:t>
      </w:r>
    </w:p>
    <w:p w14:paraId="4FEDEEA3" w14:textId="76798693" w:rsidR="00214D77" w:rsidRPr="00214D77" w:rsidRDefault="00214D77" w:rsidP="00837F24">
      <w:pPr>
        <w:keepNext/>
        <w:spacing w:before="240" w:after="40"/>
        <w:outlineLvl w:val="4"/>
        <w:rPr>
          <w:rFonts w:ascii="Arial Narrow" w:eastAsia="Times New Roman" w:hAnsi="Arial Narrow" w:cs="Arial"/>
          <w:b/>
          <w:bCs/>
          <w:iCs/>
          <w:sz w:val="20"/>
          <w:szCs w:val="20"/>
        </w:rPr>
      </w:pPr>
      <w:r w:rsidRPr="00214D77">
        <w:rPr>
          <w:rFonts w:ascii="Arial Narrow" w:eastAsia="Times New Roman" w:hAnsi="Arial Narrow" w:cs="Arial"/>
          <w:b/>
          <w:bCs/>
          <w:iCs/>
          <w:sz w:val="20"/>
          <w:szCs w:val="20"/>
        </w:rPr>
        <w:lastRenderedPageBreak/>
        <w:t>Table 3</w:t>
      </w:r>
      <w:r w:rsidRPr="00214D77">
        <w:rPr>
          <w:rFonts w:ascii="Arial Narrow" w:eastAsia="Times New Roman" w:hAnsi="Arial Narrow" w:cs="Arial"/>
          <w:b/>
          <w:bCs/>
          <w:iCs/>
          <w:sz w:val="20"/>
          <w:szCs w:val="20"/>
        </w:rPr>
        <w:tab/>
      </w:r>
      <w:r w:rsidRPr="00214D77">
        <w:rPr>
          <w:rFonts w:ascii="Arial Narrow" w:eastAsia="Times New Roman" w:hAnsi="Arial Narrow" w:cs="Arial"/>
          <w:b/>
          <w:bCs/>
          <w:iCs/>
          <w:sz w:val="20"/>
          <w:szCs w:val="18"/>
        </w:rPr>
        <w:t xml:space="preserve">Proposed MBS listings for FISH and NGS testing, with modifications in coloured text added </w:t>
      </w:r>
      <w:r w:rsidRPr="00214D77">
        <w:rPr>
          <w:rFonts w:ascii="Arial Narrow" w:eastAsia="Times New Roman" w:hAnsi="Arial Narrow" w:cs="Arial"/>
          <w:b/>
          <w:bCs/>
          <w:iCs/>
          <w:sz w:val="20"/>
          <w:szCs w:val="20"/>
        </w:rPr>
        <w:t>(</w:t>
      </w:r>
      <w:r w:rsidRPr="00214D77">
        <w:rPr>
          <w:rFonts w:ascii="Arial Narrow" w:eastAsia="Times New Roman" w:hAnsi="Arial Narrow" w:cs="Arial"/>
          <w:b/>
          <w:bCs/>
          <w:iCs/>
          <w:color w:val="FF0000"/>
          <w:sz w:val="20"/>
          <w:szCs w:val="20"/>
        </w:rPr>
        <w:t xml:space="preserve">red </w:t>
      </w:r>
      <w:r w:rsidR="00BA3286">
        <w:rPr>
          <w:rFonts w:ascii="Arial Narrow" w:eastAsia="Times New Roman" w:hAnsi="Arial Narrow" w:cs="Arial"/>
          <w:b/>
          <w:bCs/>
          <w:iCs/>
          <w:color w:val="FF0000"/>
          <w:sz w:val="20"/>
          <w:szCs w:val="20"/>
        </w:rPr>
        <w:t>text</w:t>
      </w:r>
      <w:r w:rsidRPr="00214D77">
        <w:rPr>
          <w:rFonts w:ascii="Arial Narrow" w:eastAsia="Times New Roman" w:hAnsi="Arial Narrow" w:cs="Arial"/>
          <w:b/>
          <w:bCs/>
          <w:iCs/>
          <w:color w:val="FF0000"/>
          <w:sz w:val="20"/>
          <w:szCs w:val="20"/>
        </w:rPr>
        <w:t xml:space="preserve"> </w:t>
      </w:r>
      <w:r w:rsidRPr="00214D77">
        <w:rPr>
          <w:rFonts w:ascii="Arial Narrow" w:eastAsia="Times New Roman" w:hAnsi="Arial Narrow" w:cs="Arial"/>
          <w:b/>
          <w:bCs/>
          <w:iCs/>
          <w:sz w:val="20"/>
          <w:szCs w:val="20"/>
        </w:rPr>
        <w:t xml:space="preserve">indicates </w:t>
      </w:r>
      <w:r w:rsidR="00DD5A88">
        <w:rPr>
          <w:rFonts w:ascii="Arial Narrow" w:eastAsia="Times New Roman" w:hAnsi="Arial Narrow" w:cs="Arial"/>
          <w:b/>
          <w:bCs/>
          <w:iCs/>
          <w:sz w:val="20"/>
          <w:szCs w:val="20"/>
        </w:rPr>
        <w:t xml:space="preserve">previous </w:t>
      </w:r>
      <w:r w:rsidRPr="00214D77">
        <w:rPr>
          <w:rFonts w:ascii="Arial Narrow" w:eastAsia="Times New Roman" w:hAnsi="Arial Narrow" w:cs="Arial"/>
          <w:b/>
          <w:bCs/>
          <w:iCs/>
          <w:sz w:val="20"/>
          <w:szCs w:val="20"/>
        </w:rPr>
        <w:t>MSAC-proposed amendments</w:t>
      </w:r>
      <w:r w:rsidR="009847B8">
        <w:rPr>
          <w:rFonts w:ascii="Arial Narrow" w:eastAsia="Times New Roman" w:hAnsi="Arial Narrow" w:cs="Arial"/>
          <w:b/>
          <w:bCs/>
          <w:iCs/>
          <w:sz w:val="20"/>
          <w:szCs w:val="20"/>
        </w:rPr>
        <w:t xml:space="preserve"> (Nov 2020)</w:t>
      </w:r>
      <w:r w:rsidRPr="00214D77">
        <w:rPr>
          <w:rFonts w:ascii="Arial Narrow" w:eastAsia="Times New Roman" w:hAnsi="Arial Narrow" w:cs="Arial"/>
          <w:b/>
          <w:bCs/>
          <w:iCs/>
          <w:sz w:val="20"/>
          <w:szCs w:val="20"/>
        </w:rPr>
        <w:t xml:space="preserve">; </w:t>
      </w:r>
      <w:r w:rsidRPr="00214D77">
        <w:rPr>
          <w:rFonts w:ascii="Arial Narrow" w:eastAsia="Times New Roman" w:hAnsi="Arial Narrow" w:cs="Arial"/>
          <w:b/>
          <w:bCs/>
          <w:iCs/>
          <w:color w:val="0000FF"/>
          <w:sz w:val="20"/>
          <w:szCs w:val="20"/>
        </w:rPr>
        <w:t xml:space="preserve">blue </w:t>
      </w:r>
      <w:r w:rsidR="00BA3286">
        <w:rPr>
          <w:rFonts w:ascii="Arial Narrow" w:eastAsia="Times New Roman" w:hAnsi="Arial Narrow" w:cs="Arial"/>
          <w:b/>
          <w:bCs/>
          <w:iCs/>
          <w:color w:val="0000FF"/>
          <w:sz w:val="20"/>
          <w:szCs w:val="20"/>
        </w:rPr>
        <w:t>tex</w:t>
      </w:r>
      <w:r w:rsidRPr="00214D77">
        <w:rPr>
          <w:rFonts w:ascii="Arial Narrow" w:eastAsia="Times New Roman" w:hAnsi="Arial Narrow" w:cs="Arial"/>
          <w:b/>
          <w:bCs/>
          <w:iCs/>
          <w:color w:val="0000FF"/>
          <w:sz w:val="20"/>
          <w:szCs w:val="20"/>
        </w:rPr>
        <w:t xml:space="preserve">t </w:t>
      </w:r>
      <w:r w:rsidRPr="00214D77">
        <w:rPr>
          <w:rFonts w:ascii="Arial Narrow" w:eastAsia="Times New Roman" w:hAnsi="Arial Narrow" w:cs="Arial"/>
          <w:b/>
          <w:bCs/>
          <w:iCs/>
          <w:sz w:val="20"/>
          <w:szCs w:val="20"/>
        </w:rPr>
        <w:t>indicates commentary-proposed amendment)</w:t>
      </w:r>
    </w:p>
    <w:tbl>
      <w:tblPr>
        <w:tblStyle w:val="HTATableshaded"/>
        <w:tblW w:w="9026" w:type="dxa"/>
        <w:tblInd w:w="-5" w:type="dxa"/>
        <w:tblLook w:val="04A0" w:firstRow="1" w:lastRow="0" w:firstColumn="1" w:lastColumn="0" w:noHBand="0" w:noVBand="1"/>
        <w:tblCaption w:val="Table 3 Proposed MBS listings for FISH and NGS testing, with modifications in coloured text added (red font indicates MSAC-proposed amendments; blue font indicates commentary-proposed amendment)"/>
        <w:tblDescription w:val="Summary of item descriptors for FISH and NGS"/>
      </w:tblPr>
      <w:tblGrid>
        <w:gridCol w:w="9026"/>
      </w:tblGrid>
      <w:tr w:rsidR="00214D77" w:rsidRPr="00214D77" w14:paraId="7FABF118" w14:textId="77777777" w:rsidTr="00214D77">
        <w:trPr>
          <w:cnfStyle w:val="100000000000" w:firstRow="1" w:lastRow="0" w:firstColumn="0" w:lastColumn="0" w:oddVBand="0" w:evenVBand="0" w:oddHBand="0" w:evenHBand="0" w:firstRowFirstColumn="0" w:firstRowLastColumn="0" w:lastRowFirstColumn="0" w:lastRowLastColumn="0"/>
        </w:trPr>
        <w:tc>
          <w:tcPr>
            <w:tcW w:w="9026" w:type="dxa"/>
          </w:tcPr>
          <w:p w14:paraId="75E8D122" w14:textId="77777777" w:rsidR="00214D77" w:rsidRPr="00436059" w:rsidRDefault="00214D77" w:rsidP="000D274E">
            <w:pPr>
              <w:keepNext/>
              <w:keepLines/>
              <w:tabs>
                <w:tab w:val="left" w:pos="4282"/>
              </w:tabs>
              <w:spacing w:before="20"/>
              <w:jc w:val="left"/>
              <w:rPr>
                <w:rFonts w:ascii="Arial Narrow" w:hAnsi="Arial Narrow"/>
                <w:sz w:val="20"/>
                <w:szCs w:val="20"/>
              </w:rPr>
            </w:pPr>
            <w:r w:rsidRPr="00436059">
              <w:rPr>
                <w:rFonts w:ascii="Arial Narrow" w:hAnsi="Arial Narrow"/>
                <w:b/>
                <w:bCs/>
                <w:sz w:val="20"/>
                <w:szCs w:val="20"/>
              </w:rPr>
              <w:t>Item number: AAAA</w:t>
            </w:r>
            <w:r w:rsidRPr="00436059">
              <w:rPr>
                <w:rFonts w:ascii="Arial Narrow" w:hAnsi="Arial Narrow"/>
                <w:b/>
                <w:bCs/>
                <w:sz w:val="20"/>
                <w:szCs w:val="20"/>
              </w:rPr>
              <w:tab/>
              <w:t>Category 6 (Pathology services) – Group P7 Genetics</w:t>
            </w:r>
          </w:p>
        </w:tc>
      </w:tr>
      <w:tr w:rsidR="00214D77" w:rsidRPr="00214D77" w14:paraId="4D56CDFE" w14:textId="77777777" w:rsidTr="00214D77">
        <w:tc>
          <w:tcPr>
            <w:tcW w:w="9026" w:type="dxa"/>
          </w:tcPr>
          <w:p w14:paraId="024D2DB8" w14:textId="77777777" w:rsidR="00214D77" w:rsidRPr="00214D77" w:rsidRDefault="00214D77" w:rsidP="00214D77">
            <w:pPr>
              <w:keepNext/>
              <w:keepLines/>
              <w:spacing w:before="40" w:after="0"/>
              <w:jc w:val="left"/>
              <w:rPr>
                <w:rFonts w:ascii="Arial Narrow" w:hAnsi="Arial Narrow"/>
                <w:sz w:val="20"/>
                <w:szCs w:val="20"/>
              </w:rPr>
            </w:pPr>
            <w:r w:rsidRPr="00214D77">
              <w:rPr>
                <w:rFonts w:ascii="Arial Narrow" w:hAnsi="Arial Narrow"/>
                <w:sz w:val="20"/>
                <w:szCs w:val="20"/>
              </w:rPr>
              <w:t xml:space="preserve">Fluorescence in-situ hybridisation (FISH) test of tumour tissue from a patient </w:t>
            </w:r>
            <w:r w:rsidRPr="00214D77">
              <w:rPr>
                <w:rFonts w:ascii="Arial Narrow" w:hAnsi="Arial Narrow"/>
                <w:color w:val="FF0000"/>
                <w:sz w:val="20"/>
                <w:szCs w:val="20"/>
              </w:rPr>
              <w:t xml:space="preserve">aged 18 years or over </w:t>
            </w:r>
            <w:r w:rsidRPr="00214D77">
              <w:rPr>
                <w:rFonts w:ascii="Arial Narrow" w:hAnsi="Arial Narrow"/>
                <w:sz w:val="20"/>
                <w:szCs w:val="20"/>
              </w:rPr>
              <w:t>with:</w:t>
            </w:r>
          </w:p>
          <w:p w14:paraId="65DF9307" w14:textId="77777777" w:rsidR="00214D77" w:rsidRPr="00214D77" w:rsidRDefault="00214D77" w:rsidP="00864249">
            <w:pPr>
              <w:keepNext/>
              <w:keepLines/>
              <w:numPr>
                <w:ilvl w:val="0"/>
                <w:numId w:val="13"/>
              </w:numPr>
              <w:spacing w:before="40"/>
              <w:contextualSpacing/>
              <w:jc w:val="left"/>
              <w:rPr>
                <w:rFonts w:ascii="Arial Narrow" w:hAnsi="Arial Narrow"/>
                <w:sz w:val="20"/>
                <w:szCs w:val="20"/>
              </w:rPr>
            </w:pPr>
            <w:r w:rsidRPr="00214D77">
              <w:rPr>
                <w:rFonts w:ascii="Arial Narrow" w:hAnsi="Arial Narrow"/>
                <w:color w:val="FF0000"/>
                <w:sz w:val="20"/>
                <w:szCs w:val="20"/>
              </w:rPr>
              <w:t xml:space="preserve">solid tumour </w:t>
            </w:r>
            <w:r w:rsidRPr="00214D77">
              <w:rPr>
                <w:rFonts w:ascii="Arial Narrow" w:hAnsi="Arial Narrow"/>
                <w:sz w:val="20"/>
                <w:szCs w:val="20"/>
              </w:rPr>
              <w:t xml:space="preserve">cancer </w:t>
            </w:r>
            <w:r w:rsidRPr="00214D77">
              <w:rPr>
                <w:rFonts w:ascii="Arial Narrow" w:hAnsi="Arial Narrow"/>
                <w:color w:val="FF0000"/>
                <w:sz w:val="20"/>
                <w:szCs w:val="20"/>
              </w:rPr>
              <w:t>of one of the following types</w:t>
            </w:r>
            <w:r w:rsidRPr="00214D77">
              <w:rPr>
                <w:rFonts w:ascii="Arial Narrow" w:hAnsi="Arial Narrow"/>
                <w:color w:val="0000FF"/>
                <w:sz w:val="20"/>
                <w:szCs w:val="20"/>
              </w:rPr>
              <w:t xml:space="preserve">: soft tissue sarcoma, colorectal, </w:t>
            </w:r>
            <w:r w:rsidRPr="00214D77">
              <w:rPr>
                <w:rFonts w:ascii="Arial Narrow" w:hAnsi="Arial Narrow"/>
                <w:i/>
                <w:color w:val="0000FF"/>
                <w:sz w:val="20"/>
                <w:szCs w:val="20"/>
              </w:rPr>
              <w:t>non-small cell lung</w:t>
            </w:r>
            <w:r w:rsidRPr="00214D77">
              <w:rPr>
                <w:rFonts w:ascii="Arial Narrow" w:hAnsi="Arial Narrow"/>
                <w:color w:val="0000FF"/>
                <w:sz w:val="20"/>
                <w:szCs w:val="20"/>
              </w:rPr>
              <w:t>* or thyroid cancer</w:t>
            </w:r>
          </w:p>
          <w:p w14:paraId="4D1873AC" w14:textId="77777777" w:rsidR="00214D77" w:rsidRPr="00214D77" w:rsidRDefault="00214D77" w:rsidP="00864249">
            <w:pPr>
              <w:keepNext/>
              <w:keepLines/>
              <w:numPr>
                <w:ilvl w:val="0"/>
                <w:numId w:val="13"/>
              </w:numPr>
              <w:spacing w:before="40"/>
              <w:contextualSpacing/>
              <w:jc w:val="left"/>
              <w:rPr>
                <w:rFonts w:ascii="Arial Narrow" w:hAnsi="Arial Narrow"/>
                <w:sz w:val="20"/>
                <w:szCs w:val="20"/>
              </w:rPr>
            </w:pPr>
            <w:r w:rsidRPr="00214D77">
              <w:rPr>
                <w:rFonts w:ascii="Arial Narrow" w:hAnsi="Arial Narrow"/>
                <w:color w:val="FF0000"/>
                <w:sz w:val="20"/>
                <w:szCs w:val="20"/>
              </w:rPr>
              <w:t>which is</w:t>
            </w:r>
            <w:r w:rsidRPr="00214D77">
              <w:rPr>
                <w:rFonts w:ascii="Arial Narrow" w:hAnsi="Arial Narrow"/>
                <w:sz w:val="20"/>
                <w:szCs w:val="20"/>
              </w:rPr>
              <w:t xml:space="preserve"> metastatic OR </w:t>
            </w:r>
            <w:r w:rsidRPr="00214D77">
              <w:rPr>
                <w:rFonts w:ascii="Arial Narrow" w:hAnsi="Arial Narrow"/>
                <w:color w:val="FF0000"/>
                <w:sz w:val="20"/>
                <w:szCs w:val="20"/>
              </w:rPr>
              <w:t>is</w:t>
            </w:r>
            <w:r w:rsidRPr="00214D77">
              <w:rPr>
                <w:rFonts w:ascii="Arial Narrow" w:hAnsi="Arial Narrow"/>
                <w:sz w:val="20"/>
                <w:szCs w:val="20"/>
              </w:rPr>
              <w:t xml:space="preserve"> locally advanced </w:t>
            </w:r>
            <w:r w:rsidRPr="00214D77">
              <w:rPr>
                <w:rFonts w:ascii="Arial Narrow" w:hAnsi="Arial Narrow"/>
                <w:color w:val="FF0000"/>
                <w:sz w:val="20"/>
                <w:szCs w:val="20"/>
              </w:rPr>
              <w:t>where surgical resection is likely to result in severe morbidity,</w:t>
            </w:r>
          </w:p>
          <w:p w14:paraId="3E1A6F31" w14:textId="77777777" w:rsidR="00214D77" w:rsidRPr="00214D77" w:rsidRDefault="00214D77" w:rsidP="00864249">
            <w:pPr>
              <w:keepNext/>
              <w:keepLines/>
              <w:numPr>
                <w:ilvl w:val="0"/>
                <w:numId w:val="13"/>
              </w:numPr>
              <w:spacing w:before="40"/>
              <w:contextualSpacing/>
              <w:jc w:val="left"/>
              <w:rPr>
                <w:rFonts w:ascii="Arial Narrow" w:hAnsi="Arial Narrow"/>
                <w:sz w:val="20"/>
                <w:szCs w:val="20"/>
              </w:rPr>
            </w:pPr>
            <w:r w:rsidRPr="00214D77">
              <w:rPr>
                <w:rFonts w:ascii="Arial Narrow" w:hAnsi="Arial Narrow"/>
                <w:color w:val="FF0000"/>
                <w:sz w:val="20"/>
                <w:szCs w:val="20"/>
              </w:rPr>
              <w:t>and</w:t>
            </w:r>
            <w:r w:rsidRPr="00214D77">
              <w:rPr>
                <w:rFonts w:ascii="Arial Narrow" w:hAnsi="Arial Narrow"/>
                <w:sz w:val="20"/>
                <w:szCs w:val="20"/>
              </w:rPr>
              <w:t xml:space="preserve"> with documented evidence of tropomyosin receptor kinase (</w:t>
            </w:r>
            <w:proofErr w:type="spellStart"/>
            <w:r w:rsidRPr="00214D77">
              <w:rPr>
                <w:rFonts w:ascii="Arial Narrow" w:hAnsi="Arial Narrow"/>
                <w:sz w:val="20"/>
                <w:szCs w:val="20"/>
              </w:rPr>
              <w:t>TrkA</w:t>
            </w:r>
            <w:proofErr w:type="spellEnd"/>
            <w:r w:rsidRPr="00214D77">
              <w:rPr>
                <w:rFonts w:ascii="Arial Narrow" w:hAnsi="Arial Narrow"/>
                <w:sz w:val="20"/>
                <w:szCs w:val="20"/>
              </w:rPr>
              <w:t xml:space="preserve">, </w:t>
            </w:r>
            <w:proofErr w:type="spellStart"/>
            <w:r w:rsidRPr="00214D77">
              <w:rPr>
                <w:rFonts w:ascii="Arial Narrow" w:hAnsi="Arial Narrow"/>
                <w:sz w:val="20"/>
                <w:szCs w:val="20"/>
              </w:rPr>
              <w:t>TrkB</w:t>
            </w:r>
            <w:proofErr w:type="spellEnd"/>
            <w:r w:rsidRPr="00214D77">
              <w:rPr>
                <w:rFonts w:ascii="Arial Narrow" w:hAnsi="Arial Narrow"/>
                <w:sz w:val="20"/>
                <w:szCs w:val="20"/>
              </w:rPr>
              <w:t xml:space="preserve"> or </w:t>
            </w:r>
            <w:proofErr w:type="spellStart"/>
            <w:r w:rsidRPr="00214D77">
              <w:rPr>
                <w:rFonts w:ascii="Arial Narrow" w:hAnsi="Arial Narrow"/>
                <w:sz w:val="20"/>
                <w:szCs w:val="20"/>
              </w:rPr>
              <w:t>TrkC</w:t>
            </w:r>
            <w:proofErr w:type="spellEnd"/>
            <w:r w:rsidRPr="00214D77">
              <w:rPr>
                <w:rFonts w:ascii="Arial Narrow" w:hAnsi="Arial Narrow"/>
                <w:sz w:val="20"/>
                <w:szCs w:val="20"/>
              </w:rPr>
              <w:t>) immunoreactivity by immunohistochemical (IHC) examination,</w:t>
            </w:r>
          </w:p>
          <w:p w14:paraId="17287F3F" w14:textId="77777777" w:rsidR="00214D77" w:rsidRPr="00214D77" w:rsidRDefault="00214D77" w:rsidP="00214D77">
            <w:pPr>
              <w:keepNext/>
              <w:keepLines/>
              <w:spacing w:before="40" w:after="0"/>
              <w:jc w:val="left"/>
              <w:rPr>
                <w:rFonts w:ascii="Arial Narrow" w:hAnsi="Arial Narrow"/>
                <w:sz w:val="20"/>
                <w:szCs w:val="20"/>
              </w:rPr>
            </w:pPr>
            <w:r w:rsidRPr="00214D77">
              <w:rPr>
                <w:rFonts w:ascii="Arial Narrow" w:hAnsi="Arial Narrow"/>
                <w:sz w:val="20"/>
                <w:szCs w:val="20"/>
              </w:rPr>
              <w:t>requested by a specialist or consultant physician to determine if requirements relating to neurotrophic tropomyosin receptor kinase (</w:t>
            </w:r>
            <w:r w:rsidRPr="00214D77">
              <w:rPr>
                <w:rFonts w:ascii="Arial Narrow" w:hAnsi="Arial Narrow"/>
                <w:i/>
                <w:iCs/>
                <w:color w:val="FF0000"/>
                <w:sz w:val="20"/>
                <w:szCs w:val="20"/>
              </w:rPr>
              <w:t>NTRK1, NTRK2 or NTRK3</w:t>
            </w:r>
            <w:r w:rsidRPr="00214D77">
              <w:rPr>
                <w:rFonts w:ascii="Arial Narrow" w:hAnsi="Arial Narrow"/>
                <w:sz w:val="20"/>
                <w:szCs w:val="20"/>
              </w:rPr>
              <w:t>)</w:t>
            </w:r>
            <w:r w:rsidRPr="00214D77">
              <w:rPr>
                <w:rFonts w:ascii="Arial Narrow" w:hAnsi="Arial Narrow"/>
                <w:color w:val="FF0000"/>
                <w:sz w:val="20"/>
                <w:szCs w:val="20"/>
              </w:rPr>
              <w:t xml:space="preserve"> </w:t>
            </w:r>
            <w:r w:rsidRPr="00214D77">
              <w:rPr>
                <w:rFonts w:ascii="Arial Narrow" w:hAnsi="Arial Narrow"/>
                <w:sz w:val="20"/>
                <w:szCs w:val="20"/>
              </w:rPr>
              <w:t xml:space="preserve">fusions for access to a </w:t>
            </w:r>
            <w:proofErr w:type="spellStart"/>
            <w:r w:rsidRPr="00214D77">
              <w:rPr>
                <w:rFonts w:ascii="Arial Narrow" w:hAnsi="Arial Narrow"/>
                <w:sz w:val="20"/>
                <w:szCs w:val="20"/>
              </w:rPr>
              <w:t>Trk</w:t>
            </w:r>
            <w:proofErr w:type="spellEnd"/>
            <w:r w:rsidRPr="00214D77">
              <w:rPr>
                <w:rFonts w:ascii="Arial Narrow" w:hAnsi="Arial Narrow"/>
                <w:sz w:val="20"/>
                <w:szCs w:val="20"/>
              </w:rPr>
              <w:t xml:space="preserve"> inhibitor under the Pharmaceutical Benefits Scheme (PBS) are fulfilled.</w:t>
            </w:r>
          </w:p>
          <w:p w14:paraId="151FFD84" w14:textId="77777777" w:rsidR="00214D77" w:rsidRPr="00214D77" w:rsidRDefault="00214D77" w:rsidP="00695C4D">
            <w:pPr>
              <w:spacing w:before="240" w:after="40"/>
              <w:jc w:val="left"/>
              <w:rPr>
                <w:rFonts w:ascii="Arial Narrow" w:hAnsi="Arial Narrow"/>
                <w:sz w:val="20"/>
                <w:szCs w:val="20"/>
              </w:rPr>
            </w:pPr>
            <w:r w:rsidRPr="00214D77">
              <w:rPr>
                <w:rFonts w:ascii="Arial Narrow" w:hAnsi="Arial Narrow"/>
                <w:sz w:val="20"/>
                <w:szCs w:val="20"/>
              </w:rPr>
              <w:t>This item cannot be claimed if MBS items BBBB, CCCC or DDDD have been claimed for the same patient.</w:t>
            </w:r>
          </w:p>
          <w:p w14:paraId="074D6435" w14:textId="77777777" w:rsidR="00214D77" w:rsidRPr="00214D77" w:rsidRDefault="00214D77" w:rsidP="00214D77">
            <w:pPr>
              <w:keepNext/>
              <w:keepLines/>
              <w:spacing w:before="0" w:after="40"/>
              <w:jc w:val="left"/>
              <w:rPr>
                <w:rFonts w:ascii="Arial Narrow" w:hAnsi="Arial Narrow"/>
                <w:sz w:val="20"/>
                <w:szCs w:val="20"/>
              </w:rPr>
            </w:pPr>
            <w:r w:rsidRPr="00214D77">
              <w:rPr>
                <w:rFonts w:ascii="Arial Narrow" w:hAnsi="Arial Narrow"/>
                <w:sz w:val="20"/>
                <w:szCs w:val="20"/>
              </w:rPr>
              <w:t>Applicable only once per cancer diagnosis.</w:t>
            </w:r>
          </w:p>
          <w:p w14:paraId="7DFC5F91" w14:textId="1C07D981" w:rsidR="00214D77" w:rsidRPr="00214D77" w:rsidRDefault="00214D77" w:rsidP="00695C4D">
            <w:pPr>
              <w:keepNext/>
              <w:keepLines/>
              <w:spacing w:before="240" w:after="40"/>
              <w:jc w:val="left"/>
              <w:rPr>
                <w:rFonts w:ascii="Arial Narrow" w:hAnsi="Arial Narrow"/>
                <w:sz w:val="20"/>
                <w:szCs w:val="20"/>
              </w:rPr>
            </w:pPr>
            <w:r w:rsidRPr="00214D77">
              <w:rPr>
                <w:rFonts w:ascii="Arial Narrow" w:hAnsi="Arial Narrow"/>
                <w:b/>
                <w:bCs/>
                <w:sz w:val="20"/>
                <w:szCs w:val="20"/>
              </w:rPr>
              <w:t>Fee:</w:t>
            </w:r>
            <w:r w:rsidRPr="00214D77">
              <w:rPr>
                <w:rFonts w:ascii="Arial Narrow" w:hAnsi="Arial Narrow"/>
                <w:sz w:val="20"/>
                <w:szCs w:val="20"/>
              </w:rPr>
              <w:t xml:space="preserve">  $400.00.  </w:t>
            </w:r>
            <w:r w:rsidRPr="00214D77">
              <w:rPr>
                <w:rFonts w:ascii="Arial Narrow" w:hAnsi="Arial Narrow"/>
                <w:b/>
                <w:bCs/>
                <w:sz w:val="20"/>
                <w:szCs w:val="20"/>
              </w:rPr>
              <w:t>Benefit:</w:t>
            </w:r>
            <w:r w:rsidRPr="00214D77">
              <w:rPr>
                <w:rFonts w:ascii="Arial Narrow" w:hAnsi="Arial Narrow"/>
                <w:sz w:val="20"/>
                <w:szCs w:val="20"/>
              </w:rPr>
              <w:t xml:space="preserve"> 75% = $300.00 85% = $340.00 </w:t>
            </w:r>
            <w:r w:rsidRPr="00214D77">
              <w:rPr>
                <w:rFonts w:ascii="Arial Narrow" w:hAnsi="Arial Narrow"/>
                <w:color w:val="FF0000"/>
                <w:sz w:val="20"/>
                <w:szCs w:val="20"/>
              </w:rPr>
              <w:t xml:space="preserve">for 1 </w:t>
            </w:r>
            <w:r w:rsidRPr="00214D77">
              <w:rPr>
                <w:rFonts w:ascii="Arial Narrow" w:hAnsi="Arial Narrow"/>
                <w:i/>
                <w:iCs/>
                <w:color w:val="FF0000"/>
                <w:sz w:val="20"/>
                <w:szCs w:val="20"/>
              </w:rPr>
              <w:t>NTRK</w:t>
            </w:r>
            <w:r w:rsidRPr="00214D77">
              <w:rPr>
                <w:rFonts w:ascii="Arial Narrow" w:hAnsi="Arial Narrow"/>
                <w:color w:val="FF0000"/>
                <w:sz w:val="20"/>
                <w:szCs w:val="20"/>
              </w:rPr>
              <w:t xml:space="preserve"> fusion test,</w:t>
            </w:r>
          </w:p>
          <w:p w14:paraId="55EB3124" w14:textId="4EC9B7CA" w:rsidR="00214D77" w:rsidRPr="00214D77" w:rsidRDefault="00214D77" w:rsidP="0023106C">
            <w:pPr>
              <w:keepNext/>
              <w:keepLines/>
              <w:spacing w:before="0" w:after="40"/>
              <w:jc w:val="left"/>
              <w:rPr>
                <w:rFonts w:ascii="Arial Narrow" w:hAnsi="Arial Narrow"/>
                <w:color w:val="FF0000"/>
                <w:sz w:val="20"/>
                <w:szCs w:val="20"/>
              </w:rPr>
            </w:pPr>
            <w:r w:rsidRPr="00214D77">
              <w:rPr>
                <w:rFonts w:ascii="Arial Narrow" w:hAnsi="Arial Narrow"/>
                <w:b/>
                <w:bCs/>
                <w:color w:val="FF0000"/>
                <w:sz w:val="20"/>
                <w:szCs w:val="20"/>
              </w:rPr>
              <w:t>Fee:</w:t>
            </w:r>
            <w:r w:rsidRPr="00214D77">
              <w:rPr>
                <w:rFonts w:ascii="Arial Narrow" w:hAnsi="Arial Narrow"/>
                <w:color w:val="FF0000"/>
                <w:sz w:val="20"/>
                <w:szCs w:val="20"/>
              </w:rPr>
              <w:t xml:space="preserve">  $533.00.  </w:t>
            </w:r>
            <w:r w:rsidRPr="00214D77">
              <w:rPr>
                <w:rFonts w:ascii="Arial Narrow" w:hAnsi="Arial Narrow"/>
                <w:b/>
                <w:bCs/>
                <w:color w:val="FF0000"/>
                <w:sz w:val="20"/>
                <w:szCs w:val="20"/>
              </w:rPr>
              <w:t>Benefit:</w:t>
            </w:r>
            <w:r w:rsidRPr="00214D77">
              <w:rPr>
                <w:rFonts w:ascii="Arial Narrow" w:hAnsi="Arial Narrow"/>
                <w:color w:val="FF0000"/>
                <w:sz w:val="20"/>
                <w:szCs w:val="20"/>
              </w:rPr>
              <w:t xml:space="preserve"> 75% = $400.00 85% = $453.00 for 2 </w:t>
            </w:r>
            <w:r w:rsidRPr="00214D77">
              <w:rPr>
                <w:rFonts w:ascii="Arial Narrow" w:hAnsi="Arial Narrow"/>
                <w:i/>
                <w:iCs/>
                <w:color w:val="FF0000"/>
                <w:sz w:val="20"/>
                <w:szCs w:val="20"/>
              </w:rPr>
              <w:t>NTRK</w:t>
            </w:r>
            <w:r w:rsidRPr="00214D77">
              <w:rPr>
                <w:rFonts w:ascii="Arial Narrow" w:hAnsi="Arial Narrow"/>
                <w:color w:val="FF0000"/>
                <w:sz w:val="20"/>
                <w:szCs w:val="20"/>
              </w:rPr>
              <w:t xml:space="preserve"> fusion tests,</w:t>
            </w:r>
          </w:p>
          <w:p w14:paraId="3AC90879" w14:textId="23CD4DC1" w:rsidR="00214D77" w:rsidRPr="00214D77" w:rsidRDefault="00214D77" w:rsidP="0023106C">
            <w:pPr>
              <w:keepNext/>
              <w:keepLines/>
              <w:spacing w:before="0" w:after="40"/>
              <w:jc w:val="left"/>
              <w:rPr>
                <w:sz w:val="18"/>
                <w:szCs w:val="20"/>
                <w:u w:val="dotted" w:color="FF0000"/>
              </w:rPr>
            </w:pPr>
            <w:r w:rsidRPr="00214D77">
              <w:rPr>
                <w:rFonts w:ascii="Arial Narrow" w:hAnsi="Arial Narrow"/>
                <w:b/>
                <w:bCs/>
                <w:color w:val="FF0000"/>
                <w:sz w:val="20"/>
                <w:szCs w:val="20"/>
              </w:rPr>
              <w:t>Fee:</w:t>
            </w:r>
            <w:r w:rsidRPr="00214D77">
              <w:rPr>
                <w:rFonts w:ascii="Arial Narrow" w:hAnsi="Arial Narrow"/>
                <w:color w:val="FF0000"/>
                <w:sz w:val="20"/>
                <w:szCs w:val="20"/>
              </w:rPr>
              <w:t xml:space="preserve">  $667.00.  </w:t>
            </w:r>
            <w:r w:rsidRPr="00214D77">
              <w:rPr>
                <w:rFonts w:ascii="Arial Narrow" w:hAnsi="Arial Narrow"/>
                <w:b/>
                <w:bCs/>
                <w:color w:val="FF0000"/>
                <w:sz w:val="20"/>
                <w:szCs w:val="20"/>
              </w:rPr>
              <w:t>Benefit:</w:t>
            </w:r>
            <w:r w:rsidRPr="00214D77">
              <w:rPr>
                <w:rFonts w:ascii="Arial Narrow" w:hAnsi="Arial Narrow"/>
                <w:color w:val="FF0000"/>
                <w:sz w:val="20"/>
                <w:szCs w:val="20"/>
              </w:rPr>
              <w:t xml:space="preserve"> 75% = $500.00 85% = $566.00 for 3 </w:t>
            </w:r>
            <w:r w:rsidRPr="00214D77">
              <w:rPr>
                <w:rFonts w:ascii="Arial Narrow" w:hAnsi="Arial Narrow"/>
                <w:i/>
                <w:iCs/>
                <w:color w:val="FF0000"/>
                <w:sz w:val="20"/>
                <w:szCs w:val="20"/>
              </w:rPr>
              <w:t>NTRK</w:t>
            </w:r>
            <w:r w:rsidRPr="00214D77">
              <w:rPr>
                <w:rFonts w:ascii="Arial Narrow" w:hAnsi="Arial Narrow"/>
                <w:color w:val="FF0000"/>
                <w:sz w:val="20"/>
                <w:szCs w:val="20"/>
              </w:rPr>
              <w:t xml:space="preserve"> fusion tests</w:t>
            </w:r>
          </w:p>
        </w:tc>
      </w:tr>
      <w:tr w:rsidR="00214D77" w:rsidRPr="00214D77" w14:paraId="4C64A5DD" w14:textId="77777777" w:rsidTr="00214D77">
        <w:tc>
          <w:tcPr>
            <w:tcW w:w="9026" w:type="dxa"/>
          </w:tcPr>
          <w:p w14:paraId="1629606B" w14:textId="77777777" w:rsidR="00214D77" w:rsidRPr="00214D77" w:rsidRDefault="00214D77" w:rsidP="000D274E">
            <w:pPr>
              <w:keepNext/>
              <w:keepLines/>
              <w:tabs>
                <w:tab w:val="left" w:pos="4423"/>
              </w:tabs>
              <w:spacing w:before="20"/>
              <w:jc w:val="left"/>
              <w:rPr>
                <w:rFonts w:ascii="Arial Narrow" w:hAnsi="Arial Narrow"/>
                <w:b/>
                <w:bCs/>
                <w:sz w:val="20"/>
                <w:szCs w:val="20"/>
              </w:rPr>
            </w:pPr>
            <w:r w:rsidRPr="00214D77">
              <w:rPr>
                <w:rFonts w:ascii="Arial Narrow" w:hAnsi="Arial Narrow"/>
                <w:b/>
                <w:bCs/>
                <w:sz w:val="20"/>
                <w:szCs w:val="20"/>
              </w:rPr>
              <w:t>Item number BBBB</w:t>
            </w:r>
            <w:r w:rsidRPr="00214D77">
              <w:rPr>
                <w:rFonts w:ascii="Arial Narrow" w:hAnsi="Arial Narrow"/>
                <w:b/>
                <w:bCs/>
                <w:sz w:val="20"/>
                <w:szCs w:val="20"/>
              </w:rPr>
              <w:tab/>
              <w:t>Category 6 (Pathology services) – Group P7 Genetics</w:t>
            </w:r>
          </w:p>
        </w:tc>
      </w:tr>
      <w:tr w:rsidR="00214D77" w:rsidRPr="00214D77" w14:paraId="3812E380" w14:textId="77777777" w:rsidTr="00214D77">
        <w:tc>
          <w:tcPr>
            <w:tcW w:w="9026" w:type="dxa"/>
          </w:tcPr>
          <w:p w14:paraId="4C3BE394" w14:textId="77777777" w:rsidR="00214D77" w:rsidRPr="00214D77" w:rsidRDefault="00214D77" w:rsidP="00214D77">
            <w:pPr>
              <w:spacing w:before="40" w:after="0"/>
              <w:jc w:val="left"/>
              <w:rPr>
                <w:rFonts w:ascii="Arial Narrow" w:hAnsi="Arial Narrow"/>
                <w:sz w:val="20"/>
                <w:szCs w:val="20"/>
              </w:rPr>
            </w:pPr>
            <w:r w:rsidRPr="00214D77">
              <w:rPr>
                <w:rFonts w:ascii="Arial Narrow" w:hAnsi="Arial Narrow"/>
                <w:sz w:val="20"/>
                <w:szCs w:val="20"/>
              </w:rPr>
              <w:t>Fluorescence in-situ hybridisation (FISH) test of tumour tissue from a patient:</w:t>
            </w:r>
          </w:p>
          <w:p w14:paraId="30968BDE" w14:textId="77777777" w:rsidR="00214D77" w:rsidRPr="00214D77" w:rsidRDefault="00214D77" w:rsidP="00864249">
            <w:pPr>
              <w:keepNext/>
              <w:keepLines/>
              <w:numPr>
                <w:ilvl w:val="0"/>
                <w:numId w:val="13"/>
              </w:numPr>
              <w:spacing w:before="40"/>
              <w:contextualSpacing/>
              <w:jc w:val="left"/>
              <w:rPr>
                <w:rFonts w:ascii="Arial Narrow" w:hAnsi="Arial Narrow"/>
                <w:sz w:val="20"/>
                <w:szCs w:val="20"/>
              </w:rPr>
            </w:pPr>
            <w:r w:rsidRPr="00214D77">
              <w:rPr>
                <w:rFonts w:ascii="Arial Narrow" w:hAnsi="Arial Narrow"/>
                <w:sz w:val="20"/>
                <w:szCs w:val="20"/>
              </w:rPr>
              <w:t xml:space="preserve">with </w:t>
            </w:r>
            <w:r w:rsidRPr="00214D77">
              <w:rPr>
                <w:rFonts w:ascii="Arial Narrow" w:hAnsi="Arial Narrow"/>
                <w:color w:val="FF0000"/>
                <w:sz w:val="20"/>
                <w:szCs w:val="20"/>
              </w:rPr>
              <w:t>solid tumour</w:t>
            </w:r>
            <w:r w:rsidRPr="00214D77">
              <w:rPr>
                <w:rFonts w:ascii="Arial Narrow" w:hAnsi="Arial Narrow"/>
                <w:sz w:val="20"/>
                <w:szCs w:val="20"/>
              </w:rPr>
              <w:t xml:space="preserve"> cancer which is metastatic OR </w:t>
            </w:r>
            <w:r w:rsidRPr="00214D77">
              <w:rPr>
                <w:rFonts w:ascii="Arial Narrow" w:hAnsi="Arial Narrow"/>
                <w:color w:val="FF0000"/>
                <w:sz w:val="20"/>
                <w:szCs w:val="20"/>
              </w:rPr>
              <w:t>is</w:t>
            </w:r>
            <w:r w:rsidRPr="00214D77">
              <w:rPr>
                <w:rFonts w:ascii="Arial Narrow" w:hAnsi="Arial Narrow"/>
                <w:sz w:val="20"/>
                <w:szCs w:val="20"/>
              </w:rPr>
              <w:t xml:space="preserve"> locally advanced </w:t>
            </w:r>
            <w:r w:rsidRPr="00214D77">
              <w:rPr>
                <w:rFonts w:ascii="Arial Narrow" w:hAnsi="Arial Narrow"/>
                <w:color w:val="FF0000"/>
                <w:sz w:val="20"/>
                <w:szCs w:val="20"/>
              </w:rPr>
              <w:t>where surgical resection is likely to result in severe morbidity, and</w:t>
            </w:r>
          </w:p>
          <w:p w14:paraId="1A809B18" w14:textId="77777777" w:rsidR="00214D77" w:rsidRPr="00214D77" w:rsidRDefault="00214D77" w:rsidP="00864249">
            <w:pPr>
              <w:keepNext/>
              <w:keepLines/>
              <w:numPr>
                <w:ilvl w:val="0"/>
                <w:numId w:val="13"/>
              </w:numPr>
              <w:spacing w:before="40"/>
              <w:contextualSpacing/>
              <w:jc w:val="left"/>
              <w:rPr>
                <w:rFonts w:ascii="Arial Narrow" w:hAnsi="Arial Narrow"/>
                <w:color w:val="FF0000"/>
                <w:sz w:val="20"/>
                <w:szCs w:val="20"/>
              </w:rPr>
            </w:pPr>
            <w:r w:rsidRPr="00214D77">
              <w:rPr>
                <w:rFonts w:ascii="Arial Narrow" w:hAnsi="Arial Narrow"/>
                <w:color w:val="FF0000"/>
                <w:sz w:val="20"/>
                <w:szCs w:val="20"/>
              </w:rPr>
              <w:t>who is either aged less than 18 years OR is aged 18 years or over and has either mammary analogue secretory carcinoma of the salivary gland or secretory breast cancer,</w:t>
            </w:r>
          </w:p>
          <w:p w14:paraId="52CA9A38" w14:textId="77777777" w:rsidR="00214D77" w:rsidRPr="00214D77" w:rsidRDefault="00214D77" w:rsidP="00214D77">
            <w:pPr>
              <w:spacing w:before="40" w:after="40"/>
              <w:jc w:val="left"/>
              <w:rPr>
                <w:rFonts w:ascii="Arial Narrow" w:hAnsi="Arial Narrow"/>
                <w:sz w:val="20"/>
                <w:szCs w:val="20"/>
              </w:rPr>
            </w:pPr>
            <w:r w:rsidRPr="00214D77">
              <w:rPr>
                <w:rFonts w:ascii="Arial Narrow" w:hAnsi="Arial Narrow"/>
                <w:sz w:val="20"/>
                <w:szCs w:val="20"/>
              </w:rPr>
              <w:t>requested by a specialist or consultant physician to determine if requirements relating to neurotrophic tropomyosin receptor kinase (</w:t>
            </w:r>
            <w:r w:rsidRPr="00214D77">
              <w:rPr>
                <w:rFonts w:ascii="Arial Narrow" w:hAnsi="Arial Narrow"/>
                <w:i/>
                <w:iCs/>
                <w:color w:val="FF0000"/>
                <w:sz w:val="20"/>
                <w:szCs w:val="20"/>
              </w:rPr>
              <w:t>NTRK1, NTRK2, or NTRK3</w:t>
            </w:r>
            <w:r w:rsidRPr="00214D77">
              <w:rPr>
                <w:rFonts w:ascii="Arial Narrow" w:hAnsi="Arial Narrow"/>
                <w:sz w:val="20"/>
                <w:szCs w:val="20"/>
              </w:rPr>
              <w:t>) fusions for access to a tropomyosin receptor kinase (</w:t>
            </w:r>
            <w:proofErr w:type="spellStart"/>
            <w:r w:rsidRPr="00214D77">
              <w:rPr>
                <w:rFonts w:ascii="Arial Narrow" w:hAnsi="Arial Narrow"/>
                <w:sz w:val="20"/>
                <w:szCs w:val="20"/>
              </w:rPr>
              <w:t>Trk</w:t>
            </w:r>
            <w:proofErr w:type="spellEnd"/>
            <w:r w:rsidRPr="00214D77">
              <w:rPr>
                <w:rFonts w:ascii="Arial Narrow" w:hAnsi="Arial Narrow"/>
                <w:sz w:val="20"/>
                <w:szCs w:val="20"/>
              </w:rPr>
              <w:t>) inhibitor under the Pharmaceutical Benefits Scheme (PBS) are fulfilled.</w:t>
            </w:r>
          </w:p>
          <w:p w14:paraId="1636F08E" w14:textId="77777777" w:rsidR="00214D77" w:rsidRPr="00214D77" w:rsidRDefault="00214D77" w:rsidP="00837F24">
            <w:pPr>
              <w:spacing w:before="240" w:after="40"/>
              <w:jc w:val="left"/>
              <w:rPr>
                <w:rFonts w:ascii="Arial Narrow" w:hAnsi="Arial Narrow"/>
                <w:sz w:val="20"/>
                <w:szCs w:val="20"/>
              </w:rPr>
            </w:pPr>
            <w:r w:rsidRPr="00214D77">
              <w:rPr>
                <w:rFonts w:ascii="Arial Narrow" w:hAnsi="Arial Narrow"/>
                <w:sz w:val="20"/>
                <w:szCs w:val="20"/>
              </w:rPr>
              <w:t>This item cannot be claimed if MBS items AAAA, CCCC or DDDD have been claimed for the same patient.</w:t>
            </w:r>
          </w:p>
          <w:p w14:paraId="54B740F1" w14:textId="77777777" w:rsidR="00214D77" w:rsidRPr="00214D77" w:rsidRDefault="00214D77" w:rsidP="00214D77">
            <w:pPr>
              <w:spacing w:before="0" w:after="40"/>
              <w:jc w:val="left"/>
              <w:rPr>
                <w:rFonts w:ascii="Arial Narrow" w:hAnsi="Arial Narrow"/>
                <w:sz w:val="20"/>
                <w:szCs w:val="20"/>
              </w:rPr>
            </w:pPr>
            <w:r w:rsidRPr="00214D77">
              <w:rPr>
                <w:rFonts w:ascii="Arial Narrow" w:hAnsi="Arial Narrow"/>
                <w:sz w:val="20"/>
                <w:szCs w:val="20"/>
              </w:rPr>
              <w:t>Applicable only once per cancer diagnosis.</w:t>
            </w:r>
          </w:p>
          <w:p w14:paraId="4DB0F482" w14:textId="742FEDD2" w:rsidR="00214D77" w:rsidRPr="00214D77" w:rsidRDefault="00214D77" w:rsidP="00837F24">
            <w:pPr>
              <w:keepNext/>
              <w:keepLines/>
              <w:spacing w:before="240" w:after="40"/>
              <w:jc w:val="left"/>
              <w:rPr>
                <w:rFonts w:ascii="Arial Narrow" w:hAnsi="Arial Narrow"/>
                <w:b/>
                <w:bCs/>
                <w:color w:val="FF0000"/>
                <w:sz w:val="20"/>
                <w:szCs w:val="20"/>
              </w:rPr>
            </w:pPr>
            <w:r w:rsidRPr="00214D77">
              <w:rPr>
                <w:rFonts w:ascii="Arial Narrow" w:hAnsi="Arial Narrow"/>
                <w:b/>
                <w:bCs/>
                <w:sz w:val="20"/>
                <w:szCs w:val="20"/>
              </w:rPr>
              <w:t xml:space="preserve">Fee:  </w:t>
            </w:r>
            <w:r w:rsidRPr="00214D77">
              <w:rPr>
                <w:rFonts w:ascii="Arial Narrow" w:hAnsi="Arial Narrow"/>
                <w:sz w:val="20"/>
                <w:szCs w:val="20"/>
              </w:rPr>
              <w:t>$400.00.</w:t>
            </w:r>
            <w:r w:rsidRPr="00214D77">
              <w:rPr>
                <w:rFonts w:ascii="Arial Narrow" w:hAnsi="Arial Narrow"/>
                <w:b/>
                <w:bCs/>
                <w:sz w:val="20"/>
                <w:szCs w:val="20"/>
              </w:rPr>
              <w:t xml:space="preserve">  Benefit: </w:t>
            </w:r>
            <w:r w:rsidRPr="00214D77">
              <w:rPr>
                <w:rFonts w:ascii="Arial Narrow" w:hAnsi="Arial Narrow"/>
                <w:sz w:val="20"/>
                <w:szCs w:val="20"/>
              </w:rPr>
              <w:t>75% = $300.00 85% = $340.00</w:t>
            </w:r>
            <w:r w:rsidRPr="00214D77">
              <w:rPr>
                <w:rFonts w:ascii="Arial Narrow" w:hAnsi="Arial Narrow"/>
                <w:color w:val="FF0000"/>
                <w:sz w:val="20"/>
                <w:szCs w:val="20"/>
              </w:rPr>
              <w:t xml:space="preserve"> for 1 </w:t>
            </w:r>
            <w:r w:rsidRPr="00214D77">
              <w:rPr>
                <w:rFonts w:ascii="Arial Narrow" w:hAnsi="Arial Narrow"/>
                <w:i/>
                <w:iCs/>
                <w:color w:val="FF0000"/>
                <w:sz w:val="20"/>
                <w:szCs w:val="20"/>
              </w:rPr>
              <w:t>NTRK</w:t>
            </w:r>
            <w:r w:rsidRPr="00214D77">
              <w:rPr>
                <w:rFonts w:ascii="Arial Narrow" w:hAnsi="Arial Narrow"/>
                <w:color w:val="FF0000"/>
                <w:sz w:val="20"/>
                <w:szCs w:val="20"/>
              </w:rPr>
              <w:t xml:space="preserve"> fusion test,</w:t>
            </w:r>
          </w:p>
          <w:p w14:paraId="18A10E20" w14:textId="6DC387D3" w:rsidR="00214D77" w:rsidRPr="00214D77" w:rsidRDefault="00214D77" w:rsidP="006F3CEB">
            <w:pPr>
              <w:keepNext/>
              <w:keepLines/>
              <w:spacing w:before="0" w:after="40"/>
              <w:jc w:val="left"/>
              <w:rPr>
                <w:rFonts w:ascii="Arial Narrow" w:hAnsi="Arial Narrow"/>
                <w:b/>
                <w:bCs/>
                <w:color w:val="FF0000"/>
                <w:sz w:val="20"/>
                <w:szCs w:val="20"/>
              </w:rPr>
            </w:pPr>
            <w:r w:rsidRPr="00214D77">
              <w:rPr>
                <w:rFonts w:ascii="Arial Narrow" w:hAnsi="Arial Narrow"/>
                <w:b/>
                <w:bCs/>
                <w:color w:val="FF0000"/>
                <w:sz w:val="20"/>
                <w:szCs w:val="20"/>
              </w:rPr>
              <w:t xml:space="preserve">Fee:  </w:t>
            </w:r>
            <w:r w:rsidRPr="00214D77">
              <w:rPr>
                <w:rFonts w:ascii="Arial Narrow" w:hAnsi="Arial Narrow"/>
                <w:color w:val="FF0000"/>
                <w:sz w:val="20"/>
                <w:szCs w:val="20"/>
              </w:rPr>
              <w:t>$533.00.</w:t>
            </w:r>
            <w:r w:rsidRPr="00214D77">
              <w:rPr>
                <w:rFonts w:ascii="Arial Narrow" w:hAnsi="Arial Narrow"/>
                <w:b/>
                <w:bCs/>
                <w:color w:val="FF0000"/>
                <w:sz w:val="20"/>
                <w:szCs w:val="20"/>
              </w:rPr>
              <w:t xml:space="preserve">  Benefit: </w:t>
            </w:r>
            <w:r w:rsidRPr="00214D77">
              <w:rPr>
                <w:rFonts w:ascii="Arial Narrow" w:hAnsi="Arial Narrow"/>
                <w:color w:val="FF0000"/>
                <w:sz w:val="20"/>
                <w:szCs w:val="20"/>
              </w:rPr>
              <w:t xml:space="preserve">75% = $400.00 85% = $453.00 for 2 </w:t>
            </w:r>
            <w:r w:rsidRPr="00214D77">
              <w:rPr>
                <w:rFonts w:ascii="Arial Narrow" w:hAnsi="Arial Narrow"/>
                <w:i/>
                <w:iCs/>
                <w:color w:val="FF0000"/>
                <w:sz w:val="20"/>
                <w:szCs w:val="20"/>
              </w:rPr>
              <w:t>NTRK</w:t>
            </w:r>
            <w:r w:rsidRPr="00214D77">
              <w:rPr>
                <w:rFonts w:ascii="Arial Narrow" w:hAnsi="Arial Narrow"/>
                <w:color w:val="FF0000"/>
                <w:sz w:val="20"/>
                <w:szCs w:val="20"/>
              </w:rPr>
              <w:t xml:space="preserve"> fusion tests,</w:t>
            </w:r>
          </w:p>
          <w:p w14:paraId="75A78E81" w14:textId="10AD8FBE" w:rsidR="00214D77" w:rsidRPr="00214D77" w:rsidRDefault="00214D77" w:rsidP="006F3CEB">
            <w:pPr>
              <w:keepNext/>
              <w:keepLines/>
              <w:spacing w:before="0" w:after="40"/>
              <w:jc w:val="left"/>
              <w:rPr>
                <w:rFonts w:ascii="Arial Narrow" w:hAnsi="Arial Narrow"/>
                <w:sz w:val="20"/>
                <w:szCs w:val="20"/>
              </w:rPr>
            </w:pPr>
            <w:r w:rsidRPr="00214D77">
              <w:rPr>
                <w:rFonts w:ascii="Arial Narrow" w:hAnsi="Arial Narrow"/>
                <w:b/>
                <w:bCs/>
                <w:color w:val="FF0000"/>
                <w:sz w:val="20"/>
                <w:szCs w:val="20"/>
              </w:rPr>
              <w:t xml:space="preserve">Fee:  </w:t>
            </w:r>
            <w:r w:rsidRPr="00214D77">
              <w:rPr>
                <w:rFonts w:ascii="Arial Narrow" w:hAnsi="Arial Narrow"/>
                <w:color w:val="FF0000"/>
                <w:sz w:val="20"/>
                <w:szCs w:val="20"/>
              </w:rPr>
              <w:t>$667.00.</w:t>
            </w:r>
            <w:r w:rsidRPr="00214D77">
              <w:rPr>
                <w:rFonts w:ascii="Arial Narrow" w:hAnsi="Arial Narrow"/>
                <w:b/>
                <w:bCs/>
                <w:color w:val="FF0000"/>
                <w:sz w:val="20"/>
                <w:szCs w:val="20"/>
              </w:rPr>
              <w:t xml:space="preserve">  Benefit: </w:t>
            </w:r>
            <w:r w:rsidRPr="00214D77">
              <w:rPr>
                <w:rFonts w:ascii="Arial Narrow" w:hAnsi="Arial Narrow"/>
                <w:color w:val="FF0000"/>
                <w:sz w:val="20"/>
                <w:szCs w:val="20"/>
              </w:rPr>
              <w:t xml:space="preserve">75% = $500.00 85% = $566.00 for 3 </w:t>
            </w:r>
            <w:r w:rsidRPr="00214D77">
              <w:rPr>
                <w:rFonts w:ascii="Arial Narrow" w:hAnsi="Arial Narrow"/>
                <w:i/>
                <w:iCs/>
                <w:color w:val="FF0000"/>
                <w:sz w:val="20"/>
                <w:szCs w:val="20"/>
              </w:rPr>
              <w:t>NTRK</w:t>
            </w:r>
            <w:r w:rsidRPr="00214D77">
              <w:rPr>
                <w:rFonts w:ascii="Arial Narrow" w:hAnsi="Arial Narrow"/>
                <w:color w:val="FF0000"/>
                <w:sz w:val="20"/>
                <w:szCs w:val="20"/>
              </w:rPr>
              <w:t xml:space="preserve"> fusion tests</w:t>
            </w:r>
          </w:p>
        </w:tc>
      </w:tr>
      <w:tr w:rsidR="00214D77" w:rsidRPr="00214D77" w14:paraId="0927A302" w14:textId="77777777" w:rsidTr="00214D77">
        <w:tc>
          <w:tcPr>
            <w:tcW w:w="9026" w:type="dxa"/>
          </w:tcPr>
          <w:p w14:paraId="47AE6A0F" w14:textId="77777777" w:rsidR="00214D77" w:rsidRPr="00214D77" w:rsidRDefault="00214D77" w:rsidP="000D274E">
            <w:pPr>
              <w:keepNext/>
              <w:keepLines/>
              <w:tabs>
                <w:tab w:val="left" w:pos="4565"/>
              </w:tabs>
              <w:spacing w:before="20"/>
              <w:jc w:val="left"/>
              <w:rPr>
                <w:rFonts w:ascii="Arial Narrow" w:hAnsi="Arial Narrow"/>
                <w:sz w:val="20"/>
                <w:szCs w:val="20"/>
              </w:rPr>
            </w:pPr>
            <w:r w:rsidRPr="00214D77">
              <w:rPr>
                <w:rFonts w:ascii="Arial Narrow" w:hAnsi="Arial Narrow"/>
                <w:b/>
                <w:bCs/>
                <w:sz w:val="20"/>
                <w:szCs w:val="20"/>
              </w:rPr>
              <w:t>Item number CCCC</w:t>
            </w:r>
            <w:r w:rsidRPr="00214D77">
              <w:rPr>
                <w:rFonts w:ascii="Arial Narrow" w:hAnsi="Arial Narrow"/>
                <w:b/>
                <w:bCs/>
                <w:sz w:val="20"/>
                <w:szCs w:val="20"/>
              </w:rPr>
              <w:tab/>
              <w:t>Category 6 (Pathology services) – Group P7 Genetics</w:t>
            </w:r>
          </w:p>
        </w:tc>
      </w:tr>
      <w:tr w:rsidR="00214D77" w:rsidRPr="00214D77" w14:paraId="66AF47B8" w14:textId="77777777" w:rsidTr="00214D77">
        <w:tc>
          <w:tcPr>
            <w:tcW w:w="9026" w:type="dxa"/>
          </w:tcPr>
          <w:p w14:paraId="50A54A3C" w14:textId="77777777" w:rsidR="00214D77" w:rsidRPr="00214D77" w:rsidRDefault="00214D77" w:rsidP="00214D77">
            <w:pPr>
              <w:keepLines/>
              <w:spacing w:before="40" w:after="0"/>
              <w:jc w:val="left"/>
              <w:rPr>
                <w:rFonts w:ascii="Arial Narrow" w:hAnsi="Arial Narrow"/>
                <w:sz w:val="20"/>
                <w:szCs w:val="20"/>
              </w:rPr>
            </w:pPr>
            <w:r w:rsidRPr="00214D77">
              <w:rPr>
                <w:rFonts w:ascii="Arial Narrow" w:hAnsi="Arial Narrow"/>
                <w:sz w:val="20"/>
                <w:szCs w:val="20"/>
              </w:rPr>
              <w:t xml:space="preserve">Next generation sequencing (NGS) test of tumour tissue from a patient </w:t>
            </w:r>
            <w:r w:rsidRPr="00214D77">
              <w:rPr>
                <w:rFonts w:ascii="Arial Narrow" w:hAnsi="Arial Narrow"/>
                <w:color w:val="FF0000"/>
                <w:sz w:val="20"/>
                <w:szCs w:val="20"/>
              </w:rPr>
              <w:t xml:space="preserve">aged 18 years or over </w:t>
            </w:r>
            <w:r w:rsidRPr="00214D77">
              <w:rPr>
                <w:rFonts w:ascii="Arial Narrow" w:hAnsi="Arial Narrow"/>
                <w:sz w:val="20"/>
                <w:szCs w:val="20"/>
              </w:rPr>
              <w:t>with:</w:t>
            </w:r>
          </w:p>
          <w:p w14:paraId="701DB6B6" w14:textId="77777777" w:rsidR="00214D77" w:rsidRPr="00214D77" w:rsidRDefault="00214D77" w:rsidP="00864249">
            <w:pPr>
              <w:keepLines/>
              <w:numPr>
                <w:ilvl w:val="0"/>
                <w:numId w:val="12"/>
              </w:numPr>
              <w:spacing w:before="40" w:after="40"/>
              <w:contextualSpacing/>
              <w:jc w:val="left"/>
              <w:rPr>
                <w:rFonts w:ascii="Arial Narrow" w:hAnsi="Arial Narrow"/>
                <w:sz w:val="20"/>
                <w:szCs w:val="20"/>
              </w:rPr>
            </w:pPr>
            <w:r w:rsidRPr="00214D77">
              <w:rPr>
                <w:rFonts w:ascii="Arial Narrow" w:hAnsi="Arial Narrow"/>
                <w:color w:val="FF0000"/>
                <w:sz w:val="20"/>
                <w:szCs w:val="20"/>
              </w:rPr>
              <w:t xml:space="preserve">solid tumour </w:t>
            </w:r>
            <w:r w:rsidRPr="00214D77">
              <w:rPr>
                <w:rFonts w:ascii="Arial Narrow" w:hAnsi="Arial Narrow"/>
                <w:sz w:val="20"/>
                <w:szCs w:val="20"/>
              </w:rPr>
              <w:t xml:space="preserve">cancer of one </w:t>
            </w:r>
            <w:r w:rsidRPr="00214D77">
              <w:rPr>
                <w:rFonts w:ascii="Arial Narrow" w:hAnsi="Arial Narrow"/>
                <w:color w:val="FF0000"/>
                <w:sz w:val="20"/>
                <w:szCs w:val="20"/>
              </w:rPr>
              <w:t>of the following types</w:t>
            </w:r>
            <w:r w:rsidRPr="00214D77">
              <w:rPr>
                <w:rFonts w:ascii="Arial Narrow" w:hAnsi="Arial Narrow"/>
                <w:color w:val="0000FF"/>
                <w:sz w:val="20"/>
                <w:szCs w:val="20"/>
              </w:rPr>
              <w:t xml:space="preserve">: soft tissue sarcoma, colorectal, </w:t>
            </w:r>
            <w:r w:rsidRPr="00214D77">
              <w:rPr>
                <w:rFonts w:ascii="Arial Narrow" w:hAnsi="Arial Narrow"/>
                <w:i/>
                <w:color w:val="0000FF"/>
                <w:sz w:val="20"/>
                <w:szCs w:val="20"/>
              </w:rPr>
              <w:t>non-small cell lung</w:t>
            </w:r>
            <w:r w:rsidRPr="00214D77">
              <w:rPr>
                <w:rFonts w:ascii="Arial Narrow" w:hAnsi="Arial Narrow"/>
                <w:color w:val="0000FF"/>
                <w:sz w:val="20"/>
                <w:szCs w:val="20"/>
              </w:rPr>
              <w:t>* or thyroid cancer</w:t>
            </w:r>
          </w:p>
          <w:p w14:paraId="3EF758EE" w14:textId="77777777" w:rsidR="00214D77" w:rsidRPr="00214D77" w:rsidRDefault="00214D77" w:rsidP="00864249">
            <w:pPr>
              <w:keepLines/>
              <w:numPr>
                <w:ilvl w:val="0"/>
                <w:numId w:val="12"/>
              </w:numPr>
              <w:spacing w:before="40" w:after="40"/>
              <w:contextualSpacing/>
              <w:jc w:val="left"/>
              <w:rPr>
                <w:rFonts w:ascii="Arial Narrow" w:hAnsi="Arial Narrow"/>
                <w:sz w:val="20"/>
                <w:szCs w:val="20"/>
              </w:rPr>
            </w:pPr>
            <w:r w:rsidRPr="00214D77">
              <w:rPr>
                <w:rFonts w:ascii="Arial Narrow" w:hAnsi="Arial Narrow"/>
                <w:color w:val="FF0000"/>
                <w:sz w:val="20"/>
                <w:szCs w:val="20"/>
              </w:rPr>
              <w:t>which is</w:t>
            </w:r>
            <w:r w:rsidRPr="00214D77">
              <w:rPr>
                <w:rFonts w:ascii="Arial Narrow" w:hAnsi="Arial Narrow"/>
                <w:sz w:val="20"/>
                <w:szCs w:val="20"/>
              </w:rPr>
              <w:t xml:space="preserve"> metastatic OR </w:t>
            </w:r>
            <w:r w:rsidRPr="00214D77">
              <w:rPr>
                <w:rFonts w:ascii="Arial Narrow" w:hAnsi="Arial Narrow"/>
                <w:color w:val="FF0000"/>
                <w:sz w:val="20"/>
                <w:szCs w:val="20"/>
              </w:rPr>
              <w:t>is</w:t>
            </w:r>
            <w:r w:rsidRPr="00214D77">
              <w:rPr>
                <w:rFonts w:ascii="Arial Narrow" w:hAnsi="Arial Narrow"/>
                <w:sz w:val="20"/>
                <w:szCs w:val="20"/>
              </w:rPr>
              <w:t xml:space="preserve"> locally advanced </w:t>
            </w:r>
            <w:r w:rsidRPr="00214D77">
              <w:rPr>
                <w:rFonts w:ascii="Arial Narrow" w:hAnsi="Arial Narrow"/>
                <w:color w:val="FF0000"/>
                <w:sz w:val="20"/>
                <w:szCs w:val="20"/>
              </w:rPr>
              <w:t>where surgical resection is likely to result in severe morbidity,</w:t>
            </w:r>
          </w:p>
          <w:p w14:paraId="321B8332" w14:textId="77777777" w:rsidR="00214D77" w:rsidRPr="00214D77" w:rsidRDefault="00214D77" w:rsidP="00864249">
            <w:pPr>
              <w:keepLines/>
              <w:numPr>
                <w:ilvl w:val="0"/>
                <w:numId w:val="15"/>
              </w:numPr>
              <w:spacing w:before="40" w:after="40"/>
              <w:contextualSpacing/>
              <w:jc w:val="left"/>
              <w:rPr>
                <w:rFonts w:ascii="Arial Narrow" w:hAnsi="Arial Narrow"/>
                <w:sz w:val="20"/>
                <w:szCs w:val="20"/>
              </w:rPr>
            </w:pPr>
            <w:r w:rsidRPr="00214D77">
              <w:rPr>
                <w:rFonts w:ascii="Arial Narrow" w:hAnsi="Arial Narrow"/>
                <w:color w:val="FF0000"/>
                <w:sz w:val="20"/>
                <w:szCs w:val="20"/>
              </w:rPr>
              <w:t xml:space="preserve">and </w:t>
            </w:r>
            <w:r w:rsidRPr="00214D77">
              <w:rPr>
                <w:rFonts w:ascii="Arial Narrow" w:hAnsi="Arial Narrow"/>
                <w:sz w:val="20"/>
                <w:szCs w:val="20"/>
              </w:rPr>
              <w:t>with documented evidence of tropomyosin receptor kinase (</w:t>
            </w:r>
            <w:proofErr w:type="spellStart"/>
            <w:r w:rsidRPr="00214D77">
              <w:rPr>
                <w:rFonts w:ascii="Arial Narrow" w:hAnsi="Arial Narrow"/>
                <w:sz w:val="20"/>
                <w:szCs w:val="20"/>
              </w:rPr>
              <w:t>TrkA</w:t>
            </w:r>
            <w:proofErr w:type="spellEnd"/>
            <w:r w:rsidRPr="00214D77">
              <w:rPr>
                <w:rFonts w:ascii="Arial Narrow" w:hAnsi="Arial Narrow"/>
                <w:sz w:val="20"/>
                <w:szCs w:val="20"/>
              </w:rPr>
              <w:t xml:space="preserve">, </w:t>
            </w:r>
            <w:proofErr w:type="spellStart"/>
            <w:r w:rsidRPr="00214D77">
              <w:rPr>
                <w:rFonts w:ascii="Arial Narrow" w:hAnsi="Arial Narrow"/>
                <w:sz w:val="20"/>
                <w:szCs w:val="20"/>
              </w:rPr>
              <w:t>TrkB</w:t>
            </w:r>
            <w:proofErr w:type="spellEnd"/>
            <w:r w:rsidRPr="00214D77">
              <w:rPr>
                <w:rFonts w:ascii="Arial Narrow" w:hAnsi="Arial Narrow"/>
                <w:sz w:val="20"/>
                <w:szCs w:val="20"/>
              </w:rPr>
              <w:t xml:space="preserve"> or </w:t>
            </w:r>
            <w:proofErr w:type="spellStart"/>
            <w:r w:rsidRPr="00214D77">
              <w:rPr>
                <w:rFonts w:ascii="Arial Narrow" w:hAnsi="Arial Narrow"/>
                <w:sz w:val="20"/>
                <w:szCs w:val="20"/>
              </w:rPr>
              <w:t>TrkC</w:t>
            </w:r>
            <w:proofErr w:type="spellEnd"/>
            <w:r w:rsidRPr="00214D77">
              <w:rPr>
                <w:rFonts w:ascii="Arial Narrow" w:hAnsi="Arial Narrow"/>
                <w:sz w:val="20"/>
                <w:szCs w:val="20"/>
              </w:rPr>
              <w:t>) immunoreactivity by immunohistochemical (IHC) examination</w:t>
            </w:r>
          </w:p>
          <w:p w14:paraId="6484DBBF" w14:textId="77777777" w:rsidR="00214D77" w:rsidRPr="00214D77" w:rsidRDefault="00214D77" w:rsidP="00214D77">
            <w:pPr>
              <w:keepLines/>
              <w:spacing w:before="40" w:after="0"/>
              <w:jc w:val="left"/>
              <w:rPr>
                <w:rFonts w:ascii="Arial Narrow" w:hAnsi="Arial Narrow"/>
                <w:color w:val="A6A6A6"/>
                <w:sz w:val="20"/>
                <w:szCs w:val="20"/>
              </w:rPr>
            </w:pPr>
            <w:r w:rsidRPr="00214D77">
              <w:rPr>
                <w:rFonts w:ascii="Arial Narrow" w:hAnsi="Arial Narrow"/>
                <w:sz w:val="20"/>
                <w:szCs w:val="20"/>
              </w:rPr>
              <w:t>requested by a specialist or consultant physician to determine if requirements relating to neurotrophic tropomyosin receptor kinase (</w:t>
            </w:r>
            <w:r w:rsidRPr="00214D77">
              <w:rPr>
                <w:rFonts w:ascii="Arial Narrow" w:hAnsi="Arial Narrow"/>
                <w:i/>
                <w:iCs/>
                <w:color w:val="FF0000"/>
                <w:sz w:val="20"/>
                <w:szCs w:val="20"/>
              </w:rPr>
              <w:t>NTRK1, NTRK2 or NTRK3</w:t>
            </w:r>
            <w:r w:rsidRPr="00214D77">
              <w:rPr>
                <w:rFonts w:ascii="Arial Narrow" w:hAnsi="Arial Narrow"/>
                <w:sz w:val="20"/>
                <w:szCs w:val="20"/>
              </w:rPr>
              <w:t xml:space="preserve">) fusions for access to a </w:t>
            </w:r>
            <w:proofErr w:type="spellStart"/>
            <w:r w:rsidRPr="00214D77">
              <w:rPr>
                <w:rFonts w:ascii="Arial Narrow" w:hAnsi="Arial Narrow"/>
                <w:sz w:val="20"/>
                <w:szCs w:val="20"/>
              </w:rPr>
              <w:t>Trk</w:t>
            </w:r>
            <w:proofErr w:type="spellEnd"/>
            <w:r w:rsidRPr="00214D77">
              <w:rPr>
                <w:rFonts w:ascii="Arial Narrow" w:hAnsi="Arial Narrow"/>
                <w:sz w:val="20"/>
                <w:szCs w:val="20"/>
              </w:rPr>
              <w:t xml:space="preserve"> inhibitor under the Pharmaceutical Benefits Scheme (PBS) are fulfilled.</w:t>
            </w:r>
          </w:p>
          <w:p w14:paraId="08B6A3C3" w14:textId="77777777" w:rsidR="00214D77" w:rsidRPr="00214D77" w:rsidRDefault="00214D77" w:rsidP="00837F24">
            <w:pPr>
              <w:keepLines/>
              <w:spacing w:before="240" w:after="40"/>
              <w:jc w:val="left"/>
              <w:rPr>
                <w:rFonts w:ascii="Arial Narrow" w:hAnsi="Arial Narrow"/>
                <w:sz w:val="20"/>
                <w:szCs w:val="20"/>
              </w:rPr>
            </w:pPr>
            <w:r w:rsidRPr="00214D77">
              <w:rPr>
                <w:rFonts w:ascii="Arial Narrow" w:hAnsi="Arial Narrow"/>
                <w:sz w:val="20"/>
                <w:szCs w:val="20"/>
              </w:rPr>
              <w:t>This item cannot be claimed if MBS items AAAA, BBBB or DDDD have been claimed for the same patient.</w:t>
            </w:r>
          </w:p>
          <w:p w14:paraId="61B52A82" w14:textId="77777777" w:rsidR="00214D77" w:rsidRPr="00214D77" w:rsidRDefault="00214D77" w:rsidP="00214D77">
            <w:pPr>
              <w:keepLines/>
              <w:spacing w:before="0" w:after="40"/>
              <w:jc w:val="left"/>
              <w:rPr>
                <w:rFonts w:ascii="Arial Narrow" w:hAnsi="Arial Narrow"/>
                <w:sz w:val="20"/>
                <w:szCs w:val="20"/>
              </w:rPr>
            </w:pPr>
            <w:r w:rsidRPr="00214D77">
              <w:rPr>
                <w:rFonts w:ascii="Arial Narrow" w:hAnsi="Arial Narrow"/>
                <w:sz w:val="20"/>
                <w:szCs w:val="20"/>
              </w:rPr>
              <w:t>Applicable only once per cancer diagnosis.</w:t>
            </w:r>
          </w:p>
          <w:p w14:paraId="10F6C9FA" w14:textId="77777777" w:rsidR="00214D77" w:rsidRPr="00214D77" w:rsidRDefault="00214D77" w:rsidP="00837F24">
            <w:pPr>
              <w:keepLines/>
              <w:spacing w:before="240" w:after="0"/>
              <w:jc w:val="left"/>
              <w:rPr>
                <w:rFonts w:ascii="Arial Narrow" w:hAnsi="Arial Narrow"/>
                <w:sz w:val="20"/>
                <w:szCs w:val="20"/>
              </w:rPr>
            </w:pPr>
            <w:r w:rsidRPr="00214D77">
              <w:rPr>
                <w:rFonts w:ascii="Arial Narrow" w:hAnsi="Arial Narrow"/>
                <w:b/>
                <w:bCs/>
                <w:sz w:val="20"/>
                <w:szCs w:val="20"/>
              </w:rPr>
              <w:t>Fee:</w:t>
            </w:r>
            <w:r w:rsidRPr="00214D77">
              <w:rPr>
                <w:rFonts w:ascii="Arial Narrow" w:hAnsi="Arial Narrow"/>
                <w:sz w:val="20"/>
                <w:szCs w:val="20"/>
              </w:rPr>
              <w:t xml:space="preserve">  $</w:t>
            </w:r>
            <w:r w:rsidRPr="00214D77">
              <w:rPr>
                <w:rFonts w:ascii="Arial Narrow" w:hAnsi="Arial Narrow"/>
                <w:color w:val="FF0000"/>
                <w:sz w:val="20"/>
                <w:szCs w:val="20"/>
              </w:rPr>
              <w:t>1,200.00</w:t>
            </w:r>
            <w:r w:rsidRPr="00214D77">
              <w:rPr>
                <w:rFonts w:ascii="Arial Narrow" w:hAnsi="Arial Narrow"/>
                <w:sz w:val="20"/>
                <w:szCs w:val="20"/>
              </w:rPr>
              <w:t xml:space="preserve">  </w:t>
            </w:r>
            <w:r w:rsidRPr="00214D77">
              <w:rPr>
                <w:rFonts w:ascii="Arial Narrow" w:hAnsi="Arial Narrow"/>
                <w:b/>
                <w:bCs/>
                <w:sz w:val="20"/>
                <w:szCs w:val="20"/>
              </w:rPr>
              <w:t>Benefit:</w:t>
            </w:r>
            <w:r w:rsidRPr="00214D77">
              <w:rPr>
                <w:rFonts w:ascii="Arial Narrow" w:hAnsi="Arial Narrow"/>
                <w:sz w:val="20"/>
                <w:szCs w:val="20"/>
              </w:rPr>
              <w:t xml:space="preserve"> 75% = $</w:t>
            </w:r>
            <w:r w:rsidRPr="00214D77">
              <w:rPr>
                <w:rFonts w:ascii="Arial Narrow" w:hAnsi="Arial Narrow"/>
                <w:color w:val="FF0000"/>
                <w:sz w:val="20"/>
                <w:szCs w:val="20"/>
              </w:rPr>
              <w:t>900.00</w:t>
            </w:r>
            <w:r w:rsidRPr="00214D77" w:rsidDel="00AF3A13">
              <w:rPr>
                <w:rFonts w:ascii="Arial Narrow" w:hAnsi="Arial Narrow"/>
                <w:sz w:val="20"/>
                <w:szCs w:val="20"/>
              </w:rPr>
              <w:t xml:space="preserve"> </w:t>
            </w:r>
            <w:r w:rsidRPr="00214D77">
              <w:rPr>
                <w:rFonts w:ascii="Arial Narrow" w:hAnsi="Arial Narrow"/>
                <w:sz w:val="20"/>
                <w:szCs w:val="20"/>
              </w:rPr>
              <w:t>85% = $</w:t>
            </w:r>
            <w:r w:rsidRPr="00214D77">
              <w:rPr>
                <w:rFonts w:ascii="Arial Narrow" w:hAnsi="Arial Narrow"/>
                <w:color w:val="FF0000"/>
                <w:sz w:val="20"/>
                <w:szCs w:val="20"/>
              </w:rPr>
              <w:t>1,115.30</w:t>
            </w:r>
          </w:p>
        </w:tc>
      </w:tr>
      <w:tr w:rsidR="00214D77" w:rsidRPr="00214D77" w14:paraId="7EAAA3E6" w14:textId="77777777" w:rsidTr="00214D77">
        <w:tc>
          <w:tcPr>
            <w:tcW w:w="9026" w:type="dxa"/>
          </w:tcPr>
          <w:p w14:paraId="6D5F5E1E" w14:textId="77777777" w:rsidR="00214D77" w:rsidRPr="00214D77" w:rsidRDefault="00214D77" w:rsidP="000D274E">
            <w:pPr>
              <w:keepNext/>
              <w:keepLines/>
              <w:tabs>
                <w:tab w:val="left" w:pos="4565"/>
              </w:tabs>
              <w:spacing w:before="20"/>
              <w:jc w:val="left"/>
              <w:rPr>
                <w:sz w:val="18"/>
                <w:szCs w:val="20"/>
              </w:rPr>
            </w:pPr>
            <w:r w:rsidRPr="00214D77">
              <w:rPr>
                <w:b/>
                <w:bCs/>
                <w:sz w:val="18"/>
                <w:szCs w:val="20"/>
              </w:rPr>
              <w:lastRenderedPageBreak/>
              <w:t>Item number DDDD</w:t>
            </w:r>
            <w:r w:rsidRPr="00214D77">
              <w:rPr>
                <w:b/>
                <w:bCs/>
                <w:sz w:val="18"/>
                <w:szCs w:val="20"/>
              </w:rPr>
              <w:tab/>
              <w:t>Category 6 (Pathology services) – Group P7 Genetics</w:t>
            </w:r>
          </w:p>
        </w:tc>
      </w:tr>
      <w:tr w:rsidR="00214D77" w:rsidRPr="00214D77" w14:paraId="2FDAEDA4" w14:textId="77777777" w:rsidTr="00214D77">
        <w:tc>
          <w:tcPr>
            <w:tcW w:w="9026" w:type="dxa"/>
          </w:tcPr>
          <w:p w14:paraId="735EAA42" w14:textId="77777777" w:rsidR="00214D77" w:rsidRPr="00214D77" w:rsidRDefault="00214D77" w:rsidP="00214D77">
            <w:pPr>
              <w:keepNext/>
              <w:keepLines/>
              <w:spacing w:before="40" w:after="0"/>
              <w:jc w:val="left"/>
              <w:rPr>
                <w:rFonts w:ascii="Arial Narrow" w:hAnsi="Arial Narrow"/>
                <w:sz w:val="20"/>
                <w:szCs w:val="20"/>
              </w:rPr>
            </w:pPr>
            <w:r w:rsidRPr="00214D77">
              <w:rPr>
                <w:rFonts w:ascii="Arial Narrow" w:hAnsi="Arial Narrow"/>
                <w:sz w:val="20"/>
                <w:szCs w:val="20"/>
              </w:rPr>
              <w:t xml:space="preserve">Next generation sequencing (NGS) test of tumour tissue from a patient </w:t>
            </w:r>
          </w:p>
          <w:p w14:paraId="11B6A1FC" w14:textId="77777777" w:rsidR="00214D77" w:rsidRPr="00214D77" w:rsidRDefault="00214D77" w:rsidP="00864249">
            <w:pPr>
              <w:numPr>
                <w:ilvl w:val="0"/>
                <w:numId w:val="14"/>
              </w:numPr>
              <w:spacing w:before="40" w:after="40"/>
              <w:contextualSpacing/>
              <w:jc w:val="left"/>
              <w:rPr>
                <w:rFonts w:ascii="Arial Narrow" w:hAnsi="Arial Narrow"/>
                <w:color w:val="FF0000"/>
                <w:sz w:val="20"/>
                <w:szCs w:val="20"/>
              </w:rPr>
            </w:pPr>
            <w:r w:rsidRPr="00214D77">
              <w:rPr>
                <w:rFonts w:ascii="Arial Narrow" w:hAnsi="Arial Narrow"/>
                <w:sz w:val="20"/>
                <w:szCs w:val="20"/>
              </w:rPr>
              <w:t xml:space="preserve">with </w:t>
            </w:r>
            <w:r w:rsidRPr="00214D77">
              <w:rPr>
                <w:rFonts w:ascii="Arial Narrow" w:hAnsi="Arial Narrow"/>
                <w:color w:val="FF0000"/>
                <w:sz w:val="20"/>
                <w:szCs w:val="20"/>
              </w:rPr>
              <w:t xml:space="preserve">solid tumour </w:t>
            </w:r>
            <w:r w:rsidRPr="00214D77">
              <w:rPr>
                <w:rFonts w:ascii="Arial Narrow" w:hAnsi="Arial Narrow"/>
                <w:sz w:val="20"/>
                <w:szCs w:val="20"/>
              </w:rPr>
              <w:t xml:space="preserve">cancer which is metastatic OR </w:t>
            </w:r>
            <w:r w:rsidRPr="00214D77">
              <w:rPr>
                <w:rFonts w:ascii="Arial Narrow" w:hAnsi="Arial Narrow"/>
                <w:color w:val="FF0000"/>
                <w:sz w:val="20"/>
                <w:szCs w:val="20"/>
              </w:rPr>
              <w:t>is</w:t>
            </w:r>
            <w:r w:rsidRPr="00214D77">
              <w:rPr>
                <w:rFonts w:ascii="Arial Narrow" w:hAnsi="Arial Narrow"/>
                <w:sz w:val="20"/>
                <w:szCs w:val="20"/>
              </w:rPr>
              <w:t xml:space="preserve"> locally advanced </w:t>
            </w:r>
            <w:r w:rsidRPr="00214D77">
              <w:rPr>
                <w:rFonts w:ascii="Arial Narrow" w:hAnsi="Arial Narrow"/>
                <w:color w:val="FF0000"/>
                <w:sz w:val="20"/>
                <w:szCs w:val="20"/>
              </w:rPr>
              <w:t>where surgical resection is likely to result in severe morbidity, and</w:t>
            </w:r>
          </w:p>
          <w:p w14:paraId="26710BB4" w14:textId="77777777" w:rsidR="00214D77" w:rsidRPr="00214D77" w:rsidRDefault="00214D77" w:rsidP="00864249">
            <w:pPr>
              <w:numPr>
                <w:ilvl w:val="0"/>
                <w:numId w:val="14"/>
              </w:numPr>
              <w:spacing w:before="40" w:after="40"/>
              <w:contextualSpacing/>
              <w:jc w:val="left"/>
              <w:rPr>
                <w:rFonts w:ascii="Arial Narrow" w:hAnsi="Arial Narrow"/>
                <w:color w:val="FF0000"/>
                <w:sz w:val="20"/>
                <w:szCs w:val="20"/>
              </w:rPr>
            </w:pPr>
            <w:r w:rsidRPr="00214D77">
              <w:rPr>
                <w:rFonts w:ascii="Arial Narrow" w:hAnsi="Arial Narrow"/>
                <w:color w:val="FF0000"/>
                <w:sz w:val="20"/>
                <w:szCs w:val="20"/>
              </w:rPr>
              <w:t>who is either aged less than 18 years OR is aged 18 years or over and has either mammary analogue secretory carcinoma of the salivary gland or secretory breast cancer,</w:t>
            </w:r>
          </w:p>
          <w:p w14:paraId="59DAB2FC" w14:textId="77777777" w:rsidR="00214D77" w:rsidRPr="00214D77" w:rsidRDefault="00214D77" w:rsidP="00214D77">
            <w:pPr>
              <w:keepLines/>
              <w:spacing w:before="40" w:after="40"/>
              <w:jc w:val="left"/>
              <w:rPr>
                <w:rFonts w:ascii="Arial Narrow" w:hAnsi="Arial Narrow"/>
                <w:sz w:val="20"/>
                <w:szCs w:val="20"/>
                <w:lang w:bidi="en-US"/>
              </w:rPr>
            </w:pPr>
            <w:r w:rsidRPr="00214D77">
              <w:rPr>
                <w:rFonts w:ascii="Arial Narrow" w:hAnsi="Arial Narrow"/>
                <w:sz w:val="20"/>
                <w:szCs w:val="20"/>
                <w:lang w:bidi="en-US"/>
              </w:rPr>
              <w:t>requested by a specialist or consultant physician to determine if requirements relating to neurotrophic tropomyosin receptor kinase (</w:t>
            </w:r>
            <w:r w:rsidRPr="00214D77">
              <w:rPr>
                <w:rFonts w:ascii="Arial Narrow" w:hAnsi="Arial Narrow"/>
                <w:i/>
                <w:iCs/>
                <w:color w:val="FF0000"/>
                <w:sz w:val="20"/>
                <w:szCs w:val="20"/>
                <w:lang w:bidi="en-US"/>
              </w:rPr>
              <w:t>NTRK1, NTRK2 or NTRK3</w:t>
            </w:r>
            <w:r w:rsidRPr="00214D77">
              <w:rPr>
                <w:rFonts w:ascii="Arial Narrow" w:hAnsi="Arial Narrow"/>
                <w:sz w:val="20"/>
                <w:szCs w:val="20"/>
                <w:lang w:bidi="en-US"/>
              </w:rPr>
              <w:t xml:space="preserve">) fusions for access to a </w:t>
            </w:r>
            <w:proofErr w:type="spellStart"/>
            <w:r w:rsidRPr="00214D77">
              <w:rPr>
                <w:rFonts w:ascii="Arial Narrow" w:hAnsi="Arial Narrow"/>
                <w:sz w:val="20"/>
                <w:szCs w:val="20"/>
                <w:lang w:bidi="en-US"/>
              </w:rPr>
              <w:t>Trk</w:t>
            </w:r>
            <w:proofErr w:type="spellEnd"/>
            <w:r w:rsidRPr="00214D77">
              <w:rPr>
                <w:rFonts w:ascii="Arial Narrow" w:hAnsi="Arial Narrow"/>
                <w:sz w:val="20"/>
                <w:szCs w:val="20"/>
                <w:lang w:bidi="en-US"/>
              </w:rPr>
              <w:t xml:space="preserve"> inhibitor under the Pharmaceutical Benefits Scheme (PBS) are fulfilled.</w:t>
            </w:r>
          </w:p>
          <w:p w14:paraId="36114909" w14:textId="77777777" w:rsidR="00214D77" w:rsidRPr="00214D77" w:rsidRDefault="00214D77" w:rsidP="00214D77">
            <w:pPr>
              <w:keepNext/>
              <w:keepLines/>
              <w:spacing w:before="40" w:after="40"/>
              <w:jc w:val="left"/>
              <w:rPr>
                <w:rFonts w:ascii="Arial Narrow" w:hAnsi="Arial Narrow"/>
                <w:sz w:val="20"/>
                <w:szCs w:val="20"/>
                <w:lang w:bidi="en-US"/>
              </w:rPr>
            </w:pPr>
            <w:r w:rsidRPr="00214D77">
              <w:rPr>
                <w:rFonts w:ascii="Arial Narrow" w:hAnsi="Arial Narrow"/>
                <w:sz w:val="20"/>
                <w:szCs w:val="20"/>
                <w:lang w:bidi="en-US"/>
              </w:rPr>
              <w:t>This item cannot be claimed if MBS items AAAA, BBBB or CCCC have been claimed for the same patient.</w:t>
            </w:r>
          </w:p>
          <w:p w14:paraId="502BAFCA" w14:textId="77777777" w:rsidR="00214D77" w:rsidRPr="00214D77" w:rsidRDefault="00214D77" w:rsidP="00214D77">
            <w:pPr>
              <w:keepNext/>
              <w:keepLines/>
              <w:spacing w:before="0" w:after="40"/>
              <w:jc w:val="left"/>
              <w:rPr>
                <w:rFonts w:ascii="Arial Narrow" w:hAnsi="Arial Narrow"/>
                <w:sz w:val="20"/>
                <w:szCs w:val="20"/>
                <w:lang w:bidi="en-US"/>
              </w:rPr>
            </w:pPr>
            <w:r w:rsidRPr="00214D77">
              <w:rPr>
                <w:rFonts w:ascii="Arial Narrow" w:hAnsi="Arial Narrow"/>
                <w:sz w:val="20"/>
                <w:szCs w:val="20"/>
                <w:lang w:bidi="en-US"/>
              </w:rPr>
              <w:t>Applicable only once per cancer diagnosis.</w:t>
            </w:r>
          </w:p>
          <w:p w14:paraId="2770DCFF" w14:textId="77777777" w:rsidR="00214D77" w:rsidRPr="00214D77" w:rsidRDefault="00214D77" w:rsidP="00837F24">
            <w:pPr>
              <w:keepNext/>
              <w:keepLines/>
              <w:spacing w:before="240" w:after="0"/>
              <w:jc w:val="left"/>
              <w:rPr>
                <w:sz w:val="18"/>
                <w:szCs w:val="20"/>
              </w:rPr>
            </w:pPr>
            <w:r w:rsidRPr="00214D77">
              <w:rPr>
                <w:rFonts w:ascii="Arial Narrow" w:hAnsi="Arial Narrow"/>
                <w:b/>
                <w:bCs/>
                <w:sz w:val="20"/>
                <w:szCs w:val="20"/>
                <w:lang w:bidi="en-US"/>
              </w:rPr>
              <w:t>Fee:</w:t>
            </w:r>
            <w:r w:rsidRPr="00214D77">
              <w:rPr>
                <w:rFonts w:ascii="Arial Narrow" w:hAnsi="Arial Narrow"/>
                <w:sz w:val="20"/>
                <w:szCs w:val="20"/>
                <w:lang w:bidi="en-US"/>
              </w:rPr>
              <w:t xml:space="preserve">  $</w:t>
            </w:r>
            <w:r w:rsidRPr="00214D77">
              <w:rPr>
                <w:rFonts w:ascii="Arial Narrow" w:hAnsi="Arial Narrow"/>
                <w:color w:val="FF0000"/>
                <w:sz w:val="20"/>
                <w:szCs w:val="20"/>
                <w:lang w:bidi="en-US"/>
              </w:rPr>
              <w:t xml:space="preserve">1,200.00  </w:t>
            </w:r>
            <w:r w:rsidRPr="00214D77">
              <w:rPr>
                <w:rFonts w:ascii="Arial Narrow" w:hAnsi="Arial Narrow"/>
                <w:b/>
                <w:bCs/>
                <w:sz w:val="20"/>
                <w:szCs w:val="20"/>
                <w:lang w:bidi="en-US"/>
              </w:rPr>
              <w:t>Benefit</w:t>
            </w:r>
            <w:r w:rsidRPr="00214D77">
              <w:rPr>
                <w:rFonts w:ascii="Arial Narrow" w:hAnsi="Arial Narrow"/>
                <w:sz w:val="20"/>
                <w:szCs w:val="20"/>
                <w:lang w:bidi="en-US"/>
              </w:rPr>
              <w:t>: 75% = $</w:t>
            </w:r>
            <w:r w:rsidRPr="00214D77">
              <w:rPr>
                <w:rFonts w:ascii="Arial Narrow" w:hAnsi="Arial Narrow"/>
                <w:color w:val="FF0000"/>
                <w:sz w:val="20"/>
                <w:szCs w:val="20"/>
                <w:lang w:bidi="en-US"/>
              </w:rPr>
              <w:t>900.00</w:t>
            </w:r>
            <w:r w:rsidRPr="00214D77" w:rsidDel="00AF3A13">
              <w:rPr>
                <w:rFonts w:ascii="Arial Narrow" w:hAnsi="Arial Narrow"/>
                <w:color w:val="FF0000"/>
                <w:sz w:val="20"/>
                <w:szCs w:val="20"/>
                <w:lang w:bidi="en-US"/>
              </w:rPr>
              <w:t xml:space="preserve"> </w:t>
            </w:r>
            <w:r w:rsidRPr="00214D77">
              <w:rPr>
                <w:rFonts w:ascii="Arial Narrow" w:hAnsi="Arial Narrow"/>
                <w:sz w:val="20"/>
                <w:szCs w:val="20"/>
                <w:lang w:bidi="en-US"/>
              </w:rPr>
              <w:t>85% = $</w:t>
            </w:r>
            <w:r w:rsidRPr="00214D77">
              <w:rPr>
                <w:rFonts w:ascii="Arial Narrow" w:hAnsi="Arial Narrow"/>
                <w:color w:val="FF0000"/>
                <w:sz w:val="20"/>
                <w:szCs w:val="20"/>
                <w:lang w:bidi="en-US"/>
              </w:rPr>
              <w:t>1,115.30</w:t>
            </w:r>
          </w:p>
        </w:tc>
      </w:tr>
    </w:tbl>
    <w:p w14:paraId="7CDB7F98" w14:textId="77777777" w:rsidR="00214D77" w:rsidRPr="00214D77" w:rsidRDefault="00214D77" w:rsidP="000D274E">
      <w:pPr>
        <w:widowControl w:val="0"/>
        <w:spacing w:before="0" w:after="240"/>
        <w:contextualSpacing/>
        <w:jc w:val="left"/>
        <w:rPr>
          <w:rFonts w:ascii="Arial Narrow" w:eastAsia="Times New Roman" w:hAnsi="Arial Narrow" w:cs="Arial"/>
          <w:iCs/>
          <w:snapToGrid w:val="0"/>
          <w:sz w:val="18"/>
          <w:szCs w:val="20"/>
        </w:rPr>
      </w:pPr>
      <w:r w:rsidRPr="00214D77">
        <w:rPr>
          <w:rFonts w:ascii="Arial Narrow" w:eastAsia="Times New Roman" w:hAnsi="Arial Narrow" w:cs="Arial"/>
          <w:iCs/>
          <w:snapToGrid w:val="0"/>
          <w:sz w:val="18"/>
          <w:szCs w:val="20"/>
        </w:rPr>
        <w:t>*Lung cancer was specified in the resubmission but this should be changed to non-small cell lung cancer to align with the PBS restriction and the population in the clinical trials</w:t>
      </w:r>
    </w:p>
    <w:p w14:paraId="0BBAF451" w14:textId="77777777" w:rsidR="00214D77" w:rsidRPr="00214D77" w:rsidRDefault="00214D77" w:rsidP="000D274E">
      <w:pPr>
        <w:widowControl w:val="0"/>
        <w:spacing w:before="0" w:after="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Source: Tables 1.15, 1.16, 1.17 and 1.18 (pp 82-84) of the resubmission</w:t>
      </w:r>
    </w:p>
    <w:p w14:paraId="1E3B71EA" w14:textId="2FC4531F" w:rsidR="00214D77" w:rsidRPr="00214D77" w:rsidRDefault="00214D77" w:rsidP="00214D77">
      <w:pPr>
        <w:spacing w:before="0" w:after="240"/>
        <w:jc w:val="left"/>
        <w:rPr>
          <w:rFonts w:ascii="Arial Narrow" w:eastAsia="Times New Roman" w:hAnsi="Arial Narrow" w:cs="Times New Roman"/>
          <w:sz w:val="18"/>
          <w:szCs w:val="20"/>
          <w:lang w:eastAsia="en-AU"/>
        </w:rPr>
      </w:pPr>
      <w:r w:rsidRPr="00214D77">
        <w:rPr>
          <w:rFonts w:ascii="Arial Narrow" w:eastAsia="Times New Roman" w:hAnsi="Arial Narrow" w:cs="Times New Roman"/>
          <w:sz w:val="18"/>
          <w:szCs w:val="20"/>
          <w:lang w:eastAsia="en-AU"/>
        </w:rPr>
        <w:t xml:space="preserve">Note: Text in </w:t>
      </w:r>
      <w:r w:rsidRPr="00214D77">
        <w:rPr>
          <w:rFonts w:ascii="Arial Narrow" w:eastAsia="Times New Roman" w:hAnsi="Arial Narrow" w:cs="Times New Roman"/>
          <w:color w:val="FF0000"/>
          <w:sz w:val="18"/>
          <w:szCs w:val="20"/>
          <w:lang w:eastAsia="en-AU"/>
        </w:rPr>
        <w:t xml:space="preserve">red </w:t>
      </w:r>
      <w:r w:rsidR="00BA3286">
        <w:rPr>
          <w:rFonts w:ascii="Arial Narrow" w:eastAsia="Times New Roman" w:hAnsi="Arial Narrow" w:cs="Times New Roman"/>
          <w:color w:val="FF0000"/>
          <w:sz w:val="18"/>
          <w:szCs w:val="20"/>
          <w:lang w:eastAsia="en-AU"/>
        </w:rPr>
        <w:t>text</w:t>
      </w:r>
      <w:r w:rsidRPr="00214D77">
        <w:rPr>
          <w:rFonts w:ascii="Arial Narrow" w:eastAsia="Times New Roman" w:hAnsi="Arial Narrow" w:cs="Times New Roman"/>
          <w:color w:val="FF0000"/>
          <w:sz w:val="18"/>
          <w:szCs w:val="20"/>
          <w:lang w:eastAsia="en-AU"/>
        </w:rPr>
        <w:t xml:space="preserve"> </w:t>
      </w:r>
      <w:r w:rsidRPr="00214D77">
        <w:rPr>
          <w:rFonts w:ascii="Arial Narrow" w:eastAsia="Times New Roman" w:hAnsi="Arial Narrow" w:cs="Times New Roman"/>
          <w:sz w:val="18"/>
          <w:szCs w:val="20"/>
          <w:lang w:eastAsia="en-AU"/>
        </w:rPr>
        <w:t>indicates MSAC-proposed amendments to the proposed listings.</w:t>
      </w:r>
    </w:p>
    <w:p w14:paraId="009BF45F" w14:textId="56304045" w:rsidR="00214D77" w:rsidRPr="00837F24" w:rsidRDefault="00214D77" w:rsidP="00864249">
      <w:pPr>
        <w:pStyle w:val="Heading1"/>
        <w:numPr>
          <w:ilvl w:val="0"/>
          <w:numId w:val="3"/>
        </w:numPr>
        <w:spacing w:before="240" w:after="240" w:line="240" w:lineRule="auto"/>
        <w:ind w:left="720" w:hanging="720"/>
        <w:rPr>
          <w:rFonts w:ascii="Arial" w:hAnsi="Arial" w:cs="Arial"/>
          <w:bCs/>
          <w:lang w:eastAsia="en-AU"/>
        </w:rPr>
      </w:pPr>
      <w:r w:rsidRPr="00837F24">
        <w:rPr>
          <w:rFonts w:ascii="Arial" w:hAnsi="Arial" w:cs="Arial"/>
          <w:bCs/>
          <w:lang w:eastAsia="en-AU"/>
        </w:rPr>
        <w:t xml:space="preserve">Summary of </w:t>
      </w:r>
      <w:r w:rsidR="00A545E4" w:rsidRPr="00837F24">
        <w:rPr>
          <w:rFonts w:ascii="Arial" w:hAnsi="Arial" w:cs="Arial"/>
          <w:bCs/>
          <w:lang w:eastAsia="en-AU"/>
        </w:rPr>
        <w:t>public consultation feedback/consumer issues</w:t>
      </w:r>
    </w:p>
    <w:p w14:paraId="11190B24" w14:textId="516B8C40" w:rsidR="004315A3" w:rsidRDefault="00214D77" w:rsidP="00214D77">
      <w:pPr>
        <w:spacing w:before="0" w:after="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No new consultation feedback was received for the resubmission</w:t>
      </w:r>
      <w:r w:rsidR="004315A3">
        <w:rPr>
          <w:rFonts w:ascii="Times New Roman" w:eastAsia="Times New Roman" w:hAnsi="Times New Roman" w:cs="Times New Roman"/>
          <w:iCs/>
          <w:szCs w:val="20"/>
          <w:lang w:eastAsia="en-AU"/>
        </w:rPr>
        <w:t xml:space="preserve"> before ESC</w:t>
      </w:r>
      <w:r w:rsidRPr="00214D77">
        <w:rPr>
          <w:rFonts w:ascii="Times New Roman" w:eastAsia="Times New Roman" w:hAnsi="Times New Roman" w:cs="Times New Roman"/>
          <w:iCs/>
          <w:szCs w:val="20"/>
          <w:lang w:eastAsia="en-AU"/>
        </w:rPr>
        <w:t xml:space="preserve">. </w:t>
      </w:r>
      <w:r w:rsidR="004315A3">
        <w:rPr>
          <w:rFonts w:ascii="Times New Roman" w:eastAsia="Times New Roman" w:hAnsi="Times New Roman" w:cs="Times New Roman"/>
          <w:iCs/>
          <w:szCs w:val="20"/>
          <w:lang w:eastAsia="en-AU"/>
        </w:rPr>
        <w:t xml:space="preserve">Following ESC, consultation feedback was received from the Children’s Cancer Institute </w:t>
      </w:r>
      <w:r w:rsidR="000619B8">
        <w:rPr>
          <w:rFonts w:ascii="Times New Roman" w:eastAsia="Times New Roman" w:hAnsi="Times New Roman" w:cs="Times New Roman"/>
          <w:iCs/>
          <w:szCs w:val="20"/>
          <w:lang w:eastAsia="en-AU"/>
        </w:rPr>
        <w:t xml:space="preserve">which was supportive of the application. This feedback support </w:t>
      </w:r>
      <w:r w:rsidR="000619B8" w:rsidRPr="000E1BFC">
        <w:rPr>
          <w:rFonts w:ascii="Times New Roman" w:eastAsia="Times New Roman" w:hAnsi="Times New Roman" w:cs="Times New Roman"/>
          <w:color w:val="000000"/>
          <w:szCs w:val="20"/>
          <w:lang w:eastAsia="en-AU"/>
        </w:rPr>
        <w:t>not requiring IHC triage in paediatric patients,</w:t>
      </w:r>
      <w:r w:rsidR="000619B8" w:rsidRPr="000619B8">
        <w:t xml:space="preserve"> </w:t>
      </w:r>
      <w:r w:rsidR="000619B8" w:rsidRPr="000619B8">
        <w:rPr>
          <w:rFonts w:ascii="Times New Roman" w:eastAsia="Times New Roman" w:hAnsi="Times New Roman" w:cs="Times New Roman"/>
          <w:color w:val="000000"/>
          <w:szCs w:val="20"/>
          <w:lang w:eastAsia="en-AU"/>
        </w:rPr>
        <w:t xml:space="preserve">given the rare status of these tumours and the high prevalence of fusion partner genes that are not the more common </w:t>
      </w:r>
      <w:r w:rsidR="000619B8" w:rsidRPr="00E83F15">
        <w:rPr>
          <w:rFonts w:ascii="Times New Roman" w:eastAsia="Times New Roman" w:hAnsi="Times New Roman" w:cs="Times New Roman"/>
          <w:i/>
          <w:iCs/>
          <w:color w:val="000000"/>
          <w:szCs w:val="20"/>
          <w:lang w:eastAsia="en-AU"/>
        </w:rPr>
        <w:t>ETV6-NTRK3</w:t>
      </w:r>
      <w:r w:rsidR="000619B8" w:rsidRPr="000619B8">
        <w:rPr>
          <w:rFonts w:ascii="Times New Roman" w:eastAsia="Times New Roman" w:hAnsi="Times New Roman" w:cs="Times New Roman"/>
          <w:color w:val="000000"/>
          <w:szCs w:val="20"/>
          <w:lang w:eastAsia="en-AU"/>
        </w:rPr>
        <w:t xml:space="preserve"> fusion</w:t>
      </w:r>
      <w:r w:rsidR="00E83F15">
        <w:rPr>
          <w:rFonts w:ascii="Times New Roman" w:eastAsia="Times New Roman" w:hAnsi="Times New Roman" w:cs="Times New Roman"/>
          <w:color w:val="000000"/>
          <w:szCs w:val="20"/>
          <w:lang w:eastAsia="en-AU"/>
        </w:rPr>
        <w:t>, and noted the NGS method be agnostic.</w:t>
      </w:r>
    </w:p>
    <w:p w14:paraId="79FA81C7" w14:textId="006DD88B" w:rsidR="00214D77" w:rsidRPr="00214D77" w:rsidRDefault="00214D77" w:rsidP="00DC5464">
      <w:pPr>
        <w:spacing w:before="24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iCs/>
          <w:szCs w:val="20"/>
          <w:lang w:eastAsia="en-AU"/>
        </w:rPr>
        <w:t xml:space="preserve">For the previous submission, </w:t>
      </w:r>
      <w:r w:rsidRPr="00214D77">
        <w:rPr>
          <w:rFonts w:ascii="Times New Roman" w:eastAsia="Times New Roman" w:hAnsi="Times New Roman" w:cs="Times New Roman"/>
          <w:szCs w:val="20"/>
          <w:lang w:eastAsia="en-AU"/>
        </w:rPr>
        <w:t>consultation feedback was received from one organisation, which</w:t>
      </w:r>
      <w:r w:rsidR="00436059">
        <w:rPr>
          <w:rFonts w:ascii="Times New Roman" w:eastAsia="Times New Roman" w:hAnsi="Times New Roman" w:cs="Times New Roman"/>
          <w:szCs w:val="20"/>
          <w:lang w:eastAsia="en-AU"/>
        </w:rPr>
        <w:t>:</w:t>
      </w:r>
    </w:p>
    <w:p w14:paraId="1A51A203" w14:textId="77777777" w:rsidR="00214D77" w:rsidRPr="00214D77" w:rsidRDefault="00214D77" w:rsidP="00864249">
      <w:pPr>
        <w:numPr>
          <w:ilvl w:val="0"/>
          <w:numId w:val="25"/>
        </w:numPr>
        <w:spacing w:before="0" w:after="0"/>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noted there was potential for substantial number of IHC tests, which may represent a financial burden to pathology providers given the current reimbursement for pan-</w:t>
      </w:r>
      <w:proofErr w:type="spellStart"/>
      <w:r w:rsidRPr="00214D77">
        <w:rPr>
          <w:rFonts w:ascii="Times New Roman" w:eastAsia="Times New Roman" w:hAnsi="Times New Roman" w:cs="Times New Roman"/>
          <w:szCs w:val="20"/>
          <w:lang w:eastAsia="en-AU"/>
        </w:rPr>
        <w:t>Trk</w:t>
      </w:r>
      <w:proofErr w:type="spellEnd"/>
      <w:r w:rsidRPr="00214D77">
        <w:rPr>
          <w:rFonts w:ascii="Times New Roman" w:eastAsia="Times New Roman" w:hAnsi="Times New Roman" w:cs="Times New Roman"/>
          <w:szCs w:val="20"/>
          <w:lang w:eastAsia="en-AU"/>
        </w:rPr>
        <w:t xml:space="preserve"> IHC testing; a potential solution could be a separate MBS item to reflect the increased relative cost of the test and the complexity of pan-</w:t>
      </w:r>
      <w:proofErr w:type="spellStart"/>
      <w:r w:rsidRPr="00214D77">
        <w:rPr>
          <w:rFonts w:ascii="Times New Roman" w:eastAsia="Times New Roman" w:hAnsi="Times New Roman" w:cs="Times New Roman"/>
          <w:szCs w:val="20"/>
          <w:lang w:eastAsia="en-AU"/>
        </w:rPr>
        <w:t>Trk</w:t>
      </w:r>
      <w:proofErr w:type="spellEnd"/>
      <w:r w:rsidRPr="00214D77">
        <w:rPr>
          <w:rFonts w:ascii="Times New Roman" w:eastAsia="Times New Roman" w:hAnsi="Times New Roman" w:cs="Times New Roman"/>
          <w:szCs w:val="20"/>
          <w:lang w:eastAsia="en-AU"/>
        </w:rPr>
        <w:t xml:space="preserve"> IHC testing</w:t>
      </w:r>
    </w:p>
    <w:p w14:paraId="48C10FB3" w14:textId="77777777" w:rsidR="00214D77" w:rsidRPr="00214D77" w:rsidRDefault="00214D77" w:rsidP="00864249">
      <w:pPr>
        <w:numPr>
          <w:ilvl w:val="0"/>
          <w:numId w:val="25"/>
        </w:numPr>
        <w:spacing w:before="0" w:after="0"/>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considered that confirmatory NGS sequencing method should also not be specific to RNA-sequencing (see </w:t>
      </w:r>
      <w:hyperlink r:id="rId13" w:history="1">
        <w:r w:rsidRPr="00214D77">
          <w:rPr>
            <w:rFonts w:ascii="Times New Roman" w:eastAsia="Times New Roman" w:hAnsi="Times New Roman" w:cs="Times New Roman"/>
            <w:color w:val="0000FF"/>
            <w:szCs w:val="20"/>
            <w:u w:val="single"/>
            <w:lang w:eastAsia="en-AU"/>
          </w:rPr>
          <w:t>MSAC application 1602 PSD 2020, p13</w:t>
        </w:r>
      </w:hyperlink>
      <w:r w:rsidRPr="00214D77">
        <w:rPr>
          <w:rFonts w:ascii="Times New Roman" w:eastAsia="Times New Roman" w:hAnsi="Times New Roman" w:cs="Times New Roman"/>
          <w:szCs w:val="20"/>
          <w:lang w:eastAsia="en-AU"/>
        </w:rPr>
        <w:t>).</w:t>
      </w:r>
    </w:p>
    <w:p w14:paraId="681DCF64" w14:textId="105CC2FA" w:rsidR="00214D77" w:rsidRPr="000D274E" w:rsidRDefault="00214D77" w:rsidP="00837F24">
      <w:pPr>
        <w:spacing w:before="240" w:after="0"/>
        <w:jc w:val="left"/>
        <w:rPr>
          <w:rFonts w:ascii="Times New Roman" w:eastAsia="Times New Roman" w:hAnsi="Times New Roman" w:cs="Times New Roman"/>
          <w:b/>
          <w:bCs/>
          <w:iCs/>
          <w:szCs w:val="20"/>
          <w:lang w:eastAsia="en-AU"/>
        </w:rPr>
      </w:pPr>
      <w:r w:rsidRPr="00214D77">
        <w:rPr>
          <w:rFonts w:ascii="Times New Roman" w:eastAsia="Times New Roman" w:hAnsi="Times New Roman" w:cs="Times New Roman"/>
          <w:iCs/>
          <w:szCs w:val="20"/>
          <w:lang w:eastAsia="en-AU"/>
        </w:rPr>
        <w:t xml:space="preserve">PASC </w:t>
      </w:r>
      <w:r w:rsidR="00F5669F">
        <w:rPr>
          <w:rFonts w:ascii="Times New Roman" w:eastAsia="Times New Roman" w:hAnsi="Times New Roman" w:cs="Times New Roman"/>
          <w:iCs/>
          <w:szCs w:val="20"/>
          <w:lang w:eastAsia="en-AU"/>
        </w:rPr>
        <w:t xml:space="preserve">had </w:t>
      </w:r>
      <w:r w:rsidRPr="00214D77">
        <w:rPr>
          <w:rFonts w:ascii="Times New Roman" w:eastAsia="Times New Roman" w:hAnsi="Times New Roman" w:cs="Times New Roman"/>
          <w:iCs/>
          <w:szCs w:val="20"/>
          <w:lang w:eastAsia="en-AU"/>
        </w:rPr>
        <w:t xml:space="preserve">previously noted the letters of support received as part of consultation feedback </w:t>
      </w:r>
      <w:r w:rsidR="00F5669F">
        <w:rPr>
          <w:rFonts w:ascii="Times New Roman" w:eastAsia="Times New Roman" w:hAnsi="Times New Roman" w:cs="Times New Roman"/>
          <w:iCs/>
          <w:szCs w:val="20"/>
          <w:lang w:eastAsia="en-AU"/>
        </w:rPr>
        <w:t xml:space="preserve">to it </w:t>
      </w:r>
      <w:r w:rsidRPr="00214D77">
        <w:rPr>
          <w:rFonts w:ascii="Times New Roman" w:eastAsia="Times New Roman" w:hAnsi="Times New Roman" w:cs="Times New Roman"/>
          <w:iCs/>
          <w:szCs w:val="20"/>
          <w:lang w:eastAsia="en-AU"/>
        </w:rPr>
        <w:t xml:space="preserve">(Ratified </w:t>
      </w:r>
      <w:hyperlink r:id="rId14" w:history="1">
        <w:r w:rsidRPr="00214D77">
          <w:rPr>
            <w:rFonts w:ascii="Times New Roman" w:eastAsia="Times New Roman" w:hAnsi="Times New Roman" w:cs="Times New Roman"/>
            <w:iCs/>
            <w:color w:val="0000FF"/>
            <w:szCs w:val="20"/>
            <w:u w:val="single"/>
            <w:lang w:eastAsia="en-AU"/>
          </w:rPr>
          <w:t xml:space="preserve">PICO </w:t>
        </w:r>
        <w:r w:rsidR="00F5669F" w:rsidRPr="00214D77">
          <w:rPr>
            <w:rFonts w:ascii="Times New Roman" w:eastAsia="Times New Roman" w:hAnsi="Times New Roman" w:cs="Times New Roman"/>
            <w:iCs/>
            <w:color w:val="0000FF"/>
            <w:szCs w:val="20"/>
            <w:u w:val="single"/>
            <w:lang w:eastAsia="en-AU"/>
          </w:rPr>
          <w:t>C</w:t>
        </w:r>
        <w:r w:rsidRPr="00214D77">
          <w:rPr>
            <w:rFonts w:ascii="Times New Roman" w:eastAsia="Times New Roman" w:hAnsi="Times New Roman" w:cs="Times New Roman"/>
            <w:iCs/>
            <w:color w:val="0000FF"/>
            <w:szCs w:val="20"/>
            <w:u w:val="single"/>
            <w:lang w:eastAsia="en-AU"/>
          </w:rPr>
          <w:t>onfirmation 1602, 2020, p22</w:t>
        </w:r>
      </w:hyperlink>
      <w:r w:rsidRPr="00214D77">
        <w:rPr>
          <w:rFonts w:ascii="Times New Roman" w:eastAsia="Times New Roman" w:hAnsi="Times New Roman" w:cs="Times New Roman"/>
          <w:iCs/>
          <w:szCs w:val="20"/>
          <w:lang w:eastAsia="en-AU"/>
        </w:rPr>
        <w:t>).</w:t>
      </w:r>
    </w:p>
    <w:p w14:paraId="48B2C258" w14:textId="6D90376D" w:rsidR="00214D77" w:rsidRPr="00837F24" w:rsidRDefault="00214D77" w:rsidP="00864249">
      <w:pPr>
        <w:pStyle w:val="Heading1"/>
        <w:numPr>
          <w:ilvl w:val="0"/>
          <w:numId w:val="3"/>
        </w:numPr>
        <w:spacing w:before="240" w:after="240" w:line="240" w:lineRule="auto"/>
        <w:ind w:left="720" w:hanging="720"/>
        <w:rPr>
          <w:rFonts w:ascii="Arial" w:hAnsi="Arial" w:cs="Arial"/>
          <w:bCs/>
          <w:lang w:eastAsia="en-AU"/>
        </w:rPr>
      </w:pPr>
      <w:r w:rsidRPr="00837F24">
        <w:rPr>
          <w:rFonts w:ascii="Arial" w:hAnsi="Arial" w:cs="Arial"/>
          <w:bCs/>
          <w:lang w:eastAsia="en-AU"/>
        </w:rPr>
        <w:t>Proposed intervention’s place in clinical management</w:t>
      </w:r>
    </w:p>
    <w:p w14:paraId="0CD6859C" w14:textId="77777777" w:rsidR="00214D77" w:rsidRPr="00214D77" w:rsidRDefault="00214D77" w:rsidP="00214D77">
      <w:pPr>
        <w:spacing w:before="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The resubmission proposed four subpopulations with metastatic or locally advanced (where surgical resection is likely to result in severe morbidity) tumours based on age (adult and paediatric patients) and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 frequency:</w:t>
      </w:r>
    </w:p>
    <w:p w14:paraId="029CCAC8" w14:textId="77777777" w:rsidR="00214D77" w:rsidRPr="00214D77" w:rsidRDefault="00214D77" w:rsidP="00864249">
      <w:pPr>
        <w:numPr>
          <w:ilvl w:val="0"/>
          <w:numId w:val="29"/>
        </w:numPr>
        <w:spacing w:before="0" w:after="0"/>
        <w:ind w:left="357" w:hanging="357"/>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Paediatric patients newly diagnosed with solid tumours with high-frequency </w:t>
      </w:r>
      <w:r w:rsidRPr="00214D77">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gene fusions that are metastatic or locally advanced</w:t>
      </w:r>
    </w:p>
    <w:p w14:paraId="541C0B82" w14:textId="77777777" w:rsidR="00214D77" w:rsidRPr="00214D77" w:rsidRDefault="00214D77" w:rsidP="00864249">
      <w:pPr>
        <w:numPr>
          <w:ilvl w:val="0"/>
          <w:numId w:val="29"/>
        </w:numPr>
        <w:spacing w:before="0" w:after="0"/>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Adult patients newly diagnosed with solid tumours with high-frequency </w:t>
      </w:r>
      <w:r w:rsidRPr="00214D77">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gene fusion cancer types: MASC or SBC that are metastatic or locally advanced</w:t>
      </w:r>
    </w:p>
    <w:p w14:paraId="52F2648D" w14:textId="77777777" w:rsidR="00214D77" w:rsidRPr="00214D77" w:rsidRDefault="00214D77" w:rsidP="00864249">
      <w:pPr>
        <w:numPr>
          <w:ilvl w:val="0"/>
          <w:numId w:val="29"/>
        </w:numPr>
        <w:spacing w:before="0" w:after="0"/>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Paediatric patients newly diagnosed solid tumours with low-frequency </w:t>
      </w:r>
      <w:r w:rsidRPr="00214D77">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gene fusions that are metastatic or locally advanced</w:t>
      </w:r>
    </w:p>
    <w:p w14:paraId="38085C66" w14:textId="274F6239" w:rsidR="00214D77" w:rsidRPr="00214D77" w:rsidRDefault="00214D77" w:rsidP="00864249">
      <w:pPr>
        <w:numPr>
          <w:ilvl w:val="0"/>
          <w:numId w:val="29"/>
        </w:numPr>
        <w:spacing w:before="0" w:after="0"/>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Adult patients with solid tumours with low-frequency </w:t>
      </w:r>
      <w:r w:rsidRPr="00214D77">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gene fusion cancer types: CRC, STS, NSCLC or thyroid cancer that are metastatic or locally advanced and have relapsed/refractory disease with no suitable alternate therapy.</w:t>
      </w:r>
    </w:p>
    <w:p w14:paraId="709F10F9" w14:textId="034C04D0" w:rsidR="00214D77" w:rsidRPr="00214D77" w:rsidRDefault="00214D77" w:rsidP="00837F24">
      <w:pPr>
        <w:spacing w:before="24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lastRenderedPageBreak/>
        <w:t>The proposed paediatric population</w:t>
      </w:r>
      <w:r w:rsidR="00F5669F">
        <w:rPr>
          <w:rFonts w:ascii="Times New Roman" w:eastAsia="Times New Roman" w:hAnsi="Times New Roman" w:cs="Times New Roman"/>
          <w:szCs w:val="20"/>
          <w:lang w:eastAsia="en-AU"/>
        </w:rPr>
        <w:t>s were</w:t>
      </w:r>
      <w:r w:rsidRPr="00214D77">
        <w:rPr>
          <w:rFonts w:ascii="Times New Roman" w:eastAsia="Times New Roman" w:hAnsi="Times New Roman" w:cs="Times New Roman"/>
          <w:szCs w:val="20"/>
          <w:lang w:eastAsia="en-AU"/>
        </w:rPr>
        <w:t xml:space="preserve"> unchanged in the resubmission; however, the adult population</w:t>
      </w:r>
      <w:r w:rsidR="00F5669F">
        <w:rPr>
          <w:rFonts w:ascii="Times New Roman" w:eastAsia="Times New Roman" w:hAnsi="Times New Roman" w:cs="Times New Roman"/>
          <w:szCs w:val="20"/>
          <w:lang w:eastAsia="en-AU"/>
        </w:rPr>
        <w:t>s</w:t>
      </w:r>
      <w:r w:rsidRPr="00214D77">
        <w:rPr>
          <w:rFonts w:ascii="Times New Roman" w:eastAsia="Times New Roman" w:hAnsi="Times New Roman" w:cs="Times New Roman"/>
          <w:szCs w:val="20"/>
          <w:lang w:eastAsia="en-AU"/>
        </w:rPr>
        <w:t xml:space="preserve"> were redefined to only include specific tumour types.</w:t>
      </w:r>
    </w:p>
    <w:p w14:paraId="292A3016" w14:textId="3B9123C3" w:rsidR="00214D77" w:rsidRPr="00214D77" w:rsidRDefault="00214D77" w:rsidP="00837F24">
      <w:pPr>
        <w:spacing w:before="240" w:after="240"/>
        <w:jc w:val="left"/>
        <w:rPr>
          <w:rFonts w:ascii="Times New Roman" w:eastAsia="Calibri" w:hAnsi="Times New Roman" w:cs="Times New Roman"/>
          <w:i/>
        </w:rPr>
      </w:pPr>
      <w:r w:rsidRPr="00214D77">
        <w:rPr>
          <w:rFonts w:ascii="Times New Roman" w:eastAsia="Times New Roman" w:hAnsi="Times New Roman" w:cs="Times New Roman"/>
          <w:szCs w:val="20"/>
          <w:lang w:eastAsia="en-AU"/>
        </w:rPr>
        <w:t xml:space="preserve">For paediatric and adult patients with high frequency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 cancer types and paediatric patients with low frequency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 cancer types, the proposed clinical management algorithms </w:t>
      </w:r>
      <w:r w:rsidR="00F5669F">
        <w:rPr>
          <w:rFonts w:ascii="Times New Roman" w:eastAsia="Times New Roman" w:hAnsi="Times New Roman" w:cs="Times New Roman"/>
          <w:szCs w:val="20"/>
          <w:lang w:eastAsia="en-AU"/>
        </w:rPr>
        <w:t>we</w:t>
      </w:r>
      <w:r w:rsidRPr="00214D77">
        <w:rPr>
          <w:rFonts w:ascii="Times New Roman" w:eastAsia="Times New Roman" w:hAnsi="Times New Roman" w:cs="Times New Roman"/>
          <w:szCs w:val="20"/>
          <w:lang w:eastAsia="en-AU"/>
        </w:rPr>
        <w:t>re unchanged from the previous submission.</w:t>
      </w:r>
      <w:r w:rsidR="00F5669F">
        <w:rPr>
          <w:rFonts w:ascii="Times New Roman" w:eastAsia="Times New Roman" w:hAnsi="Times New Roman" w:cs="Times New Roman"/>
          <w:szCs w:val="20"/>
          <w:lang w:eastAsia="en-AU"/>
        </w:rPr>
        <w:t xml:space="preserve"> </w:t>
      </w:r>
      <w:r w:rsidRPr="00214D77">
        <w:rPr>
          <w:rFonts w:ascii="Times New Roman" w:eastAsia="Calibri" w:hAnsi="Times New Roman" w:cs="Times New Roman"/>
          <w:iCs/>
        </w:rPr>
        <w:t xml:space="preserve">The proposed clinical management algorithm for adults with low frequency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 cancer types: CRC, NSCLC, STS or thyroid cancer </w:t>
      </w:r>
      <w:r w:rsidR="00F5669F">
        <w:rPr>
          <w:rFonts w:ascii="Times New Roman" w:eastAsia="Calibri" w:hAnsi="Times New Roman" w:cs="Times New Roman"/>
          <w:iCs/>
        </w:rPr>
        <w:t>was</w:t>
      </w:r>
      <w:r w:rsidRPr="00214D77">
        <w:rPr>
          <w:rFonts w:ascii="Times New Roman" w:eastAsia="Calibri" w:hAnsi="Times New Roman" w:cs="Times New Roman"/>
          <w:iCs/>
        </w:rPr>
        <w:t xml:space="preserve"> changed in the resubmission</w:t>
      </w:r>
      <w:r w:rsidR="00F5669F">
        <w:rPr>
          <w:rFonts w:ascii="Times New Roman" w:eastAsia="Calibri" w:hAnsi="Times New Roman" w:cs="Times New Roman"/>
          <w:iCs/>
        </w:rPr>
        <w:t>, primarily to delay</w:t>
      </w:r>
      <w:r w:rsidRPr="00214D77">
        <w:rPr>
          <w:rFonts w:ascii="Times New Roman" w:eastAsia="Calibri" w:hAnsi="Times New Roman" w:cs="Times New Roman"/>
        </w:rPr>
        <w:t xml:space="preserve"> testing until patients have relapsed/refractory disease with no satisfactory alternate therapy.</w:t>
      </w:r>
    </w:p>
    <w:p w14:paraId="28B58BD1" w14:textId="3DFE7604" w:rsidR="00214D77" w:rsidRPr="000D274E" w:rsidRDefault="00214D77" w:rsidP="000D274E">
      <w:pPr>
        <w:spacing w:before="0" w:after="240"/>
        <w:jc w:val="left"/>
        <w:rPr>
          <w:rFonts w:ascii="Times New Roman" w:eastAsia="Calibri" w:hAnsi="Times New Roman" w:cs="Times New Roman"/>
          <w:iCs/>
        </w:rPr>
      </w:pPr>
      <w:r w:rsidRPr="00214D77">
        <w:rPr>
          <w:rFonts w:ascii="Times New Roman" w:eastAsia="Calibri" w:hAnsi="Times New Roman" w:cs="Times New Roman"/>
          <w:iCs/>
        </w:rPr>
        <w:t>The proposed clinical management algorithms in the resubmission also indicate</w:t>
      </w:r>
      <w:r w:rsidR="00F5669F">
        <w:rPr>
          <w:rFonts w:ascii="Times New Roman" w:eastAsia="Calibri" w:hAnsi="Times New Roman" w:cs="Times New Roman"/>
          <w:iCs/>
        </w:rPr>
        <w:t>d</w:t>
      </w:r>
      <w:r w:rsidRPr="00214D77">
        <w:rPr>
          <w:rFonts w:ascii="Times New Roman" w:eastAsia="Calibri" w:hAnsi="Times New Roman" w:cs="Times New Roman"/>
          <w:iCs/>
        </w:rPr>
        <w:t xml:space="preserve"> that treatment with larotrectinib only occurs once patients have failed multiple-line treatment options until no suitable options remain.</w:t>
      </w:r>
      <w:r w:rsidR="00F5669F">
        <w:rPr>
          <w:rFonts w:ascii="Times New Roman" w:eastAsia="Calibri" w:hAnsi="Times New Roman" w:cs="Times New Roman"/>
          <w:iCs/>
        </w:rPr>
        <w:t xml:space="preserve"> </w:t>
      </w:r>
      <w:r w:rsidRPr="00214D77">
        <w:rPr>
          <w:rFonts w:ascii="Times New Roman" w:eastAsia="Calibri" w:hAnsi="Times New Roman" w:cs="Times New Roman"/>
          <w:iCs/>
        </w:rPr>
        <w:t>The commentary considered that the term ‘no suitable alternate therapy available’ could be misinterpreted to mean that treatment with larotrectinib is considered more “suitable” than a standard of care (SoC) chemotherapy regimen. It would be clearer as pertaining to last line treatment if it was worded as ‘having failed or been contraindicated to all other treatment options’.</w:t>
      </w:r>
    </w:p>
    <w:p w14:paraId="537599A2" w14:textId="5304D1B4" w:rsidR="00214D77" w:rsidRPr="0028467B" w:rsidRDefault="00214D77" w:rsidP="00864249">
      <w:pPr>
        <w:pStyle w:val="Heading1"/>
        <w:numPr>
          <w:ilvl w:val="0"/>
          <w:numId w:val="3"/>
        </w:numPr>
        <w:spacing w:before="240" w:after="240" w:line="240" w:lineRule="auto"/>
        <w:ind w:left="720" w:hanging="720"/>
        <w:rPr>
          <w:rFonts w:ascii="Arial" w:hAnsi="Arial" w:cs="Arial"/>
          <w:bCs/>
          <w:lang w:eastAsia="en-AU"/>
        </w:rPr>
      </w:pPr>
      <w:r w:rsidRPr="0028467B">
        <w:rPr>
          <w:rFonts w:ascii="Arial" w:hAnsi="Arial" w:cs="Arial"/>
          <w:bCs/>
          <w:lang w:eastAsia="en-AU"/>
        </w:rPr>
        <w:t>Comparator</w:t>
      </w:r>
    </w:p>
    <w:p w14:paraId="7A5ABCB8" w14:textId="32FFE862" w:rsidR="00214D77" w:rsidRPr="000D274E" w:rsidRDefault="00214D77" w:rsidP="000D274E">
      <w:pPr>
        <w:keepNext/>
        <w:keepLines/>
        <w:spacing w:before="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The nominated comparator to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 testing </w:t>
      </w:r>
      <w:r w:rsidR="00F5669F">
        <w:rPr>
          <w:rFonts w:ascii="Times New Roman" w:eastAsia="Times New Roman" w:hAnsi="Times New Roman" w:cs="Times New Roman"/>
          <w:szCs w:val="20"/>
          <w:lang w:eastAsia="en-AU"/>
        </w:rPr>
        <w:t>wa</w:t>
      </w:r>
      <w:r w:rsidRPr="00214D77">
        <w:rPr>
          <w:rFonts w:ascii="Times New Roman" w:eastAsia="Times New Roman" w:hAnsi="Times New Roman" w:cs="Times New Roman"/>
          <w:szCs w:val="20"/>
          <w:lang w:eastAsia="en-AU"/>
        </w:rPr>
        <w:t xml:space="preserve">s “no testing” for all adult and paediatric advanced stage cancer patients. This </w:t>
      </w:r>
      <w:r w:rsidR="00F5669F">
        <w:rPr>
          <w:rFonts w:ascii="Times New Roman" w:eastAsia="Times New Roman" w:hAnsi="Times New Roman" w:cs="Times New Roman"/>
          <w:szCs w:val="20"/>
          <w:lang w:eastAsia="en-AU"/>
        </w:rPr>
        <w:t>wa</w:t>
      </w:r>
      <w:r w:rsidRPr="00214D77">
        <w:rPr>
          <w:rFonts w:ascii="Times New Roman" w:eastAsia="Times New Roman" w:hAnsi="Times New Roman" w:cs="Times New Roman"/>
          <w:szCs w:val="20"/>
          <w:lang w:eastAsia="en-AU"/>
        </w:rPr>
        <w:t>s unchanged from the original submission.</w:t>
      </w:r>
    </w:p>
    <w:p w14:paraId="513FFA2D" w14:textId="43FAB25E" w:rsidR="00214D77" w:rsidRPr="0028467B" w:rsidRDefault="00214D77" w:rsidP="00864249">
      <w:pPr>
        <w:pStyle w:val="Heading1"/>
        <w:numPr>
          <w:ilvl w:val="0"/>
          <w:numId w:val="3"/>
        </w:numPr>
        <w:spacing w:before="240" w:after="240" w:line="240" w:lineRule="auto"/>
        <w:ind w:left="720" w:hanging="720"/>
        <w:rPr>
          <w:rFonts w:ascii="Arial" w:hAnsi="Arial" w:cs="Arial"/>
          <w:bCs/>
          <w:lang w:eastAsia="en-AU"/>
        </w:rPr>
      </w:pPr>
      <w:r w:rsidRPr="0028467B">
        <w:rPr>
          <w:rFonts w:ascii="Arial" w:hAnsi="Arial" w:cs="Arial"/>
          <w:bCs/>
          <w:lang w:eastAsia="en-AU"/>
        </w:rPr>
        <w:t>Comparative safety</w:t>
      </w:r>
    </w:p>
    <w:p w14:paraId="1E6D7581" w14:textId="77777777" w:rsidR="00214D77" w:rsidRPr="00214D77" w:rsidRDefault="00214D77" w:rsidP="000D274E">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Adverse events from testing</w:t>
      </w:r>
    </w:p>
    <w:p w14:paraId="68419194" w14:textId="77777777" w:rsidR="00214D77" w:rsidRPr="00214D77" w:rsidRDefault="00214D77" w:rsidP="000D274E">
      <w:pPr>
        <w:spacing w:before="0" w:after="240"/>
        <w:jc w:val="left"/>
        <w:rPr>
          <w:rFonts w:ascii="Times New Roman" w:eastAsia="Calibri" w:hAnsi="Times New Roman" w:cs="Times New Roman"/>
        </w:rPr>
      </w:pPr>
      <w:r w:rsidRPr="00214D77">
        <w:rPr>
          <w:rFonts w:ascii="Times New Roman" w:eastAsia="Calibri" w:hAnsi="Times New Roman" w:cs="Times New Roman"/>
        </w:rPr>
        <w:t>No new evidence was provided for this section.</w:t>
      </w:r>
    </w:p>
    <w:p w14:paraId="367AD20D" w14:textId="77777777" w:rsidR="00214D77" w:rsidRPr="00214D77" w:rsidRDefault="00214D77" w:rsidP="000D274E">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Adverse events from changes in management</w:t>
      </w:r>
    </w:p>
    <w:p w14:paraId="4440589B" w14:textId="1E82CFCB" w:rsidR="00214D77" w:rsidRPr="000D274E" w:rsidRDefault="00214D77" w:rsidP="00214D77">
      <w:pPr>
        <w:spacing w:before="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The key issues related to comparative safety have not changed from the previous submission.</w:t>
      </w:r>
    </w:p>
    <w:p w14:paraId="0EF6BE42" w14:textId="77765333" w:rsidR="00214D77" w:rsidRPr="0028467B" w:rsidRDefault="00214D77" w:rsidP="00864249">
      <w:pPr>
        <w:pStyle w:val="Heading1"/>
        <w:numPr>
          <w:ilvl w:val="0"/>
          <w:numId w:val="3"/>
        </w:numPr>
        <w:spacing w:before="240" w:after="240" w:line="240" w:lineRule="auto"/>
        <w:ind w:left="720" w:hanging="720"/>
        <w:rPr>
          <w:rFonts w:ascii="Arial" w:hAnsi="Arial" w:cs="Arial"/>
          <w:bCs/>
          <w:lang w:eastAsia="en-AU"/>
        </w:rPr>
      </w:pPr>
      <w:r w:rsidRPr="0028467B">
        <w:rPr>
          <w:rFonts w:ascii="Arial" w:hAnsi="Arial" w:cs="Arial"/>
          <w:bCs/>
          <w:lang w:eastAsia="en-AU"/>
        </w:rPr>
        <w:t>Comparative effectiveness</w:t>
      </w:r>
    </w:p>
    <w:p w14:paraId="2AEDB2BC" w14:textId="77777777" w:rsidR="00214D77" w:rsidRPr="00214D77" w:rsidRDefault="00214D77" w:rsidP="000D274E">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Overview of the evidence base</w:t>
      </w:r>
    </w:p>
    <w:p w14:paraId="7BEE9815" w14:textId="5F6A7F0A" w:rsidR="00214D77" w:rsidRPr="00214D77" w:rsidRDefault="00214D77" w:rsidP="00214D77">
      <w:pPr>
        <w:spacing w:before="0" w:after="24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Consistent with the previous submission, the approach taken in the resubmission was to present evidence that has been linked to support the contention that the targeting of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gene fusions with larotrectinib will improve patient outcomes (Table 4). </w:t>
      </w:r>
      <w:r w:rsidRPr="00214D77">
        <w:rPr>
          <w:rFonts w:ascii="Times New Roman" w:eastAsia="Times New Roman" w:hAnsi="Times New Roman" w:cs="Times New Roman"/>
          <w:iCs/>
          <w:szCs w:val="20"/>
          <w:lang w:eastAsia="en-AU"/>
        </w:rPr>
        <w:t xml:space="preserve">New literature searches identified additional studies and two new drug comparators were added </w:t>
      </w:r>
      <w:r w:rsidR="00CF178C">
        <w:rPr>
          <w:rFonts w:ascii="Times New Roman" w:eastAsia="Times New Roman" w:hAnsi="Times New Roman" w:cs="Times New Roman"/>
          <w:iCs/>
          <w:szCs w:val="20"/>
          <w:lang w:eastAsia="en-AU"/>
        </w:rPr>
        <w:t xml:space="preserve">for </w:t>
      </w:r>
      <w:r w:rsidR="00CF178C" w:rsidRPr="00214D77">
        <w:rPr>
          <w:rFonts w:ascii="Times New Roman" w:eastAsia="Calibri" w:hAnsi="Times New Roman" w:cs="Times New Roman"/>
          <w:iCs/>
        </w:rPr>
        <w:t xml:space="preserve">adults with low frequency </w:t>
      </w:r>
      <w:r w:rsidR="00CF178C" w:rsidRPr="00214D77">
        <w:rPr>
          <w:rFonts w:ascii="Times New Roman" w:eastAsia="Calibri" w:hAnsi="Times New Roman" w:cs="Times New Roman"/>
          <w:i/>
        </w:rPr>
        <w:t>NTRK</w:t>
      </w:r>
      <w:r w:rsidR="00CF178C" w:rsidRPr="00214D77">
        <w:rPr>
          <w:rFonts w:ascii="Times New Roman" w:eastAsia="Calibri" w:hAnsi="Times New Roman" w:cs="Times New Roman"/>
          <w:iCs/>
        </w:rPr>
        <w:t xml:space="preserve"> fusion cancer types</w:t>
      </w:r>
      <w:r w:rsidRPr="00214D77">
        <w:rPr>
          <w:rFonts w:ascii="Times New Roman" w:eastAsia="Times New Roman" w:hAnsi="Times New Roman" w:cs="Times New Roman"/>
          <w:i/>
          <w:szCs w:val="20"/>
          <w:lang w:eastAsia="en-AU"/>
        </w:rPr>
        <w:t>.</w:t>
      </w:r>
    </w:p>
    <w:p w14:paraId="0B4D49E7" w14:textId="13989E1E" w:rsidR="00214D77" w:rsidRPr="00214D77" w:rsidRDefault="00214D77" w:rsidP="0009334C">
      <w:pPr>
        <w:keepNext/>
        <w:keepLines/>
        <w:spacing w:before="0" w:after="40"/>
        <w:outlineLvl w:val="4"/>
        <w:rPr>
          <w:rFonts w:ascii="Arial Narrow" w:eastAsia="Times New Roman" w:hAnsi="Arial Narrow" w:cs="Arial"/>
          <w:b/>
          <w:bCs/>
          <w:iCs/>
          <w:sz w:val="20"/>
          <w:szCs w:val="20"/>
        </w:rPr>
      </w:pPr>
      <w:r w:rsidRPr="00214D77">
        <w:rPr>
          <w:rFonts w:ascii="Arial Narrow" w:eastAsia="Times New Roman" w:hAnsi="Arial Narrow" w:cs="Arial"/>
          <w:b/>
          <w:bCs/>
          <w:iCs/>
          <w:sz w:val="20"/>
          <w:szCs w:val="20"/>
        </w:rPr>
        <w:lastRenderedPageBreak/>
        <w:t>Table 4</w:t>
      </w:r>
      <w:r w:rsidRPr="00214D77">
        <w:rPr>
          <w:rFonts w:ascii="Arial Narrow" w:eastAsia="Times New Roman" w:hAnsi="Arial Narrow" w:cs="Arial"/>
          <w:b/>
          <w:bCs/>
          <w:iCs/>
          <w:sz w:val="20"/>
          <w:szCs w:val="20"/>
        </w:rPr>
        <w:tab/>
        <w:t>Summary of the linked evidence approach</w:t>
      </w:r>
    </w:p>
    <w:tbl>
      <w:tblPr>
        <w:tblStyle w:val="HTATableshaded"/>
        <w:tblW w:w="5000" w:type="pct"/>
        <w:tblLook w:val="04A0" w:firstRow="1" w:lastRow="0" w:firstColumn="1" w:lastColumn="0" w:noHBand="0" w:noVBand="1"/>
        <w:tblCaption w:val="Table 4 Summary of the linked evidence approach"/>
        <w:tblDescription w:val="Summary of evidence approach"/>
      </w:tblPr>
      <w:tblGrid>
        <w:gridCol w:w="1413"/>
        <w:gridCol w:w="3401"/>
        <w:gridCol w:w="2411"/>
        <w:gridCol w:w="1791"/>
      </w:tblGrid>
      <w:tr w:rsidR="00214D77" w:rsidRPr="00214D77" w14:paraId="4D099174" w14:textId="77777777" w:rsidTr="00214D77">
        <w:trPr>
          <w:cnfStyle w:val="100000000000" w:firstRow="1" w:lastRow="0" w:firstColumn="0" w:lastColumn="0" w:oddVBand="0" w:evenVBand="0" w:oddHBand="0" w:evenHBand="0" w:firstRowFirstColumn="0" w:firstRowLastColumn="0" w:lastRowFirstColumn="0" w:lastRowLastColumn="0"/>
          <w:tblHeader/>
        </w:trPr>
        <w:tc>
          <w:tcPr>
            <w:tcW w:w="784" w:type="pct"/>
            <w:vAlign w:val="bottom"/>
          </w:tcPr>
          <w:p w14:paraId="2F18E887" w14:textId="77777777" w:rsidR="00214D77" w:rsidRPr="00214D77" w:rsidRDefault="00214D77" w:rsidP="0009334C">
            <w:pPr>
              <w:keepNext/>
              <w:keepLines/>
              <w:widowControl w:val="0"/>
              <w:spacing w:before="40" w:after="40" w:line="256" w:lineRule="auto"/>
              <w:jc w:val="center"/>
              <w:rPr>
                <w:rFonts w:ascii="Arial Narrow" w:eastAsia="Calibri" w:hAnsi="Arial Narrow"/>
                <w:b/>
                <w:sz w:val="20"/>
              </w:rPr>
            </w:pPr>
          </w:p>
        </w:tc>
        <w:tc>
          <w:tcPr>
            <w:tcW w:w="1886" w:type="pct"/>
            <w:vAlign w:val="bottom"/>
            <w:hideMark/>
          </w:tcPr>
          <w:p w14:paraId="699D5310" w14:textId="77777777" w:rsidR="00214D77" w:rsidRPr="00214D77" w:rsidRDefault="00214D77" w:rsidP="0009334C">
            <w:pPr>
              <w:keepNext/>
              <w:keepLines/>
              <w:widowControl w:val="0"/>
              <w:spacing w:before="40" w:after="40" w:line="256" w:lineRule="auto"/>
              <w:jc w:val="left"/>
              <w:rPr>
                <w:rFonts w:ascii="Arial Narrow" w:eastAsia="Calibri" w:hAnsi="Arial Narrow"/>
                <w:b/>
                <w:sz w:val="20"/>
              </w:rPr>
            </w:pPr>
            <w:r w:rsidRPr="00214D77">
              <w:rPr>
                <w:rFonts w:ascii="Arial Narrow" w:eastAsia="Calibri" w:hAnsi="Arial Narrow"/>
                <w:b/>
                <w:sz w:val="20"/>
              </w:rPr>
              <w:t>Type of evidence supplied</w:t>
            </w:r>
          </w:p>
        </w:tc>
        <w:tc>
          <w:tcPr>
            <w:tcW w:w="1337" w:type="pct"/>
            <w:vAlign w:val="bottom"/>
            <w:hideMark/>
          </w:tcPr>
          <w:p w14:paraId="53888CB7" w14:textId="77777777" w:rsidR="00214D77" w:rsidRPr="00214D77" w:rsidRDefault="00214D77" w:rsidP="0009334C">
            <w:pPr>
              <w:keepNext/>
              <w:keepLines/>
              <w:widowControl w:val="0"/>
              <w:spacing w:before="40" w:after="40" w:line="256" w:lineRule="auto"/>
              <w:jc w:val="left"/>
              <w:rPr>
                <w:rFonts w:ascii="Arial Narrow" w:eastAsia="Calibri" w:hAnsi="Arial Narrow"/>
                <w:b/>
                <w:sz w:val="20"/>
              </w:rPr>
            </w:pPr>
            <w:r w:rsidRPr="00214D77">
              <w:rPr>
                <w:rFonts w:ascii="Arial Narrow" w:eastAsia="Calibri" w:hAnsi="Arial Narrow"/>
                <w:b/>
                <w:sz w:val="20"/>
              </w:rPr>
              <w:t>Extent of evidence supplied</w:t>
            </w:r>
          </w:p>
        </w:tc>
        <w:tc>
          <w:tcPr>
            <w:tcW w:w="993" w:type="pct"/>
            <w:vAlign w:val="bottom"/>
            <w:hideMark/>
          </w:tcPr>
          <w:p w14:paraId="388B24A5" w14:textId="77777777" w:rsidR="00214D77" w:rsidRPr="00214D77" w:rsidRDefault="00214D77" w:rsidP="0009334C">
            <w:pPr>
              <w:keepNext/>
              <w:keepLines/>
              <w:widowControl w:val="0"/>
              <w:spacing w:before="40" w:after="40" w:line="256" w:lineRule="auto"/>
              <w:jc w:val="left"/>
              <w:rPr>
                <w:rFonts w:ascii="Arial Narrow" w:eastAsia="Calibri" w:hAnsi="Arial Narrow"/>
                <w:b/>
                <w:sz w:val="20"/>
              </w:rPr>
            </w:pPr>
            <w:r w:rsidRPr="00214D77">
              <w:rPr>
                <w:rFonts w:ascii="Arial Narrow" w:eastAsia="Calibri" w:hAnsi="Arial Narrow"/>
                <w:b/>
                <w:sz w:val="20"/>
              </w:rPr>
              <w:t>Overall risk of bias in clinical trials</w:t>
            </w:r>
          </w:p>
        </w:tc>
      </w:tr>
      <w:tr w:rsidR="00214D77" w:rsidRPr="00214D77" w14:paraId="0D61C784" w14:textId="77777777" w:rsidTr="00214D77">
        <w:tc>
          <w:tcPr>
            <w:tcW w:w="784" w:type="pct"/>
            <w:tcBorders>
              <w:top w:val="single" w:sz="4" w:space="0" w:color="auto"/>
              <w:left w:val="single" w:sz="4" w:space="0" w:color="auto"/>
              <w:bottom w:val="single" w:sz="4" w:space="0" w:color="auto"/>
              <w:right w:val="single" w:sz="4" w:space="0" w:color="auto"/>
            </w:tcBorders>
            <w:hideMark/>
          </w:tcPr>
          <w:p w14:paraId="031DDBDF"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Accuracy and performance of the test (analytical validity)</w:t>
            </w:r>
          </w:p>
        </w:tc>
        <w:tc>
          <w:tcPr>
            <w:tcW w:w="1886" w:type="pct"/>
            <w:tcBorders>
              <w:top w:val="single" w:sz="4" w:space="0" w:color="auto"/>
              <w:left w:val="single" w:sz="4" w:space="0" w:color="auto"/>
              <w:bottom w:val="single" w:sz="4" w:space="0" w:color="auto"/>
              <w:right w:val="single" w:sz="4" w:space="0" w:color="auto"/>
            </w:tcBorders>
            <w:hideMark/>
          </w:tcPr>
          <w:p w14:paraId="2B88AD7D" w14:textId="77777777" w:rsidR="00214D77" w:rsidRPr="00214D77" w:rsidRDefault="00214D77" w:rsidP="0009334C">
            <w:pPr>
              <w:keepNext/>
              <w:keepLines/>
              <w:widowControl w:val="0"/>
              <w:spacing w:before="40" w:after="40"/>
              <w:jc w:val="left"/>
              <w:rPr>
                <w:rFonts w:ascii="Arial Narrow" w:eastAsia="Calibri" w:hAnsi="Arial Narrow"/>
                <w:sz w:val="20"/>
              </w:rPr>
            </w:pPr>
            <w:r w:rsidRPr="00214D77">
              <w:rPr>
                <w:rFonts w:ascii="Arial Narrow" w:eastAsia="Calibri" w:hAnsi="Arial Narrow"/>
                <w:sz w:val="20"/>
              </w:rPr>
              <w:t>DNA- vs RNA-NGS: 4 comparative studies</w:t>
            </w:r>
          </w:p>
          <w:p w14:paraId="35746616" w14:textId="77777777" w:rsidR="00214D77" w:rsidRPr="00214D77" w:rsidRDefault="00214D77" w:rsidP="0009334C">
            <w:pPr>
              <w:keepNext/>
              <w:keepLines/>
              <w:widowControl w:val="0"/>
              <w:spacing w:before="40" w:after="40"/>
              <w:jc w:val="left"/>
              <w:rPr>
                <w:rFonts w:ascii="Arial Narrow" w:eastAsia="Calibri" w:hAnsi="Arial Narrow"/>
                <w:sz w:val="20"/>
              </w:rPr>
            </w:pPr>
            <w:r w:rsidRPr="00214D77">
              <w:rPr>
                <w:rFonts w:ascii="Arial Narrow" w:eastAsia="Calibri" w:hAnsi="Arial Narrow"/>
                <w:sz w:val="20"/>
              </w:rPr>
              <w:t>FISH vs RNA-NGS: 1 comparative study</w:t>
            </w:r>
          </w:p>
          <w:p w14:paraId="4D7D2405" w14:textId="77777777" w:rsidR="00214D77" w:rsidRPr="00214D77" w:rsidRDefault="00214D77" w:rsidP="0009334C">
            <w:pPr>
              <w:keepNext/>
              <w:keepLines/>
              <w:widowControl w:val="0"/>
              <w:tabs>
                <w:tab w:val="left" w:pos="1413"/>
              </w:tabs>
              <w:spacing w:before="40" w:after="40"/>
              <w:jc w:val="left"/>
              <w:rPr>
                <w:rFonts w:ascii="Arial Narrow" w:eastAsia="Calibri" w:hAnsi="Arial Narrow"/>
                <w:sz w:val="20"/>
              </w:rPr>
            </w:pPr>
            <w:r w:rsidRPr="00214D77">
              <w:rPr>
                <w:rFonts w:ascii="Arial Narrow" w:eastAsia="Calibri" w:hAnsi="Arial Narrow"/>
                <w:sz w:val="20"/>
              </w:rPr>
              <w:t>IHC vs FISH: 2 comparative studies</w:t>
            </w:r>
          </w:p>
          <w:p w14:paraId="54DBBF56" w14:textId="77777777" w:rsidR="00214D77" w:rsidRPr="00214D77" w:rsidRDefault="00214D77" w:rsidP="0009334C">
            <w:pPr>
              <w:keepNext/>
              <w:keepLines/>
              <w:widowControl w:val="0"/>
              <w:tabs>
                <w:tab w:val="left" w:pos="1413"/>
              </w:tabs>
              <w:spacing w:before="40" w:after="40"/>
              <w:jc w:val="left"/>
              <w:rPr>
                <w:rFonts w:ascii="Arial Narrow" w:eastAsia="Calibri" w:hAnsi="Arial Narrow"/>
                <w:sz w:val="20"/>
              </w:rPr>
            </w:pPr>
            <w:r w:rsidRPr="00214D77">
              <w:rPr>
                <w:rFonts w:ascii="Arial Narrow" w:eastAsia="Calibri" w:hAnsi="Arial Narrow"/>
                <w:sz w:val="20"/>
              </w:rPr>
              <w:t>IHC vs RNA-NGS: 3 comparative studies</w:t>
            </w:r>
            <w:r w:rsidRPr="00214D77">
              <w:rPr>
                <w:rFonts w:ascii="Arial Narrow" w:eastAsia="Calibri" w:hAnsi="Arial Narrow"/>
                <w:sz w:val="20"/>
              </w:rPr>
              <w:br/>
            </w:r>
            <w:r w:rsidRPr="00214D77">
              <w:rPr>
                <w:rFonts w:ascii="Arial Narrow" w:eastAsia="Calibri" w:hAnsi="Arial Narrow"/>
                <w:sz w:val="20"/>
              </w:rPr>
              <w:tab/>
              <w:t>2 case-control studies</w:t>
            </w:r>
          </w:p>
          <w:p w14:paraId="0D483930" w14:textId="77777777" w:rsidR="00214D77" w:rsidRPr="00214D77" w:rsidRDefault="00214D77" w:rsidP="0009334C">
            <w:pPr>
              <w:keepNext/>
              <w:keepLines/>
              <w:widowControl w:val="0"/>
              <w:spacing w:before="40" w:after="40"/>
              <w:jc w:val="left"/>
              <w:rPr>
                <w:rFonts w:ascii="Arial Narrow" w:eastAsia="Calibri" w:hAnsi="Arial Narrow"/>
                <w:sz w:val="20"/>
              </w:rPr>
            </w:pPr>
            <w:r w:rsidRPr="00214D77">
              <w:rPr>
                <w:rFonts w:ascii="Arial Narrow" w:eastAsia="Calibri" w:hAnsi="Arial Narrow"/>
                <w:sz w:val="20"/>
              </w:rPr>
              <w:t>IHC vs DNA-NGS: 1 case-control study</w:t>
            </w:r>
          </w:p>
          <w:p w14:paraId="26C68BFA" w14:textId="77777777" w:rsidR="00214D77" w:rsidRPr="00214D77" w:rsidRDefault="00214D77" w:rsidP="0009334C">
            <w:pPr>
              <w:keepNext/>
              <w:keepLines/>
              <w:widowControl w:val="0"/>
              <w:spacing w:before="40" w:after="40"/>
              <w:jc w:val="left"/>
              <w:rPr>
                <w:rFonts w:ascii="Arial Narrow" w:eastAsia="Calibri" w:hAnsi="Arial Narrow"/>
                <w:sz w:val="20"/>
              </w:rPr>
            </w:pPr>
            <w:r w:rsidRPr="00214D77">
              <w:rPr>
                <w:rFonts w:ascii="Arial Narrow" w:eastAsia="Calibri" w:hAnsi="Arial Narrow"/>
                <w:sz w:val="20"/>
              </w:rPr>
              <w:t>IHC positive vs RNA-NGS or FISH: 6 cohort studies</w:t>
            </w:r>
          </w:p>
        </w:tc>
        <w:tc>
          <w:tcPr>
            <w:tcW w:w="1337" w:type="pct"/>
            <w:tcBorders>
              <w:top w:val="single" w:sz="4" w:space="0" w:color="auto"/>
              <w:left w:val="single" w:sz="4" w:space="0" w:color="auto"/>
              <w:bottom w:val="single" w:sz="4" w:space="0" w:color="auto"/>
              <w:right w:val="single" w:sz="4" w:space="0" w:color="auto"/>
            </w:tcBorders>
            <w:hideMark/>
          </w:tcPr>
          <w:p w14:paraId="29F4CFBC" w14:textId="77777777" w:rsidR="00214D77" w:rsidRPr="00214D77" w:rsidRDefault="00214D77" w:rsidP="0009334C">
            <w:pPr>
              <w:keepNext/>
              <w:keepLines/>
              <w:widowControl w:val="0"/>
              <w:tabs>
                <w:tab w:val="left" w:pos="492"/>
                <w:tab w:val="left" w:pos="1168"/>
              </w:tabs>
              <w:spacing w:before="40" w:after="0"/>
              <w:ind w:right="-57"/>
              <w:jc w:val="left"/>
              <w:rPr>
                <w:rFonts w:ascii="Arial Narrow" w:eastAsia="Calibri" w:hAnsi="Arial Narrow"/>
                <w:sz w:val="20"/>
              </w:rPr>
            </w:pPr>
            <w:r w:rsidRPr="00214D77">
              <w:rPr>
                <w:rFonts w:ascii="Segoe UI Symbol" w:eastAsia="Calibri" w:hAnsi="Segoe UI Symbol" w:cs="Segoe UI Symbol"/>
                <w:sz w:val="20"/>
              </w:rPr>
              <w:t>☒</w:t>
            </w:r>
            <w:r w:rsidRPr="00214D77">
              <w:rPr>
                <w:rFonts w:ascii="Arial Narrow" w:eastAsia="Calibri" w:hAnsi="Arial Narrow"/>
                <w:sz w:val="20"/>
              </w:rPr>
              <w:tab/>
              <w:t>k=4;</w:t>
            </w:r>
            <w:r w:rsidRPr="00214D77">
              <w:rPr>
                <w:rFonts w:ascii="Arial Narrow" w:eastAsia="Calibri" w:hAnsi="Arial Narrow"/>
                <w:sz w:val="20"/>
              </w:rPr>
              <w:tab/>
              <w:t>n=34,807</w:t>
            </w:r>
          </w:p>
          <w:p w14:paraId="2FD237F0" w14:textId="77777777" w:rsidR="00214D77" w:rsidRPr="00214D77" w:rsidRDefault="00214D77" w:rsidP="0009334C">
            <w:pPr>
              <w:keepNext/>
              <w:keepLines/>
              <w:widowControl w:val="0"/>
              <w:tabs>
                <w:tab w:val="left" w:pos="492"/>
                <w:tab w:val="left" w:pos="1168"/>
              </w:tabs>
              <w:spacing w:before="0" w:after="0"/>
              <w:ind w:right="-57"/>
              <w:jc w:val="left"/>
              <w:rPr>
                <w:rFonts w:ascii="Arial Narrow" w:eastAsia="Calibri" w:hAnsi="Arial Narrow"/>
                <w:sz w:val="20"/>
              </w:rPr>
            </w:pPr>
            <w:r w:rsidRPr="00214D77">
              <w:rPr>
                <w:rFonts w:ascii="Segoe UI Symbol" w:eastAsia="Calibri" w:hAnsi="Segoe UI Symbol" w:cs="Segoe UI Symbol"/>
                <w:sz w:val="20"/>
              </w:rPr>
              <w:t>☒</w:t>
            </w:r>
            <w:r w:rsidRPr="00214D77">
              <w:rPr>
                <w:rFonts w:ascii="Arial Narrow" w:eastAsia="Calibri" w:hAnsi="Arial Narrow"/>
                <w:sz w:val="20"/>
              </w:rPr>
              <w:tab/>
              <w:t>k=1;</w:t>
            </w:r>
            <w:r w:rsidRPr="00214D77">
              <w:rPr>
                <w:rFonts w:ascii="Arial Narrow" w:eastAsia="Calibri" w:hAnsi="Arial Narrow"/>
                <w:sz w:val="20"/>
              </w:rPr>
              <w:tab/>
              <w:t>n=44</w:t>
            </w:r>
          </w:p>
          <w:p w14:paraId="2EB8C775" w14:textId="77777777" w:rsidR="00214D77" w:rsidRPr="00214D77" w:rsidRDefault="00214D77" w:rsidP="0009334C">
            <w:pPr>
              <w:keepNext/>
              <w:keepLines/>
              <w:widowControl w:val="0"/>
              <w:tabs>
                <w:tab w:val="left" w:pos="492"/>
                <w:tab w:val="left" w:pos="1168"/>
              </w:tabs>
              <w:spacing w:before="0" w:after="0"/>
              <w:ind w:right="-57"/>
              <w:jc w:val="left"/>
              <w:rPr>
                <w:rFonts w:ascii="Arial Narrow" w:eastAsia="Calibri" w:hAnsi="Arial Narrow"/>
                <w:sz w:val="20"/>
              </w:rPr>
            </w:pPr>
            <w:r w:rsidRPr="00214D77">
              <w:rPr>
                <w:rFonts w:ascii="Segoe UI Symbol" w:eastAsia="Calibri" w:hAnsi="Segoe UI Symbol" w:cs="Segoe UI Symbol"/>
                <w:sz w:val="20"/>
              </w:rPr>
              <w:t>☒</w:t>
            </w:r>
            <w:r w:rsidRPr="00214D77">
              <w:rPr>
                <w:rFonts w:ascii="Arial Narrow" w:eastAsia="Calibri" w:hAnsi="Arial Narrow"/>
                <w:sz w:val="20"/>
              </w:rPr>
              <w:tab/>
              <w:t>k=2;</w:t>
            </w:r>
            <w:r w:rsidRPr="00214D77">
              <w:rPr>
                <w:rFonts w:ascii="Arial Narrow" w:eastAsia="Calibri" w:hAnsi="Arial Narrow"/>
                <w:sz w:val="20"/>
              </w:rPr>
              <w:tab/>
              <w:t>n=75</w:t>
            </w:r>
          </w:p>
          <w:p w14:paraId="01C8A21C" w14:textId="77777777" w:rsidR="00214D77" w:rsidRPr="00214D77" w:rsidRDefault="00214D77" w:rsidP="0009334C">
            <w:pPr>
              <w:keepNext/>
              <w:keepLines/>
              <w:widowControl w:val="0"/>
              <w:tabs>
                <w:tab w:val="left" w:pos="492"/>
                <w:tab w:val="left" w:pos="1168"/>
              </w:tabs>
              <w:spacing w:before="0" w:after="240"/>
              <w:ind w:right="-57"/>
              <w:jc w:val="left"/>
              <w:rPr>
                <w:rFonts w:ascii="Arial Narrow" w:eastAsia="Calibri" w:hAnsi="Arial Narrow"/>
                <w:sz w:val="20"/>
              </w:rPr>
            </w:pPr>
            <w:r w:rsidRPr="00214D77">
              <w:rPr>
                <w:rFonts w:ascii="Segoe UI Symbol" w:eastAsia="Calibri" w:hAnsi="Segoe UI Symbol" w:cs="Segoe UI Symbol"/>
                <w:sz w:val="20"/>
              </w:rPr>
              <w:t>☒</w:t>
            </w:r>
            <w:r w:rsidRPr="00214D77">
              <w:rPr>
                <w:rFonts w:ascii="Arial Narrow" w:eastAsia="Calibri" w:hAnsi="Arial Narrow"/>
                <w:sz w:val="20"/>
              </w:rPr>
              <w:tab/>
              <w:t>k=5;</w:t>
            </w:r>
            <w:r w:rsidRPr="00214D77">
              <w:rPr>
                <w:rFonts w:ascii="Arial Narrow" w:eastAsia="Calibri" w:hAnsi="Arial Narrow"/>
                <w:sz w:val="20"/>
              </w:rPr>
              <w:tab/>
              <w:t>n=4,982</w:t>
            </w:r>
          </w:p>
          <w:p w14:paraId="08FFAE0B" w14:textId="77777777" w:rsidR="00214D77" w:rsidRPr="00214D77" w:rsidRDefault="00214D77" w:rsidP="0009334C">
            <w:pPr>
              <w:keepNext/>
              <w:keepLines/>
              <w:widowControl w:val="0"/>
              <w:tabs>
                <w:tab w:val="left" w:pos="492"/>
                <w:tab w:val="left" w:pos="1168"/>
              </w:tabs>
              <w:spacing w:after="40"/>
              <w:ind w:right="-57"/>
              <w:contextualSpacing/>
              <w:jc w:val="left"/>
              <w:rPr>
                <w:rFonts w:ascii="Arial Narrow" w:eastAsia="Calibri" w:hAnsi="Arial Narrow" w:cs="Segoe UI Symbol"/>
                <w:sz w:val="20"/>
              </w:rPr>
            </w:pPr>
            <w:r w:rsidRPr="00214D77">
              <w:rPr>
                <w:rFonts w:ascii="Segoe UI Symbol" w:eastAsia="Calibri" w:hAnsi="Segoe UI Symbol" w:cs="Segoe UI Symbol"/>
                <w:sz w:val="20"/>
              </w:rPr>
              <w:t>☒</w:t>
            </w:r>
            <w:r w:rsidRPr="00214D77">
              <w:rPr>
                <w:rFonts w:ascii="Arial Narrow" w:eastAsia="Calibri" w:hAnsi="Arial Narrow" w:cs="Segoe UI Symbol"/>
                <w:sz w:val="20"/>
              </w:rPr>
              <w:tab/>
              <w:t>k=1;</w:t>
            </w:r>
            <w:r w:rsidRPr="00214D77">
              <w:rPr>
                <w:rFonts w:ascii="Arial Narrow" w:eastAsia="Calibri" w:hAnsi="Arial Narrow" w:cs="Segoe UI Symbol"/>
                <w:sz w:val="20"/>
              </w:rPr>
              <w:tab/>
              <w:t>n=78</w:t>
            </w:r>
          </w:p>
          <w:p w14:paraId="53C4935F" w14:textId="77777777" w:rsidR="00214D77" w:rsidRPr="00214D77" w:rsidRDefault="00214D77" w:rsidP="0009334C">
            <w:pPr>
              <w:keepNext/>
              <w:keepLines/>
              <w:widowControl w:val="0"/>
              <w:tabs>
                <w:tab w:val="left" w:pos="492"/>
                <w:tab w:val="left" w:pos="1168"/>
              </w:tabs>
              <w:spacing w:before="40" w:after="40"/>
              <w:ind w:right="-57"/>
              <w:jc w:val="left"/>
              <w:rPr>
                <w:rFonts w:ascii="Arial Narrow" w:eastAsia="Calibri" w:hAnsi="Arial Narrow"/>
                <w:sz w:val="20"/>
              </w:rPr>
            </w:pPr>
            <w:r w:rsidRPr="00214D77">
              <w:rPr>
                <w:rFonts w:ascii="Segoe UI Symbol" w:eastAsia="Calibri" w:hAnsi="Segoe UI Symbol" w:cs="Segoe UI Symbol"/>
                <w:sz w:val="20"/>
              </w:rPr>
              <w:t>☒</w:t>
            </w:r>
            <w:r w:rsidRPr="00214D77">
              <w:rPr>
                <w:rFonts w:ascii="Arial Narrow" w:eastAsia="Calibri" w:hAnsi="Arial Narrow"/>
                <w:sz w:val="20"/>
              </w:rPr>
              <w:tab/>
              <w:t>k=6;</w:t>
            </w:r>
            <w:r w:rsidRPr="00214D77">
              <w:rPr>
                <w:rFonts w:ascii="Arial Narrow" w:eastAsia="Calibri" w:hAnsi="Arial Narrow"/>
                <w:sz w:val="20"/>
              </w:rPr>
              <w:tab/>
              <w:t>n=13,470</w:t>
            </w:r>
          </w:p>
        </w:tc>
        <w:tc>
          <w:tcPr>
            <w:tcW w:w="993" w:type="pct"/>
            <w:tcBorders>
              <w:top w:val="single" w:sz="4" w:space="0" w:color="auto"/>
              <w:left w:val="single" w:sz="4" w:space="0" w:color="auto"/>
              <w:bottom w:val="single" w:sz="4" w:space="0" w:color="auto"/>
              <w:right w:val="single" w:sz="4" w:space="0" w:color="auto"/>
            </w:tcBorders>
            <w:hideMark/>
          </w:tcPr>
          <w:p w14:paraId="375676E6" w14:textId="77777777" w:rsidR="00214D77" w:rsidRPr="00214D77" w:rsidRDefault="00214D77" w:rsidP="0009334C">
            <w:pPr>
              <w:keepNext/>
              <w:keepLines/>
              <w:widowControl w:val="0"/>
              <w:spacing w:before="40" w:after="40" w:line="257" w:lineRule="auto"/>
              <w:jc w:val="left"/>
              <w:rPr>
                <w:rFonts w:ascii="Arial Narrow" w:eastAsia="Calibri" w:hAnsi="Arial Narrow"/>
                <w:sz w:val="20"/>
              </w:rPr>
            </w:pPr>
            <w:r w:rsidRPr="00214D77">
              <w:rPr>
                <w:rFonts w:ascii="Arial Narrow" w:eastAsia="Calibri" w:hAnsi="Arial Narrow"/>
                <w:sz w:val="20"/>
              </w:rPr>
              <w:t>High</w:t>
            </w:r>
          </w:p>
          <w:p w14:paraId="0B1C267B"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Low</w:t>
            </w:r>
          </w:p>
          <w:p w14:paraId="51FCF6C1"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High</w:t>
            </w:r>
          </w:p>
          <w:p w14:paraId="70931B2F" w14:textId="77777777" w:rsidR="00214D77" w:rsidRPr="00214D77" w:rsidRDefault="00214D77" w:rsidP="0009334C">
            <w:pPr>
              <w:keepNext/>
              <w:keepLines/>
              <w:widowControl w:val="0"/>
              <w:tabs>
                <w:tab w:val="left" w:pos="492"/>
                <w:tab w:val="left" w:pos="1168"/>
              </w:tabs>
              <w:spacing w:before="0" w:after="240"/>
              <w:ind w:right="-57"/>
              <w:jc w:val="left"/>
              <w:rPr>
                <w:rFonts w:ascii="Arial Narrow" w:eastAsia="Calibri" w:hAnsi="Arial Narrow"/>
                <w:sz w:val="20"/>
              </w:rPr>
            </w:pPr>
            <w:r w:rsidRPr="00214D77">
              <w:rPr>
                <w:rFonts w:ascii="Arial Narrow" w:eastAsia="Calibri" w:hAnsi="Arial Narrow"/>
                <w:sz w:val="20"/>
              </w:rPr>
              <w:t>Low</w:t>
            </w:r>
          </w:p>
          <w:p w14:paraId="5686C871" w14:textId="77777777" w:rsidR="00214D77" w:rsidRPr="00214D77" w:rsidRDefault="00214D77" w:rsidP="0009334C">
            <w:pPr>
              <w:keepNext/>
              <w:keepLines/>
              <w:widowControl w:val="0"/>
              <w:spacing w:before="40" w:after="40" w:line="257" w:lineRule="auto"/>
              <w:jc w:val="left"/>
              <w:rPr>
                <w:rFonts w:ascii="Arial Narrow" w:eastAsia="Calibri" w:hAnsi="Arial Narrow"/>
                <w:sz w:val="20"/>
              </w:rPr>
            </w:pPr>
            <w:r w:rsidRPr="00214D77">
              <w:rPr>
                <w:rFonts w:ascii="Arial Narrow" w:eastAsia="Calibri" w:hAnsi="Arial Narrow"/>
                <w:sz w:val="20"/>
              </w:rPr>
              <w:t>High</w:t>
            </w:r>
          </w:p>
          <w:p w14:paraId="0BC48653" w14:textId="77777777" w:rsidR="00214D77" w:rsidRPr="00214D77" w:rsidRDefault="00214D77" w:rsidP="0009334C">
            <w:pPr>
              <w:keepNext/>
              <w:keepLines/>
              <w:widowControl w:val="0"/>
              <w:spacing w:before="40" w:after="40" w:line="257" w:lineRule="auto"/>
              <w:jc w:val="left"/>
              <w:rPr>
                <w:rFonts w:ascii="Arial Narrow" w:eastAsia="Calibri" w:hAnsi="Arial Narrow"/>
                <w:sz w:val="20"/>
              </w:rPr>
            </w:pPr>
            <w:r w:rsidRPr="00214D77">
              <w:rPr>
                <w:rFonts w:ascii="Arial Narrow" w:eastAsia="Calibri" w:hAnsi="Arial Narrow"/>
                <w:sz w:val="20"/>
              </w:rPr>
              <w:t>High</w:t>
            </w:r>
          </w:p>
        </w:tc>
      </w:tr>
      <w:tr w:rsidR="00214D77" w:rsidRPr="00214D77" w14:paraId="21EDAE57" w14:textId="77777777" w:rsidTr="00214D77">
        <w:trPr>
          <w:trHeight w:val="900"/>
        </w:trPr>
        <w:tc>
          <w:tcPr>
            <w:tcW w:w="784" w:type="pct"/>
            <w:tcBorders>
              <w:top w:val="single" w:sz="4" w:space="0" w:color="auto"/>
              <w:left w:val="single" w:sz="4" w:space="0" w:color="auto"/>
              <w:bottom w:val="nil"/>
              <w:right w:val="single" w:sz="4" w:space="0" w:color="auto"/>
            </w:tcBorders>
            <w:hideMark/>
          </w:tcPr>
          <w:p w14:paraId="7B2FD09E"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Prognostic evidence</w:t>
            </w:r>
          </w:p>
        </w:tc>
        <w:tc>
          <w:tcPr>
            <w:tcW w:w="1886" w:type="pct"/>
            <w:tcBorders>
              <w:top w:val="single" w:sz="4" w:space="0" w:color="auto"/>
              <w:left w:val="single" w:sz="4" w:space="0" w:color="auto"/>
              <w:bottom w:val="nil"/>
              <w:right w:val="single" w:sz="4" w:space="0" w:color="auto"/>
            </w:tcBorders>
            <w:hideMark/>
          </w:tcPr>
          <w:p w14:paraId="74632A0B"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i/>
                <w:sz w:val="20"/>
              </w:rPr>
              <w:t>NTRK</w:t>
            </w:r>
            <w:r w:rsidRPr="00214D77">
              <w:rPr>
                <w:rFonts w:ascii="Arial Narrow" w:eastAsia="Calibri" w:hAnsi="Arial Narrow"/>
                <w:sz w:val="20"/>
              </w:rPr>
              <w:t xml:space="preserve"> fusion positive cancers: 2 prospective case-control studies, 2 retrospective cohort studies and 1 retrospective case-control study</w:t>
            </w:r>
          </w:p>
        </w:tc>
        <w:tc>
          <w:tcPr>
            <w:tcW w:w="1337" w:type="pct"/>
            <w:tcBorders>
              <w:top w:val="single" w:sz="4" w:space="0" w:color="auto"/>
              <w:left w:val="single" w:sz="4" w:space="0" w:color="auto"/>
              <w:bottom w:val="nil"/>
              <w:right w:val="single" w:sz="4" w:space="0" w:color="auto"/>
            </w:tcBorders>
            <w:hideMark/>
          </w:tcPr>
          <w:p w14:paraId="1B50D086" w14:textId="29ABB74F" w:rsidR="00214D77" w:rsidRPr="00214D77" w:rsidRDefault="00B57336" w:rsidP="0009334C">
            <w:pPr>
              <w:keepNext/>
              <w:keepLines/>
              <w:widowControl w:val="0"/>
              <w:tabs>
                <w:tab w:val="left" w:pos="492"/>
                <w:tab w:val="left" w:pos="1168"/>
              </w:tabs>
              <w:spacing w:before="40" w:after="40" w:line="256" w:lineRule="auto"/>
              <w:ind w:right="-57"/>
              <w:jc w:val="left"/>
              <w:rPr>
                <w:rFonts w:ascii="Arial Narrow" w:eastAsia="Calibri" w:hAnsi="Arial Narrow"/>
                <w:sz w:val="20"/>
              </w:rPr>
            </w:pPr>
            <w:sdt>
              <w:sdtPr>
                <w:rPr>
                  <w:rFonts w:ascii="Arial Narrow" w:eastAsia="Calibri" w:hAnsi="Arial Narrow"/>
                  <w:sz w:val="20"/>
                </w:rPr>
                <w:id w:val="403422349"/>
                <w14:checkbox>
                  <w14:checked w14:val="1"/>
                  <w14:checkedState w14:val="2612" w14:font="MS Gothic"/>
                  <w14:uncheckedState w14:val="2610" w14:font="MS Gothic"/>
                </w14:checkbox>
              </w:sdtPr>
              <w:sdtEndPr/>
              <w:sdtContent>
                <w:r w:rsidR="00214D77" w:rsidRPr="00214D77">
                  <w:rPr>
                    <w:rFonts w:ascii="Segoe UI Symbol" w:eastAsia="Calibri" w:hAnsi="Segoe UI Symbol" w:cs="Segoe UI Symbol"/>
                    <w:sz w:val="20"/>
                  </w:rPr>
                  <w:t>☒</w:t>
                </w:r>
              </w:sdtContent>
            </w:sdt>
            <w:r w:rsidR="00214D77" w:rsidRPr="00214D77">
              <w:rPr>
                <w:rFonts w:ascii="Arial Narrow" w:eastAsia="Calibri" w:hAnsi="Arial Narrow"/>
                <w:sz w:val="20"/>
              </w:rPr>
              <w:tab/>
              <w:t>k=5</w:t>
            </w:r>
            <w:r w:rsidR="00214D77" w:rsidRPr="00214D77">
              <w:rPr>
                <w:rFonts w:ascii="Arial Narrow" w:eastAsia="Calibri" w:hAnsi="Arial Narrow"/>
                <w:sz w:val="20"/>
              </w:rPr>
              <w:tab/>
              <w:t>n=5,345</w:t>
            </w:r>
          </w:p>
        </w:tc>
        <w:tc>
          <w:tcPr>
            <w:tcW w:w="993" w:type="pct"/>
            <w:tcBorders>
              <w:top w:val="single" w:sz="4" w:space="0" w:color="auto"/>
              <w:left w:val="single" w:sz="4" w:space="0" w:color="auto"/>
              <w:bottom w:val="nil"/>
              <w:right w:val="single" w:sz="4" w:space="0" w:color="auto"/>
            </w:tcBorders>
            <w:hideMark/>
          </w:tcPr>
          <w:p w14:paraId="065C6725"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Low</w:t>
            </w:r>
          </w:p>
        </w:tc>
      </w:tr>
      <w:tr w:rsidR="00214D77" w:rsidRPr="00214D77" w14:paraId="27764332" w14:textId="77777777" w:rsidTr="00214D77">
        <w:trPr>
          <w:trHeight w:val="930"/>
        </w:trPr>
        <w:tc>
          <w:tcPr>
            <w:tcW w:w="784" w:type="pct"/>
            <w:tcBorders>
              <w:top w:val="nil"/>
              <w:left w:val="single" w:sz="4" w:space="0" w:color="auto"/>
              <w:bottom w:val="single" w:sz="4" w:space="0" w:color="auto"/>
              <w:right w:val="single" w:sz="4" w:space="0" w:color="auto"/>
            </w:tcBorders>
          </w:tcPr>
          <w:p w14:paraId="3646066A"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p>
        </w:tc>
        <w:tc>
          <w:tcPr>
            <w:tcW w:w="1886" w:type="pct"/>
            <w:tcBorders>
              <w:top w:val="nil"/>
              <w:left w:val="single" w:sz="4" w:space="0" w:color="auto"/>
              <w:bottom w:val="single" w:sz="4" w:space="0" w:color="auto"/>
              <w:right w:val="single" w:sz="4" w:space="0" w:color="auto"/>
            </w:tcBorders>
          </w:tcPr>
          <w:p w14:paraId="3770DCEF" w14:textId="77777777" w:rsidR="00214D77" w:rsidRPr="00214D77" w:rsidRDefault="00214D77" w:rsidP="0009334C">
            <w:pPr>
              <w:keepNext/>
              <w:keepLines/>
              <w:widowControl w:val="0"/>
              <w:spacing w:before="40" w:after="40" w:line="256" w:lineRule="auto"/>
              <w:jc w:val="left"/>
              <w:rPr>
                <w:rFonts w:ascii="Arial Narrow" w:eastAsia="Calibri" w:hAnsi="Arial Narrow"/>
                <w:i/>
                <w:sz w:val="20"/>
              </w:rPr>
            </w:pPr>
            <w:proofErr w:type="spellStart"/>
            <w:r w:rsidRPr="00214D77">
              <w:rPr>
                <w:rFonts w:ascii="Arial Narrow" w:eastAsia="Calibri" w:hAnsi="Arial Narrow"/>
                <w:sz w:val="20"/>
              </w:rPr>
              <w:t>Trk</w:t>
            </w:r>
            <w:proofErr w:type="spellEnd"/>
            <w:r w:rsidRPr="00214D77">
              <w:rPr>
                <w:rFonts w:ascii="Arial Narrow" w:eastAsia="Calibri" w:hAnsi="Arial Narrow"/>
                <w:sz w:val="20"/>
              </w:rPr>
              <w:t xml:space="preserve"> IHC positive cancers: 3 retrospective cohort studies and 1 retrospective case-control study</w:t>
            </w:r>
          </w:p>
        </w:tc>
        <w:tc>
          <w:tcPr>
            <w:tcW w:w="1337" w:type="pct"/>
            <w:tcBorders>
              <w:top w:val="nil"/>
              <w:left w:val="single" w:sz="4" w:space="0" w:color="auto"/>
              <w:bottom w:val="single" w:sz="4" w:space="0" w:color="auto"/>
              <w:right w:val="single" w:sz="4" w:space="0" w:color="auto"/>
            </w:tcBorders>
          </w:tcPr>
          <w:p w14:paraId="7FD8A126" w14:textId="71A39AC0" w:rsidR="00214D77" w:rsidRPr="00214D77" w:rsidRDefault="00B57336" w:rsidP="0009334C">
            <w:pPr>
              <w:keepNext/>
              <w:keepLines/>
              <w:widowControl w:val="0"/>
              <w:tabs>
                <w:tab w:val="left" w:pos="492"/>
                <w:tab w:val="left" w:pos="1168"/>
              </w:tabs>
              <w:spacing w:before="40" w:after="40" w:line="256" w:lineRule="auto"/>
              <w:ind w:right="-57"/>
              <w:jc w:val="left"/>
              <w:rPr>
                <w:rFonts w:ascii="Arial Narrow" w:eastAsia="Calibri" w:hAnsi="Arial Narrow"/>
                <w:sz w:val="20"/>
              </w:rPr>
            </w:pPr>
            <w:sdt>
              <w:sdtPr>
                <w:rPr>
                  <w:rFonts w:ascii="Arial Narrow" w:eastAsia="Calibri" w:hAnsi="Arial Narrow"/>
                  <w:sz w:val="20"/>
                </w:rPr>
                <w:id w:val="1369338327"/>
                <w14:checkbox>
                  <w14:checked w14:val="1"/>
                  <w14:checkedState w14:val="2612" w14:font="MS Gothic"/>
                  <w14:uncheckedState w14:val="2610" w14:font="MS Gothic"/>
                </w14:checkbox>
              </w:sdtPr>
              <w:sdtEndPr/>
              <w:sdtContent>
                <w:r w:rsidR="00214D77" w:rsidRPr="00214D77">
                  <w:rPr>
                    <w:rFonts w:ascii="Segoe UI Symbol" w:eastAsia="Calibri" w:hAnsi="Segoe UI Symbol" w:cs="Segoe UI Symbol"/>
                    <w:sz w:val="20"/>
                  </w:rPr>
                  <w:t>☒</w:t>
                </w:r>
              </w:sdtContent>
            </w:sdt>
            <w:r w:rsidR="00214D77" w:rsidRPr="00214D77">
              <w:rPr>
                <w:rFonts w:ascii="Arial Narrow" w:eastAsia="Calibri" w:hAnsi="Arial Narrow"/>
                <w:sz w:val="20"/>
              </w:rPr>
              <w:tab/>
              <w:t>k=4</w:t>
            </w:r>
            <w:r w:rsidR="00214D77" w:rsidRPr="00214D77">
              <w:rPr>
                <w:rFonts w:ascii="Arial Narrow" w:eastAsia="Calibri" w:hAnsi="Arial Narrow"/>
                <w:sz w:val="20"/>
              </w:rPr>
              <w:tab/>
              <w:t>n=858</w:t>
            </w:r>
          </w:p>
        </w:tc>
        <w:tc>
          <w:tcPr>
            <w:tcW w:w="993" w:type="pct"/>
            <w:tcBorders>
              <w:top w:val="nil"/>
              <w:left w:val="single" w:sz="4" w:space="0" w:color="auto"/>
              <w:bottom w:val="single" w:sz="4" w:space="0" w:color="auto"/>
              <w:right w:val="single" w:sz="4" w:space="0" w:color="auto"/>
            </w:tcBorders>
          </w:tcPr>
          <w:p w14:paraId="34AB3753"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Low</w:t>
            </w:r>
          </w:p>
        </w:tc>
      </w:tr>
      <w:tr w:rsidR="00214D77" w:rsidRPr="00214D77" w14:paraId="47D8804A" w14:textId="77777777" w:rsidTr="00214D77">
        <w:tc>
          <w:tcPr>
            <w:tcW w:w="784" w:type="pct"/>
            <w:tcBorders>
              <w:top w:val="single" w:sz="4" w:space="0" w:color="auto"/>
              <w:left w:val="single" w:sz="4" w:space="0" w:color="auto"/>
              <w:bottom w:val="single" w:sz="4" w:space="0" w:color="auto"/>
              <w:right w:val="single" w:sz="4" w:space="0" w:color="auto"/>
            </w:tcBorders>
            <w:hideMark/>
          </w:tcPr>
          <w:p w14:paraId="7EFC990C"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 xml:space="preserve">Change in patient management </w:t>
            </w:r>
          </w:p>
        </w:tc>
        <w:tc>
          <w:tcPr>
            <w:tcW w:w="1886" w:type="pct"/>
            <w:tcBorders>
              <w:top w:val="single" w:sz="4" w:space="0" w:color="auto"/>
              <w:left w:val="single" w:sz="4" w:space="0" w:color="auto"/>
              <w:bottom w:val="single" w:sz="4" w:space="0" w:color="auto"/>
              <w:right w:val="single" w:sz="4" w:space="0" w:color="auto"/>
            </w:tcBorders>
            <w:hideMark/>
          </w:tcPr>
          <w:p w14:paraId="3B8850EE"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No evidence provided</w:t>
            </w:r>
          </w:p>
        </w:tc>
        <w:tc>
          <w:tcPr>
            <w:tcW w:w="1337" w:type="pct"/>
            <w:tcBorders>
              <w:top w:val="single" w:sz="4" w:space="0" w:color="auto"/>
              <w:left w:val="single" w:sz="4" w:space="0" w:color="auto"/>
              <w:bottom w:val="single" w:sz="4" w:space="0" w:color="auto"/>
              <w:right w:val="single" w:sz="4" w:space="0" w:color="auto"/>
            </w:tcBorders>
            <w:hideMark/>
          </w:tcPr>
          <w:p w14:paraId="77957FC4" w14:textId="75EE9F9D" w:rsidR="00214D77" w:rsidRPr="00214D77" w:rsidRDefault="00B57336" w:rsidP="0009334C">
            <w:pPr>
              <w:keepNext/>
              <w:keepLines/>
              <w:widowControl w:val="0"/>
              <w:tabs>
                <w:tab w:val="left" w:pos="492"/>
                <w:tab w:val="left" w:pos="1168"/>
              </w:tabs>
              <w:spacing w:before="40" w:after="40" w:line="256" w:lineRule="auto"/>
              <w:ind w:right="-57"/>
              <w:jc w:val="left"/>
              <w:rPr>
                <w:rFonts w:ascii="Arial Narrow" w:eastAsia="Calibri" w:hAnsi="Arial Narrow"/>
                <w:sz w:val="20"/>
              </w:rPr>
            </w:pPr>
            <w:sdt>
              <w:sdtPr>
                <w:rPr>
                  <w:rFonts w:ascii="Arial Narrow" w:eastAsia="Calibri" w:hAnsi="Arial Narrow"/>
                  <w:sz w:val="20"/>
                </w:rPr>
                <w:id w:val="-2062084355"/>
                <w14:checkbox>
                  <w14:checked w14:val="0"/>
                  <w14:checkedState w14:val="2612" w14:font="MS Gothic"/>
                  <w14:uncheckedState w14:val="2610" w14:font="MS Gothic"/>
                </w14:checkbox>
              </w:sdtPr>
              <w:sdtEndPr/>
              <w:sdtContent>
                <w:r w:rsidR="00214D77" w:rsidRPr="00214D77">
                  <w:rPr>
                    <w:rFonts w:ascii="Segoe UI Symbol" w:eastAsia="Calibri" w:hAnsi="Segoe UI Symbol" w:cs="Segoe UI Symbol"/>
                    <w:sz w:val="20"/>
                  </w:rPr>
                  <w:t>☐</w:t>
                </w:r>
              </w:sdtContent>
            </w:sdt>
            <w:r w:rsidR="00214D77" w:rsidRPr="00214D77">
              <w:rPr>
                <w:rFonts w:ascii="Arial Narrow" w:eastAsia="Calibri" w:hAnsi="Arial Narrow"/>
                <w:sz w:val="20"/>
              </w:rPr>
              <w:tab/>
              <w:t>k=0</w:t>
            </w:r>
          </w:p>
        </w:tc>
        <w:tc>
          <w:tcPr>
            <w:tcW w:w="993" w:type="pct"/>
            <w:tcBorders>
              <w:top w:val="single" w:sz="4" w:space="0" w:color="auto"/>
              <w:left w:val="single" w:sz="4" w:space="0" w:color="auto"/>
              <w:bottom w:val="single" w:sz="4" w:space="0" w:color="auto"/>
              <w:right w:val="single" w:sz="4" w:space="0" w:color="auto"/>
            </w:tcBorders>
            <w:hideMark/>
          </w:tcPr>
          <w:p w14:paraId="3D538315"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w:t>
            </w:r>
          </w:p>
        </w:tc>
      </w:tr>
      <w:tr w:rsidR="00214D77" w:rsidRPr="00214D77" w14:paraId="76B205CA" w14:textId="77777777" w:rsidTr="00214D77">
        <w:tc>
          <w:tcPr>
            <w:tcW w:w="784" w:type="pct"/>
            <w:tcBorders>
              <w:top w:val="single" w:sz="4" w:space="0" w:color="auto"/>
              <w:left w:val="single" w:sz="4" w:space="0" w:color="auto"/>
              <w:bottom w:val="nil"/>
              <w:right w:val="single" w:sz="4" w:space="0" w:color="auto"/>
            </w:tcBorders>
          </w:tcPr>
          <w:p w14:paraId="57BE718C"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r w:rsidRPr="00214D77">
              <w:rPr>
                <w:rFonts w:ascii="Arial Narrow" w:eastAsia="Calibri" w:hAnsi="Arial Narrow"/>
                <w:sz w:val="20"/>
              </w:rPr>
              <w:t xml:space="preserve">Treatment effectiveness </w:t>
            </w:r>
          </w:p>
        </w:tc>
        <w:tc>
          <w:tcPr>
            <w:tcW w:w="1886" w:type="pct"/>
            <w:tcBorders>
              <w:top w:val="single" w:sz="4" w:space="0" w:color="auto"/>
              <w:left w:val="single" w:sz="4" w:space="0" w:color="auto"/>
              <w:bottom w:val="nil"/>
              <w:right w:val="single" w:sz="4" w:space="0" w:color="auto"/>
            </w:tcBorders>
          </w:tcPr>
          <w:p w14:paraId="4016D975"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p>
        </w:tc>
        <w:tc>
          <w:tcPr>
            <w:tcW w:w="1337" w:type="pct"/>
            <w:tcBorders>
              <w:top w:val="single" w:sz="4" w:space="0" w:color="auto"/>
              <w:left w:val="single" w:sz="4" w:space="0" w:color="auto"/>
              <w:bottom w:val="nil"/>
              <w:right w:val="single" w:sz="4" w:space="0" w:color="auto"/>
            </w:tcBorders>
          </w:tcPr>
          <w:p w14:paraId="47A12FED" w14:textId="77777777" w:rsidR="00214D77" w:rsidRPr="00214D77" w:rsidRDefault="00214D77" w:rsidP="0009334C">
            <w:pPr>
              <w:keepNext/>
              <w:keepLines/>
              <w:widowControl w:val="0"/>
              <w:tabs>
                <w:tab w:val="left" w:pos="492"/>
                <w:tab w:val="left" w:pos="700"/>
                <w:tab w:val="left" w:pos="985"/>
                <w:tab w:val="left" w:pos="1168"/>
              </w:tabs>
              <w:spacing w:before="40" w:after="40" w:line="256" w:lineRule="auto"/>
              <w:ind w:right="-57"/>
              <w:jc w:val="left"/>
              <w:rPr>
                <w:rFonts w:ascii="Arial Narrow" w:eastAsia="Calibri" w:hAnsi="Arial Narrow"/>
                <w:sz w:val="20"/>
                <w:highlight w:val="yellow"/>
              </w:rPr>
            </w:pPr>
          </w:p>
        </w:tc>
        <w:tc>
          <w:tcPr>
            <w:tcW w:w="993" w:type="pct"/>
            <w:tcBorders>
              <w:top w:val="single" w:sz="4" w:space="0" w:color="auto"/>
              <w:left w:val="single" w:sz="4" w:space="0" w:color="auto"/>
              <w:bottom w:val="nil"/>
              <w:right w:val="single" w:sz="4" w:space="0" w:color="auto"/>
            </w:tcBorders>
            <w:hideMark/>
          </w:tcPr>
          <w:p w14:paraId="0DB86972"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p>
        </w:tc>
      </w:tr>
      <w:tr w:rsidR="00214D77" w:rsidRPr="00214D77" w14:paraId="016CCC28" w14:textId="77777777" w:rsidTr="00214D77">
        <w:tc>
          <w:tcPr>
            <w:tcW w:w="784" w:type="pct"/>
            <w:tcBorders>
              <w:top w:val="nil"/>
              <w:left w:val="single" w:sz="4" w:space="0" w:color="auto"/>
              <w:bottom w:val="nil"/>
              <w:right w:val="single" w:sz="4" w:space="0" w:color="auto"/>
            </w:tcBorders>
          </w:tcPr>
          <w:p w14:paraId="26950C3F" w14:textId="77777777" w:rsidR="00214D77" w:rsidRPr="00214D77" w:rsidRDefault="00214D77" w:rsidP="0009334C">
            <w:pPr>
              <w:keepNext/>
              <w:keepLines/>
              <w:widowControl w:val="0"/>
              <w:spacing w:before="40" w:after="40"/>
              <w:jc w:val="left"/>
              <w:rPr>
                <w:rFonts w:ascii="Arial Narrow" w:eastAsia="Calibri" w:hAnsi="Arial Narrow"/>
                <w:sz w:val="20"/>
              </w:rPr>
            </w:pPr>
            <w:r w:rsidRPr="00214D77">
              <w:rPr>
                <w:rFonts w:ascii="Arial Narrow" w:eastAsia="Calibri" w:hAnsi="Arial Narrow"/>
                <w:sz w:val="20"/>
              </w:rPr>
              <w:t>Predictive effect</w:t>
            </w:r>
          </w:p>
          <w:p w14:paraId="3F039C16" w14:textId="77777777" w:rsidR="00214D77" w:rsidRPr="00214D77" w:rsidRDefault="00214D77" w:rsidP="0009334C">
            <w:pPr>
              <w:keepNext/>
              <w:keepLines/>
              <w:widowControl w:val="0"/>
              <w:spacing w:before="40" w:after="40"/>
              <w:jc w:val="left"/>
              <w:rPr>
                <w:rFonts w:ascii="Arial Narrow" w:eastAsia="Calibri" w:hAnsi="Arial Narrow"/>
                <w:sz w:val="20"/>
              </w:rPr>
            </w:pPr>
            <w:r w:rsidRPr="00214D77">
              <w:rPr>
                <w:rFonts w:ascii="Arial Narrow" w:eastAsia="Calibri" w:hAnsi="Arial Narrow"/>
                <w:sz w:val="20"/>
              </w:rPr>
              <w:t>(treatment effect variation)</w:t>
            </w:r>
          </w:p>
        </w:tc>
        <w:tc>
          <w:tcPr>
            <w:tcW w:w="1886" w:type="pct"/>
            <w:tcBorders>
              <w:top w:val="nil"/>
              <w:left w:val="single" w:sz="4" w:space="0" w:color="auto"/>
              <w:bottom w:val="nil"/>
              <w:right w:val="single" w:sz="4" w:space="0" w:color="auto"/>
            </w:tcBorders>
          </w:tcPr>
          <w:p w14:paraId="0887D19C" w14:textId="77777777" w:rsidR="00214D77" w:rsidRPr="00214D77" w:rsidRDefault="00214D77" w:rsidP="0009334C">
            <w:pPr>
              <w:keepNext/>
              <w:keepLines/>
              <w:widowControl w:val="0"/>
              <w:spacing w:before="40" w:after="40"/>
              <w:jc w:val="left"/>
              <w:rPr>
                <w:rFonts w:ascii="Arial Narrow" w:eastAsia="Calibri" w:hAnsi="Arial Narrow"/>
                <w:sz w:val="20"/>
              </w:rPr>
            </w:pPr>
            <w:r w:rsidRPr="00214D77">
              <w:rPr>
                <w:rFonts w:ascii="Arial Narrow" w:eastAsia="Calibri" w:hAnsi="Arial Narrow"/>
                <w:sz w:val="20"/>
              </w:rPr>
              <w:t>[Comparison of outcomes in patients with and without the biomarker who receive the medicine or its comparator]</w:t>
            </w:r>
          </w:p>
        </w:tc>
        <w:tc>
          <w:tcPr>
            <w:tcW w:w="1337" w:type="pct"/>
            <w:tcBorders>
              <w:top w:val="nil"/>
              <w:left w:val="single" w:sz="4" w:space="0" w:color="auto"/>
              <w:bottom w:val="nil"/>
              <w:right w:val="single" w:sz="4" w:space="0" w:color="auto"/>
            </w:tcBorders>
          </w:tcPr>
          <w:p w14:paraId="5D810A70" w14:textId="5C51B20B" w:rsidR="00214D77" w:rsidRPr="00214D77" w:rsidRDefault="00B57336" w:rsidP="0009334C">
            <w:pPr>
              <w:keepNext/>
              <w:keepLines/>
              <w:widowControl w:val="0"/>
              <w:tabs>
                <w:tab w:val="left" w:pos="460"/>
                <w:tab w:val="left" w:pos="1168"/>
              </w:tabs>
              <w:spacing w:before="40" w:after="40"/>
              <w:ind w:right="-57"/>
              <w:jc w:val="left"/>
              <w:rPr>
                <w:rFonts w:ascii="Arial Narrow" w:eastAsia="Calibri" w:hAnsi="Arial Narrow"/>
                <w:sz w:val="20"/>
              </w:rPr>
            </w:pPr>
            <w:sdt>
              <w:sdtPr>
                <w:rPr>
                  <w:rFonts w:ascii="Arial Narrow" w:eastAsia="Calibri" w:hAnsi="Arial Narrow"/>
                  <w:sz w:val="20"/>
                </w:rPr>
                <w:id w:val="907120289"/>
                <w14:checkbox>
                  <w14:checked w14:val="0"/>
                  <w14:checkedState w14:val="2612" w14:font="MS Gothic"/>
                  <w14:uncheckedState w14:val="2610" w14:font="MS Gothic"/>
                </w14:checkbox>
              </w:sdtPr>
              <w:sdtEndPr/>
              <w:sdtContent>
                <w:r w:rsidR="00214D77" w:rsidRPr="00214D77">
                  <w:rPr>
                    <w:rFonts w:ascii="Segoe UI Symbol" w:eastAsia="Calibri" w:hAnsi="Segoe UI Symbol" w:cs="Segoe UI Symbol"/>
                    <w:sz w:val="20"/>
                  </w:rPr>
                  <w:t>☐</w:t>
                </w:r>
              </w:sdtContent>
            </w:sdt>
            <w:r w:rsidR="00214D77" w:rsidRPr="00214D77">
              <w:rPr>
                <w:rFonts w:ascii="Arial Narrow" w:eastAsia="Calibri" w:hAnsi="Arial Narrow"/>
                <w:sz w:val="20"/>
              </w:rPr>
              <w:tab/>
              <w:t>k=0</w:t>
            </w:r>
            <w:r w:rsidR="00214D77" w:rsidRPr="00214D77">
              <w:rPr>
                <w:rFonts w:ascii="Arial Narrow" w:eastAsia="Calibri" w:hAnsi="Arial Narrow"/>
                <w:sz w:val="20"/>
              </w:rPr>
              <w:tab/>
              <w:t>n=0</w:t>
            </w:r>
          </w:p>
        </w:tc>
        <w:tc>
          <w:tcPr>
            <w:tcW w:w="993" w:type="pct"/>
            <w:tcBorders>
              <w:top w:val="nil"/>
              <w:left w:val="single" w:sz="4" w:space="0" w:color="auto"/>
              <w:bottom w:val="nil"/>
              <w:right w:val="single" w:sz="4" w:space="0" w:color="auto"/>
            </w:tcBorders>
          </w:tcPr>
          <w:p w14:paraId="3A7A5071"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p>
        </w:tc>
      </w:tr>
      <w:tr w:rsidR="00214D77" w:rsidRPr="00214D77" w14:paraId="418D0B42" w14:textId="77777777" w:rsidTr="00214D77">
        <w:tc>
          <w:tcPr>
            <w:tcW w:w="784" w:type="pct"/>
            <w:tcBorders>
              <w:top w:val="nil"/>
              <w:left w:val="single" w:sz="4" w:space="0" w:color="auto"/>
              <w:bottom w:val="nil"/>
              <w:right w:val="single" w:sz="4" w:space="0" w:color="auto"/>
            </w:tcBorders>
          </w:tcPr>
          <w:p w14:paraId="45E0CA7C"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r w:rsidRPr="00214D77">
              <w:rPr>
                <w:rFonts w:ascii="Arial Narrow" w:eastAsia="Calibri" w:hAnsi="Arial Narrow"/>
                <w:sz w:val="20"/>
              </w:rPr>
              <w:t>Treatment effect (enriched)</w:t>
            </w:r>
          </w:p>
        </w:tc>
        <w:tc>
          <w:tcPr>
            <w:tcW w:w="1886" w:type="pct"/>
            <w:tcBorders>
              <w:top w:val="nil"/>
              <w:left w:val="single" w:sz="4" w:space="0" w:color="auto"/>
              <w:bottom w:val="nil"/>
              <w:right w:val="single" w:sz="4" w:space="0" w:color="auto"/>
            </w:tcBorders>
          </w:tcPr>
          <w:p w14:paraId="5BC4DA7A"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r w:rsidRPr="00214D77">
              <w:rPr>
                <w:rFonts w:ascii="Arial Narrow" w:eastAsia="Calibri" w:hAnsi="Arial Narrow"/>
                <w:sz w:val="20"/>
              </w:rPr>
              <w:t>[Single randomised controlled trial of medicine vs usual care in patients that are test positive in both arms]</w:t>
            </w:r>
          </w:p>
        </w:tc>
        <w:tc>
          <w:tcPr>
            <w:tcW w:w="1337" w:type="pct"/>
            <w:tcBorders>
              <w:top w:val="nil"/>
              <w:left w:val="single" w:sz="4" w:space="0" w:color="auto"/>
              <w:bottom w:val="nil"/>
              <w:right w:val="single" w:sz="4" w:space="0" w:color="auto"/>
            </w:tcBorders>
          </w:tcPr>
          <w:p w14:paraId="29FE610C" w14:textId="10647B41" w:rsidR="00214D77" w:rsidRPr="00214D77" w:rsidRDefault="00B57336" w:rsidP="0009334C">
            <w:pPr>
              <w:keepNext/>
              <w:keepLines/>
              <w:widowControl w:val="0"/>
              <w:tabs>
                <w:tab w:val="left" w:pos="492"/>
                <w:tab w:val="left" w:pos="1168"/>
              </w:tabs>
              <w:spacing w:before="40" w:after="40" w:line="256" w:lineRule="auto"/>
              <w:ind w:right="-57"/>
              <w:jc w:val="left"/>
              <w:rPr>
                <w:rFonts w:ascii="Arial Narrow" w:eastAsia="Calibri" w:hAnsi="Arial Narrow"/>
                <w:sz w:val="20"/>
                <w:highlight w:val="yellow"/>
              </w:rPr>
            </w:pPr>
            <w:sdt>
              <w:sdtPr>
                <w:rPr>
                  <w:rFonts w:ascii="Arial Narrow" w:eastAsia="Calibri" w:hAnsi="Arial Narrow"/>
                  <w:sz w:val="20"/>
                </w:rPr>
                <w:id w:val="292881611"/>
                <w14:checkbox>
                  <w14:checked w14:val="0"/>
                  <w14:checkedState w14:val="2612" w14:font="MS Gothic"/>
                  <w14:uncheckedState w14:val="2610" w14:font="MS Gothic"/>
                </w14:checkbox>
              </w:sdtPr>
              <w:sdtEndPr/>
              <w:sdtContent>
                <w:r w:rsidR="00214D77" w:rsidRPr="00214D77">
                  <w:rPr>
                    <w:rFonts w:ascii="Segoe UI Symbol" w:eastAsia="Calibri" w:hAnsi="Segoe UI Symbol" w:cs="Segoe UI Symbol"/>
                    <w:sz w:val="20"/>
                  </w:rPr>
                  <w:t>☐</w:t>
                </w:r>
              </w:sdtContent>
            </w:sdt>
            <w:r w:rsidR="00214D77" w:rsidRPr="00214D77">
              <w:rPr>
                <w:rFonts w:ascii="Arial Narrow" w:eastAsia="Calibri" w:hAnsi="Arial Narrow"/>
                <w:sz w:val="20"/>
              </w:rPr>
              <w:tab/>
              <w:t>k=0</w:t>
            </w:r>
            <w:r w:rsidR="00214D77" w:rsidRPr="00214D77">
              <w:rPr>
                <w:rFonts w:ascii="Arial Narrow" w:eastAsia="Calibri" w:hAnsi="Arial Narrow"/>
                <w:sz w:val="20"/>
              </w:rPr>
              <w:tab/>
              <w:t>n=0</w:t>
            </w:r>
          </w:p>
        </w:tc>
        <w:tc>
          <w:tcPr>
            <w:tcW w:w="993" w:type="pct"/>
            <w:tcBorders>
              <w:top w:val="nil"/>
              <w:left w:val="single" w:sz="4" w:space="0" w:color="auto"/>
              <w:bottom w:val="nil"/>
              <w:right w:val="single" w:sz="4" w:space="0" w:color="auto"/>
            </w:tcBorders>
          </w:tcPr>
          <w:p w14:paraId="1EDDE453"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p>
        </w:tc>
      </w:tr>
      <w:tr w:rsidR="00214D77" w:rsidRPr="00214D77" w14:paraId="4443B581" w14:textId="77777777" w:rsidTr="00214D77">
        <w:tc>
          <w:tcPr>
            <w:tcW w:w="784" w:type="pct"/>
            <w:tcBorders>
              <w:top w:val="nil"/>
              <w:left w:val="single" w:sz="4" w:space="0" w:color="auto"/>
              <w:bottom w:val="single" w:sz="4" w:space="0" w:color="auto"/>
              <w:right w:val="single" w:sz="4" w:space="0" w:color="auto"/>
            </w:tcBorders>
          </w:tcPr>
          <w:p w14:paraId="5AF5CB47"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r w:rsidRPr="00214D77">
              <w:rPr>
                <w:rFonts w:ascii="Arial Narrow" w:eastAsia="Calibri" w:hAnsi="Arial Narrow"/>
                <w:sz w:val="20"/>
              </w:rPr>
              <w:t>Naïve indirect comparison</w:t>
            </w:r>
          </w:p>
        </w:tc>
        <w:tc>
          <w:tcPr>
            <w:tcW w:w="1886" w:type="pct"/>
            <w:tcBorders>
              <w:top w:val="nil"/>
              <w:left w:val="single" w:sz="4" w:space="0" w:color="auto"/>
              <w:bottom w:val="single" w:sz="4" w:space="0" w:color="auto"/>
              <w:right w:val="single" w:sz="4" w:space="0" w:color="auto"/>
            </w:tcBorders>
          </w:tcPr>
          <w:p w14:paraId="228436A4" w14:textId="2DC87896"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r w:rsidRPr="00214D77">
              <w:rPr>
                <w:rFonts w:ascii="Arial Narrow" w:eastAsia="Calibri" w:hAnsi="Arial Narrow"/>
                <w:sz w:val="20"/>
              </w:rPr>
              <w:t>[</w:t>
            </w:r>
            <w:r w:rsidRPr="00214D77">
              <w:rPr>
                <w:rFonts w:ascii="Arial Narrow" w:eastAsia="Calibri" w:hAnsi="Arial Narrow"/>
                <w:i/>
                <w:sz w:val="20"/>
              </w:rPr>
              <w:t>NTRK</w:t>
            </w:r>
            <w:r w:rsidRPr="00214D77">
              <w:rPr>
                <w:rFonts w:ascii="Arial Narrow" w:eastAsia="Calibri" w:hAnsi="Arial Narrow"/>
                <w:sz w:val="20"/>
              </w:rPr>
              <w:t xml:space="preserve"> fusion positive patients from 3 single</w:t>
            </w:r>
            <w:r w:rsidR="00057EDA">
              <w:rPr>
                <w:rFonts w:ascii="Arial Narrow" w:eastAsia="Calibri" w:hAnsi="Arial Narrow"/>
                <w:sz w:val="20"/>
              </w:rPr>
              <w:t>-</w:t>
            </w:r>
            <w:r w:rsidRPr="00214D77">
              <w:rPr>
                <w:rFonts w:ascii="Arial Narrow" w:eastAsia="Calibri" w:hAnsi="Arial Narrow"/>
                <w:sz w:val="20"/>
              </w:rPr>
              <w:t xml:space="preserve">arm larotrectinib studies and SoC patients, regardless of </w:t>
            </w:r>
            <w:r w:rsidRPr="00214D77">
              <w:rPr>
                <w:rFonts w:ascii="Arial Narrow" w:eastAsia="Calibri" w:hAnsi="Arial Narrow"/>
                <w:i/>
                <w:sz w:val="20"/>
              </w:rPr>
              <w:t>NTRK</w:t>
            </w:r>
            <w:r w:rsidRPr="00214D77">
              <w:rPr>
                <w:rFonts w:ascii="Arial Narrow" w:eastAsia="Calibri" w:hAnsi="Arial Narrow"/>
                <w:sz w:val="20"/>
              </w:rPr>
              <w:t xml:space="preserve"> fusion status, from single arms of 11 historical studies]</w:t>
            </w:r>
          </w:p>
        </w:tc>
        <w:tc>
          <w:tcPr>
            <w:tcW w:w="1337" w:type="pct"/>
            <w:tcBorders>
              <w:top w:val="nil"/>
              <w:left w:val="single" w:sz="4" w:space="0" w:color="auto"/>
              <w:bottom w:val="single" w:sz="4" w:space="0" w:color="auto"/>
              <w:right w:val="single" w:sz="4" w:space="0" w:color="auto"/>
            </w:tcBorders>
          </w:tcPr>
          <w:p w14:paraId="4530EEDF" w14:textId="14D9EF13" w:rsidR="00214D77" w:rsidRPr="00214D77" w:rsidRDefault="00B57336" w:rsidP="0009334C">
            <w:pPr>
              <w:keepNext/>
              <w:keepLines/>
              <w:widowControl w:val="0"/>
              <w:tabs>
                <w:tab w:val="left" w:pos="492"/>
                <w:tab w:val="left" w:pos="1168"/>
              </w:tabs>
              <w:spacing w:before="40" w:after="40"/>
              <w:ind w:right="-57"/>
              <w:jc w:val="left"/>
              <w:rPr>
                <w:rFonts w:ascii="Arial Narrow" w:eastAsia="Calibri" w:hAnsi="Arial Narrow"/>
                <w:sz w:val="20"/>
              </w:rPr>
            </w:pPr>
            <w:sdt>
              <w:sdtPr>
                <w:rPr>
                  <w:rFonts w:ascii="Arial Narrow" w:eastAsia="Calibri" w:hAnsi="Arial Narrow"/>
                  <w:sz w:val="20"/>
                </w:rPr>
                <w:id w:val="462245051"/>
                <w14:checkbox>
                  <w14:checked w14:val="1"/>
                  <w14:checkedState w14:val="2612" w14:font="MS Gothic"/>
                  <w14:uncheckedState w14:val="2610" w14:font="MS Gothic"/>
                </w14:checkbox>
              </w:sdtPr>
              <w:sdtEndPr/>
              <w:sdtContent>
                <w:r w:rsidR="00214D77" w:rsidRPr="00214D77">
                  <w:rPr>
                    <w:rFonts w:ascii="Segoe UI Symbol" w:eastAsia="Calibri" w:hAnsi="Segoe UI Symbol" w:cs="Segoe UI Symbol"/>
                    <w:sz w:val="20"/>
                  </w:rPr>
                  <w:t>☒</w:t>
                </w:r>
              </w:sdtContent>
            </w:sdt>
            <w:r w:rsidR="00214D77" w:rsidRPr="00214D77">
              <w:rPr>
                <w:rFonts w:ascii="Arial Narrow" w:eastAsia="Calibri" w:hAnsi="Arial Narrow"/>
                <w:sz w:val="20"/>
              </w:rPr>
              <w:tab/>
              <w:t>k=3</w:t>
            </w:r>
            <w:r w:rsidR="00214D77" w:rsidRPr="00214D77">
              <w:rPr>
                <w:rFonts w:ascii="Arial Narrow" w:eastAsia="Calibri" w:hAnsi="Arial Narrow"/>
                <w:sz w:val="20"/>
              </w:rPr>
              <w:tab/>
              <w:t>n=225</w:t>
            </w:r>
          </w:p>
          <w:p w14:paraId="0148AAD2" w14:textId="77777777" w:rsidR="00214D77" w:rsidRPr="00214D77" w:rsidRDefault="00B57336" w:rsidP="0009334C">
            <w:pPr>
              <w:keepNext/>
              <w:keepLines/>
              <w:widowControl w:val="0"/>
              <w:tabs>
                <w:tab w:val="left" w:pos="492"/>
                <w:tab w:val="left" w:pos="1168"/>
              </w:tabs>
              <w:spacing w:before="40" w:after="40" w:line="256" w:lineRule="auto"/>
              <w:ind w:right="-57"/>
              <w:jc w:val="left"/>
              <w:rPr>
                <w:rFonts w:ascii="Arial Narrow" w:eastAsia="Calibri" w:hAnsi="Arial Narrow"/>
                <w:sz w:val="20"/>
              </w:rPr>
            </w:pPr>
            <w:sdt>
              <w:sdtPr>
                <w:rPr>
                  <w:rFonts w:ascii="Arial Narrow" w:eastAsia="Calibri" w:hAnsi="Arial Narrow"/>
                  <w:sz w:val="20"/>
                </w:rPr>
                <w:id w:val="1789946"/>
                <w14:checkbox>
                  <w14:checked w14:val="1"/>
                  <w14:checkedState w14:val="2612" w14:font="MS Gothic"/>
                  <w14:uncheckedState w14:val="2610" w14:font="MS Gothic"/>
                </w14:checkbox>
              </w:sdtPr>
              <w:sdtEndPr/>
              <w:sdtContent>
                <w:r w:rsidR="00214D77" w:rsidRPr="00214D77">
                  <w:rPr>
                    <w:rFonts w:ascii="Segoe UI Symbol" w:eastAsia="Calibri" w:hAnsi="Segoe UI Symbol" w:cs="Segoe UI Symbol"/>
                    <w:sz w:val="20"/>
                  </w:rPr>
                  <w:t>☒</w:t>
                </w:r>
              </w:sdtContent>
            </w:sdt>
            <w:r w:rsidR="00214D77" w:rsidRPr="00214D77">
              <w:rPr>
                <w:rFonts w:ascii="Arial Narrow" w:eastAsia="Calibri" w:hAnsi="Arial Narrow"/>
                <w:sz w:val="20"/>
              </w:rPr>
              <w:tab/>
              <w:t>k=11</w:t>
            </w:r>
            <w:r w:rsidR="00214D77" w:rsidRPr="00214D77">
              <w:rPr>
                <w:rFonts w:ascii="Arial Narrow" w:eastAsia="Calibri" w:hAnsi="Arial Narrow"/>
                <w:sz w:val="20"/>
              </w:rPr>
              <w:tab/>
              <w:t>n=2,356</w:t>
            </w:r>
          </w:p>
          <w:p w14:paraId="5BCDEA8B" w14:textId="77777777" w:rsidR="00214D77" w:rsidRPr="00214D77" w:rsidRDefault="00214D77" w:rsidP="0009334C">
            <w:pPr>
              <w:keepNext/>
              <w:keepLines/>
              <w:widowControl w:val="0"/>
              <w:tabs>
                <w:tab w:val="left" w:pos="492"/>
                <w:tab w:val="left" w:pos="1168"/>
              </w:tabs>
              <w:spacing w:before="40" w:after="40" w:line="256" w:lineRule="auto"/>
              <w:ind w:right="-57"/>
              <w:jc w:val="left"/>
              <w:rPr>
                <w:rFonts w:ascii="Arial Narrow" w:eastAsia="Calibri" w:hAnsi="Arial Narrow"/>
                <w:sz w:val="20"/>
              </w:rPr>
            </w:pPr>
            <w:r w:rsidRPr="00214D77">
              <w:rPr>
                <w:rFonts w:ascii="Arial Narrow" w:eastAsia="Calibri" w:hAnsi="Arial Narrow"/>
                <w:sz w:val="20"/>
              </w:rPr>
              <w:t>Population 1: n= 62 vs 199</w:t>
            </w:r>
          </w:p>
          <w:p w14:paraId="05ABAF71" w14:textId="77777777" w:rsidR="00214D77" w:rsidRPr="00214D77" w:rsidRDefault="00214D77" w:rsidP="0009334C">
            <w:pPr>
              <w:keepNext/>
              <w:keepLines/>
              <w:widowControl w:val="0"/>
              <w:tabs>
                <w:tab w:val="left" w:pos="492"/>
                <w:tab w:val="left" w:pos="1168"/>
              </w:tabs>
              <w:spacing w:before="40" w:after="40" w:line="256" w:lineRule="auto"/>
              <w:ind w:right="-57"/>
              <w:jc w:val="left"/>
              <w:rPr>
                <w:rFonts w:ascii="Arial Narrow" w:eastAsia="Calibri" w:hAnsi="Arial Narrow"/>
                <w:sz w:val="20"/>
              </w:rPr>
            </w:pPr>
            <w:r w:rsidRPr="00214D77">
              <w:rPr>
                <w:rFonts w:ascii="Arial Narrow" w:eastAsia="Calibri" w:hAnsi="Arial Narrow"/>
                <w:sz w:val="20"/>
              </w:rPr>
              <w:t>Population 2: n= 23 vs 20</w:t>
            </w:r>
          </w:p>
          <w:p w14:paraId="267631EF" w14:textId="77777777" w:rsidR="00214D77" w:rsidRPr="00214D77" w:rsidRDefault="00214D77" w:rsidP="0009334C">
            <w:pPr>
              <w:keepNext/>
              <w:keepLines/>
              <w:widowControl w:val="0"/>
              <w:tabs>
                <w:tab w:val="left" w:pos="492"/>
                <w:tab w:val="left" w:pos="1168"/>
              </w:tabs>
              <w:spacing w:before="40" w:after="40" w:line="256" w:lineRule="auto"/>
              <w:ind w:right="-57"/>
              <w:jc w:val="left"/>
              <w:rPr>
                <w:rFonts w:ascii="Arial Narrow" w:eastAsia="Calibri" w:hAnsi="Arial Narrow"/>
                <w:sz w:val="20"/>
              </w:rPr>
            </w:pPr>
            <w:r w:rsidRPr="00214D77">
              <w:rPr>
                <w:rFonts w:ascii="Arial Narrow" w:eastAsia="Calibri" w:hAnsi="Arial Narrow"/>
                <w:sz w:val="20"/>
              </w:rPr>
              <w:t>Population 3: n= 26 vs 208</w:t>
            </w:r>
          </w:p>
          <w:p w14:paraId="1F6653ED" w14:textId="77777777" w:rsidR="00214D77" w:rsidRPr="00214D77" w:rsidRDefault="00214D77" w:rsidP="0009334C">
            <w:pPr>
              <w:keepNext/>
              <w:keepLines/>
              <w:widowControl w:val="0"/>
              <w:tabs>
                <w:tab w:val="left" w:pos="492"/>
                <w:tab w:val="left" w:pos="1168"/>
              </w:tabs>
              <w:spacing w:before="40" w:after="40" w:line="256" w:lineRule="auto"/>
              <w:ind w:right="-57"/>
              <w:jc w:val="left"/>
              <w:rPr>
                <w:rFonts w:ascii="Arial Narrow" w:eastAsia="Calibri" w:hAnsi="Arial Narrow"/>
                <w:sz w:val="20"/>
                <w:highlight w:val="yellow"/>
              </w:rPr>
            </w:pPr>
            <w:r w:rsidRPr="00214D77">
              <w:rPr>
                <w:rFonts w:ascii="Arial Narrow" w:eastAsia="Calibri" w:hAnsi="Arial Narrow"/>
                <w:sz w:val="20"/>
              </w:rPr>
              <w:t>Population 4: n= 74 vs 1,929</w:t>
            </w:r>
          </w:p>
        </w:tc>
        <w:tc>
          <w:tcPr>
            <w:tcW w:w="993" w:type="pct"/>
            <w:tcBorders>
              <w:top w:val="nil"/>
              <w:left w:val="single" w:sz="4" w:space="0" w:color="auto"/>
              <w:bottom w:val="single" w:sz="4" w:space="0" w:color="auto"/>
              <w:right w:val="single" w:sz="4" w:space="0" w:color="auto"/>
            </w:tcBorders>
          </w:tcPr>
          <w:p w14:paraId="33AE641F" w14:textId="1E2F5152"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r w:rsidRPr="00214D77">
              <w:rPr>
                <w:rFonts w:ascii="Arial Narrow" w:eastAsia="Calibri" w:hAnsi="Arial Narrow"/>
                <w:sz w:val="20"/>
              </w:rPr>
              <w:t>High</w:t>
            </w:r>
          </w:p>
        </w:tc>
      </w:tr>
    </w:tbl>
    <w:p w14:paraId="7496F133" w14:textId="42F61588" w:rsidR="00214D77" w:rsidRPr="00214D77" w:rsidRDefault="00214D77" w:rsidP="0009334C">
      <w:pPr>
        <w:keepNext/>
        <w:keepLines/>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k = number of studies, n = number of patients</w:t>
      </w:r>
      <w:r w:rsidR="00CF178C">
        <w:rPr>
          <w:rFonts w:ascii="Arial Narrow" w:eastAsia="Times New Roman" w:hAnsi="Arial Narrow" w:cs="Arial"/>
          <w:snapToGrid w:val="0"/>
          <w:sz w:val="18"/>
          <w:szCs w:val="20"/>
        </w:rPr>
        <w:t xml:space="preserve">; </w:t>
      </w:r>
      <w:r w:rsidR="00CF178C" w:rsidRPr="00CF178C">
        <w:rPr>
          <w:rFonts w:ascii="Arial Narrow" w:eastAsia="Times New Roman" w:hAnsi="Arial Narrow" w:cs="Arial"/>
          <w:snapToGrid w:val="0"/>
          <w:sz w:val="18"/>
          <w:szCs w:val="20"/>
        </w:rPr>
        <w:t>Population 1=Paediatric high frequency; Population 2=Adult high frequency; Population 3=Paediatric low frequency; Population 4=Adult low frequency</w:t>
      </w:r>
      <w:r w:rsidRPr="00214D77">
        <w:rPr>
          <w:rFonts w:ascii="Arial Narrow" w:eastAsia="Times New Roman" w:hAnsi="Arial Narrow" w:cs="Arial"/>
          <w:snapToGrid w:val="0"/>
          <w:sz w:val="18"/>
          <w:szCs w:val="20"/>
        </w:rPr>
        <w:t>.</w:t>
      </w:r>
    </w:p>
    <w:p w14:paraId="5DB01B79" w14:textId="1162D2DA" w:rsidR="00214D77" w:rsidRDefault="00214D77" w:rsidP="0028467B">
      <w:pPr>
        <w:keepNext/>
        <w:keepLines/>
        <w:widowControl w:val="0"/>
        <w:spacing w:before="0" w:after="240"/>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Source: Constructed during evaluation</w:t>
      </w:r>
    </w:p>
    <w:p w14:paraId="481AEB2A" w14:textId="60F6A58F" w:rsidR="00214D77" w:rsidRPr="00214D77" w:rsidRDefault="00214D77" w:rsidP="000D274E">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The resubmission presented evidence to address parts of the analytic framework as outlined in </w:t>
      </w:r>
      <w:r w:rsidRPr="00214D77">
        <w:rPr>
          <w:rFonts w:ascii="Times New Roman" w:eastAsia="Calibri" w:hAnsi="Times New Roman" w:cs="Times New Roman"/>
        </w:rPr>
        <w:fldChar w:fldCharType="begin"/>
      </w:r>
      <w:r w:rsidRPr="00214D77">
        <w:rPr>
          <w:rFonts w:ascii="Times New Roman" w:eastAsia="Calibri" w:hAnsi="Times New Roman" w:cs="Times New Roman"/>
        </w:rPr>
        <w:instrText xml:space="preserve"> REF _Ref496876353 \h </w:instrText>
      </w:r>
      <w:r w:rsidRPr="00214D77">
        <w:rPr>
          <w:rFonts w:ascii="Times New Roman" w:eastAsia="Calibri" w:hAnsi="Times New Roman" w:cs="Times New Roman"/>
        </w:rPr>
      </w:r>
      <w:r w:rsidRPr="00214D77">
        <w:rPr>
          <w:rFonts w:ascii="Times New Roman" w:eastAsia="Calibri" w:hAnsi="Times New Roman" w:cs="Times New Roman"/>
        </w:rPr>
        <w:fldChar w:fldCharType="separate"/>
      </w:r>
      <w:r w:rsidRPr="00214D77">
        <w:rPr>
          <w:rFonts w:ascii="Times New Roman" w:eastAsia="Calibri" w:hAnsi="Times New Roman" w:cs="Times New Roman"/>
        </w:rPr>
        <w:t xml:space="preserve">Table </w:t>
      </w:r>
      <w:r w:rsidRPr="00214D77">
        <w:rPr>
          <w:rFonts w:ascii="Times New Roman" w:eastAsia="Calibri" w:hAnsi="Times New Roman" w:cs="Times New Roman"/>
          <w:noProof/>
        </w:rPr>
        <w:t>5</w:t>
      </w:r>
      <w:r w:rsidRPr="00214D77">
        <w:rPr>
          <w:rFonts w:ascii="Times New Roman" w:eastAsia="Calibri" w:hAnsi="Times New Roman" w:cs="Times New Roman"/>
        </w:rPr>
        <w:fldChar w:fldCharType="end"/>
      </w:r>
      <w:r w:rsidRPr="00214D77">
        <w:rPr>
          <w:rFonts w:ascii="Times New Roman" w:eastAsia="Calibri" w:hAnsi="Times New Roman" w:cs="Times New Roman"/>
        </w:rPr>
        <w:t>. The new evidence provided in the resubmission or during evaluation has been underlined.</w:t>
      </w:r>
    </w:p>
    <w:p w14:paraId="4BBC8DE9" w14:textId="713A55C8" w:rsidR="00214D77" w:rsidRPr="00214D77" w:rsidRDefault="00214D77" w:rsidP="0009334C">
      <w:pPr>
        <w:keepNext/>
        <w:keepLines/>
        <w:spacing w:before="0" w:after="40"/>
        <w:outlineLvl w:val="4"/>
        <w:rPr>
          <w:rFonts w:ascii="Arial Narrow" w:eastAsia="Times New Roman" w:hAnsi="Arial Narrow" w:cs="Arial"/>
          <w:b/>
          <w:bCs/>
          <w:iCs/>
          <w:sz w:val="20"/>
          <w:szCs w:val="20"/>
        </w:rPr>
      </w:pPr>
      <w:bookmarkStart w:id="7" w:name="_Ref496876353"/>
      <w:r w:rsidRPr="00214D77">
        <w:rPr>
          <w:rFonts w:ascii="Arial Narrow" w:eastAsia="Times New Roman" w:hAnsi="Arial Narrow" w:cs="Arial"/>
          <w:b/>
          <w:bCs/>
          <w:iCs/>
          <w:sz w:val="20"/>
          <w:szCs w:val="20"/>
        </w:rPr>
        <w:lastRenderedPageBreak/>
        <w:t xml:space="preserve">Table </w:t>
      </w:r>
      <w:bookmarkEnd w:id="7"/>
      <w:r w:rsidRPr="00214D77">
        <w:rPr>
          <w:rFonts w:ascii="Arial Narrow" w:eastAsia="Times New Roman" w:hAnsi="Arial Narrow" w:cs="Arial"/>
          <w:b/>
          <w:bCs/>
          <w:iCs/>
          <w:sz w:val="20"/>
          <w:szCs w:val="20"/>
        </w:rPr>
        <w:t>5</w:t>
      </w:r>
      <w:r w:rsidRPr="00214D77">
        <w:rPr>
          <w:rFonts w:ascii="Arial Narrow" w:eastAsia="Times New Roman" w:hAnsi="Arial Narrow" w:cs="Arial"/>
          <w:b/>
          <w:bCs/>
          <w:iCs/>
          <w:sz w:val="20"/>
          <w:szCs w:val="20"/>
        </w:rPr>
        <w:tab/>
        <w:t>Data availability to inform comparisons</w:t>
      </w:r>
    </w:p>
    <w:tbl>
      <w:tblPr>
        <w:tblStyle w:val="HTATableshade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5 Data availability to inform comparisons"/>
        <w:tblDescription w:val="Sumamry of resubmissions clinical data"/>
      </w:tblPr>
      <w:tblGrid>
        <w:gridCol w:w="1696"/>
        <w:gridCol w:w="3632"/>
        <w:gridCol w:w="3688"/>
      </w:tblGrid>
      <w:tr w:rsidR="00214D77" w:rsidRPr="00214D77" w14:paraId="10EA5F09" w14:textId="77777777" w:rsidTr="002045D9">
        <w:trPr>
          <w:cnfStyle w:val="100000000000" w:firstRow="1" w:lastRow="0" w:firstColumn="0" w:lastColumn="0" w:oddVBand="0" w:evenVBand="0" w:oddHBand="0" w:evenHBand="0" w:firstRowFirstColumn="0" w:firstRowLastColumn="0" w:lastRowFirstColumn="0" w:lastRowLastColumn="0"/>
        </w:trPr>
        <w:tc>
          <w:tcPr>
            <w:tcW w:w="941" w:type="pct"/>
            <w:tcBorders>
              <w:top w:val="single" w:sz="4" w:space="0" w:color="000000"/>
              <w:left w:val="single" w:sz="4" w:space="0" w:color="000000"/>
              <w:bottom w:val="single" w:sz="4" w:space="0" w:color="000000"/>
              <w:right w:val="single" w:sz="4" w:space="0" w:color="000000"/>
            </w:tcBorders>
            <w:hideMark/>
          </w:tcPr>
          <w:p w14:paraId="1B9D13D1"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Proposed test vs alternate test</w:t>
            </w:r>
          </w:p>
        </w:tc>
        <w:tc>
          <w:tcPr>
            <w:tcW w:w="4059" w:type="pct"/>
            <w:gridSpan w:val="2"/>
            <w:tcBorders>
              <w:top w:val="single" w:sz="4" w:space="0" w:color="000000"/>
              <w:left w:val="single" w:sz="4" w:space="0" w:color="000000"/>
              <w:bottom w:val="single" w:sz="4" w:space="0" w:color="000000"/>
              <w:right w:val="single" w:sz="4" w:space="0" w:color="000000"/>
            </w:tcBorders>
            <w:hideMark/>
          </w:tcPr>
          <w:p w14:paraId="740DE92D"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DNA-NGS vs RNA-NGS: 3 (</w:t>
            </w:r>
            <w:r w:rsidRPr="00214D77">
              <w:rPr>
                <w:rFonts w:ascii="Arial Narrow" w:eastAsia="Calibri" w:hAnsi="Arial Narrow"/>
                <w:sz w:val="20"/>
                <w:u w:val="single"/>
              </w:rPr>
              <w:t>plus 1 new</w:t>
            </w:r>
            <w:r w:rsidRPr="00214D77">
              <w:rPr>
                <w:rFonts w:ascii="Arial Narrow" w:eastAsia="Calibri" w:hAnsi="Arial Narrow"/>
                <w:sz w:val="20"/>
              </w:rPr>
              <w:t>) comparative studies</w:t>
            </w:r>
          </w:p>
          <w:p w14:paraId="54B762A6"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FISH vs RNA-NGS: 1 comparative study</w:t>
            </w:r>
          </w:p>
          <w:p w14:paraId="1A506B86"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 xml:space="preserve">IHC vs FISH: </w:t>
            </w:r>
            <w:r w:rsidRPr="00214D77">
              <w:rPr>
                <w:rFonts w:ascii="Arial Narrow" w:eastAsia="Calibri" w:hAnsi="Arial Narrow"/>
                <w:sz w:val="20"/>
                <w:u w:val="single"/>
              </w:rPr>
              <w:t>2 comparative studies</w:t>
            </w:r>
          </w:p>
          <w:p w14:paraId="1A39B8C4"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IHC vs RNA-NGS: 1 (</w:t>
            </w:r>
            <w:r w:rsidRPr="00214D77">
              <w:rPr>
                <w:rFonts w:ascii="Arial Narrow" w:eastAsia="Calibri" w:hAnsi="Arial Narrow"/>
                <w:sz w:val="20"/>
                <w:u w:val="single"/>
              </w:rPr>
              <w:t>plus 2 new</w:t>
            </w:r>
            <w:r w:rsidRPr="00214D77">
              <w:rPr>
                <w:rFonts w:ascii="Arial Narrow" w:eastAsia="Calibri" w:hAnsi="Arial Narrow"/>
                <w:sz w:val="20"/>
              </w:rPr>
              <w:t>) comparative studies, 2 case-control studies</w:t>
            </w:r>
          </w:p>
          <w:p w14:paraId="3371FCD0"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IHC vs DNA-NGS: 1 case-control study</w:t>
            </w:r>
          </w:p>
          <w:p w14:paraId="36FC8796" w14:textId="77777777" w:rsidR="00214D77" w:rsidRPr="00214D77" w:rsidRDefault="00214D77" w:rsidP="0009334C">
            <w:pPr>
              <w:keepNext/>
              <w:keepLines/>
              <w:widowControl w:val="0"/>
              <w:spacing w:before="40" w:after="40" w:line="256" w:lineRule="auto"/>
              <w:jc w:val="left"/>
              <w:rPr>
                <w:rFonts w:ascii="Arial Narrow" w:eastAsia="Calibri" w:hAnsi="Arial Narrow"/>
                <w:b/>
                <w:sz w:val="20"/>
              </w:rPr>
            </w:pPr>
            <w:r w:rsidRPr="00214D77">
              <w:rPr>
                <w:rFonts w:ascii="Arial Narrow" w:eastAsia="Calibri" w:hAnsi="Arial Narrow"/>
                <w:sz w:val="20"/>
              </w:rPr>
              <w:t>IHC positive vs RNA-NGS or FISH: 6</w:t>
            </w:r>
            <w:r w:rsidRPr="00214D77">
              <w:rPr>
                <w:rFonts w:ascii="Arial Narrow" w:eastAsia="Calibri" w:hAnsi="Arial Narrow"/>
                <w:sz w:val="20"/>
                <w:u w:val="single"/>
              </w:rPr>
              <w:t xml:space="preserve"> cohort studies</w:t>
            </w:r>
          </w:p>
        </w:tc>
      </w:tr>
      <w:tr w:rsidR="00214D77" w:rsidRPr="00214D77" w14:paraId="2EA3F89E" w14:textId="77777777" w:rsidTr="002045D9">
        <w:tc>
          <w:tcPr>
            <w:tcW w:w="941" w:type="pct"/>
            <w:tcBorders>
              <w:top w:val="single" w:sz="4" w:space="0" w:color="000000"/>
              <w:left w:val="single" w:sz="4" w:space="0" w:color="000000"/>
              <w:bottom w:val="single" w:sz="4" w:space="0" w:color="000000"/>
              <w:right w:val="single" w:sz="4" w:space="0" w:color="000000"/>
            </w:tcBorders>
          </w:tcPr>
          <w:p w14:paraId="0A4C9212" w14:textId="77777777" w:rsidR="00214D77" w:rsidRPr="00214D77" w:rsidRDefault="00214D77" w:rsidP="0009334C">
            <w:pPr>
              <w:keepNext/>
              <w:keepLines/>
              <w:widowControl w:val="0"/>
              <w:spacing w:before="40" w:after="40" w:line="257" w:lineRule="auto"/>
              <w:jc w:val="left"/>
              <w:rPr>
                <w:rFonts w:ascii="Arial Narrow" w:eastAsia="Calibri" w:hAnsi="Arial Narrow"/>
                <w:sz w:val="20"/>
              </w:rPr>
            </w:pPr>
          </w:p>
        </w:tc>
        <w:tc>
          <w:tcPr>
            <w:tcW w:w="2014" w:type="pct"/>
            <w:tcBorders>
              <w:top w:val="single" w:sz="4" w:space="0" w:color="000000"/>
              <w:left w:val="single" w:sz="4" w:space="0" w:color="000000"/>
              <w:bottom w:val="single" w:sz="4" w:space="0" w:color="000000"/>
              <w:right w:val="single" w:sz="4" w:space="0" w:color="000000"/>
            </w:tcBorders>
            <w:hideMark/>
          </w:tcPr>
          <w:p w14:paraId="368C800D" w14:textId="77777777" w:rsidR="00214D77" w:rsidRPr="00214D77" w:rsidRDefault="00214D77" w:rsidP="0009334C">
            <w:pPr>
              <w:keepNext/>
              <w:keepLines/>
              <w:widowControl w:val="0"/>
              <w:spacing w:before="40" w:after="40" w:line="257" w:lineRule="auto"/>
              <w:jc w:val="left"/>
              <w:rPr>
                <w:rFonts w:ascii="Arial Narrow" w:eastAsia="Calibri" w:hAnsi="Arial Narrow"/>
                <w:b/>
                <w:sz w:val="20"/>
              </w:rPr>
            </w:pPr>
            <w:r w:rsidRPr="00214D77">
              <w:rPr>
                <w:rFonts w:ascii="Arial Narrow" w:eastAsia="Calibri" w:hAnsi="Arial Narrow"/>
                <w:b/>
                <w:sz w:val="20"/>
              </w:rPr>
              <w:t>Proposed medicine</w:t>
            </w:r>
          </w:p>
        </w:tc>
        <w:tc>
          <w:tcPr>
            <w:tcW w:w="2046" w:type="pct"/>
            <w:tcBorders>
              <w:top w:val="single" w:sz="4" w:space="0" w:color="000000"/>
              <w:left w:val="single" w:sz="4" w:space="0" w:color="000000"/>
              <w:bottom w:val="single" w:sz="4" w:space="0" w:color="000000"/>
              <w:right w:val="single" w:sz="4" w:space="0" w:color="000000"/>
            </w:tcBorders>
            <w:hideMark/>
          </w:tcPr>
          <w:p w14:paraId="47193F73" w14:textId="77777777" w:rsidR="00214D77" w:rsidRPr="00214D77" w:rsidRDefault="00214D77" w:rsidP="0009334C">
            <w:pPr>
              <w:keepNext/>
              <w:keepLines/>
              <w:widowControl w:val="0"/>
              <w:spacing w:before="40" w:after="40" w:line="257" w:lineRule="auto"/>
              <w:jc w:val="left"/>
              <w:rPr>
                <w:rFonts w:ascii="Arial Narrow" w:eastAsia="Calibri" w:hAnsi="Arial Narrow"/>
                <w:b/>
                <w:sz w:val="20"/>
              </w:rPr>
            </w:pPr>
            <w:r w:rsidRPr="00214D77">
              <w:rPr>
                <w:rFonts w:ascii="Arial Narrow" w:eastAsia="Calibri" w:hAnsi="Arial Narrow"/>
                <w:b/>
                <w:sz w:val="20"/>
              </w:rPr>
              <w:t>Comparator medicine</w:t>
            </w:r>
          </w:p>
        </w:tc>
      </w:tr>
      <w:tr w:rsidR="00214D77" w:rsidRPr="00214D77" w14:paraId="0F212748" w14:textId="77777777" w:rsidTr="002045D9">
        <w:tc>
          <w:tcPr>
            <w:tcW w:w="941" w:type="pct"/>
            <w:tcBorders>
              <w:top w:val="single" w:sz="4" w:space="0" w:color="000000"/>
              <w:left w:val="single" w:sz="4" w:space="0" w:color="000000"/>
              <w:bottom w:val="single" w:sz="4" w:space="0" w:color="000000"/>
              <w:right w:val="single" w:sz="4" w:space="0" w:color="000000"/>
            </w:tcBorders>
            <w:hideMark/>
          </w:tcPr>
          <w:p w14:paraId="63859712"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Biomarker test positive</w:t>
            </w:r>
          </w:p>
        </w:tc>
        <w:tc>
          <w:tcPr>
            <w:tcW w:w="2014" w:type="pct"/>
            <w:tcBorders>
              <w:top w:val="single" w:sz="4" w:space="0" w:color="000000"/>
              <w:left w:val="single" w:sz="4" w:space="0" w:color="000000"/>
              <w:bottom w:val="single" w:sz="4" w:space="0" w:color="000000"/>
              <w:right w:val="single" w:sz="4" w:space="0" w:color="000000"/>
            </w:tcBorders>
            <w:hideMark/>
          </w:tcPr>
          <w:p w14:paraId="170166EE"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LOXO-001, NAVIGATE, SCOUT single-arm studies (</w:t>
            </w:r>
            <w:r w:rsidRPr="00214D77">
              <w:rPr>
                <w:rFonts w:ascii="Arial Narrow" w:eastAsia="Calibri" w:hAnsi="Arial Narrow"/>
                <w:sz w:val="20"/>
                <w:u w:val="single"/>
              </w:rPr>
              <w:t xml:space="preserve">updated data from NAVIGATE and SCOUT; July 2020 data </w:t>
            </w:r>
            <w:proofErr w:type="spellStart"/>
            <w:r w:rsidRPr="00214D77">
              <w:rPr>
                <w:rFonts w:ascii="Arial Narrow" w:eastAsia="Calibri" w:hAnsi="Arial Narrow"/>
                <w:sz w:val="20"/>
                <w:u w:val="single"/>
              </w:rPr>
              <w:t>cutoff</w:t>
            </w:r>
            <w:proofErr w:type="spellEnd"/>
            <w:r w:rsidRPr="00214D77">
              <w:rPr>
                <w:rFonts w:ascii="Arial Narrow" w:eastAsia="Calibri" w:hAnsi="Arial Narrow"/>
                <w:sz w:val="20"/>
              </w:rPr>
              <w:t>).</w:t>
            </w:r>
          </w:p>
          <w:p w14:paraId="2BD686B0"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 xml:space="preserve">Updated pooled data across the LOXO-001, NAVIGATE, and SCOUT studies bases on new July 2020 </w:t>
            </w:r>
            <w:proofErr w:type="spellStart"/>
            <w:r w:rsidRPr="00214D77">
              <w:rPr>
                <w:rFonts w:ascii="Arial Narrow" w:eastAsia="Calibri" w:hAnsi="Arial Narrow"/>
                <w:sz w:val="20"/>
              </w:rPr>
              <w:t>cutoff</w:t>
            </w:r>
            <w:proofErr w:type="spellEnd"/>
            <w:r w:rsidRPr="00214D77">
              <w:rPr>
                <w:rFonts w:ascii="Arial Narrow" w:eastAsia="Calibri" w:hAnsi="Arial Narrow"/>
                <w:sz w:val="20"/>
              </w:rPr>
              <w:t xml:space="preserve"> (</w:t>
            </w:r>
            <w:r w:rsidRPr="00214D77">
              <w:rPr>
                <w:rFonts w:ascii="Arial Narrow" w:eastAsia="Calibri" w:hAnsi="Arial Narrow"/>
                <w:sz w:val="20"/>
                <w:u w:val="single"/>
              </w:rPr>
              <w:t>ePAS5 and “SAS New”</w:t>
            </w:r>
            <w:r w:rsidRPr="00214D77">
              <w:rPr>
                <w:rFonts w:ascii="Arial Narrow" w:eastAsia="Calibri" w:hAnsi="Arial Narrow"/>
                <w:sz w:val="20"/>
              </w:rPr>
              <w:t xml:space="preserve">) </w:t>
            </w:r>
          </w:p>
        </w:tc>
        <w:tc>
          <w:tcPr>
            <w:tcW w:w="2046" w:type="pct"/>
            <w:tcBorders>
              <w:top w:val="single" w:sz="4" w:space="0" w:color="000000"/>
              <w:left w:val="single" w:sz="4" w:space="0" w:color="000000"/>
              <w:bottom w:val="single" w:sz="4" w:space="0" w:color="000000"/>
              <w:right w:val="single" w:sz="4" w:space="0" w:color="000000"/>
            </w:tcBorders>
            <w:hideMark/>
          </w:tcPr>
          <w:p w14:paraId="5FF9D9B0" w14:textId="77777777" w:rsidR="00214D77" w:rsidRPr="00214D77" w:rsidRDefault="00214D77" w:rsidP="0009334C">
            <w:pPr>
              <w:keepNext/>
              <w:keepLines/>
              <w:widowControl w:val="0"/>
              <w:spacing w:before="40" w:after="40" w:line="256" w:lineRule="auto"/>
              <w:jc w:val="left"/>
              <w:rPr>
                <w:rFonts w:ascii="Arial Narrow" w:eastAsia="Calibri" w:hAnsi="Arial Narrow"/>
                <w:i/>
                <w:sz w:val="20"/>
                <w:u w:val="single"/>
              </w:rPr>
            </w:pPr>
            <w:r w:rsidRPr="00214D77">
              <w:rPr>
                <w:rFonts w:ascii="Arial Narrow" w:eastAsia="Calibri" w:hAnsi="Arial Narrow"/>
                <w:i/>
                <w:sz w:val="20"/>
                <w:u w:val="single"/>
              </w:rPr>
              <w:t xml:space="preserve">Exploratory analysis in </w:t>
            </w:r>
            <w:r w:rsidRPr="00214D77">
              <w:rPr>
                <w:rFonts w:ascii="Arial Narrow" w:eastAsia="Calibri" w:hAnsi="Arial Narrow"/>
                <w:sz w:val="20"/>
                <w:u w:val="single"/>
              </w:rPr>
              <w:t>NTRK</w:t>
            </w:r>
            <w:r w:rsidRPr="00214D77">
              <w:rPr>
                <w:rFonts w:ascii="Arial Narrow" w:eastAsia="Calibri" w:hAnsi="Arial Narrow"/>
                <w:i/>
                <w:sz w:val="20"/>
                <w:u w:val="single"/>
              </w:rPr>
              <w:t xml:space="preserve"> fusion patients (N=29) from a genomic database (VOYAGER) were presented but did not inform the economic evaluation</w:t>
            </w:r>
          </w:p>
        </w:tc>
      </w:tr>
      <w:tr w:rsidR="00214D77" w:rsidRPr="00214D77" w14:paraId="231689D4" w14:textId="77777777" w:rsidTr="002045D9">
        <w:tc>
          <w:tcPr>
            <w:tcW w:w="941" w:type="pct"/>
            <w:tcBorders>
              <w:top w:val="single" w:sz="4" w:space="0" w:color="000000"/>
              <w:left w:val="single" w:sz="4" w:space="0" w:color="000000"/>
              <w:bottom w:val="single" w:sz="4" w:space="0" w:color="000000"/>
              <w:right w:val="single" w:sz="4" w:space="0" w:color="000000"/>
            </w:tcBorders>
            <w:hideMark/>
          </w:tcPr>
          <w:p w14:paraId="05ECAFAE" w14:textId="5ED9AC72"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Biomarker test negative</w:t>
            </w:r>
          </w:p>
        </w:tc>
        <w:tc>
          <w:tcPr>
            <w:tcW w:w="2014" w:type="pct"/>
            <w:tcBorders>
              <w:top w:val="single" w:sz="4" w:space="0" w:color="000000"/>
              <w:left w:val="single" w:sz="4" w:space="0" w:color="000000"/>
              <w:bottom w:val="single" w:sz="4" w:space="0" w:color="000000"/>
              <w:right w:val="single" w:sz="4" w:space="0" w:color="000000"/>
            </w:tcBorders>
            <w:hideMark/>
          </w:tcPr>
          <w:p w14:paraId="641C545D"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 xml:space="preserve">LOXO-001 and SCOUT single-arm studies (updated data from NAVIGATE and SCOUT; July 2020 data </w:t>
            </w:r>
            <w:proofErr w:type="spellStart"/>
            <w:r w:rsidRPr="00214D77">
              <w:rPr>
                <w:rFonts w:ascii="Arial Narrow" w:eastAsia="Calibri" w:hAnsi="Arial Narrow"/>
                <w:sz w:val="20"/>
              </w:rPr>
              <w:t>cutoff</w:t>
            </w:r>
            <w:proofErr w:type="spellEnd"/>
            <w:r w:rsidRPr="00214D77">
              <w:rPr>
                <w:rFonts w:ascii="Arial Narrow" w:eastAsia="Calibri" w:hAnsi="Arial Narrow"/>
                <w:sz w:val="20"/>
              </w:rPr>
              <w:t>).</w:t>
            </w:r>
          </w:p>
        </w:tc>
        <w:tc>
          <w:tcPr>
            <w:tcW w:w="2046" w:type="pct"/>
            <w:tcBorders>
              <w:top w:val="single" w:sz="4" w:space="0" w:color="000000"/>
              <w:left w:val="single" w:sz="4" w:space="0" w:color="000000"/>
              <w:bottom w:val="single" w:sz="4" w:space="0" w:color="000000"/>
              <w:right w:val="single" w:sz="4" w:space="0" w:color="000000"/>
            </w:tcBorders>
            <w:hideMark/>
          </w:tcPr>
          <w:p w14:paraId="2DDD6FCB"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No evidence presented</w:t>
            </w:r>
          </w:p>
        </w:tc>
      </w:tr>
      <w:tr w:rsidR="00214D77" w:rsidRPr="00214D77" w14:paraId="31257F8B" w14:textId="77777777" w:rsidTr="002045D9">
        <w:tc>
          <w:tcPr>
            <w:tcW w:w="941" w:type="pct"/>
            <w:tcBorders>
              <w:top w:val="single" w:sz="4" w:space="0" w:color="000000"/>
              <w:left w:val="single" w:sz="4" w:space="0" w:color="000000"/>
              <w:bottom w:val="single" w:sz="4" w:space="0" w:color="000000"/>
              <w:right w:val="single" w:sz="4" w:space="0" w:color="000000"/>
            </w:tcBorders>
          </w:tcPr>
          <w:p w14:paraId="32B23DA4"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Biomarker untested</w:t>
            </w:r>
          </w:p>
        </w:tc>
        <w:tc>
          <w:tcPr>
            <w:tcW w:w="2014" w:type="pct"/>
            <w:tcBorders>
              <w:top w:val="single" w:sz="4" w:space="0" w:color="000000"/>
              <w:left w:val="single" w:sz="4" w:space="0" w:color="000000"/>
              <w:bottom w:val="single" w:sz="4" w:space="0" w:color="000000"/>
              <w:right w:val="single" w:sz="4" w:space="0" w:color="000000"/>
            </w:tcBorders>
          </w:tcPr>
          <w:p w14:paraId="7AF39C2F" w14:textId="77777777" w:rsidR="00214D77" w:rsidRPr="00214D77" w:rsidRDefault="00214D77" w:rsidP="0009334C">
            <w:pPr>
              <w:keepNext/>
              <w:keepLines/>
              <w:widowControl w:val="0"/>
              <w:spacing w:before="40" w:after="40" w:line="256" w:lineRule="auto"/>
              <w:jc w:val="left"/>
              <w:rPr>
                <w:rFonts w:ascii="Arial Narrow" w:eastAsia="Calibri" w:hAnsi="Arial Narrow"/>
                <w:sz w:val="20"/>
              </w:rPr>
            </w:pPr>
            <w:r w:rsidRPr="00214D77">
              <w:rPr>
                <w:rFonts w:ascii="Arial Narrow" w:eastAsia="Calibri" w:hAnsi="Arial Narrow"/>
                <w:sz w:val="20"/>
              </w:rPr>
              <w:t>No evidence presented</w:t>
            </w:r>
          </w:p>
        </w:tc>
        <w:tc>
          <w:tcPr>
            <w:tcW w:w="2046" w:type="pct"/>
            <w:tcBorders>
              <w:top w:val="single" w:sz="4" w:space="0" w:color="000000"/>
              <w:left w:val="single" w:sz="4" w:space="0" w:color="000000"/>
              <w:bottom w:val="single" w:sz="4" w:space="0" w:color="000000"/>
              <w:right w:val="single" w:sz="4" w:space="0" w:color="000000"/>
            </w:tcBorders>
          </w:tcPr>
          <w:p w14:paraId="6EBBAE95" w14:textId="77777777" w:rsidR="00214D77" w:rsidRPr="00214D77" w:rsidRDefault="00214D77" w:rsidP="0009334C">
            <w:pPr>
              <w:keepNext/>
              <w:keepLines/>
              <w:widowControl w:val="0"/>
              <w:spacing w:before="40" w:after="40" w:line="256" w:lineRule="auto"/>
              <w:jc w:val="left"/>
              <w:rPr>
                <w:rFonts w:ascii="Arial Narrow" w:eastAsia="Calibri" w:hAnsi="Arial Narrow"/>
                <w:sz w:val="20"/>
                <w:highlight w:val="yellow"/>
              </w:rPr>
            </w:pPr>
            <w:r w:rsidRPr="00214D77">
              <w:rPr>
                <w:rFonts w:ascii="Arial Narrow" w:eastAsia="Calibri" w:hAnsi="Arial Narrow"/>
                <w:sz w:val="20"/>
              </w:rPr>
              <w:t xml:space="preserve">Sandler et al. (2001), </w:t>
            </w:r>
            <w:proofErr w:type="spellStart"/>
            <w:r w:rsidRPr="00214D77">
              <w:rPr>
                <w:rFonts w:ascii="Arial Narrow" w:eastAsia="Calibri" w:hAnsi="Arial Narrow"/>
                <w:sz w:val="20"/>
              </w:rPr>
              <w:t>Mascarenhas</w:t>
            </w:r>
            <w:proofErr w:type="spellEnd"/>
            <w:r w:rsidRPr="00214D77">
              <w:rPr>
                <w:rFonts w:ascii="Arial Narrow" w:eastAsia="Calibri" w:hAnsi="Arial Narrow"/>
                <w:sz w:val="20"/>
              </w:rPr>
              <w:t xml:space="preserve"> et al. (2010), </w:t>
            </w:r>
            <w:proofErr w:type="spellStart"/>
            <w:r w:rsidRPr="00214D77">
              <w:rPr>
                <w:rFonts w:ascii="Arial Narrow" w:eastAsia="Calibri" w:hAnsi="Arial Narrow"/>
                <w:sz w:val="20"/>
              </w:rPr>
              <w:t>Airoldi</w:t>
            </w:r>
            <w:proofErr w:type="spellEnd"/>
            <w:r w:rsidRPr="00214D77">
              <w:rPr>
                <w:rFonts w:ascii="Arial Narrow" w:eastAsia="Calibri" w:hAnsi="Arial Narrow"/>
                <w:sz w:val="20"/>
              </w:rPr>
              <w:t xml:space="preserve"> et al. (2001), Grill et al. (2018), Wick et al. (2017), </w:t>
            </w:r>
            <w:proofErr w:type="spellStart"/>
            <w:r w:rsidRPr="00214D77">
              <w:rPr>
                <w:rFonts w:ascii="Arial Narrow" w:eastAsia="Calibri" w:hAnsi="Arial Narrow"/>
                <w:sz w:val="20"/>
              </w:rPr>
              <w:t>Schöffski</w:t>
            </w:r>
            <w:proofErr w:type="spellEnd"/>
            <w:r w:rsidRPr="00214D77">
              <w:rPr>
                <w:rFonts w:ascii="Arial Narrow" w:eastAsia="Calibri" w:hAnsi="Arial Narrow"/>
                <w:sz w:val="20"/>
              </w:rPr>
              <w:t xml:space="preserve"> et al. (2016), </w:t>
            </w:r>
            <w:r w:rsidRPr="00214D77">
              <w:rPr>
                <w:rFonts w:ascii="Arial Narrow" w:eastAsia="Calibri" w:hAnsi="Arial Narrow"/>
                <w:sz w:val="20"/>
                <w:u w:val="single"/>
              </w:rPr>
              <w:t>van der Graaf et al. (2012)</w:t>
            </w:r>
            <w:r w:rsidRPr="00214D77">
              <w:rPr>
                <w:rFonts w:ascii="Arial Narrow" w:eastAsia="Calibri" w:hAnsi="Arial Narrow"/>
                <w:sz w:val="20"/>
              </w:rPr>
              <w:t xml:space="preserve">, Mayer et al. (2015), </w:t>
            </w:r>
            <w:proofErr w:type="spellStart"/>
            <w:r w:rsidRPr="00214D77">
              <w:rPr>
                <w:rFonts w:ascii="Arial Narrow" w:eastAsia="Calibri" w:hAnsi="Arial Narrow"/>
                <w:sz w:val="20"/>
                <w:u w:val="single"/>
              </w:rPr>
              <w:t>Borghaei</w:t>
            </w:r>
            <w:proofErr w:type="spellEnd"/>
            <w:r w:rsidRPr="00214D77">
              <w:rPr>
                <w:rFonts w:ascii="Arial Narrow" w:eastAsia="Calibri" w:hAnsi="Arial Narrow"/>
                <w:sz w:val="20"/>
                <w:u w:val="single"/>
              </w:rPr>
              <w:t xml:space="preserve"> et al. (2015)</w:t>
            </w:r>
            <w:r w:rsidRPr="00214D77">
              <w:rPr>
                <w:rFonts w:ascii="Arial Narrow" w:eastAsia="Calibri" w:hAnsi="Arial Narrow"/>
                <w:sz w:val="20"/>
              </w:rPr>
              <w:t xml:space="preserve">, </w:t>
            </w:r>
            <w:r w:rsidRPr="00214D77">
              <w:rPr>
                <w:rFonts w:ascii="Arial Narrow" w:eastAsia="Calibri" w:hAnsi="Arial Narrow"/>
                <w:sz w:val="20"/>
                <w:u w:val="single"/>
              </w:rPr>
              <w:t>Shepherd et al. (2005)</w:t>
            </w:r>
            <w:r w:rsidRPr="00214D77">
              <w:rPr>
                <w:rFonts w:ascii="Arial Narrow" w:eastAsia="Calibri" w:hAnsi="Arial Narrow"/>
                <w:sz w:val="20"/>
              </w:rPr>
              <w:t xml:space="preserve">, </w:t>
            </w:r>
            <w:r w:rsidRPr="00214D77">
              <w:rPr>
                <w:rFonts w:ascii="Arial Narrow" w:eastAsia="Calibri" w:hAnsi="Arial Narrow"/>
                <w:sz w:val="20"/>
                <w:u w:val="single"/>
              </w:rPr>
              <w:t>Schlumberger et al. (2015)</w:t>
            </w:r>
          </w:p>
        </w:tc>
      </w:tr>
    </w:tbl>
    <w:p w14:paraId="069AC341" w14:textId="77777777" w:rsidR="00214D77" w:rsidRPr="00214D77" w:rsidRDefault="00214D77" w:rsidP="0009334C">
      <w:pPr>
        <w:keepNext/>
        <w:keepLines/>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 xml:space="preserve">Source: Sections 2B and 2D of the previous submission and the resubmission, as well as additional data identified during evaluation. New data sources in the resubmission and the commentary have been </w:t>
      </w:r>
      <w:r w:rsidRPr="00214D77">
        <w:rPr>
          <w:rFonts w:ascii="Arial Narrow" w:eastAsia="Times New Roman" w:hAnsi="Arial Narrow" w:cs="Arial"/>
          <w:snapToGrid w:val="0"/>
          <w:sz w:val="18"/>
          <w:szCs w:val="20"/>
          <w:u w:val="single"/>
        </w:rPr>
        <w:t>underlined</w:t>
      </w:r>
      <w:r w:rsidRPr="00214D77">
        <w:rPr>
          <w:rFonts w:ascii="Arial Narrow" w:eastAsia="Times New Roman" w:hAnsi="Arial Narrow" w:cs="Arial"/>
          <w:snapToGrid w:val="0"/>
          <w:sz w:val="18"/>
          <w:szCs w:val="20"/>
        </w:rPr>
        <w:t xml:space="preserve">. </w:t>
      </w:r>
    </w:p>
    <w:p w14:paraId="7A413A39" w14:textId="77777777" w:rsidR="00214D77" w:rsidRPr="00214D77" w:rsidRDefault="00214D77" w:rsidP="0009334C">
      <w:pPr>
        <w:keepNext/>
        <w:keepLines/>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 xml:space="preserve">ePAS5 includes paediatric and adult tumour types other than primary CNS with documented </w:t>
      </w:r>
      <w:r w:rsidRPr="00214D77">
        <w:rPr>
          <w:rFonts w:ascii="Arial Narrow" w:eastAsia="Times New Roman" w:hAnsi="Arial Narrow" w:cs="Arial"/>
          <w:i/>
          <w:snapToGrid w:val="0"/>
          <w:sz w:val="18"/>
          <w:szCs w:val="20"/>
        </w:rPr>
        <w:t>NTRK</w:t>
      </w:r>
      <w:r w:rsidRPr="00214D77">
        <w:rPr>
          <w:rFonts w:ascii="Arial Narrow" w:eastAsia="Times New Roman" w:hAnsi="Arial Narrow" w:cs="Arial"/>
          <w:snapToGrid w:val="0"/>
          <w:sz w:val="18"/>
          <w:szCs w:val="20"/>
        </w:rPr>
        <w:t xml:space="preserve"> fusion (N=192, median follow-up for overall survival 24 months compared to 15.8 months for the ePAS4 (N=164) in the previous submission; SAS New includes paediatric and adult primary CNS patients with documented </w:t>
      </w:r>
      <w:r w:rsidRPr="00214D77">
        <w:rPr>
          <w:rFonts w:ascii="Arial Narrow" w:eastAsia="Times New Roman" w:hAnsi="Arial Narrow" w:cs="Arial"/>
          <w:i/>
          <w:snapToGrid w:val="0"/>
          <w:sz w:val="18"/>
          <w:szCs w:val="20"/>
        </w:rPr>
        <w:t>NTRK</w:t>
      </w:r>
      <w:r w:rsidRPr="00214D77">
        <w:rPr>
          <w:rFonts w:ascii="Arial Narrow" w:eastAsia="Times New Roman" w:hAnsi="Arial Narrow" w:cs="Arial"/>
          <w:snapToGrid w:val="0"/>
          <w:sz w:val="18"/>
          <w:szCs w:val="20"/>
        </w:rPr>
        <w:t xml:space="preserve"> fusion tumours (N=33; median follow-up for overall survival 16.5 months compared to 6 months for the SAS3 (N=24) in the previous submission)</w:t>
      </w:r>
    </w:p>
    <w:p w14:paraId="3363A3F4" w14:textId="77777777" w:rsidR="00214D77" w:rsidRPr="00214D77" w:rsidRDefault="00214D77" w:rsidP="0028467B">
      <w:pPr>
        <w:keepNext/>
        <w:keepLines/>
        <w:widowControl w:val="0"/>
        <w:spacing w:before="0" w:after="240"/>
        <w:jc w:val="left"/>
        <w:rPr>
          <w:rFonts w:ascii="Arial Narrow" w:eastAsia="Times New Roman" w:hAnsi="Arial Narrow" w:cs="Arial"/>
          <w:snapToGrid w:val="0"/>
          <w:sz w:val="18"/>
          <w:szCs w:val="20"/>
        </w:rPr>
      </w:pPr>
      <w:proofErr w:type="spellStart"/>
      <w:r w:rsidRPr="00214D77">
        <w:rPr>
          <w:rFonts w:ascii="Arial Narrow" w:eastAsia="Times New Roman" w:hAnsi="Arial Narrow" w:cs="Arial"/>
          <w:snapToGrid w:val="0"/>
          <w:sz w:val="18"/>
          <w:szCs w:val="20"/>
        </w:rPr>
        <w:t>ePAS</w:t>
      </w:r>
      <w:proofErr w:type="spellEnd"/>
      <w:r w:rsidRPr="00214D77">
        <w:rPr>
          <w:rFonts w:ascii="Arial Narrow" w:eastAsia="Times New Roman" w:hAnsi="Arial Narrow" w:cs="Arial"/>
          <w:snapToGrid w:val="0"/>
          <w:sz w:val="18"/>
          <w:szCs w:val="20"/>
        </w:rPr>
        <w:t xml:space="preserve"> = extended primary analysis set; </w:t>
      </w:r>
      <w:r w:rsidRPr="00214D77">
        <w:rPr>
          <w:rFonts w:ascii="Arial Narrow" w:eastAsia="Times New Roman" w:hAnsi="Arial Narrow" w:cs="Arial"/>
          <w:sz w:val="18"/>
          <w:szCs w:val="20"/>
        </w:rPr>
        <w:t>k=number of studies, n=number of patients</w:t>
      </w:r>
      <w:r w:rsidRPr="00214D77">
        <w:rPr>
          <w:rFonts w:ascii="Arial Narrow" w:eastAsia="Calibri" w:hAnsi="Arial Narrow" w:cs="Arial"/>
          <w:sz w:val="18"/>
          <w:szCs w:val="20"/>
        </w:rPr>
        <w:t>;</w:t>
      </w:r>
      <w:r w:rsidRPr="00214D77">
        <w:rPr>
          <w:rFonts w:ascii="Arial Narrow" w:eastAsia="Times New Roman" w:hAnsi="Arial Narrow" w:cs="Arial"/>
          <w:sz w:val="18"/>
          <w:szCs w:val="20"/>
        </w:rPr>
        <w:t xml:space="preserve"> </w:t>
      </w:r>
      <w:r w:rsidRPr="00214D77">
        <w:rPr>
          <w:rFonts w:ascii="Arial Narrow" w:eastAsia="Times New Roman" w:hAnsi="Arial Narrow" w:cs="Arial"/>
          <w:snapToGrid w:val="0"/>
          <w:sz w:val="18"/>
          <w:szCs w:val="20"/>
        </w:rPr>
        <w:t>SAS = supplementary analysis set.</w:t>
      </w:r>
    </w:p>
    <w:p w14:paraId="10959C3D" w14:textId="09BA57E3"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The commentary noted that the evidence to support the comparative clinical benefit of larotrectinib was based on a naïve indirect comparison between pooled data from single</w:t>
      </w:r>
      <w:r w:rsidR="00057EDA">
        <w:rPr>
          <w:rFonts w:ascii="Times New Roman" w:eastAsia="Times New Roman" w:hAnsi="Times New Roman" w:cs="Times New Roman"/>
          <w:iCs/>
          <w:szCs w:val="20"/>
          <w:lang w:eastAsia="en-AU"/>
        </w:rPr>
        <w:t>-</w:t>
      </w:r>
      <w:r w:rsidRPr="00214D77">
        <w:rPr>
          <w:rFonts w:ascii="Times New Roman" w:eastAsia="Times New Roman" w:hAnsi="Times New Roman" w:cs="Times New Roman"/>
          <w:iCs/>
          <w:szCs w:val="20"/>
          <w:lang w:eastAsia="en-AU"/>
        </w:rPr>
        <w:t xml:space="preserve">arm larotrectinib studies and SoC data from historical </w:t>
      </w:r>
      <w:r w:rsidR="00057EDA" w:rsidRPr="00214D77">
        <w:rPr>
          <w:rFonts w:ascii="Times New Roman" w:eastAsia="Times New Roman" w:hAnsi="Times New Roman" w:cs="Times New Roman"/>
          <w:iCs/>
          <w:szCs w:val="20"/>
          <w:lang w:eastAsia="en-AU"/>
        </w:rPr>
        <w:t>single</w:t>
      </w:r>
      <w:r w:rsidR="00057EDA">
        <w:rPr>
          <w:rFonts w:ascii="Times New Roman" w:eastAsia="Times New Roman" w:hAnsi="Times New Roman" w:cs="Times New Roman"/>
          <w:iCs/>
          <w:szCs w:val="20"/>
          <w:lang w:eastAsia="en-AU"/>
        </w:rPr>
        <w:t>-</w:t>
      </w:r>
      <w:r w:rsidR="00057EDA" w:rsidRPr="00214D77">
        <w:rPr>
          <w:rFonts w:ascii="Times New Roman" w:eastAsia="Times New Roman" w:hAnsi="Times New Roman" w:cs="Times New Roman"/>
          <w:iCs/>
          <w:szCs w:val="20"/>
          <w:lang w:eastAsia="en-AU"/>
        </w:rPr>
        <w:t xml:space="preserve">arm </w:t>
      </w:r>
      <w:r w:rsidRPr="00214D77">
        <w:rPr>
          <w:rFonts w:ascii="Times New Roman" w:eastAsia="Times New Roman" w:hAnsi="Times New Roman" w:cs="Times New Roman"/>
          <w:iCs/>
          <w:szCs w:val="20"/>
          <w:lang w:eastAsia="en-AU"/>
        </w:rPr>
        <w:t>studies. The three larotrectinib studies had different design/objectives, patient/disease characteristics, and there was also an indication of heterogeneity of treatment effects by tumour type. Limitations of the efficacy data for SoC mainly involve the heterogeneity of response to SoC therapies by tumour type, treatment line, and agents used, and the inclusion of historical data that are unlikely to represent current SoC data. The two bodies of evidence, therefore, do not appear to be transitive. All these comparator issues contribute to the uncertainty of the incremental benefit of larotrectinib.</w:t>
      </w:r>
    </w:p>
    <w:p w14:paraId="56978668" w14:textId="77777777" w:rsidR="00214D77" w:rsidRPr="00214D77" w:rsidRDefault="00214D77" w:rsidP="000D274E">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Prognostic evidence</w:t>
      </w:r>
    </w:p>
    <w:p w14:paraId="0E0C311B" w14:textId="77777777" w:rsidR="00214D77" w:rsidRPr="00214D77" w:rsidRDefault="00214D77" w:rsidP="000D274E">
      <w:pPr>
        <w:spacing w:before="0" w:after="240"/>
        <w:jc w:val="left"/>
        <w:rPr>
          <w:rFonts w:ascii="Times New Roman" w:eastAsia="Calibri" w:hAnsi="Times New Roman" w:cs="Times New Roman"/>
        </w:rPr>
      </w:pPr>
      <w:r w:rsidRPr="00214D77">
        <w:rPr>
          <w:rFonts w:ascii="Times New Roman" w:eastAsia="Calibri" w:hAnsi="Times New Roman" w:cs="Times New Roman"/>
        </w:rPr>
        <w:t>Seven new studies were identified that provided new prognostic evidence.</w:t>
      </w:r>
    </w:p>
    <w:p w14:paraId="04C48CD0" w14:textId="65DA6CE9" w:rsidR="00214D77" w:rsidRPr="00214D77" w:rsidRDefault="00214D77" w:rsidP="000D274E">
      <w:pPr>
        <w:spacing w:before="0" w:after="240"/>
        <w:jc w:val="left"/>
        <w:rPr>
          <w:rFonts w:ascii="Times New Roman" w:eastAsia="Calibri" w:hAnsi="Times New Roman" w:cs="Times New Roman"/>
          <w:iCs/>
        </w:rPr>
      </w:pPr>
      <w:r w:rsidRPr="00214D77">
        <w:rPr>
          <w:rFonts w:ascii="Times New Roman" w:eastAsia="Calibri" w:hAnsi="Times New Roman" w:cs="Times New Roman"/>
          <w:iCs/>
        </w:rPr>
        <w:t xml:space="preserve">The commentary noted that </w:t>
      </w:r>
      <w:r w:rsidR="00D274E5">
        <w:rPr>
          <w:rFonts w:ascii="Times New Roman" w:eastAsia="Calibri" w:hAnsi="Times New Roman" w:cs="Times New Roman"/>
          <w:iCs/>
        </w:rPr>
        <w:t>a</w:t>
      </w:r>
      <w:r w:rsidRPr="00214D77">
        <w:rPr>
          <w:rFonts w:ascii="Times New Roman" w:eastAsia="Calibri" w:hAnsi="Times New Roman" w:cs="Times New Roman"/>
          <w:iCs/>
        </w:rPr>
        <w:t xml:space="preserve">ll except two studies found at least a trend towards a poorer prognosis in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 positive and/or </w:t>
      </w:r>
      <w:proofErr w:type="spellStart"/>
      <w:r w:rsidRPr="00214D77">
        <w:rPr>
          <w:rFonts w:ascii="Times New Roman" w:eastAsia="Calibri" w:hAnsi="Times New Roman" w:cs="Times New Roman"/>
          <w:iCs/>
        </w:rPr>
        <w:t>Trk</w:t>
      </w:r>
      <w:proofErr w:type="spellEnd"/>
      <w:r w:rsidRPr="00214D77">
        <w:rPr>
          <w:rFonts w:ascii="Times New Roman" w:eastAsia="Calibri" w:hAnsi="Times New Roman" w:cs="Times New Roman"/>
          <w:iCs/>
        </w:rPr>
        <w:t xml:space="preserve"> IHC positive cancers than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wild type and/or </w:t>
      </w:r>
      <w:proofErr w:type="spellStart"/>
      <w:r w:rsidRPr="00214D77">
        <w:rPr>
          <w:rFonts w:ascii="Times New Roman" w:eastAsia="Calibri" w:hAnsi="Times New Roman" w:cs="Times New Roman"/>
          <w:iCs/>
        </w:rPr>
        <w:t>Trk</w:t>
      </w:r>
      <w:proofErr w:type="spellEnd"/>
      <w:r w:rsidRPr="00214D77">
        <w:rPr>
          <w:rFonts w:ascii="Times New Roman" w:eastAsia="Calibri" w:hAnsi="Times New Roman" w:cs="Times New Roman"/>
          <w:iCs/>
        </w:rPr>
        <w:t xml:space="preserve"> IHC negative cancers of various types. One study suggested that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fusions did not affect the prognosis of glioblastoma patients and another study reported opposite results for different head and neck squamous cell carcinoma subtypes.</w:t>
      </w:r>
    </w:p>
    <w:p w14:paraId="035ABD4A" w14:textId="77777777" w:rsidR="00214D77" w:rsidRPr="00214D77" w:rsidRDefault="00214D77" w:rsidP="000D274E">
      <w:pPr>
        <w:spacing w:before="0" w:after="240"/>
        <w:jc w:val="left"/>
        <w:rPr>
          <w:rFonts w:ascii="Times New Roman" w:eastAsia="Calibri" w:hAnsi="Times New Roman" w:cs="Times New Roman"/>
          <w:iCs/>
        </w:rPr>
      </w:pPr>
      <w:r w:rsidRPr="00214D77">
        <w:rPr>
          <w:rFonts w:ascii="Times New Roman" w:eastAsia="Calibri" w:hAnsi="Times New Roman" w:cs="Times New Roman"/>
          <w:iCs/>
        </w:rPr>
        <w:lastRenderedPageBreak/>
        <w:t xml:space="preserve">The additional studies strengthen the conclusions reached in the previous submission and commentary: the prognostic impact of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fusions was inconclusive, as it cannot be determined if the effect size differs between cancer types, or indeed, if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 cancers have a poorer prognosis in all cancer types.</w:t>
      </w:r>
    </w:p>
    <w:p w14:paraId="4B1C7C6D" w14:textId="77777777" w:rsidR="00214D77" w:rsidRPr="00214D77" w:rsidRDefault="00214D77" w:rsidP="00BF2574">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Predictive evidence</w:t>
      </w:r>
    </w:p>
    <w:p w14:paraId="1EDE3273" w14:textId="77777777"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 xml:space="preserve">The commentary considered that given the single-arm studies used as evidence, the treatment effect variation by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 status could not be isolated from the prognostic effects or quantified in the data presented.</w:t>
      </w:r>
    </w:p>
    <w:p w14:paraId="4D4218E1" w14:textId="77777777" w:rsidR="00214D77" w:rsidRPr="00214D77" w:rsidRDefault="00214D77" w:rsidP="00BF2574">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Comparative analytical and clinical performance</w:t>
      </w:r>
    </w:p>
    <w:p w14:paraId="407E4C75" w14:textId="77777777" w:rsidR="00214D77" w:rsidRPr="00214D77" w:rsidRDefault="00214D77" w:rsidP="00BF2574">
      <w:pPr>
        <w:keepNext/>
        <w:keepLines/>
        <w:spacing w:before="40" w:after="0"/>
        <w:jc w:val="left"/>
        <w:outlineLvl w:val="2"/>
        <w:rPr>
          <w:rFonts w:ascii="Times New Roman" w:eastAsia="Times New Roman" w:hAnsi="Times New Roman" w:cs="Times New Roman"/>
          <w:szCs w:val="24"/>
          <w:u w:val="single"/>
          <w:lang w:eastAsia="en-AU"/>
        </w:rPr>
      </w:pPr>
      <w:r w:rsidRPr="00627E01">
        <w:rPr>
          <w:rFonts w:ascii="Times New Roman" w:eastAsia="Times New Roman" w:hAnsi="Times New Roman" w:cs="Times New Roman"/>
          <w:i/>
          <w:iCs/>
          <w:szCs w:val="24"/>
          <w:u w:val="single"/>
          <w:lang w:eastAsia="en-AU"/>
        </w:rPr>
        <w:t>NTRK</w:t>
      </w:r>
      <w:r w:rsidRPr="00214D77">
        <w:rPr>
          <w:rFonts w:ascii="Times New Roman" w:eastAsia="Times New Roman" w:hAnsi="Times New Roman" w:cs="Times New Roman"/>
          <w:szCs w:val="24"/>
          <w:u w:val="single"/>
          <w:lang w:eastAsia="en-AU"/>
        </w:rPr>
        <w:t xml:space="preserve"> fusion testing in paediatric and adult high frequency populations</w:t>
      </w:r>
    </w:p>
    <w:p w14:paraId="4847F0DB" w14:textId="4A19EEEC" w:rsidR="00214D77" w:rsidRPr="00214D77" w:rsidRDefault="00214D77" w:rsidP="00214D77">
      <w:pPr>
        <w:spacing w:before="0" w:after="240"/>
        <w:jc w:val="left"/>
        <w:rPr>
          <w:rFonts w:ascii="Times New Roman" w:eastAsia="Times New Roman" w:hAnsi="Times New Roman" w:cs="Times New Roman"/>
          <w:i/>
          <w:szCs w:val="20"/>
          <w:lang w:eastAsia="en-AU"/>
        </w:rPr>
      </w:pPr>
      <w:r w:rsidRPr="00214D77">
        <w:rPr>
          <w:rFonts w:ascii="Times New Roman" w:eastAsia="Times New Roman" w:hAnsi="Times New Roman" w:cs="Times New Roman"/>
          <w:iCs/>
          <w:szCs w:val="20"/>
          <w:lang w:eastAsia="en-AU"/>
        </w:rPr>
        <w:t xml:space="preserve">MSAC </w:t>
      </w:r>
      <w:r w:rsidR="006906B5">
        <w:rPr>
          <w:rFonts w:ascii="Times New Roman" w:eastAsia="Times New Roman" w:hAnsi="Times New Roman" w:cs="Times New Roman"/>
          <w:iCs/>
          <w:szCs w:val="20"/>
          <w:lang w:eastAsia="en-AU"/>
        </w:rPr>
        <w:t xml:space="preserve">previously accepted </w:t>
      </w:r>
      <w:r w:rsidRPr="00214D77">
        <w:rPr>
          <w:rFonts w:ascii="Times New Roman" w:eastAsia="Times New Roman" w:hAnsi="Times New Roman" w:cs="Times New Roman"/>
          <w:iCs/>
          <w:szCs w:val="20"/>
          <w:lang w:eastAsia="en-AU"/>
        </w:rPr>
        <w:t xml:space="preserve">that all paediatric patients with solid tumours and adults with high frequency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 solid tumour types, MASC and SBC, should be tested using either FISH or NGS, with RNA-NGS the preferred test (MSAC application 1602 PSD 2020, pp3-4).</w:t>
      </w:r>
      <w:r w:rsidRPr="00214D77">
        <w:rPr>
          <w:rFonts w:ascii="Times New Roman" w:eastAsia="Times New Roman" w:hAnsi="Times New Roman" w:cs="Times New Roman"/>
          <w:i/>
          <w:szCs w:val="20"/>
          <w:lang w:eastAsia="en-AU"/>
        </w:rPr>
        <w:t xml:space="preserve"> </w:t>
      </w:r>
      <w:r w:rsidRPr="00214D77">
        <w:rPr>
          <w:rFonts w:ascii="Times New Roman" w:eastAsia="Times New Roman" w:hAnsi="Times New Roman" w:cs="Times New Roman"/>
          <w:iCs/>
          <w:szCs w:val="20"/>
          <w:lang w:eastAsia="en-AU"/>
        </w:rPr>
        <w:t>The commentary noted that the test accuracy results and any consequences with respect to false positive and false negative test results for these patients do not differ from that reported in the previous commentary.</w:t>
      </w:r>
    </w:p>
    <w:p w14:paraId="0AEFDEEC" w14:textId="77777777" w:rsidR="00214D77" w:rsidRPr="00214D77" w:rsidRDefault="00214D77" w:rsidP="006906B5">
      <w:pPr>
        <w:spacing w:before="0" w:after="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In summary:</w:t>
      </w:r>
    </w:p>
    <w:p w14:paraId="2F47C3A6" w14:textId="77777777" w:rsidR="00214D77" w:rsidRPr="00BF2574" w:rsidRDefault="00214D77" w:rsidP="00864249">
      <w:pPr>
        <w:pStyle w:val="ListParagraph"/>
        <w:numPr>
          <w:ilvl w:val="0"/>
          <w:numId w:val="31"/>
        </w:numPr>
        <w:spacing w:after="120"/>
        <w:jc w:val="left"/>
        <w:rPr>
          <w:rFonts w:ascii="Times New Roman" w:eastAsia="Calibri" w:hAnsi="Times New Roman" w:cs="Times New Roman"/>
          <w:iCs/>
        </w:rPr>
      </w:pPr>
      <w:r w:rsidRPr="00BF2574">
        <w:rPr>
          <w:rFonts w:ascii="Times New Roman" w:eastAsia="Calibri" w:hAnsi="Times New Roman" w:cs="Times New Roman"/>
          <w:iCs/>
        </w:rPr>
        <w:t>RNA-NGS performed with good quality RNA will have few false positive or false negative results and is considered to be the reference standard</w:t>
      </w:r>
    </w:p>
    <w:p w14:paraId="6F298ED2" w14:textId="77777777" w:rsidR="00214D77" w:rsidRPr="00214D77" w:rsidRDefault="00214D77" w:rsidP="00864249">
      <w:pPr>
        <w:pStyle w:val="ListParagraph"/>
        <w:numPr>
          <w:ilvl w:val="0"/>
          <w:numId w:val="31"/>
        </w:numPr>
        <w:spacing w:after="120"/>
        <w:jc w:val="left"/>
        <w:rPr>
          <w:rFonts w:ascii="Times New Roman" w:eastAsia="Calibri" w:hAnsi="Times New Roman" w:cs="Times New Roman"/>
          <w:iCs/>
        </w:rPr>
      </w:pPr>
      <w:r w:rsidRPr="00BF2574">
        <w:rPr>
          <w:rFonts w:ascii="Times New Roman" w:eastAsia="Calibri" w:hAnsi="Times New Roman" w:cs="Times New Roman"/>
          <w:iCs/>
        </w:rPr>
        <w:t>NTRK3</w:t>
      </w:r>
      <w:r w:rsidRPr="00214D77">
        <w:rPr>
          <w:rFonts w:ascii="Times New Roman" w:eastAsia="Calibri" w:hAnsi="Times New Roman" w:cs="Times New Roman"/>
          <w:iCs/>
        </w:rPr>
        <w:t xml:space="preserve"> FISH was 100% sensitive and specific compared to RNA-NGS performed with good quality RNA in one study</w:t>
      </w:r>
    </w:p>
    <w:p w14:paraId="2858EE20" w14:textId="77777777" w:rsidR="00214D77" w:rsidRPr="00214D77" w:rsidRDefault="00214D77" w:rsidP="00864249">
      <w:pPr>
        <w:numPr>
          <w:ilvl w:val="1"/>
          <w:numId w:val="4"/>
        </w:numPr>
        <w:spacing w:before="0" w:after="120"/>
        <w:jc w:val="left"/>
        <w:rPr>
          <w:rFonts w:ascii="Times New Roman" w:eastAsia="Calibri" w:hAnsi="Times New Roman" w:cs="Times New Roman"/>
          <w:iCs/>
        </w:rPr>
      </w:pPr>
      <w:r w:rsidRPr="00214D77">
        <w:rPr>
          <w:rFonts w:ascii="Times New Roman" w:eastAsia="Calibri" w:hAnsi="Times New Roman" w:cs="Times New Roman"/>
          <w:iCs/>
        </w:rPr>
        <w:t xml:space="preserve">No data are available to assess the accuracy of </w:t>
      </w:r>
      <w:r w:rsidRPr="00214D77">
        <w:rPr>
          <w:rFonts w:ascii="Times New Roman" w:eastAsia="Calibri" w:hAnsi="Times New Roman" w:cs="Times New Roman"/>
          <w:i/>
        </w:rPr>
        <w:t>NTRK1</w:t>
      </w:r>
      <w:r w:rsidRPr="00214D77">
        <w:rPr>
          <w:rFonts w:ascii="Times New Roman" w:eastAsia="Calibri" w:hAnsi="Times New Roman" w:cs="Times New Roman"/>
          <w:iCs/>
        </w:rPr>
        <w:t xml:space="preserve"> and </w:t>
      </w:r>
      <w:r w:rsidRPr="00214D77">
        <w:rPr>
          <w:rFonts w:ascii="Times New Roman" w:eastAsia="Calibri" w:hAnsi="Times New Roman" w:cs="Times New Roman"/>
          <w:i/>
        </w:rPr>
        <w:t xml:space="preserve">NTRK2 </w:t>
      </w:r>
      <w:r w:rsidRPr="00214D77">
        <w:rPr>
          <w:rFonts w:ascii="Times New Roman" w:eastAsia="Calibri" w:hAnsi="Times New Roman" w:cs="Times New Roman"/>
          <w:iCs/>
        </w:rPr>
        <w:t>FISH testing</w:t>
      </w:r>
    </w:p>
    <w:p w14:paraId="76B40163" w14:textId="77777777" w:rsidR="00214D77" w:rsidRPr="00214D77" w:rsidRDefault="00214D77" w:rsidP="00864249">
      <w:pPr>
        <w:numPr>
          <w:ilvl w:val="1"/>
          <w:numId w:val="4"/>
        </w:numPr>
        <w:spacing w:before="0" w:after="120"/>
        <w:jc w:val="left"/>
        <w:rPr>
          <w:rFonts w:ascii="Times New Roman" w:eastAsia="Calibri" w:hAnsi="Times New Roman" w:cs="Times New Roman"/>
          <w:iCs/>
        </w:rPr>
      </w:pPr>
      <w:r w:rsidRPr="00214D77">
        <w:rPr>
          <w:rFonts w:ascii="Times New Roman" w:eastAsia="Calibri" w:hAnsi="Times New Roman" w:cs="Times New Roman"/>
          <w:iCs/>
        </w:rPr>
        <w:t xml:space="preserve">However, some false positives will occur as the FISH test cannot distinguish between active and inactive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gene fusions.</w:t>
      </w:r>
    </w:p>
    <w:p w14:paraId="72A622E8" w14:textId="77777777" w:rsidR="00214D77" w:rsidRPr="00214D77" w:rsidRDefault="00214D77" w:rsidP="00864249">
      <w:pPr>
        <w:pStyle w:val="ListParagraph"/>
        <w:numPr>
          <w:ilvl w:val="0"/>
          <w:numId w:val="31"/>
        </w:numPr>
        <w:spacing w:after="120"/>
        <w:jc w:val="left"/>
        <w:rPr>
          <w:rFonts w:ascii="Times New Roman" w:eastAsia="Calibri" w:hAnsi="Times New Roman" w:cs="Times New Roman"/>
          <w:iCs/>
        </w:rPr>
      </w:pPr>
      <w:r w:rsidRPr="00214D77">
        <w:rPr>
          <w:rFonts w:ascii="Times New Roman" w:eastAsia="Calibri" w:hAnsi="Times New Roman" w:cs="Times New Roman"/>
          <w:iCs/>
        </w:rPr>
        <w:t>DNA-NGS is less sensitive (median 90.55%) compared with RNA-NGS but is highly specific (median 99.9%)</w:t>
      </w:r>
    </w:p>
    <w:p w14:paraId="6A960681" w14:textId="77777777" w:rsidR="00214D77" w:rsidRPr="00214D77" w:rsidRDefault="00214D77" w:rsidP="00864249">
      <w:pPr>
        <w:numPr>
          <w:ilvl w:val="1"/>
          <w:numId w:val="4"/>
        </w:numPr>
        <w:spacing w:before="0" w:after="120"/>
        <w:jc w:val="left"/>
        <w:rPr>
          <w:rFonts w:ascii="Times New Roman" w:eastAsia="Calibri" w:hAnsi="Times New Roman" w:cs="Times New Roman"/>
          <w:iCs/>
        </w:rPr>
      </w:pPr>
      <w:r w:rsidRPr="00214D77">
        <w:rPr>
          <w:rFonts w:ascii="Times New Roman" w:eastAsia="Calibri" w:hAnsi="Times New Roman" w:cs="Times New Roman"/>
          <w:iCs/>
        </w:rPr>
        <w:t xml:space="preserve">The false positives are due to the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fusions being inactive</w:t>
      </w:r>
    </w:p>
    <w:p w14:paraId="1884762E" w14:textId="77777777" w:rsidR="00214D77" w:rsidRPr="00214D77" w:rsidRDefault="00214D77" w:rsidP="00864249">
      <w:pPr>
        <w:numPr>
          <w:ilvl w:val="1"/>
          <w:numId w:val="4"/>
        </w:numPr>
        <w:spacing w:before="0" w:after="120"/>
        <w:jc w:val="left"/>
        <w:rPr>
          <w:rFonts w:ascii="Times New Roman" w:eastAsia="Calibri" w:hAnsi="Times New Roman" w:cs="Times New Roman"/>
          <w:iCs/>
        </w:rPr>
      </w:pPr>
      <w:r w:rsidRPr="00214D77">
        <w:rPr>
          <w:rFonts w:ascii="Times New Roman" w:eastAsia="Calibri" w:hAnsi="Times New Roman" w:cs="Times New Roman"/>
          <w:iCs/>
        </w:rPr>
        <w:t xml:space="preserve">The false negatives are due to the inability of the DNA-NGS test to detect all </w:t>
      </w:r>
      <w:r w:rsidRPr="00214D77">
        <w:rPr>
          <w:rFonts w:ascii="Times New Roman" w:eastAsia="Calibri" w:hAnsi="Times New Roman" w:cs="Times New Roman"/>
          <w:i/>
        </w:rPr>
        <w:t>NTRK3</w:t>
      </w:r>
      <w:r w:rsidRPr="00214D77">
        <w:rPr>
          <w:rFonts w:ascii="Times New Roman" w:eastAsia="Calibri" w:hAnsi="Times New Roman" w:cs="Times New Roman"/>
          <w:iCs/>
        </w:rPr>
        <w:t xml:space="preserve"> fusions due to probe design limitations.</w:t>
      </w:r>
    </w:p>
    <w:p w14:paraId="2CB68B18" w14:textId="77777777" w:rsidR="00214D77" w:rsidRPr="00214D77" w:rsidRDefault="00214D77" w:rsidP="0028467B">
      <w:pPr>
        <w:keepNext/>
        <w:keepLines/>
        <w:spacing w:before="240" w:after="0"/>
        <w:jc w:val="left"/>
        <w:outlineLvl w:val="2"/>
        <w:rPr>
          <w:rFonts w:ascii="Times New Roman" w:eastAsia="Times New Roman" w:hAnsi="Times New Roman" w:cs="Times New Roman"/>
          <w:szCs w:val="24"/>
          <w:u w:val="single"/>
          <w:lang w:eastAsia="en-AU"/>
        </w:rPr>
      </w:pPr>
      <w:r w:rsidRPr="00627E01">
        <w:rPr>
          <w:rFonts w:ascii="Times New Roman" w:eastAsia="Times New Roman" w:hAnsi="Times New Roman" w:cs="Times New Roman"/>
          <w:i/>
          <w:iCs/>
          <w:szCs w:val="24"/>
          <w:u w:val="single"/>
          <w:lang w:eastAsia="en-AU"/>
        </w:rPr>
        <w:t>NTRK</w:t>
      </w:r>
      <w:r w:rsidRPr="00214D77">
        <w:rPr>
          <w:rFonts w:ascii="Times New Roman" w:eastAsia="Times New Roman" w:hAnsi="Times New Roman" w:cs="Times New Roman"/>
          <w:szCs w:val="24"/>
          <w:u w:val="single"/>
          <w:lang w:eastAsia="en-AU"/>
        </w:rPr>
        <w:t xml:space="preserve"> fusion testing in adult low frequency population</w:t>
      </w:r>
    </w:p>
    <w:p w14:paraId="7202DD06" w14:textId="0BF64EA4" w:rsidR="00214D77" w:rsidRDefault="00214D77" w:rsidP="00214D77">
      <w:pPr>
        <w:spacing w:before="0" w:after="24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iCs/>
          <w:szCs w:val="20"/>
          <w:lang w:eastAsia="en-AU"/>
        </w:rPr>
        <w:t>The median sensitivity and specificity values for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testing compared to RNA-NGS </w:t>
      </w:r>
      <w:r w:rsidRPr="00214D77">
        <w:rPr>
          <w:rFonts w:ascii="Times New Roman" w:eastAsia="Times New Roman" w:hAnsi="Times New Roman" w:cs="Times New Roman"/>
          <w:i/>
          <w:szCs w:val="20"/>
          <w:lang w:eastAsia="en-AU"/>
        </w:rPr>
        <w:t xml:space="preserve">NTRK </w:t>
      </w:r>
      <w:r w:rsidRPr="00214D77">
        <w:rPr>
          <w:rFonts w:ascii="Times New Roman" w:eastAsia="Times New Roman" w:hAnsi="Times New Roman" w:cs="Times New Roman"/>
          <w:iCs/>
          <w:szCs w:val="20"/>
          <w:lang w:eastAsia="en-AU"/>
        </w:rPr>
        <w:t>fusion testing in pan-tumour populations remain unchanged from that calculated during the previous evaluation. However, it is unlikely that these studies are appropriate for providing the benchmark accuracy for IHC triage testing in the revised population of adult</w:t>
      </w:r>
      <w:r w:rsidR="00CF178C">
        <w:rPr>
          <w:rFonts w:ascii="Times New Roman" w:eastAsia="Times New Roman" w:hAnsi="Times New Roman" w:cs="Times New Roman"/>
          <w:iCs/>
          <w:szCs w:val="20"/>
          <w:lang w:eastAsia="en-AU"/>
        </w:rPr>
        <w:t>s with</w:t>
      </w:r>
      <w:r w:rsidRPr="00214D77">
        <w:rPr>
          <w:rFonts w:ascii="Times New Roman" w:eastAsia="Times New Roman" w:hAnsi="Times New Roman" w:cs="Times New Roman"/>
          <w:iCs/>
          <w:szCs w:val="20"/>
          <w:lang w:eastAsia="en-AU"/>
        </w:rPr>
        <w:t xml:space="preserve"> low frequency population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 cancers </w:t>
      </w:r>
      <w:r w:rsidRPr="00214D77">
        <w:rPr>
          <w:rFonts w:ascii="Times New Roman" w:eastAsia="Times New Roman" w:hAnsi="Times New Roman" w:cs="Times New Roman"/>
          <w:iCs/>
          <w:szCs w:val="20"/>
          <w:lang w:eastAsia="en-AU"/>
        </w:rPr>
        <w:t xml:space="preserve">as only 50-60% of the pan-tumour samples were from the tumour types now included: </w:t>
      </w:r>
      <w:r w:rsidRPr="00214D77">
        <w:rPr>
          <w:rFonts w:ascii="Times New Roman" w:eastAsia="Times New Roman" w:hAnsi="Times New Roman" w:cs="Times New Roman"/>
          <w:szCs w:val="20"/>
          <w:lang w:eastAsia="en-AU"/>
        </w:rPr>
        <w:t>CRC, STS, NSCLC or thyroid cancer.</w:t>
      </w:r>
    </w:p>
    <w:p w14:paraId="72E6300E" w14:textId="195DF995" w:rsid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The commentary considered that the approach taken by the resubmission to use the sensitivity and specificity values reported in one study</w:t>
      </w:r>
      <w:r w:rsidR="003964BE">
        <w:rPr>
          <w:rFonts w:ascii="Times New Roman" w:eastAsia="Times New Roman" w:hAnsi="Times New Roman" w:cs="Times New Roman"/>
          <w:iCs/>
          <w:szCs w:val="20"/>
          <w:lang w:eastAsia="en-AU"/>
        </w:rPr>
        <w:t xml:space="preserve"> (Solomon et al. 2020) </w:t>
      </w:r>
      <w:r w:rsidRPr="00214D77">
        <w:rPr>
          <w:rFonts w:ascii="Times New Roman" w:eastAsia="Times New Roman" w:hAnsi="Times New Roman" w:cs="Times New Roman"/>
          <w:iCs/>
          <w:szCs w:val="20"/>
          <w:lang w:eastAsia="en-AU"/>
        </w:rPr>
        <w:t xml:space="preserve">for the specific cancer types included in this subpopulation </w:t>
      </w:r>
      <w:r w:rsidR="006906B5">
        <w:rPr>
          <w:rFonts w:ascii="Times New Roman" w:eastAsia="Times New Roman" w:hAnsi="Times New Roman" w:cs="Times New Roman"/>
          <w:iCs/>
          <w:szCs w:val="20"/>
          <w:lang w:eastAsia="en-AU"/>
        </w:rPr>
        <w:t>wa</w:t>
      </w:r>
      <w:r w:rsidRPr="00214D77">
        <w:rPr>
          <w:rFonts w:ascii="Times New Roman" w:eastAsia="Times New Roman" w:hAnsi="Times New Roman" w:cs="Times New Roman"/>
          <w:iCs/>
          <w:szCs w:val="20"/>
          <w:lang w:eastAsia="en-AU"/>
        </w:rPr>
        <w:t>s flawed. While it may be reasonable to use the sensitivity values comparing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with RNA-NGS (80-87.5%</w:t>
      </w:r>
      <w:r w:rsidR="003964BE">
        <w:rPr>
          <w:rFonts w:ascii="Times New Roman" w:eastAsia="Times New Roman" w:hAnsi="Times New Roman" w:cs="Times New Roman"/>
          <w:iCs/>
          <w:szCs w:val="20"/>
          <w:lang w:eastAsia="en-AU"/>
        </w:rPr>
        <w:t>; see Table 6</w:t>
      </w:r>
      <w:r w:rsidRPr="00214D77">
        <w:rPr>
          <w:rFonts w:ascii="Times New Roman" w:eastAsia="Times New Roman" w:hAnsi="Times New Roman" w:cs="Times New Roman"/>
          <w:iCs/>
          <w:szCs w:val="20"/>
          <w:lang w:eastAsia="en-AU"/>
        </w:rPr>
        <w:t xml:space="preserve">) as they represent the testing of all positive patients included in the study cohort, it </w:t>
      </w:r>
      <w:r w:rsidR="006906B5">
        <w:rPr>
          <w:rFonts w:ascii="Times New Roman" w:eastAsia="Times New Roman" w:hAnsi="Times New Roman" w:cs="Times New Roman"/>
          <w:iCs/>
          <w:szCs w:val="20"/>
          <w:lang w:eastAsia="en-AU"/>
        </w:rPr>
        <w:t>wa</w:t>
      </w:r>
      <w:r w:rsidRPr="00214D77">
        <w:rPr>
          <w:rFonts w:ascii="Times New Roman" w:eastAsia="Times New Roman" w:hAnsi="Times New Roman" w:cs="Times New Roman"/>
          <w:iCs/>
          <w:szCs w:val="20"/>
          <w:lang w:eastAsia="en-AU"/>
        </w:rPr>
        <w:t xml:space="preserve">s not reasonable to use the specificity value of 100% for CRC, NSCLC and thyroid cancer as only 1.0% </w:t>
      </w:r>
      <w:r w:rsidRPr="00214D77">
        <w:rPr>
          <w:rFonts w:ascii="Times New Roman" w:eastAsia="Times New Roman" w:hAnsi="Times New Roman" w:cs="Times New Roman"/>
          <w:iCs/>
          <w:szCs w:val="20"/>
          <w:lang w:eastAsia="en-AU"/>
        </w:rPr>
        <w:lastRenderedPageBreak/>
        <w:t xml:space="preserve">(76/7,493) of all RNA-NGS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 negative samples from the three tumour types were tested with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Additionally, other studies have reported false positive results in these tumour types.</w:t>
      </w:r>
    </w:p>
    <w:p w14:paraId="78877EA0" w14:textId="3DA0593D" w:rsidR="00973890" w:rsidRPr="00F227A3" w:rsidRDefault="00973890" w:rsidP="00973890">
      <w:pPr>
        <w:pStyle w:val="Caption"/>
      </w:pPr>
      <w:bookmarkStart w:id="8" w:name="_Ref46330014"/>
      <w:r w:rsidRPr="00F227A3">
        <w:t>Table</w:t>
      </w:r>
      <w:bookmarkEnd w:id="8"/>
      <w:r>
        <w:t xml:space="preserve"> 6</w:t>
      </w:r>
      <w:r w:rsidRPr="00F227A3">
        <w:tab/>
        <w:t>Diagnostic accuracy of pan-</w:t>
      </w:r>
      <w:proofErr w:type="spellStart"/>
      <w:r w:rsidRPr="00F227A3">
        <w:t>Trk</w:t>
      </w:r>
      <w:proofErr w:type="spellEnd"/>
      <w:r w:rsidRPr="00F227A3">
        <w:t xml:space="preserve"> IHC compared to RNA-NGS</w:t>
      </w:r>
    </w:p>
    <w:tbl>
      <w:tblPr>
        <w:tblStyle w:val="HTATableshaded"/>
        <w:tblW w:w="5000" w:type="pct"/>
        <w:tblLayout w:type="fixed"/>
        <w:tblLook w:val="04A0" w:firstRow="1" w:lastRow="0" w:firstColumn="1" w:lastColumn="0" w:noHBand="0" w:noVBand="1"/>
        <w:tblCaption w:val="Table 6 Diagnostic accuracy of pan-Trk IHC compared to RNA-NGS"/>
        <w:tblDescription w:val="The commentarys summary of diagnostic accuracy of pan-Trk IHC compared to RNA-NGS"/>
      </w:tblPr>
      <w:tblGrid>
        <w:gridCol w:w="1133"/>
        <w:gridCol w:w="3829"/>
        <w:gridCol w:w="921"/>
        <w:gridCol w:w="638"/>
        <w:gridCol w:w="638"/>
        <w:gridCol w:w="638"/>
        <w:gridCol w:w="1219"/>
      </w:tblGrid>
      <w:tr w:rsidR="00973890" w:rsidRPr="003964BE" w14:paraId="7D38739B" w14:textId="77777777" w:rsidTr="005D5D2E">
        <w:trPr>
          <w:cnfStyle w:val="100000000000" w:firstRow="1" w:lastRow="0" w:firstColumn="0" w:lastColumn="0" w:oddVBand="0" w:evenVBand="0" w:oddHBand="0" w:evenHBand="0" w:firstRowFirstColumn="0" w:firstRowLastColumn="0" w:lastRowFirstColumn="0" w:lastRowLastColumn="0"/>
          <w:trHeight w:val="171"/>
          <w:tblHeader/>
        </w:trPr>
        <w:tc>
          <w:tcPr>
            <w:tcW w:w="628" w:type="pct"/>
            <w:shd w:val="clear" w:color="auto" w:fill="auto"/>
          </w:tcPr>
          <w:p w14:paraId="0111ADC0" w14:textId="77777777" w:rsidR="00973890" w:rsidRPr="003964BE" w:rsidRDefault="00973890" w:rsidP="005D5D2E">
            <w:pPr>
              <w:widowControl w:val="0"/>
              <w:spacing w:before="40" w:after="40"/>
              <w:jc w:val="left"/>
              <w:rPr>
                <w:rFonts w:ascii="Arial Narrow" w:eastAsia="Arial" w:hAnsi="Arial Narrow"/>
                <w:b/>
                <w:iCs/>
                <w:sz w:val="20"/>
              </w:rPr>
            </w:pPr>
            <w:r w:rsidRPr="003964BE">
              <w:rPr>
                <w:rFonts w:ascii="Arial Narrow" w:eastAsia="Arial" w:hAnsi="Arial Narrow"/>
                <w:b/>
                <w:iCs/>
                <w:sz w:val="20"/>
              </w:rPr>
              <w:t>Study ID</w:t>
            </w:r>
          </w:p>
        </w:tc>
        <w:tc>
          <w:tcPr>
            <w:tcW w:w="2123" w:type="pct"/>
            <w:shd w:val="clear" w:color="auto" w:fill="auto"/>
          </w:tcPr>
          <w:p w14:paraId="1E434856" w14:textId="77777777" w:rsidR="00973890" w:rsidRPr="003964BE" w:rsidRDefault="00973890" w:rsidP="005D5D2E">
            <w:pPr>
              <w:widowControl w:val="0"/>
              <w:spacing w:before="40" w:after="40"/>
              <w:jc w:val="left"/>
              <w:rPr>
                <w:rFonts w:ascii="Arial Narrow" w:eastAsia="Arial" w:hAnsi="Arial Narrow"/>
                <w:b/>
                <w:iCs/>
                <w:sz w:val="20"/>
              </w:rPr>
            </w:pPr>
            <w:r w:rsidRPr="003964BE">
              <w:rPr>
                <w:rFonts w:ascii="Arial Narrow" w:eastAsia="Arial" w:hAnsi="Arial Narrow"/>
                <w:b/>
                <w:iCs/>
                <w:sz w:val="20"/>
              </w:rPr>
              <w:t>Patients/samples</w:t>
            </w:r>
          </w:p>
        </w:tc>
        <w:tc>
          <w:tcPr>
            <w:tcW w:w="511" w:type="pct"/>
            <w:shd w:val="clear" w:color="auto" w:fill="auto"/>
          </w:tcPr>
          <w:p w14:paraId="163ADDD1" w14:textId="77777777" w:rsidR="00973890" w:rsidRPr="003964BE" w:rsidRDefault="00973890" w:rsidP="005D5D2E">
            <w:pPr>
              <w:widowControl w:val="0"/>
              <w:spacing w:before="40" w:after="40"/>
              <w:jc w:val="left"/>
              <w:rPr>
                <w:rFonts w:ascii="Arial Narrow" w:eastAsia="Arial" w:hAnsi="Arial Narrow"/>
                <w:b/>
                <w:iCs/>
                <w:sz w:val="20"/>
              </w:rPr>
            </w:pPr>
            <w:r w:rsidRPr="003964BE">
              <w:rPr>
                <w:rFonts w:ascii="Arial Narrow" w:eastAsia="Arial" w:hAnsi="Arial Narrow"/>
                <w:b/>
                <w:iCs/>
                <w:sz w:val="20"/>
              </w:rPr>
              <w:t>TP</w:t>
            </w:r>
          </w:p>
        </w:tc>
        <w:tc>
          <w:tcPr>
            <w:tcW w:w="354" w:type="pct"/>
            <w:shd w:val="clear" w:color="auto" w:fill="auto"/>
          </w:tcPr>
          <w:p w14:paraId="6B5C6058" w14:textId="77777777" w:rsidR="00973890" w:rsidRPr="003964BE" w:rsidRDefault="00973890" w:rsidP="005D5D2E">
            <w:pPr>
              <w:widowControl w:val="0"/>
              <w:spacing w:before="40" w:after="40"/>
              <w:jc w:val="left"/>
              <w:rPr>
                <w:rFonts w:ascii="Arial Narrow" w:eastAsia="Arial" w:hAnsi="Arial Narrow"/>
                <w:b/>
                <w:iCs/>
                <w:sz w:val="20"/>
              </w:rPr>
            </w:pPr>
            <w:r w:rsidRPr="003964BE">
              <w:rPr>
                <w:rFonts w:ascii="Arial Narrow" w:eastAsia="Arial" w:hAnsi="Arial Narrow"/>
                <w:b/>
                <w:iCs/>
                <w:sz w:val="20"/>
              </w:rPr>
              <w:t>FP</w:t>
            </w:r>
          </w:p>
        </w:tc>
        <w:tc>
          <w:tcPr>
            <w:tcW w:w="354" w:type="pct"/>
            <w:shd w:val="clear" w:color="auto" w:fill="auto"/>
          </w:tcPr>
          <w:p w14:paraId="51E9081E" w14:textId="77777777" w:rsidR="00973890" w:rsidRPr="003964BE" w:rsidRDefault="00973890" w:rsidP="005D5D2E">
            <w:pPr>
              <w:widowControl w:val="0"/>
              <w:spacing w:before="40" w:after="40"/>
              <w:jc w:val="left"/>
              <w:rPr>
                <w:rFonts w:ascii="Arial Narrow" w:eastAsia="Arial" w:hAnsi="Arial Narrow"/>
                <w:b/>
                <w:iCs/>
                <w:sz w:val="20"/>
              </w:rPr>
            </w:pPr>
            <w:r w:rsidRPr="003964BE">
              <w:rPr>
                <w:rFonts w:ascii="Arial Narrow" w:eastAsia="Arial" w:hAnsi="Arial Narrow"/>
                <w:b/>
                <w:iCs/>
                <w:sz w:val="20"/>
              </w:rPr>
              <w:t>FN</w:t>
            </w:r>
          </w:p>
        </w:tc>
        <w:tc>
          <w:tcPr>
            <w:tcW w:w="354" w:type="pct"/>
            <w:shd w:val="clear" w:color="auto" w:fill="auto"/>
          </w:tcPr>
          <w:p w14:paraId="73E93798" w14:textId="77777777" w:rsidR="00973890" w:rsidRPr="003964BE" w:rsidRDefault="00973890" w:rsidP="005D5D2E">
            <w:pPr>
              <w:widowControl w:val="0"/>
              <w:spacing w:before="40" w:after="40"/>
              <w:jc w:val="left"/>
              <w:rPr>
                <w:rFonts w:ascii="Arial Narrow" w:eastAsia="Arial" w:hAnsi="Arial Narrow"/>
                <w:b/>
                <w:iCs/>
                <w:sz w:val="20"/>
              </w:rPr>
            </w:pPr>
            <w:r w:rsidRPr="003964BE">
              <w:rPr>
                <w:rFonts w:ascii="Arial Narrow" w:eastAsia="Arial" w:hAnsi="Arial Narrow"/>
                <w:b/>
                <w:iCs/>
                <w:sz w:val="20"/>
              </w:rPr>
              <w:t>TN</w:t>
            </w:r>
          </w:p>
        </w:tc>
        <w:tc>
          <w:tcPr>
            <w:tcW w:w="676" w:type="pct"/>
            <w:shd w:val="clear" w:color="auto" w:fill="auto"/>
          </w:tcPr>
          <w:p w14:paraId="5506B41C" w14:textId="77777777" w:rsidR="00973890" w:rsidRPr="003964BE" w:rsidRDefault="00973890" w:rsidP="005D5D2E">
            <w:pPr>
              <w:widowControl w:val="0"/>
              <w:spacing w:before="40" w:after="40"/>
              <w:jc w:val="left"/>
              <w:rPr>
                <w:rFonts w:ascii="Arial Narrow" w:eastAsia="Arial" w:hAnsi="Arial Narrow"/>
                <w:b/>
                <w:iCs/>
                <w:sz w:val="20"/>
              </w:rPr>
            </w:pPr>
            <w:r w:rsidRPr="003964BE">
              <w:rPr>
                <w:rFonts w:ascii="Arial Narrow" w:eastAsia="Arial" w:hAnsi="Arial Narrow"/>
                <w:b/>
                <w:iCs/>
                <w:sz w:val="20"/>
              </w:rPr>
              <w:t>Sens/Spec</w:t>
            </w:r>
          </w:p>
        </w:tc>
      </w:tr>
      <w:tr w:rsidR="00973890" w:rsidRPr="003964BE" w14:paraId="62E7A497" w14:textId="77777777" w:rsidTr="005D5D2E">
        <w:tc>
          <w:tcPr>
            <w:tcW w:w="628" w:type="pct"/>
          </w:tcPr>
          <w:p w14:paraId="79B7EE8D" w14:textId="4B8C45E3" w:rsidR="00973890" w:rsidRPr="003964BE" w:rsidRDefault="00973890" w:rsidP="005D5D2E">
            <w:pPr>
              <w:widowControl w:val="0"/>
              <w:spacing w:before="40" w:after="40"/>
              <w:jc w:val="left"/>
              <w:rPr>
                <w:rFonts w:ascii="Arial Narrow" w:eastAsia="Arial" w:hAnsi="Arial Narrow"/>
                <w:iCs/>
                <w:sz w:val="20"/>
              </w:rPr>
            </w:pPr>
            <w:proofErr w:type="spellStart"/>
            <w:r w:rsidRPr="003964BE">
              <w:rPr>
                <w:rFonts w:ascii="Arial Narrow" w:eastAsia="Arial" w:hAnsi="Arial Narrow"/>
                <w:iCs/>
                <w:sz w:val="20"/>
              </w:rPr>
              <w:t>Gatalica</w:t>
            </w:r>
            <w:proofErr w:type="spellEnd"/>
            <w:r w:rsidRPr="003964BE">
              <w:rPr>
                <w:rFonts w:ascii="Arial Narrow" w:eastAsia="Arial" w:hAnsi="Arial Narrow"/>
                <w:iCs/>
                <w:sz w:val="20"/>
              </w:rPr>
              <w:t xml:space="preserve"> et al. (2019)</w:t>
            </w:r>
          </w:p>
        </w:tc>
        <w:tc>
          <w:tcPr>
            <w:tcW w:w="2123" w:type="pct"/>
          </w:tcPr>
          <w:p w14:paraId="2047912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N=4,136 FFPE tissue samples of various solid cancer types from adult patients</w:t>
            </w:r>
          </w:p>
          <w:p w14:paraId="74978D34"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Tumour types relevant to the resubmission.</w:t>
            </w:r>
          </w:p>
          <w:p w14:paraId="75110B8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Low frequency NTRK fusion cancers included in Population 4: 51% of all samples; NSCLC (35%), CRC (11%), STS (4%), thyroid carcinoma (0.6%)</w:t>
            </w:r>
          </w:p>
          <w:p w14:paraId="29F371B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Tumours were considered IHC positive if ≥1% of tumour cells exhibited positivity at any intensity above background. Different subcellular staining patterns were considered positive (cytoplasmic, membranous, nuclear, and perinuclear)</w:t>
            </w:r>
          </w:p>
        </w:tc>
        <w:tc>
          <w:tcPr>
            <w:tcW w:w="511" w:type="pct"/>
          </w:tcPr>
          <w:p w14:paraId="7B5F2EB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21</w:t>
            </w:r>
          </w:p>
          <w:p w14:paraId="0D8FC7CC" w14:textId="77777777" w:rsidR="00973890" w:rsidRPr="003964BE" w:rsidRDefault="00973890" w:rsidP="005D5D2E">
            <w:pPr>
              <w:widowControl w:val="0"/>
              <w:spacing w:before="40" w:after="40"/>
              <w:jc w:val="left"/>
              <w:rPr>
                <w:rFonts w:ascii="Arial Narrow" w:eastAsia="Arial" w:hAnsi="Arial Narrow"/>
                <w:iCs/>
                <w:sz w:val="20"/>
              </w:rPr>
            </w:pPr>
          </w:p>
          <w:p w14:paraId="5FF0A244"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NTRK1</w:t>
            </w:r>
          </w:p>
          <w:p w14:paraId="2D8DFDA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7</w:t>
            </w:r>
          </w:p>
          <w:p w14:paraId="3B486ED8"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NTRK2</w:t>
            </w:r>
          </w:p>
          <w:p w14:paraId="64D12E6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8</w:t>
            </w:r>
          </w:p>
          <w:p w14:paraId="47ED3E3E"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NTRK3</w:t>
            </w:r>
          </w:p>
          <w:p w14:paraId="7379A5CA"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6</w:t>
            </w:r>
          </w:p>
        </w:tc>
        <w:tc>
          <w:tcPr>
            <w:tcW w:w="354" w:type="pct"/>
          </w:tcPr>
          <w:p w14:paraId="1CDA2B59"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166</w:t>
            </w:r>
          </w:p>
        </w:tc>
        <w:tc>
          <w:tcPr>
            <w:tcW w:w="354" w:type="pct"/>
          </w:tcPr>
          <w:p w14:paraId="78BDBDA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7</w:t>
            </w:r>
          </w:p>
          <w:p w14:paraId="2220FAEC" w14:textId="77777777" w:rsidR="00973890" w:rsidRPr="003964BE" w:rsidRDefault="00973890" w:rsidP="005D5D2E">
            <w:pPr>
              <w:widowControl w:val="0"/>
              <w:spacing w:before="40" w:after="40"/>
              <w:jc w:val="left"/>
              <w:rPr>
                <w:rFonts w:ascii="Arial Narrow" w:eastAsia="Arial" w:hAnsi="Arial Narrow"/>
                <w:iCs/>
                <w:sz w:val="20"/>
              </w:rPr>
            </w:pPr>
          </w:p>
          <w:p w14:paraId="6646E801" w14:textId="77777777" w:rsidR="00973890" w:rsidRPr="003964BE" w:rsidRDefault="00973890" w:rsidP="005D5D2E">
            <w:pPr>
              <w:widowControl w:val="0"/>
              <w:spacing w:before="40" w:after="40"/>
              <w:jc w:val="left"/>
              <w:rPr>
                <w:rFonts w:ascii="Arial Narrow" w:eastAsia="Arial" w:hAnsi="Arial Narrow"/>
                <w:iCs/>
                <w:sz w:val="20"/>
              </w:rPr>
            </w:pPr>
          </w:p>
          <w:p w14:paraId="493F5803"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p w14:paraId="1E204947" w14:textId="77777777" w:rsidR="00973890" w:rsidRPr="003964BE" w:rsidRDefault="00973890" w:rsidP="005D5D2E">
            <w:pPr>
              <w:widowControl w:val="0"/>
              <w:spacing w:before="40" w:after="40"/>
              <w:jc w:val="left"/>
              <w:rPr>
                <w:rFonts w:ascii="Arial Narrow" w:eastAsia="Arial" w:hAnsi="Arial Narrow"/>
                <w:iCs/>
                <w:sz w:val="20"/>
              </w:rPr>
            </w:pPr>
          </w:p>
          <w:p w14:paraId="57A7E8A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p w14:paraId="5F945F66" w14:textId="77777777" w:rsidR="00973890" w:rsidRPr="003964BE" w:rsidRDefault="00973890" w:rsidP="005D5D2E">
            <w:pPr>
              <w:widowControl w:val="0"/>
              <w:spacing w:before="40" w:after="40"/>
              <w:jc w:val="left"/>
              <w:rPr>
                <w:rFonts w:ascii="Arial Narrow" w:eastAsia="Arial" w:hAnsi="Arial Narrow"/>
                <w:iCs/>
                <w:sz w:val="20"/>
              </w:rPr>
            </w:pPr>
          </w:p>
          <w:p w14:paraId="5A1CB00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5</w:t>
            </w:r>
          </w:p>
        </w:tc>
        <w:tc>
          <w:tcPr>
            <w:tcW w:w="354" w:type="pct"/>
          </w:tcPr>
          <w:p w14:paraId="19992268"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3,942</w:t>
            </w:r>
          </w:p>
        </w:tc>
        <w:tc>
          <w:tcPr>
            <w:tcW w:w="676" w:type="pct"/>
          </w:tcPr>
          <w:p w14:paraId="22C9B5EB"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75.0%</w:t>
            </w:r>
          </w:p>
          <w:p w14:paraId="2F54AC73"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 95.6%</w:t>
            </w:r>
          </w:p>
          <w:p w14:paraId="5E687478" w14:textId="77777777" w:rsidR="00973890" w:rsidRPr="003964BE" w:rsidRDefault="00973890" w:rsidP="005D5D2E">
            <w:pPr>
              <w:widowControl w:val="0"/>
              <w:spacing w:before="40" w:after="40"/>
              <w:jc w:val="left"/>
              <w:rPr>
                <w:rFonts w:ascii="Arial Narrow" w:eastAsia="Arial" w:hAnsi="Arial Narrow"/>
                <w:iCs/>
                <w:sz w:val="20"/>
              </w:rPr>
            </w:pPr>
          </w:p>
          <w:p w14:paraId="6848FE60"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87.5%</w:t>
            </w:r>
          </w:p>
          <w:p w14:paraId="5353A076" w14:textId="77777777" w:rsidR="00973890" w:rsidRPr="003964BE" w:rsidRDefault="00973890" w:rsidP="005D5D2E">
            <w:pPr>
              <w:widowControl w:val="0"/>
              <w:spacing w:before="40" w:after="40"/>
              <w:jc w:val="left"/>
              <w:rPr>
                <w:rFonts w:ascii="Arial Narrow" w:eastAsia="Arial" w:hAnsi="Arial Narrow"/>
                <w:iCs/>
                <w:sz w:val="20"/>
              </w:rPr>
            </w:pPr>
          </w:p>
          <w:p w14:paraId="4A3FA4C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88.9%</w:t>
            </w:r>
          </w:p>
          <w:p w14:paraId="06A28028" w14:textId="77777777" w:rsidR="00973890" w:rsidRPr="003964BE" w:rsidRDefault="00973890" w:rsidP="005D5D2E">
            <w:pPr>
              <w:widowControl w:val="0"/>
              <w:spacing w:before="40" w:after="40"/>
              <w:jc w:val="left"/>
              <w:rPr>
                <w:rFonts w:ascii="Arial Narrow" w:eastAsia="Arial" w:hAnsi="Arial Narrow"/>
                <w:iCs/>
                <w:sz w:val="20"/>
              </w:rPr>
            </w:pPr>
          </w:p>
          <w:p w14:paraId="231B21A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54.5%</w:t>
            </w:r>
          </w:p>
        </w:tc>
      </w:tr>
      <w:tr w:rsidR="00973890" w:rsidRPr="003964BE" w14:paraId="134EDCC9" w14:textId="77777777" w:rsidTr="005D5D2E">
        <w:tc>
          <w:tcPr>
            <w:tcW w:w="628" w:type="pct"/>
          </w:tcPr>
          <w:p w14:paraId="6BA21E47" w14:textId="5F61EF4D" w:rsidR="00973890" w:rsidRPr="003964BE" w:rsidRDefault="00973890" w:rsidP="005D5D2E">
            <w:pPr>
              <w:widowControl w:val="0"/>
              <w:spacing w:before="40" w:after="40"/>
              <w:jc w:val="left"/>
              <w:rPr>
                <w:rFonts w:ascii="Arial Narrow" w:eastAsia="Arial" w:hAnsi="Arial Narrow"/>
                <w:iCs/>
                <w:sz w:val="20"/>
              </w:rPr>
            </w:pPr>
            <w:proofErr w:type="spellStart"/>
            <w:r w:rsidRPr="003964BE">
              <w:rPr>
                <w:rFonts w:ascii="Arial Narrow" w:eastAsia="Arial" w:hAnsi="Arial Narrow"/>
                <w:iCs/>
                <w:sz w:val="20"/>
              </w:rPr>
              <w:t>Hechtman</w:t>
            </w:r>
            <w:proofErr w:type="spellEnd"/>
            <w:r w:rsidRPr="003964BE">
              <w:rPr>
                <w:rFonts w:ascii="Arial Narrow" w:eastAsia="Arial" w:hAnsi="Arial Narrow"/>
                <w:iCs/>
                <w:sz w:val="20"/>
              </w:rPr>
              <w:t xml:space="preserve"> et al. (2017)</w:t>
            </w:r>
          </w:p>
        </w:tc>
        <w:tc>
          <w:tcPr>
            <w:tcW w:w="2123" w:type="pct"/>
          </w:tcPr>
          <w:p w14:paraId="45707970"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N=23 patients with NTRK1, 2 or 3 rearrangements detected by MSK-IMPACT.</w:t>
            </w:r>
          </w:p>
          <w:p w14:paraId="06EF8A0B"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Tumour types relevant to the resubmission.</w:t>
            </w:r>
          </w:p>
          <w:p w14:paraId="2E8F7EF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High frequency NTRK fusion cancers: 22% of all cases; MASC (n=4) and SBC (n=1)</w:t>
            </w:r>
          </w:p>
          <w:p w14:paraId="5207BC8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Low frequency NTRK fusion cancers: 43% of all cases; CRC (n=5), lung (n=3) and sarcoma (n=2)</w:t>
            </w:r>
          </w:p>
          <w:p w14:paraId="0DD944B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N=20 consecutive tumours (not described) without evidence of NTRK fusion on Archer RNA-NGS</w:t>
            </w:r>
          </w:p>
          <w:p w14:paraId="632EE67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IHC positivity was not defined but all IHC positive cases displayed cytoplasmic staining.</w:t>
            </w:r>
          </w:p>
        </w:tc>
        <w:tc>
          <w:tcPr>
            <w:tcW w:w="511" w:type="pct"/>
          </w:tcPr>
          <w:p w14:paraId="194D55D4"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21</w:t>
            </w:r>
          </w:p>
          <w:p w14:paraId="46E268A0" w14:textId="77777777" w:rsidR="00973890" w:rsidRPr="003964BE" w:rsidRDefault="00973890" w:rsidP="005D5D2E">
            <w:pPr>
              <w:widowControl w:val="0"/>
              <w:spacing w:before="40" w:after="40"/>
              <w:jc w:val="left"/>
              <w:rPr>
                <w:rFonts w:ascii="Arial Narrow" w:eastAsia="Arial" w:hAnsi="Arial Narrow"/>
                <w:iCs/>
                <w:sz w:val="20"/>
              </w:rPr>
            </w:pPr>
          </w:p>
          <w:p w14:paraId="76D4AE52"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NTRK1</w:t>
            </w:r>
          </w:p>
          <w:p w14:paraId="583064B7"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8</w:t>
            </w:r>
          </w:p>
          <w:p w14:paraId="5394B418"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NTRK2</w:t>
            </w:r>
          </w:p>
          <w:p w14:paraId="0ACDE0FA"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w:t>
            </w:r>
          </w:p>
          <w:p w14:paraId="173C8BA6"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NTRK3</w:t>
            </w:r>
          </w:p>
          <w:p w14:paraId="08C614F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6</w:t>
            </w:r>
          </w:p>
        </w:tc>
        <w:tc>
          <w:tcPr>
            <w:tcW w:w="354" w:type="pct"/>
          </w:tcPr>
          <w:p w14:paraId="321EB094"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tc>
        <w:tc>
          <w:tcPr>
            <w:tcW w:w="354" w:type="pct"/>
          </w:tcPr>
          <w:p w14:paraId="5E68F2BC"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p w14:paraId="7B34EF62" w14:textId="77777777" w:rsidR="00973890" w:rsidRPr="003964BE" w:rsidRDefault="00973890" w:rsidP="005D5D2E">
            <w:pPr>
              <w:widowControl w:val="0"/>
              <w:spacing w:before="40" w:after="40"/>
              <w:jc w:val="left"/>
              <w:rPr>
                <w:rFonts w:ascii="Arial Narrow" w:eastAsia="Arial" w:hAnsi="Arial Narrow"/>
                <w:iCs/>
                <w:sz w:val="20"/>
              </w:rPr>
            </w:pPr>
          </w:p>
          <w:p w14:paraId="38D081AE" w14:textId="77777777" w:rsidR="00973890" w:rsidRPr="003964BE" w:rsidRDefault="00973890" w:rsidP="005D5D2E">
            <w:pPr>
              <w:widowControl w:val="0"/>
              <w:spacing w:before="40" w:after="40"/>
              <w:jc w:val="left"/>
              <w:rPr>
                <w:rFonts w:ascii="Arial Narrow" w:eastAsia="Arial" w:hAnsi="Arial Narrow"/>
                <w:iCs/>
                <w:sz w:val="20"/>
              </w:rPr>
            </w:pPr>
          </w:p>
          <w:p w14:paraId="320BCC73"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p w14:paraId="09AF2242" w14:textId="77777777" w:rsidR="00973890" w:rsidRPr="003964BE" w:rsidRDefault="00973890" w:rsidP="005D5D2E">
            <w:pPr>
              <w:widowControl w:val="0"/>
              <w:spacing w:before="40" w:after="40"/>
              <w:jc w:val="left"/>
              <w:rPr>
                <w:rFonts w:ascii="Arial Narrow" w:eastAsia="Arial" w:hAnsi="Arial Narrow"/>
                <w:iCs/>
                <w:sz w:val="20"/>
              </w:rPr>
            </w:pPr>
          </w:p>
          <w:p w14:paraId="1EC20696"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p w14:paraId="14835C58" w14:textId="77777777" w:rsidR="00973890" w:rsidRPr="003964BE" w:rsidRDefault="00973890" w:rsidP="005D5D2E">
            <w:pPr>
              <w:widowControl w:val="0"/>
              <w:spacing w:before="40" w:after="40"/>
              <w:jc w:val="left"/>
              <w:rPr>
                <w:rFonts w:ascii="Arial Narrow" w:eastAsia="Arial" w:hAnsi="Arial Narrow"/>
                <w:iCs/>
                <w:sz w:val="20"/>
              </w:rPr>
            </w:pPr>
          </w:p>
          <w:p w14:paraId="0E7A6A1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tc>
        <w:tc>
          <w:tcPr>
            <w:tcW w:w="354" w:type="pct"/>
          </w:tcPr>
          <w:p w14:paraId="0945EC0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20</w:t>
            </w:r>
          </w:p>
        </w:tc>
        <w:tc>
          <w:tcPr>
            <w:tcW w:w="676" w:type="pct"/>
          </w:tcPr>
          <w:p w14:paraId="5A7D587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Sens:95.5%</w:t>
            </w:r>
          </w:p>
          <w:p w14:paraId="15B76104"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 100%</w:t>
            </w:r>
          </w:p>
          <w:p w14:paraId="37118822" w14:textId="77777777" w:rsidR="00973890" w:rsidRPr="003964BE" w:rsidRDefault="00973890" w:rsidP="005D5D2E">
            <w:pPr>
              <w:widowControl w:val="0"/>
              <w:spacing w:before="40" w:after="40"/>
              <w:jc w:val="left"/>
              <w:rPr>
                <w:rFonts w:ascii="Arial Narrow" w:eastAsia="Arial" w:hAnsi="Arial Narrow"/>
                <w:iCs/>
                <w:sz w:val="20"/>
              </w:rPr>
            </w:pPr>
          </w:p>
          <w:p w14:paraId="36A0443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100%</w:t>
            </w:r>
          </w:p>
          <w:p w14:paraId="3D66A15E" w14:textId="77777777" w:rsidR="00973890" w:rsidRPr="003964BE" w:rsidRDefault="00973890" w:rsidP="005D5D2E">
            <w:pPr>
              <w:widowControl w:val="0"/>
              <w:spacing w:before="40" w:after="40"/>
              <w:jc w:val="left"/>
              <w:rPr>
                <w:rFonts w:ascii="Arial Narrow" w:eastAsia="Arial" w:hAnsi="Arial Narrow"/>
                <w:iCs/>
                <w:sz w:val="20"/>
              </w:rPr>
            </w:pPr>
          </w:p>
          <w:p w14:paraId="2549586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100%</w:t>
            </w:r>
          </w:p>
          <w:p w14:paraId="09D07B26" w14:textId="77777777" w:rsidR="00973890" w:rsidRPr="003964BE" w:rsidRDefault="00973890" w:rsidP="005D5D2E">
            <w:pPr>
              <w:widowControl w:val="0"/>
              <w:spacing w:before="40" w:after="40"/>
              <w:jc w:val="left"/>
              <w:rPr>
                <w:rFonts w:ascii="Arial Narrow" w:eastAsia="Arial" w:hAnsi="Arial Narrow"/>
                <w:iCs/>
                <w:sz w:val="20"/>
              </w:rPr>
            </w:pPr>
          </w:p>
          <w:p w14:paraId="1E112897"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85.7%</w:t>
            </w:r>
          </w:p>
        </w:tc>
      </w:tr>
      <w:tr w:rsidR="00973890" w:rsidRPr="003964BE" w14:paraId="2676EFBC" w14:textId="77777777" w:rsidTr="005D5D2E">
        <w:tc>
          <w:tcPr>
            <w:tcW w:w="628" w:type="pct"/>
          </w:tcPr>
          <w:p w14:paraId="5378B9C6" w14:textId="4B265502"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Solomon et al. (2020)</w:t>
            </w:r>
          </w:p>
        </w:tc>
        <w:tc>
          <w:tcPr>
            <w:tcW w:w="2123" w:type="pct"/>
          </w:tcPr>
          <w:p w14:paraId="597BC7F4"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N=66 cases with NTRK structural variants identified by MSK-IMPACT</w:t>
            </w:r>
          </w:p>
          <w:p w14:paraId="7CB2D279"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N=317 NTRK fusion negative cases</w:t>
            </w:r>
          </w:p>
          <w:p w14:paraId="73416F4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Tumour types relevant to the resubmission.</w:t>
            </w:r>
          </w:p>
          <w:p w14:paraId="3057ED36"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Low frequency NTRK fusion cancers: 40% of all cases; thyroid (10%), sarcoma (13%), lung (8%), colon (9%).</w:t>
            </w:r>
          </w:p>
          <w:p w14:paraId="3833FD6B"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Positive IHC staining was defined as staining above background in at least 1% of tumour cells in any pattern including membranous, cytoplasmic, perinuclear, or nuclear.</w:t>
            </w:r>
          </w:p>
        </w:tc>
        <w:tc>
          <w:tcPr>
            <w:tcW w:w="511" w:type="pct"/>
          </w:tcPr>
          <w:p w14:paraId="3D8DD2A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58</w:t>
            </w:r>
          </w:p>
          <w:p w14:paraId="04D82AC4" w14:textId="77777777" w:rsidR="00973890" w:rsidRPr="003964BE" w:rsidRDefault="00973890" w:rsidP="005D5D2E">
            <w:pPr>
              <w:widowControl w:val="0"/>
              <w:spacing w:before="40" w:after="40"/>
              <w:jc w:val="left"/>
              <w:rPr>
                <w:rFonts w:ascii="Arial Narrow" w:eastAsia="Arial" w:hAnsi="Arial Narrow"/>
                <w:iCs/>
                <w:sz w:val="20"/>
              </w:rPr>
            </w:pPr>
          </w:p>
          <w:p w14:paraId="73ED549A"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NTRK1</w:t>
            </w:r>
          </w:p>
          <w:p w14:paraId="72D3890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26</w:t>
            </w:r>
          </w:p>
          <w:p w14:paraId="383C15AD"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NTRK2</w:t>
            </w:r>
          </w:p>
          <w:p w14:paraId="741862B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5</w:t>
            </w:r>
          </w:p>
          <w:p w14:paraId="6690E525"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NTRK3</w:t>
            </w:r>
          </w:p>
          <w:p w14:paraId="5FB39947"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rPr>
              <w:t>27</w:t>
            </w:r>
          </w:p>
          <w:p w14:paraId="080C14A9"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 xml:space="preserve">Thyroid </w:t>
            </w:r>
          </w:p>
          <w:p w14:paraId="52813F08"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9</w:t>
            </w:r>
          </w:p>
          <w:p w14:paraId="435BF31E" w14:textId="77777777" w:rsidR="00973890" w:rsidRPr="003964BE" w:rsidRDefault="00973890" w:rsidP="005D5D2E">
            <w:pPr>
              <w:widowControl w:val="0"/>
              <w:spacing w:before="40" w:after="40"/>
              <w:jc w:val="left"/>
              <w:rPr>
                <w:rFonts w:ascii="Arial Narrow" w:eastAsia="Arial" w:hAnsi="Arial Narrow"/>
                <w:iCs/>
                <w:sz w:val="20"/>
              </w:rPr>
            </w:pPr>
          </w:p>
          <w:p w14:paraId="398A9E3D"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CRC</w:t>
            </w:r>
          </w:p>
          <w:p w14:paraId="15E569EC"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7</w:t>
            </w:r>
          </w:p>
          <w:p w14:paraId="1D1D3B75" w14:textId="77777777" w:rsidR="00973890" w:rsidRPr="003964BE" w:rsidRDefault="00973890" w:rsidP="005D5D2E">
            <w:pPr>
              <w:widowControl w:val="0"/>
              <w:spacing w:before="40" w:after="40"/>
              <w:jc w:val="left"/>
              <w:rPr>
                <w:rFonts w:ascii="Arial Narrow" w:eastAsia="Arial" w:hAnsi="Arial Narrow"/>
                <w:iCs/>
                <w:sz w:val="20"/>
              </w:rPr>
            </w:pPr>
          </w:p>
          <w:p w14:paraId="057EBE3D"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Lung</w:t>
            </w:r>
          </w:p>
          <w:p w14:paraId="6A54EF9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7</w:t>
            </w:r>
          </w:p>
          <w:p w14:paraId="577968D9" w14:textId="77777777" w:rsidR="00973890" w:rsidRPr="003964BE" w:rsidRDefault="00973890" w:rsidP="005D5D2E">
            <w:pPr>
              <w:widowControl w:val="0"/>
              <w:spacing w:before="40" w:after="40"/>
              <w:jc w:val="left"/>
              <w:rPr>
                <w:rFonts w:ascii="Arial Narrow" w:eastAsia="Arial" w:hAnsi="Arial Narrow"/>
                <w:iCs/>
                <w:sz w:val="20"/>
              </w:rPr>
            </w:pPr>
          </w:p>
          <w:p w14:paraId="67B82E9D" w14:textId="77777777" w:rsidR="00973890" w:rsidRPr="003964BE" w:rsidRDefault="00973890" w:rsidP="005D5D2E">
            <w:pPr>
              <w:widowControl w:val="0"/>
              <w:spacing w:before="40" w:after="40"/>
              <w:jc w:val="left"/>
              <w:rPr>
                <w:rFonts w:ascii="Arial Narrow" w:eastAsia="Arial" w:hAnsi="Arial Narrow"/>
                <w:iCs/>
                <w:sz w:val="20"/>
                <w:u w:val="single"/>
              </w:rPr>
            </w:pPr>
            <w:r w:rsidRPr="003964BE">
              <w:rPr>
                <w:rFonts w:ascii="Arial Narrow" w:eastAsia="Arial" w:hAnsi="Arial Narrow"/>
                <w:iCs/>
                <w:sz w:val="20"/>
                <w:u w:val="single"/>
              </w:rPr>
              <w:t>Sarcoma</w:t>
            </w:r>
          </w:p>
          <w:p w14:paraId="1FE11873"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8</w:t>
            </w:r>
          </w:p>
        </w:tc>
        <w:tc>
          <w:tcPr>
            <w:tcW w:w="354" w:type="pct"/>
          </w:tcPr>
          <w:p w14:paraId="1973BE5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60</w:t>
            </w:r>
          </w:p>
          <w:p w14:paraId="08599275" w14:textId="77777777" w:rsidR="00973890" w:rsidRPr="003964BE" w:rsidRDefault="00973890" w:rsidP="005D5D2E">
            <w:pPr>
              <w:widowControl w:val="0"/>
              <w:spacing w:before="40" w:after="40"/>
              <w:jc w:val="left"/>
              <w:rPr>
                <w:rFonts w:ascii="Arial Narrow" w:eastAsia="Arial" w:hAnsi="Arial Narrow"/>
                <w:iCs/>
                <w:sz w:val="20"/>
              </w:rPr>
            </w:pPr>
          </w:p>
          <w:p w14:paraId="6F54423B" w14:textId="77777777" w:rsidR="00973890" w:rsidRPr="003964BE" w:rsidRDefault="00973890" w:rsidP="005D5D2E">
            <w:pPr>
              <w:widowControl w:val="0"/>
              <w:spacing w:before="40" w:after="40"/>
              <w:jc w:val="left"/>
              <w:rPr>
                <w:rFonts w:ascii="Arial Narrow" w:eastAsia="Arial" w:hAnsi="Arial Narrow"/>
                <w:iCs/>
                <w:sz w:val="20"/>
              </w:rPr>
            </w:pPr>
          </w:p>
          <w:p w14:paraId="0E7DC653" w14:textId="77777777" w:rsidR="00973890" w:rsidRPr="003964BE" w:rsidRDefault="00973890" w:rsidP="005D5D2E">
            <w:pPr>
              <w:widowControl w:val="0"/>
              <w:spacing w:before="40" w:after="40"/>
              <w:jc w:val="left"/>
              <w:rPr>
                <w:rFonts w:ascii="Arial Narrow" w:eastAsia="Arial" w:hAnsi="Arial Narrow"/>
                <w:iCs/>
                <w:sz w:val="20"/>
              </w:rPr>
            </w:pPr>
          </w:p>
          <w:p w14:paraId="0A2E1F6B" w14:textId="77777777" w:rsidR="00973890" w:rsidRPr="003964BE" w:rsidRDefault="00973890" w:rsidP="005D5D2E">
            <w:pPr>
              <w:widowControl w:val="0"/>
              <w:spacing w:before="40" w:after="40"/>
              <w:jc w:val="left"/>
              <w:rPr>
                <w:rFonts w:ascii="Arial Narrow" w:eastAsia="Arial" w:hAnsi="Arial Narrow"/>
                <w:iCs/>
                <w:sz w:val="20"/>
              </w:rPr>
            </w:pPr>
          </w:p>
          <w:p w14:paraId="2678075E" w14:textId="77777777" w:rsidR="00973890" w:rsidRPr="003964BE" w:rsidRDefault="00973890" w:rsidP="005D5D2E">
            <w:pPr>
              <w:widowControl w:val="0"/>
              <w:spacing w:before="40" w:after="40"/>
              <w:jc w:val="left"/>
              <w:rPr>
                <w:rFonts w:ascii="Arial Narrow" w:eastAsia="Arial" w:hAnsi="Arial Narrow"/>
                <w:iCs/>
                <w:sz w:val="20"/>
              </w:rPr>
            </w:pPr>
          </w:p>
          <w:p w14:paraId="65BF5D2A" w14:textId="77777777" w:rsidR="00973890" w:rsidRPr="003964BE" w:rsidRDefault="00973890" w:rsidP="005D5D2E">
            <w:pPr>
              <w:widowControl w:val="0"/>
              <w:spacing w:before="40" w:after="40"/>
              <w:jc w:val="left"/>
              <w:rPr>
                <w:rFonts w:ascii="Arial Narrow" w:eastAsia="Arial" w:hAnsi="Arial Narrow"/>
                <w:iCs/>
                <w:sz w:val="20"/>
              </w:rPr>
            </w:pPr>
          </w:p>
          <w:p w14:paraId="7966010D" w14:textId="77777777" w:rsidR="00973890" w:rsidRPr="003964BE" w:rsidRDefault="00973890" w:rsidP="005D5D2E">
            <w:pPr>
              <w:widowControl w:val="0"/>
              <w:spacing w:before="40" w:after="40"/>
              <w:jc w:val="left"/>
              <w:rPr>
                <w:rFonts w:ascii="Arial Narrow" w:eastAsia="Arial" w:hAnsi="Arial Narrow"/>
                <w:iCs/>
                <w:sz w:val="20"/>
              </w:rPr>
            </w:pPr>
          </w:p>
          <w:p w14:paraId="59434609" w14:textId="77777777" w:rsidR="00973890" w:rsidRPr="003964BE" w:rsidRDefault="00973890" w:rsidP="005D5D2E">
            <w:pPr>
              <w:widowControl w:val="0"/>
              <w:spacing w:before="40" w:after="40"/>
              <w:jc w:val="left"/>
              <w:rPr>
                <w:rFonts w:ascii="Arial Narrow" w:eastAsia="Arial" w:hAnsi="Arial Narrow"/>
                <w:iCs/>
                <w:sz w:val="20"/>
              </w:rPr>
            </w:pPr>
          </w:p>
          <w:p w14:paraId="04E299EB"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p w14:paraId="04378D43" w14:textId="77777777" w:rsidR="00973890" w:rsidRPr="003964BE" w:rsidRDefault="00973890" w:rsidP="005D5D2E">
            <w:pPr>
              <w:widowControl w:val="0"/>
              <w:spacing w:before="40" w:after="40"/>
              <w:jc w:val="left"/>
              <w:rPr>
                <w:rFonts w:ascii="Arial Narrow" w:eastAsia="Arial" w:hAnsi="Arial Narrow"/>
                <w:iCs/>
                <w:sz w:val="20"/>
              </w:rPr>
            </w:pPr>
          </w:p>
          <w:p w14:paraId="6233025A" w14:textId="77777777" w:rsidR="00973890" w:rsidRPr="003964BE" w:rsidRDefault="00973890" w:rsidP="005D5D2E">
            <w:pPr>
              <w:widowControl w:val="0"/>
              <w:spacing w:before="40" w:after="40"/>
              <w:jc w:val="left"/>
              <w:rPr>
                <w:rFonts w:ascii="Arial Narrow" w:eastAsia="Arial" w:hAnsi="Arial Narrow"/>
                <w:iCs/>
                <w:sz w:val="20"/>
              </w:rPr>
            </w:pPr>
          </w:p>
          <w:p w14:paraId="59EE2DA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p w14:paraId="215B5723" w14:textId="77777777" w:rsidR="00973890" w:rsidRPr="003964BE" w:rsidRDefault="00973890" w:rsidP="005D5D2E">
            <w:pPr>
              <w:widowControl w:val="0"/>
              <w:spacing w:before="40" w:after="40"/>
              <w:jc w:val="left"/>
              <w:rPr>
                <w:rFonts w:ascii="Arial Narrow" w:eastAsia="Arial" w:hAnsi="Arial Narrow"/>
                <w:iCs/>
                <w:sz w:val="20"/>
              </w:rPr>
            </w:pPr>
          </w:p>
          <w:p w14:paraId="482A94E8" w14:textId="77777777" w:rsidR="00973890" w:rsidRPr="003964BE" w:rsidRDefault="00973890" w:rsidP="005D5D2E">
            <w:pPr>
              <w:widowControl w:val="0"/>
              <w:spacing w:before="40" w:after="40"/>
              <w:jc w:val="left"/>
              <w:rPr>
                <w:rFonts w:ascii="Arial Narrow" w:eastAsia="Arial" w:hAnsi="Arial Narrow"/>
                <w:iCs/>
                <w:sz w:val="20"/>
              </w:rPr>
            </w:pPr>
          </w:p>
          <w:p w14:paraId="249F7527"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p w14:paraId="145E3016" w14:textId="77777777" w:rsidR="00973890" w:rsidRPr="003964BE" w:rsidRDefault="00973890" w:rsidP="005D5D2E">
            <w:pPr>
              <w:widowControl w:val="0"/>
              <w:spacing w:before="40" w:after="40"/>
              <w:jc w:val="left"/>
              <w:rPr>
                <w:rFonts w:ascii="Arial Narrow" w:eastAsia="Arial" w:hAnsi="Arial Narrow"/>
                <w:iCs/>
                <w:sz w:val="20"/>
              </w:rPr>
            </w:pPr>
          </w:p>
          <w:p w14:paraId="7C678A70" w14:textId="77777777" w:rsidR="00973890" w:rsidRPr="003964BE" w:rsidRDefault="00973890" w:rsidP="005D5D2E">
            <w:pPr>
              <w:widowControl w:val="0"/>
              <w:spacing w:before="40" w:after="40"/>
              <w:jc w:val="left"/>
              <w:rPr>
                <w:rFonts w:ascii="Arial Narrow" w:eastAsia="Arial" w:hAnsi="Arial Narrow"/>
                <w:iCs/>
                <w:sz w:val="20"/>
              </w:rPr>
            </w:pPr>
          </w:p>
          <w:p w14:paraId="2B36F1B6"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10</w:t>
            </w:r>
          </w:p>
        </w:tc>
        <w:tc>
          <w:tcPr>
            <w:tcW w:w="354" w:type="pct"/>
          </w:tcPr>
          <w:p w14:paraId="75E392E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8</w:t>
            </w:r>
          </w:p>
          <w:p w14:paraId="3686B1AF" w14:textId="77777777" w:rsidR="00973890" w:rsidRPr="003964BE" w:rsidRDefault="00973890" w:rsidP="005D5D2E">
            <w:pPr>
              <w:widowControl w:val="0"/>
              <w:spacing w:before="40" w:after="40"/>
              <w:jc w:val="left"/>
              <w:rPr>
                <w:rFonts w:ascii="Arial Narrow" w:eastAsia="Arial" w:hAnsi="Arial Narrow"/>
                <w:iCs/>
                <w:sz w:val="20"/>
              </w:rPr>
            </w:pPr>
          </w:p>
          <w:p w14:paraId="685B486F" w14:textId="77777777" w:rsidR="00973890" w:rsidRPr="003964BE" w:rsidRDefault="00973890" w:rsidP="005D5D2E">
            <w:pPr>
              <w:widowControl w:val="0"/>
              <w:spacing w:before="40" w:after="40"/>
              <w:jc w:val="left"/>
              <w:rPr>
                <w:rFonts w:ascii="Arial Narrow" w:eastAsia="Arial" w:hAnsi="Arial Narrow"/>
                <w:iCs/>
                <w:sz w:val="20"/>
              </w:rPr>
            </w:pPr>
          </w:p>
          <w:p w14:paraId="10F6BD9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p w14:paraId="64D32516" w14:textId="77777777" w:rsidR="00973890" w:rsidRPr="003964BE" w:rsidRDefault="00973890" w:rsidP="005D5D2E">
            <w:pPr>
              <w:widowControl w:val="0"/>
              <w:spacing w:before="40" w:after="40"/>
              <w:jc w:val="left"/>
              <w:rPr>
                <w:rFonts w:ascii="Arial Narrow" w:eastAsia="Arial" w:hAnsi="Arial Narrow"/>
                <w:iCs/>
                <w:sz w:val="20"/>
              </w:rPr>
            </w:pPr>
          </w:p>
          <w:p w14:paraId="1342ACCA"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p w14:paraId="7FEB7528" w14:textId="77777777" w:rsidR="00973890" w:rsidRPr="003964BE" w:rsidRDefault="00973890" w:rsidP="005D5D2E">
            <w:pPr>
              <w:widowControl w:val="0"/>
              <w:spacing w:before="40" w:after="40"/>
              <w:jc w:val="left"/>
              <w:rPr>
                <w:rFonts w:ascii="Arial Narrow" w:eastAsia="Arial" w:hAnsi="Arial Narrow"/>
                <w:iCs/>
                <w:sz w:val="20"/>
              </w:rPr>
            </w:pPr>
          </w:p>
          <w:p w14:paraId="06FA6D1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7</w:t>
            </w:r>
          </w:p>
          <w:p w14:paraId="50376152" w14:textId="77777777" w:rsidR="00973890" w:rsidRPr="003964BE" w:rsidRDefault="00973890" w:rsidP="005D5D2E">
            <w:pPr>
              <w:widowControl w:val="0"/>
              <w:spacing w:before="40" w:after="40"/>
              <w:jc w:val="left"/>
              <w:rPr>
                <w:rFonts w:ascii="Arial Narrow" w:eastAsia="Arial" w:hAnsi="Arial Narrow"/>
                <w:iCs/>
                <w:sz w:val="20"/>
              </w:rPr>
            </w:pPr>
          </w:p>
          <w:p w14:paraId="779D647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w:t>
            </w:r>
          </w:p>
          <w:p w14:paraId="6C236B90" w14:textId="77777777" w:rsidR="00973890" w:rsidRPr="003964BE" w:rsidRDefault="00973890" w:rsidP="005D5D2E">
            <w:pPr>
              <w:widowControl w:val="0"/>
              <w:spacing w:before="40" w:after="40"/>
              <w:jc w:val="left"/>
              <w:rPr>
                <w:rFonts w:ascii="Arial Narrow" w:eastAsia="Arial" w:hAnsi="Arial Narrow"/>
                <w:iCs/>
                <w:sz w:val="20"/>
              </w:rPr>
            </w:pPr>
          </w:p>
          <w:p w14:paraId="25E260C9" w14:textId="77777777" w:rsidR="00973890" w:rsidRPr="003964BE" w:rsidRDefault="00973890" w:rsidP="005D5D2E">
            <w:pPr>
              <w:widowControl w:val="0"/>
              <w:spacing w:before="40" w:after="40"/>
              <w:jc w:val="left"/>
              <w:rPr>
                <w:rFonts w:ascii="Arial Narrow" w:eastAsia="Arial" w:hAnsi="Arial Narrow"/>
                <w:iCs/>
                <w:sz w:val="20"/>
              </w:rPr>
            </w:pPr>
          </w:p>
          <w:p w14:paraId="78A7C107"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p w14:paraId="56A52AB8" w14:textId="77777777" w:rsidR="00973890" w:rsidRPr="003964BE" w:rsidRDefault="00973890" w:rsidP="005D5D2E">
            <w:pPr>
              <w:widowControl w:val="0"/>
              <w:spacing w:before="40" w:after="40"/>
              <w:jc w:val="left"/>
              <w:rPr>
                <w:rFonts w:ascii="Arial Narrow" w:eastAsia="Arial" w:hAnsi="Arial Narrow"/>
                <w:iCs/>
                <w:sz w:val="20"/>
              </w:rPr>
            </w:pPr>
          </w:p>
          <w:p w14:paraId="1964B461" w14:textId="77777777" w:rsidR="00973890" w:rsidRPr="003964BE" w:rsidRDefault="00973890" w:rsidP="005D5D2E">
            <w:pPr>
              <w:widowControl w:val="0"/>
              <w:spacing w:before="40" w:after="40"/>
              <w:jc w:val="left"/>
              <w:rPr>
                <w:rFonts w:ascii="Arial Narrow" w:eastAsia="Arial" w:hAnsi="Arial Narrow"/>
                <w:iCs/>
                <w:sz w:val="20"/>
              </w:rPr>
            </w:pPr>
          </w:p>
          <w:p w14:paraId="4768B76B"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p w14:paraId="175156F8" w14:textId="77777777" w:rsidR="00973890" w:rsidRPr="003964BE" w:rsidRDefault="00973890" w:rsidP="005D5D2E">
            <w:pPr>
              <w:widowControl w:val="0"/>
              <w:spacing w:before="40" w:after="40"/>
              <w:jc w:val="left"/>
              <w:rPr>
                <w:rFonts w:ascii="Arial Narrow" w:eastAsia="Arial" w:hAnsi="Arial Narrow"/>
                <w:iCs/>
                <w:sz w:val="20"/>
              </w:rPr>
            </w:pPr>
          </w:p>
          <w:p w14:paraId="26822C6E" w14:textId="77777777" w:rsidR="00973890" w:rsidRPr="003964BE" w:rsidRDefault="00973890" w:rsidP="005D5D2E">
            <w:pPr>
              <w:widowControl w:val="0"/>
              <w:spacing w:before="40" w:after="40"/>
              <w:jc w:val="left"/>
              <w:rPr>
                <w:rFonts w:ascii="Arial Narrow" w:eastAsia="Arial" w:hAnsi="Arial Narrow"/>
                <w:iCs/>
                <w:sz w:val="20"/>
              </w:rPr>
            </w:pPr>
          </w:p>
          <w:p w14:paraId="6AEF449C"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w:t>
            </w:r>
          </w:p>
        </w:tc>
        <w:tc>
          <w:tcPr>
            <w:tcW w:w="354" w:type="pct"/>
          </w:tcPr>
          <w:p w14:paraId="78280DE7"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257</w:t>
            </w:r>
          </w:p>
          <w:p w14:paraId="33AA533A" w14:textId="77777777" w:rsidR="00973890" w:rsidRPr="003964BE" w:rsidRDefault="00973890" w:rsidP="005D5D2E">
            <w:pPr>
              <w:widowControl w:val="0"/>
              <w:spacing w:before="40" w:after="40"/>
              <w:jc w:val="left"/>
              <w:rPr>
                <w:rFonts w:ascii="Arial Narrow" w:eastAsia="Arial" w:hAnsi="Arial Narrow"/>
                <w:iCs/>
                <w:sz w:val="20"/>
              </w:rPr>
            </w:pPr>
          </w:p>
          <w:p w14:paraId="284798BC" w14:textId="77777777" w:rsidR="00973890" w:rsidRPr="003964BE" w:rsidRDefault="00973890" w:rsidP="005D5D2E">
            <w:pPr>
              <w:widowControl w:val="0"/>
              <w:spacing w:before="40" w:after="40"/>
              <w:jc w:val="left"/>
              <w:rPr>
                <w:rFonts w:ascii="Arial Narrow" w:eastAsia="Arial" w:hAnsi="Arial Narrow"/>
                <w:iCs/>
                <w:sz w:val="20"/>
              </w:rPr>
            </w:pPr>
          </w:p>
          <w:p w14:paraId="5DBB34C5" w14:textId="77777777" w:rsidR="00973890" w:rsidRPr="003964BE" w:rsidRDefault="00973890" w:rsidP="005D5D2E">
            <w:pPr>
              <w:widowControl w:val="0"/>
              <w:spacing w:before="40" w:after="40"/>
              <w:jc w:val="left"/>
              <w:rPr>
                <w:rFonts w:ascii="Arial Narrow" w:eastAsia="Arial" w:hAnsi="Arial Narrow"/>
                <w:iCs/>
                <w:sz w:val="20"/>
              </w:rPr>
            </w:pPr>
          </w:p>
          <w:p w14:paraId="71E4468D" w14:textId="77777777" w:rsidR="00973890" w:rsidRPr="003964BE" w:rsidRDefault="00973890" w:rsidP="005D5D2E">
            <w:pPr>
              <w:widowControl w:val="0"/>
              <w:spacing w:before="40" w:after="40"/>
              <w:jc w:val="left"/>
              <w:rPr>
                <w:rFonts w:ascii="Arial Narrow" w:eastAsia="Arial" w:hAnsi="Arial Narrow"/>
                <w:iCs/>
                <w:sz w:val="20"/>
              </w:rPr>
            </w:pPr>
          </w:p>
          <w:p w14:paraId="5D737905" w14:textId="77777777" w:rsidR="00973890" w:rsidRPr="003964BE" w:rsidRDefault="00973890" w:rsidP="005D5D2E">
            <w:pPr>
              <w:widowControl w:val="0"/>
              <w:spacing w:before="40" w:after="40"/>
              <w:jc w:val="left"/>
              <w:rPr>
                <w:rFonts w:ascii="Arial Narrow" w:eastAsia="Arial" w:hAnsi="Arial Narrow"/>
                <w:iCs/>
                <w:sz w:val="20"/>
              </w:rPr>
            </w:pPr>
          </w:p>
          <w:p w14:paraId="31F6A0F0" w14:textId="77777777" w:rsidR="00973890" w:rsidRPr="003964BE" w:rsidRDefault="00973890" w:rsidP="005D5D2E">
            <w:pPr>
              <w:widowControl w:val="0"/>
              <w:spacing w:before="40" w:after="40"/>
              <w:jc w:val="left"/>
              <w:rPr>
                <w:rFonts w:ascii="Arial Narrow" w:eastAsia="Arial" w:hAnsi="Arial Narrow"/>
                <w:iCs/>
                <w:sz w:val="20"/>
              </w:rPr>
            </w:pPr>
          </w:p>
          <w:p w14:paraId="5D88F525" w14:textId="77777777" w:rsidR="00973890" w:rsidRPr="003964BE" w:rsidRDefault="00973890" w:rsidP="005D5D2E">
            <w:pPr>
              <w:widowControl w:val="0"/>
              <w:spacing w:before="40" w:after="40"/>
              <w:jc w:val="left"/>
              <w:rPr>
                <w:rFonts w:ascii="Arial Narrow" w:eastAsia="Arial" w:hAnsi="Arial Narrow"/>
                <w:iCs/>
                <w:sz w:val="20"/>
              </w:rPr>
            </w:pPr>
          </w:p>
          <w:p w14:paraId="6A31841A" w14:textId="77777777" w:rsidR="00973890" w:rsidRPr="003964BE" w:rsidRDefault="00973890" w:rsidP="005D5D2E">
            <w:pPr>
              <w:widowControl w:val="0"/>
              <w:spacing w:before="40" w:after="40"/>
              <w:jc w:val="left"/>
              <w:rPr>
                <w:rFonts w:ascii="Arial Narrow" w:eastAsia="Arial" w:hAnsi="Arial Narrow"/>
                <w:iCs/>
                <w:sz w:val="20"/>
              </w:rPr>
            </w:pPr>
          </w:p>
          <w:p w14:paraId="08A5B65C"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27</w:t>
            </w:r>
          </w:p>
          <w:p w14:paraId="5851A3E3" w14:textId="77777777" w:rsidR="00973890" w:rsidRPr="003964BE" w:rsidRDefault="00973890" w:rsidP="005D5D2E">
            <w:pPr>
              <w:widowControl w:val="0"/>
              <w:spacing w:before="40" w:after="40"/>
              <w:jc w:val="left"/>
              <w:rPr>
                <w:rFonts w:ascii="Arial Narrow" w:eastAsia="Arial" w:hAnsi="Arial Narrow"/>
                <w:iCs/>
                <w:sz w:val="20"/>
              </w:rPr>
            </w:pPr>
          </w:p>
          <w:p w14:paraId="4F092BB5" w14:textId="77777777" w:rsidR="00973890" w:rsidRPr="003964BE" w:rsidRDefault="00973890" w:rsidP="005D5D2E">
            <w:pPr>
              <w:widowControl w:val="0"/>
              <w:spacing w:before="40" w:after="40"/>
              <w:jc w:val="left"/>
              <w:rPr>
                <w:rFonts w:ascii="Arial Narrow" w:eastAsia="Arial" w:hAnsi="Arial Narrow"/>
                <w:iCs/>
                <w:sz w:val="20"/>
              </w:rPr>
            </w:pPr>
          </w:p>
          <w:p w14:paraId="2DDE9C57"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25</w:t>
            </w:r>
          </w:p>
          <w:p w14:paraId="50208A6C" w14:textId="77777777" w:rsidR="00973890" w:rsidRPr="003964BE" w:rsidRDefault="00973890" w:rsidP="005D5D2E">
            <w:pPr>
              <w:widowControl w:val="0"/>
              <w:spacing w:before="40" w:after="40"/>
              <w:jc w:val="left"/>
              <w:rPr>
                <w:rFonts w:ascii="Arial Narrow" w:eastAsia="Arial" w:hAnsi="Arial Narrow"/>
                <w:iCs/>
                <w:sz w:val="20"/>
              </w:rPr>
            </w:pPr>
          </w:p>
          <w:p w14:paraId="0B6B42C1" w14:textId="77777777" w:rsidR="00973890" w:rsidRPr="003964BE" w:rsidRDefault="00973890" w:rsidP="005D5D2E">
            <w:pPr>
              <w:widowControl w:val="0"/>
              <w:spacing w:before="40" w:after="40"/>
              <w:jc w:val="left"/>
              <w:rPr>
                <w:rFonts w:ascii="Arial Narrow" w:eastAsia="Arial" w:hAnsi="Arial Narrow"/>
                <w:iCs/>
                <w:sz w:val="20"/>
              </w:rPr>
            </w:pPr>
          </w:p>
          <w:p w14:paraId="2CECA0B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24</w:t>
            </w:r>
          </w:p>
          <w:p w14:paraId="0CDE1B3F" w14:textId="77777777" w:rsidR="00973890" w:rsidRPr="003964BE" w:rsidRDefault="00973890" w:rsidP="005D5D2E">
            <w:pPr>
              <w:widowControl w:val="0"/>
              <w:spacing w:before="40" w:after="40"/>
              <w:jc w:val="left"/>
              <w:rPr>
                <w:rFonts w:ascii="Arial Narrow" w:eastAsia="Arial" w:hAnsi="Arial Narrow"/>
                <w:iCs/>
                <w:sz w:val="20"/>
              </w:rPr>
            </w:pPr>
          </w:p>
          <w:p w14:paraId="3FC7EB0C" w14:textId="77777777" w:rsidR="00973890" w:rsidRPr="003964BE" w:rsidRDefault="00973890" w:rsidP="005D5D2E">
            <w:pPr>
              <w:widowControl w:val="0"/>
              <w:spacing w:before="40" w:after="40"/>
              <w:jc w:val="left"/>
              <w:rPr>
                <w:rFonts w:ascii="Arial Narrow" w:eastAsia="Arial" w:hAnsi="Arial Narrow"/>
                <w:iCs/>
                <w:sz w:val="20"/>
              </w:rPr>
            </w:pPr>
          </w:p>
          <w:p w14:paraId="7390F6C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29</w:t>
            </w:r>
          </w:p>
        </w:tc>
        <w:tc>
          <w:tcPr>
            <w:tcW w:w="676" w:type="pct"/>
          </w:tcPr>
          <w:p w14:paraId="1B596008"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Sens:87.9%</w:t>
            </w:r>
          </w:p>
          <w:p w14:paraId="4EC5DE0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Spec:81.9%</w:t>
            </w:r>
          </w:p>
          <w:p w14:paraId="17E4C669" w14:textId="77777777" w:rsidR="00973890" w:rsidRPr="003964BE" w:rsidRDefault="00973890" w:rsidP="005D5D2E">
            <w:pPr>
              <w:widowControl w:val="0"/>
              <w:spacing w:before="40" w:after="40"/>
              <w:jc w:val="left"/>
              <w:rPr>
                <w:rFonts w:ascii="Arial Narrow" w:eastAsia="Arial" w:hAnsi="Arial Narrow"/>
                <w:iCs/>
                <w:sz w:val="20"/>
              </w:rPr>
            </w:pPr>
          </w:p>
          <w:p w14:paraId="3E9C5F4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96.3%</w:t>
            </w:r>
          </w:p>
          <w:p w14:paraId="0FFFAB97" w14:textId="77777777" w:rsidR="00973890" w:rsidRPr="003964BE" w:rsidRDefault="00973890" w:rsidP="005D5D2E">
            <w:pPr>
              <w:widowControl w:val="0"/>
              <w:spacing w:before="40" w:after="40"/>
              <w:jc w:val="left"/>
              <w:rPr>
                <w:rFonts w:ascii="Arial Narrow" w:eastAsia="Arial" w:hAnsi="Arial Narrow"/>
                <w:iCs/>
                <w:sz w:val="20"/>
              </w:rPr>
            </w:pPr>
          </w:p>
          <w:p w14:paraId="5E668B4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100%</w:t>
            </w:r>
          </w:p>
          <w:p w14:paraId="1EFB2C2B" w14:textId="77777777" w:rsidR="00973890" w:rsidRPr="003964BE" w:rsidRDefault="00973890" w:rsidP="005D5D2E">
            <w:pPr>
              <w:widowControl w:val="0"/>
              <w:spacing w:before="40" w:after="40"/>
              <w:jc w:val="left"/>
              <w:rPr>
                <w:rFonts w:ascii="Arial Narrow" w:eastAsia="Arial" w:hAnsi="Arial Narrow"/>
                <w:iCs/>
                <w:sz w:val="20"/>
              </w:rPr>
            </w:pPr>
          </w:p>
          <w:p w14:paraId="24DA38A0"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79.4%</w:t>
            </w:r>
          </w:p>
          <w:p w14:paraId="62BB2525" w14:textId="77777777" w:rsidR="00973890" w:rsidRPr="003964BE" w:rsidRDefault="00973890" w:rsidP="005D5D2E">
            <w:pPr>
              <w:widowControl w:val="0"/>
              <w:spacing w:before="40" w:after="40"/>
              <w:jc w:val="left"/>
              <w:rPr>
                <w:rFonts w:ascii="Arial Narrow" w:eastAsia="Arial" w:hAnsi="Arial Narrow"/>
                <w:iCs/>
                <w:sz w:val="20"/>
              </w:rPr>
            </w:pPr>
          </w:p>
          <w:p w14:paraId="408CE02C"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Sens:81.8%</w:t>
            </w:r>
          </w:p>
          <w:p w14:paraId="7780C8C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Spec:100%</w:t>
            </w:r>
          </w:p>
          <w:p w14:paraId="22A28CFA" w14:textId="77777777" w:rsidR="00973890" w:rsidRPr="003964BE" w:rsidRDefault="00973890" w:rsidP="005D5D2E">
            <w:pPr>
              <w:widowControl w:val="0"/>
              <w:spacing w:before="40" w:after="40"/>
              <w:jc w:val="left"/>
              <w:rPr>
                <w:rFonts w:ascii="Arial Narrow" w:eastAsia="Arial" w:hAnsi="Arial Narrow"/>
                <w:iCs/>
                <w:sz w:val="20"/>
              </w:rPr>
            </w:pPr>
          </w:p>
          <w:p w14:paraId="510705D9"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Sens:87.5%</w:t>
            </w:r>
          </w:p>
          <w:p w14:paraId="1578240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Spec:100%</w:t>
            </w:r>
          </w:p>
          <w:p w14:paraId="3D0C1F34" w14:textId="77777777" w:rsidR="00973890" w:rsidRPr="003964BE" w:rsidRDefault="00973890" w:rsidP="005D5D2E">
            <w:pPr>
              <w:widowControl w:val="0"/>
              <w:spacing w:before="40" w:after="40"/>
              <w:jc w:val="left"/>
              <w:rPr>
                <w:rFonts w:ascii="Arial Narrow" w:eastAsia="Arial" w:hAnsi="Arial Narrow"/>
                <w:iCs/>
                <w:sz w:val="20"/>
              </w:rPr>
            </w:pPr>
          </w:p>
          <w:p w14:paraId="1515D9DF"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Sens:87.5%</w:t>
            </w:r>
          </w:p>
          <w:p w14:paraId="0253FA89"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Spec:100%</w:t>
            </w:r>
          </w:p>
          <w:p w14:paraId="6ABF07EC" w14:textId="77777777" w:rsidR="00973890" w:rsidRPr="003964BE" w:rsidRDefault="00973890" w:rsidP="005D5D2E">
            <w:pPr>
              <w:widowControl w:val="0"/>
              <w:spacing w:before="40" w:after="40"/>
              <w:jc w:val="left"/>
              <w:rPr>
                <w:rFonts w:ascii="Arial Narrow" w:eastAsia="Arial" w:hAnsi="Arial Narrow"/>
                <w:iCs/>
                <w:sz w:val="20"/>
              </w:rPr>
            </w:pPr>
          </w:p>
          <w:p w14:paraId="3D9FE4B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Sens:80.0%</w:t>
            </w:r>
          </w:p>
          <w:p w14:paraId="3A172F1B"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Spec:74.4%</w:t>
            </w:r>
          </w:p>
        </w:tc>
      </w:tr>
      <w:tr w:rsidR="00973890" w:rsidRPr="003964BE" w14:paraId="4A95EFE3" w14:textId="77777777" w:rsidTr="005D5D2E">
        <w:tc>
          <w:tcPr>
            <w:tcW w:w="628" w:type="pct"/>
          </w:tcPr>
          <w:p w14:paraId="3BD7B95E" w14:textId="1898071E"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Zhao et al (2021)</w:t>
            </w:r>
          </w:p>
        </w:tc>
        <w:tc>
          <w:tcPr>
            <w:tcW w:w="2123" w:type="pct"/>
          </w:tcPr>
          <w:p w14:paraId="5DEF1C38"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N=357 lung adenocarcinomas that were EGFR, ALK, ROS1, KRAS, BRAF, ERBB2, RET and MET mutation negative</w:t>
            </w:r>
          </w:p>
          <w:p w14:paraId="391A7EB7"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 xml:space="preserve">IHC staining was graded according to the </w:t>
            </w:r>
            <w:r w:rsidRPr="003964BE">
              <w:rPr>
                <w:rFonts w:ascii="Arial Narrow" w:eastAsia="Arial" w:hAnsi="Arial Narrow"/>
                <w:iCs/>
                <w:sz w:val="20"/>
              </w:rPr>
              <w:lastRenderedPageBreak/>
              <w:t>percentage of stained tumour cells and staining intensity. The staining pattern was also identified.</w:t>
            </w:r>
          </w:p>
          <w:p w14:paraId="487BFB50"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13 showed cytoplasmic staining of any intensity</w:t>
            </w:r>
          </w:p>
          <w:p w14:paraId="5764F4D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4 had strong-moderate cytoplasmic staining</w:t>
            </w:r>
          </w:p>
        </w:tc>
        <w:tc>
          <w:tcPr>
            <w:tcW w:w="511" w:type="pct"/>
          </w:tcPr>
          <w:p w14:paraId="5710DE13"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lastRenderedPageBreak/>
              <w:t>4</w:t>
            </w:r>
          </w:p>
        </w:tc>
        <w:tc>
          <w:tcPr>
            <w:tcW w:w="354" w:type="pct"/>
          </w:tcPr>
          <w:p w14:paraId="3D246B2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9</w:t>
            </w:r>
          </w:p>
        </w:tc>
        <w:tc>
          <w:tcPr>
            <w:tcW w:w="354" w:type="pct"/>
          </w:tcPr>
          <w:p w14:paraId="393062E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tc>
        <w:tc>
          <w:tcPr>
            <w:tcW w:w="354" w:type="pct"/>
          </w:tcPr>
          <w:p w14:paraId="104E4129"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344</w:t>
            </w:r>
          </w:p>
        </w:tc>
        <w:tc>
          <w:tcPr>
            <w:tcW w:w="676" w:type="pct"/>
          </w:tcPr>
          <w:p w14:paraId="25267932"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100%</w:t>
            </w:r>
          </w:p>
          <w:p w14:paraId="50042896"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 97.5%</w:t>
            </w:r>
          </w:p>
        </w:tc>
      </w:tr>
      <w:tr w:rsidR="00973890" w:rsidRPr="003964BE" w14:paraId="4576DB0A" w14:textId="77777777" w:rsidTr="005D5D2E">
        <w:tc>
          <w:tcPr>
            <w:tcW w:w="628" w:type="pct"/>
          </w:tcPr>
          <w:p w14:paraId="7520B8CB" w14:textId="1B55D820"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Zhao et al (2020)</w:t>
            </w:r>
          </w:p>
        </w:tc>
        <w:tc>
          <w:tcPr>
            <w:tcW w:w="2123" w:type="pct"/>
          </w:tcPr>
          <w:p w14:paraId="035E4214"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N=22 archival CMN cases (12 classic, five cellular, and five mixed)</w:t>
            </w:r>
          </w:p>
          <w:p w14:paraId="5219B655"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IHC positivity was defined as moderate or strong staining. Non-specific, weak and blush-like staining was considered to be negative.</w:t>
            </w:r>
          </w:p>
        </w:tc>
        <w:tc>
          <w:tcPr>
            <w:tcW w:w="511" w:type="pct"/>
          </w:tcPr>
          <w:p w14:paraId="3F74B624"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5</w:t>
            </w:r>
          </w:p>
        </w:tc>
        <w:tc>
          <w:tcPr>
            <w:tcW w:w="354" w:type="pct"/>
          </w:tcPr>
          <w:p w14:paraId="7B7C660E"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w:t>
            </w:r>
          </w:p>
        </w:tc>
        <w:tc>
          <w:tcPr>
            <w:tcW w:w="354" w:type="pct"/>
          </w:tcPr>
          <w:p w14:paraId="6E642543"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0</w:t>
            </w:r>
          </w:p>
        </w:tc>
        <w:tc>
          <w:tcPr>
            <w:tcW w:w="354" w:type="pct"/>
          </w:tcPr>
          <w:p w14:paraId="12F6770D"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17</w:t>
            </w:r>
          </w:p>
        </w:tc>
        <w:tc>
          <w:tcPr>
            <w:tcW w:w="676" w:type="pct"/>
          </w:tcPr>
          <w:p w14:paraId="1441DD0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Sens: 100%</w:t>
            </w:r>
          </w:p>
          <w:p w14:paraId="3DC83A71" w14:textId="77777777" w:rsidR="00973890" w:rsidRPr="003964BE" w:rsidRDefault="00973890" w:rsidP="005D5D2E">
            <w:pPr>
              <w:widowControl w:val="0"/>
              <w:spacing w:before="40" w:after="40"/>
              <w:jc w:val="left"/>
              <w:rPr>
                <w:rFonts w:ascii="Arial Narrow" w:eastAsia="Arial" w:hAnsi="Arial Narrow"/>
                <w:iCs/>
                <w:sz w:val="20"/>
              </w:rPr>
            </w:pPr>
            <w:r w:rsidRPr="003964BE">
              <w:rPr>
                <w:rFonts w:ascii="Arial Narrow" w:eastAsia="Arial" w:hAnsi="Arial Narrow"/>
                <w:iCs/>
                <w:sz w:val="20"/>
              </w:rPr>
              <w:t>Spec: 94.4%</w:t>
            </w:r>
          </w:p>
        </w:tc>
      </w:tr>
    </w:tbl>
    <w:p w14:paraId="7BBDEE3D" w14:textId="77777777" w:rsidR="00973890" w:rsidRPr="003964BE" w:rsidRDefault="00973890" w:rsidP="00973890">
      <w:pPr>
        <w:pStyle w:val="TableFooter"/>
        <w:rPr>
          <w:iCs/>
        </w:rPr>
      </w:pPr>
      <w:r w:rsidRPr="003964BE">
        <w:rPr>
          <w:iCs/>
        </w:rPr>
        <w:t>CMN = FFPE = formalin-fixed paraffin-embedded; FN = false negative; FP = false positive; IHC = immunohistochemistry; MASC = mammary analogue secretory carcinoma; NGS = next generation sequencing; NTRK = Neurotrophic Tropomyosin-Related Kinase; RNA = ribonucleic acid; SBC = secretory breast carcinoma; TN = true negative; TP = true positive</w:t>
      </w:r>
    </w:p>
    <w:p w14:paraId="406991AC" w14:textId="77777777" w:rsidR="00973890" w:rsidRPr="006374EB" w:rsidRDefault="00973890" w:rsidP="00973890">
      <w:pPr>
        <w:pStyle w:val="TableFooter"/>
        <w:rPr>
          <w:i/>
        </w:rPr>
      </w:pPr>
      <w:r w:rsidRPr="006374EB">
        <w:rPr>
          <w:i/>
        </w:rPr>
        <w:t>Source: Constructed during evaluation</w:t>
      </w:r>
    </w:p>
    <w:p w14:paraId="03CE731D" w14:textId="4C8875CD"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The commentary considered that</w:t>
      </w:r>
      <w:r w:rsidR="00627E01">
        <w:rPr>
          <w:rFonts w:ascii="Times New Roman" w:eastAsia="Times New Roman" w:hAnsi="Times New Roman" w:cs="Times New Roman"/>
          <w:iCs/>
          <w:szCs w:val="20"/>
          <w:lang w:eastAsia="en-AU"/>
        </w:rPr>
        <w:t>,</w:t>
      </w:r>
      <w:r w:rsidRPr="00214D77">
        <w:rPr>
          <w:rFonts w:ascii="Times New Roman" w:eastAsia="Times New Roman" w:hAnsi="Times New Roman" w:cs="Times New Roman"/>
          <w:iCs/>
          <w:szCs w:val="20"/>
          <w:lang w:eastAsia="en-AU"/>
        </w:rPr>
        <w:t xml:space="preserve"> as both RNA-NGS and FISH have been nominated as confirmatory tests after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triage testing, the negative percent agreement (NPA) for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compared with FISH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 testing could be used to estimate the proportion of IHC positive tests that are expected to be false positive (i.e. 1-NPA).</w:t>
      </w:r>
    </w:p>
    <w:p w14:paraId="2222D3EA" w14:textId="3D867804"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All additional studies that reported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accuracy in patients with CRC, NSCL</w:t>
      </w:r>
      <w:r w:rsidR="008266D4">
        <w:rPr>
          <w:rFonts w:ascii="Times New Roman" w:eastAsia="Times New Roman" w:hAnsi="Times New Roman" w:cs="Times New Roman"/>
          <w:iCs/>
          <w:szCs w:val="20"/>
          <w:lang w:eastAsia="en-AU"/>
        </w:rPr>
        <w:t>C</w:t>
      </w:r>
      <w:r w:rsidRPr="00214D77">
        <w:rPr>
          <w:rFonts w:ascii="Times New Roman" w:eastAsia="Times New Roman" w:hAnsi="Times New Roman" w:cs="Times New Roman"/>
          <w:iCs/>
          <w:szCs w:val="20"/>
          <w:lang w:eastAsia="en-AU"/>
        </w:rPr>
        <w:t>, STS or thyroid cancer compared with RNA-NGS or FISH were combined for each cancer type to provide a more accurate estimate for the proportion of false positive and false negative tests expected from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testing.</w:t>
      </w:r>
    </w:p>
    <w:p w14:paraId="2D286A36" w14:textId="47510F61"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 xml:space="preserve">The commentary stated that proportion of positive IHC results that are false positive and the proportion of negative IHC results that are false negative were </w:t>
      </w:r>
      <w:r w:rsidR="00627E01">
        <w:rPr>
          <w:rFonts w:ascii="Times New Roman" w:eastAsia="Times New Roman" w:hAnsi="Times New Roman" w:cs="Times New Roman"/>
          <w:iCs/>
          <w:szCs w:val="20"/>
          <w:lang w:eastAsia="en-AU"/>
        </w:rPr>
        <w:t>re</w:t>
      </w:r>
      <w:r w:rsidRPr="00214D77">
        <w:rPr>
          <w:rFonts w:ascii="Times New Roman" w:eastAsia="Times New Roman" w:hAnsi="Times New Roman" w:cs="Times New Roman"/>
          <w:iCs/>
          <w:szCs w:val="20"/>
          <w:lang w:eastAsia="en-AU"/>
        </w:rPr>
        <w:t xml:space="preserve">calculated during </w:t>
      </w:r>
      <w:r w:rsidR="00627E01">
        <w:rPr>
          <w:rFonts w:ascii="Times New Roman" w:eastAsia="Times New Roman" w:hAnsi="Times New Roman" w:cs="Times New Roman"/>
          <w:iCs/>
          <w:szCs w:val="20"/>
          <w:lang w:eastAsia="en-AU"/>
        </w:rPr>
        <w:t xml:space="preserve">the </w:t>
      </w:r>
      <w:r w:rsidRPr="00214D77">
        <w:rPr>
          <w:rFonts w:ascii="Times New Roman" w:eastAsia="Times New Roman" w:hAnsi="Times New Roman" w:cs="Times New Roman"/>
          <w:iCs/>
          <w:szCs w:val="20"/>
          <w:lang w:eastAsia="en-AU"/>
        </w:rPr>
        <w:t xml:space="preserve">evaluation using inputs derived from the included studies and the inputs presented by the resubmission (Table </w:t>
      </w:r>
      <w:r w:rsidR="00973890">
        <w:rPr>
          <w:rFonts w:ascii="Times New Roman" w:eastAsia="Times New Roman" w:hAnsi="Times New Roman" w:cs="Times New Roman"/>
          <w:iCs/>
          <w:szCs w:val="20"/>
          <w:lang w:eastAsia="en-AU"/>
        </w:rPr>
        <w:t>7</w:t>
      </w:r>
      <w:r w:rsidRPr="00214D77">
        <w:rPr>
          <w:rFonts w:ascii="Times New Roman" w:eastAsia="Times New Roman" w:hAnsi="Times New Roman" w:cs="Times New Roman"/>
          <w:iCs/>
          <w:szCs w:val="20"/>
          <w:lang w:eastAsia="en-AU"/>
        </w:rPr>
        <w:t>).</w:t>
      </w:r>
    </w:p>
    <w:p w14:paraId="027F67EC" w14:textId="0BC7C838" w:rsidR="00214D77" w:rsidRPr="00214D77" w:rsidRDefault="00214D77" w:rsidP="00214D77">
      <w:pPr>
        <w:keepNext/>
        <w:spacing w:before="0" w:after="40"/>
        <w:outlineLvl w:val="4"/>
        <w:rPr>
          <w:rFonts w:ascii="Arial Narrow" w:eastAsia="Times New Roman" w:hAnsi="Arial Narrow" w:cs="Arial"/>
          <w:b/>
          <w:bCs/>
          <w:iCs/>
          <w:sz w:val="20"/>
          <w:szCs w:val="20"/>
        </w:rPr>
      </w:pPr>
      <w:bookmarkStart w:id="9" w:name="_Ref48562784"/>
      <w:r w:rsidRPr="00214D77">
        <w:rPr>
          <w:rFonts w:ascii="Arial Narrow" w:eastAsia="Times New Roman" w:hAnsi="Arial Narrow" w:cs="Arial"/>
          <w:b/>
          <w:bCs/>
          <w:iCs/>
          <w:sz w:val="20"/>
          <w:szCs w:val="20"/>
        </w:rPr>
        <w:t xml:space="preserve">Table </w:t>
      </w:r>
      <w:bookmarkEnd w:id="9"/>
      <w:r w:rsidR="00973890">
        <w:rPr>
          <w:rFonts w:ascii="Arial Narrow" w:eastAsia="Times New Roman" w:hAnsi="Arial Narrow" w:cs="Arial"/>
          <w:b/>
          <w:bCs/>
          <w:iCs/>
          <w:sz w:val="20"/>
          <w:szCs w:val="20"/>
        </w:rPr>
        <w:t>7</w:t>
      </w:r>
      <w:r w:rsidRPr="00214D77">
        <w:rPr>
          <w:rFonts w:ascii="Arial Narrow" w:eastAsia="Times New Roman" w:hAnsi="Arial Narrow" w:cs="Arial"/>
          <w:b/>
          <w:bCs/>
          <w:iCs/>
          <w:sz w:val="20"/>
          <w:szCs w:val="20"/>
        </w:rPr>
        <w:tab/>
        <w:t>The proportion of positive IHC results that are false positive and the proportion of negative IHC results that are false negative (true positives) in the resubmission and in the commentary</w:t>
      </w:r>
    </w:p>
    <w:tbl>
      <w:tblPr>
        <w:tblStyle w:val="ASDTable10"/>
        <w:tblW w:w="0" w:type="auto"/>
        <w:tblLayout w:type="fixed"/>
        <w:tblLook w:val="04A0" w:firstRow="1" w:lastRow="0" w:firstColumn="1" w:lastColumn="0" w:noHBand="0" w:noVBand="1"/>
        <w:tblCaption w:val="Table 6 The proportion of positive IHC results that are false positive and the proportion of negative IHC results that are false negative (true positives) in the resubmission and in the commentary"/>
      </w:tblPr>
      <w:tblGrid>
        <w:gridCol w:w="1555"/>
        <w:gridCol w:w="1865"/>
        <w:gridCol w:w="1865"/>
        <w:gridCol w:w="1865"/>
        <w:gridCol w:w="1866"/>
      </w:tblGrid>
      <w:tr w:rsidR="00214D77" w:rsidRPr="003964BE" w14:paraId="19A68DC4" w14:textId="77777777" w:rsidTr="00214D77">
        <w:trPr>
          <w:tblHeader/>
        </w:trPr>
        <w:tc>
          <w:tcPr>
            <w:tcW w:w="1555" w:type="dxa"/>
            <w:vMerge w:val="restart"/>
            <w:vAlign w:val="center"/>
          </w:tcPr>
          <w:p w14:paraId="6CC27517" w14:textId="77777777" w:rsidR="00214D77" w:rsidRPr="003964BE" w:rsidRDefault="00214D77" w:rsidP="00214D77">
            <w:pPr>
              <w:spacing w:before="40"/>
              <w:jc w:val="left"/>
              <w:rPr>
                <w:rFonts w:ascii="Arial Narrow" w:eastAsia="Times New Roman" w:hAnsi="Arial Narrow" w:cs="Times New Roman"/>
                <w:b/>
                <w:sz w:val="20"/>
                <w:szCs w:val="20"/>
                <w:lang w:eastAsia="en-AU"/>
              </w:rPr>
            </w:pPr>
            <w:r w:rsidRPr="003964BE">
              <w:rPr>
                <w:rFonts w:ascii="Arial Narrow" w:eastAsia="Times New Roman" w:hAnsi="Arial Narrow" w:cs="Times New Roman"/>
                <w:b/>
                <w:sz w:val="20"/>
                <w:szCs w:val="20"/>
                <w:lang w:eastAsia="en-AU"/>
              </w:rPr>
              <w:t>Tumour type</w:t>
            </w:r>
          </w:p>
        </w:tc>
        <w:tc>
          <w:tcPr>
            <w:tcW w:w="3730" w:type="dxa"/>
            <w:gridSpan w:val="2"/>
          </w:tcPr>
          <w:p w14:paraId="7B12E193" w14:textId="77777777" w:rsidR="00214D77" w:rsidRPr="003964BE" w:rsidRDefault="00214D77" w:rsidP="00214D77">
            <w:pPr>
              <w:spacing w:before="40"/>
              <w:jc w:val="center"/>
              <w:rPr>
                <w:rFonts w:ascii="Arial Narrow" w:eastAsia="Times New Roman" w:hAnsi="Arial Narrow" w:cs="Times New Roman"/>
                <w:b/>
                <w:i/>
                <w:sz w:val="20"/>
                <w:szCs w:val="20"/>
                <w:lang w:eastAsia="en-AU"/>
              </w:rPr>
            </w:pPr>
            <w:r w:rsidRPr="003964BE">
              <w:rPr>
                <w:rFonts w:ascii="Arial Narrow" w:eastAsia="Times New Roman" w:hAnsi="Arial Narrow" w:cs="Times New Roman"/>
                <w:b/>
                <w:i/>
                <w:sz w:val="20"/>
                <w:szCs w:val="20"/>
                <w:lang w:eastAsia="en-AU"/>
              </w:rPr>
              <w:t>Proportion of positives IHC results that are false positive</w:t>
            </w:r>
          </w:p>
        </w:tc>
        <w:tc>
          <w:tcPr>
            <w:tcW w:w="3731" w:type="dxa"/>
            <w:gridSpan w:val="2"/>
          </w:tcPr>
          <w:p w14:paraId="1E64BCAA" w14:textId="77777777" w:rsidR="00214D77" w:rsidRPr="003964BE" w:rsidRDefault="00214D77" w:rsidP="00214D77">
            <w:pPr>
              <w:spacing w:before="40"/>
              <w:jc w:val="center"/>
              <w:rPr>
                <w:rFonts w:ascii="Arial Narrow" w:eastAsia="Times New Roman" w:hAnsi="Arial Narrow" w:cs="Times New Roman"/>
                <w:b/>
                <w:i/>
                <w:sz w:val="20"/>
                <w:szCs w:val="20"/>
                <w:lang w:eastAsia="en-AU"/>
              </w:rPr>
            </w:pPr>
            <w:r w:rsidRPr="003964BE">
              <w:rPr>
                <w:rFonts w:ascii="Arial Narrow" w:eastAsia="Times New Roman" w:hAnsi="Arial Narrow" w:cs="Times New Roman"/>
                <w:b/>
                <w:i/>
                <w:sz w:val="20"/>
                <w:szCs w:val="20"/>
                <w:lang w:eastAsia="en-AU"/>
              </w:rPr>
              <w:t>Proportion of negative IHC results that are false negative</w:t>
            </w:r>
          </w:p>
        </w:tc>
      </w:tr>
      <w:tr w:rsidR="00214D77" w:rsidRPr="003964BE" w14:paraId="77F7496C" w14:textId="77777777" w:rsidTr="00214D77">
        <w:trPr>
          <w:tblHeader/>
        </w:trPr>
        <w:tc>
          <w:tcPr>
            <w:tcW w:w="1555" w:type="dxa"/>
            <w:vMerge/>
            <w:tcBorders>
              <w:bottom w:val="single" w:sz="4" w:space="0" w:color="auto"/>
            </w:tcBorders>
          </w:tcPr>
          <w:p w14:paraId="25996109" w14:textId="77777777" w:rsidR="00214D77" w:rsidRPr="003964BE" w:rsidRDefault="00214D77" w:rsidP="00214D77">
            <w:pPr>
              <w:spacing w:before="40"/>
              <w:jc w:val="left"/>
              <w:rPr>
                <w:rFonts w:ascii="Arial Narrow" w:eastAsia="Times New Roman" w:hAnsi="Arial Narrow" w:cs="Times New Roman"/>
                <w:b/>
                <w:sz w:val="20"/>
                <w:szCs w:val="20"/>
                <w:lang w:eastAsia="en-AU"/>
              </w:rPr>
            </w:pPr>
          </w:p>
        </w:tc>
        <w:tc>
          <w:tcPr>
            <w:tcW w:w="1865" w:type="dxa"/>
            <w:tcBorders>
              <w:bottom w:val="single" w:sz="4" w:space="0" w:color="auto"/>
            </w:tcBorders>
          </w:tcPr>
          <w:p w14:paraId="082C5F07" w14:textId="77777777" w:rsidR="00214D77" w:rsidRPr="003964BE" w:rsidRDefault="00214D77" w:rsidP="00214D77">
            <w:pPr>
              <w:spacing w:before="40"/>
              <w:jc w:val="center"/>
              <w:rPr>
                <w:rFonts w:ascii="Arial Narrow" w:eastAsia="Times New Roman" w:hAnsi="Arial Narrow" w:cs="Times New Roman"/>
                <w:b/>
                <w:sz w:val="20"/>
                <w:szCs w:val="20"/>
                <w:lang w:eastAsia="en-AU"/>
              </w:rPr>
            </w:pPr>
            <w:r w:rsidRPr="003964BE">
              <w:rPr>
                <w:rFonts w:ascii="Arial Narrow" w:eastAsia="Times New Roman" w:hAnsi="Arial Narrow" w:cs="Times New Roman"/>
                <w:b/>
                <w:sz w:val="20"/>
                <w:szCs w:val="20"/>
                <w:lang w:eastAsia="en-AU"/>
              </w:rPr>
              <w:t>Resubmission</w:t>
            </w:r>
          </w:p>
        </w:tc>
        <w:tc>
          <w:tcPr>
            <w:tcW w:w="1865" w:type="dxa"/>
            <w:tcBorders>
              <w:bottom w:val="single" w:sz="4" w:space="0" w:color="auto"/>
            </w:tcBorders>
          </w:tcPr>
          <w:p w14:paraId="29465155" w14:textId="141E7C86" w:rsidR="00214D77" w:rsidRPr="003964BE" w:rsidRDefault="00214D77" w:rsidP="00214D77">
            <w:pPr>
              <w:spacing w:before="40"/>
              <w:jc w:val="center"/>
              <w:rPr>
                <w:rFonts w:ascii="Arial Narrow" w:eastAsia="Times New Roman" w:hAnsi="Arial Narrow" w:cs="Times New Roman"/>
                <w:b/>
                <w:iCs/>
                <w:sz w:val="20"/>
                <w:szCs w:val="20"/>
                <w:lang w:eastAsia="en-AU"/>
              </w:rPr>
            </w:pPr>
            <w:r w:rsidRPr="003964BE">
              <w:rPr>
                <w:rFonts w:ascii="Arial Narrow" w:eastAsia="Times New Roman" w:hAnsi="Arial Narrow" w:cs="Times New Roman"/>
                <w:b/>
                <w:iCs/>
                <w:sz w:val="20"/>
                <w:szCs w:val="20"/>
                <w:lang w:eastAsia="en-AU"/>
              </w:rPr>
              <w:t>Recalculation during evaluation</w:t>
            </w:r>
          </w:p>
        </w:tc>
        <w:tc>
          <w:tcPr>
            <w:tcW w:w="1865" w:type="dxa"/>
            <w:tcBorders>
              <w:bottom w:val="single" w:sz="4" w:space="0" w:color="auto"/>
            </w:tcBorders>
          </w:tcPr>
          <w:p w14:paraId="09AAEFCA" w14:textId="77777777" w:rsidR="00214D77" w:rsidRPr="003964BE" w:rsidRDefault="00214D77" w:rsidP="00214D77">
            <w:pPr>
              <w:spacing w:before="40"/>
              <w:jc w:val="center"/>
              <w:rPr>
                <w:rFonts w:ascii="Arial Narrow" w:eastAsia="Times New Roman" w:hAnsi="Arial Narrow" w:cs="Times New Roman"/>
                <w:b/>
                <w:sz w:val="20"/>
                <w:szCs w:val="20"/>
                <w:lang w:eastAsia="en-AU"/>
              </w:rPr>
            </w:pPr>
            <w:r w:rsidRPr="003964BE">
              <w:rPr>
                <w:rFonts w:ascii="Arial Narrow" w:eastAsia="Times New Roman" w:hAnsi="Arial Narrow" w:cs="Times New Roman"/>
                <w:b/>
                <w:sz w:val="20"/>
                <w:szCs w:val="20"/>
                <w:lang w:eastAsia="en-AU"/>
              </w:rPr>
              <w:t>Resubmission</w:t>
            </w:r>
          </w:p>
        </w:tc>
        <w:tc>
          <w:tcPr>
            <w:tcW w:w="1866" w:type="dxa"/>
            <w:tcBorders>
              <w:bottom w:val="single" w:sz="4" w:space="0" w:color="auto"/>
            </w:tcBorders>
          </w:tcPr>
          <w:p w14:paraId="7DBDDDEA" w14:textId="77777777" w:rsidR="00214D77" w:rsidRPr="003964BE" w:rsidRDefault="00214D77" w:rsidP="00214D77">
            <w:pPr>
              <w:spacing w:before="40"/>
              <w:jc w:val="center"/>
              <w:rPr>
                <w:rFonts w:ascii="Arial Narrow" w:eastAsia="Times New Roman" w:hAnsi="Arial Narrow" w:cs="Times New Roman"/>
                <w:b/>
                <w:iCs/>
                <w:sz w:val="20"/>
                <w:szCs w:val="20"/>
                <w:lang w:eastAsia="en-AU"/>
              </w:rPr>
            </w:pPr>
            <w:r w:rsidRPr="003964BE">
              <w:rPr>
                <w:rFonts w:ascii="Arial Narrow" w:eastAsia="Times New Roman" w:hAnsi="Arial Narrow" w:cs="Times New Roman"/>
                <w:b/>
                <w:iCs/>
                <w:sz w:val="20"/>
                <w:szCs w:val="20"/>
                <w:lang w:eastAsia="en-AU"/>
              </w:rPr>
              <w:t>Recalculation during evaluation</w:t>
            </w:r>
          </w:p>
        </w:tc>
      </w:tr>
      <w:tr w:rsidR="00214D77" w:rsidRPr="003964BE" w14:paraId="55A16BBC" w14:textId="77777777" w:rsidTr="00214D77">
        <w:tc>
          <w:tcPr>
            <w:tcW w:w="1555" w:type="dxa"/>
            <w:tcBorders>
              <w:top w:val="single" w:sz="4" w:space="0" w:color="auto"/>
              <w:left w:val="single" w:sz="4" w:space="0" w:color="auto"/>
              <w:bottom w:val="single" w:sz="4" w:space="0" w:color="auto"/>
              <w:right w:val="single" w:sz="4" w:space="0" w:color="auto"/>
            </w:tcBorders>
          </w:tcPr>
          <w:p w14:paraId="64C8B855" w14:textId="77777777" w:rsidR="00214D77" w:rsidRPr="003964BE" w:rsidRDefault="00214D77" w:rsidP="00214D77">
            <w:pPr>
              <w:spacing w:before="40"/>
              <w:jc w:val="left"/>
              <w:rPr>
                <w:rFonts w:ascii="Arial Narrow" w:eastAsia="Times New Roman" w:hAnsi="Arial Narrow" w:cs="Times New Roman"/>
                <w:iCs/>
                <w:sz w:val="20"/>
                <w:szCs w:val="20"/>
                <w:vertAlign w:val="superscript"/>
                <w:lang w:eastAsia="en-AU"/>
              </w:rPr>
            </w:pPr>
            <w:r w:rsidRPr="003964BE">
              <w:rPr>
                <w:rFonts w:ascii="Arial Narrow" w:eastAsia="Times New Roman" w:hAnsi="Arial Narrow" w:cs="Times New Roman"/>
                <w:iCs/>
                <w:sz w:val="20"/>
                <w:szCs w:val="20"/>
                <w:lang w:eastAsia="en-AU"/>
              </w:rPr>
              <w:t>CRC</w:t>
            </w:r>
          </w:p>
          <w:p w14:paraId="035477B7" w14:textId="77777777" w:rsidR="00214D77" w:rsidRPr="003964BE" w:rsidRDefault="00214D77" w:rsidP="00214D77">
            <w:pPr>
              <w:spacing w:before="40"/>
              <w:jc w:val="left"/>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No. to be tested = 9,766</w:t>
            </w:r>
          </w:p>
        </w:tc>
        <w:tc>
          <w:tcPr>
            <w:tcW w:w="1865" w:type="dxa"/>
            <w:tcBorders>
              <w:top w:val="single" w:sz="4" w:space="0" w:color="auto"/>
              <w:left w:val="single" w:sz="4" w:space="0" w:color="auto"/>
              <w:bottom w:val="single" w:sz="4" w:space="0" w:color="auto"/>
              <w:right w:val="single" w:sz="4" w:space="0" w:color="auto"/>
            </w:tcBorders>
          </w:tcPr>
          <w:p w14:paraId="5A814AFF" w14:textId="77777777" w:rsidR="00214D77" w:rsidRPr="003964BE" w:rsidRDefault="00214D77" w:rsidP="00214D77">
            <w:pPr>
              <w:spacing w:before="40"/>
              <w:jc w:val="center"/>
              <w:rPr>
                <w:rFonts w:ascii="Arial Narrow" w:eastAsia="Calibri" w:hAnsi="Arial Narrow" w:cs="Times New Roman"/>
                <w:sz w:val="20"/>
              </w:rPr>
            </w:pPr>
            <w:r w:rsidRPr="003964BE">
              <w:rPr>
                <w:rFonts w:ascii="Arial Narrow" w:eastAsia="Calibri" w:hAnsi="Arial Narrow" w:cs="Times New Roman"/>
                <w:sz w:val="20"/>
              </w:rPr>
              <w:t>Prevalence = 0.3%</w:t>
            </w:r>
          </w:p>
          <w:p w14:paraId="2D26F63A" w14:textId="77777777" w:rsidR="00214D77" w:rsidRPr="003964BE" w:rsidRDefault="00214D77" w:rsidP="00214D77">
            <w:pPr>
              <w:spacing w:before="40"/>
              <w:jc w:val="center"/>
              <w:rPr>
                <w:rFonts w:ascii="Arial Narrow" w:eastAsia="Calibri" w:hAnsi="Arial Narrow" w:cs="Times New Roman"/>
                <w:sz w:val="20"/>
              </w:rPr>
            </w:pPr>
            <w:r w:rsidRPr="003964BE">
              <w:rPr>
                <w:rFonts w:ascii="Arial Narrow" w:eastAsia="Calibri" w:hAnsi="Arial Narrow" w:cs="Times New Roman"/>
                <w:sz w:val="20"/>
              </w:rPr>
              <w:t>TP:FP = 25:0</w:t>
            </w:r>
          </w:p>
          <w:p w14:paraId="4AC0D487"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 are false positive</w:t>
            </w:r>
          </w:p>
        </w:tc>
        <w:tc>
          <w:tcPr>
            <w:tcW w:w="1865" w:type="dxa"/>
            <w:tcBorders>
              <w:top w:val="single" w:sz="4" w:space="0" w:color="auto"/>
              <w:left w:val="single" w:sz="4" w:space="0" w:color="auto"/>
              <w:bottom w:val="single" w:sz="4" w:space="0" w:color="auto"/>
              <w:right w:val="single" w:sz="4" w:space="0" w:color="auto"/>
            </w:tcBorders>
          </w:tcPr>
          <w:p w14:paraId="62A6277E"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Prevalence = 0.64%</w:t>
            </w:r>
          </w:p>
          <w:p w14:paraId="1B45EE8F"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TP:FP = 59:1,213</w:t>
            </w:r>
          </w:p>
          <w:p w14:paraId="64DD98FF"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95.39% are false positive</w:t>
            </w:r>
          </w:p>
        </w:tc>
        <w:tc>
          <w:tcPr>
            <w:tcW w:w="1865" w:type="dxa"/>
            <w:tcBorders>
              <w:top w:val="single" w:sz="4" w:space="0" w:color="auto"/>
              <w:left w:val="single" w:sz="4" w:space="0" w:color="auto"/>
              <w:bottom w:val="single" w:sz="4" w:space="0" w:color="auto"/>
              <w:right w:val="single" w:sz="4" w:space="0" w:color="auto"/>
            </w:tcBorders>
          </w:tcPr>
          <w:p w14:paraId="24435F8E" w14:textId="77777777" w:rsidR="00214D77" w:rsidRPr="003964BE" w:rsidRDefault="00214D77" w:rsidP="00214D77">
            <w:pPr>
              <w:spacing w:before="40"/>
              <w:jc w:val="center"/>
              <w:rPr>
                <w:rFonts w:ascii="Arial Narrow" w:eastAsia="Times New Roman" w:hAnsi="Arial Narrow" w:cs="Times New Roman"/>
                <w:sz w:val="20"/>
                <w:szCs w:val="20"/>
                <w:lang w:eastAsia="en-AU"/>
              </w:rPr>
            </w:pPr>
          </w:p>
          <w:p w14:paraId="47B59A29"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FN:TN = 4:9,737</w:t>
            </w:r>
          </w:p>
          <w:p w14:paraId="1CE7ECFD"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0.04% are false negative</w:t>
            </w:r>
          </w:p>
        </w:tc>
        <w:tc>
          <w:tcPr>
            <w:tcW w:w="1866" w:type="dxa"/>
            <w:tcBorders>
              <w:top w:val="single" w:sz="4" w:space="0" w:color="auto"/>
              <w:left w:val="single" w:sz="4" w:space="0" w:color="auto"/>
              <w:bottom w:val="single" w:sz="4" w:space="0" w:color="auto"/>
              <w:right w:val="single" w:sz="4" w:space="0" w:color="auto"/>
            </w:tcBorders>
          </w:tcPr>
          <w:p w14:paraId="087B7470"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p>
          <w:p w14:paraId="032EADF4"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FN:TN = 4:8,490</w:t>
            </w:r>
          </w:p>
          <w:p w14:paraId="30D42523"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0.05% are false negative</w:t>
            </w:r>
          </w:p>
        </w:tc>
      </w:tr>
      <w:tr w:rsidR="00214D77" w:rsidRPr="003964BE" w14:paraId="23B739CA" w14:textId="77777777" w:rsidTr="00214D77">
        <w:tc>
          <w:tcPr>
            <w:tcW w:w="1555" w:type="dxa"/>
            <w:tcBorders>
              <w:top w:val="single" w:sz="4" w:space="0" w:color="auto"/>
              <w:left w:val="single" w:sz="4" w:space="0" w:color="auto"/>
              <w:bottom w:val="single" w:sz="4" w:space="0" w:color="auto"/>
              <w:right w:val="single" w:sz="4" w:space="0" w:color="auto"/>
            </w:tcBorders>
          </w:tcPr>
          <w:p w14:paraId="2CAEE8BC" w14:textId="77777777" w:rsidR="00214D77" w:rsidRPr="003964BE" w:rsidRDefault="00214D77" w:rsidP="00214D77">
            <w:pPr>
              <w:spacing w:before="40"/>
              <w:jc w:val="left"/>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NSCLC</w:t>
            </w:r>
          </w:p>
          <w:p w14:paraId="4D233B2E" w14:textId="77777777" w:rsidR="00214D77" w:rsidRPr="003964BE" w:rsidRDefault="00214D77" w:rsidP="00214D77">
            <w:pPr>
              <w:spacing w:before="40"/>
              <w:jc w:val="left"/>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No. to be tested = 7,307</w:t>
            </w:r>
          </w:p>
        </w:tc>
        <w:tc>
          <w:tcPr>
            <w:tcW w:w="1865" w:type="dxa"/>
            <w:tcBorders>
              <w:top w:val="single" w:sz="4" w:space="0" w:color="auto"/>
              <w:left w:val="single" w:sz="4" w:space="0" w:color="auto"/>
              <w:bottom w:val="single" w:sz="4" w:space="0" w:color="auto"/>
              <w:right w:val="single" w:sz="4" w:space="0" w:color="auto"/>
            </w:tcBorders>
          </w:tcPr>
          <w:p w14:paraId="5BA2271B" w14:textId="77777777" w:rsidR="00214D77" w:rsidRPr="003964BE" w:rsidRDefault="00214D77" w:rsidP="00214D77">
            <w:pPr>
              <w:spacing w:before="40"/>
              <w:jc w:val="center"/>
              <w:rPr>
                <w:rFonts w:ascii="Arial Narrow" w:eastAsia="Calibri" w:hAnsi="Arial Narrow" w:cs="Times New Roman"/>
                <w:sz w:val="20"/>
              </w:rPr>
            </w:pPr>
            <w:r w:rsidRPr="003964BE">
              <w:rPr>
                <w:rFonts w:ascii="Arial Narrow" w:eastAsia="Calibri" w:hAnsi="Arial Narrow" w:cs="Times New Roman"/>
                <w:sz w:val="20"/>
              </w:rPr>
              <w:t>Prevalence = 0.23%</w:t>
            </w:r>
          </w:p>
          <w:p w14:paraId="76C31703" w14:textId="77777777" w:rsidR="00214D77" w:rsidRPr="003964BE" w:rsidRDefault="00214D77" w:rsidP="00214D77">
            <w:pPr>
              <w:spacing w:before="40"/>
              <w:jc w:val="center"/>
              <w:rPr>
                <w:rFonts w:ascii="Arial Narrow" w:eastAsia="Calibri" w:hAnsi="Arial Narrow" w:cs="Times New Roman"/>
                <w:sz w:val="20"/>
              </w:rPr>
            </w:pPr>
            <w:r w:rsidRPr="003964BE">
              <w:rPr>
                <w:rFonts w:ascii="Arial Narrow" w:eastAsia="Calibri" w:hAnsi="Arial Narrow" w:cs="Times New Roman"/>
                <w:sz w:val="20"/>
              </w:rPr>
              <w:t>TP:FP = 15:0</w:t>
            </w:r>
          </w:p>
          <w:p w14:paraId="3556D6FC"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w:t>
            </w:r>
            <w:r w:rsidRPr="003964BE">
              <w:rPr>
                <w:rFonts w:ascii="Arial Narrow" w:eastAsia="Times New Roman" w:hAnsi="Arial Narrow" w:cs="Times New Roman"/>
                <w:sz w:val="22"/>
                <w:szCs w:val="20"/>
                <w:lang w:eastAsia="en-AU"/>
              </w:rPr>
              <w:t xml:space="preserve"> </w:t>
            </w:r>
            <w:r w:rsidRPr="003964BE">
              <w:rPr>
                <w:rFonts w:ascii="Arial Narrow" w:eastAsia="Times New Roman" w:hAnsi="Arial Narrow" w:cs="Times New Roman"/>
                <w:sz w:val="20"/>
                <w:szCs w:val="20"/>
                <w:lang w:eastAsia="en-AU"/>
              </w:rPr>
              <w:t>are false positive</w:t>
            </w:r>
          </w:p>
        </w:tc>
        <w:tc>
          <w:tcPr>
            <w:tcW w:w="1865" w:type="dxa"/>
            <w:tcBorders>
              <w:top w:val="single" w:sz="4" w:space="0" w:color="auto"/>
              <w:left w:val="single" w:sz="4" w:space="0" w:color="auto"/>
              <w:bottom w:val="single" w:sz="4" w:space="0" w:color="auto"/>
              <w:right w:val="single" w:sz="4" w:space="0" w:color="auto"/>
            </w:tcBorders>
          </w:tcPr>
          <w:p w14:paraId="5F8255FD"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Prevalence = 0.19%</w:t>
            </w:r>
          </w:p>
          <w:p w14:paraId="2629BFF3"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TP:FP = 13:88</w:t>
            </w:r>
          </w:p>
          <w:p w14:paraId="2AB59C7A"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87.05%</w:t>
            </w:r>
            <w:r w:rsidRPr="003964BE">
              <w:rPr>
                <w:rFonts w:ascii="Arial Narrow" w:eastAsia="Calibri" w:hAnsi="Arial Narrow" w:cs="Times New Roman"/>
                <w:iCs/>
                <w:sz w:val="22"/>
              </w:rPr>
              <w:t xml:space="preserve"> </w:t>
            </w:r>
            <w:r w:rsidRPr="003964BE">
              <w:rPr>
                <w:rFonts w:ascii="Arial Narrow" w:eastAsia="Calibri" w:hAnsi="Arial Narrow" w:cs="Times New Roman"/>
                <w:iCs/>
                <w:sz w:val="20"/>
              </w:rPr>
              <w:t>are false positive</w:t>
            </w:r>
          </w:p>
        </w:tc>
        <w:tc>
          <w:tcPr>
            <w:tcW w:w="1865" w:type="dxa"/>
            <w:tcBorders>
              <w:top w:val="single" w:sz="4" w:space="0" w:color="auto"/>
              <w:left w:val="single" w:sz="4" w:space="0" w:color="auto"/>
              <w:bottom w:val="single" w:sz="4" w:space="0" w:color="auto"/>
              <w:right w:val="single" w:sz="4" w:space="0" w:color="auto"/>
            </w:tcBorders>
          </w:tcPr>
          <w:p w14:paraId="1440CDF0" w14:textId="77777777" w:rsidR="00214D77" w:rsidRPr="003964BE" w:rsidRDefault="00214D77" w:rsidP="00214D77">
            <w:pPr>
              <w:spacing w:before="40"/>
              <w:jc w:val="center"/>
              <w:rPr>
                <w:rFonts w:ascii="Arial Narrow" w:eastAsia="Times New Roman" w:hAnsi="Arial Narrow" w:cs="Times New Roman"/>
                <w:sz w:val="20"/>
                <w:szCs w:val="20"/>
                <w:lang w:eastAsia="en-AU"/>
              </w:rPr>
            </w:pPr>
          </w:p>
          <w:p w14:paraId="15292CF5"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FN:TN = 2:7,290</w:t>
            </w:r>
          </w:p>
          <w:p w14:paraId="67AE7264"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0.03%</w:t>
            </w:r>
            <w:r w:rsidRPr="003964BE">
              <w:rPr>
                <w:rFonts w:ascii="Arial Narrow" w:eastAsia="Times New Roman" w:hAnsi="Arial Narrow" w:cs="Times New Roman"/>
                <w:sz w:val="22"/>
                <w:szCs w:val="20"/>
                <w:lang w:eastAsia="en-AU"/>
              </w:rPr>
              <w:t xml:space="preserve"> </w:t>
            </w:r>
            <w:r w:rsidRPr="003964BE">
              <w:rPr>
                <w:rFonts w:ascii="Arial Narrow" w:eastAsia="Times New Roman" w:hAnsi="Arial Narrow" w:cs="Times New Roman"/>
                <w:sz w:val="20"/>
                <w:szCs w:val="20"/>
                <w:lang w:eastAsia="en-AU"/>
              </w:rPr>
              <w:t>are false negative</w:t>
            </w:r>
          </w:p>
        </w:tc>
        <w:tc>
          <w:tcPr>
            <w:tcW w:w="1866" w:type="dxa"/>
            <w:tcBorders>
              <w:top w:val="single" w:sz="4" w:space="0" w:color="auto"/>
              <w:left w:val="single" w:sz="4" w:space="0" w:color="auto"/>
              <w:bottom w:val="single" w:sz="4" w:space="0" w:color="auto"/>
              <w:right w:val="single" w:sz="4" w:space="0" w:color="auto"/>
            </w:tcBorders>
          </w:tcPr>
          <w:p w14:paraId="2A6759CB"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p>
          <w:p w14:paraId="59EC9710"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FN:TN = 1:7,205</w:t>
            </w:r>
          </w:p>
          <w:p w14:paraId="646C243E"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0.01%</w:t>
            </w:r>
            <w:r w:rsidRPr="003964BE">
              <w:rPr>
                <w:rFonts w:ascii="Arial Narrow" w:eastAsia="Times New Roman" w:hAnsi="Arial Narrow" w:cs="Times New Roman"/>
                <w:iCs/>
                <w:sz w:val="22"/>
                <w:szCs w:val="20"/>
                <w:lang w:eastAsia="en-AU"/>
              </w:rPr>
              <w:t xml:space="preserve"> </w:t>
            </w:r>
            <w:r w:rsidRPr="003964BE">
              <w:rPr>
                <w:rFonts w:ascii="Arial Narrow" w:eastAsia="Times New Roman" w:hAnsi="Arial Narrow" w:cs="Times New Roman"/>
                <w:iCs/>
                <w:sz w:val="20"/>
                <w:szCs w:val="20"/>
                <w:lang w:eastAsia="en-AU"/>
              </w:rPr>
              <w:t>are false negative</w:t>
            </w:r>
          </w:p>
        </w:tc>
      </w:tr>
      <w:tr w:rsidR="00214D77" w:rsidRPr="003964BE" w14:paraId="35FADE2B" w14:textId="77777777" w:rsidTr="00214D77">
        <w:tc>
          <w:tcPr>
            <w:tcW w:w="1555" w:type="dxa"/>
            <w:tcBorders>
              <w:top w:val="single" w:sz="4" w:space="0" w:color="auto"/>
            </w:tcBorders>
          </w:tcPr>
          <w:p w14:paraId="4730B700" w14:textId="77777777" w:rsidR="00214D77" w:rsidRPr="003964BE" w:rsidRDefault="00214D77" w:rsidP="00214D77">
            <w:pPr>
              <w:spacing w:before="40"/>
              <w:jc w:val="left"/>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Thyroid cancer</w:t>
            </w:r>
          </w:p>
          <w:p w14:paraId="32E952D1" w14:textId="77777777" w:rsidR="00214D77" w:rsidRPr="003964BE" w:rsidRDefault="00214D77" w:rsidP="00214D77">
            <w:pPr>
              <w:spacing w:before="40"/>
              <w:jc w:val="left"/>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No. to be tested = 1,046</w:t>
            </w:r>
          </w:p>
        </w:tc>
        <w:tc>
          <w:tcPr>
            <w:tcW w:w="1865" w:type="dxa"/>
            <w:tcBorders>
              <w:top w:val="single" w:sz="4" w:space="0" w:color="auto"/>
            </w:tcBorders>
          </w:tcPr>
          <w:p w14:paraId="3C1AF145" w14:textId="77777777" w:rsidR="00214D77" w:rsidRPr="003964BE" w:rsidRDefault="00214D77" w:rsidP="00214D77">
            <w:pPr>
              <w:spacing w:before="40"/>
              <w:jc w:val="center"/>
              <w:rPr>
                <w:rFonts w:ascii="Arial Narrow" w:eastAsia="Calibri" w:hAnsi="Arial Narrow" w:cs="Times New Roman"/>
                <w:sz w:val="20"/>
              </w:rPr>
            </w:pPr>
            <w:r w:rsidRPr="003964BE">
              <w:rPr>
                <w:rFonts w:ascii="Arial Narrow" w:eastAsia="Calibri" w:hAnsi="Arial Narrow" w:cs="Times New Roman"/>
                <w:sz w:val="20"/>
              </w:rPr>
              <w:t>Prevalence = 3.65%</w:t>
            </w:r>
          </w:p>
          <w:p w14:paraId="70A6B9A2" w14:textId="77777777" w:rsidR="00214D77" w:rsidRPr="003964BE" w:rsidRDefault="00214D77" w:rsidP="00214D77">
            <w:pPr>
              <w:spacing w:before="40"/>
              <w:jc w:val="center"/>
              <w:rPr>
                <w:rFonts w:ascii="Arial Narrow" w:eastAsia="Calibri" w:hAnsi="Arial Narrow" w:cs="Times New Roman"/>
                <w:sz w:val="20"/>
              </w:rPr>
            </w:pPr>
            <w:r w:rsidRPr="003964BE">
              <w:rPr>
                <w:rFonts w:ascii="Arial Narrow" w:eastAsia="Calibri" w:hAnsi="Arial Narrow" w:cs="Times New Roman"/>
                <w:sz w:val="20"/>
              </w:rPr>
              <w:t>TP:FP = 31:0</w:t>
            </w:r>
          </w:p>
          <w:p w14:paraId="472C6653"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w:t>
            </w:r>
            <w:r w:rsidRPr="003964BE">
              <w:rPr>
                <w:rFonts w:ascii="Arial Narrow" w:eastAsia="Times New Roman" w:hAnsi="Arial Narrow" w:cs="Times New Roman"/>
                <w:sz w:val="22"/>
                <w:szCs w:val="20"/>
                <w:lang w:eastAsia="en-AU"/>
              </w:rPr>
              <w:t xml:space="preserve"> </w:t>
            </w:r>
            <w:r w:rsidRPr="003964BE">
              <w:rPr>
                <w:rFonts w:ascii="Arial Narrow" w:eastAsia="Times New Roman" w:hAnsi="Arial Narrow" w:cs="Times New Roman"/>
                <w:sz w:val="20"/>
                <w:szCs w:val="20"/>
                <w:lang w:eastAsia="en-AU"/>
              </w:rPr>
              <w:t>are false positive</w:t>
            </w:r>
          </w:p>
        </w:tc>
        <w:tc>
          <w:tcPr>
            <w:tcW w:w="1865" w:type="dxa"/>
            <w:tcBorders>
              <w:top w:val="single" w:sz="4" w:space="0" w:color="auto"/>
            </w:tcBorders>
          </w:tcPr>
          <w:p w14:paraId="0D5E5C57"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Prevalence = 2.31%</w:t>
            </w:r>
          </w:p>
          <w:p w14:paraId="78093571"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TP:FP = 17:41</w:t>
            </w:r>
          </w:p>
          <w:p w14:paraId="145426F7"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29.27%</w:t>
            </w:r>
            <w:r w:rsidRPr="003964BE">
              <w:rPr>
                <w:rFonts w:ascii="Arial Narrow" w:eastAsia="Calibri" w:hAnsi="Arial Narrow" w:cs="Times New Roman"/>
                <w:iCs/>
                <w:sz w:val="22"/>
              </w:rPr>
              <w:t xml:space="preserve"> </w:t>
            </w:r>
            <w:r w:rsidRPr="003964BE">
              <w:rPr>
                <w:rFonts w:ascii="Arial Narrow" w:eastAsia="Calibri" w:hAnsi="Arial Narrow" w:cs="Times New Roman"/>
                <w:iCs/>
                <w:sz w:val="20"/>
              </w:rPr>
              <w:t>are false positive</w:t>
            </w:r>
          </w:p>
        </w:tc>
        <w:tc>
          <w:tcPr>
            <w:tcW w:w="1865" w:type="dxa"/>
            <w:tcBorders>
              <w:top w:val="single" w:sz="4" w:space="0" w:color="auto"/>
            </w:tcBorders>
          </w:tcPr>
          <w:p w14:paraId="7B678F65" w14:textId="77777777" w:rsidR="00214D77" w:rsidRPr="003964BE" w:rsidRDefault="00214D77" w:rsidP="00214D77">
            <w:pPr>
              <w:spacing w:before="40"/>
              <w:jc w:val="center"/>
              <w:rPr>
                <w:rFonts w:ascii="Arial Narrow" w:eastAsia="Times New Roman" w:hAnsi="Arial Narrow" w:cs="Times New Roman"/>
                <w:sz w:val="20"/>
                <w:szCs w:val="20"/>
                <w:lang w:eastAsia="en-AU"/>
              </w:rPr>
            </w:pPr>
          </w:p>
          <w:p w14:paraId="4EF50256"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FN:TN = 7:1,008</w:t>
            </w:r>
          </w:p>
          <w:p w14:paraId="286785C5"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0.68%</w:t>
            </w:r>
            <w:r w:rsidRPr="003964BE">
              <w:rPr>
                <w:rFonts w:ascii="Arial Narrow" w:eastAsia="Times New Roman" w:hAnsi="Arial Narrow" w:cs="Times New Roman"/>
                <w:sz w:val="22"/>
                <w:szCs w:val="20"/>
                <w:lang w:eastAsia="en-AU"/>
              </w:rPr>
              <w:t xml:space="preserve"> </w:t>
            </w:r>
            <w:r w:rsidRPr="003964BE">
              <w:rPr>
                <w:rFonts w:ascii="Arial Narrow" w:eastAsia="Times New Roman" w:hAnsi="Arial Narrow" w:cs="Times New Roman"/>
                <w:sz w:val="20"/>
                <w:szCs w:val="20"/>
                <w:lang w:eastAsia="en-AU"/>
              </w:rPr>
              <w:t>are false negative</w:t>
            </w:r>
          </w:p>
        </w:tc>
        <w:tc>
          <w:tcPr>
            <w:tcW w:w="1866" w:type="dxa"/>
            <w:tcBorders>
              <w:top w:val="single" w:sz="4" w:space="0" w:color="auto"/>
            </w:tcBorders>
          </w:tcPr>
          <w:p w14:paraId="268398F4"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p>
          <w:p w14:paraId="218F9FEF"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FN:TN = 7:981</w:t>
            </w:r>
          </w:p>
          <w:p w14:paraId="1DF75EC1"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0.73%</w:t>
            </w:r>
            <w:r w:rsidRPr="003964BE">
              <w:rPr>
                <w:rFonts w:ascii="Arial Narrow" w:eastAsia="Times New Roman" w:hAnsi="Arial Narrow" w:cs="Times New Roman"/>
                <w:iCs/>
                <w:sz w:val="22"/>
                <w:szCs w:val="20"/>
                <w:lang w:eastAsia="en-AU"/>
              </w:rPr>
              <w:t xml:space="preserve"> </w:t>
            </w:r>
            <w:r w:rsidRPr="003964BE">
              <w:rPr>
                <w:rFonts w:ascii="Arial Narrow" w:eastAsia="Times New Roman" w:hAnsi="Arial Narrow" w:cs="Times New Roman"/>
                <w:iCs/>
                <w:sz w:val="20"/>
                <w:szCs w:val="20"/>
                <w:lang w:eastAsia="en-AU"/>
              </w:rPr>
              <w:t>are false negative</w:t>
            </w:r>
          </w:p>
        </w:tc>
      </w:tr>
      <w:tr w:rsidR="00214D77" w:rsidRPr="003964BE" w14:paraId="20DDA56F" w14:textId="77777777" w:rsidTr="00214D77">
        <w:tc>
          <w:tcPr>
            <w:tcW w:w="1555" w:type="dxa"/>
          </w:tcPr>
          <w:p w14:paraId="7429D91B" w14:textId="77777777" w:rsidR="00214D77" w:rsidRPr="003964BE" w:rsidRDefault="00214D77" w:rsidP="00214D77">
            <w:pPr>
              <w:spacing w:before="40"/>
              <w:jc w:val="left"/>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STS</w:t>
            </w:r>
          </w:p>
          <w:p w14:paraId="047AD793" w14:textId="77777777" w:rsidR="00214D77" w:rsidRPr="003964BE" w:rsidRDefault="00214D77" w:rsidP="00214D77">
            <w:pPr>
              <w:spacing w:before="40"/>
              <w:jc w:val="left"/>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No. to be tested = 781</w:t>
            </w:r>
          </w:p>
        </w:tc>
        <w:tc>
          <w:tcPr>
            <w:tcW w:w="1865" w:type="dxa"/>
          </w:tcPr>
          <w:p w14:paraId="77ACD221" w14:textId="77777777" w:rsidR="00214D77" w:rsidRPr="003964BE" w:rsidRDefault="00214D77" w:rsidP="00214D77">
            <w:pPr>
              <w:spacing w:before="40"/>
              <w:jc w:val="center"/>
              <w:rPr>
                <w:rFonts w:ascii="Arial Narrow" w:eastAsia="Calibri" w:hAnsi="Arial Narrow" w:cs="Times New Roman"/>
                <w:sz w:val="20"/>
              </w:rPr>
            </w:pPr>
            <w:r w:rsidRPr="003964BE">
              <w:rPr>
                <w:rFonts w:ascii="Arial Narrow" w:eastAsia="Calibri" w:hAnsi="Arial Narrow" w:cs="Times New Roman"/>
                <w:sz w:val="20"/>
              </w:rPr>
              <w:t>Prevalence = 1.4%</w:t>
            </w:r>
          </w:p>
          <w:p w14:paraId="3C0630E1"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TP:FP = 9:197</w:t>
            </w:r>
          </w:p>
          <w:p w14:paraId="548DE900"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95.75%</w:t>
            </w:r>
            <w:r w:rsidRPr="003964BE">
              <w:rPr>
                <w:rFonts w:ascii="Arial Narrow" w:eastAsia="Times New Roman" w:hAnsi="Arial Narrow" w:cs="Times New Roman"/>
                <w:sz w:val="22"/>
                <w:szCs w:val="20"/>
                <w:lang w:eastAsia="en-AU"/>
              </w:rPr>
              <w:t xml:space="preserve"> </w:t>
            </w:r>
            <w:r w:rsidRPr="003964BE">
              <w:rPr>
                <w:rFonts w:ascii="Arial Narrow" w:eastAsia="Times New Roman" w:hAnsi="Arial Narrow" w:cs="Times New Roman"/>
                <w:sz w:val="20"/>
                <w:szCs w:val="20"/>
                <w:lang w:eastAsia="en-AU"/>
              </w:rPr>
              <w:t>are false positive</w:t>
            </w:r>
          </w:p>
        </w:tc>
        <w:tc>
          <w:tcPr>
            <w:tcW w:w="1865" w:type="dxa"/>
          </w:tcPr>
          <w:p w14:paraId="633086DB"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Prevalence = 0.68%</w:t>
            </w:r>
          </w:p>
          <w:p w14:paraId="57B261F0"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TP:FP = 4:31</w:t>
            </w:r>
          </w:p>
          <w:p w14:paraId="716420FB" w14:textId="77777777" w:rsidR="00214D77" w:rsidRPr="003964BE" w:rsidRDefault="00214D77" w:rsidP="00214D77">
            <w:pPr>
              <w:spacing w:before="40"/>
              <w:jc w:val="center"/>
              <w:rPr>
                <w:rFonts w:ascii="Arial Narrow" w:eastAsia="Calibri" w:hAnsi="Arial Narrow" w:cs="Times New Roman"/>
                <w:iCs/>
                <w:sz w:val="20"/>
              </w:rPr>
            </w:pPr>
            <w:r w:rsidRPr="003964BE">
              <w:rPr>
                <w:rFonts w:ascii="Arial Narrow" w:eastAsia="Calibri" w:hAnsi="Arial Narrow" w:cs="Times New Roman"/>
                <w:iCs/>
                <w:sz w:val="20"/>
              </w:rPr>
              <w:t>86.91%</w:t>
            </w:r>
            <w:r w:rsidRPr="003964BE">
              <w:rPr>
                <w:rFonts w:ascii="Arial Narrow" w:eastAsia="Calibri" w:hAnsi="Arial Narrow" w:cs="Times New Roman"/>
                <w:iCs/>
                <w:sz w:val="22"/>
              </w:rPr>
              <w:t xml:space="preserve"> </w:t>
            </w:r>
            <w:r w:rsidRPr="003964BE">
              <w:rPr>
                <w:rFonts w:ascii="Arial Narrow" w:eastAsia="Calibri" w:hAnsi="Arial Narrow" w:cs="Times New Roman"/>
                <w:iCs/>
                <w:sz w:val="20"/>
              </w:rPr>
              <w:t>are false positive</w:t>
            </w:r>
          </w:p>
        </w:tc>
        <w:tc>
          <w:tcPr>
            <w:tcW w:w="1865" w:type="dxa"/>
          </w:tcPr>
          <w:p w14:paraId="2952337F" w14:textId="77777777" w:rsidR="00214D77" w:rsidRPr="003964BE" w:rsidRDefault="00214D77" w:rsidP="00214D77">
            <w:pPr>
              <w:spacing w:before="40"/>
              <w:jc w:val="center"/>
              <w:rPr>
                <w:rFonts w:ascii="Arial Narrow" w:eastAsia="Times New Roman" w:hAnsi="Arial Narrow" w:cs="Times New Roman"/>
                <w:sz w:val="20"/>
                <w:szCs w:val="20"/>
                <w:lang w:eastAsia="en-AU"/>
              </w:rPr>
            </w:pPr>
          </w:p>
          <w:p w14:paraId="518E61C8"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FN:TN = 2:573</w:t>
            </w:r>
          </w:p>
          <w:p w14:paraId="5E4A1CE8"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0.38%</w:t>
            </w:r>
            <w:r w:rsidRPr="003964BE">
              <w:rPr>
                <w:rFonts w:ascii="Arial Narrow" w:eastAsia="Times New Roman" w:hAnsi="Arial Narrow" w:cs="Times New Roman"/>
                <w:sz w:val="22"/>
                <w:szCs w:val="20"/>
                <w:lang w:eastAsia="en-AU"/>
              </w:rPr>
              <w:t xml:space="preserve"> </w:t>
            </w:r>
            <w:r w:rsidRPr="003964BE">
              <w:rPr>
                <w:rFonts w:ascii="Arial Narrow" w:eastAsia="Times New Roman" w:hAnsi="Arial Narrow" w:cs="Times New Roman"/>
                <w:sz w:val="20"/>
                <w:szCs w:val="20"/>
                <w:lang w:eastAsia="en-AU"/>
              </w:rPr>
              <w:t>are false negative</w:t>
            </w:r>
          </w:p>
        </w:tc>
        <w:tc>
          <w:tcPr>
            <w:tcW w:w="1866" w:type="dxa"/>
          </w:tcPr>
          <w:p w14:paraId="5C43D5A8"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p>
          <w:p w14:paraId="31688505"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FN:TN = 1:745</w:t>
            </w:r>
          </w:p>
          <w:p w14:paraId="11C3D561" w14:textId="77777777" w:rsidR="00214D77" w:rsidRPr="003964BE" w:rsidRDefault="00214D77" w:rsidP="00214D77">
            <w:pPr>
              <w:spacing w:before="40"/>
              <w:jc w:val="center"/>
              <w:rPr>
                <w:rFonts w:ascii="Arial Narrow" w:eastAsia="Times New Roman" w:hAnsi="Arial Narrow" w:cs="Times New Roman"/>
                <w:iCs/>
                <w:sz w:val="20"/>
                <w:szCs w:val="20"/>
                <w:lang w:eastAsia="en-AU"/>
              </w:rPr>
            </w:pPr>
            <w:r w:rsidRPr="003964BE">
              <w:rPr>
                <w:rFonts w:ascii="Arial Narrow" w:eastAsia="Times New Roman" w:hAnsi="Arial Narrow" w:cs="Times New Roman"/>
                <w:iCs/>
                <w:sz w:val="20"/>
                <w:szCs w:val="20"/>
                <w:lang w:eastAsia="en-AU"/>
              </w:rPr>
              <w:t>0.09%</w:t>
            </w:r>
            <w:r w:rsidRPr="003964BE">
              <w:rPr>
                <w:rFonts w:ascii="Arial Narrow" w:eastAsia="Times New Roman" w:hAnsi="Arial Narrow" w:cs="Times New Roman"/>
                <w:iCs/>
                <w:sz w:val="22"/>
                <w:szCs w:val="20"/>
                <w:lang w:eastAsia="en-AU"/>
              </w:rPr>
              <w:t xml:space="preserve"> </w:t>
            </w:r>
            <w:r w:rsidRPr="003964BE">
              <w:rPr>
                <w:rFonts w:ascii="Arial Narrow" w:eastAsia="Times New Roman" w:hAnsi="Arial Narrow" w:cs="Times New Roman"/>
                <w:iCs/>
                <w:sz w:val="20"/>
                <w:szCs w:val="20"/>
                <w:lang w:eastAsia="en-AU"/>
              </w:rPr>
              <w:t>are false negative</w:t>
            </w:r>
          </w:p>
        </w:tc>
      </w:tr>
    </w:tbl>
    <w:p w14:paraId="7CD69B43" w14:textId="6D30CEAC" w:rsidR="00BF2574" w:rsidRPr="0028467B" w:rsidRDefault="00214D77" w:rsidP="0028467B">
      <w:pPr>
        <w:widowControl w:val="0"/>
        <w:spacing w:before="0" w:after="240"/>
        <w:jc w:val="left"/>
        <w:rPr>
          <w:rFonts w:ascii="Arial Narrow" w:eastAsia="Times New Roman" w:hAnsi="Arial Narrow" w:cs="Arial"/>
          <w:i/>
          <w:snapToGrid w:val="0"/>
          <w:sz w:val="18"/>
          <w:szCs w:val="20"/>
        </w:rPr>
      </w:pPr>
      <w:r w:rsidRPr="00214D77">
        <w:rPr>
          <w:rFonts w:ascii="Arial Narrow" w:eastAsia="Times New Roman" w:hAnsi="Arial Narrow" w:cs="Arial"/>
          <w:i/>
          <w:snapToGrid w:val="0"/>
          <w:sz w:val="18"/>
          <w:szCs w:val="20"/>
        </w:rPr>
        <w:t>Source: Constructed during evaluation</w:t>
      </w:r>
    </w:p>
    <w:p w14:paraId="5E23174B" w14:textId="77777777" w:rsidR="00214D77" w:rsidRPr="00214D77" w:rsidRDefault="00214D77" w:rsidP="00214D77">
      <w:pPr>
        <w:spacing w:before="0" w:after="240"/>
        <w:jc w:val="left"/>
        <w:rPr>
          <w:rFonts w:ascii="Times New Roman" w:eastAsia="Times New Roman" w:hAnsi="Times New Roman" w:cs="Times New Roman"/>
          <w:i/>
          <w:szCs w:val="20"/>
          <w:lang w:eastAsia="en-AU"/>
        </w:rPr>
      </w:pPr>
      <w:r w:rsidRPr="00214D77">
        <w:rPr>
          <w:rFonts w:ascii="Times New Roman" w:eastAsia="Times New Roman" w:hAnsi="Times New Roman" w:cs="Times New Roman"/>
          <w:iCs/>
          <w:szCs w:val="20"/>
          <w:lang w:eastAsia="en-AU"/>
        </w:rPr>
        <w:lastRenderedPageBreak/>
        <w:t>The proportion of negative IHC results that were calculated to be false negative calculated using the inputs reported in the resubmission and derived from the included studies during evaluation were similar. Both indicated a very low proportion of false negative test results; this is due to the small number of true positive patients and the large number of true negative patients. When the proportion of false negatives compared with true positives is considered, the false negative rate is quite high (see below).</w:t>
      </w:r>
    </w:p>
    <w:p w14:paraId="03418D10" w14:textId="77777777"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The calculated proportion of false positives using the inputs reported in the resubmission and the commentary differed greatly for CRC, NSCLC and thyroid cancer. This was largely due to the resubmission assuming 100% specificity for the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test compared to RNA-NGS in these tumour types.</w:t>
      </w:r>
    </w:p>
    <w:p w14:paraId="04CD591C" w14:textId="77777777" w:rsidR="00214D77" w:rsidRPr="00627E01" w:rsidRDefault="00214D77" w:rsidP="00627E01">
      <w:pPr>
        <w:keepNext/>
        <w:keepLines/>
        <w:spacing w:before="40" w:after="0"/>
        <w:jc w:val="left"/>
        <w:outlineLvl w:val="2"/>
        <w:rPr>
          <w:rFonts w:ascii="Times New Roman" w:eastAsia="Times New Roman" w:hAnsi="Times New Roman" w:cs="Times New Roman"/>
          <w:szCs w:val="20"/>
          <w:u w:val="single"/>
          <w:lang w:eastAsia="en-AU"/>
        </w:rPr>
      </w:pPr>
      <w:r w:rsidRPr="00627E01">
        <w:rPr>
          <w:rFonts w:ascii="Times New Roman" w:eastAsia="Times New Roman" w:hAnsi="Times New Roman" w:cs="Times New Roman"/>
          <w:szCs w:val="24"/>
          <w:u w:val="single"/>
          <w:lang w:eastAsia="en-AU"/>
        </w:rPr>
        <w:t>False</w:t>
      </w:r>
      <w:r w:rsidRPr="00627E01">
        <w:rPr>
          <w:rFonts w:ascii="Times New Roman" w:eastAsia="Times New Roman" w:hAnsi="Times New Roman" w:cs="Times New Roman"/>
          <w:b/>
          <w:bCs/>
          <w:i/>
          <w:iCs/>
          <w:szCs w:val="20"/>
          <w:u w:val="single"/>
          <w:lang w:eastAsia="en-AU"/>
        </w:rPr>
        <w:t xml:space="preserve"> </w:t>
      </w:r>
      <w:r w:rsidRPr="00627E01">
        <w:rPr>
          <w:rFonts w:ascii="Times New Roman" w:eastAsia="Times New Roman" w:hAnsi="Times New Roman" w:cs="Times New Roman"/>
          <w:szCs w:val="24"/>
          <w:u w:val="single"/>
          <w:lang w:eastAsia="en-AU"/>
        </w:rPr>
        <w:t>negative</w:t>
      </w:r>
      <w:r w:rsidRPr="00627E01">
        <w:rPr>
          <w:rFonts w:ascii="Times New Roman" w:eastAsia="Times New Roman" w:hAnsi="Times New Roman" w:cs="Times New Roman"/>
          <w:b/>
          <w:bCs/>
          <w:i/>
          <w:iCs/>
          <w:szCs w:val="20"/>
          <w:u w:val="single"/>
          <w:lang w:eastAsia="en-AU"/>
        </w:rPr>
        <w:t xml:space="preserve"> </w:t>
      </w:r>
      <w:r w:rsidRPr="00627E01">
        <w:rPr>
          <w:rFonts w:ascii="Times New Roman" w:eastAsia="Times New Roman" w:hAnsi="Times New Roman" w:cs="Times New Roman"/>
          <w:szCs w:val="24"/>
          <w:u w:val="single"/>
          <w:lang w:eastAsia="en-AU"/>
        </w:rPr>
        <w:t>rate</w:t>
      </w:r>
      <w:r w:rsidRPr="00627E01">
        <w:rPr>
          <w:rFonts w:ascii="Times New Roman" w:eastAsia="Times New Roman" w:hAnsi="Times New Roman" w:cs="Times New Roman"/>
          <w:b/>
          <w:bCs/>
          <w:i/>
          <w:iCs/>
          <w:szCs w:val="20"/>
          <w:u w:val="single"/>
          <w:lang w:eastAsia="en-AU"/>
        </w:rPr>
        <w:t xml:space="preserve"> </w:t>
      </w:r>
      <w:r w:rsidRPr="00627E01">
        <w:rPr>
          <w:rFonts w:ascii="Times New Roman" w:eastAsia="Times New Roman" w:hAnsi="Times New Roman" w:cs="Times New Roman"/>
          <w:szCs w:val="24"/>
          <w:u w:val="single"/>
          <w:lang w:eastAsia="en-AU"/>
        </w:rPr>
        <w:t>for</w:t>
      </w:r>
      <w:r w:rsidRPr="00627E01">
        <w:rPr>
          <w:rFonts w:ascii="Times New Roman" w:eastAsia="Times New Roman" w:hAnsi="Times New Roman" w:cs="Times New Roman"/>
          <w:b/>
          <w:bCs/>
          <w:i/>
          <w:iCs/>
          <w:szCs w:val="20"/>
          <w:u w:val="single"/>
          <w:lang w:eastAsia="en-AU"/>
        </w:rPr>
        <w:t xml:space="preserve"> </w:t>
      </w:r>
      <w:r w:rsidRPr="00627E01">
        <w:rPr>
          <w:rFonts w:ascii="Times New Roman" w:eastAsia="Times New Roman" w:hAnsi="Times New Roman" w:cs="Times New Roman"/>
          <w:szCs w:val="24"/>
          <w:u w:val="single"/>
          <w:lang w:eastAsia="en-AU"/>
        </w:rPr>
        <w:t>pan</w:t>
      </w:r>
      <w:r w:rsidRPr="00627E01">
        <w:rPr>
          <w:rFonts w:ascii="Times New Roman" w:eastAsia="Times New Roman" w:hAnsi="Times New Roman" w:cs="Times New Roman"/>
          <w:b/>
          <w:bCs/>
          <w:i/>
          <w:iCs/>
          <w:szCs w:val="20"/>
          <w:u w:val="single"/>
          <w:lang w:eastAsia="en-AU"/>
        </w:rPr>
        <w:t>-</w:t>
      </w:r>
      <w:proofErr w:type="spellStart"/>
      <w:r w:rsidRPr="00627E01">
        <w:rPr>
          <w:rFonts w:ascii="Times New Roman" w:eastAsia="Times New Roman" w:hAnsi="Times New Roman" w:cs="Times New Roman"/>
          <w:szCs w:val="24"/>
          <w:u w:val="single"/>
          <w:lang w:eastAsia="en-AU"/>
        </w:rPr>
        <w:t>Trk</w:t>
      </w:r>
      <w:proofErr w:type="spellEnd"/>
      <w:r w:rsidRPr="00627E01">
        <w:rPr>
          <w:rFonts w:ascii="Times New Roman" w:eastAsia="Times New Roman" w:hAnsi="Times New Roman" w:cs="Times New Roman"/>
          <w:b/>
          <w:bCs/>
          <w:i/>
          <w:iCs/>
          <w:szCs w:val="20"/>
          <w:u w:val="single"/>
          <w:lang w:eastAsia="en-AU"/>
        </w:rPr>
        <w:t xml:space="preserve"> </w:t>
      </w:r>
      <w:r w:rsidRPr="00627E01">
        <w:rPr>
          <w:rFonts w:ascii="Times New Roman" w:eastAsia="Times New Roman" w:hAnsi="Times New Roman" w:cs="Times New Roman"/>
          <w:szCs w:val="24"/>
          <w:u w:val="single"/>
          <w:lang w:eastAsia="en-AU"/>
        </w:rPr>
        <w:t>IHC</w:t>
      </w:r>
      <w:r w:rsidRPr="00627E01">
        <w:rPr>
          <w:rFonts w:ascii="Times New Roman" w:eastAsia="Times New Roman" w:hAnsi="Times New Roman" w:cs="Times New Roman"/>
          <w:b/>
          <w:bCs/>
          <w:i/>
          <w:iCs/>
          <w:szCs w:val="20"/>
          <w:u w:val="single"/>
          <w:lang w:eastAsia="en-AU"/>
        </w:rPr>
        <w:t xml:space="preserve"> </w:t>
      </w:r>
      <w:r w:rsidRPr="00627E01">
        <w:rPr>
          <w:rFonts w:ascii="Times New Roman" w:eastAsia="Times New Roman" w:hAnsi="Times New Roman" w:cs="Times New Roman"/>
          <w:szCs w:val="24"/>
          <w:u w:val="single"/>
          <w:lang w:eastAsia="en-AU"/>
        </w:rPr>
        <w:t>testing</w:t>
      </w:r>
    </w:p>
    <w:p w14:paraId="54E046CA" w14:textId="77777777"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MSAC considered that more information was needed on the false negative rate for IHC and the reasons for this (MSAC application 1602 PSD 2020, p3). This was not discussed in the resubmission.</w:t>
      </w:r>
    </w:p>
    <w:p w14:paraId="3B088605" w14:textId="77777777"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 xml:space="preserve">It is reported in the literature that most tumours with false negative results had </w:t>
      </w:r>
      <w:r w:rsidRPr="00214D77">
        <w:rPr>
          <w:rFonts w:ascii="Times New Roman" w:eastAsia="Times New Roman" w:hAnsi="Times New Roman" w:cs="Times New Roman"/>
          <w:i/>
          <w:szCs w:val="20"/>
          <w:lang w:eastAsia="en-AU"/>
        </w:rPr>
        <w:t xml:space="preserve">NTRK3 </w:t>
      </w:r>
      <w:r w:rsidRPr="00214D77">
        <w:rPr>
          <w:rFonts w:ascii="Times New Roman" w:eastAsia="Times New Roman" w:hAnsi="Times New Roman" w:cs="Times New Roman"/>
          <w:iCs/>
          <w:szCs w:val="20"/>
          <w:lang w:eastAsia="en-AU"/>
        </w:rPr>
        <w:t>fusions and that the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antibody, EPR17341, which is the best-characterised and most commonly used antibody, is not sensitive enough to detect all </w:t>
      </w:r>
      <w:r w:rsidRPr="00214D77">
        <w:rPr>
          <w:rFonts w:ascii="Times New Roman" w:eastAsia="Times New Roman" w:hAnsi="Times New Roman" w:cs="Times New Roman"/>
          <w:i/>
          <w:szCs w:val="20"/>
          <w:lang w:eastAsia="en-AU"/>
        </w:rPr>
        <w:t>NTRK3</w:t>
      </w:r>
      <w:r w:rsidRPr="00214D77">
        <w:rPr>
          <w:rFonts w:ascii="Times New Roman" w:eastAsia="Times New Roman" w:hAnsi="Times New Roman" w:cs="Times New Roman"/>
          <w:iCs/>
          <w:szCs w:val="20"/>
          <w:lang w:eastAsia="en-AU"/>
        </w:rPr>
        <w:t xml:space="preserve"> gene fusions.</w:t>
      </w:r>
    </w:p>
    <w:p w14:paraId="510A45C8" w14:textId="0A58C6DE"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 xml:space="preserve">The proportion of tumours that have </w:t>
      </w:r>
      <w:r w:rsidRPr="00214D77">
        <w:rPr>
          <w:rFonts w:ascii="Times New Roman" w:eastAsia="Times New Roman" w:hAnsi="Times New Roman" w:cs="Times New Roman"/>
          <w:i/>
          <w:szCs w:val="20"/>
          <w:lang w:eastAsia="en-AU"/>
        </w:rPr>
        <w:t xml:space="preserve">NTRK </w:t>
      </w:r>
      <w:r w:rsidRPr="00214D77">
        <w:rPr>
          <w:rFonts w:ascii="Times New Roman" w:eastAsia="Times New Roman" w:hAnsi="Times New Roman" w:cs="Times New Roman"/>
          <w:iCs/>
          <w:szCs w:val="20"/>
          <w:lang w:eastAsia="en-AU"/>
        </w:rPr>
        <w:t xml:space="preserve">fusions likely to be false negative was calculated using the estimated proportion of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fusions likely to be </w:t>
      </w:r>
      <w:r w:rsidRPr="00214D77">
        <w:rPr>
          <w:rFonts w:ascii="Times New Roman" w:eastAsia="Times New Roman" w:hAnsi="Times New Roman" w:cs="Times New Roman"/>
          <w:i/>
          <w:szCs w:val="20"/>
          <w:lang w:eastAsia="en-AU"/>
        </w:rPr>
        <w:t>NTRK1</w:t>
      </w:r>
      <w:r w:rsidRPr="00214D77">
        <w:rPr>
          <w:rFonts w:ascii="Times New Roman" w:eastAsia="Times New Roman" w:hAnsi="Times New Roman" w:cs="Times New Roman"/>
          <w:iCs/>
          <w:szCs w:val="20"/>
          <w:lang w:eastAsia="en-AU"/>
        </w:rPr>
        <w:t xml:space="preserve">, </w:t>
      </w:r>
      <w:r w:rsidRPr="00214D77">
        <w:rPr>
          <w:rFonts w:ascii="Times New Roman" w:eastAsia="Times New Roman" w:hAnsi="Times New Roman" w:cs="Times New Roman"/>
          <w:i/>
          <w:szCs w:val="20"/>
          <w:lang w:eastAsia="en-AU"/>
        </w:rPr>
        <w:t xml:space="preserve">NTRK2 </w:t>
      </w:r>
      <w:r w:rsidRPr="00214D77">
        <w:rPr>
          <w:rFonts w:ascii="Times New Roman" w:eastAsia="Times New Roman" w:hAnsi="Times New Roman" w:cs="Times New Roman"/>
          <w:iCs/>
          <w:szCs w:val="20"/>
          <w:lang w:eastAsia="en-AU"/>
        </w:rPr>
        <w:t xml:space="preserve">or </w:t>
      </w:r>
      <w:r w:rsidRPr="00214D77">
        <w:rPr>
          <w:rFonts w:ascii="Times New Roman" w:eastAsia="Times New Roman" w:hAnsi="Times New Roman" w:cs="Times New Roman"/>
          <w:i/>
          <w:szCs w:val="20"/>
          <w:lang w:eastAsia="en-AU"/>
        </w:rPr>
        <w:t>NTRK3</w:t>
      </w:r>
      <w:r w:rsidRPr="00214D77">
        <w:rPr>
          <w:rFonts w:ascii="Times New Roman" w:eastAsia="Times New Roman" w:hAnsi="Times New Roman" w:cs="Times New Roman"/>
          <w:iCs/>
          <w:szCs w:val="20"/>
          <w:lang w:eastAsia="en-AU"/>
        </w:rPr>
        <w:t xml:space="preserve"> and the median sensitivity for that fusion type (Table </w:t>
      </w:r>
      <w:r w:rsidR="00973890">
        <w:rPr>
          <w:rFonts w:ascii="Times New Roman" w:eastAsia="Times New Roman" w:hAnsi="Times New Roman" w:cs="Times New Roman"/>
          <w:iCs/>
          <w:szCs w:val="20"/>
          <w:lang w:eastAsia="en-AU"/>
        </w:rPr>
        <w:t>8</w:t>
      </w:r>
      <w:r w:rsidRPr="00214D77">
        <w:rPr>
          <w:rFonts w:ascii="Times New Roman" w:eastAsia="Times New Roman" w:hAnsi="Times New Roman" w:cs="Times New Roman"/>
          <w:iCs/>
          <w:szCs w:val="20"/>
          <w:lang w:eastAsia="en-AU"/>
        </w:rPr>
        <w:t>)</w:t>
      </w:r>
      <w:r w:rsidR="00627E01">
        <w:rPr>
          <w:rFonts w:ascii="Times New Roman" w:eastAsia="Times New Roman" w:hAnsi="Times New Roman" w:cs="Times New Roman"/>
          <w:iCs/>
          <w:szCs w:val="20"/>
          <w:lang w:eastAsia="en-AU"/>
        </w:rPr>
        <w:t>.</w:t>
      </w:r>
      <w:r w:rsidRPr="00214D77">
        <w:rPr>
          <w:rFonts w:ascii="Times New Roman" w:eastAsia="Times New Roman" w:hAnsi="Times New Roman" w:cs="Times New Roman"/>
          <w:iCs/>
          <w:szCs w:val="20"/>
          <w:lang w:eastAsia="en-AU"/>
        </w:rPr>
        <w:t xml:space="preserve"> Approximately 40% of all </w:t>
      </w:r>
      <w:r w:rsidR="00627E01">
        <w:rPr>
          <w:rFonts w:ascii="Times New Roman" w:eastAsia="Times New Roman" w:hAnsi="Times New Roman" w:cs="Times New Roman"/>
          <w:iCs/>
          <w:szCs w:val="20"/>
          <w:lang w:eastAsia="en-AU"/>
        </w:rPr>
        <w:t xml:space="preserve">adults with </w:t>
      </w:r>
      <w:r w:rsidRPr="00214D77">
        <w:rPr>
          <w:rFonts w:ascii="Times New Roman" w:eastAsia="Times New Roman" w:hAnsi="Times New Roman" w:cs="Times New Roman"/>
          <w:szCs w:val="20"/>
          <w:lang w:eastAsia="en-AU"/>
        </w:rPr>
        <w:t xml:space="preserve">low frequency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fusions have </w:t>
      </w:r>
      <w:r w:rsidRPr="00214D77">
        <w:rPr>
          <w:rFonts w:ascii="Times New Roman" w:eastAsia="Times New Roman" w:hAnsi="Times New Roman" w:cs="Times New Roman"/>
          <w:i/>
          <w:szCs w:val="20"/>
          <w:lang w:eastAsia="en-AU"/>
        </w:rPr>
        <w:t>NTRK3</w:t>
      </w:r>
      <w:r w:rsidRPr="00214D77">
        <w:rPr>
          <w:rFonts w:ascii="Times New Roman" w:eastAsia="Times New Roman" w:hAnsi="Times New Roman" w:cs="Times New Roman"/>
          <w:iCs/>
          <w:szCs w:val="20"/>
          <w:lang w:eastAsia="en-AU"/>
        </w:rPr>
        <w:t xml:space="preserve"> fusions, and around 22% (95% confidence interval [CI] 12.5, 34.6) of all </w:t>
      </w:r>
      <w:r w:rsidRPr="00214D77">
        <w:rPr>
          <w:rFonts w:ascii="Times New Roman" w:eastAsia="Times New Roman" w:hAnsi="Times New Roman" w:cs="Times New Roman"/>
          <w:i/>
          <w:szCs w:val="20"/>
          <w:lang w:eastAsia="en-AU"/>
        </w:rPr>
        <w:t xml:space="preserve">NTRK3 </w:t>
      </w:r>
      <w:r w:rsidRPr="00214D77">
        <w:rPr>
          <w:rFonts w:ascii="Times New Roman" w:eastAsia="Times New Roman" w:hAnsi="Times New Roman" w:cs="Times New Roman"/>
          <w:iCs/>
          <w:szCs w:val="20"/>
          <w:lang w:eastAsia="en-AU"/>
        </w:rPr>
        <w:t>fusions are likely to be the false negative.</w:t>
      </w:r>
    </w:p>
    <w:p w14:paraId="1223ECF0" w14:textId="0AD1E0CF" w:rsidR="00214D77" w:rsidRPr="00214D77" w:rsidRDefault="00214D77" w:rsidP="00214D77">
      <w:pPr>
        <w:keepNext/>
        <w:spacing w:before="0" w:after="40"/>
        <w:outlineLvl w:val="4"/>
        <w:rPr>
          <w:rFonts w:ascii="Arial Narrow" w:eastAsia="Times New Roman" w:hAnsi="Arial Narrow" w:cs="Arial"/>
          <w:b/>
          <w:bCs/>
          <w:iCs/>
          <w:sz w:val="20"/>
          <w:szCs w:val="20"/>
        </w:rPr>
      </w:pPr>
      <w:bookmarkStart w:id="10" w:name="_Ref78904389"/>
      <w:r w:rsidRPr="00214D77">
        <w:rPr>
          <w:rFonts w:ascii="Arial Narrow" w:eastAsia="Times New Roman" w:hAnsi="Arial Narrow" w:cs="Arial"/>
          <w:b/>
          <w:bCs/>
          <w:iCs/>
          <w:sz w:val="20"/>
          <w:szCs w:val="20"/>
        </w:rPr>
        <w:t xml:space="preserve">Table </w:t>
      </w:r>
      <w:bookmarkEnd w:id="10"/>
      <w:r w:rsidR="00973890">
        <w:rPr>
          <w:rFonts w:ascii="Arial Narrow" w:eastAsia="Times New Roman" w:hAnsi="Arial Narrow" w:cs="Arial"/>
          <w:b/>
          <w:bCs/>
          <w:iCs/>
          <w:sz w:val="20"/>
          <w:szCs w:val="20"/>
        </w:rPr>
        <w:t>8</w:t>
      </w:r>
      <w:r w:rsidRPr="00214D77">
        <w:rPr>
          <w:rFonts w:ascii="Arial Narrow" w:eastAsia="Times New Roman" w:hAnsi="Arial Narrow" w:cs="Arial"/>
          <w:b/>
          <w:bCs/>
          <w:iCs/>
          <w:sz w:val="20"/>
          <w:szCs w:val="20"/>
        </w:rPr>
        <w:tab/>
        <w:t xml:space="preserve">Proportion of </w:t>
      </w:r>
      <w:r w:rsidRPr="00214D77">
        <w:rPr>
          <w:rFonts w:ascii="Arial Narrow" w:eastAsia="Times New Roman" w:hAnsi="Arial Narrow" w:cs="Arial"/>
          <w:b/>
          <w:bCs/>
          <w:i/>
          <w:iCs/>
          <w:sz w:val="20"/>
          <w:szCs w:val="20"/>
        </w:rPr>
        <w:t>NTRK</w:t>
      </w:r>
      <w:r w:rsidRPr="00214D77">
        <w:rPr>
          <w:rFonts w:ascii="Arial Narrow" w:eastAsia="Times New Roman" w:hAnsi="Arial Narrow" w:cs="Arial"/>
          <w:b/>
          <w:bCs/>
          <w:iCs/>
          <w:sz w:val="20"/>
          <w:szCs w:val="20"/>
        </w:rPr>
        <w:t xml:space="preserve">1/2/3 fusions in adult low frequency </w:t>
      </w:r>
      <w:r w:rsidRPr="00214D77">
        <w:rPr>
          <w:rFonts w:ascii="Arial Narrow" w:eastAsia="Times New Roman" w:hAnsi="Arial Narrow" w:cs="Arial"/>
          <w:b/>
          <w:bCs/>
          <w:i/>
          <w:iCs/>
          <w:sz w:val="20"/>
          <w:szCs w:val="20"/>
        </w:rPr>
        <w:t>NTRK</w:t>
      </w:r>
      <w:r w:rsidRPr="00214D77">
        <w:rPr>
          <w:rFonts w:ascii="Arial Narrow" w:eastAsia="Times New Roman" w:hAnsi="Arial Narrow" w:cs="Arial"/>
          <w:b/>
          <w:bCs/>
          <w:iCs/>
          <w:sz w:val="20"/>
          <w:szCs w:val="20"/>
        </w:rPr>
        <w:t xml:space="preserve"> fusion cancers</w:t>
      </w:r>
    </w:p>
    <w:tbl>
      <w:tblPr>
        <w:tblStyle w:val="ASDTable10"/>
        <w:tblW w:w="0" w:type="auto"/>
        <w:tblLook w:val="04A0" w:firstRow="1" w:lastRow="0" w:firstColumn="1" w:lastColumn="0" w:noHBand="0" w:noVBand="1"/>
      </w:tblPr>
      <w:tblGrid>
        <w:gridCol w:w="1838"/>
        <w:gridCol w:w="2552"/>
        <w:gridCol w:w="2268"/>
        <w:gridCol w:w="2358"/>
      </w:tblGrid>
      <w:tr w:rsidR="00214D77" w:rsidRPr="00214D77" w14:paraId="054DC3CB" w14:textId="77777777" w:rsidTr="002045D9">
        <w:trPr>
          <w:tblHeader/>
        </w:trPr>
        <w:tc>
          <w:tcPr>
            <w:tcW w:w="1838" w:type="dxa"/>
          </w:tcPr>
          <w:p w14:paraId="07458084" w14:textId="77777777" w:rsidR="00214D77" w:rsidRPr="003964BE" w:rsidRDefault="00214D77" w:rsidP="00214D77">
            <w:pPr>
              <w:spacing w:before="40"/>
              <w:jc w:val="left"/>
              <w:rPr>
                <w:rFonts w:ascii="Arial Narrow" w:eastAsia="Times New Roman" w:hAnsi="Arial Narrow" w:cs="Times New Roman"/>
                <w:b/>
                <w:sz w:val="20"/>
                <w:szCs w:val="20"/>
                <w:lang w:eastAsia="en-AU"/>
              </w:rPr>
            </w:pPr>
            <w:r w:rsidRPr="003964BE">
              <w:rPr>
                <w:rFonts w:ascii="Arial Narrow" w:eastAsia="Times New Roman" w:hAnsi="Arial Narrow" w:cs="Times New Roman"/>
                <w:b/>
                <w:sz w:val="20"/>
                <w:szCs w:val="20"/>
                <w:lang w:eastAsia="en-AU"/>
              </w:rPr>
              <w:t>Tumour type</w:t>
            </w:r>
          </w:p>
        </w:tc>
        <w:tc>
          <w:tcPr>
            <w:tcW w:w="2552" w:type="dxa"/>
          </w:tcPr>
          <w:p w14:paraId="10600CD1" w14:textId="77777777" w:rsidR="00214D77" w:rsidRPr="003964BE" w:rsidRDefault="00214D77" w:rsidP="00627E01">
            <w:pPr>
              <w:spacing w:before="40"/>
              <w:jc w:val="center"/>
              <w:rPr>
                <w:rFonts w:ascii="Arial Narrow" w:eastAsia="Times New Roman" w:hAnsi="Arial Narrow" w:cs="Times New Roman"/>
                <w:b/>
                <w:sz w:val="20"/>
                <w:szCs w:val="20"/>
                <w:lang w:eastAsia="en-AU"/>
              </w:rPr>
            </w:pPr>
            <w:r w:rsidRPr="003964BE">
              <w:rPr>
                <w:rFonts w:ascii="Arial Narrow" w:eastAsia="Times New Roman" w:hAnsi="Arial Narrow" w:cs="Times New Roman"/>
                <w:b/>
                <w:sz w:val="20"/>
                <w:szCs w:val="20"/>
                <w:lang w:eastAsia="en-AU"/>
              </w:rPr>
              <w:t xml:space="preserve">Proportion </w:t>
            </w:r>
            <w:r w:rsidRPr="003964BE">
              <w:rPr>
                <w:rFonts w:ascii="Arial Narrow" w:eastAsia="Times New Roman" w:hAnsi="Arial Narrow" w:cs="Times New Roman"/>
                <w:b/>
                <w:i/>
                <w:sz w:val="20"/>
                <w:szCs w:val="20"/>
                <w:lang w:eastAsia="en-AU"/>
              </w:rPr>
              <w:t>NTRK1</w:t>
            </w:r>
          </w:p>
        </w:tc>
        <w:tc>
          <w:tcPr>
            <w:tcW w:w="2268" w:type="dxa"/>
          </w:tcPr>
          <w:p w14:paraId="4FD85EA1" w14:textId="77777777" w:rsidR="00214D77" w:rsidRPr="003964BE" w:rsidRDefault="00214D77" w:rsidP="00627E01">
            <w:pPr>
              <w:spacing w:before="40"/>
              <w:jc w:val="center"/>
              <w:rPr>
                <w:rFonts w:ascii="Arial Narrow" w:eastAsia="Times New Roman" w:hAnsi="Arial Narrow" w:cs="Times New Roman"/>
                <w:b/>
                <w:sz w:val="20"/>
                <w:szCs w:val="20"/>
                <w:lang w:eastAsia="en-AU"/>
              </w:rPr>
            </w:pPr>
            <w:r w:rsidRPr="003964BE">
              <w:rPr>
                <w:rFonts w:ascii="Arial Narrow" w:eastAsia="Times New Roman" w:hAnsi="Arial Narrow" w:cs="Times New Roman"/>
                <w:b/>
                <w:sz w:val="20"/>
                <w:szCs w:val="20"/>
                <w:lang w:eastAsia="en-AU"/>
              </w:rPr>
              <w:t xml:space="preserve">Proportion </w:t>
            </w:r>
            <w:r w:rsidRPr="003964BE">
              <w:rPr>
                <w:rFonts w:ascii="Arial Narrow" w:eastAsia="Times New Roman" w:hAnsi="Arial Narrow" w:cs="Times New Roman"/>
                <w:b/>
                <w:i/>
                <w:sz w:val="20"/>
                <w:szCs w:val="20"/>
                <w:lang w:eastAsia="en-AU"/>
              </w:rPr>
              <w:t>NTRK2</w:t>
            </w:r>
          </w:p>
        </w:tc>
        <w:tc>
          <w:tcPr>
            <w:tcW w:w="2358" w:type="dxa"/>
          </w:tcPr>
          <w:p w14:paraId="3AB322E0" w14:textId="77777777" w:rsidR="00214D77" w:rsidRPr="003964BE" w:rsidRDefault="00214D77" w:rsidP="00627E01">
            <w:pPr>
              <w:spacing w:before="40"/>
              <w:jc w:val="center"/>
              <w:rPr>
                <w:rFonts w:ascii="Arial Narrow" w:eastAsia="Times New Roman" w:hAnsi="Arial Narrow" w:cs="Times New Roman"/>
                <w:b/>
                <w:sz w:val="20"/>
                <w:szCs w:val="20"/>
                <w:lang w:eastAsia="en-AU"/>
              </w:rPr>
            </w:pPr>
            <w:r w:rsidRPr="003964BE">
              <w:rPr>
                <w:rFonts w:ascii="Arial Narrow" w:eastAsia="Times New Roman" w:hAnsi="Arial Narrow" w:cs="Times New Roman"/>
                <w:b/>
                <w:sz w:val="20"/>
                <w:szCs w:val="20"/>
                <w:lang w:eastAsia="en-AU"/>
              </w:rPr>
              <w:t xml:space="preserve">Proportion </w:t>
            </w:r>
            <w:r w:rsidRPr="003964BE">
              <w:rPr>
                <w:rFonts w:ascii="Arial Narrow" w:eastAsia="Times New Roman" w:hAnsi="Arial Narrow" w:cs="Times New Roman"/>
                <w:b/>
                <w:i/>
                <w:sz w:val="20"/>
                <w:szCs w:val="20"/>
                <w:lang w:eastAsia="en-AU"/>
              </w:rPr>
              <w:t>NTRK3</w:t>
            </w:r>
          </w:p>
        </w:tc>
      </w:tr>
      <w:tr w:rsidR="00214D77" w:rsidRPr="00214D77" w14:paraId="05FDD593" w14:textId="77777777" w:rsidTr="002045D9">
        <w:tc>
          <w:tcPr>
            <w:tcW w:w="1838" w:type="dxa"/>
          </w:tcPr>
          <w:p w14:paraId="135D031D" w14:textId="77777777"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CRC (k=8)</w:t>
            </w:r>
          </w:p>
        </w:tc>
        <w:tc>
          <w:tcPr>
            <w:tcW w:w="2552" w:type="dxa"/>
          </w:tcPr>
          <w:p w14:paraId="724D2422"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51 (83.6%)</w:t>
            </w:r>
          </w:p>
        </w:tc>
        <w:tc>
          <w:tcPr>
            <w:tcW w:w="2268" w:type="dxa"/>
          </w:tcPr>
          <w:p w14:paraId="147019D3"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1 (1.6%)</w:t>
            </w:r>
          </w:p>
        </w:tc>
        <w:tc>
          <w:tcPr>
            <w:tcW w:w="2358" w:type="dxa"/>
          </w:tcPr>
          <w:p w14:paraId="2B9B75AA"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9 (14.8%)</w:t>
            </w:r>
          </w:p>
        </w:tc>
      </w:tr>
      <w:tr w:rsidR="00214D77" w:rsidRPr="00214D77" w14:paraId="34365C37" w14:textId="77777777" w:rsidTr="002045D9">
        <w:tc>
          <w:tcPr>
            <w:tcW w:w="1838" w:type="dxa"/>
          </w:tcPr>
          <w:p w14:paraId="75F72192" w14:textId="77777777"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NSCLC (k=5)</w:t>
            </w:r>
          </w:p>
        </w:tc>
        <w:tc>
          <w:tcPr>
            <w:tcW w:w="2552" w:type="dxa"/>
          </w:tcPr>
          <w:p w14:paraId="24CFCE95"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15 (57.7%)</w:t>
            </w:r>
          </w:p>
        </w:tc>
        <w:tc>
          <w:tcPr>
            <w:tcW w:w="2268" w:type="dxa"/>
          </w:tcPr>
          <w:p w14:paraId="5334FD60"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3 (11.5%)</w:t>
            </w:r>
          </w:p>
        </w:tc>
        <w:tc>
          <w:tcPr>
            <w:tcW w:w="2358" w:type="dxa"/>
          </w:tcPr>
          <w:p w14:paraId="32E91E26"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8 (30.8%)</w:t>
            </w:r>
          </w:p>
        </w:tc>
      </w:tr>
      <w:tr w:rsidR="00214D77" w:rsidRPr="00214D77" w14:paraId="701F9784" w14:textId="77777777" w:rsidTr="002045D9">
        <w:tc>
          <w:tcPr>
            <w:tcW w:w="1838" w:type="dxa"/>
          </w:tcPr>
          <w:p w14:paraId="247C7D9A" w14:textId="77777777"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Thyroid cancer (k=4)</w:t>
            </w:r>
          </w:p>
        </w:tc>
        <w:tc>
          <w:tcPr>
            <w:tcW w:w="2552" w:type="dxa"/>
          </w:tcPr>
          <w:p w14:paraId="56EB4BB2"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9 (20.5%)</w:t>
            </w:r>
          </w:p>
        </w:tc>
        <w:tc>
          <w:tcPr>
            <w:tcW w:w="2268" w:type="dxa"/>
          </w:tcPr>
          <w:p w14:paraId="1BC3C1D6"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 (0%)</w:t>
            </w:r>
          </w:p>
        </w:tc>
        <w:tc>
          <w:tcPr>
            <w:tcW w:w="2358" w:type="dxa"/>
          </w:tcPr>
          <w:p w14:paraId="3FEFDDDF"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35 (79.5%)</w:t>
            </w:r>
          </w:p>
        </w:tc>
      </w:tr>
      <w:tr w:rsidR="00214D77" w:rsidRPr="00214D77" w14:paraId="19BE6709" w14:textId="77777777" w:rsidTr="002045D9">
        <w:tc>
          <w:tcPr>
            <w:tcW w:w="1838" w:type="dxa"/>
          </w:tcPr>
          <w:p w14:paraId="07048530" w14:textId="77777777"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STS (k=3)</w:t>
            </w:r>
          </w:p>
        </w:tc>
        <w:tc>
          <w:tcPr>
            <w:tcW w:w="2552" w:type="dxa"/>
          </w:tcPr>
          <w:p w14:paraId="53763B02"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5 (62.5%)</w:t>
            </w:r>
          </w:p>
        </w:tc>
        <w:tc>
          <w:tcPr>
            <w:tcW w:w="2268" w:type="dxa"/>
          </w:tcPr>
          <w:p w14:paraId="79C29AE2"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0 (0%)</w:t>
            </w:r>
          </w:p>
        </w:tc>
        <w:tc>
          <w:tcPr>
            <w:tcW w:w="2358" w:type="dxa"/>
          </w:tcPr>
          <w:p w14:paraId="39BCC42B"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3 (37.5%)</w:t>
            </w:r>
          </w:p>
        </w:tc>
      </w:tr>
      <w:tr w:rsidR="00214D77" w:rsidRPr="00214D77" w14:paraId="7E4D69BE" w14:textId="77777777" w:rsidTr="002045D9">
        <w:tc>
          <w:tcPr>
            <w:tcW w:w="1838" w:type="dxa"/>
          </w:tcPr>
          <w:p w14:paraId="38838DB3" w14:textId="77777777"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Overall</w:t>
            </w:r>
          </w:p>
        </w:tc>
        <w:tc>
          <w:tcPr>
            <w:tcW w:w="2552" w:type="dxa"/>
          </w:tcPr>
          <w:p w14:paraId="29DFE62B"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76 (58.0%; 95% CI 49.5, 66.1)</w:t>
            </w:r>
          </w:p>
        </w:tc>
        <w:tc>
          <w:tcPr>
            <w:tcW w:w="2268" w:type="dxa"/>
          </w:tcPr>
          <w:p w14:paraId="0D8DC6CE"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4 (3.1%; 95% CI 1.2, 7.6)</w:t>
            </w:r>
          </w:p>
        </w:tc>
        <w:tc>
          <w:tcPr>
            <w:tcW w:w="2358" w:type="dxa"/>
          </w:tcPr>
          <w:p w14:paraId="131095BF" w14:textId="72EBC3B2"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51 (38.9%; 95% CI 31, 47.5)</w:t>
            </w:r>
          </w:p>
        </w:tc>
      </w:tr>
      <w:tr w:rsidR="00214D77" w:rsidRPr="00214D77" w14:paraId="4D01F67A" w14:textId="77777777" w:rsidTr="002045D9">
        <w:tc>
          <w:tcPr>
            <w:tcW w:w="1838" w:type="dxa"/>
          </w:tcPr>
          <w:p w14:paraId="7ADEA86A" w14:textId="77777777"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Median sensitivity of pan-</w:t>
            </w:r>
            <w:proofErr w:type="spellStart"/>
            <w:r w:rsidRPr="003964BE">
              <w:rPr>
                <w:rFonts w:ascii="Arial Narrow" w:eastAsia="Times New Roman" w:hAnsi="Arial Narrow" w:cs="Times New Roman"/>
                <w:sz w:val="20"/>
                <w:szCs w:val="20"/>
                <w:lang w:eastAsia="en-AU"/>
              </w:rPr>
              <w:t>Trk</w:t>
            </w:r>
            <w:proofErr w:type="spellEnd"/>
            <w:r w:rsidRPr="003964BE">
              <w:rPr>
                <w:rFonts w:ascii="Arial Narrow" w:eastAsia="Times New Roman" w:hAnsi="Arial Narrow" w:cs="Times New Roman"/>
                <w:sz w:val="20"/>
                <w:szCs w:val="20"/>
                <w:lang w:eastAsia="en-AU"/>
              </w:rPr>
              <w:t xml:space="preserve"> IHC test</w:t>
            </w:r>
          </w:p>
        </w:tc>
        <w:tc>
          <w:tcPr>
            <w:tcW w:w="2552" w:type="dxa"/>
          </w:tcPr>
          <w:p w14:paraId="4AEFD73A" w14:textId="51ECEEE3"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96.3% (range 87.5-100</w:t>
            </w:r>
            <w:r w:rsidR="002045D9">
              <w:rPr>
                <w:rFonts w:ascii="Arial Narrow" w:eastAsia="Times New Roman" w:hAnsi="Arial Narrow" w:cs="Times New Roman"/>
                <w:sz w:val="20"/>
                <w:szCs w:val="20"/>
                <w:lang w:eastAsia="en-AU"/>
              </w:rPr>
              <w:t>;</w:t>
            </w:r>
            <w:r w:rsidRPr="003964BE">
              <w:rPr>
                <w:rFonts w:ascii="Arial Narrow" w:eastAsia="Times New Roman" w:hAnsi="Arial Narrow" w:cs="Times New Roman"/>
                <w:sz w:val="20"/>
                <w:szCs w:val="20"/>
                <w:lang w:eastAsia="en-AU"/>
              </w:rPr>
              <w:t xml:space="preserve"> k=3)</w:t>
            </w:r>
          </w:p>
        </w:tc>
        <w:tc>
          <w:tcPr>
            <w:tcW w:w="2268" w:type="dxa"/>
          </w:tcPr>
          <w:p w14:paraId="6E20BB7C"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100% (range 88.9-100; k=3)</w:t>
            </w:r>
          </w:p>
        </w:tc>
        <w:tc>
          <w:tcPr>
            <w:tcW w:w="2358" w:type="dxa"/>
          </w:tcPr>
          <w:p w14:paraId="78C58811"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79.4% (range 54.5-85.7; k=3)</w:t>
            </w:r>
          </w:p>
        </w:tc>
      </w:tr>
      <w:tr w:rsidR="00214D77" w:rsidRPr="00214D77" w14:paraId="2C691CB1" w14:textId="77777777" w:rsidTr="002045D9">
        <w:tc>
          <w:tcPr>
            <w:tcW w:w="1838" w:type="dxa"/>
          </w:tcPr>
          <w:p w14:paraId="5F597B5D" w14:textId="77777777" w:rsidR="00214D77" w:rsidRPr="003964BE" w:rsidRDefault="00214D77" w:rsidP="00214D77">
            <w:pPr>
              <w:spacing w:before="40"/>
              <w:jc w:val="left"/>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Proportion that would be false negative</w:t>
            </w:r>
          </w:p>
        </w:tc>
        <w:tc>
          <w:tcPr>
            <w:tcW w:w="2552" w:type="dxa"/>
          </w:tcPr>
          <w:p w14:paraId="06DE7ED9"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3/76 (3.9% of all </w:t>
            </w:r>
            <w:r w:rsidRPr="003964BE">
              <w:rPr>
                <w:rFonts w:ascii="Arial Narrow" w:eastAsia="Times New Roman" w:hAnsi="Arial Narrow" w:cs="Times New Roman"/>
                <w:i/>
                <w:sz w:val="20"/>
                <w:szCs w:val="20"/>
                <w:lang w:eastAsia="en-AU"/>
              </w:rPr>
              <w:t>NTRK1</w:t>
            </w:r>
            <w:r w:rsidRPr="003964BE">
              <w:rPr>
                <w:rFonts w:ascii="Arial Narrow" w:eastAsia="Times New Roman" w:hAnsi="Arial Narrow" w:cs="Times New Roman"/>
                <w:sz w:val="20"/>
                <w:szCs w:val="20"/>
                <w:lang w:eastAsia="en-AU"/>
              </w:rPr>
              <w:t>)</w:t>
            </w:r>
          </w:p>
          <w:p w14:paraId="20B4F911"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[95% CI 1.4, 11.0]</w:t>
            </w:r>
          </w:p>
        </w:tc>
        <w:tc>
          <w:tcPr>
            <w:tcW w:w="2268" w:type="dxa"/>
          </w:tcPr>
          <w:p w14:paraId="59C3B76C"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0/4 (0% of all </w:t>
            </w:r>
            <w:r w:rsidRPr="003964BE">
              <w:rPr>
                <w:rFonts w:ascii="Arial Narrow" w:eastAsia="Times New Roman" w:hAnsi="Arial Narrow" w:cs="Times New Roman"/>
                <w:i/>
                <w:sz w:val="20"/>
                <w:szCs w:val="20"/>
                <w:lang w:eastAsia="en-AU"/>
              </w:rPr>
              <w:t>NTRK2</w:t>
            </w:r>
            <w:r w:rsidRPr="003964BE">
              <w:rPr>
                <w:rFonts w:ascii="Arial Narrow" w:eastAsia="Times New Roman" w:hAnsi="Arial Narrow" w:cs="Times New Roman"/>
                <w:sz w:val="20"/>
                <w:szCs w:val="20"/>
                <w:lang w:eastAsia="en-AU"/>
              </w:rPr>
              <w:t>)</w:t>
            </w:r>
          </w:p>
          <w:p w14:paraId="4460978E"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[95% CI 0, 49]</w:t>
            </w:r>
          </w:p>
        </w:tc>
        <w:tc>
          <w:tcPr>
            <w:tcW w:w="2358" w:type="dxa"/>
          </w:tcPr>
          <w:p w14:paraId="48A2FCF3"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 xml:space="preserve">11/51 (21.6% of all </w:t>
            </w:r>
            <w:r w:rsidRPr="003964BE">
              <w:rPr>
                <w:rFonts w:ascii="Arial Narrow" w:eastAsia="Times New Roman" w:hAnsi="Arial Narrow" w:cs="Times New Roman"/>
                <w:i/>
                <w:sz w:val="20"/>
                <w:szCs w:val="20"/>
                <w:lang w:eastAsia="en-AU"/>
              </w:rPr>
              <w:t>NTRK3</w:t>
            </w:r>
            <w:r w:rsidRPr="003964BE">
              <w:rPr>
                <w:rFonts w:ascii="Arial Narrow" w:eastAsia="Times New Roman" w:hAnsi="Arial Narrow" w:cs="Times New Roman"/>
                <w:sz w:val="20"/>
                <w:szCs w:val="20"/>
                <w:lang w:eastAsia="en-AU"/>
              </w:rPr>
              <w:t>)</w:t>
            </w:r>
          </w:p>
          <w:p w14:paraId="2FCED25E" w14:textId="77777777" w:rsidR="00214D77" w:rsidRPr="003964BE" w:rsidRDefault="00214D77" w:rsidP="00214D77">
            <w:pPr>
              <w:spacing w:before="40"/>
              <w:jc w:val="center"/>
              <w:rPr>
                <w:rFonts w:ascii="Arial Narrow" w:eastAsia="Times New Roman" w:hAnsi="Arial Narrow" w:cs="Times New Roman"/>
                <w:sz w:val="20"/>
                <w:szCs w:val="20"/>
                <w:lang w:eastAsia="en-AU"/>
              </w:rPr>
            </w:pPr>
            <w:r w:rsidRPr="003964BE">
              <w:rPr>
                <w:rFonts w:ascii="Arial Narrow" w:eastAsia="Times New Roman" w:hAnsi="Arial Narrow" w:cs="Times New Roman"/>
                <w:sz w:val="20"/>
                <w:szCs w:val="20"/>
                <w:lang w:eastAsia="en-AU"/>
              </w:rPr>
              <w:t>[95% CI 12.5, 34.6]</w:t>
            </w:r>
          </w:p>
        </w:tc>
      </w:tr>
    </w:tbl>
    <w:p w14:paraId="577E8326" w14:textId="500F47C9" w:rsidR="00214D77" w:rsidRDefault="00214D77" w:rsidP="0028467B">
      <w:pPr>
        <w:widowControl w:val="0"/>
        <w:spacing w:before="0" w:after="240"/>
        <w:jc w:val="left"/>
        <w:rPr>
          <w:rFonts w:ascii="Arial Narrow" w:eastAsia="Times New Roman" w:hAnsi="Arial Narrow" w:cs="Arial"/>
          <w:iCs/>
          <w:snapToGrid w:val="0"/>
          <w:sz w:val="18"/>
          <w:szCs w:val="20"/>
        </w:rPr>
      </w:pPr>
      <w:r w:rsidRPr="00214D77">
        <w:rPr>
          <w:rFonts w:ascii="Arial Narrow" w:eastAsia="Times New Roman" w:hAnsi="Arial Narrow" w:cs="Arial"/>
          <w:iCs/>
          <w:snapToGrid w:val="0"/>
          <w:sz w:val="18"/>
          <w:szCs w:val="20"/>
        </w:rPr>
        <w:t xml:space="preserve">Source: </w:t>
      </w:r>
      <w:r w:rsidRPr="00214D77">
        <w:rPr>
          <w:rFonts w:ascii="Arial Narrow" w:eastAsia="Times New Roman" w:hAnsi="Arial Narrow" w:cs="Arial"/>
          <w:iCs/>
          <w:snapToGrid w:val="0"/>
          <w:sz w:val="18"/>
          <w:szCs w:val="20"/>
        </w:rPr>
        <w:fldChar w:fldCharType="begin"/>
      </w:r>
      <w:r w:rsidRPr="00214D77">
        <w:rPr>
          <w:rFonts w:ascii="Arial Narrow" w:eastAsia="Times New Roman" w:hAnsi="Arial Narrow" w:cs="Arial"/>
          <w:iCs/>
          <w:snapToGrid w:val="0"/>
          <w:sz w:val="18"/>
          <w:szCs w:val="20"/>
        </w:rPr>
        <w:instrText xml:space="preserve"> REF _Ref77880621 \h  \* MERGEFORMAT </w:instrText>
      </w:r>
      <w:r w:rsidRPr="00214D77">
        <w:rPr>
          <w:rFonts w:ascii="Arial Narrow" w:eastAsia="Times New Roman" w:hAnsi="Arial Narrow" w:cs="Arial"/>
          <w:iCs/>
          <w:snapToGrid w:val="0"/>
          <w:sz w:val="18"/>
          <w:szCs w:val="20"/>
        </w:rPr>
      </w:r>
      <w:r w:rsidRPr="00214D77">
        <w:rPr>
          <w:rFonts w:ascii="Arial Narrow" w:eastAsia="Times New Roman" w:hAnsi="Arial Narrow" w:cs="Arial"/>
          <w:iCs/>
          <w:snapToGrid w:val="0"/>
          <w:sz w:val="18"/>
          <w:szCs w:val="20"/>
        </w:rPr>
        <w:fldChar w:fldCharType="separate"/>
      </w:r>
      <w:r w:rsidRPr="00214D77">
        <w:rPr>
          <w:rFonts w:ascii="Arial Narrow" w:eastAsia="Times New Roman" w:hAnsi="Arial Narrow" w:cs="Arial"/>
          <w:iCs/>
          <w:snapToGrid w:val="0"/>
          <w:sz w:val="18"/>
          <w:szCs w:val="20"/>
        </w:rPr>
        <w:t xml:space="preserve">Table </w:t>
      </w:r>
      <w:r w:rsidRPr="00214D77">
        <w:rPr>
          <w:rFonts w:ascii="Arial Narrow" w:eastAsia="Times New Roman" w:hAnsi="Arial Narrow" w:cs="Arial"/>
          <w:iCs/>
          <w:noProof/>
          <w:snapToGrid w:val="0"/>
          <w:sz w:val="18"/>
          <w:szCs w:val="20"/>
        </w:rPr>
        <w:t>25</w:t>
      </w:r>
      <w:r w:rsidRPr="00214D77">
        <w:rPr>
          <w:rFonts w:ascii="Arial Narrow" w:eastAsia="Times New Roman" w:hAnsi="Arial Narrow" w:cs="Arial"/>
          <w:iCs/>
          <w:snapToGrid w:val="0"/>
          <w:sz w:val="18"/>
          <w:szCs w:val="20"/>
        </w:rPr>
        <w:fldChar w:fldCharType="end"/>
      </w:r>
      <w:r w:rsidRPr="00214D77">
        <w:rPr>
          <w:rFonts w:ascii="Arial Narrow" w:eastAsia="Times New Roman" w:hAnsi="Arial Narrow" w:cs="Arial"/>
          <w:iCs/>
          <w:snapToGrid w:val="0"/>
          <w:sz w:val="18"/>
          <w:szCs w:val="20"/>
        </w:rPr>
        <w:t xml:space="preserve"> of Section 2B.6.7 of the commentary</w:t>
      </w:r>
    </w:p>
    <w:p w14:paraId="2B7A2245" w14:textId="3FB91781"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 xml:space="preserve">A published guideline on the diagnostic, clinical, and therapeutic aspects of </w:t>
      </w:r>
      <w:r w:rsidRPr="00627E01">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-fusion tumours</w:t>
      </w:r>
      <w:r w:rsidRPr="00214D77">
        <w:rPr>
          <w:rFonts w:ascii="Times New Roman" w:eastAsia="Times New Roman" w:hAnsi="Times New Roman" w:cs="Times New Roman"/>
          <w:iCs/>
          <w:szCs w:val="20"/>
          <w:vertAlign w:val="superscript"/>
          <w:lang w:eastAsia="en-AU"/>
        </w:rPr>
        <w:footnoteReference w:id="2"/>
      </w:r>
      <w:r w:rsidRPr="00214D77">
        <w:rPr>
          <w:rFonts w:ascii="Times New Roman" w:eastAsia="Times New Roman" w:hAnsi="Times New Roman" w:cs="Times New Roman"/>
          <w:iCs/>
          <w:szCs w:val="20"/>
          <w:lang w:eastAsia="en-AU"/>
        </w:rPr>
        <w:t xml:space="preserve">, developed by three Spanish medical societies , reported that when IHC is used as a screening method, maximum sensitivity must be achieved, because once a report of IHC negativity is issued, it is unlikely that this patient will undergo another test for the detection of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fusions. This </w:t>
      </w:r>
      <w:r w:rsidR="00627E01">
        <w:rPr>
          <w:rFonts w:ascii="Times New Roman" w:eastAsia="Times New Roman" w:hAnsi="Times New Roman" w:cs="Times New Roman"/>
          <w:iCs/>
          <w:szCs w:val="20"/>
          <w:lang w:eastAsia="en-AU"/>
        </w:rPr>
        <w:t>would</w:t>
      </w:r>
      <w:r w:rsidRPr="00214D77">
        <w:rPr>
          <w:rFonts w:ascii="Times New Roman" w:eastAsia="Times New Roman" w:hAnsi="Times New Roman" w:cs="Times New Roman"/>
          <w:iCs/>
          <w:szCs w:val="20"/>
          <w:lang w:eastAsia="en-AU"/>
        </w:rPr>
        <w:t xml:space="preserve"> be the case for Australian adults with low frequency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 cancers.</w:t>
      </w:r>
    </w:p>
    <w:p w14:paraId="07818643" w14:textId="77777777" w:rsidR="00214D77" w:rsidRPr="00992F01" w:rsidRDefault="00214D77" w:rsidP="00BF2574">
      <w:pPr>
        <w:keepNext/>
        <w:keepLines/>
        <w:spacing w:before="200" w:after="0"/>
        <w:jc w:val="left"/>
        <w:outlineLvl w:val="3"/>
        <w:rPr>
          <w:rFonts w:ascii="Times New Roman" w:eastAsia="Times New Roman" w:hAnsi="Times New Roman" w:cs="Times New Roman"/>
          <w:szCs w:val="20"/>
          <w:u w:val="single"/>
          <w:lang w:eastAsia="en-AU"/>
        </w:rPr>
      </w:pPr>
      <w:r w:rsidRPr="00992F01">
        <w:rPr>
          <w:rFonts w:ascii="Times New Roman" w:eastAsia="Times New Roman" w:hAnsi="Times New Roman" w:cs="Times New Roman"/>
          <w:szCs w:val="20"/>
          <w:u w:val="single"/>
          <w:lang w:eastAsia="en-AU"/>
        </w:rPr>
        <w:lastRenderedPageBreak/>
        <w:t>Definition of a positive pan-</w:t>
      </w:r>
      <w:proofErr w:type="spellStart"/>
      <w:r w:rsidRPr="00992F01">
        <w:rPr>
          <w:rFonts w:ascii="Times New Roman" w:eastAsia="Times New Roman" w:hAnsi="Times New Roman" w:cs="Times New Roman"/>
          <w:szCs w:val="20"/>
          <w:u w:val="single"/>
          <w:lang w:eastAsia="en-AU"/>
        </w:rPr>
        <w:t>Trk</w:t>
      </w:r>
      <w:proofErr w:type="spellEnd"/>
      <w:r w:rsidRPr="00992F01">
        <w:rPr>
          <w:rFonts w:ascii="Times New Roman" w:eastAsia="Times New Roman" w:hAnsi="Times New Roman" w:cs="Times New Roman"/>
          <w:szCs w:val="20"/>
          <w:u w:val="single"/>
          <w:lang w:eastAsia="en-AU"/>
        </w:rPr>
        <w:t xml:space="preserve"> IHC test result</w:t>
      </w:r>
    </w:p>
    <w:p w14:paraId="0F087FF9" w14:textId="7036D891" w:rsidR="00214D77" w:rsidRPr="00214D77" w:rsidRDefault="00214D77" w:rsidP="00214D77">
      <w:pPr>
        <w:spacing w:before="0" w:after="240"/>
        <w:jc w:val="left"/>
        <w:rPr>
          <w:rFonts w:ascii="Times New Roman" w:eastAsia="Times New Roman" w:hAnsi="Times New Roman" w:cs="Times New Roman"/>
          <w:i/>
          <w:szCs w:val="20"/>
          <w:lang w:eastAsia="en-AU"/>
        </w:rPr>
      </w:pPr>
      <w:r w:rsidRPr="00214D77">
        <w:rPr>
          <w:rFonts w:ascii="Times New Roman" w:eastAsia="Times New Roman" w:hAnsi="Times New Roman" w:cs="Times New Roman"/>
          <w:iCs/>
          <w:szCs w:val="20"/>
          <w:lang w:eastAsia="en-AU"/>
        </w:rPr>
        <w:t>MSAC considered that more information was needed on the definition of a positive IHC result (MSAC application 1602 PSD 2020, p3). This was not discussed in the resubmission.</w:t>
      </w:r>
      <w:r w:rsidRPr="00214D77">
        <w:rPr>
          <w:rFonts w:ascii="Times New Roman" w:eastAsia="Times New Roman" w:hAnsi="Times New Roman" w:cs="Times New Roman"/>
          <w:i/>
          <w:szCs w:val="20"/>
          <w:lang w:eastAsia="en-AU"/>
        </w:rPr>
        <w:t xml:space="preserve"> </w:t>
      </w:r>
      <w:r w:rsidRPr="00214D77">
        <w:rPr>
          <w:rFonts w:ascii="Times New Roman" w:eastAsia="Times New Roman" w:hAnsi="Times New Roman" w:cs="Times New Roman"/>
          <w:iCs/>
          <w:szCs w:val="20"/>
          <w:lang w:eastAsia="en-AU"/>
        </w:rPr>
        <w:t xml:space="preserve">As there appears to be no universally accepted scoring method, the definition of IHC positivity in the included studies was checked during </w:t>
      </w:r>
      <w:r w:rsidR="00627E01">
        <w:rPr>
          <w:rFonts w:ascii="Times New Roman" w:eastAsia="Times New Roman" w:hAnsi="Times New Roman" w:cs="Times New Roman"/>
          <w:iCs/>
          <w:szCs w:val="20"/>
          <w:lang w:eastAsia="en-AU"/>
        </w:rPr>
        <w:t xml:space="preserve">the </w:t>
      </w:r>
      <w:r w:rsidRPr="00214D77">
        <w:rPr>
          <w:rFonts w:ascii="Times New Roman" w:eastAsia="Times New Roman" w:hAnsi="Times New Roman" w:cs="Times New Roman"/>
          <w:iCs/>
          <w:szCs w:val="20"/>
          <w:lang w:eastAsia="en-AU"/>
        </w:rPr>
        <w:t>evaluation to determine which was the most common.</w:t>
      </w:r>
    </w:p>
    <w:p w14:paraId="54223FCF" w14:textId="0791201B" w:rsidR="00214D77" w:rsidRPr="00214D77" w:rsidRDefault="00214D77" w:rsidP="00214D77">
      <w:pPr>
        <w:spacing w:before="0" w:after="24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In nine out of thirteen studies that used an IHC staining method, positive IHC staining was defined as staining above background in at least 1% of tumour cells in any pattern including membranous, cytoplasmic, perinuclear, or nuclear</w:t>
      </w:r>
      <w:r w:rsidR="00D274E5">
        <w:rPr>
          <w:rFonts w:ascii="Times New Roman" w:eastAsia="Times New Roman" w:hAnsi="Times New Roman" w:cs="Times New Roman"/>
          <w:iCs/>
          <w:szCs w:val="20"/>
          <w:lang w:eastAsia="en-AU"/>
        </w:rPr>
        <w:t>.</w:t>
      </w:r>
      <w:r w:rsidRPr="00214D77">
        <w:rPr>
          <w:rFonts w:ascii="Times New Roman" w:eastAsia="Times New Roman" w:hAnsi="Times New Roman" w:cs="Times New Roman"/>
          <w:iCs/>
          <w:szCs w:val="20"/>
          <w:lang w:eastAsia="en-AU"/>
        </w:rPr>
        <w:t xml:space="preserve"> In two studies, IHC positivity was defined as moderate to strong diffuse staining (i.e. in &gt;50% of tumour cells).</w:t>
      </w:r>
    </w:p>
    <w:p w14:paraId="40F6C58F" w14:textId="77777777" w:rsidR="00214D77" w:rsidRPr="00214D77" w:rsidRDefault="00214D77" w:rsidP="00627E01">
      <w:pPr>
        <w:spacing w:before="0" w:after="12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There is uncertainty about the definition of a pan-</w:t>
      </w:r>
      <w:proofErr w:type="spellStart"/>
      <w:r w:rsidRPr="00214D77">
        <w:rPr>
          <w:rFonts w:ascii="Times New Roman" w:eastAsia="Times New Roman" w:hAnsi="Times New Roman" w:cs="Times New Roman"/>
          <w:iCs/>
          <w:szCs w:val="20"/>
          <w:lang w:eastAsia="en-AU"/>
        </w:rPr>
        <w:t>Trk</w:t>
      </w:r>
      <w:proofErr w:type="spellEnd"/>
      <w:r w:rsidRPr="00214D77">
        <w:rPr>
          <w:rFonts w:ascii="Times New Roman" w:eastAsia="Times New Roman" w:hAnsi="Times New Roman" w:cs="Times New Roman"/>
          <w:iCs/>
          <w:szCs w:val="20"/>
          <w:lang w:eastAsia="en-AU"/>
        </w:rPr>
        <w:t xml:space="preserve"> IHC positive tumour used in Australian laboratories. This definition used will affect the number of confirmatory tests likely to be performed:</w:t>
      </w:r>
    </w:p>
    <w:p w14:paraId="5605E53A" w14:textId="77777777" w:rsidR="00214D77" w:rsidRPr="00BF2574" w:rsidRDefault="00214D77" w:rsidP="00864249">
      <w:pPr>
        <w:pStyle w:val="MSACESBulletPoint"/>
        <w:numPr>
          <w:ilvl w:val="0"/>
          <w:numId w:val="32"/>
        </w:numPr>
        <w:rPr>
          <w:rFonts w:eastAsia="Calibri" w:cs="Times New Roman"/>
          <w:iCs/>
        </w:rPr>
      </w:pPr>
      <w:r w:rsidRPr="00BF2574">
        <w:rPr>
          <w:rFonts w:eastAsia="Calibri" w:cs="Times New Roman"/>
          <w:iCs/>
        </w:rPr>
        <w:t>If IHC positivity is defined as any staining above background in &lt;1% of tumour cells, there will be more positive test results requiring a confirmatory test, but potentially there will be fewer patients with false negative IHC results who would miss out on treatment with larotrectinib</w:t>
      </w:r>
    </w:p>
    <w:p w14:paraId="3B37B996" w14:textId="77777777" w:rsidR="00214D77" w:rsidRPr="00214D77" w:rsidRDefault="00214D77" w:rsidP="00864249">
      <w:pPr>
        <w:pStyle w:val="MSACESBulletPoint"/>
        <w:numPr>
          <w:ilvl w:val="0"/>
          <w:numId w:val="32"/>
        </w:numPr>
        <w:rPr>
          <w:rFonts w:eastAsia="Calibri" w:cs="Times New Roman"/>
          <w:iCs/>
        </w:rPr>
      </w:pPr>
      <w:r w:rsidRPr="00214D77">
        <w:rPr>
          <w:rFonts w:eastAsia="Calibri" w:cs="Times New Roman"/>
          <w:iCs/>
        </w:rPr>
        <w:t xml:space="preserve">If IHC positivity is defined as moderate to strong staining in at least 50% of tumour cells, there will be fewer positive test results requiring a confirmatory test, but potentially more patients with </w:t>
      </w:r>
      <w:r w:rsidRPr="00BF2574">
        <w:rPr>
          <w:rFonts w:eastAsia="Calibri" w:cs="Times New Roman"/>
          <w:iCs/>
        </w:rPr>
        <w:t>NTRK</w:t>
      </w:r>
      <w:r w:rsidRPr="00214D77">
        <w:rPr>
          <w:rFonts w:eastAsia="Calibri" w:cs="Times New Roman"/>
          <w:iCs/>
        </w:rPr>
        <w:t xml:space="preserve"> fusions showing weaker staining, especially those with </w:t>
      </w:r>
      <w:r w:rsidRPr="00BF2574">
        <w:rPr>
          <w:rFonts w:eastAsia="Calibri" w:cs="Times New Roman"/>
          <w:iCs/>
        </w:rPr>
        <w:t>NTRK3</w:t>
      </w:r>
      <w:r w:rsidRPr="00214D77">
        <w:rPr>
          <w:rFonts w:eastAsia="Calibri" w:cs="Times New Roman"/>
          <w:iCs/>
        </w:rPr>
        <w:t xml:space="preserve"> fusions, will be false negative.</w:t>
      </w:r>
    </w:p>
    <w:p w14:paraId="63D78F53" w14:textId="77777777" w:rsidR="00214D77" w:rsidRPr="00214D77" w:rsidRDefault="00214D77" w:rsidP="00BF2574">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Prevalence</w:t>
      </w:r>
    </w:p>
    <w:p w14:paraId="5FA24934" w14:textId="2ABC7C15" w:rsidR="00214D77" w:rsidRDefault="00214D77" w:rsidP="00214D77">
      <w:pPr>
        <w:spacing w:before="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 xml:space="preserve">The prevalence rates for all adult and paediatric high frequency and low frequency </w:t>
      </w:r>
      <w:r w:rsidRPr="00214D77">
        <w:rPr>
          <w:rFonts w:ascii="Times New Roman" w:eastAsia="Times New Roman" w:hAnsi="Times New Roman" w:cs="Times New Roman"/>
          <w:i/>
          <w:iCs/>
          <w:szCs w:val="20"/>
          <w:lang w:eastAsia="en-AU"/>
        </w:rPr>
        <w:t xml:space="preserve">NTRK </w:t>
      </w:r>
      <w:r w:rsidRPr="00214D77">
        <w:rPr>
          <w:rFonts w:ascii="Times New Roman" w:eastAsia="Times New Roman" w:hAnsi="Times New Roman" w:cs="Times New Roman"/>
          <w:szCs w:val="20"/>
          <w:lang w:eastAsia="en-AU"/>
        </w:rPr>
        <w:t xml:space="preserve">fusion cancer types did not change in the resubmission, except that paediatric STS </w:t>
      </w:r>
      <w:r w:rsidR="00057EDA">
        <w:rPr>
          <w:rFonts w:ascii="Times New Roman" w:eastAsia="Times New Roman" w:hAnsi="Times New Roman" w:cs="Times New Roman"/>
          <w:szCs w:val="20"/>
          <w:lang w:eastAsia="en-AU"/>
        </w:rPr>
        <w:t>w</w:t>
      </w:r>
      <w:r w:rsidRPr="00214D77">
        <w:rPr>
          <w:rFonts w:ascii="Times New Roman" w:eastAsia="Times New Roman" w:hAnsi="Times New Roman" w:cs="Times New Roman"/>
          <w:szCs w:val="20"/>
          <w:lang w:eastAsia="en-AU"/>
        </w:rPr>
        <w:t xml:space="preserve">as correctly reclassified as a low frequency </w:t>
      </w:r>
      <w:r w:rsidRPr="00214D77">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fusion cancer type with a prevalence rate of 0.68%.</w:t>
      </w:r>
    </w:p>
    <w:p w14:paraId="6FDF38DD" w14:textId="77777777" w:rsidR="00214D77" w:rsidRPr="00214D77" w:rsidRDefault="00214D77" w:rsidP="0028467B">
      <w:pPr>
        <w:keepNext/>
        <w:keepLines/>
        <w:spacing w:before="24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Change in management in practice</w:t>
      </w:r>
    </w:p>
    <w:p w14:paraId="6195627B" w14:textId="34A987F4" w:rsidR="00214D77" w:rsidRPr="00214D77" w:rsidRDefault="00214D77" w:rsidP="00BF2574">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This section </w:t>
      </w:r>
      <w:r w:rsidR="00057EDA">
        <w:rPr>
          <w:rFonts w:ascii="Times New Roman" w:eastAsia="Calibri" w:hAnsi="Times New Roman" w:cs="Times New Roman"/>
        </w:rPr>
        <w:t>wa</w:t>
      </w:r>
      <w:r w:rsidRPr="00214D77">
        <w:rPr>
          <w:rFonts w:ascii="Times New Roman" w:eastAsia="Calibri" w:hAnsi="Times New Roman" w:cs="Times New Roman"/>
        </w:rPr>
        <w:t>s unchanged from the previous submission.</w:t>
      </w:r>
    </w:p>
    <w:p w14:paraId="3AEFED9D" w14:textId="4BD93793" w:rsidR="00214D77" w:rsidRPr="00214D77" w:rsidRDefault="00214D77" w:rsidP="00BF2574">
      <w:pPr>
        <w:keepNext/>
        <w:keepLines/>
        <w:spacing w:before="0" w:after="0"/>
        <w:jc w:val="left"/>
        <w:outlineLvl w:val="1"/>
        <w:rPr>
          <w:rFonts w:ascii="Times New Roman" w:eastAsia="Times New Roman" w:hAnsi="Times New Roman" w:cs="Times New Roman"/>
          <w:bCs/>
          <w:i/>
          <w:szCs w:val="26"/>
          <w:lang w:eastAsia="en-AU"/>
        </w:rPr>
      </w:pPr>
      <w:r w:rsidRPr="00214D77">
        <w:rPr>
          <w:rFonts w:ascii="Times New Roman" w:eastAsia="Times New Roman" w:hAnsi="Times New Roman" w:cs="Times New Roman"/>
          <w:bCs/>
          <w:i/>
          <w:szCs w:val="26"/>
          <w:lang w:eastAsia="en-AU"/>
        </w:rPr>
        <w:t xml:space="preserve">Claim of </w:t>
      </w:r>
      <w:proofErr w:type="spellStart"/>
      <w:r w:rsidRPr="00214D77">
        <w:rPr>
          <w:rFonts w:ascii="Times New Roman" w:eastAsia="Times New Roman" w:hAnsi="Times New Roman" w:cs="Times New Roman"/>
          <w:bCs/>
          <w:i/>
          <w:szCs w:val="26"/>
          <w:lang w:eastAsia="en-AU"/>
        </w:rPr>
        <w:t>codependence</w:t>
      </w:r>
      <w:proofErr w:type="spellEnd"/>
    </w:p>
    <w:p w14:paraId="217B6D37" w14:textId="600D1DDD" w:rsidR="00214D77" w:rsidRPr="00214D77" w:rsidRDefault="00214D77" w:rsidP="00BF2574">
      <w:pPr>
        <w:spacing w:before="0" w:after="240"/>
        <w:jc w:val="left"/>
        <w:rPr>
          <w:rFonts w:ascii="Times New Roman" w:eastAsia="Calibri" w:hAnsi="Times New Roman" w:cs="Times New Roman"/>
          <w:b/>
          <w:iCs/>
        </w:rPr>
      </w:pPr>
      <w:r w:rsidRPr="00214D77">
        <w:rPr>
          <w:rFonts w:ascii="Times New Roman" w:eastAsia="Calibri" w:hAnsi="Times New Roman" w:cs="Times New Roman"/>
          <w:iCs/>
        </w:rPr>
        <w:t xml:space="preserve">The claim of </w:t>
      </w:r>
      <w:proofErr w:type="spellStart"/>
      <w:r w:rsidRPr="00214D77">
        <w:rPr>
          <w:rFonts w:ascii="Times New Roman" w:eastAsia="Calibri" w:hAnsi="Times New Roman" w:cs="Times New Roman"/>
          <w:iCs/>
        </w:rPr>
        <w:t>codependence</w:t>
      </w:r>
      <w:proofErr w:type="spellEnd"/>
      <w:r w:rsidRPr="00214D77">
        <w:rPr>
          <w:rFonts w:ascii="Times New Roman" w:eastAsia="Calibri" w:hAnsi="Times New Roman" w:cs="Times New Roman"/>
          <w:iCs/>
        </w:rPr>
        <w:t xml:space="preserve"> </w:t>
      </w:r>
      <w:r w:rsidR="008266D4">
        <w:rPr>
          <w:rFonts w:ascii="Times New Roman" w:eastAsia="Calibri" w:hAnsi="Times New Roman" w:cs="Times New Roman"/>
        </w:rPr>
        <w:t>wa</w:t>
      </w:r>
      <w:r w:rsidR="008266D4" w:rsidRPr="00214D77">
        <w:rPr>
          <w:rFonts w:ascii="Times New Roman" w:eastAsia="Calibri" w:hAnsi="Times New Roman" w:cs="Times New Roman"/>
        </w:rPr>
        <w:t>s unchanged from the previous submission.</w:t>
      </w:r>
    </w:p>
    <w:p w14:paraId="4A65B63A" w14:textId="71E99A1D" w:rsidR="00214D77" w:rsidRPr="0028467B" w:rsidRDefault="00214D77" w:rsidP="00864249">
      <w:pPr>
        <w:pStyle w:val="Heading1"/>
        <w:numPr>
          <w:ilvl w:val="0"/>
          <w:numId w:val="3"/>
        </w:numPr>
        <w:spacing w:before="240" w:after="240" w:line="240" w:lineRule="auto"/>
        <w:ind w:left="720" w:hanging="720"/>
        <w:rPr>
          <w:rFonts w:ascii="Arial" w:hAnsi="Arial" w:cs="Arial"/>
          <w:bCs/>
          <w:lang w:eastAsia="en-AU"/>
        </w:rPr>
      </w:pPr>
      <w:r w:rsidRPr="0028467B">
        <w:rPr>
          <w:rFonts w:ascii="Arial" w:hAnsi="Arial" w:cs="Arial"/>
          <w:bCs/>
          <w:lang w:eastAsia="en-AU"/>
        </w:rPr>
        <w:t>Economic evaluation</w:t>
      </w:r>
    </w:p>
    <w:p w14:paraId="3B0CAAB5" w14:textId="77777777" w:rsidR="00214D77" w:rsidRPr="00214D77" w:rsidRDefault="00214D77" w:rsidP="00BF2574">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The resubmission presented an updated modelled economic evaluation, based on a naïve indirect comparison of single-arm studies. This compared </w:t>
      </w:r>
      <w:r w:rsidRPr="00214D77">
        <w:rPr>
          <w:rFonts w:ascii="Times New Roman" w:eastAsia="Calibri" w:hAnsi="Times New Roman" w:cs="Times New Roman"/>
          <w:i/>
        </w:rPr>
        <w:t>NTRK</w:t>
      </w:r>
      <w:r w:rsidRPr="00214D77">
        <w:rPr>
          <w:rFonts w:ascii="Times New Roman" w:eastAsia="Calibri" w:hAnsi="Times New Roman" w:cs="Times New Roman"/>
        </w:rPr>
        <w:t xml:space="preserve"> testing and larotrectinib treatment in patients identified with </w:t>
      </w:r>
      <w:r w:rsidRPr="00214D77">
        <w:rPr>
          <w:rFonts w:ascii="Times New Roman" w:eastAsia="Calibri" w:hAnsi="Times New Roman" w:cs="Times New Roman"/>
          <w:i/>
        </w:rPr>
        <w:t>NTRK</w:t>
      </w:r>
      <w:r w:rsidRPr="00214D77">
        <w:rPr>
          <w:rFonts w:ascii="Times New Roman" w:eastAsia="Calibri" w:hAnsi="Times New Roman" w:cs="Times New Roman"/>
        </w:rPr>
        <w:t xml:space="preserve"> fusions and SoC treatment in those without, to no testing, where all patients were treated with </w:t>
      </w:r>
      <w:proofErr w:type="spellStart"/>
      <w:r w:rsidRPr="00214D77">
        <w:rPr>
          <w:rFonts w:ascii="Times New Roman" w:eastAsia="Calibri" w:hAnsi="Times New Roman" w:cs="Times New Roman"/>
        </w:rPr>
        <w:t>SoC.</w:t>
      </w:r>
      <w:proofErr w:type="spellEnd"/>
      <w:r w:rsidRPr="00214D77">
        <w:rPr>
          <w:rFonts w:ascii="Times New Roman" w:eastAsia="Calibri" w:hAnsi="Times New Roman" w:cs="Times New Roman"/>
        </w:rPr>
        <w:t xml:space="preserve"> The types of economic evaluation presented were a cost-effectiveness analysis and a cost-utility analysis, measuring outcomes in terms of life-years (LYs) gained and quality-adjusted life years (QALYs) gained, respectively.</w:t>
      </w:r>
    </w:p>
    <w:p w14:paraId="6FFDC136" w14:textId="10A38FD8" w:rsidR="00214D77" w:rsidRPr="00214D77" w:rsidRDefault="00214D77" w:rsidP="00BF2574">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The structure of the model has changed since the previous submission. Previously, entry into the model was at the point of treatment, whereas in the resubmission, entry is at the point of testing. As a result, the average cost of testing across the tested population is applied, rather than the average cost to identify one </w:t>
      </w:r>
      <w:r w:rsidRPr="00214D77">
        <w:rPr>
          <w:rFonts w:ascii="Times New Roman" w:eastAsia="Calibri" w:hAnsi="Times New Roman" w:cs="Times New Roman"/>
          <w:i/>
        </w:rPr>
        <w:t>NTRK</w:t>
      </w:r>
      <w:r w:rsidRPr="00214D77">
        <w:rPr>
          <w:rFonts w:ascii="Times New Roman" w:eastAsia="Calibri" w:hAnsi="Times New Roman" w:cs="Times New Roman"/>
        </w:rPr>
        <w:t xml:space="preserve">-positive patient. </w:t>
      </w:r>
      <w:r w:rsidRPr="00214D77">
        <w:rPr>
          <w:rFonts w:ascii="Times New Roman" w:eastAsia="Calibri" w:hAnsi="Times New Roman" w:cs="Times New Roman"/>
          <w:iCs/>
        </w:rPr>
        <w:t xml:space="preserve">The commentary considered this change was reasonable; however, the new testing component of the model was structured to allocate patients by test result (e.g. true negative, false positive, etc.) where tumour type costs </w:t>
      </w:r>
      <w:r w:rsidRPr="00214D77">
        <w:rPr>
          <w:rFonts w:ascii="Times New Roman" w:eastAsia="Calibri" w:hAnsi="Times New Roman" w:cs="Times New Roman"/>
          <w:iCs/>
        </w:rPr>
        <w:lastRenderedPageBreak/>
        <w:t xml:space="preserve">and outcomes were weighted within each of these test outcome points. Regardless of the testing outcome, tumour types were weighted by the distribution of </w:t>
      </w:r>
      <w:r w:rsidRPr="00214D77">
        <w:rPr>
          <w:rFonts w:ascii="Times New Roman" w:eastAsia="Calibri" w:hAnsi="Times New Roman" w:cs="Times New Roman"/>
          <w:i/>
        </w:rPr>
        <w:t>NTRK</w:t>
      </w:r>
      <w:r w:rsidRPr="00214D77">
        <w:rPr>
          <w:rFonts w:ascii="Times New Roman" w:eastAsia="Calibri" w:hAnsi="Times New Roman" w:cs="Times New Roman"/>
          <w:iCs/>
        </w:rPr>
        <w:t>-positive patients which was not appropriate. Rather, costs and outcomes should have been weighted according to the distribution of tumour types in those that are found to have that test result. For example, as perfect test performance has been assumed for some tumour type groups, no false results are expected in these tumour types and so their costs and outcomes should not be included.</w:t>
      </w:r>
    </w:p>
    <w:p w14:paraId="74EA1E30" w14:textId="30AA147B" w:rsidR="00214D77" w:rsidRPr="00214D77" w:rsidRDefault="00214D77" w:rsidP="00BF2574">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The test parameters (i.e. prevalence of </w:t>
      </w:r>
      <w:r w:rsidRPr="00214D77">
        <w:rPr>
          <w:rFonts w:ascii="Times New Roman" w:eastAsia="Calibri" w:hAnsi="Times New Roman" w:cs="Times New Roman"/>
          <w:i/>
        </w:rPr>
        <w:t>NTRK</w:t>
      </w:r>
      <w:r w:rsidRPr="00214D77">
        <w:rPr>
          <w:rFonts w:ascii="Times New Roman" w:eastAsia="Calibri" w:hAnsi="Times New Roman" w:cs="Times New Roman"/>
        </w:rPr>
        <w:t xml:space="preserve"> fusions and test performance) used in the resubmission were generally unchanged from the previous submission (Table </w:t>
      </w:r>
      <w:r w:rsidR="00973890">
        <w:rPr>
          <w:rFonts w:ascii="Times New Roman" w:eastAsia="Calibri" w:hAnsi="Times New Roman" w:cs="Times New Roman"/>
        </w:rPr>
        <w:t>9</w:t>
      </w:r>
      <w:r w:rsidRPr="00214D77">
        <w:rPr>
          <w:rFonts w:ascii="Times New Roman" w:eastAsia="Calibri" w:hAnsi="Times New Roman" w:cs="Times New Roman"/>
        </w:rPr>
        <w:t xml:space="preserve">). </w:t>
      </w:r>
      <w:r w:rsidRPr="00214D77">
        <w:rPr>
          <w:rFonts w:ascii="Times New Roman" w:eastAsia="Calibri" w:hAnsi="Times New Roman" w:cs="Times New Roman"/>
          <w:iCs/>
        </w:rPr>
        <w:t xml:space="preserve">While the lower prevalence estimate, 0.68%, was applied in paediatric STS, the modelled prevalence in the paediatric high subgroup was also weighted by the distribution of tumour types in the treated population (i.e. </w:t>
      </w:r>
      <w:r w:rsidRPr="00214D77">
        <w:rPr>
          <w:rFonts w:ascii="Times New Roman" w:eastAsia="Calibri" w:hAnsi="Times New Roman" w:cs="Times New Roman"/>
          <w:i/>
        </w:rPr>
        <w:t>NTRK</w:t>
      </w:r>
      <w:r w:rsidRPr="00214D77">
        <w:rPr>
          <w:rFonts w:ascii="Times New Roman" w:eastAsia="Calibri" w:hAnsi="Times New Roman" w:cs="Times New Roman"/>
          <w:iCs/>
        </w:rPr>
        <w:t>-positives) rather than the distribution of tumour types in the tested population, which the commentary considered was not appropriate.</w:t>
      </w:r>
    </w:p>
    <w:p w14:paraId="54951517" w14:textId="07E07DC4" w:rsidR="00214D77" w:rsidRPr="00214D77" w:rsidRDefault="00214D77" w:rsidP="00214D77">
      <w:pPr>
        <w:keepNext/>
        <w:spacing w:before="0" w:after="40"/>
        <w:outlineLvl w:val="4"/>
        <w:rPr>
          <w:rFonts w:ascii="Arial Narrow" w:eastAsia="Times New Roman" w:hAnsi="Arial Narrow" w:cs="Arial"/>
          <w:b/>
          <w:bCs/>
          <w:iCs/>
          <w:sz w:val="20"/>
          <w:szCs w:val="20"/>
        </w:rPr>
      </w:pPr>
      <w:bookmarkStart w:id="11" w:name="_Ref79140727"/>
      <w:r w:rsidRPr="00214D77">
        <w:rPr>
          <w:rFonts w:ascii="Arial Narrow" w:eastAsia="Times New Roman" w:hAnsi="Arial Narrow" w:cs="Arial"/>
          <w:b/>
          <w:bCs/>
          <w:iCs/>
          <w:sz w:val="20"/>
          <w:szCs w:val="20"/>
        </w:rPr>
        <w:t xml:space="preserve">Table </w:t>
      </w:r>
      <w:bookmarkEnd w:id="11"/>
      <w:r w:rsidR="00973890">
        <w:rPr>
          <w:rFonts w:ascii="Arial Narrow" w:eastAsia="Times New Roman" w:hAnsi="Arial Narrow" w:cs="Arial"/>
          <w:b/>
          <w:bCs/>
          <w:iCs/>
          <w:sz w:val="20"/>
          <w:szCs w:val="20"/>
        </w:rPr>
        <w:t>9</w:t>
      </w:r>
      <w:r w:rsidRPr="00214D77">
        <w:rPr>
          <w:rFonts w:ascii="Arial Narrow" w:eastAsia="Times New Roman" w:hAnsi="Arial Narrow" w:cs="Arial"/>
          <w:b/>
          <w:bCs/>
          <w:iCs/>
          <w:sz w:val="20"/>
          <w:szCs w:val="20"/>
        </w:rPr>
        <w:tab/>
        <w:t>Test parameters used in the economic evaluation</w:t>
      </w:r>
    </w:p>
    <w:tbl>
      <w:tblPr>
        <w:tblStyle w:val="PBACTableStyle"/>
        <w:tblW w:w="0" w:type="auto"/>
        <w:tblLayout w:type="fixed"/>
        <w:tblLook w:val="04A0" w:firstRow="1" w:lastRow="0" w:firstColumn="1" w:lastColumn="0" w:noHBand="0" w:noVBand="1"/>
        <w:tblCaption w:val="Table 8 Test parameters used in the economic evaluation"/>
        <w:tblDescription w:val="Summary of prevalence used in the economic model"/>
      </w:tblPr>
      <w:tblGrid>
        <w:gridCol w:w="1838"/>
        <w:gridCol w:w="1134"/>
        <w:gridCol w:w="1134"/>
        <w:gridCol w:w="982"/>
        <w:gridCol w:w="982"/>
        <w:gridCol w:w="982"/>
        <w:gridCol w:w="982"/>
        <w:gridCol w:w="982"/>
      </w:tblGrid>
      <w:tr w:rsidR="00214D77" w:rsidRPr="00214D77" w14:paraId="1C784D98" w14:textId="77777777" w:rsidTr="00214D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5704B8" w14:textId="77777777" w:rsidR="00214D77" w:rsidRPr="00214D77" w:rsidRDefault="00214D77" w:rsidP="00214D77">
            <w:pPr>
              <w:spacing w:before="40" w:after="40" w:line="256" w:lineRule="auto"/>
              <w:jc w:val="center"/>
              <w:rPr>
                <w:rFonts w:eastAsia="Calibri" w:cs="Times New Roman"/>
                <w:color w:val="000000"/>
                <w:sz w:val="20"/>
              </w:rPr>
            </w:pPr>
          </w:p>
        </w:tc>
        <w:tc>
          <w:tcPr>
            <w:tcW w:w="1134" w:type="dxa"/>
          </w:tcPr>
          <w:p w14:paraId="035D003B"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Paediatric high</w:t>
            </w:r>
          </w:p>
        </w:tc>
        <w:tc>
          <w:tcPr>
            <w:tcW w:w="1134" w:type="dxa"/>
          </w:tcPr>
          <w:p w14:paraId="21DE94CD"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Paediatric low</w:t>
            </w:r>
          </w:p>
        </w:tc>
        <w:tc>
          <w:tcPr>
            <w:tcW w:w="982" w:type="dxa"/>
          </w:tcPr>
          <w:p w14:paraId="72FF4D3E"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Adult high</w:t>
            </w:r>
          </w:p>
        </w:tc>
        <w:tc>
          <w:tcPr>
            <w:tcW w:w="982" w:type="dxa"/>
          </w:tcPr>
          <w:p w14:paraId="47433C62"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CRC</w:t>
            </w:r>
          </w:p>
        </w:tc>
        <w:tc>
          <w:tcPr>
            <w:tcW w:w="982" w:type="dxa"/>
          </w:tcPr>
          <w:p w14:paraId="797054FD"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STS</w:t>
            </w:r>
          </w:p>
        </w:tc>
        <w:tc>
          <w:tcPr>
            <w:tcW w:w="982" w:type="dxa"/>
          </w:tcPr>
          <w:p w14:paraId="6579627F"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NSCLC</w:t>
            </w:r>
          </w:p>
        </w:tc>
        <w:tc>
          <w:tcPr>
            <w:tcW w:w="982" w:type="dxa"/>
          </w:tcPr>
          <w:p w14:paraId="7CC49440"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Thyroid</w:t>
            </w:r>
          </w:p>
        </w:tc>
      </w:tr>
      <w:tr w:rsidR="00214D77" w:rsidRPr="00214D77" w14:paraId="079BB7BF" w14:textId="77777777" w:rsidTr="00214D77">
        <w:tc>
          <w:tcPr>
            <w:cnfStyle w:val="001000000000" w:firstRow="0" w:lastRow="0" w:firstColumn="1" w:lastColumn="0" w:oddVBand="0" w:evenVBand="0" w:oddHBand="0" w:evenHBand="0" w:firstRowFirstColumn="0" w:firstRowLastColumn="0" w:lastRowFirstColumn="0" w:lastRowLastColumn="0"/>
            <w:tcW w:w="1838" w:type="dxa"/>
          </w:tcPr>
          <w:p w14:paraId="4E457AE3"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Prevalence</w:t>
            </w:r>
          </w:p>
        </w:tc>
        <w:tc>
          <w:tcPr>
            <w:tcW w:w="1134" w:type="dxa"/>
          </w:tcPr>
          <w:p w14:paraId="5A8838EB"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 xml:space="preserve">55.6% </w:t>
            </w:r>
            <w:r w:rsidRPr="00214D77">
              <w:rPr>
                <w:rFonts w:eastAsia="Calibri" w:cs="Times New Roman"/>
                <w:color w:val="000000"/>
                <w:sz w:val="20"/>
                <w:vertAlign w:val="superscript"/>
              </w:rPr>
              <w:t>a</w:t>
            </w:r>
          </w:p>
        </w:tc>
        <w:tc>
          <w:tcPr>
            <w:tcW w:w="1134" w:type="dxa"/>
            <w:shd w:val="clear" w:color="auto" w:fill="F2F2F2"/>
          </w:tcPr>
          <w:p w14:paraId="36FC8323"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2.2%</w:t>
            </w:r>
          </w:p>
        </w:tc>
        <w:tc>
          <w:tcPr>
            <w:tcW w:w="982" w:type="dxa"/>
            <w:shd w:val="clear" w:color="auto" w:fill="F2F2F2"/>
          </w:tcPr>
          <w:p w14:paraId="103FA18C"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90.0%</w:t>
            </w:r>
          </w:p>
        </w:tc>
        <w:tc>
          <w:tcPr>
            <w:tcW w:w="982" w:type="dxa"/>
            <w:shd w:val="clear" w:color="auto" w:fill="F2F2F2"/>
          </w:tcPr>
          <w:p w14:paraId="74252470"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0.3%</w:t>
            </w:r>
          </w:p>
        </w:tc>
        <w:tc>
          <w:tcPr>
            <w:tcW w:w="982" w:type="dxa"/>
            <w:shd w:val="clear" w:color="auto" w:fill="F2F2F2"/>
          </w:tcPr>
          <w:p w14:paraId="4FF3DFD0"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1.4%</w:t>
            </w:r>
          </w:p>
        </w:tc>
        <w:tc>
          <w:tcPr>
            <w:tcW w:w="982" w:type="dxa"/>
          </w:tcPr>
          <w:p w14:paraId="59DE039B"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0.2%</w:t>
            </w:r>
          </w:p>
        </w:tc>
        <w:tc>
          <w:tcPr>
            <w:tcW w:w="982" w:type="dxa"/>
          </w:tcPr>
          <w:p w14:paraId="353D315E"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3.7%</w:t>
            </w:r>
          </w:p>
        </w:tc>
      </w:tr>
      <w:tr w:rsidR="00214D77" w:rsidRPr="00214D77" w14:paraId="3BF9AB16" w14:textId="77777777" w:rsidTr="00214D77">
        <w:tc>
          <w:tcPr>
            <w:cnfStyle w:val="001000000000" w:firstRow="0" w:lastRow="0" w:firstColumn="1" w:lastColumn="0" w:oddVBand="0" w:evenVBand="0" w:oddHBand="0" w:evenHBand="0" w:firstRowFirstColumn="0" w:firstRowLastColumn="0" w:lastRowFirstColumn="0" w:lastRowLastColumn="0"/>
            <w:tcW w:w="1838" w:type="dxa"/>
          </w:tcPr>
          <w:p w14:paraId="7BE4D0A2"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IHC sensitivity</w:t>
            </w:r>
          </w:p>
        </w:tc>
        <w:tc>
          <w:tcPr>
            <w:tcW w:w="1134" w:type="dxa"/>
            <w:shd w:val="clear" w:color="auto" w:fill="F2F2F2"/>
            <w:vAlign w:val="top"/>
          </w:tcPr>
          <w:p w14:paraId="1424C42D"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1134" w:type="dxa"/>
            <w:shd w:val="clear" w:color="auto" w:fill="F2F2F2"/>
            <w:vAlign w:val="top"/>
          </w:tcPr>
          <w:p w14:paraId="6186A66C"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982" w:type="dxa"/>
            <w:shd w:val="clear" w:color="auto" w:fill="F2F2F2"/>
            <w:vAlign w:val="top"/>
          </w:tcPr>
          <w:p w14:paraId="05AB604B"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982" w:type="dxa"/>
          </w:tcPr>
          <w:p w14:paraId="1A99D5AB"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 xml:space="preserve">88.0% </w:t>
            </w:r>
            <w:r w:rsidRPr="00214D77">
              <w:rPr>
                <w:rFonts w:eastAsia="Calibri" w:cs="Times New Roman"/>
                <w:color w:val="000000"/>
                <w:sz w:val="20"/>
                <w:vertAlign w:val="superscript"/>
              </w:rPr>
              <w:t>b</w:t>
            </w:r>
          </w:p>
        </w:tc>
        <w:tc>
          <w:tcPr>
            <w:tcW w:w="982" w:type="dxa"/>
            <w:shd w:val="clear" w:color="auto" w:fill="F2F2F2"/>
          </w:tcPr>
          <w:p w14:paraId="1AA6D259"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80.0%</w:t>
            </w:r>
          </w:p>
        </w:tc>
        <w:tc>
          <w:tcPr>
            <w:tcW w:w="982" w:type="dxa"/>
          </w:tcPr>
          <w:p w14:paraId="0CE04FEA"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87.5%</w:t>
            </w:r>
          </w:p>
        </w:tc>
        <w:tc>
          <w:tcPr>
            <w:tcW w:w="982" w:type="dxa"/>
          </w:tcPr>
          <w:p w14:paraId="14668499"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81.8%</w:t>
            </w:r>
          </w:p>
        </w:tc>
      </w:tr>
      <w:tr w:rsidR="00214D77" w:rsidRPr="00214D77" w14:paraId="5AE39913" w14:textId="77777777" w:rsidTr="00214D77">
        <w:tc>
          <w:tcPr>
            <w:cnfStyle w:val="001000000000" w:firstRow="0" w:lastRow="0" w:firstColumn="1" w:lastColumn="0" w:oddVBand="0" w:evenVBand="0" w:oddHBand="0" w:evenHBand="0" w:firstRowFirstColumn="0" w:firstRowLastColumn="0" w:lastRowFirstColumn="0" w:lastRowLastColumn="0"/>
            <w:tcW w:w="1838" w:type="dxa"/>
          </w:tcPr>
          <w:p w14:paraId="74254C19"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IHC specificity</w:t>
            </w:r>
          </w:p>
        </w:tc>
        <w:tc>
          <w:tcPr>
            <w:tcW w:w="1134" w:type="dxa"/>
            <w:shd w:val="clear" w:color="auto" w:fill="F2F2F2"/>
            <w:vAlign w:val="top"/>
          </w:tcPr>
          <w:p w14:paraId="55E54481"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1134" w:type="dxa"/>
            <w:shd w:val="clear" w:color="auto" w:fill="F2F2F2"/>
            <w:vAlign w:val="top"/>
          </w:tcPr>
          <w:p w14:paraId="5781F895"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982" w:type="dxa"/>
            <w:shd w:val="clear" w:color="auto" w:fill="F2F2F2"/>
            <w:vAlign w:val="top"/>
          </w:tcPr>
          <w:p w14:paraId="302A3F4D"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982" w:type="dxa"/>
            <w:shd w:val="clear" w:color="auto" w:fill="F2F2F2"/>
          </w:tcPr>
          <w:p w14:paraId="5FCB3846"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tcPr>
          <w:p w14:paraId="123AC454"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74.0%</w:t>
            </w:r>
          </w:p>
        </w:tc>
        <w:tc>
          <w:tcPr>
            <w:tcW w:w="982" w:type="dxa"/>
          </w:tcPr>
          <w:p w14:paraId="738A7765"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tcPr>
          <w:p w14:paraId="22135654"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r>
      <w:tr w:rsidR="00214D77" w:rsidRPr="00214D77" w14:paraId="7DDBE43D" w14:textId="77777777" w:rsidTr="00214D77">
        <w:tc>
          <w:tcPr>
            <w:cnfStyle w:val="001000000000" w:firstRow="0" w:lastRow="0" w:firstColumn="1" w:lastColumn="0" w:oddVBand="0" w:evenVBand="0" w:oddHBand="0" w:evenHBand="0" w:firstRowFirstColumn="0" w:firstRowLastColumn="0" w:lastRowFirstColumn="0" w:lastRowLastColumn="0"/>
            <w:tcW w:w="1838" w:type="dxa"/>
          </w:tcPr>
          <w:p w14:paraId="68744F75"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 xml:space="preserve">IHC PPV </w:t>
            </w:r>
            <w:r w:rsidRPr="00214D77">
              <w:rPr>
                <w:rFonts w:eastAsia="Calibri" w:cs="Times New Roman"/>
                <w:color w:val="000000"/>
                <w:sz w:val="20"/>
                <w:vertAlign w:val="superscript"/>
              </w:rPr>
              <w:t>c</w:t>
            </w:r>
          </w:p>
        </w:tc>
        <w:tc>
          <w:tcPr>
            <w:tcW w:w="1134" w:type="dxa"/>
            <w:shd w:val="clear" w:color="auto" w:fill="F2F2F2"/>
            <w:vAlign w:val="top"/>
          </w:tcPr>
          <w:p w14:paraId="51192860"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1134" w:type="dxa"/>
            <w:shd w:val="clear" w:color="auto" w:fill="F2F2F2"/>
            <w:vAlign w:val="top"/>
          </w:tcPr>
          <w:p w14:paraId="4D2EC1CB"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982" w:type="dxa"/>
            <w:shd w:val="clear" w:color="auto" w:fill="F2F2F2"/>
            <w:vAlign w:val="top"/>
          </w:tcPr>
          <w:p w14:paraId="15CD5733"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w:t>
            </w:r>
          </w:p>
        </w:tc>
        <w:tc>
          <w:tcPr>
            <w:tcW w:w="982" w:type="dxa"/>
            <w:shd w:val="clear" w:color="auto" w:fill="F2F2F2"/>
          </w:tcPr>
          <w:p w14:paraId="0196F9D3"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tcPr>
          <w:p w14:paraId="17FAD345"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4.2%</w:t>
            </w:r>
          </w:p>
        </w:tc>
        <w:tc>
          <w:tcPr>
            <w:tcW w:w="982" w:type="dxa"/>
            <w:vAlign w:val="top"/>
          </w:tcPr>
          <w:p w14:paraId="0C87B9B7"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vAlign w:val="top"/>
          </w:tcPr>
          <w:p w14:paraId="4DEC5093"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r>
      <w:tr w:rsidR="00214D77" w:rsidRPr="00214D77" w14:paraId="02252F5E" w14:textId="77777777" w:rsidTr="00214D77">
        <w:tc>
          <w:tcPr>
            <w:cnfStyle w:val="001000000000" w:firstRow="0" w:lastRow="0" w:firstColumn="1" w:lastColumn="0" w:oddVBand="0" w:evenVBand="0" w:oddHBand="0" w:evenHBand="0" w:firstRowFirstColumn="0" w:firstRowLastColumn="0" w:lastRowFirstColumn="0" w:lastRowLastColumn="0"/>
            <w:tcW w:w="1838" w:type="dxa"/>
          </w:tcPr>
          <w:p w14:paraId="77CFEF98"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NGS/FISH sensitivity</w:t>
            </w:r>
          </w:p>
        </w:tc>
        <w:tc>
          <w:tcPr>
            <w:tcW w:w="1134" w:type="dxa"/>
            <w:shd w:val="clear" w:color="auto" w:fill="F2F2F2"/>
            <w:vAlign w:val="top"/>
          </w:tcPr>
          <w:p w14:paraId="7F2788BC"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1134" w:type="dxa"/>
            <w:shd w:val="clear" w:color="auto" w:fill="F2F2F2"/>
            <w:vAlign w:val="top"/>
          </w:tcPr>
          <w:p w14:paraId="2AB59181"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vAlign w:val="top"/>
          </w:tcPr>
          <w:p w14:paraId="129BC96C"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vAlign w:val="top"/>
          </w:tcPr>
          <w:p w14:paraId="7D8AF99D"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vAlign w:val="top"/>
          </w:tcPr>
          <w:p w14:paraId="579703E1"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vAlign w:val="top"/>
          </w:tcPr>
          <w:p w14:paraId="577CB4B7"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vAlign w:val="top"/>
          </w:tcPr>
          <w:p w14:paraId="662DB27C"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r>
      <w:tr w:rsidR="00214D77" w:rsidRPr="00214D77" w14:paraId="2AC5A1C3" w14:textId="77777777" w:rsidTr="00214D77">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tcPr>
          <w:p w14:paraId="6796E756"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NGS/FISH specificity</w:t>
            </w:r>
          </w:p>
        </w:tc>
        <w:tc>
          <w:tcPr>
            <w:tcW w:w="1134" w:type="dxa"/>
            <w:tcBorders>
              <w:bottom w:val="single" w:sz="4" w:space="0" w:color="auto"/>
            </w:tcBorders>
            <w:shd w:val="clear" w:color="auto" w:fill="F2F2F2"/>
            <w:vAlign w:val="top"/>
          </w:tcPr>
          <w:p w14:paraId="2335C54F"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1134" w:type="dxa"/>
            <w:tcBorders>
              <w:bottom w:val="single" w:sz="4" w:space="0" w:color="auto"/>
            </w:tcBorders>
            <w:shd w:val="clear" w:color="auto" w:fill="F2F2F2"/>
            <w:vAlign w:val="top"/>
          </w:tcPr>
          <w:p w14:paraId="60DF23DD"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tcBorders>
              <w:bottom w:val="single" w:sz="4" w:space="0" w:color="auto"/>
            </w:tcBorders>
            <w:shd w:val="clear" w:color="auto" w:fill="F2F2F2"/>
            <w:vAlign w:val="top"/>
          </w:tcPr>
          <w:p w14:paraId="6B6FD004"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tcBorders>
              <w:bottom w:val="single" w:sz="4" w:space="0" w:color="auto"/>
            </w:tcBorders>
            <w:shd w:val="clear" w:color="auto" w:fill="F2F2F2"/>
            <w:vAlign w:val="top"/>
          </w:tcPr>
          <w:p w14:paraId="3B8C1786"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tcBorders>
              <w:bottom w:val="single" w:sz="4" w:space="0" w:color="auto"/>
            </w:tcBorders>
            <w:shd w:val="clear" w:color="auto" w:fill="F2F2F2"/>
            <w:vAlign w:val="top"/>
          </w:tcPr>
          <w:p w14:paraId="086F4314"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tcBorders>
              <w:bottom w:val="single" w:sz="4" w:space="0" w:color="auto"/>
            </w:tcBorders>
            <w:vAlign w:val="top"/>
          </w:tcPr>
          <w:p w14:paraId="2F6D101D"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tcBorders>
              <w:bottom w:val="single" w:sz="4" w:space="0" w:color="auto"/>
            </w:tcBorders>
            <w:vAlign w:val="top"/>
          </w:tcPr>
          <w:p w14:paraId="060FE4B5"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r>
      <w:tr w:rsidR="00214D77" w:rsidRPr="00214D77" w14:paraId="516C372E" w14:textId="77777777" w:rsidTr="00214D77">
        <w:tc>
          <w:tcPr>
            <w:cnfStyle w:val="001000000000" w:firstRow="0" w:lastRow="0" w:firstColumn="1" w:lastColumn="0" w:oddVBand="0" w:evenVBand="0" w:oddHBand="0" w:evenHBand="0" w:firstRowFirstColumn="0" w:firstRowLastColumn="0" w:lastRowFirstColumn="0" w:lastRowLastColumn="0"/>
            <w:tcW w:w="9016" w:type="dxa"/>
            <w:gridSpan w:val="8"/>
            <w:vAlign w:val="top"/>
          </w:tcPr>
          <w:p w14:paraId="7ADB7D8B"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Overall test performance</w:t>
            </w:r>
          </w:p>
        </w:tc>
      </w:tr>
      <w:tr w:rsidR="00214D77" w:rsidRPr="00214D77" w14:paraId="4CDC1FAA" w14:textId="77777777" w:rsidTr="00214D77">
        <w:tc>
          <w:tcPr>
            <w:cnfStyle w:val="001000000000" w:firstRow="0" w:lastRow="0" w:firstColumn="1" w:lastColumn="0" w:oddVBand="0" w:evenVBand="0" w:oddHBand="0" w:evenHBand="0" w:firstRowFirstColumn="0" w:firstRowLastColumn="0" w:lastRowFirstColumn="0" w:lastRowLastColumn="0"/>
            <w:tcW w:w="1838" w:type="dxa"/>
            <w:vAlign w:val="top"/>
          </w:tcPr>
          <w:p w14:paraId="3F8DB8F3"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 xml:space="preserve">Sensitivity </w:t>
            </w:r>
            <w:r w:rsidRPr="00214D77">
              <w:rPr>
                <w:rFonts w:eastAsia="Calibri" w:cs="Times New Roman"/>
                <w:color w:val="000000"/>
                <w:sz w:val="20"/>
                <w:vertAlign w:val="superscript"/>
              </w:rPr>
              <w:t>d</w:t>
            </w:r>
          </w:p>
        </w:tc>
        <w:tc>
          <w:tcPr>
            <w:tcW w:w="1134" w:type="dxa"/>
            <w:shd w:val="clear" w:color="auto" w:fill="F2F2F2"/>
            <w:vAlign w:val="top"/>
          </w:tcPr>
          <w:p w14:paraId="3AFD28EE"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1134" w:type="dxa"/>
            <w:shd w:val="clear" w:color="auto" w:fill="F2F2F2"/>
            <w:vAlign w:val="top"/>
          </w:tcPr>
          <w:p w14:paraId="1D180675"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vAlign w:val="top"/>
          </w:tcPr>
          <w:p w14:paraId="3DBC81BB"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vAlign w:val="top"/>
          </w:tcPr>
          <w:p w14:paraId="03C9CADD"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88.0%</w:t>
            </w:r>
          </w:p>
        </w:tc>
        <w:tc>
          <w:tcPr>
            <w:tcW w:w="982" w:type="dxa"/>
            <w:shd w:val="clear" w:color="auto" w:fill="F2F2F2"/>
            <w:vAlign w:val="top"/>
          </w:tcPr>
          <w:p w14:paraId="6F783149"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80.0%</w:t>
            </w:r>
          </w:p>
        </w:tc>
        <w:tc>
          <w:tcPr>
            <w:tcW w:w="982" w:type="dxa"/>
            <w:vAlign w:val="top"/>
          </w:tcPr>
          <w:p w14:paraId="7107B5C7"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87.5%</w:t>
            </w:r>
          </w:p>
        </w:tc>
        <w:tc>
          <w:tcPr>
            <w:tcW w:w="982" w:type="dxa"/>
            <w:vAlign w:val="top"/>
          </w:tcPr>
          <w:p w14:paraId="4FD581A9"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81.8%</w:t>
            </w:r>
          </w:p>
        </w:tc>
      </w:tr>
      <w:tr w:rsidR="00214D77" w:rsidRPr="00214D77" w14:paraId="64C563F0" w14:textId="77777777" w:rsidTr="00214D77">
        <w:tc>
          <w:tcPr>
            <w:cnfStyle w:val="001000000000" w:firstRow="0" w:lastRow="0" w:firstColumn="1" w:lastColumn="0" w:oddVBand="0" w:evenVBand="0" w:oddHBand="0" w:evenHBand="0" w:firstRowFirstColumn="0" w:firstRowLastColumn="0" w:lastRowFirstColumn="0" w:lastRowLastColumn="0"/>
            <w:tcW w:w="1838" w:type="dxa"/>
            <w:vAlign w:val="top"/>
          </w:tcPr>
          <w:p w14:paraId="33B78C7C" w14:textId="77777777" w:rsidR="00214D77" w:rsidRPr="00214D77" w:rsidRDefault="00214D77" w:rsidP="00214D77">
            <w:pPr>
              <w:spacing w:before="40" w:after="40" w:line="256" w:lineRule="auto"/>
              <w:jc w:val="left"/>
              <w:rPr>
                <w:rFonts w:eastAsia="Calibri" w:cs="Times New Roman"/>
                <w:color w:val="000000"/>
                <w:sz w:val="20"/>
              </w:rPr>
            </w:pPr>
            <w:r w:rsidRPr="00214D77">
              <w:rPr>
                <w:rFonts w:eastAsia="Calibri" w:cs="Times New Roman"/>
                <w:color w:val="000000"/>
                <w:sz w:val="20"/>
              </w:rPr>
              <w:t xml:space="preserve">Specificity </w:t>
            </w:r>
            <w:r w:rsidRPr="00214D77">
              <w:rPr>
                <w:rFonts w:eastAsia="Calibri" w:cs="Times New Roman"/>
                <w:color w:val="000000"/>
                <w:sz w:val="20"/>
                <w:vertAlign w:val="superscript"/>
              </w:rPr>
              <w:t>e</w:t>
            </w:r>
          </w:p>
        </w:tc>
        <w:tc>
          <w:tcPr>
            <w:tcW w:w="1134" w:type="dxa"/>
            <w:shd w:val="clear" w:color="auto" w:fill="F2F2F2"/>
            <w:vAlign w:val="top"/>
          </w:tcPr>
          <w:p w14:paraId="23952EB7"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1134" w:type="dxa"/>
            <w:shd w:val="clear" w:color="auto" w:fill="F2F2F2"/>
            <w:vAlign w:val="top"/>
          </w:tcPr>
          <w:p w14:paraId="2D2DE8C4"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vAlign w:val="top"/>
          </w:tcPr>
          <w:p w14:paraId="55476937"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vAlign w:val="top"/>
          </w:tcPr>
          <w:p w14:paraId="2F9C3DCB"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shd w:val="clear" w:color="auto" w:fill="F2F2F2"/>
            <w:vAlign w:val="top"/>
          </w:tcPr>
          <w:p w14:paraId="17FB7448"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vAlign w:val="top"/>
          </w:tcPr>
          <w:p w14:paraId="24A8B856"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c>
          <w:tcPr>
            <w:tcW w:w="982" w:type="dxa"/>
            <w:vAlign w:val="top"/>
          </w:tcPr>
          <w:p w14:paraId="77B48E56" w14:textId="77777777" w:rsidR="00214D77" w:rsidRPr="00214D77" w:rsidRDefault="00214D77" w:rsidP="00214D77">
            <w:pPr>
              <w:spacing w:before="40" w:after="40" w:line="25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214D77">
              <w:rPr>
                <w:rFonts w:eastAsia="Calibri" w:cs="Times New Roman"/>
                <w:color w:val="000000"/>
                <w:sz w:val="20"/>
              </w:rPr>
              <w:t>100.0%</w:t>
            </w:r>
          </w:p>
        </w:tc>
      </w:tr>
    </w:tbl>
    <w:p w14:paraId="0397E135"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Source: Constructed during the evaluation from the ‘A3.1_Larotrectinib_PBACMSAC_CEA_June21_resub_6June21.xlsx’ workbook included in the resubmission</w:t>
      </w:r>
      <w:r w:rsidRPr="00214D77">
        <w:rPr>
          <w:rFonts w:ascii="Arial Narrow" w:eastAsia="Times New Roman" w:hAnsi="Arial Narrow" w:cs="Arial"/>
          <w:i/>
          <w:snapToGrid w:val="0"/>
          <w:sz w:val="18"/>
          <w:szCs w:val="20"/>
        </w:rPr>
        <w:t>.</w:t>
      </w:r>
    </w:p>
    <w:p w14:paraId="74A75AC2"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 xml:space="preserve">Note: </w:t>
      </w:r>
      <w:r w:rsidRPr="00214D77">
        <w:rPr>
          <w:rFonts w:ascii="Arial Narrow" w:eastAsia="Times New Roman" w:hAnsi="Arial Narrow" w:cs="Arial"/>
          <w:snapToGrid w:val="0"/>
          <w:sz w:val="18"/>
          <w:szCs w:val="20"/>
          <w:shd w:val="clear" w:color="auto" w:fill="F2F2F2"/>
        </w:rPr>
        <w:t>Shaded cells</w:t>
      </w:r>
      <w:r w:rsidRPr="00214D77">
        <w:rPr>
          <w:rFonts w:ascii="Arial Narrow" w:eastAsia="Times New Roman" w:hAnsi="Arial Narrow" w:cs="Arial"/>
          <w:snapToGrid w:val="0"/>
          <w:sz w:val="18"/>
          <w:szCs w:val="20"/>
        </w:rPr>
        <w:t xml:space="preserve"> denote inputs unchanged from the previous submission.</w:t>
      </w:r>
    </w:p>
    <w:p w14:paraId="5351C0A2" w14:textId="77777777" w:rsidR="00214D77" w:rsidRPr="00214D77" w:rsidRDefault="00214D77" w:rsidP="00BF2574">
      <w:pPr>
        <w:widowControl w:val="0"/>
        <w:spacing w:before="0" w:after="240"/>
        <w:contextualSpacing/>
        <w:jc w:val="left"/>
        <w:rPr>
          <w:rFonts w:ascii="Arial Narrow" w:eastAsia="Times New Roman" w:hAnsi="Arial Narrow" w:cs="Arial"/>
          <w:i/>
          <w:snapToGrid w:val="0"/>
          <w:sz w:val="18"/>
          <w:szCs w:val="20"/>
        </w:rPr>
      </w:pPr>
      <w:r w:rsidRPr="00214D77">
        <w:rPr>
          <w:rFonts w:ascii="Arial Narrow" w:eastAsia="Times New Roman" w:hAnsi="Arial Narrow" w:cs="Arial"/>
          <w:snapToGrid w:val="0"/>
          <w:sz w:val="18"/>
          <w:szCs w:val="20"/>
          <w:vertAlign w:val="superscript"/>
        </w:rPr>
        <w:t>a</w:t>
      </w:r>
      <w:r w:rsidRPr="00214D77">
        <w:rPr>
          <w:rFonts w:ascii="Arial Narrow" w:eastAsia="Times New Roman" w:hAnsi="Arial Narrow" w:cs="Arial"/>
          <w:snapToGrid w:val="0"/>
          <w:sz w:val="18"/>
          <w:szCs w:val="20"/>
        </w:rPr>
        <w:t xml:space="preserve"> Weighted 61.5% IFS (90%), 38.5% STS (0.68%). A revised estimate of 34.2% is applied in analyses conducted during the evaluation. This was derived from dividing the total number of </w:t>
      </w:r>
      <w:r w:rsidRPr="00214D77">
        <w:rPr>
          <w:rFonts w:ascii="Arial Narrow" w:eastAsia="Times New Roman" w:hAnsi="Arial Narrow" w:cs="Arial"/>
          <w:i/>
          <w:iCs/>
          <w:snapToGrid w:val="0"/>
          <w:sz w:val="18"/>
          <w:szCs w:val="20"/>
        </w:rPr>
        <w:t>NTRK</w:t>
      </w:r>
      <w:r w:rsidRPr="00214D77">
        <w:rPr>
          <w:rFonts w:ascii="Arial Narrow" w:eastAsia="Times New Roman" w:hAnsi="Arial Narrow" w:cs="Arial"/>
          <w:snapToGrid w:val="0"/>
          <w:sz w:val="18"/>
          <w:szCs w:val="20"/>
        </w:rPr>
        <w:t xml:space="preserve"> positives expected in this group in practice by the number of tests required to identify these patients.</w:t>
      </w:r>
    </w:p>
    <w:p w14:paraId="0257DFF2"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vertAlign w:val="superscript"/>
        </w:rPr>
        <w:t>b</w:t>
      </w:r>
      <w:r w:rsidRPr="00214D77">
        <w:rPr>
          <w:rFonts w:ascii="Arial Narrow" w:eastAsia="Times New Roman" w:hAnsi="Arial Narrow" w:cs="Arial"/>
          <w:snapToGrid w:val="0"/>
          <w:sz w:val="18"/>
          <w:szCs w:val="20"/>
        </w:rPr>
        <w:t xml:space="preserve"> IHC sensitivity was 87.5% in the previous submission.</w:t>
      </w:r>
    </w:p>
    <w:p w14:paraId="0036F945"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vertAlign w:val="superscript"/>
        </w:rPr>
        <w:t>c</w:t>
      </w:r>
      <w:r w:rsidRPr="00214D77">
        <w:rPr>
          <w:rFonts w:ascii="Arial Narrow" w:eastAsia="Times New Roman" w:hAnsi="Arial Narrow" w:cs="Arial"/>
          <w:snapToGrid w:val="0"/>
          <w:sz w:val="18"/>
          <w:szCs w:val="20"/>
        </w:rPr>
        <w:t xml:space="preserve"> (prevalence × sensitivity of IHC)/[(prevalence × sensitivity of IHC + (1 – prevalence) × (1 − specificity of IHC)]</w:t>
      </w:r>
    </w:p>
    <w:p w14:paraId="580581F1"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vertAlign w:val="superscript"/>
        </w:rPr>
        <w:t>d</w:t>
      </w:r>
      <w:r w:rsidRPr="00214D77">
        <w:rPr>
          <w:rFonts w:ascii="Arial Narrow" w:eastAsia="Times New Roman" w:hAnsi="Arial Narrow" w:cs="Arial"/>
          <w:snapToGrid w:val="0"/>
          <w:sz w:val="18"/>
          <w:szCs w:val="20"/>
        </w:rPr>
        <w:t xml:space="preserve"> IHC sensitivity (if relevant) × NGS/FISH sensitivity</w:t>
      </w:r>
    </w:p>
    <w:p w14:paraId="6656DC06"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vertAlign w:val="superscript"/>
        </w:rPr>
        <w:t xml:space="preserve">e </w:t>
      </w:r>
      <w:r w:rsidRPr="00214D77">
        <w:rPr>
          <w:rFonts w:ascii="Arial Narrow" w:eastAsia="Times New Roman" w:hAnsi="Arial Narrow" w:cs="Arial"/>
          <w:snapToGrid w:val="0"/>
          <w:sz w:val="18"/>
          <w:szCs w:val="20"/>
        </w:rPr>
        <w:t>NGS/FISH specificity</w:t>
      </w:r>
    </w:p>
    <w:p w14:paraId="2D43CE30" w14:textId="209353DB" w:rsidR="00214D77" w:rsidRDefault="00214D77" w:rsidP="0028467B">
      <w:pPr>
        <w:widowControl w:val="0"/>
        <w:spacing w:before="0" w:after="240"/>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 xml:space="preserve">CRC = colorectal cancer; IHC = immunohistochemistry; NGS/FISH = next generation sequencing or fluorescence </w:t>
      </w:r>
      <w:r w:rsidRPr="00214D77">
        <w:rPr>
          <w:rFonts w:ascii="Arial Narrow" w:eastAsia="Times New Roman" w:hAnsi="Arial Narrow" w:cs="Arial"/>
          <w:i/>
          <w:snapToGrid w:val="0"/>
          <w:sz w:val="18"/>
          <w:szCs w:val="20"/>
        </w:rPr>
        <w:t>in situ</w:t>
      </w:r>
      <w:r w:rsidRPr="00214D77">
        <w:rPr>
          <w:rFonts w:ascii="Arial Narrow" w:eastAsia="Times New Roman" w:hAnsi="Arial Narrow" w:cs="Arial"/>
          <w:snapToGrid w:val="0"/>
          <w:sz w:val="18"/>
          <w:szCs w:val="20"/>
        </w:rPr>
        <w:t xml:space="preserve"> hybridisation; NSCLC = non-small cell lung cancer; </w:t>
      </w:r>
      <w:r w:rsidRPr="00214D77">
        <w:rPr>
          <w:rFonts w:ascii="Arial Narrow" w:eastAsia="Times New Roman" w:hAnsi="Arial Narrow" w:cs="Arial"/>
          <w:i/>
          <w:snapToGrid w:val="0"/>
          <w:sz w:val="18"/>
          <w:szCs w:val="20"/>
        </w:rPr>
        <w:t>NTRK</w:t>
      </w:r>
      <w:r w:rsidRPr="00214D77">
        <w:rPr>
          <w:rFonts w:ascii="Arial Narrow" w:eastAsia="Times New Roman" w:hAnsi="Arial Narrow" w:cs="Arial"/>
          <w:snapToGrid w:val="0"/>
          <w:sz w:val="18"/>
          <w:szCs w:val="20"/>
        </w:rPr>
        <w:t xml:space="preserve"> = neurotrophic tropomyosin receptor kinase; PPV = positive predictive value; STS = soft tissue sarcoma</w:t>
      </w:r>
    </w:p>
    <w:p w14:paraId="1D49D285" w14:textId="77777777" w:rsidR="00214D77" w:rsidRPr="00214D77" w:rsidRDefault="00214D77" w:rsidP="00BF2574">
      <w:pPr>
        <w:spacing w:before="0" w:after="240"/>
        <w:jc w:val="left"/>
        <w:rPr>
          <w:rFonts w:ascii="Times New Roman" w:eastAsia="Calibri" w:hAnsi="Times New Roman" w:cs="Times New Roman"/>
        </w:rPr>
      </w:pPr>
      <w:r w:rsidRPr="00214D77">
        <w:rPr>
          <w:rFonts w:ascii="Times New Roman" w:eastAsia="Calibri" w:hAnsi="Times New Roman" w:cs="Times New Roman"/>
        </w:rPr>
        <w:t>The commentary noted the issues raised during the previous evaluation regarding the performance of testing remain. IHC test performance remained based on one study with small patient numbers such that the specificity reported in some tumour types (i.e. 100%) is unlikely to be reproducible in clinical practice. Given the low prevalence estimates – particularly for colorectal cancer and NSCLC – small reductions in the specificity of IHC testing will lead to substantial increases in the number of NGS/FISH tests required. The assumption of 100% test performance for NGS/FISH also remains inadequately justified, given that differences in test performance between NGS modalities have been observed and the limited data available on the performance of FISH. However the analyses were not overly sensitive to the use of plausible alternatives in these estimates.</w:t>
      </w:r>
    </w:p>
    <w:p w14:paraId="341DEBF1" w14:textId="77777777" w:rsidR="00214D77" w:rsidRPr="00214D77" w:rsidRDefault="00214D77" w:rsidP="00BF2574">
      <w:pPr>
        <w:spacing w:before="0" w:after="240"/>
        <w:jc w:val="left"/>
        <w:rPr>
          <w:rFonts w:ascii="Times New Roman" w:eastAsia="Calibri" w:hAnsi="Times New Roman" w:cs="Times New Roman"/>
          <w:iCs/>
        </w:rPr>
      </w:pPr>
      <w:r w:rsidRPr="00214D77">
        <w:rPr>
          <w:rFonts w:ascii="Times New Roman" w:eastAsia="Calibri" w:hAnsi="Times New Roman" w:cs="Times New Roman"/>
          <w:iCs/>
        </w:rPr>
        <w:t xml:space="preserve">As for the previous submission, the resubmission has not considered whether there are implications for retesting of unevaluable test results or whether there are any adverse events associated with testing (including of </w:t>
      </w:r>
      <w:proofErr w:type="spellStart"/>
      <w:r w:rsidRPr="00214D77">
        <w:rPr>
          <w:rFonts w:ascii="Times New Roman" w:eastAsia="Calibri" w:hAnsi="Times New Roman" w:cs="Times New Roman"/>
          <w:iCs/>
        </w:rPr>
        <w:t>rebiopsy</w:t>
      </w:r>
      <w:proofErr w:type="spellEnd"/>
      <w:r w:rsidRPr="00214D77">
        <w:rPr>
          <w:rFonts w:ascii="Times New Roman" w:eastAsia="Calibri" w:hAnsi="Times New Roman" w:cs="Times New Roman"/>
          <w:iCs/>
        </w:rPr>
        <w:t xml:space="preserve"> should an additional sample be required).</w:t>
      </w:r>
    </w:p>
    <w:p w14:paraId="7AF15C28" w14:textId="77777777" w:rsidR="00214D77" w:rsidRPr="00214D77" w:rsidRDefault="00214D77" w:rsidP="00BF2574">
      <w:pPr>
        <w:spacing w:before="0" w:after="240"/>
        <w:jc w:val="left"/>
        <w:rPr>
          <w:rFonts w:ascii="Times New Roman" w:eastAsia="Calibri" w:hAnsi="Times New Roman" w:cs="Times New Roman"/>
          <w:i/>
        </w:rPr>
      </w:pPr>
      <w:r w:rsidRPr="00214D77">
        <w:rPr>
          <w:rFonts w:ascii="Times New Roman" w:eastAsia="Calibri" w:hAnsi="Times New Roman" w:cs="Times New Roman"/>
        </w:rPr>
        <w:lastRenderedPageBreak/>
        <w:t xml:space="preserve">The resubmission has proposed that the timing of testing be on diagnosis of advanced or metastatic disease. </w:t>
      </w:r>
      <w:r w:rsidRPr="00214D77">
        <w:rPr>
          <w:rFonts w:ascii="Times New Roman" w:eastAsia="Calibri" w:hAnsi="Times New Roman" w:cs="Times New Roman"/>
          <w:iCs/>
        </w:rPr>
        <w:t xml:space="preserve">In adults with low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 frequency tumour types, larotrectinib treatment is not proposed for use until the later-line setting, and so some patients who are found to be </w:t>
      </w:r>
      <w:r w:rsidRPr="00214D77">
        <w:rPr>
          <w:rFonts w:ascii="Times New Roman" w:eastAsia="Calibri" w:hAnsi="Times New Roman" w:cs="Times New Roman"/>
          <w:i/>
        </w:rPr>
        <w:t>NTRK</w:t>
      </w:r>
      <w:r w:rsidRPr="00214D77">
        <w:rPr>
          <w:rFonts w:ascii="Times New Roman" w:eastAsia="Calibri" w:hAnsi="Times New Roman" w:cs="Times New Roman"/>
          <w:iCs/>
        </w:rPr>
        <w:t>-positive may not be eligible for larotrectinib once they progress to the later-line setting (such as poor performance status). This has not been considered in the resubmission’s model.</w:t>
      </w:r>
    </w:p>
    <w:p w14:paraId="1869620B" w14:textId="77777777" w:rsidR="00214D77" w:rsidRPr="00214D77" w:rsidRDefault="00214D77" w:rsidP="00057EDA">
      <w:pPr>
        <w:spacing w:before="0" w:after="120"/>
        <w:jc w:val="left"/>
        <w:rPr>
          <w:rFonts w:ascii="Times New Roman" w:eastAsia="Calibri" w:hAnsi="Times New Roman" w:cs="Times New Roman"/>
        </w:rPr>
      </w:pPr>
      <w:r w:rsidRPr="00214D77">
        <w:rPr>
          <w:rFonts w:ascii="Times New Roman" w:eastAsia="Calibri" w:hAnsi="Times New Roman" w:cs="Times New Roman"/>
        </w:rPr>
        <w:t>The results of the economic evaluation are presented for the following tumour type groups:</w:t>
      </w:r>
    </w:p>
    <w:p w14:paraId="1DE30F0C" w14:textId="77777777" w:rsidR="00214D77" w:rsidRPr="00214D77" w:rsidRDefault="00214D77" w:rsidP="00864249">
      <w:pPr>
        <w:numPr>
          <w:ilvl w:val="0"/>
          <w:numId w:val="27"/>
        </w:numPr>
        <w:spacing w:before="0" w:after="120"/>
        <w:ind w:left="714" w:hanging="357"/>
        <w:jc w:val="left"/>
        <w:rPr>
          <w:rFonts w:ascii="Times New Roman" w:eastAsia="Calibri" w:hAnsi="Times New Roman" w:cs="Times New Roman"/>
        </w:rPr>
      </w:pPr>
      <w:r w:rsidRPr="00214D77">
        <w:rPr>
          <w:rFonts w:ascii="Times New Roman" w:eastAsia="Calibri" w:hAnsi="Times New Roman" w:cs="Times New Roman"/>
        </w:rPr>
        <w:t xml:space="preserve">Adult high </w:t>
      </w:r>
      <w:r w:rsidRPr="00214D77">
        <w:rPr>
          <w:rFonts w:ascii="Times New Roman" w:eastAsia="Calibri" w:hAnsi="Times New Roman" w:cs="Times New Roman"/>
          <w:i/>
        </w:rPr>
        <w:t>NTRK</w:t>
      </w:r>
      <w:r w:rsidRPr="00214D77">
        <w:rPr>
          <w:rFonts w:ascii="Times New Roman" w:eastAsia="Calibri" w:hAnsi="Times New Roman" w:cs="Times New Roman"/>
        </w:rPr>
        <w:t xml:space="preserve"> frequency and all paediatric patients</w:t>
      </w:r>
    </w:p>
    <w:p w14:paraId="2AC50B0A" w14:textId="77777777" w:rsidR="00214D77" w:rsidRPr="00214D77" w:rsidRDefault="00214D77" w:rsidP="00864249">
      <w:pPr>
        <w:numPr>
          <w:ilvl w:val="0"/>
          <w:numId w:val="27"/>
        </w:numPr>
        <w:spacing w:before="0" w:after="120"/>
        <w:ind w:left="714" w:hanging="357"/>
        <w:jc w:val="left"/>
        <w:rPr>
          <w:rFonts w:ascii="Times New Roman" w:eastAsia="Calibri" w:hAnsi="Times New Roman" w:cs="Times New Roman"/>
        </w:rPr>
      </w:pPr>
      <w:r w:rsidRPr="00214D77">
        <w:rPr>
          <w:rFonts w:ascii="Times New Roman" w:eastAsia="Calibri" w:hAnsi="Times New Roman" w:cs="Times New Roman"/>
        </w:rPr>
        <w:t xml:space="preserve">Specified adult low frequency </w:t>
      </w:r>
      <w:r w:rsidRPr="00214D77">
        <w:rPr>
          <w:rFonts w:ascii="Times New Roman" w:eastAsia="Calibri" w:hAnsi="Times New Roman" w:cs="Times New Roman"/>
          <w:i/>
        </w:rPr>
        <w:t>NTRK</w:t>
      </w:r>
      <w:r w:rsidRPr="00214D77">
        <w:rPr>
          <w:rFonts w:ascii="Times New Roman" w:eastAsia="Calibri" w:hAnsi="Times New Roman" w:cs="Times New Roman"/>
        </w:rPr>
        <w:t xml:space="preserve"> tumour types combined</w:t>
      </w:r>
    </w:p>
    <w:p w14:paraId="644543A4" w14:textId="77777777" w:rsidR="00214D77" w:rsidRPr="00214D77" w:rsidRDefault="00214D77" w:rsidP="00864249">
      <w:pPr>
        <w:numPr>
          <w:ilvl w:val="0"/>
          <w:numId w:val="27"/>
        </w:numPr>
        <w:spacing w:before="0" w:after="240"/>
        <w:jc w:val="left"/>
        <w:rPr>
          <w:rFonts w:ascii="Times New Roman" w:eastAsia="Calibri" w:hAnsi="Times New Roman" w:cs="Times New Roman"/>
        </w:rPr>
      </w:pPr>
      <w:r w:rsidRPr="00214D77">
        <w:rPr>
          <w:rFonts w:ascii="Times New Roman" w:eastAsia="Calibri" w:hAnsi="Times New Roman" w:cs="Times New Roman"/>
        </w:rPr>
        <w:t>Overall population proposed for larotrectinib treatment.</w:t>
      </w:r>
    </w:p>
    <w:p w14:paraId="5040CF95" w14:textId="4A457BD4" w:rsidR="00214D77" w:rsidRPr="00214D77" w:rsidRDefault="00214D77" w:rsidP="00BF2574">
      <w:pPr>
        <w:spacing w:before="0" w:after="240"/>
        <w:jc w:val="left"/>
        <w:rPr>
          <w:rFonts w:ascii="Times New Roman" w:eastAsia="Calibri" w:hAnsi="Times New Roman" w:cs="Times New Roman"/>
          <w:iCs/>
        </w:rPr>
      </w:pPr>
      <w:r w:rsidRPr="00214D77">
        <w:rPr>
          <w:rFonts w:ascii="Times New Roman" w:eastAsia="Calibri" w:hAnsi="Times New Roman" w:cs="Times New Roman"/>
          <w:iCs/>
        </w:rPr>
        <w:t xml:space="preserve">The resubmission’s base case analysis was based on the overall pooled larotrectinib data set, and so included tumour types more broadly (such as adults with low </w:t>
      </w:r>
      <w:r w:rsidRPr="00214D77">
        <w:rPr>
          <w:rFonts w:ascii="Times New Roman" w:eastAsia="Calibri" w:hAnsi="Times New Roman" w:cs="Times New Roman"/>
          <w:i/>
        </w:rPr>
        <w:t xml:space="preserve">NTRK </w:t>
      </w:r>
      <w:r w:rsidRPr="00214D77">
        <w:rPr>
          <w:rFonts w:ascii="Times New Roman" w:eastAsia="Calibri" w:hAnsi="Times New Roman" w:cs="Times New Roman"/>
          <w:iCs/>
        </w:rPr>
        <w:t xml:space="preserve">frequency tumour types). The commentary considered as this has limited applicability to the proposed setting, analyses are presented based on the tumour types subgroup analyses, weighted as expected in practice, and include revisions to the model, such as weighting the distribution of tumour types to reflect the tested rather than treated population (Table </w:t>
      </w:r>
      <w:r w:rsidR="00973890">
        <w:rPr>
          <w:rFonts w:ascii="Times New Roman" w:eastAsia="Calibri" w:hAnsi="Times New Roman" w:cs="Times New Roman"/>
          <w:iCs/>
        </w:rPr>
        <w:t>10</w:t>
      </w:r>
      <w:r w:rsidRPr="00214D77">
        <w:rPr>
          <w:rFonts w:ascii="Times New Roman" w:eastAsia="Calibri" w:hAnsi="Times New Roman" w:cs="Times New Roman"/>
          <w:iCs/>
        </w:rPr>
        <w:t>).</w:t>
      </w:r>
    </w:p>
    <w:p w14:paraId="61685B46" w14:textId="66AC539F" w:rsidR="00214D77" w:rsidRPr="00214D77" w:rsidRDefault="00214D77" w:rsidP="00214D77">
      <w:pPr>
        <w:keepNext/>
        <w:spacing w:before="0" w:after="40"/>
        <w:outlineLvl w:val="4"/>
        <w:rPr>
          <w:rFonts w:ascii="Arial Narrow" w:eastAsia="Times New Roman" w:hAnsi="Arial Narrow" w:cs="Arial"/>
          <w:b/>
          <w:bCs/>
          <w:iCs/>
          <w:sz w:val="20"/>
          <w:szCs w:val="20"/>
        </w:rPr>
      </w:pPr>
      <w:bookmarkStart w:id="12" w:name="_Ref79141607"/>
      <w:r w:rsidRPr="00214D77">
        <w:rPr>
          <w:rFonts w:ascii="Arial Narrow" w:eastAsia="Times New Roman" w:hAnsi="Arial Narrow" w:cs="Arial"/>
          <w:b/>
          <w:bCs/>
          <w:iCs/>
          <w:sz w:val="20"/>
          <w:szCs w:val="20"/>
        </w:rPr>
        <w:t xml:space="preserve">Table </w:t>
      </w:r>
      <w:bookmarkEnd w:id="12"/>
      <w:r w:rsidR="00973890">
        <w:rPr>
          <w:rFonts w:ascii="Arial Narrow" w:eastAsia="Times New Roman" w:hAnsi="Arial Narrow" w:cs="Arial"/>
          <w:b/>
          <w:bCs/>
          <w:iCs/>
          <w:sz w:val="20"/>
          <w:szCs w:val="20"/>
        </w:rPr>
        <w:t>10</w:t>
      </w:r>
      <w:r w:rsidRPr="00214D77">
        <w:rPr>
          <w:rFonts w:ascii="Arial Narrow" w:eastAsia="Times New Roman" w:hAnsi="Arial Narrow" w:cs="Arial"/>
          <w:b/>
          <w:bCs/>
          <w:iCs/>
          <w:sz w:val="20"/>
          <w:szCs w:val="20"/>
        </w:rPr>
        <w:tab/>
        <w:t>Results of the economic evaluation</w:t>
      </w:r>
    </w:p>
    <w:tbl>
      <w:tblPr>
        <w:tblStyle w:val="HTATableshaded"/>
        <w:tblW w:w="5000" w:type="pct"/>
        <w:tblCellMar>
          <w:left w:w="28" w:type="dxa"/>
          <w:right w:w="28" w:type="dxa"/>
        </w:tblCellMar>
        <w:tblLook w:val="01E0" w:firstRow="1" w:lastRow="1" w:firstColumn="1" w:lastColumn="1" w:noHBand="0" w:noVBand="0"/>
        <w:tblDescription w:val="Results of the economic evaluation"/>
      </w:tblPr>
      <w:tblGrid>
        <w:gridCol w:w="2972"/>
        <w:gridCol w:w="2409"/>
        <w:gridCol w:w="1410"/>
        <w:gridCol w:w="2225"/>
      </w:tblGrid>
      <w:tr w:rsidR="00214D77" w:rsidRPr="00214D77" w14:paraId="02AE679B" w14:textId="77777777" w:rsidTr="00057EDA">
        <w:trPr>
          <w:cnfStyle w:val="100000000000" w:firstRow="1" w:lastRow="0" w:firstColumn="0" w:lastColumn="0" w:oddVBand="0" w:evenVBand="0" w:oddHBand="0" w:evenHBand="0" w:firstRowFirstColumn="0" w:firstRowLastColumn="0" w:lastRowFirstColumn="0" w:lastRowLastColumn="0"/>
          <w:tblHeader/>
        </w:trPr>
        <w:tc>
          <w:tcPr>
            <w:tcW w:w="1648" w:type="pct"/>
            <w:vAlign w:val="bottom"/>
          </w:tcPr>
          <w:p w14:paraId="7B826597" w14:textId="77777777" w:rsidR="00214D77" w:rsidRPr="00214D77" w:rsidRDefault="00214D77" w:rsidP="00214D77">
            <w:pPr>
              <w:widowControl w:val="0"/>
              <w:spacing w:before="40" w:after="40" w:line="256" w:lineRule="auto"/>
              <w:jc w:val="left"/>
              <w:rPr>
                <w:rFonts w:ascii="Arial Narrow" w:eastAsia="Calibri" w:hAnsi="Arial Narrow"/>
                <w:b/>
                <w:sz w:val="20"/>
              </w:rPr>
            </w:pPr>
          </w:p>
        </w:tc>
        <w:tc>
          <w:tcPr>
            <w:tcW w:w="1336" w:type="pct"/>
            <w:vAlign w:val="bottom"/>
          </w:tcPr>
          <w:p w14:paraId="548057E7" w14:textId="77777777" w:rsidR="00214D77" w:rsidRPr="00214D77" w:rsidRDefault="00214D77" w:rsidP="00214D77">
            <w:pPr>
              <w:widowControl w:val="0"/>
              <w:spacing w:before="40" w:after="40" w:line="256" w:lineRule="auto"/>
              <w:jc w:val="center"/>
              <w:rPr>
                <w:rFonts w:ascii="Arial Narrow" w:eastAsia="Calibri" w:hAnsi="Arial Narrow"/>
                <w:b/>
                <w:sz w:val="20"/>
              </w:rPr>
            </w:pPr>
            <w:r w:rsidRPr="00214D77">
              <w:rPr>
                <w:rFonts w:ascii="Arial Narrow" w:eastAsia="Calibri" w:hAnsi="Arial Narrow"/>
                <w:b/>
                <w:i/>
                <w:sz w:val="20"/>
              </w:rPr>
              <w:t>NTRK</w:t>
            </w:r>
            <w:r w:rsidRPr="00214D77">
              <w:rPr>
                <w:rFonts w:ascii="Arial Narrow" w:eastAsia="Calibri" w:hAnsi="Arial Narrow"/>
                <w:b/>
                <w:sz w:val="20"/>
              </w:rPr>
              <w:t xml:space="preserve"> testing + larotrectinib in </w:t>
            </w:r>
            <w:r w:rsidRPr="00214D77">
              <w:rPr>
                <w:rFonts w:ascii="Arial Narrow" w:eastAsia="Calibri" w:hAnsi="Arial Narrow"/>
                <w:b/>
                <w:i/>
                <w:sz w:val="20"/>
              </w:rPr>
              <w:t xml:space="preserve">NTRK+ </w:t>
            </w:r>
            <w:r w:rsidRPr="00214D77">
              <w:rPr>
                <w:rFonts w:ascii="Arial Narrow" w:eastAsia="Calibri" w:hAnsi="Arial Narrow"/>
                <w:b/>
                <w:sz w:val="20"/>
              </w:rPr>
              <w:t xml:space="preserve">and SoC in </w:t>
            </w:r>
            <w:r w:rsidRPr="00214D77">
              <w:rPr>
                <w:rFonts w:ascii="Arial Narrow" w:eastAsia="Calibri" w:hAnsi="Arial Narrow"/>
                <w:b/>
                <w:i/>
                <w:sz w:val="20"/>
              </w:rPr>
              <w:t>NTRK−</w:t>
            </w:r>
          </w:p>
        </w:tc>
        <w:tc>
          <w:tcPr>
            <w:tcW w:w="782" w:type="pct"/>
            <w:vAlign w:val="bottom"/>
          </w:tcPr>
          <w:p w14:paraId="5AB9111B" w14:textId="77777777" w:rsidR="00214D77" w:rsidRPr="00214D77" w:rsidRDefault="00214D77" w:rsidP="00214D77">
            <w:pPr>
              <w:widowControl w:val="0"/>
              <w:spacing w:before="40" w:after="40" w:line="256" w:lineRule="auto"/>
              <w:jc w:val="center"/>
              <w:rPr>
                <w:rFonts w:ascii="Arial Narrow" w:eastAsia="Calibri" w:hAnsi="Arial Narrow"/>
                <w:b/>
                <w:sz w:val="20"/>
              </w:rPr>
            </w:pPr>
            <w:r w:rsidRPr="00214D77">
              <w:rPr>
                <w:rFonts w:ascii="Arial Narrow" w:eastAsia="Calibri" w:hAnsi="Arial Narrow"/>
                <w:b/>
                <w:sz w:val="20"/>
              </w:rPr>
              <w:t xml:space="preserve">No testing + </w:t>
            </w:r>
            <w:r w:rsidRPr="00214D77">
              <w:rPr>
                <w:rFonts w:ascii="Arial Narrow" w:eastAsia="Calibri" w:hAnsi="Arial Narrow"/>
                <w:b/>
                <w:sz w:val="20"/>
              </w:rPr>
              <w:br/>
              <w:t>SoC</w:t>
            </w:r>
          </w:p>
        </w:tc>
        <w:tc>
          <w:tcPr>
            <w:tcW w:w="1234" w:type="pct"/>
            <w:vAlign w:val="bottom"/>
          </w:tcPr>
          <w:p w14:paraId="08D230FF" w14:textId="77777777" w:rsidR="00214D77" w:rsidRPr="00214D77" w:rsidRDefault="00214D77" w:rsidP="00214D77">
            <w:pPr>
              <w:widowControl w:val="0"/>
              <w:spacing w:before="40" w:after="40" w:line="256" w:lineRule="auto"/>
              <w:jc w:val="center"/>
              <w:rPr>
                <w:rFonts w:ascii="Arial Narrow" w:eastAsia="Calibri" w:hAnsi="Arial Narrow"/>
                <w:b/>
                <w:sz w:val="20"/>
              </w:rPr>
            </w:pPr>
            <w:r w:rsidRPr="00214D77">
              <w:rPr>
                <w:rFonts w:ascii="Arial Narrow" w:eastAsia="Calibri" w:hAnsi="Arial Narrow"/>
                <w:b/>
                <w:sz w:val="20"/>
              </w:rPr>
              <w:t>Increment</w:t>
            </w:r>
          </w:p>
        </w:tc>
      </w:tr>
      <w:tr w:rsidR="00214D77" w:rsidRPr="00214D77" w14:paraId="0D8B21AC" w14:textId="77777777" w:rsidTr="00214D77">
        <w:tc>
          <w:tcPr>
            <w:tcW w:w="5000" w:type="pct"/>
            <w:gridSpan w:val="4"/>
            <w:tcBorders>
              <w:bottom w:val="single" w:sz="4" w:space="0" w:color="auto"/>
            </w:tcBorders>
          </w:tcPr>
          <w:p w14:paraId="77C944ED" w14:textId="77777777" w:rsidR="00214D77" w:rsidRPr="00214D77" w:rsidRDefault="00214D77" w:rsidP="00214D77">
            <w:pPr>
              <w:keepNext/>
              <w:widowControl w:val="0"/>
              <w:spacing w:before="40" w:after="40" w:line="257" w:lineRule="auto"/>
              <w:jc w:val="left"/>
              <w:rPr>
                <w:rFonts w:ascii="Arial Narrow" w:eastAsia="Calibri" w:hAnsi="Arial Narrow"/>
                <w:b/>
                <w:sz w:val="20"/>
              </w:rPr>
            </w:pPr>
            <w:r w:rsidRPr="00214D77">
              <w:rPr>
                <w:rFonts w:ascii="Arial Narrow" w:eastAsia="Calibri" w:hAnsi="Arial Narrow"/>
                <w:b/>
                <w:sz w:val="20"/>
              </w:rPr>
              <w:t xml:space="preserve">Adult high </w:t>
            </w:r>
            <w:r w:rsidRPr="00214D77">
              <w:rPr>
                <w:rFonts w:ascii="Arial Narrow" w:eastAsia="Calibri" w:hAnsi="Arial Narrow"/>
                <w:b/>
                <w:i/>
                <w:sz w:val="20"/>
              </w:rPr>
              <w:t>NTRK</w:t>
            </w:r>
            <w:r w:rsidRPr="00214D77">
              <w:rPr>
                <w:rFonts w:ascii="Arial Narrow" w:eastAsia="Calibri" w:hAnsi="Arial Narrow"/>
                <w:b/>
                <w:sz w:val="20"/>
              </w:rPr>
              <w:t xml:space="preserve"> frequency and all paediatric patients combined</w:t>
            </w:r>
          </w:p>
          <w:p w14:paraId="7F662AF6" w14:textId="77777777" w:rsidR="00214D77" w:rsidRPr="00214D77" w:rsidRDefault="00214D77" w:rsidP="00214D77">
            <w:pPr>
              <w:keepNext/>
              <w:widowControl w:val="0"/>
              <w:spacing w:before="40" w:after="40" w:line="257" w:lineRule="auto"/>
              <w:jc w:val="left"/>
              <w:rPr>
                <w:rFonts w:ascii="Arial Narrow" w:eastAsia="Calibri" w:hAnsi="Arial Narrow"/>
                <w:i/>
                <w:sz w:val="20"/>
              </w:rPr>
            </w:pPr>
            <w:r w:rsidRPr="00214D77">
              <w:rPr>
                <w:rFonts w:ascii="Arial Narrow" w:eastAsia="Calibri" w:hAnsi="Arial Narrow"/>
                <w:i/>
                <w:sz w:val="20"/>
              </w:rPr>
              <w:t xml:space="preserve">Relevant tumour type subgroup analyses </w:t>
            </w:r>
            <w:r w:rsidRPr="00214D77">
              <w:rPr>
                <w:rFonts w:ascii="Arial Narrow" w:eastAsia="Calibri" w:hAnsi="Arial Narrow"/>
                <w:sz w:val="20"/>
              </w:rPr>
              <w:t>(</w:t>
            </w:r>
            <w:r w:rsidRPr="00214D77">
              <w:rPr>
                <w:rFonts w:ascii="Arial Narrow" w:eastAsia="Calibri" w:hAnsi="Arial Narrow"/>
                <w:i/>
                <w:sz w:val="20"/>
              </w:rPr>
              <w:t xml:space="preserve">weighted as per the distribution in Australian clinical practice) - revised </w:t>
            </w:r>
            <w:r w:rsidRPr="00214D77">
              <w:rPr>
                <w:rFonts w:ascii="Arial Narrow" w:eastAsia="Calibri" w:hAnsi="Arial Narrow"/>
                <w:i/>
                <w:sz w:val="20"/>
                <w:vertAlign w:val="superscript"/>
              </w:rPr>
              <w:t>a</w:t>
            </w:r>
          </w:p>
        </w:tc>
      </w:tr>
      <w:tr w:rsidR="00214D77" w:rsidRPr="00214D77" w14:paraId="0B638FEC" w14:textId="77777777" w:rsidTr="00057EDA">
        <w:tc>
          <w:tcPr>
            <w:tcW w:w="1648" w:type="pct"/>
            <w:tcBorders>
              <w:bottom w:val="nil"/>
            </w:tcBorders>
          </w:tcPr>
          <w:p w14:paraId="2D97722B" w14:textId="77777777" w:rsidR="00214D77" w:rsidRPr="00C06749" w:rsidRDefault="00214D77" w:rsidP="00214D77">
            <w:pPr>
              <w:keepNext/>
              <w:widowControl w:val="0"/>
              <w:spacing w:before="40" w:after="40" w:line="257" w:lineRule="auto"/>
              <w:jc w:val="left"/>
              <w:rPr>
                <w:rFonts w:ascii="Arial Narrow" w:eastAsia="Calibri" w:hAnsi="Arial Narrow"/>
                <w:sz w:val="20"/>
              </w:rPr>
            </w:pPr>
            <w:r w:rsidRPr="00C06749">
              <w:rPr>
                <w:rFonts w:ascii="Arial Narrow" w:eastAsia="Calibri" w:hAnsi="Arial Narrow"/>
                <w:sz w:val="20"/>
              </w:rPr>
              <w:t>Cost</w:t>
            </w:r>
          </w:p>
        </w:tc>
        <w:tc>
          <w:tcPr>
            <w:tcW w:w="1336" w:type="pct"/>
            <w:tcBorders>
              <w:bottom w:val="nil"/>
            </w:tcBorders>
          </w:tcPr>
          <w:p w14:paraId="26039551" w14:textId="29983AD6"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w:t>
            </w:r>
            <w:r w:rsidR="002E0608" w:rsidRPr="00C06749">
              <w:rPr>
                <w:rFonts w:ascii="Arial Narrow" w:eastAsia="Calibri" w:hAnsi="Arial Narrow"/>
                <w:i/>
                <w:sz w:val="20"/>
              </w:rPr>
              <w:t>redacted</w:t>
            </w:r>
          </w:p>
        </w:tc>
        <w:tc>
          <w:tcPr>
            <w:tcW w:w="782" w:type="pct"/>
            <w:tcBorders>
              <w:bottom w:val="nil"/>
            </w:tcBorders>
          </w:tcPr>
          <w:p w14:paraId="72841904" w14:textId="6FE29488"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$64,593</w:t>
            </w:r>
          </w:p>
        </w:tc>
        <w:tc>
          <w:tcPr>
            <w:tcW w:w="1234" w:type="pct"/>
            <w:tcBorders>
              <w:bottom w:val="nil"/>
            </w:tcBorders>
          </w:tcPr>
          <w:p w14:paraId="50C0B16D" w14:textId="73A8D196"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w:t>
            </w:r>
            <w:r w:rsidR="002E0608" w:rsidRPr="00C06749">
              <w:rPr>
                <w:rFonts w:ascii="Arial Narrow" w:eastAsia="Calibri" w:hAnsi="Arial Narrow"/>
                <w:i/>
                <w:sz w:val="20"/>
              </w:rPr>
              <w:t>redacted</w:t>
            </w:r>
          </w:p>
        </w:tc>
      </w:tr>
      <w:tr w:rsidR="00214D77" w:rsidRPr="00214D77" w14:paraId="03D45C72" w14:textId="77777777" w:rsidTr="00057EDA">
        <w:tc>
          <w:tcPr>
            <w:tcW w:w="1648" w:type="pct"/>
            <w:tcBorders>
              <w:bottom w:val="single" w:sz="4" w:space="0" w:color="auto"/>
            </w:tcBorders>
          </w:tcPr>
          <w:p w14:paraId="059504BD" w14:textId="77777777" w:rsidR="00214D77" w:rsidRPr="00C06749" w:rsidRDefault="00214D77" w:rsidP="00214D77">
            <w:pPr>
              <w:keepNext/>
              <w:widowControl w:val="0"/>
              <w:spacing w:before="40" w:after="40" w:line="257" w:lineRule="auto"/>
              <w:jc w:val="left"/>
              <w:rPr>
                <w:rFonts w:ascii="Times" w:hAnsi="Times"/>
                <w:sz w:val="20"/>
              </w:rPr>
            </w:pPr>
            <w:r w:rsidRPr="00C06749">
              <w:rPr>
                <w:rFonts w:ascii="Arial Narrow" w:eastAsia="Calibri" w:hAnsi="Arial Narrow"/>
                <w:sz w:val="20"/>
              </w:rPr>
              <w:t>QALY gained</w:t>
            </w:r>
          </w:p>
        </w:tc>
        <w:tc>
          <w:tcPr>
            <w:tcW w:w="1336" w:type="pct"/>
            <w:tcBorders>
              <w:bottom w:val="single" w:sz="4" w:space="0" w:color="auto"/>
            </w:tcBorders>
          </w:tcPr>
          <w:p w14:paraId="40E37C62"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3.623</w:t>
            </w:r>
          </w:p>
        </w:tc>
        <w:tc>
          <w:tcPr>
            <w:tcW w:w="782" w:type="pct"/>
            <w:tcBorders>
              <w:bottom w:val="single" w:sz="4" w:space="0" w:color="auto"/>
            </w:tcBorders>
          </w:tcPr>
          <w:p w14:paraId="72279E81"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2.712</w:t>
            </w:r>
          </w:p>
        </w:tc>
        <w:tc>
          <w:tcPr>
            <w:tcW w:w="1234" w:type="pct"/>
            <w:tcBorders>
              <w:bottom w:val="single" w:sz="4" w:space="0" w:color="auto"/>
            </w:tcBorders>
          </w:tcPr>
          <w:p w14:paraId="74F8B212"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0.910</w:t>
            </w:r>
          </w:p>
        </w:tc>
      </w:tr>
      <w:tr w:rsidR="00214D77" w:rsidRPr="00214D77" w14:paraId="093D24A6" w14:textId="77777777" w:rsidTr="00057EDA">
        <w:tc>
          <w:tcPr>
            <w:tcW w:w="1648" w:type="pct"/>
            <w:tcBorders>
              <w:bottom w:val="single" w:sz="4" w:space="0" w:color="auto"/>
              <w:right w:val="nil"/>
            </w:tcBorders>
          </w:tcPr>
          <w:p w14:paraId="04EB374B" w14:textId="77777777" w:rsidR="00214D77" w:rsidRPr="00C06749" w:rsidRDefault="00214D77" w:rsidP="00214D77">
            <w:pPr>
              <w:widowControl w:val="0"/>
              <w:spacing w:before="40" w:after="40" w:line="256" w:lineRule="auto"/>
              <w:jc w:val="left"/>
              <w:rPr>
                <w:rFonts w:ascii="Times" w:hAnsi="Times"/>
                <w:b/>
                <w:sz w:val="20"/>
              </w:rPr>
            </w:pPr>
            <w:r w:rsidRPr="00C06749">
              <w:rPr>
                <w:rFonts w:ascii="Arial Narrow" w:eastAsia="Calibri" w:hAnsi="Arial Narrow"/>
                <w:b/>
                <w:sz w:val="20"/>
              </w:rPr>
              <w:t>Incremental cost/extra QALY gained</w:t>
            </w:r>
          </w:p>
        </w:tc>
        <w:tc>
          <w:tcPr>
            <w:tcW w:w="1336" w:type="pct"/>
            <w:tcBorders>
              <w:left w:val="nil"/>
              <w:bottom w:val="single" w:sz="4" w:space="0" w:color="auto"/>
              <w:right w:val="nil"/>
            </w:tcBorders>
          </w:tcPr>
          <w:p w14:paraId="4EB4DC5C" w14:textId="77777777" w:rsidR="00214D77" w:rsidRPr="00C06749" w:rsidRDefault="00214D77" w:rsidP="00214D77">
            <w:pPr>
              <w:widowControl w:val="0"/>
              <w:spacing w:before="40" w:after="40" w:line="256" w:lineRule="auto"/>
              <w:jc w:val="right"/>
              <w:rPr>
                <w:rFonts w:ascii="Times" w:hAnsi="Times"/>
                <w:b/>
                <w:i/>
                <w:sz w:val="20"/>
              </w:rPr>
            </w:pPr>
          </w:p>
        </w:tc>
        <w:tc>
          <w:tcPr>
            <w:tcW w:w="782" w:type="pct"/>
            <w:tcBorders>
              <w:left w:val="nil"/>
              <w:bottom w:val="single" w:sz="4" w:space="0" w:color="auto"/>
            </w:tcBorders>
          </w:tcPr>
          <w:p w14:paraId="0B76A465" w14:textId="77777777" w:rsidR="00214D77" w:rsidRPr="00C06749" w:rsidRDefault="00214D77" w:rsidP="00214D77">
            <w:pPr>
              <w:widowControl w:val="0"/>
              <w:spacing w:before="40" w:after="40" w:line="256" w:lineRule="auto"/>
              <w:jc w:val="right"/>
              <w:rPr>
                <w:rFonts w:ascii="Times" w:hAnsi="Times"/>
                <w:b/>
                <w:i/>
                <w:sz w:val="20"/>
              </w:rPr>
            </w:pPr>
          </w:p>
        </w:tc>
        <w:tc>
          <w:tcPr>
            <w:tcW w:w="1234" w:type="pct"/>
            <w:tcBorders>
              <w:bottom w:val="single" w:sz="4" w:space="0" w:color="auto"/>
            </w:tcBorders>
          </w:tcPr>
          <w:p w14:paraId="618D6A8A" w14:textId="2E7D6346" w:rsidR="00214D77" w:rsidRPr="00C06749" w:rsidRDefault="00214D77" w:rsidP="00214D77">
            <w:pPr>
              <w:widowControl w:val="0"/>
              <w:spacing w:before="40" w:after="40" w:line="256" w:lineRule="auto"/>
              <w:jc w:val="right"/>
              <w:rPr>
                <w:rFonts w:ascii="Times" w:hAnsi="Times"/>
                <w:b/>
                <w:i/>
                <w:sz w:val="20"/>
              </w:rPr>
            </w:pPr>
            <w:r w:rsidRPr="00C06749">
              <w:rPr>
                <w:rFonts w:ascii="Arial Narrow" w:eastAsia="Calibri" w:hAnsi="Arial Narrow"/>
                <w:b/>
                <w:i/>
                <w:sz w:val="20"/>
              </w:rPr>
              <w:t>$</w:t>
            </w:r>
            <w:r w:rsidR="002E0608" w:rsidRPr="00C06749">
              <w:rPr>
                <w:rFonts w:ascii="Arial Narrow" w:eastAsia="Calibri" w:hAnsi="Arial Narrow"/>
                <w:b/>
                <w:i/>
                <w:sz w:val="20"/>
              </w:rPr>
              <w:t>redacted</w:t>
            </w:r>
            <w:r w:rsidR="00326D43" w:rsidRPr="00C06749">
              <w:rPr>
                <w:rFonts w:ascii="Arial Narrow" w:eastAsia="Calibri" w:hAnsi="Arial Narrow"/>
                <w:b/>
                <w:i/>
                <w:sz w:val="20"/>
                <w:vertAlign w:val="superscript"/>
              </w:rPr>
              <w:t>1</w:t>
            </w:r>
          </w:p>
        </w:tc>
      </w:tr>
      <w:tr w:rsidR="00214D77" w:rsidRPr="00214D77" w14:paraId="2E837DA6" w14:textId="77777777" w:rsidTr="00214D77">
        <w:tc>
          <w:tcPr>
            <w:tcW w:w="5000" w:type="pct"/>
            <w:gridSpan w:val="4"/>
            <w:tcBorders>
              <w:bottom w:val="single" w:sz="4" w:space="0" w:color="auto"/>
            </w:tcBorders>
          </w:tcPr>
          <w:p w14:paraId="09B3B918" w14:textId="77777777" w:rsidR="00214D77" w:rsidRPr="00C06749" w:rsidRDefault="00214D77" w:rsidP="00214D77">
            <w:pPr>
              <w:keepNext/>
              <w:widowControl w:val="0"/>
              <w:spacing w:before="40" w:after="40" w:line="257" w:lineRule="auto"/>
              <w:jc w:val="left"/>
              <w:rPr>
                <w:rFonts w:ascii="Arial Narrow" w:eastAsia="Calibri" w:hAnsi="Arial Narrow"/>
                <w:b/>
                <w:sz w:val="20"/>
              </w:rPr>
            </w:pPr>
            <w:r w:rsidRPr="00C06749">
              <w:rPr>
                <w:rFonts w:ascii="Arial Narrow" w:eastAsia="Calibri" w:hAnsi="Arial Narrow"/>
                <w:b/>
                <w:sz w:val="20"/>
              </w:rPr>
              <w:t xml:space="preserve">Specified adult low </w:t>
            </w:r>
            <w:r w:rsidRPr="00C06749">
              <w:rPr>
                <w:rFonts w:ascii="Arial Narrow" w:eastAsia="Calibri" w:hAnsi="Arial Narrow"/>
                <w:b/>
                <w:i/>
                <w:sz w:val="20"/>
              </w:rPr>
              <w:t>NTRK</w:t>
            </w:r>
            <w:r w:rsidRPr="00C06749">
              <w:rPr>
                <w:rFonts w:ascii="Arial Narrow" w:eastAsia="Calibri" w:hAnsi="Arial Narrow"/>
                <w:b/>
                <w:sz w:val="20"/>
              </w:rPr>
              <w:t xml:space="preserve"> frequency tumour types combined</w:t>
            </w:r>
          </w:p>
          <w:p w14:paraId="4ED07774" w14:textId="77777777" w:rsidR="00214D77" w:rsidRPr="00C06749" w:rsidRDefault="00214D77" w:rsidP="00214D77">
            <w:pPr>
              <w:keepNext/>
              <w:widowControl w:val="0"/>
              <w:spacing w:before="40" w:after="40" w:line="257" w:lineRule="auto"/>
              <w:jc w:val="left"/>
              <w:rPr>
                <w:rFonts w:ascii="Arial Narrow" w:eastAsia="Calibri" w:hAnsi="Arial Narrow"/>
                <w:i/>
                <w:sz w:val="20"/>
              </w:rPr>
            </w:pPr>
            <w:r w:rsidRPr="00C06749">
              <w:rPr>
                <w:rFonts w:ascii="Arial Narrow" w:eastAsia="Calibri" w:hAnsi="Arial Narrow"/>
                <w:i/>
                <w:sz w:val="20"/>
              </w:rPr>
              <w:t xml:space="preserve">Relevant tumour type subgroup analyses </w:t>
            </w:r>
            <w:r w:rsidRPr="00C06749">
              <w:rPr>
                <w:rFonts w:ascii="Arial Narrow" w:eastAsia="Calibri" w:hAnsi="Arial Narrow"/>
                <w:sz w:val="20"/>
              </w:rPr>
              <w:t>(</w:t>
            </w:r>
            <w:r w:rsidRPr="00C06749">
              <w:rPr>
                <w:rFonts w:ascii="Arial Narrow" w:eastAsia="Calibri" w:hAnsi="Arial Narrow"/>
                <w:i/>
                <w:sz w:val="20"/>
              </w:rPr>
              <w:t xml:space="preserve">weighted as per the distribution in Australian clinical practice) - revised </w:t>
            </w:r>
            <w:r w:rsidRPr="00C06749">
              <w:rPr>
                <w:rFonts w:ascii="Arial Narrow" w:eastAsia="Calibri" w:hAnsi="Arial Narrow"/>
                <w:i/>
                <w:sz w:val="20"/>
                <w:vertAlign w:val="superscript"/>
              </w:rPr>
              <w:t>a</w:t>
            </w:r>
          </w:p>
        </w:tc>
      </w:tr>
      <w:tr w:rsidR="00214D77" w:rsidRPr="00214D77" w14:paraId="3D9B91FF" w14:textId="77777777" w:rsidTr="00057EDA">
        <w:tc>
          <w:tcPr>
            <w:tcW w:w="1648" w:type="pct"/>
            <w:tcBorders>
              <w:bottom w:val="nil"/>
            </w:tcBorders>
          </w:tcPr>
          <w:p w14:paraId="05782159" w14:textId="77777777" w:rsidR="00214D77" w:rsidRPr="00C06749" w:rsidRDefault="00214D77" w:rsidP="00214D77">
            <w:pPr>
              <w:keepNext/>
              <w:widowControl w:val="0"/>
              <w:spacing w:before="40" w:after="40" w:line="257" w:lineRule="auto"/>
              <w:jc w:val="left"/>
              <w:rPr>
                <w:rFonts w:ascii="Arial Narrow" w:eastAsia="Calibri" w:hAnsi="Arial Narrow"/>
                <w:sz w:val="20"/>
              </w:rPr>
            </w:pPr>
            <w:r w:rsidRPr="00C06749">
              <w:rPr>
                <w:rFonts w:ascii="Arial Narrow" w:eastAsia="Calibri" w:hAnsi="Arial Narrow"/>
                <w:sz w:val="20"/>
              </w:rPr>
              <w:t>Cost</w:t>
            </w:r>
          </w:p>
        </w:tc>
        <w:tc>
          <w:tcPr>
            <w:tcW w:w="1336" w:type="pct"/>
            <w:tcBorders>
              <w:bottom w:val="nil"/>
            </w:tcBorders>
          </w:tcPr>
          <w:p w14:paraId="6CA41737" w14:textId="1B5650F8"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w:t>
            </w:r>
            <w:r w:rsidR="002E0608" w:rsidRPr="00C06749">
              <w:rPr>
                <w:rFonts w:ascii="Arial Narrow" w:eastAsia="Calibri" w:hAnsi="Arial Narrow"/>
                <w:i/>
                <w:sz w:val="20"/>
              </w:rPr>
              <w:t>redacted</w:t>
            </w:r>
          </w:p>
        </w:tc>
        <w:tc>
          <w:tcPr>
            <w:tcW w:w="782" w:type="pct"/>
            <w:tcBorders>
              <w:bottom w:val="nil"/>
            </w:tcBorders>
          </w:tcPr>
          <w:p w14:paraId="6E1B888C" w14:textId="626919FE"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$78,294</w:t>
            </w:r>
          </w:p>
        </w:tc>
        <w:tc>
          <w:tcPr>
            <w:tcW w:w="1234" w:type="pct"/>
            <w:tcBorders>
              <w:bottom w:val="nil"/>
            </w:tcBorders>
          </w:tcPr>
          <w:p w14:paraId="31524E88" w14:textId="596CFA15"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w:t>
            </w:r>
            <w:r w:rsidR="002E0608" w:rsidRPr="00C06749">
              <w:rPr>
                <w:rFonts w:ascii="Arial Narrow" w:eastAsia="Calibri" w:hAnsi="Arial Narrow"/>
                <w:i/>
                <w:sz w:val="20"/>
              </w:rPr>
              <w:t>redacted</w:t>
            </w:r>
          </w:p>
        </w:tc>
      </w:tr>
      <w:tr w:rsidR="00214D77" w:rsidRPr="00214D77" w14:paraId="30E20D23" w14:textId="77777777" w:rsidTr="00057EDA">
        <w:tc>
          <w:tcPr>
            <w:tcW w:w="1648" w:type="pct"/>
            <w:tcBorders>
              <w:bottom w:val="single" w:sz="4" w:space="0" w:color="auto"/>
            </w:tcBorders>
          </w:tcPr>
          <w:p w14:paraId="143CAE45" w14:textId="77777777" w:rsidR="00214D77" w:rsidRPr="00C06749" w:rsidRDefault="00214D77" w:rsidP="00214D77">
            <w:pPr>
              <w:keepNext/>
              <w:widowControl w:val="0"/>
              <w:spacing w:before="40" w:after="40" w:line="257" w:lineRule="auto"/>
              <w:jc w:val="left"/>
              <w:rPr>
                <w:rFonts w:ascii="Times" w:hAnsi="Times"/>
                <w:sz w:val="20"/>
              </w:rPr>
            </w:pPr>
            <w:r w:rsidRPr="00C06749">
              <w:rPr>
                <w:rFonts w:ascii="Arial Narrow" w:eastAsia="Calibri" w:hAnsi="Arial Narrow"/>
                <w:sz w:val="20"/>
              </w:rPr>
              <w:t>QALY gained</w:t>
            </w:r>
          </w:p>
        </w:tc>
        <w:tc>
          <w:tcPr>
            <w:tcW w:w="1336" w:type="pct"/>
            <w:tcBorders>
              <w:bottom w:val="single" w:sz="4" w:space="0" w:color="auto"/>
            </w:tcBorders>
          </w:tcPr>
          <w:p w14:paraId="76F63D3E"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0.812</w:t>
            </w:r>
          </w:p>
        </w:tc>
        <w:tc>
          <w:tcPr>
            <w:tcW w:w="782" w:type="pct"/>
            <w:tcBorders>
              <w:bottom w:val="single" w:sz="4" w:space="0" w:color="auto"/>
            </w:tcBorders>
          </w:tcPr>
          <w:p w14:paraId="5F986BDB"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0.804</w:t>
            </w:r>
          </w:p>
        </w:tc>
        <w:tc>
          <w:tcPr>
            <w:tcW w:w="1234" w:type="pct"/>
            <w:tcBorders>
              <w:bottom w:val="single" w:sz="4" w:space="0" w:color="auto"/>
            </w:tcBorders>
          </w:tcPr>
          <w:p w14:paraId="756EA5F8"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0.008</w:t>
            </w:r>
          </w:p>
        </w:tc>
      </w:tr>
      <w:tr w:rsidR="00214D77" w:rsidRPr="00214D77" w14:paraId="7AB227B6" w14:textId="77777777" w:rsidTr="00057EDA">
        <w:tc>
          <w:tcPr>
            <w:tcW w:w="1648" w:type="pct"/>
            <w:tcBorders>
              <w:bottom w:val="single" w:sz="4" w:space="0" w:color="auto"/>
              <w:right w:val="nil"/>
            </w:tcBorders>
          </w:tcPr>
          <w:p w14:paraId="6B1EBCDF" w14:textId="77777777" w:rsidR="00214D77" w:rsidRPr="00C06749" w:rsidRDefault="00214D77" w:rsidP="00214D77">
            <w:pPr>
              <w:widowControl w:val="0"/>
              <w:spacing w:before="40" w:after="40" w:line="256" w:lineRule="auto"/>
              <w:jc w:val="left"/>
              <w:rPr>
                <w:rFonts w:ascii="Times" w:hAnsi="Times"/>
                <w:b/>
                <w:sz w:val="20"/>
              </w:rPr>
            </w:pPr>
            <w:r w:rsidRPr="00C06749">
              <w:rPr>
                <w:rFonts w:ascii="Arial Narrow" w:eastAsia="Calibri" w:hAnsi="Arial Narrow"/>
                <w:b/>
                <w:sz w:val="20"/>
              </w:rPr>
              <w:t>Incremental cost/extra QALY gained</w:t>
            </w:r>
          </w:p>
        </w:tc>
        <w:tc>
          <w:tcPr>
            <w:tcW w:w="1336" w:type="pct"/>
            <w:tcBorders>
              <w:left w:val="nil"/>
              <w:bottom w:val="single" w:sz="4" w:space="0" w:color="auto"/>
              <w:right w:val="nil"/>
            </w:tcBorders>
          </w:tcPr>
          <w:p w14:paraId="1540A9F4" w14:textId="77777777" w:rsidR="00214D77" w:rsidRPr="00C06749" w:rsidRDefault="00214D77" w:rsidP="00214D77">
            <w:pPr>
              <w:widowControl w:val="0"/>
              <w:spacing w:before="40" w:after="40" w:line="256" w:lineRule="auto"/>
              <w:jc w:val="right"/>
              <w:rPr>
                <w:rFonts w:ascii="Times" w:hAnsi="Times"/>
                <w:b/>
                <w:i/>
                <w:sz w:val="20"/>
              </w:rPr>
            </w:pPr>
          </w:p>
        </w:tc>
        <w:tc>
          <w:tcPr>
            <w:tcW w:w="782" w:type="pct"/>
            <w:tcBorders>
              <w:left w:val="nil"/>
              <w:bottom w:val="single" w:sz="4" w:space="0" w:color="auto"/>
            </w:tcBorders>
          </w:tcPr>
          <w:p w14:paraId="6CC4C1B1" w14:textId="77777777" w:rsidR="00214D77" w:rsidRPr="00C06749" w:rsidRDefault="00214D77" w:rsidP="00214D77">
            <w:pPr>
              <w:widowControl w:val="0"/>
              <w:spacing w:before="40" w:after="40" w:line="256" w:lineRule="auto"/>
              <w:jc w:val="right"/>
              <w:rPr>
                <w:rFonts w:ascii="Times" w:hAnsi="Times"/>
                <w:b/>
                <w:i/>
                <w:sz w:val="20"/>
              </w:rPr>
            </w:pPr>
          </w:p>
        </w:tc>
        <w:tc>
          <w:tcPr>
            <w:tcW w:w="1234" w:type="pct"/>
            <w:tcBorders>
              <w:bottom w:val="single" w:sz="4" w:space="0" w:color="auto"/>
            </w:tcBorders>
          </w:tcPr>
          <w:p w14:paraId="53478B27" w14:textId="18FE277E" w:rsidR="00214D77" w:rsidRPr="00C06749" w:rsidRDefault="00214D77" w:rsidP="00214D77">
            <w:pPr>
              <w:widowControl w:val="0"/>
              <w:spacing w:before="40" w:after="40" w:line="256" w:lineRule="auto"/>
              <w:jc w:val="right"/>
              <w:rPr>
                <w:rFonts w:ascii="Times" w:hAnsi="Times"/>
                <w:b/>
                <w:i/>
                <w:sz w:val="20"/>
              </w:rPr>
            </w:pPr>
            <w:r w:rsidRPr="00C06749">
              <w:rPr>
                <w:rFonts w:ascii="Arial Narrow" w:eastAsia="Calibri" w:hAnsi="Arial Narrow"/>
                <w:b/>
                <w:i/>
                <w:sz w:val="20"/>
              </w:rPr>
              <w:t>$</w:t>
            </w:r>
            <w:r w:rsidR="00C64B8C" w:rsidRPr="00C06749">
              <w:rPr>
                <w:rFonts w:ascii="Arial Narrow" w:eastAsia="Calibri" w:hAnsi="Arial Narrow"/>
                <w:b/>
                <w:i/>
                <w:sz w:val="20"/>
              </w:rPr>
              <w:t>redacted</w:t>
            </w:r>
            <w:r w:rsidR="00C64B8C" w:rsidRPr="00C06749">
              <w:rPr>
                <w:rFonts w:ascii="Arial Narrow" w:eastAsia="Calibri" w:hAnsi="Arial Narrow"/>
                <w:b/>
                <w:i/>
                <w:sz w:val="20"/>
                <w:vertAlign w:val="superscript"/>
              </w:rPr>
              <w:t>1</w:t>
            </w:r>
          </w:p>
        </w:tc>
      </w:tr>
      <w:tr w:rsidR="00214D77" w:rsidRPr="00214D77" w14:paraId="16BD03DE" w14:textId="77777777" w:rsidTr="00057EDA">
        <w:tc>
          <w:tcPr>
            <w:tcW w:w="1648" w:type="pct"/>
            <w:tcBorders>
              <w:bottom w:val="single" w:sz="4" w:space="0" w:color="auto"/>
              <w:right w:val="nil"/>
            </w:tcBorders>
          </w:tcPr>
          <w:p w14:paraId="1FAA7B70" w14:textId="084E6EA0" w:rsidR="00214D77" w:rsidRPr="00C06749" w:rsidRDefault="00214D77" w:rsidP="00214D77">
            <w:pPr>
              <w:widowControl w:val="0"/>
              <w:spacing w:before="40" w:after="40" w:line="256" w:lineRule="auto"/>
              <w:jc w:val="left"/>
              <w:rPr>
                <w:rFonts w:ascii="Arial Narrow" w:eastAsia="Calibri" w:hAnsi="Arial Narrow"/>
                <w:b/>
                <w:i/>
                <w:iCs/>
                <w:sz w:val="20"/>
              </w:rPr>
            </w:pPr>
          </w:p>
        </w:tc>
        <w:tc>
          <w:tcPr>
            <w:tcW w:w="1336" w:type="pct"/>
            <w:tcBorders>
              <w:left w:val="nil"/>
              <w:bottom w:val="single" w:sz="4" w:space="0" w:color="auto"/>
              <w:right w:val="nil"/>
            </w:tcBorders>
          </w:tcPr>
          <w:p w14:paraId="6A4E3726" w14:textId="77777777" w:rsidR="00214D77" w:rsidRPr="00C06749" w:rsidRDefault="00214D77" w:rsidP="00214D77">
            <w:pPr>
              <w:widowControl w:val="0"/>
              <w:spacing w:before="40" w:after="40" w:line="256" w:lineRule="auto"/>
              <w:jc w:val="right"/>
              <w:rPr>
                <w:rFonts w:ascii="Times" w:hAnsi="Times"/>
                <w:b/>
                <w:i/>
                <w:sz w:val="20"/>
              </w:rPr>
            </w:pPr>
          </w:p>
        </w:tc>
        <w:tc>
          <w:tcPr>
            <w:tcW w:w="782" w:type="pct"/>
            <w:tcBorders>
              <w:left w:val="nil"/>
              <w:bottom w:val="single" w:sz="4" w:space="0" w:color="auto"/>
            </w:tcBorders>
          </w:tcPr>
          <w:p w14:paraId="55A6A73D" w14:textId="77777777" w:rsidR="00214D77" w:rsidRPr="00C06749" w:rsidRDefault="00214D77" w:rsidP="00214D77">
            <w:pPr>
              <w:widowControl w:val="0"/>
              <w:spacing w:before="40" w:after="40" w:line="256" w:lineRule="auto"/>
              <w:jc w:val="right"/>
              <w:rPr>
                <w:rFonts w:ascii="Times" w:hAnsi="Times"/>
                <w:b/>
                <w:i/>
                <w:sz w:val="20"/>
              </w:rPr>
            </w:pPr>
          </w:p>
        </w:tc>
        <w:tc>
          <w:tcPr>
            <w:tcW w:w="1234" w:type="pct"/>
            <w:tcBorders>
              <w:bottom w:val="single" w:sz="4" w:space="0" w:color="auto"/>
            </w:tcBorders>
          </w:tcPr>
          <w:p w14:paraId="756AA15B" w14:textId="43F6A83F" w:rsidR="00214D77" w:rsidRPr="00C06749" w:rsidRDefault="00214D77" w:rsidP="00214D77">
            <w:pPr>
              <w:widowControl w:val="0"/>
              <w:spacing w:before="40" w:after="40" w:line="256" w:lineRule="auto"/>
              <w:jc w:val="right"/>
              <w:rPr>
                <w:rFonts w:ascii="Arial Narrow" w:eastAsia="Calibri" w:hAnsi="Arial Narrow"/>
                <w:b/>
                <w:bCs/>
                <w:i/>
                <w:iCs/>
                <w:sz w:val="20"/>
              </w:rPr>
            </w:pPr>
          </w:p>
        </w:tc>
      </w:tr>
      <w:tr w:rsidR="00214D77" w:rsidRPr="00214D77" w14:paraId="62517835" w14:textId="77777777" w:rsidTr="00214D77">
        <w:tc>
          <w:tcPr>
            <w:tcW w:w="5000" w:type="pct"/>
            <w:gridSpan w:val="4"/>
            <w:tcBorders>
              <w:bottom w:val="single" w:sz="4" w:space="0" w:color="auto"/>
            </w:tcBorders>
          </w:tcPr>
          <w:p w14:paraId="6C4A0D06" w14:textId="77777777" w:rsidR="00214D77" w:rsidRPr="00C06749" w:rsidRDefault="00214D77" w:rsidP="00214D77">
            <w:pPr>
              <w:keepNext/>
              <w:widowControl w:val="0"/>
              <w:spacing w:before="40" w:after="40" w:line="257" w:lineRule="auto"/>
              <w:jc w:val="left"/>
              <w:rPr>
                <w:rFonts w:ascii="Arial Narrow" w:eastAsia="Calibri" w:hAnsi="Arial Narrow"/>
                <w:b/>
                <w:sz w:val="20"/>
              </w:rPr>
            </w:pPr>
            <w:r w:rsidRPr="00C06749">
              <w:rPr>
                <w:rFonts w:ascii="Arial Narrow" w:eastAsia="Calibri" w:hAnsi="Arial Narrow"/>
                <w:b/>
                <w:sz w:val="20"/>
              </w:rPr>
              <w:t>Overall population proposed for larotrectinib treatment</w:t>
            </w:r>
          </w:p>
          <w:p w14:paraId="6FE293EA" w14:textId="77777777" w:rsidR="00214D77" w:rsidRPr="00C06749" w:rsidRDefault="00214D77" w:rsidP="00214D77">
            <w:pPr>
              <w:keepNext/>
              <w:widowControl w:val="0"/>
              <w:spacing w:before="40" w:after="40" w:line="257" w:lineRule="auto"/>
              <w:jc w:val="left"/>
              <w:rPr>
                <w:rFonts w:ascii="Arial Narrow" w:eastAsia="Calibri" w:hAnsi="Arial Narrow"/>
                <w:i/>
                <w:sz w:val="20"/>
              </w:rPr>
            </w:pPr>
            <w:r w:rsidRPr="00C06749">
              <w:rPr>
                <w:rFonts w:ascii="Arial Narrow" w:eastAsia="Calibri" w:hAnsi="Arial Narrow"/>
                <w:i/>
                <w:sz w:val="20"/>
              </w:rPr>
              <w:t xml:space="preserve">Relevant tumour type subgroup analyses </w:t>
            </w:r>
            <w:r w:rsidRPr="00C06749">
              <w:rPr>
                <w:rFonts w:ascii="Arial Narrow" w:eastAsia="Calibri" w:hAnsi="Arial Narrow"/>
                <w:sz w:val="20"/>
              </w:rPr>
              <w:t>(</w:t>
            </w:r>
            <w:r w:rsidRPr="00C06749">
              <w:rPr>
                <w:rFonts w:ascii="Arial Narrow" w:eastAsia="Calibri" w:hAnsi="Arial Narrow"/>
                <w:i/>
                <w:sz w:val="20"/>
              </w:rPr>
              <w:t xml:space="preserve">weighted as per the distribution in Australian clinical practice) - revised </w:t>
            </w:r>
            <w:r w:rsidRPr="00C06749">
              <w:rPr>
                <w:rFonts w:ascii="Arial Narrow" w:eastAsia="Calibri" w:hAnsi="Arial Narrow"/>
                <w:i/>
                <w:sz w:val="20"/>
                <w:vertAlign w:val="superscript"/>
              </w:rPr>
              <w:t>a</w:t>
            </w:r>
          </w:p>
        </w:tc>
      </w:tr>
      <w:tr w:rsidR="00214D77" w:rsidRPr="00214D77" w14:paraId="28679E50" w14:textId="77777777" w:rsidTr="00057EDA">
        <w:tc>
          <w:tcPr>
            <w:tcW w:w="1648" w:type="pct"/>
            <w:tcBorders>
              <w:bottom w:val="nil"/>
            </w:tcBorders>
          </w:tcPr>
          <w:p w14:paraId="6A7D815D" w14:textId="77777777" w:rsidR="00214D77" w:rsidRPr="00C06749" w:rsidRDefault="00214D77" w:rsidP="00214D77">
            <w:pPr>
              <w:keepNext/>
              <w:widowControl w:val="0"/>
              <w:spacing w:before="40" w:after="40" w:line="257" w:lineRule="auto"/>
              <w:jc w:val="left"/>
              <w:rPr>
                <w:rFonts w:ascii="Arial Narrow" w:eastAsia="Calibri" w:hAnsi="Arial Narrow"/>
                <w:sz w:val="20"/>
              </w:rPr>
            </w:pPr>
            <w:r w:rsidRPr="00C06749">
              <w:rPr>
                <w:rFonts w:ascii="Arial Narrow" w:eastAsia="Calibri" w:hAnsi="Arial Narrow"/>
                <w:sz w:val="20"/>
              </w:rPr>
              <w:t>Cost</w:t>
            </w:r>
          </w:p>
        </w:tc>
        <w:tc>
          <w:tcPr>
            <w:tcW w:w="1336" w:type="pct"/>
            <w:tcBorders>
              <w:bottom w:val="nil"/>
            </w:tcBorders>
          </w:tcPr>
          <w:p w14:paraId="6BD8AD24" w14:textId="019CF240"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w:t>
            </w:r>
            <w:r w:rsidR="002E0608" w:rsidRPr="00C06749">
              <w:rPr>
                <w:rFonts w:ascii="Arial Narrow" w:eastAsia="Calibri" w:hAnsi="Arial Narrow"/>
                <w:i/>
                <w:sz w:val="20"/>
              </w:rPr>
              <w:t>redacted</w:t>
            </w:r>
          </w:p>
        </w:tc>
        <w:tc>
          <w:tcPr>
            <w:tcW w:w="782" w:type="pct"/>
            <w:tcBorders>
              <w:bottom w:val="nil"/>
            </w:tcBorders>
          </w:tcPr>
          <w:p w14:paraId="72772E8B" w14:textId="75171763"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$78,170</w:t>
            </w:r>
          </w:p>
        </w:tc>
        <w:tc>
          <w:tcPr>
            <w:tcW w:w="1234" w:type="pct"/>
            <w:tcBorders>
              <w:bottom w:val="nil"/>
            </w:tcBorders>
          </w:tcPr>
          <w:p w14:paraId="61417D0F" w14:textId="7D06414F" w:rsidR="00214D77" w:rsidRPr="00C06749" w:rsidRDefault="00214D77" w:rsidP="00214D77">
            <w:pPr>
              <w:keepNext/>
              <w:widowControl w:val="0"/>
              <w:spacing w:before="40" w:after="40" w:line="257" w:lineRule="auto"/>
              <w:jc w:val="right"/>
              <w:rPr>
                <w:rFonts w:ascii="Times" w:hAnsi="Times"/>
                <w:i/>
                <w:sz w:val="20"/>
              </w:rPr>
            </w:pPr>
            <w:r w:rsidRPr="00C06749">
              <w:rPr>
                <w:rFonts w:ascii="Arial Narrow" w:eastAsia="Calibri" w:hAnsi="Arial Narrow"/>
                <w:i/>
                <w:sz w:val="20"/>
              </w:rPr>
              <w:t>$</w:t>
            </w:r>
            <w:r w:rsidR="002E0608" w:rsidRPr="00C06749">
              <w:rPr>
                <w:rFonts w:ascii="Arial Narrow" w:eastAsia="Calibri" w:hAnsi="Arial Narrow"/>
                <w:i/>
                <w:sz w:val="20"/>
              </w:rPr>
              <w:t>redacted</w:t>
            </w:r>
          </w:p>
        </w:tc>
      </w:tr>
      <w:tr w:rsidR="00214D77" w:rsidRPr="00214D77" w14:paraId="668FAA85" w14:textId="77777777" w:rsidTr="00057EDA">
        <w:tc>
          <w:tcPr>
            <w:tcW w:w="1648" w:type="pct"/>
            <w:tcBorders>
              <w:bottom w:val="single" w:sz="4" w:space="0" w:color="auto"/>
            </w:tcBorders>
          </w:tcPr>
          <w:p w14:paraId="2A313230" w14:textId="77777777" w:rsidR="00214D77" w:rsidRPr="00C06749" w:rsidRDefault="00214D77" w:rsidP="00214D77">
            <w:pPr>
              <w:keepNext/>
              <w:widowControl w:val="0"/>
              <w:spacing w:before="40" w:after="40" w:line="257" w:lineRule="auto"/>
              <w:jc w:val="left"/>
              <w:rPr>
                <w:rFonts w:ascii="Times" w:hAnsi="Times"/>
                <w:sz w:val="20"/>
              </w:rPr>
            </w:pPr>
            <w:r w:rsidRPr="00C06749">
              <w:rPr>
                <w:rFonts w:ascii="Arial Narrow" w:eastAsia="Calibri" w:hAnsi="Arial Narrow"/>
                <w:sz w:val="20"/>
              </w:rPr>
              <w:t>QALY gained</w:t>
            </w:r>
          </w:p>
        </w:tc>
        <w:tc>
          <w:tcPr>
            <w:tcW w:w="1336" w:type="pct"/>
            <w:tcBorders>
              <w:bottom w:val="single" w:sz="4" w:space="0" w:color="auto"/>
            </w:tcBorders>
          </w:tcPr>
          <w:p w14:paraId="3C5F2E15"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0.838</w:t>
            </w:r>
          </w:p>
        </w:tc>
        <w:tc>
          <w:tcPr>
            <w:tcW w:w="782" w:type="pct"/>
            <w:tcBorders>
              <w:bottom w:val="single" w:sz="4" w:space="0" w:color="auto"/>
            </w:tcBorders>
          </w:tcPr>
          <w:p w14:paraId="2A77C2E2"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0.821</w:t>
            </w:r>
          </w:p>
        </w:tc>
        <w:tc>
          <w:tcPr>
            <w:tcW w:w="1234" w:type="pct"/>
            <w:tcBorders>
              <w:bottom w:val="single" w:sz="4" w:space="0" w:color="auto"/>
            </w:tcBorders>
          </w:tcPr>
          <w:p w14:paraId="4F7C171E" w14:textId="77777777" w:rsidR="00214D77" w:rsidRPr="00C06749" w:rsidRDefault="00214D77" w:rsidP="00214D77">
            <w:pPr>
              <w:keepNext/>
              <w:widowControl w:val="0"/>
              <w:spacing w:before="40" w:after="40" w:line="257" w:lineRule="auto"/>
              <w:jc w:val="right"/>
              <w:rPr>
                <w:rFonts w:ascii="Arial Narrow" w:eastAsia="Calibri" w:hAnsi="Arial Narrow"/>
                <w:i/>
                <w:sz w:val="20"/>
              </w:rPr>
            </w:pPr>
            <w:r w:rsidRPr="00C06749">
              <w:rPr>
                <w:rFonts w:ascii="Arial Narrow" w:eastAsia="Calibri" w:hAnsi="Arial Narrow"/>
                <w:i/>
                <w:sz w:val="20"/>
              </w:rPr>
              <w:t>0.016</w:t>
            </w:r>
          </w:p>
        </w:tc>
      </w:tr>
      <w:tr w:rsidR="00214D77" w:rsidRPr="00214D77" w14:paraId="36B8017C" w14:textId="77777777" w:rsidTr="00057EDA">
        <w:tc>
          <w:tcPr>
            <w:tcW w:w="1648" w:type="pct"/>
            <w:tcBorders>
              <w:bottom w:val="single" w:sz="4" w:space="0" w:color="auto"/>
              <w:right w:val="nil"/>
            </w:tcBorders>
          </w:tcPr>
          <w:p w14:paraId="308D9B3E" w14:textId="77777777" w:rsidR="00214D77" w:rsidRPr="00C06749" w:rsidRDefault="00214D77" w:rsidP="00214D77">
            <w:pPr>
              <w:widowControl w:val="0"/>
              <w:spacing w:before="40" w:after="40" w:line="256" w:lineRule="auto"/>
              <w:jc w:val="left"/>
              <w:rPr>
                <w:rFonts w:ascii="Times" w:hAnsi="Times"/>
                <w:b/>
                <w:sz w:val="20"/>
              </w:rPr>
            </w:pPr>
            <w:r w:rsidRPr="00C06749">
              <w:rPr>
                <w:rFonts w:ascii="Arial Narrow" w:eastAsia="Calibri" w:hAnsi="Arial Narrow"/>
                <w:b/>
                <w:sz w:val="20"/>
              </w:rPr>
              <w:t>Incremental cost/extra QALY gained</w:t>
            </w:r>
          </w:p>
        </w:tc>
        <w:tc>
          <w:tcPr>
            <w:tcW w:w="1336" w:type="pct"/>
            <w:tcBorders>
              <w:left w:val="nil"/>
              <w:bottom w:val="single" w:sz="4" w:space="0" w:color="auto"/>
              <w:right w:val="nil"/>
            </w:tcBorders>
          </w:tcPr>
          <w:p w14:paraId="438954B8" w14:textId="77777777" w:rsidR="00214D77" w:rsidRPr="00C06749" w:rsidRDefault="00214D77" w:rsidP="00214D77">
            <w:pPr>
              <w:widowControl w:val="0"/>
              <w:spacing w:before="40" w:after="40" w:line="256" w:lineRule="auto"/>
              <w:jc w:val="right"/>
              <w:rPr>
                <w:rFonts w:ascii="Times" w:hAnsi="Times"/>
                <w:b/>
                <w:i/>
                <w:sz w:val="20"/>
              </w:rPr>
            </w:pPr>
          </w:p>
        </w:tc>
        <w:tc>
          <w:tcPr>
            <w:tcW w:w="782" w:type="pct"/>
            <w:tcBorders>
              <w:left w:val="nil"/>
              <w:bottom w:val="single" w:sz="4" w:space="0" w:color="auto"/>
            </w:tcBorders>
          </w:tcPr>
          <w:p w14:paraId="0683DD5B" w14:textId="77777777" w:rsidR="00214D77" w:rsidRPr="00C06749" w:rsidRDefault="00214D77" w:rsidP="00214D77">
            <w:pPr>
              <w:widowControl w:val="0"/>
              <w:spacing w:before="40" w:after="40" w:line="256" w:lineRule="auto"/>
              <w:jc w:val="right"/>
              <w:rPr>
                <w:rFonts w:ascii="Times" w:hAnsi="Times"/>
                <w:b/>
                <w:i/>
                <w:sz w:val="20"/>
              </w:rPr>
            </w:pPr>
          </w:p>
        </w:tc>
        <w:tc>
          <w:tcPr>
            <w:tcW w:w="1234" w:type="pct"/>
            <w:tcBorders>
              <w:bottom w:val="single" w:sz="4" w:space="0" w:color="auto"/>
            </w:tcBorders>
          </w:tcPr>
          <w:p w14:paraId="0BCF9C9E" w14:textId="6B9CCE15" w:rsidR="00214D77" w:rsidRPr="00C06749" w:rsidRDefault="00214D77" w:rsidP="00214D77">
            <w:pPr>
              <w:widowControl w:val="0"/>
              <w:spacing w:before="40" w:after="40" w:line="256" w:lineRule="auto"/>
              <w:jc w:val="right"/>
              <w:rPr>
                <w:rFonts w:ascii="Times" w:hAnsi="Times"/>
                <w:b/>
                <w:i/>
                <w:sz w:val="20"/>
              </w:rPr>
            </w:pPr>
            <w:r w:rsidRPr="00C06749">
              <w:rPr>
                <w:rFonts w:ascii="Arial Narrow" w:eastAsia="Calibri" w:hAnsi="Arial Narrow"/>
                <w:b/>
                <w:i/>
                <w:sz w:val="20"/>
              </w:rPr>
              <w:t>$</w:t>
            </w:r>
            <w:r w:rsidR="00C64B8C" w:rsidRPr="00C06749">
              <w:rPr>
                <w:rFonts w:ascii="Arial Narrow" w:eastAsia="Calibri" w:hAnsi="Arial Narrow"/>
                <w:b/>
                <w:i/>
                <w:sz w:val="20"/>
              </w:rPr>
              <w:t>redacted</w:t>
            </w:r>
            <w:r w:rsidR="00C64B8C" w:rsidRPr="00C06749">
              <w:rPr>
                <w:rFonts w:ascii="Arial Narrow" w:eastAsia="Calibri" w:hAnsi="Arial Narrow"/>
                <w:b/>
                <w:i/>
                <w:sz w:val="20"/>
                <w:vertAlign w:val="superscript"/>
              </w:rPr>
              <w:t>1</w:t>
            </w:r>
          </w:p>
        </w:tc>
      </w:tr>
    </w:tbl>
    <w:p w14:paraId="4C1DD2B4" w14:textId="23B6FE4E"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 xml:space="preserve">Source: Constructed during the evaluation from the ‘A3.1_Larotrectinib_PBACMSAC_CEA_June21_resub_6June21.xlsx’ workbook included in the resubmission </w:t>
      </w:r>
    </w:p>
    <w:p w14:paraId="2F29295F"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proofErr w:type="spellStart"/>
      <w:r w:rsidRPr="00214D77">
        <w:rPr>
          <w:rFonts w:ascii="Arial Narrow" w:eastAsia="Times New Roman" w:hAnsi="Arial Narrow" w:cs="Arial"/>
          <w:snapToGrid w:val="0"/>
          <w:sz w:val="18"/>
          <w:szCs w:val="20"/>
          <w:vertAlign w:val="superscript"/>
        </w:rPr>
        <w:t>a</w:t>
      </w:r>
      <w:proofErr w:type="spellEnd"/>
      <w:r w:rsidRPr="00214D77">
        <w:rPr>
          <w:rFonts w:ascii="Arial Narrow" w:eastAsia="Times New Roman" w:hAnsi="Arial Narrow" w:cs="Arial"/>
          <w:snapToGrid w:val="0"/>
          <w:sz w:val="18"/>
          <w:szCs w:val="20"/>
        </w:rPr>
        <w:t xml:space="preserve"> The distribution of tumour types was revised to reflect the distribution in the tested population (rather than the treated population). The most conservative OS and PFS parametric models were also applied for the high </w:t>
      </w:r>
      <w:r w:rsidRPr="00214D77">
        <w:rPr>
          <w:rFonts w:ascii="Arial Narrow" w:eastAsia="Times New Roman" w:hAnsi="Arial Narrow" w:cs="Arial"/>
          <w:i/>
          <w:iCs/>
          <w:snapToGrid w:val="0"/>
          <w:sz w:val="18"/>
          <w:szCs w:val="20"/>
        </w:rPr>
        <w:t>NTRK</w:t>
      </w:r>
      <w:r w:rsidRPr="00214D77">
        <w:rPr>
          <w:rFonts w:ascii="Arial Narrow" w:eastAsia="Times New Roman" w:hAnsi="Arial Narrow" w:cs="Arial"/>
          <w:snapToGrid w:val="0"/>
          <w:sz w:val="18"/>
          <w:szCs w:val="20"/>
        </w:rPr>
        <w:t xml:space="preserve"> fusion frequency tumour types. Other minor revisions to treatment costs modelled and SoC STS data.</w:t>
      </w:r>
    </w:p>
    <w:p w14:paraId="5924DD27" w14:textId="4C1CA21D" w:rsidR="00214D77" w:rsidRDefault="00214D77" w:rsidP="00C06749">
      <w:pPr>
        <w:widowControl w:val="0"/>
        <w:spacing w:before="0" w:after="0"/>
        <w:jc w:val="left"/>
        <w:rPr>
          <w:rFonts w:ascii="Arial Narrow" w:eastAsia="Times New Roman" w:hAnsi="Arial Narrow" w:cs="Arial"/>
          <w:snapToGrid w:val="0"/>
          <w:sz w:val="18"/>
          <w:szCs w:val="20"/>
        </w:rPr>
      </w:pPr>
      <w:r w:rsidRPr="00214D77">
        <w:rPr>
          <w:rFonts w:ascii="Arial Narrow" w:eastAsia="Times New Roman" w:hAnsi="Arial Narrow" w:cs="Arial"/>
          <w:i/>
          <w:snapToGrid w:val="0"/>
          <w:sz w:val="18"/>
          <w:szCs w:val="20"/>
        </w:rPr>
        <w:t>NTRK</w:t>
      </w:r>
      <w:r w:rsidRPr="00214D77">
        <w:rPr>
          <w:rFonts w:ascii="Arial Narrow" w:eastAsia="Times New Roman" w:hAnsi="Arial Narrow" w:cs="Arial"/>
          <w:snapToGrid w:val="0"/>
          <w:sz w:val="18"/>
          <w:szCs w:val="20"/>
        </w:rPr>
        <w:t xml:space="preserve"> = neurotrophic tropomyosin receptor kinase; OS = overall survival; PFS = progression-free survival; QALY = quality-adjusted life year; SoC = standard of care.</w:t>
      </w:r>
    </w:p>
    <w:p w14:paraId="0184009D" w14:textId="215D9240" w:rsidR="002E0608" w:rsidRDefault="002E0608" w:rsidP="00C64B8C">
      <w:pPr>
        <w:snapToGrid w:val="0"/>
        <w:spacing w:before="0" w:after="0" w:line="276" w:lineRule="auto"/>
        <w:contextualSpacing/>
        <w:jc w:val="left"/>
        <w:rPr>
          <w:rFonts w:ascii="Arial Narrow" w:eastAsia="Times New Roman" w:hAnsi="Arial Narrow" w:cs="Arial"/>
          <w:sz w:val="18"/>
          <w:lang w:eastAsia="en-AU"/>
        </w:rPr>
      </w:pPr>
      <w:r w:rsidRPr="006539DF">
        <w:rPr>
          <w:rFonts w:ascii="Arial Narrow" w:eastAsia="Times New Roman" w:hAnsi="Arial Narrow" w:cs="Arial"/>
          <w:i/>
          <w:sz w:val="18"/>
          <w:lang w:eastAsia="en-AU"/>
        </w:rPr>
        <w:t xml:space="preserve">The redacted values correspond to the following ranges: </w:t>
      </w:r>
    </w:p>
    <w:p w14:paraId="76D42B55" w14:textId="441E5D5A" w:rsidR="00C64B8C" w:rsidRPr="00C06749" w:rsidRDefault="002E0608" w:rsidP="00C06749">
      <w:pPr>
        <w:snapToGrid w:val="0"/>
        <w:spacing w:before="0" w:after="0" w:line="276" w:lineRule="auto"/>
        <w:contextualSpacing/>
        <w:jc w:val="left"/>
        <w:rPr>
          <w:rFonts w:ascii="Arial Narrow" w:eastAsia="Times New Roman" w:hAnsi="Arial Narrow" w:cs="Arial"/>
          <w:i/>
          <w:iCs/>
          <w:sz w:val="18"/>
          <w:lang w:eastAsia="en-AU"/>
        </w:rPr>
      </w:pPr>
      <w:r w:rsidRPr="00C06749">
        <w:rPr>
          <w:rFonts w:ascii="Arial Narrow" w:eastAsia="Times New Roman" w:hAnsi="Arial Narrow" w:cs="Arial"/>
          <w:i/>
          <w:iCs/>
          <w:sz w:val="18"/>
          <w:vertAlign w:val="superscript"/>
          <w:lang w:eastAsia="en-AU"/>
        </w:rPr>
        <w:t>1</w:t>
      </w:r>
      <w:r>
        <w:rPr>
          <w:rFonts w:ascii="Arial Narrow" w:eastAsia="Times New Roman" w:hAnsi="Arial Narrow" w:cs="Arial"/>
          <w:i/>
          <w:iCs/>
          <w:sz w:val="18"/>
          <w:lang w:eastAsia="en-AU"/>
        </w:rPr>
        <w:t xml:space="preserve"> $75,000 to &lt; $95,000</w:t>
      </w:r>
    </w:p>
    <w:p w14:paraId="7645117C" w14:textId="025ADE9A" w:rsidR="00214D77" w:rsidRPr="00214D77" w:rsidRDefault="00214D77" w:rsidP="00214D77">
      <w:pPr>
        <w:spacing w:before="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lastRenderedPageBreak/>
        <w:t xml:space="preserve">The commentary performed sensitivity analyses on arbitrary variation in test parameters in the specified adult low frequency </w:t>
      </w:r>
      <w:r w:rsidRPr="00214D77">
        <w:rPr>
          <w:rFonts w:ascii="Times New Roman" w:eastAsia="Times New Roman" w:hAnsi="Times New Roman" w:cs="Times New Roman"/>
          <w:i/>
          <w:iCs/>
          <w:szCs w:val="20"/>
          <w:lang w:eastAsia="en-AU"/>
        </w:rPr>
        <w:t>NTRK</w:t>
      </w:r>
      <w:r w:rsidRPr="00214D77">
        <w:rPr>
          <w:rFonts w:ascii="Times New Roman" w:eastAsia="Times New Roman" w:hAnsi="Times New Roman" w:cs="Times New Roman"/>
          <w:szCs w:val="20"/>
          <w:lang w:eastAsia="en-AU"/>
        </w:rPr>
        <w:t xml:space="preserve"> tumours combined:</w:t>
      </w:r>
    </w:p>
    <w:p w14:paraId="52BCA69A" w14:textId="288CCE8C" w:rsidR="00214D77" w:rsidRPr="00214D77" w:rsidRDefault="00214D77" w:rsidP="00864249">
      <w:pPr>
        <w:numPr>
          <w:ilvl w:val="0"/>
          <w:numId w:val="28"/>
        </w:numPr>
        <w:spacing w:before="0" w:after="0"/>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Decrease in sensitivity and specificity by 20%: ICER = $</w:t>
      </w:r>
      <w:r w:rsidR="006B02EE" w:rsidRPr="006B02EE">
        <w:rPr>
          <w:rFonts w:ascii="Times New Roman" w:eastAsia="Times New Roman" w:hAnsi="Times New Roman" w:cs="Times New Roman"/>
          <w:szCs w:val="20"/>
          <w:lang w:eastAsia="en-AU"/>
        </w:rPr>
        <w:t>115,000 to &lt;</w:t>
      </w:r>
      <w:r w:rsidR="006B02EE">
        <w:rPr>
          <w:rFonts w:ascii="Times New Roman" w:eastAsia="Times New Roman" w:hAnsi="Times New Roman" w:cs="Times New Roman"/>
          <w:szCs w:val="20"/>
          <w:lang w:eastAsia="en-AU"/>
        </w:rPr>
        <w:t> </w:t>
      </w:r>
      <w:r w:rsidR="006B02EE" w:rsidRPr="006B02EE">
        <w:rPr>
          <w:rFonts w:ascii="Times New Roman" w:eastAsia="Times New Roman" w:hAnsi="Times New Roman" w:cs="Times New Roman"/>
          <w:szCs w:val="20"/>
          <w:lang w:eastAsia="en-AU"/>
        </w:rPr>
        <w:t>$135,000</w:t>
      </w:r>
    </w:p>
    <w:p w14:paraId="2A5032CB" w14:textId="7FDEADB2" w:rsidR="00214D77" w:rsidRPr="00214D77" w:rsidRDefault="00214D77" w:rsidP="00864249">
      <w:pPr>
        <w:numPr>
          <w:ilvl w:val="0"/>
          <w:numId w:val="28"/>
        </w:numPr>
        <w:spacing w:before="0" w:after="0"/>
        <w:contextualSpacing/>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Decrease NGS/FISH specificity by 10%: ICER = $</w:t>
      </w:r>
      <w:r w:rsidR="006B02EE" w:rsidRPr="006B02EE">
        <w:rPr>
          <w:rFonts w:ascii="Times New Roman" w:eastAsia="Times New Roman" w:hAnsi="Times New Roman" w:cs="Times New Roman"/>
          <w:szCs w:val="20"/>
          <w:lang w:eastAsia="en-AU"/>
        </w:rPr>
        <w:t>$255,000 to &lt;</w:t>
      </w:r>
      <w:r w:rsidR="006B02EE">
        <w:rPr>
          <w:rFonts w:ascii="Times New Roman" w:eastAsia="Times New Roman" w:hAnsi="Times New Roman" w:cs="Times New Roman"/>
          <w:szCs w:val="20"/>
          <w:lang w:eastAsia="en-AU"/>
        </w:rPr>
        <w:t> </w:t>
      </w:r>
      <w:r w:rsidR="006B02EE" w:rsidRPr="006B02EE">
        <w:rPr>
          <w:rFonts w:ascii="Times New Roman" w:eastAsia="Times New Roman" w:hAnsi="Times New Roman" w:cs="Times New Roman"/>
          <w:szCs w:val="20"/>
          <w:lang w:eastAsia="en-AU"/>
        </w:rPr>
        <w:t>$355,000</w:t>
      </w:r>
      <w:r w:rsidRPr="00214D77">
        <w:rPr>
          <w:rFonts w:ascii="Times New Roman" w:eastAsia="Times New Roman" w:hAnsi="Times New Roman" w:cs="Times New Roman"/>
          <w:szCs w:val="20"/>
          <w:lang w:eastAsia="en-AU"/>
        </w:rPr>
        <w:t>.</w:t>
      </w:r>
    </w:p>
    <w:p w14:paraId="61B96F35" w14:textId="7C10F245" w:rsidR="00214D77" w:rsidRPr="00214D77" w:rsidRDefault="00214D77" w:rsidP="0028467B">
      <w:pPr>
        <w:spacing w:before="240" w:after="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iCs/>
          <w:szCs w:val="20"/>
          <w:lang w:eastAsia="en-AU"/>
        </w:rPr>
        <w:t>The commentary considered that while the analyses were observed to be highly sensitive to alternative test performance assumptions explored in the resubmission, there is a low risk of these being realised in practice. Analyses were conducted during the evaluation on plausible alternate values, and the ICER was not found to be overly sensitive to these (Table 1</w:t>
      </w:r>
      <w:r w:rsidR="00973890">
        <w:rPr>
          <w:rFonts w:ascii="Times New Roman" w:eastAsia="Times New Roman" w:hAnsi="Times New Roman" w:cs="Times New Roman"/>
          <w:iCs/>
          <w:szCs w:val="20"/>
          <w:lang w:eastAsia="en-AU"/>
        </w:rPr>
        <w:t>1</w:t>
      </w:r>
      <w:r w:rsidRPr="00214D77">
        <w:rPr>
          <w:rFonts w:ascii="Times New Roman" w:eastAsia="Times New Roman" w:hAnsi="Times New Roman" w:cs="Times New Roman"/>
          <w:iCs/>
          <w:szCs w:val="20"/>
          <w:lang w:eastAsia="en-AU"/>
        </w:rPr>
        <w:t>).</w:t>
      </w:r>
    </w:p>
    <w:p w14:paraId="7F58D631" w14:textId="312B3668" w:rsidR="00214D77" w:rsidRPr="00214D77" w:rsidRDefault="00214D77" w:rsidP="0028467B">
      <w:pPr>
        <w:keepNext/>
        <w:spacing w:before="240" w:after="40"/>
        <w:outlineLvl w:val="4"/>
        <w:rPr>
          <w:rFonts w:ascii="Arial Narrow" w:eastAsia="Times New Roman" w:hAnsi="Arial Narrow" w:cs="Arial"/>
          <w:b/>
          <w:bCs/>
          <w:iCs/>
          <w:sz w:val="20"/>
          <w:szCs w:val="20"/>
        </w:rPr>
      </w:pPr>
      <w:r w:rsidRPr="00214D77">
        <w:rPr>
          <w:rFonts w:ascii="Arial Narrow" w:eastAsia="Times New Roman" w:hAnsi="Arial Narrow" w:cs="Arial"/>
          <w:b/>
          <w:bCs/>
          <w:iCs/>
          <w:sz w:val="20"/>
          <w:szCs w:val="20"/>
        </w:rPr>
        <w:t>Table 1</w:t>
      </w:r>
      <w:r w:rsidR="00973890">
        <w:rPr>
          <w:rFonts w:ascii="Arial Narrow" w:eastAsia="Times New Roman" w:hAnsi="Arial Narrow" w:cs="Arial"/>
          <w:b/>
          <w:bCs/>
          <w:iCs/>
          <w:sz w:val="20"/>
          <w:szCs w:val="20"/>
        </w:rPr>
        <w:t>1</w:t>
      </w:r>
      <w:r w:rsidRPr="00214D77">
        <w:rPr>
          <w:rFonts w:ascii="Arial Narrow" w:eastAsia="Times New Roman" w:hAnsi="Arial Narrow" w:cs="Arial"/>
          <w:b/>
          <w:bCs/>
          <w:iCs/>
          <w:sz w:val="20"/>
          <w:szCs w:val="20"/>
        </w:rPr>
        <w:tab/>
        <w:t xml:space="preserve">Selected univariate sensitivity analyses performed on testing parameters and costs: specified adult low </w:t>
      </w:r>
      <w:r w:rsidRPr="00214D77">
        <w:rPr>
          <w:rFonts w:ascii="Arial Narrow" w:eastAsia="Times New Roman" w:hAnsi="Arial Narrow" w:cs="Arial"/>
          <w:b/>
          <w:bCs/>
          <w:i/>
          <w:iCs/>
          <w:sz w:val="20"/>
          <w:szCs w:val="20"/>
        </w:rPr>
        <w:t>NTRK</w:t>
      </w:r>
      <w:r w:rsidRPr="00214D77">
        <w:rPr>
          <w:rFonts w:ascii="Arial Narrow" w:eastAsia="Times New Roman" w:hAnsi="Arial Narrow" w:cs="Arial"/>
          <w:b/>
          <w:bCs/>
          <w:iCs/>
          <w:sz w:val="20"/>
          <w:szCs w:val="20"/>
        </w:rPr>
        <w:t xml:space="preserve"> frequency tumour types combined</w:t>
      </w:r>
    </w:p>
    <w:tbl>
      <w:tblPr>
        <w:tblStyle w:val="HTATableshaded"/>
        <w:tblW w:w="5000" w:type="pct"/>
        <w:tblLayout w:type="fixed"/>
        <w:tblLook w:val="04A0" w:firstRow="1" w:lastRow="0" w:firstColumn="1" w:lastColumn="0" w:noHBand="0" w:noVBand="1"/>
        <w:tblCaption w:val="Table 10 Univariate sensitivity analyses performed on testing parameters and costs: specified adult low NTRK frequency tumour types combined"/>
      </w:tblPr>
      <w:tblGrid>
        <w:gridCol w:w="4959"/>
        <w:gridCol w:w="1134"/>
        <w:gridCol w:w="1134"/>
        <w:gridCol w:w="1136"/>
        <w:gridCol w:w="653"/>
      </w:tblGrid>
      <w:tr w:rsidR="00214D77" w:rsidRPr="00C06749" w14:paraId="5BC6DC24" w14:textId="77777777" w:rsidTr="00214D77">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14:paraId="0E1E0885" w14:textId="77777777" w:rsidR="00214D77" w:rsidRPr="00214D77" w:rsidRDefault="00214D77" w:rsidP="00214D77">
            <w:pPr>
              <w:widowControl w:val="0"/>
              <w:spacing w:before="40" w:after="40" w:line="256" w:lineRule="auto"/>
              <w:jc w:val="left"/>
              <w:rPr>
                <w:rFonts w:ascii="Arial Narrow" w:eastAsia="Calibri" w:hAnsi="Arial Narrow"/>
                <w:b/>
                <w:sz w:val="20"/>
              </w:rPr>
            </w:pPr>
          </w:p>
        </w:tc>
        <w:tc>
          <w:tcPr>
            <w:tcW w:w="629" w:type="pct"/>
            <w:noWrap/>
            <w:hideMark/>
          </w:tcPr>
          <w:p w14:paraId="31398D64" w14:textId="77777777" w:rsidR="00214D77" w:rsidRPr="00C06749" w:rsidRDefault="00214D77" w:rsidP="00214D77">
            <w:pPr>
              <w:widowControl w:val="0"/>
              <w:spacing w:before="40" w:after="40" w:line="256" w:lineRule="auto"/>
              <w:jc w:val="center"/>
              <w:rPr>
                <w:rFonts w:ascii="Arial Narrow" w:eastAsia="Calibri" w:hAnsi="Arial Narrow"/>
                <w:b/>
                <w:sz w:val="20"/>
              </w:rPr>
            </w:pPr>
            <w:r w:rsidRPr="00C06749">
              <w:rPr>
                <w:rFonts w:ascii="Arial Narrow" w:eastAsia="Calibri" w:hAnsi="Arial Narrow"/>
                <w:b/>
                <w:sz w:val="20"/>
              </w:rPr>
              <w:t>Inc. cost</w:t>
            </w:r>
          </w:p>
        </w:tc>
        <w:tc>
          <w:tcPr>
            <w:tcW w:w="629" w:type="pct"/>
            <w:noWrap/>
            <w:hideMark/>
          </w:tcPr>
          <w:p w14:paraId="07F1FC37" w14:textId="77777777" w:rsidR="00214D77" w:rsidRPr="00C06749" w:rsidRDefault="00214D77" w:rsidP="00214D77">
            <w:pPr>
              <w:widowControl w:val="0"/>
              <w:spacing w:before="40" w:after="40" w:line="256" w:lineRule="auto"/>
              <w:jc w:val="center"/>
              <w:rPr>
                <w:rFonts w:ascii="Arial Narrow" w:eastAsia="Calibri" w:hAnsi="Arial Narrow"/>
                <w:b/>
                <w:sz w:val="20"/>
              </w:rPr>
            </w:pPr>
            <w:r w:rsidRPr="00C06749">
              <w:rPr>
                <w:rFonts w:ascii="Arial Narrow" w:eastAsia="Calibri" w:hAnsi="Arial Narrow"/>
                <w:b/>
                <w:sz w:val="20"/>
              </w:rPr>
              <w:t>Inc. QALYs</w:t>
            </w:r>
          </w:p>
        </w:tc>
        <w:tc>
          <w:tcPr>
            <w:tcW w:w="630" w:type="pct"/>
            <w:noWrap/>
            <w:hideMark/>
          </w:tcPr>
          <w:p w14:paraId="69657703" w14:textId="77777777" w:rsidR="00214D77" w:rsidRPr="00C06749" w:rsidRDefault="00214D77" w:rsidP="00214D77">
            <w:pPr>
              <w:widowControl w:val="0"/>
              <w:spacing w:before="40" w:after="40" w:line="256" w:lineRule="auto"/>
              <w:jc w:val="center"/>
              <w:rPr>
                <w:rFonts w:ascii="Arial Narrow" w:eastAsia="Calibri" w:hAnsi="Arial Narrow"/>
                <w:b/>
                <w:sz w:val="20"/>
              </w:rPr>
            </w:pPr>
            <w:r w:rsidRPr="00C06749">
              <w:rPr>
                <w:rFonts w:ascii="Arial Narrow" w:eastAsia="Calibri" w:hAnsi="Arial Narrow"/>
                <w:b/>
                <w:sz w:val="20"/>
              </w:rPr>
              <w:t>ICER</w:t>
            </w:r>
          </w:p>
        </w:tc>
        <w:tc>
          <w:tcPr>
            <w:tcW w:w="362" w:type="pct"/>
            <w:noWrap/>
            <w:hideMark/>
          </w:tcPr>
          <w:p w14:paraId="74938E4B" w14:textId="77777777" w:rsidR="00214D77" w:rsidRPr="00C06749" w:rsidRDefault="00214D77" w:rsidP="00214D77">
            <w:pPr>
              <w:widowControl w:val="0"/>
              <w:spacing w:before="40" w:after="40" w:line="256" w:lineRule="auto"/>
              <w:jc w:val="right"/>
              <w:rPr>
                <w:rFonts w:ascii="Arial Narrow" w:eastAsia="Calibri" w:hAnsi="Arial Narrow"/>
                <w:b/>
                <w:sz w:val="20"/>
              </w:rPr>
            </w:pPr>
            <w:r w:rsidRPr="00C06749">
              <w:rPr>
                <w:rFonts w:ascii="Arial Narrow" w:eastAsia="Calibri" w:hAnsi="Arial Narrow"/>
                <w:b/>
                <w:sz w:val="20"/>
              </w:rPr>
              <w:t>%</w:t>
            </w:r>
          </w:p>
        </w:tc>
      </w:tr>
      <w:tr w:rsidR="00214D77" w:rsidRPr="00C06749" w14:paraId="413013B5" w14:textId="77777777" w:rsidTr="00214D77">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14:paraId="76F82585" w14:textId="309E4C4A" w:rsidR="00214D77" w:rsidRPr="00C06749" w:rsidRDefault="00214D77" w:rsidP="00214D77">
            <w:pPr>
              <w:widowControl w:val="0"/>
              <w:spacing w:before="40" w:after="40" w:line="256" w:lineRule="auto"/>
              <w:jc w:val="left"/>
              <w:rPr>
                <w:rFonts w:ascii="Arial Narrow" w:eastAsia="Calibri" w:hAnsi="Arial Narrow"/>
                <w:b/>
                <w:sz w:val="20"/>
              </w:rPr>
            </w:pPr>
            <w:r w:rsidRPr="00C06749">
              <w:rPr>
                <w:rFonts w:ascii="Arial Narrow" w:eastAsia="Calibri" w:hAnsi="Arial Narrow"/>
                <w:b/>
                <w:sz w:val="20"/>
              </w:rPr>
              <w:t xml:space="preserve">Base case- </w:t>
            </w:r>
            <w:r w:rsidR="00A071FD" w:rsidRPr="00C06749">
              <w:rPr>
                <w:rFonts w:ascii="Arial Narrow" w:eastAsia="Calibri" w:hAnsi="Arial Narrow"/>
                <w:b/>
                <w:i/>
                <w:iCs/>
                <w:sz w:val="20"/>
              </w:rPr>
              <w:t>c</w:t>
            </w:r>
            <w:r w:rsidRPr="00C06749">
              <w:rPr>
                <w:rFonts w:ascii="Arial Narrow" w:eastAsia="Calibri" w:hAnsi="Arial Narrow"/>
                <w:b/>
                <w:i/>
                <w:iCs/>
                <w:sz w:val="20"/>
              </w:rPr>
              <w:t>ommentary</w:t>
            </w:r>
          </w:p>
        </w:tc>
        <w:tc>
          <w:tcPr>
            <w:tcW w:w="629" w:type="pct"/>
            <w:noWrap/>
            <w:hideMark/>
          </w:tcPr>
          <w:p w14:paraId="28C4545B" w14:textId="1CBA93F5" w:rsidR="00214D77" w:rsidRPr="00C06749" w:rsidRDefault="00214D77" w:rsidP="00214D77">
            <w:pPr>
              <w:widowControl w:val="0"/>
              <w:spacing w:before="40" w:after="40" w:line="256" w:lineRule="auto"/>
              <w:jc w:val="right"/>
              <w:rPr>
                <w:rFonts w:ascii="Arial Narrow" w:eastAsia="Calibri" w:hAnsi="Arial Narrow"/>
                <w:b/>
                <w:i/>
                <w:sz w:val="20"/>
              </w:rPr>
            </w:pPr>
            <w:r w:rsidRPr="00C06749">
              <w:rPr>
                <w:rFonts w:ascii="Arial Narrow" w:eastAsia="Calibri" w:hAnsi="Arial Narrow"/>
                <w:b/>
                <w:i/>
                <w:sz w:val="20"/>
              </w:rPr>
              <w:t>$</w:t>
            </w:r>
            <w:r w:rsidR="00164974" w:rsidRPr="00C06749">
              <w:rPr>
                <w:rFonts w:ascii="Arial Narrow" w:eastAsia="Calibri" w:hAnsi="Arial Narrow"/>
                <w:b/>
                <w:i/>
                <w:sz w:val="20"/>
              </w:rPr>
              <w:t>redacted</w:t>
            </w:r>
          </w:p>
        </w:tc>
        <w:tc>
          <w:tcPr>
            <w:tcW w:w="629" w:type="pct"/>
            <w:noWrap/>
            <w:hideMark/>
          </w:tcPr>
          <w:p w14:paraId="0EE4F669" w14:textId="77777777" w:rsidR="00214D77" w:rsidRPr="00C06749" w:rsidRDefault="00214D77" w:rsidP="00214D77">
            <w:pPr>
              <w:widowControl w:val="0"/>
              <w:spacing w:before="40" w:after="40" w:line="256" w:lineRule="auto"/>
              <w:jc w:val="right"/>
              <w:rPr>
                <w:rFonts w:ascii="Arial Narrow" w:eastAsia="Calibri" w:hAnsi="Arial Narrow"/>
                <w:b/>
                <w:i/>
                <w:sz w:val="20"/>
              </w:rPr>
            </w:pPr>
            <w:r w:rsidRPr="00C06749">
              <w:rPr>
                <w:rFonts w:ascii="Arial Narrow" w:eastAsia="Calibri" w:hAnsi="Arial Narrow"/>
                <w:b/>
                <w:i/>
                <w:sz w:val="20"/>
              </w:rPr>
              <w:t>0.008</w:t>
            </w:r>
          </w:p>
        </w:tc>
        <w:tc>
          <w:tcPr>
            <w:tcW w:w="630" w:type="pct"/>
            <w:noWrap/>
            <w:hideMark/>
          </w:tcPr>
          <w:p w14:paraId="00CDDB56" w14:textId="3CCACF15" w:rsidR="00214D77" w:rsidRPr="00C06749" w:rsidRDefault="00214D77" w:rsidP="00214D77">
            <w:pPr>
              <w:widowControl w:val="0"/>
              <w:spacing w:before="40" w:after="40" w:line="256" w:lineRule="auto"/>
              <w:jc w:val="right"/>
              <w:rPr>
                <w:rFonts w:ascii="Arial Narrow" w:eastAsia="Calibri" w:hAnsi="Arial Narrow"/>
                <w:b/>
                <w:i/>
                <w:sz w:val="20"/>
              </w:rPr>
            </w:pPr>
            <w:r w:rsidRPr="00C06749">
              <w:rPr>
                <w:rFonts w:ascii="Arial Narrow" w:eastAsia="Calibri" w:hAnsi="Arial Narrow"/>
                <w:b/>
                <w:i/>
                <w:sz w:val="20"/>
              </w:rPr>
              <w:t>$</w:t>
            </w:r>
            <w:r w:rsidR="00164974" w:rsidRPr="00C06749">
              <w:rPr>
                <w:rFonts w:ascii="Arial Narrow" w:eastAsia="Calibri" w:hAnsi="Arial Narrow"/>
                <w:b/>
                <w:bCs/>
                <w:i/>
                <w:sz w:val="20"/>
              </w:rPr>
              <w:t>redacted</w:t>
            </w:r>
            <w:r w:rsidR="00164974" w:rsidRPr="00C06749">
              <w:rPr>
                <w:rFonts w:ascii="Arial Narrow" w:eastAsia="Calibri" w:hAnsi="Arial Narrow"/>
                <w:i/>
                <w:sz w:val="20"/>
                <w:vertAlign w:val="superscript"/>
              </w:rPr>
              <w:t>1</w:t>
            </w:r>
          </w:p>
        </w:tc>
        <w:tc>
          <w:tcPr>
            <w:tcW w:w="362" w:type="pct"/>
            <w:noWrap/>
            <w:hideMark/>
          </w:tcPr>
          <w:p w14:paraId="746426C4" w14:textId="77777777" w:rsidR="00214D77" w:rsidRPr="00C06749" w:rsidRDefault="00214D77" w:rsidP="00214D77">
            <w:pPr>
              <w:widowControl w:val="0"/>
              <w:spacing w:before="40" w:after="40" w:line="256" w:lineRule="auto"/>
              <w:jc w:val="right"/>
              <w:rPr>
                <w:rFonts w:ascii="Arial Narrow" w:eastAsia="Calibri" w:hAnsi="Arial Narrow"/>
                <w:b/>
                <w:i/>
                <w:sz w:val="20"/>
              </w:rPr>
            </w:pPr>
          </w:p>
        </w:tc>
      </w:tr>
      <w:tr w:rsidR="00214D77" w:rsidRPr="00C06749" w14:paraId="4A3081D5" w14:textId="77777777" w:rsidTr="00214D77">
        <w:trPr>
          <w:trHeight w:val="300"/>
        </w:trPr>
        <w:tc>
          <w:tcPr>
            <w:tcW w:w="2750" w:type="pct"/>
            <w:tcBorders>
              <w:bottom w:val="single" w:sz="4" w:space="0" w:color="auto"/>
              <w:right w:val="nil"/>
            </w:tcBorders>
            <w:noWrap/>
            <w:hideMark/>
          </w:tcPr>
          <w:p w14:paraId="6C70D859"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Test parameters</w:t>
            </w:r>
          </w:p>
        </w:tc>
        <w:tc>
          <w:tcPr>
            <w:tcW w:w="629" w:type="pct"/>
            <w:tcBorders>
              <w:left w:val="nil"/>
              <w:bottom w:val="single" w:sz="4" w:space="0" w:color="auto"/>
              <w:right w:val="nil"/>
            </w:tcBorders>
            <w:noWrap/>
            <w:hideMark/>
          </w:tcPr>
          <w:p w14:paraId="4028C71E"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c>
          <w:tcPr>
            <w:tcW w:w="629" w:type="pct"/>
            <w:tcBorders>
              <w:left w:val="nil"/>
              <w:bottom w:val="single" w:sz="4" w:space="0" w:color="auto"/>
              <w:right w:val="nil"/>
            </w:tcBorders>
            <w:noWrap/>
            <w:hideMark/>
          </w:tcPr>
          <w:p w14:paraId="776B9C3E"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c>
          <w:tcPr>
            <w:tcW w:w="630" w:type="pct"/>
            <w:tcBorders>
              <w:left w:val="nil"/>
              <w:bottom w:val="single" w:sz="4" w:space="0" w:color="auto"/>
              <w:right w:val="nil"/>
            </w:tcBorders>
            <w:noWrap/>
            <w:hideMark/>
          </w:tcPr>
          <w:p w14:paraId="7655E843"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c>
          <w:tcPr>
            <w:tcW w:w="362" w:type="pct"/>
            <w:tcBorders>
              <w:left w:val="nil"/>
              <w:bottom w:val="single" w:sz="4" w:space="0" w:color="auto"/>
            </w:tcBorders>
            <w:noWrap/>
            <w:hideMark/>
          </w:tcPr>
          <w:p w14:paraId="58BC485A"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r>
      <w:tr w:rsidR="00214D77" w:rsidRPr="00C06749" w14:paraId="621F9A4A" w14:textId="77777777" w:rsidTr="00214D77">
        <w:trPr>
          <w:trHeight w:val="300"/>
        </w:trPr>
        <w:tc>
          <w:tcPr>
            <w:tcW w:w="2750" w:type="pct"/>
            <w:tcBorders>
              <w:bottom w:val="nil"/>
            </w:tcBorders>
            <w:noWrap/>
            <w:hideMark/>
          </w:tcPr>
          <w:p w14:paraId="41F199C0" w14:textId="77777777" w:rsidR="00214D77" w:rsidRPr="00C06749" w:rsidRDefault="00214D77" w:rsidP="00214D77">
            <w:pPr>
              <w:keepNext/>
              <w:widowControl w:val="0"/>
              <w:spacing w:before="40" w:after="40" w:line="256" w:lineRule="auto"/>
              <w:jc w:val="left"/>
              <w:rPr>
                <w:rFonts w:ascii="Arial Narrow" w:eastAsia="Calibri" w:hAnsi="Arial Narrow"/>
                <w:i/>
                <w:sz w:val="20"/>
              </w:rPr>
            </w:pPr>
            <w:r w:rsidRPr="00C06749">
              <w:rPr>
                <w:rFonts w:ascii="Arial Narrow" w:eastAsia="Calibri" w:hAnsi="Arial Narrow"/>
                <w:i/>
                <w:sz w:val="20"/>
              </w:rPr>
              <w:t xml:space="preserve">NGS/FISH performance, median DNA-NGS performance: </w:t>
            </w:r>
            <w:r w:rsidRPr="00C06749">
              <w:rPr>
                <w:rFonts w:ascii="Arial Narrow" w:eastAsia="Calibri" w:hAnsi="Arial Narrow"/>
                <w:sz w:val="20"/>
              </w:rPr>
              <w:t>90.55% sensitivity and 99.9% specificity</w:t>
            </w:r>
            <w:r w:rsidRPr="00C06749">
              <w:rPr>
                <w:rFonts w:ascii="Arial Narrow" w:eastAsia="Calibri" w:hAnsi="Arial Narrow"/>
                <w:i/>
                <w:sz w:val="20"/>
              </w:rPr>
              <w:br/>
              <w:t>(base case: 100% test performance)</w:t>
            </w:r>
          </w:p>
        </w:tc>
        <w:tc>
          <w:tcPr>
            <w:tcW w:w="629" w:type="pct"/>
            <w:tcBorders>
              <w:bottom w:val="nil"/>
            </w:tcBorders>
            <w:noWrap/>
            <w:hideMark/>
          </w:tcPr>
          <w:p w14:paraId="6CA43EA1" w14:textId="4B77317E"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bottom w:val="nil"/>
            </w:tcBorders>
            <w:noWrap/>
            <w:hideMark/>
          </w:tcPr>
          <w:p w14:paraId="74038532"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0.007</w:t>
            </w:r>
          </w:p>
        </w:tc>
        <w:tc>
          <w:tcPr>
            <w:tcW w:w="630" w:type="pct"/>
            <w:tcBorders>
              <w:bottom w:val="nil"/>
            </w:tcBorders>
            <w:noWrap/>
            <w:hideMark/>
          </w:tcPr>
          <w:p w14:paraId="4619BFC8" w14:textId="36B298F3"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2</w:t>
            </w:r>
          </w:p>
        </w:tc>
        <w:tc>
          <w:tcPr>
            <w:tcW w:w="362" w:type="pct"/>
            <w:tcBorders>
              <w:bottom w:val="nil"/>
            </w:tcBorders>
            <w:noWrap/>
            <w:hideMark/>
          </w:tcPr>
          <w:p w14:paraId="64DF35CB"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4%</w:t>
            </w:r>
          </w:p>
        </w:tc>
      </w:tr>
      <w:tr w:rsidR="00214D77" w:rsidRPr="00C06749" w14:paraId="44807584" w14:textId="77777777" w:rsidTr="00214D77">
        <w:trPr>
          <w:trHeight w:val="300"/>
        </w:trPr>
        <w:tc>
          <w:tcPr>
            <w:tcW w:w="2750" w:type="pct"/>
            <w:tcBorders>
              <w:top w:val="nil"/>
              <w:bottom w:val="nil"/>
            </w:tcBorders>
            <w:noWrap/>
            <w:hideMark/>
          </w:tcPr>
          <w:p w14:paraId="716EF826" w14:textId="77777777" w:rsidR="00214D77" w:rsidRPr="00C06749" w:rsidRDefault="00214D77" w:rsidP="00214D77">
            <w:pPr>
              <w:keepNext/>
              <w:widowControl w:val="0"/>
              <w:spacing w:before="40" w:after="40" w:line="256" w:lineRule="auto"/>
              <w:jc w:val="left"/>
              <w:rPr>
                <w:rFonts w:ascii="Arial Narrow" w:eastAsia="Calibri" w:hAnsi="Arial Narrow"/>
                <w:i/>
                <w:sz w:val="20"/>
              </w:rPr>
            </w:pPr>
            <w:r w:rsidRPr="00C06749">
              <w:rPr>
                <w:rFonts w:ascii="Arial Narrow" w:eastAsia="Calibri" w:hAnsi="Arial Narrow"/>
                <w:i/>
                <w:sz w:val="20"/>
              </w:rPr>
              <w:t xml:space="preserve">IHC sensitivity, 88%, 96% specificity </w:t>
            </w:r>
            <w:r w:rsidRPr="00C06749">
              <w:rPr>
                <w:rFonts w:ascii="Arial Narrow" w:eastAsia="Calibri" w:hAnsi="Arial Narrow"/>
                <w:i/>
                <w:sz w:val="20"/>
              </w:rPr>
              <w:br/>
              <w:t>(base case: varies by tumour type)</w:t>
            </w:r>
          </w:p>
        </w:tc>
        <w:tc>
          <w:tcPr>
            <w:tcW w:w="629" w:type="pct"/>
            <w:tcBorders>
              <w:top w:val="nil"/>
              <w:bottom w:val="nil"/>
            </w:tcBorders>
            <w:noWrap/>
            <w:hideMark/>
          </w:tcPr>
          <w:p w14:paraId="4932BFE4" w14:textId="7CF6E54E"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3AF871DC"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nil"/>
            </w:tcBorders>
            <w:noWrap/>
            <w:hideMark/>
          </w:tcPr>
          <w:p w14:paraId="6834CB34" w14:textId="26C7DAF2"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4C647244"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2%</w:t>
            </w:r>
          </w:p>
        </w:tc>
      </w:tr>
      <w:tr w:rsidR="00214D77" w:rsidRPr="00C06749" w14:paraId="4B541BE7" w14:textId="77777777" w:rsidTr="00214D77">
        <w:trPr>
          <w:trHeight w:val="300"/>
        </w:trPr>
        <w:tc>
          <w:tcPr>
            <w:tcW w:w="2750" w:type="pct"/>
            <w:tcBorders>
              <w:top w:val="nil"/>
              <w:bottom w:val="nil"/>
            </w:tcBorders>
            <w:noWrap/>
            <w:hideMark/>
          </w:tcPr>
          <w:p w14:paraId="0F29287D"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Decrease adult low IHC sensitivity and specificity by 20%</w:t>
            </w:r>
          </w:p>
        </w:tc>
        <w:tc>
          <w:tcPr>
            <w:tcW w:w="629" w:type="pct"/>
            <w:tcBorders>
              <w:top w:val="nil"/>
              <w:bottom w:val="nil"/>
            </w:tcBorders>
            <w:noWrap/>
            <w:hideMark/>
          </w:tcPr>
          <w:p w14:paraId="39030D97" w14:textId="6A0BFDB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452D2CF3"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0.006</w:t>
            </w:r>
          </w:p>
        </w:tc>
        <w:tc>
          <w:tcPr>
            <w:tcW w:w="630" w:type="pct"/>
            <w:tcBorders>
              <w:top w:val="nil"/>
              <w:bottom w:val="nil"/>
            </w:tcBorders>
            <w:noWrap/>
            <w:hideMark/>
          </w:tcPr>
          <w:p w14:paraId="712250F9" w14:textId="69114B5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D9500D" w:rsidRPr="00C06749">
              <w:rPr>
                <w:rFonts w:ascii="Arial Narrow" w:eastAsia="Calibri" w:hAnsi="Arial Narrow"/>
                <w:i/>
                <w:sz w:val="20"/>
              </w:rPr>
              <w:t>redacted</w:t>
            </w:r>
            <w:r w:rsidR="00D9500D" w:rsidRPr="00C06749">
              <w:rPr>
                <w:rFonts w:ascii="Arial Narrow" w:eastAsia="Calibri" w:hAnsi="Arial Narrow"/>
                <w:i/>
                <w:sz w:val="20"/>
                <w:vertAlign w:val="superscript"/>
              </w:rPr>
              <w:t>3</w:t>
            </w:r>
          </w:p>
        </w:tc>
        <w:tc>
          <w:tcPr>
            <w:tcW w:w="362" w:type="pct"/>
            <w:tcBorders>
              <w:top w:val="nil"/>
              <w:bottom w:val="nil"/>
            </w:tcBorders>
            <w:noWrap/>
            <w:hideMark/>
          </w:tcPr>
          <w:p w14:paraId="4C895379"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32%</w:t>
            </w:r>
          </w:p>
        </w:tc>
      </w:tr>
      <w:tr w:rsidR="00214D77" w:rsidRPr="00C06749" w14:paraId="4F23703C" w14:textId="77777777" w:rsidTr="00214D77">
        <w:trPr>
          <w:trHeight w:val="300"/>
        </w:trPr>
        <w:tc>
          <w:tcPr>
            <w:tcW w:w="2750" w:type="pct"/>
            <w:tcBorders>
              <w:top w:val="nil"/>
              <w:bottom w:val="nil"/>
            </w:tcBorders>
            <w:noWrap/>
            <w:hideMark/>
          </w:tcPr>
          <w:p w14:paraId="74BF49AD"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Increase adult low IHC sensitivity and specificity by 20%</w:t>
            </w:r>
          </w:p>
        </w:tc>
        <w:tc>
          <w:tcPr>
            <w:tcW w:w="629" w:type="pct"/>
            <w:tcBorders>
              <w:top w:val="nil"/>
              <w:bottom w:val="nil"/>
            </w:tcBorders>
            <w:noWrap/>
            <w:hideMark/>
          </w:tcPr>
          <w:p w14:paraId="697A6D1A" w14:textId="074EF15E"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18B87702"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0.009</w:t>
            </w:r>
          </w:p>
        </w:tc>
        <w:tc>
          <w:tcPr>
            <w:tcW w:w="630" w:type="pct"/>
            <w:tcBorders>
              <w:top w:val="nil"/>
              <w:bottom w:val="nil"/>
            </w:tcBorders>
            <w:noWrap/>
            <w:hideMark/>
          </w:tcPr>
          <w:p w14:paraId="77BA452A" w14:textId="7A8E6408"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3FFC5A5D"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–2%</w:t>
            </w:r>
          </w:p>
        </w:tc>
      </w:tr>
      <w:tr w:rsidR="00214D77" w:rsidRPr="00C06749" w14:paraId="608A0364" w14:textId="77777777" w:rsidTr="00214D77">
        <w:trPr>
          <w:trHeight w:val="300"/>
        </w:trPr>
        <w:tc>
          <w:tcPr>
            <w:tcW w:w="2750" w:type="pct"/>
            <w:tcBorders>
              <w:top w:val="nil"/>
              <w:bottom w:val="nil"/>
            </w:tcBorders>
            <w:noWrap/>
            <w:hideMark/>
          </w:tcPr>
          <w:p w14:paraId="1D958E75"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Decrease NGS/FISH sensitivity and specificity by 10%</w:t>
            </w:r>
          </w:p>
        </w:tc>
        <w:tc>
          <w:tcPr>
            <w:tcW w:w="629" w:type="pct"/>
            <w:tcBorders>
              <w:top w:val="nil"/>
              <w:bottom w:val="nil"/>
            </w:tcBorders>
            <w:noWrap/>
            <w:hideMark/>
          </w:tcPr>
          <w:p w14:paraId="0D86DE1F" w14:textId="0226BB02"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0A0406E9"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0.007</w:t>
            </w:r>
          </w:p>
        </w:tc>
        <w:tc>
          <w:tcPr>
            <w:tcW w:w="630" w:type="pct"/>
            <w:tcBorders>
              <w:top w:val="nil"/>
              <w:bottom w:val="nil"/>
            </w:tcBorders>
            <w:noWrap/>
            <w:hideMark/>
          </w:tcPr>
          <w:p w14:paraId="5789BC3C" w14:textId="22E0E0E5"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D9500D" w:rsidRPr="00C06749">
              <w:rPr>
                <w:rFonts w:ascii="Arial Narrow" w:eastAsia="Calibri" w:hAnsi="Arial Narrow"/>
                <w:i/>
                <w:sz w:val="20"/>
              </w:rPr>
              <w:t>redacted</w:t>
            </w:r>
            <w:r w:rsidR="00D9500D" w:rsidRPr="00C06749">
              <w:rPr>
                <w:rFonts w:ascii="Arial Narrow" w:eastAsia="Calibri" w:hAnsi="Arial Narrow"/>
                <w:i/>
                <w:sz w:val="20"/>
                <w:vertAlign w:val="superscript"/>
              </w:rPr>
              <w:t>4</w:t>
            </w:r>
          </w:p>
        </w:tc>
        <w:tc>
          <w:tcPr>
            <w:tcW w:w="362" w:type="pct"/>
            <w:tcBorders>
              <w:top w:val="nil"/>
              <w:bottom w:val="nil"/>
            </w:tcBorders>
            <w:noWrap/>
            <w:hideMark/>
          </w:tcPr>
          <w:p w14:paraId="5A072E59"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269%</w:t>
            </w:r>
          </w:p>
        </w:tc>
      </w:tr>
      <w:tr w:rsidR="00214D77" w:rsidRPr="00C06749" w14:paraId="4AC6FEC8" w14:textId="77777777" w:rsidTr="00214D77">
        <w:trPr>
          <w:trHeight w:val="300"/>
        </w:trPr>
        <w:tc>
          <w:tcPr>
            <w:tcW w:w="2750" w:type="pct"/>
            <w:tcBorders>
              <w:top w:val="nil"/>
              <w:bottom w:val="nil"/>
            </w:tcBorders>
            <w:noWrap/>
            <w:hideMark/>
          </w:tcPr>
          <w:p w14:paraId="29B10539" w14:textId="77777777" w:rsidR="00214D77" w:rsidRPr="00C06749" w:rsidRDefault="00214D77" w:rsidP="00214D77">
            <w:pPr>
              <w:keepNext/>
              <w:widowControl w:val="0"/>
              <w:spacing w:before="40" w:after="40" w:line="256" w:lineRule="auto"/>
              <w:jc w:val="left"/>
              <w:rPr>
                <w:rFonts w:ascii="Arial Narrow" w:eastAsia="Calibri" w:hAnsi="Arial Narrow"/>
                <w:i/>
                <w:sz w:val="20"/>
              </w:rPr>
            </w:pPr>
            <w:r w:rsidRPr="00C06749">
              <w:rPr>
                <w:rFonts w:ascii="Arial Narrow" w:eastAsia="Calibri" w:hAnsi="Arial Narrow"/>
                <w:i/>
                <w:sz w:val="20"/>
              </w:rPr>
              <w:t>Decrease NGS/FISH sensitivity by 10%</w:t>
            </w:r>
          </w:p>
        </w:tc>
        <w:tc>
          <w:tcPr>
            <w:tcW w:w="629" w:type="pct"/>
            <w:tcBorders>
              <w:top w:val="nil"/>
              <w:bottom w:val="nil"/>
            </w:tcBorders>
            <w:noWrap/>
            <w:hideMark/>
          </w:tcPr>
          <w:p w14:paraId="072212C8" w14:textId="7E4CD696"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4137498A"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0.007</w:t>
            </w:r>
          </w:p>
        </w:tc>
        <w:tc>
          <w:tcPr>
            <w:tcW w:w="630" w:type="pct"/>
            <w:tcBorders>
              <w:top w:val="nil"/>
              <w:bottom w:val="nil"/>
            </w:tcBorders>
            <w:noWrap/>
            <w:hideMark/>
          </w:tcPr>
          <w:p w14:paraId="010D0688" w14:textId="64D1292F"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6BC04940"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1%</w:t>
            </w:r>
          </w:p>
        </w:tc>
      </w:tr>
      <w:tr w:rsidR="00214D77" w:rsidRPr="00C06749" w14:paraId="58BEBECC" w14:textId="77777777" w:rsidTr="00214D77">
        <w:trPr>
          <w:trHeight w:val="300"/>
        </w:trPr>
        <w:tc>
          <w:tcPr>
            <w:tcW w:w="2750" w:type="pct"/>
            <w:tcBorders>
              <w:top w:val="nil"/>
              <w:bottom w:val="single" w:sz="4" w:space="0" w:color="auto"/>
            </w:tcBorders>
            <w:noWrap/>
            <w:hideMark/>
          </w:tcPr>
          <w:p w14:paraId="4F291EA4" w14:textId="77777777" w:rsidR="00214D77" w:rsidRPr="00C06749" w:rsidRDefault="00214D77" w:rsidP="00214D77">
            <w:pPr>
              <w:widowControl w:val="0"/>
              <w:spacing w:before="40" w:after="40" w:line="256" w:lineRule="auto"/>
              <w:jc w:val="left"/>
              <w:rPr>
                <w:rFonts w:ascii="Arial Narrow" w:eastAsia="Calibri" w:hAnsi="Arial Narrow"/>
                <w:iCs/>
                <w:sz w:val="20"/>
              </w:rPr>
            </w:pPr>
            <w:r w:rsidRPr="00C06749">
              <w:rPr>
                <w:rFonts w:ascii="Arial Narrow" w:eastAsia="Calibri" w:hAnsi="Arial Narrow"/>
                <w:i/>
                <w:sz w:val="20"/>
              </w:rPr>
              <w:t>Decrease NGS/FISH specificity by 10%</w:t>
            </w:r>
          </w:p>
        </w:tc>
        <w:tc>
          <w:tcPr>
            <w:tcW w:w="629" w:type="pct"/>
            <w:tcBorders>
              <w:top w:val="nil"/>
              <w:bottom w:val="single" w:sz="4" w:space="0" w:color="auto"/>
            </w:tcBorders>
            <w:noWrap/>
            <w:hideMark/>
          </w:tcPr>
          <w:p w14:paraId="77894733" w14:textId="10D3DB44" w:rsidR="00214D77" w:rsidRPr="00C06749"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single" w:sz="4" w:space="0" w:color="auto"/>
            </w:tcBorders>
            <w:noWrap/>
            <w:hideMark/>
          </w:tcPr>
          <w:p w14:paraId="687D769F" w14:textId="77777777" w:rsidR="00214D77" w:rsidRPr="00C06749"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single" w:sz="4" w:space="0" w:color="auto"/>
            </w:tcBorders>
            <w:noWrap/>
            <w:hideMark/>
          </w:tcPr>
          <w:p w14:paraId="303C9EC9" w14:textId="2A8F8D1B" w:rsidR="00214D77" w:rsidRPr="00C06749"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D9500D" w:rsidRPr="00C06749">
              <w:rPr>
                <w:rFonts w:ascii="Arial Narrow" w:eastAsia="Calibri" w:hAnsi="Arial Narrow"/>
                <w:i/>
                <w:sz w:val="20"/>
              </w:rPr>
              <w:t>redacted</w:t>
            </w:r>
            <w:r w:rsidR="00D9500D" w:rsidRPr="00C06749">
              <w:rPr>
                <w:rFonts w:ascii="Arial Narrow" w:eastAsia="Calibri" w:hAnsi="Arial Narrow"/>
                <w:i/>
                <w:sz w:val="20"/>
                <w:vertAlign w:val="superscript"/>
              </w:rPr>
              <w:t>4</w:t>
            </w:r>
          </w:p>
        </w:tc>
        <w:tc>
          <w:tcPr>
            <w:tcW w:w="362" w:type="pct"/>
            <w:tcBorders>
              <w:top w:val="nil"/>
              <w:bottom w:val="single" w:sz="4" w:space="0" w:color="auto"/>
            </w:tcBorders>
            <w:noWrap/>
            <w:hideMark/>
          </w:tcPr>
          <w:p w14:paraId="20A44383" w14:textId="77777777" w:rsidR="00214D77" w:rsidRPr="00C06749"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241%</w:t>
            </w:r>
          </w:p>
        </w:tc>
      </w:tr>
      <w:tr w:rsidR="00214D77" w:rsidRPr="00C06749" w14:paraId="65584C85" w14:textId="77777777" w:rsidTr="00214D77">
        <w:trPr>
          <w:trHeight w:val="300"/>
        </w:trPr>
        <w:tc>
          <w:tcPr>
            <w:tcW w:w="2750" w:type="pct"/>
            <w:tcBorders>
              <w:bottom w:val="single" w:sz="4" w:space="0" w:color="auto"/>
              <w:right w:val="nil"/>
            </w:tcBorders>
            <w:noWrap/>
            <w:hideMark/>
          </w:tcPr>
          <w:p w14:paraId="28AA7985"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Cost of testing</w:t>
            </w:r>
          </w:p>
        </w:tc>
        <w:tc>
          <w:tcPr>
            <w:tcW w:w="629" w:type="pct"/>
            <w:tcBorders>
              <w:left w:val="nil"/>
              <w:bottom w:val="single" w:sz="4" w:space="0" w:color="auto"/>
              <w:right w:val="nil"/>
            </w:tcBorders>
            <w:noWrap/>
            <w:hideMark/>
          </w:tcPr>
          <w:p w14:paraId="2F049BE3"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c>
          <w:tcPr>
            <w:tcW w:w="629" w:type="pct"/>
            <w:tcBorders>
              <w:left w:val="nil"/>
              <w:bottom w:val="single" w:sz="4" w:space="0" w:color="auto"/>
              <w:right w:val="nil"/>
            </w:tcBorders>
            <w:noWrap/>
            <w:hideMark/>
          </w:tcPr>
          <w:p w14:paraId="5EDD329F"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c>
          <w:tcPr>
            <w:tcW w:w="630" w:type="pct"/>
            <w:tcBorders>
              <w:left w:val="nil"/>
              <w:bottom w:val="single" w:sz="4" w:space="0" w:color="auto"/>
              <w:right w:val="nil"/>
            </w:tcBorders>
            <w:noWrap/>
            <w:hideMark/>
          </w:tcPr>
          <w:p w14:paraId="66EBF1D3"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c>
          <w:tcPr>
            <w:tcW w:w="362" w:type="pct"/>
            <w:tcBorders>
              <w:left w:val="nil"/>
              <w:bottom w:val="single" w:sz="4" w:space="0" w:color="auto"/>
            </w:tcBorders>
            <w:noWrap/>
            <w:hideMark/>
          </w:tcPr>
          <w:p w14:paraId="04A9135B"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p>
        </w:tc>
      </w:tr>
      <w:tr w:rsidR="00214D77" w:rsidRPr="00C06749" w14:paraId="0FD65964" w14:textId="77777777" w:rsidTr="00214D77">
        <w:trPr>
          <w:trHeight w:val="300"/>
        </w:trPr>
        <w:tc>
          <w:tcPr>
            <w:tcW w:w="2750" w:type="pct"/>
            <w:tcBorders>
              <w:bottom w:val="nil"/>
            </w:tcBorders>
            <w:noWrap/>
            <w:hideMark/>
          </w:tcPr>
          <w:p w14:paraId="077C6894" w14:textId="77777777" w:rsidR="00214D77" w:rsidRPr="00C06749" w:rsidRDefault="00214D77" w:rsidP="00214D77">
            <w:pPr>
              <w:keepNext/>
              <w:widowControl w:val="0"/>
              <w:spacing w:before="40" w:after="40" w:line="256" w:lineRule="auto"/>
              <w:jc w:val="left"/>
              <w:rPr>
                <w:rFonts w:ascii="Arial Narrow" w:eastAsia="Calibri" w:hAnsi="Arial Narrow"/>
                <w:i/>
                <w:sz w:val="20"/>
              </w:rPr>
            </w:pPr>
            <w:r w:rsidRPr="00C06749">
              <w:rPr>
                <w:rFonts w:ascii="Arial Narrow" w:eastAsia="Calibri" w:hAnsi="Arial Narrow"/>
                <w:i/>
                <w:sz w:val="20"/>
              </w:rPr>
              <w:t>IHC test cost, $59.60 (base case: $74.50)</w:t>
            </w:r>
          </w:p>
        </w:tc>
        <w:tc>
          <w:tcPr>
            <w:tcW w:w="629" w:type="pct"/>
            <w:tcBorders>
              <w:bottom w:val="nil"/>
            </w:tcBorders>
            <w:noWrap/>
            <w:hideMark/>
          </w:tcPr>
          <w:p w14:paraId="4AC4BC93" w14:textId="08FC102A"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bottom w:val="nil"/>
            </w:tcBorders>
            <w:noWrap/>
            <w:hideMark/>
          </w:tcPr>
          <w:p w14:paraId="78831FD3"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bottom w:val="nil"/>
            </w:tcBorders>
            <w:noWrap/>
            <w:hideMark/>
          </w:tcPr>
          <w:p w14:paraId="5968EC58" w14:textId="4904D1A8"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bottom w:val="nil"/>
            </w:tcBorders>
            <w:noWrap/>
            <w:hideMark/>
          </w:tcPr>
          <w:p w14:paraId="293FCE34"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–2%</w:t>
            </w:r>
          </w:p>
        </w:tc>
      </w:tr>
      <w:tr w:rsidR="00214D77" w:rsidRPr="00C06749" w14:paraId="4F91EFC6" w14:textId="77777777" w:rsidTr="00214D77">
        <w:trPr>
          <w:trHeight w:val="300"/>
        </w:trPr>
        <w:tc>
          <w:tcPr>
            <w:tcW w:w="2750" w:type="pct"/>
            <w:tcBorders>
              <w:top w:val="nil"/>
              <w:bottom w:val="nil"/>
            </w:tcBorders>
            <w:noWrap/>
            <w:hideMark/>
          </w:tcPr>
          <w:p w14:paraId="2D300328" w14:textId="77777777" w:rsidR="00214D77" w:rsidRPr="00C06749" w:rsidRDefault="00214D77" w:rsidP="00214D77">
            <w:pPr>
              <w:keepNext/>
              <w:widowControl w:val="0"/>
              <w:spacing w:before="40" w:after="40" w:line="256" w:lineRule="auto"/>
              <w:jc w:val="left"/>
              <w:rPr>
                <w:rFonts w:ascii="Arial Narrow" w:eastAsia="Calibri" w:hAnsi="Arial Narrow"/>
                <w:i/>
                <w:sz w:val="20"/>
              </w:rPr>
            </w:pPr>
            <w:r w:rsidRPr="00C06749">
              <w:rPr>
                <w:rFonts w:ascii="Arial Narrow" w:eastAsia="Calibri" w:hAnsi="Arial Narrow"/>
                <w:i/>
                <w:sz w:val="20"/>
              </w:rPr>
              <w:t>FISH tests, average 3 (base case: average 2)</w:t>
            </w:r>
          </w:p>
        </w:tc>
        <w:tc>
          <w:tcPr>
            <w:tcW w:w="629" w:type="pct"/>
            <w:tcBorders>
              <w:top w:val="nil"/>
              <w:bottom w:val="nil"/>
            </w:tcBorders>
            <w:noWrap/>
            <w:hideMark/>
          </w:tcPr>
          <w:p w14:paraId="25F5E75B" w14:textId="6E39CC3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65B94F05"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nil"/>
            </w:tcBorders>
            <w:noWrap/>
            <w:hideMark/>
          </w:tcPr>
          <w:p w14:paraId="11195F2A" w14:textId="3A5C5D2E"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15649AC3"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w:t>
            </w:r>
          </w:p>
        </w:tc>
      </w:tr>
      <w:tr w:rsidR="00214D77" w:rsidRPr="00C06749" w14:paraId="07AB7226" w14:textId="77777777" w:rsidTr="00214D77">
        <w:trPr>
          <w:trHeight w:val="300"/>
        </w:trPr>
        <w:tc>
          <w:tcPr>
            <w:tcW w:w="2750" w:type="pct"/>
            <w:tcBorders>
              <w:top w:val="nil"/>
              <w:bottom w:val="nil"/>
            </w:tcBorders>
            <w:noWrap/>
            <w:hideMark/>
          </w:tcPr>
          <w:p w14:paraId="2CA85CF7"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Proportion of NGS tests, 0% (base case: 50%)</w:t>
            </w:r>
          </w:p>
        </w:tc>
        <w:tc>
          <w:tcPr>
            <w:tcW w:w="629" w:type="pct"/>
            <w:tcBorders>
              <w:top w:val="nil"/>
              <w:bottom w:val="nil"/>
            </w:tcBorders>
            <w:noWrap/>
            <w:hideMark/>
          </w:tcPr>
          <w:p w14:paraId="520347FF" w14:textId="46007A46"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62EDDA6D"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nil"/>
            </w:tcBorders>
            <w:noWrap/>
            <w:hideMark/>
          </w:tcPr>
          <w:p w14:paraId="59E16ACD" w14:textId="1B5FA886"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37CB2732"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–1%</w:t>
            </w:r>
          </w:p>
        </w:tc>
      </w:tr>
      <w:tr w:rsidR="00214D77" w:rsidRPr="00C06749" w14:paraId="744BC096" w14:textId="77777777" w:rsidTr="00214D77">
        <w:trPr>
          <w:trHeight w:val="300"/>
        </w:trPr>
        <w:tc>
          <w:tcPr>
            <w:tcW w:w="2750" w:type="pct"/>
            <w:tcBorders>
              <w:top w:val="nil"/>
              <w:bottom w:val="nil"/>
            </w:tcBorders>
            <w:noWrap/>
            <w:hideMark/>
          </w:tcPr>
          <w:p w14:paraId="5746CC22"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Proportion of NGS tests, 100% (base case: 50%)</w:t>
            </w:r>
          </w:p>
        </w:tc>
        <w:tc>
          <w:tcPr>
            <w:tcW w:w="629" w:type="pct"/>
            <w:tcBorders>
              <w:top w:val="nil"/>
              <w:bottom w:val="nil"/>
            </w:tcBorders>
            <w:noWrap/>
            <w:hideMark/>
          </w:tcPr>
          <w:p w14:paraId="52121442" w14:textId="48A34225"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1AA01500"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nil"/>
            </w:tcBorders>
            <w:noWrap/>
            <w:hideMark/>
          </w:tcPr>
          <w:p w14:paraId="0A525F7E" w14:textId="3A2D4FEC"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15262AFC"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1%</w:t>
            </w:r>
          </w:p>
        </w:tc>
      </w:tr>
      <w:tr w:rsidR="00214D77" w:rsidRPr="00C06749" w14:paraId="0B7BA0CE" w14:textId="77777777" w:rsidTr="00214D77">
        <w:trPr>
          <w:trHeight w:val="300"/>
        </w:trPr>
        <w:tc>
          <w:tcPr>
            <w:tcW w:w="2750" w:type="pct"/>
            <w:tcBorders>
              <w:top w:val="nil"/>
              <w:bottom w:val="nil"/>
            </w:tcBorders>
            <w:noWrap/>
            <w:hideMark/>
          </w:tcPr>
          <w:p w14:paraId="19283FCB"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Cost of NGS, $600 (base case: $1,200)</w:t>
            </w:r>
          </w:p>
        </w:tc>
        <w:tc>
          <w:tcPr>
            <w:tcW w:w="629" w:type="pct"/>
            <w:tcBorders>
              <w:top w:val="nil"/>
              <w:bottom w:val="nil"/>
            </w:tcBorders>
            <w:noWrap/>
            <w:hideMark/>
          </w:tcPr>
          <w:p w14:paraId="3824079E" w14:textId="3321B8D2"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59450D11"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nil"/>
            </w:tcBorders>
            <w:noWrap/>
            <w:hideMark/>
          </w:tcPr>
          <w:p w14:paraId="491328C1" w14:textId="2FBC1E71"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7F0F5D4F"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–1%</w:t>
            </w:r>
          </w:p>
        </w:tc>
      </w:tr>
      <w:tr w:rsidR="00214D77" w:rsidRPr="00C06749" w14:paraId="71339A90" w14:textId="77777777" w:rsidTr="00214D77">
        <w:trPr>
          <w:trHeight w:val="300"/>
        </w:trPr>
        <w:tc>
          <w:tcPr>
            <w:tcW w:w="2750" w:type="pct"/>
            <w:tcBorders>
              <w:top w:val="nil"/>
              <w:bottom w:val="nil"/>
            </w:tcBorders>
            <w:noWrap/>
            <w:hideMark/>
          </w:tcPr>
          <w:p w14:paraId="20D4B11D" w14:textId="77777777" w:rsidR="00214D77" w:rsidRPr="00C06749" w:rsidRDefault="00214D77" w:rsidP="00214D77">
            <w:pPr>
              <w:keepNext/>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Cost of NGS, $300 (base case: $1,200)</w:t>
            </w:r>
          </w:p>
        </w:tc>
        <w:tc>
          <w:tcPr>
            <w:tcW w:w="629" w:type="pct"/>
            <w:tcBorders>
              <w:top w:val="nil"/>
              <w:bottom w:val="nil"/>
            </w:tcBorders>
            <w:noWrap/>
            <w:hideMark/>
          </w:tcPr>
          <w:p w14:paraId="1A9B7ACE" w14:textId="1C6276D8"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nil"/>
            </w:tcBorders>
            <w:noWrap/>
            <w:hideMark/>
          </w:tcPr>
          <w:p w14:paraId="59C2FF6F"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nil"/>
            </w:tcBorders>
            <w:noWrap/>
            <w:hideMark/>
          </w:tcPr>
          <w:p w14:paraId="28CE33EC" w14:textId="0875F69E"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nil"/>
            </w:tcBorders>
            <w:noWrap/>
            <w:hideMark/>
          </w:tcPr>
          <w:p w14:paraId="09AA9C1C" w14:textId="77777777" w:rsidR="00214D77" w:rsidRPr="00C06749" w:rsidRDefault="00214D77" w:rsidP="00214D77">
            <w:pPr>
              <w:keepNext/>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–1%</w:t>
            </w:r>
          </w:p>
        </w:tc>
      </w:tr>
      <w:tr w:rsidR="00214D77" w:rsidRPr="00214D77" w14:paraId="50B74B35" w14:textId="77777777" w:rsidTr="00214D77">
        <w:trPr>
          <w:trHeight w:val="300"/>
        </w:trPr>
        <w:tc>
          <w:tcPr>
            <w:tcW w:w="2750" w:type="pct"/>
            <w:tcBorders>
              <w:top w:val="nil"/>
              <w:bottom w:val="single" w:sz="4" w:space="0" w:color="auto"/>
            </w:tcBorders>
            <w:noWrap/>
            <w:hideMark/>
          </w:tcPr>
          <w:p w14:paraId="63BD6F96" w14:textId="77777777" w:rsidR="00214D77" w:rsidRPr="00C06749" w:rsidRDefault="00214D77" w:rsidP="00214D77">
            <w:pPr>
              <w:widowControl w:val="0"/>
              <w:spacing w:before="40" w:after="40" w:line="256" w:lineRule="auto"/>
              <w:jc w:val="left"/>
              <w:rPr>
                <w:rFonts w:ascii="Arial Narrow" w:eastAsia="Calibri" w:hAnsi="Arial Narrow"/>
                <w:sz w:val="20"/>
              </w:rPr>
            </w:pPr>
            <w:r w:rsidRPr="00C06749">
              <w:rPr>
                <w:rFonts w:ascii="Arial Narrow" w:eastAsia="Calibri" w:hAnsi="Arial Narrow"/>
                <w:sz w:val="20"/>
              </w:rPr>
              <w:t>No cost of testing in paediatric patients</w:t>
            </w:r>
          </w:p>
        </w:tc>
        <w:tc>
          <w:tcPr>
            <w:tcW w:w="629" w:type="pct"/>
            <w:tcBorders>
              <w:top w:val="nil"/>
              <w:bottom w:val="single" w:sz="4" w:space="0" w:color="auto"/>
            </w:tcBorders>
            <w:noWrap/>
            <w:hideMark/>
          </w:tcPr>
          <w:p w14:paraId="756EAF45" w14:textId="229C6C27" w:rsidR="00214D77" w:rsidRPr="00C06749"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p>
        </w:tc>
        <w:tc>
          <w:tcPr>
            <w:tcW w:w="629" w:type="pct"/>
            <w:tcBorders>
              <w:top w:val="nil"/>
              <w:bottom w:val="single" w:sz="4" w:space="0" w:color="auto"/>
            </w:tcBorders>
            <w:noWrap/>
            <w:hideMark/>
          </w:tcPr>
          <w:p w14:paraId="3246EBD8" w14:textId="77777777" w:rsidR="00214D77" w:rsidRPr="00C06749"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0.008</w:t>
            </w:r>
          </w:p>
        </w:tc>
        <w:tc>
          <w:tcPr>
            <w:tcW w:w="630" w:type="pct"/>
            <w:tcBorders>
              <w:top w:val="nil"/>
              <w:bottom w:val="single" w:sz="4" w:space="0" w:color="auto"/>
            </w:tcBorders>
            <w:noWrap/>
            <w:hideMark/>
          </w:tcPr>
          <w:p w14:paraId="65D28805" w14:textId="65EDDD5F" w:rsidR="00214D77" w:rsidRPr="00C06749"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w:t>
            </w:r>
            <w:r w:rsidR="00164974" w:rsidRPr="00C06749">
              <w:rPr>
                <w:rFonts w:ascii="Arial Narrow" w:eastAsia="Calibri" w:hAnsi="Arial Narrow"/>
                <w:i/>
                <w:sz w:val="20"/>
              </w:rPr>
              <w:t>redacted</w:t>
            </w:r>
            <w:r w:rsidR="00164974" w:rsidRPr="00C06749">
              <w:rPr>
                <w:rFonts w:ascii="Arial Narrow" w:eastAsia="Calibri" w:hAnsi="Arial Narrow"/>
                <w:i/>
                <w:sz w:val="20"/>
                <w:vertAlign w:val="superscript"/>
              </w:rPr>
              <w:t>1</w:t>
            </w:r>
          </w:p>
        </w:tc>
        <w:tc>
          <w:tcPr>
            <w:tcW w:w="362" w:type="pct"/>
            <w:tcBorders>
              <w:top w:val="nil"/>
              <w:bottom w:val="single" w:sz="4" w:space="0" w:color="auto"/>
            </w:tcBorders>
            <w:noWrap/>
            <w:hideMark/>
          </w:tcPr>
          <w:p w14:paraId="58B91DC1" w14:textId="77777777" w:rsidR="00214D77" w:rsidRPr="00214D77" w:rsidRDefault="00214D77" w:rsidP="00214D77">
            <w:pPr>
              <w:widowControl w:val="0"/>
              <w:spacing w:before="40" w:after="40" w:line="256" w:lineRule="auto"/>
              <w:jc w:val="right"/>
              <w:rPr>
                <w:rFonts w:ascii="Arial Narrow" w:eastAsia="Calibri" w:hAnsi="Arial Narrow"/>
                <w:i/>
                <w:sz w:val="20"/>
              </w:rPr>
            </w:pPr>
            <w:r w:rsidRPr="00C06749">
              <w:rPr>
                <w:rFonts w:ascii="Arial Narrow" w:eastAsia="Calibri" w:hAnsi="Arial Narrow"/>
                <w:i/>
                <w:sz w:val="20"/>
              </w:rPr>
              <w:t>0%</w:t>
            </w:r>
          </w:p>
        </w:tc>
      </w:tr>
    </w:tbl>
    <w:p w14:paraId="44AB5DCC" w14:textId="43D0C169" w:rsidR="00BF2574" w:rsidRDefault="00214D77" w:rsidP="00214D77">
      <w:pPr>
        <w:widowControl w:val="0"/>
        <w:spacing w:before="60" w:after="12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Source: Compiled from Table 160, p430-432 of the commentary</w:t>
      </w:r>
    </w:p>
    <w:p w14:paraId="118FA2C5" w14:textId="7152711B" w:rsidR="002E0608" w:rsidRDefault="002E0608" w:rsidP="00C64B8C">
      <w:pPr>
        <w:snapToGrid w:val="0"/>
        <w:spacing w:before="0" w:after="0" w:line="276" w:lineRule="auto"/>
        <w:contextualSpacing/>
        <w:jc w:val="left"/>
        <w:rPr>
          <w:rFonts w:ascii="Arial Narrow" w:eastAsia="Times New Roman" w:hAnsi="Arial Narrow" w:cs="Arial"/>
          <w:sz w:val="18"/>
          <w:lang w:eastAsia="en-AU"/>
        </w:rPr>
      </w:pPr>
      <w:r w:rsidRPr="006539DF">
        <w:rPr>
          <w:rFonts w:ascii="Arial Narrow" w:eastAsia="Times New Roman" w:hAnsi="Arial Narrow" w:cs="Arial"/>
          <w:i/>
          <w:sz w:val="18"/>
          <w:lang w:eastAsia="en-AU"/>
        </w:rPr>
        <w:t>The redacted values correspond to the following ranges:</w:t>
      </w:r>
    </w:p>
    <w:p w14:paraId="4E6420AE" w14:textId="74D8EBA3" w:rsidR="002E0608" w:rsidRDefault="002E0608" w:rsidP="002E0608">
      <w:pPr>
        <w:snapToGrid w:val="0"/>
        <w:spacing w:before="0" w:after="0" w:line="276" w:lineRule="auto"/>
        <w:contextualSpacing/>
        <w:jc w:val="left"/>
        <w:rPr>
          <w:rFonts w:ascii="Arial Narrow" w:eastAsia="Times New Roman" w:hAnsi="Arial Narrow" w:cs="Arial"/>
          <w:i/>
          <w:iCs/>
          <w:sz w:val="18"/>
          <w:lang w:eastAsia="en-AU"/>
        </w:rPr>
      </w:pPr>
      <w:r w:rsidRPr="00C06749">
        <w:rPr>
          <w:rFonts w:ascii="Arial Narrow" w:eastAsia="Times New Roman" w:hAnsi="Arial Narrow" w:cs="Arial"/>
          <w:i/>
          <w:iCs/>
          <w:sz w:val="18"/>
          <w:vertAlign w:val="superscript"/>
          <w:lang w:eastAsia="en-AU"/>
        </w:rPr>
        <w:t>1</w:t>
      </w:r>
      <w:r>
        <w:rPr>
          <w:rFonts w:ascii="Arial Narrow" w:eastAsia="Times New Roman" w:hAnsi="Arial Narrow" w:cs="Arial"/>
          <w:i/>
          <w:iCs/>
          <w:sz w:val="18"/>
          <w:lang w:eastAsia="en-AU"/>
        </w:rPr>
        <w:t xml:space="preserve"> $75,000 to &lt; $95,000</w:t>
      </w:r>
    </w:p>
    <w:p w14:paraId="40D4C334" w14:textId="7F83687B" w:rsidR="00C64B8C" w:rsidRDefault="00164974" w:rsidP="002E0608">
      <w:pPr>
        <w:snapToGrid w:val="0"/>
        <w:spacing w:before="0" w:after="0" w:line="276" w:lineRule="auto"/>
        <w:contextualSpacing/>
        <w:jc w:val="left"/>
        <w:rPr>
          <w:rFonts w:ascii="Arial Narrow" w:eastAsia="Times New Roman" w:hAnsi="Arial Narrow" w:cs="Arial"/>
          <w:i/>
          <w:iCs/>
          <w:sz w:val="18"/>
          <w:lang w:eastAsia="en-AU"/>
        </w:rPr>
      </w:pPr>
      <w:r>
        <w:rPr>
          <w:rFonts w:ascii="Arial Narrow" w:eastAsia="Times New Roman" w:hAnsi="Arial Narrow" w:cs="Arial"/>
          <w:i/>
          <w:iCs/>
          <w:sz w:val="18"/>
          <w:vertAlign w:val="superscript"/>
          <w:lang w:eastAsia="en-AU"/>
        </w:rPr>
        <w:t xml:space="preserve">2 </w:t>
      </w:r>
      <w:r>
        <w:rPr>
          <w:rFonts w:ascii="Arial Narrow" w:eastAsia="Times New Roman" w:hAnsi="Arial Narrow" w:cs="Arial"/>
          <w:i/>
          <w:iCs/>
          <w:sz w:val="18"/>
          <w:lang w:eastAsia="en-AU"/>
        </w:rPr>
        <w:t>$95,000 to &lt; $115,000</w:t>
      </w:r>
    </w:p>
    <w:p w14:paraId="6F4C36E2" w14:textId="7C6BE88B" w:rsidR="00164974" w:rsidRDefault="00164974" w:rsidP="002E0608">
      <w:pPr>
        <w:snapToGrid w:val="0"/>
        <w:spacing w:before="0" w:after="0" w:line="276" w:lineRule="auto"/>
        <w:contextualSpacing/>
        <w:jc w:val="left"/>
        <w:rPr>
          <w:rFonts w:ascii="Arial Narrow" w:eastAsia="Times New Roman" w:hAnsi="Arial Narrow" w:cs="Arial"/>
          <w:i/>
          <w:iCs/>
          <w:sz w:val="18"/>
          <w:lang w:eastAsia="en-AU"/>
        </w:rPr>
      </w:pPr>
      <w:r>
        <w:rPr>
          <w:rFonts w:ascii="Arial Narrow" w:eastAsia="Times New Roman" w:hAnsi="Arial Narrow" w:cs="Arial"/>
          <w:i/>
          <w:iCs/>
          <w:sz w:val="18"/>
          <w:vertAlign w:val="superscript"/>
          <w:lang w:eastAsia="en-AU"/>
        </w:rPr>
        <w:t xml:space="preserve">3 </w:t>
      </w:r>
      <w:r>
        <w:rPr>
          <w:rFonts w:ascii="Arial Narrow" w:eastAsia="Times New Roman" w:hAnsi="Arial Narrow" w:cs="Arial"/>
          <w:i/>
          <w:iCs/>
          <w:sz w:val="18"/>
          <w:lang w:eastAsia="en-AU"/>
        </w:rPr>
        <w:t>$115,000 to &lt; $135,000</w:t>
      </w:r>
    </w:p>
    <w:p w14:paraId="52C50E50" w14:textId="33579D43" w:rsidR="00D9500D" w:rsidRPr="0085455A" w:rsidRDefault="00D9500D" w:rsidP="002E0608">
      <w:pPr>
        <w:snapToGrid w:val="0"/>
        <w:spacing w:before="0" w:after="0" w:line="276" w:lineRule="auto"/>
        <w:contextualSpacing/>
        <w:jc w:val="left"/>
        <w:rPr>
          <w:rFonts w:ascii="Arial Narrow" w:eastAsia="Times New Roman" w:hAnsi="Arial Narrow" w:cs="Arial"/>
          <w:i/>
          <w:iCs/>
          <w:sz w:val="18"/>
          <w:lang w:eastAsia="en-AU"/>
        </w:rPr>
      </w:pPr>
      <w:r>
        <w:rPr>
          <w:rFonts w:ascii="Arial Narrow" w:eastAsia="Times New Roman" w:hAnsi="Arial Narrow" w:cs="Arial"/>
          <w:i/>
          <w:iCs/>
          <w:sz w:val="18"/>
          <w:vertAlign w:val="superscript"/>
          <w:lang w:eastAsia="en-AU"/>
        </w:rPr>
        <w:t xml:space="preserve">4 </w:t>
      </w:r>
      <w:r>
        <w:rPr>
          <w:rFonts w:ascii="Arial Narrow" w:eastAsia="Times New Roman" w:hAnsi="Arial Narrow" w:cs="Arial"/>
          <w:i/>
          <w:iCs/>
          <w:sz w:val="18"/>
          <w:lang w:eastAsia="en-AU"/>
        </w:rPr>
        <w:t>$255,000 to &lt; $355,000</w:t>
      </w:r>
    </w:p>
    <w:p w14:paraId="3A98C378" w14:textId="77777777" w:rsidR="002E0608" w:rsidRPr="00214D77" w:rsidRDefault="002E0608" w:rsidP="00214D77">
      <w:pPr>
        <w:widowControl w:val="0"/>
        <w:spacing w:before="60" w:after="120"/>
        <w:contextualSpacing/>
        <w:jc w:val="left"/>
        <w:rPr>
          <w:rFonts w:ascii="Arial Narrow" w:eastAsia="Times New Roman" w:hAnsi="Arial Narrow" w:cs="Arial"/>
          <w:snapToGrid w:val="0"/>
          <w:sz w:val="18"/>
          <w:szCs w:val="20"/>
        </w:rPr>
      </w:pPr>
    </w:p>
    <w:p w14:paraId="7DA4BC39" w14:textId="14829B7B" w:rsidR="00214D77" w:rsidRPr="0028467B" w:rsidRDefault="00214D77" w:rsidP="00864249">
      <w:pPr>
        <w:pStyle w:val="Heading1"/>
        <w:numPr>
          <w:ilvl w:val="0"/>
          <w:numId w:val="3"/>
        </w:numPr>
        <w:spacing w:before="240" w:after="240" w:line="240" w:lineRule="auto"/>
        <w:ind w:left="720" w:hanging="720"/>
        <w:rPr>
          <w:rFonts w:ascii="Arial" w:hAnsi="Arial" w:cs="Arial"/>
          <w:bCs/>
          <w:lang w:eastAsia="en-AU"/>
        </w:rPr>
      </w:pPr>
      <w:r w:rsidRPr="0028467B">
        <w:rPr>
          <w:rFonts w:ascii="Arial" w:hAnsi="Arial" w:cs="Arial"/>
          <w:bCs/>
          <w:lang w:eastAsia="en-AU"/>
        </w:rPr>
        <w:t>Financial/budgetary impacts</w:t>
      </w:r>
    </w:p>
    <w:p w14:paraId="33D5DF74" w14:textId="55D46A96" w:rsidR="00214D77" w:rsidRPr="00214D77" w:rsidRDefault="00214D77" w:rsidP="00214D77">
      <w:pPr>
        <w:spacing w:before="0" w:after="0"/>
        <w:jc w:val="left"/>
        <w:rPr>
          <w:rFonts w:ascii="Times New Roman" w:eastAsia="Times New Roman" w:hAnsi="Times New Roman" w:cs="Times New Roman"/>
          <w:iCs/>
          <w:szCs w:val="20"/>
          <w:lang w:eastAsia="en-AU"/>
        </w:rPr>
      </w:pPr>
      <w:r w:rsidRPr="00214D77">
        <w:rPr>
          <w:rFonts w:ascii="Times New Roman" w:eastAsia="Times New Roman" w:hAnsi="Times New Roman" w:cs="Times New Roman"/>
          <w:szCs w:val="20"/>
          <w:lang w:eastAsia="en-AU"/>
        </w:rPr>
        <w:t>The resubmission present</w:t>
      </w:r>
      <w:r w:rsidR="00A071FD">
        <w:rPr>
          <w:rFonts w:ascii="Times New Roman" w:eastAsia="Times New Roman" w:hAnsi="Times New Roman" w:cs="Times New Roman"/>
          <w:szCs w:val="20"/>
          <w:lang w:eastAsia="en-AU"/>
        </w:rPr>
        <w:t>ed</w:t>
      </w:r>
      <w:r w:rsidRPr="00214D77">
        <w:rPr>
          <w:rFonts w:ascii="Times New Roman" w:eastAsia="Times New Roman" w:hAnsi="Times New Roman" w:cs="Times New Roman"/>
          <w:szCs w:val="20"/>
          <w:lang w:eastAsia="en-AU"/>
        </w:rPr>
        <w:t xml:space="preserve"> an updated epidemiological approach to estimate the use and financial impact of listing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fusion testing and larotrectinib treatment. The commentary noted that</w:t>
      </w:r>
      <w:r w:rsidR="00A071FD">
        <w:rPr>
          <w:rFonts w:ascii="Times New Roman" w:eastAsia="Times New Roman" w:hAnsi="Times New Roman" w:cs="Times New Roman"/>
          <w:szCs w:val="20"/>
          <w:lang w:eastAsia="en-AU"/>
        </w:rPr>
        <w:t>,</w:t>
      </w:r>
      <w:r w:rsidRPr="00214D77">
        <w:rPr>
          <w:rFonts w:ascii="Times New Roman" w:eastAsia="Times New Roman" w:hAnsi="Times New Roman" w:cs="Times New Roman"/>
          <w:szCs w:val="20"/>
          <w:lang w:eastAsia="en-AU"/>
        </w:rPr>
        <w:t xml:space="preserve"> </w:t>
      </w:r>
      <w:r w:rsidRPr="00214D77">
        <w:rPr>
          <w:rFonts w:ascii="Times New Roman" w:eastAsia="Times New Roman" w:hAnsi="Times New Roman" w:cs="Times New Roman"/>
          <w:iCs/>
          <w:szCs w:val="20"/>
          <w:lang w:eastAsia="en-AU"/>
        </w:rPr>
        <w:t xml:space="preserve">as per the previous submission, the resubmission does not explicitly provide an epidemiological approach to estimate the number of patients eligible for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 testing. Rather, the number of tests required to identify one patient with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fusions has been applied to the number of patients estimated to receive larotrectinib. This approach implicitly </w:t>
      </w:r>
      <w:r w:rsidRPr="00214D77">
        <w:rPr>
          <w:rFonts w:ascii="Times New Roman" w:eastAsia="Times New Roman" w:hAnsi="Times New Roman" w:cs="Times New Roman"/>
          <w:iCs/>
          <w:szCs w:val="20"/>
          <w:lang w:eastAsia="en-AU"/>
        </w:rPr>
        <w:lastRenderedPageBreak/>
        <w:t>assume</w:t>
      </w:r>
      <w:r w:rsidR="00A071FD">
        <w:rPr>
          <w:rFonts w:ascii="Times New Roman" w:eastAsia="Times New Roman" w:hAnsi="Times New Roman" w:cs="Times New Roman"/>
          <w:iCs/>
          <w:szCs w:val="20"/>
          <w:lang w:eastAsia="en-AU"/>
        </w:rPr>
        <w:t>d</w:t>
      </w:r>
      <w:r w:rsidRPr="00214D77">
        <w:rPr>
          <w:rFonts w:ascii="Times New Roman" w:eastAsia="Times New Roman" w:hAnsi="Times New Roman" w:cs="Times New Roman"/>
          <w:iCs/>
          <w:szCs w:val="20"/>
          <w:lang w:eastAsia="en-AU"/>
        </w:rPr>
        <w:t xml:space="preserve"> that the rate of uptake of both testing and treatment is the same; and that testing occurs at the time at which treatment decisions regarding larotrectinib are being taken. In adult patients with low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iCs/>
          <w:szCs w:val="20"/>
          <w:lang w:eastAsia="en-AU"/>
        </w:rPr>
        <w:t xml:space="preserve"> fusion tumour types, this may not be a reasonable approach, given that </w:t>
      </w:r>
      <w:r w:rsidRPr="00214D77">
        <w:rPr>
          <w:rFonts w:ascii="Times New Roman" w:eastAsia="Times New Roman" w:hAnsi="Times New Roman" w:cs="Times New Roman"/>
          <w:i/>
          <w:szCs w:val="20"/>
          <w:lang w:eastAsia="en-AU"/>
        </w:rPr>
        <w:t xml:space="preserve">NTRK </w:t>
      </w:r>
      <w:r w:rsidRPr="00214D77">
        <w:rPr>
          <w:rFonts w:ascii="Times New Roman" w:eastAsia="Times New Roman" w:hAnsi="Times New Roman" w:cs="Times New Roman"/>
          <w:iCs/>
          <w:szCs w:val="20"/>
          <w:lang w:eastAsia="en-AU"/>
        </w:rPr>
        <w:t>fusion testing can occur on diagnosis of advanced disease before initiation of first-line treatment, and that not all patients tested would be eligible for larotrectinib treatment on disease progression.</w:t>
      </w:r>
    </w:p>
    <w:p w14:paraId="68995638" w14:textId="02CA12B9" w:rsidR="00214D77" w:rsidRPr="00214D77" w:rsidRDefault="00214D77" w:rsidP="0028467B">
      <w:pPr>
        <w:spacing w:before="240" w:after="240"/>
        <w:jc w:val="left"/>
        <w:rPr>
          <w:rFonts w:ascii="Times New Roman" w:eastAsia="Calibri" w:hAnsi="Times New Roman" w:cs="Times New Roman"/>
        </w:rPr>
      </w:pPr>
      <w:r w:rsidRPr="00214D77">
        <w:rPr>
          <w:rFonts w:ascii="Times New Roman" w:eastAsia="Calibri" w:hAnsi="Times New Roman" w:cs="Times New Roman"/>
        </w:rPr>
        <w:t xml:space="preserve">The approach used to estimate the number of IHC tests required was generally unchanged from the previous submission, in that for each adult patient with a low </w:t>
      </w:r>
      <w:r w:rsidRPr="00214D77">
        <w:rPr>
          <w:rFonts w:ascii="Times New Roman" w:eastAsia="Calibri" w:hAnsi="Times New Roman" w:cs="Times New Roman"/>
          <w:i/>
        </w:rPr>
        <w:t>NTRK</w:t>
      </w:r>
      <w:r w:rsidRPr="00214D77">
        <w:rPr>
          <w:rFonts w:ascii="Times New Roman" w:eastAsia="Calibri" w:hAnsi="Times New Roman" w:cs="Times New Roman"/>
        </w:rPr>
        <w:t xml:space="preserve"> fusion frequency tumour type who exhibited </w:t>
      </w:r>
      <w:r w:rsidRPr="00214D77">
        <w:rPr>
          <w:rFonts w:ascii="Times New Roman" w:eastAsia="Calibri" w:hAnsi="Times New Roman" w:cs="Times New Roman"/>
          <w:i/>
        </w:rPr>
        <w:t>NTRK</w:t>
      </w:r>
      <w:r w:rsidRPr="00214D77">
        <w:rPr>
          <w:rFonts w:ascii="Times New Roman" w:eastAsia="Calibri" w:hAnsi="Times New Roman" w:cs="Times New Roman"/>
        </w:rPr>
        <w:t xml:space="preserve"> fusions and received larotrectinib treatment, the number of IHC tests required to identify that one true positive patient was applied. The commentary considered that this approach implicitly assume</w:t>
      </w:r>
      <w:r w:rsidR="00A071FD">
        <w:rPr>
          <w:rFonts w:ascii="Times New Roman" w:eastAsia="Calibri" w:hAnsi="Times New Roman" w:cs="Times New Roman"/>
        </w:rPr>
        <w:t>d</w:t>
      </w:r>
      <w:r w:rsidRPr="00214D77">
        <w:rPr>
          <w:rFonts w:ascii="Times New Roman" w:eastAsia="Calibri" w:hAnsi="Times New Roman" w:cs="Times New Roman"/>
        </w:rPr>
        <w:t xml:space="preserve"> (through the back-calculations to estimate the number of patients eligible for larotrectinib treatment) that testing would occur after failure of earlier lines of treatment, whereas testing can occur on diagnosis of advanced disease. Thus the estimates presented are likely to be underestimated. For each patient treated with larotrectinib, the resubmission estimated that 217 IHC tests were required. This was based on the </w:t>
      </w:r>
      <w:r w:rsidRPr="00214D77">
        <w:rPr>
          <w:rFonts w:ascii="Times New Roman" w:eastAsia="Calibri" w:hAnsi="Times New Roman" w:cs="Times New Roman"/>
          <w:i/>
        </w:rPr>
        <w:t>NTRK</w:t>
      </w:r>
      <w:r w:rsidRPr="00214D77">
        <w:rPr>
          <w:rFonts w:ascii="Times New Roman" w:eastAsia="Calibri" w:hAnsi="Times New Roman" w:cs="Times New Roman"/>
        </w:rPr>
        <w:t xml:space="preserve"> frequency for each of the specified tumour types, weighted by the expected distribution of the tumour types in the treated population. </w:t>
      </w:r>
      <w:r w:rsidRPr="00214D77">
        <w:rPr>
          <w:rFonts w:ascii="Times New Roman" w:eastAsia="Calibri" w:hAnsi="Times New Roman" w:cs="Times New Roman"/>
          <w:iCs/>
        </w:rPr>
        <w:t>This approach d</w:t>
      </w:r>
      <w:r w:rsidR="00A071FD">
        <w:rPr>
          <w:rFonts w:ascii="Times New Roman" w:eastAsia="Calibri" w:hAnsi="Times New Roman" w:cs="Times New Roman"/>
          <w:iCs/>
        </w:rPr>
        <w:t>id</w:t>
      </w:r>
      <w:r w:rsidRPr="00214D77">
        <w:rPr>
          <w:rFonts w:ascii="Times New Roman" w:eastAsia="Calibri" w:hAnsi="Times New Roman" w:cs="Times New Roman"/>
          <w:iCs/>
        </w:rPr>
        <w:t xml:space="preserve"> not take into account IHC sensitivity, and so more IHC tests are required to identify one true positive patient. The MBS schedule fee applied per IHC test was $74.50 (which may not be reasonable),</w:t>
      </w:r>
      <w:r w:rsidRPr="00214D77">
        <w:rPr>
          <w:rFonts w:ascii="Times New Roman" w:eastAsia="Calibri" w:hAnsi="Times New Roman" w:cs="Times New Roman"/>
        </w:rPr>
        <w:t xml:space="preserve"> with an 80% level of MBS rebate assumed.</w:t>
      </w:r>
    </w:p>
    <w:p w14:paraId="5D8D9728" w14:textId="767E18EC" w:rsidR="00214D77" w:rsidRPr="00214D77" w:rsidRDefault="00214D77" w:rsidP="00BF2574">
      <w:pPr>
        <w:spacing w:before="0" w:after="240"/>
        <w:jc w:val="left"/>
        <w:rPr>
          <w:rFonts w:ascii="Times New Roman" w:eastAsia="Calibri" w:hAnsi="Times New Roman" w:cs="Times New Roman"/>
          <w:i/>
        </w:rPr>
      </w:pPr>
      <w:r w:rsidRPr="00214D77">
        <w:rPr>
          <w:rFonts w:ascii="Times New Roman" w:eastAsia="Calibri" w:hAnsi="Times New Roman" w:cs="Times New Roman"/>
        </w:rPr>
        <w:t>As for IHC testing, the resubmission applie</w:t>
      </w:r>
      <w:r w:rsidR="00A071FD">
        <w:rPr>
          <w:rFonts w:ascii="Times New Roman" w:eastAsia="Calibri" w:hAnsi="Times New Roman" w:cs="Times New Roman"/>
        </w:rPr>
        <w:t>d</w:t>
      </w:r>
      <w:r w:rsidRPr="00214D77">
        <w:rPr>
          <w:rFonts w:ascii="Times New Roman" w:eastAsia="Calibri" w:hAnsi="Times New Roman" w:cs="Times New Roman"/>
        </w:rPr>
        <w:t xml:space="preserve"> an estimated number of NGS/FISH tests required to identify one </w:t>
      </w:r>
      <w:r w:rsidRPr="00214D77">
        <w:rPr>
          <w:rFonts w:ascii="Times New Roman" w:eastAsia="Calibri" w:hAnsi="Times New Roman" w:cs="Times New Roman"/>
          <w:i/>
        </w:rPr>
        <w:t>NTRK</w:t>
      </w:r>
      <w:r w:rsidRPr="00214D77">
        <w:rPr>
          <w:rFonts w:ascii="Times New Roman" w:eastAsia="Calibri" w:hAnsi="Times New Roman" w:cs="Times New Roman"/>
        </w:rPr>
        <w:t xml:space="preserve"> fusion positive patient for each subgroup to the number of patients who take up larotrectinib treatment. </w:t>
      </w:r>
      <w:r w:rsidRPr="00214D77">
        <w:rPr>
          <w:rFonts w:ascii="Times New Roman" w:eastAsia="Calibri" w:hAnsi="Times New Roman" w:cs="Times New Roman"/>
          <w:iCs/>
        </w:rPr>
        <w:t xml:space="preserve">The commentary considered that the estimates used </w:t>
      </w:r>
      <w:r w:rsidR="00A071FD">
        <w:rPr>
          <w:rFonts w:ascii="Times New Roman" w:eastAsia="Calibri" w:hAnsi="Times New Roman" w:cs="Times New Roman"/>
          <w:iCs/>
        </w:rPr>
        <w:t>we</w:t>
      </w:r>
      <w:r w:rsidRPr="00214D77">
        <w:rPr>
          <w:rFonts w:ascii="Times New Roman" w:eastAsia="Calibri" w:hAnsi="Times New Roman" w:cs="Times New Roman"/>
          <w:iCs/>
        </w:rPr>
        <w:t xml:space="preserve">re reasonable for the paediatric subgroups and the adults with high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 frequency tumour types. For adults with low </w:t>
      </w:r>
      <w:r w:rsidRPr="00214D77">
        <w:rPr>
          <w:rFonts w:ascii="Times New Roman" w:eastAsia="Calibri" w:hAnsi="Times New Roman" w:cs="Times New Roman"/>
          <w:i/>
        </w:rPr>
        <w:t>NTRK</w:t>
      </w:r>
      <w:r w:rsidRPr="00214D77">
        <w:rPr>
          <w:rFonts w:ascii="Times New Roman" w:eastAsia="Calibri" w:hAnsi="Times New Roman" w:cs="Times New Roman"/>
          <w:iCs/>
        </w:rPr>
        <w:t xml:space="preserve"> fusion frequency types, IHC test performance (i.e. 100%) </w:t>
      </w:r>
      <w:r w:rsidR="00A071FD">
        <w:rPr>
          <w:rFonts w:ascii="Times New Roman" w:eastAsia="Calibri" w:hAnsi="Times New Roman" w:cs="Times New Roman"/>
          <w:iCs/>
        </w:rPr>
        <w:t>wa</w:t>
      </w:r>
      <w:r w:rsidRPr="00214D77">
        <w:rPr>
          <w:rFonts w:ascii="Times New Roman" w:eastAsia="Calibri" w:hAnsi="Times New Roman" w:cs="Times New Roman"/>
          <w:iCs/>
        </w:rPr>
        <w:t>s unlikely to be reproducible in clinical practice. Given the low prevalence estimates – particularly for colorectal cancer and NSCLC – small reductions in the specificity of IHC testing w</w:t>
      </w:r>
      <w:r w:rsidR="00A071FD">
        <w:rPr>
          <w:rFonts w:ascii="Times New Roman" w:eastAsia="Calibri" w:hAnsi="Times New Roman" w:cs="Times New Roman"/>
          <w:iCs/>
        </w:rPr>
        <w:t>ould</w:t>
      </w:r>
      <w:r w:rsidRPr="00214D77">
        <w:rPr>
          <w:rFonts w:ascii="Times New Roman" w:eastAsia="Calibri" w:hAnsi="Times New Roman" w:cs="Times New Roman"/>
          <w:iCs/>
        </w:rPr>
        <w:t xml:space="preserve"> lead to substantial increases in the number of NGS/FISH tests required. Further, as for IHC testing, as the item descriptors allow for NGS and FISH testing on diagnosis of advanced stage disease, the number of NGS/FISH tests in this subgroup may be underestimated.</w:t>
      </w:r>
    </w:p>
    <w:p w14:paraId="1BECBA31" w14:textId="01DDEE6F" w:rsidR="00214D77" w:rsidRPr="00214D77" w:rsidRDefault="00214D77" w:rsidP="00BF2574">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Costing of NGS and FISH </w:t>
      </w:r>
      <w:r w:rsidR="00A071FD">
        <w:rPr>
          <w:rFonts w:ascii="Times New Roman" w:eastAsia="Calibri" w:hAnsi="Times New Roman" w:cs="Times New Roman"/>
        </w:rPr>
        <w:t>wa</w:t>
      </w:r>
      <w:r w:rsidRPr="00214D77">
        <w:rPr>
          <w:rFonts w:ascii="Times New Roman" w:eastAsia="Calibri" w:hAnsi="Times New Roman" w:cs="Times New Roman"/>
        </w:rPr>
        <w:t xml:space="preserve">s consistent with the economic model, with 50% of patients receiving, on average, two FISH tests (at a proposed MBS fee of $533) or 50% receiving one NGS test (at a proposed fee of $1,200). The commentary considered that the assumption that patients would receive on average two FISH tests may not be reasonable, particularly for low frequency tumour types, where the majority of people tested would require all three genes tested. This </w:t>
      </w:r>
      <w:r w:rsidR="00A071FD">
        <w:rPr>
          <w:rFonts w:ascii="Times New Roman" w:eastAsia="Calibri" w:hAnsi="Times New Roman" w:cs="Times New Roman"/>
        </w:rPr>
        <w:t xml:space="preserve">would </w:t>
      </w:r>
      <w:r w:rsidRPr="00214D77">
        <w:rPr>
          <w:rFonts w:ascii="Times New Roman" w:eastAsia="Calibri" w:hAnsi="Times New Roman" w:cs="Times New Roman"/>
        </w:rPr>
        <w:t xml:space="preserve">remain the case, even with IHC triage in adults (assuming more plausible estimates of IHC specificity). The weighted MBS fee </w:t>
      </w:r>
      <w:r w:rsidR="00A071FD">
        <w:rPr>
          <w:rFonts w:ascii="Times New Roman" w:eastAsia="Calibri" w:hAnsi="Times New Roman" w:cs="Times New Roman"/>
        </w:rPr>
        <w:t>wa</w:t>
      </w:r>
      <w:r w:rsidRPr="00214D77">
        <w:rPr>
          <w:rFonts w:ascii="Times New Roman" w:eastAsia="Calibri" w:hAnsi="Times New Roman" w:cs="Times New Roman"/>
        </w:rPr>
        <w:t xml:space="preserve">s assumed to be $866.50. With the 80% level of MBS rebate applied, the cost to the MBS of </w:t>
      </w:r>
      <w:r w:rsidRPr="00214D77">
        <w:rPr>
          <w:rFonts w:ascii="Times New Roman" w:eastAsia="Calibri" w:hAnsi="Times New Roman" w:cs="Times New Roman"/>
          <w:i/>
          <w:iCs/>
        </w:rPr>
        <w:t>NTRK</w:t>
      </w:r>
      <w:r w:rsidRPr="00214D77">
        <w:rPr>
          <w:rFonts w:ascii="Times New Roman" w:eastAsia="Calibri" w:hAnsi="Times New Roman" w:cs="Times New Roman"/>
        </w:rPr>
        <w:t xml:space="preserve"> fusion testing </w:t>
      </w:r>
      <w:r w:rsidR="00A071FD">
        <w:rPr>
          <w:rFonts w:ascii="Times New Roman" w:eastAsia="Calibri" w:hAnsi="Times New Roman" w:cs="Times New Roman"/>
        </w:rPr>
        <w:t>wa</w:t>
      </w:r>
      <w:r w:rsidRPr="00214D77">
        <w:rPr>
          <w:rFonts w:ascii="Times New Roman" w:eastAsia="Calibri" w:hAnsi="Times New Roman" w:cs="Times New Roman"/>
        </w:rPr>
        <w:t>s $693.20. This approach d</w:t>
      </w:r>
      <w:r w:rsidR="00A071FD">
        <w:rPr>
          <w:rFonts w:ascii="Times New Roman" w:eastAsia="Calibri" w:hAnsi="Times New Roman" w:cs="Times New Roman"/>
        </w:rPr>
        <w:t>id</w:t>
      </w:r>
      <w:r w:rsidRPr="00214D77">
        <w:rPr>
          <w:rFonts w:ascii="Times New Roman" w:eastAsia="Calibri" w:hAnsi="Times New Roman" w:cs="Times New Roman"/>
        </w:rPr>
        <w:t xml:space="preserve"> not take into account the implications of the Greatest Permissible Gap, which </w:t>
      </w:r>
      <w:r w:rsidR="00A071FD">
        <w:rPr>
          <w:rFonts w:ascii="Times New Roman" w:eastAsia="Calibri" w:hAnsi="Times New Roman" w:cs="Times New Roman"/>
        </w:rPr>
        <w:t xml:space="preserve">would </w:t>
      </w:r>
      <w:r w:rsidRPr="00214D77">
        <w:rPr>
          <w:rFonts w:ascii="Times New Roman" w:eastAsia="Calibri" w:hAnsi="Times New Roman" w:cs="Times New Roman"/>
        </w:rPr>
        <w:t>increase the MBS rebate payable above 85% in the outpatient setting for high cost items.</w:t>
      </w:r>
    </w:p>
    <w:p w14:paraId="63AFA96A" w14:textId="61D2F8A3" w:rsidR="00214D77" w:rsidRPr="00214D77" w:rsidRDefault="00214D77" w:rsidP="00BF2574">
      <w:pPr>
        <w:spacing w:before="0" w:after="240"/>
        <w:jc w:val="left"/>
        <w:rPr>
          <w:rFonts w:ascii="Times New Roman" w:eastAsia="Calibri" w:hAnsi="Times New Roman" w:cs="Times New Roman"/>
        </w:rPr>
      </w:pPr>
      <w:r w:rsidRPr="00214D77">
        <w:rPr>
          <w:rFonts w:ascii="Times New Roman" w:eastAsia="Calibri" w:hAnsi="Times New Roman" w:cs="Times New Roman"/>
        </w:rPr>
        <w:t xml:space="preserve">The estimated use and financial impact of </w:t>
      </w:r>
      <w:r w:rsidRPr="00214D77">
        <w:rPr>
          <w:rFonts w:ascii="Times New Roman" w:eastAsia="Calibri" w:hAnsi="Times New Roman" w:cs="Times New Roman"/>
          <w:i/>
          <w:iCs/>
        </w:rPr>
        <w:t>NTRK</w:t>
      </w:r>
      <w:r w:rsidRPr="00214D77">
        <w:rPr>
          <w:rFonts w:ascii="Times New Roman" w:eastAsia="Calibri" w:hAnsi="Times New Roman" w:cs="Times New Roman"/>
        </w:rPr>
        <w:t xml:space="preserve"> fusion testing to the MBS is summarised in Table 1</w:t>
      </w:r>
      <w:r w:rsidR="00973890">
        <w:rPr>
          <w:rFonts w:ascii="Times New Roman" w:eastAsia="Calibri" w:hAnsi="Times New Roman" w:cs="Times New Roman"/>
        </w:rPr>
        <w:t>2</w:t>
      </w:r>
      <w:r w:rsidRPr="00214D77">
        <w:rPr>
          <w:rFonts w:ascii="Times New Roman" w:eastAsia="Calibri" w:hAnsi="Times New Roman" w:cs="Times New Roman"/>
        </w:rPr>
        <w:t>.</w:t>
      </w:r>
    </w:p>
    <w:p w14:paraId="65032983" w14:textId="1D35D055" w:rsidR="00214D77" w:rsidRPr="00214D77" w:rsidRDefault="00214D77" w:rsidP="00214D77">
      <w:pPr>
        <w:keepNext/>
        <w:spacing w:before="0" w:after="40"/>
        <w:outlineLvl w:val="4"/>
        <w:rPr>
          <w:rFonts w:ascii="Arial Narrow" w:eastAsia="Times New Roman" w:hAnsi="Arial Narrow" w:cs="Arial"/>
          <w:b/>
          <w:bCs/>
          <w:iCs/>
          <w:sz w:val="20"/>
          <w:szCs w:val="20"/>
        </w:rPr>
      </w:pPr>
      <w:r w:rsidRPr="00214D77">
        <w:rPr>
          <w:rFonts w:ascii="Arial Narrow" w:eastAsia="Times New Roman" w:hAnsi="Arial Narrow" w:cs="Arial"/>
          <w:b/>
          <w:bCs/>
          <w:iCs/>
          <w:sz w:val="20"/>
          <w:szCs w:val="20"/>
        </w:rPr>
        <w:lastRenderedPageBreak/>
        <w:t>Table 1</w:t>
      </w:r>
      <w:r w:rsidR="00973890">
        <w:rPr>
          <w:rFonts w:ascii="Arial Narrow" w:eastAsia="Times New Roman" w:hAnsi="Arial Narrow" w:cs="Arial"/>
          <w:b/>
          <w:bCs/>
          <w:iCs/>
          <w:sz w:val="20"/>
          <w:szCs w:val="20"/>
        </w:rPr>
        <w:t>2</w:t>
      </w:r>
      <w:r w:rsidRPr="00214D77">
        <w:rPr>
          <w:rFonts w:ascii="Arial Narrow" w:eastAsia="Times New Roman" w:hAnsi="Arial Narrow" w:cs="Arial"/>
          <w:b/>
          <w:bCs/>
          <w:iCs/>
          <w:sz w:val="20"/>
          <w:szCs w:val="20"/>
        </w:rPr>
        <w:tab/>
        <w:t xml:space="preserve">Estimated use and financial implications of </w:t>
      </w:r>
      <w:r w:rsidRPr="00214D77">
        <w:rPr>
          <w:rFonts w:ascii="Arial Narrow" w:eastAsia="Times New Roman" w:hAnsi="Arial Narrow" w:cs="Arial"/>
          <w:b/>
          <w:bCs/>
          <w:i/>
          <w:iCs/>
          <w:sz w:val="20"/>
          <w:szCs w:val="20"/>
        </w:rPr>
        <w:t>NTRK</w:t>
      </w:r>
      <w:r w:rsidRPr="00214D77">
        <w:rPr>
          <w:rFonts w:ascii="Arial Narrow" w:eastAsia="Times New Roman" w:hAnsi="Arial Narrow" w:cs="Arial"/>
          <w:b/>
          <w:bCs/>
          <w:iCs/>
          <w:sz w:val="20"/>
          <w:szCs w:val="20"/>
        </w:rPr>
        <w:t xml:space="preserve"> fusion testing to the MBS</w:t>
      </w:r>
    </w:p>
    <w:tbl>
      <w:tblPr>
        <w:tblStyle w:val="PBACTableStyle"/>
        <w:tblW w:w="5000" w:type="pct"/>
        <w:tblLayout w:type="fixed"/>
        <w:tblCellMar>
          <w:left w:w="28" w:type="dxa"/>
          <w:right w:w="28" w:type="dxa"/>
        </w:tblCellMar>
        <w:tblLook w:val="04A0" w:firstRow="1" w:lastRow="0" w:firstColumn="1" w:lastColumn="0" w:noHBand="0" w:noVBand="1"/>
      </w:tblPr>
      <w:tblGrid>
        <w:gridCol w:w="2971"/>
        <w:gridCol w:w="994"/>
        <w:gridCol w:w="994"/>
        <w:gridCol w:w="992"/>
        <w:gridCol w:w="959"/>
        <w:gridCol w:w="1055"/>
        <w:gridCol w:w="1051"/>
      </w:tblGrid>
      <w:tr w:rsidR="00214D77" w:rsidRPr="00214D77" w14:paraId="57A4AD5C" w14:textId="77777777" w:rsidTr="00C06749">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648" w:type="pct"/>
            <w:noWrap/>
          </w:tcPr>
          <w:p w14:paraId="455C76E8" w14:textId="77777777" w:rsidR="00214D77" w:rsidRPr="00214D77" w:rsidRDefault="00214D77" w:rsidP="00214D77">
            <w:pPr>
              <w:spacing w:before="40" w:after="40" w:line="256" w:lineRule="auto"/>
              <w:jc w:val="center"/>
              <w:rPr>
                <w:rFonts w:eastAsia="Calibri" w:cs="Times New Roman"/>
                <w:bCs/>
                <w:color w:val="000000"/>
                <w:sz w:val="20"/>
              </w:rPr>
            </w:pPr>
          </w:p>
        </w:tc>
        <w:tc>
          <w:tcPr>
            <w:tcW w:w="551" w:type="pct"/>
            <w:noWrap/>
          </w:tcPr>
          <w:p w14:paraId="074A86D7"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Cs/>
                <w:color w:val="000000"/>
                <w:sz w:val="20"/>
              </w:rPr>
            </w:pPr>
            <w:r w:rsidRPr="00214D77">
              <w:rPr>
                <w:rFonts w:eastAsia="Calibri" w:cs="Times New Roman"/>
                <w:bCs/>
                <w:color w:val="000000"/>
                <w:sz w:val="20"/>
              </w:rPr>
              <w:t>Year 1</w:t>
            </w:r>
          </w:p>
        </w:tc>
        <w:tc>
          <w:tcPr>
            <w:tcW w:w="551" w:type="pct"/>
            <w:noWrap/>
          </w:tcPr>
          <w:p w14:paraId="51239070"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Cs/>
                <w:color w:val="000000"/>
                <w:sz w:val="20"/>
              </w:rPr>
            </w:pPr>
            <w:r w:rsidRPr="00214D77">
              <w:rPr>
                <w:rFonts w:eastAsia="Calibri" w:cs="Times New Roman"/>
                <w:bCs/>
                <w:color w:val="000000"/>
                <w:sz w:val="20"/>
              </w:rPr>
              <w:t>Year 2</w:t>
            </w:r>
          </w:p>
        </w:tc>
        <w:tc>
          <w:tcPr>
            <w:tcW w:w="550" w:type="pct"/>
            <w:noWrap/>
          </w:tcPr>
          <w:p w14:paraId="5C690A94"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Cs/>
                <w:color w:val="000000"/>
                <w:sz w:val="20"/>
              </w:rPr>
            </w:pPr>
            <w:r w:rsidRPr="00214D77">
              <w:rPr>
                <w:rFonts w:eastAsia="Calibri" w:cs="Times New Roman"/>
                <w:bCs/>
                <w:color w:val="000000"/>
                <w:sz w:val="20"/>
              </w:rPr>
              <w:t>Year 3</w:t>
            </w:r>
          </w:p>
        </w:tc>
        <w:tc>
          <w:tcPr>
            <w:tcW w:w="532" w:type="pct"/>
            <w:noWrap/>
          </w:tcPr>
          <w:p w14:paraId="44C7AD34"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Cs/>
                <w:color w:val="000000"/>
                <w:sz w:val="20"/>
              </w:rPr>
            </w:pPr>
            <w:r w:rsidRPr="00214D77">
              <w:rPr>
                <w:rFonts w:eastAsia="Calibri" w:cs="Times New Roman"/>
                <w:bCs/>
                <w:color w:val="000000"/>
                <w:sz w:val="20"/>
              </w:rPr>
              <w:t>Year 4</w:t>
            </w:r>
          </w:p>
        </w:tc>
        <w:tc>
          <w:tcPr>
            <w:tcW w:w="585" w:type="pct"/>
            <w:noWrap/>
          </w:tcPr>
          <w:p w14:paraId="3B4C6AC6"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Cs/>
                <w:color w:val="000000"/>
                <w:sz w:val="20"/>
              </w:rPr>
            </w:pPr>
            <w:r w:rsidRPr="00214D77">
              <w:rPr>
                <w:rFonts w:eastAsia="Calibri" w:cs="Times New Roman"/>
                <w:bCs/>
                <w:color w:val="000000"/>
                <w:sz w:val="20"/>
              </w:rPr>
              <w:t>Year 5</w:t>
            </w:r>
          </w:p>
        </w:tc>
        <w:tc>
          <w:tcPr>
            <w:tcW w:w="583" w:type="pct"/>
            <w:noWrap/>
          </w:tcPr>
          <w:p w14:paraId="7DA90152" w14:textId="77777777" w:rsidR="00214D77" w:rsidRPr="00214D77" w:rsidRDefault="00214D77" w:rsidP="00214D77">
            <w:pPr>
              <w:spacing w:before="40" w:after="40" w:line="25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Cs/>
                <w:color w:val="000000"/>
                <w:sz w:val="20"/>
              </w:rPr>
            </w:pPr>
            <w:r w:rsidRPr="00214D77">
              <w:rPr>
                <w:rFonts w:eastAsia="Calibri" w:cs="Times New Roman"/>
                <w:bCs/>
                <w:color w:val="000000"/>
                <w:sz w:val="20"/>
              </w:rPr>
              <w:t>Year 6</w:t>
            </w:r>
          </w:p>
        </w:tc>
      </w:tr>
      <w:tr w:rsidR="00214D77" w:rsidRPr="00214D77" w14:paraId="60485902"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7"/>
            <w:noWrap/>
          </w:tcPr>
          <w:p w14:paraId="639B84F3" w14:textId="77777777" w:rsidR="00214D77" w:rsidRPr="00214D77" w:rsidRDefault="00214D77" w:rsidP="00214D77">
            <w:pPr>
              <w:keepNext/>
              <w:spacing w:before="40" w:after="40" w:line="257" w:lineRule="auto"/>
              <w:jc w:val="left"/>
              <w:rPr>
                <w:rFonts w:eastAsia="Calibri" w:cs="Times New Roman"/>
                <w:b/>
                <w:bCs/>
                <w:color w:val="000000"/>
                <w:sz w:val="20"/>
              </w:rPr>
            </w:pPr>
            <w:r w:rsidRPr="00214D77">
              <w:rPr>
                <w:rFonts w:eastAsia="Calibri" w:cs="Times New Roman"/>
                <w:b/>
                <w:bCs/>
                <w:color w:val="000000"/>
                <w:sz w:val="20"/>
              </w:rPr>
              <w:t>Increased use of IHC testing</w:t>
            </w:r>
          </w:p>
        </w:tc>
      </w:tr>
      <w:tr w:rsidR="00214D77" w:rsidRPr="00214D77" w14:paraId="5D29D0AF"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single" w:sz="4" w:space="0" w:color="auto"/>
            </w:tcBorders>
            <w:noWrap/>
          </w:tcPr>
          <w:p w14:paraId="528B8FCC" w14:textId="247DD23E" w:rsidR="00214D77" w:rsidRPr="00C06749" w:rsidRDefault="00214D77" w:rsidP="00214D77">
            <w:pPr>
              <w:keepNext/>
              <w:spacing w:before="40" w:after="40" w:line="257" w:lineRule="auto"/>
              <w:jc w:val="left"/>
              <w:rPr>
                <w:rFonts w:eastAsia="Calibri" w:cs="Times New Roman"/>
                <w:bCs/>
                <w:color w:val="000000"/>
                <w:sz w:val="20"/>
              </w:rPr>
            </w:pPr>
            <w:r w:rsidRPr="00C06749">
              <w:rPr>
                <w:rFonts w:eastAsia="Calibri" w:cs="Times New Roman"/>
                <w:bCs/>
                <w:color w:val="000000"/>
                <w:sz w:val="20"/>
              </w:rPr>
              <w:t xml:space="preserve">Adult low </w:t>
            </w:r>
            <w:r w:rsidRPr="00C06749">
              <w:rPr>
                <w:rFonts w:eastAsia="Calibri" w:cs="Times New Roman"/>
                <w:bCs/>
                <w:i/>
                <w:color w:val="000000"/>
                <w:sz w:val="20"/>
              </w:rPr>
              <w:t>NTRK</w:t>
            </w:r>
            <w:r w:rsidRPr="00C06749">
              <w:rPr>
                <w:rFonts w:eastAsia="Calibri" w:cs="Times New Roman"/>
                <w:bCs/>
                <w:color w:val="000000"/>
                <w:sz w:val="20"/>
              </w:rPr>
              <w:t xml:space="preserve"> fusion frequency patients who receive larotrectinib</w:t>
            </w:r>
          </w:p>
        </w:tc>
        <w:tc>
          <w:tcPr>
            <w:tcW w:w="551" w:type="pct"/>
            <w:tcBorders>
              <w:bottom w:val="single" w:sz="4" w:space="0" w:color="auto"/>
            </w:tcBorders>
            <w:noWrap/>
            <w:vAlign w:val="top"/>
          </w:tcPr>
          <w:p w14:paraId="4F18586E" w14:textId="1D3CE4B4" w:rsidR="00214D77" w:rsidRPr="00C06749" w:rsidRDefault="00D9500D"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single" w:sz="4" w:space="0" w:color="auto"/>
            </w:tcBorders>
            <w:noWrap/>
            <w:vAlign w:val="top"/>
          </w:tcPr>
          <w:p w14:paraId="74054D33" w14:textId="441E8849" w:rsidR="00214D77" w:rsidRPr="00C06749" w:rsidRDefault="00D9500D"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single" w:sz="4" w:space="0" w:color="auto"/>
            </w:tcBorders>
            <w:noWrap/>
            <w:vAlign w:val="top"/>
          </w:tcPr>
          <w:p w14:paraId="0A6F842F" w14:textId="625F4085" w:rsidR="00214D77" w:rsidRPr="00C06749" w:rsidRDefault="00D9500D"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single" w:sz="4" w:space="0" w:color="auto"/>
            </w:tcBorders>
            <w:noWrap/>
            <w:vAlign w:val="top"/>
          </w:tcPr>
          <w:p w14:paraId="732EACDA" w14:textId="7B3B0CA6" w:rsidR="00214D77" w:rsidRPr="00C06749" w:rsidRDefault="00D9500D"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single" w:sz="4" w:space="0" w:color="auto"/>
            </w:tcBorders>
            <w:noWrap/>
            <w:vAlign w:val="top"/>
          </w:tcPr>
          <w:p w14:paraId="60AA26B9" w14:textId="23613072" w:rsidR="00214D77" w:rsidRPr="00C06749" w:rsidRDefault="00D9500D"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single" w:sz="4" w:space="0" w:color="auto"/>
            </w:tcBorders>
            <w:noWrap/>
            <w:vAlign w:val="top"/>
          </w:tcPr>
          <w:p w14:paraId="7A9C6709" w14:textId="628C4DDE" w:rsidR="00214D77" w:rsidRPr="00C06749" w:rsidRDefault="00D9500D"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580CEEC8"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2837B2B3" w14:textId="3F0D5D47" w:rsidR="00214D77" w:rsidRPr="00C06749" w:rsidRDefault="00214D77" w:rsidP="00214D77">
            <w:pPr>
              <w:keepNext/>
              <w:spacing w:before="40" w:after="40" w:line="257" w:lineRule="auto"/>
              <w:jc w:val="left"/>
              <w:rPr>
                <w:rFonts w:eastAsia="Calibri" w:cs="Times New Roman"/>
                <w:bCs/>
                <w:color w:val="000000"/>
                <w:sz w:val="20"/>
              </w:rPr>
            </w:pPr>
            <w:r w:rsidRPr="00C06749">
              <w:rPr>
                <w:rFonts w:eastAsia="Calibri" w:cs="Times New Roman"/>
                <w:bCs/>
                <w:color w:val="000000"/>
                <w:sz w:val="20"/>
              </w:rPr>
              <w:t xml:space="preserve">No. IHC tests required </w:t>
            </w:r>
            <w:r w:rsidRPr="00C06749">
              <w:rPr>
                <w:rFonts w:eastAsia="Calibri" w:cs="Times New Roman"/>
                <w:bCs/>
                <w:color w:val="000000"/>
                <w:sz w:val="20"/>
              </w:rPr>
              <w:br/>
              <w:t>(</w:t>
            </w:r>
            <w:r w:rsidR="00940D65" w:rsidRPr="00C06749">
              <w:rPr>
                <w:rFonts w:eastAsia="Calibri" w:cs="Times New Roman"/>
                <w:color w:val="000000"/>
                <w:sz w:val="20"/>
              </w:rPr>
              <w:t>Redacted</w:t>
            </w:r>
            <w:r w:rsidR="00940D65" w:rsidRPr="00C06749">
              <w:rPr>
                <w:rFonts w:eastAsia="Calibri" w:cs="Times New Roman"/>
                <w:color w:val="000000"/>
                <w:sz w:val="20"/>
                <w:vertAlign w:val="superscript"/>
              </w:rPr>
              <w:t>1</w:t>
            </w:r>
            <w:r w:rsidRPr="00C06749">
              <w:rPr>
                <w:rFonts w:eastAsia="Calibri" w:cs="Times New Roman"/>
                <w:bCs/>
                <w:color w:val="000000"/>
                <w:sz w:val="20"/>
              </w:rPr>
              <w:t>per patient)</w:t>
            </w:r>
          </w:p>
        </w:tc>
        <w:tc>
          <w:tcPr>
            <w:tcW w:w="551" w:type="pct"/>
            <w:tcBorders>
              <w:bottom w:val="nil"/>
            </w:tcBorders>
            <w:noWrap/>
            <w:vAlign w:val="top"/>
          </w:tcPr>
          <w:p w14:paraId="7BCF50CB" w14:textId="7EC030D3"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vertAlign w:val="superscript"/>
              </w:rPr>
            </w:pPr>
            <w:r w:rsidRPr="00C06749">
              <w:rPr>
                <w:rFonts w:eastAsia="Calibri" w:cs="Times New Roman"/>
                <w:color w:val="000000"/>
                <w:sz w:val="20"/>
              </w:rPr>
              <w:t>Redacted</w:t>
            </w:r>
            <w:r w:rsidRPr="00C06749">
              <w:rPr>
                <w:rFonts w:eastAsia="Calibri" w:cs="Times New Roman"/>
                <w:color w:val="000000"/>
                <w:sz w:val="20"/>
                <w:vertAlign w:val="superscript"/>
              </w:rPr>
              <w:t>2</w:t>
            </w:r>
          </w:p>
        </w:tc>
        <w:tc>
          <w:tcPr>
            <w:tcW w:w="551" w:type="pct"/>
            <w:tcBorders>
              <w:bottom w:val="nil"/>
            </w:tcBorders>
            <w:noWrap/>
            <w:vAlign w:val="top"/>
          </w:tcPr>
          <w:p w14:paraId="5B5B7ECB" w14:textId="2E1E0C29"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2</w:t>
            </w:r>
          </w:p>
        </w:tc>
        <w:tc>
          <w:tcPr>
            <w:tcW w:w="550" w:type="pct"/>
            <w:tcBorders>
              <w:bottom w:val="nil"/>
            </w:tcBorders>
            <w:noWrap/>
            <w:vAlign w:val="top"/>
          </w:tcPr>
          <w:p w14:paraId="601C261C" w14:textId="51C53DF6"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2</w:t>
            </w:r>
          </w:p>
        </w:tc>
        <w:tc>
          <w:tcPr>
            <w:tcW w:w="532" w:type="pct"/>
            <w:tcBorders>
              <w:bottom w:val="nil"/>
            </w:tcBorders>
            <w:noWrap/>
            <w:vAlign w:val="top"/>
          </w:tcPr>
          <w:p w14:paraId="32EEDD62" w14:textId="16E6E1A2"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2</w:t>
            </w:r>
          </w:p>
        </w:tc>
        <w:tc>
          <w:tcPr>
            <w:tcW w:w="585" w:type="pct"/>
            <w:tcBorders>
              <w:bottom w:val="nil"/>
            </w:tcBorders>
            <w:noWrap/>
            <w:vAlign w:val="top"/>
          </w:tcPr>
          <w:p w14:paraId="10AFD0F2" w14:textId="326AC078"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2</w:t>
            </w:r>
          </w:p>
        </w:tc>
        <w:tc>
          <w:tcPr>
            <w:tcW w:w="583" w:type="pct"/>
            <w:tcBorders>
              <w:bottom w:val="nil"/>
            </w:tcBorders>
            <w:noWrap/>
            <w:vAlign w:val="top"/>
          </w:tcPr>
          <w:p w14:paraId="43EF8D4F" w14:textId="44669369"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2</w:t>
            </w:r>
          </w:p>
        </w:tc>
      </w:tr>
      <w:tr w:rsidR="00214D77" w:rsidRPr="00214D77" w14:paraId="7B1E2D57"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single" w:sz="4" w:space="0" w:color="auto"/>
            </w:tcBorders>
            <w:noWrap/>
          </w:tcPr>
          <w:p w14:paraId="03315BC2" w14:textId="4E16A8FA" w:rsidR="00214D77" w:rsidRPr="00C06749" w:rsidRDefault="00214D77" w:rsidP="00214D77">
            <w:pPr>
              <w:keepNext/>
              <w:spacing w:before="40" w:after="40" w:line="257" w:lineRule="auto"/>
              <w:jc w:val="left"/>
              <w:rPr>
                <w:rFonts w:eastAsia="Calibri" w:cs="Times New Roman"/>
                <w:bCs/>
                <w:i/>
                <w:color w:val="000000"/>
                <w:sz w:val="20"/>
              </w:rPr>
            </w:pPr>
            <w:r w:rsidRPr="00C06749">
              <w:rPr>
                <w:rFonts w:eastAsia="Calibri" w:cs="Times New Roman"/>
                <w:bCs/>
                <w:i/>
                <w:color w:val="000000"/>
                <w:sz w:val="20"/>
              </w:rPr>
              <w:t>Revised (</w:t>
            </w:r>
            <w:r w:rsidR="00940D65" w:rsidRPr="00C06749">
              <w:rPr>
                <w:rFonts w:eastAsia="Calibri" w:cs="Times New Roman"/>
                <w:i/>
                <w:iCs/>
                <w:color w:val="000000"/>
                <w:sz w:val="20"/>
              </w:rPr>
              <w:t>Redacted</w:t>
            </w:r>
            <w:r w:rsidR="00940D65" w:rsidRPr="00C06749">
              <w:rPr>
                <w:rFonts w:eastAsia="Calibri" w:cs="Times New Roman"/>
                <w:i/>
                <w:iCs/>
                <w:color w:val="000000"/>
                <w:sz w:val="20"/>
                <w:vertAlign w:val="superscript"/>
              </w:rPr>
              <w:t>1</w:t>
            </w:r>
            <w:r w:rsidRPr="00C06749">
              <w:rPr>
                <w:rFonts w:eastAsia="Calibri" w:cs="Times New Roman"/>
                <w:bCs/>
                <w:i/>
                <w:color w:val="000000"/>
                <w:sz w:val="20"/>
              </w:rPr>
              <w:t>per patient)</w:t>
            </w:r>
            <w:r w:rsidRPr="00C06749">
              <w:rPr>
                <w:rFonts w:eastAsia="Calibri" w:cs="Times New Roman"/>
                <w:bCs/>
                <w:i/>
                <w:color w:val="000000"/>
                <w:sz w:val="20"/>
                <w:vertAlign w:val="superscript"/>
              </w:rPr>
              <w:t>a</w:t>
            </w:r>
          </w:p>
        </w:tc>
        <w:tc>
          <w:tcPr>
            <w:tcW w:w="551" w:type="pct"/>
            <w:tcBorders>
              <w:top w:val="nil"/>
              <w:bottom w:val="single" w:sz="4" w:space="0" w:color="auto"/>
            </w:tcBorders>
            <w:noWrap/>
            <w:vAlign w:val="top"/>
          </w:tcPr>
          <w:p w14:paraId="1799C093" w14:textId="565D694B"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2</w:t>
            </w:r>
          </w:p>
        </w:tc>
        <w:tc>
          <w:tcPr>
            <w:tcW w:w="551" w:type="pct"/>
            <w:tcBorders>
              <w:top w:val="nil"/>
              <w:bottom w:val="single" w:sz="4" w:space="0" w:color="auto"/>
            </w:tcBorders>
            <w:noWrap/>
            <w:vAlign w:val="top"/>
          </w:tcPr>
          <w:p w14:paraId="007D897F" w14:textId="589D405B"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2</w:t>
            </w:r>
          </w:p>
        </w:tc>
        <w:tc>
          <w:tcPr>
            <w:tcW w:w="550" w:type="pct"/>
            <w:tcBorders>
              <w:top w:val="nil"/>
              <w:bottom w:val="single" w:sz="4" w:space="0" w:color="auto"/>
            </w:tcBorders>
            <w:noWrap/>
            <w:vAlign w:val="top"/>
          </w:tcPr>
          <w:p w14:paraId="6B107931" w14:textId="23BAC24B"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2</w:t>
            </w:r>
          </w:p>
        </w:tc>
        <w:tc>
          <w:tcPr>
            <w:tcW w:w="532" w:type="pct"/>
            <w:tcBorders>
              <w:top w:val="nil"/>
              <w:bottom w:val="single" w:sz="4" w:space="0" w:color="auto"/>
            </w:tcBorders>
            <w:noWrap/>
            <w:vAlign w:val="top"/>
          </w:tcPr>
          <w:p w14:paraId="72064582" w14:textId="4EBC8BEA"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2</w:t>
            </w:r>
          </w:p>
        </w:tc>
        <w:tc>
          <w:tcPr>
            <w:tcW w:w="585" w:type="pct"/>
            <w:tcBorders>
              <w:top w:val="nil"/>
              <w:bottom w:val="single" w:sz="4" w:space="0" w:color="auto"/>
            </w:tcBorders>
            <w:noWrap/>
            <w:vAlign w:val="top"/>
          </w:tcPr>
          <w:p w14:paraId="75A58994" w14:textId="32507397"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2</w:t>
            </w:r>
          </w:p>
        </w:tc>
        <w:tc>
          <w:tcPr>
            <w:tcW w:w="583" w:type="pct"/>
            <w:tcBorders>
              <w:top w:val="nil"/>
              <w:bottom w:val="single" w:sz="4" w:space="0" w:color="auto"/>
            </w:tcBorders>
            <w:noWrap/>
            <w:vAlign w:val="top"/>
          </w:tcPr>
          <w:p w14:paraId="6A9BEE9F" w14:textId="536F2AB1"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2</w:t>
            </w:r>
          </w:p>
        </w:tc>
      </w:tr>
      <w:tr w:rsidR="00214D77" w:rsidRPr="00214D77" w14:paraId="2FBFC9FF"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single" w:sz="4" w:space="0" w:color="auto"/>
              <w:bottom w:val="nil"/>
            </w:tcBorders>
            <w:shd w:val="clear" w:color="auto" w:fill="D9D9D9"/>
            <w:noWrap/>
          </w:tcPr>
          <w:p w14:paraId="4FBE4BCE" w14:textId="77777777" w:rsidR="00214D77" w:rsidRPr="00C06749" w:rsidRDefault="00214D77" w:rsidP="00214D77">
            <w:pPr>
              <w:keepNext/>
              <w:spacing w:before="40" w:after="40" w:line="257" w:lineRule="auto"/>
              <w:jc w:val="left"/>
              <w:rPr>
                <w:rFonts w:eastAsia="Calibri" w:cs="Times New Roman"/>
                <w:bCs/>
                <w:i/>
                <w:color w:val="000000"/>
                <w:sz w:val="20"/>
              </w:rPr>
            </w:pPr>
            <w:r w:rsidRPr="00C06749">
              <w:rPr>
                <w:rFonts w:eastAsia="Calibri" w:cs="Times New Roman"/>
                <w:bCs/>
                <w:color w:val="000000"/>
                <w:sz w:val="20"/>
              </w:rPr>
              <w:t xml:space="preserve">No. IHC tests estimated in the November 2020 submission </w:t>
            </w:r>
            <w:r w:rsidRPr="00C06749">
              <w:rPr>
                <w:rFonts w:eastAsia="Calibri" w:cs="Times New Roman"/>
                <w:bCs/>
                <w:color w:val="000000"/>
                <w:sz w:val="20"/>
              </w:rPr>
              <w:br/>
              <w:t>(8.04 per patient)</w:t>
            </w:r>
          </w:p>
        </w:tc>
        <w:tc>
          <w:tcPr>
            <w:tcW w:w="551" w:type="pct"/>
            <w:tcBorders>
              <w:top w:val="single" w:sz="4" w:space="0" w:color="auto"/>
              <w:bottom w:val="nil"/>
            </w:tcBorders>
            <w:shd w:val="clear" w:color="auto" w:fill="D9D9D9"/>
            <w:noWrap/>
            <w:vAlign w:val="top"/>
          </w:tcPr>
          <w:p w14:paraId="526EF893" w14:textId="6AC5A309"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top w:val="single" w:sz="4" w:space="0" w:color="auto"/>
              <w:bottom w:val="nil"/>
            </w:tcBorders>
            <w:shd w:val="clear" w:color="auto" w:fill="D9D9D9"/>
            <w:noWrap/>
            <w:vAlign w:val="top"/>
          </w:tcPr>
          <w:p w14:paraId="0642F7F9" w14:textId="3B0C8F33"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top w:val="single" w:sz="4" w:space="0" w:color="auto"/>
              <w:bottom w:val="nil"/>
            </w:tcBorders>
            <w:shd w:val="clear" w:color="auto" w:fill="D9D9D9"/>
            <w:noWrap/>
            <w:vAlign w:val="top"/>
          </w:tcPr>
          <w:p w14:paraId="522FB365" w14:textId="6BDE65FA"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vertAlign w:val="superscript"/>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32" w:type="pct"/>
            <w:tcBorders>
              <w:top w:val="single" w:sz="4" w:space="0" w:color="auto"/>
              <w:bottom w:val="nil"/>
            </w:tcBorders>
            <w:shd w:val="clear" w:color="auto" w:fill="D9D9D9"/>
            <w:noWrap/>
            <w:vAlign w:val="top"/>
          </w:tcPr>
          <w:p w14:paraId="0B01FC6A" w14:textId="4DFB087A"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85" w:type="pct"/>
            <w:tcBorders>
              <w:top w:val="single" w:sz="4" w:space="0" w:color="auto"/>
              <w:bottom w:val="nil"/>
            </w:tcBorders>
            <w:shd w:val="clear" w:color="auto" w:fill="D9D9D9"/>
            <w:noWrap/>
            <w:vAlign w:val="top"/>
          </w:tcPr>
          <w:p w14:paraId="663D365D" w14:textId="32811673"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83" w:type="pct"/>
            <w:tcBorders>
              <w:top w:val="single" w:sz="4" w:space="0" w:color="auto"/>
              <w:bottom w:val="nil"/>
            </w:tcBorders>
            <w:shd w:val="clear" w:color="auto" w:fill="D9D9D9"/>
            <w:noWrap/>
            <w:vAlign w:val="top"/>
          </w:tcPr>
          <w:p w14:paraId="555B6F0B" w14:textId="1D47035C" w:rsidR="00214D77" w:rsidRPr="00C06749" w:rsidRDefault="0085455A"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r>
      <w:tr w:rsidR="00214D77" w:rsidRPr="00214D77" w14:paraId="1A25E42E"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single" w:sz="4" w:space="0" w:color="auto"/>
            </w:tcBorders>
            <w:shd w:val="clear" w:color="auto" w:fill="D9D9D9"/>
            <w:noWrap/>
          </w:tcPr>
          <w:p w14:paraId="6BB4FCAC" w14:textId="4858A222" w:rsidR="00214D77" w:rsidRPr="00C06749" w:rsidRDefault="00214D77" w:rsidP="00214D77">
            <w:pPr>
              <w:keepNext/>
              <w:spacing w:before="40" w:after="40" w:line="257" w:lineRule="auto"/>
              <w:jc w:val="left"/>
              <w:rPr>
                <w:rFonts w:eastAsia="Calibri" w:cs="Times New Roman"/>
                <w:bCs/>
                <w:i/>
                <w:color w:val="000000"/>
                <w:sz w:val="20"/>
              </w:rPr>
            </w:pPr>
            <w:r w:rsidRPr="00C06749">
              <w:rPr>
                <w:rFonts w:eastAsia="Calibri" w:cs="Times New Roman"/>
                <w:bCs/>
                <w:i/>
                <w:color w:val="000000"/>
                <w:sz w:val="20"/>
              </w:rPr>
              <w:t>Revised (</w:t>
            </w:r>
            <w:r w:rsidR="001464E9" w:rsidRPr="00C06749">
              <w:rPr>
                <w:rFonts w:eastAsia="Calibri" w:cs="Times New Roman"/>
                <w:i/>
                <w:iCs/>
                <w:color w:val="000000"/>
                <w:sz w:val="20"/>
              </w:rPr>
              <w:t>Redacted</w:t>
            </w:r>
            <w:r w:rsidR="001464E9" w:rsidRPr="00C06749">
              <w:rPr>
                <w:rFonts w:eastAsia="Calibri" w:cs="Times New Roman"/>
                <w:i/>
                <w:iCs/>
                <w:color w:val="000000"/>
                <w:sz w:val="20"/>
                <w:vertAlign w:val="superscript"/>
              </w:rPr>
              <w:t>1</w:t>
            </w:r>
            <w:r w:rsidRPr="00C06749">
              <w:rPr>
                <w:rFonts w:eastAsia="Calibri" w:cs="Times New Roman"/>
                <w:bCs/>
                <w:i/>
                <w:color w:val="000000"/>
                <w:sz w:val="20"/>
              </w:rPr>
              <w:t xml:space="preserve"> per patient)</w:t>
            </w:r>
          </w:p>
        </w:tc>
        <w:tc>
          <w:tcPr>
            <w:tcW w:w="551" w:type="pct"/>
            <w:tcBorders>
              <w:top w:val="nil"/>
              <w:bottom w:val="single" w:sz="4" w:space="0" w:color="auto"/>
            </w:tcBorders>
            <w:shd w:val="clear" w:color="auto" w:fill="D9D9D9"/>
            <w:noWrap/>
            <w:vAlign w:val="top"/>
          </w:tcPr>
          <w:p w14:paraId="194E45CD" w14:textId="0B50D7A8" w:rsidR="00214D77" w:rsidRPr="00C06749" w:rsidRDefault="00DB1385"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vertAlign w:val="superscript"/>
              </w:rPr>
            </w:pPr>
            <w:r w:rsidRPr="00C06749">
              <w:rPr>
                <w:rFonts w:eastAsia="Calibri" w:cs="Times New Roman"/>
                <w:i/>
                <w:color w:val="000000"/>
                <w:sz w:val="20"/>
              </w:rPr>
              <w:t>Redacted</w:t>
            </w:r>
            <w:r w:rsidRPr="00C06749">
              <w:rPr>
                <w:rFonts w:eastAsia="Calibri" w:cs="Times New Roman"/>
                <w:i/>
                <w:color w:val="000000"/>
                <w:sz w:val="20"/>
                <w:vertAlign w:val="superscript"/>
              </w:rPr>
              <w:t>4</w:t>
            </w:r>
          </w:p>
        </w:tc>
        <w:tc>
          <w:tcPr>
            <w:tcW w:w="551" w:type="pct"/>
            <w:tcBorders>
              <w:top w:val="nil"/>
              <w:bottom w:val="single" w:sz="4" w:space="0" w:color="auto"/>
            </w:tcBorders>
            <w:shd w:val="clear" w:color="auto" w:fill="D9D9D9"/>
            <w:noWrap/>
            <w:vAlign w:val="top"/>
          </w:tcPr>
          <w:p w14:paraId="6AD891ED" w14:textId="376E11B0" w:rsidR="00214D77" w:rsidRPr="00C06749" w:rsidRDefault="00DB1385"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Pr="00C06749">
              <w:rPr>
                <w:rFonts w:eastAsia="Calibri" w:cs="Times New Roman"/>
                <w:i/>
                <w:color w:val="000000"/>
                <w:sz w:val="20"/>
                <w:vertAlign w:val="superscript"/>
              </w:rPr>
              <w:t>4</w:t>
            </w:r>
          </w:p>
        </w:tc>
        <w:tc>
          <w:tcPr>
            <w:tcW w:w="550" w:type="pct"/>
            <w:tcBorders>
              <w:top w:val="nil"/>
              <w:bottom w:val="single" w:sz="4" w:space="0" w:color="auto"/>
            </w:tcBorders>
            <w:shd w:val="clear" w:color="auto" w:fill="D9D9D9"/>
            <w:noWrap/>
            <w:vAlign w:val="top"/>
          </w:tcPr>
          <w:p w14:paraId="116323BE" w14:textId="14A9559F" w:rsidR="00214D77" w:rsidRPr="00C06749" w:rsidRDefault="00DB1385"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Pr="00C06749">
              <w:rPr>
                <w:rFonts w:eastAsia="Calibri" w:cs="Times New Roman"/>
                <w:i/>
                <w:color w:val="000000"/>
                <w:sz w:val="20"/>
                <w:vertAlign w:val="superscript"/>
              </w:rPr>
              <w:t>4</w:t>
            </w:r>
          </w:p>
        </w:tc>
        <w:tc>
          <w:tcPr>
            <w:tcW w:w="532" w:type="pct"/>
            <w:tcBorders>
              <w:top w:val="nil"/>
              <w:bottom w:val="single" w:sz="4" w:space="0" w:color="auto"/>
            </w:tcBorders>
            <w:shd w:val="clear" w:color="auto" w:fill="D9D9D9"/>
            <w:noWrap/>
            <w:vAlign w:val="top"/>
          </w:tcPr>
          <w:p w14:paraId="235EE034" w14:textId="0C337129" w:rsidR="00214D77" w:rsidRPr="00C06749" w:rsidRDefault="00DB1385"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9B3C9D" w:rsidRPr="00C06749">
              <w:rPr>
                <w:rFonts w:eastAsia="Calibri" w:cs="Times New Roman"/>
                <w:i/>
                <w:color w:val="000000"/>
                <w:sz w:val="20"/>
                <w:vertAlign w:val="superscript"/>
              </w:rPr>
              <w:t>5</w:t>
            </w:r>
          </w:p>
        </w:tc>
        <w:tc>
          <w:tcPr>
            <w:tcW w:w="585" w:type="pct"/>
            <w:tcBorders>
              <w:top w:val="nil"/>
              <w:bottom w:val="single" w:sz="4" w:space="0" w:color="auto"/>
            </w:tcBorders>
            <w:shd w:val="clear" w:color="auto" w:fill="D9D9D9"/>
            <w:noWrap/>
            <w:vAlign w:val="top"/>
          </w:tcPr>
          <w:p w14:paraId="09CBFCDE" w14:textId="1D7AA0AA" w:rsidR="00214D77" w:rsidRPr="00C06749" w:rsidRDefault="00DB1385"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9B3C9D" w:rsidRPr="00C06749">
              <w:rPr>
                <w:rFonts w:eastAsia="Calibri" w:cs="Times New Roman"/>
                <w:i/>
                <w:color w:val="000000"/>
                <w:sz w:val="20"/>
                <w:vertAlign w:val="superscript"/>
              </w:rPr>
              <w:t>5</w:t>
            </w:r>
          </w:p>
        </w:tc>
        <w:tc>
          <w:tcPr>
            <w:tcW w:w="583" w:type="pct"/>
            <w:tcBorders>
              <w:top w:val="nil"/>
              <w:bottom w:val="single" w:sz="4" w:space="0" w:color="auto"/>
            </w:tcBorders>
            <w:shd w:val="clear" w:color="auto" w:fill="D9D9D9"/>
            <w:noWrap/>
            <w:vAlign w:val="top"/>
          </w:tcPr>
          <w:p w14:paraId="71B0792F" w14:textId="33B2DE4F" w:rsidR="00214D77" w:rsidRPr="00C06749" w:rsidRDefault="00DB1385"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9B3C9D" w:rsidRPr="00C06749">
              <w:rPr>
                <w:rFonts w:eastAsia="Calibri" w:cs="Times New Roman"/>
                <w:i/>
                <w:color w:val="000000"/>
                <w:sz w:val="20"/>
                <w:vertAlign w:val="superscript"/>
              </w:rPr>
              <w:t>5</w:t>
            </w:r>
          </w:p>
        </w:tc>
      </w:tr>
      <w:tr w:rsidR="00214D77" w:rsidRPr="00214D77" w14:paraId="78681268"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3AAF85F6" w14:textId="77777777" w:rsidR="00214D77" w:rsidRPr="00C06749" w:rsidRDefault="00214D77" w:rsidP="00214D77">
            <w:pPr>
              <w:keepNext/>
              <w:spacing w:before="40" w:after="40" w:line="257" w:lineRule="auto"/>
              <w:jc w:val="left"/>
              <w:rPr>
                <w:rFonts w:eastAsia="Calibri" w:cs="Times New Roman"/>
                <w:bCs/>
                <w:color w:val="000000"/>
                <w:sz w:val="20"/>
              </w:rPr>
            </w:pPr>
            <w:r w:rsidRPr="00C06749">
              <w:rPr>
                <w:rFonts w:eastAsia="Calibri" w:cs="Times New Roman"/>
                <w:bCs/>
                <w:color w:val="000000"/>
                <w:sz w:val="20"/>
              </w:rPr>
              <w:t>Cost of IHC testing ($59.60)</w:t>
            </w:r>
          </w:p>
        </w:tc>
        <w:tc>
          <w:tcPr>
            <w:tcW w:w="551" w:type="pct"/>
            <w:tcBorders>
              <w:bottom w:val="nil"/>
            </w:tcBorders>
            <w:noWrap/>
            <w:vAlign w:val="top"/>
          </w:tcPr>
          <w:p w14:paraId="7AB3129E" w14:textId="6461BFDF" w:rsidR="00214D77" w:rsidRPr="00C06749" w:rsidRDefault="00214D77"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vertAlign w:val="superscript"/>
              </w:rPr>
            </w:pPr>
            <w:r w:rsidRPr="00C06749">
              <w:rPr>
                <w:rFonts w:eastAsia="Calibri" w:cs="Times New Roman"/>
                <w:color w:val="000000"/>
                <w:sz w:val="20"/>
              </w:rPr>
              <w:t>$</w:t>
            </w:r>
            <w:r w:rsidR="00162769"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51" w:type="pct"/>
            <w:tcBorders>
              <w:bottom w:val="nil"/>
            </w:tcBorders>
            <w:noWrap/>
            <w:vAlign w:val="top"/>
          </w:tcPr>
          <w:p w14:paraId="42DE38F3" w14:textId="58EC78CB" w:rsidR="00214D77" w:rsidRPr="00C06749" w:rsidRDefault="00214D77"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w:t>
            </w:r>
            <w:r w:rsidR="00162769"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50" w:type="pct"/>
            <w:tcBorders>
              <w:bottom w:val="nil"/>
            </w:tcBorders>
            <w:noWrap/>
            <w:vAlign w:val="top"/>
          </w:tcPr>
          <w:p w14:paraId="623B9E5D" w14:textId="53B4DCAA" w:rsidR="00214D77" w:rsidRPr="00C06749" w:rsidRDefault="00214D77"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w:t>
            </w:r>
            <w:r w:rsidR="00162769"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32" w:type="pct"/>
            <w:tcBorders>
              <w:bottom w:val="nil"/>
            </w:tcBorders>
            <w:noWrap/>
            <w:vAlign w:val="top"/>
          </w:tcPr>
          <w:p w14:paraId="243738B1" w14:textId="53743D0E" w:rsidR="00214D77" w:rsidRPr="00C06749" w:rsidRDefault="00214D77"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w:t>
            </w:r>
            <w:r w:rsidR="00162769"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85" w:type="pct"/>
            <w:tcBorders>
              <w:bottom w:val="nil"/>
            </w:tcBorders>
            <w:noWrap/>
            <w:vAlign w:val="top"/>
          </w:tcPr>
          <w:p w14:paraId="7586AF25" w14:textId="5B42BD73" w:rsidR="00214D77" w:rsidRPr="00C06749" w:rsidRDefault="00214D77"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w:t>
            </w:r>
            <w:r w:rsidR="00162769"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83" w:type="pct"/>
            <w:tcBorders>
              <w:bottom w:val="nil"/>
            </w:tcBorders>
            <w:noWrap/>
            <w:vAlign w:val="top"/>
          </w:tcPr>
          <w:p w14:paraId="4AFA1E45" w14:textId="52F7909C" w:rsidR="00214D77" w:rsidRPr="00C06749" w:rsidRDefault="00214D77" w:rsidP="00214D77">
            <w:pPr>
              <w:keepNext/>
              <w:spacing w:before="40" w:after="40" w:line="257"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w:t>
            </w:r>
            <w:r w:rsidR="00162769"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r>
      <w:tr w:rsidR="00214D77" w:rsidRPr="00214D77" w14:paraId="5A6E8FB6"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tcBorders>
            <w:noWrap/>
          </w:tcPr>
          <w:p w14:paraId="4B971BB6" w14:textId="77777777" w:rsidR="00214D77" w:rsidRPr="00C06749" w:rsidRDefault="00214D77" w:rsidP="00214D77">
            <w:pPr>
              <w:spacing w:before="40" w:after="40" w:line="256" w:lineRule="auto"/>
              <w:jc w:val="left"/>
              <w:rPr>
                <w:rFonts w:eastAsia="Calibri" w:cs="Times New Roman"/>
                <w:bCs/>
                <w:i/>
                <w:color w:val="000000"/>
                <w:sz w:val="20"/>
              </w:rPr>
            </w:pPr>
            <w:r w:rsidRPr="00C06749">
              <w:rPr>
                <w:rFonts w:eastAsia="Calibri" w:cs="Times New Roman"/>
                <w:bCs/>
                <w:i/>
                <w:color w:val="000000"/>
                <w:sz w:val="20"/>
              </w:rPr>
              <w:t>Revised</w:t>
            </w:r>
          </w:p>
        </w:tc>
        <w:tc>
          <w:tcPr>
            <w:tcW w:w="551" w:type="pct"/>
            <w:tcBorders>
              <w:top w:val="nil"/>
            </w:tcBorders>
            <w:noWrap/>
            <w:vAlign w:val="top"/>
          </w:tcPr>
          <w:p w14:paraId="7F0EFFBD" w14:textId="31EEB141" w:rsidR="00214D77" w:rsidRPr="00C06749" w:rsidRDefault="00214D77"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w:t>
            </w:r>
            <w:r w:rsidR="00162769"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51" w:type="pct"/>
            <w:tcBorders>
              <w:top w:val="nil"/>
            </w:tcBorders>
            <w:noWrap/>
            <w:vAlign w:val="top"/>
          </w:tcPr>
          <w:p w14:paraId="7D75E1B4" w14:textId="46DEDE51"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50" w:type="pct"/>
            <w:tcBorders>
              <w:top w:val="nil"/>
            </w:tcBorders>
            <w:noWrap/>
            <w:vAlign w:val="top"/>
          </w:tcPr>
          <w:p w14:paraId="2E60B3E6" w14:textId="77C3CE95"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32" w:type="pct"/>
            <w:tcBorders>
              <w:top w:val="nil"/>
            </w:tcBorders>
            <w:noWrap/>
            <w:vAlign w:val="top"/>
          </w:tcPr>
          <w:p w14:paraId="4EE23B9F" w14:textId="7CFAEA7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85" w:type="pct"/>
            <w:tcBorders>
              <w:top w:val="nil"/>
            </w:tcBorders>
            <w:noWrap/>
            <w:vAlign w:val="top"/>
          </w:tcPr>
          <w:p w14:paraId="58161E06" w14:textId="1F3438C0"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83" w:type="pct"/>
            <w:tcBorders>
              <w:top w:val="nil"/>
            </w:tcBorders>
            <w:noWrap/>
            <w:vAlign w:val="top"/>
          </w:tcPr>
          <w:p w14:paraId="638AAF28" w14:textId="788DF78E"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r>
      <w:tr w:rsidR="00214D77" w:rsidRPr="00214D77" w14:paraId="3E139A70"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auto"/>
            </w:tcBorders>
            <w:noWrap/>
          </w:tcPr>
          <w:p w14:paraId="5E8C0E75" w14:textId="77777777" w:rsidR="00214D77" w:rsidRPr="00C06749" w:rsidRDefault="00214D77" w:rsidP="00214D77">
            <w:pPr>
              <w:keepNext/>
              <w:spacing w:before="40" w:after="40" w:line="257" w:lineRule="auto"/>
              <w:jc w:val="left"/>
              <w:rPr>
                <w:rFonts w:eastAsia="Calibri" w:cs="Times New Roman"/>
                <w:b/>
                <w:bCs/>
                <w:color w:val="000000"/>
                <w:sz w:val="20"/>
              </w:rPr>
            </w:pPr>
            <w:r w:rsidRPr="00C06749">
              <w:rPr>
                <w:rFonts w:eastAsia="Calibri" w:cs="Times New Roman"/>
                <w:b/>
                <w:bCs/>
                <w:color w:val="000000"/>
                <w:sz w:val="20"/>
              </w:rPr>
              <w:t>Increased use of NGS/FISH testing</w:t>
            </w:r>
          </w:p>
        </w:tc>
      </w:tr>
      <w:tr w:rsidR="00214D77" w:rsidRPr="00214D77" w14:paraId="3B7B0918"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dotted" w:sz="4" w:space="0" w:color="auto"/>
            </w:tcBorders>
            <w:noWrap/>
          </w:tcPr>
          <w:p w14:paraId="11187ECD"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Paediatric high </w:t>
            </w:r>
            <w:r w:rsidRPr="00C06749">
              <w:rPr>
                <w:rFonts w:eastAsia="Calibri" w:cs="Times New Roman"/>
                <w:bCs/>
                <w:i/>
                <w:color w:val="000000"/>
                <w:sz w:val="20"/>
              </w:rPr>
              <w:t>NTRK</w:t>
            </w:r>
            <w:r w:rsidRPr="00C06749">
              <w:rPr>
                <w:rFonts w:eastAsia="Calibri" w:cs="Times New Roman"/>
                <w:bCs/>
                <w:color w:val="000000"/>
                <w:sz w:val="20"/>
              </w:rPr>
              <w:t xml:space="preserve"> fusion frequency patients who receive larotrectinib</w:t>
            </w:r>
          </w:p>
        </w:tc>
        <w:tc>
          <w:tcPr>
            <w:tcW w:w="551" w:type="pct"/>
            <w:tcBorders>
              <w:bottom w:val="dotted" w:sz="4" w:space="0" w:color="auto"/>
            </w:tcBorders>
            <w:noWrap/>
            <w:vAlign w:val="top"/>
          </w:tcPr>
          <w:p w14:paraId="73C53637" w14:textId="795EFEF7"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dotted" w:sz="4" w:space="0" w:color="auto"/>
            </w:tcBorders>
            <w:noWrap/>
            <w:vAlign w:val="top"/>
          </w:tcPr>
          <w:p w14:paraId="6FBDE193" w14:textId="4C6837A6"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dotted" w:sz="4" w:space="0" w:color="auto"/>
            </w:tcBorders>
            <w:noWrap/>
            <w:vAlign w:val="top"/>
          </w:tcPr>
          <w:p w14:paraId="6283BF82" w14:textId="552BC720"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dotted" w:sz="4" w:space="0" w:color="auto"/>
            </w:tcBorders>
            <w:noWrap/>
            <w:vAlign w:val="top"/>
          </w:tcPr>
          <w:p w14:paraId="7356C8D9" w14:textId="0B82FF14"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dotted" w:sz="4" w:space="0" w:color="auto"/>
            </w:tcBorders>
            <w:noWrap/>
            <w:vAlign w:val="top"/>
          </w:tcPr>
          <w:p w14:paraId="636418E0" w14:textId="3B805DAF"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dotted" w:sz="4" w:space="0" w:color="auto"/>
            </w:tcBorders>
            <w:noWrap/>
            <w:vAlign w:val="top"/>
          </w:tcPr>
          <w:p w14:paraId="121B46E2" w14:textId="4696DDFD"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7A9460D3"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dotted" w:sz="4" w:space="0" w:color="auto"/>
              <w:bottom w:val="single" w:sz="4" w:space="0" w:color="auto"/>
            </w:tcBorders>
            <w:noWrap/>
          </w:tcPr>
          <w:p w14:paraId="7A18B203" w14:textId="33DE8DCE"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No. NGS/FISH tests required </w:t>
            </w:r>
            <w:r w:rsidRPr="00C06749">
              <w:rPr>
                <w:rFonts w:eastAsia="Calibri" w:cs="Times New Roman"/>
                <w:bCs/>
                <w:color w:val="000000"/>
                <w:sz w:val="20"/>
              </w:rPr>
              <w:br/>
              <w:t>(</w:t>
            </w:r>
            <w:r w:rsidR="00940D65" w:rsidRPr="00C06749">
              <w:rPr>
                <w:rFonts w:eastAsia="Calibri" w:cs="Times New Roman"/>
                <w:color w:val="000000"/>
                <w:sz w:val="20"/>
              </w:rPr>
              <w:t>Redacted</w:t>
            </w:r>
            <w:r w:rsidR="00940D65" w:rsidRPr="00C06749">
              <w:rPr>
                <w:rFonts w:eastAsia="Calibri" w:cs="Times New Roman"/>
                <w:color w:val="000000"/>
                <w:sz w:val="20"/>
                <w:vertAlign w:val="superscript"/>
              </w:rPr>
              <w:t>1</w:t>
            </w:r>
            <w:r w:rsidRPr="00C06749">
              <w:rPr>
                <w:rFonts w:eastAsia="Calibri" w:cs="Times New Roman"/>
                <w:bCs/>
                <w:color w:val="000000"/>
                <w:sz w:val="20"/>
              </w:rPr>
              <w:t>per patient)</w:t>
            </w:r>
          </w:p>
        </w:tc>
        <w:tc>
          <w:tcPr>
            <w:tcW w:w="551" w:type="pct"/>
            <w:tcBorders>
              <w:top w:val="dotted" w:sz="4" w:space="0" w:color="auto"/>
              <w:bottom w:val="single" w:sz="4" w:space="0" w:color="auto"/>
            </w:tcBorders>
            <w:noWrap/>
            <w:vAlign w:val="top"/>
          </w:tcPr>
          <w:p w14:paraId="20720432" w14:textId="7BF2EDED"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top w:val="dotted" w:sz="4" w:space="0" w:color="auto"/>
              <w:bottom w:val="single" w:sz="4" w:space="0" w:color="auto"/>
            </w:tcBorders>
            <w:noWrap/>
            <w:vAlign w:val="top"/>
          </w:tcPr>
          <w:p w14:paraId="5117A33E" w14:textId="319E91FD"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top w:val="dotted" w:sz="4" w:space="0" w:color="auto"/>
              <w:bottom w:val="single" w:sz="4" w:space="0" w:color="auto"/>
            </w:tcBorders>
            <w:noWrap/>
            <w:vAlign w:val="top"/>
          </w:tcPr>
          <w:p w14:paraId="12DE5A64" w14:textId="2B53582D"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top w:val="dotted" w:sz="4" w:space="0" w:color="auto"/>
              <w:bottom w:val="single" w:sz="4" w:space="0" w:color="auto"/>
            </w:tcBorders>
            <w:noWrap/>
            <w:vAlign w:val="top"/>
          </w:tcPr>
          <w:p w14:paraId="773E7223" w14:textId="376A71D7"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top w:val="dotted" w:sz="4" w:space="0" w:color="auto"/>
              <w:bottom w:val="single" w:sz="4" w:space="0" w:color="auto"/>
            </w:tcBorders>
            <w:noWrap/>
            <w:vAlign w:val="top"/>
          </w:tcPr>
          <w:p w14:paraId="31AD9151" w14:textId="099E277D"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top w:val="dotted" w:sz="4" w:space="0" w:color="auto"/>
              <w:bottom w:val="single" w:sz="4" w:space="0" w:color="auto"/>
            </w:tcBorders>
            <w:noWrap/>
            <w:vAlign w:val="top"/>
          </w:tcPr>
          <w:p w14:paraId="6AAC99C7" w14:textId="135DACD9"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143ECE8B"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dotted" w:sz="4" w:space="0" w:color="auto"/>
            </w:tcBorders>
            <w:noWrap/>
          </w:tcPr>
          <w:p w14:paraId="29537052"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Adult high </w:t>
            </w:r>
            <w:r w:rsidRPr="00C06749">
              <w:rPr>
                <w:rFonts w:eastAsia="Calibri" w:cs="Times New Roman"/>
                <w:bCs/>
                <w:i/>
                <w:color w:val="000000"/>
                <w:sz w:val="20"/>
              </w:rPr>
              <w:t>NTRK</w:t>
            </w:r>
            <w:r w:rsidRPr="00C06749">
              <w:rPr>
                <w:rFonts w:eastAsia="Calibri" w:cs="Times New Roman"/>
                <w:bCs/>
                <w:color w:val="000000"/>
                <w:sz w:val="20"/>
              </w:rPr>
              <w:t xml:space="preserve"> fusion frequency patients who receive larotrectinib</w:t>
            </w:r>
          </w:p>
        </w:tc>
        <w:tc>
          <w:tcPr>
            <w:tcW w:w="551" w:type="pct"/>
            <w:tcBorders>
              <w:bottom w:val="dotted" w:sz="4" w:space="0" w:color="auto"/>
            </w:tcBorders>
            <w:noWrap/>
            <w:vAlign w:val="top"/>
          </w:tcPr>
          <w:p w14:paraId="0108C266" w14:textId="0BBCAA6C"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dotted" w:sz="4" w:space="0" w:color="auto"/>
            </w:tcBorders>
            <w:noWrap/>
            <w:vAlign w:val="top"/>
          </w:tcPr>
          <w:p w14:paraId="481676E8" w14:textId="5FE29D71"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dotted" w:sz="4" w:space="0" w:color="auto"/>
            </w:tcBorders>
            <w:noWrap/>
            <w:vAlign w:val="top"/>
          </w:tcPr>
          <w:p w14:paraId="20DC706F" w14:textId="13BED856"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dotted" w:sz="4" w:space="0" w:color="auto"/>
            </w:tcBorders>
            <w:noWrap/>
            <w:vAlign w:val="top"/>
          </w:tcPr>
          <w:p w14:paraId="43D22293" w14:textId="1B7E1E61"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dotted" w:sz="4" w:space="0" w:color="auto"/>
            </w:tcBorders>
            <w:noWrap/>
            <w:vAlign w:val="top"/>
          </w:tcPr>
          <w:p w14:paraId="6F85297B" w14:textId="50603F7C"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dotted" w:sz="4" w:space="0" w:color="auto"/>
            </w:tcBorders>
            <w:noWrap/>
            <w:vAlign w:val="top"/>
          </w:tcPr>
          <w:p w14:paraId="629549D8" w14:textId="1770667E"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617440D0"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dotted" w:sz="4" w:space="0" w:color="auto"/>
              <w:bottom w:val="single" w:sz="4" w:space="0" w:color="auto"/>
            </w:tcBorders>
            <w:noWrap/>
          </w:tcPr>
          <w:p w14:paraId="488673A0" w14:textId="267A2F0A"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No. NGS/FISH tests required </w:t>
            </w:r>
            <w:r w:rsidRPr="00C06749">
              <w:rPr>
                <w:rFonts w:eastAsia="Calibri" w:cs="Times New Roman"/>
                <w:bCs/>
                <w:color w:val="000000"/>
                <w:sz w:val="20"/>
              </w:rPr>
              <w:br/>
              <w:t>(</w:t>
            </w:r>
            <w:r w:rsidR="00940D65" w:rsidRPr="00C06749">
              <w:rPr>
                <w:rFonts w:eastAsia="Calibri" w:cs="Times New Roman"/>
                <w:color w:val="000000"/>
                <w:sz w:val="20"/>
              </w:rPr>
              <w:t>Redacted</w:t>
            </w:r>
            <w:r w:rsidR="00940D65" w:rsidRPr="00C06749">
              <w:rPr>
                <w:rFonts w:eastAsia="Calibri" w:cs="Times New Roman"/>
                <w:color w:val="000000"/>
                <w:sz w:val="20"/>
                <w:vertAlign w:val="superscript"/>
              </w:rPr>
              <w:t>1</w:t>
            </w:r>
            <w:r w:rsidRPr="00C06749">
              <w:rPr>
                <w:rFonts w:eastAsia="Calibri" w:cs="Times New Roman"/>
                <w:bCs/>
                <w:color w:val="000000"/>
                <w:sz w:val="20"/>
              </w:rPr>
              <w:t>per patient)</w:t>
            </w:r>
          </w:p>
        </w:tc>
        <w:tc>
          <w:tcPr>
            <w:tcW w:w="551" w:type="pct"/>
            <w:tcBorders>
              <w:top w:val="dotted" w:sz="4" w:space="0" w:color="auto"/>
              <w:bottom w:val="single" w:sz="4" w:space="0" w:color="auto"/>
            </w:tcBorders>
            <w:noWrap/>
            <w:vAlign w:val="top"/>
          </w:tcPr>
          <w:p w14:paraId="690EA5C0" w14:textId="386B54CC"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top w:val="dotted" w:sz="4" w:space="0" w:color="auto"/>
              <w:bottom w:val="single" w:sz="4" w:space="0" w:color="auto"/>
            </w:tcBorders>
            <w:noWrap/>
            <w:vAlign w:val="top"/>
          </w:tcPr>
          <w:p w14:paraId="71F9B4C7" w14:textId="08A0D880"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top w:val="dotted" w:sz="4" w:space="0" w:color="auto"/>
              <w:bottom w:val="single" w:sz="4" w:space="0" w:color="auto"/>
            </w:tcBorders>
            <w:noWrap/>
            <w:vAlign w:val="top"/>
          </w:tcPr>
          <w:p w14:paraId="13992411" w14:textId="1D9E576E"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top w:val="dotted" w:sz="4" w:space="0" w:color="auto"/>
              <w:bottom w:val="single" w:sz="4" w:space="0" w:color="auto"/>
            </w:tcBorders>
            <w:noWrap/>
            <w:vAlign w:val="top"/>
          </w:tcPr>
          <w:p w14:paraId="750957B2" w14:textId="5E8CE1E3"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top w:val="dotted" w:sz="4" w:space="0" w:color="auto"/>
              <w:bottom w:val="single" w:sz="4" w:space="0" w:color="auto"/>
            </w:tcBorders>
            <w:noWrap/>
            <w:vAlign w:val="top"/>
          </w:tcPr>
          <w:p w14:paraId="0276385C" w14:textId="5DC2B3E1"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top w:val="dotted" w:sz="4" w:space="0" w:color="auto"/>
              <w:bottom w:val="single" w:sz="4" w:space="0" w:color="auto"/>
            </w:tcBorders>
            <w:noWrap/>
            <w:vAlign w:val="top"/>
          </w:tcPr>
          <w:p w14:paraId="0C5CDC18" w14:textId="117BA698"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6CEF0848"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dotted" w:sz="4" w:space="0" w:color="auto"/>
            </w:tcBorders>
            <w:noWrap/>
          </w:tcPr>
          <w:p w14:paraId="43E74FF5"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Paediatric low </w:t>
            </w:r>
            <w:r w:rsidRPr="00C06749">
              <w:rPr>
                <w:rFonts w:eastAsia="Calibri" w:cs="Times New Roman"/>
                <w:bCs/>
                <w:i/>
                <w:color w:val="000000"/>
                <w:sz w:val="20"/>
              </w:rPr>
              <w:t>NTRK</w:t>
            </w:r>
            <w:r w:rsidRPr="00C06749">
              <w:rPr>
                <w:rFonts w:eastAsia="Calibri" w:cs="Times New Roman"/>
                <w:bCs/>
                <w:color w:val="000000"/>
                <w:sz w:val="20"/>
              </w:rPr>
              <w:t xml:space="preserve"> fusion frequency patients who receive larotrectinib</w:t>
            </w:r>
          </w:p>
        </w:tc>
        <w:tc>
          <w:tcPr>
            <w:tcW w:w="551" w:type="pct"/>
            <w:tcBorders>
              <w:bottom w:val="dotted" w:sz="4" w:space="0" w:color="auto"/>
            </w:tcBorders>
            <w:noWrap/>
            <w:vAlign w:val="top"/>
          </w:tcPr>
          <w:p w14:paraId="1BF343D8" w14:textId="4FB2BF41"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dotted" w:sz="4" w:space="0" w:color="auto"/>
            </w:tcBorders>
            <w:noWrap/>
            <w:vAlign w:val="top"/>
          </w:tcPr>
          <w:p w14:paraId="5E7E8724" w14:textId="175FF6A2"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dotted" w:sz="4" w:space="0" w:color="auto"/>
            </w:tcBorders>
            <w:noWrap/>
            <w:vAlign w:val="top"/>
          </w:tcPr>
          <w:p w14:paraId="37134978" w14:textId="57856C68"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dotted" w:sz="4" w:space="0" w:color="auto"/>
            </w:tcBorders>
            <w:noWrap/>
            <w:vAlign w:val="top"/>
          </w:tcPr>
          <w:p w14:paraId="79F64ED1" w14:textId="349CBD87"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dotted" w:sz="4" w:space="0" w:color="auto"/>
            </w:tcBorders>
            <w:noWrap/>
            <w:vAlign w:val="top"/>
          </w:tcPr>
          <w:p w14:paraId="793A9A0A" w14:textId="7C1FC585"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dotted" w:sz="4" w:space="0" w:color="auto"/>
            </w:tcBorders>
            <w:noWrap/>
            <w:vAlign w:val="top"/>
          </w:tcPr>
          <w:p w14:paraId="5834640C" w14:textId="69E98B94"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23D0178A"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dotted" w:sz="4" w:space="0" w:color="auto"/>
              <w:bottom w:val="single" w:sz="4" w:space="0" w:color="auto"/>
            </w:tcBorders>
            <w:noWrap/>
          </w:tcPr>
          <w:p w14:paraId="291DAFE3" w14:textId="78D275B1"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No. NGS/FISH tests required </w:t>
            </w:r>
            <w:r w:rsidRPr="00C06749">
              <w:rPr>
                <w:rFonts w:eastAsia="Calibri" w:cs="Times New Roman"/>
                <w:bCs/>
                <w:color w:val="000000"/>
                <w:sz w:val="20"/>
              </w:rPr>
              <w:br/>
              <w:t>(</w:t>
            </w:r>
            <w:r w:rsidR="00940D65" w:rsidRPr="00C06749">
              <w:rPr>
                <w:rFonts w:eastAsia="Calibri" w:cs="Times New Roman"/>
                <w:color w:val="000000"/>
                <w:sz w:val="20"/>
              </w:rPr>
              <w:t>Redacted</w:t>
            </w:r>
            <w:r w:rsidR="00940D65" w:rsidRPr="00C06749">
              <w:rPr>
                <w:rFonts w:eastAsia="Calibri" w:cs="Times New Roman"/>
                <w:color w:val="000000"/>
                <w:sz w:val="20"/>
                <w:vertAlign w:val="superscript"/>
              </w:rPr>
              <w:t>1</w:t>
            </w:r>
            <w:r w:rsidRPr="00C06749">
              <w:rPr>
                <w:rFonts w:eastAsia="Calibri" w:cs="Times New Roman"/>
                <w:bCs/>
                <w:color w:val="000000"/>
                <w:sz w:val="20"/>
              </w:rPr>
              <w:t>per patient)</w:t>
            </w:r>
          </w:p>
        </w:tc>
        <w:tc>
          <w:tcPr>
            <w:tcW w:w="551" w:type="pct"/>
            <w:tcBorders>
              <w:top w:val="dotted" w:sz="4" w:space="0" w:color="auto"/>
              <w:bottom w:val="single" w:sz="4" w:space="0" w:color="auto"/>
            </w:tcBorders>
            <w:noWrap/>
            <w:vAlign w:val="top"/>
          </w:tcPr>
          <w:p w14:paraId="72F16982" w14:textId="3CFA11D8"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top w:val="dotted" w:sz="4" w:space="0" w:color="auto"/>
              <w:bottom w:val="single" w:sz="4" w:space="0" w:color="auto"/>
            </w:tcBorders>
            <w:noWrap/>
            <w:vAlign w:val="top"/>
          </w:tcPr>
          <w:p w14:paraId="32699C75" w14:textId="608B5FC3"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top w:val="dotted" w:sz="4" w:space="0" w:color="auto"/>
              <w:bottom w:val="single" w:sz="4" w:space="0" w:color="auto"/>
            </w:tcBorders>
            <w:noWrap/>
            <w:vAlign w:val="top"/>
          </w:tcPr>
          <w:p w14:paraId="18A414A4" w14:textId="5DE5A2F1"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top w:val="dotted" w:sz="4" w:space="0" w:color="auto"/>
              <w:bottom w:val="single" w:sz="4" w:space="0" w:color="auto"/>
            </w:tcBorders>
            <w:noWrap/>
            <w:vAlign w:val="top"/>
          </w:tcPr>
          <w:p w14:paraId="69B88CC6" w14:textId="4DA8CEFE"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top w:val="dotted" w:sz="4" w:space="0" w:color="auto"/>
              <w:bottom w:val="single" w:sz="4" w:space="0" w:color="auto"/>
            </w:tcBorders>
            <w:noWrap/>
            <w:vAlign w:val="top"/>
          </w:tcPr>
          <w:p w14:paraId="67FD86C8" w14:textId="6019BF23"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top w:val="dotted" w:sz="4" w:space="0" w:color="auto"/>
              <w:bottom w:val="single" w:sz="4" w:space="0" w:color="auto"/>
            </w:tcBorders>
            <w:noWrap/>
            <w:vAlign w:val="top"/>
          </w:tcPr>
          <w:p w14:paraId="0428945B" w14:textId="56C68BE3"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70D34604"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dotted" w:sz="4" w:space="0" w:color="auto"/>
            </w:tcBorders>
            <w:noWrap/>
          </w:tcPr>
          <w:p w14:paraId="0123D09E"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Adults low </w:t>
            </w:r>
            <w:r w:rsidRPr="00C06749">
              <w:rPr>
                <w:rFonts w:eastAsia="Calibri" w:cs="Times New Roman"/>
                <w:bCs/>
                <w:i/>
                <w:color w:val="000000"/>
                <w:sz w:val="20"/>
              </w:rPr>
              <w:t>NTRK</w:t>
            </w:r>
            <w:r w:rsidRPr="00C06749">
              <w:rPr>
                <w:rFonts w:eastAsia="Calibri" w:cs="Times New Roman"/>
                <w:bCs/>
                <w:color w:val="000000"/>
                <w:sz w:val="20"/>
              </w:rPr>
              <w:t xml:space="preserve"> fusion frequency patients who receive larotrectinib</w:t>
            </w:r>
          </w:p>
        </w:tc>
        <w:tc>
          <w:tcPr>
            <w:tcW w:w="551" w:type="pct"/>
            <w:tcBorders>
              <w:bottom w:val="dotted" w:sz="4" w:space="0" w:color="auto"/>
            </w:tcBorders>
            <w:noWrap/>
            <w:vAlign w:val="top"/>
          </w:tcPr>
          <w:p w14:paraId="5606FBD0" w14:textId="19F16C11"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dotted" w:sz="4" w:space="0" w:color="auto"/>
            </w:tcBorders>
            <w:noWrap/>
            <w:vAlign w:val="top"/>
          </w:tcPr>
          <w:p w14:paraId="64F7402A" w14:textId="5DCB9187"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dotted" w:sz="4" w:space="0" w:color="auto"/>
            </w:tcBorders>
            <w:noWrap/>
            <w:vAlign w:val="top"/>
          </w:tcPr>
          <w:p w14:paraId="7C657C3F" w14:textId="659AE193"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dotted" w:sz="4" w:space="0" w:color="auto"/>
            </w:tcBorders>
            <w:noWrap/>
            <w:vAlign w:val="top"/>
          </w:tcPr>
          <w:p w14:paraId="5C5C79CA" w14:textId="01CCB613"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dotted" w:sz="4" w:space="0" w:color="auto"/>
            </w:tcBorders>
            <w:noWrap/>
            <w:vAlign w:val="top"/>
          </w:tcPr>
          <w:p w14:paraId="62B932CA" w14:textId="25719912"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dotted" w:sz="4" w:space="0" w:color="auto"/>
            </w:tcBorders>
            <w:noWrap/>
            <w:vAlign w:val="top"/>
          </w:tcPr>
          <w:p w14:paraId="75DE6B9C" w14:textId="120A1ACA"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51F73BB4"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dotted" w:sz="4" w:space="0" w:color="auto"/>
            </w:tcBorders>
            <w:noWrap/>
          </w:tcPr>
          <w:p w14:paraId="7431FB84" w14:textId="620A70F3"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No. NGS/FISH tests required </w:t>
            </w:r>
            <w:r w:rsidRPr="00C06749">
              <w:rPr>
                <w:rFonts w:eastAsia="Calibri" w:cs="Times New Roman"/>
                <w:bCs/>
                <w:color w:val="000000"/>
                <w:sz w:val="20"/>
              </w:rPr>
              <w:br/>
              <w:t>(</w:t>
            </w:r>
            <w:r w:rsidR="00940D65" w:rsidRPr="00C06749">
              <w:rPr>
                <w:rFonts w:eastAsia="Calibri" w:cs="Times New Roman"/>
                <w:color w:val="000000"/>
                <w:sz w:val="20"/>
              </w:rPr>
              <w:t>Redacted</w:t>
            </w:r>
            <w:r w:rsidR="00940D65" w:rsidRPr="00C06749">
              <w:rPr>
                <w:rFonts w:eastAsia="Calibri" w:cs="Times New Roman"/>
                <w:color w:val="000000"/>
                <w:sz w:val="20"/>
                <w:vertAlign w:val="superscript"/>
              </w:rPr>
              <w:t>1</w:t>
            </w:r>
            <w:r w:rsidRPr="00C06749">
              <w:rPr>
                <w:rFonts w:eastAsia="Calibri" w:cs="Times New Roman"/>
                <w:bCs/>
                <w:color w:val="000000"/>
                <w:sz w:val="20"/>
              </w:rPr>
              <w:t>per patient)</w:t>
            </w:r>
          </w:p>
        </w:tc>
        <w:tc>
          <w:tcPr>
            <w:tcW w:w="551" w:type="pct"/>
            <w:tcBorders>
              <w:top w:val="dotted" w:sz="4" w:space="0" w:color="auto"/>
            </w:tcBorders>
            <w:noWrap/>
            <w:vAlign w:val="top"/>
          </w:tcPr>
          <w:p w14:paraId="3C8ADEBB" w14:textId="459C1516"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top w:val="dotted" w:sz="4" w:space="0" w:color="auto"/>
            </w:tcBorders>
            <w:noWrap/>
            <w:vAlign w:val="top"/>
          </w:tcPr>
          <w:p w14:paraId="368F7570" w14:textId="0FE1BBAC"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top w:val="dotted" w:sz="4" w:space="0" w:color="auto"/>
            </w:tcBorders>
            <w:noWrap/>
            <w:vAlign w:val="top"/>
          </w:tcPr>
          <w:p w14:paraId="38992ACC" w14:textId="61E95E52"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top w:val="dotted" w:sz="4" w:space="0" w:color="auto"/>
            </w:tcBorders>
            <w:noWrap/>
            <w:vAlign w:val="top"/>
          </w:tcPr>
          <w:p w14:paraId="670B972B" w14:textId="50D44967"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top w:val="dotted" w:sz="4" w:space="0" w:color="auto"/>
            </w:tcBorders>
            <w:noWrap/>
            <w:vAlign w:val="top"/>
          </w:tcPr>
          <w:p w14:paraId="42B33C44" w14:textId="7B10D78B"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top w:val="dotted" w:sz="4" w:space="0" w:color="auto"/>
            </w:tcBorders>
            <w:noWrap/>
            <w:vAlign w:val="top"/>
          </w:tcPr>
          <w:p w14:paraId="711BC8E7" w14:textId="5029FB9D"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050E4007"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single" w:sz="4" w:space="0" w:color="auto"/>
            </w:tcBorders>
            <w:noWrap/>
          </w:tcPr>
          <w:p w14:paraId="14BA56EA"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No. NGS/FISH tests</w:t>
            </w:r>
          </w:p>
        </w:tc>
        <w:tc>
          <w:tcPr>
            <w:tcW w:w="551" w:type="pct"/>
            <w:tcBorders>
              <w:bottom w:val="single" w:sz="4" w:space="0" w:color="auto"/>
            </w:tcBorders>
            <w:noWrap/>
            <w:vAlign w:val="top"/>
          </w:tcPr>
          <w:p w14:paraId="4BA4FF69" w14:textId="75A68349"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single" w:sz="4" w:space="0" w:color="auto"/>
            </w:tcBorders>
            <w:noWrap/>
            <w:vAlign w:val="top"/>
          </w:tcPr>
          <w:p w14:paraId="13E74606" w14:textId="10076BC7"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single" w:sz="4" w:space="0" w:color="auto"/>
            </w:tcBorders>
            <w:noWrap/>
            <w:vAlign w:val="top"/>
          </w:tcPr>
          <w:p w14:paraId="2A7616B8" w14:textId="07BE6645"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single" w:sz="4" w:space="0" w:color="auto"/>
            </w:tcBorders>
            <w:noWrap/>
            <w:vAlign w:val="top"/>
          </w:tcPr>
          <w:p w14:paraId="0F524FB6" w14:textId="2E6628A7"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single" w:sz="4" w:space="0" w:color="auto"/>
            </w:tcBorders>
            <w:noWrap/>
            <w:vAlign w:val="top"/>
          </w:tcPr>
          <w:p w14:paraId="63C8BBCD" w14:textId="2032625D"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single" w:sz="4" w:space="0" w:color="auto"/>
            </w:tcBorders>
            <w:noWrap/>
            <w:vAlign w:val="top"/>
          </w:tcPr>
          <w:p w14:paraId="26D99AA4" w14:textId="47F45F81"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7DBDF16C"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single" w:sz="4" w:space="0" w:color="auto"/>
            </w:tcBorders>
            <w:shd w:val="clear" w:color="auto" w:fill="D9D9D9"/>
            <w:noWrap/>
            <w:vAlign w:val="top"/>
          </w:tcPr>
          <w:p w14:paraId="0EBAF3BC"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color w:val="000000"/>
                <w:sz w:val="20"/>
              </w:rPr>
              <w:t>No. NGS/FISH tests estimated in the November 2020 submission</w:t>
            </w:r>
          </w:p>
        </w:tc>
        <w:tc>
          <w:tcPr>
            <w:tcW w:w="551" w:type="pct"/>
            <w:tcBorders>
              <w:bottom w:val="single" w:sz="4" w:space="0" w:color="auto"/>
            </w:tcBorders>
            <w:shd w:val="clear" w:color="auto" w:fill="D9D9D9"/>
            <w:noWrap/>
            <w:vAlign w:val="top"/>
          </w:tcPr>
          <w:p w14:paraId="352526B3" w14:textId="0500A9EA"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single" w:sz="4" w:space="0" w:color="auto"/>
            </w:tcBorders>
            <w:shd w:val="clear" w:color="auto" w:fill="D9D9D9"/>
            <w:noWrap/>
            <w:vAlign w:val="top"/>
          </w:tcPr>
          <w:p w14:paraId="6D4A6BBA" w14:textId="05832584"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single" w:sz="4" w:space="0" w:color="auto"/>
            </w:tcBorders>
            <w:shd w:val="clear" w:color="auto" w:fill="D9D9D9"/>
            <w:noWrap/>
            <w:vAlign w:val="top"/>
          </w:tcPr>
          <w:p w14:paraId="5B13C271" w14:textId="1342F293"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vertAlign w:val="superscript"/>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32" w:type="pct"/>
            <w:tcBorders>
              <w:bottom w:val="single" w:sz="4" w:space="0" w:color="auto"/>
            </w:tcBorders>
            <w:shd w:val="clear" w:color="auto" w:fill="D9D9D9"/>
            <w:noWrap/>
            <w:vAlign w:val="top"/>
          </w:tcPr>
          <w:p w14:paraId="20175D44" w14:textId="0A60BF08"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85" w:type="pct"/>
            <w:tcBorders>
              <w:bottom w:val="single" w:sz="4" w:space="0" w:color="auto"/>
            </w:tcBorders>
            <w:shd w:val="clear" w:color="auto" w:fill="D9D9D9"/>
            <w:noWrap/>
            <w:vAlign w:val="top"/>
          </w:tcPr>
          <w:p w14:paraId="3B61C8FA" w14:textId="3C8D5047"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83" w:type="pct"/>
            <w:tcBorders>
              <w:bottom w:val="single" w:sz="4" w:space="0" w:color="auto"/>
            </w:tcBorders>
            <w:shd w:val="clear" w:color="auto" w:fill="D9D9D9"/>
            <w:noWrap/>
            <w:vAlign w:val="top"/>
          </w:tcPr>
          <w:p w14:paraId="3167FF67" w14:textId="144D7A61"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r>
      <w:tr w:rsidR="00214D77" w:rsidRPr="00214D77" w14:paraId="374AFD0B"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7AE3C8B9"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Cost of NGS/FISH testing </w:t>
            </w:r>
            <w:r w:rsidRPr="00C06749">
              <w:rPr>
                <w:rFonts w:eastAsia="Calibri" w:cs="Times New Roman"/>
                <w:bCs/>
                <w:color w:val="000000"/>
                <w:sz w:val="20"/>
              </w:rPr>
              <w:br/>
              <w:t>($693.20 per test)</w:t>
            </w:r>
            <w:r w:rsidRPr="00C06749">
              <w:rPr>
                <w:rFonts w:eastAsia="Calibri" w:cs="Times New Roman"/>
                <w:bCs/>
                <w:color w:val="000000"/>
                <w:sz w:val="20"/>
                <w:vertAlign w:val="superscript"/>
              </w:rPr>
              <w:t>b</w:t>
            </w:r>
          </w:p>
        </w:tc>
        <w:tc>
          <w:tcPr>
            <w:tcW w:w="551" w:type="pct"/>
            <w:tcBorders>
              <w:bottom w:val="nil"/>
            </w:tcBorders>
            <w:noWrap/>
            <w:vAlign w:val="top"/>
          </w:tcPr>
          <w:p w14:paraId="0F98513A" w14:textId="29770D2C"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51" w:type="pct"/>
            <w:tcBorders>
              <w:bottom w:val="nil"/>
            </w:tcBorders>
            <w:noWrap/>
            <w:vAlign w:val="top"/>
          </w:tcPr>
          <w:p w14:paraId="6170E6D3" w14:textId="7568E81F"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50" w:type="pct"/>
            <w:tcBorders>
              <w:bottom w:val="nil"/>
            </w:tcBorders>
            <w:noWrap/>
            <w:vAlign w:val="top"/>
          </w:tcPr>
          <w:p w14:paraId="435414CE" w14:textId="47CE9572"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32" w:type="pct"/>
            <w:tcBorders>
              <w:bottom w:val="nil"/>
            </w:tcBorders>
            <w:noWrap/>
            <w:vAlign w:val="top"/>
          </w:tcPr>
          <w:p w14:paraId="0BAEE8BF" w14:textId="76A73F27"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85" w:type="pct"/>
            <w:tcBorders>
              <w:bottom w:val="nil"/>
            </w:tcBorders>
            <w:noWrap/>
            <w:vAlign w:val="top"/>
          </w:tcPr>
          <w:p w14:paraId="5023ACEB" w14:textId="6027A538"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c>
          <w:tcPr>
            <w:tcW w:w="583" w:type="pct"/>
            <w:tcBorders>
              <w:bottom w:val="nil"/>
            </w:tcBorders>
            <w:noWrap/>
            <w:vAlign w:val="top"/>
          </w:tcPr>
          <w:p w14:paraId="03ADA2CB" w14:textId="7D23D3D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3809B6" w:rsidRPr="00C06749">
              <w:rPr>
                <w:rFonts w:eastAsia="Calibri" w:cs="Times New Roman"/>
                <w:color w:val="000000"/>
                <w:sz w:val="20"/>
                <w:vertAlign w:val="superscript"/>
              </w:rPr>
              <w:t>6</w:t>
            </w:r>
          </w:p>
        </w:tc>
      </w:tr>
      <w:tr w:rsidR="00214D77" w:rsidRPr="00214D77" w14:paraId="5CCC60F6"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single" w:sz="4" w:space="0" w:color="auto"/>
            </w:tcBorders>
            <w:noWrap/>
          </w:tcPr>
          <w:p w14:paraId="52DA6AC8" w14:textId="77777777" w:rsidR="00214D77" w:rsidRPr="00C06749" w:rsidRDefault="00214D77" w:rsidP="00214D77">
            <w:pPr>
              <w:spacing w:before="40" w:after="40" w:line="256" w:lineRule="auto"/>
              <w:jc w:val="left"/>
              <w:rPr>
                <w:rFonts w:eastAsia="Calibri" w:cs="Times New Roman"/>
                <w:bCs/>
                <w:i/>
                <w:color w:val="000000"/>
                <w:sz w:val="20"/>
              </w:rPr>
            </w:pPr>
            <w:r w:rsidRPr="00C06749">
              <w:rPr>
                <w:rFonts w:eastAsia="Calibri" w:cs="Times New Roman"/>
                <w:bCs/>
                <w:i/>
                <w:color w:val="000000"/>
                <w:sz w:val="20"/>
              </w:rPr>
              <w:t>Revised ($717.03 per test)</w:t>
            </w:r>
            <w:r w:rsidRPr="00C06749">
              <w:rPr>
                <w:rFonts w:eastAsia="Calibri" w:cs="Times New Roman"/>
                <w:bCs/>
                <w:i/>
                <w:color w:val="000000"/>
                <w:sz w:val="20"/>
                <w:vertAlign w:val="superscript"/>
              </w:rPr>
              <w:t>c</w:t>
            </w:r>
          </w:p>
        </w:tc>
        <w:tc>
          <w:tcPr>
            <w:tcW w:w="551" w:type="pct"/>
            <w:tcBorders>
              <w:top w:val="nil"/>
              <w:bottom w:val="single" w:sz="4" w:space="0" w:color="auto"/>
            </w:tcBorders>
            <w:noWrap/>
            <w:vAlign w:val="top"/>
          </w:tcPr>
          <w:p w14:paraId="203F680E" w14:textId="75B1CD57"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51" w:type="pct"/>
            <w:tcBorders>
              <w:top w:val="nil"/>
              <w:bottom w:val="single" w:sz="4" w:space="0" w:color="auto"/>
            </w:tcBorders>
            <w:noWrap/>
            <w:vAlign w:val="top"/>
          </w:tcPr>
          <w:p w14:paraId="3B879C0E" w14:textId="7217E34A"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50" w:type="pct"/>
            <w:tcBorders>
              <w:top w:val="nil"/>
              <w:bottom w:val="single" w:sz="4" w:space="0" w:color="auto"/>
            </w:tcBorders>
            <w:noWrap/>
            <w:vAlign w:val="top"/>
          </w:tcPr>
          <w:p w14:paraId="5C7A9D0D" w14:textId="18E66716"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32" w:type="pct"/>
            <w:tcBorders>
              <w:top w:val="nil"/>
              <w:bottom w:val="single" w:sz="4" w:space="0" w:color="auto"/>
            </w:tcBorders>
            <w:noWrap/>
            <w:vAlign w:val="top"/>
          </w:tcPr>
          <w:p w14:paraId="66E7DF00" w14:textId="51C85799"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85" w:type="pct"/>
            <w:tcBorders>
              <w:top w:val="nil"/>
              <w:bottom w:val="single" w:sz="4" w:space="0" w:color="auto"/>
            </w:tcBorders>
            <w:noWrap/>
            <w:vAlign w:val="top"/>
          </w:tcPr>
          <w:p w14:paraId="6862F6B0" w14:textId="5013650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c>
          <w:tcPr>
            <w:tcW w:w="583" w:type="pct"/>
            <w:tcBorders>
              <w:top w:val="nil"/>
              <w:bottom w:val="single" w:sz="4" w:space="0" w:color="auto"/>
            </w:tcBorders>
            <w:noWrap/>
            <w:vAlign w:val="top"/>
          </w:tcPr>
          <w:p w14:paraId="379EA929" w14:textId="2CA179FB"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3809B6" w:rsidRPr="00C06749">
              <w:rPr>
                <w:rFonts w:eastAsia="Calibri" w:cs="Times New Roman"/>
                <w:i/>
                <w:color w:val="000000"/>
                <w:sz w:val="20"/>
                <w:vertAlign w:val="superscript"/>
              </w:rPr>
              <w:t>6</w:t>
            </w:r>
          </w:p>
        </w:tc>
      </w:tr>
      <w:tr w:rsidR="00214D77" w:rsidRPr="00214D77" w14:paraId="29AAE724"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27B099C1" w14:textId="77777777" w:rsidR="00214D77" w:rsidRPr="00C06749" w:rsidRDefault="00214D77" w:rsidP="00214D77">
            <w:pPr>
              <w:spacing w:before="40" w:after="40" w:line="256" w:lineRule="auto"/>
              <w:jc w:val="left"/>
              <w:rPr>
                <w:rFonts w:eastAsia="Calibri" w:cs="Times New Roman"/>
                <w:b/>
                <w:bCs/>
                <w:color w:val="000000"/>
                <w:sz w:val="20"/>
              </w:rPr>
            </w:pPr>
            <w:r w:rsidRPr="00C06749">
              <w:rPr>
                <w:rFonts w:eastAsia="Calibri" w:cs="Times New Roman"/>
                <w:b/>
                <w:bCs/>
                <w:color w:val="000000"/>
                <w:sz w:val="20"/>
              </w:rPr>
              <w:t>Total cost to the MBS</w:t>
            </w:r>
          </w:p>
        </w:tc>
        <w:tc>
          <w:tcPr>
            <w:tcW w:w="551" w:type="pct"/>
            <w:tcBorders>
              <w:bottom w:val="nil"/>
            </w:tcBorders>
            <w:noWrap/>
            <w:vAlign w:val="top"/>
          </w:tcPr>
          <w:p w14:paraId="3D075987" w14:textId="7D198E2D" w:rsidR="00214D77" w:rsidRPr="00C06749" w:rsidRDefault="00214D77"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color w:val="000000"/>
                <w:sz w:val="20"/>
              </w:rPr>
              <w:t>$</w:t>
            </w:r>
            <w:r w:rsidR="00162769" w:rsidRPr="00C06749">
              <w:rPr>
                <w:rFonts w:eastAsia="Calibri" w:cs="Times New Roman"/>
                <w:b/>
                <w:bCs/>
                <w:color w:val="000000"/>
                <w:sz w:val="20"/>
              </w:rPr>
              <w:t>Redacted</w:t>
            </w:r>
            <w:r w:rsidR="003809B6" w:rsidRPr="00C06749">
              <w:rPr>
                <w:rFonts w:eastAsia="Calibri" w:cs="Times New Roman"/>
                <w:b/>
                <w:bCs/>
                <w:color w:val="000000"/>
                <w:sz w:val="20"/>
                <w:vertAlign w:val="superscript"/>
              </w:rPr>
              <w:t>6</w:t>
            </w:r>
          </w:p>
        </w:tc>
        <w:tc>
          <w:tcPr>
            <w:tcW w:w="551" w:type="pct"/>
            <w:tcBorders>
              <w:bottom w:val="nil"/>
            </w:tcBorders>
            <w:noWrap/>
            <w:vAlign w:val="top"/>
          </w:tcPr>
          <w:p w14:paraId="5E0276C5" w14:textId="6529BC6B"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color w:val="000000"/>
                <w:sz w:val="20"/>
              </w:rPr>
              <w:t>$</w:t>
            </w:r>
            <w:r w:rsidRPr="00C06749">
              <w:rPr>
                <w:rFonts w:eastAsia="Calibri" w:cs="Times New Roman"/>
                <w:b/>
                <w:bCs/>
                <w:color w:val="000000"/>
                <w:sz w:val="20"/>
              </w:rPr>
              <w:t>Redacted</w:t>
            </w:r>
            <w:r w:rsidR="003809B6" w:rsidRPr="00C06749">
              <w:rPr>
                <w:rFonts w:eastAsia="Calibri" w:cs="Times New Roman"/>
                <w:b/>
                <w:bCs/>
                <w:color w:val="000000"/>
                <w:sz w:val="20"/>
                <w:vertAlign w:val="superscript"/>
              </w:rPr>
              <w:t>6</w:t>
            </w:r>
          </w:p>
        </w:tc>
        <w:tc>
          <w:tcPr>
            <w:tcW w:w="550" w:type="pct"/>
            <w:tcBorders>
              <w:bottom w:val="nil"/>
            </w:tcBorders>
            <w:noWrap/>
            <w:vAlign w:val="top"/>
          </w:tcPr>
          <w:p w14:paraId="1F933E88" w14:textId="420A5389"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color w:val="000000"/>
                <w:sz w:val="20"/>
              </w:rPr>
              <w:t>$</w:t>
            </w:r>
            <w:r w:rsidRPr="00C06749">
              <w:rPr>
                <w:rFonts w:eastAsia="Calibri" w:cs="Times New Roman"/>
                <w:b/>
                <w:bCs/>
                <w:color w:val="000000"/>
                <w:sz w:val="20"/>
              </w:rPr>
              <w:t>Redacted</w:t>
            </w:r>
            <w:r w:rsidR="003809B6" w:rsidRPr="00C06749">
              <w:rPr>
                <w:rFonts w:eastAsia="Calibri" w:cs="Times New Roman"/>
                <w:b/>
                <w:bCs/>
                <w:color w:val="000000"/>
                <w:sz w:val="20"/>
                <w:vertAlign w:val="superscript"/>
              </w:rPr>
              <w:t>6</w:t>
            </w:r>
          </w:p>
        </w:tc>
        <w:tc>
          <w:tcPr>
            <w:tcW w:w="532" w:type="pct"/>
            <w:tcBorders>
              <w:bottom w:val="nil"/>
            </w:tcBorders>
            <w:noWrap/>
            <w:vAlign w:val="top"/>
          </w:tcPr>
          <w:p w14:paraId="6ED2AE83" w14:textId="5217EE51"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color w:val="000000"/>
                <w:sz w:val="20"/>
              </w:rPr>
              <w:t>$</w:t>
            </w:r>
            <w:r w:rsidRPr="00C06749">
              <w:rPr>
                <w:rFonts w:eastAsia="Calibri" w:cs="Times New Roman"/>
                <w:b/>
                <w:bCs/>
                <w:color w:val="000000"/>
                <w:sz w:val="20"/>
              </w:rPr>
              <w:t>Redacted</w:t>
            </w:r>
            <w:r w:rsidR="003809B6" w:rsidRPr="00C06749">
              <w:rPr>
                <w:rFonts w:eastAsia="Calibri" w:cs="Times New Roman"/>
                <w:b/>
                <w:bCs/>
                <w:color w:val="000000"/>
                <w:sz w:val="20"/>
                <w:vertAlign w:val="superscript"/>
              </w:rPr>
              <w:t>6</w:t>
            </w:r>
          </w:p>
        </w:tc>
        <w:tc>
          <w:tcPr>
            <w:tcW w:w="585" w:type="pct"/>
            <w:tcBorders>
              <w:bottom w:val="nil"/>
            </w:tcBorders>
            <w:noWrap/>
            <w:vAlign w:val="top"/>
          </w:tcPr>
          <w:p w14:paraId="237DBFE4" w14:textId="5A35E981"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color w:val="000000"/>
                <w:sz w:val="20"/>
              </w:rPr>
              <w:t>$</w:t>
            </w:r>
            <w:r w:rsidRPr="00C06749">
              <w:rPr>
                <w:rFonts w:eastAsia="Calibri" w:cs="Times New Roman"/>
                <w:b/>
                <w:bCs/>
                <w:color w:val="000000"/>
                <w:sz w:val="20"/>
              </w:rPr>
              <w:t>Redacted</w:t>
            </w:r>
            <w:r w:rsidR="003809B6" w:rsidRPr="00C06749">
              <w:rPr>
                <w:rFonts w:eastAsia="Calibri" w:cs="Times New Roman"/>
                <w:b/>
                <w:bCs/>
                <w:color w:val="000000"/>
                <w:sz w:val="20"/>
                <w:vertAlign w:val="superscript"/>
              </w:rPr>
              <w:t>6</w:t>
            </w:r>
          </w:p>
        </w:tc>
        <w:tc>
          <w:tcPr>
            <w:tcW w:w="583" w:type="pct"/>
            <w:tcBorders>
              <w:bottom w:val="nil"/>
            </w:tcBorders>
            <w:noWrap/>
            <w:vAlign w:val="top"/>
          </w:tcPr>
          <w:p w14:paraId="2A3761AD" w14:textId="35952B99"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color w:val="000000"/>
                <w:sz w:val="20"/>
              </w:rPr>
              <w:t>$</w:t>
            </w:r>
            <w:r w:rsidRPr="00C06749">
              <w:rPr>
                <w:rFonts w:eastAsia="Calibri" w:cs="Times New Roman"/>
                <w:b/>
                <w:bCs/>
                <w:color w:val="000000"/>
                <w:sz w:val="20"/>
              </w:rPr>
              <w:t>Redacted</w:t>
            </w:r>
            <w:r w:rsidR="003809B6" w:rsidRPr="00C06749">
              <w:rPr>
                <w:rFonts w:eastAsia="Calibri" w:cs="Times New Roman"/>
                <w:b/>
                <w:bCs/>
                <w:color w:val="000000"/>
                <w:sz w:val="20"/>
                <w:vertAlign w:val="superscript"/>
              </w:rPr>
              <w:t>6</w:t>
            </w:r>
          </w:p>
        </w:tc>
      </w:tr>
      <w:tr w:rsidR="00214D77" w:rsidRPr="00214D77" w14:paraId="43A29524"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tcBorders>
            <w:noWrap/>
          </w:tcPr>
          <w:p w14:paraId="1C7219E3" w14:textId="77777777" w:rsidR="00214D77" w:rsidRPr="00C06749" w:rsidRDefault="00214D77" w:rsidP="00214D77">
            <w:pPr>
              <w:spacing w:before="40" w:after="40" w:line="256" w:lineRule="auto"/>
              <w:jc w:val="left"/>
              <w:rPr>
                <w:rFonts w:eastAsia="Calibri" w:cs="Times New Roman"/>
                <w:b/>
                <w:bCs/>
                <w:i/>
                <w:color w:val="000000"/>
                <w:sz w:val="20"/>
              </w:rPr>
            </w:pPr>
            <w:r w:rsidRPr="00C06749">
              <w:rPr>
                <w:rFonts w:eastAsia="Calibri" w:cs="Times New Roman"/>
                <w:b/>
                <w:bCs/>
                <w:i/>
                <w:color w:val="000000"/>
                <w:sz w:val="20"/>
              </w:rPr>
              <w:t>Revised</w:t>
            </w:r>
          </w:p>
        </w:tc>
        <w:tc>
          <w:tcPr>
            <w:tcW w:w="551" w:type="pct"/>
            <w:tcBorders>
              <w:top w:val="nil"/>
            </w:tcBorders>
            <w:noWrap/>
            <w:vAlign w:val="top"/>
          </w:tcPr>
          <w:p w14:paraId="6057C9B8" w14:textId="0C50A842"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bCs/>
                <w:i/>
                <w:color w:val="000000"/>
                <w:sz w:val="20"/>
              </w:rPr>
            </w:pPr>
            <w:r w:rsidRPr="00C06749">
              <w:rPr>
                <w:rFonts w:eastAsia="Calibri" w:cs="Times New Roman"/>
                <w:b/>
                <w:bCs/>
                <w:i/>
                <w:color w:val="000000"/>
                <w:sz w:val="20"/>
              </w:rPr>
              <w:t>$Redacted</w:t>
            </w:r>
            <w:r w:rsidR="003809B6" w:rsidRPr="00C06749">
              <w:rPr>
                <w:rFonts w:eastAsia="Calibri" w:cs="Times New Roman"/>
                <w:b/>
                <w:bCs/>
                <w:i/>
                <w:color w:val="000000"/>
                <w:sz w:val="20"/>
                <w:vertAlign w:val="superscript"/>
              </w:rPr>
              <w:t>6</w:t>
            </w:r>
          </w:p>
        </w:tc>
        <w:tc>
          <w:tcPr>
            <w:tcW w:w="551" w:type="pct"/>
            <w:tcBorders>
              <w:top w:val="nil"/>
            </w:tcBorders>
            <w:noWrap/>
            <w:vAlign w:val="top"/>
          </w:tcPr>
          <w:p w14:paraId="22E270C9" w14:textId="5C5833F7"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i/>
                <w:color w:val="000000"/>
                <w:sz w:val="20"/>
              </w:rPr>
              <w:t>$Redacted</w:t>
            </w:r>
            <w:r w:rsidR="003809B6" w:rsidRPr="00C06749">
              <w:rPr>
                <w:rFonts w:eastAsia="Calibri" w:cs="Times New Roman"/>
                <w:b/>
                <w:bCs/>
                <w:i/>
                <w:color w:val="000000"/>
                <w:sz w:val="20"/>
                <w:vertAlign w:val="superscript"/>
              </w:rPr>
              <w:t>6</w:t>
            </w:r>
          </w:p>
        </w:tc>
        <w:tc>
          <w:tcPr>
            <w:tcW w:w="550" w:type="pct"/>
            <w:tcBorders>
              <w:top w:val="nil"/>
            </w:tcBorders>
            <w:noWrap/>
            <w:vAlign w:val="top"/>
          </w:tcPr>
          <w:p w14:paraId="640D99CC" w14:textId="128CDD54"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i/>
                <w:color w:val="000000"/>
                <w:sz w:val="20"/>
              </w:rPr>
              <w:t>$Redacted</w:t>
            </w:r>
            <w:r w:rsidR="003809B6" w:rsidRPr="00C06749">
              <w:rPr>
                <w:rFonts w:eastAsia="Calibri" w:cs="Times New Roman"/>
                <w:b/>
                <w:bCs/>
                <w:i/>
                <w:color w:val="000000"/>
                <w:sz w:val="20"/>
                <w:vertAlign w:val="superscript"/>
              </w:rPr>
              <w:t>6</w:t>
            </w:r>
          </w:p>
        </w:tc>
        <w:tc>
          <w:tcPr>
            <w:tcW w:w="532" w:type="pct"/>
            <w:tcBorders>
              <w:top w:val="nil"/>
            </w:tcBorders>
            <w:noWrap/>
            <w:vAlign w:val="top"/>
          </w:tcPr>
          <w:p w14:paraId="78D20B96" w14:textId="2A818357"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i/>
                <w:color w:val="000000"/>
                <w:sz w:val="20"/>
              </w:rPr>
              <w:t>$Redacted</w:t>
            </w:r>
            <w:r w:rsidR="003809B6" w:rsidRPr="00C06749">
              <w:rPr>
                <w:rFonts w:eastAsia="Calibri" w:cs="Times New Roman"/>
                <w:b/>
                <w:bCs/>
                <w:i/>
                <w:color w:val="000000"/>
                <w:sz w:val="20"/>
                <w:vertAlign w:val="superscript"/>
              </w:rPr>
              <w:t>6</w:t>
            </w:r>
          </w:p>
        </w:tc>
        <w:tc>
          <w:tcPr>
            <w:tcW w:w="585" w:type="pct"/>
            <w:tcBorders>
              <w:top w:val="nil"/>
            </w:tcBorders>
            <w:noWrap/>
            <w:vAlign w:val="top"/>
          </w:tcPr>
          <w:p w14:paraId="2D136996" w14:textId="0159EA3C"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i/>
                <w:color w:val="000000"/>
                <w:sz w:val="20"/>
              </w:rPr>
              <w:t>$Redacted</w:t>
            </w:r>
            <w:r w:rsidR="003809B6" w:rsidRPr="00C06749">
              <w:rPr>
                <w:rFonts w:eastAsia="Calibri" w:cs="Times New Roman"/>
                <w:b/>
                <w:bCs/>
                <w:i/>
                <w:color w:val="000000"/>
                <w:sz w:val="20"/>
                <w:vertAlign w:val="superscript"/>
              </w:rPr>
              <w:t>6</w:t>
            </w:r>
          </w:p>
        </w:tc>
        <w:tc>
          <w:tcPr>
            <w:tcW w:w="583" w:type="pct"/>
            <w:tcBorders>
              <w:top w:val="nil"/>
            </w:tcBorders>
            <w:noWrap/>
            <w:vAlign w:val="top"/>
          </w:tcPr>
          <w:p w14:paraId="5CC66F24" w14:textId="307FA2C7"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i/>
                <w:color w:val="000000"/>
                <w:sz w:val="20"/>
              </w:rPr>
              <w:t>$Redacted</w:t>
            </w:r>
            <w:r w:rsidR="003809B6" w:rsidRPr="00C06749">
              <w:rPr>
                <w:rFonts w:eastAsia="Calibri" w:cs="Times New Roman"/>
                <w:b/>
                <w:bCs/>
                <w:i/>
                <w:color w:val="000000"/>
                <w:sz w:val="20"/>
                <w:vertAlign w:val="superscript"/>
              </w:rPr>
              <w:t>6</w:t>
            </w:r>
          </w:p>
        </w:tc>
      </w:tr>
      <w:tr w:rsidR="00214D77" w:rsidRPr="00214D77" w14:paraId="715C66AE"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7"/>
            <w:noWrap/>
          </w:tcPr>
          <w:p w14:paraId="4F40507B" w14:textId="77777777" w:rsidR="00214D77" w:rsidRPr="00C06749" w:rsidRDefault="00214D77" w:rsidP="00214D77">
            <w:pPr>
              <w:spacing w:before="40" w:after="40" w:line="256" w:lineRule="auto"/>
              <w:jc w:val="left"/>
              <w:rPr>
                <w:rFonts w:eastAsia="Calibri" w:cs="Times New Roman"/>
                <w:b/>
                <w:bCs/>
                <w:color w:val="000000"/>
                <w:sz w:val="20"/>
              </w:rPr>
            </w:pPr>
            <w:r w:rsidRPr="00C06749">
              <w:rPr>
                <w:rFonts w:eastAsia="Calibri" w:cs="Times New Roman"/>
                <w:b/>
                <w:bCs/>
                <w:color w:val="000000"/>
                <w:sz w:val="20"/>
              </w:rPr>
              <w:t>Changes in use of MBS item 13950</w:t>
            </w:r>
          </w:p>
        </w:tc>
      </w:tr>
      <w:tr w:rsidR="00214D77" w:rsidRPr="00214D77" w14:paraId="572733E2"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single" w:sz="4" w:space="0" w:color="auto"/>
            </w:tcBorders>
            <w:noWrap/>
          </w:tcPr>
          <w:p w14:paraId="00DC25EA"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Total infusions</w:t>
            </w:r>
          </w:p>
        </w:tc>
        <w:tc>
          <w:tcPr>
            <w:tcW w:w="551" w:type="pct"/>
            <w:tcBorders>
              <w:bottom w:val="single" w:sz="4" w:space="0" w:color="auto"/>
            </w:tcBorders>
            <w:noWrap/>
          </w:tcPr>
          <w:p w14:paraId="18A7297F" w14:textId="2B947F17"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single" w:sz="4" w:space="0" w:color="auto"/>
            </w:tcBorders>
            <w:noWrap/>
          </w:tcPr>
          <w:p w14:paraId="5FEFBC69" w14:textId="7ADC642D"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single" w:sz="4" w:space="0" w:color="auto"/>
            </w:tcBorders>
            <w:noWrap/>
          </w:tcPr>
          <w:p w14:paraId="0B1BF43B" w14:textId="73FC15D8"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single" w:sz="4" w:space="0" w:color="auto"/>
            </w:tcBorders>
            <w:noWrap/>
          </w:tcPr>
          <w:p w14:paraId="4A7542C4" w14:textId="28DEF748"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single" w:sz="4" w:space="0" w:color="auto"/>
            </w:tcBorders>
            <w:noWrap/>
          </w:tcPr>
          <w:p w14:paraId="0F8F300C" w14:textId="0CC149B8"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single" w:sz="4" w:space="0" w:color="auto"/>
            </w:tcBorders>
            <w:noWrap/>
          </w:tcPr>
          <w:p w14:paraId="033303D8" w14:textId="6E35D309"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51373285"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15FE4AB6"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Reduction in MBS item 13950 </w:t>
            </w:r>
          </w:p>
        </w:tc>
        <w:tc>
          <w:tcPr>
            <w:tcW w:w="551" w:type="pct"/>
            <w:tcBorders>
              <w:bottom w:val="nil"/>
            </w:tcBorders>
            <w:noWrap/>
          </w:tcPr>
          <w:p w14:paraId="5784D7EC" w14:textId="21EDED24"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vertAlign w:val="superscript"/>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51" w:type="pct"/>
            <w:tcBorders>
              <w:bottom w:val="nil"/>
            </w:tcBorders>
            <w:noWrap/>
          </w:tcPr>
          <w:p w14:paraId="1E5C4E3B" w14:textId="3FAF5512"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50" w:type="pct"/>
            <w:tcBorders>
              <w:bottom w:val="nil"/>
            </w:tcBorders>
            <w:noWrap/>
          </w:tcPr>
          <w:p w14:paraId="5631EA93" w14:textId="445F68F5"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32" w:type="pct"/>
            <w:tcBorders>
              <w:bottom w:val="nil"/>
            </w:tcBorders>
            <w:noWrap/>
          </w:tcPr>
          <w:p w14:paraId="5400EBA2" w14:textId="1B4A5B8B"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85" w:type="pct"/>
            <w:tcBorders>
              <w:bottom w:val="nil"/>
            </w:tcBorders>
            <w:noWrap/>
          </w:tcPr>
          <w:p w14:paraId="425C84B6" w14:textId="0EA6A37D"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c>
          <w:tcPr>
            <w:tcW w:w="583" w:type="pct"/>
            <w:tcBorders>
              <w:bottom w:val="nil"/>
            </w:tcBorders>
            <w:noWrap/>
          </w:tcPr>
          <w:p w14:paraId="725C124E" w14:textId="29DAAA88"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3</w:t>
            </w:r>
          </w:p>
        </w:tc>
      </w:tr>
      <w:tr w:rsidR="00214D77" w:rsidRPr="00214D77" w14:paraId="7C50F8D8"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single" w:sz="4" w:space="0" w:color="auto"/>
            </w:tcBorders>
            <w:noWrap/>
          </w:tcPr>
          <w:p w14:paraId="4D99FFA4"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i/>
                <w:color w:val="000000"/>
                <w:sz w:val="20"/>
              </w:rPr>
              <w:t xml:space="preserve">Revised </w:t>
            </w:r>
            <w:r w:rsidRPr="00C06749">
              <w:rPr>
                <w:rFonts w:eastAsia="Calibri" w:cs="Times New Roman"/>
                <w:bCs/>
                <w:i/>
                <w:color w:val="000000"/>
                <w:sz w:val="20"/>
                <w:vertAlign w:val="superscript"/>
              </w:rPr>
              <w:t>d</w:t>
            </w:r>
          </w:p>
        </w:tc>
        <w:tc>
          <w:tcPr>
            <w:tcW w:w="551" w:type="pct"/>
            <w:tcBorders>
              <w:top w:val="nil"/>
              <w:bottom w:val="single" w:sz="4" w:space="0" w:color="auto"/>
            </w:tcBorders>
            <w:noWrap/>
          </w:tcPr>
          <w:p w14:paraId="27F122ED" w14:textId="44CCFF1E"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iCs/>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1</w:t>
            </w:r>
          </w:p>
        </w:tc>
        <w:tc>
          <w:tcPr>
            <w:tcW w:w="551" w:type="pct"/>
            <w:tcBorders>
              <w:top w:val="nil"/>
              <w:bottom w:val="single" w:sz="4" w:space="0" w:color="auto"/>
            </w:tcBorders>
            <w:noWrap/>
          </w:tcPr>
          <w:p w14:paraId="68D5AA99" w14:textId="07640854"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1</w:t>
            </w:r>
          </w:p>
        </w:tc>
        <w:tc>
          <w:tcPr>
            <w:tcW w:w="550" w:type="pct"/>
            <w:tcBorders>
              <w:top w:val="nil"/>
              <w:bottom w:val="single" w:sz="4" w:space="0" w:color="auto"/>
            </w:tcBorders>
            <w:noWrap/>
          </w:tcPr>
          <w:p w14:paraId="67FE9AE1" w14:textId="23A03D9B"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1</w:t>
            </w:r>
          </w:p>
        </w:tc>
        <w:tc>
          <w:tcPr>
            <w:tcW w:w="532" w:type="pct"/>
            <w:tcBorders>
              <w:top w:val="nil"/>
              <w:bottom w:val="single" w:sz="4" w:space="0" w:color="auto"/>
            </w:tcBorders>
            <w:noWrap/>
          </w:tcPr>
          <w:p w14:paraId="2D8887C6" w14:textId="55683AE6"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1</w:t>
            </w:r>
          </w:p>
        </w:tc>
        <w:tc>
          <w:tcPr>
            <w:tcW w:w="585" w:type="pct"/>
            <w:tcBorders>
              <w:top w:val="nil"/>
              <w:bottom w:val="single" w:sz="4" w:space="0" w:color="auto"/>
            </w:tcBorders>
            <w:noWrap/>
          </w:tcPr>
          <w:p w14:paraId="69CD8F31" w14:textId="1AA8705C"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1</w:t>
            </w:r>
          </w:p>
        </w:tc>
        <w:tc>
          <w:tcPr>
            <w:tcW w:w="583" w:type="pct"/>
            <w:tcBorders>
              <w:top w:val="nil"/>
              <w:bottom w:val="single" w:sz="4" w:space="0" w:color="auto"/>
            </w:tcBorders>
            <w:noWrap/>
          </w:tcPr>
          <w:p w14:paraId="0DFB49F5" w14:textId="4AEB34FD" w:rsidR="00214D77" w:rsidRPr="00C06749" w:rsidRDefault="0085455A"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iCs/>
                <w:color w:val="000000"/>
                <w:sz w:val="20"/>
              </w:rPr>
              <w:t>Redacted</w:t>
            </w:r>
            <w:r w:rsidRPr="00C06749">
              <w:rPr>
                <w:rFonts w:eastAsia="Calibri" w:cs="Times New Roman"/>
                <w:i/>
                <w:iCs/>
                <w:color w:val="000000"/>
                <w:sz w:val="20"/>
                <w:vertAlign w:val="superscript"/>
              </w:rPr>
              <w:t>1</w:t>
            </w:r>
          </w:p>
        </w:tc>
      </w:tr>
      <w:tr w:rsidR="00214D77" w:rsidRPr="00214D77" w14:paraId="6E351DA9"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49676331"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Cost offset ($89.12)</w:t>
            </w:r>
          </w:p>
        </w:tc>
        <w:tc>
          <w:tcPr>
            <w:tcW w:w="551" w:type="pct"/>
            <w:tcBorders>
              <w:bottom w:val="nil"/>
            </w:tcBorders>
            <w:noWrap/>
          </w:tcPr>
          <w:p w14:paraId="1E5517DC" w14:textId="4BEF47A7"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51" w:type="pct"/>
            <w:tcBorders>
              <w:bottom w:val="nil"/>
            </w:tcBorders>
            <w:noWrap/>
          </w:tcPr>
          <w:p w14:paraId="41810A38" w14:textId="54FF5C52"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50" w:type="pct"/>
            <w:tcBorders>
              <w:bottom w:val="nil"/>
            </w:tcBorders>
            <w:noWrap/>
          </w:tcPr>
          <w:p w14:paraId="0E71E222" w14:textId="19845B64"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32" w:type="pct"/>
            <w:tcBorders>
              <w:bottom w:val="nil"/>
            </w:tcBorders>
            <w:noWrap/>
          </w:tcPr>
          <w:p w14:paraId="41FCF962" w14:textId="36FB033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85" w:type="pct"/>
            <w:tcBorders>
              <w:bottom w:val="nil"/>
            </w:tcBorders>
            <w:noWrap/>
          </w:tcPr>
          <w:p w14:paraId="20F805F0" w14:textId="6EF093D5"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83" w:type="pct"/>
            <w:tcBorders>
              <w:bottom w:val="nil"/>
            </w:tcBorders>
            <w:noWrap/>
          </w:tcPr>
          <w:p w14:paraId="660879CA" w14:textId="097ED2C7"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r>
      <w:tr w:rsidR="00214D77" w:rsidRPr="00214D77" w14:paraId="7652FF00"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tcBorders>
            <w:noWrap/>
          </w:tcPr>
          <w:p w14:paraId="06BFD016" w14:textId="77777777" w:rsidR="00214D77" w:rsidRPr="00C06749" w:rsidRDefault="00214D77" w:rsidP="00214D77">
            <w:pPr>
              <w:spacing w:before="40" w:after="40" w:line="256" w:lineRule="auto"/>
              <w:jc w:val="left"/>
              <w:rPr>
                <w:rFonts w:eastAsia="Calibri" w:cs="Times New Roman"/>
                <w:bCs/>
                <w:i/>
                <w:color w:val="000000"/>
                <w:sz w:val="20"/>
              </w:rPr>
            </w:pPr>
            <w:r w:rsidRPr="00C06749">
              <w:rPr>
                <w:rFonts w:eastAsia="Calibri" w:cs="Times New Roman"/>
                <w:bCs/>
                <w:i/>
                <w:color w:val="000000"/>
                <w:sz w:val="20"/>
              </w:rPr>
              <w:t>Revised</w:t>
            </w:r>
          </w:p>
        </w:tc>
        <w:tc>
          <w:tcPr>
            <w:tcW w:w="551" w:type="pct"/>
            <w:tcBorders>
              <w:top w:val="nil"/>
            </w:tcBorders>
            <w:noWrap/>
          </w:tcPr>
          <w:p w14:paraId="079EA0DB" w14:textId="0F9B0BDA"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51" w:type="pct"/>
            <w:tcBorders>
              <w:top w:val="nil"/>
            </w:tcBorders>
            <w:noWrap/>
          </w:tcPr>
          <w:p w14:paraId="6B8DA242" w14:textId="21F7D21A"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50" w:type="pct"/>
            <w:tcBorders>
              <w:top w:val="nil"/>
            </w:tcBorders>
            <w:noWrap/>
          </w:tcPr>
          <w:p w14:paraId="3396C0BA" w14:textId="3B43E53F"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Pr="00C06749">
              <w:rPr>
                <w:rFonts w:eastAsia="Calibri" w:cs="Times New Roman"/>
                <w:i/>
                <w:color w:val="000000"/>
                <w:sz w:val="20"/>
                <w:vertAlign w:val="superscript"/>
              </w:rPr>
              <w:t>5</w:t>
            </w:r>
          </w:p>
        </w:tc>
        <w:tc>
          <w:tcPr>
            <w:tcW w:w="532" w:type="pct"/>
            <w:tcBorders>
              <w:top w:val="nil"/>
            </w:tcBorders>
            <w:noWrap/>
          </w:tcPr>
          <w:p w14:paraId="396C7810" w14:textId="4144C6C8"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85" w:type="pct"/>
            <w:tcBorders>
              <w:top w:val="nil"/>
            </w:tcBorders>
            <w:noWrap/>
          </w:tcPr>
          <w:p w14:paraId="1146C526" w14:textId="140799D0"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83" w:type="pct"/>
            <w:tcBorders>
              <w:top w:val="nil"/>
            </w:tcBorders>
            <w:noWrap/>
          </w:tcPr>
          <w:p w14:paraId="6305F348" w14:textId="79F33614"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r>
      <w:tr w:rsidR="00214D77" w:rsidRPr="00214D77" w14:paraId="471EC2F8"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7"/>
            <w:noWrap/>
          </w:tcPr>
          <w:p w14:paraId="690D87C7" w14:textId="77777777" w:rsidR="00214D77" w:rsidRPr="00C06749" w:rsidRDefault="00214D77" w:rsidP="00214D77">
            <w:pPr>
              <w:spacing w:before="40" w:after="40" w:line="256" w:lineRule="auto"/>
              <w:jc w:val="left"/>
              <w:rPr>
                <w:rFonts w:eastAsia="Calibri" w:cs="Times New Roman"/>
                <w:b/>
                <w:bCs/>
                <w:color w:val="000000"/>
                <w:sz w:val="20"/>
              </w:rPr>
            </w:pPr>
            <w:r w:rsidRPr="00C06749">
              <w:rPr>
                <w:rFonts w:eastAsia="Calibri" w:cs="Times New Roman"/>
                <w:b/>
                <w:bCs/>
                <w:color w:val="000000"/>
                <w:sz w:val="20"/>
              </w:rPr>
              <w:t>Changes in use of MBS item 15100</w:t>
            </w:r>
          </w:p>
        </w:tc>
      </w:tr>
      <w:tr w:rsidR="00214D77" w:rsidRPr="00214D77" w14:paraId="57EABB25"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single" w:sz="4" w:space="0" w:color="auto"/>
            </w:tcBorders>
            <w:noWrap/>
          </w:tcPr>
          <w:p w14:paraId="022A9098"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 xml:space="preserve">No. radiotherapy sessions </w:t>
            </w:r>
            <w:r w:rsidRPr="00C06749">
              <w:rPr>
                <w:rFonts w:eastAsia="Calibri" w:cs="Times New Roman"/>
                <w:bCs/>
                <w:color w:val="000000"/>
                <w:sz w:val="20"/>
              </w:rPr>
              <w:br/>
              <w:t>(28.5 per patient)</w:t>
            </w:r>
          </w:p>
        </w:tc>
        <w:tc>
          <w:tcPr>
            <w:tcW w:w="551" w:type="pct"/>
            <w:tcBorders>
              <w:bottom w:val="single" w:sz="4" w:space="0" w:color="auto"/>
            </w:tcBorders>
            <w:noWrap/>
          </w:tcPr>
          <w:p w14:paraId="35F9CB4B" w14:textId="026E8F63"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single" w:sz="4" w:space="0" w:color="auto"/>
            </w:tcBorders>
            <w:noWrap/>
          </w:tcPr>
          <w:p w14:paraId="4AF8DF4E" w14:textId="667F8594"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single" w:sz="4" w:space="0" w:color="auto"/>
            </w:tcBorders>
            <w:noWrap/>
          </w:tcPr>
          <w:p w14:paraId="489B82C2" w14:textId="45347CF2"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single" w:sz="4" w:space="0" w:color="auto"/>
            </w:tcBorders>
            <w:noWrap/>
          </w:tcPr>
          <w:p w14:paraId="10F43B00" w14:textId="09AA3C44"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single" w:sz="4" w:space="0" w:color="auto"/>
            </w:tcBorders>
            <w:noWrap/>
          </w:tcPr>
          <w:p w14:paraId="04881F68" w14:textId="62D6A2D7"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single" w:sz="4" w:space="0" w:color="auto"/>
            </w:tcBorders>
            <w:noWrap/>
          </w:tcPr>
          <w:p w14:paraId="7529994B" w14:textId="5F31FD67"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586FBB5E"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631A5FAB"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Reduction in MBS item 15100</w:t>
            </w:r>
          </w:p>
        </w:tc>
        <w:tc>
          <w:tcPr>
            <w:tcW w:w="551" w:type="pct"/>
            <w:tcBorders>
              <w:bottom w:val="nil"/>
            </w:tcBorders>
            <w:noWrap/>
          </w:tcPr>
          <w:p w14:paraId="05D50C2D" w14:textId="1BD33675"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bottom w:val="nil"/>
            </w:tcBorders>
            <w:noWrap/>
          </w:tcPr>
          <w:p w14:paraId="5940C0C9" w14:textId="10DCD869"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bottom w:val="nil"/>
            </w:tcBorders>
            <w:noWrap/>
          </w:tcPr>
          <w:p w14:paraId="2430BFD4" w14:textId="0366E693"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bottom w:val="nil"/>
            </w:tcBorders>
            <w:noWrap/>
          </w:tcPr>
          <w:p w14:paraId="7D3BF590" w14:textId="1DA8523F"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bottom w:val="nil"/>
            </w:tcBorders>
            <w:noWrap/>
          </w:tcPr>
          <w:p w14:paraId="00489572" w14:textId="5D68013E"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bottom w:val="nil"/>
            </w:tcBorders>
            <w:noWrap/>
          </w:tcPr>
          <w:p w14:paraId="7B99DAE7" w14:textId="7A0496DD" w:rsidR="00214D77" w:rsidRPr="00C06749" w:rsidRDefault="00DB138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6EFADB28"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single" w:sz="4" w:space="0" w:color="auto"/>
            </w:tcBorders>
            <w:noWrap/>
          </w:tcPr>
          <w:p w14:paraId="5173D924" w14:textId="77777777" w:rsidR="00214D77" w:rsidRPr="00C06749" w:rsidRDefault="00214D77" w:rsidP="00214D77">
            <w:pPr>
              <w:spacing w:before="40" w:after="40" w:line="256" w:lineRule="auto"/>
              <w:jc w:val="left"/>
              <w:rPr>
                <w:rFonts w:eastAsia="Calibri" w:cs="Times New Roman"/>
                <w:bCs/>
                <w:i/>
                <w:color w:val="000000"/>
                <w:sz w:val="20"/>
              </w:rPr>
            </w:pPr>
            <w:r w:rsidRPr="00C06749">
              <w:rPr>
                <w:rFonts w:eastAsia="Calibri" w:cs="Times New Roman"/>
                <w:bCs/>
                <w:i/>
                <w:color w:val="000000"/>
                <w:sz w:val="20"/>
              </w:rPr>
              <w:t xml:space="preserve">Revised </w:t>
            </w:r>
            <w:r w:rsidRPr="00C06749">
              <w:rPr>
                <w:rFonts w:eastAsia="Calibri" w:cs="Times New Roman"/>
                <w:bCs/>
                <w:i/>
                <w:color w:val="000000"/>
                <w:sz w:val="20"/>
                <w:vertAlign w:val="superscript"/>
              </w:rPr>
              <w:t>e</w:t>
            </w:r>
          </w:p>
        </w:tc>
        <w:tc>
          <w:tcPr>
            <w:tcW w:w="551" w:type="pct"/>
            <w:tcBorders>
              <w:top w:val="nil"/>
              <w:bottom w:val="single" w:sz="4" w:space="0" w:color="auto"/>
            </w:tcBorders>
            <w:noWrap/>
          </w:tcPr>
          <w:p w14:paraId="645E2BAB" w14:textId="1D1C9958"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1" w:type="pct"/>
            <w:tcBorders>
              <w:top w:val="nil"/>
              <w:bottom w:val="single" w:sz="4" w:space="0" w:color="auto"/>
            </w:tcBorders>
            <w:noWrap/>
          </w:tcPr>
          <w:p w14:paraId="0BBE270D" w14:textId="6D337E96"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50" w:type="pct"/>
            <w:tcBorders>
              <w:top w:val="nil"/>
              <w:bottom w:val="single" w:sz="4" w:space="0" w:color="auto"/>
            </w:tcBorders>
            <w:noWrap/>
          </w:tcPr>
          <w:p w14:paraId="18ECCEBA" w14:textId="6B8C347B"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32" w:type="pct"/>
            <w:tcBorders>
              <w:top w:val="nil"/>
              <w:bottom w:val="single" w:sz="4" w:space="0" w:color="auto"/>
            </w:tcBorders>
            <w:noWrap/>
          </w:tcPr>
          <w:p w14:paraId="4FC38777" w14:textId="7CC6336A"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5" w:type="pct"/>
            <w:tcBorders>
              <w:top w:val="nil"/>
              <w:bottom w:val="single" w:sz="4" w:space="0" w:color="auto"/>
            </w:tcBorders>
            <w:noWrap/>
          </w:tcPr>
          <w:p w14:paraId="1B30CE87" w14:textId="5AAF5687"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c>
          <w:tcPr>
            <w:tcW w:w="583" w:type="pct"/>
            <w:tcBorders>
              <w:top w:val="nil"/>
              <w:bottom w:val="single" w:sz="4" w:space="0" w:color="auto"/>
            </w:tcBorders>
            <w:noWrap/>
          </w:tcPr>
          <w:p w14:paraId="3A6FD2E8" w14:textId="13975DF9" w:rsidR="00214D77" w:rsidRPr="00C06749" w:rsidRDefault="00D9500D"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color w:val="000000"/>
                <w:sz w:val="20"/>
              </w:rPr>
              <w:t>Redacted</w:t>
            </w:r>
            <w:r w:rsidRPr="00C06749">
              <w:rPr>
                <w:rFonts w:eastAsia="Calibri" w:cs="Times New Roman"/>
                <w:color w:val="000000"/>
                <w:sz w:val="20"/>
                <w:vertAlign w:val="superscript"/>
              </w:rPr>
              <w:t>1</w:t>
            </w:r>
          </w:p>
        </w:tc>
      </w:tr>
      <w:tr w:rsidR="00214D77" w:rsidRPr="00214D77" w14:paraId="65C55D0C"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28B6754F" w14:textId="77777777" w:rsidR="00214D77" w:rsidRPr="00C06749" w:rsidRDefault="00214D77" w:rsidP="00214D77">
            <w:pPr>
              <w:spacing w:before="40" w:after="40" w:line="256" w:lineRule="auto"/>
              <w:jc w:val="left"/>
              <w:rPr>
                <w:rFonts w:eastAsia="Calibri" w:cs="Times New Roman"/>
                <w:bCs/>
                <w:color w:val="000000"/>
                <w:sz w:val="20"/>
              </w:rPr>
            </w:pPr>
            <w:r w:rsidRPr="00C06749">
              <w:rPr>
                <w:rFonts w:eastAsia="Calibri" w:cs="Times New Roman"/>
                <w:bCs/>
                <w:color w:val="000000"/>
                <w:sz w:val="20"/>
              </w:rPr>
              <w:t>Cost offset ($39.36)</w:t>
            </w:r>
          </w:p>
        </w:tc>
        <w:tc>
          <w:tcPr>
            <w:tcW w:w="551" w:type="pct"/>
            <w:tcBorders>
              <w:bottom w:val="nil"/>
            </w:tcBorders>
            <w:noWrap/>
          </w:tcPr>
          <w:p w14:paraId="7ABF2133" w14:textId="7128B222"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51" w:type="pct"/>
            <w:tcBorders>
              <w:bottom w:val="nil"/>
            </w:tcBorders>
            <w:noWrap/>
          </w:tcPr>
          <w:p w14:paraId="1169A900" w14:textId="537469D1"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50" w:type="pct"/>
            <w:tcBorders>
              <w:bottom w:val="nil"/>
            </w:tcBorders>
            <w:noWrap/>
          </w:tcPr>
          <w:p w14:paraId="1D852810" w14:textId="585AD72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32" w:type="pct"/>
            <w:tcBorders>
              <w:bottom w:val="nil"/>
            </w:tcBorders>
            <w:noWrap/>
          </w:tcPr>
          <w:p w14:paraId="185EB718" w14:textId="326B6EA3"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85" w:type="pct"/>
            <w:tcBorders>
              <w:bottom w:val="nil"/>
            </w:tcBorders>
            <w:noWrap/>
          </w:tcPr>
          <w:p w14:paraId="04A2DFED" w14:textId="77404470"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c>
          <w:tcPr>
            <w:tcW w:w="583" w:type="pct"/>
            <w:tcBorders>
              <w:bottom w:val="nil"/>
            </w:tcBorders>
            <w:noWrap/>
          </w:tcPr>
          <w:p w14:paraId="77753028" w14:textId="2F76F2B8"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rPr>
            </w:pPr>
            <w:r w:rsidRPr="00C06749">
              <w:rPr>
                <w:rFonts w:eastAsia="Calibri" w:cs="Times New Roman"/>
                <w:color w:val="000000"/>
                <w:sz w:val="20"/>
              </w:rPr>
              <w:t>$Redacted</w:t>
            </w:r>
            <w:r w:rsidR="00A31A44" w:rsidRPr="00C06749">
              <w:rPr>
                <w:rFonts w:eastAsia="Calibri" w:cs="Times New Roman"/>
                <w:color w:val="000000"/>
                <w:sz w:val="20"/>
                <w:vertAlign w:val="superscript"/>
              </w:rPr>
              <w:t>6</w:t>
            </w:r>
          </w:p>
        </w:tc>
      </w:tr>
      <w:tr w:rsidR="00214D77" w:rsidRPr="00214D77" w14:paraId="1D6BDD4C"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single" w:sz="4" w:space="0" w:color="auto"/>
            </w:tcBorders>
            <w:noWrap/>
          </w:tcPr>
          <w:p w14:paraId="5F8F9290" w14:textId="77777777" w:rsidR="00214D77" w:rsidRPr="00C06749" w:rsidRDefault="00214D77" w:rsidP="00214D77">
            <w:pPr>
              <w:spacing w:before="40" w:after="40" w:line="256" w:lineRule="auto"/>
              <w:jc w:val="left"/>
              <w:rPr>
                <w:rFonts w:eastAsia="Calibri" w:cs="Times New Roman"/>
                <w:bCs/>
                <w:i/>
                <w:color w:val="000000"/>
                <w:sz w:val="20"/>
              </w:rPr>
            </w:pPr>
            <w:r w:rsidRPr="00C06749">
              <w:rPr>
                <w:rFonts w:eastAsia="Calibri" w:cs="Times New Roman"/>
                <w:bCs/>
                <w:i/>
                <w:color w:val="000000"/>
                <w:sz w:val="20"/>
              </w:rPr>
              <w:t>Revised</w:t>
            </w:r>
          </w:p>
        </w:tc>
        <w:tc>
          <w:tcPr>
            <w:tcW w:w="551" w:type="pct"/>
            <w:tcBorders>
              <w:top w:val="nil"/>
              <w:bottom w:val="single" w:sz="4" w:space="0" w:color="auto"/>
            </w:tcBorders>
            <w:noWrap/>
          </w:tcPr>
          <w:p w14:paraId="21F68C29" w14:textId="18E9EBE8"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51" w:type="pct"/>
            <w:tcBorders>
              <w:top w:val="nil"/>
              <w:bottom w:val="single" w:sz="4" w:space="0" w:color="auto"/>
            </w:tcBorders>
            <w:noWrap/>
          </w:tcPr>
          <w:p w14:paraId="0A6BBF50" w14:textId="22B2BA2E"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50" w:type="pct"/>
            <w:tcBorders>
              <w:top w:val="nil"/>
              <w:bottom w:val="single" w:sz="4" w:space="0" w:color="auto"/>
            </w:tcBorders>
            <w:noWrap/>
          </w:tcPr>
          <w:p w14:paraId="62971F4D" w14:textId="54F1BC5F"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32" w:type="pct"/>
            <w:tcBorders>
              <w:top w:val="nil"/>
              <w:bottom w:val="single" w:sz="4" w:space="0" w:color="auto"/>
            </w:tcBorders>
            <w:noWrap/>
          </w:tcPr>
          <w:p w14:paraId="5A98B280" w14:textId="67AB3E68"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85" w:type="pct"/>
            <w:tcBorders>
              <w:top w:val="nil"/>
              <w:bottom w:val="single" w:sz="4" w:space="0" w:color="auto"/>
            </w:tcBorders>
            <w:noWrap/>
          </w:tcPr>
          <w:p w14:paraId="2F04B710" w14:textId="454B96F9"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c>
          <w:tcPr>
            <w:tcW w:w="583" w:type="pct"/>
            <w:tcBorders>
              <w:top w:val="nil"/>
              <w:bottom w:val="single" w:sz="4" w:space="0" w:color="auto"/>
            </w:tcBorders>
            <w:noWrap/>
          </w:tcPr>
          <w:p w14:paraId="62EF9D21" w14:textId="0C233A20"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i/>
                <w:color w:val="000000"/>
                <w:sz w:val="20"/>
              </w:rPr>
            </w:pPr>
            <w:r w:rsidRPr="00C06749">
              <w:rPr>
                <w:rFonts w:eastAsia="Calibri" w:cs="Times New Roman"/>
                <w:i/>
                <w:color w:val="000000"/>
                <w:sz w:val="20"/>
              </w:rPr>
              <w:t>$Redacted</w:t>
            </w:r>
            <w:r w:rsidR="00A31A44" w:rsidRPr="00C06749">
              <w:rPr>
                <w:rFonts w:eastAsia="Calibri" w:cs="Times New Roman"/>
                <w:i/>
                <w:color w:val="000000"/>
                <w:sz w:val="20"/>
                <w:vertAlign w:val="superscript"/>
              </w:rPr>
              <w:t>6</w:t>
            </w:r>
          </w:p>
        </w:tc>
      </w:tr>
      <w:tr w:rsidR="00214D77" w:rsidRPr="00214D77" w14:paraId="5523ECFB"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bottom w:val="nil"/>
            </w:tcBorders>
            <w:noWrap/>
          </w:tcPr>
          <w:p w14:paraId="4E156C13" w14:textId="77777777" w:rsidR="00214D77" w:rsidRPr="00C06749" w:rsidRDefault="00214D77" w:rsidP="00214D77">
            <w:pPr>
              <w:spacing w:before="40" w:after="40" w:line="256" w:lineRule="auto"/>
              <w:jc w:val="left"/>
              <w:rPr>
                <w:rFonts w:eastAsia="Calibri" w:cs="Times New Roman"/>
                <w:b/>
                <w:bCs/>
                <w:color w:val="000000"/>
                <w:sz w:val="20"/>
              </w:rPr>
            </w:pPr>
            <w:r w:rsidRPr="00C06749">
              <w:rPr>
                <w:rFonts w:eastAsia="Calibri" w:cs="Times New Roman"/>
                <w:b/>
                <w:bCs/>
                <w:color w:val="000000"/>
                <w:sz w:val="20"/>
              </w:rPr>
              <w:t>Total cost offsets</w:t>
            </w:r>
          </w:p>
        </w:tc>
        <w:tc>
          <w:tcPr>
            <w:tcW w:w="551" w:type="pct"/>
            <w:tcBorders>
              <w:bottom w:val="nil"/>
            </w:tcBorders>
            <w:noWrap/>
          </w:tcPr>
          <w:p w14:paraId="26DFE8F9" w14:textId="586FE7B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bCs/>
                <w:color w:val="000000"/>
                <w:sz w:val="20"/>
              </w:rPr>
            </w:pPr>
            <w:r w:rsidRPr="00C06749">
              <w:rPr>
                <w:rFonts w:eastAsia="Calibri" w:cs="Times New Roman"/>
                <w:b/>
                <w:bCs/>
                <w:color w:val="000000"/>
                <w:sz w:val="20"/>
              </w:rPr>
              <w:t>$Redacted</w:t>
            </w:r>
            <w:r w:rsidR="00A31A44" w:rsidRPr="00C06749">
              <w:rPr>
                <w:rFonts w:eastAsia="Calibri" w:cs="Times New Roman"/>
                <w:b/>
                <w:bCs/>
                <w:color w:val="000000"/>
                <w:sz w:val="20"/>
                <w:vertAlign w:val="superscript"/>
              </w:rPr>
              <w:t>6</w:t>
            </w:r>
          </w:p>
        </w:tc>
        <w:tc>
          <w:tcPr>
            <w:tcW w:w="551" w:type="pct"/>
            <w:tcBorders>
              <w:bottom w:val="nil"/>
            </w:tcBorders>
            <w:noWrap/>
          </w:tcPr>
          <w:p w14:paraId="76F96AA6" w14:textId="7BFE9B6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A31A44" w:rsidRPr="00C06749">
              <w:rPr>
                <w:rFonts w:eastAsia="Calibri" w:cs="Times New Roman"/>
                <w:b/>
                <w:bCs/>
                <w:color w:val="000000"/>
                <w:sz w:val="20"/>
                <w:vertAlign w:val="superscript"/>
              </w:rPr>
              <w:t>6</w:t>
            </w:r>
          </w:p>
        </w:tc>
        <w:tc>
          <w:tcPr>
            <w:tcW w:w="550" w:type="pct"/>
            <w:tcBorders>
              <w:bottom w:val="nil"/>
            </w:tcBorders>
            <w:noWrap/>
          </w:tcPr>
          <w:p w14:paraId="597D6C79" w14:textId="48F310C5"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32" w:type="pct"/>
            <w:tcBorders>
              <w:bottom w:val="nil"/>
            </w:tcBorders>
            <w:noWrap/>
          </w:tcPr>
          <w:p w14:paraId="3BB735B3" w14:textId="6D427A73"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85" w:type="pct"/>
            <w:tcBorders>
              <w:bottom w:val="nil"/>
            </w:tcBorders>
            <w:noWrap/>
          </w:tcPr>
          <w:p w14:paraId="7E93E266" w14:textId="552268B5"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83" w:type="pct"/>
            <w:tcBorders>
              <w:bottom w:val="nil"/>
            </w:tcBorders>
            <w:noWrap/>
          </w:tcPr>
          <w:p w14:paraId="0A61631C" w14:textId="3D59A22D"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r>
      <w:tr w:rsidR="00214D77" w:rsidRPr="00214D77" w14:paraId="5B2447B0"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double" w:sz="4" w:space="0" w:color="auto"/>
            </w:tcBorders>
            <w:noWrap/>
          </w:tcPr>
          <w:p w14:paraId="5E4741C8" w14:textId="77777777" w:rsidR="00214D77" w:rsidRPr="00C06749" w:rsidRDefault="00214D77" w:rsidP="00214D77">
            <w:pPr>
              <w:spacing w:before="40" w:after="40" w:line="256" w:lineRule="auto"/>
              <w:jc w:val="left"/>
              <w:rPr>
                <w:rFonts w:eastAsia="Calibri" w:cs="Times New Roman"/>
                <w:b/>
                <w:bCs/>
                <w:i/>
                <w:color w:val="000000"/>
                <w:sz w:val="20"/>
              </w:rPr>
            </w:pPr>
            <w:r w:rsidRPr="00C06749">
              <w:rPr>
                <w:rFonts w:eastAsia="Calibri" w:cs="Times New Roman"/>
                <w:b/>
                <w:bCs/>
                <w:i/>
                <w:color w:val="000000"/>
                <w:sz w:val="20"/>
              </w:rPr>
              <w:t>Revised</w:t>
            </w:r>
          </w:p>
        </w:tc>
        <w:tc>
          <w:tcPr>
            <w:tcW w:w="551" w:type="pct"/>
            <w:tcBorders>
              <w:top w:val="nil"/>
              <w:bottom w:val="double" w:sz="4" w:space="0" w:color="auto"/>
            </w:tcBorders>
            <w:noWrap/>
          </w:tcPr>
          <w:p w14:paraId="6EB3855F" w14:textId="10D9004F"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51" w:type="pct"/>
            <w:tcBorders>
              <w:top w:val="nil"/>
              <w:bottom w:val="double" w:sz="4" w:space="0" w:color="auto"/>
            </w:tcBorders>
            <w:noWrap/>
          </w:tcPr>
          <w:p w14:paraId="7810870B" w14:textId="08E2FA9D"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50" w:type="pct"/>
            <w:tcBorders>
              <w:top w:val="nil"/>
              <w:bottom w:val="double" w:sz="4" w:space="0" w:color="auto"/>
            </w:tcBorders>
            <w:noWrap/>
          </w:tcPr>
          <w:p w14:paraId="2D19A2D0" w14:textId="6DD2AB0C"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32" w:type="pct"/>
            <w:tcBorders>
              <w:top w:val="nil"/>
              <w:bottom w:val="double" w:sz="4" w:space="0" w:color="auto"/>
            </w:tcBorders>
            <w:noWrap/>
          </w:tcPr>
          <w:p w14:paraId="4B87DC1B" w14:textId="78ED8B01"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85" w:type="pct"/>
            <w:tcBorders>
              <w:top w:val="nil"/>
              <w:bottom w:val="double" w:sz="4" w:space="0" w:color="auto"/>
            </w:tcBorders>
            <w:noWrap/>
          </w:tcPr>
          <w:p w14:paraId="3613C9C8" w14:textId="6A5255F9"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83" w:type="pct"/>
            <w:tcBorders>
              <w:top w:val="nil"/>
              <w:bottom w:val="double" w:sz="4" w:space="0" w:color="auto"/>
            </w:tcBorders>
            <w:noWrap/>
          </w:tcPr>
          <w:p w14:paraId="3030CC8F" w14:textId="21EC9AFE"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r>
      <w:tr w:rsidR="00214D77" w:rsidRPr="00214D77" w14:paraId="6B455846"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double" w:sz="4" w:space="0" w:color="auto"/>
              <w:bottom w:val="nil"/>
            </w:tcBorders>
            <w:noWrap/>
          </w:tcPr>
          <w:p w14:paraId="19DF1E8E" w14:textId="77777777" w:rsidR="00214D77" w:rsidRPr="00C06749" w:rsidRDefault="00214D77" w:rsidP="00214D77">
            <w:pPr>
              <w:spacing w:before="40" w:after="40" w:line="256" w:lineRule="auto"/>
              <w:jc w:val="left"/>
              <w:rPr>
                <w:rFonts w:eastAsia="Calibri" w:cs="Times New Roman"/>
                <w:b/>
                <w:color w:val="000000"/>
                <w:sz w:val="20"/>
              </w:rPr>
            </w:pPr>
            <w:r w:rsidRPr="00C06749">
              <w:rPr>
                <w:rFonts w:eastAsia="Calibri" w:cs="Times New Roman"/>
                <w:b/>
                <w:color w:val="000000"/>
                <w:sz w:val="20"/>
              </w:rPr>
              <w:lastRenderedPageBreak/>
              <w:t>Net cost to the MBS</w:t>
            </w:r>
          </w:p>
        </w:tc>
        <w:tc>
          <w:tcPr>
            <w:tcW w:w="551" w:type="pct"/>
            <w:tcBorders>
              <w:top w:val="double" w:sz="4" w:space="0" w:color="auto"/>
              <w:bottom w:val="nil"/>
            </w:tcBorders>
            <w:noWrap/>
          </w:tcPr>
          <w:p w14:paraId="1FA3EB7B" w14:textId="3E537DC8"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51" w:type="pct"/>
            <w:tcBorders>
              <w:top w:val="double" w:sz="4" w:space="0" w:color="auto"/>
              <w:bottom w:val="nil"/>
            </w:tcBorders>
            <w:noWrap/>
          </w:tcPr>
          <w:p w14:paraId="6E8D8281" w14:textId="29E1521F"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50" w:type="pct"/>
            <w:tcBorders>
              <w:top w:val="double" w:sz="4" w:space="0" w:color="auto"/>
              <w:bottom w:val="nil"/>
            </w:tcBorders>
            <w:noWrap/>
          </w:tcPr>
          <w:p w14:paraId="45D4913D" w14:textId="71210E7B"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32" w:type="pct"/>
            <w:tcBorders>
              <w:top w:val="double" w:sz="4" w:space="0" w:color="auto"/>
              <w:bottom w:val="nil"/>
            </w:tcBorders>
            <w:noWrap/>
          </w:tcPr>
          <w:p w14:paraId="06D4AD1A" w14:textId="47DC7C64"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85" w:type="pct"/>
            <w:tcBorders>
              <w:top w:val="double" w:sz="4" w:space="0" w:color="auto"/>
              <w:bottom w:val="nil"/>
            </w:tcBorders>
            <w:noWrap/>
          </w:tcPr>
          <w:p w14:paraId="28016D0D" w14:textId="4CC00740"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83" w:type="pct"/>
            <w:tcBorders>
              <w:top w:val="double" w:sz="4" w:space="0" w:color="auto"/>
              <w:bottom w:val="nil"/>
            </w:tcBorders>
            <w:noWrap/>
          </w:tcPr>
          <w:p w14:paraId="59C164D0" w14:textId="096EFEB4"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r>
      <w:tr w:rsidR="00214D77" w:rsidRPr="00214D77" w14:paraId="780D5DA3"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bottom w:val="single" w:sz="4" w:space="0" w:color="auto"/>
            </w:tcBorders>
            <w:noWrap/>
          </w:tcPr>
          <w:p w14:paraId="5E587807" w14:textId="77777777" w:rsidR="00214D77" w:rsidRPr="00C06749" w:rsidRDefault="00214D77" w:rsidP="00214D77">
            <w:pPr>
              <w:spacing w:before="40" w:after="40" w:line="256" w:lineRule="auto"/>
              <w:jc w:val="left"/>
              <w:rPr>
                <w:rFonts w:eastAsia="Calibri" w:cs="Times New Roman"/>
                <w:b/>
                <w:i/>
                <w:color w:val="000000"/>
                <w:sz w:val="20"/>
              </w:rPr>
            </w:pPr>
            <w:r w:rsidRPr="00C06749">
              <w:rPr>
                <w:rFonts w:eastAsia="Calibri" w:cs="Times New Roman"/>
                <w:b/>
                <w:i/>
                <w:color w:val="000000"/>
                <w:sz w:val="20"/>
              </w:rPr>
              <w:t>Revised</w:t>
            </w:r>
          </w:p>
        </w:tc>
        <w:tc>
          <w:tcPr>
            <w:tcW w:w="551" w:type="pct"/>
            <w:tcBorders>
              <w:top w:val="nil"/>
              <w:bottom w:val="single" w:sz="4" w:space="0" w:color="auto"/>
            </w:tcBorders>
            <w:noWrap/>
          </w:tcPr>
          <w:p w14:paraId="03019577" w14:textId="35751B39" w:rsidR="00214D77" w:rsidRPr="00C06749" w:rsidRDefault="00214D77"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00162769"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51" w:type="pct"/>
            <w:tcBorders>
              <w:top w:val="nil"/>
              <w:bottom w:val="single" w:sz="4" w:space="0" w:color="auto"/>
            </w:tcBorders>
            <w:noWrap/>
          </w:tcPr>
          <w:p w14:paraId="6ECF9F70" w14:textId="2DC956C4" w:rsidR="00214D77" w:rsidRPr="00C06749" w:rsidRDefault="00214D77"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00162769"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50" w:type="pct"/>
            <w:tcBorders>
              <w:top w:val="nil"/>
              <w:bottom w:val="single" w:sz="4" w:space="0" w:color="auto"/>
            </w:tcBorders>
            <w:noWrap/>
          </w:tcPr>
          <w:p w14:paraId="2E248826" w14:textId="7C7F746B"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32" w:type="pct"/>
            <w:tcBorders>
              <w:top w:val="nil"/>
              <w:bottom w:val="single" w:sz="4" w:space="0" w:color="auto"/>
            </w:tcBorders>
            <w:noWrap/>
          </w:tcPr>
          <w:p w14:paraId="4A87D8F8" w14:textId="28CD61E5"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85" w:type="pct"/>
            <w:tcBorders>
              <w:top w:val="nil"/>
              <w:bottom w:val="single" w:sz="4" w:space="0" w:color="auto"/>
            </w:tcBorders>
            <w:noWrap/>
          </w:tcPr>
          <w:p w14:paraId="589B80A7" w14:textId="0218079C"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83" w:type="pct"/>
            <w:tcBorders>
              <w:top w:val="nil"/>
              <w:bottom w:val="single" w:sz="4" w:space="0" w:color="auto"/>
            </w:tcBorders>
            <w:noWrap/>
          </w:tcPr>
          <w:p w14:paraId="60A36959" w14:textId="6FB50961" w:rsidR="00214D77" w:rsidRPr="00C06749" w:rsidRDefault="00162769"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r>
      <w:tr w:rsidR="00214D77" w:rsidRPr="00214D77" w14:paraId="5AACA467"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single" w:sz="4" w:space="0" w:color="auto"/>
              <w:bottom w:val="nil"/>
            </w:tcBorders>
            <w:shd w:val="clear" w:color="auto" w:fill="D9D9D9"/>
            <w:noWrap/>
          </w:tcPr>
          <w:p w14:paraId="33CE1C0B" w14:textId="77777777" w:rsidR="00214D77" w:rsidRPr="00C06749" w:rsidRDefault="00214D77" w:rsidP="00214D77">
            <w:pPr>
              <w:spacing w:before="40" w:after="40" w:line="256" w:lineRule="auto"/>
              <w:jc w:val="left"/>
              <w:rPr>
                <w:rFonts w:eastAsia="Calibri" w:cs="Times New Roman"/>
                <w:b/>
                <w:i/>
                <w:color w:val="000000"/>
                <w:sz w:val="20"/>
              </w:rPr>
            </w:pPr>
            <w:r w:rsidRPr="00C06749">
              <w:rPr>
                <w:rFonts w:eastAsia="Calibri" w:cs="Times New Roman"/>
                <w:b/>
                <w:color w:val="000000"/>
                <w:sz w:val="20"/>
              </w:rPr>
              <w:t xml:space="preserve">Net cost to the MBS </w:t>
            </w:r>
            <w:r w:rsidRPr="00C06749">
              <w:rPr>
                <w:rFonts w:eastAsia="Calibri" w:cs="Times New Roman"/>
                <w:b/>
                <w:color w:val="000000"/>
                <w:sz w:val="20"/>
              </w:rPr>
              <w:br/>
              <w:t>(November 2020 submission)</w:t>
            </w:r>
          </w:p>
        </w:tc>
        <w:tc>
          <w:tcPr>
            <w:tcW w:w="551" w:type="pct"/>
            <w:tcBorders>
              <w:top w:val="single" w:sz="4" w:space="0" w:color="auto"/>
              <w:bottom w:val="nil"/>
            </w:tcBorders>
            <w:shd w:val="clear" w:color="auto" w:fill="D9D9D9"/>
            <w:noWrap/>
          </w:tcPr>
          <w:p w14:paraId="0516A625" w14:textId="1AE4FD57"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51" w:type="pct"/>
            <w:tcBorders>
              <w:top w:val="single" w:sz="4" w:space="0" w:color="auto"/>
              <w:bottom w:val="nil"/>
            </w:tcBorders>
            <w:shd w:val="clear" w:color="auto" w:fill="D9D9D9"/>
            <w:noWrap/>
          </w:tcPr>
          <w:p w14:paraId="50F08C3E" w14:textId="36169946"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50" w:type="pct"/>
            <w:tcBorders>
              <w:top w:val="single" w:sz="4" w:space="0" w:color="auto"/>
              <w:bottom w:val="nil"/>
            </w:tcBorders>
            <w:shd w:val="clear" w:color="auto" w:fill="D9D9D9"/>
            <w:noWrap/>
          </w:tcPr>
          <w:p w14:paraId="37410635" w14:textId="372C04DE"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32" w:type="pct"/>
            <w:tcBorders>
              <w:top w:val="single" w:sz="4" w:space="0" w:color="auto"/>
              <w:bottom w:val="nil"/>
            </w:tcBorders>
            <w:shd w:val="clear" w:color="auto" w:fill="D9D9D9"/>
            <w:noWrap/>
          </w:tcPr>
          <w:p w14:paraId="5497F75E" w14:textId="206470BF"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85" w:type="pct"/>
            <w:tcBorders>
              <w:top w:val="single" w:sz="4" w:space="0" w:color="auto"/>
              <w:bottom w:val="nil"/>
            </w:tcBorders>
            <w:shd w:val="clear" w:color="auto" w:fill="D9D9D9"/>
            <w:noWrap/>
          </w:tcPr>
          <w:p w14:paraId="64F9C25D" w14:textId="451319FA"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c>
          <w:tcPr>
            <w:tcW w:w="583" w:type="pct"/>
            <w:tcBorders>
              <w:top w:val="single" w:sz="4" w:space="0" w:color="auto"/>
              <w:bottom w:val="nil"/>
            </w:tcBorders>
            <w:shd w:val="clear" w:color="auto" w:fill="D9D9D9"/>
            <w:noWrap/>
          </w:tcPr>
          <w:p w14:paraId="5CA2553B" w14:textId="71872D24"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bCs/>
                <w:color w:val="000000"/>
                <w:sz w:val="20"/>
              </w:rPr>
              <w:t>$Redacted</w:t>
            </w:r>
            <w:r w:rsidR="00833E16" w:rsidRPr="00C06749">
              <w:rPr>
                <w:rFonts w:eastAsia="Calibri" w:cs="Times New Roman"/>
                <w:b/>
                <w:bCs/>
                <w:color w:val="000000"/>
                <w:sz w:val="20"/>
                <w:vertAlign w:val="superscript"/>
              </w:rPr>
              <w:t>6</w:t>
            </w:r>
          </w:p>
        </w:tc>
      </w:tr>
      <w:tr w:rsidR="00214D77" w:rsidRPr="00214D77" w14:paraId="6C250D85" w14:textId="77777777" w:rsidTr="00C06749">
        <w:trPr>
          <w:trHeight w:val="255"/>
        </w:trPr>
        <w:tc>
          <w:tcPr>
            <w:cnfStyle w:val="001000000000" w:firstRow="0" w:lastRow="0" w:firstColumn="1" w:lastColumn="0" w:oddVBand="0" w:evenVBand="0" w:oddHBand="0" w:evenHBand="0" w:firstRowFirstColumn="0" w:firstRowLastColumn="0" w:lastRowFirstColumn="0" w:lastRowLastColumn="0"/>
            <w:tcW w:w="1648" w:type="pct"/>
            <w:tcBorders>
              <w:top w:val="nil"/>
            </w:tcBorders>
            <w:shd w:val="clear" w:color="auto" w:fill="D9D9D9"/>
            <w:noWrap/>
          </w:tcPr>
          <w:p w14:paraId="2C2BF9CE" w14:textId="77777777" w:rsidR="00214D77" w:rsidRPr="00C06749" w:rsidRDefault="00214D77" w:rsidP="00214D77">
            <w:pPr>
              <w:spacing w:before="40" w:after="40" w:line="256" w:lineRule="auto"/>
              <w:jc w:val="left"/>
              <w:rPr>
                <w:rFonts w:eastAsia="Calibri" w:cs="Times New Roman"/>
                <w:b/>
                <w:i/>
                <w:color w:val="000000"/>
                <w:sz w:val="20"/>
              </w:rPr>
            </w:pPr>
            <w:r w:rsidRPr="00C06749">
              <w:rPr>
                <w:rFonts w:eastAsia="Calibri" w:cs="Times New Roman"/>
                <w:b/>
                <w:i/>
                <w:color w:val="000000"/>
                <w:sz w:val="20"/>
              </w:rPr>
              <w:t>Revised</w:t>
            </w:r>
          </w:p>
        </w:tc>
        <w:tc>
          <w:tcPr>
            <w:tcW w:w="551" w:type="pct"/>
            <w:tcBorders>
              <w:top w:val="nil"/>
            </w:tcBorders>
            <w:shd w:val="clear" w:color="auto" w:fill="D9D9D9"/>
            <w:noWrap/>
            <w:vAlign w:val="top"/>
          </w:tcPr>
          <w:p w14:paraId="2E1B2D60" w14:textId="2BAFDE0B"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51" w:type="pct"/>
            <w:tcBorders>
              <w:top w:val="nil"/>
            </w:tcBorders>
            <w:shd w:val="clear" w:color="auto" w:fill="D9D9D9"/>
            <w:noWrap/>
            <w:vAlign w:val="top"/>
          </w:tcPr>
          <w:p w14:paraId="63A89809" w14:textId="5A550AC9"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50" w:type="pct"/>
            <w:tcBorders>
              <w:top w:val="nil"/>
            </w:tcBorders>
            <w:shd w:val="clear" w:color="auto" w:fill="D9D9D9"/>
            <w:noWrap/>
            <w:vAlign w:val="top"/>
          </w:tcPr>
          <w:p w14:paraId="55DD7B24" w14:textId="090AF5B4"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32" w:type="pct"/>
            <w:tcBorders>
              <w:top w:val="nil"/>
            </w:tcBorders>
            <w:shd w:val="clear" w:color="auto" w:fill="D9D9D9"/>
            <w:noWrap/>
            <w:vAlign w:val="top"/>
          </w:tcPr>
          <w:p w14:paraId="2CCA072B" w14:textId="5A8EED4E"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85" w:type="pct"/>
            <w:tcBorders>
              <w:top w:val="nil"/>
            </w:tcBorders>
            <w:shd w:val="clear" w:color="auto" w:fill="D9D9D9"/>
            <w:noWrap/>
            <w:vAlign w:val="top"/>
          </w:tcPr>
          <w:p w14:paraId="5D81D675" w14:textId="0DE67644"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c>
          <w:tcPr>
            <w:tcW w:w="583" w:type="pct"/>
            <w:tcBorders>
              <w:top w:val="nil"/>
            </w:tcBorders>
            <w:shd w:val="clear" w:color="auto" w:fill="D9D9D9"/>
            <w:noWrap/>
            <w:vAlign w:val="top"/>
          </w:tcPr>
          <w:p w14:paraId="590D3E8A" w14:textId="741EAFEB" w:rsidR="00214D77" w:rsidRPr="00C06749" w:rsidRDefault="00940D65" w:rsidP="00214D77">
            <w:pPr>
              <w:spacing w:before="40" w:after="40" w:line="256" w:lineRule="auto"/>
              <w:jc w:val="right"/>
              <w:cnfStyle w:val="000000000000" w:firstRow="0" w:lastRow="0" w:firstColumn="0" w:lastColumn="0" w:oddVBand="0" w:evenVBand="0" w:oddHBand="0" w:evenHBand="0" w:firstRowFirstColumn="0" w:firstRowLastColumn="0" w:lastRowFirstColumn="0" w:lastRowLastColumn="0"/>
              <w:rPr>
                <w:rFonts w:eastAsia="Calibri" w:cs="Times New Roman"/>
                <w:b/>
                <w:i/>
                <w:color w:val="000000"/>
                <w:sz w:val="20"/>
              </w:rPr>
            </w:pPr>
            <w:r w:rsidRPr="00C06749">
              <w:rPr>
                <w:rFonts w:eastAsia="Calibri" w:cs="Times New Roman"/>
                <w:b/>
                <w:i/>
                <w:color w:val="000000"/>
                <w:sz w:val="20"/>
              </w:rPr>
              <w:t>$</w:t>
            </w:r>
            <w:r w:rsidRPr="00C06749">
              <w:rPr>
                <w:rFonts w:eastAsia="Calibri" w:cs="Times New Roman"/>
                <w:b/>
                <w:bCs/>
                <w:i/>
                <w:color w:val="000000"/>
                <w:sz w:val="20"/>
              </w:rPr>
              <w:t>Redacted</w:t>
            </w:r>
            <w:r w:rsidR="00833E16" w:rsidRPr="00C06749">
              <w:rPr>
                <w:rFonts w:eastAsia="Calibri" w:cs="Times New Roman"/>
                <w:b/>
                <w:bCs/>
                <w:i/>
                <w:color w:val="000000"/>
                <w:sz w:val="20"/>
                <w:vertAlign w:val="superscript"/>
              </w:rPr>
              <w:t>6</w:t>
            </w:r>
          </w:p>
        </w:tc>
      </w:tr>
    </w:tbl>
    <w:p w14:paraId="64849BE7"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Source: Constructed during the evaluation from Table 4.24, Table 4.25 and Table 4.26, pp474−475 and the ‘A4.2_larotrectinib_PBACMSAC_Section4_June21_3June21’ workbook included in the resubmission.</w:t>
      </w:r>
    </w:p>
    <w:p w14:paraId="4E5DDF09"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 xml:space="preserve">IHC = immunohistochemistry; NGS/FISH = next generation sequencing or fluorescence </w:t>
      </w:r>
      <w:r w:rsidRPr="00214D77">
        <w:rPr>
          <w:rFonts w:ascii="Arial Narrow" w:eastAsia="Times New Roman" w:hAnsi="Arial Narrow" w:cs="Arial"/>
          <w:i/>
          <w:snapToGrid w:val="0"/>
          <w:sz w:val="18"/>
          <w:szCs w:val="20"/>
        </w:rPr>
        <w:t>in situ</w:t>
      </w:r>
      <w:r w:rsidRPr="00214D77">
        <w:rPr>
          <w:rFonts w:ascii="Arial Narrow" w:eastAsia="Times New Roman" w:hAnsi="Arial Narrow" w:cs="Arial"/>
          <w:snapToGrid w:val="0"/>
          <w:sz w:val="18"/>
          <w:szCs w:val="20"/>
        </w:rPr>
        <w:t xml:space="preserve"> hybridisation; </w:t>
      </w:r>
      <w:r w:rsidRPr="00214D77">
        <w:rPr>
          <w:rFonts w:ascii="Arial Narrow" w:eastAsia="Times New Roman" w:hAnsi="Arial Narrow" w:cs="Arial"/>
          <w:i/>
          <w:snapToGrid w:val="0"/>
          <w:sz w:val="18"/>
          <w:szCs w:val="20"/>
        </w:rPr>
        <w:t>NTRK</w:t>
      </w:r>
      <w:r w:rsidRPr="00214D77">
        <w:rPr>
          <w:rFonts w:ascii="Arial Narrow" w:eastAsia="Times New Roman" w:hAnsi="Arial Narrow" w:cs="Arial"/>
          <w:snapToGrid w:val="0"/>
          <w:sz w:val="18"/>
          <w:szCs w:val="20"/>
        </w:rPr>
        <w:t xml:space="preserve"> = neurotrophic tropomyosin receptor kinase.</w:t>
      </w:r>
    </w:p>
    <w:p w14:paraId="02422840" w14:textId="6C081B1B" w:rsidR="00214D77" w:rsidRPr="00416CC0"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vertAlign w:val="superscript"/>
        </w:rPr>
        <w:t>a</w:t>
      </w:r>
      <w:r w:rsidRPr="00214D77">
        <w:rPr>
          <w:rFonts w:ascii="Arial Narrow" w:eastAsia="Times New Roman" w:hAnsi="Arial Narrow" w:cs="Arial"/>
          <w:snapToGrid w:val="0"/>
          <w:sz w:val="18"/>
          <w:szCs w:val="20"/>
        </w:rPr>
        <w:t xml:space="preserve"> 1 / (weighted </w:t>
      </w:r>
      <w:r w:rsidRPr="00416CC0">
        <w:rPr>
          <w:rFonts w:ascii="Arial Narrow" w:eastAsia="Times New Roman" w:hAnsi="Arial Narrow" w:cs="Arial"/>
          <w:snapToGrid w:val="0"/>
          <w:sz w:val="18"/>
          <w:szCs w:val="20"/>
        </w:rPr>
        <w:t xml:space="preserve">prevalence × weighted IHC sensitivity), where weighted prevalence was derived by dividing </w:t>
      </w:r>
      <w:r w:rsidR="00940D65" w:rsidRPr="00416CC0">
        <w:rPr>
          <w:rFonts w:ascii="Arial Narrow" w:eastAsia="Times New Roman" w:hAnsi="Arial Narrow" w:cs="Arial"/>
          <w:snapToGrid w:val="0"/>
          <w:sz w:val="18"/>
          <w:szCs w:val="20"/>
        </w:rPr>
        <w:t>Redacted</w:t>
      </w:r>
      <w:r w:rsidR="00940D65" w:rsidRPr="00416CC0">
        <w:rPr>
          <w:rFonts w:ascii="Arial Narrow" w:eastAsia="Times New Roman" w:hAnsi="Arial Narrow" w:cs="Arial"/>
          <w:snapToGrid w:val="0"/>
          <w:sz w:val="18"/>
          <w:szCs w:val="20"/>
          <w:vertAlign w:val="superscript"/>
        </w:rPr>
        <w:t xml:space="preserve">1 </w:t>
      </w:r>
      <w:r w:rsidRPr="00416CC0">
        <w:rPr>
          <w:rFonts w:ascii="Arial Narrow" w:eastAsia="Times New Roman" w:hAnsi="Arial Narrow" w:cs="Arial"/>
          <w:snapToGrid w:val="0"/>
          <w:sz w:val="18"/>
          <w:szCs w:val="20"/>
        </w:rPr>
        <w:t xml:space="preserve">patients estimated with NTRK fusions by the </w:t>
      </w:r>
      <w:r w:rsidR="00940D65" w:rsidRPr="00416CC0">
        <w:rPr>
          <w:rFonts w:ascii="Arial Narrow" w:eastAsia="Times New Roman" w:hAnsi="Arial Narrow" w:cs="Arial"/>
          <w:snapToGrid w:val="0"/>
          <w:sz w:val="18"/>
          <w:szCs w:val="20"/>
        </w:rPr>
        <w:t>Redacted</w:t>
      </w:r>
      <w:r w:rsidR="00940D65" w:rsidRPr="00416CC0">
        <w:rPr>
          <w:rFonts w:ascii="Arial Narrow" w:eastAsia="Times New Roman" w:hAnsi="Arial Narrow" w:cs="Arial"/>
          <w:snapToGrid w:val="0"/>
          <w:sz w:val="18"/>
          <w:szCs w:val="20"/>
          <w:vertAlign w:val="superscript"/>
        </w:rPr>
        <w:t>4</w:t>
      </w:r>
      <w:r w:rsidRPr="00416CC0">
        <w:rPr>
          <w:rFonts w:ascii="Arial Narrow" w:eastAsia="Times New Roman" w:hAnsi="Arial Narrow" w:cs="Arial"/>
          <w:snapToGrid w:val="0"/>
          <w:sz w:val="18"/>
          <w:szCs w:val="20"/>
        </w:rPr>
        <w:t xml:space="preserve"> patients eligible for later-line treatment, and weighted sensitivity was 84.6%.</w:t>
      </w:r>
    </w:p>
    <w:p w14:paraId="3F0ED9C5" w14:textId="77777777" w:rsidR="00214D77" w:rsidRPr="00416CC0" w:rsidRDefault="00214D77" w:rsidP="00BF2574">
      <w:pPr>
        <w:widowControl w:val="0"/>
        <w:spacing w:before="0" w:after="240"/>
        <w:contextualSpacing/>
        <w:jc w:val="left"/>
        <w:rPr>
          <w:rFonts w:ascii="Arial Narrow" w:eastAsia="Times New Roman" w:hAnsi="Arial Narrow" w:cs="Arial"/>
          <w:snapToGrid w:val="0"/>
          <w:sz w:val="18"/>
          <w:szCs w:val="20"/>
        </w:rPr>
      </w:pPr>
      <w:r w:rsidRPr="00416CC0">
        <w:rPr>
          <w:rFonts w:ascii="Arial Narrow" w:eastAsia="Times New Roman" w:hAnsi="Arial Narrow" w:cs="Arial"/>
          <w:snapToGrid w:val="0"/>
          <w:sz w:val="18"/>
          <w:szCs w:val="20"/>
          <w:vertAlign w:val="superscript"/>
        </w:rPr>
        <w:t>b</w:t>
      </w:r>
      <w:r w:rsidRPr="00416CC0">
        <w:rPr>
          <w:rFonts w:ascii="Arial Narrow" w:eastAsia="Times New Roman" w:hAnsi="Arial Narrow" w:cs="Arial"/>
          <w:snapToGrid w:val="0"/>
          <w:sz w:val="18"/>
          <w:szCs w:val="20"/>
        </w:rPr>
        <w:t xml:space="preserve"> Assuming 50% undertake FISH testing, with the 80% benefit ($426.40) and 50% undertake NGS testing with the 80% benefit ($960)</w:t>
      </w:r>
    </w:p>
    <w:p w14:paraId="37C52F17"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416CC0">
        <w:rPr>
          <w:rFonts w:ascii="Arial Narrow" w:eastAsia="Times New Roman" w:hAnsi="Arial Narrow" w:cs="Arial"/>
          <w:snapToGrid w:val="0"/>
          <w:sz w:val="18"/>
          <w:szCs w:val="20"/>
          <w:vertAlign w:val="superscript"/>
        </w:rPr>
        <w:t>c</w:t>
      </w:r>
      <w:r w:rsidRPr="00416CC0">
        <w:rPr>
          <w:rFonts w:ascii="Arial Narrow" w:eastAsia="Times New Roman" w:hAnsi="Arial Narrow" w:cs="Arial"/>
          <w:snapToGrid w:val="0"/>
          <w:sz w:val="18"/>
          <w:szCs w:val="20"/>
        </w:rPr>
        <w:t xml:space="preserve"> Assuming 50% undertake FISH testing, with the 80% benefit ($426.40), and 25% undertake NGS, at the 75</w:t>
      </w:r>
      <w:r w:rsidRPr="00214D77">
        <w:rPr>
          <w:rFonts w:ascii="Arial Narrow" w:eastAsia="Times New Roman" w:hAnsi="Arial Narrow" w:cs="Arial"/>
          <w:snapToGrid w:val="0"/>
          <w:sz w:val="18"/>
          <w:szCs w:val="20"/>
        </w:rPr>
        <w:t>% benefit ($900) and 25% undertake NGS at the 85% benefit, which increases above 85% due to the Greatest Permissible Gap ($1,115.30)</w:t>
      </w:r>
    </w:p>
    <w:p w14:paraId="22AC4BA4" w14:textId="77777777" w:rsidR="00214D77" w:rsidRP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vertAlign w:val="superscript"/>
        </w:rPr>
        <w:t>d</w:t>
      </w:r>
      <w:r w:rsidRPr="00214D77">
        <w:rPr>
          <w:rFonts w:ascii="Arial Narrow" w:eastAsia="Times New Roman" w:hAnsi="Arial Narrow" w:cs="Arial"/>
          <w:snapToGrid w:val="0"/>
          <w:sz w:val="18"/>
          <w:szCs w:val="20"/>
        </w:rPr>
        <w:t xml:space="preserve"> The resubmission assumed that a reduction in the use of MBS item 13950 was twice the number of chemotherapy agents administered. Further, the resubmission did not consider that item 13950 can only be claimed once each time a patient presents for treatment (so irrespective of the number of agents administered or the time taken).</w:t>
      </w:r>
    </w:p>
    <w:p w14:paraId="46DE9497" w14:textId="0E04C583" w:rsidR="00214D77" w:rsidRDefault="00214D77" w:rsidP="00C06749">
      <w:pPr>
        <w:widowControl w:val="0"/>
        <w:spacing w:before="0" w:after="0"/>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vertAlign w:val="superscript"/>
        </w:rPr>
        <w:t>e</w:t>
      </w:r>
      <w:r w:rsidRPr="00214D77">
        <w:rPr>
          <w:rFonts w:ascii="Arial Narrow" w:eastAsia="Times New Roman" w:hAnsi="Arial Narrow" w:cs="Arial"/>
          <w:snapToGrid w:val="0"/>
          <w:sz w:val="18"/>
          <w:szCs w:val="20"/>
        </w:rPr>
        <w:t xml:space="preserve"> The resubmission multiplied the number of services offset by two without any justification</w:t>
      </w:r>
    </w:p>
    <w:p w14:paraId="7B7587D9" w14:textId="77777777" w:rsidR="00D9500D" w:rsidRPr="00316ACA" w:rsidRDefault="00D9500D" w:rsidP="00D9500D">
      <w:pPr>
        <w:pStyle w:val="TableFigureFooter"/>
        <w:keepNext/>
        <w:spacing w:after="0"/>
        <w:rPr>
          <w:i/>
        </w:rPr>
      </w:pPr>
      <w:r w:rsidRPr="00316ACA">
        <w:rPr>
          <w:i/>
        </w:rPr>
        <w:t>The redacted values correspond to the following ranges:</w:t>
      </w:r>
    </w:p>
    <w:p w14:paraId="445A2DF8" w14:textId="3D77B8BE" w:rsidR="00D9500D" w:rsidRPr="00C06749" w:rsidRDefault="00D9500D" w:rsidP="00D9500D">
      <w:pPr>
        <w:pStyle w:val="TableFigureFooter"/>
        <w:keepNext/>
        <w:spacing w:after="0"/>
        <w:rPr>
          <w:i/>
          <w:szCs w:val="18"/>
        </w:rPr>
      </w:pPr>
      <w:r>
        <w:rPr>
          <w:i/>
          <w:szCs w:val="18"/>
          <w:vertAlign w:val="superscript"/>
        </w:rPr>
        <w:t>1</w:t>
      </w:r>
      <w:r>
        <w:rPr>
          <w:i/>
          <w:szCs w:val="18"/>
        </w:rPr>
        <w:t xml:space="preserve"> &lt; 500</w:t>
      </w:r>
    </w:p>
    <w:p w14:paraId="2F0A511C" w14:textId="5B6498F1" w:rsidR="00D92A3D" w:rsidRDefault="0085455A" w:rsidP="00D9500D">
      <w:pPr>
        <w:pStyle w:val="TableFigureFooter"/>
        <w:keepNext/>
        <w:spacing w:after="0"/>
        <w:rPr>
          <w:i/>
          <w:szCs w:val="18"/>
        </w:rPr>
      </w:pPr>
      <w:r>
        <w:rPr>
          <w:i/>
          <w:szCs w:val="18"/>
          <w:vertAlign w:val="superscript"/>
        </w:rPr>
        <w:t>2</w:t>
      </w:r>
      <w:r w:rsidR="00D92A3D">
        <w:rPr>
          <w:i/>
          <w:szCs w:val="18"/>
          <w:vertAlign w:val="superscript"/>
        </w:rPr>
        <w:t xml:space="preserve"> </w:t>
      </w:r>
      <w:r w:rsidR="00D92A3D">
        <w:rPr>
          <w:i/>
          <w:szCs w:val="18"/>
        </w:rPr>
        <w:t>5,000 to &lt;</w:t>
      </w:r>
      <w:r w:rsidR="009B3C9D">
        <w:rPr>
          <w:i/>
          <w:szCs w:val="18"/>
        </w:rPr>
        <w:t xml:space="preserve"> </w:t>
      </w:r>
      <w:r w:rsidR="00D92A3D">
        <w:rPr>
          <w:i/>
          <w:szCs w:val="18"/>
        </w:rPr>
        <w:t>10,000</w:t>
      </w:r>
    </w:p>
    <w:p w14:paraId="7C3334CC" w14:textId="3D4C4D36" w:rsidR="0085455A" w:rsidRDefault="0085455A" w:rsidP="0085455A">
      <w:pPr>
        <w:pStyle w:val="TableFigureFooter"/>
        <w:keepNext/>
        <w:spacing w:after="0"/>
        <w:rPr>
          <w:i/>
          <w:szCs w:val="18"/>
        </w:rPr>
      </w:pPr>
      <w:r>
        <w:rPr>
          <w:i/>
          <w:szCs w:val="18"/>
          <w:vertAlign w:val="superscript"/>
        </w:rPr>
        <w:t>3</w:t>
      </w:r>
      <w:r w:rsidRPr="00316ACA">
        <w:rPr>
          <w:i/>
          <w:szCs w:val="18"/>
        </w:rPr>
        <w:t xml:space="preserve"> 500</w:t>
      </w:r>
      <w:r w:rsidR="009B3C9D">
        <w:rPr>
          <w:i/>
          <w:szCs w:val="18"/>
        </w:rPr>
        <w:t xml:space="preserve"> to</w:t>
      </w:r>
      <w:r w:rsidRPr="00316ACA">
        <w:rPr>
          <w:i/>
          <w:szCs w:val="18"/>
        </w:rPr>
        <w:t xml:space="preserve"> &lt;</w:t>
      </w:r>
      <w:r w:rsidR="009B3C9D">
        <w:rPr>
          <w:i/>
          <w:szCs w:val="18"/>
        </w:rPr>
        <w:t xml:space="preserve"> </w:t>
      </w:r>
      <w:r w:rsidRPr="00316ACA">
        <w:rPr>
          <w:i/>
          <w:szCs w:val="18"/>
        </w:rPr>
        <w:t>5,000</w:t>
      </w:r>
    </w:p>
    <w:p w14:paraId="17085A71" w14:textId="333AED88" w:rsidR="00DB1385" w:rsidRDefault="00DB1385" w:rsidP="0085455A">
      <w:pPr>
        <w:pStyle w:val="TableFigureFooter"/>
        <w:keepNext/>
        <w:spacing w:after="0"/>
        <w:rPr>
          <w:i/>
          <w:szCs w:val="18"/>
        </w:rPr>
      </w:pPr>
      <w:r>
        <w:rPr>
          <w:i/>
          <w:szCs w:val="18"/>
          <w:vertAlign w:val="superscript"/>
        </w:rPr>
        <w:t xml:space="preserve">4 </w:t>
      </w:r>
      <w:r>
        <w:rPr>
          <w:i/>
          <w:szCs w:val="18"/>
        </w:rPr>
        <w:t xml:space="preserve">10,000 to </w:t>
      </w:r>
      <w:r w:rsidR="009B3C9D">
        <w:rPr>
          <w:i/>
          <w:szCs w:val="18"/>
        </w:rPr>
        <w:t>&lt; 2</w:t>
      </w:r>
      <w:r>
        <w:rPr>
          <w:i/>
          <w:szCs w:val="18"/>
        </w:rPr>
        <w:t>0,000</w:t>
      </w:r>
    </w:p>
    <w:p w14:paraId="07FF56EB" w14:textId="3DE2446F" w:rsidR="009B3C9D" w:rsidRPr="009B3C9D" w:rsidRDefault="009B3C9D" w:rsidP="0085455A">
      <w:pPr>
        <w:pStyle w:val="TableFigureFooter"/>
        <w:keepNext/>
        <w:spacing w:after="0"/>
        <w:rPr>
          <w:i/>
          <w:szCs w:val="18"/>
        </w:rPr>
      </w:pPr>
      <w:r>
        <w:rPr>
          <w:i/>
          <w:szCs w:val="18"/>
          <w:vertAlign w:val="superscript"/>
        </w:rPr>
        <w:t xml:space="preserve">5 </w:t>
      </w:r>
      <w:r>
        <w:rPr>
          <w:i/>
          <w:szCs w:val="18"/>
        </w:rPr>
        <w:t>20,000 to &lt; 30,000</w:t>
      </w:r>
    </w:p>
    <w:p w14:paraId="25EC7AE4" w14:textId="5EB73DCF" w:rsidR="0085455A" w:rsidRPr="00940D65" w:rsidRDefault="009B3C9D" w:rsidP="00D9500D">
      <w:pPr>
        <w:pStyle w:val="TableFigureFooter"/>
        <w:keepNext/>
        <w:spacing w:after="0"/>
        <w:rPr>
          <w:i/>
          <w:szCs w:val="18"/>
        </w:rPr>
      </w:pPr>
      <w:r>
        <w:rPr>
          <w:i/>
          <w:szCs w:val="18"/>
          <w:vertAlign w:val="superscript"/>
        </w:rPr>
        <w:t>6</w:t>
      </w:r>
      <w:r w:rsidR="00162769">
        <w:rPr>
          <w:i/>
          <w:szCs w:val="18"/>
          <w:vertAlign w:val="superscript"/>
        </w:rPr>
        <w:t xml:space="preserve"> </w:t>
      </w:r>
      <w:r w:rsidR="00162769">
        <w:rPr>
          <w:i/>
          <w:szCs w:val="18"/>
        </w:rPr>
        <w:t>0 to &lt; $10 million</w:t>
      </w:r>
    </w:p>
    <w:p w14:paraId="429CABB5" w14:textId="77777777" w:rsidR="00D9500D" w:rsidRDefault="00D9500D" w:rsidP="0028467B">
      <w:pPr>
        <w:widowControl w:val="0"/>
        <w:spacing w:before="0" w:after="240"/>
        <w:jc w:val="left"/>
        <w:rPr>
          <w:rFonts w:ascii="Arial Narrow" w:eastAsia="Times New Roman" w:hAnsi="Arial Narrow" w:cs="Arial"/>
          <w:snapToGrid w:val="0"/>
          <w:sz w:val="18"/>
          <w:szCs w:val="20"/>
        </w:rPr>
      </w:pPr>
    </w:p>
    <w:p w14:paraId="63F73FAB" w14:textId="3485FF02" w:rsidR="00214D77" w:rsidRPr="00214D77" w:rsidRDefault="00214D77" w:rsidP="00BF2574">
      <w:pPr>
        <w:spacing w:before="0" w:after="240"/>
        <w:jc w:val="left"/>
        <w:rPr>
          <w:rFonts w:ascii="Times New Roman" w:eastAsia="Calibri" w:hAnsi="Times New Roman" w:cs="Times New Roman"/>
          <w:iCs/>
        </w:rPr>
      </w:pPr>
      <w:r w:rsidRPr="00214D77">
        <w:rPr>
          <w:rFonts w:ascii="Times New Roman" w:eastAsia="Calibri" w:hAnsi="Times New Roman" w:cs="Times New Roman"/>
          <w:iCs/>
        </w:rPr>
        <w:t xml:space="preserve">The net costs to the MBS were most sensitive to the incidence estimates applied, the tumour types included, the timing of </w:t>
      </w:r>
      <w:r w:rsidRPr="00214D77">
        <w:rPr>
          <w:rFonts w:ascii="Times New Roman" w:eastAsia="Calibri" w:hAnsi="Times New Roman" w:cs="Times New Roman"/>
          <w:i/>
        </w:rPr>
        <w:t xml:space="preserve">NTRK </w:t>
      </w:r>
      <w:r w:rsidRPr="00214D77">
        <w:rPr>
          <w:rFonts w:ascii="Times New Roman" w:eastAsia="Calibri" w:hAnsi="Times New Roman" w:cs="Times New Roman"/>
          <w:iCs/>
        </w:rPr>
        <w:t>testing, IHC specificity and cost and the split of NGS and FISH testing (Table 1</w:t>
      </w:r>
      <w:r w:rsidR="00973890">
        <w:rPr>
          <w:rFonts w:ascii="Times New Roman" w:eastAsia="Calibri" w:hAnsi="Times New Roman" w:cs="Times New Roman"/>
          <w:iCs/>
        </w:rPr>
        <w:t>3</w:t>
      </w:r>
      <w:r w:rsidRPr="00214D77">
        <w:rPr>
          <w:rFonts w:ascii="Times New Roman" w:eastAsia="Calibri" w:hAnsi="Times New Roman" w:cs="Times New Roman"/>
          <w:iCs/>
        </w:rPr>
        <w:t>).</w:t>
      </w:r>
    </w:p>
    <w:p w14:paraId="1F5262A8" w14:textId="4B3F914A" w:rsidR="00214D77" w:rsidRPr="00214D77" w:rsidRDefault="00214D77" w:rsidP="00214D77">
      <w:pPr>
        <w:keepNext/>
        <w:spacing w:before="0" w:after="40"/>
        <w:outlineLvl w:val="4"/>
        <w:rPr>
          <w:rFonts w:ascii="Arial Narrow" w:eastAsia="Times New Roman" w:hAnsi="Arial Narrow" w:cs="Arial"/>
          <w:b/>
          <w:bCs/>
          <w:iCs/>
          <w:sz w:val="20"/>
          <w:szCs w:val="20"/>
        </w:rPr>
      </w:pPr>
      <w:bookmarkStart w:id="13" w:name="_Ref79570566"/>
      <w:r w:rsidRPr="00214D77">
        <w:rPr>
          <w:rFonts w:ascii="Arial Narrow" w:eastAsia="Times New Roman" w:hAnsi="Arial Narrow" w:cs="Arial"/>
          <w:b/>
          <w:bCs/>
          <w:iCs/>
          <w:sz w:val="20"/>
          <w:szCs w:val="20"/>
        </w:rPr>
        <w:t xml:space="preserve">Table </w:t>
      </w:r>
      <w:bookmarkEnd w:id="13"/>
      <w:r w:rsidRPr="00214D77">
        <w:rPr>
          <w:rFonts w:ascii="Arial Narrow" w:eastAsia="Times New Roman" w:hAnsi="Arial Narrow" w:cs="Arial"/>
          <w:b/>
          <w:bCs/>
          <w:iCs/>
          <w:sz w:val="20"/>
          <w:szCs w:val="20"/>
        </w:rPr>
        <w:t>1</w:t>
      </w:r>
      <w:r w:rsidR="00973890">
        <w:rPr>
          <w:rFonts w:ascii="Arial Narrow" w:eastAsia="Times New Roman" w:hAnsi="Arial Narrow" w:cs="Arial"/>
          <w:b/>
          <w:bCs/>
          <w:iCs/>
          <w:sz w:val="20"/>
          <w:szCs w:val="20"/>
        </w:rPr>
        <w:t>3</w:t>
      </w:r>
      <w:r w:rsidRPr="00214D77">
        <w:rPr>
          <w:rFonts w:ascii="Arial Narrow" w:eastAsia="Times New Roman" w:hAnsi="Arial Narrow" w:cs="Arial"/>
          <w:b/>
          <w:bCs/>
          <w:iCs/>
          <w:sz w:val="20"/>
          <w:szCs w:val="20"/>
        </w:rPr>
        <w:tab/>
        <w:t>Key sensitivity analyses around net financial implications analysis to the MBS</w:t>
      </w:r>
    </w:p>
    <w:tbl>
      <w:tblPr>
        <w:tblStyle w:val="HTATableshaded"/>
        <w:tblW w:w="5000" w:type="pct"/>
        <w:tblLayout w:type="fixed"/>
        <w:tblCellMar>
          <w:left w:w="28" w:type="dxa"/>
          <w:right w:w="28" w:type="dxa"/>
        </w:tblCellMar>
        <w:tblLook w:val="04A0" w:firstRow="1" w:lastRow="0" w:firstColumn="1" w:lastColumn="0" w:noHBand="0" w:noVBand="1"/>
        <w:tblCaption w:val="Table 12 Key sensitivity analyses around net financial implications analysis to the MBS"/>
      </w:tblPr>
      <w:tblGrid>
        <w:gridCol w:w="2690"/>
        <w:gridCol w:w="1055"/>
        <w:gridCol w:w="1055"/>
        <w:gridCol w:w="1055"/>
        <w:gridCol w:w="1055"/>
        <w:gridCol w:w="1055"/>
        <w:gridCol w:w="1051"/>
      </w:tblGrid>
      <w:tr w:rsidR="00214D77" w:rsidRPr="00416CC0" w14:paraId="67F69DBB" w14:textId="77777777" w:rsidTr="00416CC0">
        <w:trPr>
          <w:cnfStyle w:val="100000000000" w:firstRow="1" w:lastRow="0" w:firstColumn="0" w:lastColumn="0" w:oddVBand="0" w:evenVBand="0" w:oddHBand="0" w:evenHBand="0" w:firstRowFirstColumn="0" w:firstRowLastColumn="0" w:lastRowFirstColumn="0" w:lastRowLastColumn="0"/>
          <w:cantSplit/>
          <w:tblHeader/>
        </w:trPr>
        <w:tc>
          <w:tcPr>
            <w:tcW w:w="1492" w:type="pct"/>
            <w:noWrap/>
            <w:hideMark/>
          </w:tcPr>
          <w:p w14:paraId="369F9136" w14:textId="77777777" w:rsidR="00214D77" w:rsidRPr="00214D77" w:rsidRDefault="00214D77" w:rsidP="00214D77">
            <w:pPr>
              <w:widowControl w:val="0"/>
              <w:spacing w:before="40" w:after="40"/>
              <w:jc w:val="left"/>
              <w:rPr>
                <w:rFonts w:ascii="Arial Narrow" w:eastAsia="Calibri" w:hAnsi="Arial Narrow"/>
                <w:sz w:val="20"/>
              </w:rPr>
            </w:pPr>
          </w:p>
        </w:tc>
        <w:tc>
          <w:tcPr>
            <w:tcW w:w="585" w:type="pct"/>
            <w:noWrap/>
            <w:hideMark/>
          </w:tcPr>
          <w:p w14:paraId="229297B7" w14:textId="77777777" w:rsidR="00214D77" w:rsidRPr="00416CC0" w:rsidRDefault="00214D77" w:rsidP="00214D77">
            <w:pPr>
              <w:widowControl w:val="0"/>
              <w:spacing w:before="40" w:after="40"/>
              <w:jc w:val="center"/>
              <w:rPr>
                <w:rFonts w:ascii="Arial Narrow" w:eastAsia="Calibri" w:hAnsi="Arial Narrow"/>
                <w:b/>
                <w:sz w:val="20"/>
              </w:rPr>
            </w:pPr>
            <w:r w:rsidRPr="00416CC0">
              <w:rPr>
                <w:rFonts w:ascii="Arial Narrow" w:eastAsia="Calibri" w:hAnsi="Arial Narrow"/>
                <w:b/>
                <w:sz w:val="20"/>
              </w:rPr>
              <w:t>Year 1</w:t>
            </w:r>
          </w:p>
        </w:tc>
        <w:tc>
          <w:tcPr>
            <w:tcW w:w="585" w:type="pct"/>
            <w:noWrap/>
            <w:hideMark/>
          </w:tcPr>
          <w:p w14:paraId="6CD30BD0" w14:textId="77777777" w:rsidR="00214D77" w:rsidRPr="00416CC0" w:rsidRDefault="00214D77" w:rsidP="00214D77">
            <w:pPr>
              <w:widowControl w:val="0"/>
              <w:spacing w:before="40" w:after="40"/>
              <w:jc w:val="center"/>
              <w:rPr>
                <w:rFonts w:ascii="Arial Narrow" w:eastAsia="Calibri" w:hAnsi="Arial Narrow"/>
                <w:b/>
                <w:sz w:val="20"/>
              </w:rPr>
            </w:pPr>
            <w:r w:rsidRPr="00416CC0">
              <w:rPr>
                <w:rFonts w:ascii="Arial Narrow" w:eastAsia="Calibri" w:hAnsi="Arial Narrow"/>
                <w:b/>
                <w:sz w:val="20"/>
              </w:rPr>
              <w:t>Year 2</w:t>
            </w:r>
          </w:p>
        </w:tc>
        <w:tc>
          <w:tcPr>
            <w:tcW w:w="585" w:type="pct"/>
            <w:noWrap/>
            <w:hideMark/>
          </w:tcPr>
          <w:p w14:paraId="77791D93" w14:textId="77777777" w:rsidR="00214D77" w:rsidRPr="00416CC0" w:rsidRDefault="00214D77" w:rsidP="00214D77">
            <w:pPr>
              <w:widowControl w:val="0"/>
              <w:spacing w:before="40" w:after="40"/>
              <w:jc w:val="center"/>
              <w:rPr>
                <w:rFonts w:ascii="Arial Narrow" w:eastAsia="Calibri" w:hAnsi="Arial Narrow"/>
                <w:b/>
                <w:sz w:val="20"/>
              </w:rPr>
            </w:pPr>
            <w:r w:rsidRPr="00416CC0">
              <w:rPr>
                <w:rFonts w:ascii="Arial Narrow" w:eastAsia="Calibri" w:hAnsi="Arial Narrow"/>
                <w:b/>
                <w:sz w:val="20"/>
              </w:rPr>
              <w:t>Year 3</w:t>
            </w:r>
          </w:p>
        </w:tc>
        <w:tc>
          <w:tcPr>
            <w:tcW w:w="585" w:type="pct"/>
            <w:noWrap/>
            <w:hideMark/>
          </w:tcPr>
          <w:p w14:paraId="7C7089B5" w14:textId="77777777" w:rsidR="00214D77" w:rsidRPr="00416CC0" w:rsidRDefault="00214D77" w:rsidP="00214D77">
            <w:pPr>
              <w:widowControl w:val="0"/>
              <w:spacing w:before="40" w:after="40"/>
              <w:jc w:val="center"/>
              <w:rPr>
                <w:rFonts w:ascii="Arial Narrow" w:eastAsia="Calibri" w:hAnsi="Arial Narrow"/>
                <w:b/>
                <w:sz w:val="20"/>
              </w:rPr>
            </w:pPr>
            <w:r w:rsidRPr="00416CC0">
              <w:rPr>
                <w:rFonts w:ascii="Arial Narrow" w:eastAsia="Calibri" w:hAnsi="Arial Narrow"/>
                <w:b/>
                <w:sz w:val="20"/>
              </w:rPr>
              <w:t>Year 4</w:t>
            </w:r>
          </w:p>
        </w:tc>
        <w:tc>
          <w:tcPr>
            <w:tcW w:w="585" w:type="pct"/>
            <w:noWrap/>
            <w:hideMark/>
          </w:tcPr>
          <w:p w14:paraId="045FE7F5" w14:textId="77777777" w:rsidR="00214D77" w:rsidRPr="00416CC0" w:rsidRDefault="00214D77" w:rsidP="00214D77">
            <w:pPr>
              <w:widowControl w:val="0"/>
              <w:spacing w:before="40" w:after="40"/>
              <w:jc w:val="center"/>
              <w:rPr>
                <w:rFonts w:ascii="Arial Narrow" w:eastAsia="Calibri" w:hAnsi="Arial Narrow"/>
                <w:b/>
                <w:sz w:val="20"/>
              </w:rPr>
            </w:pPr>
            <w:r w:rsidRPr="00416CC0">
              <w:rPr>
                <w:rFonts w:ascii="Arial Narrow" w:eastAsia="Calibri" w:hAnsi="Arial Narrow"/>
                <w:b/>
                <w:sz w:val="20"/>
              </w:rPr>
              <w:t>Year 5</w:t>
            </w:r>
          </w:p>
        </w:tc>
        <w:tc>
          <w:tcPr>
            <w:tcW w:w="583" w:type="pct"/>
            <w:noWrap/>
            <w:hideMark/>
          </w:tcPr>
          <w:p w14:paraId="6E525793" w14:textId="77777777" w:rsidR="00214D77" w:rsidRPr="00416CC0" w:rsidRDefault="00214D77" w:rsidP="00214D77">
            <w:pPr>
              <w:widowControl w:val="0"/>
              <w:spacing w:before="40" w:after="40"/>
              <w:jc w:val="center"/>
              <w:rPr>
                <w:rFonts w:ascii="Arial Narrow" w:eastAsia="Calibri" w:hAnsi="Arial Narrow"/>
                <w:b/>
                <w:sz w:val="20"/>
              </w:rPr>
            </w:pPr>
            <w:r w:rsidRPr="00416CC0">
              <w:rPr>
                <w:rFonts w:ascii="Arial Narrow" w:eastAsia="Calibri" w:hAnsi="Arial Narrow"/>
                <w:b/>
                <w:sz w:val="20"/>
              </w:rPr>
              <w:t>Year 6</w:t>
            </w:r>
          </w:p>
        </w:tc>
      </w:tr>
      <w:tr w:rsidR="00214D77" w:rsidRPr="00416CC0" w14:paraId="2D9256B5" w14:textId="77777777" w:rsidTr="00416CC0">
        <w:trPr>
          <w:cnfStyle w:val="100000000000" w:firstRow="1" w:lastRow="0" w:firstColumn="0" w:lastColumn="0" w:oddVBand="0" w:evenVBand="0" w:oddHBand="0" w:evenHBand="0" w:firstRowFirstColumn="0" w:firstRowLastColumn="0" w:lastRowFirstColumn="0" w:lastRowLastColumn="0"/>
          <w:cantSplit/>
          <w:tblHeader/>
        </w:trPr>
        <w:tc>
          <w:tcPr>
            <w:tcW w:w="1492" w:type="pct"/>
            <w:noWrap/>
            <w:hideMark/>
          </w:tcPr>
          <w:p w14:paraId="7B0E0E88" w14:textId="77777777" w:rsidR="00214D77" w:rsidRPr="00416CC0" w:rsidRDefault="00214D77" w:rsidP="00214D77">
            <w:pPr>
              <w:widowControl w:val="0"/>
              <w:spacing w:before="40" w:after="40"/>
              <w:jc w:val="left"/>
              <w:rPr>
                <w:rFonts w:ascii="Arial Narrow" w:eastAsia="Calibri" w:hAnsi="Arial Narrow"/>
                <w:b/>
                <w:sz w:val="20"/>
              </w:rPr>
            </w:pPr>
            <w:r w:rsidRPr="00416CC0">
              <w:rPr>
                <w:rFonts w:ascii="Arial Narrow" w:eastAsia="Calibri" w:hAnsi="Arial Narrow"/>
                <w:b/>
                <w:sz w:val="20"/>
              </w:rPr>
              <w:t>Net cost to MBS</w:t>
            </w:r>
          </w:p>
        </w:tc>
        <w:tc>
          <w:tcPr>
            <w:tcW w:w="585" w:type="pct"/>
            <w:noWrap/>
            <w:hideMark/>
          </w:tcPr>
          <w:p w14:paraId="6550846B" w14:textId="36CB1CA5" w:rsidR="00214D77" w:rsidRPr="00416CC0" w:rsidRDefault="00214D77" w:rsidP="00214D77">
            <w:pPr>
              <w:widowControl w:val="0"/>
              <w:spacing w:before="40" w:after="40"/>
              <w:jc w:val="right"/>
              <w:rPr>
                <w:rFonts w:ascii="Arial Narrow" w:eastAsia="Calibri" w:hAnsi="Arial Narrow"/>
                <w:b/>
                <w:i/>
                <w:sz w:val="20"/>
              </w:rPr>
            </w:pPr>
            <w:r w:rsidRPr="00416CC0">
              <w:rPr>
                <w:rFonts w:ascii="Arial Narrow" w:eastAsia="Calibri" w:hAnsi="Arial Narrow"/>
                <w:b/>
                <w:i/>
                <w:sz w:val="20"/>
              </w:rPr>
              <w:t>$</w:t>
            </w:r>
            <w:r w:rsidR="00940D65" w:rsidRPr="00416CC0">
              <w:rPr>
                <w:rFonts w:ascii="Arial Narrow" w:eastAsia="Calibri" w:hAnsi="Arial Narrow"/>
                <w:b/>
                <w:i/>
                <w:sz w:val="20"/>
              </w:rPr>
              <w:t>Redacted</w:t>
            </w:r>
            <w:r w:rsidR="00940D65" w:rsidRPr="00416CC0">
              <w:rPr>
                <w:rFonts w:ascii="Arial Narrow" w:eastAsia="Calibri" w:hAnsi="Arial Narrow"/>
                <w:b/>
                <w:i/>
                <w:sz w:val="20"/>
                <w:vertAlign w:val="superscript"/>
              </w:rPr>
              <w:t>1</w:t>
            </w:r>
          </w:p>
        </w:tc>
        <w:tc>
          <w:tcPr>
            <w:tcW w:w="585" w:type="pct"/>
            <w:noWrap/>
            <w:hideMark/>
          </w:tcPr>
          <w:p w14:paraId="5CF4F761" w14:textId="2916B5BE" w:rsidR="00214D77" w:rsidRPr="00416CC0" w:rsidRDefault="00940D65" w:rsidP="00214D77">
            <w:pPr>
              <w:widowControl w:val="0"/>
              <w:spacing w:before="40" w:after="40"/>
              <w:jc w:val="right"/>
              <w:rPr>
                <w:rFonts w:ascii="Arial Narrow" w:eastAsia="Calibri" w:hAnsi="Arial Narrow"/>
                <w:b/>
                <w:i/>
                <w:sz w:val="20"/>
              </w:rPr>
            </w:pPr>
            <w:r w:rsidRPr="00416CC0">
              <w:rPr>
                <w:rFonts w:ascii="Arial Narrow" w:eastAsia="Calibri" w:hAnsi="Arial Narrow"/>
                <w:b/>
                <w:i/>
                <w:sz w:val="20"/>
              </w:rPr>
              <w:t>$Redacted</w:t>
            </w:r>
            <w:r w:rsidRPr="00416CC0">
              <w:rPr>
                <w:rFonts w:ascii="Arial Narrow" w:eastAsia="Calibri" w:hAnsi="Arial Narrow"/>
                <w:b/>
                <w:i/>
                <w:sz w:val="20"/>
                <w:vertAlign w:val="superscript"/>
              </w:rPr>
              <w:t>1</w:t>
            </w:r>
          </w:p>
        </w:tc>
        <w:tc>
          <w:tcPr>
            <w:tcW w:w="585" w:type="pct"/>
            <w:noWrap/>
            <w:hideMark/>
          </w:tcPr>
          <w:p w14:paraId="3CC31D67" w14:textId="6746FEA8" w:rsidR="00214D77" w:rsidRPr="00416CC0" w:rsidRDefault="00940D65" w:rsidP="00214D77">
            <w:pPr>
              <w:widowControl w:val="0"/>
              <w:spacing w:before="40" w:after="40"/>
              <w:jc w:val="right"/>
              <w:rPr>
                <w:rFonts w:ascii="Arial Narrow" w:eastAsia="Calibri" w:hAnsi="Arial Narrow"/>
                <w:b/>
                <w:i/>
                <w:sz w:val="20"/>
              </w:rPr>
            </w:pPr>
            <w:r w:rsidRPr="00416CC0">
              <w:rPr>
                <w:rFonts w:ascii="Arial Narrow" w:eastAsia="Calibri" w:hAnsi="Arial Narrow"/>
                <w:b/>
                <w:i/>
                <w:sz w:val="20"/>
              </w:rPr>
              <w:t>$Redacted</w:t>
            </w:r>
            <w:r w:rsidRPr="00416CC0">
              <w:rPr>
                <w:rFonts w:ascii="Arial Narrow" w:eastAsia="Calibri" w:hAnsi="Arial Narrow"/>
                <w:b/>
                <w:i/>
                <w:sz w:val="20"/>
                <w:vertAlign w:val="superscript"/>
              </w:rPr>
              <w:t>1</w:t>
            </w:r>
          </w:p>
        </w:tc>
        <w:tc>
          <w:tcPr>
            <w:tcW w:w="585" w:type="pct"/>
            <w:noWrap/>
            <w:hideMark/>
          </w:tcPr>
          <w:p w14:paraId="244BD81A" w14:textId="29A45B8F" w:rsidR="00214D77" w:rsidRPr="00416CC0" w:rsidRDefault="00940D65" w:rsidP="00214D77">
            <w:pPr>
              <w:widowControl w:val="0"/>
              <w:spacing w:before="40" w:after="40"/>
              <w:jc w:val="right"/>
              <w:rPr>
                <w:rFonts w:ascii="Arial Narrow" w:eastAsia="Calibri" w:hAnsi="Arial Narrow"/>
                <w:b/>
                <w:i/>
                <w:sz w:val="20"/>
              </w:rPr>
            </w:pPr>
            <w:r w:rsidRPr="00416CC0">
              <w:rPr>
                <w:rFonts w:ascii="Arial Narrow" w:eastAsia="Calibri" w:hAnsi="Arial Narrow"/>
                <w:b/>
                <w:i/>
                <w:sz w:val="20"/>
              </w:rPr>
              <w:t>$Redacted</w:t>
            </w:r>
            <w:r w:rsidRPr="00416CC0">
              <w:rPr>
                <w:rFonts w:ascii="Arial Narrow" w:eastAsia="Calibri" w:hAnsi="Arial Narrow"/>
                <w:b/>
                <w:i/>
                <w:sz w:val="20"/>
                <w:vertAlign w:val="superscript"/>
              </w:rPr>
              <w:t>1</w:t>
            </w:r>
          </w:p>
        </w:tc>
        <w:tc>
          <w:tcPr>
            <w:tcW w:w="585" w:type="pct"/>
            <w:noWrap/>
            <w:hideMark/>
          </w:tcPr>
          <w:p w14:paraId="0CAE3590" w14:textId="21593F56" w:rsidR="00214D77" w:rsidRPr="00416CC0" w:rsidRDefault="00940D65" w:rsidP="00214D77">
            <w:pPr>
              <w:widowControl w:val="0"/>
              <w:spacing w:before="40" w:after="40"/>
              <w:jc w:val="right"/>
              <w:rPr>
                <w:rFonts w:ascii="Arial Narrow" w:eastAsia="Calibri" w:hAnsi="Arial Narrow"/>
                <w:b/>
                <w:i/>
                <w:sz w:val="20"/>
              </w:rPr>
            </w:pPr>
            <w:r w:rsidRPr="00416CC0">
              <w:rPr>
                <w:rFonts w:ascii="Arial Narrow" w:eastAsia="Calibri" w:hAnsi="Arial Narrow"/>
                <w:b/>
                <w:i/>
                <w:sz w:val="20"/>
              </w:rPr>
              <w:t>$Redacted</w:t>
            </w:r>
            <w:r w:rsidRPr="00416CC0">
              <w:rPr>
                <w:rFonts w:ascii="Arial Narrow" w:eastAsia="Calibri" w:hAnsi="Arial Narrow"/>
                <w:b/>
                <w:i/>
                <w:sz w:val="20"/>
                <w:vertAlign w:val="superscript"/>
              </w:rPr>
              <w:t>1</w:t>
            </w:r>
          </w:p>
        </w:tc>
        <w:tc>
          <w:tcPr>
            <w:tcW w:w="583" w:type="pct"/>
            <w:noWrap/>
            <w:hideMark/>
          </w:tcPr>
          <w:p w14:paraId="1249A02B" w14:textId="77DF9D88" w:rsidR="00214D77" w:rsidRPr="00416CC0" w:rsidRDefault="00940D65" w:rsidP="00214D77">
            <w:pPr>
              <w:widowControl w:val="0"/>
              <w:spacing w:before="40" w:after="40"/>
              <w:jc w:val="right"/>
              <w:rPr>
                <w:rFonts w:ascii="Arial Narrow" w:eastAsia="Calibri" w:hAnsi="Arial Narrow"/>
                <w:b/>
                <w:i/>
                <w:sz w:val="20"/>
              </w:rPr>
            </w:pPr>
            <w:r w:rsidRPr="00416CC0">
              <w:rPr>
                <w:rFonts w:ascii="Arial Narrow" w:eastAsia="Calibri" w:hAnsi="Arial Narrow"/>
                <w:b/>
                <w:i/>
                <w:sz w:val="20"/>
              </w:rPr>
              <w:t>$Redacted</w:t>
            </w:r>
            <w:r w:rsidRPr="00416CC0">
              <w:rPr>
                <w:rFonts w:ascii="Arial Narrow" w:eastAsia="Calibri" w:hAnsi="Arial Narrow"/>
                <w:b/>
                <w:i/>
                <w:sz w:val="20"/>
                <w:vertAlign w:val="superscript"/>
              </w:rPr>
              <w:t>1</w:t>
            </w:r>
          </w:p>
        </w:tc>
      </w:tr>
      <w:tr w:rsidR="00214D77" w:rsidRPr="00416CC0" w14:paraId="6B4D43A2" w14:textId="77777777" w:rsidTr="00416CC0">
        <w:trPr>
          <w:cantSplit/>
        </w:trPr>
        <w:tc>
          <w:tcPr>
            <w:tcW w:w="1492" w:type="pct"/>
            <w:noWrap/>
            <w:hideMark/>
          </w:tcPr>
          <w:p w14:paraId="6215235C" w14:textId="77777777" w:rsidR="00214D77" w:rsidRPr="00416CC0" w:rsidRDefault="00214D77" w:rsidP="00214D77">
            <w:pPr>
              <w:widowControl w:val="0"/>
              <w:spacing w:before="40" w:after="40"/>
              <w:jc w:val="left"/>
              <w:rPr>
                <w:rFonts w:ascii="Arial Narrow" w:eastAsia="Calibri" w:hAnsi="Arial Narrow"/>
                <w:sz w:val="20"/>
              </w:rPr>
            </w:pPr>
            <w:r w:rsidRPr="00416CC0">
              <w:rPr>
                <w:rFonts w:ascii="Arial Narrow" w:eastAsia="Calibri" w:hAnsi="Arial Narrow"/>
                <w:sz w:val="20"/>
              </w:rPr>
              <w:t xml:space="preserve">Include all adult low frequency tumour types </w:t>
            </w:r>
            <w:r w:rsidRPr="00416CC0">
              <w:rPr>
                <w:rFonts w:ascii="Arial Narrow" w:eastAsia="Calibri" w:hAnsi="Arial Narrow"/>
                <w:sz w:val="20"/>
              </w:rPr>
              <w:br/>
              <w:t>(base case: only specified)</w:t>
            </w:r>
          </w:p>
        </w:tc>
        <w:tc>
          <w:tcPr>
            <w:tcW w:w="585" w:type="pct"/>
            <w:noWrap/>
            <w:hideMark/>
          </w:tcPr>
          <w:p w14:paraId="5FFA76CF" w14:textId="58AB5BB2" w:rsidR="00214D77" w:rsidRPr="00416CC0" w:rsidRDefault="00214D77"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w:t>
            </w:r>
            <w:r w:rsidR="00940D65" w:rsidRPr="00416CC0">
              <w:rPr>
                <w:rFonts w:ascii="Arial Narrow" w:eastAsia="Calibri" w:hAnsi="Arial Narrow"/>
                <w:i/>
                <w:sz w:val="20"/>
              </w:rPr>
              <w:t>Redacted</w:t>
            </w:r>
            <w:r w:rsidR="00940D65" w:rsidRPr="00416CC0">
              <w:rPr>
                <w:rFonts w:ascii="Arial Narrow" w:eastAsia="Calibri" w:hAnsi="Arial Narrow"/>
                <w:i/>
                <w:sz w:val="20"/>
                <w:vertAlign w:val="superscript"/>
              </w:rPr>
              <w:t>1</w:t>
            </w:r>
          </w:p>
        </w:tc>
        <w:tc>
          <w:tcPr>
            <w:tcW w:w="585" w:type="pct"/>
            <w:noWrap/>
            <w:hideMark/>
          </w:tcPr>
          <w:p w14:paraId="26ACBCBE" w14:textId="40E9AE14" w:rsidR="00214D77" w:rsidRPr="00416CC0" w:rsidRDefault="00940D65"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4BD17AD2" w14:textId="5FC81D1D" w:rsidR="00214D77" w:rsidRPr="00416CC0" w:rsidRDefault="00940D65"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3E61B42A" w14:textId="1B11D84D" w:rsidR="00214D77" w:rsidRPr="00416CC0" w:rsidRDefault="00940D65"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45497BFC" w14:textId="16A3B1A1" w:rsidR="00214D77" w:rsidRPr="00416CC0" w:rsidRDefault="00940D65"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3" w:type="pct"/>
            <w:noWrap/>
            <w:hideMark/>
          </w:tcPr>
          <w:p w14:paraId="2F264C63" w14:textId="20E2350C" w:rsidR="00214D77" w:rsidRPr="00416CC0" w:rsidRDefault="00940D65"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r>
      <w:tr w:rsidR="00214D77" w:rsidRPr="00416CC0" w14:paraId="09C5090B" w14:textId="77777777" w:rsidTr="00416CC0">
        <w:trPr>
          <w:cantSplit/>
        </w:trPr>
        <w:tc>
          <w:tcPr>
            <w:tcW w:w="1492" w:type="pct"/>
            <w:noWrap/>
          </w:tcPr>
          <w:p w14:paraId="0E289D9C" w14:textId="77777777" w:rsidR="00214D77" w:rsidRPr="00416CC0" w:rsidRDefault="00214D77" w:rsidP="00214D77">
            <w:pPr>
              <w:widowControl w:val="0"/>
              <w:spacing w:before="40" w:after="40"/>
              <w:jc w:val="left"/>
              <w:rPr>
                <w:rFonts w:ascii="Arial Narrow" w:eastAsia="Calibri" w:hAnsi="Arial Narrow"/>
                <w:i/>
                <w:sz w:val="20"/>
              </w:rPr>
            </w:pPr>
            <w:r w:rsidRPr="00416CC0">
              <w:rPr>
                <w:rFonts w:ascii="Arial Narrow" w:eastAsia="Calibri" w:hAnsi="Arial Narrow"/>
                <w:i/>
                <w:sz w:val="20"/>
              </w:rPr>
              <w:t>Allow IHC testing on diagnosis of advanced disease</w:t>
            </w:r>
            <w:r w:rsidRPr="00416CC0">
              <w:rPr>
                <w:rFonts w:ascii="Arial Narrow" w:eastAsia="Calibri" w:hAnsi="Arial Narrow"/>
                <w:i/>
                <w:sz w:val="20"/>
              </w:rPr>
              <w:br/>
              <w:t>(base case: after failure to first-line therapy)</w:t>
            </w:r>
          </w:p>
        </w:tc>
        <w:tc>
          <w:tcPr>
            <w:tcW w:w="585" w:type="pct"/>
            <w:noWrap/>
          </w:tcPr>
          <w:p w14:paraId="4733119C" w14:textId="2119D2BF"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tcPr>
          <w:p w14:paraId="0D376065" w14:textId="76B6A481"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tcPr>
          <w:p w14:paraId="2079CA8D" w14:textId="57D1CEC4"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tcPr>
          <w:p w14:paraId="7B5C3E1D" w14:textId="26F6103E"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tcPr>
          <w:p w14:paraId="1CC7D5E6" w14:textId="48D9E899"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3" w:type="pct"/>
            <w:noWrap/>
          </w:tcPr>
          <w:p w14:paraId="396599AB" w14:textId="6ABD19C2"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r>
      <w:tr w:rsidR="00214D77" w:rsidRPr="00416CC0" w14:paraId="5714AAA0" w14:textId="77777777" w:rsidTr="00416CC0">
        <w:trPr>
          <w:cantSplit/>
        </w:trPr>
        <w:tc>
          <w:tcPr>
            <w:tcW w:w="1492" w:type="pct"/>
            <w:noWrap/>
          </w:tcPr>
          <w:p w14:paraId="66F8AF41" w14:textId="77777777" w:rsidR="00214D77" w:rsidRPr="00416CC0" w:rsidRDefault="00214D77" w:rsidP="00214D77">
            <w:pPr>
              <w:widowControl w:val="0"/>
              <w:spacing w:before="40" w:after="40"/>
              <w:jc w:val="left"/>
              <w:rPr>
                <w:rFonts w:ascii="Arial Narrow" w:eastAsia="Calibri" w:hAnsi="Arial Narrow"/>
                <w:i/>
                <w:sz w:val="20"/>
              </w:rPr>
            </w:pPr>
            <w:r w:rsidRPr="00416CC0">
              <w:rPr>
                <w:rFonts w:ascii="Arial Narrow" w:eastAsia="Calibri" w:hAnsi="Arial Narrow"/>
                <w:i/>
                <w:sz w:val="20"/>
              </w:rPr>
              <w:t>Allow IHC and NGS/FISH testing on diagnosis of advanced disease</w:t>
            </w:r>
            <w:r w:rsidRPr="00416CC0">
              <w:rPr>
                <w:rFonts w:ascii="Arial Narrow" w:eastAsia="Calibri" w:hAnsi="Arial Narrow"/>
                <w:i/>
                <w:sz w:val="20"/>
              </w:rPr>
              <w:br/>
              <w:t>(base case: after failure to first-line therapy)</w:t>
            </w:r>
          </w:p>
        </w:tc>
        <w:tc>
          <w:tcPr>
            <w:tcW w:w="585" w:type="pct"/>
            <w:noWrap/>
          </w:tcPr>
          <w:p w14:paraId="6D683CA8" w14:textId="7392220E"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tcPr>
          <w:p w14:paraId="52EBF663" w14:textId="48317995" w:rsidR="00214D77" w:rsidRPr="00416CC0" w:rsidRDefault="00214D77"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w:t>
            </w:r>
            <w:r w:rsidR="00191F8E" w:rsidRPr="00416CC0">
              <w:rPr>
                <w:rFonts w:ascii="Arial Narrow" w:eastAsia="Calibri" w:hAnsi="Arial Narrow"/>
                <w:i/>
                <w:sz w:val="20"/>
              </w:rPr>
              <w:t>$Redacted</w:t>
            </w:r>
            <w:r w:rsidR="00191F8E" w:rsidRPr="00416CC0">
              <w:rPr>
                <w:rFonts w:ascii="Arial Narrow" w:eastAsia="Calibri" w:hAnsi="Arial Narrow"/>
                <w:i/>
                <w:sz w:val="20"/>
                <w:vertAlign w:val="superscript"/>
              </w:rPr>
              <w:t>1</w:t>
            </w:r>
          </w:p>
        </w:tc>
        <w:tc>
          <w:tcPr>
            <w:tcW w:w="585" w:type="pct"/>
            <w:noWrap/>
          </w:tcPr>
          <w:p w14:paraId="41580975" w14:textId="2D1224C5"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tcPr>
          <w:p w14:paraId="696FB102" w14:textId="2C1952AA"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tcPr>
          <w:p w14:paraId="7CE67BF4" w14:textId="628506F7"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3" w:type="pct"/>
            <w:noWrap/>
          </w:tcPr>
          <w:p w14:paraId="312E44DD" w14:textId="24692F50"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r>
      <w:tr w:rsidR="00214D77" w:rsidRPr="00416CC0" w14:paraId="73241097" w14:textId="77777777" w:rsidTr="00416CC0">
        <w:trPr>
          <w:cantSplit/>
        </w:trPr>
        <w:tc>
          <w:tcPr>
            <w:tcW w:w="1492" w:type="pct"/>
            <w:noWrap/>
            <w:hideMark/>
          </w:tcPr>
          <w:p w14:paraId="4EE29BE2" w14:textId="77777777" w:rsidR="00214D77" w:rsidRPr="00416CC0" w:rsidRDefault="00214D77" w:rsidP="00214D77">
            <w:pPr>
              <w:widowControl w:val="0"/>
              <w:spacing w:before="40" w:after="40"/>
              <w:jc w:val="left"/>
              <w:rPr>
                <w:rFonts w:ascii="Arial Narrow" w:eastAsia="Calibri" w:hAnsi="Arial Narrow"/>
                <w:i/>
                <w:sz w:val="20"/>
              </w:rPr>
            </w:pPr>
            <w:r w:rsidRPr="00416CC0">
              <w:rPr>
                <w:rFonts w:ascii="Arial Narrow" w:eastAsia="Calibri" w:hAnsi="Arial Narrow"/>
                <w:i/>
                <w:sz w:val="20"/>
              </w:rPr>
              <w:t xml:space="preserve">IHC specificity, maximum 96% </w:t>
            </w:r>
            <w:r w:rsidRPr="00416CC0">
              <w:rPr>
                <w:rFonts w:ascii="Arial Narrow" w:eastAsia="Calibri" w:hAnsi="Arial Narrow"/>
                <w:i/>
                <w:sz w:val="20"/>
              </w:rPr>
              <w:br/>
              <w:t>(base case: maximum 100%)</w:t>
            </w:r>
          </w:p>
        </w:tc>
        <w:tc>
          <w:tcPr>
            <w:tcW w:w="585" w:type="pct"/>
            <w:noWrap/>
            <w:hideMark/>
          </w:tcPr>
          <w:p w14:paraId="66830C2F" w14:textId="7248D405"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4C77542B" w14:textId="6EFABA5A"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18E4E172" w14:textId="23CBF653"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1FA99481" w14:textId="62B589B8"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47B2D448" w14:textId="69714131"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3" w:type="pct"/>
            <w:noWrap/>
            <w:hideMark/>
          </w:tcPr>
          <w:p w14:paraId="3286A992" w14:textId="38DEDD7A"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r>
      <w:tr w:rsidR="00214D77" w:rsidRPr="00214D77" w14:paraId="1B1953C1" w14:textId="77777777" w:rsidTr="00416CC0">
        <w:trPr>
          <w:cantSplit/>
        </w:trPr>
        <w:tc>
          <w:tcPr>
            <w:tcW w:w="1492" w:type="pct"/>
            <w:noWrap/>
            <w:hideMark/>
          </w:tcPr>
          <w:p w14:paraId="499D66CB" w14:textId="77777777" w:rsidR="00214D77" w:rsidRPr="00416CC0" w:rsidRDefault="00214D77" w:rsidP="00214D77">
            <w:pPr>
              <w:widowControl w:val="0"/>
              <w:spacing w:before="40" w:after="40"/>
              <w:jc w:val="left"/>
              <w:rPr>
                <w:rFonts w:ascii="Arial Narrow" w:eastAsia="Calibri" w:hAnsi="Arial Narrow"/>
                <w:sz w:val="20"/>
              </w:rPr>
            </w:pPr>
            <w:r w:rsidRPr="00416CC0">
              <w:rPr>
                <w:rFonts w:ascii="Arial Narrow" w:eastAsia="Calibri" w:hAnsi="Arial Narrow"/>
                <w:sz w:val="20"/>
              </w:rPr>
              <w:t xml:space="preserve">100% patients receive NGS </w:t>
            </w:r>
            <w:r w:rsidRPr="00416CC0">
              <w:rPr>
                <w:rFonts w:ascii="Arial Narrow" w:eastAsia="Calibri" w:hAnsi="Arial Narrow"/>
                <w:sz w:val="20"/>
              </w:rPr>
              <w:br/>
              <w:t>(base case: 50%)</w:t>
            </w:r>
          </w:p>
        </w:tc>
        <w:tc>
          <w:tcPr>
            <w:tcW w:w="585" w:type="pct"/>
            <w:noWrap/>
            <w:hideMark/>
          </w:tcPr>
          <w:p w14:paraId="367D4FFD" w14:textId="58E361A4"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00727960" w14:textId="2625C5FE"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42A710E5" w14:textId="12296CF4"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1E4003CD" w14:textId="5A4591A6"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5" w:type="pct"/>
            <w:noWrap/>
            <w:hideMark/>
          </w:tcPr>
          <w:p w14:paraId="18DE8FEA" w14:textId="39F1724F"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c>
          <w:tcPr>
            <w:tcW w:w="583" w:type="pct"/>
            <w:noWrap/>
            <w:hideMark/>
          </w:tcPr>
          <w:p w14:paraId="2D43BF94" w14:textId="7EBB14D7" w:rsidR="00214D77" w:rsidRPr="00416CC0" w:rsidRDefault="00191F8E" w:rsidP="00214D77">
            <w:pPr>
              <w:widowControl w:val="0"/>
              <w:spacing w:before="40" w:after="40"/>
              <w:jc w:val="right"/>
              <w:rPr>
                <w:rFonts w:ascii="Arial Narrow" w:eastAsia="Calibri" w:hAnsi="Arial Narrow"/>
                <w:i/>
                <w:sz w:val="20"/>
              </w:rPr>
            </w:pPr>
            <w:r w:rsidRPr="00416CC0">
              <w:rPr>
                <w:rFonts w:ascii="Arial Narrow" w:eastAsia="Calibri" w:hAnsi="Arial Narrow"/>
                <w:i/>
                <w:sz w:val="20"/>
              </w:rPr>
              <w:t>$Redacted</w:t>
            </w:r>
            <w:r w:rsidRPr="00416CC0">
              <w:rPr>
                <w:rFonts w:ascii="Arial Narrow" w:eastAsia="Calibri" w:hAnsi="Arial Narrow"/>
                <w:i/>
                <w:sz w:val="20"/>
                <w:vertAlign w:val="superscript"/>
              </w:rPr>
              <w:t>1</w:t>
            </w:r>
          </w:p>
        </w:tc>
      </w:tr>
    </w:tbl>
    <w:p w14:paraId="35AED56D" w14:textId="23F2A349" w:rsidR="00214D77" w:rsidRDefault="00214D77" w:rsidP="00BF2574">
      <w:pPr>
        <w:widowControl w:val="0"/>
        <w:spacing w:before="0" w:after="240"/>
        <w:contextualSpacing/>
        <w:jc w:val="left"/>
        <w:rPr>
          <w:rFonts w:ascii="Arial Narrow" w:eastAsia="Times New Roman" w:hAnsi="Arial Narrow" w:cs="Arial"/>
          <w:snapToGrid w:val="0"/>
          <w:sz w:val="18"/>
          <w:szCs w:val="20"/>
        </w:rPr>
      </w:pPr>
      <w:r w:rsidRPr="00214D77">
        <w:rPr>
          <w:rFonts w:ascii="Arial Narrow" w:eastAsia="Times New Roman" w:hAnsi="Arial Narrow" w:cs="Arial"/>
          <w:snapToGrid w:val="0"/>
          <w:sz w:val="18"/>
          <w:szCs w:val="20"/>
        </w:rPr>
        <w:t>Source: Constructed during the evaluation from the ‘A4.2_larotrectinib_PBACMSAC_Section4_June21_3June21.xlsx’ workbook included in the resubmission.</w:t>
      </w:r>
    </w:p>
    <w:p w14:paraId="4D769C97" w14:textId="1F3A4DAA" w:rsidR="00A261BD" w:rsidRDefault="00214D77" w:rsidP="00C06749">
      <w:pPr>
        <w:widowControl w:val="0"/>
        <w:spacing w:before="0" w:after="0"/>
        <w:contextualSpacing/>
        <w:jc w:val="left"/>
        <w:rPr>
          <w:rFonts w:ascii="Arial Narrow" w:eastAsia="Times New Roman" w:hAnsi="Arial Narrow" w:cs="Arial"/>
          <w:snapToGrid w:val="0"/>
          <w:sz w:val="18"/>
          <w:szCs w:val="20"/>
        </w:rPr>
      </w:pPr>
      <w:r w:rsidRPr="00F3195B">
        <w:rPr>
          <w:rFonts w:ascii="Arial Narrow" w:eastAsia="Times New Roman" w:hAnsi="Arial Narrow" w:cs="Arial"/>
          <w:snapToGrid w:val="0"/>
          <w:sz w:val="18"/>
          <w:szCs w:val="20"/>
        </w:rPr>
        <w:t>IHC = immunohistochemistry; FISH = fluorescence in situ hybridisation; NGS = next generation sequ</w:t>
      </w:r>
      <w:r w:rsidR="00F61817">
        <w:rPr>
          <w:rFonts w:ascii="Arial Narrow" w:eastAsia="Times New Roman" w:hAnsi="Arial Narrow" w:cs="Arial"/>
          <w:snapToGrid w:val="0"/>
          <w:sz w:val="18"/>
          <w:szCs w:val="20"/>
        </w:rPr>
        <w:t>encing</w:t>
      </w:r>
    </w:p>
    <w:p w14:paraId="29CDC918" w14:textId="77777777" w:rsidR="00940D65" w:rsidRPr="00316ACA" w:rsidRDefault="00940D65" w:rsidP="00940D65">
      <w:pPr>
        <w:pStyle w:val="TableFigureFooter"/>
        <w:keepNext/>
        <w:spacing w:after="0"/>
        <w:rPr>
          <w:i/>
        </w:rPr>
      </w:pPr>
      <w:r w:rsidRPr="00316ACA">
        <w:rPr>
          <w:i/>
        </w:rPr>
        <w:t>The redacted values correspond to the following ranges:</w:t>
      </w:r>
    </w:p>
    <w:p w14:paraId="1B5AFED4" w14:textId="330452CA" w:rsidR="00940D65" w:rsidRPr="00940D65" w:rsidRDefault="00940D65" w:rsidP="00940D65">
      <w:pPr>
        <w:pStyle w:val="TableFigureFooter"/>
        <w:keepNext/>
        <w:spacing w:after="0"/>
        <w:rPr>
          <w:i/>
          <w:szCs w:val="18"/>
        </w:rPr>
      </w:pPr>
      <w:r>
        <w:rPr>
          <w:i/>
          <w:szCs w:val="18"/>
          <w:vertAlign w:val="superscript"/>
        </w:rPr>
        <w:t xml:space="preserve">1 </w:t>
      </w:r>
      <w:r>
        <w:rPr>
          <w:i/>
          <w:szCs w:val="18"/>
        </w:rPr>
        <w:t>0 to &lt; $10 million</w:t>
      </w:r>
    </w:p>
    <w:p w14:paraId="1AC24495" w14:textId="77777777" w:rsidR="00940D65" w:rsidRPr="0028467B" w:rsidRDefault="00940D65" w:rsidP="0028467B">
      <w:pPr>
        <w:widowControl w:val="0"/>
        <w:spacing w:before="0" w:after="240"/>
        <w:contextualSpacing/>
        <w:jc w:val="left"/>
        <w:rPr>
          <w:rFonts w:ascii="Arial Narrow" w:eastAsia="Times New Roman" w:hAnsi="Arial Narrow" w:cs="Arial"/>
          <w:snapToGrid w:val="0"/>
          <w:sz w:val="18"/>
          <w:szCs w:val="20"/>
        </w:rPr>
      </w:pPr>
    </w:p>
    <w:p w14:paraId="02AFA9A0" w14:textId="17BA111A" w:rsidR="00A261BD" w:rsidRPr="0028467B" w:rsidRDefault="00A261BD" w:rsidP="00864249">
      <w:pPr>
        <w:pStyle w:val="Heading1"/>
        <w:numPr>
          <w:ilvl w:val="0"/>
          <w:numId w:val="3"/>
        </w:numPr>
        <w:spacing w:before="240" w:after="240" w:line="240" w:lineRule="auto"/>
        <w:ind w:left="720" w:hanging="720"/>
        <w:rPr>
          <w:rFonts w:ascii="Arial" w:hAnsi="Arial" w:cs="Arial"/>
          <w:bCs/>
          <w:lang w:eastAsia="en-AU"/>
        </w:rPr>
      </w:pPr>
      <w:r w:rsidRPr="0028467B">
        <w:rPr>
          <w:rFonts w:ascii="Arial" w:hAnsi="Arial" w:cs="Arial"/>
          <w:bCs/>
          <w:lang w:eastAsia="en-AU"/>
        </w:rPr>
        <w:lastRenderedPageBreak/>
        <w:t>Key issues from ESCs to MSAC</w:t>
      </w:r>
    </w:p>
    <w:tbl>
      <w:tblPr>
        <w:tblStyle w:val="ASDTable9"/>
        <w:tblW w:w="0" w:type="auto"/>
        <w:tblLook w:val="04A0" w:firstRow="1" w:lastRow="0" w:firstColumn="1" w:lastColumn="0" w:noHBand="0" w:noVBand="1"/>
      </w:tblPr>
      <w:tblGrid>
        <w:gridCol w:w="2179"/>
        <w:gridCol w:w="6611"/>
      </w:tblGrid>
      <w:tr w:rsidR="00A261BD" w:rsidRPr="0028467B" w14:paraId="527945C5" w14:textId="77777777" w:rsidTr="00837F24">
        <w:trPr>
          <w:cantSplit/>
          <w:trHeight w:val="260"/>
          <w:tblHeader/>
        </w:trPr>
        <w:tc>
          <w:tcPr>
            <w:tcW w:w="2179" w:type="dxa"/>
          </w:tcPr>
          <w:p w14:paraId="280B0856" w14:textId="77777777" w:rsidR="00A261BD" w:rsidRPr="0028467B" w:rsidRDefault="00A261BD" w:rsidP="00837F24">
            <w:pPr>
              <w:spacing w:before="40"/>
              <w:jc w:val="left"/>
              <w:rPr>
                <w:rFonts w:ascii="Arial Narrow" w:eastAsia="Times New Roman" w:hAnsi="Arial Narrow" w:cs="Times New Roman"/>
                <w:b/>
                <w:noProof/>
                <w:sz w:val="20"/>
                <w:szCs w:val="20"/>
                <w:lang w:eastAsia="en-AU"/>
              </w:rPr>
            </w:pPr>
            <w:r w:rsidRPr="0028467B">
              <w:rPr>
                <w:rFonts w:ascii="Arial Narrow" w:eastAsia="Times New Roman" w:hAnsi="Arial Narrow" w:cs="Times New Roman"/>
                <w:b/>
                <w:noProof/>
                <w:sz w:val="20"/>
                <w:szCs w:val="20"/>
                <w:lang w:eastAsia="en-AU"/>
              </w:rPr>
              <w:t>ESCs key issue</w:t>
            </w:r>
          </w:p>
        </w:tc>
        <w:tc>
          <w:tcPr>
            <w:tcW w:w="6611" w:type="dxa"/>
          </w:tcPr>
          <w:p w14:paraId="4A4BA156" w14:textId="77777777" w:rsidR="00A261BD" w:rsidRPr="0028467B" w:rsidRDefault="00A261BD" w:rsidP="00837F24">
            <w:pPr>
              <w:spacing w:before="40"/>
              <w:jc w:val="left"/>
              <w:rPr>
                <w:rFonts w:ascii="Arial Narrow" w:eastAsia="Times New Roman" w:hAnsi="Arial Narrow" w:cs="Times New Roman"/>
                <w:b/>
                <w:noProof/>
                <w:sz w:val="20"/>
                <w:szCs w:val="20"/>
                <w:lang w:eastAsia="en-AU"/>
              </w:rPr>
            </w:pPr>
            <w:r w:rsidRPr="0028467B">
              <w:rPr>
                <w:rFonts w:ascii="Arial Narrow" w:eastAsia="Times New Roman" w:hAnsi="Arial Narrow" w:cs="Times New Roman"/>
                <w:b/>
                <w:noProof/>
                <w:sz w:val="20"/>
                <w:szCs w:val="20"/>
                <w:lang w:eastAsia="en-AU"/>
              </w:rPr>
              <w:t>ESCs advice to MSAC</w:t>
            </w:r>
          </w:p>
        </w:tc>
      </w:tr>
      <w:tr w:rsidR="00A261BD" w:rsidRPr="0028467B" w14:paraId="05BBA5A5" w14:textId="77777777" w:rsidTr="00837F24">
        <w:trPr>
          <w:cantSplit/>
          <w:trHeight w:val="393"/>
        </w:trPr>
        <w:tc>
          <w:tcPr>
            <w:tcW w:w="2179" w:type="dxa"/>
            <w:hideMark/>
          </w:tcPr>
          <w:p w14:paraId="11767521"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color w:val="000000"/>
                <w:sz w:val="20"/>
                <w:szCs w:val="20"/>
                <w:lang w:eastAsia="en-AU"/>
              </w:rPr>
              <w:t>Evidence for diagnostic accuracy of pan-</w:t>
            </w:r>
            <w:proofErr w:type="spellStart"/>
            <w:r w:rsidRPr="0028467B">
              <w:rPr>
                <w:rFonts w:ascii="Arial Narrow" w:eastAsia="Times New Roman" w:hAnsi="Arial Narrow" w:cs="Times New Roman"/>
                <w:color w:val="000000"/>
                <w:sz w:val="20"/>
                <w:szCs w:val="20"/>
                <w:lang w:eastAsia="en-AU"/>
              </w:rPr>
              <w:t>Trk</w:t>
            </w:r>
            <w:proofErr w:type="spellEnd"/>
            <w:r w:rsidRPr="0028467B">
              <w:rPr>
                <w:rFonts w:ascii="Arial Narrow" w:eastAsia="Times New Roman" w:hAnsi="Arial Narrow" w:cs="Times New Roman"/>
                <w:color w:val="000000"/>
                <w:sz w:val="20"/>
                <w:szCs w:val="20"/>
                <w:lang w:eastAsia="en-AU"/>
              </w:rPr>
              <w:t xml:space="preserve"> IHC is weak.</w:t>
            </w:r>
          </w:p>
        </w:tc>
        <w:tc>
          <w:tcPr>
            <w:tcW w:w="6611" w:type="dxa"/>
            <w:hideMark/>
          </w:tcPr>
          <w:p w14:paraId="08782F4F"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 xml:space="preserve">The ESCs considered there were many uncertainties with the single case control study (Solomon et al. 2020) including multiple domains at high risk of bias. This resulted in little confidence in the estimates of effect size and thus the true test performance in </w:t>
            </w:r>
            <w:r w:rsidRPr="0028467B">
              <w:rPr>
                <w:rFonts w:ascii="Arial Narrow" w:eastAsia="Times New Roman" w:hAnsi="Arial Narrow" w:cs="Times New Roman"/>
                <w:color w:val="000000"/>
                <w:sz w:val="20"/>
                <w:szCs w:val="20"/>
                <w:lang w:eastAsia="en-AU"/>
              </w:rPr>
              <w:t xml:space="preserve">adult patients with low-frequency </w:t>
            </w:r>
            <w:r w:rsidRPr="0028467B">
              <w:rPr>
                <w:rFonts w:ascii="Arial Narrow" w:eastAsia="Times New Roman" w:hAnsi="Arial Narrow" w:cs="Times New Roman"/>
                <w:i/>
                <w:color w:val="000000"/>
                <w:sz w:val="20"/>
                <w:szCs w:val="20"/>
                <w:lang w:eastAsia="en-AU"/>
              </w:rPr>
              <w:t>NTRK</w:t>
            </w:r>
            <w:r w:rsidRPr="0028467B">
              <w:rPr>
                <w:rFonts w:ascii="Arial Narrow" w:eastAsia="Times New Roman" w:hAnsi="Arial Narrow" w:cs="Times New Roman"/>
                <w:color w:val="000000"/>
                <w:sz w:val="20"/>
                <w:szCs w:val="20"/>
                <w:lang w:eastAsia="en-AU"/>
              </w:rPr>
              <w:t xml:space="preserve"> gene fusion cancer types</w:t>
            </w:r>
            <w:r w:rsidRPr="0028467B">
              <w:rPr>
                <w:rFonts w:ascii="Arial Narrow" w:eastAsia="Times New Roman" w:hAnsi="Arial Narrow" w:cs="Times New Roman"/>
                <w:sz w:val="20"/>
                <w:szCs w:val="20"/>
                <w:lang w:eastAsia="en-AU"/>
              </w:rPr>
              <w:t xml:space="preserve"> is unknown.</w:t>
            </w:r>
          </w:p>
        </w:tc>
      </w:tr>
      <w:tr w:rsidR="00A261BD" w:rsidRPr="0028467B" w14:paraId="2268DC65" w14:textId="77777777" w:rsidTr="00837F24">
        <w:trPr>
          <w:cantSplit/>
          <w:trHeight w:val="393"/>
        </w:trPr>
        <w:tc>
          <w:tcPr>
            <w:tcW w:w="2179" w:type="dxa"/>
            <w:hideMark/>
          </w:tcPr>
          <w:p w14:paraId="0ACE6A69"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Assumption of perfect test performance of pan-</w:t>
            </w:r>
            <w:proofErr w:type="spellStart"/>
            <w:r w:rsidRPr="0028467B">
              <w:rPr>
                <w:rFonts w:ascii="Arial Narrow" w:eastAsia="Times New Roman" w:hAnsi="Arial Narrow" w:cs="Times New Roman"/>
                <w:sz w:val="20"/>
                <w:szCs w:val="20"/>
                <w:lang w:eastAsia="en-AU"/>
              </w:rPr>
              <w:t>Trk</w:t>
            </w:r>
            <w:proofErr w:type="spellEnd"/>
            <w:r w:rsidRPr="0028467B">
              <w:rPr>
                <w:rFonts w:ascii="Arial Narrow" w:eastAsia="Times New Roman" w:hAnsi="Arial Narrow" w:cs="Times New Roman"/>
                <w:sz w:val="20"/>
                <w:szCs w:val="20"/>
                <w:lang w:eastAsia="en-AU"/>
              </w:rPr>
              <w:t xml:space="preserve"> IHC is unachievable.</w:t>
            </w:r>
          </w:p>
        </w:tc>
        <w:tc>
          <w:tcPr>
            <w:tcW w:w="6611" w:type="dxa"/>
            <w:hideMark/>
          </w:tcPr>
          <w:p w14:paraId="2BD4EBDA"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The ESCs noted that the resubmission assumed 100% specificity in the economic analysis which was inconsistent with the clinical evidence for some cancer types included in</w:t>
            </w:r>
            <w:r w:rsidRPr="0028467B">
              <w:rPr>
                <w:rFonts w:ascii="Arial Narrow" w:eastAsia="Times New Roman" w:hAnsi="Arial Narrow" w:cs="Times New Roman"/>
                <w:color w:val="000000"/>
                <w:sz w:val="20"/>
                <w:szCs w:val="20"/>
                <w:lang w:eastAsia="en-AU"/>
              </w:rPr>
              <w:t xml:space="preserve"> adult patients with low-frequency </w:t>
            </w:r>
            <w:r w:rsidRPr="0028467B">
              <w:rPr>
                <w:rFonts w:ascii="Arial Narrow" w:eastAsia="Times New Roman" w:hAnsi="Arial Narrow" w:cs="Times New Roman"/>
                <w:i/>
                <w:color w:val="000000"/>
                <w:sz w:val="20"/>
                <w:szCs w:val="20"/>
                <w:lang w:eastAsia="en-AU"/>
              </w:rPr>
              <w:t>NTRK</w:t>
            </w:r>
            <w:r w:rsidRPr="0028467B">
              <w:rPr>
                <w:rFonts w:ascii="Arial Narrow" w:eastAsia="Times New Roman" w:hAnsi="Arial Narrow" w:cs="Times New Roman"/>
                <w:color w:val="000000"/>
                <w:sz w:val="20"/>
                <w:szCs w:val="20"/>
                <w:lang w:eastAsia="en-AU"/>
              </w:rPr>
              <w:t xml:space="preserve"> gene fusion cancer types</w:t>
            </w:r>
            <w:r w:rsidRPr="0028467B">
              <w:rPr>
                <w:rFonts w:ascii="Arial Narrow" w:eastAsia="Times New Roman" w:hAnsi="Arial Narrow" w:cs="Times New Roman"/>
                <w:sz w:val="20"/>
                <w:szCs w:val="20"/>
                <w:lang w:eastAsia="en-AU"/>
              </w:rPr>
              <w:t>. The ESCs considered that small reductions in specificity, and thereby including more false positives, would substantially increase costs of confirmatory NGS/FISH testing as it translates to large absolute numbers for the low prevalence estimates such as CRC and NSCLC.</w:t>
            </w:r>
          </w:p>
        </w:tc>
      </w:tr>
      <w:tr w:rsidR="00A261BD" w:rsidRPr="0028467B" w14:paraId="0363C319" w14:textId="77777777" w:rsidTr="00837F24">
        <w:trPr>
          <w:cantSplit/>
          <w:trHeight w:val="393"/>
        </w:trPr>
        <w:tc>
          <w:tcPr>
            <w:tcW w:w="2179" w:type="dxa"/>
          </w:tcPr>
          <w:p w14:paraId="2BDBCC22"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Generalisability of study data</w:t>
            </w:r>
          </w:p>
        </w:tc>
        <w:tc>
          <w:tcPr>
            <w:tcW w:w="6611" w:type="dxa"/>
          </w:tcPr>
          <w:p w14:paraId="2A330C18"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The ESCs noted that there was no study data presented for a</w:t>
            </w:r>
            <w:r w:rsidRPr="0028467B">
              <w:rPr>
                <w:rFonts w:ascii="Arial Narrow" w:eastAsia="Times New Roman" w:hAnsi="Arial Narrow" w:cs="Times New Roman"/>
                <w:color w:val="000000"/>
                <w:sz w:val="20"/>
                <w:szCs w:val="20"/>
                <w:lang w:eastAsia="en-AU"/>
              </w:rPr>
              <w:t xml:space="preserve">dult patients with low-frequency </w:t>
            </w:r>
            <w:r w:rsidRPr="0028467B">
              <w:rPr>
                <w:rFonts w:ascii="Arial Narrow" w:eastAsia="Times New Roman" w:hAnsi="Arial Narrow" w:cs="Times New Roman"/>
                <w:i/>
                <w:color w:val="000000"/>
                <w:sz w:val="20"/>
                <w:szCs w:val="20"/>
                <w:lang w:eastAsia="en-AU"/>
              </w:rPr>
              <w:t>NTRK</w:t>
            </w:r>
            <w:r w:rsidRPr="0028467B">
              <w:rPr>
                <w:rFonts w:ascii="Arial Narrow" w:eastAsia="Times New Roman" w:hAnsi="Arial Narrow" w:cs="Times New Roman"/>
                <w:color w:val="000000"/>
                <w:sz w:val="20"/>
                <w:szCs w:val="20"/>
                <w:lang w:eastAsia="en-AU"/>
              </w:rPr>
              <w:t xml:space="preserve"> gene fusion cancer types</w:t>
            </w:r>
            <w:r w:rsidRPr="0028467B">
              <w:rPr>
                <w:rFonts w:ascii="Arial Narrow" w:eastAsia="Times New Roman" w:hAnsi="Arial Narrow" w:cs="Times New Roman"/>
                <w:sz w:val="20"/>
                <w:szCs w:val="20"/>
                <w:lang w:eastAsia="en-AU"/>
              </w:rPr>
              <w:t xml:space="preserve"> that was generalisable to the Australian population. Thus, the ESCs considered that this meant that the PPV and NPV were unable to be calculated with validity.</w:t>
            </w:r>
          </w:p>
        </w:tc>
      </w:tr>
      <w:tr w:rsidR="00A261BD" w:rsidRPr="0028467B" w14:paraId="5BC10D5E" w14:textId="77777777" w:rsidTr="00837F24">
        <w:trPr>
          <w:cantSplit/>
          <w:trHeight w:val="393"/>
        </w:trPr>
        <w:tc>
          <w:tcPr>
            <w:tcW w:w="2179" w:type="dxa"/>
          </w:tcPr>
          <w:p w14:paraId="25404969"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New MBS item for pan-</w:t>
            </w:r>
            <w:proofErr w:type="spellStart"/>
            <w:r w:rsidRPr="0028467B">
              <w:rPr>
                <w:rFonts w:ascii="Arial Narrow" w:eastAsia="Times New Roman" w:hAnsi="Arial Narrow" w:cs="Times New Roman"/>
                <w:sz w:val="20"/>
                <w:szCs w:val="20"/>
                <w:lang w:eastAsia="en-AU"/>
              </w:rPr>
              <w:t>Trk</w:t>
            </w:r>
            <w:proofErr w:type="spellEnd"/>
            <w:r w:rsidRPr="0028467B">
              <w:rPr>
                <w:rFonts w:ascii="Arial Narrow" w:eastAsia="Times New Roman" w:hAnsi="Arial Narrow" w:cs="Times New Roman"/>
                <w:sz w:val="20"/>
                <w:szCs w:val="20"/>
                <w:lang w:eastAsia="en-AU"/>
              </w:rPr>
              <w:t xml:space="preserve"> IHC- higher fee relative to standard IHC</w:t>
            </w:r>
          </w:p>
        </w:tc>
        <w:tc>
          <w:tcPr>
            <w:tcW w:w="6611" w:type="dxa"/>
          </w:tcPr>
          <w:p w14:paraId="2E4D04E2"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The ESCs considered that no clear justification was provided for the higher proposed fee for pan-</w:t>
            </w:r>
            <w:proofErr w:type="spellStart"/>
            <w:r w:rsidRPr="0028467B">
              <w:rPr>
                <w:rFonts w:ascii="Arial Narrow" w:eastAsia="Times New Roman" w:hAnsi="Arial Narrow" w:cs="Times New Roman"/>
                <w:sz w:val="20"/>
                <w:szCs w:val="20"/>
                <w:lang w:eastAsia="en-AU"/>
              </w:rPr>
              <w:t>Trk</w:t>
            </w:r>
            <w:proofErr w:type="spellEnd"/>
            <w:r w:rsidRPr="0028467B">
              <w:rPr>
                <w:rFonts w:ascii="Arial Narrow" w:eastAsia="Times New Roman" w:hAnsi="Arial Narrow" w:cs="Times New Roman"/>
                <w:sz w:val="20"/>
                <w:szCs w:val="20"/>
                <w:lang w:eastAsia="en-AU"/>
              </w:rPr>
              <w:t xml:space="preserve"> IHC than the standard fee for IHC using 1-3 antibodies. If MSAC supports the pan-</w:t>
            </w:r>
            <w:proofErr w:type="spellStart"/>
            <w:r w:rsidRPr="0028467B">
              <w:rPr>
                <w:rFonts w:ascii="Arial Narrow" w:eastAsia="Times New Roman" w:hAnsi="Arial Narrow" w:cs="Times New Roman"/>
                <w:sz w:val="20"/>
                <w:szCs w:val="20"/>
                <w:lang w:eastAsia="en-AU"/>
              </w:rPr>
              <w:t>Trk</w:t>
            </w:r>
            <w:proofErr w:type="spellEnd"/>
            <w:r w:rsidRPr="0028467B">
              <w:rPr>
                <w:rFonts w:ascii="Arial Narrow" w:eastAsia="Times New Roman" w:hAnsi="Arial Narrow" w:cs="Times New Roman"/>
                <w:sz w:val="20"/>
                <w:szCs w:val="20"/>
                <w:lang w:eastAsia="en-AU"/>
              </w:rPr>
              <w:t xml:space="preserve"> IHC positivity defined as staining above background in at least 1% of tumour cells, than the cheaper fee may be acceptable.</w:t>
            </w:r>
          </w:p>
        </w:tc>
      </w:tr>
      <w:tr w:rsidR="00A261BD" w:rsidRPr="0028467B" w14:paraId="4D4A8C94" w14:textId="77777777" w:rsidTr="00837F24">
        <w:trPr>
          <w:cantSplit/>
          <w:trHeight w:val="393"/>
        </w:trPr>
        <w:tc>
          <w:tcPr>
            <w:tcW w:w="2179" w:type="dxa"/>
          </w:tcPr>
          <w:p w14:paraId="182AC2FE"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 xml:space="preserve">Assumption of perfect test performance of FISH and NGS is </w:t>
            </w:r>
            <w:proofErr w:type="spellStart"/>
            <w:r w:rsidRPr="0028467B">
              <w:rPr>
                <w:rFonts w:ascii="Arial Narrow" w:eastAsia="Times New Roman" w:hAnsi="Arial Narrow" w:cs="Times New Roman"/>
                <w:sz w:val="20"/>
                <w:szCs w:val="20"/>
                <w:lang w:eastAsia="en-AU"/>
              </w:rPr>
              <w:t>unachieveable</w:t>
            </w:r>
            <w:proofErr w:type="spellEnd"/>
          </w:p>
        </w:tc>
        <w:tc>
          <w:tcPr>
            <w:tcW w:w="6611" w:type="dxa"/>
          </w:tcPr>
          <w:p w14:paraId="3B8736B5"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The ESCs noted that the comparison of FISH vs. RNA-NGS (gold standard, providing that RNA quality is optimal) was limited to 1 study (Church et al. 2018) with significant concerns with false positives and false negatives, due to worse test performance when test failures were included. The ESCs considered that FISH is not 100% sensitive and specific in usual pathology practice and noted that for RNA-NGS, the lability of RNA precludes 100% test performance.</w:t>
            </w:r>
          </w:p>
        </w:tc>
      </w:tr>
      <w:tr w:rsidR="00A261BD" w:rsidRPr="0028467B" w14:paraId="4C86E3C3" w14:textId="77777777" w:rsidTr="00837F24">
        <w:trPr>
          <w:cantSplit/>
          <w:trHeight w:val="393"/>
        </w:trPr>
        <w:tc>
          <w:tcPr>
            <w:tcW w:w="2179" w:type="dxa"/>
          </w:tcPr>
          <w:p w14:paraId="3FFFE6E7"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Test parameters in the model</w:t>
            </w:r>
          </w:p>
        </w:tc>
        <w:tc>
          <w:tcPr>
            <w:tcW w:w="6611" w:type="dxa"/>
          </w:tcPr>
          <w:p w14:paraId="5749FD4A"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 xml:space="preserve">The ESCs considered that the base case estimates for test performance (i.e. NGS, FISH and IHC) were unachievable and noted that the ICER was highly sensitive to changes in test performance in adult patients with low-frequency </w:t>
            </w:r>
            <w:r w:rsidRPr="0028467B">
              <w:rPr>
                <w:rFonts w:ascii="Arial Narrow" w:eastAsia="Times New Roman" w:hAnsi="Arial Narrow" w:cs="Times New Roman"/>
                <w:i/>
                <w:iCs/>
                <w:sz w:val="20"/>
                <w:szCs w:val="20"/>
                <w:lang w:eastAsia="en-AU"/>
              </w:rPr>
              <w:t>NTRK</w:t>
            </w:r>
            <w:r w:rsidRPr="0028467B">
              <w:rPr>
                <w:rFonts w:ascii="Arial Narrow" w:eastAsia="Times New Roman" w:hAnsi="Arial Narrow" w:cs="Times New Roman"/>
                <w:sz w:val="20"/>
                <w:szCs w:val="20"/>
                <w:lang w:eastAsia="en-AU"/>
              </w:rPr>
              <w:t xml:space="preserve"> gene fusion cancer types.</w:t>
            </w:r>
          </w:p>
        </w:tc>
      </w:tr>
      <w:tr w:rsidR="00A261BD" w:rsidRPr="0028467B" w14:paraId="0854FF76" w14:textId="77777777" w:rsidTr="00837F24">
        <w:trPr>
          <w:cantSplit/>
          <w:trHeight w:val="393"/>
        </w:trPr>
        <w:tc>
          <w:tcPr>
            <w:tcW w:w="2179" w:type="dxa"/>
          </w:tcPr>
          <w:p w14:paraId="6DDC8E8C"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 xml:space="preserve">Data on </w:t>
            </w:r>
            <w:r w:rsidRPr="0028467B">
              <w:rPr>
                <w:rFonts w:ascii="Arial Narrow" w:eastAsia="Times New Roman" w:hAnsi="Arial Narrow" w:cs="Times New Roman"/>
                <w:color w:val="000000"/>
                <w:sz w:val="20"/>
                <w:szCs w:val="20"/>
                <w:lang w:eastAsia="en-AU"/>
              </w:rPr>
              <w:t xml:space="preserve">prognostic effects of </w:t>
            </w:r>
            <w:r w:rsidRPr="0028467B">
              <w:rPr>
                <w:rFonts w:ascii="Arial Narrow" w:eastAsia="Times New Roman" w:hAnsi="Arial Narrow" w:cs="Times New Roman"/>
                <w:i/>
                <w:color w:val="000000"/>
                <w:sz w:val="20"/>
                <w:szCs w:val="20"/>
                <w:lang w:eastAsia="en-AU"/>
              </w:rPr>
              <w:t>NTRK</w:t>
            </w:r>
            <w:r w:rsidRPr="0028467B">
              <w:rPr>
                <w:rFonts w:ascii="Arial Narrow" w:eastAsia="Times New Roman" w:hAnsi="Arial Narrow" w:cs="Times New Roman"/>
                <w:color w:val="000000"/>
                <w:sz w:val="20"/>
                <w:szCs w:val="20"/>
                <w:lang w:eastAsia="en-AU"/>
              </w:rPr>
              <w:t xml:space="preserve"> gene fusion status remains to be inconclusive</w:t>
            </w:r>
          </w:p>
        </w:tc>
        <w:tc>
          <w:tcPr>
            <w:tcW w:w="6611" w:type="dxa"/>
          </w:tcPr>
          <w:p w14:paraId="4155817A" w14:textId="77777777" w:rsidR="00A261BD" w:rsidRPr="0028467B" w:rsidRDefault="00A261BD" w:rsidP="00837F24">
            <w:pPr>
              <w:spacing w:before="0"/>
              <w:jc w:val="left"/>
              <w:rPr>
                <w:rFonts w:ascii="Arial Narrow" w:eastAsia="Times New Roman" w:hAnsi="Arial Narrow" w:cs="Times New Roman"/>
                <w:sz w:val="20"/>
                <w:szCs w:val="20"/>
                <w:lang w:eastAsia="en-AU"/>
              </w:rPr>
            </w:pPr>
            <w:r w:rsidRPr="0028467B">
              <w:rPr>
                <w:rFonts w:ascii="Arial Narrow" w:eastAsia="Times New Roman" w:hAnsi="Arial Narrow" w:cs="Times New Roman"/>
                <w:sz w:val="20"/>
                <w:szCs w:val="20"/>
                <w:lang w:eastAsia="en-AU"/>
              </w:rPr>
              <w:t xml:space="preserve">The ESCs noted that the assessment of the prognostic impact of </w:t>
            </w:r>
            <w:r w:rsidRPr="0028467B">
              <w:rPr>
                <w:rFonts w:ascii="Arial Narrow" w:eastAsia="Times New Roman" w:hAnsi="Arial Narrow" w:cs="Times New Roman"/>
                <w:i/>
                <w:sz w:val="20"/>
                <w:szCs w:val="20"/>
                <w:lang w:eastAsia="en-AU"/>
              </w:rPr>
              <w:t>NTRK</w:t>
            </w:r>
            <w:r w:rsidRPr="0028467B">
              <w:rPr>
                <w:rFonts w:ascii="Arial Narrow" w:eastAsia="Times New Roman" w:hAnsi="Arial Narrow" w:cs="Times New Roman"/>
                <w:sz w:val="20"/>
                <w:szCs w:val="20"/>
                <w:lang w:eastAsia="en-AU"/>
              </w:rPr>
              <w:t xml:space="preserve"> fusions was inconclusive, as it cannot be determined if the effect size differs between cancer types, or indeed, if </w:t>
            </w:r>
            <w:r w:rsidRPr="0028467B">
              <w:rPr>
                <w:rFonts w:ascii="Arial Narrow" w:eastAsia="Times New Roman" w:hAnsi="Arial Narrow" w:cs="Times New Roman"/>
                <w:i/>
                <w:sz w:val="20"/>
                <w:szCs w:val="20"/>
                <w:lang w:eastAsia="en-AU"/>
              </w:rPr>
              <w:t>NTRK</w:t>
            </w:r>
            <w:r w:rsidRPr="0028467B">
              <w:rPr>
                <w:rFonts w:ascii="Arial Narrow" w:eastAsia="Times New Roman" w:hAnsi="Arial Narrow" w:cs="Times New Roman"/>
                <w:sz w:val="20"/>
                <w:szCs w:val="20"/>
                <w:lang w:eastAsia="en-AU"/>
              </w:rPr>
              <w:t xml:space="preserve"> fusion cancers have a poorer prognosis in all cancer types. In addition, the ESCs also noted that the prognostic role of </w:t>
            </w:r>
            <w:r w:rsidRPr="0028467B">
              <w:rPr>
                <w:rFonts w:ascii="Arial Narrow" w:eastAsia="Times New Roman" w:hAnsi="Arial Narrow" w:cs="Times New Roman"/>
                <w:i/>
                <w:sz w:val="20"/>
                <w:szCs w:val="20"/>
                <w:lang w:eastAsia="en-AU"/>
              </w:rPr>
              <w:t>NTRK</w:t>
            </w:r>
            <w:r w:rsidRPr="0028467B">
              <w:rPr>
                <w:rFonts w:ascii="Arial Narrow" w:eastAsia="Times New Roman" w:hAnsi="Arial Narrow" w:cs="Times New Roman"/>
                <w:sz w:val="20"/>
                <w:szCs w:val="20"/>
                <w:lang w:eastAsia="en-AU"/>
              </w:rPr>
              <w:t xml:space="preserve"> fusions in low prevalence cancers, such as NSCLC and CRC are unknown.</w:t>
            </w:r>
          </w:p>
        </w:tc>
      </w:tr>
    </w:tbl>
    <w:p w14:paraId="06A2D0A2" w14:textId="77777777" w:rsidR="00A261BD" w:rsidRPr="005C157F" w:rsidRDefault="00A261BD" w:rsidP="0028467B">
      <w:pPr>
        <w:keepNext/>
        <w:keepLines/>
        <w:spacing w:before="240" w:after="120"/>
        <w:ind w:left="720" w:hanging="720"/>
        <w:jc w:val="left"/>
        <w:outlineLvl w:val="0"/>
        <w:rPr>
          <w:rFonts w:ascii="Times New Roman" w:eastAsia="Times New Roman" w:hAnsi="Times New Roman" w:cs="Times New Roman"/>
          <w:b/>
          <w:bCs/>
          <w:szCs w:val="28"/>
          <w:lang w:eastAsia="en-AU"/>
        </w:rPr>
      </w:pPr>
      <w:r w:rsidRPr="005C157F">
        <w:rPr>
          <w:rFonts w:ascii="Times New Roman" w:eastAsia="Times New Roman" w:hAnsi="Times New Roman" w:cs="Times New Roman"/>
          <w:b/>
          <w:bCs/>
          <w:szCs w:val="28"/>
          <w:lang w:eastAsia="en-AU"/>
        </w:rPr>
        <w:t>ESCs discussion</w:t>
      </w:r>
    </w:p>
    <w:p w14:paraId="2F2A8037" w14:textId="77777777" w:rsidR="00A261BD" w:rsidRPr="005C157F" w:rsidRDefault="00A261BD" w:rsidP="00A261BD">
      <w:pPr>
        <w:spacing w:before="20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The ESCs noted that the purpose of this resubmission was testing for </w:t>
      </w:r>
      <w:r w:rsidRPr="005C157F">
        <w:rPr>
          <w:rFonts w:ascii="Times New Roman" w:eastAsia="Times New Roman" w:hAnsi="Times New Roman" w:cs="Times New Roman"/>
          <w:color w:val="000000"/>
          <w:szCs w:val="20"/>
          <w:lang w:eastAsia="en-AU"/>
        </w:rPr>
        <w:t>neurotrophic tyrosine receptor kinase (</w:t>
      </w:r>
      <w:r w:rsidRPr="005C157F">
        <w:rPr>
          <w:rFonts w:ascii="Times New Roman" w:eastAsia="Times New Roman" w:hAnsi="Times New Roman" w:cs="Times New Roman"/>
          <w:i/>
          <w:color w:val="000000"/>
          <w:szCs w:val="20"/>
          <w:lang w:eastAsia="en-AU"/>
        </w:rPr>
        <w:t>NTRK</w:t>
      </w:r>
      <w:r w:rsidRPr="005C157F">
        <w:rPr>
          <w:rFonts w:ascii="Times New Roman" w:eastAsia="Times New Roman" w:hAnsi="Times New Roman" w:cs="Times New Roman"/>
          <w:color w:val="000000"/>
          <w:szCs w:val="20"/>
          <w:lang w:eastAsia="en-AU"/>
        </w:rPr>
        <w:t xml:space="preserve">) gene fusions </w:t>
      </w:r>
      <w:r w:rsidRPr="005C157F">
        <w:rPr>
          <w:rFonts w:ascii="Times New Roman" w:eastAsia="Times New Roman" w:hAnsi="Times New Roman" w:cs="Times New Roman"/>
          <w:szCs w:val="20"/>
          <w:lang w:eastAsia="en-AU"/>
        </w:rPr>
        <w:t>to determine eligibility for treatment with larotrectinib.</w:t>
      </w:r>
    </w:p>
    <w:p w14:paraId="77E55596" w14:textId="77777777"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The ESCs noted that four distinct populations were proposed, the paediatric population was unchanged in the resubmission; however, the adult population was redefined to include specific tumour types:</w:t>
      </w:r>
    </w:p>
    <w:p w14:paraId="341143DE" w14:textId="77777777" w:rsidR="00A261BD" w:rsidRPr="005C157F" w:rsidRDefault="00A261BD" w:rsidP="00864249">
      <w:pPr>
        <w:numPr>
          <w:ilvl w:val="0"/>
          <w:numId w:val="19"/>
        </w:numPr>
        <w:spacing w:before="200" w:after="0"/>
        <w:ind w:left="714" w:hanging="357"/>
        <w:contextualSpacing/>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Paediatric patients newly diagnosed with solid tumours with high-frequency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gene fusions that are metastatic or locally advanced</w:t>
      </w:r>
    </w:p>
    <w:p w14:paraId="1565768A" w14:textId="77777777" w:rsidR="00A261BD" w:rsidRPr="005C157F" w:rsidRDefault="00A261BD" w:rsidP="00864249">
      <w:pPr>
        <w:numPr>
          <w:ilvl w:val="0"/>
          <w:numId w:val="19"/>
        </w:numPr>
        <w:spacing w:before="200" w:after="0"/>
        <w:ind w:left="714" w:hanging="357"/>
        <w:contextualSpacing/>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Adult patients newly diagnosed with solid tumours with high-frequency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gene fusion cancer types: mammary analogue secretory carcinoma (MASC) or secretory breast carcinoma (SBC that are metastatic or locally advanced</w:t>
      </w:r>
    </w:p>
    <w:p w14:paraId="70814C45" w14:textId="77777777" w:rsidR="00A261BD" w:rsidRPr="005C157F" w:rsidRDefault="00A261BD" w:rsidP="00864249">
      <w:pPr>
        <w:numPr>
          <w:ilvl w:val="0"/>
          <w:numId w:val="19"/>
        </w:numPr>
        <w:spacing w:before="200" w:after="0"/>
        <w:ind w:left="714" w:hanging="357"/>
        <w:contextualSpacing/>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Paediatric patients newly diagnosed solid tumours with low-frequency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gene fusions that are metastatic or locally advanced</w:t>
      </w:r>
    </w:p>
    <w:p w14:paraId="2B57DF7D" w14:textId="77777777" w:rsidR="00A261BD" w:rsidRPr="005C157F" w:rsidRDefault="00A261BD" w:rsidP="00864249">
      <w:pPr>
        <w:numPr>
          <w:ilvl w:val="0"/>
          <w:numId w:val="19"/>
        </w:numPr>
        <w:spacing w:before="200" w:after="0"/>
        <w:ind w:left="714" w:hanging="357"/>
        <w:contextualSpacing/>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Adult patients with solid tumours with low-frequency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gene fusion cancer types: colorectal cancer (CRC), soft tissue sarcoma (STS), non-small cell lung cancer </w:t>
      </w:r>
      <w:r w:rsidRPr="005C157F">
        <w:rPr>
          <w:rFonts w:ascii="Times New Roman" w:eastAsia="Times New Roman" w:hAnsi="Times New Roman" w:cs="Times New Roman"/>
          <w:szCs w:val="20"/>
          <w:lang w:eastAsia="en-AU"/>
        </w:rPr>
        <w:lastRenderedPageBreak/>
        <w:t>(NSCLC) or thyroid cancer that are metastatic or locally advanced and have relapsed/refractory disease with no suitable alternate therapy.</w:t>
      </w:r>
    </w:p>
    <w:p w14:paraId="652591F4" w14:textId="60B5B1BA" w:rsidR="00A261BD" w:rsidRPr="005C157F" w:rsidRDefault="00A261BD" w:rsidP="00A261BD">
      <w:pPr>
        <w:spacing w:before="20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The ESCs noted several issues with the new MBS item for pan-</w:t>
      </w:r>
      <w:proofErr w:type="spellStart"/>
      <w:r w:rsidRPr="005C157F">
        <w:rPr>
          <w:rFonts w:ascii="Times New Roman" w:eastAsia="Times New Roman" w:hAnsi="Times New Roman" w:cs="Times New Roman"/>
          <w:szCs w:val="20"/>
          <w:lang w:eastAsia="en-AU"/>
        </w:rPr>
        <w:t>Trk</w:t>
      </w:r>
      <w:proofErr w:type="spellEnd"/>
      <w:r w:rsidRPr="005C157F">
        <w:rPr>
          <w:rFonts w:ascii="Times New Roman" w:eastAsia="Times New Roman" w:hAnsi="Times New Roman" w:cs="Times New Roman"/>
          <w:szCs w:val="20"/>
          <w:lang w:eastAsia="en-AU"/>
        </w:rPr>
        <w:t xml:space="preserve"> immunohistochemistry (IHC) item for adult low frequency </w:t>
      </w:r>
      <w:r w:rsidRPr="005C157F">
        <w:rPr>
          <w:rFonts w:ascii="Times New Roman" w:eastAsia="Times New Roman" w:hAnsi="Times New Roman" w:cs="Times New Roman"/>
          <w:i/>
          <w:szCs w:val="20"/>
          <w:lang w:eastAsia="en-AU"/>
        </w:rPr>
        <w:t>NTRK</w:t>
      </w:r>
      <w:r w:rsidRPr="005C157F">
        <w:rPr>
          <w:rFonts w:ascii="Times New Roman" w:eastAsia="Times New Roman" w:hAnsi="Times New Roman" w:cs="Times New Roman"/>
          <w:szCs w:val="20"/>
          <w:lang w:eastAsia="en-AU"/>
        </w:rPr>
        <w:t xml:space="preserve"> gene fusion cancer types (Table 2):</w:t>
      </w:r>
    </w:p>
    <w:p w14:paraId="6D5D2BC8" w14:textId="77777777" w:rsidR="00A261BD" w:rsidRPr="005C157F" w:rsidRDefault="00A261BD" w:rsidP="00864249">
      <w:pPr>
        <w:numPr>
          <w:ilvl w:val="0"/>
          <w:numId w:val="20"/>
        </w:numPr>
        <w:spacing w:before="200" w:after="0"/>
        <w:ind w:left="714" w:hanging="357"/>
        <w:contextualSpacing/>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The ESCs considered that no clear justification was provided for the higher proposed fee for pan-</w:t>
      </w:r>
      <w:proofErr w:type="spellStart"/>
      <w:r w:rsidRPr="005C157F">
        <w:rPr>
          <w:rFonts w:ascii="Times New Roman" w:eastAsia="Times New Roman" w:hAnsi="Times New Roman" w:cs="Times New Roman"/>
          <w:szCs w:val="20"/>
          <w:lang w:eastAsia="en-AU"/>
        </w:rPr>
        <w:t>Trk</w:t>
      </w:r>
      <w:proofErr w:type="spellEnd"/>
      <w:r w:rsidRPr="005C157F">
        <w:rPr>
          <w:rFonts w:ascii="Times New Roman" w:eastAsia="Times New Roman" w:hAnsi="Times New Roman" w:cs="Times New Roman"/>
          <w:szCs w:val="20"/>
          <w:lang w:eastAsia="en-AU"/>
        </w:rPr>
        <w:t xml:space="preserve"> IHC ($74.50) than the standard fee for IHC using 1-3 antibodies of $59.60 </w:t>
      </w:r>
      <w:r>
        <w:rPr>
          <w:rFonts w:ascii="Times New Roman" w:eastAsia="Times New Roman" w:hAnsi="Times New Roman" w:cs="Times New Roman"/>
          <w:szCs w:val="20"/>
          <w:lang w:eastAsia="en-AU"/>
        </w:rPr>
        <w:t xml:space="preserve">(MBS </w:t>
      </w:r>
      <w:r w:rsidRPr="005C157F">
        <w:rPr>
          <w:rFonts w:ascii="Times New Roman" w:eastAsia="Times New Roman" w:hAnsi="Times New Roman" w:cs="Times New Roman"/>
          <w:szCs w:val="20"/>
          <w:lang w:eastAsia="en-AU"/>
        </w:rPr>
        <w:t>item 72846</w:t>
      </w:r>
      <w:r>
        <w:rPr>
          <w:rFonts w:ascii="Times New Roman" w:eastAsia="Times New Roman" w:hAnsi="Times New Roman" w:cs="Times New Roman"/>
          <w:szCs w:val="20"/>
          <w:lang w:eastAsia="en-AU"/>
        </w:rPr>
        <w:t>)</w:t>
      </w:r>
      <w:r w:rsidRPr="005C157F">
        <w:rPr>
          <w:rFonts w:ascii="Times New Roman" w:eastAsia="Times New Roman" w:hAnsi="Times New Roman" w:cs="Times New Roman"/>
          <w:szCs w:val="20"/>
          <w:lang w:eastAsia="en-AU"/>
        </w:rPr>
        <w:t xml:space="preserve">. The ESCs noted that the appropriateness of the increased fee would depend on the scoring algorithm for </w:t>
      </w:r>
      <w:proofErr w:type="spellStart"/>
      <w:r w:rsidRPr="005C157F">
        <w:rPr>
          <w:rFonts w:ascii="Times New Roman" w:eastAsia="Times New Roman" w:hAnsi="Times New Roman" w:cs="Times New Roman"/>
          <w:szCs w:val="20"/>
          <w:lang w:eastAsia="en-AU"/>
        </w:rPr>
        <w:t>Trk</w:t>
      </w:r>
      <w:proofErr w:type="spellEnd"/>
      <w:r w:rsidRPr="005C157F">
        <w:rPr>
          <w:rFonts w:ascii="Times New Roman" w:eastAsia="Times New Roman" w:hAnsi="Times New Roman" w:cs="Times New Roman"/>
          <w:szCs w:val="20"/>
          <w:lang w:eastAsia="en-AU"/>
        </w:rPr>
        <w:t xml:space="preserve"> IHC positivity. If positivity is defined as any staining above background in at least 1% of tumour cells, then the cheaper fee may be more appropriate.</w:t>
      </w:r>
    </w:p>
    <w:p w14:paraId="2A65984F" w14:textId="77777777" w:rsidR="00A261BD" w:rsidRPr="005C157F" w:rsidRDefault="00A261BD" w:rsidP="00864249">
      <w:pPr>
        <w:numPr>
          <w:ilvl w:val="0"/>
          <w:numId w:val="20"/>
        </w:numPr>
        <w:spacing w:before="200" w:after="0"/>
        <w:contextualSpacing/>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The ESCs queried if ‘thyroid cancer’ needed to be more tightly defined given it</w:t>
      </w:r>
      <w:r>
        <w:rPr>
          <w:rFonts w:ascii="Times New Roman" w:eastAsia="Times New Roman" w:hAnsi="Times New Roman" w:cs="Times New Roman"/>
          <w:szCs w:val="20"/>
          <w:lang w:eastAsia="en-AU"/>
        </w:rPr>
        <w:t xml:space="preserve"> i</w:t>
      </w:r>
      <w:r w:rsidRPr="005C157F">
        <w:rPr>
          <w:rFonts w:ascii="Times New Roman" w:eastAsia="Times New Roman" w:hAnsi="Times New Roman" w:cs="Times New Roman"/>
          <w:szCs w:val="20"/>
          <w:lang w:eastAsia="en-AU"/>
        </w:rPr>
        <w:t>s a common cancer</w:t>
      </w:r>
      <w:r>
        <w:rPr>
          <w:rFonts w:ascii="Times New Roman" w:eastAsia="Times New Roman" w:hAnsi="Times New Roman" w:cs="Times New Roman"/>
          <w:szCs w:val="20"/>
          <w:lang w:eastAsia="en-AU"/>
        </w:rPr>
        <w:t xml:space="preserve"> with variable prognosis.</w:t>
      </w:r>
    </w:p>
    <w:p w14:paraId="1690E3E5" w14:textId="77777777" w:rsidR="00A261BD" w:rsidRPr="005C157F" w:rsidRDefault="00A261BD" w:rsidP="00864249">
      <w:pPr>
        <w:numPr>
          <w:ilvl w:val="0"/>
          <w:numId w:val="20"/>
        </w:numPr>
        <w:spacing w:before="200" w:after="0"/>
        <w:contextualSpacing/>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The ESCs also queried the </w:t>
      </w:r>
      <w:r>
        <w:rPr>
          <w:rFonts w:ascii="Times New Roman" w:eastAsia="Times New Roman" w:hAnsi="Times New Roman" w:cs="Times New Roman"/>
          <w:szCs w:val="20"/>
          <w:lang w:eastAsia="en-AU"/>
        </w:rPr>
        <w:t xml:space="preserve">linkage between </w:t>
      </w:r>
      <w:r w:rsidRPr="005C157F">
        <w:rPr>
          <w:rFonts w:ascii="Times New Roman" w:eastAsia="Times New Roman" w:hAnsi="Times New Roman" w:cs="Times New Roman"/>
          <w:szCs w:val="20"/>
          <w:lang w:eastAsia="en-AU"/>
        </w:rPr>
        <w:t xml:space="preserve">the first </w:t>
      </w:r>
      <w:r>
        <w:rPr>
          <w:rFonts w:ascii="Times New Roman" w:eastAsia="Times New Roman" w:hAnsi="Times New Roman" w:cs="Times New Roman"/>
          <w:szCs w:val="20"/>
          <w:lang w:eastAsia="en-AU"/>
        </w:rPr>
        <w:t xml:space="preserve">and second </w:t>
      </w:r>
      <w:r w:rsidRPr="005C157F">
        <w:rPr>
          <w:rFonts w:ascii="Times New Roman" w:eastAsia="Times New Roman" w:hAnsi="Times New Roman" w:cs="Times New Roman"/>
          <w:szCs w:val="20"/>
          <w:lang w:eastAsia="en-AU"/>
        </w:rPr>
        <w:t>sentence</w:t>
      </w:r>
      <w:r>
        <w:rPr>
          <w:rFonts w:ascii="Times New Roman" w:eastAsia="Times New Roman" w:hAnsi="Times New Roman" w:cs="Times New Roman"/>
          <w:szCs w:val="20"/>
          <w:lang w:eastAsia="en-AU"/>
        </w:rPr>
        <w:t>s</w:t>
      </w:r>
      <w:r w:rsidRPr="005C157F">
        <w:rPr>
          <w:rFonts w:ascii="Times New Roman" w:eastAsia="Times New Roman" w:hAnsi="Times New Roman" w:cs="Times New Roman"/>
          <w:szCs w:val="20"/>
          <w:lang w:eastAsia="en-AU"/>
        </w:rPr>
        <w:t xml:space="preserve"> and also if the Boolean logic flowed correctly</w:t>
      </w:r>
      <w:r>
        <w:rPr>
          <w:rFonts w:ascii="Times New Roman" w:eastAsia="Times New Roman" w:hAnsi="Times New Roman" w:cs="Times New Roman"/>
          <w:szCs w:val="20"/>
          <w:lang w:eastAsia="en-AU"/>
        </w:rPr>
        <w:t xml:space="preserve"> and clearly across the entire item descriptor</w:t>
      </w:r>
      <w:r w:rsidRPr="005C157F">
        <w:rPr>
          <w:rFonts w:ascii="Times New Roman" w:eastAsia="Times New Roman" w:hAnsi="Times New Roman" w:cs="Times New Roman"/>
          <w:szCs w:val="20"/>
          <w:lang w:eastAsia="en-AU"/>
        </w:rPr>
        <w:t>.</w:t>
      </w:r>
    </w:p>
    <w:p w14:paraId="05315E02" w14:textId="3570115A"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The ESCs considered the new MBS items for </w:t>
      </w:r>
      <w:r w:rsidRPr="005C157F">
        <w:rPr>
          <w:rFonts w:ascii="Times New Roman" w:eastAsia="Times New Roman" w:hAnsi="Times New Roman" w:cs="Times New Roman"/>
          <w:i/>
          <w:szCs w:val="20"/>
          <w:lang w:eastAsia="en-AU"/>
        </w:rPr>
        <w:t>NTRK</w:t>
      </w:r>
      <w:r w:rsidRPr="005C157F">
        <w:rPr>
          <w:rFonts w:ascii="Times New Roman" w:eastAsia="Times New Roman" w:hAnsi="Times New Roman" w:cs="Times New Roman"/>
          <w:szCs w:val="20"/>
          <w:lang w:eastAsia="en-AU"/>
        </w:rPr>
        <w:t xml:space="preserve"> fusion testing using FISH or NGS for paediatric or adults with metastatic or locally advanced high-frequency tumours MASC or SBC (BBBB; DDDD, see Table 3). The ESCs noted the description</w:t>
      </w:r>
      <w:r>
        <w:rPr>
          <w:rFonts w:ascii="Times New Roman" w:eastAsia="Times New Roman" w:hAnsi="Times New Roman" w:cs="Times New Roman"/>
          <w:szCs w:val="20"/>
          <w:lang w:eastAsia="en-AU"/>
        </w:rPr>
        <w:t>s</w:t>
      </w:r>
      <w:r w:rsidRPr="005C157F">
        <w:rPr>
          <w:rFonts w:ascii="Times New Roman" w:eastAsia="Times New Roman" w:hAnsi="Times New Roman" w:cs="Times New Roman"/>
          <w:szCs w:val="20"/>
          <w:lang w:eastAsia="en-AU"/>
        </w:rPr>
        <w:t xml:space="preserve"> of the paediatric and adult populations should be in separate dot points to improve clarity.</w:t>
      </w:r>
    </w:p>
    <w:p w14:paraId="057D847D" w14:textId="275668F0"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The ESCs queried the appropriateness of the proposed fee for the new MBS items (CCCC</w:t>
      </w:r>
      <w:r>
        <w:rPr>
          <w:rFonts w:ascii="Times New Roman" w:eastAsia="Times New Roman" w:hAnsi="Times New Roman" w:cs="Times New Roman"/>
          <w:szCs w:val="20"/>
          <w:lang w:eastAsia="en-AU"/>
        </w:rPr>
        <w:t xml:space="preserve"> or DDDD</w:t>
      </w:r>
      <w:r w:rsidRPr="005C157F">
        <w:rPr>
          <w:rFonts w:ascii="Times New Roman" w:eastAsia="Times New Roman" w:hAnsi="Times New Roman" w:cs="Times New Roman"/>
          <w:szCs w:val="20"/>
          <w:lang w:eastAsia="en-AU"/>
        </w:rPr>
        <w:t>; see Table 3)</w:t>
      </w:r>
      <w:r>
        <w:rPr>
          <w:rFonts w:ascii="Times New Roman" w:eastAsia="Times New Roman" w:hAnsi="Times New Roman" w:cs="Times New Roman"/>
          <w:szCs w:val="20"/>
          <w:lang w:eastAsia="en-AU"/>
        </w:rPr>
        <w:t xml:space="preserve"> </w:t>
      </w:r>
      <w:r w:rsidRPr="005C157F">
        <w:rPr>
          <w:rFonts w:ascii="Times New Roman" w:eastAsia="Times New Roman" w:hAnsi="Times New Roman" w:cs="Times New Roman"/>
          <w:szCs w:val="20"/>
          <w:lang w:eastAsia="en-AU"/>
        </w:rPr>
        <w:t>for</w:t>
      </w:r>
      <w:r w:rsidRPr="005C157F">
        <w:rPr>
          <w:rFonts w:ascii="Times New Roman" w:eastAsia="Times New Roman" w:hAnsi="Times New Roman" w:cs="Times New Roman"/>
          <w:i/>
          <w:szCs w:val="20"/>
          <w:lang w:eastAsia="en-AU"/>
        </w:rPr>
        <w:t xml:space="preserve"> NTRK</w:t>
      </w:r>
      <w:r w:rsidRPr="005C157F">
        <w:rPr>
          <w:rFonts w:ascii="Times New Roman" w:eastAsia="Times New Roman" w:hAnsi="Times New Roman" w:cs="Times New Roman"/>
          <w:szCs w:val="20"/>
          <w:lang w:eastAsia="en-AU"/>
        </w:rPr>
        <w:t xml:space="preserve"> fusion testing using NGS (DNA or RNA not specified). The ESCs noted that although the proposed fee of $1,200 was consistent with previous MSAC advice (see MSAC application 1602 PSD 2020, pp5-6), this fee was higher than the suggested fee of $980 from a costing study in the Ratified PICO (see Ratified PICO Confirmation 1602, 2020, p24). In addition, the ESCs considered that the cost per NGS test may not be reasonable as only three genes </w:t>
      </w:r>
      <w:r>
        <w:rPr>
          <w:rFonts w:ascii="Times New Roman" w:eastAsia="Times New Roman" w:hAnsi="Times New Roman" w:cs="Times New Roman"/>
          <w:szCs w:val="20"/>
          <w:lang w:eastAsia="en-AU"/>
        </w:rPr>
        <w:t xml:space="preserve">need to be </w:t>
      </w:r>
      <w:r w:rsidRPr="005C157F">
        <w:rPr>
          <w:rFonts w:ascii="Times New Roman" w:eastAsia="Times New Roman" w:hAnsi="Times New Roman" w:cs="Times New Roman"/>
          <w:szCs w:val="20"/>
          <w:lang w:eastAsia="en-AU"/>
        </w:rPr>
        <w:t>assess</w:t>
      </w:r>
      <w:r>
        <w:rPr>
          <w:rFonts w:ascii="Times New Roman" w:eastAsia="Times New Roman" w:hAnsi="Times New Roman" w:cs="Times New Roman"/>
          <w:szCs w:val="20"/>
          <w:lang w:eastAsia="en-AU"/>
        </w:rPr>
        <w:t>ed for</w:t>
      </w:r>
      <w:r w:rsidRPr="005C157F">
        <w:rPr>
          <w:rFonts w:ascii="Times New Roman" w:eastAsia="Times New Roman" w:hAnsi="Times New Roman" w:cs="Times New Roman"/>
          <w:szCs w:val="20"/>
          <w:lang w:eastAsia="en-AU"/>
        </w:rPr>
        <w:t xml:space="preserve"> sequence variants.</w:t>
      </w:r>
    </w:p>
    <w:p w14:paraId="15955426" w14:textId="77777777"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The ESCs noted that many of the concerns of MSAC were not addressed in the resubmission, including the biological plausibility for impact of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fusions across multiple cancer types,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fusion prevalence across different populations, change in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fusion prevalence as disease progresses, and establishing the prognostic value of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fusion cancer.</w:t>
      </w:r>
    </w:p>
    <w:p w14:paraId="0ADBCBC0" w14:textId="77777777" w:rsidR="00A261BD" w:rsidRPr="005C157F" w:rsidRDefault="00A261BD" w:rsidP="0028467B">
      <w:pPr>
        <w:spacing w:before="240" w:after="0"/>
        <w:jc w:val="left"/>
        <w:rPr>
          <w:rFonts w:ascii="Times New Roman" w:eastAsia="Times New Roman" w:hAnsi="Times New Roman" w:cs="Times New Roman"/>
          <w:szCs w:val="20"/>
          <w:lang w:val="en-GB" w:eastAsia="en-AU"/>
        </w:rPr>
      </w:pPr>
      <w:r w:rsidRPr="005C157F">
        <w:rPr>
          <w:rFonts w:ascii="Times New Roman" w:eastAsia="Times New Roman" w:hAnsi="Times New Roman" w:cs="Times New Roman"/>
          <w:szCs w:val="20"/>
          <w:lang w:val="en-GB" w:eastAsia="en-AU"/>
        </w:rPr>
        <w:t xml:space="preserve">The ESCs considered the seven new studies identified by the resubmission to provide prognostic evidence. The ESCs </w:t>
      </w:r>
      <w:r>
        <w:rPr>
          <w:rFonts w:ascii="Times New Roman" w:eastAsia="Times New Roman" w:hAnsi="Times New Roman" w:cs="Times New Roman"/>
          <w:szCs w:val="20"/>
          <w:lang w:val="en-GB" w:eastAsia="en-AU"/>
        </w:rPr>
        <w:t>considered</w:t>
      </w:r>
      <w:r w:rsidRPr="005C157F">
        <w:rPr>
          <w:rFonts w:ascii="Times New Roman" w:eastAsia="Times New Roman" w:hAnsi="Times New Roman" w:cs="Times New Roman"/>
          <w:szCs w:val="20"/>
          <w:lang w:val="en-GB" w:eastAsia="en-AU"/>
        </w:rPr>
        <w:t xml:space="preserve"> that the assessment of the prognostic impact of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fusions remained inconclusive, as it cannot be determined if the </w:t>
      </w:r>
      <w:r>
        <w:rPr>
          <w:rFonts w:ascii="Times New Roman" w:eastAsia="Times New Roman" w:hAnsi="Times New Roman" w:cs="Times New Roman"/>
          <w:szCs w:val="20"/>
          <w:lang w:val="en-GB" w:eastAsia="en-AU"/>
        </w:rPr>
        <w:t xml:space="preserve">prognostic </w:t>
      </w:r>
      <w:r w:rsidRPr="005C157F">
        <w:rPr>
          <w:rFonts w:ascii="Times New Roman" w:eastAsia="Times New Roman" w:hAnsi="Times New Roman" w:cs="Times New Roman"/>
          <w:szCs w:val="20"/>
          <w:lang w:val="en-GB" w:eastAsia="en-AU"/>
        </w:rPr>
        <w:t xml:space="preserve">effect size differs between cancer types, or indeed, if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fusion cancers have a poorer prognosis in all cancer types. The ESCs also considered that the prognostic role of NTRK fusions in low prevalence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fusion cancers, such as NSCLC and CRC </w:t>
      </w:r>
      <w:r>
        <w:rPr>
          <w:rFonts w:ascii="Times New Roman" w:eastAsia="Times New Roman" w:hAnsi="Times New Roman" w:cs="Times New Roman"/>
          <w:szCs w:val="20"/>
          <w:lang w:val="en-GB" w:eastAsia="en-AU"/>
        </w:rPr>
        <w:t>is</w:t>
      </w:r>
      <w:r w:rsidRPr="005C157F">
        <w:rPr>
          <w:rFonts w:ascii="Times New Roman" w:eastAsia="Times New Roman" w:hAnsi="Times New Roman" w:cs="Times New Roman"/>
          <w:szCs w:val="20"/>
          <w:lang w:val="en-GB" w:eastAsia="en-AU"/>
        </w:rPr>
        <w:t xml:space="preserve"> unknown. In addition, the ESCs queried whether the clinical place of testing and treatment</w:t>
      </w:r>
      <w:r w:rsidRPr="005C157F">
        <w:rPr>
          <w:rFonts w:ascii="Times New Roman" w:eastAsia="Times New Roman" w:hAnsi="Times New Roman" w:cs="Times New Roman"/>
          <w:szCs w:val="20"/>
          <w:lang w:eastAsia="en-AU"/>
        </w:rPr>
        <w:t xml:space="preserve"> was supported in these low prevalence cancer types with alternative treatment options.</w:t>
      </w:r>
    </w:p>
    <w:p w14:paraId="644E1B0E" w14:textId="39047E5A" w:rsidR="00A261BD" w:rsidRPr="005C157F" w:rsidRDefault="00A261BD" w:rsidP="0028467B">
      <w:pPr>
        <w:spacing w:before="240" w:after="0"/>
        <w:jc w:val="left"/>
        <w:rPr>
          <w:rFonts w:ascii="Times New Roman" w:eastAsia="Times New Roman" w:hAnsi="Times New Roman" w:cs="Times New Roman"/>
          <w:szCs w:val="20"/>
          <w:lang w:val="en-GB" w:eastAsia="en-AU"/>
        </w:rPr>
      </w:pPr>
      <w:r w:rsidRPr="005C157F">
        <w:rPr>
          <w:rFonts w:ascii="Times New Roman" w:eastAsia="Times New Roman" w:hAnsi="Times New Roman" w:cs="Times New Roman"/>
          <w:szCs w:val="20"/>
          <w:lang w:val="en-GB" w:eastAsia="en-AU"/>
        </w:rPr>
        <w:t>The ESCs considered the evidence of analytical validity of pan-</w:t>
      </w:r>
      <w:proofErr w:type="spellStart"/>
      <w:r w:rsidRPr="005C157F">
        <w:rPr>
          <w:rFonts w:ascii="Times New Roman" w:eastAsia="Times New Roman" w:hAnsi="Times New Roman" w:cs="Times New Roman"/>
          <w:szCs w:val="20"/>
          <w:lang w:val="en-GB" w:eastAsia="en-AU"/>
        </w:rPr>
        <w:t>Trk</w:t>
      </w:r>
      <w:proofErr w:type="spellEnd"/>
      <w:r w:rsidRPr="005C157F">
        <w:rPr>
          <w:rFonts w:ascii="Times New Roman" w:eastAsia="Times New Roman" w:hAnsi="Times New Roman" w:cs="Times New Roman"/>
          <w:szCs w:val="20"/>
          <w:lang w:val="en-GB" w:eastAsia="en-AU"/>
        </w:rPr>
        <w:t xml:space="preserve"> IHC in adult patients with low-frequency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gene fusion cancer types. The ESCs noted that consistent with the previous submission, IHC test performance was informed by a single case-control study with small patient numbers (Solomon et al. 2020). The ESCs noted that sensitivity was 79% for </w:t>
      </w:r>
      <w:r w:rsidRPr="005C157F">
        <w:rPr>
          <w:rFonts w:ascii="Times New Roman" w:eastAsia="Times New Roman" w:hAnsi="Times New Roman" w:cs="Times New Roman"/>
          <w:i/>
          <w:iCs/>
          <w:szCs w:val="20"/>
          <w:lang w:val="en-GB" w:eastAsia="en-AU"/>
        </w:rPr>
        <w:t>NTRK3</w:t>
      </w:r>
      <w:r w:rsidRPr="005C157F">
        <w:rPr>
          <w:rFonts w:ascii="Times New Roman" w:eastAsia="Times New Roman" w:hAnsi="Times New Roman" w:cs="Times New Roman"/>
          <w:szCs w:val="20"/>
          <w:lang w:val="en-GB" w:eastAsia="en-AU"/>
        </w:rPr>
        <w:t xml:space="preserve">, 96-100% for </w:t>
      </w:r>
      <w:r w:rsidRPr="005C157F">
        <w:rPr>
          <w:rFonts w:ascii="Times New Roman" w:eastAsia="Times New Roman" w:hAnsi="Times New Roman" w:cs="Times New Roman"/>
          <w:i/>
          <w:iCs/>
          <w:szCs w:val="20"/>
          <w:lang w:val="en-GB" w:eastAsia="en-AU"/>
        </w:rPr>
        <w:t>NTRK1</w:t>
      </w:r>
      <w:r w:rsidRPr="005C157F">
        <w:rPr>
          <w:rFonts w:ascii="Times New Roman" w:eastAsia="Times New Roman" w:hAnsi="Times New Roman" w:cs="Times New Roman"/>
          <w:szCs w:val="20"/>
          <w:lang w:val="en-GB" w:eastAsia="en-AU"/>
        </w:rPr>
        <w:t xml:space="preserve"> and </w:t>
      </w:r>
      <w:r w:rsidRPr="005C157F">
        <w:rPr>
          <w:rFonts w:ascii="Times New Roman" w:eastAsia="Times New Roman" w:hAnsi="Times New Roman" w:cs="Times New Roman"/>
          <w:i/>
          <w:iCs/>
          <w:szCs w:val="20"/>
          <w:lang w:val="en-GB" w:eastAsia="en-AU"/>
        </w:rPr>
        <w:t>NTRK2</w:t>
      </w:r>
      <w:r w:rsidRPr="005C157F">
        <w:rPr>
          <w:rFonts w:ascii="Times New Roman" w:eastAsia="Times New Roman" w:hAnsi="Times New Roman" w:cs="Times New Roman"/>
          <w:szCs w:val="20"/>
          <w:lang w:val="en-GB" w:eastAsia="en-AU"/>
        </w:rPr>
        <w:t xml:space="preserve"> and specificity was 100% for CRC and lung cancer but 74% for STS</w:t>
      </w:r>
      <w:r>
        <w:rPr>
          <w:rFonts w:ascii="Times New Roman" w:eastAsia="Times New Roman" w:hAnsi="Times New Roman" w:cs="Times New Roman"/>
          <w:szCs w:val="20"/>
          <w:lang w:val="en-GB" w:eastAsia="en-AU"/>
        </w:rPr>
        <w:t xml:space="preserve"> (see Table 6)</w:t>
      </w:r>
      <w:r w:rsidRPr="005C157F">
        <w:rPr>
          <w:rFonts w:ascii="Times New Roman" w:eastAsia="Times New Roman" w:hAnsi="Times New Roman" w:cs="Times New Roman"/>
          <w:szCs w:val="20"/>
          <w:lang w:val="en-GB" w:eastAsia="en-AU"/>
        </w:rPr>
        <w:t xml:space="preserve">. The key uncertainty was </w:t>
      </w:r>
      <w:r>
        <w:rPr>
          <w:rFonts w:ascii="Times New Roman" w:eastAsia="Times New Roman" w:hAnsi="Times New Roman" w:cs="Times New Roman"/>
          <w:szCs w:val="20"/>
          <w:lang w:val="en-GB" w:eastAsia="en-AU"/>
        </w:rPr>
        <w:t xml:space="preserve">that </w:t>
      </w:r>
      <w:r w:rsidRPr="005C157F">
        <w:rPr>
          <w:rFonts w:ascii="Times New Roman" w:eastAsia="Times New Roman" w:hAnsi="Times New Roman" w:cs="Times New Roman"/>
          <w:szCs w:val="20"/>
          <w:lang w:val="en-GB" w:eastAsia="en-AU"/>
        </w:rPr>
        <w:t xml:space="preserve">the risk of bias was high in multiple domains due to: patient selection was unclear, the index test was not applied to all cases and was not blinded, the reference standard was not applied to all cases and included </w:t>
      </w:r>
      <w:r w:rsidRPr="005C157F">
        <w:rPr>
          <w:rFonts w:ascii="Times New Roman" w:eastAsia="Times New Roman" w:hAnsi="Times New Roman" w:cs="Times New Roman"/>
          <w:szCs w:val="20"/>
          <w:lang w:val="en-GB" w:eastAsia="en-AU"/>
        </w:rPr>
        <w:lastRenderedPageBreak/>
        <w:t>different tests, the control group was highly selected and included cases with the reference standard, there was high drop out with results only reported from 66/87 cases, and the risk of bias due to it being an applicant-sponsored study. Due to these concerns, the ESCs considered that the risk of bias for this study was higher than as assessed by the commentary. Overall, the ESCs considered that the true test performance in this population is unknown and that the study data from an enriched US centre was not generalisable to the intended low prevalence population</w:t>
      </w:r>
      <w:r>
        <w:rPr>
          <w:rFonts w:ascii="Times New Roman" w:eastAsia="Times New Roman" w:hAnsi="Times New Roman" w:cs="Times New Roman"/>
          <w:szCs w:val="20"/>
          <w:lang w:val="en-GB" w:eastAsia="en-AU"/>
        </w:rPr>
        <w:t xml:space="preserve"> in </w:t>
      </w:r>
      <w:r w:rsidRPr="005C157F">
        <w:rPr>
          <w:rFonts w:ascii="Times New Roman" w:eastAsia="Times New Roman" w:hAnsi="Times New Roman" w:cs="Times New Roman"/>
          <w:szCs w:val="20"/>
          <w:lang w:val="en-GB" w:eastAsia="en-AU"/>
        </w:rPr>
        <w:t>Australia.</w:t>
      </w:r>
    </w:p>
    <w:p w14:paraId="3BA66669" w14:textId="77777777" w:rsidR="00A261BD" w:rsidRPr="005C157F" w:rsidRDefault="00A261BD" w:rsidP="0028467B">
      <w:pPr>
        <w:spacing w:before="240" w:after="0"/>
        <w:jc w:val="left"/>
        <w:rPr>
          <w:rFonts w:ascii="Times New Roman" w:eastAsia="Times New Roman" w:hAnsi="Times New Roman" w:cs="Times New Roman"/>
          <w:szCs w:val="20"/>
          <w:lang w:val="en-GB" w:eastAsia="en-AU"/>
        </w:rPr>
      </w:pPr>
      <w:r w:rsidRPr="005C157F">
        <w:rPr>
          <w:rFonts w:ascii="Times New Roman" w:eastAsia="Times New Roman" w:hAnsi="Times New Roman" w:cs="Times New Roman"/>
          <w:szCs w:val="20"/>
          <w:lang w:val="en-GB" w:eastAsia="en-AU"/>
        </w:rPr>
        <w:t xml:space="preserve">The ESCs also noted further uncertainty that IHC test performance in </w:t>
      </w:r>
      <w:r w:rsidRPr="008B12AD">
        <w:rPr>
          <w:rFonts w:ascii="Times New Roman" w:eastAsia="Times New Roman" w:hAnsi="Times New Roman" w:cs="Times New Roman"/>
          <w:szCs w:val="20"/>
          <w:lang w:val="en-GB" w:eastAsia="en-AU"/>
        </w:rPr>
        <w:t>usual pathology practice</w:t>
      </w:r>
      <w:r w:rsidRPr="005C157F">
        <w:rPr>
          <w:rFonts w:ascii="Times New Roman" w:eastAsia="Times New Roman" w:hAnsi="Times New Roman" w:cs="Times New Roman"/>
          <w:szCs w:val="20"/>
          <w:lang w:val="en-GB" w:eastAsia="en-AU"/>
        </w:rPr>
        <w:t xml:space="preserve"> would be affected by other issues such as different monoclonal antibodies used, different dilution titres used, test performance in subgroups of the population according to patient characteristics that may influence results is unknown, and test concordance between different laboratories is unknown.</w:t>
      </w:r>
    </w:p>
    <w:p w14:paraId="7C78A2C6" w14:textId="77777777"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val="en-GB" w:eastAsia="en-AU"/>
        </w:rPr>
        <w:t xml:space="preserve">In addition, the ESCs noted that MSAC </w:t>
      </w:r>
      <w:r>
        <w:rPr>
          <w:rFonts w:ascii="Times New Roman" w:eastAsia="Times New Roman" w:hAnsi="Times New Roman" w:cs="Times New Roman"/>
          <w:szCs w:val="20"/>
          <w:lang w:val="en-GB" w:eastAsia="en-AU"/>
        </w:rPr>
        <w:t xml:space="preserve">had </w:t>
      </w:r>
      <w:r w:rsidRPr="005C157F">
        <w:rPr>
          <w:rFonts w:ascii="Times New Roman" w:eastAsia="Times New Roman" w:hAnsi="Times New Roman" w:cs="Times New Roman"/>
          <w:szCs w:val="20"/>
          <w:lang w:val="en-GB" w:eastAsia="en-AU"/>
        </w:rPr>
        <w:t xml:space="preserve">requested </w:t>
      </w:r>
      <w:r w:rsidRPr="005C157F">
        <w:rPr>
          <w:rFonts w:ascii="Times New Roman" w:eastAsia="Times New Roman" w:hAnsi="Times New Roman" w:cs="Times New Roman"/>
          <w:szCs w:val="20"/>
          <w:lang w:eastAsia="en-AU"/>
        </w:rPr>
        <w:t>more information on the definition of a positive IHC result and the false negative rate for IHC and the reasons for this. The ESCs noted that 9/13 studies used a definition of 1% positivity threshold, 2/13 did not state a threshold, and 2/13 used a 50% positivity threshold. The ESCs noted that the weight of the evidence used a 1% positivity threshold, but considered that there was unc</w:t>
      </w:r>
      <w:r w:rsidRPr="005C157F">
        <w:rPr>
          <w:rFonts w:ascii="Times New Roman" w:eastAsia="Times New Roman" w:hAnsi="Times New Roman" w:cs="Times New Roman"/>
          <w:iCs/>
          <w:szCs w:val="20"/>
          <w:lang w:eastAsia="en-AU"/>
        </w:rPr>
        <w:t>ertainty about the definition of a</w:t>
      </w:r>
      <w:r>
        <w:rPr>
          <w:rFonts w:ascii="Times New Roman" w:eastAsia="Times New Roman" w:hAnsi="Times New Roman" w:cs="Times New Roman"/>
          <w:iCs/>
          <w:szCs w:val="20"/>
          <w:lang w:eastAsia="en-AU"/>
        </w:rPr>
        <w:t>n</w:t>
      </w:r>
      <w:r w:rsidRPr="005C157F">
        <w:rPr>
          <w:rFonts w:ascii="Times New Roman" w:eastAsia="Times New Roman" w:hAnsi="Times New Roman" w:cs="Times New Roman"/>
          <w:iCs/>
          <w:szCs w:val="20"/>
          <w:lang w:eastAsia="en-AU"/>
        </w:rPr>
        <w:t xml:space="preserve"> IHC-positive tumour used in Australian laboratories. The ESCs also noted that the threshold of positivity could significantly impact false results; the</w:t>
      </w:r>
      <w:r w:rsidRPr="005C157F">
        <w:rPr>
          <w:rFonts w:ascii="Times New Roman" w:eastAsia="Times New Roman" w:hAnsi="Times New Roman" w:cs="Times New Roman"/>
          <w:szCs w:val="20"/>
          <w:lang w:eastAsia="en-AU"/>
        </w:rPr>
        <w:t xml:space="preserve"> lower 1% threshold would result in more positive test results requiring a confirmatory test, but potentially there will be fewer patients with false negative IHC results who would miss out on treatment with larotrectinib.</w:t>
      </w:r>
    </w:p>
    <w:p w14:paraId="78460E44" w14:textId="77777777"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The ESCs noted that the evidence underpinning the diagnostic performance of FISH was limited to a single study (Church et al. 2018) with small numbers (level IV evidence) in paediatric patients with infantile fibrosarcoma. The ESCs noted that there </w:t>
      </w:r>
      <w:r>
        <w:rPr>
          <w:rFonts w:ascii="Times New Roman" w:eastAsia="Times New Roman" w:hAnsi="Times New Roman" w:cs="Times New Roman"/>
          <w:szCs w:val="20"/>
          <w:lang w:eastAsia="en-AU"/>
        </w:rPr>
        <w:t>were</w:t>
      </w:r>
      <w:r w:rsidRPr="005C157F">
        <w:rPr>
          <w:rFonts w:ascii="Times New Roman" w:eastAsia="Times New Roman" w:hAnsi="Times New Roman" w:cs="Times New Roman"/>
          <w:szCs w:val="20"/>
          <w:lang w:eastAsia="en-AU"/>
        </w:rPr>
        <w:t xml:space="preserve"> significant concerns with estimates for false positives and false negatives, due to worse test performance when test failures were included. The ESCs considered that FISH is not 100% sensitive and specific in </w:t>
      </w:r>
      <w:r w:rsidRPr="008B12AD">
        <w:rPr>
          <w:rFonts w:ascii="Times New Roman" w:eastAsia="Times New Roman" w:hAnsi="Times New Roman" w:cs="Times New Roman"/>
          <w:szCs w:val="20"/>
          <w:lang w:eastAsia="en-AU"/>
        </w:rPr>
        <w:t>usual pathology practice</w:t>
      </w:r>
      <w:r w:rsidRPr="005C157F">
        <w:rPr>
          <w:rFonts w:ascii="Times New Roman" w:eastAsia="Times New Roman" w:hAnsi="Times New Roman" w:cs="Times New Roman"/>
          <w:szCs w:val="20"/>
          <w:lang w:eastAsia="en-AU"/>
        </w:rPr>
        <w:t xml:space="preserve"> and noted that for RNA-NGS, the lability of RNA precludes 100% test performance. In addition, the ESCs also considered that the study population was not </w:t>
      </w:r>
      <w:proofErr w:type="spellStart"/>
      <w:r w:rsidRPr="005C157F">
        <w:rPr>
          <w:rFonts w:ascii="Times New Roman" w:eastAsia="Times New Roman" w:hAnsi="Times New Roman" w:cs="Times New Roman"/>
          <w:szCs w:val="20"/>
          <w:lang w:eastAsia="en-AU"/>
        </w:rPr>
        <w:t>genersalisable</w:t>
      </w:r>
      <w:proofErr w:type="spellEnd"/>
      <w:r w:rsidRPr="005C157F">
        <w:rPr>
          <w:rFonts w:ascii="Times New Roman" w:eastAsia="Times New Roman" w:hAnsi="Times New Roman" w:cs="Times New Roman"/>
          <w:szCs w:val="20"/>
          <w:lang w:eastAsia="en-AU"/>
        </w:rPr>
        <w:t xml:space="preserve"> to </w:t>
      </w:r>
      <w:r w:rsidRPr="005C157F">
        <w:rPr>
          <w:rFonts w:ascii="Times New Roman" w:eastAsia="Times New Roman" w:hAnsi="Times New Roman" w:cs="Times New Roman"/>
          <w:szCs w:val="20"/>
          <w:lang w:val="en-GB" w:eastAsia="en-AU"/>
        </w:rPr>
        <w:t xml:space="preserve">adult patients with low-frequency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gene fusion cancer types.</w:t>
      </w:r>
    </w:p>
    <w:p w14:paraId="7D1BA3B6" w14:textId="77777777" w:rsidR="00A261BD" w:rsidRPr="005C157F" w:rsidRDefault="00A261BD" w:rsidP="0028467B">
      <w:pPr>
        <w:spacing w:before="240" w:after="0"/>
        <w:jc w:val="left"/>
        <w:rPr>
          <w:rFonts w:ascii="Times New Roman" w:eastAsia="Times New Roman" w:hAnsi="Times New Roman" w:cs="Times New Roman"/>
          <w:szCs w:val="20"/>
          <w:lang w:val="en-GB" w:eastAsia="en-AU"/>
        </w:rPr>
      </w:pPr>
      <w:r w:rsidRPr="005C157F">
        <w:rPr>
          <w:rFonts w:ascii="Times New Roman" w:eastAsia="Times New Roman" w:hAnsi="Times New Roman" w:cs="Times New Roman"/>
          <w:szCs w:val="20"/>
          <w:lang w:eastAsia="en-AU"/>
        </w:rPr>
        <w:t>Overall, the ESCs noted that</w:t>
      </w:r>
      <w:r>
        <w:rPr>
          <w:rFonts w:ascii="Times New Roman" w:eastAsia="Times New Roman" w:hAnsi="Times New Roman" w:cs="Times New Roman"/>
          <w:szCs w:val="20"/>
          <w:lang w:eastAsia="en-AU"/>
        </w:rPr>
        <w:t>,</w:t>
      </w:r>
      <w:r w:rsidRPr="005C157F">
        <w:rPr>
          <w:rFonts w:ascii="Times New Roman" w:eastAsia="Times New Roman" w:hAnsi="Times New Roman" w:cs="Times New Roman"/>
          <w:szCs w:val="20"/>
          <w:lang w:eastAsia="en-AU"/>
        </w:rPr>
        <w:t xml:space="preserve"> consistent with the previous submission</w:t>
      </w:r>
      <w:r>
        <w:rPr>
          <w:rFonts w:ascii="Times New Roman" w:eastAsia="Times New Roman" w:hAnsi="Times New Roman" w:cs="Times New Roman"/>
          <w:szCs w:val="20"/>
          <w:lang w:eastAsia="en-AU"/>
        </w:rPr>
        <w:t>,</w:t>
      </w:r>
      <w:r w:rsidRPr="005C157F">
        <w:rPr>
          <w:rFonts w:ascii="Times New Roman" w:eastAsia="Times New Roman" w:hAnsi="Times New Roman" w:cs="Times New Roman"/>
          <w:szCs w:val="20"/>
          <w:lang w:eastAsia="en-AU"/>
        </w:rPr>
        <w:t xml:space="preserve"> there continued to be limited evidence of the analytical performance of the proposed tests (i.e. </w:t>
      </w:r>
      <w:r w:rsidRPr="005C157F">
        <w:rPr>
          <w:rFonts w:ascii="Times New Roman" w:eastAsia="Times New Roman" w:hAnsi="Times New Roman" w:cs="Times New Roman"/>
          <w:szCs w:val="20"/>
          <w:lang w:val="en-GB" w:eastAsia="en-AU"/>
        </w:rPr>
        <w:t xml:space="preserve">NGS, FISH and IHC), in particular the evidence for adult patients with low-frequency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gene fusion cancer types was highly uncertain and there was no study data presented that was generalisable to the intended low prevalence population</w:t>
      </w:r>
      <w:r>
        <w:rPr>
          <w:rFonts w:ascii="Times New Roman" w:eastAsia="Times New Roman" w:hAnsi="Times New Roman" w:cs="Times New Roman"/>
          <w:szCs w:val="20"/>
          <w:lang w:val="en-GB" w:eastAsia="en-AU"/>
        </w:rPr>
        <w:t xml:space="preserve"> in </w:t>
      </w:r>
      <w:r w:rsidRPr="005C157F">
        <w:rPr>
          <w:rFonts w:ascii="Times New Roman" w:eastAsia="Times New Roman" w:hAnsi="Times New Roman" w:cs="Times New Roman"/>
          <w:szCs w:val="20"/>
          <w:lang w:val="en-GB" w:eastAsia="en-AU"/>
        </w:rPr>
        <w:t xml:space="preserve">Australia. Thus, the ESCs considered that this meant that the PPV and NPV were unable to be calculated with </w:t>
      </w:r>
      <w:r>
        <w:rPr>
          <w:rFonts w:ascii="Times New Roman" w:eastAsia="Times New Roman" w:hAnsi="Times New Roman" w:cs="Times New Roman"/>
          <w:szCs w:val="20"/>
          <w:lang w:val="en-GB" w:eastAsia="en-AU"/>
        </w:rPr>
        <w:t>confidence</w:t>
      </w:r>
      <w:r w:rsidRPr="005C157F">
        <w:rPr>
          <w:rFonts w:ascii="Times New Roman" w:eastAsia="Times New Roman" w:hAnsi="Times New Roman" w:cs="Times New Roman"/>
          <w:szCs w:val="20"/>
          <w:lang w:val="en-GB" w:eastAsia="en-AU"/>
        </w:rPr>
        <w:t>.</w:t>
      </w:r>
    </w:p>
    <w:p w14:paraId="3253A2AC" w14:textId="77777777"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The ESCs noted that the resubmission claimed that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fusion testing plus larotrectinib was superior to no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testing plus standard of care (SoC) in terms of efficacy and safety, in the proposed testing and treatment populations. The ESCs considered that, based on the updated data, it remained difficult to assess comparative benefits </w:t>
      </w:r>
      <w:r>
        <w:rPr>
          <w:rFonts w:ascii="Times New Roman" w:eastAsia="Times New Roman" w:hAnsi="Times New Roman" w:cs="Times New Roman"/>
          <w:szCs w:val="20"/>
          <w:lang w:eastAsia="en-AU"/>
        </w:rPr>
        <w:t xml:space="preserve">and harms </w:t>
      </w:r>
      <w:r w:rsidRPr="005C157F">
        <w:rPr>
          <w:rFonts w:ascii="Times New Roman" w:eastAsia="Times New Roman" w:hAnsi="Times New Roman" w:cs="Times New Roman"/>
          <w:szCs w:val="20"/>
          <w:lang w:eastAsia="en-AU"/>
        </w:rPr>
        <w:t>from the limited clinical evidence of single-arm studies with naïve, unanchored indirect comparisons.</w:t>
      </w:r>
      <w:r>
        <w:rPr>
          <w:rFonts w:ascii="Times New Roman" w:eastAsia="Times New Roman" w:hAnsi="Times New Roman" w:cs="Times New Roman"/>
          <w:szCs w:val="20"/>
          <w:lang w:eastAsia="en-AU"/>
        </w:rPr>
        <w:t xml:space="preserve"> As concluded previously, </w:t>
      </w:r>
      <w:r w:rsidRPr="008B12AD">
        <w:rPr>
          <w:rFonts w:ascii="Times New Roman" w:eastAsia="Times New Roman" w:hAnsi="Times New Roman" w:cs="Times New Roman"/>
          <w:szCs w:val="20"/>
          <w:lang w:eastAsia="en-AU"/>
        </w:rPr>
        <w:t xml:space="preserve">any treatment effect variation by </w:t>
      </w:r>
      <w:r w:rsidRPr="008B12AD">
        <w:rPr>
          <w:rFonts w:ascii="Times New Roman" w:eastAsia="Times New Roman" w:hAnsi="Times New Roman" w:cs="Times New Roman"/>
          <w:i/>
          <w:iCs/>
          <w:szCs w:val="20"/>
          <w:lang w:eastAsia="en-AU"/>
        </w:rPr>
        <w:t>NTRK</w:t>
      </w:r>
      <w:r w:rsidRPr="008B12AD">
        <w:rPr>
          <w:rFonts w:ascii="Times New Roman" w:eastAsia="Times New Roman" w:hAnsi="Times New Roman" w:cs="Times New Roman"/>
          <w:szCs w:val="20"/>
          <w:lang w:eastAsia="en-AU"/>
        </w:rPr>
        <w:t xml:space="preserve"> gene fusion status could not be clearly differentiated from the prognostic effects of </w:t>
      </w:r>
      <w:r w:rsidRPr="008B12AD">
        <w:rPr>
          <w:rFonts w:ascii="Times New Roman" w:eastAsia="Times New Roman" w:hAnsi="Times New Roman" w:cs="Times New Roman"/>
          <w:i/>
          <w:iCs/>
          <w:szCs w:val="20"/>
          <w:lang w:eastAsia="en-AU"/>
        </w:rPr>
        <w:t>NTRK</w:t>
      </w:r>
      <w:r w:rsidRPr="008B12AD">
        <w:rPr>
          <w:rFonts w:ascii="Times New Roman" w:eastAsia="Times New Roman" w:hAnsi="Times New Roman" w:cs="Times New Roman"/>
          <w:szCs w:val="20"/>
          <w:lang w:eastAsia="en-AU"/>
        </w:rPr>
        <w:t xml:space="preserve"> gene fusion status and consequently, the extent of clinical utility of </w:t>
      </w:r>
      <w:r w:rsidRPr="008B12AD">
        <w:rPr>
          <w:rFonts w:ascii="Times New Roman" w:eastAsia="Times New Roman" w:hAnsi="Times New Roman" w:cs="Times New Roman"/>
          <w:i/>
          <w:iCs/>
          <w:szCs w:val="20"/>
          <w:lang w:eastAsia="en-AU"/>
        </w:rPr>
        <w:t>NTRK</w:t>
      </w:r>
      <w:r w:rsidRPr="008B12AD">
        <w:rPr>
          <w:rFonts w:ascii="Times New Roman" w:eastAsia="Times New Roman" w:hAnsi="Times New Roman" w:cs="Times New Roman"/>
          <w:szCs w:val="20"/>
          <w:lang w:eastAsia="en-AU"/>
        </w:rPr>
        <w:t xml:space="preserve"> fusion testing is unclear.</w:t>
      </w:r>
    </w:p>
    <w:p w14:paraId="52A74506" w14:textId="697728A0"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lastRenderedPageBreak/>
        <w:t>The ESCs noted that while the model</w:t>
      </w:r>
      <w:r>
        <w:rPr>
          <w:rFonts w:ascii="Times New Roman" w:eastAsia="Times New Roman" w:hAnsi="Times New Roman" w:cs="Times New Roman"/>
          <w:szCs w:val="20"/>
          <w:lang w:eastAsia="en-AU"/>
        </w:rPr>
        <w:t>led economic evaluation</w:t>
      </w:r>
      <w:r w:rsidRPr="005C157F">
        <w:rPr>
          <w:rFonts w:ascii="Times New Roman" w:eastAsia="Times New Roman" w:hAnsi="Times New Roman" w:cs="Times New Roman"/>
          <w:szCs w:val="20"/>
          <w:lang w:eastAsia="en-AU"/>
        </w:rPr>
        <w:t xml:space="preserve"> presented in the resubmission was restructured to allow the implications of false positive and false negative results to be analysed, the base case retained the assumption that NGS and FISH performed </w:t>
      </w:r>
      <w:r>
        <w:rPr>
          <w:rFonts w:ascii="Times New Roman" w:eastAsia="Times New Roman" w:hAnsi="Times New Roman" w:cs="Times New Roman"/>
          <w:szCs w:val="20"/>
          <w:lang w:eastAsia="en-AU"/>
        </w:rPr>
        <w:t xml:space="preserve">with </w:t>
      </w:r>
      <w:r w:rsidRPr="005C157F">
        <w:rPr>
          <w:rFonts w:ascii="Times New Roman" w:eastAsia="Times New Roman" w:hAnsi="Times New Roman" w:cs="Times New Roman"/>
          <w:szCs w:val="20"/>
          <w:lang w:eastAsia="en-AU"/>
        </w:rPr>
        <w:t xml:space="preserve">100% sensitivity and 100% specificity, which was considered </w:t>
      </w:r>
      <w:r>
        <w:rPr>
          <w:rFonts w:ascii="Times New Roman" w:eastAsia="Times New Roman" w:hAnsi="Times New Roman" w:cs="Times New Roman"/>
          <w:szCs w:val="20"/>
          <w:lang w:eastAsia="en-AU"/>
        </w:rPr>
        <w:t>unachievable in usual pathology practice</w:t>
      </w:r>
      <w:r w:rsidRPr="005C157F">
        <w:rPr>
          <w:rFonts w:ascii="Times New Roman" w:eastAsia="Times New Roman" w:hAnsi="Times New Roman" w:cs="Times New Roman"/>
          <w:szCs w:val="20"/>
          <w:lang w:eastAsia="en-AU"/>
        </w:rPr>
        <w:t xml:space="preserve">. For </w:t>
      </w:r>
      <w:r w:rsidRPr="005C157F">
        <w:rPr>
          <w:rFonts w:ascii="Times New Roman" w:eastAsia="Times New Roman" w:hAnsi="Times New Roman" w:cs="Times New Roman"/>
          <w:szCs w:val="20"/>
          <w:lang w:val="en-GB" w:eastAsia="en-AU"/>
        </w:rPr>
        <w:t xml:space="preserve">adult patients with low-frequency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gene fusion cancer types who require IHC testing, the ESCs noted </w:t>
      </w:r>
      <w:r w:rsidRPr="005C157F">
        <w:rPr>
          <w:rFonts w:ascii="Times New Roman" w:eastAsia="Times New Roman" w:hAnsi="Times New Roman" w:cs="Times New Roman"/>
          <w:szCs w:val="20"/>
          <w:lang w:eastAsia="en-AU"/>
        </w:rPr>
        <w:t xml:space="preserve">that the </w:t>
      </w:r>
      <w:r>
        <w:rPr>
          <w:rFonts w:ascii="Times New Roman" w:eastAsia="Times New Roman" w:hAnsi="Times New Roman" w:cs="Times New Roman"/>
          <w:szCs w:val="20"/>
          <w:lang w:eastAsia="en-AU"/>
        </w:rPr>
        <w:t>resubmission</w:t>
      </w:r>
      <w:r w:rsidRPr="005C157F">
        <w:rPr>
          <w:rFonts w:ascii="Times New Roman" w:eastAsia="Times New Roman" w:hAnsi="Times New Roman" w:cs="Times New Roman"/>
          <w:szCs w:val="20"/>
          <w:lang w:eastAsia="en-AU"/>
        </w:rPr>
        <w:t xml:space="preserve"> assumed 100% specificity which was inconsistent with the lower estimates reported for some cancer types in Solomon et al. (2020), and was also considered </w:t>
      </w:r>
      <w:r>
        <w:rPr>
          <w:rFonts w:ascii="Times New Roman" w:eastAsia="Times New Roman" w:hAnsi="Times New Roman" w:cs="Times New Roman"/>
          <w:szCs w:val="20"/>
          <w:lang w:eastAsia="en-AU"/>
        </w:rPr>
        <w:t>unachievable</w:t>
      </w:r>
      <w:r w:rsidRPr="005C157F">
        <w:rPr>
          <w:rFonts w:ascii="Times New Roman" w:eastAsia="Times New Roman" w:hAnsi="Times New Roman" w:cs="Times New Roman"/>
          <w:szCs w:val="20"/>
          <w:lang w:eastAsia="en-AU"/>
        </w:rPr>
        <w:t xml:space="preserve">. The ESCs noted that the ICER in </w:t>
      </w:r>
      <w:r w:rsidRPr="005C157F">
        <w:rPr>
          <w:rFonts w:ascii="Times New Roman" w:eastAsia="Times New Roman" w:hAnsi="Times New Roman" w:cs="Times New Roman"/>
          <w:szCs w:val="20"/>
          <w:lang w:val="en-GB" w:eastAsia="en-AU"/>
        </w:rPr>
        <w:t xml:space="preserve">adult patients with low-frequency </w:t>
      </w:r>
      <w:r w:rsidRPr="005C157F">
        <w:rPr>
          <w:rFonts w:ascii="Times New Roman" w:eastAsia="Times New Roman" w:hAnsi="Times New Roman" w:cs="Times New Roman"/>
          <w:i/>
          <w:iCs/>
          <w:szCs w:val="20"/>
          <w:lang w:val="en-GB" w:eastAsia="en-AU"/>
        </w:rPr>
        <w:t>NTRK</w:t>
      </w:r>
      <w:r w:rsidRPr="005C157F">
        <w:rPr>
          <w:rFonts w:ascii="Times New Roman" w:eastAsia="Times New Roman" w:hAnsi="Times New Roman" w:cs="Times New Roman"/>
          <w:szCs w:val="20"/>
          <w:lang w:val="en-GB" w:eastAsia="en-AU"/>
        </w:rPr>
        <w:t xml:space="preserve"> gene fusion cancer </w:t>
      </w:r>
      <w:r w:rsidRPr="005C157F">
        <w:rPr>
          <w:rFonts w:ascii="Times New Roman" w:eastAsia="Times New Roman" w:hAnsi="Times New Roman" w:cs="Times New Roman"/>
          <w:szCs w:val="20"/>
          <w:lang w:eastAsia="en-AU"/>
        </w:rPr>
        <w:t>types was highly sensitive to changes in test performance</w:t>
      </w:r>
      <w:r w:rsidRPr="005C157F">
        <w:rPr>
          <w:rFonts w:ascii="Times New Roman" w:eastAsia="Times New Roman" w:hAnsi="Times New Roman" w:cs="Times New Roman"/>
          <w:szCs w:val="20"/>
          <w:lang w:val="en-GB" w:eastAsia="en-AU"/>
        </w:rPr>
        <w:t xml:space="preserve"> (see Table 1</w:t>
      </w:r>
      <w:r>
        <w:rPr>
          <w:rFonts w:ascii="Times New Roman" w:eastAsia="Times New Roman" w:hAnsi="Times New Roman" w:cs="Times New Roman"/>
          <w:szCs w:val="20"/>
          <w:lang w:val="en-GB" w:eastAsia="en-AU"/>
        </w:rPr>
        <w:t>1</w:t>
      </w:r>
      <w:r w:rsidRPr="005C157F">
        <w:rPr>
          <w:rFonts w:ascii="Times New Roman" w:eastAsia="Times New Roman" w:hAnsi="Times New Roman" w:cs="Times New Roman"/>
          <w:szCs w:val="20"/>
          <w:lang w:val="en-GB" w:eastAsia="en-AU"/>
        </w:rPr>
        <w:t>).</w:t>
      </w:r>
      <w:r w:rsidRPr="005C157F">
        <w:rPr>
          <w:rFonts w:ascii="Times New Roman" w:eastAsia="Times New Roman" w:hAnsi="Times New Roman" w:cs="Times New Roman"/>
          <w:szCs w:val="20"/>
          <w:lang w:eastAsia="en-AU"/>
        </w:rPr>
        <w:t xml:space="preserve"> In addition, the ESCs considered that small reductions in specificity of IHC testing, and thereby including false positives, would substantially increase costs of confirmatory NGS/FISH testing as it translates to large absolute numbers for the low prevalence estimates such as CRC and NSCLC.</w:t>
      </w:r>
    </w:p>
    <w:p w14:paraId="5967CC41" w14:textId="77777777"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The ESCs considered that due to </w:t>
      </w:r>
      <w:r>
        <w:rPr>
          <w:rFonts w:ascii="Times New Roman" w:eastAsia="Times New Roman" w:hAnsi="Times New Roman" w:cs="Times New Roman"/>
          <w:szCs w:val="20"/>
          <w:lang w:eastAsia="en-AU"/>
        </w:rPr>
        <w:t xml:space="preserve">the </w:t>
      </w:r>
      <w:r w:rsidRPr="005C157F">
        <w:rPr>
          <w:rFonts w:ascii="Times New Roman" w:eastAsia="Times New Roman" w:hAnsi="Times New Roman" w:cs="Times New Roman"/>
          <w:szCs w:val="20"/>
          <w:lang w:eastAsia="en-AU"/>
        </w:rPr>
        <w:t>approach taken to back-calculate the number needed to test (NNT) rather than using a true epidemiological approach, the numbers and costs of pan-</w:t>
      </w:r>
      <w:proofErr w:type="spellStart"/>
      <w:r w:rsidRPr="005C157F">
        <w:rPr>
          <w:rFonts w:ascii="Times New Roman" w:eastAsia="Times New Roman" w:hAnsi="Times New Roman" w:cs="Times New Roman"/>
          <w:szCs w:val="20"/>
          <w:lang w:eastAsia="en-AU"/>
        </w:rPr>
        <w:t>Trk</w:t>
      </w:r>
      <w:proofErr w:type="spellEnd"/>
      <w:r w:rsidRPr="005C157F">
        <w:rPr>
          <w:rFonts w:ascii="Times New Roman" w:eastAsia="Times New Roman" w:hAnsi="Times New Roman" w:cs="Times New Roman"/>
          <w:szCs w:val="20"/>
          <w:lang w:eastAsia="en-AU"/>
        </w:rPr>
        <w:t xml:space="preserve"> IHC testing and NGS/FISH remained underestimate</w:t>
      </w:r>
      <w:r>
        <w:rPr>
          <w:rFonts w:ascii="Times New Roman" w:eastAsia="Times New Roman" w:hAnsi="Times New Roman" w:cs="Times New Roman"/>
          <w:szCs w:val="20"/>
          <w:lang w:eastAsia="en-AU"/>
        </w:rPr>
        <w:t>s</w:t>
      </w:r>
      <w:r w:rsidRPr="005C157F">
        <w:rPr>
          <w:rFonts w:ascii="Times New Roman" w:eastAsia="Times New Roman" w:hAnsi="Times New Roman" w:cs="Times New Roman"/>
          <w:szCs w:val="20"/>
          <w:lang w:eastAsia="en-AU"/>
        </w:rPr>
        <w:t xml:space="preserve"> in the resubmission. The ESCs noted that</w:t>
      </w:r>
      <w:r>
        <w:rPr>
          <w:rFonts w:ascii="Times New Roman" w:eastAsia="Times New Roman" w:hAnsi="Times New Roman" w:cs="Times New Roman"/>
          <w:szCs w:val="20"/>
          <w:lang w:eastAsia="en-AU"/>
        </w:rPr>
        <w:t>,</w:t>
      </w:r>
      <w:r w:rsidRPr="005C157F">
        <w:rPr>
          <w:rFonts w:ascii="Times New Roman" w:eastAsia="Times New Roman" w:hAnsi="Times New Roman" w:cs="Times New Roman"/>
          <w:szCs w:val="20"/>
          <w:lang w:eastAsia="en-AU"/>
        </w:rPr>
        <w:t xml:space="preserve"> consistent with the economic analysis, the NNT to detect one pan-</w:t>
      </w:r>
      <w:proofErr w:type="spellStart"/>
      <w:r w:rsidRPr="005C157F">
        <w:rPr>
          <w:rFonts w:ascii="Times New Roman" w:eastAsia="Times New Roman" w:hAnsi="Times New Roman" w:cs="Times New Roman"/>
          <w:szCs w:val="20"/>
          <w:lang w:eastAsia="en-AU"/>
        </w:rPr>
        <w:t>Trk</w:t>
      </w:r>
      <w:proofErr w:type="spellEnd"/>
      <w:r w:rsidRPr="005C157F">
        <w:rPr>
          <w:rFonts w:ascii="Times New Roman" w:eastAsia="Times New Roman" w:hAnsi="Times New Roman" w:cs="Times New Roman"/>
          <w:szCs w:val="20"/>
          <w:lang w:eastAsia="en-AU"/>
        </w:rPr>
        <w:t xml:space="preserve"> positive case is very high in the adult low frequency </w:t>
      </w:r>
      <w:r w:rsidRPr="005C157F">
        <w:rPr>
          <w:rFonts w:ascii="Times New Roman" w:eastAsia="Times New Roman" w:hAnsi="Times New Roman" w:cs="Times New Roman"/>
          <w:i/>
          <w:szCs w:val="20"/>
          <w:lang w:eastAsia="en-AU"/>
        </w:rPr>
        <w:t>NTRK</w:t>
      </w:r>
      <w:r w:rsidRPr="005C157F">
        <w:rPr>
          <w:rFonts w:ascii="Times New Roman" w:eastAsia="Times New Roman" w:hAnsi="Times New Roman" w:cs="Times New Roman"/>
          <w:szCs w:val="20"/>
          <w:lang w:eastAsia="en-AU"/>
        </w:rPr>
        <w:t xml:space="preserve">-gene fusion cancer types which was driving </w:t>
      </w:r>
      <w:r>
        <w:rPr>
          <w:rFonts w:ascii="Times New Roman" w:eastAsia="Times New Roman" w:hAnsi="Times New Roman" w:cs="Times New Roman"/>
          <w:szCs w:val="20"/>
          <w:lang w:eastAsia="en-AU"/>
        </w:rPr>
        <w:t xml:space="preserve">up the relative cost of </w:t>
      </w:r>
      <w:r w:rsidRPr="005C157F">
        <w:rPr>
          <w:rFonts w:ascii="Times New Roman" w:eastAsia="Times New Roman" w:hAnsi="Times New Roman" w:cs="Times New Roman"/>
          <w:szCs w:val="20"/>
          <w:lang w:eastAsia="en-AU"/>
        </w:rPr>
        <w:t xml:space="preserve">testing </w:t>
      </w:r>
      <w:r>
        <w:rPr>
          <w:rFonts w:ascii="Times New Roman" w:eastAsia="Times New Roman" w:hAnsi="Times New Roman" w:cs="Times New Roman"/>
          <w:szCs w:val="20"/>
          <w:lang w:eastAsia="en-AU"/>
        </w:rPr>
        <w:t xml:space="preserve">across the </w:t>
      </w:r>
      <w:proofErr w:type="spellStart"/>
      <w:r>
        <w:rPr>
          <w:rFonts w:ascii="Times New Roman" w:eastAsia="Times New Roman" w:hAnsi="Times New Roman" w:cs="Times New Roman"/>
          <w:szCs w:val="20"/>
          <w:lang w:eastAsia="en-AU"/>
        </w:rPr>
        <w:t>codependency</w:t>
      </w:r>
      <w:proofErr w:type="spellEnd"/>
      <w:r w:rsidRPr="005C157F">
        <w:rPr>
          <w:rFonts w:ascii="Times New Roman" w:eastAsia="Times New Roman" w:hAnsi="Times New Roman" w:cs="Times New Roman"/>
          <w:szCs w:val="20"/>
          <w:lang w:eastAsia="en-AU"/>
        </w:rPr>
        <w:t xml:space="preserve"> (e.g. number needed to test could be up to 500 in NSCLC). The ESCs also noted that the net costs to the MBS were most sensitive to the incidence estimates applied, the tumour types included, the timing of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testing, IHC specificity and the assumptions around the cost and the split of FISH testing and NGS.</w:t>
      </w:r>
    </w:p>
    <w:p w14:paraId="53F24528" w14:textId="77777777" w:rsidR="00A261BD" w:rsidRPr="005C157F"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iCs/>
          <w:szCs w:val="20"/>
          <w:lang w:eastAsia="en-AU"/>
        </w:rPr>
        <w:t xml:space="preserve">The ESCs noted the </w:t>
      </w:r>
      <w:r w:rsidRPr="005C157F">
        <w:rPr>
          <w:rFonts w:ascii="Times New Roman" w:eastAsia="Times New Roman" w:hAnsi="Times New Roman" w:cs="Times New Roman"/>
          <w:szCs w:val="20"/>
          <w:lang w:eastAsia="en-AU"/>
        </w:rPr>
        <w:t xml:space="preserve">National Pathology Accreditation Advisory Council (NPAAC) advice to MSAC </w:t>
      </w:r>
      <w:r>
        <w:rPr>
          <w:rFonts w:ascii="Times New Roman" w:eastAsia="Times New Roman" w:hAnsi="Times New Roman" w:cs="Times New Roman"/>
          <w:szCs w:val="20"/>
          <w:lang w:eastAsia="en-AU"/>
        </w:rPr>
        <w:t xml:space="preserve">raised </w:t>
      </w:r>
      <w:r w:rsidRPr="005C157F">
        <w:rPr>
          <w:rFonts w:ascii="Times New Roman" w:eastAsia="Times New Roman" w:hAnsi="Times New Roman" w:cs="Times New Roman"/>
          <w:szCs w:val="20"/>
          <w:lang w:eastAsia="en-AU"/>
        </w:rPr>
        <w:t xml:space="preserve">several implementation issues, including: </w:t>
      </w:r>
      <w:r w:rsidRPr="005C157F">
        <w:rPr>
          <w:rFonts w:ascii="Times New Roman" w:eastAsia="Times New Roman" w:hAnsi="Times New Roman" w:cs="Times New Roman"/>
          <w:iCs/>
          <w:szCs w:val="20"/>
          <w:lang w:eastAsia="en-AU"/>
        </w:rPr>
        <w:t>the major concern regarding quality of testing is that these mutations are rare and small laboratories may not accumulate enough positive samples to permit validation of the assay or demonstrate continuing competence in this testing; the antibodies for IHC need to be standardised and an IHC external quality assessment (EQA) program is needed, and the confirmatory testing (FISH or reverse transcription polymerase chain reaction [PCR]) must again be validated as an in house IVD</w:t>
      </w:r>
      <w:r>
        <w:rPr>
          <w:rFonts w:ascii="Times New Roman" w:eastAsia="Times New Roman" w:hAnsi="Times New Roman" w:cs="Times New Roman"/>
          <w:iCs/>
          <w:szCs w:val="20"/>
          <w:lang w:eastAsia="en-AU"/>
        </w:rPr>
        <w:t>, although</w:t>
      </w:r>
      <w:r w:rsidRPr="005C157F">
        <w:rPr>
          <w:rFonts w:ascii="Times New Roman" w:eastAsia="Times New Roman" w:hAnsi="Times New Roman" w:cs="Times New Roman"/>
          <w:iCs/>
          <w:szCs w:val="20"/>
          <w:lang w:eastAsia="en-AU"/>
        </w:rPr>
        <w:t xml:space="preserve"> an EQA is available locally and internationally.</w:t>
      </w:r>
    </w:p>
    <w:p w14:paraId="018B0C64" w14:textId="77777777" w:rsidR="00A261BD" w:rsidRPr="005C157F" w:rsidRDefault="00A261BD" w:rsidP="0028467B">
      <w:pPr>
        <w:spacing w:before="240" w:after="0"/>
        <w:jc w:val="left"/>
        <w:rPr>
          <w:rFonts w:ascii="Times New Roman" w:eastAsia="Times New Roman" w:hAnsi="Times New Roman" w:cs="Times New Roman"/>
          <w:iCs/>
          <w:szCs w:val="20"/>
          <w:lang w:eastAsia="en-AU"/>
        </w:rPr>
      </w:pPr>
      <w:r w:rsidRPr="005C157F">
        <w:rPr>
          <w:rFonts w:ascii="Times New Roman" w:eastAsia="Times New Roman" w:hAnsi="Times New Roman" w:cs="Times New Roman"/>
          <w:iCs/>
          <w:szCs w:val="20"/>
          <w:lang w:eastAsia="en-AU"/>
        </w:rPr>
        <w:t>The ESCs noted no consumer feedback was received for the resubmission. The ESCs recalled the previous consultation feedback received from one organisation (see Section 5).</w:t>
      </w:r>
    </w:p>
    <w:p w14:paraId="52637B1B" w14:textId="64D40A5B" w:rsidR="00A261BD" w:rsidRPr="0028467B" w:rsidRDefault="00A261BD" w:rsidP="0028467B">
      <w:pPr>
        <w:spacing w:before="240" w:after="0"/>
        <w:jc w:val="left"/>
        <w:rPr>
          <w:rFonts w:ascii="Times New Roman" w:eastAsia="Times New Roman" w:hAnsi="Times New Roman" w:cs="Times New Roman"/>
          <w:szCs w:val="20"/>
          <w:lang w:eastAsia="en-AU"/>
        </w:rPr>
      </w:pPr>
      <w:r w:rsidRPr="005C157F">
        <w:rPr>
          <w:rFonts w:ascii="Times New Roman" w:eastAsia="Times New Roman" w:hAnsi="Times New Roman" w:cs="Times New Roman"/>
          <w:szCs w:val="20"/>
          <w:lang w:eastAsia="en-AU"/>
        </w:rPr>
        <w:t xml:space="preserve">Overall, the ESCs considered that there remained high uncertainty regarding the proposal for </w:t>
      </w:r>
      <w:r w:rsidRPr="005C157F">
        <w:rPr>
          <w:rFonts w:ascii="Times New Roman" w:eastAsia="Times New Roman" w:hAnsi="Times New Roman" w:cs="Times New Roman"/>
          <w:i/>
          <w:szCs w:val="20"/>
          <w:lang w:eastAsia="en-AU"/>
        </w:rPr>
        <w:t>NTRK</w:t>
      </w:r>
      <w:r w:rsidRPr="005C157F">
        <w:rPr>
          <w:rFonts w:ascii="Times New Roman" w:eastAsia="Times New Roman" w:hAnsi="Times New Roman" w:cs="Times New Roman"/>
          <w:szCs w:val="20"/>
          <w:lang w:eastAsia="en-AU"/>
        </w:rPr>
        <w:t xml:space="preserve"> fusion testing in the resubmission, </w:t>
      </w:r>
      <w:r>
        <w:rPr>
          <w:rFonts w:ascii="Times New Roman" w:eastAsia="Times New Roman" w:hAnsi="Times New Roman" w:cs="Times New Roman"/>
          <w:szCs w:val="20"/>
          <w:lang w:eastAsia="en-AU"/>
        </w:rPr>
        <w:t xml:space="preserve">with greater consequences for </w:t>
      </w:r>
      <w:r w:rsidRPr="005C157F">
        <w:rPr>
          <w:rFonts w:ascii="Times New Roman" w:eastAsia="Times New Roman" w:hAnsi="Times New Roman" w:cs="Times New Roman"/>
          <w:szCs w:val="20"/>
          <w:lang w:eastAsia="en-AU"/>
        </w:rPr>
        <w:t xml:space="preserve">adult patients with low-frequency </w:t>
      </w:r>
      <w:r w:rsidRPr="005C157F">
        <w:rPr>
          <w:rFonts w:ascii="Times New Roman" w:eastAsia="Times New Roman" w:hAnsi="Times New Roman" w:cs="Times New Roman"/>
          <w:i/>
          <w:iCs/>
          <w:szCs w:val="20"/>
          <w:lang w:eastAsia="en-AU"/>
        </w:rPr>
        <w:t>NTRK</w:t>
      </w:r>
      <w:r w:rsidRPr="005C157F">
        <w:rPr>
          <w:rFonts w:ascii="Times New Roman" w:eastAsia="Times New Roman" w:hAnsi="Times New Roman" w:cs="Times New Roman"/>
          <w:szCs w:val="20"/>
          <w:lang w:eastAsia="en-AU"/>
        </w:rPr>
        <w:t xml:space="preserve"> gene fusion cancer types. The ESCs queried whether the proposed pan-</w:t>
      </w:r>
      <w:proofErr w:type="spellStart"/>
      <w:r w:rsidRPr="005C157F">
        <w:rPr>
          <w:rFonts w:ascii="Times New Roman" w:eastAsia="Times New Roman" w:hAnsi="Times New Roman" w:cs="Times New Roman"/>
          <w:szCs w:val="20"/>
          <w:lang w:eastAsia="en-AU"/>
        </w:rPr>
        <w:t>Trk</w:t>
      </w:r>
      <w:proofErr w:type="spellEnd"/>
      <w:r w:rsidRPr="005C157F">
        <w:rPr>
          <w:rFonts w:ascii="Times New Roman" w:eastAsia="Times New Roman" w:hAnsi="Times New Roman" w:cs="Times New Roman"/>
          <w:szCs w:val="20"/>
          <w:lang w:eastAsia="en-AU"/>
        </w:rPr>
        <w:t xml:space="preserve"> IHC testing </w:t>
      </w:r>
      <w:r>
        <w:rPr>
          <w:rFonts w:ascii="Times New Roman" w:eastAsia="Times New Roman" w:hAnsi="Times New Roman" w:cs="Times New Roman"/>
          <w:szCs w:val="20"/>
          <w:lang w:eastAsia="en-AU"/>
        </w:rPr>
        <w:t xml:space="preserve">would </w:t>
      </w:r>
      <w:r w:rsidRPr="005C157F">
        <w:rPr>
          <w:rFonts w:ascii="Times New Roman" w:eastAsia="Times New Roman" w:hAnsi="Times New Roman" w:cs="Times New Roman"/>
          <w:szCs w:val="20"/>
          <w:lang w:eastAsia="en-AU"/>
        </w:rPr>
        <w:t>be feasible</w:t>
      </w:r>
      <w:r>
        <w:rPr>
          <w:rFonts w:ascii="Times New Roman" w:eastAsia="Times New Roman" w:hAnsi="Times New Roman" w:cs="Times New Roman"/>
          <w:szCs w:val="20"/>
          <w:lang w:eastAsia="en-AU"/>
        </w:rPr>
        <w:t xml:space="preserve"> in Australia</w:t>
      </w:r>
      <w:r w:rsidRPr="005C157F">
        <w:rPr>
          <w:rFonts w:ascii="Times New Roman" w:eastAsia="Times New Roman" w:hAnsi="Times New Roman" w:cs="Times New Roman"/>
          <w:szCs w:val="20"/>
          <w:lang w:eastAsia="en-AU"/>
        </w:rPr>
        <w:t xml:space="preserve">. The ESCs considered that most of the uncertainty related to the types of </w:t>
      </w:r>
      <w:r>
        <w:rPr>
          <w:rFonts w:ascii="Times New Roman" w:eastAsia="Times New Roman" w:hAnsi="Times New Roman" w:cs="Times New Roman"/>
          <w:szCs w:val="20"/>
          <w:lang w:eastAsia="en-AU"/>
        </w:rPr>
        <w:t xml:space="preserve">clinical </w:t>
      </w:r>
      <w:r w:rsidRPr="005C157F">
        <w:rPr>
          <w:rFonts w:ascii="Times New Roman" w:eastAsia="Times New Roman" w:hAnsi="Times New Roman" w:cs="Times New Roman"/>
          <w:szCs w:val="20"/>
          <w:lang w:eastAsia="en-AU"/>
        </w:rPr>
        <w:t xml:space="preserve">evidence observed for these rare tumours such as single-arm studies with naïve, unanchored indirect comparisons, which had flow on consequences </w:t>
      </w:r>
      <w:r>
        <w:rPr>
          <w:rFonts w:ascii="Times New Roman" w:eastAsia="Times New Roman" w:hAnsi="Times New Roman" w:cs="Times New Roman"/>
          <w:szCs w:val="20"/>
          <w:lang w:eastAsia="en-AU"/>
        </w:rPr>
        <w:t>for</w:t>
      </w:r>
      <w:r w:rsidRPr="005C157F">
        <w:rPr>
          <w:rFonts w:ascii="Times New Roman" w:eastAsia="Times New Roman" w:hAnsi="Times New Roman" w:cs="Times New Roman"/>
          <w:szCs w:val="20"/>
          <w:lang w:eastAsia="en-AU"/>
        </w:rPr>
        <w:t xml:space="preserve"> the interpretation of the </w:t>
      </w:r>
      <w:r>
        <w:rPr>
          <w:rFonts w:ascii="Times New Roman" w:eastAsia="Times New Roman" w:hAnsi="Times New Roman" w:cs="Times New Roman"/>
          <w:szCs w:val="20"/>
          <w:lang w:eastAsia="en-AU"/>
        </w:rPr>
        <w:t xml:space="preserve">modelled </w:t>
      </w:r>
      <w:r w:rsidRPr="005C157F">
        <w:rPr>
          <w:rFonts w:ascii="Times New Roman" w:eastAsia="Times New Roman" w:hAnsi="Times New Roman" w:cs="Times New Roman"/>
          <w:szCs w:val="20"/>
          <w:lang w:eastAsia="en-AU"/>
        </w:rPr>
        <w:t xml:space="preserve">ICER </w:t>
      </w:r>
      <w:r>
        <w:rPr>
          <w:rFonts w:ascii="Times New Roman" w:eastAsia="Times New Roman" w:hAnsi="Times New Roman" w:cs="Times New Roman"/>
          <w:szCs w:val="20"/>
          <w:lang w:eastAsia="en-AU"/>
        </w:rPr>
        <w:t>results</w:t>
      </w:r>
      <w:r w:rsidRPr="005C157F">
        <w:rPr>
          <w:rFonts w:ascii="Times New Roman" w:eastAsia="Times New Roman" w:hAnsi="Times New Roman" w:cs="Times New Roman"/>
          <w:szCs w:val="20"/>
          <w:lang w:eastAsia="en-AU"/>
        </w:rPr>
        <w:t>.</w:t>
      </w:r>
    </w:p>
    <w:p w14:paraId="57DFE85F" w14:textId="49ACA0EB" w:rsidR="0028467B" w:rsidRPr="00837F24" w:rsidRDefault="0028467B" w:rsidP="00864249">
      <w:pPr>
        <w:pStyle w:val="Heading1"/>
        <w:numPr>
          <w:ilvl w:val="0"/>
          <w:numId w:val="3"/>
        </w:numPr>
        <w:spacing w:before="240" w:after="240" w:line="240" w:lineRule="auto"/>
        <w:ind w:left="720" w:hanging="720"/>
        <w:rPr>
          <w:rFonts w:ascii="Arial" w:hAnsi="Arial" w:cs="Arial"/>
          <w:bCs/>
          <w:lang w:eastAsia="en-AU"/>
        </w:rPr>
      </w:pPr>
      <w:r w:rsidRPr="00837F24">
        <w:rPr>
          <w:rFonts w:ascii="Arial" w:hAnsi="Arial" w:cs="Arial"/>
          <w:bCs/>
          <w:lang w:eastAsia="en-AU"/>
        </w:rPr>
        <w:t xml:space="preserve">Other </w:t>
      </w:r>
      <w:r>
        <w:rPr>
          <w:rFonts w:ascii="Arial" w:hAnsi="Arial" w:cs="Arial"/>
          <w:bCs/>
          <w:lang w:eastAsia="en-AU"/>
        </w:rPr>
        <w:t>significant factors</w:t>
      </w:r>
    </w:p>
    <w:p w14:paraId="43E25A4E" w14:textId="77777777" w:rsidR="0028467B" w:rsidRPr="00214D77" w:rsidRDefault="0028467B" w:rsidP="0028467B">
      <w:pPr>
        <w:spacing w:before="0" w:after="0"/>
        <w:jc w:val="left"/>
        <w:rPr>
          <w:rFonts w:ascii="Times New Roman" w:eastAsia="Times New Roman" w:hAnsi="Times New Roman" w:cs="Times New Roman"/>
          <w:szCs w:val="20"/>
          <w:lang w:eastAsia="en-AU"/>
        </w:rPr>
      </w:pPr>
      <w:r w:rsidRPr="00214D77">
        <w:rPr>
          <w:rFonts w:ascii="Times New Roman" w:eastAsia="Times New Roman" w:hAnsi="Times New Roman" w:cs="Times New Roman"/>
          <w:szCs w:val="20"/>
          <w:lang w:eastAsia="en-AU"/>
        </w:rPr>
        <w:t>The resubmission allow</w:t>
      </w:r>
      <w:r>
        <w:rPr>
          <w:rFonts w:ascii="Times New Roman" w:eastAsia="Times New Roman" w:hAnsi="Times New Roman" w:cs="Times New Roman"/>
          <w:szCs w:val="20"/>
          <w:lang w:eastAsia="en-AU"/>
        </w:rPr>
        <w:t>ed</w:t>
      </w:r>
      <w:r w:rsidRPr="00214D77">
        <w:rPr>
          <w:rFonts w:ascii="Times New Roman" w:eastAsia="Times New Roman" w:hAnsi="Times New Roman" w:cs="Times New Roman"/>
          <w:szCs w:val="20"/>
          <w:lang w:eastAsia="en-AU"/>
        </w:rPr>
        <w:t xml:space="preserve"> a number of alternate funding scenarios to be considered, however all include </w:t>
      </w:r>
      <w:r w:rsidRPr="00214D77">
        <w:rPr>
          <w:rFonts w:ascii="Times New Roman" w:eastAsia="Times New Roman" w:hAnsi="Times New Roman" w:cs="Times New Roman"/>
          <w:i/>
          <w:szCs w:val="20"/>
          <w:lang w:eastAsia="en-AU"/>
        </w:rPr>
        <w:t>NTRK</w:t>
      </w:r>
      <w:r w:rsidRPr="00214D77">
        <w:rPr>
          <w:rFonts w:ascii="Times New Roman" w:eastAsia="Times New Roman" w:hAnsi="Times New Roman" w:cs="Times New Roman"/>
          <w:szCs w:val="20"/>
          <w:lang w:eastAsia="en-AU"/>
        </w:rPr>
        <w:t xml:space="preserve"> testing for access to larotrectinib treatment. On the basis of previous MSAC and PBAC consideration, the main scenarios include:</w:t>
      </w:r>
    </w:p>
    <w:p w14:paraId="5DAF3B59" w14:textId="77777777" w:rsidR="0028467B" w:rsidRPr="00214D77" w:rsidRDefault="0028467B" w:rsidP="00864249">
      <w:pPr>
        <w:numPr>
          <w:ilvl w:val="0"/>
          <w:numId w:val="26"/>
        </w:numPr>
        <w:spacing w:before="0" w:after="0"/>
        <w:ind w:left="714" w:hanging="357"/>
        <w:jc w:val="left"/>
        <w:rPr>
          <w:rFonts w:ascii="Times New Roman" w:eastAsia="Calibri" w:hAnsi="Times New Roman" w:cs="Times New Roman"/>
        </w:rPr>
      </w:pPr>
      <w:r w:rsidRPr="00214D77">
        <w:rPr>
          <w:rFonts w:ascii="Times New Roman" w:eastAsia="Calibri" w:hAnsi="Times New Roman" w:cs="Times New Roman"/>
        </w:rPr>
        <w:t xml:space="preserve">Adult high </w:t>
      </w:r>
      <w:r w:rsidRPr="00214D77">
        <w:rPr>
          <w:rFonts w:ascii="Times New Roman" w:eastAsia="Calibri" w:hAnsi="Times New Roman" w:cs="Times New Roman"/>
          <w:i/>
        </w:rPr>
        <w:t>NTRK</w:t>
      </w:r>
      <w:r w:rsidRPr="00214D77">
        <w:rPr>
          <w:rFonts w:ascii="Times New Roman" w:eastAsia="Calibri" w:hAnsi="Times New Roman" w:cs="Times New Roman"/>
        </w:rPr>
        <w:t xml:space="preserve"> frequency and all paediatric patients (NGS/FISH testing);</w:t>
      </w:r>
    </w:p>
    <w:p w14:paraId="2684BD72" w14:textId="77777777" w:rsidR="0028467B" w:rsidRPr="00214D77" w:rsidRDefault="0028467B" w:rsidP="00864249">
      <w:pPr>
        <w:numPr>
          <w:ilvl w:val="0"/>
          <w:numId w:val="26"/>
        </w:numPr>
        <w:spacing w:before="0" w:after="0"/>
        <w:ind w:left="714" w:hanging="357"/>
        <w:jc w:val="left"/>
        <w:rPr>
          <w:rFonts w:ascii="Times New Roman" w:eastAsia="Calibri" w:hAnsi="Times New Roman" w:cs="Times New Roman"/>
        </w:rPr>
      </w:pPr>
      <w:r w:rsidRPr="00214D77">
        <w:rPr>
          <w:rFonts w:ascii="Times New Roman" w:eastAsia="Calibri" w:hAnsi="Times New Roman" w:cs="Times New Roman"/>
        </w:rPr>
        <w:lastRenderedPageBreak/>
        <w:t xml:space="preserve">Specified adult low frequency </w:t>
      </w:r>
      <w:r w:rsidRPr="00214D77">
        <w:rPr>
          <w:rFonts w:ascii="Times New Roman" w:eastAsia="Calibri" w:hAnsi="Times New Roman" w:cs="Times New Roman"/>
          <w:i/>
        </w:rPr>
        <w:t>NTRK</w:t>
      </w:r>
      <w:r w:rsidRPr="00214D77">
        <w:rPr>
          <w:rFonts w:ascii="Times New Roman" w:eastAsia="Calibri" w:hAnsi="Times New Roman" w:cs="Times New Roman"/>
        </w:rPr>
        <w:t xml:space="preserve"> tumour types combined (IHC followed by NGS/FISH in those that are IHC-positive); and the</w:t>
      </w:r>
    </w:p>
    <w:p w14:paraId="4D647868" w14:textId="77777777" w:rsidR="0028467B" w:rsidRPr="00214D77" w:rsidRDefault="0028467B" w:rsidP="00864249">
      <w:pPr>
        <w:numPr>
          <w:ilvl w:val="0"/>
          <w:numId w:val="26"/>
        </w:numPr>
        <w:spacing w:before="0" w:after="240"/>
        <w:jc w:val="left"/>
        <w:rPr>
          <w:rFonts w:ascii="Times New Roman" w:eastAsia="Calibri" w:hAnsi="Times New Roman" w:cs="Times New Roman"/>
        </w:rPr>
      </w:pPr>
      <w:r w:rsidRPr="00214D77">
        <w:rPr>
          <w:rFonts w:ascii="Times New Roman" w:eastAsia="Calibri" w:hAnsi="Times New Roman" w:cs="Times New Roman"/>
        </w:rPr>
        <w:t>Overall population proposed for larotrectinib treatment (with proposed testing as described above).</w:t>
      </w:r>
    </w:p>
    <w:p w14:paraId="0E9D6EFA" w14:textId="29BEBBBD" w:rsidR="006557BA" w:rsidRPr="006557BA" w:rsidRDefault="006557BA" w:rsidP="00864249">
      <w:pPr>
        <w:pStyle w:val="Heading1"/>
        <w:numPr>
          <w:ilvl w:val="0"/>
          <w:numId w:val="3"/>
        </w:numPr>
        <w:spacing w:before="240" w:after="240" w:line="240" w:lineRule="auto"/>
        <w:ind w:left="720" w:hanging="720"/>
        <w:rPr>
          <w:rFonts w:ascii="Arial" w:hAnsi="Arial" w:cs="Arial"/>
          <w:bCs/>
          <w:lang w:eastAsia="en-AU"/>
        </w:rPr>
      </w:pPr>
      <w:r w:rsidRPr="006557BA">
        <w:rPr>
          <w:rFonts w:ascii="Arial" w:hAnsi="Arial" w:cs="Arial"/>
          <w:bCs/>
          <w:lang w:eastAsia="en-AU"/>
        </w:rPr>
        <w:t>Applicant comments on MSAC’s Public Summary Document</w:t>
      </w:r>
    </w:p>
    <w:p w14:paraId="50D60208" w14:textId="5433F257" w:rsidR="005D134E" w:rsidRPr="00C06C76" w:rsidRDefault="00006E97" w:rsidP="00081EB7">
      <w:pPr>
        <w:spacing w:before="240" w:after="240"/>
        <w:jc w:val="left"/>
        <w:rPr>
          <w:rFonts w:ascii="Times New Roman" w:hAnsi="Times New Roman" w:cs="Times New Roman"/>
          <w:szCs w:val="24"/>
        </w:rPr>
      </w:pPr>
      <w:r w:rsidRPr="00C06C76">
        <w:rPr>
          <w:rFonts w:ascii="Times New Roman" w:hAnsi="Times New Roman" w:cs="Times New Roman"/>
          <w:szCs w:val="24"/>
        </w:rPr>
        <w:t xml:space="preserve">Bayer welcomes the MSAC’s </w:t>
      </w:r>
      <w:r w:rsidR="004B60CE" w:rsidRPr="00C06C76">
        <w:rPr>
          <w:rFonts w:ascii="Times New Roman" w:hAnsi="Times New Roman" w:cs="Times New Roman"/>
          <w:szCs w:val="24"/>
        </w:rPr>
        <w:t xml:space="preserve">decision to support </w:t>
      </w:r>
      <w:r w:rsidR="00E95E55" w:rsidRPr="00C06C76">
        <w:rPr>
          <w:rFonts w:ascii="Times New Roman" w:hAnsi="Times New Roman" w:cs="Times New Roman"/>
          <w:szCs w:val="24"/>
        </w:rPr>
        <w:t xml:space="preserve">NTRK fusion testing to determine eligibility for treatment with larotrectinib in paediatric patients and adult patients with high-frequency NTRK fusion cancer types. </w:t>
      </w:r>
      <w:r w:rsidR="00B30681" w:rsidRPr="00C06C76">
        <w:rPr>
          <w:rFonts w:ascii="Times New Roman" w:hAnsi="Times New Roman" w:cs="Times New Roman"/>
          <w:szCs w:val="24"/>
        </w:rPr>
        <w:t>Bayer will continue to work collaboratively with the MSAC, the Department of Health and Government to ensure that patients with an NTRK fusion cancer in Australia receive access to NTRK fusion testing through the MBS at the earliest opportunity.</w:t>
      </w:r>
    </w:p>
    <w:p w14:paraId="33DD7B1A" w14:textId="61AD15AA" w:rsidR="006557BA" w:rsidRPr="006557BA" w:rsidRDefault="006557BA" w:rsidP="00864249">
      <w:pPr>
        <w:pStyle w:val="Heading1"/>
        <w:numPr>
          <w:ilvl w:val="0"/>
          <w:numId w:val="3"/>
        </w:numPr>
        <w:spacing w:before="240" w:after="240" w:line="240" w:lineRule="auto"/>
        <w:ind w:left="720" w:hanging="720"/>
        <w:rPr>
          <w:rFonts w:ascii="Arial" w:hAnsi="Arial" w:cs="Arial"/>
          <w:bCs/>
          <w:lang w:eastAsia="en-AU"/>
        </w:rPr>
      </w:pPr>
      <w:r w:rsidRPr="006557BA">
        <w:rPr>
          <w:rFonts w:ascii="Arial" w:hAnsi="Arial" w:cs="Arial"/>
          <w:bCs/>
          <w:lang w:eastAsia="en-AU"/>
        </w:rPr>
        <w:t>Further information on MSAC</w:t>
      </w:r>
    </w:p>
    <w:p w14:paraId="55131380" w14:textId="1D0AFDDB" w:rsidR="0028467B" w:rsidRPr="006557BA" w:rsidRDefault="006557BA" w:rsidP="00081EB7">
      <w:pPr>
        <w:spacing w:before="240" w:after="240"/>
        <w:jc w:val="left"/>
        <w:rPr>
          <w:rFonts w:ascii="Times New Roman" w:hAnsi="Times New Roman" w:cs="Times New Roman"/>
          <w:szCs w:val="24"/>
        </w:rPr>
      </w:pPr>
      <w:r w:rsidRPr="006557BA">
        <w:rPr>
          <w:rFonts w:ascii="Times New Roman" w:hAnsi="Times New Roman" w:cs="Times New Roman"/>
          <w:szCs w:val="24"/>
        </w:rPr>
        <w:t xml:space="preserve">MSAC Terms of Reference and other information are available on the MSAC Website: </w:t>
      </w:r>
      <w:r w:rsidRPr="006557BA">
        <w:rPr>
          <w:rFonts w:ascii="Times New Roman" w:hAnsi="Times New Roman" w:cs="Times New Roman"/>
          <w:szCs w:val="24"/>
        </w:rPr>
        <w:br/>
      </w:r>
      <w:hyperlink r:id="rId15" w:tooltip="Link to Medical Services Advisory Committee website" w:history="1">
        <w:r w:rsidRPr="006557BA">
          <w:rPr>
            <w:rStyle w:val="Hyperlink"/>
            <w:rFonts w:ascii="Times New Roman" w:hAnsi="Times New Roman" w:cs="Times New Roman"/>
            <w:szCs w:val="24"/>
          </w:rPr>
          <w:t>visit the MSAC website</w:t>
        </w:r>
      </w:hyperlink>
      <w:r w:rsidRPr="006557BA">
        <w:rPr>
          <w:rStyle w:val="Hyperlink"/>
          <w:rFonts w:ascii="Times New Roman" w:hAnsi="Times New Roman" w:cs="Times New Roman"/>
          <w:szCs w:val="24"/>
        </w:rPr>
        <w:t>s</w:t>
      </w:r>
    </w:p>
    <w:sectPr w:rsidR="0028467B" w:rsidRPr="006557BA">
      <w:footerReference w:type="default" r:id="rId16"/>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7176" w14:textId="77777777" w:rsidR="00C06749" w:rsidRDefault="00C06749" w:rsidP="00BA3306">
      <w:pPr>
        <w:spacing w:before="0" w:after="0"/>
      </w:pPr>
      <w:r>
        <w:separator/>
      </w:r>
    </w:p>
    <w:p w14:paraId="69A7B9F8" w14:textId="77777777" w:rsidR="00C06749" w:rsidRDefault="00C06749"/>
  </w:endnote>
  <w:endnote w:type="continuationSeparator" w:id="0">
    <w:p w14:paraId="3C1AEC12" w14:textId="77777777" w:rsidR="00C06749" w:rsidRDefault="00C06749" w:rsidP="00BA3306">
      <w:pPr>
        <w:spacing w:before="0" w:after="0"/>
      </w:pPr>
      <w:r>
        <w:continuationSeparator/>
      </w:r>
    </w:p>
    <w:p w14:paraId="6FDF3246" w14:textId="77777777" w:rsidR="00C06749" w:rsidRDefault="00C06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umanist 77 7 B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altName w:val="﷽﷽﷽﷽﷽﷽ῐԌ"/>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D2650" w14:textId="76BAE723" w:rsidR="00C06749" w:rsidRDefault="00B57336" w:rsidP="00081EB7">
    <w:pPr>
      <w:pStyle w:val="Footer"/>
      <w:jc w:val="right"/>
    </w:pPr>
    <w:sdt>
      <w:sdtPr>
        <w:id w:val="-805934961"/>
        <w:docPartObj>
          <w:docPartGallery w:val="Page Numbers (Bottom of Page)"/>
          <w:docPartUnique/>
        </w:docPartObj>
      </w:sdtPr>
      <w:sdtEndPr>
        <w:rPr>
          <w:noProof/>
        </w:rPr>
      </w:sdtEndPr>
      <w:sdtContent>
        <w:r w:rsidR="00C06749">
          <w:fldChar w:fldCharType="begin"/>
        </w:r>
        <w:r w:rsidR="00C06749">
          <w:instrText xml:space="preserve"> PAGE   \* MERGEFORMAT </w:instrText>
        </w:r>
        <w:r w:rsidR="00C06749">
          <w:fldChar w:fldCharType="separate"/>
        </w:r>
        <w:r w:rsidR="00C06749">
          <w:rPr>
            <w:noProof/>
          </w:rPr>
          <w:t>33</w:t>
        </w:r>
        <w:r w:rsidR="00C0674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56BBE" w14:textId="77777777" w:rsidR="00C06749" w:rsidRDefault="00C06749" w:rsidP="00BA3306">
      <w:pPr>
        <w:spacing w:before="0" w:after="0"/>
      </w:pPr>
      <w:r>
        <w:separator/>
      </w:r>
    </w:p>
    <w:p w14:paraId="6C231457" w14:textId="77777777" w:rsidR="00C06749" w:rsidRDefault="00C06749"/>
  </w:footnote>
  <w:footnote w:type="continuationSeparator" w:id="0">
    <w:p w14:paraId="05CAE37A" w14:textId="77777777" w:rsidR="00C06749" w:rsidRDefault="00C06749" w:rsidP="00BA3306">
      <w:pPr>
        <w:spacing w:before="0" w:after="0"/>
      </w:pPr>
      <w:r>
        <w:continuationSeparator/>
      </w:r>
    </w:p>
    <w:p w14:paraId="53856D07" w14:textId="77777777" w:rsidR="00C06749" w:rsidRDefault="00C06749"/>
  </w:footnote>
  <w:footnote w:id="1">
    <w:p w14:paraId="71F7DE65" w14:textId="6F124392" w:rsidR="00C06749" w:rsidRDefault="00C06749">
      <w:pPr>
        <w:pStyle w:val="FootnoteText"/>
      </w:pPr>
      <w:r>
        <w:rPr>
          <w:rStyle w:val="FootnoteReference"/>
        </w:rPr>
        <w:footnoteRef/>
      </w:r>
      <w:r>
        <w:t xml:space="preserve"> </w:t>
      </w:r>
      <w:r w:rsidRPr="00361CFC">
        <w:t>Strohmeier S, Brcic I, Popper H, Liegl-Atzwanger B, Lindenmann J, Brcic L. Applicability of pan-TRK immunohistochemistry for identification of NTRK fusions in lung carcinoma. Sci Rep. 2021 May 7;11(1):9785. doi: 10.1038/s41598-021-89373-3. PMID: 33963267; PMCID: PMC8105314.</w:t>
      </w:r>
    </w:p>
  </w:footnote>
  <w:footnote w:id="2">
    <w:p w14:paraId="3AC03204" w14:textId="77777777" w:rsidR="00C06749" w:rsidRDefault="00C06749" w:rsidP="00214D77">
      <w:pPr>
        <w:pStyle w:val="FootnoteText"/>
      </w:pPr>
      <w:r>
        <w:rPr>
          <w:rStyle w:val="FootnoteReference"/>
        </w:rPr>
        <w:footnoteRef/>
      </w:r>
      <w:r>
        <w:t xml:space="preserve"> </w:t>
      </w:r>
      <w:r w:rsidRPr="008147A3">
        <w:t xml:space="preserve">Garrido P, Hladun R, de Álava E, Álvarez R, Bautista F, López-Ríos F, et al. Multidisciplinary consensus on optimising the detection of </w:t>
      </w:r>
      <w:r w:rsidRPr="002C7EA9">
        <w:rPr>
          <w:i/>
        </w:rPr>
        <w:t>NTRK</w:t>
      </w:r>
      <w:r w:rsidRPr="008147A3">
        <w:t xml:space="preserve"> gene alterations in tumours. Clinical and Translational Oncology. 2021;23(8):1529-41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AD3"/>
    <w:multiLevelType w:val="multilevel"/>
    <w:tmpl w:val="D598E05E"/>
    <w:lvl w:ilvl="0">
      <w:start w:val="1"/>
      <w:numFmt w:val="upperLetter"/>
      <w:pStyle w:val="H1S2"/>
      <w:lvlText w:val="2%1"/>
      <w:lvlJc w:val="left"/>
      <w:pPr>
        <w:ind w:left="1900" w:hanging="1191"/>
      </w:pPr>
      <w:rPr>
        <w:rFonts w:hint="default"/>
      </w:rPr>
    </w:lvl>
    <w:lvl w:ilvl="1">
      <w:start w:val="1"/>
      <w:numFmt w:val="decimal"/>
      <w:pStyle w:val="H2S2"/>
      <w:lvlText w:val="2%1.%2"/>
      <w:lvlJc w:val="left"/>
      <w:pPr>
        <w:ind w:left="3317" w:hanging="1191"/>
      </w:pPr>
      <w:rPr>
        <w:rFonts w:hint="default"/>
        <w:sz w:val="32"/>
        <w:szCs w:val="32"/>
      </w:rPr>
    </w:lvl>
    <w:lvl w:ilvl="2">
      <w:start w:val="1"/>
      <w:numFmt w:val="decimal"/>
      <w:pStyle w:val="H3S2"/>
      <w:lvlText w:val="2%1.%2.%3"/>
      <w:lvlJc w:val="left"/>
      <w:pPr>
        <w:ind w:left="1900" w:hanging="1191"/>
      </w:pPr>
      <w:rPr>
        <w:rFonts w:hint="default"/>
      </w:rPr>
    </w:lvl>
    <w:lvl w:ilvl="3">
      <w:start w:val="1"/>
      <w:numFmt w:val="decimal"/>
      <w:lvlText w:val="2%1.%2.%3.%4"/>
      <w:lvlJc w:val="left"/>
      <w:pPr>
        <w:ind w:left="2297" w:hanging="1588"/>
      </w:pPr>
      <w:rPr>
        <w:rFonts w:hint="default"/>
      </w:rPr>
    </w:lvl>
    <w:lvl w:ilvl="4">
      <w:start w:val="1"/>
      <w:numFmt w:val="decimal"/>
      <w:lvlText w:val="2%1.%2.%3.%4.%5"/>
      <w:lvlJc w:val="left"/>
      <w:pPr>
        <w:ind w:left="1717" w:hanging="1008"/>
      </w:pPr>
      <w:rPr>
        <w:rFonts w:hint="default"/>
      </w:rPr>
    </w:lvl>
    <w:lvl w:ilvl="5">
      <w:start w:val="1"/>
      <w:numFmt w:val="decimal"/>
      <w:lvlText w:val="2%1.%2.%3.%4.%5.%6"/>
      <w:lvlJc w:val="left"/>
      <w:pPr>
        <w:ind w:left="1861" w:hanging="1152"/>
      </w:pPr>
      <w:rPr>
        <w:rFonts w:hint="default"/>
      </w:rPr>
    </w:lvl>
    <w:lvl w:ilvl="6">
      <w:start w:val="1"/>
      <w:numFmt w:val="decimal"/>
      <w:lvlText w:val="2%1.%2.%3.%4.%5.%6.%7"/>
      <w:lvlJc w:val="left"/>
      <w:pPr>
        <w:ind w:left="2005" w:hanging="1296"/>
      </w:pPr>
      <w:rPr>
        <w:rFonts w:hint="default"/>
      </w:rPr>
    </w:lvl>
    <w:lvl w:ilvl="7">
      <w:start w:val="1"/>
      <w:numFmt w:val="decimal"/>
      <w:lvlText w:val="2%1.%2.%3.%4.%5.%6.%7.%8"/>
      <w:lvlJc w:val="left"/>
      <w:pPr>
        <w:ind w:left="2149" w:hanging="1440"/>
      </w:pPr>
      <w:rPr>
        <w:rFonts w:hint="default"/>
      </w:rPr>
    </w:lvl>
    <w:lvl w:ilvl="8">
      <w:start w:val="1"/>
      <w:numFmt w:val="decimal"/>
      <w:lvlText w:val="2%1.%2.%3.%4.%5.%6.%7.%8.%9"/>
      <w:lvlJc w:val="left"/>
      <w:pPr>
        <w:ind w:left="2293" w:hanging="1584"/>
      </w:pPr>
      <w:rPr>
        <w:rFonts w:hint="default"/>
      </w:r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34013"/>
    <w:multiLevelType w:val="multilevel"/>
    <w:tmpl w:val="319ECF4C"/>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529775B"/>
    <w:multiLevelType w:val="hybridMultilevel"/>
    <w:tmpl w:val="4642B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182C4D"/>
    <w:multiLevelType w:val="hybridMultilevel"/>
    <w:tmpl w:val="C6567788"/>
    <w:lvl w:ilvl="0" w:tplc="0C7EC1D6">
      <w:start w:val="1"/>
      <w:numFmt w:val="bullet"/>
      <w:lvlText w:val=""/>
      <w:lvlJc w:val="left"/>
      <w:pPr>
        <w:ind w:left="714" w:hanging="354"/>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A490F8C"/>
    <w:multiLevelType w:val="multilevel"/>
    <w:tmpl w:val="06B224CC"/>
    <w:lvl w:ilvl="0">
      <w:start w:val="1"/>
      <w:numFmt w:val="decimal"/>
      <w:lvlText w:val="%1."/>
      <w:lvlJc w:val="left"/>
      <w:pPr>
        <w:ind w:left="360" w:hanging="360"/>
      </w:pPr>
      <w:rPr>
        <w:rFonts w:hint="default"/>
        <w:b/>
      </w:rPr>
    </w:lvl>
    <w:lvl w:ilvl="1">
      <w:start w:val="1"/>
      <w:numFmt w:val="upperLetter"/>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0385A"/>
    <w:multiLevelType w:val="hybridMultilevel"/>
    <w:tmpl w:val="F59E6FF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2"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AE2ECB"/>
    <w:multiLevelType w:val="hybridMultilevel"/>
    <w:tmpl w:val="B6E02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954B83"/>
    <w:multiLevelType w:val="hybridMultilevel"/>
    <w:tmpl w:val="2D9AB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240CB1"/>
    <w:multiLevelType w:val="hybridMultilevel"/>
    <w:tmpl w:val="061A9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BE2B11"/>
    <w:multiLevelType w:val="hybridMultilevel"/>
    <w:tmpl w:val="E116CC8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8" w15:restartNumberingAfterBreak="0">
    <w:nsid w:val="3D1748E4"/>
    <w:multiLevelType w:val="hybridMultilevel"/>
    <w:tmpl w:val="D56E61B6"/>
    <w:lvl w:ilvl="0" w:tplc="B428E4A2">
      <w:start w:val="1"/>
      <w:numFmt w:val="bullet"/>
      <w:lvlText w:val=""/>
      <w:lvlJc w:val="left"/>
      <w:pPr>
        <w:ind w:left="714" w:hanging="354"/>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D954A0C"/>
    <w:multiLevelType w:val="hybridMultilevel"/>
    <w:tmpl w:val="074A1F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FDD3985"/>
    <w:multiLevelType w:val="hybridMultilevel"/>
    <w:tmpl w:val="E0A6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2"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3378F7"/>
    <w:multiLevelType w:val="hybridMultilevel"/>
    <w:tmpl w:val="E6DAD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25" w15:restartNumberingAfterBreak="0">
    <w:nsid w:val="4A0E4FCD"/>
    <w:multiLevelType w:val="hybridMultilevel"/>
    <w:tmpl w:val="D04CA3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905DEF"/>
    <w:multiLevelType w:val="hybridMultilevel"/>
    <w:tmpl w:val="C944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A87534"/>
    <w:multiLevelType w:val="hybridMultilevel"/>
    <w:tmpl w:val="57E2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195F86"/>
    <w:multiLevelType w:val="hybridMultilevel"/>
    <w:tmpl w:val="A89616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4DA27D6"/>
    <w:multiLevelType w:val="hybridMultilevel"/>
    <w:tmpl w:val="F54E495E"/>
    <w:lvl w:ilvl="0" w:tplc="44D037D8">
      <w:start w:val="1"/>
      <w:numFmt w:val="bullet"/>
      <w:pStyle w:val="Bullet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33EC2DA4"/>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84CE3"/>
    <w:multiLevelType w:val="hybridMultilevel"/>
    <w:tmpl w:val="A89616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10"/>
  </w:num>
  <w:num w:numId="3">
    <w:abstractNumId w:val="7"/>
  </w:num>
  <w:num w:numId="4">
    <w:abstractNumId w:val="3"/>
  </w:num>
  <w:num w:numId="5">
    <w:abstractNumId w:val="22"/>
  </w:num>
  <w:num w:numId="6">
    <w:abstractNumId w:val="2"/>
  </w:num>
  <w:num w:numId="7">
    <w:abstractNumId w:val="9"/>
  </w:num>
  <w:num w:numId="8">
    <w:abstractNumId w:val="27"/>
  </w:num>
  <w:num w:numId="9">
    <w:abstractNumId w:val="1"/>
  </w:num>
  <w:num w:numId="10">
    <w:abstractNumId w:val="32"/>
  </w:num>
  <w:num w:numId="11">
    <w:abstractNumId w:val="16"/>
  </w:num>
  <w:num w:numId="12">
    <w:abstractNumId w:val="17"/>
  </w:num>
  <w:num w:numId="13">
    <w:abstractNumId w:val="4"/>
  </w:num>
  <w:num w:numId="14">
    <w:abstractNumId w:val="28"/>
  </w:num>
  <w:num w:numId="15">
    <w:abstractNumId w:val="11"/>
  </w:num>
  <w:num w:numId="16">
    <w:abstractNumId w:val="30"/>
  </w:num>
  <w:num w:numId="17">
    <w:abstractNumId w:val="0"/>
  </w:num>
  <w:num w:numId="18">
    <w:abstractNumId w:val="24"/>
  </w:num>
  <w:num w:numId="19">
    <w:abstractNumId w:val="29"/>
  </w:num>
  <w:num w:numId="20">
    <w:abstractNumId w:val="13"/>
  </w:num>
  <w:num w:numId="21">
    <w:abstractNumId w:val="8"/>
  </w:num>
  <w:num w:numId="22">
    <w:abstractNumId w:val="21"/>
  </w:num>
  <w:num w:numId="23">
    <w:abstractNumId w:val="12"/>
  </w:num>
  <w:num w:numId="24">
    <w:abstractNumId w:val="25"/>
  </w:num>
  <w:num w:numId="25">
    <w:abstractNumId w:val="14"/>
  </w:num>
  <w:num w:numId="26">
    <w:abstractNumId w:val="23"/>
  </w:num>
  <w:num w:numId="27">
    <w:abstractNumId w:val="20"/>
  </w:num>
  <w:num w:numId="28">
    <w:abstractNumId w:val="26"/>
  </w:num>
  <w:num w:numId="29">
    <w:abstractNumId w:val="34"/>
  </w:num>
  <w:num w:numId="30">
    <w:abstractNumId w:val="18"/>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
  </w:num>
  <w:num w:numId="35">
    <w:abstractNumId w:val="3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a9rxsd40vwspeerz5x9zxh05f9xx5waw0w&quot;&gt;1602-1 comm library&lt;record-ids&gt;&lt;item&gt;15&lt;/item&gt;&lt;item&gt;16&lt;/item&gt;&lt;item&gt;17&lt;/item&gt;&lt;item&gt;19&lt;/item&gt;&lt;item&gt;20&lt;/item&gt;&lt;item&gt;21&lt;/item&gt;&lt;item&gt;23&lt;/item&gt;&lt;item&gt;25&lt;/item&gt;&lt;item&gt;27&lt;/item&gt;&lt;item&gt;29&lt;/item&gt;&lt;item&gt;30&lt;/item&gt;&lt;item&gt;33&lt;/item&gt;&lt;item&gt;34&lt;/item&gt;&lt;item&gt;40&lt;/item&gt;&lt;item&gt;47&lt;/item&gt;&lt;item&gt;49&lt;/item&gt;&lt;item&gt;79&lt;/item&gt;&lt;item&gt;80&lt;/item&gt;&lt;item&gt;81&lt;/item&gt;&lt;item&gt;82&lt;/item&gt;&lt;item&gt;83&lt;/item&gt;&lt;item&gt;84&lt;/item&gt;&lt;item&gt;85&lt;/item&gt;&lt;item&gt;86&lt;/item&gt;&lt;item&gt;88&lt;/item&gt;&lt;item&gt;89&lt;/item&gt;&lt;item&gt;90&lt;/item&gt;&lt;item&gt;92&lt;/item&gt;&lt;item&gt;94&lt;/item&gt;&lt;item&gt;95&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5&lt;/item&gt;&lt;item&gt;117&lt;/item&gt;&lt;item&gt;118&lt;/item&gt;&lt;item&gt;119&lt;/item&gt;&lt;item&gt;120&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record-ids&gt;&lt;/item&gt;&lt;/Libraries&gt;"/>
  </w:docVars>
  <w:rsids>
    <w:rsidRoot w:val="00BC2E79"/>
    <w:rsid w:val="00001AB4"/>
    <w:rsid w:val="00002AA3"/>
    <w:rsid w:val="00004678"/>
    <w:rsid w:val="000054D3"/>
    <w:rsid w:val="0000573F"/>
    <w:rsid w:val="000059CA"/>
    <w:rsid w:val="000062E0"/>
    <w:rsid w:val="00006E97"/>
    <w:rsid w:val="0001066F"/>
    <w:rsid w:val="0001115F"/>
    <w:rsid w:val="0001281E"/>
    <w:rsid w:val="00012EE8"/>
    <w:rsid w:val="000131C9"/>
    <w:rsid w:val="00013222"/>
    <w:rsid w:val="00014B4C"/>
    <w:rsid w:val="00015001"/>
    <w:rsid w:val="000153DF"/>
    <w:rsid w:val="0001548D"/>
    <w:rsid w:val="00016D91"/>
    <w:rsid w:val="000170E1"/>
    <w:rsid w:val="000177A1"/>
    <w:rsid w:val="0002095B"/>
    <w:rsid w:val="00022220"/>
    <w:rsid w:val="00023C46"/>
    <w:rsid w:val="0002488A"/>
    <w:rsid w:val="00024D48"/>
    <w:rsid w:val="00025A0E"/>
    <w:rsid w:val="000276FC"/>
    <w:rsid w:val="00030D9F"/>
    <w:rsid w:val="00032738"/>
    <w:rsid w:val="00033CE1"/>
    <w:rsid w:val="00034404"/>
    <w:rsid w:val="0003497C"/>
    <w:rsid w:val="00035362"/>
    <w:rsid w:val="00035982"/>
    <w:rsid w:val="000359BA"/>
    <w:rsid w:val="000361EB"/>
    <w:rsid w:val="000418C5"/>
    <w:rsid w:val="0004335B"/>
    <w:rsid w:val="0004441D"/>
    <w:rsid w:val="00044D54"/>
    <w:rsid w:val="000455DE"/>
    <w:rsid w:val="00045717"/>
    <w:rsid w:val="000461CF"/>
    <w:rsid w:val="00046853"/>
    <w:rsid w:val="0004736B"/>
    <w:rsid w:val="0004758F"/>
    <w:rsid w:val="0005001F"/>
    <w:rsid w:val="000510A9"/>
    <w:rsid w:val="000511A1"/>
    <w:rsid w:val="00051AA5"/>
    <w:rsid w:val="000522EE"/>
    <w:rsid w:val="000525E6"/>
    <w:rsid w:val="00052BCD"/>
    <w:rsid w:val="00052CE5"/>
    <w:rsid w:val="00053B64"/>
    <w:rsid w:val="00054171"/>
    <w:rsid w:val="00055BC0"/>
    <w:rsid w:val="00055DCD"/>
    <w:rsid w:val="000564D3"/>
    <w:rsid w:val="000578D9"/>
    <w:rsid w:val="00057EDA"/>
    <w:rsid w:val="00057F71"/>
    <w:rsid w:val="00061062"/>
    <w:rsid w:val="000619B8"/>
    <w:rsid w:val="00061DB8"/>
    <w:rsid w:val="00062018"/>
    <w:rsid w:val="00062067"/>
    <w:rsid w:val="0006287B"/>
    <w:rsid w:val="0006442F"/>
    <w:rsid w:val="00064488"/>
    <w:rsid w:val="000644FA"/>
    <w:rsid w:val="00064873"/>
    <w:rsid w:val="00064D04"/>
    <w:rsid w:val="00065C62"/>
    <w:rsid w:val="00065CDE"/>
    <w:rsid w:val="00065F4A"/>
    <w:rsid w:val="00066731"/>
    <w:rsid w:val="00067105"/>
    <w:rsid w:val="000676E5"/>
    <w:rsid w:val="000677DE"/>
    <w:rsid w:val="0007063B"/>
    <w:rsid w:val="000708AA"/>
    <w:rsid w:val="00070951"/>
    <w:rsid w:val="00070D75"/>
    <w:rsid w:val="00071773"/>
    <w:rsid w:val="00073769"/>
    <w:rsid w:val="0007521A"/>
    <w:rsid w:val="00076690"/>
    <w:rsid w:val="00076B17"/>
    <w:rsid w:val="00076E36"/>
    <w:rsid w:val="00080803"/>
    <w:rsid w:val="00080872"/>
    <w:rsid w:val="00080FF3"/>
    <w:rsid w:val="00081EB7"/>
    <w:rsid w:val="000821B3"/>
    <w:rsid w:val="00082868"/>
    <w:rsid w:val="000846A4"/>
    <w:rsid w:val="000847FE"/>
    <w:rsid w:val="00084B18"/>
    <w:rsid w:val="00086133"/>
    <w:rsid w:val="0008687D"/>
    <w:rsid w:val="000905E1"/>
    <w:rsid w:val="00092727"/>
    <w:rsid w:val="00092945"/>
    <w:rsid w:val="0009326A"/>
    <w:rsid w:val="0009334C"/>
    <w:rsid w:val="00093CF2"/>
    <w:rsid w:val="00094CDE"/>
    <w:rsid w:val="00095653"/>
    <w:rsid w:val="0009688E"/>
    <w:rsid w:val="00096A5C"/>
    <w:rsid w:val="00096BCD"/>
    <w:rsid w:val="000975AC"/>
    <w:rsid w:val="00097C90"/>
    <w:rsid w:val="000A0B21"/>
    <w:rsid w:val="000A15D5"/>
    <w:rsid w:val="000A194A"/>
    <w:rsid w:val="000A1F7B"/>
    <w:rsid w:val="000A2694"/>
    <w:rsid w:val="000A2EF1"/>
    <w:rsid w:val="000A2FBE"/>
    <w:rsid w:val="000A3110"/>
    <w:rsid w:val="000A3D99"/>
    <w:rsid w:val="000A3F4C"/>
    <w:rsid w:val="000A499E"/>
    <w:rsid w:val="000A5FF0"/>
    <w:rsid w:val="000A6FBD"/>
    <w:rsid w:val="000A7333"/>
    <w:rsid w:val="000A73FC"/>
    <w:rsid w:val="000A7EA5"/>
    <w:rsid w:val="000B1841"/>
    <w:rsid w:val="000B1A51"/>
    <w:rsid w:val="000B2BE3"/>
    <w:rsid w:val="000B303F"/>
    <w:rsid w:val="000B35EA"/>
    <w:rsid w:val="000B56CD"/>
    <w:rsid w:val="000B5994"/>
    <w:rsid w:val="000B5FEE"/>
    <w:rsid w:val="000B6356"/>
    <w:rsid w:val="000B6B69"/>
    <w:rsid w:val="000B7AED"/>
    <w:rsid w:val="000C005C"/>
    <w:rsid w:val="000C0142"/>
    <w:rsid w:val="000C0600"/>
    <w:rsid w:val="000C0C4F"/>
    <w:rsid w:val="000C1044"/>
    <w:rsid w:val="000C11CC"/>
    <w:rsid w:val="000C1474"/>
    <w:rsid w:val="000C198C"/>
    <w:rsid w:val="000C27DE"/>
    <w:rsid w:val="000C32AD"/>
    <w:rsid w:val="000C33FB"/>
    <w:rsid w:val="000C434C"/>
    <w:rsid w:val="000C5066"/>
    <w:rsid w:val="000C5EE4"/>
    <w:rsid w:val="000C668E"/>
    <w:rsid w:val="000C699A"/>
    <w:rsid w:val="000C6A40"/>
    <w:rsid w:val="000C7531"/>
    <w:rsid w:val="000C7883"/>
    <w:rsid w:val="000C793A"/>
    <w:rsid w:val="000D0023"/>
    <w:rsid w:val="000D0A81"/>
    <w:rsid w:val="000D169F"/>
    <w:rsid w:val="000D1AB4"/>
    <w:rsid w:val="000D20E6"/>
    <w:rsid w:val="000D245A"/>
    <w:rsid w:val="000D274E"/>
    <w:rsid w:val="000D324F"/>
    <w:rsid w:val="000D36DD"/>
    <w:rsid w:val="000D39EF"/>
    <w:rsid w:val="000D5051"/>
    <w:rsid w:val="000D6DB4"/>
    <w:rsid w:val="000D6FA1"/>
    <w:rsid w:val="000E07CD"/>
    <w:rsid w:val="000E0E3C"/>
    <w:rsid w:val="000E15F6"/>
    <w:rsid w:val="000E1BFC"/>
    <w:rsid w:val="000E3CBA"/>
    <w:rsid w:val="000E4CFB"/>
    <w:rsid w:val="000E52DB"/>
    <w:rsid w:val="000E54F2"/>
    <w:rsid w:val="000E5E3E"/>
    <w:rsid w:val="000E7019"/>
    <w:rsid w:val="000F0245"/>
    <w:rsid w:val="000F243A"/>
    <w:rsid w:val="000F2534"/>
    <w:rsid w:val="000F2A4A"/>
    <w:rsid w:val="000F2F49"/>
    <w:rsid w:val="000F313A"/>
    <w:rsid w:val="000F3652"/>
    <w:rsid w:val="000F388B"/>
    <w:rsid w:val="000F430E"/>
    <w:rsid w:val="000F48A8"/>
    <w:rsid w:val="000F5467"/>
    <w:rsid w:val="000F6059"/>
    <w:rsid w:val="0010002D"/>
    <w:rsid w:val="00100571"/>
    <w:rsid w:val="0010086D"/>
    <w:rsid w:val="001018A8"/>
    <w:rsid w:val="00101BF3"/>
    <w:rsid w:val="00102513"/>
    <w:rsid w:val="00104A1D"/>
    <w:rsid w:val="001059D6"/>
    <w:rsid w:val="00105E30"/>
    <w:rsid w:val="001063DE"/>
    <w:rsid w:val="001064BF"/>
    <w:rsid w:val="001074B5"/>
    <w:rsid w:val="001117C3"/>
    <w:rsid w:val="00111951"/>
    <w:rsid w:val="00111D77"/>
    <w:rsid w:val="001122C9"/>
    <w:rsid w:val="00112F1A"/>
    <w:rsid w:val="00113630"/>
    <w:rsid w:val="00113D98"/>
    <w:rsid w:val="001150C8"/>
    <w:rsid w:val="00115744"/>
    <w:rsid w:val="00116155"/>
    <w:rsid w:val="00116366"/>
    <w:rsid w:val="00116FEE"/>
    <w:rsid w:val="00117CF4"/>
    <w:rsid w:val="00120FEF"/>
    <w:rsid w:val="00121AC2"/>
    <w:rsid w:val="00122C04"/>
    <w:rsid w:val="00122D8E"/>
    <w:rsid w:val="00122F5C"/>
    <w:rsid w:val="0012523C"/>
    <w:rsid w:val="00125673"/>
    <w:rsid w:val="00125B2A"/>
    <w:rsid w:val="001263AE"/>
    <w:rsid w:val="001267BB"/>
    <w:rsid w:val="0012701F"/>
    <w:rsid w:val="0012795A"/>
    <w:rsid w:val="001279AE"/>
    <w:rsid w:val="001323D6"/>
    <w:rsid w:val="00133B1C"/>
    <w:rsid w:val="00134267"/>
    <w:rsid w:val="00134422"/>
    <w:rsid w:val="001346E5"/>
    <w:rsid w:val="00135050"/>
    <w:rsid w:val="00136399"/>
    <w:rsid w:val="001369F7"/>
    <w:rsid w:val="00136E76"/>
    <w:rsid w:val="00140952"/>
    <w:rsid w:val="00140A20"/>
    <w:rsid w:val="00140E66"/>
    <w:rsid w:val="00141161"/>
    <w:rsid w:val="001418E7"/>
    <w:rsid w:val="00141EFB"/>
    <w:rsid w:val="001433C2"/>
    <w:rsid w:val="00144062"/>
    <w:rsid w:val="001456E4"/>
    <w:rsid w:val="001464E9"/>
    <w:rsid w:val="001468C6"/>
    <w:rsid w:val="00146C47"/>
    <w:rsid w:val="0014701A"/>
    <w:rsid w:val="001476FF"/>
    <w:rsid w:val="00150924"/>
    <w:rsid w:val="001511BF"/>
    <w:rsid w:val="0015150F"/>
    <w:rsid w:val="00152475"/>
    <w:rsid w:val="00152635"/>
    <w:rsid w:val="00153D09"/>
    <w:rsid w:val="00154735"/>
    <w:rsid w:val="00154A61"/>
    <w:rsid w:val="00156158"/>
    <w:rsid w:val="00156B69"/>
    <w:rsid w:val="00162769"/>
    <w:rsid w:val="001636DA"/>
    <w:rsid w:val="00164974"/>
    <w:rsid w:val="00165A49"/>
    <w:rsid w:val="001664AE"/>
    <w:rsid w:val="001667A9"/>
    <w:rsid w:val="001709D4"/>
    <w:rsid w:val="00171C44"/>
    <w:rsid w:val="00173352"/>
    <w:rsid w:val="00173577"/>
    <w:rsid w:val="00173E55"/>
    <w:rsid w:val="00174120"/>
    <w:rsid w:val="001741D3"/>
    <w:rsid w:val="001761F8"/>
    <w:rsid w:val="00176528"/>
    <w:rsid w:val="00176658"/>
    <w:rsid w:val="00176AA5"/>
    <w:rsid w:val="001770A7"/>
    <w:rsid w:val="0017720E"/>
    <w:rsid w:val="001772CC"/>
    <w:rsid w:val="001774AE"/>
    <w:rsid w:val="0017764C"/>
    <w:rsid w:val="00177893"/>
    <w:rsid w:val="00177C6B"/>
    <w:rsid w:val="001806E4"/>
    <w:rsid w:val="001813E9"/>
    <w:rsid w:val="0018141A"/>
    <w:rsid w:val="001826F9"/>
    <w:rsid w:val="0018373E"/>
    <w:rsid w:val="001839C0"/>
    <w:rsid w:val="00183CEB"/>
    <w:rsid w:val="00184221"/>
    <w:rsid w:val="0018443E"/>
    <w:rsid w:val="00184AB5"/>
    <w:rsid w:val="00184E10"/>
    <w:rsid w:val="001854A3"/>
    <w:rsid w:val="00185C35"/>
    <w:rsid w:val="001862B7"/>
    <w:rsid w:val="00186307"/>
    <w:rsid w:val="001863F7"/>
    <w:rsid w:val="00186EBC"/>
    <w:rsid w:val="00187FD5"/>
    <w:rsid w:val="00190DF5"/>
    <w:rsid w:val="001916C0"/>
    <w:rsid w:val="00191F8E"/>
    <w:rsid w:val="00192CDE"/>
    <w:rsid w:val="00192E6D"/>
    <w:rsid w:val="00193C77"/>
    <w:rsid w:val="00195166"/>
    <w:rsid w:val="00195C83"/>
    <w:rsid w:val="00195DA4"/>
    <w:rsid w:val="00196493"/>
    <w:rsid w:val="00197D31"/>
    <w:rsid w:val="001A0142"/>
    <w:rsid w:val="001A0896"/>
    <w:rsid w:val="001A20DC"/>
    <w:rsid w:val="001A20EB"/>
    <w:rsid w:val="001A2470"/>
    <w:rsid w:val="001A34D9"/>
    <w:rsid w:val="001A3DC9"/>
    <w:rsid w:val="001A400F"/>
    <w:rsid w:val="001A414A"/>
    <w:rsid w:val="001A4D9D"/>
    <w:rsid w:val="001A5E15"/>
    <w:rsid w:val="001A677E"/>
    <w:rsid w:val="001B00CE"/>
    <w:rsid w:val="001B059F"/>
    <w:rsid w:val="001B062A"/>
    <w:rsid w:val="001B12A9"/>
    <w:rsid w:val="001B2429"/>
    <w:rsid w:val="001B3FAD"/>
    <w:rsid w:val="001B5B6B"/>
    <w:rsid w:val="001B6389"/>
    <w:rsid w:val="001B7453"/>
    <w:rsid w:val="001C04CC"/>
    <w:rsid w:val="001C051E"/>
    <w:rsid w:val="001C06AA"/>
    <w:rsid w:val="001C16CE"/>
    <w:rsid w:val="001C3679"/>
    <w:rsid w:val="001C40A1"/>
    <w:rsid w:val="001C4730"/>
    <w:rsid w:val="001C479D"/>
    <w:rsid w:val="001C4FD2"/>
    <w:rsid w:val="001C5911"/>
    <w:rsid w:val="001C61F9"/>
    <w:rsid w:val="001C6866"/>
    <w:rsid w:val="001C69D7"/>
    <w:rsid w:val="001C7497"/>
    <w:rsid w:val="001C796E"/>
    <w:rsid w:val="001C7D1B"/>
    <w:rsid w:val="001D2625"/>
    <w:rsid w:val="001D28F0"/>
    <w:rsid w:val="001D5D47"/>
    <w:rsid w:val="001D5DE3"/>
    <w:rsid w:val="001D6284"/>
    <w:rsid w:val="001D6459"/>
    <w:rsid w:val="001D6745"/>
    <w:rsid w:val="001D725A"/>
    <w:rsid w:val="001D7E2D"/>
    <w:rsid w:val="001E00E3"/>
    <w:rsid w:val="001E0994"/>
    <w:rsid w:val="001E0B0D"/>
    <w:rsid w:val="001E1827"/>
    <w:rsid w:val="001E2471"/>
    <w:rsid w:val="001E25EC"/>
    <w:rsid w:val="001E457C"/>
    <w:rsid w:val="001E4E98"/>
    <w:rsid w:val="001E5896"/>
    <w:rsid w:val="001E5918"/>
    <w:rsid w:val="001E6057"/>
    <w:rsid w:val="001E65CF"/>
    <w:rsid w:val="001F073C"/>
    <w:rsid w:val="001F09F0"/>
    <w:rsid w:val="001F0D0A"/>
    <w:rsid w:val="001F0F85"/>
    <w:rsid w:val="001F1495"/>
    <w:rsid w:val="001F1A70"/>
    <w:rsid w:val="001F1C99"/>
    <w:rsid w:val="001F1EFF"/>
    <w:rsid w:val="001F2912"/>
    <w:rsid w:val="001F2F47"/>
    <w:rsid w:val="001F3C55"/>
    <w:rsid w:val="001F5259"/>
    <w:rsid w:val="001F5F6F"/>
    <w:rsid w:val="001F6896"/>
    <w:rsid w:val="001F6CA2"/>
    <w:rsid w:val="001F7354"/>
    <w:rsid w:val="001F75EF"/>
    <w:rsid w:val="001F79C6"/>
    <w:rsid w:val="001F7E9C"/>
    <w:rsid w:val="00200296"/>
    <w:rsid w:val="00201439"/>
    <w:rsid w:val="00201661"/>
    <w:rsid w:val="002018BB"/>
    <w:rsid w:val="00201ADB"/>
    <w:rsid w:val="00202BA2"/>
    <w:rsid w:val="00203ACF"/>
    <w:rsid w:val="00203F3B"/>
    <w:rsid w:val="00204015"/>
    <w:rsid w:val="00204205"/>
    <w:rsid w:val="002045D9"/>
    <w:rsid w:val="00204B6C"/>
    <w:rsid w:val="00204D5B"/>
    <w:rsid w:val="0020579A"/>
    <w:rsid w:val="002058E5"/>
    <w:rsid w:val="00206977"/>
    <w:rsid w:val="0021010F"/>
    <w:rsid w:val="002106D5"/>
    <w:rsid w:val="00210905"/>
    <w:rsid w:val="00210FAA"/>
    <w:rsid w:val="00211340"/>
    <w:rsid w:val="00211F51"/>
    <w:rsid w:val="00211FBA"/>
    <w:rsid w:val="00212140"/>
    <w:rsid w:val="00212802"/>
    <w:rsid w:val="00213C87"/>
    <w:rsid w:val="00214438"/>
    <w:rsid w:val="0021481D"/>
    <w:rsid w:val="00214AD3"/>
    <w:rsid w:val="00214D77"/>
    <w:rsid w:val="00214FC4"/>
    <w:rsid w:val="00215787"/>
    <w:rsid w:val="00215DBB"/>
    <w:rsid w:val="00216816"/>
    <w:rsid w:val="00216BAA"/>
    <w:rsid w:val="00217632"/>
    <w:rsid w:val="002205EB"/>
    <w:rsid w:val="00220FE5"/>
    <w:rsid w:val="0022112C"/>
    <w:rsid w:val="00221313"/>
    <w:rsid w:val="002218A0"/>
    <w:rsid w:val="00222618"/>
    <w:rsid w:val="0022264E"/>
    <w:rsid w:val="002234A6"/>
    <w:rsid w:val="00225FCB"/>
    <w:rsid w:val="0022604F"/>
    <w:rsid w:val="002261F0"/>
    <w:rsid w:val="00227B6B"/>
    <w:rsid w:val="00230740"/>
    <w:rsid w:val="00230821"/>
    <w:rsid w:val="0023106C"/>
    <w:rsid w:val="00231711"/>
    <w:rsid w:val="00231CB1"/>
    <w:rsid w:val="00232106"/>
    <w:rsid w:val="00233296"/>
    <w:rsid w:val="002336DE"/>
    <w:rsid w:val="002355E8"/>
    <w:rsid w:val="0024112E"/>
    <w:rsid w:val="0024171F"/>
    <w:rsid w:val="002425EA"/>
    <w:rsid w:val="00242EA0"/>
    <w:rsid w:val="00243685"/>
    <w:rsid w:val="00243D1A"/>
    <w:rsid w:val="00243F24"/>
    <w:rsid w:val="0024459C"/>
    <w:rsid w:val="002451D9"/>
    <w:rsid w:val="00245AD1"/>
    <w:rsid w:val="00245F0E"/>
    <w:rsid w:val="00246BDF"/>
    <w:rsid w:val="00246D05"/>
    <w:rsid w:val="002470BB"/>
    <w:rsid w:val="002475D0"/>
    <w:rsid w:val="00247864"/>
    <w:rsid w:val="002500D3"/>
    <w:rsid w:val="00250964"/>
    <w:rsid w:val="0025098D"/>
    <w:rsid w:val="00250C80"/>
    <w:rsid w:val="00251867"/>
    <w:rsid w:val="002530E7"/>
    <w:rsid w:val="002532B4"/>
    <w:rsid w:val="0025352C"/>
    <w:rsid w:val="00253668"/>
    <w:rsid w:val="0025487C"/>
    <w:rsid w:val="00254EEB"/>
    <w:rsid w:val="00254FA7"/>
    <w:rsid w:val="0025613F"/>
    <w:rsid w:val="00256FD3"/>
    <w:rsid w:val="00257C43"/>
    <w:rsid w:val="00257F7C"/>
    <w:rsid w:val="00257F91"/>
    <w:rsid w:val="00260453"/>
    <w:rsid w:val="00261433"/>
    <w:rsid w:val="00261542"/>
    <w:rsid w:val="00261DC6"/>
    <w:rsid w:val="00262C13"/>
    <w:rsid w:val="00262F1E"/>
    <w:rsid w:val="002636D6"/>
    <w:rsid w:val="002638ED"/>
    <w:rsid w:val="0026435D"/>
    <w:rsid w:val="00264623"/>
    <w:rsid w:val="00264773"/>
    <w:rsid w:val="00264E52"/>
    <w:rsid w:val="002651D6"/>
    <w:rsid w:val="00265396"/>
    <w:rsid w:val="002653D9"/>
    <w:rsid w:val="00266204"/>
    <w:rsid w:val="00267B87"/>
    <w:rsid w:val="00267DD9"/>
    <w:rsid w:val="00267FAE"/>
    <w:rsid w:val="0027022F"/>
    <w:rsid w:val="002706FB"/>
    <w:rsid w:val="00270BBC"/>
    <w:rsid w:val="00272112"/>
    <w:rsid w:val="00275427"/>
    <w:rsid w:val="0027575E"/>
    <w:rsid w:val="00276C8A"/>
    <w:rsid w:val="002772A3"/>
    <w:rsid w:val="0027789B"/>
    <w:rsid w:val="00277CF4"/>
    <w:rsid w:val="00277D40"/>
    <w:rsid w:val="002801F4"/>
    <w:rsid w:val="0028045C"/>
    <w:rsid w:val="0028066D"/>
    <w:rsid w:val="0028080A"/>
    <w:rsid w:val="00280B5B"/>
    <w:rsid w:val="00280D8D"/>
    <w:rsid w:val="00281DCF"/>
    <w:rsid w:val="00281DDC"/>
    <w:rsid w:val="00282CF0"/>
    <w:rsid w:val="002836DF"/>
    <w:rsid w:val="0028467B"/>
    <w:rsid w:val="00284F96"/>
    <w:rsid w:val="0028530D"/>
    <w:rsid w:val="00285597"/>
    <w:rsid w:val="002861AB"/>
    <w:rsid w:val="0028639A"/>
    <w:rsid w:val="002864AB"/>
    <w:rsid w:val="00286FE1"/>
    <w:rsid w:val="00287596"/>
    <w:rsid w:val="002879FE"/>
    <w:rsid w:val="00287E1E"/>
    <w:rsid w:val="002920CA"/>
    <w:rsid w:val="002923DF"/>
    <w:rsid w:val="0029289C"/>
    <w:rsid w:val="002928F4"/>
    <w:rsid w:val="002A08C0"/>
    <w:rsid w:val="002A1CCD"/>
    <w:rsid w:val="002A206C"/>
    <w:rsid w:val="002A2A30"/>
    <w:rsid w:val="002A391F"/>
    <w:rsid w:val="002A42D7"/>
    <w:rsid w:val="002A4503"/>
    <w:rsid w:val="002A4A31"/>
    <w:rsid w:val="002A5DC1"/>
    <w:rsid w:val="002A6BD3"/>
    <w:rsid w:val="002A78B9"/>
    <w:rsid w:val="002B05B8"/>
    <w:rsid w:val="002B1C70"/>
    <w:rsid w:val="002B278B"/>
    <w:rsid w:val="002B4941"/>
    <w:rsid w:val="002B4AA7"/>
    <w:rsid w:val="002B531E"/>
    <w:rsid w:val="002B5D74"/>
    <w:rsid w:val="002B67CA"/>
    <w:rsid w:val="002B6817"/>
    <w:rsid w:val="002B7927"/>
    <w:rsid w:val="002B7ADB"/>
    <w:rsid w:val="002C00F5"/>
    <w:rsid w:val="002C02F5"/>
    <w:rsid w:val="002C0328"/>
    <w:rsid w:val="002C1201"/>
    <w:rsid w:val="002C1543"/>
    <w:rsid w:val="002C17C7"/>
    <w:rsid w:val="002C18ED"/>
    <w:rsid w:val="002C1D2F"/>
    <w:rsid w:val="002C5071"/>
    <w:rsid w:val="002C5469"/>
    <w:rsid w:val="002C587A"/>
    <w:rsid w:val="002C591C"/>
    <w:rsid w:val="002C7C13"/>
    <w:rsid w:val="002C7EA9"/>
    <w:rsid w:val="002D0D65"/>
    <w:rsid w:val="002D0EF2"/>
    <w:rsid w:val="002D1242"/>
    <w:rsid w:val="002D14C8"/>
    <w:rsid w:val="002D1A73"/>
    <w:rsid w:val="002D214E"/>
    <w:rsid w:val="002D23E6"/>
    <w:rsid w:val="002D24AC"/>
    <w:rsid w:val="002D2FCA"/>
    <w:rsid w:val="002D3887"/>
    <w:rsid w:val="002D53D6"/>
    <w:rsid w:val="002D5522"/>
    <w:rsid w:val="002D5993"/>
    <w:rsid w:val="002D68CA"/>
    <w:rsid w:val="002D69A8"/>
    <w:rsid w:val="002D6CF3"/>
    <w:rsid w:val="002D7222"/>
    <w:rsid w:val="002D7823"/>
    <w:rsid w:val="002E022A"/>
    <w:rsid w:val="002E047F"/>
    <w:rsid w:val="002E0608"/>
    <w:rsid w:val="002E175E"/>
    <w:rsid w:val="002E1B71"/>
    <w:rsid w:val="002E3536"/>
    <w:rsid w:val="002E3DA9"/>
    <w:rsid w:val="002E4293"/>
    <w:rsid w:val="002E4C2D"/>
    <w:rsid w:val="002E5140"/>
    <w:rsid w:val="002E5285"/>
    <w:rsid w:val="002E5DEA"/>
    <w:rsid w:val="002E5FD2"/>
    <w:rsid w:val="002E6750"/>
    <w:rsid w:val="002E724A"/>
    <w:rsid w:val="002E7D97"/>
    <w:rsid w:val="002F051C"/>
    <w:rsid w:val="002F078A"/>
    <w:rsid w:val="002F1D01"/>
    <w:rsid w:val="002F26E6"/>
    <w:rsid w:val="002F311E"/>
    <w:rsid w:val="002F313A"/>
    <w:rsid w:val="002F345B"/>
    <w:rsid w:val="002F3B49"/>
    <w:rsid w:val="002F4515"/>
    <w:rsid w:val="002F5FEC"/>
    <w:rsid w:val="002F71B8"/>
    <w:rsid w:val="002F71F4"/>
    <w:rsid w:val="002F7AF1"/>
    <w:rsid w:val="002F7E08"/>
    <w:rsid w:val="00301EA1"/>
    <w:rsid w:val="00301F26"/>
    <w:rsid w:val="00302FCC"/>
    <w:rsid w:val="0030396F"/>
    <w:rsid w:val="00304109"/>
    <w:rsid w:val="003042E0"/>
    <w:rsid w:val="00304DD2"/>
    <w:rsid w:val="003062AE"/>
    <w:rsid w:val="003063D8"/>
    <w:rsid w:val="0031033B"/>
    <w:rsid w:val="00310E37"/>
    <w:rsid w:val="003126E8"/>
    <w:rsid w:val="003135FA"/>
    <w:rsid w:val="0031480D"/>
    <w:rsid w:val="00314BFC"/>
    <w:rsid w:val="00314DD5"/>
    <w:rsid w:val="00315514"/>
    <w:rsid w:val="00316E44"/>
    <w:rsid w:val="00317E18"/>
    <w:rsid w:val="003208AE"/>
    <w:rsid w:val="00323CDD"/>
    <w:rsid w:val="003240BA"/>
    <w:rsid w:val="00324141"/>
    <w:rsid w:val="003241B8"/>
    <w:rsid w:val="00324B79"/>
    <w:rsid w:val="00324BE9"/>
    <w:rsid w:val="0032564C"/>
    <w:rsid w:val="00326B08"/>
    <w:rsid w:val="00326D43"/>
    <w:rsid w:val="00327751"/>
    <w:rsid w:val="003303AF"/>
    <w:rsid w:val="003313EB"/>
    <w:rsid w:val="00331A16"/>
    <w:rsid w:val="00333C49"/>
    <w:rsid w:val="00333C84"/>
    <w:rsid w:val="00334ACF"/>
    <w:rsid w:val="00335C1C"/>
    <w:rsid w:val="00335CEA"/>
    <w:rsid w:val="003369AA"/>
    <w:rsid w:val="00336A73"/>
    <w:rsid w:val="00337802"/>
    <w:rsid w:val="003406EA"/>
    <w:rsid w:val="00341A14"/>
    <w:rsid w:val="0034380B"/>
    <w:rsid w:val="0034385F"/>
    <w:rsid w:val="00343C24"/>
    <w:rsid w:val="00343DAD"/>
    <w:rsid w:val="00344B2B"/>
    <w:rsid w:val="00345A34"/>
    <w:rsid w:val="00345E01"/>
    <w:rsid w:val="0035045D"/>
    <w:rsid w:val="00351381"/>
    <w:rsid w:val="0035242E"/>
    <w:rsid w:val="00352C38"/>
    <w:rsid w:val="003530A6"/>
    <w:rsid w:val="00353627"/>
    <w:rsid w:val="00353B30"/>
    <w:rsid w:val="00355773"/>
    <w:rsid w:val="00355F72"/>
    <w:rsid w:val="00356521"/>
    <w:rsid w:val="0035737E"/>
    <w:rsid w:val="00357657"/>
    <w:rsid w:val="00357E32"/>
    <w:rsid w:val="00361CFC"/>
    <w:rsid w:val="00361EA9"/>
    <w:rsid w:val="003627A9"/>
    <w:rsid w:val="00362B14"/>
    <w:rsid w:val="00363471"/>
    <w:rsid w:val="003639A6"/>
    <w:rsid w:val="00364258"/>
    <w:rsid w:val="003645D5"/>
    <w:rsid w:val="003646E7"/>
    <w:rsid w:val="00365EC6"/>
    <w:rsid w:val="00366358"/>
    <w:rsid w:val="00367641"/>
    <w:rsid w:val="003679AE"/>
    <w:rsid w:val="00367F87"/>
    <w:rsid w:val="00370085"/>
    <w:rsid w:val="00370688"/>
    <w:rsid w:val="003712D6"/>
    <w:rsid w:val="003714BA"/>
    <w:rsid w:val="003715FD"/>
    <w:rsid w:val="0037425F"/>
    <w:rsid w:val="003747ED"/>
    <w:rsid w:val="00375DAC"/>
    <w:rsid w:val="00375EE6"/>
    <w:rsid w:val="00376372"/>
    <w:rsid w:val="0037641F"/>
    <w:rsid w:val="00376D7B"/>
    <w:rsid w:val="003809B6"/>
    <w:rsid w:val="003814BC"/>
    <w:rsid w:val="00382495"/>
    <w:rsid w:val="0038281C"/>
    <w:rsid w:val="003833F6"/>
    <w:rsid w:val="00383470"/>
    <w:rsid w:val="0038404E"/>
    <w:rsid w:val="003843E5"/>
    <w:rsid w:val="0038516B"/>
    <w:rsid w:val="00385A64"/>
    <w:rsid w:val="00386D1A"/>
    <w:rsid w:val="003873E3"/>
    <w:rsid w:val="003902A0"/>
    <w:rsid w:val="0039045D"/>
    <w:rsid w:val="00390472"/>
    <w:rsid w:val="003911D1"/>
    <w:rsid w:val="00391479"/>
    <w:rsid w:val="0039182E"/>
    <w:rsid w:val="0039342B"/>
    <w:rsid w:val="00394C83"/>
    <w:rsid w:val="00396339"/>
    <w:rsid w:val="003964BE"/>
    <w:rsid w:val="00396514"/>
    <w:rsid w:val="00397170"/>
    <w:rsid w:val="00397624"/>
    <w:rsid w:val="003A0073"/>
    <w:rsid w:val="003A04B8"/>
    <w:rsid w:val="003A096A"/>
    <w:rsid w:val="003A101D"/>
    <w:rsid w:val="003A12E6"/>
    <w:rsid w:val="003A16B5"/>
    <w:rsid w:val="003A2CCD"/>
    <w:rsid w:val="003A3433"/>
    <w:rsid w:val="003A44EC"/>
    <w:rsid w:val="003A48B9"/>
    <w:rsid w:val="003A4F05"/>
    <w:rsid w:val="003A537E"/>
    <w:rsid w:val="003A660F"/>
    <w:rsid w:val="003A676C"/>
    <w:rsid w:val="003A693E"/>
    <w:rsid w:val="003A79A4"/>
    <w:rsid w:val="003B00F8"/>
    <w:rsid w:val="003B068F"/>
    <w:rsid w:val="003B095E"/>
    <w:rsid w:val="003B2200"/>
    <w:rsid w:val="003B27D7"/>
    <w:rsid w:val="003B29E5"/>
    <w:rsid w:val="003B31A3"/>
    <w:rsid w:val="003B369D"/>
    <w:rsid w:val="003B3C35"/>
    <w:rsid w:val="003B4358"/>
    <w:rsid w:val="003B57AD"/>
    <w:rsid w:val="003B5B37"/>
    <w:rsid w:val="003B72B9"/>
    <w:rsid w:val="003B7303"/>
    <w:rsid w:val="003C0127"/>
    <w:rsid w:val="003C055D"/>
    <w:rsid w:val="003C0EAF"/>
    <w:rsid w:val="003C1A9F"/>
    <w:rsid w:val="003C3423"/>
    <w:rsid w:val="003C3E67"/>
    <w:rsid w:val="003C3EED"/>
    <w:rsid w:val="003C43BA"/>
    <w:rsid w:val="003C481B"/>
    <w:rsid w:val="003C54D2"/>
    <w:rsid w:val="003C777E"/>
    <w:rsid w:val="003D0477"/>
    <w:rsid w:val="003D11A9"/>
    <w:rsid w:val="003D1451"/>
    <w:rsid w:val="003D155A"/>
    <w:rsid w:val="003D1593"/>
    <w:rsid w:val="003D1FB3"/>
    <w:rsid w:val="003D22BF"/>
    <w:rsid w:val="003D29B1"/>
    <w:rsid w:val="003D2A37"/>
    <w:rsid w:val="003D2CCD"/>
    <w:rsid w:val="003D36E1"/>
    <w:rsid w:val="003D39A8"/>
    <w:rsid w:val="003D3E6A"/>
    <w:rsid w:val="003D3EB8"/>
    <w:rsid w:val="003D3EFE"/>
    <w:rsid w:val="003D5DD1"/>
    <w:rsid w:val="003D5DF0"/>
    <w:rsid w:val="003D69EF"/>
    <w:rsid w:val="003D7DAE"/>
    <w:rsid w:val="003E0EDB"/>
    <w:rsid w:val="003E1030"/>
    <w:rsid w:val="003E1514"/>
    <w:rsid w:val="003E15BE"/>
    <w:rsid w:val="003E1874"/>
    <w:rsid w:val="003E21B6"/>
    <w:rsid w:val="003E289D"/>
    <w:rsid w:val="003E311B"/>
    <w:rsid w:val="003E38E2"/>
    <w:rsid w:val="003E3DED"/>
    <w:rsid w:val="003E4021"/>
    <w:rsid w:val="003E6196"/>
    <w:rsid w:val="003E6475"/>
    <w:rsid w:val="003E7484"/>
    <w:rsid w:val="003F105A"/>
    <w:rsid w:val="003F11CA"/>
    <w:rsid w:val="003F2CC6"/>
    <w:rsid w:val="003F57E6"/>
    <w:rsid w:val="003F58AB"/>
    <w:rsid w:val="003F5AB9"/>
    <w:rsid w:val="003F6199"/>
    <w:rsid w:val="003F6B95"/>
    <w:rsid w:val="00400E63"/>
    <w:rsid w:val="00401E77"/>
    <w:rsid w:val="004033BF"/>
    <w:rsid w:val="00403677"/>
    <w:rsid w:val="004037CD"/>
    <w:rsid w:val="00404499"/>
    <w:rsid w:val="004044F2"/>
    <w:rsid w:val="0040461D"/>
    <w:rsid w:val="00404909"/>
    <w:rsid w:val="00404B7C"/>
    <w:rsid w:val="00404C3E"/>
    <w:rsid w:val="004067E0"/>
    <w:rsid w:val="00406B82"/>
    <w:rsid w:val="00407251"/>
    <w:rsid w:val="00407FC2"/>
    <w:rsid w:val="00410D98"/>
    <w:rsid w:val="004112C2"/>
    <w:rsid w:val="004114F1"/>
    <w:rsid w:val="00411D3A"/>
    <w:rsid w:val="00412F57"/>
    <w:rsid w:val="004139AA"/>
    <w:rsid w:val="00413FE6"/>
    <w:rsid w:val="00414755"/>
    <w:rsid w:val="0041498A"/>
    <w:rsid w:val="004149BF"/>
    <w:rsid w:val="00414FDC"/>
    <w:rsid w:val="00415DE5"/>
    <w:rsid w:val="00416479"/>
    <w:rsid w:val="0041685C"/>
    <w:rsid w:val="00416CC0"/>
    <w:rsid w:val="00420540"/>
    <w:rsid w:val="00421450"/>
    <w:rsid w:val="00422A89"/>
    <w:rsid w:val="00422F23"/>
    <w:rsid w:val="00423A00"/>
    <w:rsid w:val="00423F3A"/>
    <w:rsid w:val="00425029"/>
    <w:rsid w:val="00426090"/>
    <w:rsid w:val="00426C29"/>
    <w:rsid w:val="00426CF2"/>
    <w:rsid w:val="0042787F"/>
    <w:rsid w:val="00427E55"/>
    <w:rsid w:val="004306E4"/>
    <w:rsid w:val="004314FB"/>
    <w:rsid w:val="004315A3"/>
    <w:rsid w:val="00432CD2"/>
    <w:rsid w:val="00432F0F"/>
    <w:rsid w:val="004336ED"/>
    <w:rsid w:val="00434825"/>
    <w:rsid w:val="00434975"/>
    <w:rsid w:val="00436059"/>
    <w:rsid w:val="004366F7"/>
    <w:rsid w:val="00437BB5"/>
    <w:rsid w:val="00441A26"/>
    <w:rsid w:val="00442F5B"/>
    <w:rsid w:val="0044321F"/>
    <w:rsid w:val="00444ECA"/>
    <w:rsid w:val="004455F9"/>
    <w:rsid w:val="00445768"/>
    <w:rsid w:val="00446076"/>
    <w:rsid w:val="00447D36"/>
    <w:rsid w:val="00447DD2"/>
    <w:rsid w:val="00447ECA"/>
    <w:rsid w:val="00447F4F"/>
    <w:rsid w:val="004506D3"/>
    <w:rsid w:val="0045098B"/>
    <w:rsid w:val="00451E88"/>
    <w:rsid w:val="0045389C"/>
    <w:rsid w:val="00453958"/>
    <w:rsid w:val="00453BAE"/>
    <w:rsid w:val="00453D59"/>
    <w:rsid w:val="004548E9"/>
    <w:rsid w:val="00455463"/>
    <w:rsid w:val="00455FCF"/>
    <w:rsid w:val="00456242"/>
    <w:rsid w:val="00460B6A"/>
    <w:rsid w:val="00460DDB"/>
    <w:rsid w:val="004619BB"/>
    <w:rsid w:val="00462E9B"/>
    <w:rsid w:val="0046366C"/>
    <w:rsid w:val="004643AF"/>
    <w:rsid w:val="00465273"/>
    <w:rsid w:val="0046562C"/>
    <w:rsid w:val="00465D3F"/>
    <w:rsid w:val="00465EB9"/>
    <w:rsid w:val="0046600B"/>
    <w:rsid w:val="0046621E"/>
    <w:rsid w:val="004664B8"/>
    <w:rsid w:val="00466FC8"/>
    <w:rsid w:val="00470637"/>
    <w:rsid w:val="00471A1D"/>
    <w:rsid w:val="00471B02"/>
    <w:rsid w:val="00472493"/>
    <w:rsid w:val="00472D4D"/>
    <w:rsid w:val="00472E90"/>
    <w:rsid w:val="00473128"/>
    <w:rsid w:val="00474F9E"/>
    <w:rsid w:val="004753A1"/>
    <w:rsid w:val="004753AF"/>
    <w:rsid w:val="00477C42"/>
    <w:rsid w:val="00477C8C"/>
    <w:rsid w:val="00480443"/>
    <w:rsid w:val="0048079E"/>
    <w:rsid w:val="0048093F"/>
    <w:rsid w:val="00481549"/>
    <w:rsid w:val="00482AB0"/>
    <w:rsid w:val="00482EF7"/>
    <w:rsid w:val="0048761C"/>
    <w:rsid w:val="00487931"/>
    <w:rsid w:val="004907B2"/>
    <w:rsid w:val="004908B7"/>
    <w:rsid w:val="00490A71"/>
    <w:rsid w:val="004919DD"/>
    <w:rsid w:val="00491DD3"/>
    <w:rsid w:val="004935EF"/>
    <w:rsid w:val="0049361B"/>
    <w:rsid w:val="0049414F"/>
    <w:rsid w:val="004946BF"/>
    <w:rsid w:val="00494F7C"/>
    <w:rsid w:val="00497074"/>
    <w:rsid w:val="00497316"/>
    <w:rsid w:val="0049784F"/>
    <w:rsid w:val="00497D5B"/>
    <w:rsid w:val="004A0C6D"/>
    <w:rsid w:val="004A19AB"/>
    <w:rsid w:val="004A2599"/>
    <w:rsid w:val="004A27C8"/>
    <w:rsid w:val="004A2C11"/>
    <w:rsid w:val="004A2DF5"/>
    <w:rsid w:val="004A30D9"/>
    <w:rsid w:val="004A3299"/>
    <w:rsid w:val="004A4268"/>
    <w:rsid w:val="004A4886"/>
    <w:rsid w:val="004A4E96"/>
    <w:rsid w:val="004A4EF3"/>
    <w:rsid w:val="004A5421"/>
    <w:rsid w:val="004A54B4"/>
    <w:rsid w:val="004A5746"/>
    <w:rsid w:val="004A5D42"/>
    <w:rsid w:val="004A7519"/>
    <w:rsid w:val="004B0002"/>
    <w:rsid w:val="004B0FD3"/>
    <w:rsid w:val="004B1D34"/>
    <w:rsid w:val="004B2B2C"/>
    <w:rsid w:val="004B2E74"/>
    <w:rsid w:val="004B3C00"/>
    <w:rsid w:val="004B4F1F"/>
    <w:rsid w:val="004B5325"/>
    <w:rsid w:val="004B57DC"/>
    <w:rsid w:val="004B60CE"/>
    <w:rsid w:val="004B72AC"/>
    <w:rsid w:val="004B72DC"/>
    <w:rsid w:val="004B7D80"/>
    <w:rsid w:val="004C025E"/>
    <w:rsid w:val="004C0E62"/>
    <w:rsid w:val="004C0EF5"/>
    <w:rsid w:val="004C1D0C"/>
    <w:rsid w:val="004C2128"/>
    <w:rsid w:val="004C22C9"/>
    <w:rsid w:val="004C2517"/>
    <w:rsid w:val="004C2FF3"/>
    <w:rsid w:val="004C3B63"/>
    <w:rsid w:val="004C445C"/>
    <w:rsid w:val="004C56B1"/>
    <w:rsid w:val="004C5B7E"/>
    <w:rsid w:val="004C5D40"/>
    <w:rsid w:val="004C5F62"/>
    <w:rsid w:val="004C6F89"/>
    <w:rsid w:val="004D0371"/>
    <w:rsid w:val="004D0426"/>
    <w:rsid w:val="004D1006"/>
    <w:rsid w:val="004D1702"/>
    <w:rsid w:val="004D1744"/>
    <w:rsid w:val="004D175F"/>
    <w:rsid w:val="004D2827"/>
    <w:rsid w:val="004D2922"/>
    <w:rsid w:val="004D2FE9"/>
    <w:rsid w:val="004D45DF"/>
    <w:rsid w:val="004D4736"/>
    <w:rsid w:val="004D51DE"/>
    <w:rsid w:val="004D5466"/>
    <w:rsid w:val="004D677C"/>
    <w:rsid w:val="004D6880"/>
    <w:rsid w:val="004D769F"/>
    <w:rsid w:val="004D7725"/>
    <w:rsid w:val="004D7F30"/>
    <w:rsid w:val="004E00A4"/>
    <w:rsid w:val="004E0147"/>
    <w:rsid w:val="004E044F"/>
    <w:rsid w:val="004E0C0B"/>
    <w:rsid w:val="004E0FD2"/>
    <w:rsid w:val="004E1A1E"/>
    <w:rsid w:val="004E2125"/>
    <w:rsid w:val="004E3033"/>
    <w:rsid w:val="004E3343"/>
    <w:rsid w:val="004E346E"/>
    <w:rsid w:val="004E38D4"/>
    <w:rsid w:val="004E5280"/>
    <w:rsid w:val="004E5662"/>
    <w:rsid w:val="004E5696"/>
    <w:rsid w:val="004E5DAC"/>
    <w:rsid w:val="004E5F8F"/>
    <w:rsid w:val="004E6AE3"/>
    <w:rsid w:val="004E6CFF"/>
    <w:rsid w:val="004E6D75"/>
    <w:rsid w:val="004E72A0"/>
    <w:rsid w:val="004E7AD4"/>
    <w:rsid w:val="004F0343"/>
    <w:rsid w:val="004F0ECA"/>
    <w:rsid w:val="004F1802"/>
    <w:rsid w:val="004F2F2F"/>
    <w:rsid w:val="004F3688"/>
    <w:rsid w:val="004F3AAE"/>
    <w:rsid w:val="004F3D10"/>
    <w:rsid w:val="004F426F"/>
    <w:rsid w:val="004F4BDE"/>
    <w:rsid w:val="004F4C72"/>
    <w:rsid w:val="004F4D74"/>
    <w:rsid w:val="004F7CAC"/>
    <w:rsid w:val="0050175A"/>
    <w:rsid w:val="005018D4"/>
    <w:rsid w:val="00501C7B"/>
    <w:rsid w:val="00502A52"/>
    <w:rsid w:val="00502B8C"/>
    <w:rsid w:val="005036A1"/>
    <w:rsid w:val="00503E77"/>
    <w:rsid w:val="00504DA3"/>
    <w:rsid w:val="00504F0C"/>
    <w:rsid w:val="0050709E"/>
    <w:rsid w:val="00507D80"/>
    <w:rsid w:val="00511320"/>
    <w:rsid w:val="005119C9"/>
    <w:rsid w:val="00513609"/>
    <w:rsid w:val="00513692"/>
    <w:rsid w:val="005136D3"/>
    <w:rsid w:val="005143F9"/>
    <w:rsid w:val="00514E56"/>
    <w:rsid w:val="00516566"/>
    <w:rsid w:val="00517796"/>
    <w:rsid w:val="00517DA5"/>
    <w:rsid w:val="00517DE4"/>
    <w:rsid w:val="005209FD"/>
    <w:rsid w:val="005218C3"/>
    <w:rsid w:val="005235F3"/>
    <w:rsid w:val="00525716"/>
    <w:rsid w:val="0052758B"/>
    <w:rsid w:val="005276E2"/>
    <w:rsid w:val="00527DC0"/>
    <w:rsid w:val="005303B3"/>
    <w:rsid w:val="005309C8"/>
    <w:rsid w:val="005318C9"/>
    <w:rsid w:val="00531ABC"/>
    <w:rsid w:val="00531C11"/>
    <w:rsid w:val="0053211C"/>
    <w:rsid w:val="0053350B"/>
    <w:rsid w:val="00535C74"/>
    <w:rsid w:val="005361AB"/>
    <w:rsid w:val="0053624C"/>
    <w:rsid w:val="00536A81"/>
    <w:rsid w:val="0053721C"/>
    <w:rsid w:val="00537749"/>
    <w:rsid w:val="00537897"/>
    <w:rsid w:val="00537C11"/>
    <w:rsid w:val="005403E5"/>
    <w:rsid w:val="00540C02"/>
    <w:rsid w:val="00540CFF"/>
    <w:rsid w:val="005416CF"/>
    <w:rsid w:val="00541D43"/>
    <w:rsid w:val="00542068"/>
    <w:rsid w:val="00543577"/>
    <w:rsid w:val="005439E5"/>
    <w:rsid w:val="00543AF9"/>
    <w:rsid w:val="00544C74"/>
    <w:rsid w:val="00544DE1"/>
    <w:rsid w:val="005453CB"/>
    <w:rsid w:val="00545978"/>
    <w:rsid w:val="00545E47"/>
    <w:rsid w:val="00545F18"/>
    <w:rsid w:val="00546701"/>
    <w:rsid w:val="00547CCA"/>
    <w:rsid w:val="00547FC0"/>
    <w:rsid w:val="00550080"/>
    <w:rsid w:val="00550BCA"/>
    <w:rsid w:val="00551DCF"/>
    <w:rsid w:val="0055323C"/>
    <w:rsid w:val="00553407"/>
    <w:rsid w:val="005535A0"/>
    <w:rsid w:val="00553E8C"/>
    <w:rsid w:val="00554E88"/>
    <w:rsid w:val="0055532F"/>
    <w:rsid w:val="00555716"/>
    <w:rsid w:val="00555864"/>
    <w:rsid w:val="005558A9"/>
    <w:rsid w:val="00555AF3"/>
    <w:rsid w:val="00556355"/>
    <w:rsid w:val="005563ED"/>
    <w:rsid w:val="00557628"/>
    <w:rsid w:val="0055780A"/>
    <w:rsid w:val="0056012D"/>
    <w:rsid w:val="0056051D"/>
    <w:rsid w:val="00560B4A"/>
    <w:rsid w:val="00560BC3"/>
    <w:rsid w:val="005617DF"/>
    <w:rsid w:val="00561D24"/>
    <w:rsid w:val="00561F6B"/>
    <w:rsid w:val="00563C84"/>
    <w:rsid w:val="0056429D"/>
    <w:rsid w:val="00565F1D"/>
    <w:rsid w:val="00566926"/>
    <w:rsid w:val="00566CAB"/>
    <w:rsid w:val="00566EC2"/>
    <w:rsid w:val="00567259"/>
    <w:rsid w:val="005715DA"/>
    <w:rsid w:val="0057324A"/>
    <w:rsid w:val="005738A6"/>
    <w:rsid w:val="00575488"/>
    <w:rsid w:val="0057628D"/>
    <w:rsid w:val="0057629E"/>
    <w:rsid w:val="00576ADE"/>
    <w:rsid w:val="00577726"/>
    <w:rsid w:val="00577CFD"/>
    <w:rsid w:val="00577DEF"/>
    <w:rsid w:val="00580FF2"/>
    <w:rsid w:val="00582033"/>
    <w:rsid w:val="0058286F"/>
    <w:rsid w:val="005831A7"/>
    <w:rsid w:val="00584978"/>
    <w:rsid w:val="00584C70"/>
    <w:rsid w:val="00584CC8"/>
    <w:rsid w:val="005867D1"/>
    <w:rsid w:val="005872DB"/>
    <w:rsid w:val="00590013"/>
    <w:rsid w:val="0059108C"/>
    <w:rsid w:val="00592FC3"/>
    <w:rsid w:val="00597972"/>
    <w:rsid w:val="00597DE3"/>
    <w:rsid w:val="00597FAB"/>
    <w:rsid w:val="005A0382"/>
    <w:rsid w:val="005A08B9"/>
    <w:rsid w:val="005A0A17"/>
    <w:rsid w:val="005A0ECA"/>
    <w:rsid w:val="005A1249"/>
    <w:rsid w:val="005A1AC8"/>
    <w:rsid w:val="005A2195"/>
    <w:rsid w:val="005A3281"/>
    <w:rsid w:val="005A363A"/>
    <w:rsid w:val="005A429B"/>
    <w:rsid w:val="005A4C43"/>
    <w:rsid w:val="005A59FA"/>
    <w:rsid w:val="005A5C43"/>
    <w:rsid w:val="005A5E2E"/>
    <w:rsid w:val="005A6033"/>
    <w:rsid w:val="005A6FD4"/>
    <w:rsid w:val="005A73B6"/>
    <w:rsid w:val="005B104C"/>
    <w:rsid w:val="005B2570"/>
    <w:rsid w:val="005B309D"/>
    <w:rsid w:val="005B5D92"/>
    <w:rsid w:val="005B5DED"/>
    <w:rsid w:val="005B61A1"/>
    <w:rsid w:val="005B61EA"/>
    <w:rsid w:val="005B62C8"/>
    <w:rsid w:val="005B6525"/>
    <w:rsid w:val="005B65E6"/>
    <w:rsid w:val="005B668F"/>
    <w:rsid w:val="005B672C"/>
    <w:rsid w:val="005B688F"/>
    <w:rsid w:val="005B68DA"/>
    <w:rsid w:val="005C0ED1"/>
    <w:rsid w:val="005C1514"/>
    <w:rsid w:val="005C157F"/>
    <w:rsid w:val="005C17A8"/>
    <w:rsid w:val="005C2085"/>
    <w:rsid w:val="005C2210"/>
    <w:rsid w:val="005C23D6"/>
    <w:rsid w:val="005C2FC7"/>
    <w:rsid w:val="005C3A10"/>
    <w:rsid w:val="005C407E"/>
    <w:rsid w:val="005C4F8F"/>
    <w:rsid w:val="005C6996"/>
    <w:rsid w:val="005C6A66"/>
    <w:rsid w:val="005C6F2D"/>
    <w:rsid w:val="005C793C"/>
    <w:rsid w:val="005C79EC"/>
    <w:rsid w:val="005D0BC0"/>
    <w:rsid w:val="005D134E"/>
    <w:rsid w:val="005D2D84"/>
    <w:rsid w:val="005D3EB2"/>
    <w:rsid w:val="005D4DDC"/>
    <w:rsid w:val="005D55C4"/>
    <w:rsid w:val="005D5BA1"/>
    <w:rsid w:val="005D5D2E"/>
    <w:rsid w:val="005D6543"/>
    <w:rsid w:val="005D697E"/>
    <w:rsid w:val="005D69EA"/>
    <w:rsid w:val="005D6A4A"/>
    <w:rsid w:val="005D7BF9"/>
    <w:rsid w:val="005E0008"/>
    <w:rsid w:val="005E28C9"/>
    <w:rsid w:val="005E2EBC"/>
    <w:rsid w:val="005E2F26"/>
    <w:rsid w:val="005E3351"/>
    <w:rsid w:val="005E335B"/>
    <w:rsid w:val="005E49B2"/>
    <w:rsid w:val="005E5759"/>
    <w:rsid w:val="005E6358"/>
    <w:rsid w:val="005E720C"/>
    <w:rsid w:val="005E7404"/>
    <w:rsid w:val="005F0A1B"/>
    <w:rsid w:val="005F0AE8"/>
    <w:rsid w:val="005F1FD6"/>
    <w:rsid w:val="005F2515"/>
    <w:rsid w:val="005F2A6B"/>
    <w:rsid w:val="005F3366"/>
    <w:rsid w:val="005F3416"/>
    <w:rsid w:val="005F383C"/>
    <w:rsid w:val="005F396F"/>
    <w:rsid w:val="005F3DEB"/>
    <w:rsid w:val="005F40C1"/>
    <w:rsid w:val="005F5AAE"/>
    <w:rsid w:val="005F6EC7"/>
    <w:rsid w:val="005F7FDE"/>
    <w:rsid w:val="00600A39"/>
    <w:rsid w:val="00601FE7"/>
    <w:rsid w:val="006024D3"/>
    <w:rsid w:val="00606EF9"/>
    <w:rsid w:val="0060706A"/>
    <w:rsid w:val="00607082"/>
    <w:rsid w:val="0060748A"/>
    <w:rsid w:val="00607758"/>
    <w:rsid w:val="00610582"/>
    <w:rsid w:val="00610674"/>
    <w:rsid w:val="00610D5E"/>
    <w:rsid w:val="00610ED2"/>
    <w:rsid w:val="006110E8"/>
    <w:rsid w:val="006112E3"/>
    <w:rsid w:val="00612C77"/>
    <w:rsid w:val="006130CC"/>
    <w:rsid w:val="00613467"/>
    <w:rsid w:val="0061392A"/>
    <w:rsid w:val="00614191"/>
    <w:rsid w:val="00615F95"/>
    <w:rsid w:val="00616893"/>
    <w:rsid w:val="00616C56"/>
    <w:rsid w:val="00616E5C"/>
    <w:rsid w:val="00617E91"/>
    <w:rsid w:val="00617FF2"/>
    <w:rsid w:val="0062027A"/>
    <w:rsid w:val="00620D7E"/>
    <w:rsid w:val="00622C14"/>
    <w:rsid w:val="00623092"/>
    <w:rsid w:val="00623261"/>
    <w:rsid w:val="00623454"/>
    <w:rsid w:val="0062398E"/>
    <w:rsid w:val="00623DDF"/>
    <w:rsid w:val="00624315"/>
    <w:rsid w:val="006245AB"/>
    <w:rsid w:val="00624778"/>
    <w:rsid w:val="0062545B"/>
    <w:rsid w:val="0062552A"/>
    <w:rsid w:val="0062726F"/>
    <w:rsid w:val="00627CBD"/>
    <w:rsid w:val="00627E01"/>
    <w:rsid w:val="00630496"/>
    <w:rsid w:val="00630BAB"/>
    <w:rsid w:val="00633192"/>
    <w:rsid w:val="006332BE"/>
    <w:rsid w:val="00633A25"/>
    <w:rsid w:val="0063447B"/>
    <w:rsid w:val="006374EB"/>
    <w:rsid w:val="006377B3"/>
    <w:rsid w:val="00637C5B"/>
    <w:rsid w:val="006408C3"/>
    <w:rsid w:val="00640E65"/>
    <w:rsid w:val="00641F9D"/>
    <w:rsid w:val="0064290C"/>
    <w:rsid w:val="006429DF"/>
    <w:rsid w:val="006432F4"/>
    <w:rsid w:val="0064344A"/>
    <w:rsid w:val="006436B7"/>
    <w:rsid w:val="006448C0"/>
    <w:rsid w:val="00644935"/>
    <w:rsid w:val="00644B1E"/>
    <w:rsid w:val="00645AB3"/>
    <w:rsid w:val="0064620D"/>
    <w:rsid w:val="00646CA4"/>
    <w:rsid w:val="0064719A"/>
    <w:rsid w:val="00647FE8"/>
    <w:rsid w:val="00650223"/>
    <w:rsid w:val="00651A6E"/>
    <w:rsid w:val="00652162"/>
    <w:rsid w:val="0065226B"/>
    <w:rsid w:val="00652528"/>
    <w:rsid w:val="00652ED2"/>
    <w:rsid w:val="0065310A"/>
    <w:rsid w:val="00654C2A"/>
    <w:rsid w:val="00655158"/>
    <w:rsid w:val="00655536"/>
    <w:rsid w:val="006557BA"/>
    <w:rsid w:val="00656A27"/>
    <w:rsid w:val="00657754"/>
    <w:rsid w:val="00660D1B"/>
    <w:rsid w:val="00660EA0"/>
    <w:rsid w:val="006618AA"/>
    <w:rsid w:val="006619CD"/>
    <w:rsid w:val="00662DFF"/>
    <w:rsid w:val="00662E7D"/>
    <w:rsid w:val="00664356"/>
    <w:rsid w:val="006649E0"/>
    <w:rsid w:val="00664BDE"/>
    <w:rsid w:val="00665FC6"/>
    <w:rsid w:val="0066607A"/>
    <w:rsid w:val="00667104"/>
    <w:rsid w:val="00667CBF"/>
    <w:rsid w:val="00670FE7"/>
    <w:rsid w:val="00672008"/>
    <w:rsid w:val="00672120"/>
    <w:rsid w:val="00672191"/>
    <w:rsid w:val="006726DE"/>
    <w:rsid w:val="0067327D"/>
    <w:rsid w:val="00673352"/>
    <w:rsid w:val="00673843"/>
    <w:rsid w:val="00673B4A"/>
    <w:rsid w:val="006746D6"/>
    <w:rsid w:val="0067582A"/>
    <w:rsid w:val="006763A3"/>
    <w:rsid w:val="006770D5"/>
    <w:rsid w:val="006800BA"/>
    <w:rsid w:val="00680FEE"/>
    <w:rsid w:val="00681091"/>
    <w:rsid w:val="006814EF"/>
    <w:rsid w:val="00681C5B"/>
    <w:rsid w:val="00682795"/>
    <w:rsid w:val="0068368C"/>
    <w:rsid w:val="006836A0"/>
    <w:rsid w:val="00683B7C"/>
    <w:rsid w:val="00683ED1"/>
    <w:rsid w:val="0068446B"/>
    <w:rsid w:val="00685979"/>
    <w:rsid w:val="0068650C"/>
    <w:rsid w:val="00686A71"/>
    <w:rsid w:val="00686DB1"/>
    <w:rsid w:val="00687145"/>
    <w:rsid w:val="00687797"/>
    <w:rsid w:val="00690057"/>
    <w:rsid w:val="006906B5"/>
    <w:rsid w:val="006909A5"/>
    <w:rsid w:val="00690C0B"/>
    <w:rsid w:val="00690EF9"/>
    <w:rsid w:val="0069123E"/>
    <w:rsid w:val="00691278"/>
    <w:rsid w:val="0069144A"/>
    <w:rsid w:val="00691913"/>
    <w:rsid w:val="00692FEA"/>
    <w:rsid w:val="0069330F"/>
    <w:rsid w:val="00693399"/>
    <w:rsid w:val="006938A8"/>
    <w:rsid w:val="006941E7"/>
    <w:rsid w:val="0069459C"/>
    <w:rsid w:val="00695C4D"/>
    <w:rsid w:val="00697C4F"/>
    <w:rsid w:val="006A03AB"/>
    <w:rsid w:val="006A138B"/>
    <w:rsid w:val="006A1569"/>
    <w:rsid w:val="006A15B9"/>
    <w:rsid w:val="006A1835"/>
    <w:rsid w:val="006A18A1"/>
    <w:rsid w:val="006A1C6B"/>
    <w:rsid w:val="006A21B3"/>
    <w:rsid w:val="006A2C96"/>
    <w:rsid w:val="006A4228"/>
    <w:rsid w:val="006A631B"/>
    <w:rsid w:val="006A632C"/>
    <w:rsid w:val="006A6367"/>
    <w:rsid w:val="006A679E"/>
    <w:rsid w:val="006A6F7D"/>
    <w:rsid w:val="006A716D"/>
    <w:rsid w:val="006B02EE"/>
    <w:rsid w:val="006B0480"/>
    <w:rsid w:val="006B140A"/>
    <w:rsid w:val="006B31E0"/>
    <w:rsid w:val="006B5681"/>
    <w:rsid w:val="006B592E"/>
    <w:rsid w:val="006B5D29"/>
    <w:rsid w:val="006B6044"/>
    <w:rsid w:val="006B6242"/>
    <w:rsid w:val="006B69AD"/>
    <w:rsid w:val="006B6C39"/>
    <w:rsid w:val="006B6DE4"/>
    <w:rsid w:val="006B71B1"/>
    <w:rsid w:val="006B7A48"/>
    <w:rsid w:val="006C014A"/>
    <w:rsid w:val="006C0974"/>
    <w:rsid w:val="006C0B82"/>
    <w:rsid w:val="006C25FC"/>
    <w:rsid w:val="006C2667"/>
    <w:rsid w:val="006C29FD"/>
    <w:rsid w:val="006C2D10"/>
    <w:rsid w:val="006C2DB7"/>
    <w:rsid w:val="006C425E"/>
    <w:rsid w:val="006C4574"/>
    <w:rsid w:val="006C4869"/>
    <w:rsid w:val="006C4906"/>
    <w:rsid w:val="006C5C80"/>
    <w:rsid w:val="006C5DED"/>
    <w:rsid w:val="006C6AA6"/>
    <w:rsid w:val="006C7423"/>
    <w:rsid w:val="006D190A"/>
    <w:rsid w:val="006D26FA"/>
    <w:rsid w:val="006D3130"/>
    <w:rsid w:val="006D3271"/>
    <w:rsid w:val="006D33C5"/>
    <w:rsid w:val="006D354B"/>
    <w:rsid w:val="006D4E1F"/>
    <w:rsid w:val="006D5379"/>
    <w:rsid w:val="006D5CEA"/>
    <w:rsid w:val="006D5D03"/>
    <w:rsid w:val="006D5F43"/>
    <w:rsid w:val="006D64BF"/>
    <w:rsid w:val="006D7D25"/>
    <w:rsid w:val="006E0181"/>
    <w:rsid w:val="006E285B"/>
    <w:rsid w:val="006E29E6"/>
    <w:rsid w:val="006E383E"/>
    <w:rsid w:val="006E3DE3"/>
    <w:rsid w:val="006E440A"/>
    <w:rsid w:val="006E4469"/>
    <w:rsid w:val="006E5246"/>
    <w:rsid w:val="006E5B24"/>
    <w:rsid w:val="006E5E49"/>
    <w:rsid w:val="006E6CF4"/>
    <w:rsid w:val="006E7302"/>
    <w:rsid w:val="006F0BA2"/>
    <w:rsid w:val="006F0BE4"/>
    <w:rsid w:val="006F161E"/>
    <w:rsid w:val="006F1B0E"/>
    <w:rsid w:val="006F1B9D"/>
    <w:rsid w:val="006F1BB3"/>
    <w:rsid w:val="006F21CC"/>
    <w:rsid w:val="006F3500"/>
    <w:rsid w:val="006F350A"/>
    <w:rsid w:val="006F391F"/>
    <w:rsid w:val="006F3964"/>
    <w:rsid w:val="006F3CEB"/>
    <w:rsid w:val="006F41E2"/>
    <w:rsid w:val="006F506B"/>
    <w:rsid w:val="006F5691"/>
    <w:rsid w:val="006F74E7"/>
    <w:rsid w:val="006F78CD"/>
    <w:rsid w:val="006F78D0"/>
    <w:rsid w:val="00700FE7"/>
    <w:rsid w:val="00703418"/>
    <w:rsid w:val="0070384E"/>
    <w:rsid w:val="0070525A"/>
    <w:rsid w:val="00705451"/>
    <w:rsid w:val="007061AA"/>
    <w:rsid w:val="007063D3"/>
    <w:rsid w:val="00706665"/>
    <w:rsid w:val="00710485"/>
    <w:rsid w:val="007109D8"/>
    <w:rsid w:val="007119A3"/>
    <w:rsid w:val="00711B8B"/>
    <w:rsid w:val="00711C39"/>
    <w:rsid w:val="007124E3"/>
    <w:rsid w:val="007125B1"/>
    <w:rsid w:val="00712C73"/>
    <w:rsid w:val="00712CC3"/>
    <w:rsid w:val="0071362E"/>
    <w:rsid w:val="007139D6"/>
    <w:rsid w:val="007149B3"/>
    <w:rsid w:val="00714E0D"/>
    <w:rsid w:val="00715033"/>
    <w:rsid w:val="0071738F"/>
    <w:rsid w:val="00717C8E"/>
    <w:rsid w:val="0072026D"/>
    <w:rsid w:val="00722107"/>
    <w:rsid w:val="007222CD"/>
    <w:rsid w:val="007223FE"/>
    <w:rsid w:val="00722446"/>
    <w:rsid w:val="00722B72"/>
    <w:rsid w:val="0072344E"/>
    <w:rsid w:val="00723E1E"/>
    <w:rsid w:val="00723F51"/>
    <w:rsid w:val="007277CB"/>
    <w:rsid w:val="0072788D"/>
    <w:rsid w:val="00730D7F"/>
    <w:rsid w:val="007312B2"/>
    <w:rsid w:val="00732B11"/>
    <w:rsid w:val="00735761"/>
    <w:rsid w:val="00735846"/>
    <w:rsid w:val="00736AD4"/>
    <w:rsid w:val="00737271"/>
    <w:rsid w:val="00737E1E"/>
    <w:rsid w:val="00740014"/>
    <w:rsid w:val="007408F2"/>
    <w:rsid w:val="00740C87"/>
    <w:rsid w:val="00741380"/>
    <w:rsid w:val="0074350A"/>
    <w:rsid w:val="00743B80"/>
    <w:rsid w:val="00744B48"/>
    <w:rsid w:val="00746EA3"/>
    <w:rsid w:val="007503C5"/>
    <w:rsid w:val="00750420"/>
    <w:rsid w:val="00750726"/>
    <w:rsid w:val="0075082C"/>
    <w:rsid w:val="0075084E"/>
    <w:rsid w:val="007509A6"/>
    <w:rsid w:val="00750B24"/>
    <w:rsid w:val="00750B5A"/>
    <w:rsid w:val="00751C6B"/>
    <w:rsid w:val="00751CBA"/>
    <w:rsid w:val="00751F15"/>
    <w:rsid w:val="0075240B"/>
    <w:rsid w:val="0075396E"/>
    <w:rsid w:val="007540C1"/>
    <w:rsid w:val="00754A5F"/>
    <w:rsid w:val="00757FE7"/>
    <w:rsid w:val="00760326"/>
    <w:rsid w:val="00762141"/>
    <w:rsid w:val="0076380C"/>
    <w:rsid w:val="00763F78"/>
    <w:rsid w:val="00764455"/>
    <w:rsid w:val="0076446C"/>
    <w:rsid w:val="00764539"/>
    <w:rsid w:val="00765328"/>
    <w:rsid w:val="00770966"/>
    <w:rsid w:val="007723E1"/>
    <w:rsid w:val="00772C70"/>
    <w:rsid w:val="00772D45"/>
    <w:rsid w:val="00773EDB"/>
    <w:rsid w:val="00774370"/>
    <w:rsid w:val="0077548D"/>
    <w:rsid w:val="007766AC"/>
    <w:rsid w:val="007768E5"/>
    <w:rsid w:val="00777ECF"/>
    <w:rsid w:val="007806D9"/>
    <w:rsid w:val="00781777"/>
    <w:rsid w:val="00781EC7"/>
    <w:rsid w:val="00781F4B"/>
    <w:rsid w:val="0078218C"/>
    <w:rsid w:val="007845AC"/>
    <w:rsid w:val="00784613"/>
    <w:rsid w:val="007847FA"/>
    <w:rsid w:val="00784D38"/>
    <w:rsid w:val="00785C48"/>
    <w:rsid w:val="00785FA7"/>
    <w:rsid w:val="00787332"/>
    <w:rsid w:val="00790910"/>
    <w:rsid w:val="00790D95"/>
    <w:rsid w:val="00791DE1"/>
    <w:rsid w:val="00791F29"/>
    <w:rsid w:val="00791F2F"/>
    <w:rsid w:val="00791FBA"/>
    <w:rsid w:val="007923B9"/>
    <w:rsid w:val="00792D5D"/>
    <w:rsid w:val="0079375E"/>
    <w:rsid w:val="007938C3"/>
    <w:rsid w:val="0079515E"/>
    <w:rsid w:val="007959BA"/>
    <w:rsid w:val="00796995"/>
    <w:rsid w:val="00796D25"/>
    <w:rsid w:val="00797338"/>
    <w:rsid w:val="00797D36"/>
    <w:rsid w:val="007A003B"/>
    <w:rsid w:val="007A0667"/>
    <w:rsid w:val="007A0C94"/>
    <w:rsid w:val="007A2241"/>
    <w:rsid w:val="007A321D"/>
    <w:rsid w:val="007A37EA"/>
    <w:rsid w:val="007A3A8C"/>
    <w:rsid w:val="007A3FE6"/>
    <w:rsid w:val="007A40DF"/>
    <w:rsid w:val="007A4500"/>
    <w:rsid w:val="007A5FB6"/>
    <w:rsid w:val="007A6254"/>
    <w:rsid w:val="007B07A5"/>
    <w:rsid w:val="007B0E0C"/>
    <w:rsid w:val="007B17F4"/>
    <w:rsid w:val="007B212C"/>
    <w:rsid w:val="007B23AF"/>
    <w:rsid w:val="007B2AF8"/>
    <w:rsid w:val="007B31A5"/>
    <w:rsid w:val="007B390A"/>
    <w:rsid w:val="007B41C9"/>
    <w:rsid w:val="007B6280"/>
    <w:rsid w:val="007B73DB"/>
    <w:rsid w:val="007B78F5"/>
    <w:rsid w:val="007B7E5A"/>
    <w:rsid w:val="007C001C"/>
    <w:rsid w:val="007C00D9"/>
    <w:rsid w:val="007C0D0E"/>
    <w:rsid w:val="007C122C"/>
    <w:rsid w:val="007C26E5"/>
    <w:rsid w:val="007C3499"/>
    <w:rsid w:val="007C3942"/>
    <w:rsid w:val="007C44EC"/>
    <w:rsid w:val="007C6500"/>
    <w:rsid w:val="007C6B1D"/>
    <w:rsid w:val="007C720A"/>
    <w:rsid w:val="007C733D"/>
    <w:rsid w:val="007C7499"/>
    <w:rsid w:val="007C75DD"/>
    <w:rsid w:val="007D1092"/>
    <w:rsid w:val="007D118C"/>
    <w:rsid w:val="007D1875"/>
    <w:rsid w:val="007D1924"/>
    <w:rsid w:val="007D2621"/>
    <w:rsid w:val="007D3DB1"/>
    <w:rsid w:val="007D48FC"/>
    <w:rsid w:val="007D4ACE"/>
    <w:rsid w:val="007D4D09"/>
    <w:rsid w:val="007D5974"/>
    <w:rsid w:val="007D5CA8"/>
    <w:rsid w:val="007D6B9E"/>
    <w:rsid w:val="007D7D09"/>
    <w:rsid w:val="007E0CAF"/>
    <w:rsid w:val="007E1072"/>
    <w:rsid w:val="007E18EF"/>
    <w:rsid w:val="007E2BA8"/>
    <w:rsid w:val="007E2F09"/>
    <w:rsid w:val="007E3F07"/>
    <w:rsid w:val="007E58EB"/>
    <w:rsid w:val="007E5C2C"/>
    <w:rsid w:val="007E5D77"/>
    <w:rsid w:val="007E671C"/>
    <w:rsid w:val="007F0008"/>
    <w:rsid w:val="007F03BA"/>
    <w:rsid w:val="007F08CA"/>
    <w:rsid w:val="007F0A78"/>
    <w:rsid w:val="007F0CE5"/>
    <w:rsid w:val="007F3B6E"/>
    <w:rsid w:val="007F3E07"/>
    <w:rsid w:val="007F5F86"/>
    <w:rsid w:val="007F6A4F"/>
    <w:rsid w:val="007F72C9"/>
    <w:rsid w:val="007F7AC2"/>
    <w:rsid w:val="007F7C93"/>
    <w:rsid w:val="00801D82"/>
    <w:rsid w:val="00802A64"/>
    <w:rsid w:val="00802B63"/>
    <w:rsid w:val="00802BE4"/>
    <w:rsid w:val="00804649"/>
    <w:rsid w:val="00806434"/>
    <w:rsid w:val="008071C9"/>
    <w:rsid w:val="00807559"/>
    <w:rsid w:val="00807807"/>
    <w:rsid w:val="008102A2"/>
    <w:rsid w:val="008104D4"/>
    <w:rsid w:val="008115C2"/>
    <w:rsid w:val="008117BF"/>
    <w:rsid w:val="00811DEA"/>
    <w:rsid w:val="00811FE1"/>
    <w:rsid w:val="008127AA"/>
    <w:rsid w:val="00813202"/>
    <w:rsid w:val="00813288"/>
    <w:rsid w:val="0081419C"/>
    <w:rsid w:val="008147A3"/>
    <w:rsid w:val="00815732"/>
    <w:rsid w:val="008173F4"/>
    <w:rsid w:val="00820BB0"/>
    <w:rsid w:val="00821A29"/>
    <w:rsid w:val="00821F7E"/>
    <w:rsid w:val="008223AA"/>
    <w:rsid w:val="00823233"/>
    <w:rsid w:val="00824426"/>
    <w:rsid w:val="00824B0E"/>
    <w:rsid w:val="00824C9D"/>
    <w:rsid w:val="008254EF"/>
    <w:rsid w:val="008260B8"/>
    <w:rsid w:val="008266D4"/>
    <w:rsid w:val="00826BE4"/>
    <w:rsid w:val="00826E76"/>
    <w:rsid w:val="00827126"/>
    <w:rsid w:val="008276E8"/>
    <w:rsid w:val="00830597"/>
    <w:rsid w:val="00830E52"/>
    <w:rsid w:val="00831616"/>
    <w:rsid w:val="00831871"/>
    <w:rsid w:val="0083233F"/>
    <w:rsid w:val="008324E3"/>
    <w:rsid w:val="00832684"/>
    <w:rsid w:val="00833E16"/>
    <w:rsid w:val="00833E59"/>
    <w:rsid w:val="00834292"/>
    <w:rsid w:val="00834C1F"/>
    <w:rsid w:val="00834C32"/>
    <w:rsid w:val="00834F74"/>
    <w:rsid w:val="00835290"/>
    <w:rsid w:val="0083551D"/>
    <w:rsid w:val="008367E7"/>
    <w:rsid w:val="00836E8D"/>
    <w:rsid w:val="00837D84"/>
    <w:rsid w:val="00837F24"/>
    <w:rsid w:val="00840DCB"/>
    <w:rsid w:val="00843AE8"/>
    <w:rsid w:val="0084411D"/>
    <w:rsid w:val="00844347"/>
    <w:rsid w:val="0084437F"/>
    <w:rsid w:val="008443C3"/>
    <w:rsid w:val="008450F3"/>
    <w:rsid w:val="00845946"/>
    <w:rsid w:val="00846D09"/>
    <w:rsid w:val="008476A0"/>
    <w:rsid w:val="00847D48"/>
    <w:rsid w:val="00847D96"/>
    <w:rsid w:val="0085041B"/>
    <w:rsid w:val="008509E0"/>
    <w:rsid w:val="00851C5E"/>
    <w:rsid w:val="00852456"/>
    <w:rsid w:val="008525D7"/>
    <w:rsid w:val="00852F38"/>
    <w:rsid w:val="00853332"/>
    <w:rsid w:val="0085455A"/>
    <w:rsid w:val="0085475F"/>
    <w:rsid w:val="00854EF0"/>
    <w:rsid w:val="008558C1"/>
    <w:rsid w:val="00856C34"/>
    <w:rsid w:val="00856CD3"/>
    <w:rsid w:val="00860870"/>
    <w:rsid w:val="0086103B"/>
    <w:rsid w:val="008621C6"/>
    <w:rsid w:val="00862B69"/>
    <w:rsid w:val="008631B5"/>
    <w:rsid w:val="00863E95"/>
    <w:rsid w:val="00864249"/>
    <w:rsid w:val="00864421"/>
    <w:rsid w:val="00865546"/>
    <w:rsid w:val="00865DB3"/>
    <w:rsid w:val="00865DC1"/>
    <w:rsid w:val="008669FC"/>
    <w:rsid w:val="0086756E"/>
    <w:rsid w:val="00867E67"/>
    <w:rsid w:val="00867FB7"/>
    <w:rsid w:val="00870112"/>
    <w:rsid w:val="00870130"/>
    <w:rsid w:val="00870A52"/>
    <w:rsid w:val="00870C8E"/>
    <w:rsid w:val="00870E5B"/>
    <w:rsid w:val="008711B8"/>
    <w:rsid w:val="00872350"/>
    <w:rsid w:val="0087365A"/>
    <w:rsid w:val="008743C7"/>
    <w:rsid w:val="00874624"/>
    <w:rsid w:val="008750F9"/>
    <w:rsid w:val="00875341"/>
    <w:rsid w:val="0087536F"/>
    <w:rsid w:val="00875677"/>
    <w:rsid w:val="00875B7F"/>
    <w:rsid w:val="008765D7"/>
    <w:rsid w:val="008802C9"/>
    <w:rsid w:val="00880A40"/>
    <w:rsid w:val="00880F55"/>
    <w:rsid w:val="008810DB"/>
    <w:rsid w:val="0088184D"/>
    <w:rsid w:val="00881C81"/>
    <w:rsid w:val="00881CC0"/>
    <w:rsid w:val="00882C06"/>
    <w:rsid w:val="00882CC7"/>
    <w:rsid w:val="00883156"/>
    <w:rsid w:val="00883CC3"/>
    <w:rsid w:val="00885A82"/>
    <w:rsid w:val="00886412"/>
    <w:rsid w:val="008864BB"/>
    <w:rsid w:val="008865BD"/>
    <w:rsid w:val="008869F4"/>
    <w:rsid w:val="00887CB9"/>
    <w:rsid w:val="00887E3D"/>
    <w:rsid w:val="00890936"/>
    <w:rsid w:val="00890C1A"/>
    <w:rsid w:val="008911CB"/>
    <w:rsid w:val="0089195C"/>
    <w:rsid w:val="008922E3"/>
    <w:rsid w:val="0089382F"/>
    <w:rsid w:val="00893EEF"/>
    <w:rsid w:val="00894D2E"/>
    <w:rsid w:val="00894D8E"/>
    <w:rsid w:val="0089500B"/>
    <w:rsid w:val="008957DB"/>
    <w:rsid w:val="00896084"/>
    <w:rsid w:val="008975A2"/>
    <w:rsid w:val="00897B51"/>
    <w:rsid w:val="008A0AC0"/>
    <w:rsid w:val="008A12B3"/>
    <w:rsid w:val="008A14CB"/>
    <w:rsid w:val="008A15D1"/>
    <w:rsid w:val="008A184F"/>
    <w:rsid w:val="008A19DA"/>
    <w:rsid w:val="008A1C05"/>
    <w:rsid w:val="008A1F30"/>
    <w:rsid w:val="008A24FE"/>
    <w:rsid w:val="008A2C72"/>
    <w:rsid w:val="008A3ADD"/>
    <w:rsid w:val="008A4090"/>
    <w:rsid w:val="008A40BC"/>
    <w:rsid w:val="008A40DD"/>
    <w:rsid w:val="008A4880"/>
    <w:rsid w:val="008A52B1"/>
    <w:rsid w:val="008A5754"/>
    <w:rsid w:val="008A5E0E"/>
    <w:rsid w:val="008A74F9"/>
    <w:rsid w:val="008A7501"/>
    <w:rsid w:val="008B07C8"/>
    <w:rsid w:val="008B0C53"/>
    <w:rsid w:val="008B11EC"/>
    <w:rsid w:val="008B1259"/>
    <w:rsid w:val="008B12AD"/>
    <w:rsid w:val="008B1D4B"/>
    <w:rsid w:val="008B1FFD"/>
    <w:rsid w:val="008B2287"/>
    <w:rsid w:val="008B2C31"/>
    <w:rsid w:val="008B2E71"/>
    <w:rsid w:val="008B30DE"/>
    <w:rsid w:val="008B43C8"/>
    <w:rsid w:val="008B4EA4"/>
    <w:rsid w:val="008B5B32"/>
    <w:rsid w:val="008B6964"/>
    <w:rsid w:val="008B76B0"/>
    <w:rsid w:val="008B7F4F"/>
    <w:rsid w:val="008C0E19"/>
    <w:rsid w:val="008C10D7"/>
    <w:rsid w:val="008C1490"/>
    <w:rsid w:val="008C1C98"/>
    <w:rsid w:val="008C23C3"/>
    <w:rsid w:val="008C2989"/>
    <w:rsid w:val="008C2FFB"/>
    <w:rsid w:val="008C339F"/>
    <w:rsid w:val="008C3D0F"/>
    <w:rsid w:val="008C460D"/>
    <w:rsid w:val="008C4952"/>
    <w:rsid w:val="008C4E0E"/>
    <w:rsid w:val="008C62A0"/>
    <w:rsid w:val="008C67E8"/>
    <w:rsid w:val="008C69C5"/>
    <w:rsid w:val="008C756B"/>
    <w:rsid w:val="008D043F"/>
    <w:rsid w:val="008D090C"/>
    <w:rsid w:val="008D09DD"/>
    <w:rsid w:val="008D1176"/>
    <w:rsid w:val="008D1784"/>
    <w:rsid w:val="008D22C6"/>
    <w:rsid w:val="008D31C5"/>
    <w:rsid w:val="008D32E3"/>
    <w:rsid w:val="008D475B"/>
    <w:rsid w:val="008D4944"/>
    <w:rsid w:val="008D4FFB"/>
    <w:rsid w:val="008D55CD"/>
    <w:rsid w:val="008D5BFC"/>
    <w:rsid w:val="008D604E"/>
    <w:rsid w:val="008D7385"/>
    <w:rsid w:val="008D78FF"/>
    <w:rsid w:val="008D7BF5"/>
    <w:rsid w:val="008E1CBF"/>
    <w:rsid w:val="008E2BAF"/>
    <w:rsid w:val="008E307B"/>
    <w:rsid w:val="008E7763"/>
    <w:rsid w:val="008E77C1"/>
    <w:rsid w:val="008F07C6"/>
    <w:rsid w:val="008F07FC"/>
    <w:rsid w:val="008F0D02"/>
    <w:rsid w:val="008F1529"/>
    <w:rsid w:val="008F216F"/>
    <w:rsid w:val="008F2523"/>
    <w:rsid w:val="008F32EA"/>
    <w:rsid w:val="008F3519"/>
    <w:rsid w:val="008F3FAF"/>
    <w:rsid w:val="008F482E"/>
    <w:rsid w:val="008F4A7E"/>
    <w:rsid w:val="008F5299"/>
    <w:rsid w:val="008F57F7"/>
    <w:rsid w:val="008F5E79"/>
    <w:rsid w:val="008F6CA5"/>
    <w:rsid w:val="008F703E"/>
    <w:rsid w:val="00900174"/>
    <w:rsid w:val="0090028B"/>
    <w:rsid w:val="00900374"/>
    <w:rsid w:val="009003BE"/>
    <w:rsid w:val="00901A8F"/>
    <w:rsid w:val="00901CF6"/>
    <w:rsid w:val="009023B3"/>
    <w:rsid w:val="00903F33"/>
    <w:rsid w:val="00904D14"/>
    <w:rsid w:val="00906672"/>
    <w:rsid w:val="00906C2F"/>
    <w:rsid w:val="00906DA3"/>
    <w:rsid w:val="00906FA5"/>
    <w:rsid w:val="0090702D"/>
    <w:rsid w:val="0090734D"/>
    <w:rsid w:val="00907899"/>
    <w:rsid w:val="009105DC"/>
    <w:rsid w:val="0091238F"/>
    <w:rsid w:val="00913E2D"/>
    <w:rsid w:val="00914422"/>
    <w:rsid w:val="00914DA7"/>
    <w:rsid w:val="0091557F"/>
    <w:rsid w:val="00915F63"/>
    <w:rsid w:val="00916AFA"/>
    <w:rsid w:val="00917704"/>
    <w:rsid w:val="009177E9"/>
    <w:rsid w:val="009221AD"/>
    <w:rsid w:val="00923366"/>
    <w:rsid w:val="009240B7"/>
    <w:rsid w:val="0092600B"/>
    <w:rsid w:val="009265C7"/>
    <w:rsid w:val="00926CCF"/>
    <w:rsid w:val="00926DA7"/>
    <w:rsid w:val="00927563"/>
    <w:rsid w:val="00927CA1"/>
    <w:rsid w:val="00930D09"/>
    <w:rsid w:val="009328C9"/>
    <w:rsid w:val="009331CF"/>
    <w:rsid w:val="009334AC"/>
    <w:rsid w:val="00933919"/>
    <w:rsid w:val="00934564"/>
    <w:rsid w:val="009359EC"/>
    <w:rsid w:val="00936135"/>
    <w:rsid w:val="00937E53"/>
    <w:rsid w:val="00940676"/>
    <w:rsid w:val="00940D65"/>
    <w:rsid w:val="00941829"/>
    <w:rsid w:val="00941A22"/>
    <w:rsid w:val="00941ED9"/>
    <w:rsid w:val="00942010"/>
    <w:rsid w:val="0094320A"/>
    <w:rsid w:val="0094396D"/>
    <w:rsid w:val="00944ED0"/>
    <w:rsid w:val="009452FB"/>
    <w:rsid w:val="00945A89"/>
    <w:rsid w:val="00945AD8"/>
    <w:rsid w:val="00945E55"/>
    <w:rsid w:val="009466E3"/>
    <w:rsid w:val="009473FD"/>
    <w:rsid w:val="009500E3"/>
    <w:rsid w:val="0095169A"/>
    <w:rsid w:val="0095170D"/>
    <w:rsid w:val="009522AE"/>
    <w:rsid w:val="00952632"/>
    <w:rsid w:val="0095307F"/>
    <w:rsid w:val="009548FF"/>
    <w:rsid w:val="00954987"/>
    <w:rsid w:val="00954DDB"/>
    <w:rsid w:val="0095540F"/>
    <w:rsid w:val="00955526"/>
    <w:rsid w:val="00955722"/>
    <w:rsid w:val="00956598"/>
    <w:rsid w:val="00956AF1"/>
    <w:rsid w:val="00957FD5"/>
    <w:rsid w:val="00961D8A"/>
    <w:rsid w:val="009624F6"/>
    <w:rsid w:val="00962538"/>
    <w:rsid w:val="009651B1"/>
    <w:rsid w:val="00965269"/>
    <w:rsid w:val="009653A9"/>
    <w:rsid w:val="00965D29"/>
    <w:rsid w:val="00966C09"/>
    <w:rsid w:val="00967541"/>
    <w:rsid w:val="0096799F"/>
    <w:rsid w:val="00967B48"/>
    <w:rsid w:val="00967CE3"/>
    <w:rsid w:val="00970533"/>
    <w:rsid w:val="009706BE"/>
    <w:rsid w:val="00970D2E"/>
    <w:rsid w:val="0097190B"/>
    <w:rsid w:val="00971A41"/>
    <w:rsid w:val="00971BDA"/>
    <w:rsid w:val="0097260D"/>
    <w:rsid w:val="00972C33"/>
    <w:rsid w:val="00972F81"/>
    <w:rsid w:val="009732E6"/>
    <w:rsid w:val="00973890"/>
    <w:rsid w:val="00973E9B"/>
    <w:rsid w:val="00974527"/>
    <w:rsid w:val="00974E67"/>
    <w:rsid w:val="0097574A"/>
    <w:rsid w:val="00975850"/>
    <w:rsid w:val="00975A73"/>
    <w:rsid w:val="00976AE1"/>
    <w:rsid w:val="009774A2"/>
    <w:rsid w:val="00977E1A"/>
    <w:rsid w:val="0098041E"/>
    <w:rsid w:val="009808B3"/>
    <w:rsid w:val="00980F87"/>
    <w:rsid w:val="00981467"/>
    <w:rsid w:val="009817F3"/>
    <w:rsid w:val="0098342E"/>
    <w:rsid w:val="00984441"/>
    <w:rsid w:val="009844CF"/>
    <w:rsid w:val="0098468F"/>
    <w:rsid w:val="009847B8"/>
    <w:rsid w:val="00984DD8"/>
    <w:rsid w:val="009850A1"/>
    <w:rsid w:val="00986A9B"/>
    <w:rsid w:val="009877C2"/>
    <w:rsid w:val="00990147"/>
    <w:rsid w:val="009907BA"/>
    <w:rsid w:val="0099085F"/>
    <w:rsid w:val="00991816"/>
    <w:rsid w:val="009923D7"/>
    <w:rsid w:val="009925DB"/>
    <w:rsid w:val="00992F01"/>
    <w:rsid w:val="00993114"/>
    <w:rsid w:val="00993CC9"/>
    <w:rsid w:val="009940A4"/>
    <w:rsid w:val="00994242"/>
    <w:rsid w:val="00995692"/>
    <w:rsid w:val="0099571C"/>
    <w:rsid w:val="00995AD7"/>
    <w:rsid w:val="009A0E22"/>
    <w:rsid w:val="009A1740"/>
    <w:rsid w:val="009A2132"/>
    <w:rsid w:val="009A3291"/>
    <w:rsid w:val="009A3E7C"/>
    <w:rsid w:val="009A3FE6"/>
    <w:rsid w:val="009A4178"/>
    <w:rsid w:val="009A4305"/>
    <w:rsid w:val="009A4421"/>
    <w:rsid w:val="009A4A1B"/>
    <w:rsid w:val="009A4C69"/>
    <w:rsid w:val="009A4D58"/>
    <w:rsid w:val="009A4E04"/>
    <w:rsid w:val="009A580E"/>
    <w:rsid w:val="009A599F"/>
    <w:rsid w:val="009A6A4D"/>
    <w:rsid w:val="009A6F74"/>
    <w:rsid w:val="009A751C"/>
    <w:rsid w:val="009A7B53"/>
    <w:rsid w:val="009B04A8"/>
    <w:rsid w:val="009B0719"/>
    <w:rsid w:val="009B0768"/>
    <w:rsid w:val="009B2581"/>
    <w:rsid w:val="009B2DE7"/>
    <w:rsid w:val="009B3779"/>
    <w:rsid w:val="009B3C9D"/>
    <w:rsid w:val="009B4FC5"/>
    <w:rsid w:val="009B567D"/>
    <w:rsid w:val="009B56F6"/>
    <w:rsid w:val="009B5AC4"/>
    <w:rsid w:val="009B5D06"/>
    <w:rsid w:val="009B6D61"/>
    <w:rsid w:val="009C0CC4"/>
    <w:rsid w:val="009C0F03"/>
    <w:rsid w:val="009C13CD"/>
    <w:rsid w:val="009C293A"/>
    <w:rsid w:val="009C2D7B"/>
    <w:rsid w:val="009C34AA"/>
    <w:rsid w:val="009C4D08"/>
    <w:rsid w:val="009C4F22"/>
    <w:rsid w:val="009C7232"/>
    <w:rsid w:val="009C73A3"/>
    <w:rsid w:val="009C7786"/>
    <w:rsid w:val="009D0A54"/>
    <w:rsid w:val="009D14FC"/>
    <w:rsid w:val="009D3237"/>
    <w:rsid w:val="009D3628"/>
    <w:rsid w:val="009D4C2A"/>
    <w:rsid w:val="009D597C"/>
    <w:rsid w:val="009D6088"/>
    <w:rsid w:val="009D6914"/>
    <w:rsid w:val="009D6915"/>
    <w:rsid w:val="009D734F"/>
    <w:rsid w:val="009D7D53"/>
    <w:rsid w:val="009E06E9"/>
    <w:rsid w:val="009E08A4"/>
    <w:rsid w:val="009E1A3C"/>
    <w:rsid w:val="009E1C22"/>
    <w:rsid w:val="009E247C"/>
    <w:rsid w:val="009E2481"/>
    <w:rsid w:val="009E2F16"/>
    <w:rsid w:val="009E37E4"/>
    <w:rsid w:val="009E3B74"/>
    <w:rsid w:val="009E3C7E"/>
    <w:rsid w:val="009E43E8"/>
    <w:rsid w:val="009E4684"/>
    <w:rsid w:val="009E478C"/>
    <w:rsid w:val="009E4CFE"/>
    <w:rsid w:val="009E5606"/>
    <w:rsid w:val="009E5734"/>
    <w:rsid w:val="009E6473"/>
    <w:rsid w:val="009E662A"/>
    <w:rsid w:val="009E7696"/>
    <w:rsid w:val="009E7A04"/>
    <w:rsid w:val="009E7F11"/>
    <w:rsid w:val="009F0381"/>
    <w:rsid w:val="009F0C32"/>
    <w:rsid w:val="009F14C9"/>
    <w:rsid w:val="009F1535"/>
    <w:rsid w:val="009F193A"/>
    <w:rsid w:val="009F1BA9"/>
    <w:rsid w:val="009F2B50"/>
    <w:rsid w:val="009F3631"/>
    <w:rsid w:val="009F363C"/>
    <w:rsid w:val="009F3790"/>
    <w:rsid w:val="009F3C70"/>
    <w:rsid w:val="009F476C"/>
    <w:rsid w:val="009F572B"/>
    <w:rsid w:val="009F586C"/>
    <w:rsid w:val="009F5D30"/>
    <w:rsid w:val="009F5E23"/>
    <w:rsid w:val="009F64A6"/>
    <w:rsid w:val="009F7A90"/>
    <w:rsid w:val="009F7CEB"/>
    <w:rsid w:val="00A026D3"/>
    <w:rsid w:val="00A027E1"/>
    <w:rsid w:val="00A03256"/>
    <w:rsid w:val="00A03463"/>
    <w:rsid w:val="00A03CC6"/>
    <w:rsid w:val="00A040FD"/>
    <w:rsid w:val="00A0426A"/>
    <w:rsid w:val="00A04C0D"/>
    <w:rsid w:val="00A0573C"/>
    <w:rsid w:val="00A0646D"/>
    <w:rsid w:val="00A071FD"/>
    <w:rsid w:val="00A07327"/>
    <w:rsid w:val="00A1064D"/>
    <w:rsid w:val="00A10F77"/>
    <w:rsid w:val="00A10FBF"/>
    <w:rsid w:val="00A11FEF"/>
    <w:rsid w:val="00A125EE"/>
    <w:rsid w:val="00A12A44"/>
    <w:rsid w:val="00A12B6B"/>
    <w:rsid w:val="00A157D8"/>
    <w:rsid w:val="00A15829"/>
    <w:rsid w:val="00A16638"/>
    <w:rsid w:val="00A1673C"/>
    <w:rsid w:val="00A17490"/>
    <w:rsid w:val="00A177F5"/>
    <w:rsid w:val="00A17949"/>
    <w:rsid w:val="00A179C8"/>
    <w:rsid w:val="00A20973"/>
    <w:rsid w:val="00A20B1A"/>
    <w:rsid w:val="00A21256"/>
    <w:rsid w:val="00A21315"/>
    <w:rsid w:val="00A216F9"/>
    <w:rsid w:val="00A228CE"/>
    <w:rsid w:val="00A22A39"/>
    <w:rsid w:val="00A2315A"/>
    <w:rsid w:val="00A242F2"/>
    <w:rsid w:val="00A2502D"/>
    <w:rsid w:val="00A258AA"/>
    <w:rsid w:val="00A261BD"/>
    <w:rsid w:val="00A2672F"/>
    <w:rsid w:val="00A26E4A"/>
    <w:rsid w:val="00A27B71"/>
    <w:rsid w:val="00A27DDD"/>
    <w:rsid w:val="00A30463"/>
    <w:rsid w:val="00A30F89"/>
    <w:rsid w:val="00A31A44"/>
    <w:rsid w:val="00A330F7"/>
    <w:rsid w:val="00A33B4D"/>
    <w:rsid w:val="00A34436"/>
    <w:rsid w:val="00A34F6E"/>
    <w:rsid w:val="00A35483"/>
    <w:rsid w:val="00A379CD"/>
    <w:rsid w:val="00A37F96"/>
    <w:rsid w:val="00A40D21"/>
    <w:rsid w:val="00A41E5D"/>
    <w:rsid w:val="00A42350"/>
    <w:rsid w:val="00A44F58"/>
    <w:rsid w:val="00A45200"/>
    <w:rsid w:val="00A45378"/>
    <w:rsid w:val="00A45BED"/>
    <w:rsid w:val="00A46302"/>
    <w:rsid w:val="00A4717E"/>
    <w:rsid w:val="00A47E69"/>
    <w:rsid w:val="00A50925"/>
    <w:rsid w:val="00A5188E"/>
    <w:rsid w:val="00A518C7"/>
    <w:rsid w:val="00A52502"/>
    <w:rsid w:val="00A52C0C"/>
    <w:rsid w:val="00A533C3"/>
    <w:rsid w:val="00A535FB"/>
    <w:rsid w:val="00A539CB"/>
    <w:rsid w:val="00A53FA8"/>
    <w:rsid w:val="00A543F9"/>
    <w:rsid w:val="00A545E4"/>
    <w:rsid w:val="00A550AE"/>
    <w:rsid w:val="00A5798C"/>
    <w:rsid w:val="00A6015F"/>
    <w:rsid w:val="00A60854"/>
    <w:rsid w:val="00A62275"/>
    <w:rsid w:val="00A62B3B"/>
    <w:rsid w:val="00A630E7"/>
    <w:rsid w:val="00A63378"/>
    <w:rsid w:val="00A635B1"/>
    <w:rsid w:val="00A63630"/>
    <w:rsid w:val="00A6374D"/>
    <w:rsid w:val="00A6517D"/>
    <w:rsid w:val="00A65C1F"/>
    <w:rsid w:val="00A666A5"/>
    <w:rsid w:val="00A672A8"/>
    <w:rsid w:val="00A72F26"/>
    <w:rsid w:val="00A73A9C"/>
    <w:rsid w:val="00A73FC6"/>
    <w:rsid w:val="00A744E8"/>
    <w:rsid w:val="00A74505"/>
    <w:rsid w:val="00A7473E"/>
    <w:rsid w:val="00A747E0"/>
    <w:rsid w:val="00A7509F"/>
    <w:rsid w:val="00A75112"/>
    <w:rsid w:val="00A75DA1"/>
    <w:rsid w:val="00A76EA4"/>
    <w:rsid w:val="00A7775D"/>
    <w:rsid w:val="00A778B1"/>
    <w:rsid w:val="00A77ABA"/>
    <w:rsid w:val="00A77BDE"/>
    <w:rsid w:val="00A77CBB"/>
    <w:rsid w:val="00A77F64"/>
    <w:rsid w:val="00A81521"/>
    <w:rsid w:val="00A81F82"/>
    <w:rsid w:val="00A82EF0"/>
    <w:rsid w:val="00A83A87"/>
    <w:rsid w:val="00A841B0"/>
    <w:rsid w:val="00A845BC"/>
    <w:rsid w:val="00A84EAA"/>
    <w:rsid w:val="00A85543"/>
    <w:rsid w:val="00A85A2B"/>
    <w:rsid w:val="00A86148"/>
    <w:rsid w:val="00A875DA"/>
    <w:rsid w:val="00A9020E"/>
    <w:rsid w:val="00A9091D"/>
    <w:rsid w:val="00A92B29"/>
    <w:rsid w:val="00A93543"/>
    <w:rsid w:val="00A9360F"/>
    <w:rsid w:val="00A93F16"/>
    <w:rsid w:val="00A93F6B"/>
    <w:rsid w:val="00A948EE"/>
    <w:rsid w:val="00A94EC9"/>
    <w:rsid w:val="00A94EFC"/>
    <w:rsid w:val="00A94F26"/>
    <w:rsid w:val="00A95515"/>
    <w:rsid w:val="00A9587A"/>
    <w:rsid w:val="00A95CC8"/>
    <w:rsid w:val="00A963DD"/>
    <w:rsid w:val="00A9644D"/>
    <w:rsid w:val="00A96F4C"/>
    <w:rsid w:val="00A97219"/>
    <w:rsid w:val="00A97DEC"/>
    <w:rsid w:val="00AA03CB"/>
    <w:rsid w:val="00AA07C1"/>
    <w:rsid w:val="00AA1044"/>
    <w:rsid w:val="00AA1681"/>
    <w:rsid w:val="00AA177A"/>
    <w:rsid w:val="00AA1CEE"/>
    <w:rsid w:val="00AA2BB0"/>
    <w:rsid w:val="00AA2FA1"/>
    <w:rsid w:val="00AA35CC"/>
    <w:rsid w:val="00AA42A9"/>
    <w:rsid w:val="00AA51C1"/>
    <w:rsid w:val="00AA53D3"/>
    <w:rsid w:val="00AA5E89"/>
    <w:rsid w:val="00AA6156"/>
    <w:rsid w:val="00AA6862"/>
    <w:rsid w:val="00AA73AC"/>
    <w:rsid w:val="00AA7B77"/>
    <w:rsid w:val="00AA7BFF"/>
    <w:rsid w:val="00AB0EF2"/>
    <w:rsid w:val="00AB120C"/>
    <w:rsid w:val="00AB1837"/>
    <w:rsid w:val="00AB187A"/>
    <w:rsid w:val="00AB2ACB"/>
    <w:rsid w:val="00AB4629"/>
    <w:rsid w:val="00AB480E"/>
    <w:rsid w:val="00AB514A"/>
    <w:rsid w:val="00AB5906"/>
    <w:rsid w:val="00AB6EEF"/>
    <w:rsid w:val="00AB7229"/>
    <w:rsid w:val="00AC1026"/>
    <w:rsid w:val="00AC1E12"/>
    <w:rsid w:val="00AC2D2E"/>
    <w:rsid w:val="00AC3452"/>
    <w:rsid w:val="00AC3705"/>
    <w:rsid w:val="00AC3AC5"/>
    <w:rsid w:val="00AC3B2A"/>
    <w:rsid w:val="00AC3DCF"/>
    <w:rsid w:val="00AC4F2D"/>
    <w:rsid w:val="00AC50E3"/>
    <w:rsid w:val="00AC512D"/>
    <w:rsid w:val="00AC55EB"/>
    <w:rsid w:val="00AC59CF"/>
    <w:rsid w:val="00AC5DB0"/>
    <w:rsid w:val="00AC6E3B"/>
    <w:rsid w:val="00AD073F"/>
    <w:rsid w:val="00AD0863"/>
    <w:rsid w:val="00AD1DD7"/>
    <w:rsid w:val="00AD23C4"/>
    <w:rsid w:val="00AD24A4"/>
    <w:rsid w:val="00AD2713"/>
    <w:rsid w:val="00AD2D40"/>
    <w:rsid w:val="00AD35BC"/>
    <w:rsid w:val="00AD51C9"/>
    <w:rsid w:val="00AD542F"/>
    <w:rsid w:val="00AD58E4"/>
    <w:rsid w:val="00AD7397"/>
    <w:rsid w:val="00AE06A7"/>
    <w:rsid w:val="00AE0E03"/>
    <w:rsid w:val="00AE1BBD"/>
    <w:rsid w:val="00AE1E07"/>
    <w:rsid w:val="00AE2A68"/>
    <w:rsid w:val="00AE2BEB"/>
    <w:rsid w:val="00AE30F0"/>
    <w:rsid w:val="00AE36AC"/>
    <w:rsid w:val="00AE390B"/>
    <w:rsid w:val="00AE3A5A"/>
    <w:rsid w:val="00AE4143"/>
    <w:rsid w:val="00AE4E6D"/>
    <w:rsid w:val="00AE5269"/>
    <w:rsid w:val="00AE6002"/>
    <w:rsid w:val="00AE6218"/>
    <w:rsid w:val="00AE772D"/>
    <w:rsid w:val="00AF04E2"/>
    <w:rsid w:val="00AF0CF8"/>
    <w:rsid w:val="00AF0DF9"/>
    <w:rsid w:val="00AF1461"/>
    <w:rsid w:val="00AF1A88"/>
    <w:rsid w:val="00AF4BE4"/>
    <w:rsid w:val="00AF4C16"/>
    <w:rsid w:val="00AF5EA1"/>
    <w:rsid w:val="00AF5F4A"/>
    <w:rsid w:val="00AF6324"/>
    <w:rsid w:val="00AF6DC1"/>
    <w:rsid w:val="00AF701B"/>
    <w:rsid w:val="00AF7178"/>
    <w:rsid w:val="00AF757B"/>
    <w:rsid w:val="00AF7AF4"/>
    <w:rsid w:val="00B0025B"/>
    <w:rsid w:val="00B00746"/>
    <w:rsid w:val="00B00DC9"/>
    <w:rsid w:val="00B01CD6"/>
    <w:rsid w:val="00B0230D"/>
    <w:rsid w:val="00B02EF1"/>
    <w:rsid w:val="00B0369A"/>
    <w:rsid w:val="00B0529B"/>
    <w:rsid w:val="00B05A6C"/>
    <w:rsid w:val="00B05CD6"/>
    <w:rsid w:val="00B05E21"/>
    <w:rsid w:val="00B061B5"/>
    <w:rsid w:val="00B06B91"/>
    <w:rsid w:val="00B10316"/>
    <w:rsid w:val="00B115F3"/>
    <w:rsid w:val="00B11EA0"/>
    <w:rsid w:val="00B128D4"/>
    <w:rsid w:val="00B13338"/>
    <w:rsid w:val="00B13DB9"/>
    <w:rsid w:val="00B14FDA"/>
    <w:rsid w:val="00B153AE"/>
    <w:rsid w:val="00B1542E"/>
    <w:rsid w:val="00B15FCD"/>
    <w:rsid w:val="00B17E1D"/>
    <w:rsid w:val="00B17FDB"/>
    <w:rsid w:val="00B21BB1"/>
    <w:rsid w:val="00B225D0"/>
    <w:rsid w:val="00B23AF6"/>
    <w:rsid w:val="00B23E32"/>
    <w:rsid w:val="00B241EE"/>
    <w:rsid w:val="00B24309"/>
    <w:rsid w:val="00B259DF"/>
    <w:rsid w:val="00B25D68"/>
    <w:rsid w:val="00B27408"/>
    <w:rsid w:val="00B2777B"/>
    <w:rsid w:val="00B30120"/>
    <w:rsid w:val="00B30681"/>
    <w:rsid w:val="00B30D73"/>
    <w:rsid w:val="00B310B8"/>
    <w:rsid w:val="00B3264A"/>
    <w:rsid w:val="00B32891"/>
    <w:rsid w:val="00B32B5C"/>
    <w:rsid w:val="00B32DDE"/>
    <w:rsid w:val="00B33051"/>
    <w:rsid w:val="00B33914"/>
    <w:rsid w:val="00B339EF"/>
    <w:rsid w:val="00B344EB"/>
    <w:rsid w:val="00B367E2"/>
    <w:rsid w:val="00B3773F"/>
    <w:rsid w:val="00B37B31"/>
    <w:rsid w:val="00B40229"/>
    <w:rsid w:val="00B408E4"/>
    <w:rsid w:val="00B4220C"/>
    <w:rsid w:val="00B4237B"/>
    <w:rsid w:val="00B443BE"/>
    <w:rsid w:val="00B446C2"/>
    <w:rsid w:val="00B45574"/>
    <w:rsid w:val="00B4584A"/>
    <w:rsid w:val="00B4656A"/>
    <w:rsid w:val="00B4778B"/>
    <w:rsid w:val="00B47A8D"/>
    <w:rsid w:val="00B50417"/>
    <w:rsid w:val="00B50809"/>
    <w:rsid w:val="00B51EBA"/>
    <w:rsid w:val="00B53B58"/>
    <w:rsid w:val="00B53C53"/>
    <w:rsid w:val="00B542BF"/>
    <w:rsid w:val="00B542EC"/>
    <w:rsid w:val="00B5576A"/>
    <w:rsid w:val="00B55CAC"/>
    <w:rsid w:val="00B56AAC"/>
    <w:rsid w:val="00B56D6A"/>
    <w:rsid w:val="00B56E5C"/>
    <w:rsid w:val="00B57336"/>
    <w:rsid w:val="00B60B3A"/>
    <w:rsid w:val="00B619BC"/>
    <w:rsid w:val="00B63460"/>
    <w:rsid w:val="00B63CB0"/>
    <w:rsid w:val="00B64CA3"/>
    <w:rsid w:val="00B65330"/>
    <w:rsid w:val="00B65F65"/>
    <w:rsid w:val="00B66C04"/>
    <w:rsid w:val="00B66C37"/>
    <w:rsid w:val="00B67119"/>
    <w:rsid w:val="00B67D49"/>
    <w:rsid w:val="00B70522"/>
    <w:rsid w:val="00B70ED9"/>
    <w:rsid w:val="00B70F1B"/>
    <w:rsid w:val="00B7105D"/>
    <w:rsid w:val="00B71675"/>
    <w:rsid w:val="00B717AA"/>
    <w:rsid w:val="00B71B62"/>
    <w:rsid w:val="00B721CA"/>
    <w:rsid w:val="00B72733"/>
    <w:rsid w:val="00B7345A"/>
    <w:rsid w:val="00B75BC0"/>
    <w:rsid w:val="00B7636B"/>
    <w:rsid w:val="00B76492"/>
    <w:rsid w:val="00B76D9F"/>
    <w:rsid w:val="00B7796D"/>
    <w:rsid w:val="00B779DD"/>
    <w:rsid w:val="00B80B83"/>
    <w:rsid w:val="00B82171"/>
    <w:rsid w:val="00B8254D"/>
    <w:rsid w:val="00B831AD"/>
    <w:rsid w:val="00B83300"/>
    <w:rsid w:val="00B84C0B"/>
    <w:rsid w:val="00B85359"/>
    <w:rsid w:val="00B8560C"/>
    <w:rsid w:val="00B858C9"/>
    <w:rsid w:val="00B863A0"/>
    <w:rsid w:val="00B8733D"/>
    <w:rsid w:val="00B900AD"/>
    <w:rsid w:val="00B916D5"/>
    <w:rsid w:val="00B93854"/>
    <w:rsid w:val="00B94C30"/>
    <w:rsid w:val="00B95098"/>
    <w:rsid w:val="00B97AB8"/>
    <w:rsid w:val="00BA0032"/>
    <w:rsid w:val="00BA01AB"/>
    <w:rsid w:val="00BA03D7"/>
    <w:rsid w:val="00BA09D2"/>
    <w:rsid w:val="00BA1831"/>
    <w:rsid w:val="00BA288E"/>
    <w:rsid w:val="00BA3286"/>
    <w:rsid w:val="00BA3306"/>
    <w:rsid w:val="00BA386E"/>
    <w:rsid w:val="00BA4002"/>
    <w:rsid w:val="00BA436E"/>
    <w:rsid w:val="00BA546E"/>
    <w:rsid w:val="00BA5724"/>
    <w:rsid w:val="00BA5D41"/>
    <w:rsid w:val="00BA63DA"/>
    <w:rsid w:val="00BA6FE2"/>
    <w:rsid w:val="00BA72B0"/>
    <w:rsid w:val="00BA73EE"/>
    <w:rsid w:val="00BB1B90"/>
    <w:rsid w:val="00BB2329"/>
    <w:rsid w:val="00BB3110"/>
    <w:rsid w:val="00BB3DD1"/>
    <w:rsid w:val="00BB4575"/>
    <w:rsid w:val="00BB47CE"/>
    <w:rsid w:val="00BB482B"/>
    <w:rsid w:val="00BB4920"/>
    <w:rsid w:val="00BB54A6"/>
    <w:rsid w:val="00BB5FF9"/>
    <w:rsid w:val="00BB65D0"/>
    <w:rsid w:val="00BB6875"/>
    <w:rsid w:val="00BB7C37"/>
    <w:rsid w:val="00BC06A6"/>
    <w:rsid w:val="00BC1190"/>
    <w:rsid w:val="00BC1CAF"/>
    <w:rsid w:val="00BC1ECD"/>
    <w:rsid w:val="00BC2614"/>
    <w:rsid w:val="00BC2C5B"/>
    <w:rsid w:val="00BC2E79"/>
    <w:rsid w:val="00BC3F39"/>
    <w:rsid w:val="00BC4380"/>
    <w:rsid w:val="00BC4C8F"/>
    <w:rsid w:val="00BC5965"/>
    <w:rsid w:val="00BC76D8"/>
    <w:rsid w:val="00BD03EC"/>
    <w:rsid w:val="00BD0424"/>
    <w:rsid w:val="00BD099D"/>
    <w:rsid w:val="00BD296F"/>
    <w:rsid w:val="00BD2D2C"/>
    <w:rsid w:val="00BD38E0"/>
    <w:rsid w:val="00BD4E3F"/>
    <w:rsid w:val="00BD590A"/>
    <w:rsid w:val="00BE07C5"/>
    <w:rsid w:val="00BE09E2"/>
    <w:rsid w:val="00BE0F0E"/>
    <w:rsid w:val="00BE21B8"/>
    <w:rsid w:val="00BE2753"/>
    <w:rsid w:val="00BE2F0A"/>
    <w:rsid w:val="00BE31E0"/>
    <w:rsid w:val="00BE3CAA"/>
    <w:rsid w:val="00BE3D49"/>
    <w:rsid w:val="00BE3E5F"/>
    <w:rsid w:val="00BE4D22"/>
    <w:rsid w:val="00BE55E0"/>
    <w:rsid w:val="00BE583A"/>
    <w:rsid w:val="00BE5C69"/>
    <w:rsid w:val="00BE6A81"/>
    <w:rsid w:val="00BE73F8"/>
    <w:rsid w:val="00BF0EE5"/>
    <w:rsid w:val="00BF10F5"/>
    <w:rsid w:val="00BF2574"/>
    <w:rsid w:val="00BF27C1"/>
    <w:rsid w:val="00BF2FF5"/>
    <w:rsid w:val="00BF50F5"/>
    <w:rsid w:val="00BF53BC"/>
    <w:rsid w:val="00BF55BF"/>
    <w:rsid w:val="00BF6973"/>
    <w:rsid w:val="00BF7612"/>
    <w:rsid w:val="00BF7E30"/>
    <w:rsid w:val="00C027D8"/>
    <w:rsid w:val="00C031FA"/>
    <w:rsid w:val="00C0408D"/>
    <w:rsid w:val="00C05EB4"/>
    <w:rsid w:val="00C06459"/>
    <w:rsid w:val="00C06749"/>
    <w:rsid w:val="00C06C76"/>
    <w:rsid w:val="00C07417"/>
    <w:rsid w:val="00C07652"/>
    <w:rsid w:val="00C07BBA"/>
    <w:rsid w:val="00C07DB5"/>
    <w:rsid w:val="00C10407"/>
    <w:rsid w:val="00C10744"/>
    <w:rsid w:val="00C10B20"/>
    <w:rsid w:val="00C10B79"/>
    <w:rsid w:val="00C10C26"/>
    <w:rsid w:val="00C115F0"/>
    <w:rsid w:val="00C12B59"/>
    <w:rsid w:val="00C12CA7"/>
    <w:rsid w:val="00C14F74"/>
    <w:rsid w:val="00C164A4"/>
    <w:rsid w:val="00C16ACC"/>
    <w:rsid w:val="00C17105"/>
    <w:rsid w:val="00C20506"/>
    <w:rsid w:val="00C2155E"/>
    <w:rsid w:val="00C2162A"/>
    <w:rsid w:val="00C221BF"/>
    <w:rsid w:val="00C231CD"/>
    <w:rsid w:val="00C23FEA"/>
    <w:rsid w:val="00C2446F"/>
    <w:rsid w:val="00C262DC"/>
    <w:rsid w:val="00C268CF"/>
    <w:rsid w:val="00C27FD2"/>
    <w:rsid w:val="00C317F3"/>
    <w:rsid w:val="00C318B4"/>
    <w:rsid w:val="00C31DEF"/>
    <w:rsid w:val="00C31E29"/>
    <w:rsid w:val="00C32157"/>
    <w:rsid w:val="00C339CC"/>
    <w:rsid w:val="00C341E1"/>
    <w:rsid w:val="00C34615"/>
    <w:rsid w:val="00C34943"/>
    <w:rsid w:val="00C349C2"/>
    <w:rsid w:val="00C3514D"/>
    <w:rsid w:val="00C351FD"/>
    <w:rsid w:val="00C35243"/>
    <w:rsid w:val="00C35FE0"/>
    <w:rsid w:val="00C361F4"/>
    <w:rsid w:val="00C367E6"/>
    <w:rsid w:val="00C36CB3"/>
    <w:rsid w:val="00C41302"/>
    <w:rsid w:val="00C4156F"/>
    <w:rsid w:val="00C41C96"/>
    <w:rsid w:val="00C41FA3"/>
    <w:rsid w:val="00C42422"/>
    <w:rsid w:val="00C4431D"/>
    <w:rsid w:val="00C44C37"/>
    <w:rsid w:val="00C44E37"/>
    <w:rsid w:val="00C46368"/>
    <w:rsid w:val="00C46382"/>
    <w:rsid w:val="00C46AE5"/>
    <w:rsid w:val="00C47654"/>
    <w:rsid w:val="00C47E05"/>
    <w:rsid w:val="00C47E70"/>
    <w:rsid w:val="00C504A1"/>
    <w:rsid w:val="00C51841"/>
    <w:rsid w:val="00C51EB3"/>
    <w:rsid w:val="00C52BE0"/>
    <w:rsid w:val="00C56093"/>
    <w:rsid w:val="00C574C5"/>
    <w:rsid w:val="00C5754C"/>
    <w:rsid w:val="00C57E4D"/>
    <w:rsid w:val="00C60D47"/>
    <w:rsid w:val="00C60F3A"/>
    <w:rsid w:val="00C61998"/>
    <w:rsid w:val="00C622A3"/>
    <w:rsid w:val="00C626E2"/>
    <w:rsid w:val="00C628C8"/>
    <w:rsid w:val="00C62C40"/>
    <w:rsid w:val="00C63BF8"/>
    <w:rsid w:val="00C63D72"/>
    <w:rsid w:val="00C64B8C"/>
    <w:rsid w:val="00C64F7E"/>
    <w:rsid w:val="00C656EF"/>
    <w:rsid w:val="00C6780E"/>
    <w:rsid w:val="00C71A5D"/>
    <w:rsid w:val="00C721CC"/>
    <w:rsid w:val="00C723E1"/>
    <w:rsid w:val="00C73340"/>
    <w:rsid w:val="00C736E7"/>
    <w:rsid w:val="00C73ADE"/>
    <w:rsid w:val="00C7519E"/>
    <w:rsid w:val="00C75A8B"/>
    <w:rsid w:val="00C7681B"/>
    <w:rsid w:val="00C802FD"/>
    <w:rsid w:val="00C8065C"/>
    <w:rsid w:val="00C80E39"/>
    <w:rsid w:val="00C8155F"/>
    <w:rsid w:val="00C81A12"/>
    <w:rsid w:val="00C82261"/>
    <w:rsid w:val="00C824E4"/>
    <w:rsid w:val="00C82817"/>
    <w:rsid w:val="00C8296F"/>
    <w:rsid w:val="00C8369D"/>
    <w:rsid w:val="00C83B4D"/>
    <w:rsid w:val="00C846BE"/>
    <w:rsid w:val="00C84C02"/>
    <w:rsid w:val="00C853BA"/>
    <w:rsid w:val="00C865CE"/>
    <w:rsid w:val="00C86BD5"/>
    <w:rsid w:val="00C87120"/>
    <w:rsid w:val="00C87F5E"/>
    <w:rsid w:val="00C903B3"/>
    <w:rsid w:val="00C90710"/>
    <w:rsid w:val="00C90DD7"/>
    <w:rsid w:val="00C90E71"/>
    <w:rsid w:val="00C914EA"/>
    <w:rsid w:val="00C9161F"/>
    <w:rsid w:val="00C918A6"/>
    <w:rsid w:val="00C91A66"/>
    <w:rsid w:val="00C920A1"/>
    <w:rsid w:val="00C934DC"/>
    <w:rsid w:val="00C93787"/>
    <w:rsid w:val="00C963DE"/>
    <w:rsid w:val="00CA0C26"/>
    <w:rsid w:val="00CA1185"/>
    <w:rsid w:val="00CA1369"/>
    <w:rsid w:val="00CA2CFF"/>
    <w:rsid w:val="00CA2E48"/>
    <w:rsid w:val="00CA3D5B"/>
    <w:rsid w:val="00CA46F6"/>
    <w:rsid w:val="00CA4C92"/>
    <w:rsid w:val="00CA50F3"/>
    <w:rsid w:val="00CA57C0"/>
    <w:rsid w:val="00CA63CB"/>
    <w:rsid w:val="00CA69AC"/>
    <w:rsid w:val="00CA75B3"/>
    <w:rsid w:val="00CB00B8"/>
    <w:rsid w:val="00CB0576"/>
    <w:rsid w:val="00CB05FC"/>
    <w:rsid w:val="00CB0676"/>
    <w:rsid w:val="00CB07A8"/>
    <w:rsid w:val="00CB2072"/>
    <w:rsid w:val="00CB375A"/>
    <w:rsid w:val="00CB5389"/>
    <w:rsid w:val="00CB74C6"/>
    <w:rsid w:val="00CB7F38"/>
    <w:rsid w:val="00CC019B"/>
    <w:rsid w:val="00CC01D2"/>
    <w:rsid w:val="00CC10E1"/>
    <w:rsid w:val="00CC2D03"/>
    <w:rsid w:val="00CC3543"/>
    <w:rsid w:val="00CC4757"/>
    <w:rsid w:val="00CC557B"/>
    <w:rsid w:val="00CC56AA"/>
    <w:rsid w:val="00CC79A7"/>
    <w:rsid w:val="00CD12E3"/>
    <w:rsid w:val="00CD1D44"/>
    <w:rsid w:val="00CD298E"/>
    <w:rsid w:val="00CD3934"/>
    <w:rsid w:val="00CD5BEE"/>
    <w:rsid w:val="00CD626A"/>
    <w:rsid w:val="00CD6327"/>
    <w:rsid w:val="00CE03B7"/>
    <w:rsid w:val="00CE045E"/>
    <w:rsid w:val="00CE0C5C"/>
    <w:rsid w:val="00CE119E"/>
    <w:rsid w:val="00CE2B78"/>
    <w:rsid w:val="00CE353B"/>
    <w:rsid w:val="00CE51E4"/>
    <w:rsid w:val="00CE52EA"/>
    <w:rsid w:val="00CE5848"/>
    <w:rsid w:val="00CE5D63"/>
    <w:rsid w:val="00CE6AE0"/>
    <w:rsid w:val="00CE74A3"/>
    <w:rsid w:val="00CE7A3F"/>
    <w:rsid w:val="00CF0478"/>
    <w:rsid w:val="00CF178C"/>
    <w:rsid w:val="00CF17F9"/>
    <w:rsid w:val="00CF262A"/>
    <w:rsid w:val="00CF2B76"/>
    <w:rsid w:val="00CF31A8"/>
    <w:rsid w:val="00CF39D9"/>
    <w:rsid w:val="00CF4240"/>
    <w:rsid w:val="00CF437B"/>
    <w:rsid w:val="00CF4597"/>
    <w:rsid w:val="00CF4B93"/>
    <w:rsid w:val="00CF56DC"/>
    <w:rsid w:val="00CF6EEE"/>
    <w:rsid w:val="00CF775E"/>
    <w:rsid w:val="00CF7964"/>
    <w:rsid w:val="00CF7C01"/>
    <w:rsid w:val="00CF7FDC"/>
    <w:rsid w:val="00D0003B"/>
    <w:rsid w:val="00D014CC"/>
    <w:rsid w:val="00D026F7"/>
    <w:rsid w:val="00D03066"/>
    <w:rsid w:val="00D034DD"/>
    <w:rsid w:val="00D03A89"/>
    <w:rsid w:val="00D0466A"/>
    <w:rsid w:val="00D04952"/>
    <w:rsid w:val="00D0522F"/>
    <w:rsid w:val="00D06A16"/>
    <w:rsid w:val="00D07E63"/>
    <w:rsid w:val="00D1078F"/>
    <w:rsid w:val="00D10E60"/>
    <w:rsid w:val="00D12550"/>
    <w:rsid w:val="00D12CD2"/>
    <w:rsid w:val="00D13312"/>
    <w:rsid w:val="00D133F1"/>
    <w:rsid w:val="00D136A4"/>
    <w:rsid w:val="00D1383E"/>
    <w:rsid w:val="00D14D23"/>
    <w:rsid w:val="00D15755"/>
    <w:rsid w:val="00D15D8B"/>
    <w:rsid w:val="00D15E1D"/>
    <w:rsid w:val="00D1638F"/>
    <w:rsid w:val="00D165AD"/>
    <w:rsid w:val="00D168AB"/>
    <w:rsid w:val="00D17984"/>
    <w:rsid w:val="00D17D5D"/>
    <w:rsid w:val="00D20109"/>
    <w:rsid w:val="00D201E0"/>
    <w:rsid w:val="00D2263F"/>
    <w:rsid w:val="00D226AF"/>
    <w:rsid w:val="00D22CFC"/>
    <w:rsid w:val="00D23207"/>
    <w:rsid w:val="00D23ADA"/>
    <w:rsid w:val="00D24D4B"/>
    <w:rsid w:val="00D24DAD"/>
    <w:rsid w:val="00D2525F"/>
    <w:rsid w:val="00D25916"/>
    <w:rsid w:val="00D26D97"/>
    <w:rsid w:val="00D274E5"/>
    <w:rsid w:val="00D30AA5"/>
    <w:rsid w:val="00D31DDC"/>
    <w:rsid w:val="00D329E6"/>
    <w:rsid w:val="00D32AD7"/>
    <w:rsid w:val="00D33321"/>
    <w:rsid w:val="00D3368F"/>
    <w:rsid w:val="00D340C0"/>
    <w:rsid w:val="00D34BCD"/>
    <w:rsid w:val="00D3525B"/>
    <w:rsid w:val="00D35C3D"/>
    <w:rsid w:val="00D3696A"/>
    <w:rsid w:val="00D37972"/>
    <w:rsid w:val="00D40896"/>
    <w:rsid w:val="00D41534"/>
    <w:rsid w:val="00D4183F"/>
    <w:rsid w:val="00D42CE3"/>
    <w:rsid w:val="00D451FC"/>
    <w:rsid w:val="00D456A7"/>
    <w:rsid w:val="00D45B2A"/>
    <w:rsid w:val="00D470D4"/>
    <w:rsid w:val="00D4725E"/>
    <w:rsid w:val="00D47F1B"/>
    <w:rsid w:val="00D5033C"/>
    <w:rsid w:val="00D5155E"/>
    <w:rsid w:val="00D51B2C"/>
    <w:rsid w:val="00D5238F"/>
    <w:rsid w:val="00D537FF"/>
    <w:rsid w:val="00D53F67"/>
    <w:rsid w:val="00D541EC"/>
    <w:rsid w:val="00D55759"/>
    <w:rsid w:val="00D55E0F"/>
    <w:rsid w:val="00D565B4"/>
    <w:rsid w:val="00D56961"/>
    <w:rsid w:val="00D579FE"/>
    <w:rsid w:val="00D60370"/>
    <w:rsid w:val="00D6060D"/>
    <w:rsid w:val="00D61F15"/>
    <w:rsid w:val="00D630B5"/>
    <w:rsid w:val="00D63C48"/>
    <w:rsid w:val="00D64289"/>
    <w:rsid w:val="00D65178"/>
    <w:rsid w:val="00D659FE"/>
    <w:rsid w:val="00D65D37"/>
    <w:rsid w:val="00D6667B"/>
    <w:rsid w:val="00D70497"/>
    <w:rsid w:val="00D70DD2"/>
    <w:rsid w:val="00D71194"/>
    <w:rsid w:val="00D71282"/>
    <w:rsid w:val="00D71400"/>
    <w:rsid w:val="00D71568"/>
    <w:rsid w:val="00D7174E"/>
    <w:rsid w:val="00D7296B"/>
    <w:rsid w:val="00D7335D"/>
    <w:rsid w:val="00D737CD"/>
    <w:rsid w:val="00D744A5"/>
    <w:rsid w:val="00D752BA"/>
    <w:rsid w:val="00D757B5"/>
    <w:rsid w:val="00D75FA9"/>
    <w:rsid w:val="00D766C1"/>
    <w:rsid w:val="00D769BD"/>
    <w:rsid w:val="00D77883"/>
    <w:rsid w:val="00D81051"/>
    <w:rsid w:val="00D82732"/>
    <w:rsid w:val="00D8366C"/>
    <w:rsid w:val="00D83ABA"/>
    <w:rsid w:val="00D83CE3"/>
    <w:rsid w:val="00D8441F"/>
    <w:rsid w:val="00D85569"/>
    <w:rsid w:val="00D8659C"/>
    <w:rsid w:val="00D867AF"/>
    <w:rsid w:val="00D9086E"/>
    <w:rsid w:val="00D90C2A"/>
    <w:rsid w:val="00D90D1F"/>
    <w:rsid w:val="00D91B29"/>
    <w:rsid w:val="00D92A3D"/>
    <w:rsid w:val="00D92D71"/>
    <w:rsid w:val="00D93869"/>
    <w:rsid w:val="00D93937"/>
    <w:rsid w:val="00D93963"/>
    <w:rsid w:val="00D93CD6"/>
    <w:rsid w:val="00D93D75"/>
    <w:rsid w:val="00D93D78"/>
    <w:rsid w:val="00D94009"/>
    <w:rsid w:val="00D9500D"/>
    <w:rsid w:val="00D95394"/>
    <w:rsid w:val="00D97063"/>
    <w:rsid w:val="00D970E7"/>
    <w:rsid w:val="00DA01E5"/>
    <w:rsid w:val="00DA032B"/>
    <w:rsid w:val="00DA0456"/>
    <w:rsid w:val="00DA05A4"/>
    <w:rsid w:val="00DA0DB4"/>
    <w:rsid w:val="00DA1310"/>
    <w:rsid w:val="00DA1DE8"/>
    <w:rsid w:val="00DA2140"/>
    <w:rsid w:val="00DA2732"/>
    <w:rsid w:val="00DA3968"/>
    <w:rsid w:val="00DA55BB"/>
    <w:rsid w:val="00DA59E8"/>
    <w:rsid w:val="00DA6B9D"/>
    <w:rsid w:val="00DA73EE"/>
    <w:rsid w:val="00DB1385"/>
    <w:rsid w:val="00DB1886"/>
    <w:rsid w:val="00DB2C48"/>
    <w:rsid w:val="00DB3D27"/>
    <w:rsid w:val="00DB64BA"/>
    <w:rsid w:val="00DB64C3"/>
    <w:rsid w:val="00DB6864"/>
    <w:rsid w:val="00DC09BB"/>
    <w:rsid w:val="00DC1419"/>
    <w:rsid w:val="00DC1743"/>
    <w:rsid w:val="00DC1929"/>
    <w:rsid w:val="00DC1BAD"/>
    <w:rsid w:val="00DC273B"/>
    <w:rsid w:val="00DC378C"/>
    <w:rsid w:val="00DC3C90"/>
    <w:rsid w:val="00DC4CC9"/>
    <w:rsid w:val="00DC4D00"/>
    <w:rsid w:val="00DC5464"/>
    <w:rsid w:val="00DC5DE3"/>
    <w:rsid w:val="00DC66B9"/>
    <w:rsid w:val="00DC6A0F"/>
    <w:rsid w:val="00DC6F32"/>
    <w:rsid w:val="00DC7746"/>
    <w:rsid w:val="00DC783D"/>
    <w:rsid w:val="00DD0F62"/>
    <w:rsid w:val="00DD2409"/>
    <w:rsid w:val="00DD3049"/>
    <w:rsid w:val="00DD30CC"/>
    <w:rsid w:val="00DD4AB8"/>
    <w:rsid w:val="00DD5134"/>
    <w:rsid w:val="00DD5714"/>
    <w:rsid w:val="00DD5A88"/>
    <w:rsid w:val="00DD624A"/>
    <w:rsid w:val="00DD7812"/>
    <w:rsid w:val="00DE1F52"/>
    <w:rsid w:val="00DE269A"/>
    <w:rsid w:val="00DE30E2"/>
    <w:rsid w:val="00DE3841"/>
    <w:rsid w:val="00DE3A9A"/>
    <w:rsid w:val="00DE4BE8"/>
    <w:rsid w:val="00DE6421"/>
    <w:rsid w:val="00DE6938"/>
    <w:rsid w:val="00DE706B"/>
    <w:rsid w:val="00DE748A"/>
    <w:rsid w:val="00DE74A7"/>
    <w:rsid w:val="00DE75D7"/>
    <w:rsid w:val="00DE7EFE"/>
    <w:rsid w:val="00DF0F10"/>
    <w:rsid w:val="00DF11E0"/>
    <w:rsid w:val="00DF16C0"/>
    <w:rsid w:val="00DF2D1A"/>
    <w:rsid w:val="00DF3A42"/>
    <w:rsid w:val="00DF548B"/>
    <w:rsid w:val="00DF561F"/>
    <w:rsid w:val="00DF5DFE"/>
    <w:rsid w:val="00DF6812"/>
    <w:rsid w:val="00DF7FDE"/>
    <w:rsid w:val="00E01465"/>
    <w:rsid w:val="00E01D22"/>
    <w:rsid w:val="00E0288C"/>
    <w:rsid w:val="00E029EA"/>
    <w:rsid w:val="00E03D8D"/>
    <w:rsid w:val="00E041E4"/>
    <w:rsid w:val="00E047C9"/>
    <w:rsid w:val="00E05FBC"/>
    <w:rsid w:val="00E06A02"/>
    <w:rsid w:val="00E10B7D"/>
    <w:rsid w:val="00E111FA"/>
    <w:rsid w:val="00E1135C"/>
    <w:rsid w:val="00E11457"/>
    <w:rsid w:val="00E11482"/>
    <w:rsid w:val="00E121FA"/>
    <w:rsid w:val="00E126CC"/>
    <w:rsid w:val="00E1357A"/>
    <w:rsid w:val="00E147EC"/>
    <w:rsid w:val="00E15789"/>
    <w:rsid w:val="00E16540"/>
    <w:rsid w:val="00E169FC"/>
    <w:rsid w:val="00E16D79"/>
    <w:rsid w:val="00E17939"/>
    <w:rsid w:val="00E17B98"/>
    <w:rsid w:val="00E2003B"/>
    <w:rsid w:val="00E208E7"/>
    <w:rsid w:val="00E2267B"/>
    <w:rsid w:val="00E227EA"/>
    <w:rsid w:val="00E231D3"/>
    <w:rsid w:val="00E23426"/>
    <w:rsid w:val="00E23660"/>
    <w:rsid w:val="00E236E3"/>
    <w:rsid w:val="00E2371C"/>
    <w:rsid w:val="00E2390D"/>
    <w:rsid w:val="00E2509A"/>
    <w:rsid w:val="00E254F9"/>
    <w:rsid w:val="00E264A6"/>
    <w:rsid w:val="00E265C3"/>
    <w:rsid w:val="00E26783"/>
    <w:rsid w:val="00E272A8"/>
    <w:rsid w:val="00E2761D"/>
    <w:rsid w:val="00E2770C"/>
    <w:rsid w:val="00E27C0E"/>
    <w:rsid w:val="00E300D7"/>
    <w:rsid w:val="00E30110"/>
    <w:rsid w:val="00E302F6"/>
    <w:rsid w:val="00E306F4"/>
    <w:rsid w:val="00E31301"/>
    <w:rsid w:val="00E31326"/>
    <w:rsid w:val="00E31A1E"/>
    <w:rsid w:val="00E31B9C"/>
    <w:rsid w:val="00E31F49"/>
    <w:rsid w:val="00E32C18"/>
    <w:rsid w:val="00E32EE9"/>
    <w:rsid w:val="00E34344"/>
    <w:rsid w:val="00E34409"/>
    <w:rsid w:val="00E34484"/>
    <w:rsid w:val="00E3652D"/>
    <w:rsid w:val="00E36E27"/>
    <w:rsid w:val="00E37424"/>
    <w:rsid w:val="00E42CBA"/>
    <w:rsid w:val="00E444D4"/>
    <w:rsid w:val="00E45180"/>
    <w:rsid w:val="00E45305"/>
    <w:rsid w:val="00E45E7E"/>
    <w:rsid w:val="00E46AC9"/>
    <w:rsid w:val="00E46E90"/>
    <w:rsid w:val="00E51CDC"/>
    <w:rsid w:val="00E52233"/>
    <w:rsid w:val="00E53407"/>
    <w:rsid w:val="00E5350E"/>
    <w:rsid w:val="00E53DB6"/>
    <w:rsid w:val="00E53E47"/>
    <w:rsid w:val="00E54ACA"/>
    <w:rsid w:val="00E54F26"/>
    <w:rsid w:val="00E54FB3"/>
    <w:rsid w:val="00E55904"/>
    <w:rsid w:val="00E55E72"/>
    <w:rsid w:val="00E56372"/>
    <w:rsid w:val="00E569BD"/>
    <w:rsid w:val="00E57521"/>
    <w:rsid w:val="00E57A7F"/>
    <w:rsid w:val="00E60005"/>
    <w:rsid w:val="00E6031B"/>
    <w:rsid w:val="00E60616"/>
    <w:rsid w:val="00E614D7"/>
    <w:rsid w:val="00E6157A"/>
    <w:rsid w:val="00E628DC"/>
    <w:rsid w:val="00E6346D"/>
    <w:rsid w:val="00E6376B"/>
    <w:rsid w:val="00E64B45"/>
    <w:rsid w:val="00E653B6"/>
    <w:rsid w:val="00E65ECC"/>
    <w:rsid w:val="00E6646E"/>
    <w:rsid w:val="00E66614"/>
    <w:rsid w:val="00E66775"/>
    <w:rsid w:val="00E66924"/>
    <w:rsid w:val="00E678BA"/>
    <w:rsid w:val="00E67F25"/>
    <w:rsid w:val="00E702A2"/>
    <w:rsid w:val="00E7054E"/>
    <w:rsid w:val="00E705FB"/>
    <w:rsid w:val="00E7176C"/>
    <w:rsid w:val="00E71CEB"/>
    <w:rsid w:val="00E71DC7"/>
    <w:rsid w:val="00E7242E"/>
    <w:rsid w:val="00E72658"/>
    <w:rsid w:val="00E7321F"/>
    <w:rsid w:val="00E738CD"/>
    <w:rsid w:val="00E7398B"/>
    <w:rsid w:val="00E74154"/>
    <w:rsid w:val="00E74270"/>
    <w:rsid w:val="00E74302"/>
    <w:rsid w:val="00E74A47"/>
    <w:rsid w:val="00E75A4C"/>
    <w:rsid w:val="00E75AAA"/>
    <w:rsid w:val="00E772E4"/>
    <w:rsid w:val="00E77758"/>
    <w:rsid w:val="00E80035"/>
    <w:rsid w:val="00E816BF"/>
    <w:rsid w:val="00E81BB4"/>
    <w:rsid w:val="00E8209E"/>
    <w:rsid w:val="00E8269B"/>
    <w:rsid w:val="00E828FA"/>
    <w:rsid w:val="00E82AC0"/>
    <w:rsid w:val="00E83F15"/>
    <w:rsid w:val="00E85860"/>
    <w:rsid w:val="00E86450"/>
    <w:rsid w:val="00E8744F"/>
    <w:rsid w:val="00E876C2"/>
    <w:rsid w:val="00E90C3E"/>
    <w:rsid w:val="00E91979"/>
    <w:rsid w:val="00E92522"/>
    <w:rsid w:val="00E92B30"/>
    <w:rsid w:val="00E930FA"/>
    <w:rsid w:val="00E93202"/>
    <w:rsid w:val="00E93402"/>
    <w:rsid w:val="00E93E5F"/>
    <w:rsid w:val="00E951DA"/>
    <w:rsid w:val="00E95E55"/>
    <w:rsid w:val="00E96390"/>
    <w:rsid w:val="00E976DF"/>
    <w:rsid w:val="00E97F87"/>
    <w:rsid w:val="00EA0064"/>
    <w:rsid w:val="00EA0B98"/>
    <w:rsid w:val="00EA1417"/>
    <w:rsid w:val="00EA1B29"/>
    <w:rsid w:val="00EA1DF5"/>
    <w:rsid w:val="00EA3D4B"/>
    <w:rsid w:val="00EA43AE"/>
    <w:rsid w:val="00EA440F"/>
    <w:rsid w:val="00EA4CAB"/>
    <w:rsid w:val="00EA514A"/>
    <w:rsid w:val="00EA53CB"/>
    <w:rsid w:val="00EA5552"/>
    <w:rsid w:val="00EA655D"/>
    <w:rsid w:val="00EA66E6"/>
    <w:rsid w:val="00EA701D"/>
    <w:rsid w:val="00EB06BE"/>
    <w:rsid w:val="00EB1D3A"/>
    <w:rsid w:val="00EB1DF5"/>
    <w:rsid w:val="00EB295A"/>
    <w:rsid w:val="00EB31B2"/>
    <w:rsid w:val="00EB360C"/>
    <w:rsid w:val="00EB426B"/>
    <w:rsid w:val="00EB4535"/>
    <w:rsid w:val="00EB4A34"/>
    <w:rsid w:val="00EB5E6D"/>
    <w:rsid w:val="00EB6F52"/>
    <w:rsid w:val="00EB71FB"/>
    <w:rsid w:val="00EB7A2B"/>
    <w:rsid w:val="00EC041E"/>
    <w:rsid w:val="00EC22FA"/>
    <w:rsid w:val="00EC32A5"/>
    <w:rsid w:val="00EC3F0C"/>
    <w:rsid w:val="00EC40FF"/>
    <w:rsid w:val="00EC45CE"/>
    <w:rsid w:val="00EC4758"/>
    <w:rsid w:val="00EC49C9"/>
    <w:rsid w:val="00EC4D32"/>
    <w:rsid w:val="00EC57D3"/>
    <w:rsid w:val="00EC5EB6"/>
    <w:rsid w:val="00EC6559"/>
    <w:rsid w:val="00EC6741"/>
    <w:rsid w:val="00EC6784"/>
    <w:rsid w:val="00EC73E9"/>
    <w:rsid w:val="00EC76D3"/>
    <w:rsid w:val="00EC7E7E"/>
    <w:rsid w:val="00ED0177"/>
    <w:rsid w:val="00ED0EF9"/>
    <w:rsid w:val="00ED13F4"/>
    <w:rsid w:val="00ED169A"/>
    <w:rsid w:val="00ED1978"/>
    <w:rsid w:val="00ED29A2"/>
    <w:rsid w:val="00ED2A9A"/>
    <w:rsid w:val="00ED3CEF"/>
    <w:rsid w:val="00ED47F3"/>
    <w:rsid w:val="00ED49F3"/>
    <w:rsid w:val="00ED50F3"/>
    <w:rsid w:val="00ED5BB3"/>
    <w:rsid w:val="00ED5D32"/>
    <w:rsid w:val="00ED5DF9"/>
    <w:rsid w:val="00ED7372"/>
    <w:rsid w:val="00ED7509"/>
    <w:rsid w:val="00ED7997"/>
    <w:rsid w:val="00EE0603"/>
    <w:rsid w:val="00EE12B2"/>
    <w:rsid w:val="00EE1BEE"/>
    <w:rsid w:val="00EE2852"/>
    <w:rsid w:val="00EE2957"/>
    <w:rsid w:val="00EE5014"/>
    <w:rsid w:val="00EE50F8"/>
    <w:rsid w:val="00EE65F2"/>
    <w:rsid w:val="00EF12D6"/>
    <w:rsid w:val="00EF1EFE"/>
    <w:rsid w:val="00EF2532"/>
    <w:rsid w:val="00EF2D1F"/>
    <w:rsid w:val="00EF3278"/>
    <w:rsid w:val="00EF3E2D"/>
    <w:rsid w:val="00EF3E8B"/>
    <w:rsid w:val="00EF56C6"/>
    <w:rsid w:val="00EF62BA"/>
    <w:rsid w:val="00F00678"/>
    <w:rsid w:val="00F00D1E"/>
    <w:rsid w:val="00F01472"/>
    <w:rsid w:val="00F0152D"/>
    <w:rsid w:val="00F01723"/>
    <w:rsid w:val="00F01AC8"/>
    <w:rsid w:val="00F02D30"/>
    <w:rsid w:val="00F03787"/>
    <w:rsid w:val="00F049EC"/>
    <w:rsid w:val="00F0542E"/>
    <w:rsid w:val="00F05C23"/>
    <w:rsid w:val="00F0645B"/>
    <w:rsid w:val="00F06665"/>
    <w:rsid w:val="00F073D7"/>
    <w:rsid w:val="00F07A7B"/>
    <w:rsid w:val="00F1071F"/>
    <w:rsid w:val="00F12ECC"/>
    <w:rsid w:val="00F12ED0"/>
    <w:rsid w:val="00F13CFE"/>
    <w:rsid w:val="00F145A6"/>
    <w:rsid w:val="00F1546C"/>
    <w:rsid w:val="00F15603"/>
    <w:rsid w:val="00F15A89"/>
    <w:rsid w:val="00F15CE4"/>
    <w:rsid w:val="00F1668F"/>
    <w:rsid w:val="00F16853"/>
    <w:rsid w:val="00F169F4"/>
    <w:rsid w:val="00F1737B"/>
    <w:rsid w:val="00F176A3"/>
    <w:rsid w:val="00F2102C"/>
    <w:rsid w:val="00F22079"/>
    <w:rsid w:val="00F22098"/>
    <w:rsid w:val="00F226A1"/>
    <w:rsid w:val="00F227A3"/>
    <w:rsid w:val="00F230C7"/>
    <w:rsid w:val="00F234BF"/>
    <w:rsid w:val="00F23B69"/>
    <w:rsid w:val="00F254A7"/>
    <w:rsid w:val="00F26024"/>
    <w:rsid w:val="00F26B4B"/>
    <w:rsid w:val="00F26DFE"/>
    <w:rsid w:val="00F2706C"/>
    <w:rsid w:val="00F30372"/>
    <w:rsid w:val="00F305DE"/>
    <w:rsid w:val="00F3094A"/>
    <w:rsid w:val="00F31433"/>
    <w:rsid w:val="00F3195B"/>
    <w:rsid w:val="00F31D40"/>
    <w:rsid w:val="00F31FEB"/>
    <w:rsid w:val="00F3415E"/>
    <w:rsid w:val="00F34DF3"/>
    <w:rsid w:val="00F36331"/>
    <w:rsid w:val="00F37097"/>
    <w:rsid w:val="00F37864"/>
    <w:rsid w:val="00F37B89"/>
    <w:rsid w:val="00F44440"/>
    <w:rsid w:val="00F44DC4"/>
    <w:rsid w:val="00F45825"/>
    <w:rsid w:val="00F46127"/>
    <w:rsid w:val="00F46FCD"/>
    <w:rsid w:val="00F51078"/>
    <w:rsid w:val="00F510B0"/>
    <w:rsid w:val="00F512F7"/>
    <w:rsid w:val="00F522D0"/>
    <w:rsid w:val="00F52600"/>
    <w:rsid w:val="00F52725"/>
    <w:rsid w:val="00F5383E"/>
    <w:rsid w:val="00F5552F"/>
    <w:rsid w:val="00F556D2"/>
    <w:rsid w:val="00F56314"/>
    <w:rsid w:val="00F5669F"/>
    <w:rsid w:val="00F5688A"/>
    <w:rsid w:val="00F57195"/>
    <w:rsid w:val="00F573E3"/>
    <w:rsid w:val="00F6049A"/>
    <w:rsid w:val="00F615E1"/>
    <w:rsid w:val="00F6177B"/>
    <w:rsid w:val="00F61817"/>
    <w:rsid w:val="00F61E38"/>
    <w:rsid w:val="00F625F2"/>
    <w:rsid w:val="00F62A88"/>
    <w:rsid w:val="00F630C9"/>
    <w:rsid w:val="00F64889"/>
    <w:rsid w:val="00F64E83"/>
    <w:rsid w:val="00F65F36"/>
    <w:rsid w:val="00F663F9"/>
    <w:rsid w:val="00F67C5F"/>
    <w:rsid w:val="00F67D14"/>
    <w:rsid w:val="00F7085A"/>
    <w:rsid w:val="00F714B4"/>
    <w:rsid w:val="00F72B42"/>
    <w:rsid w:val="00F72BB2"/>
    <w:rsid w:val="00F72C58"/>
    <w:rsid w:val="00F730C9"/>
    <w:rsid w:val="00F73132"/>
    <w:rsid w:val="00F733F3"/>
    <w:rsid w:val="00F73A39"/>
    <w:rsid w:val="00F73E47"/>
    <w:rsid w:val="00F752A7"/>
    <w:rsid w:val="00F758FF"/>
    <w:rsid w:val="00F75D3A"/>
    <w:rsid w:val="00F764DF"/>
    <w:rsid w:val="00F80139"/>
    <w:rsid w:val="00F807DD"/>
    <w:rsid w:val="00F81E30"/>
    <w:rsid w:val="00F825B5"/>
    <w:rsid w:val="00F82EA5"/>
    <w:rsid w:val="00F841CA"/>
    <w:rsid w:val="00F847E7"/>
    <w:rsid w:val="00F84AB3"/>
    <w:rsid w:val="00F85470"/>
    <w:rsid w:val="00F86C00"/>
    <w:rsid w:val="00F86F3C"/>
    <w:rsid w:val="00F8746F"/>
    <w:rsid w:val="00F87C31"/>
    <w:rsid w:val="00F90063"/>
    <w:rsid w:val="00F91515"/>
    <w:rsid w:val="00F9212E"/>
    <w:rsid w:val="00F94000"/>
    <w:rsid w:val="00F9445F"/>
    <w:rsid w:val="00F945CD"/>
    <w:rsid w:val="00F94B8C"/>
    <w:rsid w:val="00F95F0A"/>
    <w:rsid w:val="00F96E21"/>
    <w:rsid w:val="00FA0329"/>
    <w:rsid w:val="00FA0896"/>
    <w:rsid w:val="00FA0BF4"/>
    <w:rsid w:val="00FA0C76"/>
    <w:rsid w:val="00FA1A77"/>
    <w:rsid w:val="00FA220E"/>
    <w:rsid w:val="00FA2D8D"/>
    <w:rsid w:val="00FA3738"/>
    <w:rsid w:val="00FA39F2"/>
    <w:rsid w:val="00FA47A2"/>
    <w:rsid w:val="00FA48AC"/>
    <w:rsid w:val="00FA4C7D"/>
    <w:rsid w:val="00FA51F4"/>
    <w:rsid w:val="00FA5504"/>
    <w:rsid w:val="00FA6198"/>
    <w:rsid w:val="00FA67B8"/>
    <w:rsid w:val="00FA6B7E"/>
    <w:rsid w:val="00FB1D4C"/>
    <w:rsid w:val="00FB28B3"/>
    <w:rsid w:val="00FB4924"/>
    <w:rsid w:val="00FB495B"/>
    <w:rsid w:val="00FB57DB"/>
    <w:rsid w:val="00FB5E2E"/>
    <w:rsid w:val="00FB6669"/>
    <w:rsid w:val="00FB6A7D"/>
    <w:rsid w:val="00FB6FEE"/>
    <w:rsid w:val="00FB7864"/>
    <w:rsid w:val="00FB7B14"/>
    <w:rsid w:val="00FB7D0D"/>
    <w:rsid w:val="00FC06E3"/>
    <w:rsid w:val="00FC22AB"/>
    <w:rsid w:val="00FC272E"/>
    <w:rsid w:val="00FC294A"/>
    <w:rsid w:val="00FC2DD5"/>
    <w:rsid w:val="00FC30F3"/>
    <w:rsid w:val="00FC42A7"/>
    <w:rsid w:val="00FC4DBD"/>
    <w:rsid w:val="00FC531D"/>
    <w:rsid w:val="00FC56EE"/>
    <w:rsid w:val="00FC594B"/>
    <w:rsid w:val="00FC6904"/>
    <w:rsid w:val="00FC6A1F"/>
    <w:rsid w:val="00FC6E65"/>
    <w:rsid w:val="00FC7178"/>
    <w:rsid w:val="00FC732D"/>
    <w:rsid w:val="00FC7CF6"/>
    <w:rsid w:val="00FC7DDB"/>
    <w:rsid w:val="00FC7EF4"/>
    <w:rsid w:val="00FD0395"/>
    <w:rsid w:val="00FD03A0"/>
    <w:rsid w:val="00FD0DA5"/>
    <w:rsid w:val="00FD1088"/>
    <w:rsid w:val="00FD1492"/>
    <w:rsid w:val="00FD1872"/>
    <w:rsid w:val="00FD2394"/>
    <w:rsid w:val="00FD2E62"/>
    <w:rsid w:val="00FD4211"/>
    <w:rsid w:val="00FD4762"/>
    <w:rsid w:val="00FD4E7A"/>
    <w:rsid w:val="00FD567D"/>
    <w:rsid w:val="00FD5FAA"/>
    <w:rsid w:val="00FD6CBA"/>
    <w:rsid w:val="00FD7816"/>
    <w:rsid w:val="00FD7841"/>
    <w:rsid w:val="00FE1086"/>
    <w:rsid w:val="00FE1EF6"/>
    <w:rsid w:val="00FE2431"/>
    <w:rsid w:val="00FE3D45"/>
    <w:rsid w:val="00FE4C58"/>
    <w:rsid w:val="00FE4E96"/>
    <w:rsid w:val="00FE6746"/>
    <w:rsid w:val="00FE76D7"/>
    <w:rsid w:val="00FE7840"/>
    <w:rsid w:val="00FE7970"/>
    <w:rsid w:val="00FE7DF2"/>
    <w:rsid w:val="00FE7ED3"/>
    <w:rsid w:val="00FE7EE9"/>
    <w:rsid w:val="00FF1E69"/>
    <w:rsid w:val="00FF2550"/>
    <w:rsid w:val="00FF321A"/>
    <w:rsid w:val="00FF3592"/>
    <w:rsid w:val="00FF5299"/>
    <w:rsid w:val="00FF610D"/>
    <w:rsid w:val="00FF68A0"/>
    <w:rsid w:val="00FF7372"/>
    <w:rsid w:val="00FF75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2D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E8"/>
    <w:pPr>
      <w:spacing w:before="120" w:line="240" w:lineRule="auto"/>
      <w:jc w:val="both"/>
    </w:pPr>
    <w:rPr>
      <w:sz w:val="24"/>
    </w:rPr>
  </w:style>
  <w:style w:type="paragraph" w:styleId="Heading1">
    <w:name w:val="heading 1"/>
    <w:next w:val="MSACESParagraph"/>
    <w:link w:val="Heading1Char"/>
    <w:uiPriority w:val="9"/>
    <w:qFormat/>
    <w:rsid w:val="00214D77"/>
    <w:pPr>
      <w:keepNext/>
      <w:keepLines/>
      <w:spacing w:before="400" w:after="120"/>
      <w:outlineLvl w:val="0"/>
    </w:pPr>
    <w:rPr>
      <w:rFonts w:ascii="Times New Roman" w:eastAsiaTheme="majorEastAsia" w:hAnsi="Times New Roman" w:cstheme="majorBidi"/>
      <w:b/>
      <w:sz w:val="24"/>
      <w:szCs w:val="28"/>
    </w:rPr>
  </w:style>
  <w:style w:type="paragraph" w:styleId="Heading2">
    <w:name w:val="heading 2"/>
    <w:basedOn w:val="Normal"/>
    <w:next w:val="Normal"/>
    <w:link w:val="Heading2Char"/>
    <w:uiPriority w:val="9"/>
    <w:qFormat/>
    <w:rsid w:val="004A5746"/>
    <w:pPr>
      <w:keepNext/>
      <w:keepLines/>
      <w:numPr>
        <w:ilvl w:val="3"/>
        <w:numId w:val="3"/>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8F216F"/>
    <w:pPr>
      <w:keepNext/>
      <w:keepLines/>
      <w:numPr>
        <w:ilvl w:val="5"/>
        <w:numId w:val="3"/>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8F216F"/>
    <w:pPr>
      <w:numPr>
        <w:ilvl w:val="6"/>
      </w:numPr>
      <w:spacing w:before="240" w:after="0"/>
      <w:outlineLvl w:val="3"/>
    </w:pPr>
    <w:rPr>
      <w:i/>
      <w:color w:val="000000" w:themeColor="text1"/>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spacing w:before="120"/>
      <w:ind w:left="1296" w:hanging="1296"/>
      <w:outlineLvl w:val="6"/>
    </w:pPr>
    <w:rPr>
      <w:i/>
      <w:szCs w:val="24"/>
    </w:rPr>
  </w:style>
  <w:style w:type="paragraph" w:styleId="Heading8">
    <w:name w:val="heading 8"/>
    <w:basedOn w:val="Normal"/>
    <w:next w:val="Normal"/>
    <w:link w:val="Heading8Char"/>
    <w:uiPriority w:val="7"/>
    <w:semiHidden/>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77"/>
    <w:rPr>
      <w:rFonts w:ascii="Times New Roman" w:eastAsiaTheme="majorEastAsia" w:hAnsi="Times New Roman" w:cstheme="majorBidi"/>
      <w:b/>
      <w:sz w:val="24"/>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8F216F"/>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pPr>
      <w:numPr>
        <w:ilvl w:val="4"/>
        <w:numId w:val="1"/>
      </w:numPr>
    </w:pPr>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8F216F"/>
    <w:rPr>
      <w:rFonts w:eastAsiaTheme="majorEastAsia" w:cstheme="majorBidi"/>
      <w:b/>
      <w:i/>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CMA Table Template,ASD Tabl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Bullet"/>
    <w:next w:val="Normal"/>
    <w:link w:val="CaptionChar"/>
    <w:qFormat/>
    <w:rsid w:val="00D51B2C"/>
    <w:pPr>
      <w:keepNext/>
      <w:tabs>
        <w:tab w:val="left" w:pos="1418"/>
      </w:tabs>
      <w:spacing w:before="240" w:after="40"/>
      <w:ind w:left="1418" w:hanging="1418"/>
      <w:contextualSpacing/>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uiPriority w:val="99"/>
    <w:rsid w:val="00BA3306"/>
    <w:pPr>
      <w:spacing w:before="0" w:after="0"/>
    </w:pPr>
    <w:rPr>
      <w:sz w:val="18"/>
      <w:szCs w:val="20"/>
    </w:rPr>
  </w:style>
  <w:style w:type="character" w:customStyle="1" w:styleId="FootnoteTextChar">
    <w:name w:val="Footnote Text Char"/>
    <w:basedOn w:val="DefaultParagraphFont"/>
    <w:link w:val="FootnoteText"/>
    <w:uiPriority w:val="99"/>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Bullet Char"/>
    <w:link w:val="Caption"/>
    <w:rsid w:val="00D51B2C"/>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ascii="Times New Roman" w:eastAsiaTheme="majorEastAsia" w:hAnsi="Times New Roman"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7"/>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1"/>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8"/>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ascii="Times New Roman" w:eastAsia="Times New Roman" w:hAnsi="Times New Roman" w:cs="Arial"/>
      <w:b/>
      <w:snapToGrid w:val="0"/>
      <w:sz w:val="24"/>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1"/>
      </w:numPr>
      <w:spacing w:before="160" w:after="240"/>
    </w:pPr>
    <w:rPr>
      <w:rFonts w:ascii="Arial" w:hAnsi="Arial"/>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1"/>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4"/>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5"/>
      </w:numPr>
    </w:pPr>
  </w:style>
  <w:style w:type="paragraph" w:customStyle="1" w:styleId="MainBodyBulletPoint">
    <w:name w:val="MainBody Bullet Point"/>
    <w:basedOn w:val="InstructionBulletpoint"/>
    <w:link w:val="MainBodyBulletPointChar"/>
    <w:uiPriority w:val="1"/>
    <w:qFormat/>
    <w:rsid w:val="002532B4"/>
    <w:pPr>
      <w:numPr>
        <w:numId w:val="6"/>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ascii="Times New Roman" w:eastAsiaTheme="majorEastAsia" w:hAnsi="Times New Roman" w:cstheme="majorBidi"/>
      <w:b/>
      <w:sz w:val="32"/>
      <w:szCs w:val="28"/>
    </w:rPr>
  </w:style>
  <w:style w:type="numbering" w:customStyle="1" w:styleId="Style1">
    <w:name w:val="Style1"/>
    <w:uiPriority w:val="99"/>
    <w:rsid w:val="009A580E"/>
    <w:pPr>
      <w:numPr>
        <w:numId w:val="9"/>
      </w:numPr>
    </w:pPr>
  </w:style>
  <w:style w:type="numbering" w:customStyle="1" w:styleId="Style2">
    <w:name w:val="Style2"/>
    <w:uiPriority w:val="99"/>
    <w:rsid w:val="002A391F"/>
    <w:pPr>
      <w:numPr>
        <w:numId w:val="10"/>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1"/>
      </w:numPr>
    </w:pPr>
  </w:style>
  <w:style w:type="character" w:customStyle="1" w:styleId="TableRowHeaderChar">
    <w:name w:val="Table Row Header Char"/>
    <w:basedOn w:val="TableTextChar"/>
    <w:link w:val="TableRowHeader"/>
    <w:rsid w:val="0015150F"/>
    <w:rPr>
      <w:rFonts w:ascii="Arial Narrow" w:hAnsi="Arial Narrow"/>
      <w:b/>
      <w:sz w:val="20"/>
    </w:rPr>
  </w:style>
  <w:style w:type="table" w:customStyle="1" w:styleId="HTATableshaded">
    <w:name w:val="HTA Table shaded"/>
    <w:basedOn w:val="TableNormal"/>
    <w:rsid w:val="005B5D92"/>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ASDTable1">
    <w:name w:val="ASD Table1"/>
    <w:basedOn w:val="TableNormal"/>
    <w:next w:val="TableGrid"/>
    <w:uiPriority w:val="59"/>
    <w:rsid w:val="00EA0064"/>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BodyText">
    <w:name w:val="Body Text"/>
    <w:link w:val="BodyTextChar"/>
    <w:uiPriority w:val="4"/>
    <w:qFormat/>
    <w:rsid w:val="00C8155F"/>
    <w:pPr>
      <w:spacing w:after="200" w:line="276" w:lineRule="auto"/>
    </w:pPr>
    <w:rPr>
      <w:rFonts w:cs="Tahoma"/>
    </w:rPr>
  </w:style>
  <w:style w:type="character" w:customStyle="1" w:styleId="BodyTextChar">
    <w:name w:val="Body Text Char"/>
    <w:basedOn w:val="DefaultParagraphFont"/>
    <w:link w:val="BodyText"/>
    <w:uiPriority w:val="4"/>
    <w:rsid w:val="00C8155F"/>
    <w:rPr>
      <w:rFonts w:cs="Tahoma"/>
    </w:rPr>
  </w:style>
  <w:style w:type="paragraph" w:customStyle="1" w:styleId="TableFigNotes0">
    <w:name w:val="TableFigNotes+0"/>
    <w:basedOn w:val="Normal"/>
    <w:uiPriority w:val="4"/>
    <w:qFormat/>
    <w:rsid w:val="00C8155F"/>
    <w:pPr>
      <w:keepNext/>
      <w:keepLines/>
      <w:spacing w:before="0" w:after="0"/>
      <w:jc w:val="left"/>
    </w:pPr>
    <w:rPr>
      <w:rFonts w:ascii="Calibri" w:eastAsia="Times New Roman" w:hAnsi="Calibri" w:cs="Tahoma"/>
      <w:color w:val="000000"/>
      <w:sz w:val="16"/>
      <w:szCs w:val="18"/>
      <w:lang w:val="en-US" w:eastAsia="en-AU"/>
    </w:rPr>
  </w:style>
  <w:style w:type="paragraph" w:customStyle="1" w:styleId="Tabletextleft">
    <w:name w:val="Table text left"/>
    <w:basedOn w:val="Normal"/>
    <w:link w:val="TabletextleftChar"/>
    <w:qFormat/>
    <w:rsid w:val="00C8155F"/>
    <w:pPr>
      <w:spacing w:before="20" w:after="20"/>
      <w:jc w:val="left"/>
    </w:pPr>
    <w:rPr>
      <w:rFonts w:eastAsia="Times New Roman" w:cs="Times New Roman"/>
      <w:sz w:val="18"/>
      <w:szCs w:val="20"/>
      <w:lang w:eastAsia="en-AU"/>
    </w:rPr>
  </w:style>
  <w:style w:type="character" w:customStyle="1" w:styleId="TabletextleftChar">
    <w:name w:val="Table text left Char"/>
    <w:basedOn w:val="DefaultParagraphFont"/>
    <w:link w:val="Tabletextleft"/>
    <w:rsid w:val="00C8155F"/>
    <w:rPr>
      <w:rFonts w:eastAsia="Times New Roman" w:cs="Times New Roman"/>
      <w:sz w:val="18"/>
      <w:szCs w:val="20"/>
      <w:lang w:eastAsia="en-AU"/>
    </w:rPr>
  </w:style>
  <w:style w:type="paragraph" w:customStyle="1" w:styleId="Tabletextbold">
    <w:name w:val="Table text bold"/>
    <w:basedOn w:val="Tabletextleft"/>
    <w:link w:val="TabletextboldChar"/>
    <w:qFormat/>
    <w:rsid w:val="00FD1872"/>
    <w:pPr>
      <w:ind w:left="57" w:right="57"/>
    </w:pPr>
    <w:rPr>
      <w:rFonts w:eastAsia="Arial"/>
      <w:b/>
      <w:lang w:val="de-DE"/>
    </w:rPr>
  </w:style>
  <w:style w:type="character" w:customStyle="1" w:styleId="TabletextboldChar">
    <w:name w:val="Table text bold Char"/>
    <w:basedOn w:val="TabletextleftChar"/>
    <w:link w:val="Tabletextbold"/>
    <w:rsid w:val="00FD1872"/>
    <w:rPr>
      <w:rFonts w:eastAsia="Arial" w:cs="Times New Roman"/>
      <w:b/>
      <w:sz w:val="18"/>
      <w:szCs w:val="20"/>
      <w:lang w:val="de-DE" w:eastAsia="en-AU"/>
    </w:rPr>
  </w:style>
  <w:style w:type="paragraph" w:customStyle="1" w:styleId="EndNoteBibliographyTitle">
    <w:name w:val="EndNote Bibliography Title"/>
    <w:basedOn w:val="Normal"/>
    <w:link w:val="EndNoteBibliographyTitleChar"/>
    <w:rsid w:val="004B5325"/>
    <w:pPr>
      <w:spacing w:after="0"/>
      <w:jc w:val="center"/>
    </w:pPr>
    <w:rPr>
      <w:rFonts w:ascii="Calibri" w:hAnsi="Calibri" w:cs="Calibri"/>
      <w:noProof/>
      <w:lang w:val="en-US"/>
    </w:rPr>
  </w:style>
  <w:style w:type="character" w:customStyle="1" w:styleId="EndNoteBibliographyTitleChar">
    <w:name w:val="EndNote Bibliography Title Char"/>
    <w:basedOn w:val="MSACSubtitleChar"/>
    <w:link w:val="EndNoteBibliographyTitle"/>
    <w:rsid w:val="004B5325"/>
    <w:rPr>
      <w:rFonts w:ascii="Calibri" w:hAnsi="Calibri" w:cs="Calibri"/>
      <w:b w:val="0"/>
      <w:i w:val="0"/>
      <w:noProof/>
      <w:color w:val="000080"/>
      <w:sz w:val="24"/>
      <w:lang w:val="en-US"/>
    </w:rPr>
  </w:style>
  <w:style w:type="paragraph" w:customStyle="1" w:styleId="EndNoteBibliography">
    <w:name w:val="EndNote Bibliography"/>
    <w:basedOn w:val="Normal"/>
    <w:link w:val="EndNoteBibliographyChar"/>
    <w:rsid w:val="004B5325"/>
    <w:pPr>
      <w:jc w:val="left"/>
    </w:pPr>
    <w:rPr>
      <w:rFonts w:ascii="Calibri" w:hAnsi="Calibri" w:cs="Calibri"/>
      <w:noProof/>
      <w:lang w:val="en-US"/>
    </w:rPr>
  </w:style>
  <w:style w:type="character" w:customStyle="1" w:styleId="EndNoteBibliographyChar">
    <w:name w:val="EndNote Bibliography Char"/>
    <w:basedOn w:val="MSACSubtitleChar"/>
    <w:link w:val="EndNoteBibliography"/>
    <w:rsid w:val="004B5325"/>
    <w:rPr>
      <w:rFonts w:ascii="Calibri" w:hAnsi="Calibri" w:cs="Calibri"/>
      <w:b w:val="0"/>
      <w:i w:val="0"/>
      <w:noProof/>
      <w:color w:val="000080"/>
      <w:sz w:val="24"/>
      <w:lang w:val="en-US"/>
    </w:rPr>
  </w:style>
  <w:style w:type="numbering" w:customStyle="1" w:styleId="NoList1">
    <w:name w:val="No List1"/>
    <w:next w:val="NoList"/>
    <w:uiPriority w:val="99"/>
    <w:semiHidden/>
    <w:unhideWhenUsed/>
    <w:rsid w:val="002D214E"/>
  </w:style>
  <w:style w:type="table" w:customStyle="1" w:styleId="ASDTable2">
    <w:name w:val="ASD Table2"/>
    <w:basedOn w:val="TableNormal"/>
    <w:next w:val="TableGrid"/>
    <w:uiPriority w:val="59"/>
    <w:rsid w:val="002D214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1">
    <w:name w:val="PBAC Table Style1"/>
    <w:basedOn w:val="TableGrid1"/>
    <w:uiPriority w:val="99"/>
    <w:rsid w:val="002D214E"/>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2D21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2D21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
    <w:name w:val="Table Grid 11"/>
    <w:basedOn w:val="TableNormal"/>
    <w:next w:val="TableGrid1"/>
    <w:uiPriority w:val="99"/>
    <w:semiHidden/>
    <w:unhideWhenUsed/>
    <w:rsid w:val="002D214E"/>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1">
    <w:name w:val="List Table 1 Light11"/>
    <w:basedOn w:val="TableNormal"/>
    <w:uiPriority w:val="46"/>
    <w:rsid w:val="002D21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2D21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1">
    <w:name w:val="Table H1"/>
    <w:basedOn w:val="BodyText"/>
    <w:uiPriority w:val="4"/>
    <w:qFormat/>
    <w:rsid w:val="002D214E"/>
    <w:pPr>
      <w:keepNext/>
      <w:tabs>
        <w:tab w:val="left" w:pos="416"/>
        <w:tab w:val="left" w:pos="582"/>
        <w:tab w:val="left" w:pos="1134"/>
      </w:tabs>
      <w:spacing w:before="40" w:after="40" w:line="240" w:lineRule="auto"/>
    </w:pPr>
    <w:rPr>
      <w:b/>
      <w:spacing w:val="-1"/>
      <w:sz w:val="18"/>
      <w:szCs w:val="18"/>
      <w:lang w:val="en-US"/>
    </w:rPr>
  </w:style>
  <w:style w:type="table" w:customStyle="1" w:styleId="HTATableshaded1">
    <w:name w:val="HTA Table shaded1"/>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ullet6">
    <w:name w:val="Bullet+6"/>
    <w:basedOn w:val="Normal"/>
    <w:next w:val="BodyText"/>
    <w:uiPriority w:val="2"/>
    <w:qFormat/>
    <w:rsid w:val="002D214E"/>
    <w:pPr>
      <w:numPr>
        <w:numId w:val="16"/>
      </w:numPr>
      <w:spacing w:before="0" w:after="120" w:line="276" w:lineRule="auto"/>
      <w:ind w:left="432" w:hanging="432"/>
      <w:jc w:val="left"/>
    </w:pPr>
    <w:rPr>
      <w:rFonts w:cs="Arial"/>
      <w:sz w:val="22"/>
    </w:rPr>
  </w:style>
  <w:style w:type="paragraph" w:styleId="EndnoteText">
    <w:name w:val="endnote text"/>
    <w:basedOn w:val="Normal"/>
    <w:link w:val="EndnoteTextChar"/>
    <w:rsid w:val="002D214E"/>
    <w:pPr>
      <w:spacing w:before="0" w:after="0"/>
    </w:pPr>
    <w:rPr>
      <w:sz w:val="20"/>
      <w:szCs w:val="20"/>
    </w:rPr>
  </w:style>
  <w:style w:type="character" w:customStyle="1" w:styleId="EndnoteTextChar">
    <w:name w:val="Endnote Text Char"/>
    <w:basedOn w:val="DefaultParagraphFont"/>
    <w:link w:val="EndnoteText"/>
    <w:rsid w:val="002D214E"/>
    <w:rPr>
      <w:sz w:val="20"/>
      <w:szCs w:val="20"/>
    </w:rPr>
  </w:style>
  <w:style w:type="character" w:styleId="EndnoteReference">
    <w:name w:val="endnote reference"/>
    <w:basedOn w:val="DefaultParagraphFont"/>
    <w:rsid w:val="002D214E"/>
    <w:rPr>
      <w:vertAlign w:val="superscript"/>
    </w:rPr>
  </w:style>
  <w:style w:type="table" w:customStyle="1" w:styleId="TableGrid10">
    <w:name w:val="Table Grid1"/>
    <w:basedOn w:val="TableNormal"/>
    <w:next w:val="TableGrid"/>
    <w:uiPriority w:val="39"/>
    <w:rsid w:val="002D214E"/>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D214E"/>
    <w:pPr>
      <w:spacing w:before="0" w:after="200"/>
      <w:jc w:val="left"/>
    </w:pPr>
    <w:rPr>
      <w:sz w:val="20"/>
      <w:szCs w:val="20"/>
    </w:rPr>
  </w:style>
  <w:style w:type="character" w:customStyle="1" w:styleId="CommentTextChar">
    <w:name w:val="Comment Text Char"/>
    <w:basedOn w:val="DefaultParagraphFont"/>
    <w:link w:val="CommentText"/>
    <w:uiPriority w:val="99"/>
    <w:rsid w:val="002D214E"/>
    <w:rPr>
      <w:sz w:val="20"/>
      <w:szCs w:val="20"/>
    </w:rPr>
  </w:style>
  <w:style w:type="paragraph" w:customStyle="1" w:styleId="TableHeadingleft">
    <w:name w:val="Table Heading left"/>
    <w:basedOn w:val="Normal"/>
    <w:next w:val="Tabletextleft"/>
    <w:qFormat/>
    <w:rsid w:val="002D214E"/>
    <w:pPr>
      <w:spacing w:before="40" w:after="40"/>
      <w:jc w:val="left"/>
    </w:pPr>
    <w:rPr>
      <w:rFonts w:cs="Tahoma"/>
      <w:b/>
      <w:sz w:val="18"/>
      <w:szCs w:val="18"/>
      <w:lang w:val="de-DE"/>
    </w:rPr>
  </w:style>
  <w:style w:type="paragraph" w:customStyle="1" w:styleId="H2S2">
    <w:name w:val="H2 S2"/>
    <w:basedOn w:val="Heading2"/>
    <w:rsid w:val="002D214E"/>
    <w:pPr>
      <w:numPr>
        <w:ilvl w:val="1"/>
        <w:numId w:val="17"/>
      </w:numPr>
      <w:spacing w:before="0" w:after="200" w:line="276" w:lineRule="auto"/>
      <w:ind w:left="1191"/>
    </w:pPr>
    <w:rPr>
      <w:rFonts w:ascii="Tahoma" w:eastAsiaTheme="minorHAnsi" w:hAnsi="Tahoma" w:cs="Tahoma"/>
      <w:b w:val="0"/>
      <w:i w:val="0"/>
      <w:snapToGrid/>
      <w:sz w:val="32"/>
      <w:szCs w:val="22"/>
    </w:rPr>
  </w:style>
  <w:style w:type="paragraph" w:customStyle="1" w:styleId="H1S2">
    <w:name w:val="H1 S2"/>
    <w:basedOn w:val="Heading1"/>
    <w:rsid w:val="002D214E"/>
    <w:pPr>
      <w:keepLines w:val="0"/>
      <w:numPr>
        <w:numId w:val="17"/>
      </w:numPr>
      <w:spacing w:before="0" w:after="200" w:line="276" w:lineRule="auto"/>
    </w:pPr>
    <w:rPr>
      <w:rFonts w:ascii="Tahoma" w:eastAsiaTheme="minorHAnsi" w:hAnsi="Tahoma" w:cs="Tahoma"/>
      <w:b w:val="0"/>
      <w:sz w:val="36"/>
      <w:szCs w:val="22"/>
    </w:rPr>
  </w:style>
  <w:style w:type="paragraph" w:customStyle="1" w:styleId="H3S2">
    <w:name w:val="H3 S2"/>
    <w:basedOn w:val="Heading3"/>
    <w:next w:val="BodyText"/>
    <w:rsid w:val="002D214E"/>
    <w:pPr>
      <w:numPr>
        <w:ilvl w:val="2"/>
        <w:numId w:val="17"/>
      </w:numPr>
      <w:spacing w:before="0" w:after="200" w:line="276" w:lineRule="auto"/>
      <w:jc w:val="left"/>
    </w:pPr>
    <w:rPr>
      <w:rFonts w:ascii="Tahoma" w:eastAsiaTheme="minorHAnsi" w:hAnsi="Tahoma" w:cs="Tahoma"/>
      <w:b w:val="0"/>
      <w:szCs w:val="22"/>
    </w:rPr>
  </w:style>
  <w:style w:type="table" w:customStyle="1" w:styleId="TableGrid2">
    <w:name w:val="Table Grid2"/>
    <w:basedOn w:val="TableNormal"/>
    <w:next w:val="TableGrid"/>
    <w:rsid w:val="002D21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2">
    <w:name w:val="HTA Table shaded2"/>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
    <w:name w:val="Table Grid4"/>
    <w:basedOn w:val="TableNormal"/>
    <w:next w:val="TableGrid"/>
    <w:uiPriority w:val="59"/>
    <w:rsid w:val="002D214E"/>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autoRedefine/>
    <w:qFormat/>
    <w:rsid w:val="000B6356"/>
    <w:pPr>
      <w:keepNext/>
      <w:spacing w:before="40" w:after="40"/>
      <w:contextualSpacing/>
      <w:jc w:val="left"/>
    </w:pPr>
    <w:rPr>
      <w:rFonts w:ascii="Arial Narrow" w:eastAsia="Times New Roman" w:hAnsi="Arial Narrow" w:cs="Tahoma"/>
      <w:b/>
      <w:sz w:val="20"/>
    </w:rPr>
  </w:style>
  <w:style w:type="character" w:customStyle="1" w:styleId="TableHeadingChar">
    <w:name w:val="TableHeading Char"/>
    <w:link w:val="TableHeading"/>
    <w:rsid w:val="000B6356"/>
    <w:rPr>
      <w:rFonts w:ascii="Arial Narrow" w:eastAsia="Times New Roman" w:hAnsi="Arial Narrow" w:cs="Tahoma"/>
      <w:b/>
      <w:sz w:val="20"/>
    </w:rPr>
  </w:style>
  <w:style w:type="paragraph" w:customStyle="1" w:styleId="Default">
    <w:name w:val="Default"/>
    <w:rsid w:val="002D214E"/>
    <w:pPr>
      <w:autoSpaceDE w:val="0"/>
      <w:autoSpaceDN w:val="0"/>
      <w:adjustRightInd w:val="0"/>
      <w:spacing w:after="0" w:line="240" w:lineRule="auto"/>
    </w:pPr>
    <w:rPr>
      <w:rFonts w:ascii="Arial" w:hAnsi="Arial" w:cs="Arial"/>
      <w:color w:val="000000"/>
      <w:sz w:val="24"/>
      <w:szCs w:val="24"/>
    </w:rPr>
  </w:style>
  <w:style w:type="paragraph" w:customStyle="1" w:styleId="Tableheadingcent">
    <w:name w:val="Table heading cent"/>
    <w:basedOn w:val="Normal"/>
    <w:qFormat/>
    <w:rsid w:val="002D214E"/>
    <w:pPr>
      <w:spacing w:before="40" w:after="40"/>
      <w:jc w:val="center"/>
    </w:pPr>
    <w:rPr>
      <w:rFonts w:cs="Tahoma"/>
      <w:b/>
      <w:sz w:val="18"/>
      <w:szCs w:val="18"/>
      <w:lang w:val="de-DE"/>
    </w:rPr>
  </w:style>
  <w:style w:type="paragraph" w:customStyle="1" w:styleId="Dash12">
    <w:name w:val="Dash+12"/>
    <w:basedOn w:val="Normal"/>
    <w:uiPriority w:val="2"/>
    <w:rsid w:val="002D214E"/>
    <w:pPr>
      <w:tabs>
        <w:tab w:val="left" w:pos="1134"/>
      </w:tabs>
      <w:spacing w:before="0" w:after="240" w:line="276" w:lineRule="auto"/>
      <w:jc w:val="left"/>
    </w:pPr>
    <w:rPr>
      <w:rFonts w:cs="Tahoma"/>
      <w:color w:val="000000"/>
      <w:sz w:val="22"/>
      <w:lang w:eastAsia="en-AU"/>
    </w:rPr>
  </w:style>
  <w:style w:type="paragraph" w:customStyle="1" w:styleId="TableParagraph">
    <w:name w:val="Table Paragraph"/>
    <w:basedOn w:val="Normal"/>
    <w:uiPriority w:val="1"/>
    <w:qFormat/>
    <w:rsid w:val="002D214E"/>
    <w:pPr>
      <w:widowControl w:val="0"/>
      <w:spacing w:before="0" w:after="0"/>
      <w:jc w:val="left"/>
    </w:pPr>
    <w:rPr>
      <w:sz w:val="22"/>
      <w:lang w:val="en-US"/>
    </w:rPr>
  </w:style>
  <w:style w:type="paragraph" w:customStyle="1" w:styleId="Tablebulletlist">
    <w:name w:val="Table bullet list"/>
    <w:basedOn w:val="Tabletextleft"/>
    <w:qFormat/>
    <w:rsid w:val="002D214E"/>
    <w:pPr>
      <w:widowControl w:val="0"/>
      <w:numPr>
        <w:numId w:val="18"/>
      </w:numPr>
      <w:tabs>
        <w:tab w:val="left" w:pos="464"/>
      </w:tabs>
      <w:spacing w:before="34" w:after="0"/>
    </w:pPr>
    <w:rPr>
      <w:rFonts w:eastAsia="Calibri"/>
      <w:szCs w:val="18"/>
      <w:lang w:val="en-US"/>
    </w:rPr>
  </w:style>
  <w:style w:type="paragraph" w:customStyle="1" w:styleId="TableFigNotes18">
    <w:name w:val="TableFigNotes+18"/>
    <w:basedOn w:val="BodyText"/>
    <w:next w:val="BodyText"/>
    <w:link w:val="TableFigNotes18Char"/>
    <w:uiPriority w:val="4"/>
    <w:qFormat/>
    <w:rsid w:val="002D214E"/>
    <w:pPr>
      <w:keepLines/>
      <w:spacing w:after="360"/>
    </w:pPr>
    <w:rPr>
      <w:color w:val="000000"/>
      <w:sz w:val="16"/>
      <w:szCs w:val="18"/>
      <w:lang w:eastAsia="en-AU"/>
    </w:rPr>
  </w:style>
  <w:style w:type="character" w:customStyle="1" w:styleId="TableFigNotes18Char">
    <w:name w:val="TableFigNotes+18 Char"/>
    <w:basedOn w:val="DefaultParagraphFont"/>
    <w:link w:val="TableFigNotes18"/>
    <w:uiPriority w:val="4"/>
    <w:rsid w:val="002D214E"/>
    <w:rPr>
      <w:rFonts w:cs="Tahoma"/>
      <w:color w:val="000000"/>
      <w:sz w:val="16"/>
      <w:szCs w:val="18"/>
      <w:lang w:eastAsia="en-AU"/>
    </w:rPr>
  </w:style>
  <w:style w:type="paragraph" w:customStyle="1" w:styleId="In-tableHeading">
    <w:name w:val="In-table Heading"/>
    <w:qFormat/>
    <w:rsid w:val="002D214E"/>
    <w:pPr>
      <w:keepNext/>
      <w:spacing w:after="0" w:line="240" w:lineRule="auto"/>
    </w:pPr>
    <w:rPr>
      <w:rFonts w:ascii="Arial Narrow" w:eastAsiaTheme="majorEastAsia" w:hAnsi="Arial Narrow" w:cs="Times New Roman"/>
      <w:b/>
      <w:sz w:val="20"/>
      <w:szCs w:val="24"/>
      <w:lang w:val="en-US" w:eastAsia="en-AU"/>
    </w:rPr>
  </w:style>
  <w:style w:type="table" w:customStyle="1" w:styleId="ASDTable11">
    <w:name w:val="ASD Table11"/>
    <w:basedOn w:val="TableNormal"/>
    <w:next w:val="TableGrid"/>
    <w:uiPriority w:val="59"/>
    <w:rsid w:val="002D214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HTATableshaded4">
    <w:name w:val="HTA Table shaded4"/>
    <w:basedOn w:val="TableNormal"/>
    <w:rsid w:val="007C75D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5">
    <w:name w:val="HTA Table shaded5"/>
    <w:basedOn w:val="TableNormal"/>
    <w:rsid w:val="00AC3DCF"/>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6">
    <w:name w:val="HTA Table shaded6"/>
    <w:basedOn w:val="TableNormal"/>
    <w:rsid w:val="0010002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ASDTable3">
    <w:name w:val="ASD Table3"/>
    <w:basedOn w:val="TableNormal"/>
    <w:next w:val="TableGrid"/>
    <w:uiPriority w:val="59"/>
    <w:rsid w:val="00751CB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NoList2">
    <w:name w:val="No List2"/>
    <w:next w:val="NoList"/>
    <w:uiPriority w:val="99"/>
    <w:semiHidden/>
    <w:unhideWhenUsed/>
    <w:rsid w:val="00F37B89"/>
  </w:style>
  <w:style w:type="table" w:customStyle="1" w:styleId="ASDTable4">
    <w:name w:val="ASD Table4"/>
    <w:basedOn w:val="TableNormal"/>
    <w:next w:val="TableGrid"/>
    <w:uiPriority w:val="59"/>
    <w:rsid w:val="00F37B8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2">
    <w:name w:val="PBAC Table Style2"/>
    <w:basedOn w:val="TableGrid1"/>
    <w:uiPriority w:val="99"/>
    <w:rsid w:val="00F37B8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3">
    <w:name w:val="List Table 1 Light3"/>
    <w:basedOn w:val="TableNormal"/>
    <w:next w:val="ListTable1Light"/>
    <w:uiPriority w:val="46"/>
    <w:rsid w:val="00F37B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3">
    <w:name w:val="List Table 7 Colorful - Accent 63"/>
    <w:basedOn w:val="TableNormal"/>
    <w:next w:val="ListTable7Colorful-Accent6"/>
    <w:uiPriority w:val="52"/>
    <w:rsid w:val="00F37B8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2">
    <w:name w:val="Table Grid 12"/>
    <w:basedOn w:val="TableNormal"/>
    <w:next w:val="TableGrid1"/>
    <w:uiPriority w:val="99"/>
    <w:semiHidden/>
    <w:unhideWhenUsed/>
    <w:rsid w:val="00F37B89"/>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2">
    <w:name w:val="List Table 1 Light12"/>
    <w:basedOn w:val="TableNormal"/>
    <w:uiPriority w:val="46"/>
    <w:rsid w:val="00F37B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2">
    <w:name w:val="List Table 7 Colorful - Accent 612"/>
    <w:basedOn w:val="TableNormal"/>
    <w:uiPriority w:val="52"/>
    <w:rsid w:val="00F37B8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7">
    <w:name w:val="HTA Table shaded7"/>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10">
    <w:name w:val="Table Grid11"/>
    <w:basedOn w:val="TableNormal"/>
    <w:next w:val="TableGrid"/>
    <w:uiPriority w:val="39"/>
    <w:rsid w:val="00F37B89"/>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7B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1">
    <w:name w:val="HTA Table shaded1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1">
    <w:name w:val="HTA Table shaded2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1">
    <w:name w:val="HTA Table shaded3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1">
    <w:name w:val="Table Grid41"/>
    <w:basedOn w:val="TableNormal"/>
    <w:next w:val="TableGrid"/>
    <w:uiPriority w:val="59"/>
    <w:rsid w:val="00F37B89"/>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2">
    <w:name w:val="ASD Table12"/>
    <w:basedOn w:val="TableNormal"/>
    <w:next w:val="TableGrid"/>
    <w:uiPriority w:val="59"/>
    <w:rsid w:val="00F37B8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
    <w:name w:val="Summary box1"/>
    <w:basedOn w:val="TableNormal"/>
    <w:next w:val="TableGrid"/>
    <w:uiPriority w:val="59"/>
    <w:rsid w:val="00F3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37B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intro">
    <w:name w:val="Bullet intro"/>
    <w:basedOn w:val="BodyText"/>
    <w:uiPriority w:val="2"/>
    <w:qFormat/>
    <w:rsid w:val="00F37B89"/>
    <w:pPr>
      <w:spacing w:after="120"/>
    </w:pPr>
    <w:rPr>
      <w:rFonts w:cs="Arial"/>
    </w:rPr>
  </w:style>
  <w:style w:type="paragraph" w:customStyle="1" w:styleId="TFAbbrevs0">
    <w:name w:val="TFAbbrevs+0"/>
    <w:basedOn w:val="Normal"/>
    <w:qFormat/>
    <w:rsid w:val="00F37B89"/>
    <w:pPr>
      <w:keepNext/>
      <w:keepLines/>
      <w:spacing w:before="0" w:after="0"/>
      <w:jc w:val="left"/>
    </w:pPr>
    <w:rPr>
      <w:rFonts w:ascii="Arial Narrow" w:eastAsia="Times New Roman" w:hAnsi="Arial Narrow" w:cs="Times New Roman"/>
      <w:color w:val="000000"/>
      <w:sz w:val="18"/>
      <w:szCs w:val="18"/>
      <w:lang w:eastAsia="en-AU"/>
    </w:rPr>
  </w:style>
  <w:style w:type="paragraph" w:customStyle="1" w:styleId="Tabletextright">
    <w:name w:val="Table text right"/>
    <w:basedOn w:val="Normal"/>
    <w:link w:val="TabletextrightChar"/>
    <w:qFormat/>
    <w:rsid w:val="00F37B89"/>
    <w:pPr>
      <w:keepNext/>
      <w:spacing w:before="0" w:after="0"/>
      <w:jc w:val="right"/>
    </w:pPr>
    <w:rPr>
      <w:rFonts w:ascii="Arial Narrow" w:eastAsia="Times New Roman" w:hAnsi="Arial Narrow" w:cs="Arial"/>
      <w:sz w:val="20"/>
      <w:szCs w:val="20"/>
    </w:rPr>
  </w:style>
  <w:style w:type="character" w:customStyle="1" w:styleId="TabletextrightChar">
    <w:name w:val="Table text right Char"/>
    <w:basedOn w:val="DefaultParagraphFont"/>
    <w:link w:val="Tabletextright"/>
    <w:rsid w:val="00F37B89"/>
    <w:rPr>
      <w:rFonts w:ascii="Arial Narrow" w:eastAsia="Times New Roman" w:hAnsi="Arial Narrow" w:cs="Arial"/>
      <w:sz w:val="20"/>
      <w:szCs w:val="20"/>
    </w:rPr>
  </w:style>
  <w:style w:type="paragraph" w:customStyle="1" w:styleId="BoxText">
    <w:name w:val="BoxText"/>
    <w:basedOn w:val="BodyText"/>
    <w:link w:val="BoxTextChar"/>
    <w:qFormat/>
    <w:rsid w:val="00F37B89"/>
    <w:pPr>
      <w:pBdr>
        <w:top w:val="single" w:sz="6" w:space="1" w:color="000000"/>
        <w:left w:val="single" w:sz="6" w:space="4" w:color="000000"/>
        <w:bottom w:val="single" w:sz="6" w:space="1" w:color="000000"/>
        <w:right w:val="single" w:sz="6" w:space="4" w:color="000000"/>
      </w:pBdr>
    </w:pPr>
  </w:style>
  <w:style w:type="character" w:customStyle="1" w:styleId="BoxTextChar">
    <w:name w:val="BoxText Char"/>
    <w:basedOn w:val="DefaultParagraphFont"/>
    <w:link w:val="BoxText"/>
    <w:uiPriority w:val="3"/>
    <w:rsid w:val="00F37B89"/>
    <w:rPr>
      <w:rFonts w:cs="Tahoma"/>
    </w:rPr>
  </w:style>
  <w:style w:type="table" w:customStyle="1" w:styleId="HTATableshaded8">
    <w:name w:val="HTA Table shaded8"/>
    <w:basedOn w:val="TableNormal"/>
    <w:rsid w:val="00A03CC6"/>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9">
    <w:name w:val="HTA Table shaded9"/>
    <w:basedOn w:val="TableNormal"/>
    <w:rsid w:val="00A03CC6"/>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0">
    <w:name w:val="HTA Table shaded10"/>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PBACTableStyle3">
    <w:name w:val="PBAC Table Style3"/>
    <w:basedOn w:val="TableGrid1"/>
    <w:uiPriority w:val="99"/>
    <w:rsid w:val="00465EB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65EB9"/>
  </w:style>
  <w:style w:type="table" w:customStyle="1" w:styleId="ASDTable5">
    <w:name w:val="ASD Table5"/>
    <w:basedOn w:val="TableNormal"/>
    <w:next w:val="TableGrid"/>
    <w:uiPriority w:val="59"/>
    <w:rsid w:val="00465EB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4">
    <w:name w:val="PBAC Table Style4"/>
    <w:basedOn w:val="TableGrid1"/>
    <w:uiPriority w:val="99"/>
    <w:rsid w:val="00465EB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4">
    <w:name w:val="List Table 1 Light4"/>
    <w:basedOn w:val="TableNormal"/>
    <w:next w:val="ListTable1Light"/>
    <w:uiPriority w:val="46"/>
    <w:rsid w:val="00465E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4">
    <w:name w:val="List Table 7 Colorful - Accent 64"/>
    <w:basedOn w:val="TableNormal"/>
    <w:next w:val="ListTable7Colorful-Accent6"/>
    <w:uiPriority w:val="52"/>
    <w:rsid w:val="00465E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3">
    <w:name w:val="Table Grid 13"/>
    <w:basedOn w:val="TableNormal"/>
    <w:next w:val="TableGrid1"/>
    <w:uiPriority w:val="99"/>
    <w:semiHidden/>
    <w:unhideWhenUsed/>
    <w:rsid w:val="00465EB9"/>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3">
    <w:name w:val="List Table 1 Light13"/>
    <w:basedOn w:val="TableNormal"/>
    <w:uiPriority w:val="46"/>
    <w:rsid w:val="00465E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3">
    <w:name w:val="List Table 7 Colorful - Accent 613"/>
    <w:basedOn w:val="TableNormal"/>
    <w:uiPriority w:val="52"/>
    <w:rsid w:val="00465E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2">
    <w:name w:val="HTA Table shaded1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20">
    <w:name w:val="Table Grid12"/>
    <w:basedOn w:val="TableNormal"/>
    <w:next w:val="TableGrid"/>
    <w:uiPriority w:val="39"/>
    <w:rsid w:val="00465EB9"/>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65EB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3">
    <w:name w:val="HTA Table shaded13"/>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2">
    <w:name w:val="HTA Table shaded2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2">
    <w:name w:val="HTA Table shaded3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2">
    <w:name w:val="Table Grid42"/>
    <w:basedOn w:val="TableNormal"/>
    <w:next w:val="TableGrid"/>
    <w:uiPriority w:val="59"/>
    <w:rsid w:val="00465EB9"/>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3">
    <w:name w:val="ASD Table13"/>
    <w:basedOn w:val="TableNormal"/>
    <w:next w:val="TableGrid"/>
    <w:uiPriority w:val="59"/>
    <w:rsid w:val="00465EB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1">
    <w:name w:val="Summary box11"/>
    <w:basedOn w:val="TableNormal"/>
    <w:next w:val="TableGrid"/>
    <w:uiPriority w:val="59"/>
    <w:rsid w:val="0046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465E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4">
    <w:name w:val="No List4"/>
    <w:next w:val="NoList"/>
    <w:uiPriority w:val="99"/>
    <w:semiHidden/>
    <w:unhideWhenUsed/>
    <w:rsid w:val="000905E1"/>
  </w:style>
  <w:style w:type="table" w:customStyle="1" w:styleId="ASDTable6">
    <w:name w:val="ASD Table6"/>
    <w:basedOn w:val="TableNormal"/>
    <w:next w:val="TableGrid"/>
    <w:uiPriority w:val="59"/>
    <w:rsid w:val="000905E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5">
    <w:name w:val="PBAC Table Style5"/>
    <w:basedOn w:val="TableGrid1"/>
    <w:uiPriority w:val="99"/>
    <w:rsid w:val="000905E1"/>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5">
    <w:name w:val="List Table 1 Light5"/>
    <w:basedOn w:val="TableNormal"/>
    <w:next w:val="ListTable1Light"/>
    <w:uiPriority w:val="46"/>
    <w:rsid w:val="000905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5">
    <w:name w:val="List Table 7 Colorful - Accent 65"/>
    <w:basedOn w:val="TableNormal"/>
    <w:next w:val="ListTable7Colorful-Accent6"/>
    <w:uiPriority w:val="52"/>
    <w:rsid w:val="000905E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4">
    <w:name w:val="Table Grid 14"/>
    <w:basedOn w:val="TableNormal"/>
    <w:next w:val="TableGrid1"/>
    <w:uiPriority w:val="99"/>
    <w:semiHidden/>
    <w:unhideWhenUsed/>
    <w:rsid w:val="000905E1"/>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4">
    <w:name w:val="List Table 1 Light14"/>
    <w:basedOn w:val="TableNormal"/>
    <w:uiPriority w:val="46"/>
    <w:rsid w:val="000905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4">
    <w:name w:val="List Table 7 Colorful - Accent 614"/>
    <w:basedOn w:val="TableNormal"/>
    <w:uiPriority w:val="52"/>
    <w:rsid w:val="000905E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4">
    <w:name w:val="HTA Table shaded14"/>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30">
    <w:name w:val="Table Grid13"/>
    <w:basedOn w:val="TableNormal"/>
    <w:next w:val="TableGrid"/>
    <w:uiPriority w:val="39"/>
    <w:rsid w:val="000905E1"/>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905E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5">
    <w:name w:val="HTA Table shaded15"/>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3">
    <w:name w:val="HTA Table shaded23"/>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3">
    <w:name w:val="HTA Table shaded33"/>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3">
    <w:name w:val="Table Grid43"/>
    <w:basedOn w:val="TableNormal"/>
    <w:next w:val="TableGrid"/>
    <w:uiPriority w:val="59"/>
    <w:rsid w:val="000905E1"/>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4">
    <w:name w:val="ASD Table14"/>
    <w:basedOn w:val="TableNormal"/>
    <w:next w:val="TableGrid"/>
    <w:uiPriority w:val="59"/>
    <w:rsid w:val="000905E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2">
    <w:name w:val="Summary box12"/>
    <w:basedOn w:val="TableNormal"/>
    <w:next w:val="TableGrid"/>
    <w:uiPriority w:val="59"/>
    <w:rsid w:val="0009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0905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shaded16">
    <w:name w:val="HTA Table shaded16"/>
    <w:basedOn w:val="TableNormal"/>
    <w:rsid w:val="00C4156F"/>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NoList5">
    <w:name w:val="No List5"/>
    <w:next w:val="NoList"/>
    <w:uiPriority w:val="99"/>
    <w:semiHidden/>
    <w:unhideWhenUsed/>
    <w:rsid w:val="00615F95"/>
  </w:style>
  <w:style w:type="table" w:customStyle="1" w:styleId="ASDTable7">
    <w:name w:val="ASD Table7"/>
    <w:basedOn w:val="TableNormal"/>
    <w:next w:val="TableGrid"/>
    <w:uiPriority w:val="59"/>
    <w:rsid w:val="00615F9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6">
    <w:name w:val="PBAC Table Style6"/>
    <w:basedOn w:val="TableGrid1"/>
    <w:uiPriority w:val="99"/>
    <w:rsid w:val="00615F95"/>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6">
    <w:name w:val="List Table 1 Light6"/>
    <w:basedOn w:val="TableNormal"/>
    <w:next w:val="ListTable1Light"/>
    <w:uiPriority w:val="46"/>
    <w:rsid w:val="00615F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6">
    <w:name w:val="List Table 7 Colorful - Accent 66"/>
    <w:basedOn w:val="TableNormal"/>
    <w:next w:val="ListTable7Colorful-Accent6"/>
    <w:uiPriority w:val="52"/>
    <w:rsid w:val="00615F9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5">
    <w:name w:val="Table Grid 15"/>
    <w:basedOn w:val="TableNormal"/>
    <w:next w:val="TableGrid1"/>
    <w:uiPriority w:val="99"/>
    <w:semiHidden/>
    <w:unhideWhenUsed/>
    <w:rsid w:val="00615F95"/>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5">
    <w:name w:val="List Table 1 Light15"/>
    <w:basedOn w:val="TableNormal"/>
    <w:uiPriority w:val="46"/>
    <w:rsid w:val="00615F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5">
    <w:name w:val="List Table 7 Colorful - Accent 615"/>
    <w:basedOn w:val="TableNormal"/>
    <w:uiPriority w:val="52"/>
    <w:rsid w:val="00615F9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7">
    <w:name w:val="HTA Table shaded17"/>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40">
    <w:name w:val="Table Grid14"/>
    <w:basedOn w:val="TableNormal"/>
    <w:next w:val="TableGrid"/>
    <w:uiPriority w:val="39"/>
    <w:rsid w:val="00615F95"/>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15F9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8">
    <w:name w:val="HTA Table shaded18"/>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4">
    <w:name w:val="HTA Table shaded24"/>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4">
    <w:name w:val="HTA Table shaded34"/>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4">
    <w:name w:val="Table Grid44"/>
    <w:basedOn w:val="TableNormal"/>
    <w:next w:val="TableGrid"/>
    <w:uiPriority w:val="59"/>
    <w:rsid w:val="00615F95"/>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5">
    <w:name w:val="ASD Table15"/>
    <w:basedOn w:val="TableNormal"/>
    <w:next w:val="TableGrid"/>
    <w:uiPriority w:val="59"/>
    <w:rsid w:val="00615F9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3">
    <w:name w:val="Summary box13"/>
    <w:basedOn w:val="TableNormal"/>
    <w:next w:val="TableGrid"/>
    <w:uiPriority w:val="59"/>
    <w:rsid w:val="0061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615F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shaded19">
    <w:name w:val="HTA Table shaded19"/>
    <w:basedOn w:val="TableNormal"/>
    <w:rsid w:val="00FB6FE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NoList6">
    <w:name w:val="No List6"/>
    <w:next w:val="NoList"/>
    <w:uiPriority w:val="99"/>
    <w:semiHidden/>
    <w:unhideWhenUsed/>
    <w:rsid w:val="00D51B2C"/>
  </w:style>
  <w:style w:type="table" w:customStyle="1" w:styleId="ASDTable8">
    <w:name w:val="ASD Table8"/>
    <w:basedOn w:val="TableNormal"/>
    <w:next w:val="TableGrid"/>
    <w:uiPriority w:val="59"/>
    <w:rsid w:val="00D51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7">
    <w:name w:val="PBAC Table Style7"/>
    <w:basedOn w:val="TableGrid1"/>
    <w:uiPriority w:val="99"/>
    <w:rsid w:val="00D51B2C"/>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7">
    <w:name w:val="List Table 1 Light7"/>
    <w:basedOn w:val="TableNormal"/>
    <w:next w:val="ListTable1Light"/>
    <w:uiPriority w:val="46"/>
    <w:rsid w:val="00D51B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7">
    <w:name w:val="List Table 7 Colorful - Accent 67"/>
    <w:basedOn w:val="TableNormal"/>
    <w:next w:val="ListTable7Colorful-Accent6"/>
    <w:uiPriority w:val="52"/>
    <w:rsid w:val="00D51B2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
    <w:name w:val="Table Grid 16"/>
    <w:basedOn w:val="TableNormal"/>
    <w:next w:val="TableGrid1"/>
    <w:uiPriority w:val="99"/>
    <w:semiHidden/>
    <w:unhideWhenUsed/>
    <w:rsid w:val="00D51B2C"/>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6">
    <w:name w:val="List Table 1 Light16"/>
    <w:basedOn w:val="TableNormal"/>
    <w:uiPriority w:val="46"/>
    <w:rsid w:val="00D51B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6">
    <w:name w:val="List Table 7 Colorful - Accent 616"/>
    <w:basedOn w:val="TableNormal"/>
    <w:uiPriority w:val="52"/>
    <w:rsid w:val="00D51B2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20">
    <w:name w:val="HTA Table shaded20"/>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50">
    <w:name w:val="Table Grid15"/>
    <w:basedOn w:val="TableNormal"/>
    <w:next w:val="TableGrid"/>
    <w:uiPriority w:val="39"/>
    <w:rsid w:val="00D51B2C"/>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51B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10">
    <w:name w:val="HTA Table shaded110"/>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5">
    <w:name w:val="HTA Table shaded25"/>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5">
    <w:name w:val="HTA Table shaded35"/>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5">
    <w:name w:val="Table Grid45"/>
    <w:basedOn w:val="TableNormal"/>
    <w:next w:val="TableGrid"/>
    <w:uiPriority w:val="59"/>
    <w:rsid w:val="00D51B2C"/>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6">
    <w:name w:val="ASD Table16"/>
    <w:basedOn w:val="TableNormal"/>
    <w:next w:val="TableGrid"/>
    <w:uiPriority w:val="59"/>
    <w:rsid w:val="00D51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4">
    <w:name w:val="Summary box14"/>
    <w:basedOn w:val="TableNormal"/>
    <w:next w:val="TableGrid"/>
    <w:uiPriority w:val="59"/>
    <w:rsid w:val="00D5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D51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BACHeading1">
    <w:name w:val="PBAC Heading 1"/>
    <w:qFormat/>
    <w:rsid w:val="00EC6784"/>
    <w:pPr>
      <w:spacing w:after="0" w:line="240" w:lineRule="auto"/>
      <w:ind w:left="720" w:hanging="720"/>
      <w:outlineLvl w:val="0"/>
    </w:pPr>
    <w:rPr>
      <w:rFonts w:ascii="Calibri" w:eastAsia="Times New Roman" w:hAnsi="Calibri" w:cs="Calibri"/>
      <w:b/>
      <w:snapToGrid w:val="0"/>
      <w:sz w:val="32"/>
      <w:szCs w:val="32"/>
    </w:rPr>
  </w:style>
  <w:style w:type="table" w:customStyle="1" w:styleId="ASDTable9">
    <w:name w:val="ASD Table9"/>
    <w:basedOn w:val="TableNormal"/>
    <w:next w:val="TableGrid"/>
    <w:uiPriority w:val="39"/>
    <w:rsid w:val="005C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14D77"/>
  </w:style>
  <w:style w:type="paragraph" w:customStyle="1" w:styleId="Table">
    <w:name w:val="Table"/>
    <w:basedOn w:val="Normal"/>
    <w:link w:val="TableChar"/>
    <w:qFormat/>
    <w:rsid w:val="00214D77"/>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214D77"/>
    <w:rPr>
      <w:rFonts w:ascii="Candara" w:eastAsia="Times New Roman" w:hAnsi="Candara" w:cs="Times New Roman"/>
      <w:sz w:val="20"/>
      <w:lang w:bidi="en-US"/>
    </w:rPr>
  </w:style>
  <w:style w:type="paragraph" w:customStyle="1" w:styleId="TableCentre">
    <w:name w:val="Table Centre"/>
    <w:basedOn w:val="Table"/>
    <w:uiPriority w:val="99"/>
    <w:qFormat/>
    <w:rsid w:val="00214D77"/>
    <w:pPr>
      <w:jc w:val="center"/>
    </w:pPr>
  </w:style>
  <w:style w:type="table" w:customStyle="1" w:styleId="ASDTable10">
    <w:name w:val="ASD Table10"/>
    <w:basedOn w:val="TableNormal"/>
    <w:next w:val="TableGrid"/>
    <w:uiPriority w:val="39"/>
    <w:rsid w:val="0021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214D77"/>
    <w:pPr>
      <w:spacing w:before="40" w:after="40"/>
      <w:jc w:val="left"/>
    </w:pPr>
    <w:rPr>
      <w:rFonts w:ascii="Arial Narrow" w:eastAsia="Times New Roman" w:hAnsi="Arial Narrow" w:cs="Times New Roman"/>
      <w:sz w:val="20"/>
      <w:szCs w:val="24"/>
    </w:rPr>
  </w:style>
  <w:style w:type="character" w:customStyle="1" w:styleId="TabletextChar0">
    <w:name w:val="Table text Char"/>
    <w:basedOn w:val="DefaultParagraphFont"/>
    <w:link w:val="Tabletext0"/>
    <w:rsid w:val="00214D77"/>
    <w:rPr>
      <w:rFonts w:ascii="Arial Narrow" w:eastAsia="Times New Roman" w:hAnsi="Arial Narrow" w:cs="Times New Roman"/>
      <w:sz w:val="20"/>
      <w:szCs w:val="24"/>
    </w:rPr>
  </w:style>
  <w:style w:type="character" w:customStyle="1" w:styleId="ESHeading2Char">
    <w:name w:val="ES Heading 2 Char"/>
    <w:basedOn w:val="Heading2Char"/>
    <w:link w:val="ESHeading2"/>
    <w:rsid w:val="00214D77"/>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214D77"/>
    <w:pPr>
      <w:keepNext/>
      <w:spacing w:before="0" w:after="0"/>
      <w:ind w:left="0" w:right="0"/>
    </w:pPr>
    <w:rPr>
      <w:rFonts w:ascii="Arial Narrow" w:eastAsia="Times New Roman" w:hAnsi="Arial Narrow" w:cs="Arial"/>
      <w:sz w:val="20"/>
    </w:rPr>
  </w:style>
  <w:style w:type="character" w:customStyle="1" w:styleId="TabletextboldleftChar">
    <w:name w:val="Table text bold left Char"/>
    <w:basedOn w:val="TabletextboldChar"/>
    <w:link w:val="Tabletextboldleft"/>
    <w:rsid w:val="00214D77"/>
    <w:rPr>
      <w:rFonts w:ascii="Arial Narrow" w:eastAsia="Times New Roman" w:hAnsi="Arial Narrow" w:cs="Arial"/>
      <w:b/>
      <w:sz w:val="20"/>
      <w:szCs w:val="20"/>
      <w:lang w:val="de-DE" w:eastAsia="en-AU"/>
    </w:rPr>
  </w:style>
  <w:style w:type="table" w:customStyle="1" w:styleId="Submissiontemplate7">
    <w:name w:val="Submission template7"/>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214D77"/>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214D77"/>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214D77"/>
    <w:pPr>
      <w:jc w:val="center"/>
    </w:pPr>
  </w:style>
  <w:style w:type="character" w:customStyle="1" w:styleId="TabletextcentredChar">
    <w:name w:val="Table text centred Char"/>
    <w:basedOn w:val="TabletextChar0"/>
    <w:link w:val="Tabletextcentred"/>
    <w:rsid w:val="00214D77"/>
    <w:rPr>
      <w:rFonts w:ascii="Arial Narrow" w:eastAsia="Times New Roman" w:hAnsi="Arial Narrow" w:cs="Times New Roman"/>
      <w:sz w:val="20"/>
      <w:szCs w:val="24"/>
    </w:rPr>
  </w:style>
  <w:style w:type="character" w:customStyle="1" w:styleId="TableBold">
    <w:name w:val="Table Bold"/>
    <w:uiPriority w:val="4"/>
    <w:qFormat/>
    <w:rsid w:val="00214D77"/>
    <w:rPr>
      <w:rFonts w:ascii="Calibri" w:hAnsi="Calibri" w:hint="default"/>
      <w:b/>
      <w:bCs w:val="0"/>
      <w:sz w:val="20"/>
      <w:lang w:val="en-AU"/>
    </w:rPr>
  </w:style>
  <w:style w:type="table" w:customStyle="1" w:styleId="TableGrid121">
    <w:name w:val="Table Grid121"/>
    <w:basedOn w:val="TableNormal"/>
    <w:next w:val="TableGrid"/>
    <w:uiPriority w:val="59"/>
    <w:rsid w:val="00214D77"/>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214D77"/>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214D77"/>
    <w:pPr>
      <w:numPr>
        <w:numId w:val="22"/>
      </w:numPr>
      <w:spacing w:before="0" w:after="240" w:line="276" w:lineRule="auto"/>
      <w:contextualSpacing/>
    </w:pPr>
    <w:rPr>
      <w:rFonts w:ascii="Candara" w:eastAsia="Times New Roman" w:hAnsi="Candara" w:cs="Times New Roman"/>
      <w:lang w:bidi="en-US"/>
    </w:rPr>
  </w:style>
  <w:style w:type="character" w:customStyle="1" w:styleId="SmallBold">
    <w:name w:val="Small Bold"/>
    <w:basedOn w:val="DefaultParagraphFont"/>
    <w:uiPriority w:val="4"/>
    <w:qFormat/>
    <w:rsid w:val="00214D77"/>
    <w:rPr>
      <w:rFonts w:ascii="Candara" w:hAnsi="Candara"/>
      <w:b/>
      <w:sz w:val="20"/>
      <w:lang w:val="en-AU"/>
    </w:rPr>
  </w:style>
  <w:style w:type="table" w:customStyle="1" w:styleId="Submissiontemplate">
    <w:name w:val="Submission template"/>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notes">
    <w:name w:val="Tablenotes"/>
    <w:basedOn w:val="Normal"/>
    <w:link w:val="TablenotesChar"/>
    <w:autoRedefine/>
    <w:qFormat/>
    <w:rsid w:val="00214D77"/>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14D77"/>
    <w:rPr>
      <w:rFonts w:ascii="Arial Narrow" w:eastAsia="Times New Roman" w:hAnsi="Arial Narrow" w:cs="Arial"/>
      <w:snapToGrid w:val="0"/>
      <w:sz w:val="18"/>
      <w:szCs w:val="20"/>
    </w:rPr>
  </w:style>
  <w:style w:type="table" w:customStyle="1" w:styleId="TableGrid26">
    <w:name w:val="Table Grid26"/>
    <w:basedOn w:val="TableNormal"/>
    <w:next w:val="TableGrid"/>
    <w:rsid w:val="00214D77"/>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214D77"/>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214D77"/>
    <w:rPr>
      <w:rFonts w:ascii="Arial Narrow" w:eastAsia="Times New Roman" w:hAnsi="Arial Narrow" w:cs="Arial"/>
      <w:snapToGrid w:val="0"/>
      <w:sz w:val="18"/>
      <w:szCs w:val="20"/>
    </w:rPr>
  </w:style>
  <w:style w:type="numbering" w:customStyle="1" w:styleId="Heading1a">
    <w:name w:val="Heading 1a"/>
    <w:basedOn w:val="NoList"/>
    <w:uiPriority w:val="99"/>
    <w:rsid w:val="00214D77"/>
    <w:pPr>
      <w:numPr>
        <w:numId w:val="23"/>
      </w:numPr>
    </w:pPr>
  </w:style>
  <w:style w:type="paragraph" w:customStyle="1" w:styleId="Tabletext-left">
    <w:name w:val="Table text - left"/>
    <w:basedOn w:val="Normal"/>
    <w:link w:val="Tabletext-leftChar"/>
    <w:rsid w:val="00214D77"/>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214D77"/>
    <w:rPr>
      <w:rFonts w:eastAsia="Times New Roman" w:cs="Arial"/>
      <w:sz w:val="20"/>
      <w:szCs w:val="20"/>
    </w:rPr>
  </w:style>
  <w:style w:type="table" w:customStyle="1" w:styleId="TableGrid9">
    <w:name w:val="Table Grid9"/>
    <w:basedOn w:val="TableNormal"/>
    <w:next w:val="TableGrid"/>
    <w:uiPriority w:val="39"/>
    <w:rsid w:val="00214D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4D77"/>
    <w:rPr>
      <w:color w:val="605E5C"/>
      <w:shd w:val="clear" w:color="auto" w:fill="E1DFDD"/>
    </w:rPr>
  </w:style>
  <w:style w:type="table" w:customStyle="1" w:styleId="TableGrid17">
    <w:name w:val="Table Grid 17"/>
    <w:basedOn w:val="TableNormal"/>
    <w:next w:val="TableGrid1"/>
    <w:uiPriority w:val="99"/>
    <w:semiHidden/>
    <w:unhideWhenUsed/>
    <w:rsid w:val="00214D77"/>
    <w:pPr>
      <w:spacing w:after="0" w:line="240" w:lineRule="auto"/>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xBullet">
    <w:name w:val="BoxBullet"/>
    <w:basedOn w:val="BoxText"/>
    <w:rsid w:val="000E1BFC"/>
    <w:pPr>
      <w:numPr>
        <w:numId w:val="33"/>
      </w:numPr>
      <w:pBdr>
        <w:top w:val="single" w:sz="4" w:space="4" w:color="000000"/>
        <w:left w:val="single" w:sz="4" w:space="4" w:color="000000"/>
        <w:bottom w:val="single" w:sz="4" w:space="4" w:color="000000"/>
        <w:right w:val="single" w:sz="4" w:space="4" w:color="000000"/>
      </w:pBdr>
      <w:spacing w:after="120" w:line="240" w:lineRule="auto"/>
    </w:pPr>
    <w:rPr>
      <w:rFonts w:ascii="Times New Roman" w:eastAsia="Times New Roman" w:hAnsi="Times New Roman" w:cs="Times New Roman"/>
      <w:color w:val="000000"/>
      <w:sz w:val="24"/>
      <w:szCs w:val="20"/>
      <w:lang w:eastAsia="en-AU"/>
    </w:rPr>
  </w:style>
  <w:style w:type="paragraph" w:customStyle="1" w:styleId="BulletBeforeDash">
    <w:name w:val="BulletBeforeDash"/>
    <w:basedOn w:val="Normal"/>
    <w:rsid w:val="000E1BFC"/>
    <w:pPr>
      <w:numPr>
        <w:numId w:val="35"/>
      </w:numPr>
      <w:spacing w:before="0" w:after="0"/>
      <w:ind w:left="720"/>
      <w:jc w:val="left"/>
    </w:pPr>
    <w:rPr>
      <w:rFonts w:ascii="Times New Roman" w:eastAsia="Times New Roman" w:hAnsi="Times New Roman" w:cs="Times New Roman"/>
      <w:color w:val="000000"/>
      <w:szCs w:val="20"/>
      <w:lang w:eastAsia="en-AU"/>
    </w:rPr>
  </w:style>
  <w:style w:type="character" w:customStyle="1" w:styleId="TableFigureFooterChar">
    <w:name w:val="Table/Figure Footer Char"/>
    <w:link w:val="TableFigureFooter"/>
    <w:locked/>
    <w:rsid w:val="00D9500D"/>
    <w:rPr>
      <w:rFonts w:ascii="Arial Narrow" w:eastAsia="Times New Roman" w:hAnsi="Arial Narrow" w:cs="Arial"/>
      <w:sz w:val="18"/>
      <w:lang w:eastAsia="en-AU"/>
    </w:rPr>
  </w:style>
  <w:style w:type="paragraph" w:customStyle="1" w:styleId="TableFigureFooter">
    <w:name w:val="Table/Figure Footer"/>
    <w:basedOn w:val="Normal"/>
    <w:link w:val="TableFigureFooterChar"/>
    <w:qFormat/>
    <w:rsid w:val="00D9500D"/>
    <w:pPr>
      <w:snapToGrid w:val="0"/>
      <w:spacing w:before="0" w:after="120"/>
      <w:contextualSpacing/>
    </w:pPr>
    <w:rPr>
      <w:rFonts w:ascii="Arial Narrow" w:eastAsia="Times New Roman" w:hAnsi="Arial Narrow" w:cs="Arial"/>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94974363">
      <w:bodyDiv w:val="1"/>
      <w:marLeft w:val="0"/>
      <w:marRight w:val="0"/>
      <w:marTop w:val="0"/>
      <w:marBottom w:val="0"/>
      <w:divBdr>
        <w:top w:val="none" w:sz="0" w:space="0" w:color="auto"/>
        <w:left w:val="none" w:sz="0" w:space="0" w:color="auto"/>
        <w:bottom w:val="none" w:sz="0" w:space="0" w:color="auto"/>
        <w:right w:val="none" w:sz="0" w:space="0" w:color="auto"/>
      </w:divBdr>
      <w:divsChild>
        <w:div w:id="876157924">
          <w:marLeft w:val="547"/>
          <w:marRight w:val="0"/>
          <w:marTop w:val="115"/>
          <w:marBottom w:val="0"/>
          <w:divBdr>
            <w:top w:val="none" w:sz="0" w:space="0" w:color="auto"/>
            <w:left w:val="none" w:sz="0" w:space="0" w:color="auto"/>
            <w:bottom w:val="none" w:sz="0" w:space="0" w:color="auto"/>
            <w:right w:val="none" w:sz="0" w:space="0" w:color="auto"/>
          </w:divBdr>
        </w:div>
      </w:divsChild>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65020434">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3258640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12171337">
      <w:bodyDiv w:val="1"/>
      <w:marLeft w:val="0"/>
      <w:marRight w:val="0"/>
      <w:marTop w:val="0"/>
      <w:marBottom w:val="0"/>
      <w:divBdr>
        <w:top w:val="none" w:sz="0" w:space="0" w:color="auto"/>
        <w:left w:val="none" w:sz="0" w:space="0" w:color="auto"/>
        <w:bottom w:val="none" w:sz="0" w:space="0" w:color="auto"/>
        <w:right w:val="none" w:sz="0" w:space="0" w:color="auto"/>
      </w:divBdr>
    </w:div>
    <w:div w:id="1366710492">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74324407">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84939301">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13213212">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179">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sac.gov.au/internet/msac/publishing.nsf/Content/5128EFED7C5AC114CA25848200015CD5/$File/1602%20Final%20PSD_Nov%202020_redacted.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Additional-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02-public"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hyperlink" Target="http://www.msac.gov.au/internet/msac/publishing.nsf/Content/1602-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5128EFED7C5AC114CA25848200015CD5/$File/1602%20Ratified%20PIC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FA38-1B1D-46E8-90B9-336D9E31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15357</Words>
  <Characters>87539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2022-02-25T00:06:00Z</dcterms:created>
  <dcterms:modified xsi:type="dcterms:W3CDTF">2022-02-25T00:07:00Z</dcterms:modified>
</cp:coreProperties>
</file>