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09AB6"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28F18B3D" wp14:editId="55776FBC">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09C219E"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10C27AA6" w14:textId="471D658C" w:rsidR="00BC1364" w:rsidRPr="00F715D1" w:rsidRDefault="00BC1364" w:rsidP="000E558C">
      <w:pPr>
        <w:pStyle w:val="Subtitle"/>
      </w:pPr>
      <w:r w:rsidRPr="00F715D1">
        <w:t xml:space="preserve">Application No. </w:t>
      </w:r>
      <w:r w:rsidR="000B6591">
        <w:t>1653</w:t>
      </w:r>
      <w:r w:rsidR="00712B1D">
        <w:t xml:space="preserve"> –</w:t>
      </w:r>
      <w:r w:rsidR="000E558C">
        <w:t xml:space="preserve"> </w:t>
      </w:r>
      <w:r w:rsidR="000B6591">
        <w:t xml:space="preserve">Amendment to eligibility criteria for </w:t>
      </w:r>
      <w:r w:rsidR="00712B1D">
        <w:t>Tisagenlecleucel (CTL019) for treatment of relapsed or refractory diffuse large B-cell lymphoma</w:t>
      </w:r>
      <w:r w:rsidR="000B6591">
        <w:t xml:space="preserve"> – removal of the requirement for patients to be “CD19-positive”</w:t>
      </w:r>
    </w:p>
    <w:p w14:paraId="0FE7FA64" w14:textId="77777777" w:rsidR="00BC1364" w:rsidRPr="00F715D1" w:rsidRDefault="00B35595" w:rsidP="00194A71">
      <w:pPr>
        <w:tabs>
          <w:tab w:val="left" w:pos="3686"/>
        </w:tabs>
        <w:spacing w:after="240"/>
        <w:ind w:left="1440" w:hanging="14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712B1D">
        <w:rPr>
          <w:rFonts w:ascii="Arial" w:hAnsi="Arial" w:cs="Arial"/>
          <w:b/>
          <w:szCs w:val="24"/>
        </w:rPr>
        <w:t>Novartis Pharmaceuticals Australia Pty Ltd</w:t>
      </w:r>
    </w:p>
    <w:p w14:paraId="517D77C3"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194A71">
        <w:rPr>
          <w:rFonts w:ascii="Arial" w:hAnsi="Arial" w:cs="Arial"/>
          <w:b/>
          <w:szCs w:val="24"/>
        </w:rPr>
        <w:t>80</w:t>
      </w:r>
      <w:r w:rsidR="00194A71" w:rsidRPr="00194A71">
        <w:rPr>
          <w:rFonts w:ascii="Arial" w:hAnsi="Arial" w:cs="Arial"/>
          <w:b/>
          <w:szCs w:val="24"/>
          <w:vertAlign w:val="superscript"/>
        </w:rPr>
        <w:t>th</w:t>
      </w:r>
      <w:r w:rsidR="00194A71">
        <w:rPr>
          <w:rFonts w:ascii="Arial" w:hAnsi="Arial" w:cs="Arial"/>
          <w:b/>
          <w:szCs w:val="24"/>
        </w:rPr>
        <w:t xml:space="preserve"> </w:t>
      </w:r>
      <w:r w:rsidRPr="00F715D1">
        <w:rPr>
          <w:rFonts w:ascii="Arial" w:hAnsi="Arial" w:cs="Arial"/>
          <w:b/>
          <w:szCs w:val="24"/>
        </w:rPr>
        <w:t xml:space="preserve">Meeting, </w:t>
      </w:r>
      <w:r w:rsidR="00194A71">
        <w:rPr>
          <w:rFonts w:ascii="Arial" w:hAnsi="Arial" w:cs="Arial"/>
          <w:b/>
          <w:szCs w:val="24"/>
        </w:rPr>
        <w:t>26-27 November 2020</w:t>
      </w:r>
    </w:p>
    <w:p w14:paraId="55685ED6"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8" w:tooltip="Link to Medical Services Advisory Committee website" w:history="1">
        <w:r w:rsidR="00F715D1" w:rsidRPr="00F715D1">
          <w:rPr>
            <w:rStyle w:val="Hyperlink"/>
            <w:szCs w:val="24"/>
          </w:rPr>
          <w:t>visit the MSAC website</w:t>
        </w:r>
      </w:hyperlink>
    </w:p>
    <w:p w14:paraId="200B2045" w14:textId="77777777" w:rsidR="003D7F29" w:rsidRPr="00F715D1" w:rsidRDefault="003D7F29" w:rsidP="00F715D1">
      <w:pPr>
        <w:pStyle w:val="Heading1"/>
      </w:pPr>
      <w:r w:rsidRPr="00F715D1">
        <w:t>Purpose of application</w:t>
      </w:r>
      <w:r w:rsidR="00822C7E" w:rsidRPr="00F715D1">
        <w:t xml:space="preserve"> </w:t>
      </w:r>
    </w:p>
    <w:p w14:paraId="65E1B973" w14:textId="4DCD73B7" w:rsidR="00DF489D" w:rsidRPr="008B7B85" w:rsidRDefault="00DF489D" w:rsidP="00DF489D">
      <w:pPr>
        <w:spacing w:after="240"/>
      </w:pPr>
      <w:r w:rsidRPr="008B7B85">
        <w:t xml:space="preserve">An application requesting </w:t>
      </w:r>
      <w:r w:rsidR="007E5B0E" w:rsidRPr="007E5B0E">
        <w:t>removal of the req</w:t>
      </w:r>
      <w:r w:rsidR="007E5B0E" w:rsidRPr="00075728">
        <w:t xml:space="preserve">uirement for patients to be CD-19 positive to access publicly funded treatment with tisagenlecleucel (TIS) </w:t>
      </w:r>
      <w:r w:rsidR="007E5B0E">
        <w:t>(Kymriah</w:t>
      </w:r>
      <w:r w:rsidR="007E5B0E" w:rsidRPr="008B7B85">
        <w:rPr>
          <w:vertAlign w:val="superscript"/>
        </w:rPr>
        <w:t>®</w:t>
      </w:r>
      <w:r w:rsidR="007E5B0E">
        <w:t xml:space="preserve">) </w:t>
      </w:r>
      <w:r w:rsidR="007E5B0E" w:rsidRPr="00075728">
        <w:t>for diffuse large B</w:t>
      </w:r>
      <w:r w:rsidR="002D5238">
        <w:noBreakHyphen/>
      </w:r>
      <w:r w:rsidR="007E5B0E" w:rsidRPr="00075728">
        <w:t>cell lymphoma (DLBCL)</w:t>
      </w:r>
      <w:r w:rsidR="007E5B0E" w:rsidRPr="008B7B85">
        <w:t xml:space="preserve"> </w:t>
      </w:r>
      <w:r w:rsidRPr="008B7B85">
        <w:t xml:space="preserve">was received from </w:t>
      </w:r>
      <w:r w:rsidR="007E5B0E" w:rsidRPr="008B7B85">
        <w:t xml:space="preserve">Novartis Pharmaceuticals Australia Pty Ltd </w:t>
      </w:r>
      <w:r w:rsidRPr="008B7B85">
        <w:t>by the Department of Health.</w:t>
      </w:r>
    </w:p>
    <w:p w14:paraId="657CEE11" w14:textId="77777777" w:rsidR="00E977EE" w:rsidRPr="00F715D1" w:rsidRDefault="00E977EE" w:rsidP="00F715D1">
      <w:pPr>
        <w:pStyle w:val="Heading1"/>
      </w:pPr>
      <w:r w:rsidRPr="00F715D1">
        <w:t>MSAC’s advice to the Minister</w:t>
      </w:r>
    </w:p>
    <w:p w14:paraId="1AF21119" w14:textId="280484A5" w:rsidR="00750C20" w:rsidRPr="00014A38" w:rsidRDefault="00750C20" w:rsidP="008B7B85">
      <w:pPr>
        <w:spacing w:after="240"/>
        <w:rPr>
          <w:b/>
          <w:bCs/>
          <w:iCs/>
        </w:rPr>
      </w:pPr>
      <w:r w:rsidRPr="00014A38">
        <w:t>After considering the strength of the available evidence in relation to comparative safety, clinical effectiveness and cost-effectiveness, MSAC did not support amending the eligibility criteria for tisagenlecleucel (TIS) (Kymriah</w:t>
      </w:r>
      <w:r w:rsidRPr="005E46F0">
        <w:rPr>
          <w:vertAlign w:val="superscript"/>
        </w:rPr>
        <w:t>®</w:t>
      </w:r>
      <w:r w:rsidRPr="00014A38">
        <w:t>) for the treatment of relapsed or refractory diffuse large B-cell lymphoma (DLBCL) by removing the requirement for patients to test positive for CD</w:t>
      </w:r>
      <w:r w:rsidR="00DE6780">
        <w:t>-</w:t>
      </w:r>
      <w:r w:rsidR="00772853">
        <w:t>19 expression on their B-</w:t>
      </w:r>
      <w:r w:rsidRPr="00014A38">
        <w:t>cells.</w:t>
      </w:r>
    </w:p>
    <w:p w14:paraId="5386B68F" w14:textId="16039F87" w:rsidR="00750C20" w:rsidRDefault="00750C20" w:rsidP="008B7B85">
      <w:pPr>
        <w:spacing w:after="240"/>
      </w:pPr>
      <w:r w:rsidRPr="00014A38">
        <w:t>MSAC considered that since tisagenlecleucel is a cell-based therapy specifically targeting CD</w:t>
      </w:r>
      <w:r w:rsidR="00DE6780">
        <w:t>-</w:t>
      </w:r>
      <w:r w:rsidRPr="00014A38">
        <w:t>19 expression, and since there is no minimum threshold set for CD</w:t>
      </w:r>
      <w:r w:rsidR="00DE6780">
        <w:t>-</w:t>
      </w:r>
      <w:r w:rsidRPr="00014A38">
        <w:t>19 positivity, the argument for removing the requirement was not adequately supported.</w:t>
      </w:r>
    </w:p>
    <w:tbl>
      <w:tblPr>
        <w:tblStyle w:val="TableGrid"/>
        <w:tblW w:w="0" w:type="auto"/>
        <w:tblLook w:val="04A0" w:firstRow="1" w:lastRow="0" w:firstColumn="1" w:lastColumn="0" w:noHBand="0" w:noVBand="1"/>
        <w:tblDescription w:val="Consumer summary of MSAC consideration"/>
      </w:tblPr>
      <w:tblGrid>
        <w:gridCol w:w="9016"/>
      </w:tblGrid>
      <w:tr w:rsidR="000D5359" w14:paraId="0ED50C06" w14:textId="77777777" w:rsidTr="000D5359">
        <w:trPr>
          <w:tblHeader/>
        </w:trPr>
        <w:tc>
          <w:tcPr>
            <w:tcW w:w="9016" w:type="dxa"/>
          </w:tcPr>
          <w:p w14:paraId="27840588" w14:textId="47A5AC6E" w:rsidR="000D5359" w:rsidRPr="000D5359" w:rsidRDefault="000D5359" w:rsidP="000D5359">
            <w:pPr>
              <w:pStyle w:val="Default"/>
              <w:spacing w:before="120" w:after="120"/>
              <w:rPr>
                <w:b/>
                <w:color w:val="auto"/>
              </w:rPr>
            </w:pPr>
            <w:r w:rsidRPr="00C06B0B">
              <w:rPr>
                <w:b/>
                <w:color w:val="auto"/>
              </w:rPr>
              <w:t>Consumer summary</w:t>
            </w:r>
          </w:p>
        </w:tc>
      </w:tr>
      <w:tr w:rsidR="000D5359" w14:paraId="58536FAA" w14:textId="77777777" w:rsidTr="000D5359">
        <w:tc>
          <w:tcPr>
            <w:tcW w:w="9016" w:type="dxa"/>
          </w:tcPr>
          <w:p w14:paraId="4A116621" w14:textId="77777777" w:rsidR="000D5359" w:rsidRPr="00014A38" w:rsidRDefault="000D5359" w:rsidP="000D5359">
            <w:pPr>
              <w:pStyle w:val="Default"/>
              <w:spacing w:before="120" w:after="240"/>
              <w:rPr>
                <w:color w:val="auto"/>
              </w:rPr>
            </w:pPr>
            <w:r w:rsidRPr="00466C95">
              <w:rPr>
                <w:color w:val="auto"/>
              </w:rPr>
              <w:t>Novartis Pharmaceuticals Australia Pty Ltd</w:t>
            </w:r>
            <w:r>
              <w:rPr>
                <w:color w:val="auto"/>
              </w:rPr>
              <w:t xml:space="preserve"> submitted an application to</w:t>
            </w:r>
            <w:r w:rsidRPr="00014A38">
              <w:rPr>
                <w:color w:val="auto"/>
              </w:rPr>
              <w:t xml:space="preserve"> remove the requirement for being CD-19 positive to access tisagenlecleucel for people with relapsed or refractory diffuse large B-cell lymphoma. </w:t>
            </w:r>
          </w:p>
          <w:p w14:paraId="1887CF31" w14:textId="77777777" w:rsidR="000D5359" w:rsidRPr="00014A38" w:rsidRDefault="000D5359" w:rsidP="000D5359">
            <w:pPr>
              <w:pStyle w:val="Default"/>
              <w:spacing w:before="120" w:after="240"/>
              <w:rPr>
                <w:color w:val="auto"/>
              </w:rPr>
            </w:pPr>
            <w:r w:rsidRPr="00014A38">
              <w:rPr>
                <w:color w:val="auto"/>
              </w:rPr>
              <w:t xml:space="preserve">Tisagenlecleucel is a </w:t>
            </w:r>
            <w:r w:rsidRPr="00466C95">
              <w:rPr>
                <w:color w:val="auto"/>
              </w:rPr>
              <w:t>CAR</w:t>
            </w:r>
            <w:r w:rsidRPr="00466C95">
              <w:rPr>
                <w:b/>
                <w:bCs/>
                <w:color w:val="auto"/>
              </w:rPr>
              <w:t>-</w:t>
            </w:r>
            <w:r>
              <w:rPr>
                <w:color w:val="auto"/>
              </w:rPr>
              <w:t>T cell therapy</w:t>
            </w:r>
            <w:r w:rsidRPr="00014A38">
              <w:rPr>
                <w:color w:val="auto"/>
              </w:rPr>
              <w:t xml:space="preserve"> </w:t>
            </w:r>
            <w:r>
              <w:rPr>
                <w:color w:val="auto"/>
              </w:rPr>
              <w:t xml:space="preserve">(CAR stands for chimeric antigen receptor and a T or thymus cell is a white blood cell that has a key role in our immune system). </w:t>
            </w:r>
            <w:r w:rsidRPr="00014A38">
              <w:rPr>
                <w:color w:val="auto"/>
              </w:rPr>
              <w:t xml:space="preserve">CAR-T </w:t>
            </w:r>
            <w:r>
              <w:rPr>
                <w:color w:val="auto"/>
              </w:rPr>
              <w:t xml:space="preserve">cell therapy </w:t>
            </w:r>
            <w:r w:rsidRPr="00014A38">
              <w:rPr>
                <w:color w:val="auto"/>
              </w:rPr>
              <w:t>is used when patients with some types of cancer, such as lymphoma or leukaemia, don’t respond to (</w:t>
            </w:r>
            <w:r>
              <w:rPr>
                <w:color w:val="auto"/>
              </w:rPr>
              <w:t xml:space="preserve">are </w:t>
            </w:r>
            <w:r w:rsidRPr="00014A38">
              <w:rPr>
                <w:color w:val="auto"/>
              </w:rPr>
              <w:t>refractory), or relapse after, other types of treatment, such as chemotherapy. CAR-T cell therapy involves taking some of the patient’s own blood, and sending</w:t>
            </w:r>
            <w:r>
              <w:rPr>
                <w:color w:val="auto"/>
              </w:rPr>
              <w:t xml:space="preserve"> it to a laboratory where the T-</w:t>
            </w:r>
            <w:r w:rsidRPr="00014A38">
              <w:rPr>
                <w:color w:val="auto"/>
              </w:rPr>
              <w:t>cells are extracted and altered so that they can attack cancer cells. The patient’s changed T</w:t>
            </w:r>
            <w:r>
              <w:rPr>
                <w:color w:val="auto"/>
              </w:rPr>
              <w:t>-</w:t>
            </w:r>
            <w:r w:rsidRPr="00014A38">
              <w:rPr>
                <w:color w:val="auto"/>
              </w:rPr>
              <w:t xml:space="preserve">cells are infused back into their body to target and kill the cancer cells. </w:t>
            </w:r>
          </w:p>
          <w:p w14:paraId="2D243E0E" w14:textId="77777777" w:rsidR="000D5359" w:rsidRPr="00014A38" w:rsidRDefault="000D5359" w:rsidP="000D5359">
            <w:pPr>
              <w:pStyle w:val="Default"/>
              <w:spacing w:before="120" w:after="240"/>
              <w:rPr>
                <w:color w:val="auto"/>
              </w:rPr>
            </w:pPr>
            <w:r>
              <w:rPr>
                <w:color w:val="auto"/>
              </w:rPr>
              <w:t>T</w:t>
            </w:r>
            <w:r w:rsidRPr="00014A38">
              <w:rPr>
                <w:color w:val="auto"/>
              </w:rPr>
              <w:t>isagenlecleucel is a cell-based therapy</w:t>
            </w:r>
            <w:r>
              <w:rPr>
                <w:color w:val="auto"/>
              </w:rPr>
              <w:t xml:space="preserve"> that targets CD-19.The </w:t>
            </w:r>
            <w:r w:rsidRPr="00014A38">
              <w:rPr>
                <w:color w:val="auto"/>
              </w:rPr>
              <w:t xml:space="preserve">Medical Services Advisory Committee (MSAC) </w:t>
            </w:r>
            <w:r>
              <w:rPr>
                <w:color w:val="auto"/>
              </w:rPr>
              <w:t xml:space="preserve">therefore </w:t>
            </w:r>
            <w:r w:rsidRPr="00014A38">
              <w:rPr>
                <w:color w:val="auto"/>
              </w:rPr>
              <w:t>considered it important for the patients</w:t>
            </w:r>
            <w:r>
              <w:rPr>
                <w:color w:val="auto"/>
              </w:rPr>
              <w:t xml:space="preserve"> receiving this therapy</w:t>
            </w:r>
            <w:r w:rsidRPr="00014A38">
              <w:rPr>
                <w:color w:val="auto"/>
              </w:rPr>
              <w:t xml:space="preserve"> to be CD-19 positive. MSAC considered there was not enough evidence to support removing the requirement to be CD-19 positive</w:t>
            </w:r>
            <w:r>
              <w:rPr>
                <w:color w:val="auto"/>
              </w:rPr>
              <w:t>.</w:t>
            </w:r>
          </w:p>
          <w:p w14:paraId="626D5BDA" w14:textId="77777777" w:rsidR="000D5359" w:rsidRDefault="000D5359" w:rsidP="000D5359">
            <w:pPr>
              <w:spacing w:before="240" w:after="120"/>
              <w:rPr>
                <w:b/>
              </w:rPr>
            </w:pPr>
            <w:r w:rsidRPr="009F4A74">
              <w:rPr>
                <w:b/>
              </w:rPr>
              <w:t>MSAC’s advice to the Commonwealth Minister for Health</w:t>
            </w:r>
          </w:p>
          <w:p w14:paraId="1E3AFEF3" w14:textId="18699FF3" w:rsidR="000D5359" w:rsidRDefault="000D5359" w:rsidP="000D5359">
            <w:pPr>
              <w:spacing w:after="240"/>
            </w:pPr>
            <w:r>
              <w:t>MSAC recommended that the requirement for being CD-19 positive should not be removed. This is because there was not enough evidence to suggest that patients who are not CD-19 positive would still benefit from the therapy.</w:t>
            </w:r>
          </w:p>
        </w:tc>
      </w:tr>
    </w:tbl>
    <w:p w14:paraId="30FEE534" w14:textId="77777777" w:rsidR="00550354" w:rsidRPr="00F715D1" w:rsidRDefault="00550354" w:rsidP="00F715D1">
      <w:pPr>
        <w:pStyle w:val="Heading1"/>
      </w:pPr>
      <w:r w:rsidRPr="00F715D1">
        <w:t xml:space="preserve">Summary of consideration and rationale for MSAC’s advice </w:t>
      </w:r>
    </w:p>
    <w:p w14:paraId="0F891932" w14:textId="77777777" w:rsidR="00014A38" w:rsidRPr="008B7B85" w:rsidRDefault="00014A38" w:rsidP="00014A38">
      <w:pPr>
        <w:spacing w:after="240"/>
      </w:pPr>
      <w:r w:rsidRPr="008B7B85">
        <w:t>MSAC noted that Application 1653 is a minor submission requesting removal of the requirement to be CD-19 positive for publicly funded treatment with tisagenlecleucel (TIS) for refractory/relapsed DLBCL in adults, primary mediastinal large B-cell lymphoma and transformed follicular lymphoma.</w:t>
      </w:r>
    </w:p>
    <w:p w14:paraId="19985900" w14:textId="22627500" w:rsidR="00014A38" w:rsidRPr="008B7B85" w:rsidRDefault="00014A38" w:rsidP="00014A38">
      <w:pPr>
        <w:spacing w:after="240"/>
      </w:pPr>
      <w:r w:rsidRPr="008B7B85">
        <w:t>MSAC noted the applicant’s assertion in its pre-MSAC response that a retrospective analysis of the JULIET study revealed that there is no clear relationship between high and low CD-19 expression and response to TIS. MSAC agreed, but considered this to be of limited relevance, as the funding eligibility criteria do not include a threshold for CD-19 positivity. MSAC further noted that all patients in the JULIET study</w:t>
      </w:r>
      <w:r w:rsidR="00BA6657">
        <w:t xml:space="preserve"> for whom CD-19 levels were done</w:t>
      </w:r>
      <w:r w:rsidRPr="008B7B85">
        <w:t xml:space="preserve"> had some level of CD-19 expression. The applicant also asserted that CD-19 testing is not routine practice, but MSAC </w:t>
      </w:r>
      <w:r w:rsidR="00396B38">
        <w:t xml:space="preserve">noted advice from the </w:t>
      </w:r>
      <w:r w:rsidR="003034DC">
        <w:t>s</w:t>
      </w:r>
      <w:r w:rsidR="00E043B3">
        <w:t>tate jurisdictions</w:t>
      </w:r>
      <w:r w:rsidR="00396B38">
        <w:t xml:space="preserve"> </w:t>
      </w:r>
      <w:r w:rsidRPr="00BA501D">
        <w:t>that immunohistochemistry</w:t>
      </w:r>
      <w:r w:rsidR="00E043B3">
        <w:t xml:space="preserve"> (IHC)</w:t>
      </w:r>
      <w:r w:rsidRPr="00BA501D">
        <w:t xml:space="preserve"> testing for CD-19 is routine in Australia.</w:t>
      </w:r>
    </w:p>
    <w:p w14:paraId="049B1392" w14:textId="3FCAE1D6" w:rsidR="00014A38" w:rsidRPr="008B7B85" w:rsidRDefault="00014A38" w:rsidP="00396B38">
      <w:pPr>
        <w:spacing w:after="240"/>
      </w:pPr>
      <w:r w:rsidRPr="008B7B85">
        <w:t xml:space="preserve">MSAC noted that TIS is a chimeric antigen receptor T-cell (CAR-T) therapy – also known as CTL019 – </w:t>
      </w:r>
      <w:r w:rsidR="00396B38">
        <w:t>it comprise</w:t>
      </w:r>
      <w:r w:rsidR="003034DC">
        <w:t>s</w:t>
      </w:r>
      <w:r w:rsidR="00396B38">
        <w:t xml:space="preserve"> autologous T-cells genetically modified ex vivo using a lentiviral vector encoding an anti-CD19 chimeric antigen receptor</w:t>
      </w:r>
      <w:r w:rsidRPr="008B7B85">
        <w:t>. MSAC thus considered</w:t>
      </w:r>
      <w:r w:rsidR="00396B38">
        <w:t xml:space="preserve"> it </w:t>
      </w:r>
      <w:r w:rsidR="003034DC">
        <w:t>appropriate for</w:t>
      </w:r>
      <w:r w:rsidR="00396B38">
        <w:t xml:space="preserve"> </w:t>
      </w:r>
      <w:r w:rsidRPr="008B7B85">
        <w:t xml:space="preserve">patients who receive TIS </w:t>
      </w:r>
      <w:r w:rsidR="00396B38">
        <w:t>to</w:t>
      </w:r>
      <w:r w:rsidR="00396B38" w:rsidRPr="008B7B85">
        <w:t xml:space="preserve"> </w:t>
      </w:r>
      <w:r w:rsidRPr="008B7B85">
        <w:t>be CD-19 positive</w:t>
      </w:r>
      <w:r w:rsidR="00396B38">
        <w:t xml:space="preserve"> in absence of any evidence that it is effective in patients who are not CD-19 positive.</w:t>
      </w:r>
    </w:p>
    <w:p w14:paraId="4C4A6EDA" w14:textId="6490321C" w:rsidR="00014A38" w:rsidRPr="008B7B85" w:rsidRDefault="00014A38" w:rsidP="00014A38">
      <w:pPr>
        <w:spacing w:after="240"/>
      </w:pPr>
      <w:r w:rsidRPr="008B7B85">
        <w:t>MSAC noted the state</w:t>
      </w:r>
      <w:r w:rsidR="00396B38">
        <w:t xml:space="preserve"> responses were, in general, not supportive of the change</w:t>
      </w:r>
      <w:r w:rsidR="00BA6657">
        <w:t>, noting among other things that</w:t>
      </w:r>
      <w:r w:rsidRPr="008B7B85">
        <w:t xml:space="preserve"> CD-19 testing is routine clinical care, and that removing the criteria for CD-19 positivity may affect the payment agreement. </w:t>
      </w:r>
    </w:p>
    <w:p w14:paraId="5E8B7E7B" w14:textId="5DDD14BC" w:rsidR="00014A38" w:rsidRPr="008B7B85" w:rsidRDefault="00014A38" w:rsidP="00014A38">
      <w:pPr>
        <w:spacing w:after="240"/>
      </w:pPr>
      <w:r w:rsidRPr="008B7B85">
        <w:t>MSAC noted that removing the criteria for CD-19 positivity w</w:t>
      </w:r>
      <w:r w:rsidR="002D5238">
        <w:t>ould</w:t>
      </w:r>
      <w:r w:rsidRPr="008B7B85">
        <w:t xml:space="preserve"> have potential implications for axicabtagene (Gilead) and childhood acute lymphoblastic leukaemia.</w:t>
      </w:r>
    </w:p>
    <w:p w14:paraId="362E8103" w14:textId="1E183889" w:rsidR="00550354" w:rsidRDefault="00014A38" w:rsidP="00014A38">
      <w:pPr>
        <w:spacing w:after="240"/>
      </w:pPr>
      <w:r w:rsidRPr="008B7B85">
        <w:t>MSAC noted that the CAR-T program requires ongoing evaluation.</w:t>
      </w:r>
    </w:p>
    <w:p w14:paraId="52081444" w14:textId="42D486F3" w:rsidR="00D50CDB" w:rsidRDefault="00D50CDB" w:rsidP="00014A38">
      <w:pPr>
        <w:spacing w:after="240"/>
      </w:pPr>
      <w:r>
        <w:t xml:space="preserve">MSAC noted that emerging data on pre-treatment with other CD19 treatments (such as blinatumumab) may influence response to CAR-T therapy. </w:t>
      </w:r>
    </w:p>
    <w:p w14:paraId="223DB1F8" w14:textId="18DF985D" w:rsidR="008B7B85" w:rsidRPr="008B7B85" w:rsidRDefault="008B7B85" w:rsidP="00014A38">
      <w:pPr>
        <w:spacing w:after="240"/>
      </w:pPr>
      <w:r>
        <w:t xml:space="preserve">MSAC considered that if TIS is to be used in a wider population or if the requirement for CD19 positivity is to be removed, that the applicant must come back with a new submission with </w:t>
      </w:r>
      <w:r w:rsidR="00396B38">
        <w:t xml:space="preserve">additional </w:t>
      </w:r>
      <w:r>
        <w:t xml:space="preserve">evidence to support </w:t>
      </w:r>
      <w:r w:rsidR="00396B38">
        <w:t>the change</w:t>
      </w:r>
      <w:r>
        <w:t xml:space="preserve">. </w:t>
      </w:r>
    </w:p>
    <w:p w14:paraId="31180FDB" w14:textId="77777777" w:rsidR="00BC1364" w:rsidRPr="00F715D1" w:rsidRDefault="00BC1364" w:rsidP="00F715D1">
      <w:pPr>
        <w:pStyle w:val="Heading1"/>
      </w:pPr>
      <w:r w:rsidRPr="00F715D1">
        <w:t>Background</w:t>
      </w:r>
    </w:p>
    <w:p w14:paraId="3F9C3CCA" w14:textId="1BCBF5D7" w:rsidR="007E5B0E" w:rsidRPr="008B7B85" w:rsidRDefault="007E5B0E" w:rsidP="008B7B85">
      <w:pPr>
        <w:pStyle w:val="3Bodytext"/>
        <w:numPr>
          <w:ilvl w:val="0"/>
          <w:numId w:val="0"/>
        </w:numPr>
        <w:rPr>
          <w:rFonts w:ascii="Times New Roman" w:eastAsia="Times New Roman" w:hAnsi="Times New Roman" w:cs="Times New Roman"/>
          <w:szCs w:val="24"/>
        </w:rPr>
      </w:pPr>
      <w:r w:rsidRPr="008B7B85">
        <w:rPr>
          <w:rFonts w:ascii="Times New Roman" w:eastAsia="Times New Roman" w:hAnsi="Times New Roman" w:cs="Times New Roman"/>
          <w:szCs w:val="24"/>
        </w:rPr>
        <w:t xml:space="preserve">TIS was recommended for public funding for </w:t>
      </w:r>
      <w:r w:rsidR="000A4B40" w:rsidRPr="008B7B85">
        <w:rPr>
          <w:rFonts w:ascii="Times New Roman" w:eastAsia="Times New Roman" w:hAnsi="Times New Roman" w:cs="Times New Roman"/>
          <w:szCs w:val="24"/>
        </w:rPr>
        <w:t xml:space="preserve">the treatment of diffuse large B-cell lymphoma (DLBCL); primary mediastinal large B-cell lymphoma (PMBCL) or transformed follicular lymphoma (TFL) </w:t>
      </w:r>
      <w:r w:rsidRPr="008B7B85">
        <w:rPr>
          <w:rFonts w:ascii="Times New Roman" w:eastAsia="Times New Roman" w:hAnsi="Times New Roman" w:cs="Times New Roman"/>
          <w:szCs w:val="24"/>
        </w:rPr>
        <w:t xml:space="preserve">at the November 2019 MSAC meeting (MSAC 1519.1). </w:t>
      </w:r>
    </w:p>
    <w:p w14:paraId="70089E98" w14:textId="77777777" w:rsidR="00BC1364" w:rsidRPr="00F715D1" w:rsidRDefault="00BC1364" w:rsidP="00F715D1">
      <w:pPr>
        <w:pStyle w:val="Heading1"/>
      </w:pPr>
      <w:r w:rsidRPr="00F715D1">
        <w:t>Prerequisites to implementation of any funding advice</w:t>
      </w:r>
    </w:p>
    <w:p w14:paraId="15B91333" w14:textId="77777777" w:rsidR="00D67333" w:rsidRPr="00FC7D6A" w:rsidRDefault="00D67333" w:rsidP="00D67333">
      <w:pPr>
        <w:spacing w:after="240"/>
        <w:rPr>
          <w:szCs w:val="24"/>
        </w:rPr>
      </w:pPr>
      <w:r w:rsidRPr="007E5B0E">
        <w:rPr>
          <w:szCs w:val="24"/>
        </w:rPr>
        <w:t>TIS is TGA registered for (1) the treatment of paediatric and young adult patients up to 25 years of age with B-cell precursor acute lymphoblastic leukaemia (ALL) that is refractory, in relapse post-transplant, or in secon</w:t>
      </w:r>
      <w:r>
        <w:rPr>
          <w:szCs w:val="24"/>
        </w:rPr>
        <w:t xml:space="preserve">d or later relapse and (2) the </w:t>
      </w:r>
      <w:r w:rsidRPr="007E5B0E">
        <w:rPr>
          <w:szCs w:val="24"/>
        </w:rPr>
        <w:t>treatment of adult patients with relapsed or refractory diffuse large B-cell</w:t>
      </w:r>
      <w:r w:rsidRPr="00D67333">
        <w:rPr>
          <w:szCs w:val="24"/>
        </w:rPr>
        <w:t xml:space="preserve"> lymphoma (DLBCL) after two or more lines of systemic therapy. TIS is not indicated for patients with primary central nervous system lymphoma.</w:t>
      </w:r>
    </w:p>
    <w:p w14:paraId="56140CCF" w14:textId="77777777" w:rsidR="00BC1364" w:rsidRPr="00F715D1" w:rsidRDefault="00BC1364" w:rsidP="00F715D1">
      <w:pPr>
        <w:pStyle w:val="Heading1"/>
      </w:pPr>
      <w:r w:rsidRPr="00F715D1">
        <w:t>Proposal for public funding</w:t>
      </w:r>
    </w:p>
    <w:p w14:paraId="5A3C41A1" w14:textId="5D66C872" w:rsidR="00D67333" w:rsidRDefault="00384272" w:rsidP="00D67333">
      <w:pPr>
        <w:tabs>
          <w:tab w:val="left" w:pos="720"/>
          <w:tab w:val="left" w:pos="1140"/>
        </w:tabs>
        <w:spacing w:after="240"/>
        <w:rPr>
          <w:szCs w:val="24"/>
        </w:rPr>
      </w:pPr>
      <w:r w:rsidRPr="008B7B85">
        <w:rPr>
          <w:szCs w:val="24"/>
        </w:rPr>
        <w:t>The applica</w:t>
      </w:r>
      <w:r w:rsidR="00BC1364" w:rsidRPr="008B7B85">
        <w:rPr>
          <w:szCs w:val="24"/>
        </w:rPr>
        <w:t>t</w:t>
      </w:r>
      <w:r w:rsidRPr="008B7B85">
        <w:rPr>
          <w:szCs w:val="24"/>
        </w:rPr>
        <w:t>ion</w:t>
      </w:r>
      <w:r w:rsidR="00BC1364" w:rsidRPr="008B7B85">
        <w:rPr>
          <w:szCs w:val="24"/>
        </w:rPr>
        <w:t xml:space="preserve"> proposed that </w:t>
      </w:r>
      <w:r w:rsidR="00D67333">
        <w:rPr>
          <w:szCs w:val="24"/>
        </w:rPr>
        <w:t>the removal of the requirement for a patient to test positive for CD19 expression</w:t>
      </w:r>
      <w:r w:rsidR="00750D6D">
        <w:rPr>
          <w:szCs w:val="24"/>
        </w:rPr>
        <w:t xml:space="preserve"> should be made for two</w:t>
      </w:r>
      <w:r w:rsidR="00D67333">
        <w:rPr>
          <w:szCs w:val="24"/>
        </w:rPr>
        <w:t xml:space="preserve"> reasons: </w:t>
      </w:r>
    </w:p>
    <w:p w14:paraId="54AEB4EC" w14:textId="77777777" w:rsidR="00D67333" w:rsidRDefault="00D67333" w:rsidP="008B7B85">
      <w:pPr>
        <w:pStyle w:val="ListParagraph"/>
        <w:numPr>
          <w:ilvl w:val="0"/>
          <w:numId w:val="28"/>
        </w:numPr>
        <w:tabs>
          <w:tab w:val="left" w:pos="720"/>
          <w:tab w:val="left" w:pos="1140"/>
        </w:tabs>
        <w:spacing w:after="240"/>
        <w:rPr>
          <w:szCs w:val="24"/>
        </w:rPr>
      </w:pPr>
      <w:r>
        <w:rPr>
          <w:szCs w:val="24"/>
        </w:rPr>
        <w:t>CD19 positivity was not part of the eligibility criteria in the pivotal JULIET trial which was considered at the November 201</w:t>
      </w:r>
      <w:r w:rsidR="00750D6D">
        <w:rPr>
          <w:szCs w:val="24"/>
        </w:rPr>
        <w:t>9 MSAC meeting; and</w:t>
      </w:r>
    </w:p>
    <w:p w14:paraId="4D5FB01A" w14:textId="77777777" w:rsidR="00D67333" w:rsidRPr="00D67333" w:rsidRDefault="00D67333" w:rsidP="008B7B85">
      <w:pPr>
        <w:pStyle w:val="ListParagraph"/>
        <w:numPr>
          <w:ilvl w:val="0"/>
          <w:numId w:val="28"/>
        </w:numPr>
        <w:tabs>
          <w:tab w:val="left" w:pos="720"/>
          <w:tab w:val="left" w:pos="1140"/>
        </w:tabs>
        <w:spacing w:after="240"/>
        <w:rPr>
          <w:szCs w:val="24"/>
        </w:rPr>
      </w:pPr>
      <w:r>
        <w:rPr>
          <w:szCs w:val="24"/>
        </w:rPr>
        <w:t xml:space="preserve">CD19 testing </w:t>
      </w:r>
      <w:r w:rsidR="00750D6D">
        <w:rPr>
          <w:szCs w:val="24"/>
        </w:rPr>
        <w:t xml:space="preserve">is not standard clinical practice in treating DLBCL. </w:t>
      </w:r>
    </w:p>
    <w:p w14:paraId="6AF3C4A3" w14:textId="77777777" w:rsidR="00233A1C" w:rsidRDefault="00750D6D" w:rsidP="00D67333">
      <w:pPr>
        <w:tabs>
          <w:tab w:val="left" w:pos="720"/>
          <w:tab w:val="left" w:pos="1140"/>
        </w:tabs>
        <w:spacing w:after="240"/>
        <w:rPr>
          <w:szCs w:val="24"/>
        </w:rPr>
      </w:pPr>
      <w:r>
        <w:rPr>
          <w:szCs w:val="24"/>
        </w:rPr>
        <w:t xml:space="preserve">The applicant considered that the change to the listing would not affect the financial implications of public funding for these indications since the financial estimates considered at the November 2019 MSAC meeting did not exclude CD19 low/negative patients. The applicant also considered that there may be potential delay and/or restricted access to treatment of TIS due to the requirements of CD19 testing to be conducted. </w:t>
      </w:r>
    </w:p>
    <w:p w14:paraId="24CB9056" w14:textId="77777777" w:rsidR="00233A1C" w:rsidRDefault="00233A1C" w:rsidP="00D67333">
      <w:pPr>
        <w:tabs>
          <w:tab w:val="left" w:pos="720"/>
          <w:tab w:val="left" w:pos="1140"/>
        </w:tabs>
        <w:spacing w:after="240"/>
        <w:rPr>
          <w:szCs w:val="24"/>
        </w:rPr>
      </w:pPr>
      <w:r>
        <w:rPr>
          <w:szCs w:val="24"/>
        </w:rPr>
        <w:t xml:space="preserve">The application provided evidence from three sources: </w:t>
      </w:r>
    </w:p>
    <w:p w14:paraId="306CF51B" w14:textId="77777777" w:rsidR="00233A1C" w:rsidRDefault="00233A1C" w:rsidP="00233A1C">
      <w:pPr>
        <w:pStyle w:val="ListParagraph"/>
        <w:numPr>
          <w:ilvl w:val="0"/>
          <w:numId w:val="32"/>
        </w:numPr>
        <w:spacing w:after="200" w:line="276" w:lineRule="auto"/>
      </w:pPr>
      <w:r>
        <w:t>Summary of evidence of CD19 expression in DLBCL</w:t>
      </w:r>
    </w:p>
    <w:p w14:paraId="5F03D9AF" w14:textId="77777777" w:rsidR="00233A1C" w:rsidRDefault="00233A1C" w:rsidP="00233A1C">
      <w:pPr>
        <w:pStyle w:val="ListParagraph"/>
        <w:numPr>
          <w:ilvl w:val="0"/>
          <w:numId w:val="32"/>
        </w:numPr>
        <w:spacing w:after="200" w:line="276" w:lineRule="auto"/>
      </w:pPr>
      <w:r>
        <w:t>Patient eligibility criteria for the pivotal JULIET trial (C2201)</w:t>
      </w:r>
    </w:p>
    <w:p w14:paraId="31C2F65A" w14:textId="77777777" w:rsidR="00233A1C" w:rsidRPr="005C5EB4" w:rsidRDefault="00233A1C" w:rsidP="00233A1C">
      <w:pPr>
        <w:pStyle w:val="ListParagraph"/>
        <w:numPr>
          <w:ilvl w:val="0"/>
          <w:numId w:val="32"/>
        </w:numPr>
        <w:spacing w:after="200" w:line="276" w:lineRule="auto"/>
        <w:rPr>
          <w:rFonts w:eastAsiaTheme="minorHAnsi" w:cstheme="minorBidi"/>
          <w:szCs w:val="22"/>
        </w:rPr>
      </w:pPr>
      <w:r>
        <w:t xml:space="preserve">Exploratory analysis of CD19 expression and overall response from the JULIET study, </w:t>
      </w:r>
      <w:r w:rsidRPr="005C5EB4">
        <w:rPr>
          <w:rFonts w:eastAsiaTheme="minorHAnsi" w:cstheme="minorBidi"/>
          <w:szCs w:val="22"/>
        </w:rPr>
        <w:t>including individual patient data for CD19 “low/negative” patients.</w:t>
      </w:r>
    </w:p>
    <w:p w14:paraId="015EDB64" w14:textId="77777777"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14:paraId="0DD393BD" w14:textId="325B2955" w:rsidR="00BC1364" w:rsidRPr="00F72715" w:rsidRDefault="00F0362E">
      <w:pPr>
        <w:spacing w:after="240"/>
        <w:rPr>
          <w:i/>
          <w:szCs w:val="24"/>
        </w:rPr>
      </w:pPr>
      <w:r w:rsidRPr="008B7B85">
        <w:rPr>
          <w:szCs w:val="24"/>
        </w:rPr>
        <w:t xml:space="preserve">There was no public consultation feedback received </w:t>
      </w:r>
      <w:r w:rsidR="007D7989">
        <w:rPr>
          <w:szCs w:val="24"/>
        </w:rPr>
        <w:t>for</w:t>
      </w:r>
      <w:r w:rsidRPr="008B7B85">
        <w:rPr>
          <w:szCs w:val="24"/>
        </w:rPr>
        <w:t xml:space="preserve"> this minor </w:t>
      </w:r>
      <w:r w:rsidR="00A46646">
        <w:rPr>
          <w:szCs w:val="24"/>
        </w:rPr>
        <w:t>application</w:t>
      </w:r>
      <w:r w:rsidRPr="008B7B85">
        <w:rPr>
          <w:szCs w:val="24"/>
        </w:rPr>
        <w:t xml:space="preserve">. </w:t>
      </w:r>
    </w:p>
    <w:p w14:paraId="08D782D5" w14:textId="77777777" w:rsidR="00BC1364" w:rsidRPr="00F715D1" w:rsidRDefault="00BC1364" w:rsidP="00F715D1">
      <w:pPr>
        <w:pStyle w:val="Heading1"/>
      </w:pPr>
      <w:r w:rsidRPr="00F715D1">
        <w:t>Proposed intervention’s place in clinical management</w:t>
      </w:r>
    </w:p>
    <w:p w14:paraId="4EC2D3F2" w14:textId="77777777" w:rsidR="00CF4E81" w:rsidRDefault="00CF4E81" w:rsidP="00F715D1">
      <w:pPr>
        <w:spacing w:after="240"/>
        <w:rPr>
          <w:b/>
          <w:szCs w:val="24"/>
        </w:rPr>
      </w:pPr>
      <w:r w:rsidRPr="00CF4E81">
        <w:rPr>
          <w:b/>
          <w:szCs w:val="24"/>
        </w:rPr>
        <w:t>Description of Proposed Intervention</w:t>
      </w:r>
    </w:p>
    <w:p w14:paraId="2349D3B4" w14:textId="59378AA9" w:rsidR="002B2655" w:rsidRDefault="002B2655" w:rsidP="00F715D1">
      <w:pPr>
        <w:spacing w:after="240"/>
        <w:rPr>
          <w:szCs w:val="24"/>
        </w:rPr>
      </w:pPr>
      <w:r w:rsidRPr="008B7B85">
        <w:rPr>
          <w:szCs w:val="24"/>
        </w:rPr>
        <w:t xml:space="preserve">The current eligibility criteria for treatment with TIS is detailed </w:t>
      </w:r>
      <w:r w:rsidR="00E043B3">
        <w:rPr>
          <w:szCs w:val="24"/>
        </w:rPr>
        <w:t xml:space="preserve">in the </w:t>
      </w:r>
      <w:r w:rsidRPr="008B7B85">
        <w:rPr>
          <w:szCs w:val="24"/>
        </w:rPr>
        <w:t xml:space="preserve">below </w:t>
      </w:r>
      <w:r w:rsidR="00E043B3">
        <w:rPr>
          <w:szCs w:val="24"/>
        </w:rPr>
        <w:t xml:space="preserve">table </w:t>
      </w:r>
      <w:r w:rsidRPr="008B7B85">
        <w:rPr>
          <w:szCs w:val="24"/>
        </w:rPr>
        <w:t xml:space="preserve">with suggested amendment to the criteria marked in strikethrough. </w:t>
      </w:r>
    </w:p>
    <w:p w14:paraId="624B6805" w14:textId="77777777" w:rsidR="002B2655" w:rsidRPr="00E043B3" w:rsidRDefault="002B2655" w:rsidP="002B2655">
      <w:pPr>
        <w:keepNext/>
        <w:keepLines/>
        <w:spacing w:before="240"/>
        <w:rPr>
          <w:sz w:val="20"/>
        </w:rPr>
      </w:pPr>
      <w:r w:rsidRPr="00E043B3">
        <w:rPr>
          <w:b/>
          <w:sz w:val="20"/>
        </w:rPr>
        <w:t>Table 1: MSAC recommended eligibility criteria for TIS</w:t>
      </w:r>
    </w:p>
    <w:tbl>
      <w:tblPr>
        <w:tblStyle w:val="Submissionstandard"/>
        <w:tblW w:w="9214" w:type="dxa"/>
        <w:tblLayout w:type="fixed"/>
        <w:tblLook w:val="0000" w:firstRow="0" w:lastRow="0" w:firstColumn="0" w:lastColumn="0" w:noHBand="0" w:noVBand="0"/>
        <w:tblDescription w:val="Proposed patient eligibility criteria for TIS"/>
      </w:tblPr>
      <w:tblGrid>
        <w:gridCol w:w="2835"/>
        <w:gridCol w:w="6379"/>
      </w:tblGrid>
      <w:tr w:rsidR="002B2655" w:rsidRPr="00AE5B3E" w14:paraId="06E77EE9" w14:textId="77777777" w:rsidTr="00FC7D6A">
        <w:trPr>
          <w:trHeight w:val="360"/>
          <w:tblHeader/>
        </w:trPr>
        <w:tc>
          <w:tcPr>
            <w:tcW w:w="2835" w:type="dxa"/>
          </w:tcPr>
          <w:p w14:paraId="01E27A89" w14:textId="77777777" w:rsidR="002B2655" w:rsidRPr="00606379" w:rsidRDefault="002B2655" w:rsidP="00FC7D6A">
            <w:pPr>
              <w:keepNext/>
              <w:keepLines/>
              <w:rPr>
                <w:rFonts w:cstheme="minorHAnsi"/>
                <w:b/>
                <w:sz w:val="20"/>
              </w:rPr>
            </w:pPr>
            <w:r>
              <w:rPr>
                <w:rFonts w:cstheme="minorHAnsi"/>
                <w:b/>
                <w:sz w:val="20"/>
              </w:rPr>
              <w:t>Indication:</w:t>
            </w:r>
          </w:p>
        </w:tc>
        <w:tc>
          <w:tcPr>
            <w:tcW w:w="6379" w:type="dxa"/>
          </w:tcPr>
          <w:p w14:paraId="688390C4" w14:textId="77777777" w:rsidR="002B2655" w:rsidRPr="002B2655" w:rsidRDefault="002B2655" w:rsidP="00FC7D6A">
            <w:pPr>
              <w:keepNext/>
              <w:keepLines/>
              <w:rPr>
                <w:rFonts w:cstheme="minorHAnsi"/>
                <w:sz w:val="20"/>
              </w:rPr>
            </w:pPr>
            <w:r w:rsidRPr="00AE5B3E">
              <w:rPr>
                <w:rFonts w:cstheme="minorHAnsi"/>
                <w:sz w:val="20"/>
              </w:rPr>
              <w:t>Relapsed or refractory</w:t>
            </w:r>
            <w:r w:rsidRPr="002B2655">
              <w:rPr>
                <w:rFonts w:cstheme="minorHAnsi"/>
                <w:sz w:val="20"/>
              </w:rPr>
              <w:t xml:space="preserve"> </w:t>
            </w:r>
            <w:r w:rsidRPr="008B7B85">
              <w:rPr>
                <w:rFonts w:cstheme="minorHAnsi"/>
                <w:strike/>
                <w:sz w:val="20"/>
              </w:rPr>
              <w:t>CD19-positive</w:t>
            </w:r>
            <w:r w:rsidRPr="008B7B85">
              <w:rPr>
                <w:rFonts w:cstheme="minorHAnsi"/>
                <w:b/>
                <w:sz w:val="20"/>
              </w:rPr>
              <w:t>:</w:t>
            </w:r>
          </w:p>
          <w:p w14:paraId="1A55957C" w14:textId="77777777" w:rsidR="002B2655" w:rsidRPr="00AE5B3E" w:rsidRDefault="002B2655" w:rsidP="002B2655">
            <w:pPr>
              <w:pStyle w:val="ListParagraph"/>
              <w:keepNext/>
              <w:keepLines/>
              <w:numPr>
                <w:ilvl w:val="0"/>
                <w:numId w:val="29"/>
              </w:numPr>
              <w:rPr>
                <w:rFonts w:cstheme="minorHAnsi"/>
                <w:sz w:val="20"/>
              </w:rPr>
            </w:pPr>
            <w:r w:rsidRPr="00AE5B3E">
              <w:rPr>
                <w:rFonts w:cstheme="minorHAnsi"/>
                <w:bCs/>
                <w:sz w:val="20"/>
              </w:rPr>
              <w:t>diffuse large B-cell lymphoma (DLBCL);</w:t>
            </w:r>
          </w:p>
          <w:p w14:paraId="60547E34" w14:textId="77777777" w:rsidR="002B2655" w:rsidRPr="00AE5B3E" w:rsidRDefault="002B2655" w:rsidP="002B2655">
            <w:pPr>
              <w:pStyle w:val="ListParagraph"/>
              <w:keepNext/>
              <w:keepLines/>
              <w:numPr>
                <w:ilvl w:val="0"/>
                <w:numId w:val="29"/>
              </w:numPr>
              <w:rPr>
                <w:rFonts w:cstheme="minorHAnsi"/>
                <w:sz w:val="20"/>
              </w:rPr>
            </w:pPr>
            <w:r w:rsidRPr="00AE5B3E">
              <w:rPr>
                <w:rFonts w:cstheme="minorHAnsi"/>
                <w:bCs/>
                <w:sz w:val="20"/>
              </w:rPr>
              <w:t>primary mediastinal large B-cell lymphoma (PMBCL);</w:t>
            </w:r>
          </w:p>
          <w:p w14:paraId="247A67A9" w14:textId="77777777" w:rsidR="002B2655" w:rsidRPr="00AE5B3E" w:rsidRDefault="002B2655" w:rsidP="002B2655">
            <w:pPr>
              <w:pStyle w:val="ListParagraph"/>
              <w:keepNext/>
              <w:keepLines/>
              <w:numPr>
                <w:ilvl w:val="0"/>
                <w:numId w:val="29"/>
              </w:numPr>
              <w:rPr>
                <w:rFonts w:cstheme="minorHAnsi"/>
                <w:sz w:val="20"/>
              </w:rPr>
            </w:pPr>
            <w:r w:rsidRPr="00AE5B3E">
              <w:rPr>
                <w:rFonts w:cstheme="minorHAnsi"/>
                <w:bCs/>
                <w:sz w:val="20"/>
              </w:rPr>
              <w:t>transformed follicular lymphoma (TFL)</w:t>
            </w:r>
          </w:p>
        </w:tc>
      </w:tr>
      <w:tr w:rsidR="002B2655" w:rsidRPr="00AE5B3E" w14:paraId="5EA6AFCF" w14:textId="77777777" w:rsidTr="00FC7D6A">
        <w:trPr>
          <w:trHeight w:val="360"/>
        </w:trPr>
        <w:tc>
          <w:tcPr>
            <w:tcW w:w="2835" w:type="dxa"/>
          </w:tcPr>
          <w:p w14:paraId="79FC732D" w14:textId="77777777" w:rsidR="002B2655" w:rsidRPr="00606379" w:rsidRDefault="002B2655" w:rsidP="00FC7D6A">
            <w:pPr>
              <w:keepNext/>
              <w:keepLines/>
              <w:rPr>
                <w:rFonts w:cstheme="minorHAnsi"/>
                <w:b/>
                <w:sz w:val="20"/>
              </w:rPr>
            </w:pPr>
            <w:r>
              <w:rPr>
                <w:rFonts w:cstheme="minorHAnsi"/>
                <w:b/>
                <w:sz w:val="20"/>
              </w:rPr>
              <w:t>Treatment criteria:</w:t>
            </w:r>
          </w:p>
        </w:tc>
        <w:tc>
          <w:tcPr>
            <w:tcW w:w="6379" w:type="dxa"/>
          </w:tcPr>
          <w:p w14:paraId="64DB90F0" w14:textId="77777777" w:rsidR="002B2655" w:rsidRPr="00AE5B3E" w:rsidRDefault="002B2655" w:rsidP="00FC7D6A">
            <w:pPr>
              <w:keepNext/>
              <w:keepLines/>
              <w:rPr>
                <w:rFonts w:cstheme="minorHAnsi"/>
                <w:sz w:val="20"/>
              </w:rPr>
            </w:pPr>
            <w:r w:rsidRPr="00AE5B3E">
              <w:rPr>
                <w:rFonts w:cstheme="minorHAnsi"/>
                <w:sz w:val="20"/>
              </w:rPr>
              <w:t>Patient must be treated in a tertiary public hospital with appropriate credentials</w:t>
            </w:r>
          </w:p>
          <w:p w14:paraId="56543050" w14:textId="77777777" w:rsidR="002B2655" w:rsidRPr="00AE5B3E" w:rsidRDefault="002B2655" w:rsidP="00FC7D6A">
            <w:pPr>
              <w:keepNext/>
              <w:keepLines/>
              <w:rPr>
                <w:rFonts w:cstheme="minorHAnsi"/>
                <w:sz w:val="20"/>
              </w:rPr>
            </w:pPr>
            <w:r w:rsidRPr="00AE5B3E">
              <w:rPr>
                <w:rFonts w:cstheme="minorHAnsi"/>
                <w:sz w:val="20"/>
              </w:rPr>
              <w:t>AND</w:t>
            </w:r>
          </w:p>
          <w:p w14:paraId="76CE40D4" w14:textId="77777777" w:rsidR="002B2655" w:rsidRPr="00AE5B3E" w:rsidRDefault="002B2655" w:rsidP="00FC7D6A">
            <w:pPr>
              <w:keepNext/>
              <w:keepLines/>
              <w:rPr>
                <w:rFonts w:cstheme="minorHAnsi"/>
                <w:sz w:val="20"/>
              </w:rPr>
            </w:pPr>
            <w:r w:rsidRPr="00AE5B3E">
              <w:rPr>
                <w:rFonts w:cstheme="minorHAnsi"/>
                <w:sz w:val="20"/>
              </w:rPr>
              <w:t>Patient must be treated by a haematologist working in a multi-disciplinary team specialising in the provision of CAR-T cell therapy</w:t>
            </w:r>
          </w:p>
          <w:p w14:paraId="619A0810" w14:textId="77777777" w:rsidR="002B2655" w:rsidRPr="00AE5B3E" w:rsidRDefault="002B2655" w:rsidP="00FC7D6A">
            <w:pPr>
              <w:keepNext/>
              <w:keepLines/>
              <w:rPr>
                <w:rFonts w:cstheme="minorHAnsi"/>
                <w:sz w:val="20"/>
              </w:rPr>
            </w:pPr>
            <w:r w:rsidRPr="00AE5B3E">
              <w:rPr>
                <w:rFonts w:cstheme="minorHAnsi"/>
                <w:sz w:val="20"/>
              </w:rPr>
              <w:t>AND</w:t>
            </w:r>
            <w:r w:rsidRPr="00AE5B3E">
              <w:rPr>
                <w:rFonts w:cstheme="minorHAnsi"/>
                <w:sz w:val="20"/>
              </w:rPr>
              <w:br/>
              <w:t>Patient must not have uncontrolled infection, including</w:t>
            </w:r>
            <w:r>
              <w:rPr>
                <w:rFonts w:cstheme="minorHAnsi"/>
                <w:sz w:val="20"/>
              </w:rPr>
              <w:t xml:space="preserve"> uncontrolled</w:t>
            </w:r>
            <w:r w:rsidRPr="00AE5B3E">
              <w:rPr>
                <w:rFonts w:cstheme="minorHAnsi"/>
                <w:sz w:val="20"/>
              </w:rPr>
              <w:t xml:space="preserve"> HIV or active hepatitis B or C infection</w:t>
            </w:r>
          </w:p>
          <w:p w14:paraId="6D34422C" w14:textId="77777777" w:rsidR="002B2655" w:rsidRPr="00AE5B3E" w:rsidRDefault="002B2655" w:rsidP="00FC7D6A">
            <w:pPr>
              <w:keepNext/>
              <w:keepLines/>
              <w:rPr>
                <w:rFonts w:cstheme="minorHAnsi"/>
                <w:sz w:val="20"/>
              </w:rPr>
            </w:pPr>
            <w:r w:rsidRPr="00AE5B3E">
              <w:rPr>
                <w:rFonts w:cstheme="minorHAnsi"/>
                <w:sz w:val="20"/>
              </w:rPr>
              <w:t>AND</w:t>
            </w:r>
          </w:p>
          <w:p w14:paraId="08DB9590" w14:textId="77777777" w:rsidR="002B2655" w:rsidRPr="00AE5B3E" w:rsidRDefault="002B2655" w:rsidP="00FC7D6A">
            <w:pPr>
              <w:keepNext/>
              <w:keepLines/>
              <w:rPr>
                <w:rFonts w:cstheme="minorHAnsi"/>
                <w:sz w:val="20"/>
              </w:rPr>
            </w:pPr>
            <w:r w:rsidRPr="00AE5B3E">
              <w:rPr>
                <w:rFonts w:cstheme="minorHAnsi"/>
                <w:sz w:val="20"/>
              </w:rPr>
              <w:t>Patient must not have primary CNS lymphoma</w:t>
            </w:r>
          </w:p>
          <w:p w14:paraId="6B05674A" w14:textId="77777777" w:rsidR="002B2655" w:rsidRPr="00AE5B3E" w:rsidRDefault="002B2655" w:rsidP="00FC7D6A">
            <w:pPr>
              <w:keepNext/>
              <w:keepLines/>
              <w:rPr>
                <w:rFonts w:cstheme="minorHAnsi"/>
                <w:sz w:val="20"/>
              </w:rPr>
            </w:pPr>
            <w:r w:rsidRPr="00AE5B3E">
              <w:rPr>
                <w:rFonts w:cstheme="minorHAnsi"/>
                <w:sz w:val="20"/>
              </w:rPr>
              <w:t>AND</w:t>
            </w:r>
          </w:p>
          <w:p w14:paraId="495861A4" w14:textId="77777777" w:rsidR="002B2655" w:rsidRPr="00AE5B3E" w:rsidRDefault="002B2655" w:rsidP="00FC7D6A">
            <w:pPr>
              <w:keepNext/>
              <w:keepLines/>
              <w:rPr>
                <w:rFonts w:cstheme="minorHAnsi"/>
                <w:sz w:val="20"/>
              </w:rPr>
            </w:pPr>
            <w:r w:rsidRPr="00AE5B3E">
              <w:rPr>
                <w:rFonts w:cstheme="minorHAnsi"/>
                <w:sz w:val="20"/>
              </w:rPr>
              <w:t>Patient must not have uncontrolled secondary CNS disease, or secondary CNS disease anticipated to be uncontrolled at the time of lymphocyte infusion.</w:t>
            </w:r>
          </w:p>
        </w:tc>
      </w:tr>
      <w:tr w:rsidR="002B2655" w:rsidRPr="00AE5B3E" w14:paraId="3FF35F4F" w14:textId="77777777" w:rsidTr="00FC7D6A">
        <w:trPr>
          <w:trHeight w:val="360"/>
        </w:trPr>
        <w:tc>
          <w:tcPr>
            <w:tcW w:w="2835" w:type="dxa"/>
          </w:tcPr>
          <w:p w14:paraId="3BB3933B" w14:textId="77777777" w:rsidR="002B2655" w:rsidRDefault="002B2655" w:rsidP="002B2655">
            <w:pPr>
              <w:keepNext/>
              <w:keepLines/>
              <w:rPr>
                <w:rFonts w:cstheme="minorHAnsi"/>
                <w:b/>
                <w:sz w:val="20"/>
              </w:rPr>
            </w:pPr>
            <w:r>
              <w:rPr>
                <w:rFonts w:cstheme="minorHAnsi"/>
                <w:b/>
                <w:sz w:val="20"/>
              </w:rPr>
              <w:t>Clinical criteria:</w:t>
            </w:r>
          </w:p>
        </w:tc>
        <w:tc>
          <w:tcPr>
            <w:tcW w:w="6379" w:type="dxa"/>
          </w:tcPr>
          <w:p w14:paraId="73242203" w14:textId="77777777" w:rsidR="002B2655" w:rsidRPr="00AE5B3E" w:rsidRDefault="002B2655" w:rsidP="002B2655">
            <w:pPr>
              <w:keepNext/>
              <w:keepLines/>
              <w:rPr>
                <w:rFonts w:cstheme="minorHAnsi"/>
                <w:b/>
                <w:sz w:val="20"/>
              </w:rPr>
            </w:pPr>
            <w:r w:rsidRPr="00AE5B3E">
              <w:rPr>
                <w:rFonts w:cstheme="minorHAnsi"/>
                <w:b/>
                <w:sz w:val="20"/>
              </w:rPr>
              <w:t>FOR DLBCL and PMBCL:</w:t>
            </w:r>
          </w:p>
          <w:p w14:paraId="4C39B64A" w14:textId="77777777" w:rsidR="002B2655" w:rsidRPr="00AE5B3E" w:rsidRDefault="002B2655" w:rsidP="002B2655">
            <w:pPr>
              <w:keepNext/>
              <w:keepLines/>
              <w:rPr>
                <w:rFonts w:cstheme="minorHAnsi"/>
                <w:sz w:val="20"/>
              </w:rPr>
            </w:pPr>
            <w:r w:rsidRPr="00AE5B3E">
              <w:rPr>
                <w:rFonts w:cstheme="minorHAnsi"/>
                <w:sz w:val="20"/>
              </w:rPr>
              <w:t xml:space="preserve">The condition must have </w:t>
            </w:r>
          </w:p>
          <w:p w14:paraId="5D130F9F" w14:textId="77777777" w:rsidR="002B2655" w:rsidRPr="00AE5B3E" w:rsidRDefault="002B2655" w:rsidP="002B2655">
            <w:pPr>
              <w:pStyle w:val="ListParagraph"/>
              <w:keepNext/>
              <w:keepLines/>
              <w:numPr>
                <w:ilvl w:val="0"/>
                <w:numId w:val="31"/>
              </w:numPr>
              <w:rPr>
                <w:rFonts w:cstheme="minorHAnsi"/>
                <w:sz w:val="20"/>
              </w:rPr>
            </w:pPr>
            <w:r w:rsidRPr="00AE5B3E">
              <w:rPr>
                <w:rFonts w:cstheme="minorHAnsi"/>
                <w:sz w:val="20"/>
              </w:rPr>
              <w:t>relapsed after autologous stem cell transplantation; or</w:t>
            </w:r>
          </w:p>
          <w:p w14:paraId="3F4B1F54" w14:textId="77777777" w:rsidR="002B2655" w:rsidRPr="00AE5B3E" w:rsidRDefault="002B2655" w:rsidP="002B2655">
            <w:pPr>
              <w:pStyle w:val="ListParagraph"/>
              <w:keepNext/>
              <w:keepLines/>
              <w:numPr>
                <w:ilvl w:val="0"/>
                <w:numId w:val="31"/>
              </w:numPr>
              <w:rPr>
                <w:rFonts w:cstheme="minorHAnsi"/>
                <w:sz w:val="20"/>
              </w:rPr>
            </w:pPr>
            <w:r w:rsidRPr="00AE5B3E">
              <w:rPr>
                <w:rFonts w:cstheme="minorHAnsi"/>
                <w:sz w:val="20"/>
              </w:rPr>
              <w:t>have relapsed after, or be refractory to, at least two prior systemic therapies</w:t>
            </w:r>
          </w:p>
          <w:p w14:paraId="3FFDA7D1" w14:textId="77777777" w:rsidR="002B2655" w:rsidRPr="00AE5B3E" w:rsidRDefault="002B2655" w:rsidP="002B2655">
            <w:pPr>
              <w:keepNext/>
              <w:keepLines/>
              <w:rPr>
                <w:rFonts w:cstheme="minorHAnsi"/>
                <w:b/>
                <w:sz w:val="20"/>
              </w:rPr>
            </w:pPr>
            <w:r w:rsidRPr="00AE5B3E">
              <w:rPr>
                <w:rFonts w:cstheme="minorHAnsi"/>
                <w:b/>
                <w:sz w:val="20"/>
              </w:rPr>
              <w:t>FOR TFL:</w:t>
            </w:r>
          </w:p>
          <w:p w14:paraId="011BCFA7" w14:textId="77777777" w:rsidR="002B2655" w:rsidRPr="00AE5B3E" w:rsidRDefault="002B2655" w:rsidP="002B2655">
            <w:pPr>
              <w:keepNext/>
              <w:keepLines/>
              <w:spacing w:after="240"/>
              <w:rPr>
                <w:rFonts w:cstheme="minorHAnsi"/>
                <w:sz w:val="20"/>
              </w:rPr>
            </w:pPr>
            <w:r w:rsidRPr="00AE5B3E">
              <w:rPr>
                <w:rFonts w:cstheme="minorHAnsi"/>
                <w:sz w:val="20"/>
              </w:rPr>
              <w:t>The condition must have relapsed after, or be refractory to, at least two prior systemic therapies administere</w:t>
            </w:r>
            <w:r>
              <w:rPr>
                <w:rFonts w:cstheme="minorHAnsi"/>
                <w:sz w:val="20"/>
              </w:rPr>
              <w:t>d after disease transformation.</w:t>
            </w:r>
          </w:p>
          <w:p w14:paraId="22F9DB2A" w14:textId="77777777" w:rsidR="002B2655" w:rsidRPr="00AE5B3E" w:rsidRDefault="002B2655" w:rsidP="002B2655">
            <w:pPr>
              <w:keepNext/>
              <w:keepLines/>
              <w:rPr>
                <w:rFonts w:cstheme="minorHAnsi"/>
                <w:b/>
                <w:sz w:val="20"/>
              </w:rPr>
            </w:pPr>
            <w:r w:rsidRPr="00AE5B3E">
              <w:rPr>
                <w:rFonts w:cstheme="minorHAnsi"/>
                <w:b/>
                <w:sz w:val="20"/>
              </w:rPr>
              <w:t>FOR ALL</w:t>
            </w:r>
            <w:r>
              <w:rPr>
                <w:rFonts w:cstheme="minorHAnsi"/>
                <w:b/>
                <w:sz w:val="20"/>
              </w:rPr>
              <w:t xml:space="preserve"> INDICATIONS</w:t>
            </w:r>
            <w:r w:rsidRPr="00AE5B3E">
              <w:rPr>
                <w:rFonts w:cstheme="minorHAnsi"/>
                <w:b/>
                <w:sz w:val="20"/>
              </w:rPr>
              <w:t>:</w:t>
            </w:r>
          </w:p>
          <w:p w14:paraId="66599527" w14:textId="77777777" w:rsidR="002B2655" w:rsidRPr="00AE5B3E" w:rsidRDefault="002B2655" w:rsidP="002B2655">
            <w:pPr>
              <w:keepNext/>
              <w:keepLines/>
              <w:rPr>
                <w:rFonts w:cstheme="minorHAnsi"/>
                <w:sz w:val="20"/>
              </w:rPr>
            </w:pPr>
            <w:r w:rsidRPr="00AE5B3E">
              <w:rPr>
                <w:rFonts w:cstheme="minorHAnsi"/>
                <w:sz w:val="20"/>
              </w:rPr>
              <w:t>Patient must have a WHO performance status of 0 or 1</w:t>
            </w:r>
          </w:p>
          <w:p w14:paraId="15BBD5AB" w14:textId="77777777" w:rsidR="002B2655" w:rsidRPr="00AE5B3E" w:rsidRDefault="002B2655" w:rsidP="002B2655">
            <w:pPr>
              <w:keepNext/>
              <w:keepLines/>
              <w:rPr>
                <w:rFonts w:cstheme="minorHAnsi"/>
                <w:sz w:val="20"/>
              </w:rPr>
            </w:pPr>
            <w:r w:rsidRPr="00AE5B3E">
              <w:rPr>
                <w:rFonts w:cstheme="minorHAnsi"/>
                <w:sz w:val="20"/>
              </w:rPr>
              <w:t>AND</w:t>
            </w:r>
          </w:p>
          <w:p w14:paraId="6200D0D8" w14:textId="77777777" w:rsidR="002B2655" w:rsidRPr="00AE5B3E" w:rsidRDefault="002B2655" w:rsidP="002B2655">
            <w:pPr>
              <w:keepNext/>
              <w:keepLines/>
              <w:rPr>
                <w:rFonts w:cstheme="minorHAnsi"/>
                <w:sz w:val="20"/>
              </w:rPr>
            </w:pPr>
            <w:r w:rsidRPr="00AE5B3E">
              <w:rPr>
                <w:rFonts w:cstheme="minorHAnsi"/>
                <w:sz w:val="20"/>
              </w:rPr>
              <w:t xml:space="preserve">Patient must have sufficient organ function, including: </w:t>
            </w:r>
          </w:p>
          <w:p w14:paraId="5458D27F" w14:textId="77777777" w:rsidR="002B2655" w:rsidRPr="003E3E9E" w:rsidRDefault="002B2655" w:rsidP="002B2655">
            <w:pPr>
              <w:pStyle w:val="ListParagraph"/>
              <w:keepNext/>
              <w:keepLines/>
              <w:numPr>
                <w:ilvl w:val="0"/>
                <w:numId w:val="30"/>
              </w:numPr>
              <w:rPr>
                <w:rFonts w:cstheme="minorHAnsi"/>
                <w:sz w:val="20"/>
              </w:rPr>
            </w:pPr>
            <w:r w:rsidRPr="003E3E9E">
              <w:rPr>
                <w:rFonts w:cstheme="minorHAnsi"/>
                <w:sz w:val="20"/>
              </w:rPr>
              <w:t xml:space="preserve">Renal function: Creatinine clearance &gt;40mL/min, serum ALT/AST &lt;5 x ULN and total bilirubin &lt;2 x ULN </w:t>
            </w:r>
          </w:p>
          <w:p w14:paraId="6E903EC8" w14:textId="77777777" w:rsidR="002B2655" w:rsidRPr="003E3E9E" w:rsidRDefault="002B2655" w:rsidP="002B2655">
            <w:pPr>
              <w:pStyle w:val="ListParagraph"/>
              <w:keepNext/>
              <w:keepLines/>
              <w:numPr>
                <w:ilvl w:val="0"/>
                <w:numId w:val="30"/>
              </w:numPr>
              <w:rPr>
                <w:rFonts w:cstheme="minorHAnsi"/>
                <w:sz w:val="20"/>
              </w:rPr>
            </w:pPr>
            <w:r w:rsidRPr="003E3E9E">
              <w:rPr>
                <w:rFonts w:cstheme="minorHAnsi"/>
                <w:sz w:val="20"/>
              </w:rPr>
              <w:t>Cardiac function: absence of symptomatic heart failure (i.e. NYHA grade &lt;2), cardiac left ventricular ejection fraction &gt;/= 40%, or supplementary functional tests and cardiology assessment demonstrating adequate cardiopulmonary reserve.</w:t>
            </w:r>
          </w:p>
          <w:p w14:paraId="2EC56708" w14:textId="77777777" w:rsidR="002B2655" w:rsidRPr="00AE5B3E" w:rsidRDefault="002B2655" w:rsidP="002B2655">
            <w:pPr>
              <w:pStyle w:val="ListParagraph"/>
              <w:keepNext/>
              <w:keepLines/>
              <w:numPr>
                <w:ilvl w:val="0"/>
                <w:numId w:val="30"/>
              </w:numPr>
              <w:rPr>
                <w:rFonts w:cstheme="minorHAnsi"/>
                <w:sz w:val="20"/>
              </w:rPr>
            </w:pPr>
            <w:r w:rsidRPr="003E3E9E">
              <w:rPr>
                <w:rFonts w:cstheme="minorHAnsi"/>
                <w:sz w:val="20"/>
              </w:rPr>
              <w:t>Pulmonary function: Baseline peripheral oxygen saturation &gt;91% on room air</w:t>
            </w:r>
            <w:r w:rsidRPr="00AE5B3E">
              <w:rPr>
                <w:rFonts w:cstheme="minorHAnsi"/>
                <w:sz w:val="20"/>
              </w:rPr>
              <w:t>, in the absence of anaemia</w:t>
            </w:r>
          </w:p>
          <w:p w14:paraId="660E78CB" w14:textId="77777777" w:rsidR="002B2655" w:rsidRPr="00AE5B3E" w:rsidRDefault="002B2655" w:rsidP="002B2655">
            <w:pPr>
              <w:keepNext/>
              <w:keepLines/>
              <w:rPr>
                <w:rFonts w:cstheme="minorHAnsi"/>
                <w:sz w:val="20"/>
              </w:rPr>
            </w:pPr>
            <w:r w:rsidRPr="00AE5B3E">
              <w:rPr>
                <w:rFonts w:cstheme="minorHAnsi"/>
                <w:sz w:val="20"/>
              </w:rPr>
              <w:t>AND</w:t>
            </w:r>
          </w:p>
          <w:p w14:paraId="543CEA3F" w14:textId="77777777" w:rsidR="002B2655" w:rsidRPr="00AE5B3E" w:rsidRDefault="002B2655" w:rsidP="002B2655">
            <w:pPr>
              <w:keepNext/>
              <w:keepLines/>
              <w:rPr>
                <w:rFonts w:cstheme="minorHAnsi"/>
                <w:sz w:val="20"/>
              </w:rPr>
            </w:pPr>
            <w:r w:rsidRPr="00AE5B3E">
              <w:rPr>
                <w:rFonts w:cstheme="minorHAnsi"/>
                <w:sz w:val="20"/>
              </w:rPr>
              <w:t>The treatment team must consider the patient’s condition can be effectively managed during lymphocyte collection and manufacturing, to allow for the absence of rapidly progressive disease at the time of lymphocyte infusion.</w:t>
            </w:r>
          </w:p>
        </w:tc>
      </w:tr>
    </w:tbl>
    <w:p w14:paraId="769C2D2B" w14:textId="77777777" w:rsidR="002B2655" w:rsidRPr="008B7B85" w:rsidRDefault="002B2655" w:rsidP="002B2655">
      <w:pPr>
        <w:pStyle w:val="3Bodytext"/>
        <w:numPr>
          <w:ilvl w:val="0"/>
          <w:numId w:val="0"/>
        </w:numPr>
        <w:ind w:left="720" w:hanging="720"/>
        <w:rPr>
          <w:rFonts w:ascii="Times New Roman" w:hAnsi="Times New Roman" w:cs="Times New Roman"/>
          <w:sz w:val="20"/>
          <w:szCs w:val="20"/>
        </w:rPr>
      </w:pPr>
      <w:r w:rsidRPr="008B7B85">
        <w:rPr>
          <w:rFonts w:ascii="Times New Roman" w:hAnsi="Times New Roman" w:cs="Times New Roman"/>
          <w:sz w:val="20"/>
          <w:szCs w:val="20"/>
        </w:rPr>
        <w:t xml:space="preserve">Source: MSAC PSD 1519.1 </w:t>
      </w:r>
    </w:p>
    <w:p w14:paraId="607DB1CC" w14:textId="342C911E" w:rsidR="002B2655" w:rsidRPr="00E043B3" w:rsidRDefault="007D7989" w:rsidP="00F715D1">
      <w:pPr>
        <w:spacing w:after="240"/>
        <w:rPr>
          <w:szCs w:val="24"/>
        </w:rPr>
      </w:pPr>
      <w:r w:rsidRPr="00E043B3">
        <w:t>The application asserted that testing for CD19 is not standard in clinical practice for DLBCL.</w:t>
      </w:r>
      <w:r w:rsidR="00E043B3">
        <w:t xml:space="preserve"> H</w:t>
      </w:r>
      <w:r w:rsidRPr="00E043B3">
        <w:t xml:space="preserve">owever, advice provided by one of the representing </w:t>
      </w:r>
      <w:r w:rsidR="00E043B3">
        <w:t>s</w:t>
      </w:r>
      <w:r w:rsidRPr="00E043B3">
        <w:t xml:space="preserve">tate jurisdictions for the </w:t>
      </w:r>
      <w:r w:rsidR="00184E27" w:rsidRPr="00184E27">
        <w:t xml:space="preserve">National Health Reform Agreement </w:t>
      </w:r>
      <w:r w:rsidR="00184E27">
        <w:t>(</w:t>
      </w:r>
      <w:r w:rsidRPr="00E043B3">
        <w:t>NHRA</w:t>
      </w:r>
      <w:r w:rsidR="00184E27">
        <w:t>)</w:t>
      </w:r>
      <w:r w:rsidRPr="00E043B3">
        <w:t>, provided information that the test to confirm patients as CD19 positive is simple and can be done as part of usual clinical work-up of a patient.</w:t>
      </w:r>
    </w:p>
    <w:p w14:paraId="1F88482D" w14:textId="0B078492" w:rsidR="00BC1364" w:rsidRPr="00F715D1" w:rsidRDefault="00BC1364" w:rsidP="00F715D1">
      <w:pPr>
        <w:pStyle w:val="Heading1"/>
      </w:pPr>
      <w:r w:rsidRPr="00F715D1">
        <w:t xml:space="preserve">Comparative </w:t>
      </w:r>
      <w:r w:rsidR="001D3BE7">
        <w:t>evidence</w:t>
      </w:r>
    </w:p>
    <w:p w14:paraId="7C202641" w14:textId="54178E42" w:rsidR="001D3BE7" w:rsidRDefault="001D3BE7" w:rsidP="00F715D1">
      <w:pPr>
        <w:spacing w:after="240"/>
      </w:pPr>
      <w:r>
        <w:t>The application asserted that most B cell lymphomas express high levels of CD19 and that CD19 is present to some extent in all B cell lymphomas, and there is no agreed standard threshold for defining CD19 positivity.</w:t>
      </w:r>
    </w:p>
    <w:p w14:paraId="2ADB64B3" w14:textId="4F9F300B" w:rsidR="001D3BE7" w:rsidRDefault="001D3BE7" w:rsidP="00F715D1">
      <w:pPr>
        <w:spacing w:after="240"/>
      </w:pPr>
      <w:r>
        <w:t>The application noted the JULIET clinical trial that provided the basis for the MSAC subsidy recommendation at the November 2019 MSAC Meeting, did not include confirmation of CD19 expression as an eligibility criterion.</w:t>
      </w:r>
    </w:p>
    <w:p w14:paraId="2869D889" w14:textId="73C45BD9" w:rsidR="001D3BE7" w:rsidRPr="008B7B85" w:rsidRDefault="001D3BE7" w:rsidP="008B7B85">
      <w:pPr>
        <w:pStyle w:val="3Bodytext"/>
        <w:numPr>
          <w:ilvl w:val="0"/>
          <w:numId w:val="0"/>
        </w:numPr>
        <w:rPr>
          <w:rFonts w:ascii="Times New Roman" w:eastAsia="Times New Roman" w:hAnsi="Times New Roman" w:cs="Times New Roman"/>
          <w:szCs w:val="20"/>
        </w:rPr>
      </w:pPr>
      <w:r w:rsidRPr="008B7B85">
        <w:rPr>
          <w:rFonts w:ascii="Times New Roman" w:eastAsia="Times New Roman" w:hAnsi="Times New Roman" w:cs="Times New Roman"/>
          <w:szCs w:val="20"/>
        </w:rPr>
        <w:t xml:space="preserve">The </w:t>
      </w:r>
      <w:r>
        <w:rPr>
          <w:rFonts w:ascii="Times New Roman" w:eastAsia="Times New Roman" w:hAnsi="Times New Roman" w:cs="Times New Roman"/>
          <w:szCs w:val="20"/>
        </w:rPr>
        <w:t>application presented</w:t>
      </w:r>
      <w:r w:rsidRPr="008B7B85">
        <w:rPr>
          <w:rFonts w:ascii="Times New Roman" w:eastAsia="Times New Roman" w:hAnsi="Times New Roman" w:cs="Times New Roman"/>
          <w:szCs w:val="20"/>
        </w:rPr>
        <w:t xml:space="preserve"> results from a retrospective analysis of CD19 expression in available tumour tissues of patients conducted in a central laboratory by an exploratory quantitative fluorescent </w:t>
      </w:r>
      <w:r w:rsidR="00E043B3">
        <w:rPr>
          <w:rFonts w:ascii="Times New Roman" w:eastAsia="Times New Roman" w:hAnsi="Times New Roman" w:cs="Times New Roman"/>
          <w:szCs w:val="20"/>
        </w:rPr>
        <w:t>IHC</w:t>
      </w:r>
      <w:r w:rsidRPr="008B7B85">
        <w:rPr>
          <w:rFonts w:ascii="Times New Roman" w:eastAsia="Times New Roman" w:hAnsi="Times New Roman" w:cs="Times New Roman"/>
          <w:szCs w:val="20"/>
        </w:rPr>
        <w:t xml:space="preserve"> assay.</w:t>
      </w:r>
    </w:p>
    <w:p w14:paraId="7FA4BFFB" w14:textId="75D2CDBC" w:rsidR="001D3BE7" w:rsidRPr="008B7B85" w:rsidRDefault="001D3BE7" w:rsidP="008B7B85">
      <w:pPr>
        <w:pStyle w:val="3Bodytext"/>
        <w:numPr>
          <w:ilvl w:val="0"/>
          <w:numId w:val="0"/>
        </w:numPr>
        <w:rPr>
          <w:rFonts w:ascii="Times New Roman" w:eastAsia="Times New Roman" w:hAnsi="Times New Roman" w:cs="Times New Roman"/>
          <w:szCs w:val="20"/>
        </w:rPr>
      </w:pPr>
      <w:r>
        <w:rPr>
          <w:rFonts w:ascii="Times New Roman" w:eastAsia="Times New Roman" w:hAnsi="Times New Roman" w:cs="Times New Roman"/>
          <w:szCs w:val="20"/>
        </w:rPr>
        <w:t>The application noted</w:t>
      </w:r>
      <w:r w:rsidRPr="008B7B85">
        <w:rPr>
          <w:rFonts w:ascii="Times New Roman" w:eastAsia="Times New Roman" w:hAnsi="Times New Roman" w:cs="Times New Roman"/>
          <w:szCs w:val="20"/>
        </w:rPr>
        <w:t xml:space="preserve"> the analysis had the following limitations:</w:t>
      </w:r>
    </w:p>
    <w:p w14:paraId="6E65F392" w14:textId="77777777" w:rsidR="001D3BE7" w:rsidRPr="008B7B85" w:rsidRDefault="001D3BE7" w:rsidP="001D3BE7">
      <w:pPr>
        <w:pStyle w:val="ListParagraph"/>
        <w:numPr>
          <w:ilvl w:val="0"/>
          <w:numId w:val="32"/>
        </w:numPr>
        <w:spacing w:after="200" w:line="276" w:lineRule="auto"/>
      </w:pPr>
      <w:r>
        <w:t xml:space="preserve">The analysis was based on a single “baseline” biopsy </w:t>
      </w:r>
      <w:r w:rsidRPr="008B7B85">
        <w:t>of a subset of the patients who received a TIS infusion in the study (82 of 111).</w:t>
      </w:r>
    </w:p>
    <w:p w14:paraId="583E1DC0" w14:textId="77777777" w:rsidR="001D3BE7" w:rsidRDefault="001D3BE7" w:rsidP="001D3BE7">
      <w:pPr>
        <w:pStyle w:val="ListParagraph"/>
        <w:numPr>
          <w:ilvl w:val="0"/>
          <w:numId w:val="32"/>
        </w:numPr>
        <w:spacing w:after="200" w:line="276" w:lineRule="auto"/>
      </w:pPr>
      <w:r w:rsidRPr="00376D62">
        <w:t>Many of the samples were taken months before infusion of tisagenlecleucel (1 month to 1 year in 60 of 82 patients and more than 1 year in 22 of 82 patients.</w:t>
      </w:r>
    </w:p>
    <w:p w14:paraId="62083660" w14:textId="77777777" w:rsidR="001D3BE7" w:rsidRDefault="001D3BE7" w:rsidP="001D3BE7">
      <w:pPr>
        <w:pStyle w:val="ListParagraph"/>
        <w:numPr>
          <w:ilvl w:val="0"/>
          <w:numId w:val="32"/>
        </w:numPr>
        <w:spacing w:after="200" w:line="276" w:lineRule="auto"/>
      </w:pPr>
      <w:r>
        <w:t>H</w:t>
      </w:r>
      <w:r w:rsidRPr="00376D62">
        <w:t>eterogeneity in CD19 expression from different lesions or different parts of the lymph nodes could exist.</w:t>
      </w:r>
    </w:p>
    <w:p w14:paraId="701AE2BB" w14:textId="77777777" w:rsidR="001D3BE7" w:rsidRPr="00376D62" w:rsidRDefault="001D3BE7" w:rsidP="001D3BE7">
      <w:pPr>
        <w:pStyle w:val="ListParagraph"/>
        <w:numPr>
          <w:ilvl w:val="0"/>
          <w:numId w:val="32"/>
        </w:numPr>
        <w:spacing w:after="200" w:line="276" w:lineRule="auto"/>
      </w:pPr>
      <w:r>
        <w:t>The score used to divide patients into CD19 positive and CD19 negative/low has not been validated.</w:t>
      </w:r>
    </w:p>
    <w:p w14:paraId="2902F096" w14:textId="223B8FE6" w:rsidR="001D3BE7" w:rsidRDefault="001D3BE7" w:rsidP="001D3BE7">
      <w:pPr>
        <w:spacing w:after="240"/>
      </w:pPr>
      <w:r>
        <w:t xml:space="preserve">The results of the retrospective </w:t>
      </w:r>
      <w:r w:rsidR="00E043B3">
        <w:t>analysis are provided in Table 2</w:t>
      </w:r>
      <w:r>
        <w:t>.</w:t>
      </w:r>
    </w:p>
    <w:p w14:paraId="3F2B09C3" w14:textId="00A16EFB" w:rsidR="001D3BE7" w:rsidRPr="008B7B85" w:rsidRDefault="001D3BE7" w:rsidP="001D3BE7">
      <w:pPr>
        <w:pStyle w:val="Caption"/>
        <w:keepNext/>
        <w:spacing w:after="0"/>
        <w:rPr>
          <w:rFonts w:ascii="Times New Roman" w:hAnsi="Times New Roman"/>
          <w:b/>
          <w:i w:val="0"/>
          <w:sz w:val="20"/>
          <w:szCs w:val="20"/>
        </w:rPr>
      </w:pPr>
      <w:r w:rsidRPr="008B7B85">
        <w:rPr>
          <w:rFonts w:ascii="Times New Roman" w:hAnsi="Times New Roman"/>
          <w:b/>
          <w:i w:val="0"/>
          <w:sz w:val="20"/>
          <w:szCs w:val="20"/>
        </w:rPr>
        <w:t xml:space="preserve">Table </w:t>
      </w:r>
      <w:r w:rsidR="00E043B3">
        <w:rPr>
          <w:rFonts w:ascii="Times New Roman" w:hAnsi="Times New Roman"/>
          <w:b/>
          <w:i w:val="0"/>
          <w:sz w:val="20"/>
          <w:szCs w:val="20"/>
        </w:rPr>
        <w:t>2:</w:t>
      </w:r>
      <w:r w:rsidRPr="008B7B85">
        <w:rPr>
          <w:rFonts w:ascii="Times New Roman" w:hAnsi="Times New Roman"/>
          <w:b/>
          <w:i w:val="0"/>
          <w:sz w:val="20"/>
          <w:szCs w:val="20"/>
        </w:rPr>
        <w:t xml:space="preserve"> Best overall response by CD19 expression levels (full analysis set)</w:t>
      </w:r>
    </w:p>
    <w:tbl>
      <w:tblPr>
        <w:tblStyle w:val="PlainTable1"/>
        <w:tblW w:w="5000" w:type="pct"/>
        <w:tblLook w:val="04A0" w:firstRow="1" w:lastRow="0" w:firstColumn="1" w:lastColumn="0" w:noHBand="0" w:noVBand="1"/>
        <w:tblDescription w:val="Best overall response by CD19 expression levels (full analysis set)"/>
      </w:tblPr>
      <w:tblGrid>
        <w:gridCol w:w="1665"/>
        <w:gridCol w:w="1941"/>
        <w:gridCol w:w="1804"/>
        <w:gridCol w:w="1803"/>
        <w:gridCol w:w="1803"/>
      </w:tblGrid>
      <w:tr w:rsidR="001D3BE7" w:rsidRPr="00954772" w14:paraId="7BBD9547" w14:textId="77777777" w:rsidTr="002936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3" w:type="pct"/>
          </w:tcPr>
          <w:p w14:paraId="71224D1C" w14:textId="77777777" w:rsidR="001D3BE7" w:rsidRDefault="001D3BE7" w:rsidP="00157CC3">
            <w:pPr>
              <w:rPr>
                <w:rFonts w:ascii="Arial" w:hAnsi="Arial" w:cs="Arial"/>
                <w:sz w:val="20"/>
                <w:lang w:bidi="ar-SA"/>
              </w:rPr>
            </w:pPr>
            <w:bookmarkStart w:id="0" w:name="_GoBack" w:colFirst="0" w:colLast="3"/>
          </w:p>
        </w:tc>
        <w:tc>
          <w:tcPr>
            <w:tcW w:w="2076" w:type="pct"/>
            <w:gridSpan w:val="2"/>
          </w:tcPr>
          <w:p w14:paraId="4BF5321E" w14:textId="77777777" w:rsidR="001D3BE7" w:rsidRPr="00E043B3" w:rsidRDefault="001D3BE7" w:rsidP="00157CC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lang w:bidi="ar-SA"/>
              </w:rPr>
            </w:pPr>
            <w:r w:rsidRPr="00E043B3">
              <w:rPr>
                <w:rFonts w:ascii="Arial Narrow" w:hAnsi="Arial Narrow" w:cs="Arial"/>
                <w:sz w:val="20"/>
                <w:lang w:bidi="ar-SA"/>
              </w:rPr>
              <w:t>Dec 2017 data cut-off</w:t>
            </w:r>
          </w:p>
        </w:tc>
        <w:tc>
          <w:tcPr>
            <w:tcW w:w="2000" w:type="pct"/>
            <w:gridSpan w:val="2"/>
          </w:tcPr>
          <w:p w14:paraId="189087FC" w14:textId="77777777" w:rsidR="001D3BE7" w:rsidRPr="00E043B3" w:rsidRDefault="001D3BE7" w:rsidP="00157CC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lang w:bidi="ar-SA"/>
              </w:rPr>
            </w:pPr>
            <w:r w:rsidRPr="00E043B3">
              <w:rPr>
                <w:rFonts w:ascii="Arial Narrow" w:hAnsi="Arial Narrow" w:cs="Arial"/>
                <w:sz w:val="20"/>
                <w:lang w:bidi="ar-SA"/>
              </w:rPr>
              <w:t>Feb 2020 data cut-off</w:t>
            </w:r>
          </w:p>
        </w:tc>
      </w:tr>
      <w:bookmarkEnd w:id="0"/>
      <w:tr w:rsidR="001D3BE7" w:rsidRPr="00954772" w14:paraId="268D59E6" w14:textId="77777777" w:rsidTr="00157C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pct"/>
          </w:tcPr>
          <w:p w14:paraId="3314B09E" w14:textId="77777777" w:rsidR="001D3BE7" w:rsidRPr="00E043B3" w:rsidRDefault="001D3BE7" w:rsidP="00157CC3">
            <w:pPr>
              <w:rPr>
                <w:rFonts w:ascii="Arial Narrow" w:hAnsi="Arial Narrow" w:cs="Arial"/>
                <w:sz w:val="20"/>
                <w:lang w:bidi="ar-SA"/>
              </w:rPr>
            </w:pPr>
          </w:p>
        </w:tc>
        <w:tc>
          <w:tcPr>
            <w:tcW w:w="1076" w:type="pct"/>
          </w:tcPr>
          <w:p w14:paraId="3BC85F90" w14:textId="53E6B385" w:rsidR="001D3BE7" w:rsidRPr="00E043B3" w:rsidRDefault="001D3BE7" w:rsidP="007339D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lang w:bidi="ar-SA"/>
              </w:rPr>
            </w:pPr>
            <w:r w:rsidRPr="00E043B3">
              <w:rPr>
                <w:rFonts w:ascii="Arial Narrow" w:hAnsi="Arial Narrow" w:cs="Arial"/>
                <w:sz w:val="20"/>
                <w:lang w:bidi="ar-SA"/>
              </w:rPr>
              <w:t>CD19 high expression (N=</w:t>
            </w:r>
            <w:r w:rsidR="007339D3">
              <w:rPr>
                <w:rFonts w:ascii="Arial Narrow" w:hAnsi="Arial Narrow" w:cs="Arial"/>
                <w:sz w:val="20"/>
                <w:lang w:bidi="ar-SA"/>
              </w:rPr>
              <w:t>redacted</w:t>
            </w:r>
            <w:r w:rsidRPr="00E043B3">
              <w:rPr>
                <w:rFonts w:ascii="Arial Narrow" w:hAnsi="Arial Narrow" w:cs="Arial"/>
                <w:sz w:val="20"/>
                <w:lang w:bidi="ar-SA"/>
              </w:rPr>
              <w:t>)</w:t>
            </w:r>
          </w:p>
        </w:tc>
        <w:tc>
          <w:tcPr>
            <w:tcW w:w="1000" w:type="pct"/>
          </w:tcPr>
          <w:p w14:paraId="1106D9B4" w14:textId="5481DA8B" w:rsidR="001D3BE7" w:rsidRPr="00E043B3" w:rsidRDefault="001D3BE7" w:rsidP="007339D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lang w:bidi="ar-SA"/>
              </w:rPr>
            </w:pPr>
            <w:r w:rsidRPr="00E043B3">
              <w:rPr>
                <w:rFonts w:ascii="Arial Narrow" w:hAnsi="Arial Narrow" w:cs="Arial"/>
                <w:sz w:val="20"/>
                <w:lang w:bidi="ar-SA"/>
              </w:rPr>
              <w:t>CD19 low expression (N=</w:t>
            </w:r>
            <w:r w:rsidR="007339D3">
              <w:rPr>
                <w:rFonts w:ascii="Arial Narrow" w:hAnsi="Arial Narrow" w:cs="Arial"/>
                <w:sz w:val="20"/>
                <w:lang w:bidi="ar-SA"/>
              </w:rPr>
              <w:t>redacted</w:t>
            </w:r>
            <w:r w:rsidRPr="00E043B3">
              <w:rPr>
                <w:rFonts w:ascii="Arial Narrow" w:hAnsi="Arial Narrow" w:cs="Arial"/>
                <w:sz w:val="20"/>
                <w:lang w:bidi="ar-SA"/>
              </w:rPr>
              <w:t>)</w:t>
            </w:r>
          </w:p>
        </w:tc>
        <w:tc>
          <w:tcPr>
            <w:tcW w:w="1000" w:type="pct"/>
          </w:tcPr>
          <w:p w14:paraId="4EDA7F51" w14:textId="14A9EF8C" w:rsidR="001D3BE7" w:rsidRPr="00E043B3" w:rsidRDefault="001D3BE7" w:rsidP="007339D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lang w:bidi="ar-SA"/>
              </w:rPr>
            </w:pPr>
            <w:r w:rsidRPr="00E043B3">
              <w:rPr>
                <w:rFonts w:ascii="Arial Narrow" w:hAnsi="Arial Narrow" w:cs="Arial"/>
                <w:sz w:val="20"/>
                <w:lang w:bidi="ar-SA"/>
              </w:rPr>
              <w:t>CD19 high expression (N=</w:t>
            </w:r>
            <w:r w:rsidR="007339D3">
              <w:rPr>
                <w:rFonts w:ascii="Arial Narrow" w:hAnsi="Arial Narrow" w:cs="Arial"/>
                <w:sz w:val="20"/>
                <w:lang w:bidi="ar-SA"/>
              </w:rPr>
              <w:t>redacted</w:t>
            </w:r>
            <w:r w:rsidRPr="00E043B3">
              <w:rPr>
                <w:rFonts w:ascii="Arial Narrow" w:hAnsi="Arial Narrow" w:cs="Arial"/>
                <w:sz w:val="20"/>
                <w:lang w:bidi="ar-SA"/>
              </w:rPr>
              <w:t>)</w:t>
            </w:r>
          </w:p>
        </w:tc>
        <w:tc>
          <w:tcPr>
            <w:tcW w:w="1000" w:type="pct"/>
          </w:tcPr>
          <w:p w14:paraId="2F5337B8" w14:textId="56579AA9" w:rsidR="001D3BE7" w:rsidRPr="00E043B3" w:rsidRDefault="001D3BE7" w:rsidP="007339D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lang w:bidi="ar-SA"/>
              </w:rPr>
            </w:pPr>
            <w:r w:rsidRPr="00E043B3">
              <w:rPr>
                <w:rFonts w:ascii="Arial Narrow" w:hAnsi="Arial Narrow" w:cs="Arial"/>
                <w:sz w:val="20"/>
                <w:lang w:bidi="ar-SA"/>
              </w:rPr>
              <w:t>CD19 low expression (N=</w:t>
            </w:r>
            <w:r w:rsidR="007339D3">
              <w:rPr>
                <w:rFonts w:ascii="Arial Narrow" w:hAnsi="Arial Narrow" w:cs="Arial"/>
                <w:sz w:val="20"/>
                <w:lang w:bidi="ar-SA"/>
              </w:rPr>
              <w:t>redacted</w:t>
            </w:r>
            <w:r w:rsidRPr="00E043B3">
              <w:rPr>
                <w:rFonts w:ascii="Arial Narrow" w:hAnsi="Arial Narrow" w:cs="Arial"/>
                <w:sz w:val="20"/>
                <w:lang w:bidi="ar-SA"/>
              </w:rPr>
              <w:t>)</w:t>
            </w:r>
          </w:p>
        </w:tc>
      </w:tr>
      <w:tr w:rsidR="001D3BE7" w:rsidRPr="00954772" w14:paraId="2EE13C11" w14:textId="77777777" w:rsidTr="00157CC3">
        <w:tc>
          <w:tcPr>
            <w:cnfStyle w:val="001000000000" w:firstRow="0" w:lastRow="0" w:firstColumn="1" w:lastColumn="0" w:oddVBand="0" w:evenVBand="0" w:oddHBand="0" w:evenHBand="0" w:firstRowFirstColumn="0" w:firstRowLastColumn="0" w:lastRowFirstColumn="0" w:lastRowLastColumn="0"/>
            <w:tcW w:w="923" w:type="pct"/>
          </w:tcPr>
          <w:p w14:paraId="17BE8E0B" w14:textId="77777777" w:rsidR="001D3BE7" w:rsidRPr="00E043B3" w:rsidRDefault="001D3BE7" w:rsidP="00157CC3">
            <w:pPr>
              <w:rPr>
                <w:rFonts w:ascii="Arial Narrow" w:hAnsi="Arial Narrow" w:cs="Arial"/>
                <w:b w:val="0"/>
                <w:sz w:val="20"/>
                <w:lang w:bidi="ar-SA"/>
              </w:rPr>
            </w:pPr>
            <w:r w:rsidRPr="00E043B3">
              <w:rPr>
                <w:rFonts w:ascii="Arial Narrow" w:hAnsi="Arial Narrow" w:cs="Arial"/>
                <w:b w:val="0"/>
                <w:sz w:val="20"/>
                <w:lang w:bidi="ar-SA"/>
              </w:rPr>
              <w:t>Best overall response</w:t>
            </w:r>
          </w:p>
        </w:tc>
        <w:tc>
          <w:tcPr>
            <w:tcW w:w="1076" w:type="pct"/>
          </w:tcPr>
          <w:p w14:paraId="045C0C66" w14:textId="77777777" w:rsidR="001D3BE7" w:rsidRPr="00E043B3" w:rsidRDefault="001D3BE7" w:rsidP="00157C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lang w:bidi="ar-SA"/>
              </w:rPr>
            </w:pPr>
            <w:r w:rsidRPr="00E043B3">
              <w:rPr>
                <w:rFonts w:ascii="Arial Narrow" w:hAnsi="Arial Narrow" w:cs="Arial"/>
                <w:sz w:val="20"/>
                <w:lang w:bidi="ar-SA"/>
              </w:rPr>
              <w:t>n (%)</w:t>
            </w:r>
          </w:p>
        </w:tc>
        <w:tc>
          <w:tcPr>
            <w:tcW w:w="1000" w:type="pct"/>
          </w:tcPr>
          <w:p w14:paraId="5A5454B5" w14:textId="77777777" w:rsidR="001D3BE7" w:rsidRPr="00E043B3" w:rsidRDefault="001D3BE7" w:rsidP="00157C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lang w:bidi="ar-SA"/>
              </w:rPr>
            </w:pPr>
            <w:r w:rsidRPr="00E043B3">
              <w:rPr>
                <w:rFonts w:ascii="Arial Narrow" w:hAnsi="Arial Narrow" w:cs="Arial"/>
                <w:sz w:val="20"/>
                <w:lang w:bidi="ar-SA"/>
              </w:rPr>
              <w:t>n (%)</w:t>
            </w:r>
          </w:p>
        </w:tc>
        <w:tc>
          <w:tcPr>
            <w:tcW w:w="1000" w:type="pct"/>
          </w:tcPr>
          <w:p w14:paraId="704291AC" w14:textId="77777777" w:rsidR="001D3BE7" w:rsidRPr="00E043B3" w:rsidRDefault="001D3BE7" w:rsidP="00157C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lang w:bidi="ar-SA"/>
              </w:rPr>
            </w:pPr>
            <w:r w:rsidRPr="00E043B3">
              <w:rPr>
                <w:rFonts w:ascii="Arial Narrow" w:hAnsi="Arial Narrow" w:cs="Arial"/>
                <w:sz w:val="20"/>
                <w:lang w:bidi="ar-SA"/>
              </w:rPr>
              <w:t>n (%)</w:t>
            </w:r>
          </w:p>
        </w:tc>
        <w:tc>
          <w:tcPr>
            <w:tcW w:w="1000" w:type="pct"/>
          </w:tcPr>
          <w:p w14:paraId="44DB5F3B" w14:textId="77777777" w:rsidR="001D3BE7" w:rsidRPr="00E043B3" w:rsidRDefault="001D3BE7" w:rsidP="00157C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lang w:bidi="ar-SA"/>
              </w:rPr>
            </w:pPr>
            <w:r w:rsidRPr="00E043B3">
              <w:rPr>
                <w:rFonts w:ascii="Arial Narrow" w:hAnsi="Arial Narrow" w:cs="Arial"/>
                <w:sz w:val="20"/>
                <w:lang w:bidi="ar-SA"/>
              </w:rPr>
              <w:t>n (%)</w:t>
            </w:r>
          </w:p>
        </w:tc>
      </w:tr>
      <w:tr w:rsidR="001D3BE7" w:rsidRPr="00954772" w14:paraId="2B16134C" w14:textId="77777777" w:rsidTr="00157C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pct"/>
          </w:tcPr>
          <w:p w14:paraId="11CA25A8" w14:textId="77777777" w:rsidR="001D3BE7" w:rsidRPr="00E043B3" w:rsidRDefault="001D3BE7" w:rsidP="00157CC3">
            <w:pPr>
              <w:rPr>
                <w:rFonts w:ascii="Arial Narrow" w:hAnsi="Arial Narrow" w:cs="Arial"/>
                <w:b w:val="0"/>
                <w:sz w:val="20"/>
                <w:lang w:bidi="ar-SA"/>
              </w:rPr>
            </w:pPr>
            <w:r w:rsidRPr="00E043B3">
              <w:rPr>
                <w:rFonts w:ascii="Arial Narrow" w:hAnsi="Arial Narrow" w:cs="Arial"/>
                <w:b w:val="0"/>
                <w:sz w:val="20"/>
                <w:lang w:bidi="ar-SA"/>
              </w:rPr>
              <w:t>CR</w:t>
            </w:r>
          </w:p>
        </w:tc>
        <w:tc>
          <w:tcPr>
            <w:tcW w:w="1076" w:type="pct"/>
          </w:tcPr>
          <w:p w14:paraId="13134A78" w14:textId="01276672" w:rsidR="001D3BE7" w:rsidRPr="00E043B3" w:rsidRDefault="003F1A7E" w:rsidP="003F1A7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001D3BE7" w:rsidRPr="00E043B3">
              <w:rPr>
                <w:rFonts w:ascii="Arial Narrow" w:hAnsi="Arial Narrow" w:cs="Arial"/>
                <w:sz w:val="20"/>
                <w:lang w:bidi="ar-SA"/>
              </w:rPr>
              <w:t xml:space="preserve"> (</w:t>
            </w:r>
            <w:r>
              <w:rPr>
                <w:rFonts w:ascii="Arial Narrow" w:hAnsi="Arial Narrow" w:cs="Arial"/>
                <w:sz w:val="20"/>
                <w:lang w:bidi="ar-SA"/>
              </w:rPr>
              <w:t>redacted</w:t>
            </w:r>
            <w:r w:rsidR="001D3BE7" w:rsidRPr="00E043B3">
              <w:rPr>
                <w:rFonts w:ascii="Arial Narrow" w:hAnsi="Arial Narrow" w:cs="Arial"/>
                <w:sz w:val="20"/>
                <w:lang w:bidi="ar-SA"/>
              </w:rPr>
              <w:t>)</w:t>
            </w:r>
          </w:p>
        </w:tc>
        <w:tc>
          <w:tcPr>
            <w:tcW w:w="1000" w:type="pct"/>
          </w:tcPr>
          <w:p w14:paraId="661C860E" w14:textId="5318A55A" w:rsidR="001D3BE7" w:rsidRPr="00E043B3" w:rsidRDefault="003F1A7E" w:rsidP="00157C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Pr="00E043B3" w:rsidDel="003F1A7E">
              <w:rPr>
                <w:rFonts w:ascii="Arial Narrow" w:hAnsi="Arial Narrow" w:cs="Arial"/>
                <w:sz w:val="20"/>
                <w:lang w:bidi="ar-SA"/>
              </w:rPr>
              <w:t xml:space="preserve"> </w:t>
            </w:r>
            <w:r w:rsidR="001D3BE7" w:rsidRPr="00E043B3">
              <w:rPr>
                <w:rFonts w:ascii="Arial Narrow" w:hAnsi="Arial Narrow" w:cs="Arial"/>
                <w:sz w:val="20"/>
                <w:lang w:bidi="ar-SA"/>
              </w:rPr>
              <w:t>(</w:t>
            </w:r>
            <w:r>
              <w:rPr>
                <w:rFonts w:ascii="Arial Narrow" w:hAnsi="Arial Narrow" w:cs="Arial"/>
                <w:sz w:val="20"/>
                <w:lang w:bidi="ar-SA"/>
              </w:rPr>
              <w:t>redacted</w:t>
            </w:r>
            <w:r w:rsidR="001D3BE7" w:rsidRPr="00E043B3">
              <w:rPr>
                <w:rFonts w:ascii="Arial Narrow" w:hAnsi="Arial Narrow" w:cs="Arial"/>
                <w:sz w:val="20"/>
                <w:lang w:bidi="ar-SA"/>
              </w:rPr>
              <w:t>)</w:t>
            </w:r>
          </w:p>
        </w:tc>
        <w:tc>
          <w:tcPr>
            <w:tcW w:w="1000" w:type="pct"/>
          </w:tcPr>
          <w:p w14:paraId="6F4FA438" w14:textId="6A7583D9" w:rsidR="001D3BE7" w:rsidRPr="00E043B3" w:rsidRDefault="003F1A7E" w:rsidP="00157C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001D3BE7" w:rsidRPr="00E043B3">
              <w:rPr>
                <w:rFonts w:ascii="Arial Narrow" w:hAnsi="Arial Narrow" w:cs="Arial"/>
                <w:sz w:val="20"/>
                <w:lang w:bidi="ar-SA"/>
              </w:rPr>
              <w:t xml:space="preserve"> (</w:t>
            </w:r>
            <w:r>
              <w:rPr>
                <w:rFonts w:ascii="Arial Narrow" w:hAnsi="Arial Narrow" w:cs="Arial"/>
                <w:sz w:val="20"/>
                <w:lang w:bidi="ar-SA"/>
              </w:rPr>
              <w:t>redacted</w:t>
            </w:r>
          </w:p>
        </w:tc>
        <w:tc>
          <w:tcPr>
            <w:tcW w:w="1000" w:type="pct"/>
          </w:tcPr>
          <w:p w14:paraId="5D5BF014" w14:textId="50DD5C1D" w:rsidR="001D3BE7" w:rsidRPr="00E043B3" w:rsidRDefault="003F1A7E" w:rsidP="00157C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001D3BE7" w:rsidRPr="00E043B3">
              <w:rPr>
                <w:rFonts w:ascii="Arial Narrow" w:hAnsi="Arial Narrow" w:cs="Arial"/>
                <w:sz w:val="20"/>
                <w:lang w:bidi="ar-SA"/>
              </w:rPr>
              <w:t xml:space="preserve"> (</w:t>
            </w:r>
            <w:r>
              <w:rPr>
                <w:rFonts w:ascii="Arial Narrow" w:hAnsi="Arial Narrow" w:cs="Arial"/>
                <w:sz w:val="20"/>
                <w:lang w:bidi="ar-SA"/>
              </w:rPr>
              <w:t>redacted</w:t>
            </w:r>
            <w:r w:rsidR="001D3BE7" w:rsidRPr="00E043B3">
              <w:rPr>
                <w:rFonts w:ascii="Arial Narrow" w:hAnsi="Arial Narrow" w:cs="Arial"/>
                <w:sz w:val="20"/>
                <w:lang w:bidi="ar-SA"/>
              </w:rPr>
              <w:t>)</w:t>
            </w:r>
          </w:p>
        </w:tc>
      </w:tr>
      <w:tr w:rsidR="001D3BE7" w:rsidRPr="00954772" w14:paraId="6A6CF0E3" w14:textId="77777777" w:rsidTr="00157CC3">
        <w:tc>
          <w:tcPr>
            <w:cnfStyle w:val="001000000000" w:firstRow="0" w:lastRow="0" w:firstColumn="1" w:lastColumn="0" w:oddVBand="0" w:evenVBand="0" w:oddHBand="0" w:evenHBand="0" w:firstRowFirstColumn="0" w:firstRowLastColumn="0" w:lastRowFirstColumn="0" w:lastRowLastColumn="0"/>
            <w:tcW w:w="923" w:type="pct"/>
          </w:tcPr>
          <w:p w14:paraId="08EF10E5" w14:textId="77777777" w:rsidR="001D3BE7" w:rsidRPr="00E043B3" w:rsidRDefault="001D3BE7" w:rsidP="00157CC3">
            <w:pPr>
              <w:rPr>
                <w:rFonts w:ascii="Arial Narrow" w:hAnsi="Arial Narrow" w:cs="Arial"/>
                <w:b w:val="0"/>
                <w:sz w:val="20"/>
                <w:lang w:bidi="ar-SA"/>
              </w:rPr>
            </w:pPr>
            <w:r w:rsidRPr="00E043B3">
              <w:rPr>
                <w:rFonts w:ascii="Arial Narrow" w:hAnsi="Arial Narrow" w:cs="Arial"/>
                <w:b w:val="0"/>
                <w:sz w:val="20"/>
                <w:lang w:bidi="ar-SA"/>
              </w:rPr>
              <w:t>PR</w:t>
            </w:r>
          </w:p>
        </w:tc>
        <w:tc>
          <w:tcPr>
            <w:tcW w:w="1076" w:type="pct"/>
          </w:tcPr>
          <w:p w14:paraId="5667E334" w14:textId="0E2347AB" w:rsidR="001D3BE7" w:rsidRPr="00E043B3" w:rsidRDefault="003F1A7E" w:rsidP="00157C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001D3BE7" w:rsidRPr="00E043B3">
              <w:rPr>
                <w:rFonts w:ascii="Arial Narrow" w:hAnsi="Arial Narrow" w:cs="Arial"/>
                <w:sz w:val="20"/>
                <w:lang w:bidi="ar-SA"/>
              </w:rPr>
              <w:t xml:space="preserve"> (</w:t>
            </w:r>
            <w:r>
              <w:rPr>
                <w:rFonts w:ascii="Arial Narrow" w:hAnsi="Arial Narrow" w:cs="Arial"/>
                <w:sz w:val="20"/>
                <w:lang w:bidi="ar-SA"/>
              </w:rPr>
              <w:t>redacted</w:t>
            </w:r>
            <w:r w:rsidR="001D3BE7" w:rsidRPr="00E043B3">
              <w:rPr>
                <w:rFonts w:ascii="Arial Narrow" w:hAnsi="Arial Narrow" w:cs="Arial"/>
                <w:sz w:val="20"/>
                <w:lang w:bidi="ar-SA"/>
              </w:rPr>
              <w:t>)</w:t>
            </w:r>
          </w:p>
        </w:tc>
        <w:tc>
          <w:tcPr>
            <w:tcW w:w="1000" w:type="pct"/>
          </w:tcPr>
          <w:p w14:paraId="6A841CB4" w14:textId="48401114" w:rsidR="001D3BE7" w:rsidRPr="00E043B3" w:rsidRDefault="003F1A7E" w:rsidP="00157C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001D3BE7" w:rsidRPr="00E043B3">
              <w:rPr>
                <w:rFonts w:ascii="Arial Narrow" w:hAnsi="Arial Narrow" w:cs="Arial"/>
                <w:sz w:val="20"/>
                <w:lang w:bidi="ar-SA"/>
              </w:rPr>
              <w:t xml:space="preserve"> (</w:t>
            </w:r>
            <w:r>
              <w:rPr>
                <w:rFonts w:ascii="Arial Narrow" w:hAnsi="Arial Narrow" w:cs="Arial"/>
                <w:sz w:val="20"/>
                <w:lang w:bidi="ar-SA"/>
              </w:rPr>
              <w:t>redacted</w:t>
            </w:r>
            <w:r w:rsidR="001D3BE7" w:rsidRPr="00E043B3">
              <w:rPr>
                <w:rFonts w:ascii="Arial Narrow" w:hAnsi="Arial Narrow" w:cs="Arial"/>
                <w:sz w:val="20"/>
                <w:lang w:bidi="ar-SA"/>
              </w:rPr>
              <w:t>)</w:t>
            </w:r>
          </w:p>
        </w:tc>
        <w:tc>
          <w:tcPr>
            <w:tcW w:w="1000" w:type="pct"/>
          </w:tcPr>
          <w:p w14:paraId="694E04EC" w14:textId="013BFBF7" w:rsidR="001D3BE7" w:rsidRPr="00E043B3" w:rsidRDefault="003F1A7E" w:rsidP="00157C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001D3BE7" w:rsidRPr="00E043B3">
              <w:rPr>
                <w:rFonts w:ascii="Arial Narrow" w:hAnsi="Arial Narrow" w:cs="Arial"/>
                <w:sz w:val="20"/>
                <w:lang w:bidi="ar-SA"/>
              </w:rPr>
              <w:t xml:space="preserve"> (</w:t>
            </w:r>
            <w:r>
              <w:rPr>
                <w:rFonts w:ascii="Arial Narrow" w:hAnsi="Arial Narrow" w:cs="Arial"/>
                <w:sz w:val="20"/>
                <w:lang w:bidi="ar-SA"/>
              </w:rPr>
              <w:t>redacted</w:t>
            </w:r>
            <w:r w:rsidR="001D3BE7" w:rsidRPr="00E043B3">
              <w:rPr>
                <w:rFonts w:ascii="Arial Narrow" w:hAnsi="Arial Narrow" w:cs="Arial"/>
                <w:sz w:val="20"/>
                <w:lang w:bidi="ar-SA"/>
              </w:rPr>
              <w:t>)</w:t>
            </w:r>
          </w:p>
        </w:tc>
        <w:tc>
          <w:tcPr>
            <w:tcW w:w="1000" w:type="pct"/>
          </w:tcPr>
          <w:p w14:paraId="711FC246" w14:textId="63450A75" w:rsidR="001D3BE7" w:rsidRPr="00E043B3" w:rsidRDefault="003F1A7E" w:rsidP="00157C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Pr="00E043B3" w:rsidDel="003F1A7E">
              <w:rPr>
                <w:rFonts w:ascii="Arial Narrow" w:hAnsi="Arial Narrow" w:cs="Arial"/>
                <w:sz w:val="20"/>
                <w:lang w:bidi="ar-SA"/>
              </w:rPr>
              <w:t xml:space="preserve"> </w:t>
            </w:r>
            <w:r w:rsidR="001D3BE7" w:rsidRPr="00E043B3">
              <w:rPr>
                <w:rFonts w:ascii="Arial Narrow" w:hAnsi="Arial Narrow" w:cs="Arial"/>
                <w:sz w:val="20"/>
                <w:lang w:bidi="ar-SA"/>
              </w:rPr>
              <w:t>(</w:t>
            </w:r>
            <w:r>
              <w:rPr>
                <w:rFonts w:ascii="Arial Narrow" w:hAnsi="Arial Narrow" w:cs="Arial"/>
                <w:sz w:val="20"/>
                <w:lang w:bidi="ar-SA"/>
              </w:rPr>
              <w:t>redacted</w:t>
            </w:r>
            <w:r w:rsidR="001D3BE7" w:rsidRPr="00E043B3">
              <w:rPr>
                <w:rFonts w:ascii="Arial Narrow" w:hAnsi="Arial Narrow" w:cs="Arial"/>
                <w:sz w:val="20"/>
                <w:lang w:bidi="ar-SA"/>
              </w:rPr>
              <w:t>)</w:t>
            </w:r>
          </w:p>
        </w:tc>
      </w:tr>
      <w:tr w:rsidR="001D3BE7" w:rsidRPr="00954772" w14:paraId="4A35F61D" w14:textId="77777777" w:rsidTr="00157C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pct"/>
          </w:tcPr>
          <w:p w14:paraId="70621F3C" w14:textId="77777777" w:rsidR="001D3BE7" w:rsidRPr="00E043B3" w:rsidRDefault="001D3BE7" w:rsidP="00157CC3">
            <w:pPr>
              <w:rPr>
                <w:rFonts w:ascii="Arial Narrow" w:hAnsi="Arial Narrow" w:cs="Arial"/>
                <w:b w:val="0"/>
                <w:sz w:val="20"/>
                <w:lang w:bidi="ar-SA"/>
              </w:rPr>
            </w:pPr>
            <w:r w:rsidRPr="00E043B3">
              <w:rPr>
                <w:rFonts w:ascii="Arial Narrow" w:hAnsi="Arial Narrow" w:cs="Arial"/>
                <w:b w:val="0"/>
                <w:sz w:val="20"/>
                <w:lang w:bidi="ar-SA"/>
              </w:rPr>
              <w:t>SD</w:t>
            </w:r>
          </w:p>
        </w:tc>
        <w:tc>
          <w:tcPr>
            <w:tcW w:w="1076" w:type="pct"/>
          </w:tcPr>
          <w:p w14:paraId="7F553AC7" w14:textId="5C8D78DB" w:rsidR="001D3BE7" w:rsidRPr="00E043B3" w:rsidRDefault="003F1A7E" w:rsidP="00157C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001D3BE7" w:rsidRPr="00E043B3">
              <w:rPr>
                <w:rFonts w:ascii="Arial Narrow" w:hAnsi="Arial Narrow" w:cs="Arial"/>
                <w:sz w:val="20"/>
                <w:lang w:bidi="ar-SA"/>
              </w:rPr>
              <w:t xml:space="preserve"> (</w:t>
            </w:r>
            <w:r>
              <w:rPr>
                <w:rFonts w:ascii="Arial Narrow" w:hAnsi="Arial Narrow" w:cs="Arial"/>
                <w:sz w:val="20"/>
                <w:lang w:bidi="ar-SA"/>
              </w:rPr>
              <w:t>redacted</w:t>
            </w:r>
            <w:r w:rsidR="001D3BE7" w:rsidRPr="00E043B3">
              <w:rPr>
                <w:rFonts w:ascii="Arial Narrow" w:hAnsi="Arial Narrow" w:cs="Arial"/>
                <w:sz w:val="20"/>
                <w:lang w:bidi="ar-SA"/>
              </w:rPr>
              <w:t>)</w:t>
            </w:r>
          </w:p>
        </w:tc>
        <w:tc>
          <w:tcPr>
            <w:tcW w:w="1000" w:type="pct"/>
          </w:tcPr>
          <w:p w14:paraId="03BCD969" w14:textId="69A0509E" w:rsidR="001D3BE7" w:rsidRPr="00E043B3" w:rsidRDefault="003F1A7E" w:rsidP="00157C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001D3BE7" w:rsidRPr="00E043B3">
              <w:rPr>
                <w:rFonts w:ascii="Arial Narrow" w:hAnsi="Arial Narrow" w:cs="Arial"/>
                <w:sz w:val="20"/>
                <w:lang w:bidi="ar-SA"/>
              </w:rPr>
              <w:t xml:space="preserve"> (</w:t>
            </w:r>
            <w:r>
              <w:rPr>
                <w:rFonts w:ascii="Arial Narrow" w:hAnsi="Arial Narrow" w:cs="Arial"/>
                <w:sz w:val="20"/>
                <w:lang w:bidi="ar-SA"/>
              </w:rPr>
              <w:t>redacted</w:t>
            </w:r>
            <w:r w:rsidR="001D3BE7" w:rsidRPr="00E043B3">
              <w:rPr>
                <w:rFonts w:ascii="Arial Narrow" w:hAnsi="Arial Narrow" w:cs="Arial"/>
                <w:sz w:val="20"/>
                <w:lang w:bidi="ar-SA"/>
              </w:rPr>
              <w:t>)</w:t>
            </w:r>
          </w:p>
        </w:tc>
        <w:tc>
          <w:tcPr>
            <w:tcW w:w="1000" w:type="pct"/>
          </w:tcPr>
          <w:p w14:paraId="7EED4105" w14:textId="60227080" w:rsidR="001D3BE7" w:rsidRPr="00E043B3" w:rsidRDefault="003F1A7E" w:rsidP="00157C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001D3BE7" w:rsidRPr="00E043B3">
              <w:rPr>
                <w:rFonts w:ascii="Arial Narrow" w:hAnsi="Arial Narrow" w:cs="Arial"/>
                <w:sz w:val="20"/>
                <w:lang w:bidi="ar-SA"/>
              </w:rPr>
              <w:t xml:space="preserve"> (</w:t>
            </w:r>
            <w:r>
              <w:rPr>
                <w:rFonts w:ascii="Arial Narrow" w:hAnsi="Arial Narrow" w:cs="Arial"/>
                <w:sz w:val="20"/>
                <w:lang w:bidi="ar-SA"/>
              </w:rPr>
              <w:t>redacted</w:t>
            </w:r>
            <w:r w:rsidR="001D3BE7" w:rsidRPr="00E043B3">
              <w:rPr>
                <w:rFonts w:ascii="Arial Narrow" w:hAnsi="Arial Narrow" w:cs="Arial"/>
                <w:sz w:val="20"/>
                <w:lang w:bidi="ar-SA"/>
              </w:rPr>
              <w:t>)</w:t>
            </w:r>
          </w:p>
        </w:tc>
        <w:tc>
          <w:tcPr>
            <w:tcW w:w="1000" w:type="pct"/>
          </w:tcPr>
          <w:p w14:paraId="6EE45FA4" w14:textId="2F6A2A7C" w:rsidR="001D3BE7" w:rsidRPr="00E043B3" w:rsidRDefault="003F1A7E" w:rsidP="00157C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001D3BE7" w:rsidRPr="00E043B3">
              <w:rPr>
                <w:rFonts w:ascii="Arial Narrow" w:hAnsi="Arial Narrow" w:cs="Arial"/>
                <w:sz w:val="20"/>
                <w:lang w:bidi="ar-SA"/>
              </w:rPr>
              <w:t xml:space="preserve"> (</w:t>
            </w:r>
            <w:r>
              <w:rPr>
                <w:rFonts w:ascii="Arial Narrow" w:hAnsi="Arial Narrow" w:cs="Arial"/>
                <w:sz w:val="20"/>
                <w:lang w:bidi="ar-SA"/>
              </w:rPr>
              <w:t>redacted</w:t>
            </w:r>
            <w:r w:rsidR="001D3BE7" w:rsidRPr="00E043B3">
              <w:rPr>
                <w:rFonts w:ascii="Arial Narrow" w:hAnsi="Arial Narrow" w:cs="Arial"/>
                <w:sz w:val="20"/>
                <w:lang w:bidi="ar-SA"/>
              </w:rPr>
              <w:t>)</w:t>
            </w:r>
          </w:p>
        </w:tc>
      </w:tr>
      <w:tr w:rsidR="001D3BE7" w:rsidRPr="00954772" w14:paraId="3C94D858" w14:textId="77777777" w:rsidTr="00157CC3">
        <w:tc>
          <w:tcPr>
            <w:cnfStyle w:val="001000000000" w:firstRow="0" w:lastRow="0" w:firstColumn="1" w:lastColumn="0" w:oddVBand="0" w:evenVBand="0" w:oddHBand="0" w:evenHBand="0" w:firstRowFirstColumn="0" w:firstRowLastColumn="0" w:lastRowFirstColumn="0" w:lastRowLastColumn="0"/>
            <w:tcW w:w="923" w:type="pct"/>
          </w:tcPr>
          <w:p w14:paraId="132F80CB" w14:textId="77777777" w:rsidR="001D3BE7" w:rsidRPr="00E043B3" w:rsidRDefault="001D3BE7" w:rsidP="00157CC3">
            <w:pPr>
              <w:rPr>
                <w:rFonts w:ascii="Arial Narrow" w:hAnsi="Arial Narrow" w:cs="Arial"/>
                <w:b w:val="0"/>
                <w:sz w:val="20"/>
                <w:lang w:bidi="ar-SA"/>
              </w:rPr>
            </w:pPr>
            <w:r w:rsidRPr="00E043B3">
              <w:rPr>
                <w:rFonts w:ascii="Arial Narrow" w:hAnsi="Arial Narrow" w:cs="Arial"/>
                <w:b w:val="0"/>
                <w:sz w:val="20"/>
                <w:lang w:bidi="ar-SA"/>
              </w:rPr>
              <w:t>PD</w:t>
            </w:r>
          </w:p>
        </w:tc>
        <w:tc>
          <w:tcPr>
            <w:tcW w:w="1076" w:type="pct"/>
          </w:tcPr>
          <w:p w14:paraId="206C9F73" w14:textId="0F791B17" w:rsidR="001D3BE7" w:rsidRPr="00E043B3" w:rsidRDefault="003F1A7E" w:rsidP="00157C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Pr="00E043B3" w:rsidDel="003F1A7E">
              <w:rPr>
                <w:rFonts w:ascii="Arial Narrow" w:hAnsi="Arial Narrow" w:cs="Arial"/>
                <w:sz w:val="20"/>
                <w:lang w:bidi="ar-SA"/>
              </w:rPr>
              <w:t xml:space="preserve"> </w:t>
            </w:r>
            <w:r w:rsidR="001D3BE7" w:rsidRPr="00E043B3">
              <w:rPr>
                <w:rFonts w:ascii="Arial Narrow" w:hAnsi="Arial Narrow" w:cs="Arial"/>
                <w:sz w:val="20"/>
                <w:lang w:bidi="ar-SA"/>
              </w:rPr>
              <w:t>(</w:t>
            </w:r>
            <w:r>
              <w:rPr>
                <w:rFonts w:ascii="Arial Narrow" w:hAnsi="Arial Narrow" w:cs="Arial"/>
                <w:sz w:val="20"/>
                <w:lang w:bidi="ar-SA"/>
              </w:rPr>
              <w:t>redacted</w:t>
            </w:r>
            <w:r w:rsidR="001D3BE7" w:rsidRPr="00E043B3">
              <w:rPr>
                <w:rFonts w:ascii="Arial Narrow" w:hAnsi="Arial Narrow" w:cs="Arial"/>
                <w:sz w:val="20"/>
                <w:lang w:bidi="ar-SA"/>
              </w:rPr>
              <w:t>)</w:t>
            </w:r>
          </w:p>
        </w:tc>
        <w:tc>
          <w:tcPr>
            <w:tcW w:w="1000" w:type="pct"/>
          </w:tcPr>
          <w:p w14:paraId="022DBEFF" w14:textId="0BCC4730" w:rsidR="001D3BE7" w:rsidRPr="00E043B3" w:rsidRDefault="003F1A7E" w:rsidP="00157C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Pr="00E043B3" w:rsidDel="003F1A7E">
              <w:rPr>
                <w:rFonts w:ascii="Arial Narrow" w:hAnsi="Arial Narrow" w:cs="Arial"/>
                <w:sz w:val="20"/>
                <w:lang w:bidi="ar-SA"/>
              </w:rPr>
              <w:t xml:space="preserve"> </w:t>
            </w:r>
            <w:r w:rsidR="001D3BE7" w:rsidRPr="00E043B3">
              <w:rPr>
                <w:rFonts w:ascii="Arial Narrow" w:hAnsi="Arial Narrow" w:cs="Arial"/>
                <w:sz w:val="20"/>
                <w:lang w:bidi="ar-SA"/>
              </w:rPr>
              <w:t>(</w:t>
            </w:r>
            <w:r>
              <w:rPr>
                <w:rFonts w:ascii="Arial Narrow" w:hAnsi="Arial Narrow" w:cs="Arial"/>
                <w:sz w:val="20"/>
                <w:lang w:bidi="ar-SA"/>
              </w:rPr>
              <w:t>redacted</w:t>
            </w:r>
            <w:r w:rsidR="001D3BE7" w:rsidRPr="00E043B3">
              <w:rPr>
                <w:rFonts w:ascii="Arial Narrow" w:hAnsi="Arial Narrow" w:cs="Arial"/>
                <w:sz w:val="20"/>
                <w:lang w:bidi="ar-SA"/>
              </w:rPr>
              <w:t>)</w:t>
            </w:r>
          </w:p>
        </w:tc>
        <w:tc>
          <w:tcPr>
            <w:tcW w:w="1000" w:type="pct"/>
          </w:tcPr>
          <w:p w14:paraId="3004E34D" w14:textId="74F61450" w:rsidR="001D3BE7" w:rsidRPr="00E043B3" w:rsidRDefault="003F1A7E" w:rsidP="00157C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Pr="00E043B3" w:rsidDel="003F1A7E">
              <w:rPr>
                <w:rFonts w:ascii="Arial Narrow" w:hAnsi="Arial Narrow" w:cs="Arial"/>
                <w:sz w:val="20"/>
                <w:lang w:bidi="ar-SA"/>
              </w:rPr>
              <w:t xml:space="preserve"> </w:t>
            </w:r>
            <w:r w:rsidR="001D3BE7" w:rsidRPr="00E043B3">
              <w:rPr>
                <w:rFonts w:ascii="Arial Narrow" w:hAnsi="Arial Narrow" w:cs="Arial"/>
                <w:sz w:val="20"/>
                <w:lang w:bidi="ar-SA"/>
              </w:rPr>
              <w:t>(</w:t>
            </w:r>
            <w:r>
              <w:rPr>
                <w:rFonts w:ascii="Arial Narrow" w:hAnsi="Arial Narrow" w:cs="Arial"/>
                <w:sz w:val="20"/>
                <w:lang w:bidi="ar-SA"/>
              </w:rPr>
              <w:t>redacted</w:t>
            </w:r>
            <w:r w:rsidR="001D3BE7" w:rsidRPr="00E043B3">
              <w:rPr>
                <w:rFonts w:ascii="Arial Narrow" w:hAnsi="Arial Narrow" w:cs="Arial"/>
                <w:sz w:val="20"/>
                <w:lang w:bidi="ar-SA"/>
              </w:rPr>
              <w:t>)</w:t>
            </w:r>
          </w:p>
        </w:tc>
        <w:tc>
          <w:tcPr>
            <w:tcW w:w="1000" w:type="pct"/>
          </w:tcPr>
          <w:p w14:paraId="4690D053" w14:textId="12854F90" w:rsidR="001D3BE7" w:rsidRPr="00E043B3" w:rsidRDefault="003F1A7E" w:rsidP="00157C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Pr="00E043B3" w:rsidDel="003F1A7E">
              <w:rPr>
                <w:rFonts w:ascii="Arial Narrow" w:hAnsi="Arial Narrow" w:cs="Arial"/>
                <w:sz w:val="20"/>
                <w:lang w:bidi="ar-SA"/>
              </w:rPr>
              <w:t xml:space="preserve"> </w:t>
            </w:r>
            <w:r w:rsidR="001D3BE7" w:rsidRPr="00E043B3">
              <w:rPr>
                <w:rFonts w:ascii="Arial Narrow" w:hAnsi="Arial Narrow" w:cs="Arial"/>
                <w:sz w:val="20"/>
                <w:lang w:bidi="ar-SA"/>
              </w:rPr>
              <w:t>(</w:t>
            </w:r>
            <w:r>
              <w:rPr>
                <w:rFonts w:ascii="Arial Narrow" w:hAnsi="Arial Narrow" w:cs="Arial"/>
                <w:sz w:val="20"/>
                <w:lang w:bidi="ar-SA"/>
              </w:rPr>
              <w:t>redacted</w:t>
            </w:r>
            <w:r w:rsidR="001D3BE7" w:rsidRPr="00E043B3">
              <w:rPr>
                <w:rFonts w:ascii="Arial Narrow" w:hAnsi="Arial Narrow" w:cs="Arial"/>
                <w:sz w:val="20"/>
                <w:lang w:bidi="ar-SA"/>
              </w:rPr>
              <w:t>)</w:t>
            </w:r>
          </w:p>
        </w:tc>
      </w:tr>
      <w:tr w:rsidR="001D3BE7" w:rsidRPr="00954772" w14:paraId="79350295" w14:textId="77777777" w:rsidTr="00157C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pct"/>
          </w:tcPr>
          <w:p w14:paraId="353C79CB" w14:textId="77777777" w:rsidR="001D3BE7" w:rsidRPr="00E043B3" w:rsidRDefault="001D3BE7" w:rsidP="00157CC3">
            <w:pPr>
              <w:rPr>
                <w:rFonts w:ascii="Arial Narrow" w:hAnsi="Arial Narrow" w:cs="Arial"/>
                <w:b w:val="0"/>
                <w:sz w:val="20"/>
                <w:lang w:bidi="ar-SA"/>
              </w:rPr>
            </w:pPr>
            <w:r w:rsidRPr="00E043B3">
              <w:rPr>
                <w:rFonts w:ascii="Arial Narrow" w:hAnsi="Arial Narrow" w:cs="Arial"/>
                <w:b w:val="0"/>
                <w:sz w:val="20"/>
                <w:lang w:bidi="ar-SA"/>
              </w:rPr>
              <w:t>Unknown</w:t>
            </w:r>
          </w:p>
        </w:tc>
        <w:tc>
          <w:tcPr>
            <w:tcW w:w="1076" w:type="pct"/>
          </w:tcPr>
          <w:p w14:paraId="6C1921B5" w14:textId="74E78063" w:rsidR="001D3BE7" w:rsidRPr="00E043B3" w:rsidRDefault="003F1A7E" w:rsidP="00157C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001D3BE7" w:rsidRPr="00E043B3">
              <w:rPr>
                <w:rFonts w:ascii="Arial Narrow" w:hAnsi="Arial Narrow" w:cs="Arial"/>
                <w:sz w:val="20"/>
                <w:lang w:bidi="ar-SA"/>
              </w:rPr>
              <w:t xml:space="preserve"> (</w:t>
            </w:r>
            <w:r>
              <w:rPr>
                <w:rFonts w:ascii="Arial Narrow" w:hAnsi="Arial Narrow" w:cs="Arial"/>
                <w:sz w:val="20"/>
                <w:lang w:bidi="ar-SA"/>
              </w:rPr>
              <w:t>redacted</w:t>
            </w:r>
          </w:p>
        </w:tc>
        <w:tc>
          <w:tcPr>
            <w:tcW w:w="1000" w:type="pct"/>
          </w:tcPr>
          <w:p w14:paraId="1B2F091A" w14:textId="4803EF21" w:rsidR="001D3BE7" w:rsidRPr="00E043B3" w:rsidRDefault="003F1A7E" w:rsidP="00157C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001D3BE7" w:rsidRPr="00E043B3">
              <w:rPr>
                <w:rFonts w:ascii="Arial Narrow" w:hAnsi="Arial Narrow" w:cs="Arial"/>
                <w:sz w:val="20"/>
                <w:lang w:bidi="ar-SA"/>
              </w:rPr>
              <w:t xml:space="preserve"> (</w:t>
            </w:r>
            <w:r>
              <w:rPr>
                <w:rFonts w:ascii="Arial Narrow" w:hAnsi="Arial Narrow" w:cs="Arial"/>
                <w:sz w:val="20"/>
                <w:lang w:bidi="ar-SA"/>
              </w:rPr>
              <w:t>redacted</w:t>
            </w:r>
            <w:r w:rsidR="001D3BE7" w:rsidRPr="00E043B3">
              <w:rPr>
                <w:rFonts w:ascii="Arial Narrow" w:hAnsi="Arial Narrow" w:cs="Arial"/>
                <w:sz w:val="20"/>
                <w:lang w:bidi="ar-SA"/>
              </w:rPr>
              <w:t>)</w:t>
            </w:r>
          </w:p>
        </w:tc>
        <w:tc>
          <w:tcPr>
            <w:tcW w:w="1000" w:type="pct"/>
          </w:tcPr>
          <w:p w14:paraId="767CF718" w14:textId="5B17DC9D" w:rsidR="001D3BE7" w:rsidRPr="00E043B3" w:rsidRDefault="003F1A7E" w:rsidP="00157C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001D3BE7" w:rsidRPr="00E043B3">
              <w:rPr>
                <w:rFonts w:ascii="Arial Narrow" w:hAnsi="Arial Narrow" w:cs="Arial"/>
                <w:sz w:val="20"/>
                <w:lang w:bidi="ar-SA"/>
              </w:rPr>
              <w:t xml:space="preserve"> (</w:t>
            </w:r>
            <w:r>
              <w:rPr>
                <w:rFonts w:ascii="Arial Narrow" w:hAnsi="Arial Narrow" w:cs="Arial"/>
                <w:sz w:val="20"/>
                <w:lang w:bidi="ar-SA"/>
              </w:rPr>
              <w:t>redacted</w:t>
            </w:r>
            <w:r w:rsidR="001D3BE7" w:rsidRPr="00E043B3">
              <w:rPr>
                <w:rFonts w:ascii="Arial Narrow" w:hAnsi="Arial Narrow" w:cs="Arial"/>
                <w:sz w:val="20"/>
                <w:lang w:bidi="ar-SA"/>
              </w:rPr>
              <w:t>)</w:t>
            </w:r>
          </w:p>
        </w:tc>
        <w:tc>
          <w:tcPr>
            <w:tcW w:w="1000" w:type="pct"/>
          </w:tcPr>
          <w:p w14:paraId="33204CF4" w14:textId="26CCA807" w:rsidR="001D3BE7" w:rsidRPr="00E043B3" w:rsidRDefault="003F1A7E" w:rsidP="00157C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001D3BE7" w:rsidRPr="00E043B3">
              <w:rPr>
                <w:rFonts w:ascii="Arial Narrow" w:hAnsi="Arial Narrow" w:cs="Arial"/>
                <w:sz w:val="20"/>
                <w:lang w:bidi="ar-SA"/>
              </w:rPr>
              <w:t xml:space="preserve"> (</w:t>
            </w:r>
            <w:r>
              <w:rPr>
                <w:rFonts w:ascii="Arial Narrow" w:hAnsi="Arial Narrow" w:cs="Arial"/>
                <w:sz w:val="20"/>
                <w:lang w:bidi="ar-SA"/>
              </w:rPr>
              <w:t>redacted</w:t>
            </w:r>
            <w:r w:rsidR="001D3BE7" w:rsidRPr="00E043B3">
              <w:rPr>
                <w:rFonts w:ascii="Arial Narrow" w:hAnsi="Arial Narrow" w:cs="Arial"/>
                <w:sz w:val="20"/>
                <w:lang w:bidi="ar-SA"/>
              </w:rPr>
              <w:t>)</w:t>
            </w:r>
          </w:p>
        </w:tc>
      </w:tr>
      <w:tr w:rsidR="001D3BE7" w:rsidRPr="00954772" w14:paraId="32EDA74B" w14:textId="77777777" w:rsidTr="00157CC3">
        <w:tc>
          <w:tcPr>
            <w:cnfStyle w:val="001000000000" w:firstRow="0" w:lastRow="0" w:firstColumn="1" w:lastColumn="0" w:oddVBand="0" w:evenVBand="0" w:oddHBand="0" w:evenHBand="0" w:firstRowFirstColumn="0" w:firstRowLastColumn="0" w:lastRowFirstColumn="0" w:lastRowLastColumn="0"/>
            <w:tcW w:w="923" w:type="pct"/>
          </w:tcPr>
          <w:p w14:paraId="01B0F516" w14:textId="77777777" w:rsidR="001D3BE7" w:rsidRPr="00E043B3" w:rsidRDefault="001D3BE7" w:rsidP="00157CC3">
            <w:pPr>
              <w:rPr>
                <w:rFonts w:ascii="Arial Narrow" w:hAnsi="Arial Narrow" w:cs="Arial"/>
                <w:b w:val="0"/>
                <w:sz w:val="20"/>
                <w:lang w:bidi="ar-SA"/>
              </w:rPr>
            </w:pPr>
            <w:r w:rsidRPr="00E043B3">
              <w:rPr>
                <w:rFonts w:ascii="Arial Narrow" w:hAnsi="Arial Narrow" w:cs="Arial"/>
                <w:b w:val="0"/>
                <w:sz w:val="20"/>
                <w:lang w:bidi="ar-SA"/>
              </w:rPr>
              <w:t>ORR (CR + PR)</w:t>
            </w:r>
          </w:p>
        </w:tc>
        <w:tc>
          <w:tcPr>
            <w:tcW w:w="1076" w:type="pct"/>
          </w:tcPr>
          <w:p w14:paraId="7CB6F048" w14:textId="65408011" w:rsidR="001D3BE7" w:rsidRPr="00E043B3" w:rsidRDefault="003F1A7E" w:rsidP="00157C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001D3BE7" w:rsidRPr="00E043B3">
              <w:rPr>
                <w:rFonts w:ascii="Arial Narrow" w:hAnsi="Arial Narrow" w:cs="Arial"/>
                <w:sz w:val="20"/>
                <w:lang w:bidi="ar-SA"/>
              </w:rPr>
              <w:t xml:space="preserve"> (</w:t>
            </w:r>
            <w:r>
              <w:rPr>
                <w:rFonts w:ascii="Arial Narrow" w:hAnsi="Arial Narrow" w:cs="Arial"/>
                <w:sz w:val="20"/>
                <w:lang w:bidi="ar-SA"/>
              </w:rPr>
              <w:t>redacted</w:t>
            </w:r>
            <w:r w:rsidR="001D3BE7" w:rsidRPr="00E043B3">
              <w:rPr>
                <w:rFonts w:ascii="Arial Narrow" w:hAnsi="Arial Narrow" w:cs="Arial"/>
                <w:sz w:val="20"/>
                <w:lang w:bidi="ar-SA"/>
              </w:rPr>
              <w:t>)</w:t>
            </w:r>
          </w:p>
        </w:tc>
        <w:tc>
          <w:tcPr>
            <w:tcW w:w="1000" w:type="pct"/>
          </w:tcPr>
          <w:p w14:paraId="112CE935" w14:textId="589D25BA" w:rsidR="001D3BE7" w:rsidRPr="00E043B3" w:rsidRDefault="003F1A7E" w:rsidP="00157C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Pr="00E043B3" w:rsidDel="003F1A7E">
              <w:rPr>
                <w:rFonts w:ascii="Arial Narrow" w:hAnsi="Arial Narrow" w:cs="Arial"/>
                <w:sz w:val="20"/>
                <w:lang w:bidi="ar-SA"/>
              </w:rPr>
              <w:t xml:space="preserve"> </w:t>
            </w:r>
            <w:r w:rsidR="001D3BE7" w:rsidRPr="00E043B3">
              <w:rPr>
                <w:rFonts w:ascii="Arial Narrow" w:hAnsi="Arial Narrow" w:cs="Arial"/>
                <w:sz w:val="20"/>
                <w:lang w:bidi="ar-SA"/>
              </w:rPr>
              <w:t>(</w:t>
            </w:r>
            <w:r>
              <w:rPr>
                <w:rFonts w:ascii="Arial Narrow" w:hAnsi="Arial Narrow" w:cs="Arial"/>
                <w:sz w:val="20"/>
                <w:lang w:bidi="ar-SA"/>
              </w:rPr>
              <w:t>redacted</w:t>
            </w:r>
            <w:r w:rsidR="001D3BE7" w:rsidRPr="00E043B3">
              <w:rPr>
                <w:rFonts w:ascii="Arial Narrow" w:hAnsi="Arial Narrow" w:cs="Arial"/>
                <w:sz w:val="20"/>
                <w:lang w:bidi="ar-SA"/>
              </w:rPr>
              <w:t>)</w:t>
            </w:r>
          </w:p>
        </w:tc>
        <w:tc>
          <w:tcPr>
            <w:tcW w:w="1000" w:type="pct"/>
          </w:tcPr>
          <w:p w14:paraId="02FB41CB" w14:textId="3658D818" w:rsidR="001D3BE7" w:rsidRPr="00E043B3" w:rsidRDefault="003F1A7E" w:rsidP="00157C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001D3BE7" w:rsidRPr="00E043B3">
              <w:rPr>
                <w:rFonts w:ascii="Arial Narrow" w:hAnsi="Arial Narrow" w:cs="Arial"/>
                <w:sz w:val="20"/>
                <w:lang w:bidi="ar-SA"/>
              </w:rPr>
              <w:t xml:space="preserve"> (</w:t>
            </w:r>
            <w:r>
              <w:rPr>
                <w:rFonts w:ascii="Arial Narrow" w:hAnsi="Arial Narrow" w:cs="Arial"/>
                <w:sz w:val="20"/>
                <w:lang w:bidi="ar-SA"/>
              </w:rPr>
              <w:t>redacted</w:t>
            </w:r>
            <w:r w:rsidR="001D3BE7" w:rsidRPr="00E043B3">
              <w:rPr>
                <w:rFonts w:ascii="Arial Narrow" w:hAnsi="Arial Narrow" w:cs="Arial"/>
                <w:sz w:val="20"/>
                <w:lang w:bidi="ar-SA"/>
              </w:rPr>
              <w:t>)</w:t>
            </w:r>
          </w:p>
        </w:tc>
        <w:tc>
          <w:tcPr>
            <w:tcW w:w="1000" w:type="pct"/>
          </w:tcPr>
          <w:p w14:paraId="7C17AA50" w14:textId="4B780AAC" w:rsidR="001D3BE7" w:rsidRPr="00E043B3" w:rsidRDefault="003F1A7E" w:rsidP="00157C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001D3BE7" w:rsidRPr="00E043B3">
              <w:rPr>
                <w:rFonts w:ascii="Arial Narrow" w:hAnsi="Arial Narrow" w:cs="Arial"/>
                <w:sz w:val="20"/>
                <w:lang w:bidi="ar-SA"/>
              </w:rPr>
              <w:t xml:space="preserve"> (</w:t>
            </w:r>
            <w:r>
              <w:rPr>
                <w:rFonts w:ascii="Arial Narrow" w:hAnsi="Arial Narrow" w:cs="Arial"/>
                <w:sz w:val="20"/>
                <w:lang w:bidi="ar-SA"/>
              </w:rPr>
              <w:t>redacted</w:t>
            </w:r>
            <w:r w:rsidR="001D3BE7" w:rsidRPr="00E043B3">
              <w:rPr>
                <w:rFonts w:ascii="Arial Narrow" w:hAnsi="Arial Narrow" w:cs="Arial"/>
                <w:sz w:val="20"/>
                <w:lang w:bidi="ar-SA"/>
              </w:rPr>
              <w:t>)</w:t>
            </w:r>
          </w:p>
        </w:tc>
      </w:tr>
      <w:tr w:rsidR="001D3BE7" w:rsidRPr="00954772" w14:paraId="577800D0" w14:textId="77777777" w:rsidTr="00157C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pct"/>
          </w:tcPr>
          <w:p w14:paraId="6237A5C3" w14:textId="77777777" w:rsidR="001D3BE7" w:rsidRPr="00E043B3" w:rsidRDefault="001D3BE7" w:rsidP="00157CC3">
            <w:pPr>
              <w:rPr>
                <w:rFonts w:ascii="Arial Narrow" w:hAnsi="Arial Narrow" w:cs="Arial"/>
                <w:b w:val="0"/>
                <w:sz w:val="20"/>
                <w:lang w:bidi="ar-SA"/>
              </w:rPr>
            </w:pPr>
            <w:r w:rsidRPr="00E043B3">
              <w:rPr>
                <w:rFonts w:ascii="Arial Narrow" w:hAnsi="Arial Narrow" w:cs="Arial"/>
                <w:b w:val="0"/>
                <w:sz w:val="20"/>
                <w:lang w:bidi="ar-SA"/>
              </w:rPr>
              <w:t>ORR 95% CI</w:t>
            </w:r>
          </w:p>
        </w:tc>
        <w:tc>
          <w:tcPr>
            <w:tcW w:w="1076" w:type="pct"/>
          </w:tcPr>
          <w:p w14:paraId="0BDF088D" w14:textId="0D6E9A34" w:rsidR="001D3BE7" w:rsidRPr="00E043B3" w:rsidRDefault="003F1A7E" w:rsidP="00157C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001D3BE7" w:rsidRPr="00E043B3">
              <w:rPr>
                <w:rFonts w:ascii="Arial Narrow" w:hAnsi="Arial Narrow" w:cs="Arial"/>
                <w:sz w:val="20"/>
                <w:lang w:bidi="ar-SA"/>
              </w:rPr>
              <w:t xml:space="preserve">, </w:t>
            </w:r>
            <w:r>
              <w:rPr>
                <w:rFonts w:ascii="Arial Narrow" w:hAnsi="Arial Narrow" w:cs="Arial"/>
                <w:sz w:val="20"/>
                <w:lang w:bidi="ar-SA"/>
              </w:rPr>
              <w:t>redacted</w:t>
            </w:r>
          </w:p>
        </w:tc>
        <w:tc>
          <w:tcPr>
            <w:tcW w:w="1000" w:type="pct"/>
          </w:tcPr>
          <w:p w14:paraId="0657D37B" w14:textId="161FD3F2" w:rsidR="001D3BE7" w:rsidRPr="00E043B3" w:rsidRDefault="003F1A7E" w:rsidP="00157C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001D3BE7" w:rsidRPr="00E043B3">
              <w:rPr>
                <w:rFonts w:ascii="Arial Narrow" w:hAnsi="Arial Narrow" w:cs="Arial"/>
                <w:sz w:val="20"/>
                <w:lang w:bidi="ar-SA"/>
              </w:rPr>
              <w:t xml:space="preserve">, </w:t>
            </w:r>
            <w:r>
              <w:rPr>
                <w:rFonts w:ascii="Arial Narrow" w:hAnsi="Arial Narrow" w:cs="Arial"/>
                <w:sz w:val="20"/>
                <w:lang w:bidi="ar-SA"/>
              </w:rPr>
              <w:t>redacted</w:t>
            </w:r>
          </w:p>
        </w:tc>
        <w:tc>
          <w:tcPr>
            <w:tcW w:w="1000" w:type="pct"/>
          </w:tcPr>
          <w:p w14:paraId="7258C962" w14:textId="09FA4386" w:rsidR="001D3BE7" w:rsidRPr="00E043B3" w:rsidRDefault="003F1A7E" w:rsidP="00157C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highlight w:val="yellow"/>
                <w:lang w:bidi="ar-SA"/>
              </w:rPr>
            </w:pPr>
            <w:r>
              <w:rPr>
                <w:rFonts w:ascii="Arial Narrow" w:hAnsi="Arial Narrow" w:cs="Arial"/>
                <w:sz w:val="20"/>
                <w:lang w:bidi="ar-SA"/>
              </w:rPr>
              <w:t>redacted</w:t>
            </w:r>
            <w:r w:rsidR="001D3BE7" w:rsidRPr="00E043B3">
              <w:rPr>
                <w:rFonts w:ascii="Arial Narrow" w:hAnsi="Arial Narrow" w:cs="Arial"/>
                <w:sz w:val="20"/>
                <w:lang w:bidi="ar-SA"/>
              </w:rPr>
              <w:t xml:space="preserve">, </w:t>
            </w:r>
            <w:r>
              <w:rPr>
                <w:rFonts w:ascii="Arial Narrow" w:hAnsi="Arial Narrow" w:cs="Arial"/>
                <w:sz w:val="20"/>
                <w:lang w:bidi="ar-SA"/>
              </w:rPr>
              <w:t>redacted</w:t>
            </w:r>
          </w:p>
        </w:tc>
        <w:tc>
          <w:tcPr>
            <w:tcW w:w="1000" w:type="pct"/>
          </w:tcPr>
          <w:p w14:paraId="53329B2D" w14:textId="68EEDB38" w:rsidR="001D3BE7" w:rsidRPr="00E043B3" w:rsidRDefault="003F1A7E" w:rsidP="00157C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lang w:bidi="ar-SA"/>
              </w:rPr>
            </w:pPr>
            <w:r>
              <w:rPr>
                <w:rFonts w:ascii="Arial Narrow" w:hAnsi="Arial Narrow" w:cs="Arial"/>
                <w:sz w:val="20"/>
                <w:lang w:bidi="ar-SA"/>
              </w:rPr>
              <w:t>redacted</w:t>
            </w:r>
            <w:r w:rsidR="001D3BE7" w:rsidRPr="00E043B3">
              <w:rPr>
                <w:rFonts w:ascii="Arial Narrow" w:hAnsi="Arial Narrow" w:cs="Arial"/>
                <w:sz w:val="20"/>
                <w:lang w:bidi="ar-SA"/>
              </w:rPr>
              <w:t xml:space="preserve">, </w:t>
            </w:r>
            <w:r>
              <w:rPr>
                <w:rFonts w:ascii="Arial Narrow" w:hAnsi="Arial Narrow" w:cs="Arial"/>
                <w:sz w:val="20"/>
                <w:lang w:bidi="ar-SA"/>
              </w:rPr>
              <w:t>redacted</w:t>
            </w:r>
          </w:p>
        </w:tc>
      </w:tr>
    </w:tbl>
    <w:p w14:paraId="31C401E2" w14:textId="77777777" w:rsidR="001D3BE7" w:rsidRPr="00E043B3" w:rsidRDefault="001D3BE7" w:rsidP="001D3BE7">
      <w:pPr>
        <w:rPr>
          <w:rFonts w:ascii="Arial Narrow" w:hAnsi="Arial Narrow" w:cs="Arial"/>
          <w:sz w:val="16"/>
          <w:szCs w:val="16"/>
        </w:rPr>
      </w:pPr>
      <w:r w:rsidRPr="00E043B3">
        <w:rPr>
          <w:rFonts w:ascii="Arial Narrow" w:hAnsi="Arial Narrow" w:cs="Arial"/>
          <w:sz w:val="16"/>
          <w:szCs w:val="16"/>
        </w:rPr>
        <w:t>The 95% CIs are exact Clopper-Pearson CIs</w:t>
      </w:r>
    </w:p>
    <w:p w14:paraId="4788F82B" w14:textId="77777777" w:rsidR="001D3BE7" w:rsidRPr="00E043B3" w:rsidRDefault="001D3BE7" w:rsidP="001D3BE7">
      <w:pPr>
        <w:rPr>
          <w:rFonts w:ascii="Arial Narrow" w:hAnsi="Arial Narrow" w:cs="Arial"/>
          <w:sz w:val="16"/>
          <w:szCs w:val="16"/>
        </w:rPr>
      </w:pPr>
      <w:r w:rsidRPr="00E043B3">
        <w:rPr>
          <w:rFonts w:ascii="Arial Narrow" w:hAnsi="Arial Narrow" w:cs="Arial"/>
          <w:sz w:val="16"/>
          <w:szCs w:val="16"/>
        </w:rPr>
        <w:t>Abbreviations: CI, confidence interval; CR, complete response; ORR, overall response rate; PD, progressive disease; PR, partial response; SD, stable disease</w:t>
      </w:r>
    </w:p>
    <w:p w14:paraId="201C1516" w14:textId="4073A95D" w:rsidR="001D3BE7" w:rsidRPr="000D5359" w:rsidRDefault="001D3BE7">
      <w:pPr>
        <w:pStyle w:val="3Bodytext"/>
        <w:numPr>
          <w:ilvl w:val="0"/>
          <w:numId w:val="0"/>
        </w:numPr>
        <w:spacing w:after="0"/>
        <w:rPr>
          <w:rFonts w:ascii="Arial Narrow" w:hAnsi="Arial Narrow" w:cs="Arial"/>
          <w:sz w:val="16"/>
          <w:szCs w:val="16"/>
        </w:rPr>
      </w:pPr>
      <w:r w:rsidRPr="00E043B3">
        <w:rPr>
          <w:rFonts w:ascii="Arial Narrow" w:hAnsi="Arial Narrow" w:cs="Arial"/>
          <w:sz w:val="16"/>
          <w:szCs w:val="16"/>
        </w:rPr>
        <w:t xml:space="preserve">Patients were classified as CD19 high expression if they had an AQUA score ≥ 10,000, and low/negative expression if they had an AQUA score &lt; 10,000. No patient had negative CD19 expression, as all patients tested had some level of CD19 expression </w:t>
      </w:r>
    </w:p>
    <w:p w14:paraId="16B580CA" w14:textId="02587BDE" w:rsidR="001D3BE7" w:rsidRPr="008B7B85" w:rsidRDefault="001D3BE7" w:rsidP="000D5359">
      <w:pPr>
        <w:pStyle w:val="3Bodytext"/>
        <w:numPr>
          <w:ilvl w:val="0"/>
          <w:numId w:val="0"/>
        </w:numPr>
        <w:spacing w:before="240"/>
        <w:rPr>
          <w:rFonts w:ascii="Times New Roman" w:eastAsia="Times New Roman" w:hAnsi="Times New Roman" w:cs="Times New Roman"/>
          <w:szCs w:val="20"/>
        </w:rPr>
      </w:pPr>
      <w:r w:rsidRPr="008B7B85">
        <w:rPr>
          <w:rFonts w:ascii="Times New Roman" w:eastAsia="Times New Roman" w:hAnsi="Times New Roman" w:cs="Times New Roman"/>
          <w:szCs w:val="20"/>
        </w:rPr>
        <w:t xml:space="preserve">All patients in the low CD19 group had some level of CD19, ranging from </w:t>
      </w:r>
      <w:r w:rsidR="003F1A7E" w:rsidRPr="003F1A7E">
        <w:rPr>
          <w:rFonts w:ascii="Times New Roman" w:eastAsia="Times New Roman" w:hAnsi="Times New Roman" w:cs="Times New Roman"/>
          <w:b/>
          <w:szCs w:val="20"/>
        </w:rPr>
        <w:t>redacted</w:t>
      </w:r>
      <w:r w:rsidRPr="008B7B85">
        <w:rPr>
          <w:rFonts w:ascii="Times New Roman" w:eastAsia="Times New Roman" w:hAnsi="Times New Roman" w:cs="Times New Roman"/>
          <w:szCs w:val="20"/>
        </w:rPr>
        <w:t xml:space="preserve"> to </w:t>
      </w:r>
      <w:r w:rsidR="003F1A7E" w:rsidRPr="003F1A7E">
        <w:rPr>
          <w:rFonts w:ascii="Times New Roman" w:eastAsia="Times New Roman" w:hAnsi="Times New Roman" w:cs="Times New Roman"/>
          <w:b/>
          <w:szCs w:val="20"/>
        </w:rPr>
        <w:t>redacted</w:t>
      </w:r>
      <w:r w:rsidRPr="008B7B85">
        <w:rPr>
          <w:rFonts w:ascii="Times New Roman" w:eastAsia="Times New Roman" w:hAnsi="Times New Roman" w:cs="Times New Roman"/>
          <w:szCs w:val="20"/>
        </w:rPr>
        <w:t>. Some patients with a documented low level of CD19 recorded a complete response, and conversely</w:t>
      </w:r>
      <w:r>
        <w:rPr>
          <w:rFonts w:ascii="Times New Roman" w:eastAsia="Times New Roman" w:hAnsi="Times New Roman" w:cs="Times New Roman"/>
          <w:szCs w:val="20"/>
        </w:rPr>
        <w:t xml:space="preserve"> some patients with a documented </w:t>
      </w:r>
      <w:r w:rsidRPr="008B7B85">
        <w:rPr>
          <w:rFonts w:ascii="Times New Roman" w:eastAsia="Times New Roman" w:hAnsi="Times New Roman" w:cs="Times New Roman"/>
          <w:szCs w:val="20"/>
        </w:rPr>
        <w:t>high level of CD19 experie</w:t>
      </w:r>
      <w:r>
        <w:rPr>
          <w:rFonts w:ascii="Times New Roman" w:eastAsia="Times New Roman" w:hAnsi="Times New Roman" w:cs="Times New Roman"/>
          <w:szCs w:val="20"/>
        </w:rPr>
        <w:t>nced disease progression</w:t>
      </w:r>
      <w:r w:rsidRPr="008B7B85">
        <w:rPr>
          <w:rFonts w:ascii="Times New Roman" w:eastAsia="Times New Roman" w:hAnsi="Times New Roman" w:cs="Times New Roman"/>
          <w:szCs w:val="20"/>
        </w:rPr>
        <w:t>.</w:t>
      </w:r>
    </w:p>
    <w:p w14:paraId="4C1A8525" w14:textId="4F709F2A" w:rsidR="001D3BE7" w:rsidRPr="00023E97" w:rsidRDefault="001D3BE7" w:rsidP="008B7B85">
      <w:pPr>
        <w:pStyle w:val="3Bodytext"/>
        <w:numPr>
          <w:ilvl w:val="0"/>
          <w:numId w:val="0"/>
        </w:numPr>
        <w:rPr>
          <w:rFonts w:ascii="Times New Roman" w:eastAsia="Times New Roman" w:hAnsi="Times New Roman" w:cs="Times New Roman"/>
          <w:szCs w:val="20"/>
        </w:rPr>
      </w:pPr>
      <w:r w:rsidRPr="00023E97">
        <w:rPr>
          <w:rFonts w:ascii="Times New Roman" w:eastAsia="Times New Roman" w:hAnsi="Times New Roman" w:cs="Times New Roman"/>
          <w:szCs w:val="20"/>
        </w:rPr>
        <w:t xml:space="preserve">Overall, the application claimed there is no clear relationship between CD19 status, as measured in this analysis and outcomes in terms of </w:t>
      </w:r>
      <w:r w:rsidR="00023E97" w:rsidRPr="00023E97">
        <w:rPr>
          <w:rFonts w:ascii="Times New Roman" w:eastAsia="Times New Roman" w:hAnsi="Times New Roman" w:cs="Times New Roman"/>
          <w:szCs w:val="20"/>
        </w:rPr>
        <w:t>complete response (</w:t>
      </w:r>
      <w:r w:rsidRPr="00023E97">
        <w:rPr>
          <w:rFonts w:ascii="Times New Roman" w:eastAsia="Times New Roman" w:hAnsi="Times New Roman" w:cs="Times New Roman"/>
          <w:szCs w:val="20"/>
        </w:rPr>
        <w:t>CR</w:t>
      </w:r>
      <w:r w:rsidR="00023E97" w:rsidRPr="00023E97">
        <w:rPr>
          <w:rFonts w:ascii="Times New Roman" w:eastAsia="Times New Roman" w:hAnsi="Times New Roman" w:cs="Times New Roman"/>
          <w:szCs w:val="20"/>
        </w:rPr>
        <w:t>)</w:t>
      </w:r>
      <w:r w:rsidRPr="00023E97">
        <w:rPr>
          <w:rFonts w:ascii="Times New Roman" w:eastAsia="Times New Roman" w:hAnsi="Times New Roman" w:cs="Times New Roman"/>
          <w:szCs w:val="20"/>
        </w:rPr>
        <w:t xml:space="preserve"> and </w:t>
      </w:r>
      <w:r w:rsidR="00023E97" w:rsidRPr="00023E97">
        <w:rPr>
          <w:rFonts w:ascii="Times New Roman" w:eastAsia="Times New Roman" w:hAnsi="Times New Roman" w:cs="Times New Roman"/>
          <w:szCs w:val="20"/>
        </w:rPr>
        <w:t>partial response (</w:t>
      </w:r>
      <w:r w:rsidRPr="00023E97">
        <w:rPr>
          <w:rFonts w:ascii="Times New Roman" w:eastAsia="Times New Roman" w:hAnsi="Times New Roman" w:cs="Times New Roman"/>
          <w:szCs w:val="20"/>
        </w:rPr>
        <w:t>PR</w:t>
      </w:r>
      <w:r w:rsidR="00023E97" w:rsidRPr="00023E97">
        <w:rPr>
          <w:rFonts w:ascii="Times New Roman" w:eastAsia="Times New Roman" w:hAnsi="Times New Roman" w:cs="Times New Roman"/>
          <w:szCs w:val="20"/>
        </w:rPr>
        <w:t>)</w:t>
      </w:r>
      <w:r w:rsidRPr="00023E97">
        <w:rPr>
          <w:rFonts w:ascii="Times New Roman" w:eastAsia="Times New Roman" w:hAnsi="Times New Roman" w:cs="Times New Roman"/>
          <w:szCs w:val="20"/>
        </w:rPr>
        <w:t>. However, the limitations in the study also meant that it is difficult to exclude the possibility that there is a relationship between CD19 level measured just prior to treatment and outcome.</w:t>
      </w:r>
    </w:p>
    <w:p w14:paraId="33A25683" w14:textId="77777777" w:rsidR="00BC1364" w:rsidRPr="00F715D1" w:rsidRDefault="00BC1364" w:rsidP="00F715D1">
      <w:pPr>
        <w:pStyle w:val="Heading1"/>
      </w:pPr>
      <w:r w:rsidRPr="00F715D1">
        <w:t>Economic evaluation</w:t>
      </w:r>
    </w:p>
    <w:p w14:paraId="56226281" w14:textId="459B762C" w:rsidR="00BC1364" w:rsidRPr="005A4362" w:rsidRDefault="007D7989" w:rsidP="00F715D1">
      <w:pPr>
        <w:tabs>
          <w:tab w:val="left" w:pos="720"/>
          <w:tab w:val="left" w:pos="1140"/>
        </w:tabs>
        <w:spacing w:after="240"/>
        <w:rPr>
          <w:i/>
          <w:szCs w:val="24"/>
        </w:rPr>
      </w:pPr>
      <w:r>
        <w:t xml:space="preserve">There was no economic evaluation </w:t>
      </w:r>
      <w:r w:rsidR="00D50FF1">
        <w:t xml:space="preserve">presented </w:t>
      </w:r>
      <w:r>
        <w:t>for this application as it was a minor application.</w:t>
      </w:r>
    </w:p>
    <w:p w14:paraId="0029C436" w14:textId="77777777" w:rsidR="00BC1364" w:rsidRPr="00F715D1" w:rsidRDefault="00BC1364" w:rsidP="00F715D1">
      <w:pPr>
        <w:pStyle w:val="Heading1"/>
      </w:pPr>
      <w:r w:rsidRPr="00F715D1">
        <w:t>Financial/budgetary impacts</w:t>
      </w:r>
    </w:p>
    <w:p w14:paraId="385ADF4F" w14:textId="7B6A4956" w:rsidR="001F424F" w:rsidRDefault="007D7989" w:rsidP="00F715D1">
      <w:pPr>
        <w:pStyle w:val="Default"/>
        <w:spacing w:after="240"/>
      </w:pPr>
      <w:r w:rsidRPr="003C2FB5">
        <w:t xml:space="preserve">The </w:t>
      </w:r>
      <w:r>
        <w:t>application expected there to be no change to the patient numbers and financial estimates that were submitted as part of the November 2019 MSAC resubmission</w:t>
      </w:r>
      <w:r w:rsidR="001F424F">
        <w:t xml:space="preserve"> (1519.1)</w:t>
      </w:r>
      <w:r>
        <w:t xml:space="preserve">, as the estimated number of eligible patients were not adjusted for the proportion of patients who would test as CD19 ‘positive’. </w:t>
      </w:r>
      <w:r w:rsidR="001F424F">
        <w:t xml:space="preserve">The costings submitted for this application were therefore the same with patient estimates up to </w:t>
      </w:r>
      <w:r w:rsidR="009B48A7">
        <w:t>January</w:t>
      </w:r>
      <w:r w:rsidR="001F424F">
        <w:t xml:space="preserve"> 2020, as was provided for Application 1519.1. </w:t>
      </w:r>
    </w:p>
    <w:p w14:paraId="572702AE" w14:textId="062AF08C" w:rsidR="007D7989" w:rsidRPr="008B7B85" w:rsidRDefault="007D7989" w:rsidP="00F715D1">
      <w:pPr>
        <w:pStyle w:val="Default"/>
        <w:spacing w:after="240"/>
        <w:rPr>
          <w:color w:val="auto"/>
        </w:rPr>
      </w:pPr>
      <w:r>
        <w:t>The application did not request any changes to the current risk share arrangements for TIS in DLBCL.</w:t>
      </w:r>
    </w:p>
    <w:p w14:paraId="732A2FCB" w14:textId="77777777" w:rsidR="00D90A38" w:rsidRPr="00F715D1" w:rsidRDefault="00BC1364" w:rsidP="00F715D1">
      <w:pPr>
        <w:pStyle w:val="Heading1"/>
      </w:pPr>
      <w:r w:rsidRPr="00F715D1">
        <w:t>Other significant factors</w:t>
      </w:r>
    </w:p>
    <w:p w14:paraId="347865B3" w14:textId="5B467D52" w:rsidR="00BC1364" w:rsidRPr="008B7B85" w:rsidRDefault="00BC1364" w:rsidP="00F715D1">
      <w:pPr>
        <w:spacing w:after="240"/>
        <w:rPr>
          <w:szCs w:val="24"/>
        </w:rPr>
      </w:pPr>
      <w:r w:rsidRPr="008B7B85">
        <w:rPr>
          <w:szCs w:val="24"/>
        </w:rPr>
        <w:t>Nil</w:t>
      </w:r>
    </w:p>
    <w:p w14:paraId="09E24DAF"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49CAFB41" w14:textId="1D52947B" w:rsidR="00BC1364" w:rsidRPr="005A4362" w:rsidRDefault="00A22292" w:rsidP="00F715D1">
      <w:pPr>
        <w:spacing w:after="240"/>
        <w:rPr>
          <w:color w:val="00B0F0"/>
          <w:szCs w:val="24"/>
        </w:rPr>
      </w:pPr>
      <w:r w:rsidRPr="00A22292">
        <w:rPr>
          <w:szCs w:val="24"/>
        </w:rPr>
        <w:t>The applicant had no comment.</w:t>
      </w:r>
    </w:p>
    <w:p w14:paraId="0B15CDCD" w14:textId="77777777" w:rsidR="00BC1364" w:rsidRPr="00F715D1" w:rsidRDefault="00271F18" w:rsidP="00F715D1">
      <w:pPr>
        <w:pStyle w:val="Heading1"/>
      </w:pPr>
      <w:r w:rsidRPr="00F715D1">
        <w:t>Further information on MSAC</w:t>
      </w:r>
    </w:p>
    <w:p w14:paraId="5E84D523"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9"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8FD64" w14:textId="77777777" w:rsidR="00C353AF" w:rsidRDefault="00C353AF" w:rsidP="00065623">
      <w:r>
        <w:separator/>
      </w:r>
    </w:p>
  </w:endnote>
  <w:endnote w:type="continuationSeparator" w:id="0">
    <w:p w14:paraId="665DA236" w14:textId="77777777" w:rsidR="00C353AF" w:rsidRDefault="00C353AF"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DA0B4" w14:textId="77777777" w:rsidR="005F18E9" w:rsidRDefault="005F1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57CDC5B1" w14:textId="7359914B" w:rsidR="00352224" w:rsidRDefault="00352224">
        <w:pPr>
          <w:pStyle w:val="Footer"/>
          <w:jc w:val="right"/>
        </w:pPr>
        <w:r>
          <w:fldChar w:fldCharType="begin"/>
        </w:r>
        <w:r>
          <w:instrText xml:space="preserve"> PAGE   \* MERGEFORMAT </w:instrText>
        </w:r>
        <w:r>
          <w:fldChar w:fldCharType="separate"/>
        </w:r>
        <w:r w:rsidR="0029366B">
          <w:rPr>
            <w:noProof/>
          </w:rPr>
          <w:t>6</w:t>
        </w:r>
        <w:r>
          <w:rPr>
            <w:noProof/>
          </w:rPr>
          <w:fldChar w:fldCharType="end"/>
        </w:r>
      </w:p>
    </w:sdtContent>
  </w:sdt>
  <w:p w14:paraId="0C25FD22" w14:textId="77777777" w:rsidR="00BC1364" w:rsidRDefault="00BC13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D3C33" w14:textId="77777777" w:rsidR="005F18E9" w:rsidRDefault="005F1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B5194" w14:textId="77777777" w:rsidR="00C353AF" w:rsidRDefault="00C353AF" w:rsidP="00065623">
      <w:r>
        <w:separator/>
      </w:r>
    </w:p>
  </w:footnote>
  <w:footnote w:type="continuationSeparator" w:id="0">
    <w:p w14:paraId="6EF6BFE7" w14:textId="77777777" w:rsidR="00C353AF" w:rsidRDefault="00C353AF"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F8013" w14:textId="77777777" w:rsidR="005F18E9" w:rsidRDefault="005F1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71EA7" w14:textId="77777777" w:rsidR="005F18E9" w:rsidRDefault="005F18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E538B" w14:textId="77777777" w:rsidR="005F18E9" w:rsidRDefault="005F1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CFB"/>
    <w:multiLevelType w:val="hybridMultilevel"/>
    <w:tmpl w:val="D65ACD9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22D68"/>
    <w:multiLevelType w:val="hybridMultilevel"/>
    <w:tmpl w:val="78606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372FBE"/>
    <w:multiLevelType w:val="hybridMultilevel"/>
    <w:tmpl w:val="73FAB6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13C7E"/>
    <w:multiLevelType w:val="hybridMultilevel"/>
    <w:tmpl w:val="F1C82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D221C5"/>
    <w:multiLevelType w:val="hybridMultilevel"/>
    <w:tmpl w:val="771E1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70132C"/>
    <w:multiLevelType w:val="hybridMultilevel"/>
    <w:tmpl w:val="F78407D8"/>
    <w:lvl w:ilvl="0" w:tplc="FE8C04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784D033C"/>
    <w:multiLevelType w:val="multilevel"/>
    <w:tmpl w:val="E850E6E4"/>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3"/>
  </w:num>
  <w:num w:numId="4">
    <w:abstractNumId w:val="21"/>
  </w:num>
  <w:num w:numId="5">
    <w:abstractNumId w:val="12"/>
  </w:num>
  <w:num w:numId="6">
    <w:abstractNumId w:val="19"/>
  </w:num>
  <w:num w:numId="7">
    <w:abstractNumId w:val="24"/>
  </w:num>
  <w:num w:numId="8">
    <w:abstractNumId w:val="15"/>
  </w:num>
  <w:num w:numId="9">
    <w:abstractNumId w:val="31"/>
  </w:num>
  <w:num w:numId="10">
    <w:abstractNumId w:val="1"/>
  </w:num>
  <w:num w:numId="11">
    <w:abstractNumId w:val="23"/>
  </w:num>
  <w:num w:numId="12">
    <w:abstractNumId w:val="25"/>
  </w:num>
  <w:num w:numId="13">
    <w:abstractNumId w:val="6"/>
  </w:num>
  <w:num w:numId="14">
    <w:abstractNumId w:val="29"/>
  </w:num>
  <w:num w:numId="15">
    <w:abstractNumId w:val="22"/>
  </w:num>
  <w:num w:numId="16">
    <w:abstractNumId w:val="26"/>
  </w:num>
  <w:num w:numId="17">
    <w:abstractNumId w:val="16"/>
  </w:num>
  <w:num w:numId="18">
    <w:abstractNumId w:val="17"/>
  </w:num>
  <w:num w:numId="19">
    <w:abstractNumId w:val="28"/>
  </w:num>
  <w:num w:numId="20">
    <w:abstractNumId w:val="27"/>
  </w:num>
  <w:num w:numId="21">
    <w:abstractNumId w:val="5"/>
  </w:num>
  <w:num w:numId="22">
    <w:abstractNumId w:val="11"/>
  </w:num>
  <w:num w:numId="23">
    <w:abstractNumId w:val="4"/>
  </w:num>
  <w:num w:numId="24">
    <w:abstractNumId w:val="10"/>
  </w:num>
  <w:num w:numId="25">
    <w:abstractNumId w:val="7"/>
  </w:num>
  <w:num w:numId="26">
    <w:abstractNumId w:val="30"/>
  </w:num>
  <w:num w:numId="27">
    <w:abstractNumId w:val="14"/>
  </w:num>
  <w:num w:numId="28">
    <w:abstractNumId w:val="9"/>
  </w:num>
  <w:num w:numId="29">
    <w:abstractNumId w:val="13"/>
  </w:num>
  <w:num w:numId="30">
    <w:abstractNumId w:val="0"/>
  </w:num>
  <w:num w:numId="31">
    <w:abstractNumId w:val="2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1311B"/>
    <w:rsid w:val="00014A38"/>
    <w:rsid w:val="00023E97"/>
    <w:rsid w:val="000317F2"/>
    <w:rsid w:val="00047606"/>
    <w:rsid w:val="00065623"/>
    <w:rsid w:val="000756B9"/>
    <w:rsid w:val="00096B67"/>
    <w:rsid w:val="00096DAF"/>
    <w:rsid w:val="000A4B40"/>
    <w:rsid w:val="000B6591"/>
    <w:rsid w:val="000C2F47"/>
    <w:rsid w:val="000D2B9A"/>
    <w:rsid w:val="000D5359"/>
    <w:rsid w:val="000D6C00"/>
    <w:rsid w:val="000E4E04"/>
    <w:rsid w:val="000E558C"/>
    <w:rsid w:val="000F14B4"/>
    <w:rsid w:val="000F75DF"/>
    <w:rsid w:val="001023DC"/>
    <w:rsid w:val="001328FA"/>
    <w:rsid w:val="00147AAF"/>
    <w:rsid w:val="001552C0"/>
    <w:rsid w:val="001640B1"/>
    <w:rsid w:val="001842B7"/>
    <w:rsid w:val="0018435E"/>
    <w:rsid w:val="00184E27"/>
    <w:rsid w:val="00194A71"/>
    <w:rsid w:val="001D3BE7"/>
    <w:rsid w:val="001E3F42"/>
    <w:rsid w:val="001F424F"/>
    <w:rsid w:val="002041A1"/>
    <w:rsid w:val="002054F0"/>
    <w:rsid w:val="00211C36"/>
    <w:rsid w:val="0022169D"/>
    <w:rsid w:val="00222DAE"/>
    <w:rsid w:val="00230D6B"/>
    <w:rsid w:val="00232068"/>
    <w:rsid w:val="002330F2"/>
    <w:rsid w:val="00233A1C"/>
    <w:rsid w:val="00243D9E"/>
    <w:rsid w:val="00253B66"/>
    <w:rsid w:val="00261DF1"/>
    <w:rsid w:val="00262C99"/>
    <w:rsid w:val="00271F18"/>
    <w:rsid w:val="0028237B"/>
    <w:rsid w:val="00282779"/>
    <w:rsid w:val="0028334D"/>
    <w:rsid w:val="0029366B"/>
    <w:rsid w:val="002B2655"/>
    <w:rsid w:val="002B7FFA"/>
    <w:rsid w:val="002C2BCF"/>
    <w:rsid w:val="002D5238"/>
    <w:rsid w:val="002F279D"/>
    <w:rsid w:val="002F3DCC"/>
    <w:rsid w:val="002F43B8"/>
    <w:rsid w:val="003034DC"/>
    <w:rsid w:val="00313633"/>
    <w:rsid w:val="00336856"/>
    <w:rsid w:val="0034554D"/>
    <w:rsid w:val="00352224"/>
    <w:rsid w:val="003671E6"/>
    <w:rsid w:val="003724D2"/>
    <w:rsid w:val="00384272"/>
    <w:rsid w:val="00386D67"/>
    <w:rsid w:val="003945B8"/>
    <w:rsid w:val="00396B38"/>
    <w:rsid w:val="003D7F29"/>
    <w:rsid w:val="003E70F4"/>
    <w:rsid w:val="003F1A7E"/>
    <w:rsid w:val="00405A6B"/>
    <w:rsid w:val="00407B1F"/>
    <w:rsid w:val="0041184F"/>
    <w:rsid w:val="00414C57"/>
    <w:rsid w:val="0041758C"/>
    <w:rsid w:val="00446FA9"/>
    <w:rsid w:val="004539DE"/>
    <w:rsid w:val="00466C95"/>
    <w:rsid w:val="004A2CF1"/>
    <w:rsid w:val="004A7E0B"/>
    <w:rsid w:val="004C3035"/>
    <w:rsid w:val="004C307F"/>
    <w:rsid w:val="004E4BA8"/>
    <w:rsid w:val="004F340F"/>
    <w:rsid w:val="004F7B7C"/>
    <w:rsid w:val="0052243D"/>
    <w:rsid w:val="00532435"/>
    <w:rsid w:val="00550354"/>
    <w:rsid w:val="00571236"/>
    <w:rsid w:val="00592DEA"/>
    <w:rsid w:val="005953A1"/>
    <w:rsid w:val="005A4362"/>
    <w:rsid w:val="005B5434"/>
    <w:rsid w:val="005D0332"/>
    <w:rsid w:val="005D0D8C"/>
    <w:rsid w:val="005E46F0"/>
    <w:rsid w:val="005F18E9"/>
    <w:rsid w:val="00640A46"/>
    <w:rsid w:val="006776AE"/>
    <w:rsid w:val="006A0D97"/>
    <w:rsid w:val="006B1F86"/>
    <w:rsid w:val="006C0A91"/>
    <w:rsid w:val="007054BB"/>
    <w:rsid w:val="00707064"/>
    <w:rsid w:val="00712B1D"/>
    <w:rsid w:val="00724C12"/>
    <w:rsid w:val="00730683"/>
    <w:rsid w:val="007339D3"/>
    <w:rsid w:val="00750C20"/>
    <w:rsid w:val="00750D6D"/>
    <w:rsid w:val="0075261F"/>
    <w:rsid w:val="0075468E"/>
    <w:rsid w:val="00757328"/>
    <w:rsid w:val="007665D8"/>
    <w:rsid w:val="00766E36"/>
    <w:rsid w:val="00772853"/>
    <w:rsid w:val="007765F4"/>
    <w:rsid w:val="00776633"/>
    <w:rsid w:val="00784D53"/>
    <w:rsid w:val="00797797"/>
    <w:rsid w:val="007A63C9"/>
    <w:rsid w:val="007B32D1"/>
    <w:rsid w:val="007B7095"/>
    <w:rsid w:val="007D24E1"/>
    <w:rsid w:val="007D6288"/>
    <w:rsid w:val="007D63F2"/>
    <w:rsid w:val="007D7989"/>
    <w:rsid w:val="007E5B0E"/>
    <w:rsid w:val="007F4CE9"/>
    <w:rsid w:val="007F4E20"/>
    <w:rsid w:val="00822C7E"/>
    <w:rsid w:val="00847060"/>
    <w:rsid w:val="00847A36"/>
    <w:rsid w:val="00856A33"/>
    <w:rsid w:val="008726DD"/>
    <w:rsid w:val="0087527B"/>
    <w:rsid w:val="00892620"/>
    <w:rsid w:val="008A373F"/>
    <w:rsid w:val="008B7B85"/>
    <w:rsid w:val="008C778E"/>
    <w:rsid w:val="008C7D37"/>
    <w:rsid w:val="008D5885"/>
    <w:rsid w:val="00923FA2"/>
    <w:rsid w:val="0096060D"/>
    <w:rsid w:val="00974A50"/>
    <w:rsid w:val="0097585A"/>
    <w:rsid w:val="009924B0"/>
    <w:rsid w:val="009942C9"/>
    <w:rsid w:val="009B35C4"/>
    <w:rsid w:val="009B48A7"/>
    <w:rsid w:val="009C596F"/>
    <w:rsid w:val="009C630A"/>
    <w:rsid w:val="009E0D98"/>
    <w:rsid w:val="009E4749"/>
    <w:rsid w:val="00A068A1"/>
    <w:rsid w:val="00A1207D"/>
    <w:rsid w:val="00A12FD8"/>
    <w:rsid w:val="00A22292"/>
    <w:rsid w:val="00A346FC"/>
    <w:rsid w:val="00A46646"/>
    <w:rsid w:val="00A46D77"/>
    <w:rsid w:val="00A6376C"/>
    <w:rsid w:val="00A846F2"/>
    <w:rsid w:val="00A84F93"/>
    <w:rsid w:val="00AB1AC5"/>
    <w:rsid w:val="00AB3BFC"/>
    <w:rsid w:val="00AC4F2E"/>
    <w:rsid w:val="00AD0C37"/>
    <w:rsid w:val="00AD385F"/>
    <w:rsid w:val="00AE6E2A"/>
    <w:rsid w:val="00AF4529"/>
    <w:rsid w:val="00B03EAB"/>
    <w:rsid w:val="00B31E9C"/>
    <w:rsid w:val="00B35595"/>
    <w:rsid w:val="00B51C6D"/>
    <w:rsid w:val="00B83DD2"/>
    <w:rsid w:val="00B86D64"/>
    <w:rsid w:val="00BA4AC5"/>
    <w:rsid w:val="00BA501D"/>
    <w:rsid w:val="00BA6657"/>
    <w:rsid w:val="00BC1364"/>
    <w:rsid w:val="00BC2667"/>
    <w:rsid w:val="00BC7DE9"/>
    <w:rsid w:val="00BF479B"/>
    <w:rsid w:val="00C02577"/>
    <w:rsid w:val="00C06B0B"/>
    <w:rsid w:val="00C204FB"/>
    <w:rsid w:val="00C20BEE"/>
    <w:rsid w:val="00C2158D"/>
    <w:rsid w:val="00C353AF"/>
    <w:rsid w:val="00C67DD2"/>
    <w:rsid w:val="00C725CB"/>
    <w:rsid w:val="00C76F5C"/>
    <w:rsid w:val="00C96BAD"/>
    <w:rsid w:val="00CA6944"/>
    <w:rsid w:val="00CB0F8E"/>
    <w:rsid w:val="00CB7E7D"/>
    <w:rsid w:val="00CC2911"/>
    <w:rsid w:val="00CF0C6D"/>
    <w:rsid w:val="00CF4E81"/>
    <w:rsid w:val="00CF7307"/>
    <w:rsid w:val="00CF7C68"/>
    <w:rsid w:val="00D124FA"/>
    <w:rsid w:val="00D340DE"/>
    <w:rsid w:val="00D50CDB"/>
    <w:rsid w:val="00D50FF1"/>
    <w:rsid w:val="00D55723"/>
    <w:rsid w:val="00D62FAD"/>
    <w:rsid w:val="00D64355"/>
    <w:rsid w:val="00D67333"/>
    <w:rsid w:val="00D70450"/>
    <w:rsid w:val="00D83BFD"/>
    <w:rsid w:val="00D90A38"/>
    <w:rsid w:val="00D95739"/>
    <w:rsid w:val="00DA0515"/>
    <w:rsid w:val="00DA171E"/>
    <w:rsid w:val="00DA56AA"/>
    <w:rsid w:val="00DB0F03"/>
    <w:rsid w:val="00DB5833"/>
    <w:rsid w:val="00DD2858"/>
    <w:rsid w:val="00DE6780"/>
    <w:rsid w:val="00DF489D"/>
    <w:rsid w:val="00E03E33"/>
    <w:rsid w:val="00E043B3"/>
    <w:rsid w:val="00E059E0"/>
    <w:rsid w:val="00E3642A"/>
    <w:rsid w:val="00E415C4"/>
    <w:rsid w:val="00E50016"/>
    <w:rsid w:val="00E50EAA"/>
    <w:rsid w:val="00E60F1E"/>
    <w:rsid w:val="00E656D6"/>
    <w:rsid w:val="00E977EE"/>
    <w:rsid w:val="00EA2F24"/>
    <w:rsid w:val="00EA5C0E"/>
    <w:rsid w:val="00EA67A2"/>
    <w:rsid w:val="00EA772A"/>
    <w:rsid w:val="00EB630F"/>
    <w:rsid w:val="00EB6B6F"/>
    <w:rsid w:val="00EC4F98"/>
    <w:rsid w:val="00F0362E"/>
    <w:rsid w:val="00F12F02"/>
    <w:rsid w:val="00F32E0D"/>
    <w:rsid w:val="00F35134"/>
    <w:rsid w:val="00F37B9C"/>
    <w:rsid w:val="00F41812"/>
    <w:rsid w:val="00F53620"/>
    <w:rsid w:val="00F56D7F"/>
    <w:rsid w:val="00F715D1"/>
    <w:rsid w:val="00F72715"/>
    <w:rsid w:val="00F73333"/>
    <w:rsid w:val="00F878CB"/>
    <w:rsid w:val="00F95D8F"/>
    <w:rsid w:val="00FB29FF"/>
    <w:rsid w:val="00FB350A"/>
    <w:rsid w:val="00FB4C5D"/>
    <w:rsid w:val="00FC2D7D"/>
    <w:rsid w:val="00FD0063"/>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A5A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BulletPoints,Numbered para,Body Text Bullet Points,List Paragraph1,Bullet point,List Paragraph11,Recommendation,Section heading,Footnote,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odytext">
    <w:name w:val="3. Body text"/>
    <w:basedOn w:val="ListParagraph"/>
    <w:link w:val="3BodytextChar"/>
    <w:qFormat/>
    <w:rsid w:val="007E5B0E"/>
    <w:pPr>
      <w:numPr>
        <w:ilvl w:val="1"/>
        <w:numId w:val="26"/>
      </w:numPr>
      <w:spacing w:after="120"/>
      <w:contextualSpacing w:val="0"/>
    </w:pPr>
    <w:rPr>
      <w:rFonts w:asciiTheme="minorHAnsi" w:eastAsiaTheme="minorHAnsi" w:hAnsiTheme="minorHAnsi" w:cstheme="minorBidi"/>
      <w:szCs w:val="22"/>
    </w:rPr>
  </w:style>
  <w:style w:type="character" w:customStyle="1" w:styleId="3BodytextChar">
    <w:name w:val="3. Body text Char"/>
    <w:basedOn w:val="DefaultParagraphFont"/>
    <w:link w:val="3Bodytext"/>
    <w:rsid w:val="007E5B0E"/>
    <w:rPr>
      <w:rFonts w:asciiTheme="minorHAnsi" w:eastAsiaTheme="minorHAnsi" w:hAnsiTheme="minorHAnsi" w:cstheme="minorBidi"/>
      <w:sz w:val="24"/>
    </w:rPr>
  </w:style>
  <w:style w:type="paragraph" w:customStyle="1" w:styleId="2-SectionHeading">
    <w:name w:val="2-Section Heading"/>
    <w:qFormat/>
    <w:rsid w:val="007E5B0E"/>
    <w:pPr>
      <w:keepNext/>
      <w:numPr>
        <w:numId w:val="26"/>
      </w:numPr>
      <w:spacing w:before="240" w:after="120"/>
      <w:outlineLvl w:val="0"/>
    </w:pPr>
    <w:rPr>
      <w:rFonts w:asciiTheme="minorHAnsi" w:eastAsia="Times New Roman" w:hAnsiTheme="minorHAnsi" w:cs="Arial"/>
      <w:b/>
      <w:snapToGrid w:val="0"/>
      <w:sz w:val="32"/>
      <w:szCs w:val="3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Styl moj Char,Akapit z listą1 Char"/>
    <w:basedOn w:val="DefaultParagraphFont"/>
    <w:link w:val="ListParagraph"/>
    <w:uiPriority w:val="34"/>
    <w:qFormat/>
    <w:rsid w:val="002B2655"/>
    <w:rPr>
      <w:rFonts w:eastAsia="Times New Roman"/>
      <w:sz w:val="24"/>
      <w:szCs w:val="20"/>
    </w:rPr>
  </w:style>
  <w:style w:type="table" w:customStyle="1" w:styleId="Submissionstandard">
    <w:name w:val="Submission standard"/>
    <w:qFormat/>
    <w:rsid w:val="002B2655"/>
    <w:rPr>
      <w:rFonts w:ascii="Arial Narrow" w:eastAsia="Times New Roman" w:hAnsi="Arial Narrow"/>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Cambria" w:hAnsi="Cambria" w:cs="Times New Roman"/>
        <w:b/>
        <w:sz w:val="20"/>
      </w:rPr>
      <w:tblPr/>
      <w:tcPr>
        <w:shd w:val="clear" w:color="auto" w:fill="BFBFBF"/>
      </w:tcPr>
    </w:tblStylePr>
  </w:style>
  <w:style w:type="paragraph" w:styleId="Caption">
    <w:name w:val="caption"/>
    <w:basedOn w:val="Normal"/>
    <w:next w:val="Normal"/>
    <w:link w:val="CaptionChar"/>
    <w:uiPriority w:val="99"/>
    <w:unhideWhenUsed/>
    <w:qFormat/>
    <w:locked/>
    <w:rsid w:val="001D3BE7"/>
    <w:pPr>
      <w:spacing w:after="200"/>
      <w:jc w:val="both"/>
    </w:pPr>
    <w:rPr>
      <w:rFonts w:ascii="Calibri" w:hAnsi="Calibri"/>
      <w:i/>
      <w:iCs/>
      <w:color w:val="000000" w:themeColor="text1"/>
      <w:sz w:val="18"/>
      <w:szCs w:val="18"/>
    </w:rPr>
  </w:style>
  <w:style w:type="character" w:customStyle="1" w:styleId="CaptionChar">
    <w:name w:val="Caption Char"/>
    <w:basedOn w:val="DefaultParagraphFont"/>
    <w:link w:val="Caption"/>
    <w:uiPriority w:val="99"/>
    <w:rsid w:val="001D3BE7"/>
    <w:rPr>
      <w:rFonts w:ascii="Calibri" w:eastAsia="Times New Roman" w:hAnsi="Calibri"/>
      <w:i/>
      <w:iCs/>
      <w:color w:val="000000" w:themeColor="text1"/>
      <w:sz w:val="18"/>
      <w:szCs w:val="18"/>
    </w:rPr>
  </w:style>
  <w:style w:type="table" w:styleId="PlainTable1">
    <w:name w:val="Plain Table 1"/>
    <w:basedOn w:val="TableNormal"/>
    <w:uiPriority w:val="99"/>
    <w:rsid w:val="001D3BE7"/>
    <w:rPr>
      <w:rFonts w:asciiTheme="majorHAnsi" w:eastAsiaTheme="majorEastAsia" w:hAnsiTheme="majorHAnsi" w:cstheme="majorBidi"/>
      <w:lang w:val="en-US" w:eastAsia="en-US" w:bidi="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sac.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2123</Words>
  <Characters>12180</Characters>
  <Application>Microsoft Office Word</Application>
  <DocSecurity>0</DocSecurity>
  <Lines>101</Lines>
  <Paragraphs>28</Paragraphs>
  <ScaleCrop>false</ScaleCrop>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2021-02-10T01:52:00Z</dcterms:created>
  <dcterms:modified xsi:type="dcterms:W3CDTF">2021-02-10T01:53:00Z</dcterms:modified>
</cp:coreProperties>
</file>