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39DBE" w14:textId="77777777" w:rsidR="005067A1" w:rsidRDefault="005067A1" w:rsidP="00922CFC">
      <w:pPr>
        <w:pStyle w:val="TableCentre"/>
        <w:rPr>
          <w:szCs w:val="24"/>
        </w:rPr>
      </w:pPr>
      <w:bookmarkStart w:id="0" w:name="_GoBack"/>
      <w:bookmarkEnd w:id="0"/>
    </w:p>
    <w:p w14:paraId="242AF0BA" w14:textId="587F3225" w:rsidR="00BC1364" w:rsidRPr="00707064" w:rsidRDefault="00C67DD2" w:rsidP="00922CFC">
      <w:pPr>
        <w:pStyle w:val="TableCentre"/>
        <w:rPr>
          <w:szCs w:val="24"/>
          <w:highlight w:val="yellow"/>
        </w:rPr>
      </w:pPr>
      <w:r>
        <w:rPr>
          <w:noProof/>
          <w:lang w:eastAsia="en-AU" w:bidi="ar-SA"/>
        </w:rPr>
        <w:drawing>
          <wp:inline distT="0" distB="0" distL="0" distR="0" wp14:anchorId="1F36C6EB" wp14:editId="1379D747">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E61DF99" w14:textId="77777777" w:rsidR="001827D7" w:rsidRPr="00F715D1" w:rsidRDefault="00F715D1" w:rsidP="001827D7">
      <w:pPr>
        <w:pStyle w:val="Title"/>
        <w:tabs>
          <w:tab w:val="left" w:pos="1926"/>
          <w:tab w:val="center" w:pos="4513"/>
        </w:tabs>
        <w:jc w:val="left"/>
      </w:pPr>
      <w:r>
        <w:tab/>
      </w:r>
      <w:r>
        <w:tab/>
      </w:r>
      <w:r w:rsidR="001827D7" w:rsidRPr="00F715D1">
        <w:t>Public Summary Document</w:t>
      </w:r>
    </w:p>
    <w:p w14:paraId="2BCBA3C2" w14:textId="77777777" w:rsidR="001827D7" w:rsidRPr="00F715D1" w:rsidRDefault="001827D7" w:rsidP="001827D7">
      <w:pPr>
        <w:pStyle w:val="Subtitle"/>
      </w:pPr>
      <w:r w:rsidRPr="00F715D1">
        <w:t xml:space="preserve">Application No. </w:t>
      </w:r>
      <w:r w:rsidRPr="002F2195">
        <w:t>1519.1 – Tisagenlecleucel (CTL019) for treatment of relapsed or refractory diffuse large B-cell lymphoma (DLBCL)</w:t>
      </w:r>
    </w:p>
    <w:p w14:paraId="3E5625A4" w14:textId="77777777" w:rsidR="001827D7" w:rsidRPr="00F715D1" w:rsidRDefault="001827D7" w:rsidP="001827D7">
      <w:pPr>
        <w:tabs>
          <w:tab w:val="left" w:pos="3686"/>
        </w:tabs>
        <w:spacing w:after="2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Pr="002F2195">
        <w:rPr>
          <w:rFonts w:ascii="Arial" w:hAnsi="Arial" w:cs="Arial"/>
          <w:b/>
          <w:szCs w:val="24"/>
        </w:rPr>
        <w:t>Novartis Pharmaceuticals Australia Pty Ltd</w:t>
      </w:r>
    </w:p>
    <w:p w14:paraId="09EEC818" w14:textId="584598C0" w:rsidR="001827D7" w:rsidRDefault="001827D7" w:rsidP="001827D7">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Pr="00AE5B3E">
        <w:rPr>
          <w:rFonts w:ascii="Arial" w:hAnsi="Arial" w:cs="Arial"/>
          <w:b/>
          <w:szCs w:val="24"/>
        </w:rPr>
        <w:t>MSAC 77</w:t>
      </w:r>
      <w:r w:rsidRPr="00AE5B3E">
        <w:rPr>
          <w:rFonts w:ascii="Arial" w:hAnsi="Arial" w:cs="Arial"/>
          <w:b/>
          <w:szCs w:val="24"/>
          <w:vertAlign w:val="superscript"/>
        </w:rPr>
        <w:t>th</w:t>
      </w:r>
      <w:r w:rsidR="00EC3C45" w:rsidRPr="00AE5B3E">
        <w:rPr>
          <w:rFonts w:ascii="Arial" w:hAnsi="Arial" w:cs="Arial"/>
          <w:b/>
          <w:szCs w:val="24"/>
        </w:rPr>
        <w:t xml:space="preserve"> Meeting, 28-</w:t>
      </w:r>
      <w:r w:rsidRPr="00AE5B3E">
        <w:rPr>
          <w:rFonts w:ascii="Arial" w:hAnsi="Arial" w:cs="Arial"/>
          <w:b/>
          <w:szCs w:val="24"/>
        </w:rPr>
        <w:t>29 November 2019</w:t>
      </w:r>
    </w:p>
    <w:p w14:paraId="2773EA78" w14:textId="1D39EAA6" w:rsidR="001827D7" w:rsidRPr="00F715D1" w:rsidRDefault="001827D7" w:rsidP="00606379">
      <w:pPr>
        <w:tabs>
          <w:tab w:val="left" w:pos="3686"/>
        </w:tabs>
        <w:spacing w:after="240"/>
        <w:rPr>
          <w:rFonts w:ascii="Arial" w:hAnsi="Arial" w:cs="Arial"/>
          <w:b/>
          <w:szCs w:val="24"/>
        </w:rPr>
      </w:pPr>
      <w:r>
        <w:rPr>
          <w:rFonts w:ascii="Arial" w:hAnsi="Arial" w:cs="Arial"/>
          <w:b/>
          <w:szCs w:val="24"/>
        </w:rPr>
        <w:tab/>
      </w:r>
      <w:r w:rsidRPr="00F715D1">
        <w:rPr>
          <w:rFonts w:ascii="Arial" w:hAnsi="Arial" w:cs="Arial"/>
          <w:b/>
          <w:szCs w:val="24"/>
        </w:rPr>
        <w:t xml:space="preserve">MSAC </w:t>
      </w:r>
      <w:r>
        <w:rPr>
          <w:rFonts w:ascii="Arial" w:hAnsi="Arial" w:cs="Arial"/>
          <w:b/>
          <w:szCs w:val="24"/>
        </w:rPr>
        <w:t>76</w:t>
      </w:r>
      <w:r w:rsidRPr="00F715D1">
        <w:rPr>
          <w:rFonts w:ascii="Arial" w:hAnsi="Arial" w:cs="Arial"/>
          <w:b/>
          <w:szCs w:val="24"/>
          <w:vertAlign w:val="superscript"/>
        </w:rPr>
        <w:t>th</w:t>
      </w:r>
      <w:r w:rsidRPr="00F715D1">
        <w:rPr>
          <w:rFonts w:ascii="Arial" w:hAnsi="Arial" w:cs="Arial"/>
          <w:b/>
          <w:szCs w:val="24"/>
        </w:rPr>
        <w:t xml:space="preserve"> Meeting, </w:t>
      </w:r>
      <w:r w:rsidR="00606379">
        <w:rPr>
          <w:rFonts w:ascii="Arial" w:hAnsi="Arial" w:cs="Arial"/>
          <w:b/>
          <w:szCs w:val="24"/>
        </w:rPr>
        <w:t>1-2 August 2019</w:t>
      </w:r>
    </w:p>
    <w:p w14:paraId="24F6CF44" w14:textId="77777777" w:rsidR="001827D7" w:rsidRPr="00B03EAB" w:rsidRDefault="001827D7" w:rsidP="001827D7">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2B7A3D18" w14:textId="77777777" w:rsidR="001827D7" w:rsidRPr="00F715D1" w:rsidRDefault="001827D7" w:rsidP="001827D7">
      <w:pPr>
        <w:pStyle w:val="Heading1"/>
      </w:pPr>
      <w:r w:rsidRPr="00F715D1">
        <w:t xml:space="preserve">Purpose of application </w:t>
      </w:r>
    </w:p>
    <w:p w14:paraId="444D02AB" w14:textId="7790F5DA" w:rsidR="001827D7" w:rsidRPr="00AE5B3E" w:rsidRDefault="001827D7" w:rsidP="00EC3C45">
      <w:pPr>
        <w:spacing w:after="120"/>
        <w:rPr>
          <w:b/>
          <w:i/>
        </w:rPr>
      </w:pPr>
      <w:r w:rsidRPr="00AE5B3E">
        <w:rPr>
          <w:b/>
          <w:i/>
        </w:rPr>
        <w:t>November 2019 MSAC consideration</w:t>
      </w:r>
    </w:p>
    <w:p w14:paraId="39A83436" w14:textId="5E41D824" w:rsidR="001827D7" w:rsidRPr="00AE5B3E" w:rsidRDefault="001827D7" w:rsidP="00606379">
      <w:pPr>
        <w:spacing w:after="240"/>
      </w:pPr>
      <w:r w:rsidRPr="00AE5B3E">
        <w:t xml:space="preserve">MSAC reconsidered the public funding of tisagenlecleucel (TIS) for </w:t>
      </w:r>
      <w:r w:rsidRPr="00AE5B3E">
        <w:rPr>
          <w:iCs/>
        </w:rPr>
        <w:t>adult patients with confirmed relapsed/refractory (r/r) diffuse large B-cell lymphoma (DLBCL)</w:t>
      </w:r>
      <w:r w:rsidRPr="00AE5B3E">
        <w:t xml:space="preserve"> in the context of the advice it received at the CAR-T stakeholder meeting held on 12 November 2019. MSAC also considered new information provided by the sponsor, Novartis Pharmaceuticals Pty Limited (Novartis), subseque</w:t>
      </w:r>
      <w:r w:rsidR="00606379">
        <w:t>nt to the stakeholder meeting.</w:t>
      </w:r>
    </w:p>
    <w:p w14:paraId="04E7D34A" w14:textId="77777777" w:rsidR="001827D7" w:rsidRPr="00AE5B3E" w:rsidRDefault="001827D7" w:rsidP="003536B8">
      <w:pPr>
        <w:spacing w:after="120"/>
        <w:rPr>
          <w:b/>
          <w:i/>
        </w:rPr>
      </w:pPr>
      <w:r w:rsidRPr="00AE5B3E">
        <w:rPr>
          <w:b/>
          <w:i/>
        </w:rPr>
        <w:t>August 2019 MSAC consideration</w:t>
      </w:r>
    </w:p>
    <w:p w14:paraId="65C387E8" w14:textId="77777777" w:rsidR="001827D7" w:rsidRDefault="001827D7" w:rsidP="001827D7">
      <w:pPr>
        <w:spacing w:after="240"/>
        <w:rPr>
          <w:iCs/>
        </w:rPr>
      </w:pPr>
      <w:r>
        <w:t xml:space="preserve">A revised application (resubmission) was received from </w:t>
      </w:r>
      <w:r w:rsidRPr="008E37FF">
        <w:rPr>
          <w:iCs/>
        </w:rPr>
        <w:t xml:space="preserve">Novartis by the Department of Health for </w:t>
      </w:r>
      <w:r>
        <w:rPr>
          <w:iCs/>
        </w:rPr>
        <w:t>tisagenlecleucel</w:t>
      </w:r>
      <w:r w:rsidRPr="008E37FF">
        <w:rPr>
          <w:iCs/>
        </w:rPr>
        <w:t xml:space="preserve"> </w:t>
      </w:r>
      <w:r>
        <w:rPr>
          <w:iCs/>
        </w:rPr>
        <w:t>(</w:t>
      </w:r>
      <w:r w:rsidRPr="008E37FF">
        <w:rPr>
          <w:iCs/>
        </w:rPr>
        <w:t>TIS</w:t>
      </w:r>
      <w:r>
        <w:rPr>
          <w:iCs/>
        </w:rPr>
        <w:t>)</w:t>
      </w:r>
      <w:r w:rsidRPr="008E37FF">
        <w:rPr>
          <w:iCs/>
        </w:rPr>
        <w:t xml:space="preserve"> for</w:t>
      </w:r>
      <w:r>
        <w:rPr>
          <w:iCs/>
        </w:rPr>
        <w:t xml:space="preserve"> </w:t>
      </w:r>
      <w:r w:rsidRPr="00847C36">
        <w:rPr>
          <w:iCs/>
        </w:rPr>
        <w:t>adult patients with confirmed relapsed/refractory</w:t>
      </w:r>
      <w:r>
        <w:rPr>
          <w:iCs/>
        </w:rPr>
        <w:t xml:space="preserve"> (r/r)</w:t>
      </w:r>
      <w:r w:rsidRPr="00847C36">
        <w:rPr>
          <w:iCs/>
        </w:rPr>
        <w:t xml:space="preserve"> </w:t>
      </w:r>
      <w:r w:rsidRPr="008E37FF">
        <w:rPr>
          <w:iCs/>
        </w:rPr>
        <w:t>diffuse large B-cell lymphoma (DLBCL)</w:t>
      </w:r>
      <w:r>
        <w:rPr>
          <w:iCs/>
        </w:rPr>
        <w:t>.</w:t>
      </w:r>
    </w:p>
    <w:p w14:paraId="1941B902" w14:textId="77777777" w:rsidR="001827D7" w:rsidRDefault="001827D7" w:rsidP="001827D7">
      <w:pPr>
        <w:tabs>
          <w:tab w:val="left" w:pos="1140"/>
        </w:tabs>
        <w:spacing w:after="240"/>
      </w:pPr>
      <w:r>
        <w:t xml:space="preserve">TIS </w:t>
      </w:r>
      <w:r w:rsidRPr="005A727F">
        <w:t>is an</w:t>
      </w:r>
      <w:r>
        <w:t xml:space="preserve"> individualised single-delivery</w:t>
      </w:r>
      <w:r w:rsidRPr="005A727F">
        <w:t xml:space="preserve"> immunocellular therapy </w:t>
      </w:r>
      <w:r>
        <w:t>using</w:t>
      </w:r>
      <w:r w:rsidRPr="005A727F">
        <w:t xml:space="preserve"> autologous T cells </w:t>
      </w:r>
      <w:r>
        <w:t>which</w:t>
      </w:r>
      <w:r w:rsidRPr="005A727F">
        <w:t xml:space="preserve"> are genetically </w:t>
      </w:r>
      <w:r>
        <w:t xml:space="preserve">reprogrammed with a </w:t>
      </w:r>
      <w:r w:rsidRPr="005A727F">
        <w:t>chimeric antigen receptor (CAR)</w:t>
      </w:r>
      <w:r>
        <w:t xml:space="preserve"> that identifies and destroys CD19-expressing (malignant and non-malignant) B-cells. TIS is a chimeric antigen receptor T-cell (CAR-T) therapy and a Class 4 Biological Product. </w:t>
      </w:r>
      <w:r w:rsidRPr="00B824E5">
        <w:rPr>
          <w:szCs w:val="24"/>
        </w:rPr>
        <w:t>CAR-T therapy cannot be easily defined as a service or a medicine; it is a process to genetically modify a patient’s T-cells.</w:t>
      </w:r>
      <w:r>
        <w:rPr>
          <w:szCs w:val="24"/>
        </w:rPr>
        <w:t xml:space="preserve"> </w:t>
      </w:r>
      <w:r>
        <w:t>It is therefore not suitable for reimbursement through the Medicare Benefits Schedule (MBS) or the Pharmaceutical Benefits Scheme (PBS).</w:t>
      </w:r>
    </w:p>
    <w:p w14:paraId="09634085" w14:textId="77777777" w:rsidR="001827D7" w:rsidRDefault="001827D7" w:rsidP="001827D7">
      <w:pPr>
        <w:spacing w:after="240"/>
      </w:pPr>
      <w:r w:rsidRPr="00E32A5D">
        <w:t xml:space="preserve">TIS is currently </w:t>
      </w:r>
      <w:r w:rsidRPr="00802A13">
        <w:t>being jointly funded by the Commonwealth and the States under the National Health Reform Arrangements (NHRA) for use in relapsed and refractory acute lymphoblastic leukaemia in children and young adults up to age 25 years.</w:t>
      </w:r>
    </w:p>
    <w:p w14:paraId="1607CB02" w14:textId="5C556981" w:rsidR="001827D7" w:rsidRPr="00F715D1" w:rsidRDefault="001827D7" w:rsidP="001827D7">
      <w:pPr>
        <w:pStyle w:val="Heading1"/>
      </w:pPr>
      <w:r w:rsidRPr="00F715D1">
        <w:lastRenderedPageBreak/>
        <w:t>MSAC’s advice to the Minister</w:t>
      </w:r>
      <w:r w:rsidR="003536B8">
        <w:t xml:space="preserve"> – November 2019</w:t>
      </w:r>
    </w:p>
    <w:p w14:paraId="0F59E800" w14:textId="0A63FB88" w:rsidR="001827D7" w:rsidRPr="00D420AF" w:rsidRDefault="001827D7" w:rsidP="00D420AF">
      <w:r w:rsidRPr="00D420AF">
        <w:t xml:space="preserve">After considering the strength of the available evidence in relation to comparative safety, clinical effectiveness and cost-effectiveness, MSAC supported the public funding of tisagenlecleucel (TIS) for certain patients with CD19-positive Diffuse Large B Cell Lymphoma (DLBCL), Primary Mediastinal B Cell Lymphoma (PMBCL) and Transformed Follicular Lymphoma (TFL). The MSAC recommendation for public funding was based on, among other matters, its assessment that the cost-effectiveness of TIS, although high, would be acceptable if the </w:t>
      </w:r>
      <w:r w:rsidR="00811745" w:rsidRPr="00811745">
        <w:rPr>
          <w:b/>
        </w:rPr>
        <w:t>redacted</w:t>
      </w:r>
      <w:r w:rsidRPr="00D420AF">
        <w:t xml:space="preserve"> price is no higher than that proposed in the submission, and if the following measures were implemented to contain the risks associated with public funding: </w:t>
      </w:r>
    </w:p>
    <w:p w14:paraId="0725F662" w14:textId="77777777" w:rsidR="001827D7" w:rsidRPr="00D420AF" w:rsidRDefault="001827D7" w:rsidP="00D420AF">
      <w:pPr>
        <w:pStyle w:val="ListParagraph"/>
        <w:numPr>
          <w:ilvl w:val="0"/>
          <w:numId w:val="47"/>
        </w:numPr>
      </w:pPr>
      <w:r w:rsidRPr="00D420AF">
        <w:t xml:space="preserve">treatment must be delivered by a haematologist working in a multi-disciplinary team specialising in the provision of CAR-T cell therapy; </w:t>
      </w:r>
    </w:p>
    <w:p w14:paraId="5669D1C9" w14:textId="77777777" w:rsidR="001827D7" w:rsidRPr="00D420AF" w:rsidRDefault="001827D7" w:rsidP="00D420AF">
      <w:pPr>
        <w:pStyle w:val="ListParagraph"/>
        <w:numPr>
          <w:ilvl w:val="0"/>
          <w:numId w:val="47"/>
        </w:numPr>
      </w:pPr>
      <w:r w:rsidRPr="00D420AF">
        <w:t>treatment must be delivered in a tertiary public hospital with appropriate credentials</w:t>
      </w:r>
      <w:r w:rsidR="00922CFC" w:rsidRPr="00D420AF">
        <w:t>;</w:t>
      </w:r>
    </w:p>
    <w:p w14:paraId="34A1F119" w14:textId="77777777" w:rsidR="001827D7" w:rsidRPr="00B32CEF" w:rsidRDefault="001827D7" w:rsidP="00D420AF">
      <w:pPr>
        <w:pStyle w:val="ListParagraph"/>
        <w:numPr>
          <w:ilvl w:val="0"/>
          <w:numId w:val="47"/>
        </w:numPr>
      </w:pPr>
      <w:r w:rsidRPr="00B32CEF">
        <w:t>governance and prescribing rules to ensure treatment is directed to patients most likely to benefit;</w:t>
      </w:r>
    </w:p>
    <w:p w14:paraId="43AB2732" w14:textId="0AFEC416" w:rsidR="001827D7" w:rsidRPr="00B32CEF" w:rsidRDefault="005121F7" w:rsidP="001827D7">
      <w:pPr>
        <w:pStyle w:val="ListParagraph"/>
        <w:numPr>
          <w:ilvl w:val="0"/>
          <w:numId w:val="42"/>
        </w:numPr>
      </w:pPr>
      <w:r w:rsidRPr="00B32CEF">
        <w:rPr>
          <w:b/>
        </w:rPr>
        <w:t>Redacted</w:t>
      </w:r>
      <w:r w:rsidR="001827D7" w:rsidRPr="00B32CEF">
        <w:t>;</w:t>
      </w:r>
    </w:p>
    <w:p w14:paraId="180B7E36" w14:textId="4697683F" w:rsidR="001827D7" w:rsidRPr="00B32CEF" w:rsidRDefault="005121F7" w:rsidP="001827D7">
      <w:pPr>
        <w:pStyle w:val="ListParagraph"/>
        <w:numPr>
          <w:ilvl w:val="0"/>
          <w:numId w:val="41"/>
        </w:numPr>
      </w:pPr>
      <w:r w:rsidRPr="00B32CEF">
        <w:rPr>
          <w:b/>
        </w:rPr>
        <w:t>Redacted</w:t>
      </w:r>
      <w:r w:rsidR="001827D7" w:rsidRPr="00B32CEF">
        <w:t>;</w:t>
      </w:r>
    </w:p>
    <w:p w14:paraId="0BF59751" w14:textId="2C4EB4F4" w:rsidR="001827D7" w:rsidRPr="00B32CEF" w:rsidRDefault="005121F7" w:rsidP="001827D7">
      <w:pPr>
        <w:pStyle w:val="ListParagraph"/>
        <w:numPr>
          <w:ilvl w:val="0"/>
          <w:numId w:val="41"/>
        </w:numPr>
      </w:pPr>
      <w:r w:rsidRPr="00B32CEF">
        <w:rPr>
          <w:b/>
        </w:rPr>
        <w:t>Redacted</w:t>
      </w:r>
      <w:r w:rsidR="001827D7" w:rsidRPr="00B32CEF">
        <w:t>;</w:t>
      </w:r>
    </w:p>
    <w:p w14:paraId="67BAACA8" w14:textId="65527E66" w:rsidR="001827D7" w:rsidRPr="00B32CEF" w:rsidRDefault="005121F7" w:rsidP="001827D7">
      <w:pPr>
        <w:pStyle w:val="ListParagraph"/>
        <w:numPr>
          <w:ilvl w:val="0"/>
          <w:numId w:val="41"/>
        </w:numPr>
      </w:pPr>
      <w:r w:rsidRPr="00B32CEF">
        <w:rPr>
          <w:b/>
        </w:rPr>
        <w:t>Redacted</w:t>
      </w:r>
      <w:r w:rsidR="001827D7" w:rsidRPr="00B32CEF">
        <w:t>;</w:t>
      </w:r>
    </w:p>
    <w:p w14:paraId="152862AC" w14:textId="77777777" w:rsidR="005121F7" w:rsidRPr="00B32CEF" w:rsidRDefault="005121F7" w:rsidP="001827D7">
      <w:pPr>
        <w:pStyle w:val="ListParagraph"/>
        <w:numPr>
          <w:ilvl w:val="0"/>
          <w:numId w:val="41"/>
        </w:numPr>
      </w:pPr>
      <w:r w:rsidRPr="00B32CEF">
        <w:rPr>
          <w:b/>
        </w:rPr>
        <w:t>Redacted</w:t>
      </w:r>
      <w:r w:rsidRPr="00B32CEF">
        <w:t>;</w:t>
      </w:r>
    </w:p>
    <w:p w14:paraId="33D9D1E6" w14:textId="1C1AD44F" w:rsidR="001827D7" w:rsidRPr="00B32CEF" w:rsidRDefault="005121F7" w:rsidP="001827D7">
      <w:pPr>
        <w:pStyle w:val="ListParagraph"/>
        <w:numPr>
          <w:ilvl w:val="0"/>
          <w:numId w:val="41"/>
        </w:numPr>
      </w:pPr>
      <w:r w:rsidRPr="00B32CEF">
        <w:rPr>
          <w:b/>
        </w:rPr>
        <w:t>Redacted</w:t>
      </w:r>
      <w:r w:rsidRPr="00B32CEF">
        <w:t>;</w:t>
      </w:r>
    </w:p>
    <w:p w14:paraId="46563EFE" w14:textId="77777777" w:rsidR="001827D7" w:rsidRPr="00B32CEF" w:rsidRDefault="001827D7" w:rsidP="001827D7">
      <w:pPr>
        <w:pStyle w:val="ListParagraph"/>
        <w:numPr>
          <w:ilvl w:val="0"/>
          <w:numId w:val="41"/>
        </w:numPr>
      </w:pPr>
      <w:r w:rsidRPr="00B32CEF">
        <w:t>no payment for TIS for an unsuccessful infusion;</w:t>
      </w:r>
    </w:p>
    <w:p w14:paraId="75BB7953" w14:textId="787AFCB7" w:rsidR="001827D7" w:rsidRPr="00B32CEF" w:rsidRDefault="003536B8" w:rsidP="001827D7">
      <w:pPr>
        <w:pStyle w:val="ListParagraph"/>
        <w:numPr>
          <w:ilvl w:val="0"/>
          <w:numId w:val="41"/>
        </w:numPr>
      </w:pPr>
      <w:r w:rsidRPr="00B32CEF">
        <w:t>no payment for TIS if</w:t>
      </w:r>
      <w:r w:rsidR="001827D7" w:rsidRPr="00B32CEF">
        <w:t xml:space="preserve"> a patient is apheresed but does not receive the infusion of engineered lym</w:t>
      </w:r>
      <w:r w:rsidR="00715038" w:rsidRPr="00B32CEF">
        <w:t>p</w:t>
      </w:r>
      <w:r w:rsidR="001827D7" w:rsidRPr="00B32CEF">
        <w:t>hocytes;</w:t>
      </w:r>
    </w:p>
    <w:p w14:paraId="342A6A4D" w14:textId="77777777" w:rsidR="001827D7" w:rsidRPr="00B32CEF" w:rsidRDefault="001827D7" w:rsidP="001827D7">
      <w:pPr>
        <w:pStyle w:val="ListParagraph"/>
        <w:numPr>
          <w:ilvl w:val="0"/>
          <w:numId w:val="41"/>
        </w:numPr>
      </w:pPr>
      <w:r w:rsidRPr="00B32CEF">
        <w:t>a limit to one successful CAR-T infusion per lifetime;</w:t>
      </w:r>
    </w:p>
    <w:p w14:paraId="5A3CDD45" w14:textId="3FF918F9" w:rsidR="001827D7" w:rsidRPr="00B32CEF" w:rsidRDefault="005121F7" w:rsidP="001827D7">
      <w:pPr>
        <w:pStyle w:val="ListParagraph"/>
        <w:numPr>
          <w:ilvl w:val="0"/>
          <w:numId w:val="41"/>
        </w:numPr>
      </w:pPr>
      <w:r w:rsidRPr="00B32CEF">
        <w:rPr>
          <w:b/>
        </w:rPr>
        <w:t>Redacted</w:t>
      </w:r>
      <w:r w:rsidR="001827D7" w:rsidRPr="00B32CEF">
        <w:t>;</w:t>
      </w:r>
    </w:p>
    <w:p w14:paraId="6C017CFA" w14:textId="095D16D3" w:rsidR="001827D7" w:rsidRPr="00B32CEF" w:rsidRDefault="00583CEB" w:rsidP="001827D7">
      <w:pPr>
        <w:pStyle w:val="ListParagraph"/>
        <w:numPr>
          <w:ilvl w:val="0"/>
          <w:numId w:val="41"/>
        </w:numPr>
      </w:pPr>
      <w:r w:rsidRPr="00B32CEF">
        <w:rPr>
          <w:b/>
        </w:rPr>
        <w:t>Redacted</w:t>
      </w:r>
      <w:r w:rsidR="001827D7" w:rsidRPr="00B32CEF">
        <w:t>;</w:t>
      </w:r>
    </w:p>
    <w:p w14:paraId="102465A7" w14:textId="77777777" w:rsidR="001827D7" w:rsidRPr="00B32CEF" w:rsidRDefault="001827D7" w:rsidP="001827D7">
      <w:pPr>
        <w:pStyle w:val="ListParagraph"/>
        <w:numPr>
          <w:ilvl w:val="0"/>
          <w:numId w:val="41"/>
        </w:numPr>
      </w:pPr>
      <w:r w:rsidRPr="00B32CEF">
        <w:t>data on the use of TIS for B cell lymphoma’s in Australia should be recorded by the Australian Bone Marrow Transplant Recipient Registry, with the cost of data collection met by the applicant; and</w:t>
      </w:r>
    </w:p>
    <w:p w14:paraId="5F5C819F" w14:textId="3DE39082" w:rsidR="001827D7" w:rsidRPr="00B32CEF" w:rsidRDefault="001827D7" w:rsidP="003178AD">
      <w:pPr>
        <w:pStyle w:val="Bullet"/>
        <w:numPr>
          <w:ilvl w:val="0"/>
          <w:numId w:val="41"/>
        </w:numPr>
        <w:spacing w:after="0"/>
        <w:rPr>
          <w:color w:val="auto"/>
        </w:rPr>
      </w:pPr>
      <w:r w:rsidRPr="00B32CEF">
        <w:rPr>
          <w:color w:val="auto"/>
        </w:rPr>
        <w:t>An initial progress review at Year 1 to assess appropriateneness of patient eligibility criteria and patient numbers, with a full review of clinical effectiveness, cost- effectiveness and budget impact to be conducted by the MSAC no later than 2 years post the commencement of  public subsidy (note: Novartis will provide a submission to initiate this review).  </w:t>
      </w:r>
      <w:r w:rsidR="005121F7" w:rsidRPr="00B32CEF">
        <w:rPr>
          <w:b/>
        </w:rPr>
        <w:t>Redacted</w:t>
      </w:r>
      <w:r w:rsidR="005121F7" w:rsidRPr="00B32CEF">
        <w:rPr>
          <w:color w:val="auto"/>
        </w:rPr>
        <w:t xml:space="preserve"> </w:t>
      </w:r>
      <w:r w:rsidRPr="00B32CEF">
        <w:rPr>
          <w:color w:val="auto"/>
        </w:rPr>
        <w:t>will be renegotiated as part of this review.</w:t>
      </w:r>
    </w:p>
    <w:p w14:paraId="2BEF0BA5" w14:textId="34AB70D3" w:rsidR="006B42ED" w:rsidRPr="00AE5B3E" w:rsidRDefault="001827D7" w:rsidP="00606379">
      <w:pPr>
        <w:spacing w:before="240" w:after="240"/>
      </w:pPr>
      <w:r w:rsidRPr="00B32CEF">
        <w:t>MSAC also advised the Minister consider rapidly putting in place further risk mitigation strategies, including, but not limited to utilising the competition between different CAR-T</w:t>
      </w:r>
      <w:r w:rsidRPr="00AE5B3E">
        <w:t xml:space="preserve"> cell therapies to achieve the most efficient price for this service; and limiting the number of designated treatment centres to balance the need to provide access to patients from all parts of Australia whilst also ensuring availability of sufficient expertise and effic</w:t>
      </w:r>
      <w:r w:rsidR="00606379">
        <w:t>ient use of hospital resources.</w:t>
      </w:r>
    </w:p>
    <w:tbl>
      <w:tblPr>
        <w:tblStyle w:val="TableGrid"/>
        <w:tblW w:w="0" w:type="auto"/>
        <w:tblLook w:val="04A0" w:firstRow="1" w:lastRow="0" w:firstColumn="1" w:lastColumn="0" w:noHBand="0" w:noVBand="1"/>
        <w:tblDescription w:val="Consumer summary of MSAC consideration"/>
      </w:tblPr>
      <w:tblGrid>
        <w:gridCol w:w="9016"/>
      </w:tblGrid>
      <w:tr w:rsidR="006B42ED" w:rsidRPr="00AE5B3E" w14:paraId="1E7C1FD2" w14:textId="77777777" w:rsidTr="005B1B02">
        <w:trPr>
          <w:tblHeader/>
        </w:trPr>
        <w:tc>
          <w:tcPr>
            <w:tcW w:w="9016" w:type="dxa"/>
          </w:tcPr>
          <w:p w14:paraId="0D0BF329" w14:textId="77777777" w:rsidR="006B42ED" w:rsidRPr="00AE5B3E" w:rsidRDefault="006B42ED" w:rsidP="005B1B02">
            <w:pPr>
              <w:spacing w:before="120" w:after="120"/>
            </w:pPr>
            <w:r w:rsidRPr="00AE5B3E">
              <w:rPr>
                <w:rFonts w:ascii="Times New Roman" w:hAnsi="Times New Roman" w:cs="Times New Roman"/>
                <w:b/>
              </w:rPr>
              <w:t>Consumer summary</w:t>
            </w:r>
          </w:p>
        </w:tc>
      </w:tr>
      <w:tr w:rsidR="00AE5B3E" w:rsidRPr="00AE5B3E" w14:paraId="4FC709F5" w14:textId="77777777" w:rsidTr="005B1B02">
        <w:tc>
          <w:tcPr>
            <w:tcW w:w="9016" w:type="dxa"/>
          </w:tcPr>
          <w:p w14:paraId="1ADD9069" w14:textId="77777777" w:rsidR="006B42ED" w:rsidRPr="00AE5B3E" w:rsidRDefault="006B42ED" w:rsidP="005B1B02">
            <w:pPr>
              <w:spacing w:before="120" w:after="240"/>
              <w:rPr>
                <w:rFonts w:ascii="Times New Roman" w:hAnsi="Times New Roman" w:cs="Times New Roman"/>
                <w:iCs/>
              </w:rPr>
            </w:pPr>
            <w:r w:rsidRPr="00AE5B3E">
              <w:rPr>
                <w:rFonts w:ascii="Times New Roman" w:hAnsi="Times New Roman" w:cs="Times New Roman"/>
              </w:rPr>
              <w:t xml:space="preserve">At its November 2019 meeting, MSAC considered an application from Novartis Pharmaceuticals Australia Pty Ltd for public funding of tisagenlecleucel (TIS) – a type of CAR-T cell therapy (chimeric antigen receptor T-cell therapy). The application requested public funding of TIS for </w:t>
            </w:r>
            <w:r w:rsidRPr="00AE5B3E">
              <w:rPr>
                <w:rFonts w:ascii="Times New Roman" w:hAnsi="Times New Roman" w:cs="Times New Roman"/>
                <w:iCs/>
              </w:rPr>
              <w:t>adult patients with ‘confirmed relapsed or refractory diffuse large B-cell lymphoma (DLBCL)’.</w:t>
            </w:r>
          </w:p>
          <w:p w14:paraId="40F9CCCF" w14:textId="77777777" w:rsidR="006B42ED" w:rsidRPr="00AE5B3E" w:rsidRDefault="006B42ED" w:rsidP="005B1B02">
            <w:pPr>
              <w:spacing w:before="120" w:after="240"/>
              <w:rPr>
                <w:rFonts w:ascii="Times New Roman" w:hAnsi="Times New Roman" w:cs="Times New Roman"/>
              </w:rPr>
            </w:pPr>
            <w:r w:rsidRPr="00AE5B3E">
              <w:rPr>
                <w:rFonts w:ascii="Times New Roman" w:hAnsi="Times New Roman" w:cs="Times New Roman"/>
              </w:rPr>
              <w:lastRenderedPageBreak/>
              <w:t>CAR-T cell therapies such as TIS, are used when patients with some types of cancer, such as lymphoma or leukaemia, don’t respond to (refractory), or relapse after, other types of treatment, such as chemotherapy. CAR-T cell therapy involves taking some of the patient’s own blood, and sending it to a laboratory where the T cells are extracted and altered so that they can attack cancer cells. The patient’s changed T cells are infused back into them to target and kill the cancer cells in the patient’s body.</w:t>
            </w:r>
          </w:p>
          <w:p w14:paraId="4A32F1AC" w14:textId="4E7D5ED8" w:rsidR="006B42ED" w:rsidRPr="00AE5B3E" w:rsidRDefault="006B42ED" w:rsidP="005B1B02">
            <w:pPr>
              <w:spacing w:before="120" w:after="240"/>
              <w:rPr>
                <w:rStyle w:val="Hyperlink"/>
                <w:color w:val="auto"/>
              </w:rPr>
            </w:pPr>
            <w:r w:rsidRPr="00AE5B3E">
              <w:rPr>
                <w:rFonts w:ascii="Times New Roman" w:hAnsi="Times New Roman" w:cs="Times New Roman"/>
              </w:rPr>
              <w:t xml:space="preserve">MSAC has considered this request previously (November 2018 and August 2019) and held a stakeholder consultation meeting (12 November 2019; minutes for this meeting are at </w:t>
            </w:r>
            <w:hyperlink r:id="rId10" w:tooltip="Link to MSAC website page for application 1519.1 Tisagenlecleucel" w:history="1">
              <w:r w:rsidRPr="00295F88">
                <w:rPr>
                  <w:rStyle w:val="Hyperlink"/>
                  <w:rFonts w:ascii="Times New Roman" w:hAnsi="Times New Roman"/>
                </w:rPr>
                <w:t>http://www.msac.gov.au/internet/msac/publishing.nsf/Content/1519.1-public</w:t>
              </w:r>
            </w:hyperlink>
          </w:p>
          <w:p w14:paraId="1F6E3079" w14:textId="0A33D826" w:rsidR="006B42ED" w:rsidRPr="00AE5B3E" w:rsidRDefault="006B42ED" w:rsidP="001039C7">
            <w:pPr>
              <w:spacing w:before="240" w:after="120"/>
              <w:rPr>
                <w:rFonts w:ascii="Times New Roman" w:hAnsi="Times New Roman" w:cs="Times New Roman"/>
                <w:b/>
              </w:rPr>
            </w:pPr>
            <w:r w:rsidRPr="00AE5B3E">
              <w:rPr>
                <w:rFonts w:ascii="Times New Roman" w:hAnsi="Times New Roman" w:cs="Times New Roman"/>
                <w:b/>
              </w:rPr>
              <w:t xml:space="preserve">MSAC’s November 2019 </w:t>
            </w:r>
            <w:r w:rsidR="00763C63">
              <w:rPr>
                <w:rFonts w:ascii="Times New Roman" w:hAnsi="Times New Roman" w:cs="Times New Roman"/>
                <w:b/>
              </w:rPr>
              <w:t>advice</w:t>
            </w:r>
            <w:r w:rsidRPr="00AE5B3E">
              <w:rPr>
                <w:rFonts w:ascii="Times New Roman" w:hAnsi="Times New Roman" w:cs="Times New Roman"/>
                <w:b/>
              </w:rPr>
              <w:t xml:space="preserve"> to the Commonwealth Minister</w:t>
            </w:r>
            <w:r w:rsidR="00763C63">
              <w:rPr>
                <w:rFonts w:ascii="Times New Roman" w:hAnsi="Times New Roman" w:cs="Times New Roman"/>
                <w:b/>
              </w:rPr>
              <w:t xml:space="preserve"> for Health</w:t>
            </w:r>
          </w:p>
          <w:p w14:paraId="61465564" w14:textId="7DC717A7" w:rsidR="006B42ED" w:rsidRPr="00AE5B3E" w:rsidRDefault="006B42ED" w:rsidP="005B1B02">
            <w:pPr>
              <w:spacing w:after="240"/>
              <w:rPr>
                <w:rFonts w:ascii="Times New Roman" w:hAnsi="Times New Roman" w:cs="Times New Roman"/>
              </w:rPr>
            </w:pPr>
            <w:r w:rsidRPr="00AE5B3E">
              <w:rPr>
                <w:rFonts w:ascii="Times New Roman" w:hAnsi="Times New Roman" w:cs="Times New Roman"/>
              </w:rPr>
              <w:t>MSAC supported public funding for tisagenlecleucel (Kymriah®, TIS) for patients with CD19-positive Diffuse Large B Cell Lymphoma (DLBCL), Primary Mediastinal B Cell Lymphoma (PMBCL) and Transformed Follicular Lymphoma (TFL) as described in the eligibility criteria in Table 1 (</w:t>
            </w:r>
            <w:r w:rsidR="001039C7" w:rsidRPr="00AE5B3E">
              <w:rPr>
                <w:rFonts w:ascii="Times New Roman" w:hAnsi="Times New Roman" w:cs="Times New Roman"/>
              </w:rPr>
              <w:t>page 4</w:t>
            </w:r>
            <w:r w:rsidRPr="00AE5B3E">
              <w:rPr>
                <w:rFonts w:ascii="Times New Roman" w:hAnsi="Times New Roman" w:cs="Times New Roman"/>
              </w:rPr>
              <w:t>). MSAC agreed that current evidence demonstrates that TIS gives some patients, who have exhausted all other treatments, a new chance at possibly achieving remission. MSAC also noted that the current evidence shows that TIS therapy works better for children and young adults with blood cancers than with adults.</w:t>
            </w:r>
          </w:p>
          <w:p w14:paraId="6246C973" w14:textId="30840F1F" w:rsidR="006B42ED" w:rsidRPr="00AE5B3E" w:rsidRDefault="006B42ED" w:rsidP="005B1B02">
            <w:pPr>
              <w:spacing w:after="240"/>
              <w:rPr>
                <w:rFonts w:ascii="Times New Roman" w:hAnsi="Times New Roman" w:cs="Times New Roman"/>
              </w:rPr>
            </w:pPr>
            <w:r w:rsidRPr="00AE5B3E">
              <w:rPr>
                <w:rFonts w:ascii="Times New Roman" w:hAnsi="Times New Roman" w:cs="Times New Roman"/>
              </w:rPr>
              <w:t>MSAC agreed that TIS should only be offered to patients who are considered fit enough</w:t>
            </w:r>
            <w:r w:rsidR="00827852">
              <w:rPr>
                <w:rFonts w:ascii="Times New Roman" w:hAnsi="Times New Roman" w:cs="Times New Roman"/>
              </w:rPr>
              <w:t xml:space="preserve"> as as determined by their treatment team according to the eligibility criteria in Table 1</w:t>
            </w:r>
            <w:r w:rsidRPr="00AE5B3E">
              <w:rPr>
                <w:rFonts w:ascii="Times New Roman" w:hAnsi="Times New Roman" w:cs="Times New Roman"/>
              </w:rPr>
              <w:t>, as the therapy can have very severe side effects in some people. MSAC took advice from clinicians who treat patients with lymphoma and who have used TIS in deciding what the eligibility criteria for treatment with TIS should be.</w:t>
            </w:r>
          </w:p>
          <w:p w14:paraId="50AB1EBD" w14:textId="77777777" w:rsidR="006B42ED" w:rsidRPr="00AE5B3E" w:rsidRDefault="006B42ED" w:rsidP="005B1B02">
            <w:pPr>
              <w:spacing w:after="240"/>
              <w:rPr>
                <w:rFonts w:ascii="Times New Roman" w:hAnsi="Times New Roman" w:cs="Times New Roman"/>
              </w:rPr>
            </w:pPr>
            <w:r w:rsidRPr="00AE5B3E">
              <w:rPr>
                <w:rFonts w:ascii="Times New Roman" w:hAnsi="Times New Roman" w:cs="Times New Roman"/>
              </w:rPr>
              <w:t>MSAC advised that TIS is a very expensive therapy. MSAC considered a number of measures need to be put in place to manage the use of public funds for TIS. Many of these measures need to be agreed between the applicant, and the Commonwealth and/or the States.</w:t>
            </w:r>
          </w:p>
        </w:tc>
      </w:tr>
    </w:tbl>
    <w:p w14:paraId="4409D967" w14:textId="36A201FB" w:rsidR="001039C7" w:rsidRPr="00AE5B3E" w:rsidRDefault="001039C7">
      <w:pPr>
        <w:rPr>
          <w:rFonts w:ascii="Arial" w:hAnsi="Arial"/>
          <w:b/>
          <w:bCs/>
          <w:szCs w:val="28"/>
        </w:rPr>
      </w:pPr>
      <w:r w:rsidRPr="00AE5B3E">
        <w:rPr>
          <w:rFonts w:ascii="Arial" w:hAnsi="Arial"/>
          <w:b/>
          <w:bCs/>
          <w:szCs w:val="28"/>
        </w:rPr>
        <w:lastRenderedPageBreak/>
        <w:br w:type="page"/>
      </w:r>
    </w:p>
    <w:p w14:paraId="7F5077A3" w14:textId="4AEAD57E" w:rsidR="003536B8" w:rsidRPr="00AE5B3E" w:rsidRDefault="003536B8" w:rsidP="00606379">
      <w:pPr>
        <w:spacing w:after="240"/>
        <w:rPr>
          <w:rFonts w:ascii="Arial" w:hAnsi="Arial"/>
          <w:b/>
          <w:bCs/>
          <w:szCs w:val="28"/>
        </w:rPr>
      </w:pPr>
      <w:r w:rsidRPr="00AE5B3E">
        <w:rPr>
          <w:rFonts w:ascii="Arial" w:hAnsi="Arial"/>
          <w:b/>
          <w:bCs/>
          <w:szCs w:val="28"/>
        </w:rPr>
        <w:lastRenderedPageBreak/>
        <w:t>Summary of consideration and rationale fo</w:t>
      </w:r>
      <w:r w:rsidR="00606379">
        <w:rPr>
          <w:rFonts w:ascii="Arial" w:hAnsi="Arial"/>
          <w:b/>
          <w:bCs/>
          <w:szCs w:val="28"/>
        </w:rPr>
        <w:t>r MSAC’s advice – November 2019</w:t>
      </w:r>
    </w:p>
    <w:p w14:paraId="094A90D4" w14:textId="77777777" w:rsidR="003536B8" w:rsidRPr="00AE5B3E" w:rsidRDefault="003536B8" w:rsidP="003536B8">
      <w:pPr>
        <w:rPr>
          <w:b/>
          <w:i/>
        </w:rPr>
      </w:pPr>
      <w:r w:rsidRPr="00AE5B3E">
        <w:rPr>
          <w:b/>
          <w:i/>
        </w:rPr>
        <w:t>November 2019</w:t>
      </w:r>
    </w:p>
    <w:p w14:paraId="5E9B9CCB" w14:textId="5C47C043" w:rsidR="003536B8" w:rsidRPr="00AE5B3E" w:rsidRDefault="003536B8" w:rsidP="001039C7">
      <w:pPr>
        <w:spacing w:before="120"/>
      </w:pPr>
      <w:r w:rsidRPr="00AE5B3E">
        <w:t>MSAC noted the advice provided at the stakeholder meeting by clinicians with experience in treating lymphoma and CAR-T cell therapy was supportive of eligibility criteria that are consistent with those used in the JULIET clinical trial of TIS, albeit with some modification. On the basis of that advice in the context of the available evidence and the treatment algorithm presented by the applicant, MSAC advised that treatment with TIS be made available to the following patients</w:t>
      </w:r>
      <w:r w:rsidR="001039C7" w:rsidRPr="00AE5B3E">
        <w:t xml:space="preserve"> in Table 1.</w:t>
      </w:r>
    </w:p>
    <w:p w14:paraId="12DB05E5" w14:textId="21A0A97F" w:rsidR="003536B8" w:rsidRPr="00AE5B3E" w:rsidRDefault="003536B8" w:rsidP="005E3242">
      <w:pPr>
        <w:keepNext/>
        <w:keepLines/>
        <w:spacing w:before="240"/>
        <w:rPr>
          <w:rFonts w:ascii="Arial Narrow" w:hAnsi="Arial Narrow" w:cstheme="minorHAnsi"/>
          <w:sz w:val="20"/>
        </w:rPr>
      </w:pPr>
      <w:r w:rsidRPr="00AE5B3E">
        <w:rPr>
          <w:rFonts w:ascii="Arial Narrow" w:hAnsi="Arial Narrow" w:cstheme="minorHAnsi"/>
          <w:b/>
          <w:sz w:val="20"/>
        </w:rPr>
        <w:t>Table 1: Eligibil</w:t>
      </w:r>
      <w:r w:rsidR="00565941">
        <w:rPr>
          <w:rFonts w:ascii="Arial Narrow" w:hAnsi="Arial Narrow" w:cstheme="minorHAnsi"/>
          <w:b/>
          <w:sz w:val="20"/>
        </w:rPr>
        <w:t>i</w:t>
      </w:r>
      <w:r w:rsidRPr="00AE5B3E">
        <w:rPr>
          <w:rFonts w:ascii="Arial Narrow" w:hAnsi="Arial Narrow" w:cstheme="minorHAnsi"/>
          <w:b/>
          <w:sz w:val="20"/>
        </w:rPr>
        <w:t>ty criteria for TIS</w:t>
      </w:r>
    </w:p>
    <w:tbl>
      <w:tblPr>
        <w:tblStyle w:val="Submissionstandard"/>
        <w:tblW w:w="9214" w:type="dxa"/>
        <w:tblLayout w:type="fixed"/>
        <w:tblLook w:val="0000" w:firstRow="0" w:lastRow="0" w:firstColumn="0" w:lastColumn="0" w:noHBand="0" w:noVBand="0"/>
        <w:tblDescription w:val="Proposed patient eligibility criteria for TIS"/>
      </w:tblPr>
      <w:tblGrid>
        <w:gridCol w:w="2835"/>
        <w:gridCol w:w="6379"/>
      </w:tblGrid>
      <w:tr w:rsidR="003536B8" w:rsidRPr="00AE5B3E" w14:paraId="771086F8" w14:textId="77777777" w:rsidTr="007D5A4F">
        <w:trPr>
          <w:trHeight w:val="360"/>
          <w:tblHeader/>
        </w:trPr>
        <w:tc>
          <w:tcPr>
            <w:tcW w:w="2835" w:type="dxa"/>
          </w:tcPr>
          <w:p w14:paraId="659C0A7A" w14:textId="0E8897D4" w:rsidR="003536B8" w:rsidRPr="00606379" w:rsidRDefault="00606379" w:rsidP="001039C7">
            <w:pPr>
              <w:keepNext/>
              <w:keepLines/>
              <w:rPr>
                <w:rFonts w:cstheme="minorHAnsi"/>
                <w:b/>
                <w:sz w:val="20"/>
              </w:rPr>
            </w:pPr>
            <w:r>
              <w:rPr>
                <w:rFonts w:cstheme="minorHAnsi"/>
                <w:b/>
                <w:sz w:val="20"/>
              </w:rPr>
              <w:t>Indication:</w:t>
            </w:r>
          </w:p>
        </w:tc>
        <w:tc>
          <w:tcPr>
            <w:tcW w:w="6379" w:type="dxa"/>
          </w:tcPr>
          <w:p w14:paraId="2E4AE128" w14:textId="77777777" w:rsidR="003536B8" w:rsidRPr="00AE5B3E" w:rsidRDefault="003536B8" w:rsidP="001039C7">
            <w:pPr>
              <w:keepNext/>
              <w:keepLines/>
              <w:rPr>
                <w:rFonts w:cstheme="minorHAnsi"/>
                <w:sz w:val="20"/>
              </w:rPr>
            </w:pPr>
            <w:r w:rsidRPr="00AE5B3E">
              <w:rPr>
                <w:rFonts w:cstheme="minorHAnsi"/>
                <w:sz w:val="20"/>
              </w:rPr>
              <w:t>Relapsed or refractory CD19-positive:</w:t>
            </w:r>
          </w:p>
          <w:p w14:paraId="09AC9885" w14:textId="77777777" w:rsidR="003536B8" w:rsidRPr="00AE5B3E" w:rsidRDefault="003536B8" w:rsidP="001039C7">
            <w:pPr>
              <w:pStyle w:val="ListParagraph"/>
              <w:keepNext/>
              <w:keepLines/>
              <w:numPr>
                <w:ilvl w:val="0"/>
                <w:numId w:val="39"/>
              </w:numPr>
              <w:rPr>
                <w:rFonts w:cstheme="minorHAnsi"/>
                <w:sz w:val="20"/>
              </w:rPr>
            </w:pPr>
            <w:r w:rsidRPr="00AE5B3E">
              <w:rPr>
                <w:rFonts w:cstheme="minorHAnsi"/>
                <w:bCs/>
                <w:snapToGrid w:val="0"/>
                <w:sz w:val="20"/>
              </w:rPr>
              <w:t>diffuse large B-cell lymphoma (DLBCL);</w:t>
            </w:r>
          </w:p>
          <w:p w14:paraId="3D63E9C1" w14:textId="77777777" w:rsidR="003536B8" w:rsidRPr="00AE5B3E" w:rsidRDefault="003536B8" w:rsidP="001039C7">
            <w:pPr>
              <w:pStyle w:val="ListParagraph"/>
              <w:keepNext/>
              <w:keepLines/>
              <w:numPr>
                <w:ilvl w:val="0"/>
                <w:numId w:val="39"/>
              </w:numPr>
              <w:rPr>
                <w:rFonts w:cstheme="minorHAnsi"/>
                <w:sz w:val="20"/>
              </w:rPr>
            </w:pPr>
            <w:r w:rsidRPr="00AE5B3E">
              <w:rPr>
                <w:rFonts w:cstheme="minorHAnsi"/>
                <w:bCs/>
                <w:snapToGrid w:val="0"/>
                <w:sz w:val="20"/>
              </w:rPr>
              <w:t>primary mediastinal large B-cell lymphoma (PMBCL);</w:t>
            </w:r>
          </w:p>
          <w:p w14:paraId="3D0B56DF" w14:textId="77777777" w:rsidR="003536B8" w:rsidRPr="00AE5B3E" w:rsidRDefault="003536B8" w:rsidP="001039C7">
            <w:pPr>
              <w:pStyle w:val="ListParagraph"/>
              <w:keepNext/>
              <w:keepLines/>
              <w:numPr>
                <w:ilvl w:val="0"/>
                <w:numId w:val="39"/>
              </w:numPr>
              <w:rPr>
                <w:rFonts w:cstheme="minorHAnsi"/>
                <w:sz w:val="20"/>
              </w:rPr>
            </w:pPr>
            <w:r w:rsidRPr="00AE5B3E">
              <w:rPr>
                <w:rFonts w:cstheme="minorHAnsi"/>
                <w:bCs/>
                <w:snapToGrid w:val="0"/>
                <w:sz w:val="20"/>
              </w:rPr>
              <w:t>transformed follicular lymphoma (TFL)</w:t>
            </w:r>
          </w:p>
        </w:tc>
      </w:tr>
      <w:tr w:rsidR="003536B8" w:rsidRPr="00AE5B3E" w14:paraId="43B6B9D3" w14:textId="77777777" w:rsidTr="00D420AF">
        <w:trPr>
          <w:trHeight w:val="360"/>
        </w:trPr>
        <w:tc>
          <w:tcPr>
            <w:tcW w:w="2835" w:type="dxa"/>
          </w:tcPr>
          <w:p w14:paraId="162CFC1A" w14:textId="18C17437" w:rsidR="003536B8" w:rsidRPr="00606379" w:rsidRDefault="00606379" w:rsidP="001039C7">
            <w:pPr>
              <w:keepNext/>
              <w:keepLines/>
              <w:rPr>
                <w:rFonts w:cstheme="minorHAnsi"/>
                <w:b/>
                <w:sz w:val="20"/>
              </w:rPr>
            </w:pPr>
            <w:r>
              <w:rPr>
                <w:rFonts w:cstheme="minorHAnsi"/>
                <w:b/>
                <w:sz w:val="20"/>
              </w:rPr>
              <w:t>Treatment criteria:</w:t>
            </w:r>
          </w:p>
        </w:tc>
        <w:tc>
          <w:tcPr>
            <w:tcW w:w="6379" w:type="dxa"/>
          </w:tcPr>
          <w:p w14:paraId="56D034E1" w14:textId="77777777" w:rsidR="003536B8" w:rsidRPr="00AE5B3E" w:rsidRDefault="003536B8" w:rsidP="001039C7">
            <w:pPr>
              <w:keepNext/>
              <w:keepLines/>
              <w:rPr>
                <w:rFonts w:cstheme="minorHAnsi"/>
                <w:sz w:val="20"/>
              </w:rPr>
            </w:pPr>
            <w:r w:rsidRPr="00AE5B3E">
              <w:rPr>
                <w:rFonts w:cstheme="minorHAnsi"/>
                <w:sz w:val="20"/>
              </w:rPr>
              <w:t>Patient must be treated in a tertiary public hospital with appropriate credentials</w:t>
            </w:r>
          </w:p>
          <w:p w14:paraId="0C8987DD" w14:textId="77777777" w:rsidR="003536B8" w:rsidRPr="00AE5B3E" w:rsidRDefault="003536B8" w:rsidP="001039C7">
            <w:pPr>
              <w:keepNext/>
              <w:keepLines/>
              <w:rPr>
                <w:rFonts w:cstheme="minorHAnsi"/>
                <w:sz w:val="20"/>
              </w:rPr>
            </w:pPr>
            <w:r w:rsidRPr="00AE5B3E">
              <w:rPr>
                <w:rFonts w:cstheme="minorHAnsi"/>
                <w:sz w:val="20"/>
              </w:rPr>
              <w:t>AND</w:t>
            </w:r>
          </w:p>
          <w:p w14:paraId="132DE0E3" w14:textId="77777777" w:rsidR="003536B8" w:rsidRPr="00AE5B3E" w:rsidRDefault="003536B8" w:rsidP="001039C7">
            <w:pPr>
              <w:keepNext/>
              <w:keepLines/>
              <w:rPr>
                <w:rFonts w:cstheme="minorHAnsi"/>
                <w:sz w:val="20"/>
              </w:rPr>
            </w:pPr>
            <w:r w:rsidRPr="00AE5B3E">
              <w:rPr>
                <w:rFonts w:cstheme="minorHAnsi"/>
                <w:sz w:val="20"/>
              </w:rPr>
              <w:t>Patient must be treated by a haematologist working in a multi-disciplinary team specialising in the provision of CAR-T cell therapy</w:t>
            </w:r>
          </w:p>
          <w:p w14:paraId="62190F66" w14:textId="799FD1D5" w:rsidR="003536B8" w:rsidRPr="00AE5B3E" w:rsidRDefault="003536B8" w:rsidP="001039C7">
            <w:pPr>
              <w:keepNext/>
              <w:keepLines/>
              <w:rPr>
                <w:rFonts w:cstheme="minorHAnsi"/>
                <w:sz w:val="20"/>
              </w:rPr>
            </w:pPr>
            <w:r w:rsidRPr="00AE5B3E">
              <w:rPr>
                <w:rFonts w:cstheme="minorHAnsi"/>
                <w:sz w:val="20"/>
              </w:rPr>
              <w:t>AND</w:t>
            </w:r>
            <w:r w:rsidRPr="00AE5B3E">
              <w:rPr>
                <w:rFonts w:cstheme="minorHAnsi"/>
                <w:sz w:val="20"/>
              </w:rPr>
              <w:br/>
              <w:t>Patient must not have uncontrolled infection, including</w:t>
            </w:r>
            <w:r w:rsidR="00635D9E">
              <w:rPr>
                <w:rFonts w:cstheme="minorHAnsi"/>
                <w:sz w:val="20"/>
              </w:rPr>
              <w:t xml:space="preserve"> uncontrolled</w:t>
            </w:r>
            <w:r w:rsidRPr="00AE5B3E">
              <w:rPr>
                <w:rFonts w:cstheme="minorHAnsi"/>
                <w:sz w:val="20"/>
              </w:rPr>
              <w:t xml:space="preserve"> HIV or active hepatitis B or C infection</w:t>
            </w:r>
          </w:p>
          <w:p w14:paraId="767098F6" w14:textId="77777777" w:rsidR="003536B8" w:rsidRPr="00AE5B3E" w:rsidRDefault="003536B8" w:rsidP="001039C7">
            <w:pPr>
              <w:keepNext/>
              <w:keepLines/>
              <w:rPr>
                <w:rFonts w:cstheme="minorHAnsi"/>
                <w:sz w:val="20"/>
              </w:rPr>
            </w:pPr>
            <w:r w:rsidRPr="00AE5B3E">
              <w:rPr>
                <w:rFonts w:cstheme="minorHAnsi"/>
                <w:sz w:val="20"/>
              </w:rPr>
              <w:t>AND</w:t>
            </w:r>
          </w:p>
          <w:p w14:paraId="58A91E8F" w14:textId="77777777" w:rsidR="003536B8" w:rsidRPr="00AE5B3E" w:rsidRDefault="003536B8" w:rsidP="001039C7">
            <w:pPr>
              <w:keepNext/>
              <w:keepLines/>
              <w:rPr>
                <w:rFonts w:cstheme="minorHAnsi"/>
                <w:sz w:val="20"/>
              </w:rPr>
            </w:pPr>
            <w:r w:rsidRPr="00AE5B3E">
              <w:rPr>
                <w:rFonts w:cstheme="minorHAnsi"/>
                <w:sz w:val="20"/>
              </w:rPr>
              <w:t>Patient must not have primary CNS lymphoma</w:t>
            </w:r>
          </w:p>
          <w:p w14:paraId="6B064444" w14:textId="77777777" w:rsidR="003536B8" w:rsidRPr="00AE5B3E" w:rsidRDefault="003536B8" w:rsidP="001039C7">
            <w:pPr>
              <w:keepNext/>
              <w:keepLines/>
              <w:rPr>
                <w:rFonts w:cstheme="minorHAnsi"/>
                <w:sz w:val="20"/>
              </w:rPr>
            </w:pPr>
            <w:r w:rsidRPr="00AE5B3E">
              <w:rPr>
                <w:rFonts w:cstheme="minorHAnsi"/>
                <w:sz w:val="20"/>
              </w:rPr>
              <w:t>AND</w:t>
            </w:r>
          </w:p>
          <w:p w14:paraId="6A75C941" w14:textId="77777777" w:rsidR="003536B8" w:rsidRPr="00AE5B3E" w:rsidRDefault="003536B8" w:rsidP="001039C7">
            <w:pPr>
              <w:keepNext/>
              <w:keepLines/>
              <w:rPr>
                <w:rFonts w:cstheme="minorHAnsi"/>
                <w:sz w:val="20"/>
              </w:rPr>
            </w:pPr>
            <w:r w:rsidRPr="00AE5B3E">
              <w:rPr>
                <w:rFonts w:cstheme="minorHAnsi"/>
                <w:sz w:val="20"/>
              </w:rPr>
              <w:t>Patient must not have uncontrolled secondary CNS disease, or secondary CNS disease anticipated to be uncontrolled at the time of lymphocyte infusion.</w:t>
            </w:r>
          </w:p>
        </w:tc>
      </w:tr>
      <w:tr w:rsidR="00AE5B3E" w:rsidRPr="00AE5B3E" w14:paraId="6769D833" w14:textId="77777777" w:rsidTr="00D420AF">
        <w:trPr>
          <w:trHeight w:val="6049"/>
        </w:trPr>
        <w:tc>
          <w:tcPr>
            <w:tcW w:w="2835" w:type="dxa"/>
          </w:tcPr>
          <w:p w14:paraId="436FB95A" w14:textId="3553FDB4" w:rsidR="003536B8" w:rsidRPr="00606379" w:rsidRDefault="00606379" w:rsidP="001039C7">
            <w:pPr>
              <w:keepNext/>
              <w:keepLines/>
              <w:rPr>
                <w:rFonts w:cstheme="minorHAnsi"/>
                <w:b/>
                <w:sz w:val="20"/>
              </w:rPr>
            </w:pPr>
            <w:r>
              <w:rPr>
                <w:rFonts w:cstheme="minorHAnsi"/>
                <w:b/>
                <w:sz w:val="20"/>
              </w:rPr>
              <w:t>Clinical criteria:</w:t>
            </w:r>
          </w:p>
        </w:tc>
        <w:tc>
          <w:tcPr>
            <w:tcW w:w="6379" w:type="dxa"/>
          </w:tcPr>
          <w:p w14:paraId="30267E0C" w14:textId="77777777" w:rsidR="003536B8" w:rsidRPr="00AE5B3E" w:rsidRDefault="003536B8" w:rsidP="001039C7">
            <w:pPr>
              <w:keepNext/>
              <w:keepLines/>
              <w:rPr>
                <w:rFonts w:cstheme="minorHAnsi"/>
                <w:b/>
                <w:sz w:val="20"/>
              </w:rPr>
            </w:pPr>
            <w:r w:rsidRPr="00AE5B3E">
              <w:rPr>
                <w:rFonts w:cstheme="minorHAnsi"/>
                <w:b/>
                <w:sz w:val="20"/>
              </w:rPr>
              <w:t>FOR DLBCL and PMBCL:</w:t>
            </w:r>
          </w:p>
          <w:p w14:paraId="4FBE6FB8" w14:textId="77777777" w:rsidR="003536B8" w:rsidRPr="00AE5B3E" w:rsidRDefault="003536B8" w:rsidP="001039C7">
            <w:pPr>
              <w:keepNext/>
              <w:keepLines/>
              <w:rPr>
                <w:rFonts w:cstheme="minorHAnsi"/>
                <w:sz w:val="20"/>
              </w:rPr>
            </w:pPr>
            <w:r w:rsidRPr="00AE5B3E">
              <w:rPr>
                <w:rFonts w:cstheme="minorHAnsi"/>
                <w:sz w:val="20"/>
              </w:rPr>
              <w:t xml:space="preserve">The condition must have </w:t>
            </w:r>
          </w:p>
          <w:p w14:paraId="57D0CC1F" w14:textId="77777777" w:rsidR="003536B8" w:rsidRPr="00AE5B3E" w:rsidRDefault="003536B8" w:rsidP="001039C7">
            <w:pPr>
              <w:pStyle w:val="ListParagraph"/>
              <w:keepNext/>
              <w:keepLines/>
              <w:numPr>
                <w:ilvl w:val="0"/>
                <w:numId w:val="44"/>
              </w:numPr>
              <w:rPr>
                <w:rFonts w:cstheme="minorHAnsi"/>
                <w:sz w:val="20"/>
              </w:rPr>
            </w:pPr>
            <w:r w:rsidRPr="00AE5B3E">
              <w:rPr>
                <w:rFonts w:cstheme="minorHAnsi"/>
                <w:sz w:val="20"/>
              </w:rPr>
              <w:t>relapsed after autologous stem cell transplantation; or</w:t>
            </w:r>
          </w:p>
          <w:p w14:paraId="003398C8" w14:textId="77777777" w:rsidR="003536B8" w:rsidRPr="00AE5B3E" w:rsidRDefault="003536B8" w:rsidP="001039C7">
            <w:pPr>
              <w:pStyle w:val="ListParagraph"/>
              <w:keepNext/>
              <w:keepLines/>
              <w:numPr>
                <w:ilvl w:val="0"/>
                <w:numId w:val="44"/>
              </w:numPr>
              <w:rPr>
                <w:rFonts w:cstheme="minorHAnsi"/>
                <w:sz w:val="20"/>
              </w:rPr>
            </w:pPr>
            <w:r w:rsidRPr="00AE5B3E">
              <w:rPr>
                <w:rFonts w:cstheme="minorHAnsi"/>
                <w:sz w:val="20"/>
              </w:rPr>
              <w:t>have relapsed after, or be refractory to, at least two prior systemic therapies</w:t>
            </w:r>
          </w:p>
          <w:p w14:paraId="77BAB3AD" w14:textId="77777777" w:rsidR="003536B8" w:rsidRPr="00AE5B3E" w:rsidRDefault="003536B8" w:rsidP="001039C7">
            <w:pPr>
              <w:keepNext/>
              <w:keepLines/>
              <w:rPr>
                <w:rFonts w:cstheme="minorHAnsi"/>
                <w:b/>
                <w:sz w:val="20"/>
              </w:rPr>
            </w:pPr>
            <w:r w:rsidRPr="00AE5B3E">
              <w:rPr>
                <w:rFonts w:cstheme="minorHAnsi"/>
                <w:b/>
                <w:sz w:val="20"/>
              </w:rPr>
              <w:t>FOR TFL:</w:t>
            </w:r>
          </w:p>
          <w:p w14:paraId="22CB37BB" w14:textId="71B7EC12" w:rsidR="003536B8" w:rsidRPr="00AE5B3E" w:rsidRDefault="003536B8" w:rsidP="00606379">
            <w:pPr>
              <w:keepNext/>
              <w:keepLines/>
              <w:spacing w:after="240"/>
              <w:rPr>
                <w:rFonts w:cstheme="minorHAnsi"/>
                <w:sz w:val="20"/>
              </w:rPr>
            </w:pPr>
            <w:r w:rsidRPr="00AE5B3E">
              <w:rPr>
                <w:rFonts w:cstheme="minorHAnsi"/>
                <w:sz w:val="20"/>
              </w:rPr>
              <w:t>The condition must have relapsed after, or be refractory to, at least two prior systemic therapies administere</w:t>
            </w:r>
            <w:r w:rsidR="00606379">
              <w:rPr>
                <w:rFonts w:cstheme="minorHAnsi"/>
                <w:sz w:val="20"/>
              </w:rPr>
              <w:t>d after disease transformation.</w:t>
            </w:r>
          </w:p>
          <w:p w14:paraId="6925D4DA" w14:textId="11D85CE1" w:rsidR="003536B8" w:rsidRPr="00AE5B3E" w:rsidRDefault="003536B8" w:rsidP="001039C7">
            <w:pPr>
              <w:keepNext/>
              <w:keepLines/>
              <w:rPr>
                <w:rFonts w:cstheme="minorHAnsi"/>
                <w:b/>
                <w:sz w:val="20"/>
              </w:rPr>
            </w:pPr>
            <w:r w:rsidRPr="00AE5B3E">
              <w:rPr>
                <w:rFonts w:cstheme="minorHAnsi"/>
                <w:b/>
                <w:sz w:val="20"/>
              </w:rPr>
              <w:t>FOR ALL</w:t>
            </w:r>
            <w:r w:rsidR="00635D9E">
              <w:rPr>
                <w:rFonts w:cstheme="minorHAnsi"/>
                <w:b/>
                <w:sz w:val="20"/>
              </w:rPr>
              <w:t xml:space="preserve"> INDICATIONS</w:t>
            </w:r>
            <w:r w:rsidRPr="00AE5B3E">
              <w:rPr>
                <w:rFonts w:cstheme="minorHAnsi"/>
                <w:b/>
                <w:sz w:val="20"/>
              </w:rPr>
              <w:t>:</w:t>
            </w:r>
          </w:p>
          <w:p w14:paraId="6B6399D1" w14:textId="77777777" w:rsidR="003536B8" w:rsidRPr="00AE5B3E" w:rsidRDefault="003536B8" w:rsidP="001039C7">
            <w:pPr>
              <w:keepNext/>
              <w:keepLines/>
              <w:rPr>
                <w:rFonts w:cstheme="minorHAnsi"/>
                <w:sz w:val="20"/>
              </w:rPr>
            </w:pPr>
            <w:r w:rsidRPr="00AE5B3E">
              <w:rPr>
                <w:rFonts w:cstheme="minorHAnsi"/>
                <w:sz w:val="20"/>
              </w:rPr>
              <w:t>Patient must have a WHO performance status of 0 or 1</w:t>
            </w:r>
          </w:p>
          <w:p w14:paraId="6710D2F8" w14:textId="77777777" w:rsidR="003536B8" w:rsidRPr="00AE5B3E" w:rsidRDefault="003536B8" w:rsidP="001039C7">
            <w:pPr>
              <w:keepNext/>
              <w:keepLines/>
              <w:rPr>
                <w:rFonts w:cstheme="minorHAnsi"/>
                <w:sz w:val="20"/>
              </w:rPr>
            </w:pPr>
            <w:r w:rsidRPr="00AE5B3E">
              <w:rPr>
                <w:rFonts w:cstheme="minorHAnsi"/>
                <w:sz w:val="20"/>
              </w:rPr>
              <w:t>AND</w:t>
            </w:r>
          </w:p>
          <w:p w14:paraId="0B7A719A" w14:textId="77777777" w:rsidR="003536B8" w:rsidRPr="00AE5B3E" w:rsidRDefault="003536B8" w:rsidP="001039C7">
            <w:pPr>
              <w:keepNext/>
              <w:keepLines/>
              <w:rPr>
                <w:rFonts w:cstheme="minorHAnsi"/>
                <w:sz w:val="20"/>
              </w:rPr>
            </w:pPr>
            <w:r w:rsidRPr="00AE5B3E">
              <w:rPr>
                <w:rFonts w:cstheme="minorHAnsi"/>
                <w:sz w:val="20"/>
              </w:rPr>
              <w:t xml:space="preserve">Patient must have sufficient organ function, including: </w:t>
            </w:r>
          </w:p>
          <w:p w14:paraId="7364DDEF" w14:textId="77777777" w:rsidR="003536B8" w:rsidRPr="003E3E9E" w:rsidRDefault="003536B8" w:rsidP="001039C7">
            <w:pPr>
              <w:pStyle w:val="ListParagraph"/>
              <w:keepNext/>
              <w:keepLines/>
              <w:numPr>
                <w:ilvl w:val="0"/>
                <w:numId w:val="40"/>
              </w:numPr>
              <w:rPr>
                <w:rFonts w:cstheme="minorHAnsi"/>
                <w:sz w:val="20"/>
              </w:rPr>
            </w:pPr>
            <w:r w:rsidRPr="003E3E9E">
              <w:rPr>
                <w:rFonts w:cstheme="minorHAnsi"/>
                <w:sz w:val="20"/>
              </w:rPr>
              <w:t xml:space="preserve">Renal function: Creatinine clearance &gt;40mL/min, serum ALT/AST &lt;5 x ULN and total bilirubin &lt;2 x ULN </w:t>
            </w:r>
          </w:p>
          <w:p w14:paraId="7FA3147A" w14:textId="77777777" w:rsidR="003536B8" w:rsidRPr="003E3E9E" w:rsidRDefault="003536B8" w:rsidP="001039C7">
            <w:pPr>
              <w:pStyle w:val="ListParagraph"/>
              <w:keepNext/>
              <w:keepLines/>
              <w:numPr>
                <w:ilvl w:val="0"/>
                <w:numId w:val="40"/>
              </w:numPr>
              <w:rPr>
                <w:rFonts w:cstheme="minorHAnsi"/>
                <w:sz w:val="20"/>
              </w:rPr>
            </w:pPr>
            <w:r w:rsidRPr="003E3E9E">
              <w:rPr>
                <w:rFonts w:cstheme="minorHAnsi"/>
                <w:sz w:val="20"/>
              </w:rPr>
              <w:t>Cardiac function: absence of symptomatic heart failure (i.e. NYHA grade &lt;2), cardiac left ventricular ejection fraction &gt;/= 40%, or supplementary functional tests and cardiology assessment demonstrating adequate cardiopulmonary reserve.</w:t>
            </w:r>
          </w:p>
          <w:p w14:paraId="2E5599DC" w14:textId="77777777" w:rsidR="003536B8" w:rsidRPr="00AE5B3E" w:rsidRDefault="003536B8" w:rsidP="001039C7">
            <w:pPr>
              <w:pStyle w:val="ListParagraph"/>
              <w:keepNext/>
              <w:keepLines/>
              <w:numPr>
                <w:ilvl w:val="0"/>
                <w:numId w:val="40"/>
              </w:numPr>
              <w:rPr>
                <w:rFonts w:cstheme="minorHAnsi"/>
                <w:sz w:val="20"/>
              </w:rPr>
            </w:pPr>
            <w:r w:rsidRPr="003E3E9E">
              <w:rPr>
                <w:rFonts w:cstheme="minorHAnsi"/>
                <w:sz w:val="20"/>
              </w:rPr>
              <w:t>Pulmonary function: Baseline peripheral oxygen saturation &gt;91% on room air</w:t>
            </w:r>
            <w:r w:rsidRPr="00AE5B3E">
              <w:rPr>
                <w:rFonts w:cstheme="minorHAnsi"/>
                <w:sz w:val="20"/>
              </w:rPr>
              <w:t>, in the absence of anaemia</w:t>
            </w:r>
          </w:p>
          <w:p w14:paraId="24FC6B69" w14:textId="77777777" w:rsidR="003536B8" w:rsidRPr="00AE5B3E" w:rsidRDefault="003536B8" w:rsidP="001039C7">
            <w:pPr>
              <w:keepNext/>
              <w:keepLines/>
              <w:rPr>
                <w:rFonts w:cstheme="minorHAnsi"/>
                <w:sz w:val="20"/>
              </w:rPr>
            </w:pPr>
            <w:r w:rsidRPr="00AE5B3E">
              <w:rPr>
                <w:rFonts w:cstheme="minorHAnsi"/>
                <w:sz w:val="20"/>
              </w:rPr>
              <w:t>AND</w:t>
            </w:r>
          </w:p>
          <w:p w14:paraId="02B1507F" w14:textId="77777777" w:rsidR="003536B8" w:rsidRPr="00AE5B3E" w:rsidRDefault="003536B8" w:rsidP="001039C7">
            <w:pPr>
              <w:keepNext/>
              <w:keepLines/>
              <w:rPr>
                <w:rFonts w:cstheme="minorHAnsi"/>
                <w:sz w:val="20"/>
              </w:rPr>
            </w:pPr>
            <w:r w:rsidRPr="00AE5B3E">
              <w:rPr>
                <w:rFonts w:cstheme="minorHAnsi"/>
                <w:sz w:val="20"/>
              </w:rPr>
              <w:t>The treatment team must consider the patient’s condition can be effectively managed during lymphocyte collection and manufacturing, to allow for the absence of rapidly progressive disease at the time of lymphocyte infusion.</w:t>
            </w:r>
          </w:p>
        </w:tc>
      </w:tr>
    </w:tbl>
    <w:p w14:paraId="7C90E8C6" w14:textId="7915B69C" w:rsidR="003536B8" w:rsidRPr="00AE5B3E" w:rsidRDefault="003536B8" w:rsidP="00606379">
      <w:pPr>
        <w:spacing w:before="240"/>
      </w:pPr>
      <w:r w:rsidRPr="00AE5B3E">
        <w:t>MSAC further advised that appropriate governance measures be put in place to ensure that these treatment criteria are adhered to. Such measures could comprise of compliance checks using the data reported to the registry, and random auditing of primary records at site.</w:t>
      </w:r>
    </w:p>
    <w:p w14:paraId="052DB7C2" w14:textId="4977B68C" w:rsidR="003536B8" w:rsidRPr="00AE5B3E" w:rsidRDefault="003536B8" w:rsidP="00606379">
      <w:pPr>
        <w:spacing w:after="240"/>
      </w:pPr>
      <w:r w:rsidRPr="00AE5B3E">
        <w:lastRenderedPageBreak/>
        <w:t>MSAC acknowledged, as previously, that TIS has been shown to be clinically effective in some patients. MSAC was reassured by the high level updated results from the single arm JULIET clinical trial (cut-off 1 July 2019), noting these data are consistent with the data seen by the MSAC from earlier JULIET trial cut-offs (December 2017, May 2018 and December 2018), but acknowledging the small patient numbers for whom longer term data is available (s</w:t>
      </w:r>
      <w:r w:rsidR="00606379">
        <w:t>ee Table 2 and Figures 1 and 2).</w:t>
      </w:r>
    </w:p>
    <w:p w14:paraId="45EF44B3" w14:textId="77777777" w:rsidR="003536B8" w:rsidRPr="00AE5B3E" w:rsidRDefault="003536B8" w:rsidP="003536B8">
      <w:pPr>
        <w:spacing w:after="40"/>
        <w:rPr>
          <w:rFonts w:ascii="Arial Narrow" w:hAnsi="Arial Narrow"/>
          <w:b/>
          <w:sz w:val="20"/>
        </w:rPr>
      </w:pPr>
      <w:r w:rsidRPr="00AE5B3E">
        <w:rPr>
          <w:rFonts w:ascii="Arial Narrow" w:hAnsi="Arial Narrow"/>
          <w:b/>
          <w:sz w:val="20"/>
        </w:rPr>
        <w:t>Table 2: Summary of clinical effectiveness outcomes JULIET</w:t>
      </w:r>
    </w:p>
    <w:tbl>
      <w:tblPr>
        <w:tblStyle w:val="TableGrid2"/>
        <w:tblW w:w="9214" w:type="dxa"/>
        <w:tblInd w:w="137" w:type="dxa"/>
        <w:tblLook w:val="04A0" w:firstRow="1" w:lastRow="0" w:firstColumn="1" w:lastColumn="0" w:noHBand="0" w:noVBand="1"/>
        <w:tblDescription w:val="Summary of clinical effectiveness outcomes from the JULIET trial at the May 2018, December 2018 and July 2019 trial cut-off points"/>
      </w:tblPr>
      <w:tblGrid>
        <w:gridCol w:w="2646"/>
        <w:gridCol w:w="2105"/>
        <w:gridCol w:w="2101"/>
        <w:gridCol w:w="2362"/>
      </w:tblGrid>
      <w:tr w:rsidR="003536B8" w:rsidRPr="00AE5B3E" w14:paraId="2B495FC5" w14:textId="77777777" w:rsidTr="00D420AF">
        <w:trPr>
          <w:tblHeader/>
        </w:trPr>
        <w:tc>
          <w:tcPr>
            <w:tcW w:w="2646" w:type="dxa"/>
          </w:tcPr>
          <w:p w14:paraId="072B5BDA" w14:textId="77777777" w:rsidR="003536B8" w:rsidRPr="00AE5B3E" w:rsidRDefault="003536B8" w:rsidP="005B1B02">
            <w:pPr>
              <w:contextualSpacing/>
              <w:rPr>
                <w:rFonts w:ascii="Arial Narrow" w:eastAsia="Calibri" w:hAnsi="Arial Narrow"/>
                <w:sz w:val="20"/>
              </w:rPr>
            </w:pPr>
          </w:p>
        </w:tc>
        <w:tc>
          <w:tcPr>
            <w:tcW w:w="2105" w:type="dxa"/>
          </w:tcPr>
          <w:p w14:paraId="256F5EFD" w14:textId="77777777" w:rsidR="003536B8" w:rsidRPr="00AE5B3E" w:rsidRDefault="003536B8" w:rsidP="005B1B02">
            <w:pPr>
              <w:contextualSpacing/>
              <w:jc w:val="center"/>
              <w:rPr>
                <w:rFonts w:ascii="Arial Narrow" w:eastAsia="Calibri" w:hAnsi="Arial Narrow"/>
                <w:b/>
                <w:sz w:val="20"/>
              </w:rPr>
            </w:pPr>
            <w:r w:rsidRPr="00AE5B3E">
              <w:rPr>
                <w:rFonts w:ascii="Arial Narrow" w:eastAsia="Calibri" w:hAnsi="Arial Narrow"/>
                <w:b/>
                <w:sz w:val="20"/>
              </w:rPr>
              <w:t>May 2018</w:t>
            </w:r>
          </w:p>
          <w:p w14:paraId="3C9BCA81" w14:textId="77777777" w:rsidR="003536B8" w:rsidRPr="00AE5B3E" w:rsidRDefault="003536B8" w:rsidP="005B1B02">
            <w:pPr>
              <w:contextualSpacing/>
              <w:jc w:val="center"/>
              <w:rPr>
                <w:rFonts w:ascii="Arial Narrow" w:eastAsia="Calibri" w:hAnsi="Arial Narrow"/>
                <w:b/>
                <w:sz w:val="20"/>
              </w:rPr>
            </w:pPr>
            <w:r w:rsidRPr="00AE5B3E">
              <w:rPr>
                <w:rFonts w:ascii="Arial Narrow" w:eastAsia="Calibri" w:hAnsi="Arial Narrow"/>
                <w:b/>
                <w:sz w:val="20"/>
              </w:rPr>
              <w:t>(n = 115)*</w:t>
            </w:r>
          </w:p>
        </w:tc>
        <w:tc>
          <w:tcPr>
            <w:tcW w:w="2101" w:type="dxa"/>
          </w:tcPr>
          <w:p w14:paraId="3FB4925A" w14:textId="77777777" w:rsidR="003536B8" w:rsidRPr="00AE5B3E" w:rsidRDefault="003536B8" w:rsidP="005B1B02">
            <w:pPr>
              <w:contextualSpacing/>
              <w:jc w:val="center"/>
              <w:rPr>
                <w:rFonts w:ascii="Arial Narrow" w:eastAsia="Calibri" w:hAnsi="Arial Narrow"/>
                <w:b/>
                <w:sz w:val="20"/>
              </w:rPr>
            </w:pPr>
            <w:r w:rsidRPr="00AE5B3E">
              <w:rPr>
                <w:rFonts w:ascii="Arial Narrow" w:eastAsia="Calibri" w:hAnsi="Arial Narrow"/>
                <w:b/>
                <w:sz w:val="20"/>
              </w:rPr>
              <w:t>December 2018</w:t>
            </w:r>
          </w:p>
          <w:p w14:paraId="0D5F5839" w14:textId="77777777" w:rsidR="003536B8" w:rsidRPr="00AE5B3E" w:rsidRDefault="003536B8" w:rsidP="005B1B02">
            <w:pPr>
              <w:contextualSpacing/>
              <w:jc w:val="center"/>
              <w:rPr>
                <w:rFonts w:ascii="Arial Narrow" w:eastAsia="Calibri" w:hAnsi="Arial Narrow"/>
                <w:b/>
                <w:sz w:val="20"/>
              </w:rPr>
            </w:pPr>
            <w:r w:rsidRPr="00AE5B3E">
              <w:rPr>
                <w:rFonts w:ascii="Arial Narrow" w:eastAsia="Calibri" w:hAnsi="Arial Narrow"/>
                <w:b/>
                <w:sz w:val="20"/>
              </w:rPr>
              <w:t>(n = 115)</w:t>
            </w:r>
          </w:p>
        </w:tc>
        <w:tc>
          <w:tcPr>
            <w:tcW w:w="2362" w:type="dxa"/>
          </w:tcPr>
          <w:p w14:paraId="1DC827CD" w14:textId="77777777" w:rsidR="003536B8" w:rsidRPr="00AE5B3E" w:rsidRDefault="003536B8" w:rsidP="005B1B02">
            <w:pPr>
              <w:contextualSpacing/>
              <w:jc w:val="center"/>
              <w:rPr>
                <w:rFonts w:ascii="Arial Narrow" w:eastAsia="Calibri" w:hAnsi="Arial Narrow"/>
                <w:b/>
                <w:sz w:val="20"/>
              </w:rPr>
            </w:pPr>
            <w:r w:rsidRPr="00AE5B3E">
              <w:rPr>
                <w:rFonts w:ascii="Arial Narrow" w:eastAsia="Calibri" w:hAnsi="Arial Narrow"/>
                <w:b/>
                <w:sz w:val="20"/>
              </w:rPr>
              <w:t>July 2019</w:t>
            </w:r>
          </w:p>
          <w:p w14:paraId="22AB9394" w14:textId="77777777" w:rsidR="003536B8" w:rsidRPr="00AE5B3E" w:rsidRDefault="003536B8" w:rsidP="005B1B02">
            <w:pPr>
              <w:contextualSpacing/>
              <w:jc w:val="center"/>
              <w:rPr>
                <w:rFonts w:ascii="Arial Narrow" w:eastAsia="Calibri" w:hAnsi="Arial Narrow"/>
                <w:b/>
                <w:sz w:val="20"/>
              </w:rPr>
            </w:pPr>
            <w:r w:rsidRPr="00AE5B3E">
              <w:rPr>
                <w:rFonts w:ascii="Arial Narrow" w:eastAsia="Calibri" w:hAnsi="Arial Narrow"/>
                <w:b/>
                <w:sz w:val="20"/>
              </w:rPr>
              <w:t>(n = 115)</w:t>
            </w:r>
          </w:p>
        </w:tc>
      </w:tr>
      <w:tr w:rsidR="003536B8" w:rsidRPr="00AE5B3E" w14:paraId="6D2F0F98" w14:textId="77777777" w:rsidTr="00911E20">
        <w:tc>
          <w:tcPr>
            <w:tcW w:w="2646" w:type="dxa"/>
          </w:tcPr>
          <w:p w14:paraId="38EBDB96" w14:textId="77777777" w:rsidR="003536B8" w:rsidRPr="00AE5B3E" w:rsidRDefault="003536B8" w:rsidP="005B1B02">
            <w:pPr>
              <w:contextualSpacing/>
              <w:rPr>
                <w:rFonts w:ascii="Arial Narrow" w:eastAsia="Calibri" w:hAnsi="Arial Narrow"/>
                <w:b/>
                <w:sz w:val="20"/>
              </w:rPr>
            </w:pPr>
            <w:r w:rsidRPr="00AE5B3E">
              <w:rPr>
                <w:rFonts w:ascii="Arial Narrow" w:eastAsia="Calibri" w:hAnsi="Arial Narrow"/>
                <w:b/>
                <w:sz w:val="20"/>
              </w:rPr>
              <w:t>ORR n/N%</w:t>
            </w:r>
          </w:p>
          <w:p w14:paraId="4B53ED39" w14:textId="77777777" w:rsidR="003536B8" w:rsidRPr="00AE5B3E" w:rsidRDefault="003536B8" w:rsidP="005B1B02">
            <w:pPr>
              <w:contextualSpacing/>
              <w:rPr>
                <w:rFonts w:ascii="Arial Narrow" w:eastAsia="Calibri" w:hAnsi="Arial Narrow"/>
                <w:b/>
                <w:sz w:val="20"/>
              </w:rPr>
            </w:pPr>
            <w:r w:rsidRPr="00AE5B3E">
              <w:rPr>
                <w:rFonts w:ascii="Arial Narrow" w:eastAsia="Calibri" w:hAnsi="Arial Narrow"/>
                <w:b/>
                <w:sz w:val="20"/>
              </w:rPr>
              <w:t>[95% CI]</w:t>
            </w:r>
          </w:p>
        </w:tc>
        <w:tc>
          <w:tcPr>
            <w:tcW w:w="2105" w:type="dxa"/>
            <w:shd w:val="clear" w:color="auto" w:fill="auto"/>
          </w:tcPr>
          <w:p w14:paraId="6DC0747A" w14:textId="77777777" w:rsidR="003536B8" w:rsidRPr="00AE5B3E" w:rsidRDefault="003536B8" w:rsidP="005B1B02">
            <w:pPr>
              <w:jc w:val="center"/>
              <w:rPr>
                <w:rFonts w:ascii="Arial Narrow" w:hAnsi="Arial Narrow"/>
                <w:sz w:val="20"/>
                <w:lang w:bidi="en-US"/>
              </w:rPr>
            </w:pPr>
            <w:r w:rsidRPr="00AE5B3E">
              <w:rPr>
                <w:rFonts w:ascii="Arial Narrow" w:hAnsi="Arial Narrow"/>
                <w:sz w:val="20"/>
                <w:lang w:bidi="en-US"/>
              </w:rPr>
              <w:t>53/99 (53.5)</w:t>
            </w:r>
          </w:p>
          <w:p w14:paraId="0B41652F" w14:textId="77777777" w:rsidR="003536B8" w:rsidRPr="00AE5B3E" w:rsidRDefault="003536B8" w:rsidP="005B1B02">
            <w:pPr>
              <w:jc w:val="center"/>
              <w:rPr>
                <w:rFonts w:ascii="Arial Narrow" w:hAnsi="Arial Narrow"/>
                <w:sz w:val="20"/>
                <w:lang w:bidi="en-US"/>
              </w:rPr>
            </w:pPr>
            <w:r w:rsidRPr="00AE5B3E">
              <w:rPr>
                <w:rFonts w:ascii="Arial Narrow" w:hAnsi="Arial Narrow"/>
                <w:sz w:val="20"/>
                <w:lang w:bidi="en-US"/>
              </w:rPr>
              <w:t>[43.2;63.6]</w:t>
            </w:r>
          </w:p>
        </w:tc>
        <w:tc>
          <w:tcPr>
            <w:tcW w:w="2101" w:type="dxa"/>
          </w:tcPr>
          <w:p w14:paraId="66D36F19" w14:textId="77777777" w:rsidR="003536B8" w:rsidRPr="00AE5B3E" w:rsidRDefault="003536B8" w:rsidP="005B1B02">
            <w:pPr>
              <w:contextualSpacing/>
              <w:jc w:val="center"/>
              <w:rPr>
                <w:rFonts w:ascii="Arial Narrow" w:eastAsia="Calibri" w:hAnsi="Arial Narrow"/>
                <w:sz w:val="20"/>
              </w:rPr>
            </w:pPr>
            <w:r w:rsidRPr="00AE5B3E">
              <w:rPr>
                <w:rFonts w:ascii="Arial Narrow" w:eastAsia="Calibri" w:hAnsi="Arial Narrow"/>
                <w:sz w:val="20"/>
              </w:rPr>
              <w:t>60 (52.2)</w:t>
            </w:r>
          </w:p>
          <w:p w14:paraId="585A06AB" w14:textId="77777777" w:rsidR="003536B8" w:rsidRPr="00AE5B3E" w:rsidRDefault="003536B8" w:rsidP="005B1B02">
            <w:pPr>
              <w:contextualSpacing/>
              <w:jc w:val="center"/>
              <w:rPr>
                <w:rFonts w:ascii="Arial Narrow" w:eastAsia="Calibri" w:hAnsi="Arial Narrow"/>
                <w:sz w:val="20"/>
              </w:rPr>
            </w:pPr>
            <w:r w:rsidRPr="00AE5B3E">
              <w:rPr>
                <w:rFonts w:ascii="Arial Narrow" w:eastAsia="Calibri" w:hAnsi="Arial Narrow"/>
                <w:sz w:val="20"/>
              </w:rPr>
              <w:t>(42.7,61.6)</w:t>
            </w:r>
          </w:p>
        </w:tc>
        <w:tc>
          <w:tcPr>
            <w:tcW w:w="2362" w:type="dxa"/>
            <w:shd w:val="clear" w:color="auto" w:fill="auto"/>
          </w:tcPr>
          <w:p w14:paraId="10BEC03D" w14:textId="77777777" w:rsidR="003536B8" w:rsidRPr="001D369F" w:rsidRDefault="003536B8" w:rsidP="005B1B02">
            <w:pPr>
              <w:jc w:val="center"/>
              <w:rPr>
                <w:rFonts w:ascii="Arial Narrow" w:eastAsia="Calibri" w:hAnsi="Arial Narrow"/>
                <w:sz w:val="20"/>
              </w:rPr>
            </w:pPr>
            <w:r w:rsidRPr="001D369F">
              <w:rPr>
                <w:rFonts w:ascii="Arial Narrow" w:eastAsia="Calibri" w:hAnsi="Arial Narrow"/>
                <w:sz w:val="20"/>
              </w:rPr>
              <w:t>60 (52.2)</w:t>
            </w:r>
          </w:p>
          <w:p w14:paraId="00E1B024" w14:textId="77777777" w:rsidR="003536B8" w:rsidRPr="00565941" w:rsidRDefault="003536B8" w:rsidP="005B1B02">
            <w:pPr>
              <w:contextualSpacing/>
              <w:jc w:val="center"/>
              <w:rPr>
                <w:rFonts w:ascii="Arial Narrow" w:eastAsia="Calibri" w:hAnsi="Arial Narrow"/>
                <w:sz w:val="20"/>
                <w:highlight w:val="yellow"/>
              </w:rPr>
            </w:pPr>
            <w:r w:rsidRPr="001D369F">
              <w:rPr>
                <w:rFonts w:ascii="Arial Narrow" w:eastAsia="Calibri" w:hAnsi="Arial Narrow"/>
                <w:sz w:val="20"/>
              </w:rPr>
              <w:t>(42.7; 61.6)</w:t>
            </w:r>
          </w:p>
        </w:tc>
      </w:tr>
      <w:tr w:rsidR="003536B8" w:rsidRPr="00AE5B3E" w14:paraId="122D56C1" w14:textId="77777777" w:rsidTr="005B1B02">
        <w:tc>
          <w:tcPr>
            <w:tcW w:w="2646" w:type="dxa"/>
          </w:tcPr>
          <w:p w14:paraId="4176351A" w14:textId="77777777" w:rsidR="003536B8" w:rsidRPr="00AE5B3E" w:rsidRDefault="003536B8" w:rsidP="005B1B02">
            <w:pPr>
              <w:contextualSpacing/>
              <w:rPr>
                <w:rFonts w:ascii="Arial Narrow" w:eastAsia="Calibri" w:hAnsi="Arial Narrow"/>
                <w:b/>
                <w:sz w:val="20"/>
              </w:rPr>
            </w:pPr>
            <w:r w:rsidRPr="00AE5B3E">
              <w:rPr>
                <w:rFonts w:ascii="Arial Narrow" w:eastAsia="Calibri" w:hAnsi="Arial Narrow"/>
                <w:b/>
                <w:sz w:val="20"/>
              </w:rPr>
              <w:t>Median PFS</w:t>
            </w:r>
          </w:p>
          <w:p w14:paraId="6EE007A0" w14:textId="77777777" w:rsidR="003536B8" w:rsidRPr="00AE5B3E" w:rsidRDefault="003536B8" w:rsidP="005B1B02">
            <w:pPr>
              <w:contextualSpacing/>
              <w:rPr>
                <w:rFonts w:ascii="Arial Narrow" w:eastAsia="Calibri" w:hAnsi="Arial Narrow"/>
                <w:b/>
                <w:sz w:val="20"/>
              </w:rPr>
            </w:pPr>
            <w:r w:rsidRPr="00AE5B3E">
              <w:rPr>
                <w:rFonts w:ascii="Arial Narrow" w:eastAsia="Calibri" w:hAnsi="Arial Narrow"/>
                <w:b/>
                <w:sz w:val="20"/>
              </w:rPr>
              <w:t>[95% CI]</w:t>
            </w:r>
          </w:p>
        </w:tc>
        <w:tc>
          <w:tcPr>
            <w:tcW w:w="2105" w:type="dxa"/>
          </w:tcPr>
          <w:p w14:paraId="23917585" w14:textId="77777777" w:rsidR="003536B8" w:rsidRPr="00AE5B3E" w:rsidRDefault="003536B8" w:rsidP="005B1B02">
            <w:pPr>
              <w:ind w:left="720"/>
              <w:contextualSpacing/>
              <w:rPr>
                <w:rFonts w:ascii="Arial Narrow" w:eastAsia="Calibri" w:hAnsi="Arial Narrow"/>
                <w:sz w:val="20"/>
              </w:rPr>
            </w:pPr>
            <w:r w:rsidRPr="00AE5B3E">
              <w:rPr>
                <w:rFonts w:ascii="Arial Narrow" w:eastAsia="Calibri" w:hAnsi="Arial Narrow"/>
                <w:sz w:val="20"/>
              </w:rPr>
              <w:t>2.9</w:t>
            </w:r>
          </w:p>
          <w:p w14:paraId="1E56347A" w14:textId="77777777" w:rsidR="003536B8" w:rsidRPr="00AE5B3E" w:rsidRDefault="003536B8" w:rsidP="005B1B02">
            <w:pPr>
              <w:contextualSpacing/>
              <w:jc w:val="center"/>
              <w:rPr>
                <w:rFonts w:ascii="Arial Narrow" w:eastAsia="Calibri" w:hAnsi="Arial Narrow"/>
                <w:sz w:val="20"/>
              </w:rPr>
            </w:pPr>
            <w:r w:rsidRPr="00AE5B3E">
              <w:rPr>
                <w:rFonts w:ascii="Arial Narrow" w:eastAsia="Calibri" w:hAnsi="Arial Narrow"/>
                <w:sz w:val="20"/>
              </w:rPr>
              <w:t>[2.3;4.2]</w:t>
            </w:r>
          </w:p>
        </w:tc>
        <w:tc>
          <w:tcPr>
            <w:tcW w:w="2101" w:type="dxa"/>
          </w:tcPr>
          <w:p w14:paraId="6C27F8E5" w14:textId="77777777" w:rsidR="003536B8" w:rsidRPr="00AE5B3E" w:rsidRDefault="003536B8" w:rsidP="005B1B02">
            <w:pPr>
              <w:contextualSpacing/>
              <w:jc w:val="center"/>
              <w:rPr>
                <w:rFonts w:ascii="Arial Narrow" w:eastAsia="Calibri" w:hAnsi="Arial Narrow"/>
                <w:sz w:val="20"/>
              </w:rPr>
            </w:pPr>
            <w:r w:rsidRPr="00AE5B3E">
              <w:rPr>
                <w:rFonts w:ascii="Arial Narrow" w:eastAsia="Calibri" w:hAnsi="Arial Narrow"/>
                <w:sz w:val="20"/>
              </w:rPr>
              <w:t>2.9</w:t>
            </w:r>
          </w:p>
          <w:p w14:paraId="54845B75" w14:textId="77777777" w:rsidR="003536B8" w:rsidRPr="00AE5B3E" w:rsidRDefault="003536B8" w:rsidP="005B1B02">
            <w:pPr>
              <w:contextualSpacing/>
              <w:jc w:val="center"/>
              <w:rPr>
                <w:rFonts w:ascii="Arial Narrow" w:eastAsia="Calibri" w:hAnsi="Arial Narrow"/>
                <w:sz w:val="20"/>
              </w:rPr>
            </w:pPr>
            <w:r w:rsidRPr="00AE5B3E">
              <w:rPr>
                <w:rFonts w:ascii="Arial Narrow" w:eastAsia="Calibri" w:hAnsi="Arial Narrow"/>
                <w:sz w:val="20"/>
              </w:rPr>
              <w:t>[2.3; 5.2]</w:t>
            </w:r>
          </w:p>
        </w:tc>
        <w:tc>
          <w:tcPr>
            <w:tcW w:w="2362" w:type="dxa"/>
          </w:tcPr>
          <w:p w14:paraId="6FCFCE61" w14:textId="3D8D0ACD" w:rsidR="003536B8" w:rsidRPr="00565941" w:rsidRDefault="005121F7" w:rsidP="00606379">
            <w:pPr>
              <w:jc w:val="center"/>
              <w:rPr>
                <w:rFonts w:ascii="Arial Narrow" w:eastAsia="Calibri" w:hAnsi="Arial Narrow"/>
                <w:sz w:val="20"/>
                <w:highlight w:val="yellow"/>
              </w:rPr>
            </w:pPr>
            <w:r w:rsidRPr="00B32CEF">
              <w:rPr>
                <w:rFonts w:ascii="Arial Narrow" w:eastAsia="Calibri" w:hAnsi="Arial Narrow"/>
                <w:sz w:val="20"/>
              </w:rPr>
              <w:t>Redacted</w:t>
            </w:r>
          </w:p>
        </w:tc>
      </w:tr>
      <w:tr w:rsidR="003536B8" w:rsidRPr="00AE5B3E" w14:paraId="28C61604" w14:textId="77777777" w:rsidTr="005B1B02">
        <w:tc>
          <w:tcPr>
            <w:tcW w:w="2646" w:type="dxa"/>
          </w:tcPr>
          <w:p w14:paraId="7065D2CC" w14:textId="77777777" w:rsidR="003536B8" w:rsidRPr="00AE5B3E" w:rsidRDefault="003536B8" w:rsidP="005B1B02">
            <w:pPr>
              <w:contextualSpacing/>
              <w:rPr>
                <w:rFonts w:ascii="Arial Narrow" w:eastAsia="Calibri" w:hAnsi="Arial Narrow"/>
                <w:b/>
                <w:sz w:val="20"/>
              </w:rPr>
            </w:pPr>
            <w:r w:rsidRPr="00AE5B3E">
              <w:rPr>
                <w:rFonts w:ascii="Arial Narrow" w:eastAsia="Calibri" w:hAnsi="Arial Narrow"/>
                <w:b/>
                <w:sz w:val="20"/>
              </w:rPr>
              <w:t>Median OS</w:t>
            </w:r>
          </w:p>
          <w:p w14:paraId="0D54CE27" w14:textId="77777777" w:rsidR="003536B8" w:rsidRPr="00AE5B3E" w:rsidRDefault="003536B8" w:rsidP="005B1B02">
            <w:pPr>
              <w:contextualSpacing/>
              <w:rPr>
                <w:rFonts w:ascii="Arial Narrow" w:eastAsia="Calibri" w:hAnsi="Arial Narrow"/>
                <w:b/>
                <w:sz w:val="20"/>
              </w:rPr>
            </w:pPr>
            <w:r w:rsidRPr="00AE5B3E">
              <w:rPr>
                <w:rFonts w:ascii="Arial Narrow" w:eastAsia="Calibri" w:hAnsi="Arial Narrow"/>
                <w:b/>
                <w:sz w:val="20"/>
              </w:rPr>
              <w:t>[95% CI]</w:t>
            </w:r>
          </w:p>
        </w:tc>
        <w:tc>
          <w:tcPr>
            <w:tcW w:w="2105" w:type="dxa"/>
            <w:shd w:val="clear" w:color="auto" w:fill="auto"/>
          </w:tcPr>
          <w:p w14:paraId="09757355" w14:textId="77777777" w:rsidR="003536B8" w:rsidRPr="00AE5B3E" w:rsidRDefault="003536B8" w:rsidP="005B1B02">
            <w:pPr>
              <w:jc w:val="center"/>
              <w:rPr>
                <w:rFonts w:ascii="Arial Narrow" w:hAnsi="Arial Narrow"/>
                <w:sz w:val="20"/>
                <w:lang w:bidi="en-US"/>
              </w:rPr>
            </w:pPr>
            <w:r w:rsidRPr="00AE5B3E">
              <w:rPr>
                <w:rFonts w:ascii="Arial Narrow" w:hAnsi="Arial Narrow"/>
                <w:sz w:val="20"/>
                <w:lang w:bidi="en-US"/>
              </w:rPr>
              <w:t>11.1</w:t>
            </w:r>
          </w:p>
          <w:p w14:paraId="79D62A17" w14:textId="77777777" w:rsidR="003536B8" w:rsidRPr="00AE5B3E" w:rsidRDefault="003536B8" w:rsidP="005B1B02">
            <w:pPr>
              <w:jc w:val="center"/>
              <w:rPr>
                <w:rFonts w:ascii="Arial Narrow" w:hAnsi="Arial Narrow"/>
                <w:sz w:val="20"/>
                <w:lang w:bidi="en-US"/>
              </w:rPr>
            </w:pPr>
            <w:r w:rsidRPr="00AE5B3E">
              <w:rPr>
                <w:rFonts w:ascii="Arial Narrow" w:hAnsi="Arial Narrow"/>
                <w:sz w:val="20"/>
                <w:lang w:bidi="en-US"/>
              </w:rPr>
              <w:t>[6.6; NE]</w:t>
            </w:r>
          </w:p>
        </w:tc>
        <w:tc>
          <w:tcPr>
            <w:tcW w:w="2101" w:type="dxa"/>
          </w:tcPr>
          <w:p w14:paraId="2819A69F" w14:textId="77777777" w:rsidR="003536B8" w:rsidRPr="00AE5B3E" w:rsidRDefault="003536B8" w:rsidP="005B1B02">
            <w:pPr>
              <w:contextualSpacing/>
              <w:jc w:val="center"/>
              <w:rPr>
                <w:rFonts w:ascii="Arial Narrow" w:eastAsia="Calibri" w:hAnsi="Arial Narrow"/>
                <w:sz w:val="20"/>
              </w:rPr>
            </w:pPr>
            <w:r w:rsidRPr="00AE5B3E">
              <w:rPr>
                <w:rFonts w:ascii="Arial Narrow" w:eastAsia="Calibri" w:hAnsi="Arial Narrow"/>
                <w:sz w:val="20"/>
              </w:rPr>
              <w:t>10.3</w:t>
            </w:r>
          </w:p>
          <w:p w14:paraId="7B19FBBF" w14:textId="77777777" w:rsidR="003536B8" w:rsidRPr="00AE5B3E" w:rsidRDefault="003536B8" w:rsidP="005B1B02">
            <w:pPr>
              <w:contextualSpacing/>
              <w:jc w:val="center"/>
              <w:rPr>
                <w:rFonts w:ascii="Arial Narrow" w:eastAsia="Calibri" w:hAnsi="Arial Narrow"/>
                <w:sz w:val="20"/>
              </w:rPr>
            </w:pPr>
            <w:r w:rsidRPr="00AE5B3E">
              <w:rPr>
                <w:rFonts w:ascii="Arial Narrow" w:eastAsia="Calibri" w:hAnsi="Arial Narrow"/>
                <w:sz w:val="20"/>
              </w:rPr>
              <w:t>[6.6; 21.1]</w:t>
            </w:r>
          </w:p>
        </w:tc>
        <w:tc>
          <w:tcPr>
            <w:tcW w:w="2362" w:type="dxa"/>
          </w:tcPr>
          <w:p w14:paraId="2EDBD45C" w14:textId="77777777" w:rsidR="003536B8" w:rsidRPr="001D369F" w:rsidRDefault="003536B8" w:rsidP="005B1B02">
            <w:pPr>
              <w:contextualSpacing/>
              <w:jc w:val="center"/>
              <w:rPr>
                <w:rFonts w:ascii="Arial Narrow" w:eastAsia="Calibri" w:hAnsi="Arial Narrow"/>
                <w:sz w:val="20"/>
              </w:rPr>
            </w:pPr>
            <w:r w:rsidRPr="001D369F">
              <w:rPr>
                <w:rFonts w:ascii="Arial Narrow" w:eastAsia="Calibri" w:hAnsi="Arial Narrow"/>
                <w:sz w:val="20"/>
              </w:rPr>
              <w:t>11.1</w:t>
            </w:r>
          </w:p>
          <w:p w14:paraId="426E9E92" w14:textId="77777777" w:rsidR="003536B8" w:rsidRPr="001D369F" w:rsidRDefault="003536B8" w:rsidP="005B1B02">
            <w:pPr>
              <w:contextualSpacing/>
              <w:jc w:val="center"/>
              <w:rPr>
                <w:rFonts w:ascii="Arial Narrow" w:eastAsia="Calibri" w:hAnsi="Arial Narrow"/>
                <w:sz w:val="20"/>
              </w:rPr>
            </w:pPr>
            <w:r w:rsidRPr="001D369F">
              <w:rPr>
                <w:rFonts w:ascii="Arial Narrow" w:eastAsia="Calibri" w:hAnsi="Arial Narrow"/>
                <w:sz w:val="20"/>
              </w:rPr>
              <w:t>[6.6; 23.9}</w:t>
            </w:r>
          </w:p>
        </w:tc>
      </w:tr>
    </w:tbl>
    <w:p w14:paraId="52475C29" w14:textId="77777777" w:rsidR="003536B8" w:rsidRPr="00AE5B3E" w:rsidRDefault="003536B8" w:rsidP="003536B8">
      <w:pPr>
        <w:spacing w:after="160" w:line="259" w:lineRule="auto"/>
        <w:ind w:left="284"/>
        <w:contextualSpacing/>
        <w:rPr>
          <w:rFonts w:ascii="Arial Narrow" w:eastAsia="Calibri" w:hAnsi="Arial Narrow"/>
          <w:sz w:val="18"/>
          <w:szCs w:val="18"/>
          <w:lang w:eastAsia="en-US"/>
        </w:rPr>
      </w:pPr>
      <w:r w:rsidRPr="00AE5B3E">
        <w:rPr>
          <w:rFonts w:ascii="Arial Narrow" w:eastAsia="Calibri" w:hAnsi="Arial Narrow"/>
          <w:sz w:val="18"/>
          <w:szCs w:val="18"/>
          <w:lang w:eastAsia="en-US"/>
        </w:rPr>
        <w:t>ORR: overall response rate = CR (complete response) + PR (partial response; PFS: progression free survival  (relative to onset of response); OS: overall survival (relative to first TIS infusion).</w:t>
      </w:r>
    </w:p>
    <w:p w14:paraId="32F53A98" w14:textId="759A018D" w:rsidR="003536B8" w:rsidRPr="00606379" w:rsidRDefault="003536B8" w:rsidP="00606379">
      <w:pPr>
        <w:spacing w:after="160" w:line="259" w:lineRule="auto"/>
        <w:ind w:left="284"/>
        <w:contextualSpacing/>
        <w:rPr>
          <w:rFonts w:ascii="Arial Narrow" w:eastAsia="Calibri" w:hAnsi="Arial Narrow"/>
          <w:sz w:val="18"/>
          <w:szCs w:val="18"/>
          <w:lang w:eastAsia="en-US"/>
        </w:rPr>
      </w:pPr>
      <w:r w:rsidRPr="00AE5B3E">
        <w:rPr>
          <w:rFonts w:ascii="Arial Narrow" w:eastAsia="Calibri" w:hAnsi="Arial Narrow"/>
          <w:sz w:val="18"/>
          <w:szCs w:val="18"/>
          <w:lang w:eastAsia="en-US"/>
        </w:rPr>
        <w:t>Source: May 2018 1519.1 PSD, Table 3; December 2018 &amp; July 2019: No</w:t>
      </w:r>
      <w:r w:rsidR="00606379">
        <w:rPr>
          <w:rFonts w:ascii="Arial Narrow" w:eastAsia="Calibri" w:hAnsi="Arial Narrow"/>
          <w:sz w:val="18"/>
          <w:szCs w:val="18"/>
          <w:lang w:eastAsia="en-US"/>
        </w:rPr>
        <w:t>vartis submission November 2019</w:t>
      </w:r>
    </w:p>
    <w:p w14:paraId="04D5B0E4" w14:textId="1E98CD75" w:rsidR="003536B8" w:rsidRDefault="003536B8" w:rsidP="003536B8">
      <w:pPr>
        <w:pStyle w:val="Caption"/>
        <w:keepNext/>
        <w:keepLines/>
      </w:pPr>
      <w:r w:rsidRPr="00AE5B3E">
        <w:t>Figure 1: Kaplan-Meier plot of progression free survival (PFS) censoring HSCT by independent review committee (IRC) assessment (FAS); 1 July 2019 data cut-off</w:t>
      </w:r>
    </w:p>
    <w:p w14:paraId="1A51E6C9" w14:textId="1A660835" w:rsidR="00AE3FE6" w:rsidRPr="00C558EA" w:rsidRDefault="00C558EA" w:rsidP="00C558EA">
      <w:pPr>
        <w:spacing w:after="240"/>
        <w:rPr>
          <w:b/>
        </w:rPr>
      </w:pPr>
      <w:r>
        <w:rPr>
          <w:b/>
        </w:rPr>
        <w:t>Redacted</w:t>
      </w:r>
    </w:p>
    <w:p w14:paraId="164E299C" w14:textId="445EF611" w:rsidR="003536B8" w:rsidRPr="00AE5B3E" w:rsidRDefault="003536B8" w:rsidP="003536B8">
      <w:pPr>
        <w:pStyle w:val="Caption"/>
        <w:keepNext/>
        <w:keepLines/>
        <w:rPr>
          <w:b w:val="0"/>
        </w:rPr>
      </w:pPr>
      <w:r w:rsidRPr="00AE5B3E">
        <w:t>Figure 2: Kaplan-Meier plot of overall survival (OS) (FAS); 1 July 2019 data cut-off</w:t>
      </w:r>
    </w:p>
    <w:p w14:paraId="4F9EF03B" w14:textId="77777777" w:rsidR="003536B8" w:rsidRPr="00AE5B3E" w:rsidRDefault="003536B8" w:rsidP="003536B8">
      <w:pPr>
        <w:keepNext/>
        <w:keepLines/>
        <w:spacing w:after="120"/>
      </w:pPr>
      <w:r w:rsidRPr="00AE5B3E">
        <w:rPr>
          <w:noProof/>
          <w:szCs w:val="24"/>
        </w:rPr>
        <w:drawing>
          <wp:inline distT="0" distB="0" distL="0" distR="0" wp14:anchorId="65499729" wp14:editId="54C6F9FA">
            <wp:extent cx="4545708" cy="3788090"/>
            <wp:effectExtent l="0" t="0" r="7620" b="3175"/>
            <wp:docPr id="5" name="Picture 5" descr="Kaplan-Meier plot of overall survival (OS) (FAS); 1 July 2019 data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5550" cy="3804625"/>
                    </a:xfrm>
                    <a:prstGeom prst="rect">
                      <a:avLst/>
                    </a:prstGeom>
                    <a:noFill/>
                    <a:ln>
                      <a:noFill/>
                    </a:ln>
                  </pic:spPr>
                </pic:pic>
              </a:graphicData>
            </a:graphic>
          </wp:inline>
        </w:drawing>
      </w:r>
    </w:p>
    <w:p w14:paraId="1F72E7DE" w14:textId="77777777" w:rsidR="003536B8" w:rsidRPr="00AE5B3E" w:rsidRDefault="003536B8" w:rsidP="003536B8">
      <w:pPr>
        <w:rPr>
          <w:rFonts w:ascii="Arial Narrow" w:hAnsi="Arial Narrow"/>
          <w:sz w:val="18"/>
          <w:szCs w:val="18"/>
        </w:rPr>
      </w:pPr>
      <w:r w:rsidRPr="00AE5B3E">
        <w:rPr>
          <w:rFonts w:ascii="Arial Narrow" w:hAnsi="Arial Narrow"/>
          <w:sz w:val="18"/>
          <w:szCs w:val="18"/>
        </w:rPr>
        <w:t>Time is relative to first CTL019 infusion date, 1 month=30.4375 days</w:t>
      </w:r>
    </w:p>
    <w:p w14:paraId="30C68137" w14:textId="2C600BC4" w:rsidR="003536B8" w:rsidRPr="00AE5B3E" w:rsidRDefault="00606379" w:rsidP="00606379">
      <w:pPr>
        <w:spacing w:after="240"/>
        <w:rPr>
          <w:rFonts w:ascii="Arial Narrow" w:hAnsi="Arial Narrow"/>
          <w:sz w:val="18"/>
          <w:szCs w:val="18"/>
        </w:rPr>
      </w:pPr>
      <w:r>
        <w:rPr>
          <w:rFonts w:ascii="Arial Narrow" w:hAnsi="Arial Narrow"/>
          <w:sz w:val="18"/>
          <w:szCs w:val="18"/>
        </w:rPr>
        <w:t>Source: November 2019, page 11</w:t>
      </w:r>
    </w:p>
    <w:p w14:paraId="28CB6B52" w14:textId="729A7207" w:rsidR="003536B8" w:rsidRPr="00AE5B3E" w:rsidRDefault="003536B8" w:rsidP="00606379">
      <w:pPr>
        <w:spacing w:after="240"/>
      </w:pPr>
      <w:r w:rsidRPr="00AE5B3E">
        <w:t>MSAC was further reassured by the early data from the Center for International Blood &amp; Marrow Transplant Research (CIBMTR) Cellular Therapy (CT) Regi</w:t>
      </w:r>
      <w:r w:rsidR="00606379">
        <w:t>stry provided by the applicant.</w:t>
      </w:r>
    </w:p>
    <w:p w14:paraId="3593F5AD" w14:textId="3F8BC377" w:rsidR="003536B8" w:rsidRPr="00B32CEF" w:rsidRDefault="003536B8" w:rsidP="00606379">
      <w:pPr>
        <w:spacing w:after="240"/>
        <w:rPr>
          <w:shd w:val="clear" w:color="auto" w:fill="FFFFFF" w:themeFill="background1"/>
        </w:rPr>
      </w:pPr>
      <w:r w:rsidRPr="00AE5B3E">
        <w:rPr>
          <w:shd w:val="clear" w:color="auto" w:fill="FFFFFF" w:themeFill="background1"/>
        </w:rPr>
        <w:lastRenderedPageBreak/>
        <w:t xml:space="preserve">MSAC noted the applicant continues to </w:t>
      </w:r>
      <w:r w:rsidRPr="00B32CEF">
        <w:rPr>
          <w:shd w:val="clear" w:color="auto" w:fill="FFFFFF" w:themeFill="background1"/>
        </w:rPr>
        <w:t xml:space="preserve">request </w:t>
      </w:r>
      <w:r w:rsidR="005121F7" w:rsidRPr="00B32CEF">
        <w:rPr>
          <w:b/>
          <w:shd w:val="clear" w:color="auto" w:fill="FFFFFF" w:themeFill="background1"/>
        </w:rPr>
        <w:t>redacted</w:t>
      </w:r>
      <w:r w:rsidRPr="00B32CEF">
        <w:rPr>
          <w:shd w:val="clear" w:color="auto" w:fill="FFFFFF" w:themeFill="background1"/>
        </w:rPr>
        <w:t xml:space="preserve"> price of $</w:t>
      </w:r>
      <w:r w:rsidR="005121F7" w:rsidRPr="00B32CEF">
        <w:rPr>
          <w:b/>
          <w:shd w:val="clear" w:color="auto" w:fill="FFFFFF" w:themeFill="background1"/>
        </w:rPr>
        <w:t>redacted</w:t>
      </w:r>
      <w:r w:rsidR="005121F7" w:rsidRPr="00B32CEF">
        <w:rPr>
          <w:shd w:val="clear" w:color="auto" w:fill="FFFFFF" w:themeFill="background1"/>
        </w:rPr>
        <w:t xml:space="preserve"> </w:t>
      </w:r>
      <w:r w:rsidRPr="00B32CEF">
        <w:rPr>
          <w:shd w:val="clear" w:color="auto" w:fill="FFFFFF" w:themeFill="background1"/>
        </w:rPr>
        <w:t>for TIS, regardless the MSAC’s previous concerns around the cost-effec</w:t>
      </w:r>
      <w:r w:rsidR="00606379" w:rsidRPr="00B32CEF">
        <w:rPr>
          <w:shd w:val="clear" w:color="auto" w:fill="FFFFFF" w:themeFill="background1"/>
        </w:rPr>
        <w:t>tiveness of TIS at this price.</w:t>
      </w:r>
    </w:p>
    <w:p w14:paraId="4EA27FA8" w14:textId="113BD351" w:rsidR="003536B8" w:rsidRPr="00B32CEF" w:rsidRDefault="003536B8" w:rsidP="00606379">
      <w:pPr>
        <w:spacing w:after="240"/>
      </w:pPr>
      <w:r w:rsidRPr="00B32CEF">
        <w:rPr>
          <w:shd w:val="clear" w:color="auto" w:fill="FFFFFF" w:themeFill="background1"/>
        </w:rPr>
        <w:t>MSAC recalled the base case incremental cost per quality adjusted life year (QALY) at this price is $</w:t>
      </w:r>
      <w:r w:rsidR="005121F7" w:rsidRPr="00B32CEF">
        <w:rPr>
          <w:b/>
          <w:shd w:val="clear" w:color="auto" w:fill="FFFFFF" w:themeFill="background1"/>
        </w:rPr>
        <w:t>redacted</w:t>
      </w:r>
      <w:r w:rsidR="005121F7" w:rsidRPr="00B32CEF">
        <w:rPr>
          <w:shd w:val="clear" w:color="auto" w:fill="FFFFFF" w:themeFill="background1"/>
        </w:rPr>
        <w:t xml:space="preserve"> </w:t>
      </w:r>
      <w:r w:rsidRPr="00B32CEF">
        <w:rPr>
          <w:shd w:val="clear" w:color="auto" w:fill="FFFFFF" w:themeFill="background1"/>
        </w:rPr>
        <w:t>and</w:t>
      </w:r>
      <w:r w:rsidRPr="00B32CEF">
        <w:t xml:space="preserve"> likely to be underestimated. MSAC further recalled the outcomes of the economic model are most sensitive to the price of TIS, the method of extrapolation and the starting age of the model and any reasonable variations of these give rise to unacceptably high cost effectiveness ratios. MSAC noted the modelled time horizon is 50 years, although the survival curv</w:t>
      </w:r>
      <w:r w:rsidR="00606379" w:rsidRPr="00B32CEF">
        <w:t>es converge at around 20 years.</w:t>
      </w:r>
    </w:p>
    <w:p w14:paraId="13CDBB17" w14:textId="48F95430" w:rsidR="003536B8" w:rsidRPr="00AE5B3E" w:rsidRDefault="003536B8" w:rsidP="00606379">
      <w:pPr>
        <w:spacing w:after="240"/>
      </w:pPr>
      <w:r w:rsidRPr="00B32CEF">
        <w:t>MSAC noted that if the starting age in the model is set at 65 (rather than 56 years in the base case), the incremental cost per QALY increases to $</w:t>
      </w:r>
      <w:r w:rsidR="005121F7" w:rsidRPr="00B32CEF">
        <w:rPr>
          <w:b/>
          <w:shd w:val="clear" w:color="auto" w:fill="FFFFFF" w:themeFill="background1"/>
        </w:rPr>
        <w:t>redacted</w:t>
      </w:r>
      <w:r w:rsidRPr="00B32CEF">
        <w:t>, requiring a reduction in the price of TIS  to $</w:t>
      </w:r>
      <w:r w:rsidR="005121F7" w:rsidRPr="00B32CEF">
        <w:rPr>
          <w:b/>
          <w:shd w:val="clear" w:color="auto" w:fill="FFFFFF" w:themeFill="background1"/>
        </w:rPr>
        <w:t>redacted</w:t>
      </w:r>
      <w:r w:rsidR="005121F7" w:rsidRPr="00B32CEF">
        <w:rPr>
          <w:shd w:val="clear" w:color="auto" w:fill="FFFFFF" w:themeFill="background1"/>
        </w:rPr>
        <w:t xml:space="preserve"> </w:t>
      </w:r>
      <w:r w:rsidRPr="00B32CEF">
        <w:t>to achieve $</w:t>
      </w:r>
      <w:r w:rsidR="005121F7" w:rsidRPr="00B32CEF">
        <w:rPr>
          <w:b/>
          <w:shd w:val="clear" w:color="auto" w:fill="FFFFFF" w:themeFill="background1"/>
        </w:rPr>
        <w:t>redacted</w:t>
      </w:r>
      <w:r w:rsidRPr="00B32CEF">
        <w:t>/QALY. Similarly, if the starting age in the model is set at 75 years, the incremental cost per QALY increases to $</w:t>
      </w:r>
      <w:r w:rsidR="005121F7" w:rsidRPr="00B32CEF">
        <w:rPr>
          <w:b/>
          <w:shd w:val="clear" w:color="auto" w:fill="FFFFFF" w:themeFill="background1"/>
        </w:rPr>
        <w:t>redacted</w:t>
      </w:r>
      <w:r w:rsidRPr="00B32CEF">
        <w:t>. Under these circumstances, the price for TIS would require lowering to $</w:t>
      </w:r>
      <w:r w:rsidR="005121F7" w:rsidRPr="00B32CEF">
        <w:rPr>
          <w:b/>
          <w:shd w:val="clear" w:color="auto" w:fill="FFFFFF" w:themeFill="background1"/>
        </w:rPr>
        <w:t>redacted</w:t>
      </w:r>
      <w:r w:rsidR="005121F7" w:rsidRPr="00B32CEF">
        <w:rPr>
          <w:shd w:val="clear" w:color="auto" w:fill="FFFFFF" w:themeFill="background1"/>
        </w:rPr>
        <w:t xml:space="preserve"> </w:t>
      </w:r>
      <w:r w:rsidRPr="00B32CEF">
        <w:t>to achieve $</w:t>
      </w:r>
      <w:r w:rsidR="005121F7" w:rsidRPr="00B32CEF">
        <w:rPr>
          <w:b/>
          <w:shd w:val="clear" w:color="auto" w:fill="FFFFFF" w:themeFill="background1"/>
        </w:rPr>
        <w:t>redacted</w:t>
      </w:r>
      <w:r w:rsidR="00606379" w:rsidRPr="00B32CEF">
        <w:t>/QALY.</w:t>
      </w:r>
    </w:p>
    <w:p w14:paraId="4D0D3F4C" w14:textId="632125A8" w:rsidR="003536B8" w:rsidRPr="00AE5B3E" w:rsidRDefault="003536B8" w:rsidP="00606379">
      <w:pPr>
        <w:spacing w:after="240"/>
      </w:pPr>
      <w:r w:rsidRPr="00AE5B3E">
        <w:t>MSAC considered there was potential for the cost-effectiveness ratio to increase to an unacceptable level if the proportion of patients aged ≥ 65 years in clinical practice is greater than in the JULIET clinical trial. Thus, although MSAC agreed with the stakeholder meeting consensus that access to treatment with TIS should be based on fitness for therapy rather than on chronological age, MSAC considered it appropriate for any funding arrangement to manage the risk that the cost-effectiveness of treatment would reduce if the proportion of patients aged ≥ 65 years is higher in practice than it was in th</w:t>
      </w:r>
      <w:r w:rsidR="00606379">
        <w:t>e JULIET clinical trial (25%).</w:t>
      </w:r>
    </w:p>
    <w:p w14:paraId="10421E94" w14:textId="059A7DDB" w:rsidR="003536B8" w:rsidRPr="00B32CEF" w:rsidRDefault="003536B8" w:rsidP="003536B8">
      <w:r w:rsidRPr="00AE5B3E">
        <w:t xml:space="preserve">MSAC noted the applicant </w:t>
      </w:r>
      <w:r w:rsidRPr="00B32CEF">
        <w:t xml:space="preserve">proposed </w:t>
      </w:r>
      <w:r w:rsidR="005121F7" w:rsidRPr="00B32CEF">
        <w:rPr>
          <w:b/>
          <w:shd w:val="clear" w:color="auto" w:fill="FFFFFF" w:themeFill="background1"/>
        </w:rPr>
        <w:t>redacted</w:t>
      </w:r>
      <w:r w:rsidR="005121F7" w:rsidRPr="00B32CEF">
        <w:rPr>
          <w:shd w:val="clear" w:color="auto" w:fill="FFFFFF" w:themeFill="background1"/>
        </w:rPr>
        <w:t xml:space="preserve"> </w:t>
      </w:r>
      <w:r w:rsidRPr="00B32CEF">
        <w:t xml:space="preserve">arrangement to address ongoing uncertainty regarding the clinical effectiveness and durability of benefit. MSAC noted the key elements of the applicant’s </w:t>
      </w:r>
      <w:r w:rsidR="005121F7" w:rsidRPr="00B32CEF">
        <w:rPr>
          <w:b/>
          <w:shd w:val="clear" w:color="auto" w:fill="FFFFFF" w:themeFill="background1"/>
        </w:rPr>
        <w:t>redacted</w:t>
      </w:r>
      <w:r w:rsidRPr="00B32CEF">
        <w:t xml:space="preserve"> were:</w:t>
      </w:r>
    </w:p>
    <w:p w14:paraId="539BD0AE" w14:textId="38BA38A6" w:rsidR="003536B8" w:rsidRPr="00B32CEF" w:rsidRDefault="005121F7" w:rsidP="003536B8">
      <w:pPr>
        <w:pStyle w:val="ListParagraph"/>
        <w:numPr>
          <w:ilvl w:val="0"/>
          <w:numId w:val="42"/>
        </w:numPr>
      </w:pPr>
      <w:r w:rsidRPr="00B32CEF">
        <w:rPr>
          <w:b/>
          <w:shd w:val="clear" w:color="auto" w:fill="FFFFFF" w:themeFill="background1"/>
        </w:rPr>
        <w:t>Redacted</w:t>
      </w:r>
    </w:p>
    <w:p w14:paraId="2126E0C7" w14:textId="75B62659" w:rsidR="003536B8" w:rsidRPr="00B32CEF" w:rsidRDefault="005121F7" w:rsidP="00606379">
      <w:pPr>
        <w:pStyle w:val="ListParagraph"/>
        <w:numPr>
          <w:ilvl w:val="0"/>
          <w:numId w:val="42"/>
        </w:numPr>
        <w:spacing w:after="240"/>
      </w:pPr>
      <w:r w:rsidRPr="00B32CEF">
        <w:rPr>
          <w:b/>
          <w:shd w:val="clear" w:color="auto" w:fill="FFFFFF" w:themeFill="background1"/>
        </w:rPr>
        <w:t>Redacted</w:t>
      </w:r>
      <w:r w:rsidR="003536B8" w:rsidRPr="00B32CEF">
        <w:t>.</w:t>
      </w:r>
    </w:p>
    <w:p w14:paraId="6B8A095B" w14:textId="4626FFAC" w:rsidR="003536B8" w:rsidRPr="00B32CEF" w:rsidRDefault="003536B8" w:rsidP="003536B8">
      <w:r w:rsidRPr="00B32CEF">
        <w:t xml:space="preserve">MSAC agreed the </w:t>
      </w:r>
      <w:r w:rsidR="005121F7" w:rsidRPr="00B32CEF">
        <w:rPr>
          <w:b/>
          <w:shd w:val="clear" w:color="auto" w:fill="FFFFFF" w:themeFill="background1"/>
        </w:rPr>
        <w:t>redacted</w:t>
      </w:r>
      <w:r w:rsidRPr="00B32CEF">
        <w:t xml:space="preserve"> proposed by the applicant went some way towards addressing its concerns around cost-effectiveness. However MSAC was concerned that, amongst other matters:</w:t>
      </w:r>
    </w:p>
    <w:p w14:paraId="2995EACF" w14:textId="2C190F8A" w:rsidR="003536B8" w:rsidRPr="00B32CEF" w:rsidRDefault="005121F7" w:rsidP="003536B8">
      <w:pPr>
        <w:pStyle w:val="ListParagraph"/>
        <w:numPr>
          <w:ilvl w:val="0"/>
          <w:numId w:val="45"/>
        </w:numPr>
      </w:pPr>
      <w:r w:rsidRPr="00B32CEF">
        <w:rPr>
          <w:b/>
          <w:shd w:val="clear" w:color="auto" w:fill="FFFFFF" w:themeFill="background1"/>
        </w:rPr>
        <w:t>Redacted</w:t>
      </w:r>
      <w:r w:rsidR="003536B8" w:rsidRPr="00B32CEF">
        <w:t>.</w:t>
      </w:r>
    </w:p>
    <w:p w14:paraId="675B50A1" w14:textId="48CF326F" w:rsidR="003536B8" w:rsidRPr="00B32CEF" w:rsidRDefault="005121F7" w:rsidP="00606379">
      <w:pPr>
        <w:pStyle w:val="ListParagraph"/>
        <w:numPr>
          <w:ilvl w:val="0"/>
          <w:numId w:val="45"/>
        </w:numPr>
        <w:spacing w:after="240"/>
      </w:pPr>
      <w:r w:rsidRPr="00B32CEF">
        <w:rPr>
          <w:b/>
          <w:shd w:val="clear" w:color="auto" w:fill="FFFFFF" w:themeFill="background1"/>
        </w:rPr>
        <w:t>Redacted</w:t>
      </w:r>
      <w:r w:rsidR="003536B8" w:rsidRPr="00B32CEF">
        <w:t>.</w:t>
      </w:r>
    </w:p>
    <w:p w14:paraId="35312DB2" w14:textId="2D84EE33" w:rsidR="003536B8" w:rsidRPr="00B32CEF" w:rsidRDefault="003536B8" w:rsidP="003536B8">
      <w:r w:rsidRPr="00B32CEF">
        <w:t xml:space="preserve">Overall, MSAC considered TIS to be acceptably cost-effective in the context of a high, unmet clinical need for effective treatment options for this patient group, however considered the </w:t>
      </w:r>
      <w:r w:rsidR="005121F7" w:rsidRPr="00B32CEF">
        <w:rPr>
          <w:b/>
          <w:shd w:val="clear" w:color="auto" w:fill="FFFFFF" w:themeFill="background1"/>
        </w:rPr>
        <w:t>redacted</w:t>
      </w:r>
      <w:r w:rsidR="005121F7" w:rsidRPr="00B32CEF">
        <w:rPr>
          <w:shd w:val="clear" w:color="auto" w:fill="FFFFFF" w:themeFill="background1"/>
        </w:rPr>
        <w:t xml:space="preserve"> </w:t>
      </w:r>
      <w:r w:rsidRPr="00B32CEF">
        <w:t>should be enhanced by:</w:t>
      </w:r>
    </w:p>
    <w:p w14:paraId="3AB2CD25" w14:textId="2C8062F7" w:rsidR="003536B8" w:rsidRPr="00B32CEF" w:rsidRDefault="005121F7" w:rsidP="003536B8">
      <w:pPr>
        <w:pStyle w:val="ListParagraph"/>
        <w:numPr>
          <w:ilvl w:val="0"/>
          <w:numId w:val="41"/>
        </w:numPr>
      </w:pPr>
      <w:r w:rsidRPr="00B32CEF">
        <w:rPr>
          <w:b/>
          <w:shd w:val="clear" w:color="auto" w:fill="FFFFFF" w:themeFill="background1"/>
        </w:rPr>
        <w:t>Redacted</w:t>
      </w:r>
      <w:r w:rsidR="003536B8" w:rsidRPr="00B32CEF">
        <w:t>;</w:t>
      </w:r>
    </w:p>
    <w:p w14:paraId="7874E938" w14:textId="6AB7A40F" w:rsidR="003536B8" w:rsidRPr="00B32CEF" w:rsidRDefault="005121F7" w:rsidP="003536B8">
      <w:pPr>
        <w:pStyle w:val="ListParagraph"/>
        <w:numPr>
          <w:ilvl w:val="0"/>
          <w:numId w:val="41"/>
        </w:numPr>
      </w:pPr>
      <w:r w:rsidRPr="00B32CEF">
        <w:rPr>
          <w:b/>
          <w:shd w:val="clear" w:color="auto" w:fill="FFFFFF" w:themeFill="background1"/>
        </w:rPr>
        <w:t>Redacted</w:t>
      </w:r>
      <w:r w:rsidR="003536B8" w:rsidRPr="00B32CEF">
        <w:t>;</w:t>
      </w:r>
    </w:p>
    <w:p w14:paraId="3823EEF3" w14:textId="0A6253DA" w:rsidR="003536B8" w:rsidRPr="00B32CEF" w:rsidRDefault="005121F7" w:rsidP="003536B8">
      <w:pPr>
        <w:pStyle w:val="ListParagraph"/>
        <w:numPr>
          <w:ilvl w:val="0"/>
          <w:numId w:val="41"/>
        </w:numPr>
      </w:pPr>
      <w:r w:rsidRPr="00B32CEF">
        <w:rPr>
          <w:b/>
          <w:shd w:val="clear" w:color="auto" w:fill="FFFFFF" w:themeFill="background1"/>
        </w:rPr>
        <w:t>Redacted</w:t>
      </w:r>
      <w:r w:rsidR="003536B8" w:rsidRPr="00B32CEF">
        <w:t>; and</w:t>
      </w:r>
    </w:p>
    <w:p w14:paraId="74FB909B" w14:textId="4AA2D7DE" w:rsidR="003536B8" w:rsidRPr="00B32CEF" w:rsidRDefault="005121F7" w:rsidP="00606379">
      <w:pPr>
        <w:pStyle w:val="ListParagraph"/>
        <w:numPr>
          <w:ilvl w:val="0"/>
          <w:numId w:val="41"/>
        </w:numPr>
        <w:spacing w:after="240"/>
      </w:pPr>
      <w:r w:rsidRPr="00B32CEF">
        <w:rPr>
          <w:b/>
          <w:shd w:val="clear" w:color="auto" w:fill="FFFFFF" w:themeFill="background1"/>
        </w:rPr>
        <w:t>Redacted</w:t>
      </w:r>
      <w:r w:rsidR="003536B8" w:rsidRPr="00B32CEF">
        <w:t>.</w:t>
      </w:r>
    </w:p>
    <w:p w14:paraId="5C0CC613" w14:textId="73A42BEE" w:rsidR="003536B8" w:rsidRPr="00AE5B3E" w:rsidRDefault="003536B8" w:rsidP="00606379">
      <w:pPr>
        <w:spacing w:after="240"/>
      </w:pPr>
      <w:r w:rsidRPr="00B32CEF">
        <w:t xml:space="preserve">MSAC further advised the total payment </w:t>
      </w:r>
      <w:r w:rsidR="005121F7" w:rsidRPr="00B32CEF">
        <w:rPr>
          <w:b/>
          <w:shd w:val="clear" w:color="auto" w:fill="FFFFFF" w:themeFill="background1"/>
        </w:rPr>
        <w:t>redacted</w:t>
      </w:r>
      <w:r w:rsidR="005121F7" w:rsidRPr="00B32CEF">
        <w:rPr>
          <w:shd w:val="clear" w:color="auto" w:fill="FFFFFF" w:themeFill="background1"/>
        </w:rPr>
        <w:t xml:space="preserve"> </w:t>
      </w:r>
      <w:r w:rsidRPr="00B32CEF">
        <w:t>should not exceed the $</w:t>
      </w:r>
      <w:r w:rsidR="005121F7" w:rsidRPr="00B32CEF">
        <w:rPr>
          <w:b/>
          <w:shd w:val="clear" w:color="auto" w:fill="FFFFFF" w:themeFill="background1"/>
        </w:rPr>
        <w:t>redacted</w:t>
      </w:r>
      <w:r w:rsidRPr="00B32CEF">
        <w:t xml:space="preserve"> </w:t>
      </w:r>
      <w:r w:rsidRPr="001D369F">
        <w:t>that is currently paid for TIS for the paediatric acute lymphoblastic leukaemia (pALL) indiction, and should preferably be somewhat lower.</w:t>
      </w:r>
      <w:r w:rsidRPr="00AE5B3E">
        <w:t xml:space="preserve"> The B cell lymphoma patient cohort is considerably older than the pALL patient and therefore cannot achieve the same lifetime gains from</w:t>
      </w:r>
      <w:r w:rsidR="00606379">
        <w:t xml:space="preserve"> treatment as the pALL cohort.</w:t>
      </w:r>
    </w:p>
    <w:p w14:paraId="355889D9" w14:textId="7219B4D1" w:rsidR="003536B8" w:rsidRPr="00AE5B3E" w:rsidRDefault="003536B8" w:rsidP="00606379">
      <w:pPr>
        <w:spacing w:after="240"/>
      </w:pPr>
      <w:r w:rsidRPr="00AE5B3E">
        <w:lastRenderedPageBreak/>
        <w:t>The MSAC also did not accept the sponsor’s proposal that a patient could be offered a second TIS infusion if there are sufficient excess leukapheresis material available to manufacture a second infusion of TIS, as the cost-effectiveness of second or subsequent doses of CAR-T cell therapy has not been demonstrated. Additionally</w:t>
      </w:r>
      <w:r w:rsidRPr="00B32CEF">
        <w:t xml:space="preserve">, </w:t>
      </w:r>
      <w:r w:rsidR="005121F7" w:rsidRPr="00B32CEF">
        <w:rPr>
          <w:b/>
          <w:shd w:val="clear" w:color="auto" w:fill="FFFFFF" w:themeFill="background1"/>
        </w:rPr>
        <w:t>redacted</w:t>
      </w:r>
      <w:r w:rsidRPr="00B32CEF">
        <w:t>, substantial</w:t>
      </w:r>
      <w:r w:rsidRPr="00AE5B3E">
        <w:t xml:space="preserve"> ancillary costs would continue to be accrued.  MSAC considered it appropriate for there to be a limit of one successful CAR-T infusion per lifetime until</w:t>
      </w:r>
      <w:r w:rsidR="00606379">
        <w:t xml:space="preserve"> further evidence is available.</w:t>
      </w:r>
    </w:p>
    <w:p w14:paraId="2B8962D1" w14:textId="2E530E98" w:rsidR="003536B8" w:rsidRPr="00AE5B3E" w:rsidRDefault="003536B8" w:rsidP="00606379">
      <w:pPr>
        <w:spacing w:after="240"/>
      </w:pPr>
      <w:r w:rsidRPr="00AE5B3E">
        <w:t>MSAC noted that an application for public funding of an alternative CAR-T cell therapy, axicabtagene ciloleucel (AXI, Yescarta®), for use in the same B-cell lymphomas is being considered at the same MSAC meeting. MSAC noted the application for TIS does not include a comparison with AXI. The MSAC considered it is difficult to conclude whether TIS is non-inferior in terms of effectiveness compared to AXI because a formal direct or in-direct comparison of the two CAR-T cell therapies is not possible as both therapies have only been studied in the single arm trials (JULIET and ZUMA-1), and there is no clear basis to determine a minimal clinically important difference. Having regard to these issues, MSAC concluded that, on balance, the two CAR-T cell therapies, TIS and AXI are clinical</w:t>
      </w:r>
      <w:r w:rsidR="00606379">
        <w:t>ly non-inferior to each other.</w:t>
      </w:r>
    </w:p>
    <w:p w14:paraId="50A0AB8A" w14:textId="7C41F6ED" w:rsidR="003536B8" w:rsidRPr="00AE5B3E" w:rsidRDefault="003536B8" w:rsidP="003536B8">
      <w:r w:rsidRPr="00AE5B3E">
        <w:t xml:space="preserve">MSAC noted the applicant had revised its estimate of the numbers of patients treated with TIS. The applicant’s revised estimates took as their starting point the estimates derived by MSAC at its August meeting (see Table </w:t>
      </w:r>
      <w:r w:rsidR="002F3150">
        <w:t>5</w:t>
      </w:r>
      <w:r w:rsidRPr="00AE5B3E">
        <w:t>), and made the following revisions</w:t>
      </w:r>
    </w:p>
    <w:p w14:paraId="3EE1AF24" w14:textId="77777777" w:rsidR="003536B8" w:rsidRPr="00AE5B3E" w:rsidRDefault="003536B8" w:rsidP="003536B8">
      <w:pPr>
        <w:pStyle w:val="ListParagraph"/>
        <w:numPr>
          <w:ilvl w:val="0"/>
          <w:numId w:val="43"/>
        </w:numPr>
      </w:pPr>
      <w:r w:rsidRPr="00AE5B3E">
        <w:t>The number of patients projected to be diagnosed with Non-Hodgkin Lymphoma have been updated so year 1 is 2020;</w:t>
      </w:r>
    </w:p>
    <w:p w14:paraId="7308C208" w14:textId="77777777" w:rsidR="003536B8" w:rsidRPr="00AE5B3E" w:rsidRDefault="003536B8" w:rsidP="003536B8">
      <w:pPr>
        <w:pStyle w:val="ListParagraph"/>
        <w:numPr>
          <w:ilvl w:val="0"/>
          <w:numId w:val="43"/>
        </w:numPr>
      </w:pPr>
      <w:r w:rsidRPr="00AE5B3E">
        <w:t>PMBCL (3%) and TFL (0.6%) patients have been included in the eligible patient population</w:t>
      </w:r>
    </w:p>
    <w:p w14:paraId="32089176" w14:textId="2F473B0B" w:rsidR="003536B8" w:rsidRPr="00B32CEF" w:rsidRDefault="003536B8" w:rsidP="003536B8">
      <w:pPr>
        <w:pStyle w:val="ListParagraph"/>
        <w:numPr>
          <w:ilvl w:val="0"/>
          <w:numId w:val="43"/>
        </w:numPr>
      </w:pPr>
      <w:r w:rsidRPr="00AE5B3E">
        <w:t xml:space="preserve">The </w:t>
      </w:r>
      <w:r w:rsidRPr="00B32CEF">
        <w:t xml:space="preserve">proportion of patients assumed to be unfit for treatment with TIS has been estimated at </w:t>
      </w:r>
      <w:r w:rsidR="005121F7" w:rsidRPr="00B32CEF">
        <w:rPr>
          <w:b/>
          <w:shd w:val="clear" w:color="auto" w:fill="FFFFFF" w:themeFill="background1"/>
        </w:rPr>
        <w:t>redacted</w:t>
      </w:r>
      <w:r w:rsidRPr="00B32CEF">
        <w:t>%; and</w:t>
      </w:r>
    </w:p>
    <w:p w14:paraId="46DD41F2" w14:textId="12A93971" w:rsidR="003536B8" w:rsidRPr="00B32CEF" w:rsidRDefault="003536B8" w:rsidP="00606379">
      <w:pPr>
        <w:pStyle w:val="ListParagraph"/>
        <w:numPr>
          <w:ilvl w:val="0"/>
          <w:numId w:val="43"/>
        </w:numPr>
        <w:spacing w:after="240"/>
      </w:pPr>
      <w:r w:rsidRPr="00B32CEF">
        <w:t xml:space="preserve">Uptake in year 1 has been increased from </w:t>
      </w:r>
      <w:r w:rsidR="005121F7" w:rsidRPr="00B32CEF">
        <w:rPr>
          <w:b/>
          <w:shd w:val="clear" w:color="auto" w:fill="FFFFFF" w:themeFill="background1"/>
        </w:rPr>
        <w:t>redacted</w:t>
      </w:r>
      <w:r w:rsidRPr="00B32CEF">
        <w:t xml:space="preserve">% to </w:t>
      </w:r>
      <w:r w:rsidR="005121F7" w:rsidRPr="00B32CEF">
        <w:rPr>
          <w:b/>
          <w:shd w:val="clear" w:color="auto" w:fill="FFFFFF" w:themeFill="background1"/>
        </w:rPr>
        <w:t>redacted</w:t>
      </w:r>
      <w:r w:rsidRPr="00B32CEF">
        <w:t>% to reflect the availabilty of a second Australian treatment site and the ongoing work to establish further treatment sites.</w:t>
      </w:r>
    </w:p>
    <w:p w14:paraId="415217CE" w14:textId="41E61490" w:rsidR="003536B8" w:rsidRPr="00B32CEF" w:rsidRDefault="003536B8" w:rsidP="00606379">
      <w:pPr>
        <w:spacing w:after="240"/>
      </w:pPr>
      <w:r w:rsidRPr="00B32CEF">
        <w:t>The applicant’s revised financial esti</w:t>
      </w:r>
      <w:r w:rsidR="00606379" w:rsidRPr="00B32CEF">
        <w:t>mates are presented in Table 3.</w:t>
      </w:r>
    </w:p>
    <w:p w14:paraId="05680631" w14:textId="77777777" w:rsidR="003536B8" w:rsidRPr="00B32CEF" w:rsidRDefault="003536B8" w:rsidP="003536B8">
      <w:pPr>
        <w:spacing w:after="40"/>
        <w:rPr>
          <w:rFonts w:ascii="Arial Narrow" w:hAnsi="Arial Narrow"/>
          <w:b/>
          <w:sz w:val="20"/>
        </w:rPr>
      </w:pPr>
      <w:r w:rsidRPr="00B32CEF">
        <w:rPr>
          <w:rFonts w:ascii="Arial Narrow" w:hAnsi="Arial Narrow"/>
          <w:b/>
          <w:sz w:val="20"/>
        </w:rPr>
        <w:t>Table 3: Applicant’s Revised Financial Estimates</w:t>
      </w:r>
    </w:p>
    <w:tbl>
      <w:tblPr>
        <w:tblStyle w:val="TableGrid2"/>
        <w:tblW w:w="9918" w:type="dxa"/>
        <w:tblLayout w:type="fixed"/>
        <w:tblLook w:val="04A0" w:firstRow="1" w:lastRow="0" w:firstColumn="1" w:lastColumn="0" w:noHBand="0" w:noVBand="1"/>
        <w:tblDescription w:val="Applicant’s Revised Financial Estimates"/>
      </w:tblPr>
      <w:tblGrid>
        <w:gridCol w:w="1696"/>
        <w:gridCol w:w="1134"/>
        <w:gridCol w:w="1134"/>
        <w:gridCol w:w="1134"/>
        <w:gridCol w:w="1134"/>
        <w:gridCol w:w="1276"/>
        <w:gridCol w:w="1134"/>
        <w:gridCol w:w="1276"/>
      </w:tblGrid>
      <w:tr w:rsidR="003536B8" w:rsidRPr="00B32CEF" w14:paraId="214A61C3" w14:textId="77777777" w:rsidTr="007D5A4F">
        <w:trPr>
          <w:trHeight w:val="300"/>
          <w:tblHeader/>
        </w:trPr>
        <w:tc>
          <w:tcPr>
            <w:tcW w:w="1696" w:type="dxa"/>
            <w:noWrap/>
            <w:hideMark/>
          </w:tcPr>
          <w:p w14:paraId="02C23CCD"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DLBCL + PMBCL + TFL</w:t>
            </w:r>
          </w:p>
        </w:tc>
        <w:tc>
          <w:tcPr>
            <w:tcW w:w="1134" w:type="dxa"/>
            <w:noWrap/>
            <w:hideMark/>
          </w:tcPr>
          <w:p w14:paraId="70A34462"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1</w:t>
            </w:r>
          </w:p>
        </w:tc>
        <w:tc>
          <w:tcPr>
            <w:tcW w:w="1134" w:type="dxa"/>
            <w:noWrap/>
            <w:hideMark/>
          </w:tcPr>
          <w:p w14:paraId="4283617C"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2</w:t>
            </w:r>
          </w:p>
        </w:tc>
        <w:tc>
          <w:tcPr>
            <w:tcW w:w="1134" w:type="dxa"/>
            <w:noWrap/>
            <w:hideMark/>
          </w:tcPr>
          <w:p w14:paraId="453FA298"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3</w:t>
            </w:r>
          </w:p>
        </w:tc>
        <w:tc>
          <w:tcPr>
            <w:tcW w:w="1134" w:type="dxa"/>
            <w:noWrap/>
            <w:hideMark/>
          </w:tcPr>
          <w:p w14:paraId="354D852D"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4</w:t>
            </w:r>
          </w:p>
        </w:tc>
        <w:tc>
          <w:tcPr>
            <w:tcW w:w="1276" w:type="dxa"/>
            <w:noWrap/>
            <w:hideMark/>
          </w:tcPr>
          <w:p w14:paraId="79FACEA9"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5</w:t>
            </w:r>
          </w:p>
        </w:tc>
        <w:tc>
          <w:tcPr>
            <w:tcW w:w="1134" w:type="dxa"/>
            <w:noWrap/>
            <w:hideMark/>
          </w:tcPr>
          <w:p w14:paraId="25D715E5"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6</w:t>
            </w:r>
          </w:p>
        </w:tc>
        <w:tc>
          <w:tcPr>
            <w:tcW w:w="1276" w:type="dxa"/>
            <w:noWrap/>
            <w:hideMark/>
          </w:tcPr>
          <w:p w14:paraId="476FA644"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Total</w:t>
            </w:r>
          </w:p>
        </w:tc>
      </w:tr>
      <w:tr w:rsidR="003536B8" w:rsidRPr="00B32CEF" w14:paraId="77D25705" w14:textId="77777777" w:rsidTr="007D5A4F">
        <w:trPr>
          <w:trHeight w:val="300"/>
        </w:trPr>
        <w:tc>
          <w:tcPr>
            <w:tcW w:w="1696" w:type="dxa"/>
            <w:noWrap/>
            <w:hideMark/>
          </w:tcPr>
          <w:p w14:paraId="3D952E43" w14:textId="77777777" w:rsidR="003536B8" w:rsidRPr="00B32CEF" w:rsidRDefault="003536B8" w:rsidP="005B1B02">
            <w:pPr>
              <w:rPr>
                <w:rFonts w:ascii="Arial Narrow" w:hAnsi="Arial Narrow" w:cs="Arial"/>
                <w:sz w:val="20"/>
              </w:rPr>
            </w:pPr>
            <w:r w:rsidRPr="00B32CEF">
              <w:rPr>
                <w:rFonts w:ascii="Arial Narrow" w:hAnsi="Arial Narrow" w:cs="Arial"/>
                <w:sz w:val="20"/>
              </w:rPr>
              <w:t>Patient Numbers infused</w:t>
            </w:r>
          </w:p>
        </w:tc>
        <w:tc>
          <w:tcPr>
            <w:tcW w:w="1134" w:type="dxa"/>
            <w:noWrap/>
            <w:hideMark/>
          </w:tcPr>
          <w:p w14:paraId="1F1C9190" w14:textId="261D8DBB"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26091742" w14:textId="33A8AE97"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45CDFF91" w14:textId="31AACCB0"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0AD2272F" w14:textId="0803EBD6"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3B35F0D2" w14:textId="593F5EE9"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1F646B5A" w14:textId="72BDC347"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6A7724F9" w14:textId="606C606E"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r>
      <w:tr w:rsidR="003536B8" w:rsidRPr="00B32CEF" w14:paraId="105D74AD" w14:textId="77777777" w:rsidTr="007D5A4F">
        <w:trPr>
          <w:trHeight w:val="300"/>
        </w:trPr>
        <w:tc>
          <w:tcPr>
            <w:tcW w:w="1696" w:type="dxa"/>
            <w:noWrap/>
            <w:hideMark/>
          </w:tcPr>
          <w:p w14:paraId="5B61509A" w14:textId="77777777" w:rsidR="003536B8" w:rsidRPr="00B32CEF" w:rsidRDefault="003536B8" w:rsidP="005B1B02">
            <w:pPr>
              <w:rPr>
                <w:rFonts w:ascii="Arial Narrow" w:hAnsi="Arial Narrow" w:cs="Arial"/>
                <w:sz w:val="20"/>
              </w:rPr>
            </w:pPr>
            <w:r w:rsidRPr="00B32CEF">
              <w:rPr>
                <w:rFonts w:ascii="Arial Narrow" w:hAnsi="Arial Narrow" w:cs="Arial"/>
                <w:sz w:val="20"/>
              </w:rPr>
              <w:t>Patient numbers non-infusion</w:t>
            </w:r>
          </w:p>
        </w:tc>
        <w:tc>
          <w:tcPr>
            <w:tcW w:w="1134" w:type="dxa"/>
            <w:noWrap/>
            <w:hideMark/>
          </w:tcPr>
          <w:p w14:paraId="3F5E1277" w14:textId="05B5C9DA"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16F73600" w14:textId="3C9F8EB2"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24DF5E84" w14:textId="40D21982"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2839B07E" w14:textId="756F16E2"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483490A3" w14:textId="58005B08"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239DA644" w14:textId="6CDA00B2"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72004B80" w14:textId="028E7205"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r>
      <w:tr w:rsidR="003536B8" w:rsidRPr="00B32CEF" w14:paraId="36EADE4B" w14:textId="77777777" w:rsidTr="007D5A4F">
        <w:trPr>
          <w:trHeight w:val="300"/>
        </w:trPr>
        <w:tc>
          <w:tcPr>
            <w:tcW w:w="1696" w:type="dxa"/>
            <w:noWrap/>
            <w:hideMark/>
          </w:tcPr>
          <w:p w14:paraId="6C51B808" w14:textId="618CBFBC" w:rsidR="003536B8" w:rsidRPr="00B32CEF" w:rsidRDefault="005121F7" w:rsidP="005B1B02">
            <w:pPr>
              <w:rPr>
                <w:rFonts w:ascii="Arial Narrow" w:hAnsi="Arial Narrow" w:cs="Arial"/>
                <w:sz w:val="20"/>
              </w:rPr>
            </w:pPr>
            <w:r w:rsidRPr="00B32CEF">
              <w:rPr>
                <w:rFonts w:ascii="Arial Narrow" w:hAnsi="Arial Narrow" w:cs="Arial"/>
                <w:sz w:val="20"/>
              </w:rPr>
              <w:t xml:space="preserve">Redacted </w:t>
            </w:r>
            <w:r w:rsidR="003536B8" w:rsidRPr="00B32CEF">
              <w:rPr>
                <w:rFonts w:ascii="Arial Narrow" w:hAnsi="Arial Narrow" w:cs="Arial"/>
                <w:sz w:val="20"/>
              </w:rPr>
              <w:t>CAR-T cost per infused patient</w:t>
            </w:r>
          </w:p>
        </w:tc>
        <w:tc>
          <w:tcPr>
            <w:tcW w:w="1134" w:type="dxa"/>
            <w:noWrap/>
            <w:hideMark/>
          </w:tcPr>
          <w:p w14:paraId="160E0B09" w14:textId="34093FA5" w:rsidR="003536B8" w:rsidRPr="00B32CEF" w:rsidRDefault="003536B8" w:rsidP="005121F7">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redacted</w:t>
            </w:r>
          </w:p>
        </w:tc>
        <w:tc>
          <w:tcPr>
            <w:tcW w:w="1134" w:type="dxa"/>
            <w:noWrap/>
            <w:hideMark/>
          </w:tcPr>
          <w:p w14:paraId="33CA2320" w14:textId="25F3E325" w:rsidR="003536B8" w:rsidRPr="00B32CEF" w:rsidRDefault="003536B8" w:rsidP="005121F7">
            <w:pPr>
              <w:jc w:val="right"/>
              <w:rPr>
                <w:rFonts w:ascii="Arial Narrow" w:hAnsi="Arial Narrow" w:cs="Arial"/>
                <w:sz w:val="20"/>
              </w:rPr>
            </w:pPr>
            <w:r w:rsidRPr="00B32CEF">
              <w:rPr>
                <w:rFonts w:ascii="Arial Narrow" w:hAnsi="Arial Narrow" w:cs="Arial"/>
                <w:sz w:val="20"/>
              </w:rPr>
              <w:t>$</w:t>
            </w:r>
            <w:r w:rsidR="005121F7" w:rsidRPr="00B32CEF">
              <w:rPr>
                <w:rFonts w:ascii="Arial Narrow" w:hAnsi="Arial Narrow" w:cs="Arial"/>
                <w:sz w:val="20"/>
              </w:rPr>
              <w:t>redacted</w:t>
            </w:r>
          </w:p>
        </w:tc>
        <w:tc>
          <w:tcPr>
            <w:tcW w:w="1134" w:type="dxa"/>
            <w:noWrap/>
            <w:hideMark/>
          </w:tcPr>
          <w:p w14:paraId="6CB247B5" w14:textId="3ABE9F5E"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redacted</w:t>
            </w:r>
          </w:p>
        </w:tc>
        <w:tc>
          <w:tcPr>
            <w:tcW w:w="1134" w:type="dxa"/>
            <w:noWrap/>
            <w:hideMark/>
          </w:tcPr>
          <w:p w14:paraId="0E75D6BB" w14:textId="16513978" w:rsidR="003536B8" w:rsidRPr="00B32CEF" w:rsidRDefault="003536B8" w:rsidP="005121F7">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redacted</w:t>
            </w:r>
          </w:p>
        </w:tc>
        <w:tc>
          <w:tcPr>
            <w:tcW w:w="1276" w:type="dxa"/>
            <w:noWrap/>
            <w:hideMark/>
          </w:tcPr>
          <w:p w14:paraId="59BB6DAB" w14:textId="456F5C82"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redacted</w:t>
            </w:r>
          </w:p>
        </w:tc>
        <w:tc>
          <w:tcPr>
            <w:tcW w:w="1134" w:type="dxa"/>
            <w:noWrap/>
            <w:hideMark/>
          </w:tcPr>
          <w:p w14:paraId="066B19A2" w14:textId="1360EE8E"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redacted</w:t>
            </w:r>
          </w:p>
        </w:tc>
        <w:tc>
          <w:tcPr>
            <w:tcW w:w="1276" w:type="dxa"/>
            <w:noWrap/>
            <w:hideMark/>
          </w:tcPr>
          <w:p w14:paraId="55C30D87"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 </w:t>
            </w:r>
          </w:p>
        </w:tc>
      </w:tr>
      <w:tr w:rsidR="003536B8" w:rsidRPr="00B32CEF" w14:paraId="3ACEF715" w14:textId="77777777" w:rsidTr="007D5A4F">
        <w:trPr>
          <w:trHeight w:val="300"/>
        </w:trPr>
        <w:tc>
          <w:tcPr>
            <w:tcW w:w="1696" w:type="dxa"/>
            <w:noWrap/>
            <w:hideMark/>
          </w:tcPr>
          <w:p w14:paraId="6B5EAC73" w14:textId="77777777" w:rsidR="003536B8" w:rsidRPr="00B32CEF" w:rsidRDefault="003536B8" w:rsidP="005B1B02">
            <w:pPr>
              <w:rPr>
                <w:rFonts w:ascii="Arial Narrow" w:hAnsi="Arial Narrow" w:cs="Arial"/>
                <w:sz w:val="20"/>
              </w:rPr>
            </w:pPr>
            <w:r w:rsidRPr="00B32CEF">
              <w:rPr>
                <w:rFonts w:ascii="Arial Narrow" w:hAnsi="Arial Narrow" w:cs="Arial"/>
                <w:sz w:val="20"/>
              </w:rPr>
              <w:t>Anciliary cost per infused patient</w:t>
            </w:r>
          </w:p>
        </w:tc>
        <w:tc>
          <w:tcPr>
            <w:tcW w:w="1134" w:type="dxa"/>
            <w:noWrap/>
            <w:hideMark/>
          </w:tcPr>
          <w:p w14:paraId="2A0AA360" w14:textId="2370F5C3"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redacted</w:t>
            </w:r>
          </w:p>
        </w:tc>
        <w:tc>
          <w:tcPr>
            <w:tcW w:w="1134" w:type="dxa"/>
            <w:noWrap/>
            <w:hideMark/>
          </w:tcPr>
          <w:p w14:paraId="752A6D6B" w14:textId="4D1E283B"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77B49003" w14:textId="061BFDD5"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6505C3E4" w14:textId="3A07CB15"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2938E4F6" w14:textId="38CFDCD7"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06B470C3" w14:textId="37496CFB"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53568F94"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 </w:t>
            </w:r>
          </w:p>
        </w:tc>
      </w:tr>
      <w:tr w:rsidR="003536B8" w:rsidRPr="00B32CEF" w14:paraId="70893003" w14:textId="77777777" w:rsidTr="007D5A4F">
        <w:trPr>
          <w:trHeight w:val="300"/>
        </w:trPr>
        <w:tc>
          <w:tcPr>
            <w:tcW w:w="1696" w:type="dxa"/>
            <w:noWrap/>
            <w:hideMark/>
          </w:tcPr>
          <w:p w14:paraId="30E9C40F" w14:textId="77777777" w:rsidR="003536B8" w:rsidRPr="00B32CEF" w:rsidRDefault="003536B8" w:rsidP="005B1B02">
            <w:pPr>
              <w:rPr>
                <w:rFonts w:ascii="Arial Narrow" w:hAnsi="Arial Narrow" w:cs="Arial"/>
                <w:sz w:val="20"/>
              </w:rPr>
            </w:pPr>
            <w:r w:rsidRPr="00B32CEF">
              <w:rPr>
                <w:rFonts w:ascii="Arial Narrow" w:hAnsi="Arial Narrow" w:cs="Arial"/>
                <w:sz w:val="20"/>
              </w:rPr>
              <w:t>Anciliary cost per non infused patient</w:t>
            </w:r>
          </w:p>
        </w:tc>
        <w:tc>
          <w:tcPr>
            <w:tcW w:w="1134" w:type="dxa"/>
            <w:noWrap/>
            <w:hideMark/>
          </w:tcPr>
          <w:p w14:paraId="13134EB7" w14:textId="3953100F"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66BF7F18" w14:textId="35EC3824"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5B7BB9E6" w14:textId="685740CB"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349781E6" w14:textId="10313392"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335F2A20" w14:textId="6AD0E57D"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64DFD1BC" w14:textId="63C27953"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797DF767"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 </w:t>
            </w:r>
          </w:p>
        </w:tc>
      </w:tr>
      <w:tr w:rsidR="003536B8" w:rsidRPr="00B32CEF" w14:paraId="3EB9A143" w14:textId="77777777" w:rsidTr="007D5A4F">
        <w:trPr>
          <w:trHeight w:val="300"/>
        </w:trPr>
        <w:tc>
          <w:tcPr>
            <w:tcW w:w="1696" w:type="dxa"/>
            <w:noWrap/>
            <w:hideMark/>
          </w:tcPr>
          <w:p w14:paraId="5A03DE32" w14:textId="77777777" w:rsidR="003536B8" w:rsidRPr="00B32CEF" w:rsidRDefault="003536B8" w:rsidP="005B1B02">
            <w:pPr>
              <w:rPr>
                <w:rFonts w:ascii="Arial Narrow" w:hAnsi="Arial Narrow" w:cs="Arial"/>
                <w:sz w:val="20"/>
              </w:rPr>
            </w:pPr>
            <w:r w:rsidRPr="00B32CEF">
              <w:rPr>
                <w:rFonts w:ascii="Arial Narrow" w:hAnsi="Arial Narrow" w:cs="Arial"/>
                <w:sz w:val="20"/>
              </w:rPr>
              <w:t>Average cost offset per infused patient</w:t>
            </w:r>
          </w:p>
        </w:tc>
        <w:tc>
          <w:tcPr>
            <w:tcW w:w="1134" w:type="dxa"/>
            <w:noWrap/>
            <w:hideMark/>
          </w:tcPr>
          <w:p w14:paraId="61700EC9" w14:textId="30B3088D"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22F42111" w14:textId="1D8CDD85"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0AA5602C" w14:textId="1B1446E1"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0567270B" w14:textId="1747D343"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276" w:type="dxa"/>
            <w:noWrap/>
            <w:hideMark/>
          </w:tcPr>
          <w:p w14:paraId="6151872B" w14:textId="3F68CB15"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0FBB62FA" w14:textId="1883E356"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22D0C8F2"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 </w:t>
            </w:r>
          </w:p>
        </w:tc>
      </w:tr>
      <w:tr w:rsidR="003536B8" w:rsidRPr="00B32CEF" w14:paraId="3192AF70" w14:textId="77777777" w:rsidTr="007D5A4F">
        <w:trPr>
          <w:trHeight w:val="300"/>
        </w:trPr>
        <w:tc>
          <w:tcPr>
            <w:tcW w:w="1696" w:type="dxa"/>
            <w:noWrap/>
            <w:hideMark/>
          </w:tcPr>
          <w:p w14:paraId="726C6DC4" w14:textId="77777777" w:rsidR="003536B8" w:rsidRPr="00B32CEF" w:rsidRDefault="003536B8" w:rsidP="005B1B02">
            <w:pPr>
              <w:rPr>
                <w:rFonts w:ascii="Arial Narrow" w:hAnsi="Arial Narrow" w:cs="Arial"/>
                <w:sz w:val="20"/>
              </w:rPr>
            </w:pPr>
            <w:r w:rsidRPr="00B32CEF">
              <w:rPr>
                <w:rFonts w:ascii="Arial Narrow" w:hAnsi="Arial Narrow" w:cs="Arial"/>
                <w:sz w:val="20"/>
              </w:rPr>
              <w:t>Total CAR-T COST</w:t>
            </w:r>
          </w:p>
        </w:tc>
        <w:tc>
          <w:tcPr>
            <w:tcW w:w="1134" w:type="dxa"/>
            <w:noWrap/>
            <w:hideMark/>
          </w:tcPr>
          <w:p w14:paraId="44BBDDA8" w14:textId="6E90A487"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76334DC5" w14:textId="12445CB0"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293B734E" w14:textId="7ADCEA7C"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68C3512C" w14:textId="73FB3F38"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276" w:type="dxa"/>
            <w:noWrap/>
            <w:hideMark/>
          </w:tcPr>
          <w:p w14:paraId="280DFD05" w14:textId="531CA949"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3BB08235" w14:textId="7181A653"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276" w:type="dxa"/>
            <w:noWrap/>
            <w:hideMark/>
          </w:tcPr>
          <w:p w14:paraId="7D7FF97A" w14:textId="703761E2"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r>
      <w:tr w:rsidR="003536B8" w:rsidRPr="00B32CEF" w14:paraId="65812B86" w14:textId="77777777" w:rsidTr="007D5A4F">
        <w:trPr>
          <w:trHeight w:val="300"/>
        </w:trPr>
        <w:tc>
          <w:tcPr>
            <w:tcW w:w="1696" w:type="dxa"/>
            <w:noWrap/>
            <w:hideMark/>
          </w:tcPr>
          <w:p w14:paraId="636127BD" w14:textId="77777777" w:rsidR="003536B8" w:rsidRPr="00B32CEF" w:rsidRDefault="003536B8" w:rsidP="005B1B02">
            <w:pPr>
              <w:rPr>
                <w:rFonts w:ascii="Arial Narrow" w:hAnsi="Arial Narrow" w:cs="Arial"/>
                <w:sz w:val="20"/>
              </w:rPr>
            </w:pPr>
            <w:r w:rsidRPr="00B32CEF">
              <w:rPr>
                <w:rFonts w:ascii="Arial Narrow" w:hAnsi="Arial Narrow" w:cs="Arial"/>
                <w:sz w:val="20"/>
              </w:rPr>
              <w:t>Total Ancillary Cost</w:t>
            </w:r>
          </w:p>
        </w:tc>
        <w:tc>
          <w:tcPr>
            <w:tcW w:w="1134" w:type="dxa"/>
            <w:noWrap/>
            <w:hideMark/>
          </w:tcPr>
          <w:p w14:paraId="213E6583" w14:textId="796762F1"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71C922FC" w14:textId="107A8CD9"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4C5019ED" w14:textId="760FA202"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37FF8705" w14:textId="70F1AC0F"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276" w:type="dxa"/>
            <w:noWrap/>
            <w:hideMark/>
          </w:tcPr>
          <w:p w14:paraId="60EB9033" w14:textId="01E13CC5"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4807D602" w14:textId="6A76A2CC"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276" w:type="dxa"/>
            <w:noWrap/>
            <w:hideMark/>
          </w:tcPr>
          <w:p w14:paraId="6FA9F0A0" w14:textId="10CE6764"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r>
      <w:tr w:rsidR="003536B8" w:rsidRPr="00B32CEF" w14:paraId="4521B849" w14:textId="77777777" w:rsidTr="007D5A4F">
        <w:trPr>
          <w:trHeight w:val="300"/>
        </w:trPr>
        <w:tc>
          <w:tcPr>
            <w:tcW w:w="1696" w:type="dxa"/>
            <w:noWrap/>
            <w:hideMark/>
          </w:tcPr>
          <w:p w14:paraId="276FA832" w14:textId="77777777" w:rsidR="003536B8" w:rsidRPr="00B32CEF" w:rsidRDefault="003536B8" w:rsidP="005B1B02">
            <w:pPr>
              <w:rPr>
                <w:rFonts w:ascii="Arial Narrow" w:hAnsi="Arial Narrow" w:cs="Arial"/>
                <w:sz w:val="20"/>
              </w:rPr>
            </w:pPr>
            <w:r w:rsidRPr="00B32CEF">
              <w:rPr>
                <w:rFonts w:ascii="Arial Narrow" w:hAnsi="Arial Narrow" w:cs="Arial"/>
                <w:sz w:val="20"/>
              </w:rPr>
              <w:t>Cost offsets</w:t>
            </w:r>
          </w:p>
        </w:tc>
        <w:tc>
          <w:tcPr>
            <w:tcW w:w="1134" w:type="dxa"/>
            <w:noWrap/>
            <w:hideMark/>
          </w:tcPr>
          <w:p w14:paraId="01944AF4" w14:textId="736A627A"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310C1C60" w14:textId="23ACCA3F"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38A96F62" w14:textId="44AC829E"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5722E625" w14:textId="4BC384B5"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276" w:type="dxa"/>
            <w:noWrap/>
            <w:hideMark/>
          </w:tcPr>
          <w:p w14:paraId="70E3EC02" w14:textId="2C4EF4F3"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72E20F5F" w14:textId="4A6F1BC5"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276" w:type="dxa"/>
            <w:noWrap/>
            <w:hideMark/>
          </w:tcPr>
          <w:p w14:paraId="65749915" w14:textId="7FA1F72F" w:rsidR="003536B8" w:rsidRPr="00B32CEF" w:rsidRDefault="001353B4" w:rsidP="005B1B02">
            <w:pPr>
              <w:jc w:val="right"/>
              <w:rPr>
                <w:rFonts w:ascii="Arial Narrow" w:hAnsi="Arial Narrow" w:cs="Arial"/>
                <w:sz w:val="20"/>
              </w:rPr>
            </w:pPr>
            <w:r w:rsidRPr="00B32CEF">
              <w:rPr>
                <w:rFonts w:ascii="Arial Narrow" w:hAnsi="Arial Narrow" w:cs="Arial"/>
                <w:sz w:val="20"/>
              </w:rPr>
              <w:t>$redacted</w:t>
            </w:r>
          </w:p>
        </w:tc>
      </w:tr>
      <w:tr w:rsidR="003536B8" w:rsidRPr="00B32CEF" w14:paraId="5EA004BC" w14:textId="77777777" w:rsidTr="007D5A4F">
        <w:trPr>
          <w:trHeight w:val="300"/>
        </w:trPr>
        <w:tc>
          <w:tcPr>
            <w:tcW w:w="1696" w:type="dxa"/>
            <w:noWrap/>
            <w:hideMark/>
          </w:tcPr>
          <w:p w14:paraId="39A79373" w14:textId="77777777" w:rsidR="003536B8" w:rsidRPr="00B32CEF" w:rsidRDefault="003536B8" w:rsidP="005B1B02">
            <w:pPr>
              <w:rPr>
                <w:rFonts w:ascii="Arial Narrow" w:hAnsi="Arial Narrow" w:cs="Arial"/>
                <w:sz w:val="20"/>
              </w:rPr>
            </w:pPr>
            <w:r w:rsidRPr="00B32CEF">
              <w:rPr>
                <w:rFonts w:ascii="Arial Narrow" w:hAnsi="Arial Narrow" w:cs="Arial"/>
                <w:sz w:val="20"/>
              </w:rPr>
              <w:t>Net Program Cost</w:t>
            </w:r>
          </w:p>
        </w:tc>
        <w:tc>
          <w:tcPr>
            <w:tcW w:w="1134" w:type="dxa"/>
            <w:noWrap/>
            <w:hideMark/>
          </w:tcPr>
          <w:p w14:paraId="6CD06ED4" w14:textId="7633527C"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1338A2DF" w14:textId="31BDBF0E"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7ECCEF31" w14:textId="46DD14BA"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134" w:type="dxa"/>
            <w:noWrap/>
            <w:hideMark/>
          </w:tcPr>
          <w:p w14:paraId="1701351F" w14:textId="436D2C02" w:rsidR="003536B8" w:rsidRPr="00B32CEF" w:rsidRDefault="003536B8" w:rsidP="005B1B02">
            <w:pPr>
              <w:jc w:val="right"/>
              <w:rPr>
                <w:rFonts w:ascii="Arial Narrow" w:hAnsi="Arial Narrow" w:cs="Arial"/>
                <w:sz w:val="20"/>
              </w:rPr>
            </w:pPr>
            <w:r w:rsidRPr="00B32CEF">
              <w:rPr>
                <w:rFonts w:ascii="Arial Narrow" w:hAnsi="Arial Narrow" w:cs="Arial"/>
                <w:sz w:val="20"/>
              </w:rPr>
              <w:t xml:space="preserve"> </w:t>
            </w:r>
            <w:r w:rsidR="005121F7" w:rsidRPr="00B32CEF">
              <w:rPr>
                <w:rFonts w:ascii="Arial Narrow" w:hAnsi="Arial Narrow" w:cs="Arial"/>
                <w:sz w:val="20"/>
              </w:rPr>
              <w:t xml:space="preserve"> $redacted</w:t>
            </w:r>
          </w:p>
        </w:tc>
        <w:tc>
          <w:tcPr>
            <w:tcW w:w="1276" w:type="dxa"/>
            <w:noWrap/>
            <w:hideMark/>
          </w:tcPr>
          <w:p w14:paraId="245FA5BA" w14:textId="4587E766"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0465A4A5" w14:textId="5DCAD4A8" w:rsidR="003536B8" w:rsidRPr="00B32CEF" w:rsidRDefault="005121F7" w:rsidP="005B1B02">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4A69F9C6" w14:textId="63A20BD8" w:rsidR="003536B8" w:rsidRPr="00B32CEF" w:rsidRDefault="001353B4" w:rsidP="005B1B02">
            <w:pPr>
              <w:jc w:val="right"/>
              <w:rPr>
                <w:rFonts w:ascii="Arial Narrow" w:hAnsi="Arial Narrow" w:cs="Arial"/>
                <w:sz w:val="20"/>
              </w:rPr>
            </w:pPr>
            <w:r w:rsidRPr="00B32CEF">
              <w:rPr>
                <w:rFonts w:ascii="Arial Narrow" w:hAnsi="Arial Narrow" w:cs="Arial"/>
                <w:sz w:val="20"/>
              </w:rPr>
              <w:t>$redacted</w:t>
            </w:r>
          </w:p>
        </w:tc>
      </w:tr>
    </w:tbl>
    <w:p w14:paraId="638530AE" w14:textId="04C0F30A" w:rsidR="003536B8" w:rsidRPr="00B32CEF" w:rsidRDefault="003536B8" w:rsidP="00606379">
      <w:pPr>
        <w:spacing w:before="240" w:after="240"/>
      </w:pPr>
      <w:r w:rsidRPr="00B32CEF">
        <w:lastRenderedPageBreak/>
        <w:t xml:space="preserve">MSAC noted that, after taking into account the small number of additional patients with PMBCL or TFL, the number of patients the applicant estimated would be treated over the first 6 years of public funding was around </w:t>
      </w:r>
      <w:r w:rsidR="001353B4" w:rsidRPr="00B32CEF">
        <w:rPr>
          <w:b/>
          <w:shd w:val="clear" w:color="auto" w:fill="FFFFFF" w:themeFill="background1"/>
        </w:rPr>
        <w:t>redacted</w:t>
      </w:r>
      <w:r w:rsidRPr="00B32CEF">
        <w:t>% higher than es</w:t>
      </w:r>
      <w:r w:rsidR="00606379" w:rsidRPr="00B32CEF">
        <w:t>timated by MSAC in August 2019.</w:t>
      </w:r>
    </w:p>
    <w:p w14:paraId="0999D3EC" w14:textId="2416238A" w:rsidR="003536B8" w:rsidRPr="00AE5B3E" w:rsidRDefault="003536B8" w:rsidP="00606379">
      <w:pPr>
        <w:spacing w:after="240"/>
      </w:pPr>
      <w:r w:rsidRPr="00B32CEF">
        <w:t xml:space="preserve">MSAC noted the principal reasons for the higher patient numbers were the assumptions that a larger number of patients would be treated in the first year of funding and that </w:t>
      </w:r>
      <w:r w:rsidR="001353B4" w:rsidRPr="00B32CEF">
        <w:rPr>
          <w:b/>
          <w:shd w:val="clear" w:color="auto" w:fill="FFFFFF" w:themeFill="background1"/>
        </w:rPr>
        <w:t>redacted</w:t>
      </w:r>
      <w:r w:rsidRPr="00B32CEF">
        <w:t>% of patients with relapsed or refractory disease will not be eligible for treatment with CAR-T cell</w:t>
      </w:r>
      <w:r w:rsidRPr="00AE5B3E">
        <w:t xml:space="preserve"> therapy because of ECOG status, organ function or co-morbidities. MSAC recalled that in August 2019 it had assumed 36% of patients would not be eligible for treatment, whereas in the JULIET study 31% of screened patients we</w:t>
      </w:r>
      <w:r w:rsidR="00606379">
        <w:t>re not eligible for enrolment.</w:t>
      </w:r>
    </w:p>
    <w:p w14:paraId="249EECCD" w14:textId="31FF7550" w:rsidR="003536B8" w:rsidRPr="00AE5B3E" w:rsidRDefault="003536B8" w:rsidP="00606379">
      <w:pPr>
        <w:spacing w:after="240"/>
      </w:pPr>
      <w:r w:rsidRPr="00AE5B3E">
        <w:t xml:space="preserve">Overall, MSAC considered the proportion of patients ineligible for treatment with CAR-T cell therapy remains a major </w:t>
      </w:r>
      <w:r w:rsidRPr="00B32CEF">
        <w:t>source of uncertainty for the financial estimates with the total program cost, before offsets ranging from approximately $</w:t>
      </w:r>
      <w:r w:rsidR="001353B4" w:rsidRPr="00B32CEF">
        <w:rPr>
          <w:b/>
          <w:shd w:val="clear" w:color="auto" w:fill="FFFFFF" w:themeFill="background1"/>
        </w:rPr>
        <w:t>redacted</w:t>
      </w:r>
      <w:r w:rsidR="001353B4" w:rsidRPr="00B32CEF">
        <w:t xml:space="preserve"> </w:t>
      </w:r>
      <w:r w:rsidRPr="00B32CEF">
        <w:t>over 6 years if 36% of patients are assumed ineligible, to $</w:t>
      </w:r>
      <w:r w:rsidR="001353B4" w:rsidRPr="00B32CEF">
        <w:rPr>
          <w:b/>
          <w:shd w:val="clear" w:color="auto" w:fill="FFFFFF" w:themeFill="background1"/>
        </w:rPr>
        <w:t>redacted</w:t>
      </w:r>
      <w:r w:rsidR="001353B4" w:rsidRPr="00B32CEF">
        <w:t xml:space="preserve"> </w:t>
      </w:r>
      <w:r w:rsidRPr="00B32CEF">
        <w:t xml:space="preserve">over 6 years if </w:t>
      </w:r>
      <w:r w:rsidR="001353B4" w:rsidRPr="00B32CEF">
        <w:rPr>
          <w:b/>
          <w:shd w:val="clear" w:color="auto" w:fill="FFFFFF" w:themeFill="background1"/>
        </w:rPr>
        <w:t>redacted</w:t>
      </w:r>
      <w:r w:rsidR="00606379" w:rsidRPr="00B32CEF">
        <w:t>% are considered ineligible.</w:t>
      </w:r>
    </w:p>
    <w:p w14:paraId="1807027B" w14:textId="2A082A1E" w:rsidR="003536B8" w:rsidRPr="00AE5B3E" w:rsidRDefault="003536B8" w:rsidP="00606379">
      <w:pPr>
        <w:spacing w:after="240"/>
      </w:pPr>
      <w:r w:rsidRPr="00AE5B3E">
        <w:t>MSAC considered it probable the applicant has overestimated the number of patients who will be eligible for treatment with TIS. MSAC considered the true proportion of patients ineligible for treatment is likely to be closer to that p</w:t>
      </w:r>
      <w:r w:rsidR="00606379">
        <w:t>roposed by MSAC in August 2019.</w:t>
      </w:r>
    </w:p>
    <w:p w14:paraId="20683487" w14:textId="5F5F6454" w:rsidR="003536B8" w:rsidRPr="00AE5B3E" w:rsidRDefault="003536B8" w:rsidP="00606379">
      <w:pPr>
        <w:spacing w:after="240"/>
      </w:pPr>
      <w:r w:rsidRPr="00AE5B3E">
        <w:t xml:space="preserve">MSAC was also concerned the applicants financial estimates inappropriately claimed an offset equivalent to the estimated cost of a salvage chemotherapy regimen ($54,297) for every patient successfully infused with TIS. MSAC considered this approach did not account for patients who do not respond to TIS and then go on to receive salvage chemotherapy soon after. MSAC noted the objective response rate in the JULIET clinical trial was 52.2%, and on this basis considered it appropriate for an offset equivalent to the cost of salvage chemotherapy to be applied to half of patients </w:t>
      </w:r>
      <w:r w:rsidR="00606379">
        <w:t>successfully infused with TIS.</w:t>
      </w:r>
    </w:p>
    <w:p w14:paraId="09EA1897" w14:textId="1ECF28D5" w:rsidR="003536B8" w:rsidRPr="00B32CEF" w:rsidRDefault="003536B8" w:rsidP="00606379">
      <w:pPr>
        <w:spacing w:after="240"/>
      </w:pPr>
      <w:r w:rsidRPr="001D369F">
        <w:t xml:space="preserve">MSAC noted the applicant provides a patient support program (MY CAR-T) which, the applicant claims is aimed at reducing patients’ out-of-pocket expenses for travel and </w:t>
      </w:r>
      <w:r w:rsidRPr="00B32CEF">
        <w:t xml:space="preserve">accommodation. </w:t>
      </w:r>
      <w:r w:rsidR="001353B4" w:rsidRPr="00B32CEF">
        <w:rPr>
          <w:b/>
          <w:shd w:val="clear" w:color="auto" w:fill="FFFFFF" w:themeFill="background1"/>
        </w:rPr>
        <w:t>Redacted</w:t>
      </w:r>
      <w:r w:rsidRPr="00B32CEF">
        <w:t>, but noted that, notwithstanding, it should be accounted for when the Independent Hospital Pricing Authority calculates the cost of delivering this service.</w:t>
      </w:r>
    </w:p>
    <w:p w14:paraId="39A6EDA8" w14:textId="0977C691" w:rsidR="003536B8" w:rsidRPr="00AE5B3E" w:rsidRDefault="003536B8" w:rsidP="00606379">
      <w:pPr>
        <w:spacing w:after="240"/>
      </w:pPr>
      <w:r w:rsidRPr="00B32CEF">
        <w:t>MSAC noted the adjusted financial estimates presented in Tables 4 (</w:t>
      </w:r>
      <w:r w:rsidR="001353B4" w:rsidRPr="00B32CEF">
        <w:rPr>
          <w:b/>
          <w:shd w:val="clear" w:color="auto" w:fill="FFFFFF" w:themeFill="background1"/>
        </w:rPr>
        <w:t>redacted</w:t>
      </w:r>
      <w:r w:rsidRPr="00B32CEF">
        <w:t>% patients ineligible, offsets claimed for 50% of all infused patients and 5 (36% patients ineligible</w:t>
      </w:r>
      <w:r w:rsidRPr="00AE5B3E">
        <w:t>, offsets claimed fo</w:t>
      </w:r>
      <w:r w:rsidR="00606379">
        <w:t>r 50% of all infused patients).</w:t>
      </w:r>
    </w:p>
    <w:p w14:paraId="6E731C22" w14:textId="33219B44" w:rsidR="003536B8" w:rsidRPr="00AE5B3E" w:rsidRDefault="003536B8" w:rsidP="003536B8">
      <w:r w:rsidRPr="00AE5B3E">
        <w:t>MSAC’s overall conclusion, taking into account the factors above, the epidemiology of this condition and the number of available services providers, is that it is unlikely the patient numbers in Table 5 will be achieved in either of the first 2 years of subsidy.</w:t>
      </w:r>
      <w:r w:rsidRPr="00AE5B3E">
        <w:br w:type="page"/>
      </w:r>
    </w:p>
    <w:p w14:paraId="3624266C" w14:textId="1B149B18" w:rsidR="003536B8" w:rsidRPr="00AE5B3E" w:rsidRDefault="003536B8" w:rsidP="003536B8">
      <w:pPr>
        <w:spacing w:after="40"/>
        <w:rPr>
          <w:rFonts w:ascii="Arial Narrow" w:hAnsi="Arial Narrow"/>
          <w:b/>
          <w:sz w:val="20"/>
        </w:rPr>
      </w:pPr>
      <w:r w:rsidRPr="00AE5B3E">
        <w:rPr>
          <w:rFonts w:ascii="Arial Narrow" w:hAnsi="Arial Narrow"/>
          <w:b/>
          <w:sz w:val="20"/>
        </w:rPr>
        <w:lastRenderedPageBreak/>
        <w:t>Table 4: Applicant’s Financial Estimates with adjusted offset</w:t>
      </w:r>
    </w:p>
    <w:tbl>
      <w:tblPr>
        <w:tblStyle w:val="TableGrid2"/>
        <w:tblW w:w="9918" w:type="dxa"/>
        <w:tblLayout w:type="fixed"/>
        <w:tblLook w:val="04A0" w:firstRow="1" w:lastRow="0" w:firstColumn="1" w:lastColumn="0" w:noHBand="0" w:noVBand="1"/>
        <w:tblDescription w:val="Applicant’s Financial Estimates with adjusted offset"/>
      </w:tblPr>
      <w:tblGrid>
        <w:gridCol w:w="1696"/>
        <w:gridCol w:w="1134"/>
        <w:gridCol w:w="1134"/>
        <w:gridCol w:w="1134"/>
        <w:gridCol w:w="1134"/>
        <w:gridCol w:w="1276"/>
        <w:gridCol w:w="1134"/>
        <w:gridCol w:w="1276"/>
      </w:tblGrid>
      <w:tr w:rsidR="003536B8" w:rsidRPr="00AE5B3E" w14:paraId="7B84B3EE" w14:textId="77777777" w:rsidTr="007D5A4F">
        <w:trPr>
          <w:trHeight w:val="300"/>
          <w:tblHeader/>
        </w:trPr>
        <w:tc>
          <w:tcPr>
            <w:tcW w:w="1696" w:type="dxa"/>
            <w:noWrap/>
            <w:hideMark/>
          </w:tcPr>
          <w:p w14:paraId="23E2D773" w14:textId="77777777" w:rsidR="003536B8" w:rsidRPr="00AE5B3E" w:rsidRDefault="003536B8" w:rsidP="005B1B02">
            <w:pPr>
              <w:rPr>
                <w:rFonts w:ascii="Arial Narrow" w:hAnsi="Arial Narrow" w:cs="Arial"/>
                <w:b/>
                <w:bCs/>
                <w:sz w:val="20"/>
              </w:rPr>
            </w:pPr>
            <w:r w:rsidRPr="00AE5B3E">
              <w:rPr>
                <w:rFonts w:ascii="Arial Narrow" w:hAnsi="Arial Narrow" w:cs="Arial"/>
                <w:b/>
                <w:bCs/>
                <w:sz w:val="20"/>
              </w:rPr>
              <w:t>DLBCL + PMBCL + TFL</w:t>
            </w:r>
          </w:p>
        </w:tc>
        <w:tc>
          <w:tcPr>
            <w:tcW w:w="1134" w:type="dxa"/>
            <w:noWrap/>
            <w:hideMark/>
          </w:tcPr>
          <w:p w14:paraId="507024ED" w14:textId="77777777" w:rsidR="003536B8" w:rsidRPr="00AE5B3E" w:rsidRDefault="003536B8" w:rsidP="005B1B02">
            <w:pPr>
              <w:rPr>
                <w:rFonts w:ascii="Arial Narrow" w:hAnsi="Arial Narrow" w:cs="Arial"/>
                <w:b/>
                <w:bCs/>
                <w:sz w:val="20"/>
              </w:rPr>
            </w:pPr>
            <w:r w:rsidRPr="00AE5B3E">
              <w:rPr>
                <w:rFonts w:ascii="Arial Narrow" w:hAnsi="Arial Narrow" w:cs="Arial"/>
                <w:b/>
                <w:bCs/>
                <w:sz w:val="20"/>
              </w:rPr>
              <w:t>Year 1</w:t>
            </w:r>
          </w:p>
        </w:tc>
        <w:tc>
          <w:tcPr>
            <w:tcW w:w="1134" w:type="dxa"/>
            <w:noWrap/>
            <w:hideMark/>
          </w:tcPr>
          <w:p w14:paraId="7945833E" w14:textId="77777777" w:rsidR="003536B8" w:rsidRPr="00AE5B3E" w:rsidRDefault="003536B8" w:rsidP="005B1B02">
            <w:pPr>
              <w:rPr>
                <w:rFonts w:ascii="Arial Narrow" w:hAnsi="Arial Narrow" w:cs="Arial"/>
                <w:b/>
                <w:bCs/>
                <w:sz w:val="20"/>
              </w:rPr>
            </w:pPr>
            <w:r w:rsidRPr="00AE5B3E">
              <w:rPr>
                <w:rFonts w:ascii="Arial Narrow" w:hAnsi="Arial Narrow" w:cs="Arial"/>
                <w:b/>
                <w:bCs/>
                <w:sz w:val="20"/>
              </w:rPr>
              <w:t>Year 2</w:t>
            </w:r>
          </w:p>
        </w:tc>
        <w:tc>
          <w:tcPr>
            <w:tcW w:w="1134" w:type="dxa"/>
            <w:noWrap/>
            <w:hideMark/>
          </w:tcPr>
          <w:p w14:paraId="7AC8D7FB" w14:textId="77777777" w:rsidR="003536B8" w:rsidRPr="00AE5B3E" w:rsidRDefault="003536B8" w:rsidP="005B1B02">
            <w:pPr>
              <w:rPr>
                <w:rFonts w:ascii="Arial Narrow" w:hAnsi="Arial Narrow" w:cs="Arial"/>
                <w:b/>
                <w:bCs/>
                <w:sz w:val="20"/>
              </w:rPr>
            </w:pPr>
            <w:r w:rsidRPr="00AE5B3E">
              <w:rPr>
                <w:rFonts w:ascii="Arial Narrow" w:hAnsi="Arial Narrow" w:cs="Arial"/>
                <w:b/>
                <w:bCs/>
                <w:sz w:val="20"/>
              </w:rPr>
              <w:t>Year 3</w:t>
            </w:r>
          </w:p>
        </w:tc>
        <w:tc>
          <w:tcPr>
            <w:tcW w:w="1134" w:type="dxa"/>
            <w:noWrap/>
            <w:hideMark/>
          </w:tcPr>
          <w:p w14:paraId="0612BF22" w14:textId="77777777" w:rsidR="003536B8" w:rsidRPr="00AE5B3E" w:rsidRDefault="003536B8" w:rsidP="005B1B02">
            <w:pPr>
              <w:rPr>
                <w:rFonts w:ascii="Arial Narrow" w:hAnsi="Arial Narrow" w:cs="Arial"/>
                <w:b/>
                <w:bCs/>
                <w:sz w:val="20"/>
              </w:rPr>
            </w:pPr>
            <w:r w:rsidRPr="00AE5B3E">
              <w:rPr>
                <w:rFonts w:ascii="Arial Narrow" w:hAnsi="Arial Narrow" w:cs="Arial"/>
                <w:b/>
                <w:bCs/>
                <w:sz w:val="20"/>
              </w:rPr>
              <w:t>Year 4</w:t>
            </w:r>
          </w:p>
        </w:tc>
        <w:tc>
          <w:tcPr>
            <w:tcW w:w="1276" w:type="dxa"/>
            <w:noWrap/>
            <w:hideMark/>
          </w:tcPr>
          <w:p w14:paraId="183B3413" w14:textId="77777777" w:rsidR="003536B8" w:rsidRPr="00AE5B3E" w:rsidRDefault="003536B8" w:rsidP="005B1B02">
            <w:pPr>
              <w:rPr>
                <w:rFonts w:ascii="Arial Narrow" w:hAnsi="Arial Narrow" w:cs="Arial"/>
                <w:b/>
                <w:bCs/>
                <w:sz w:val="20"/>
              </w:rPr>
            </w:pPr>
            <w:r w:rsidRPr="00AE5B3E">
              <w:rPr>
                <w:rFonts w:ascii="Arial Narrow" w:hAnsi="Arial Narrow" w:cs="Arial"/>
                <w:b/>
                <w:bCs/>
                <w:sz w:val="20"/>
              </w:rPr>
              <w:t>Year 5</w:t>
            </w:r>
          </w:p>
        </w:tc>
        <w:tc>
          <w:tcPr>
            <w:tcW w:w="1134" w:type="dxa"/>
            <w:noWrap/>
            <w:hideMark/>
          </w:tcPr>
          <w:p w14:paraId="324983A3" w14:textId="77777777" w:rsidR="003536B8" w:rsidRPr="00AE5B3E" w:rsidRDefault="003536B8" w:rsidP="005B1B02">
            <w:pPr>
              <w:rPr>
                <w:rFonts w:ascii="Arial Narrow" w:hAnsi="Arial Narrow" w:cs="Arial"/>
                <w:b/>
                <w:bCs/>
                <w:sz w:val="20"/>
              </w:rPr>
            </w:pPr>
            <w:r w:rsidRPr="00AE5B3E">
              <w:rPr>
                <w:rFonts w:ascii="Arial Narrow" w:hAnsi="Arial Narrow" w:cs="Arial"/>
                <w:b/>
                <w:bCs/>
                <w:sz w:val="20"/>
              </w:rPr>
              <w:t>Year 6</w:t>
            </w:r>
          </w:p>
        </w:tc>
        <w:tc>
          <w:tcPr>
            <w:tcW w:w="1276" w:type="dxa"/>
            <w:noWrap/>
            <w:hideMark/>
          </w:tcPr>
          <w:p w14:paraId="494BC9AC" w14:textId="77777777" w:rsidR="003536B8" w:rsidRPr="00AE5B3E" w:rsidRDefault="003536B8" w:rsidP="005B1B02">
            <w:pPr>
              <w:rPr>
                <w:rFonts w:ascii="Arial Narrow" w:hAnsi="Arial Narrow" w:cs="Arial"/>
                <w:b/>
                <w:bCs/>
                <w:sz w:val="20"/>
              </w:rPr>
            </w:pPr>
            <w:r w:rsidRPr="00AE5B3E">
              <w:rPr>
                <w:rFonts w:ascii="Arial Narrow" w:hAnsi="Arial Narrow" w:cs="Arial"/>
                <w:b/>
                <w:bCs/>
                <w:sz w:val="20"/>
              </w:rPr>
              <w:t>Total</w:t>
            </w:r>
          </w:p>
        </w:tc>
      </w:tr>
      <w:tr w:rsidR="001353B4" w:rsidRPr="00B32CEF" w14:paraId="75F2643C" w14:textId="77777777" w:rsidTr="007D5A4F">
        <w:trPr>
          <w:trHeight w:val="300"/>
        </w:trPr>
        <w:tc>
          <w:tcPr>
            <w:tcW w:w="1696" w:type="dxa"/>
            <w:noWrap/>
            <w:hideMark/>
          </w:tcPr>
          <w:p w14:paraId="2CF7B99B" w14:textId="77777777" w:rsidR="001353B4" w:rsidRPr="00B32CEF" w:rsidRDefault="001353B4" w:rsidP="001353B4">
            <w:pPr>
              <w:rPr>
                <w:rFonts w:ascii="Arial Narrow" w:hAnsi="Arial Narrow" w:cs="Arial"/>
                <w:sz w:val="20"/>
              </w:rPr>
            </w:pPr>
            <w:r w:rsidRPr="00B32CEF">
              <w:rPr>
                <w:rFonts w:ascii="Arial Narrow" w:hAnsi="Arial Narrow" w:cs="Arial"/>
                <w:sz w:val="20"/>
              </w:rPr>
              <w:t>Patient Numbers infused</w:t>
            </w:r>
          </w:p>
        </w:tc>
        <w:tc>
          <w:tcPr>
            <w:tcW w:w="1134" w:type="dxa"/>
            <w:noWrap/>
            <w:hideMark/>
          </w:tcPr>
          <w:p w14:paraId="36984ACC" w14:textId="3E23451D"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0B7A45A3" w14:textId="0ADE1078"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6CCE234D" w14:textId="6AF842A0"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3B2D3DCE" w14:textId="76EB5C0A"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51A8D2FD" w14:textId="57D7D265"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54B314DE" w14:textId="1748CB8E"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75346422" w14:textId="00A67BD6"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r>
      <w:tr w:rsidR="001353B4" w:rsidRPr="00B32CEF" w14:paraId="22626A52" w14:textId="77777777" w:rsidTr="007D5A4F">
        <w:trPr>
          <w:trHeight w:val="300"/>
        </w:trPr>
        <w:tc>
          <w:tcPr>
            <w:tcW w:w="1696" w:type="dxa"/>
            <w:noWrap/>
            <w:hideMark/>
          </w:tcPr>
          <w:p w14:paraId="6EFC439C" w14:textId="77777777" w:rsidR="001353B4" w:rsidRPr="00B32CEF" w:rsidRDefault="001353B4" w:rsidP="001353B4">
            <w:pPr>
              <w:rPr>
                <w:rFonts w:ascii="Arial Narrow" w:hAnsi="Arial Narrow" w:cs="Arial"/>
                <w:sz w:val="20"/>
              </w:rPr>
            </w:pPr>
            <w:r w:rsidRPr="00B32CEF">
              <w:rPr>
                <w:rFonts w:ascii="Arial Narrow" w:hAnsi="Arial Narrow" w:cs="Arial"/>
                <w:sz w:val="20"/>
              </w:rPr>
              <w:t>Patient numbers non-infusion</w:t>
            </w:r>
          </w:p>
        </w:tc>
        <w:tc>
          <w:tcPr>
            <w:tcW w:w="1134" w:type="dxa"/>
            <w:noWrap/>
            <w:hideMark/>
          </w:tcPr>
          <w:p w14:paraId="5EBAB493" w14:textId="0F15FA87"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3BAE63D0" w14:textId="73102B09"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2C37F86F" w14:textId="6A9AA71E"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7A4273F1" w14:textId="02AA9CDF"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6266D88A" w14:textId="450D483B"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1E8E06DE" w14:textId="6738EB15"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49AA393B" w14:textId="3A813F05" w:rsidR="001353B4" w:rsidRPr="00B32CEF" w:rsidRDefault="001353B4" w:rsidP="001353B4">
            <w:pPr>
              <w:jc w:val="right"/>
              <w:rPr>
                <w:rFonts w:ascii="Arial Narrow" w:hAnsi="Arial Narrow" w:cs="Arial"/>
                <w:sz w:val="20"/>
              </w:rPr>
            </w:pPr>
            <w:r w:rsidRPr="00B32CEF">
              <w:rPr>
                <w:rFonts w:ascii="Arial Narrow" w:hAnsi="Arial Narrow" w:cs="Arial"/>
                <w:sz w:val="20"/>
              </w:rPr>
              <w:t>redacted</w:t>
            </w:r>
          </w:p>
        </w:tc>
      </w:tr>
      <w:tr w:rsidR="001353B4" w:rsidRPr="00B32CEF" w14:paraId="24C2F688" w14:textId="77777777" w:rsidTr="007D5A4F">
        <w:trPr>
          <w:trHeight w:val="300"/>
        </w:trPr>
        <w:tc>
          <w:tcPr>
            <w:tcW w:w="1696" w:type="dxa"/>
            <w:noWrap/>
            <w:hideMark/>
          </w:tcPr>
          <w:p w14:paraId="3495961E" w14:textId="751B670A" w:rsidR="001353B4" w:rsidRPr="00B32CEF" w:rsidRDefault="001353B4" w:rsidP="001353B4">
            <w:pPr>
              <w:rPr>
                <w:rFonts w:ascii="Arial Narrow" w:hAnsi="Arial Narrow" w:cs="Arial"/>
                <w:sz w:val="20"/>
              </w:rPr>
            </w:pPr>
            <w:r w:rsidRPr="00B32CEF">
              <w:rPr>
                <w:rFonts w:ascii="Arial Narrow" w:hAnsi="Arial Narrow" w:cs="Arial"/>
                <w:sz w:val="20"/>
              </w:rPr>
              <w:t>Redacted CAR-T cost per infused patient</w:t>
            </w:r>
          </w:p>
        </w:tc>
        <w:tc>
          <w:tcPr>
            <w:tcW w:w="1134" w:type="dxa"/>
            <w:noWrap/>
            <w:hideMark/>
          </w:tcPr>
          <w:p w14:paraId="69ACDDEE" w14:textId="3DBD907E"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27CAD5EB" w14:textId="7131EB19"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2B7D65C6" w14:textId="79B984F9"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04B628C3" w14:textId="7983B7E6"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5B466D6C" w14:textId="36B76CE0"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37E0A4FF" w14:textId="548DCF66"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40269F88" w14:textId="77777777" w:rsidR="001353B4" w:rsidRPr="00B32CEF" w:rsidRDefault="001353B4" w:rsidP="001353B4">
            <w:pPr>
              <w:jc w:val="right"/>
              <w:rPr>
                <w:rFonts w:ascii="Arial Narrow" w:hAnsi="Arial Narrow" w:cs="Arial"/>
                <w:sz w:val="20"/>
              </w:rPr>
            </w:pPr>
            <w:r w:rsidRPr="00B32CEF">
              <w:rPr>
                <w:rFonts w:ascii="Arial Narrow" w:hAnsi="Arial Narrow" w:cs="Arial"/>
                <w:sz w:val="20"/>
              </w:rPr>
              <w:t> </w:t>
            </w:r>
          </w:p>
        </w:tc>
      </w:tr>
      <w:tr w:rsidR="001353B4" w:rsidRPr="00B32CEF" w14:paraId="1DD27C58" w14:textId="77777777" w:rsidTr="007D5A4F">
        <w:trPr>
          <w:trHeight w:val="300"/>
        </w:trPr>
        <w:tc>
          <w:tcPr>
            <w:tcW w:w="1696" w:type="dxa"/>
            <w:noWrap/>
            <w:hideMark/>
          </w:tcPr>
          <w:p w14:paraId="667875E1" w14:textId="77777777" w:rsidR="001353B4" w:rsidRPr="00B32CEF" w:rsidRDefault="001353B4" w:rsidP="001353B4">
            <w:pPr>
              <w:rPr>
                <w:rFonts w:ascii="Arial Narrow" w:hAnsi="Arial Narrow" w:cs="Arial"/>
                <w:sz w:val="20"/>
              </w:rPr>
            </w:pPr>
            <w:r w:rsidRPr="00B32CEF">
              <w:rPr>
                <w:rFonts w:ascii="Arial Narrow" w:hAnsi="Arial Narrow" w:cs="Arial"/>
                <w:sz w:val="20"/>
              </w:rPr>
              <w:t>Anciliary cost per infused patient</w:t>
            </w:r>
          </w:p>
        </w:tc>
        <w:tc>
          <w:tcPr>
            <w:tcW w:w="1134" w:type="dxa"/>
            <w:noWrap/>
            <w:hideMark/>
          </w:tcPr>
          <w:p w14:paraId="364F149A" w14:textId="04C3F7AD"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12D625F3" w14:textId="6A835504"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3C7A9220" w14:textId="751017AF"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4544ADF7" w14:textId="3D46F602"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76D2BC7C" w14:textId="6B922F7A"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0D95E67F" w14:textId="0B1B72B6"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4AB85CF2" w14:textId="77777777" w:rsidR="001353B4" w:rsidRPr="00B32CEF" w:rsidRDefault="001353B4" w:rsidP="001353B4">
            <w:pPr>
              <w:jc w:val="right"/>
              <w:rPr>
                <w:rFonts w:ascii="Arial Narrow" w:hAnsi="Arial Narrow" w:cs="Arial"/>
                <w:sz w:val="20"/>
              </w:rPr>
            </w:pPr>
            <w:r w:rsidRPr="00B32CEF">
              <w:rPr>
                <w:rFonts w:ascii="Arial Narrow" w:hAnsi="Arial Narrow" w:cs="Arial"/>
                <w:sz w:val="20"/>
              </w:rPr>
              <w:t> </w:t>
            </w:r>
          </w:p>
        </w:tc>
      </w:tr>
      <w:tr w:rsidR="001353B4" w:rsidRPr="00B32CEF" w14:paraId="621416AF" w14:textId="77777777" w:rsidTr="007D5A4F">
        <w:trPr>
          <w:trHeight w:val="300"/>
        </w:trPr>
        <w:tc>
          <w:tcPr>
            <w:tcW w:w="1696" w:type="dxa"/>
            <w:noWrap/>
            <w:hideMark/>
          </w:tcPr>
          <w:p w14:paraId="2EF8F9F0" w14:textId="77777777" w:rsidR="001353B4" w:rsidRPr="00B32CEF" w:rsidRDefault="001353B4" w:rsidP="001353B4">
            <w:pPr>
              <w:rPr>
                <w:rFonts w:ascii="Arial Narrow" w:hAnsi="Arial Narrow" w:cs="Arial"/>
                <w:sz w:val="20"/>
              </w:rPr>
            </w:pPr>
            <w:r w:rsidRPr="00B32CEF">
              <w:rPr>
                <w:rFonts w:ascii="Arial Narrow" w:hAnsi="Arial Narrow" w:cs="Arial"/>
                <w:sz w:val="20"/>
              </w:rPr>
              <w:t>Anciliary cost per non infused patient</w:t>
            </w:r>
          </w:p>
        </w:tc>
        <w:tc>
          <w:tcPr>
            <w:tcW w:w="1134" w:type="dxa"/>
            <w:noWrap/>
            <w:hideMark/>
          </w:tcPr>
          <w:p w14:paraId="209927FC" w14:textId="7728206E"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2E9FA013" w14:textId="2411E388"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3CCCD537" w14:textId="27A790C0"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191C706E" w14:textId="6F41CDAF"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7311F071" w14:textId="232B3372"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12422001" w14:textId="0672ACE2"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0DD29112" w14:textId="77777777" w:rsidR="001353B4" w:rsidRPr="00B32CEF" w:rsidRDefault="001353B4" w:rsidP="001353B4">
            <w:pPr>
              <w:jc w:val="right"/>
              <w:rPr>
                <w:rFonts w:ascii="Arial Narrow" w:hAnsi="Arial Narrow" w:cs="Arial"/>
                <w:sz w:val="20"/>
              </w:rPr>
            </w:pPr>
            <w:r w:rsidRPr="00B32CEF">
              <w:rPr>
                <w:rFonts w:ascii="Arial Narrow" w:hAnsi="Arial Narrow" w:cs="Arial"/>
                <w:sz w:val="20"/>
              </w:rPr>
              <w:t> </w:t>
            </w:r>
          </w:p>
        </w:tc>
      </w:tr>
      <w:tr w:rsidR="001353B4" w:rsidRPr="00B32CEF" w14:paraId="527420EC" w14:textId="77777777" w:rsidTr="007D5A4F">
        <w:trPr>
          <w:trHeight w:val="300"/>
        </w:trPr>
        <w:tc>
          <w:tcPr>
            <w:tcW w:w="1696" w:type="dxa"/>
            <w:noWrap/>
            <w:hideMark/>
          </w:tcPr>
          <w:p w14:paraId="37B72BCA" w14:textId="77777777" w:rsidR="001353B4" w:rsidRPr="00B32CEF" w:rsidRDefault="001353B4" w:rsidP="001353B4">
            <w:pPr>
              <w:rPr>
                <w:rFonts w:ascii="Arial Narrow" w:hAnsi="Arial Narrow" w:cs="Arial"/>
                <w:sz w:val="20"/>
              </w:rPr>
            </w:pPr>
            <w:r w:rsidRPr="00B32CEF">
              <w:rPr>
                <w:rFonts w:ascii="Arial Narrow" w:hAnsi="Arial Narrow" w:cs="Arial"/>
                <w:sz w:val="20"/>
              </w:rPr>
              <w:t>Average cost offset per infused patient</w:t>
            </w:r>
          </w:p>
        </w:tc>
        <w:tc>
          <w:tcPr>
            <w:tcW w:w="1134" w:type="dxa"/>
            <w:noWrap/>
            <w:hideMark/>
          </w:tcPr>
          <w:p w14:paraId="0917B3A9" w14:textId="6363883A"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6D54149D" w14:textId="43572891"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4DA7AA0B" w14:textId="6A4A0FBE"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34334E20" w14:textId="2CC96F48"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2F48EB35" w14:textId="7202EFD0"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1B7411F8" w14:textId="748416CF"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4EE21608" w14:textId="77777777" w:rsidR="001353B4" w:rsidRPr="00B32CEF" w:rsidRDefault="001353B4" w:rsidP="001353B4">
            <w:pPr>
              <w:jc w:val="right"/>
              <w:rPr>
                <w:rFonts w:ascii="Arial Narrow" w:hAnsi="Arial Narrow" w:cs="Arial"/>
                <w:sz w:val="20"/>
              </w:rPr>
            </w:pPr>
            <w:r w:rsidRPr="00B32CEF">
              <w:rPr>
                <w:rFonts w:ascii="Arial Narrow" w:hAnsi="Arial Narrow" w:cs="Arial"/>
                <w:sz w:val="20"/>
              </w:rPr>
              <w:t> </w:t>
            </w:r>
          </w:p>
        </w:tc>
      </w:tr>
      <w:tr w:rsidR="001353B4" w:rsidRPr="00B32CEF" w14:paraId="4808D28D" w14:textId="77777777" w:rsidTr="007D5A4F">
        <w:trPr>
          <w:trHeight w:val="300"/>
        </w:trPr>
        <w:tc>
          <w:tcPr>
            <w:tcW w:w="1696" w:type="dxa"/>
            <w:noWrap/>
            <w:hideMark/>
          </w:tcPr>
          <w:p w14:paraId="4C1FECC7" w14:textId="77777777" w:rsidR="001353B4" w:rsidRPr="00B32CEF" w:rsidRDefault="001353B4" w:rsidP="001353B4">
            <w:pPr>
              <w:rPr>
                <w:rFonts w:ascii="Arial Narrow" w:hAnsi="Arial Narrow" w:cs="Arial"/>
                <w:sz w:val="20"/>
              </w:rPr>
            </w:pPr>
            <w:r w:rsidRPr="00B32CEF">
              <w:rPr>
                <w:rFonts w:ascii="Arial Narrow" w:hAnsi="Arial Narrow" w:cs="Arial"/>
                <w:sz w:val="20"/>
              </w:rPr>
              <w:t>Total CAR-T COST</w:t>
            </w:r>
          </w:p>
        </w:tc>
        <w:tc>
          <w:tcPr>
            <w:tcW w:w="1134" w:type="dxa"/>
            <w:noWrap/>
            <w:hideMark/>
          </w:tcPr>
          <w:p w14:paraId="7FCB6F79" w14:textId="22074850"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3A80655A" w14:textId="7956FCDD"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6ABCF2DA" w14:textId="6F636D96"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6DBD8822" w14:textId="3C71C4F8"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1B1C729F" w14:textId="2A262C46"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2D65F164" w14:textId="3B667F28"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3AEA4293" w14:textId="3258BD47"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r>
      <w:tr w:rsidR="001353B4" w:rsidRPr="00B32CEF" w14:paraId="08A4E2F9" w14:textId="77777777" w:rsidTr="007D5A4F">
        <w:trPr>
          <w:trHeight w:val="300"/>
        </w:trPr>
        <w:tc>
          <w:tcPr>
            <w:tcW w:w="1696" w:type="dxa"/>
            <w:noWrap/>
            <w:hideMark/>
          </w:tcPr>
          <w:p w14:paraId="15823A33" w14:textId="77777777" w:rsidR="001353B4" w:rsidRPr="00B32CEF" w:rsidRDefault="001353B4" w:rsidP="001353B4">
            <w:pPr>
              <w:rPr>
                <w:rFonts w:ascii="Arial Narrow" w:hAnsi="Arial Narrow" w:cs="Arial"/>
                <w:sz w:val="20"/>
              </w:rPr>
            </w:pPr>
            <w:r w:rsidRPr="00B32CEF">
              <w:rPr>
                <w:rFonts w:ascii="Arial Narrow" w:hAnsi="Arial Narrow" w:cs="Arial"/>
                <w:sz w:val="20"/>
              </w:rPr>
              <w:t>Total Ancillary Cost</w:t>
            </w:r>
          </w:p>
        </w:tc>
        <w:tc>
          <w:tcPr>
            <w:tcW w:w="1134" w:type="dxa"/>
            <w:noWrap/>
            <w:hideMark/>
          </w:tcPr>
          <w:p w14:paraId="3FFF7B3D" w14:textId="6EBCA4EC"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47279C4A" w14:textId="56305DC6"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55A3A783" w14:textId="67606B7C"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025E2443" w14:textId="1913AF25"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70A1BF61" w14:textId="031B9950"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0837F06B" w14:textId="4C1E013F"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650EECF2" w14:textId="79075059"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r>
      <w:tr w:rsidR="001353B4" w:rsidRPr="00B32CEF" w14:paraId="278D7E64" w14:textId="77777777" w:rsidTr="007D5A4F">
        <w:trPr>
          <w:trHeight w:val="300"/>
        </w:trPr>
        <w:tc>
          <w:tcPr>
            <w:tcW w:w="1696" w:type="dxa"/>
            <w:noWrap/>
            <w:hideMark/>
          </w:tcPr>
          <w:p w14:paraId="38A422E1" w14:textId="77777777" w:rsidR="001353B4" w:rsidRPr="00B32CEF" w:rsidRDefault="001353B4" w:rsidP="001353B4">
            <w:pPr>
              <w:rPr>
                <w:rFonts w:ascii="Arial Narrow" w:hAnsi="Arial Narrow" w:cs="Arial"/>
                <w:sz w:val="20"/>
              </w:rPr>
            </w:pPr>
            <w:r w:rsidRPr="00B32CEF">
              <w:rPr>
                <w:rFonts w:ascii="Arial Narrow" w:hAnsi="Arial Narrow" w:cs="Arial"/>
                <w:sz w:val="20"/>
              </w:rPr>
              <w:t>Cost offsets</w:t>
            </w:r>
          </w:p>
        </w:tc>
        <w:tc>
          <w:tcPr>
            <w:tcW w:w="1134" w:type="dxa"/>
            <w:noWrap/>
            <w:hideMark/>
          </w:tcPr>
          <w:p w14:paraId="0BDAE2F7" w14:textId="38C203FA"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6741CD4F" w14:textId="7657F2E6" w:rsidR="001353B4" w:rsidRPr="00B32CEF" w:rsidRDefault="001353B4" w:rsidP="001353B4">
            <w:pPr>
              <w:ind w:left="38"/>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626E36A6" w14:textId="52864243"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39336E2C" w14:textId="700DB1A5"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05166F18" w14:textId="147D94F3"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48B0AEC8" w14:textId="6DFEB468"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3D2DF7F0" w14:textId="79166995"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r>
      <w:tr w:rsidR="001353B4" w:rsidRPr="00B32CEF" w14:paraId="1EBE3DBA" w14:textId="77777777" w:rsidTr="007D5A4F">
        <w:trPr>
          <w:trHeight w:val="300"/>
        </w:trPr>
        <w:tc>
          <w:tcPr>
            <w:tcW w:w="1696" w:type="dxa"/>
            <w:noWrap/>
            <w:hideMark/>
          </w:tcPr>
          <w:p w14:paraId="7A3691C0" w14:textId="77777777" w:rsidR="001353B4" w:rsidRPr="00B32CEF" w:rsidRDefault="001353B4" w:rsidP="001353B4">
            <w:pPr>
              <w:rPr>
                <w:rFonts w:ascii="Arial Narrow" w:hAnsi="Arial Narrow" w:cs="Arial"/>
                <w:sz w:val="20"/>
              </w:rPr>
            </w:pPr>
            <w:r w:rsidRPr="00B32CEF">
              <w:rPr>
                <w:rFonts w:ascii="Arial Narrow" w:hAnsi="Arial Narrow" w:cs="Arial"/>
                <w:sz w:val="20"/>
              </w:rPr>
              <w:t>Net Program Cost</w:t>
            </w:r>
          </w:p>
        </w:tc>
        <w:tc>
          <w:tcPr>
            <w:tcW w:w="1134" w:type="dxa"/>
            <w:noWrap/>
            <w:hideMark/>
          </w:tcPr>
          <w:p w14:paraId="1A826146" w14:textId="7A7756FD"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16DA6AE9" w14:textId="08D58DD7"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54443420" w14:textId="7EBCAF43"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57909467" w14:textId="32FE9429"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609A1905" w14:textId="7F51D91A"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134" w:type="dxa"/>
            <w:noWrap/>
            <w:hideMark/>
          </w:tcPr>
          <w:p w14:paraId="12BEBA59" w14:textId="660250C2"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c>
          <w:tcPr>
            <w:tcW w:w="1276" w:type="dxa"/>
            <w:noWrap/>
            <w:hideMark/>
          </w:tcPr>
          <w:p w14:paraId="39FFA087" w14:textId="29E0AB13" w:rsidR="001353B4" w:rsidRPr="00B32CEF" w:rsidRDefault="001353B4" w:rsidP="001353B4">
            <w:pPr>
              <w:jc w:val="right"/>
              <w:rPr>
                <w:rFonts w:ascii="Arial Narrow" w:hAnsi="Arial Narrow" w:cs="Arial"/>
                <w:sz w:val="20"/>
              </w:rPr>
            </w:pPr>
            <w:r w:rsidRPr="00B32CEF">
              <w:rPr>
                <w:rFonts w:ascii="Arial Narrow" w:hAnsi="Arial Narrow" w:cs="Arial"/>
                <w:sz w:val="20"/>
              </w:rPr>
              <w:t xml:space="preserve"> $redacted </w:t>
            </w:r>
          </w:p>
        </w:tc>
      </w:tr>
    </w:tbl>
    <w:p w14:paraId="1949BB6C" w14:textId="3448A61B" w:rsidR="003536B8" w:rsidRPr="00B32CEF" w:rsidRDefault="003536B8" w:rsidP="00606379">
      <w:pPr>
        <w:spacing w:before="240"/>
        <w:rPr>
          <w:rFonts w:ascii="Arial Narrow" w:hAnsi="Arial Narrow"/>
          <w:b/>
          <w:sz w:val="20"/>
        </w:rPr>
      </w:pPr>
      <w:r w:rsidRPr="00B32CEF">
        <w:rPr>
          <w:rFonts w:ascii="Arial Narrow" w:hAnsi="Arial Narrow"/>
          <w:b/>
          <w:sz w:val="20"/>
        </w:rPr>
        <w:t>Table 5: MSAC Financial Estimates</w:t>
      </w:r>
    </w:p>
    <w:tbl>
      <w:tblPr>
        <w:tblStyle w:val="TableGrid2"/>
        <w:tblW w:w="9918" w:type="dxa"/>
        <w:tblLayout w:type="fixed"/>
        <w:tblLook w:val="04A0" w:firstRow="1" w:lastRow="0" w:firstColumn="1" w:lastColumn="0" w:noHBand="0" w:noVBand="1"/>
        <w:tblDescription w:val="MSAC Financial Estimates"/>
      </w:tblPr>
      <w:tblGrid>
        <w:gridCol w:w="1696"/>
        <w:gridCol w:w="1134"/>
        <w:gridCol w:w="1134"/>
        <w:gridCol w:w="1134"/>
        <w:gridCol w:w="1134"/>
        <w:gridCol w:w="1276"/>
        <w:gridCol w:w="1134"/>
        <w:gridCol w:w="1276"/>
      </w:tblGrid>
      <w:tr w:rsidR="003536B8" w:rsidRPr="00B32CEF" w14:paraId="4EA878D8" w14:textId="77777777" w:rsidTr="007D5A4F">
        <w:trPr>
          <w:trHeight w:val="300"/>
          <w:tblHeader/>
        </w:trPr>
        <w:tc>
          <w:tcPr>
            <w:tcW w:w="1696" w:type="dxa"/>
            <w:noWrap/>
            <w:hideMark/>
          </w:tcPr>
          <w:p w14:paraId="3CA7CBF2"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DLBCL + PMBCL + TFL</w:t>
            </w:r>
          </w:p>
        </w:tc>
        <w:tc>
          <w:tcPr>
            <w:tcW w:w="1134" w:type="dxa"/>
            <w:noWrap/>
            <w:hideMark/>
          </w:tcPr>
          <w:p w14:paraId="0C47C5C1"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1</w:t>
            </w:r>
          </w:p>
        </w:tc>
        <w:tc>
          <w:tcPr>
            <w:tcW w:w="1134" w:type="dxa"/>
            <w:noWrap/>
            <w:hideMark/>
          </w:tcPr>
          <w:p w14:paraId="387A317D"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2</w:t>
            </w:r>
          </w:p>
        </w:tc>
        <w:tc>
          <w:tcPr>
            <w:tcW w:w="1134" w:type="dxa"/>
            <w:noWrap/>
            <w:hideMark/>
          </w:tcPr>
          <w:p w14:paraId="42C960FA"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3</w:t>
            </w:r>
          </w:p>
        </w:tc>
        <w:tc>
          <w:tcPr>
            <w:tcW w:w="1134" w:type="dxa"/>
            <w:noWrap/>
            <w:hideMark/>
          </w:tcPr>
          <w:p w14:paraId="429A251F"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4</w:t>
            </w:r>
          </w:p>
        </w:tc>
        <w:tc>
          <w:tcPr>
            <w:tcW w:w="1276" w:type="dxa"/>
            <w:noWrap/>
            <w:hideMark/>
          </w:tcPr>
          <w:p w14:paraId="2E8EE8FC"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5</w:t>
            </w:r>
          </w:p>
        </w:tc>
        <w:tc>
          <w:tcPr>
            <w:tcW w:w="1134" w:type="dxa"/>
            <w:noWrap/>
            <w:hideMark/>
          </w:tcPr>
          <w:p w14:paraId="3B8CD367"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Year 6</w:t>
            </w:r>
          </w:p>
        </w:tc>
        <w:tc>
          <w:tcPr>
            <w:tcW w:w="1276" w:type="dxa"/>
            <w:noWrap/>
            <w:hideMark/>
          </w:tcPr>
          <w:p w14:paraId="2496F7AD" w14:textId="77777777" w:rsidR="003536B8" w:rsidRPr="00B32CEF" w:rsidRDefault="003536B8" w:rsidP="005B1B02">
            <w:pPr>
              <w:rPr>
                <w:rFonts w:ascii="Arial Narrow" w:hAnsi="Arial Narrow" w:cs="Arial"/>
                <w:b/>
                <w:bCs/>
                <w:sz w:val="20"/>
              </w:rPr>
            </w:pPr>
            <w:r w:rsidRPr="00B32CEF">
              <w:rPr>
                <w:rFonts w:ascii="Arial Narrow" w:hAnsi="Arial Narrow" w:cs="Arial"/>
                <w:b/>
                <w:bCs/>
                <w:sz w:val="20"/>
              </w:rPr>
              <w:t>Total</w:t>
            </w:r>
          </w:p>
        </w:tc>
      </w:tr>
      <w:tr w:rsidR="003536B8" w:rsidRPr="00B32CEF" w14:paraId="22A5E784" w14:textId="77777777" w:rsidTr="007D5A4F">
        <w:trPr>
          <w:trHeight w:val="300"/>
        </w:trPr>
        <w:tc>
          <w:tcPr>
            <w:tcW w:w="1696" w:type="dxa"/>
            <w:noWrap/>
            <w:hideMark/>
          </w:tcPr>
          <w:p w14:paraId="3030DDDF" w14:textId="77777777" w:rsidR="003536B8" w:rsidRPr="00B32CEF" w:rsidRDefault="003536B8" w:rsidP="005B1B02">
            <w:pPr>
              <w:rPr>
                <w:rFonts w:ascii="Arial Narrow" w:hAnsi="Arial Narrow" w:cs="Arial"/>
                <w:sz w:val="20"/>
              </w:rPr>
            </w:pPr>
            <w:r w:rsidRPr="00B32CEF">
              <w:rPr>
                <w:rFonts w:ascii="Arial Narrow" w:hAnsi="Arial Narrow" w:cs="Arial"/>
                <w:sz w:val="20"/>
              </w:rPr>
              <w:t>Patient Numbers infused</w:t>
            </w:r>
          </w:p>
        </w:tc>
        <w:tc>
          <w:tcPr>
            <w:tcW w:w="1134" w:type="dxa"/>
            <w:noWrap/>
            <w:hideMark/>
          </w:tcPr>
          <w:p w14:paraId="5DBC80F6"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182</w:t>
            </w:r>
          </w:p>
        </w:tc>
        <w:tc>
          <w:tcPr>
            <w:tcW w:w="1134" w:type="dxa"/>
            <w:noWrap/>
            <w:hideMark/>
          </w:tcPr>
          <w:p w14:paraId="23AC4C1D"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211</w:t>
            </w:r>
          </w:p>
        </w:tc>
        <w:tc>
          <w:tcPr>
            <w:tcW w:w="1134" w:type="dxa"/>
            <w:noWrap/>
            <w:hideMark/>
          </w:tcPr>
          <w:p w14:paraId="23F0B9D9"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213</w:t>
            </w:r>
          </w:p>
        </w:tc>
        <w:tc>
          <w:tcPr>
            <w:tcW w:w="1134" w:type="dxa"/>
            <w:noWrap/>
            <w:hideMark/>
          </w:tcPr>
          <w:p w14:paraId="65166DFB"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206</w:t>
            </w:r>
          </w:p>
        </w:tc>
        <w:tc>
          <w:tcPr>
            <w:tcW w:w="1276" w:type="dxa"/>
            <w:noWrap/>
            <w:hideMark/>
          </w:tcPr>
          <w:p w14:paraId="28862035"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207</w:t>
            </w:r>
          </w:p>
        </w:tc>
        <w:tc>
          <w:tcPr>
            <w:tcW w:w="1134" w:type="dxa"/>
            <w:noWrap/>
            <w:hideMark/>
          </w:tcPr>
          <w:p w14:paraId="3C8E6BEB"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210</w:t>
            </w:r>
          </w:p>
        </w:tc>
        <w:tc>
          <w:tcPr>
            <w:tcW w:w="1276" w:type="dxa"/>
            <w:noWrap/>
            <w:hideMark/>
          </w:tcPr>
          <w:p w14:paraId="3ECEE7F8" w14:textId="77777777" w:rsidR="003536B8" w:rsidRPr="00B32CEF" w:rsidRDefault="003536B8" w:rsidP="005B1B02">
            <w:pPr>
              <w:jc w:val="right"/>
              <w:rPr>
                <w:rFonts w:ascii="Arial Narrow" w:hAnsi="Arial Narrow" w:cs="Arial"/>
                <w:sz w:val="20"/>
              </w:rPr>
            </w:pPr>
            <w:r w:rsidRPr="00B32CEF">
              <w:rPr>
                <w:rFonts w:ascii="Arial Narrow" w:hAnsi="Arial Narrow" w:cs="Arial"/>
                <w:sz w:val="20"/>
              </w:rPr>
              <w:t>1229</w:t>
            </w:r>
          </w:p>
        </w:tc>
      </w:tr>
      <w:tr w:rsidR="000D0600" w:rsidRPr="00B32CEF" w14:paraId="640B028F" w14:textId="77777777" w:rsidTr="007D5A4F">
        <w:trPr>
          <w:trHeight w:val="300"/>
        </w:trPr>
        <w:tc>
          <w:tcPr>
            <w:tcW w:w="1696" w:type="dxa"/>
            <w:noWrap/>
            <w:hideMark/>
          </w:tcPr>
          <w:p w14:paraId="51AF854C" w14:textId="77777777" w:rsidR="000D0600" w:rsidRPr="00B32CEF" w:rsidRDefault="000D0600" w:rsidP="000D0600">
            <w:pPr>
              <w:rPr>
                <w:rFonts w:ascii="Arial Narrow" w:hAnsi="Arial Narrow" w:cs="Arial"/>
                <w:sz w:val="20"/>
              </w:rPr>
            </w:pPr>
            <w:r w:rsidRPr="00B32CEF">
              <w:rPr>
                <w:rFonts w:ascii="Arial Narrow" w:hAnsi="Arial Narrow" w:cs="Arial"/>
                <w:sz w:val="20"/>
              </w:rPr>
              <w:t>Patient numbers non-infusion</w:t>
            </w:r>
          </w:p>
        </w:tc>
        <w:tc>
          <w:tcPr>
            <w:tcW w:w="1134" w:type="dxa"/>
            <w:noWrap/>
            <w:hideMark/>
          </w:tcPr>
          <w:p w14:paraId="5599A659" w14:textId="617567C9" w:rsidR="000D0600" w:rsidRPr="00B32CEF" w:rsidRDefault="000D0600" w:rsidP="000D0600">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028F9A33" w14:textId="6A422D82" w:rsidR="000D0600" w:rsidRPr="00B32CEF" w:rsidRDefault="000D0600" w:rsidP="000D0600">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5A1B3F49" w14:textId="21D0AEDD" w:rsidR="000D0600" w:rsidRPr="00B32CEF" w:rsidRDefault="000D0600" w:rsidP="000D0600">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6257CC87" w14:textId="38AA83ED" w:rsidR="000D0600" w:rsidRPr="00B32CEF" w:rsidRDefault="000D0600" w:rsidP="000D0600">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5D4E554C" w14:textId="439655FC" w:rsidR="000D0600" w:rsidRPr="00B32CEF" w:rsidRDefault="000D0600" w:rsidP="000D0600">
            <w:pPr>
              <w:jc w:val="right"/>
              <w:rPr>
                <w:rFonts w:ascii="Arial Narrow" w:hAnsi="Arial Narrow" w:cs="Arial"/>
                <w:sz w:val="20"/>
              </w:rPr>
            </w:pPr>
            <w:r w:rsidRPr="00B32CEF">
              <w:rPr>
                <w:rFonts w:ascii="Arial Narrow" w:hAnsi="Arial Narrow" w:cs="Arial"/>
                <w:sz w:val="20"/>
              </w:rPr>
              <w:t>redacted</w:t>
            </w:r>
          </w:p>
        </w:tc>
        <w:tc>
          <w:tcPr>
            <w:tcW w:w="1134" w:type="dxa"/>
            <w:noWrap/>
            <w:hideMark/>
          </w:tcPr>
          <w:p w14:paraId="212B20EC" w14:textId="7970EF45" w:rsidR="000D0600" w:rsidRPr="00B32CEF" w:rsidRDefault="000D0600" w:rsidP="000D0600">
            <w:pPr>
              <w:jc w:val="right"/>
              <w:rPr>
                <w:rFonts w:ascii="Arial Narrow" w:hAnsi="Arial Narrow" w:cs="Arial"/>
                <w:sz w:val="20"/>
              </w:rPr>
            </w:pPr>
            <w:r w:rsidRPr="00B32CEF">
              <w:rPr>
                <w:rFonts w:ascii="Arial Narrow" w:hAnsi="Arial Narrow" w:cs="Arial"/>
                <w:sz w:val="20"/>
              </w:rPr>
              <w:t>redacted</w:t>
            </w:r>
          </w:p>
        </w:tc>
        <w:tc>
          <w:tcPr>
            <w:tcW w:w="1276" w:type="dxa"/>
            <w:noWrap/>
            <w:hideMark/>
          </w:tcPr>
          <w:p w14:paraId="0E9ACF2F" w14:textId="72670429" w:rsidR="000D0600" w:rsidRPr="00B32CEF" w:rsidRDefault="000D0600" w:rsidP="000D0600">
            <w:pPr>
              <w:jc w:val="right"/>
              <w:rPr>
                <w:rFonts w:ascii="Arial Narrow" w:hAnsi="Arial Narrow" w:cs="Arial"/>
                <w:sz w:val="20"/>
              </w:rPr>
            </w:pPr>
            <w:r w:rsidRPr="00B32CEF">
              <w:rPr>
                <w:rFonts w:ascii="Arial Narrow" w:hAnsi="Arial Narrow" w:cs="Arial"/>
                <w:sz w:val="20"/>
              </w:rPr>
              <w:t>redacted</w:t>
            </w:r>
          </w:p>
        </w:tc>
      </w:tr>
      <w:tr w:rsidR="000D0600" w:rsidRPr="00B32CEF" w14:paraId="4FD8FD2E" w14:textId="77777777" w:rsidTr="007D5A4F">
        <w:trPr>
          <w:trHeight w:val="300"/>
        </w:trPr>
        <w:tc>
          <w:tcPr>
            <w:tcW w:w="1696" w:type="dxa"/>
            <w:noWrap/>
            <w:hideMark/>
          </w:tcPr>
          <w:p w14:paraId="156E028A" w14:textId="6B28266F" w:rsidR="000D0600" w:rsidRPr="00B32CEF" w:rsidRDefault="000D0600" w:rsidP="000D0600">
            <w:pPr>
              <w:rPr>
                <w:rFonts w:ascii="Arial Narrow" w:hAnsi="Arial Narrow" w:cs="Arial"/>
                <w:sz w:val="20"/>
              </w:rPr>
            </w:pPr>
            <w:r w:rsidRPr="00B32CEF">
              <w:rPr>
                <w:rFonts w:ascii="Arial Narrow" w:hAnsi="Arial Narrow" w:cs="Arial"/>
                <w:sz w:val="20"/>
              </w:rPr>
              <w:t>Redacted CAR-T cost per infused patient</w:t>
            </w:r>
          </w:p>
        </w:tc>
        <w:tc>
          <w:tcPr>
            <w:tcW w:w="1134" w:type="dxa"/>
            <w:noWrap/>
            <w:hideMark/>
          </w:tcPr>
          <w:p w14:paraId="386432C3" w14:textId="4E426B90"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6FC3961" w14:textId="1FAD4E51"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45323693" w14:textId="6D083293"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32647474" w14:textId="4D51A97A"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52D451D1" w14:textId="4B2EE043"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3653AA4D" w14:textId="2E0C9691"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42B90A9D" w14:textId="4A9032C8"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r>
      <w:tr w:rsidR="000D0600" w:rsidRPr="00B32CEF" w14:paraId="7C081236" w14:textId="77777777" w:rsidTr="007D5A4F">
        <w:trPr>
          <w:trHeight w:val="300"/>
        </w:trPr>
        <w:tc>
          <w:tcPr>
            <w:tcW w:w="1696" w:type="dxa"/>
            <w:noWrap/>
            <w:hideMark/>
          </w:tcPr>
          <w:p w14:paraId="5275A6E0" w14:textId="77777777" w:rsidR="000D0600" w:rsidRPr="00B32CEF" w:rsidRDefault="000D0600" w:rsidP="000D0600">
            <w:pPr>
              <w:rPr>
                <w:rFonts w:ascii="Arial Narrow" w:hAnsi="Arial Narrow" w:cs="Arial"/>
                <w:sz w:val="20"/>
              </w:rPr>
            </w:pPr>
            <w:r w:rsidRPr="00B32CEF">
              <w:rPr>
                <w:rFonts w:ascii="Arial Narrow" w:hAnsi="Arial Narrow" w:cs="Arial"/>
                <w:sz w:val="20"/>
              </w:rPr>
              <w:t>Anciliary cost per infused patient</w:t>
            </w:r>
          </w:p>
        </w:tc>
        <w:tc>
          <w:tcPr>
            <w:tcW w:w="1134" w:type="dxa"/>
            <w:noWrap/>
            <w:hideMark/>
          </w:tcPr>
          <w:p w14:paraId="068FBF10" w14:textId="6612E00D"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53A17A90" w14:textId="2781A181"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4E7D787" w14:textId="20BF535E"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D44417D" w14:textId="2B2897DE"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3E914488" w14:textId="1D6FD31B"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65FEF370" w14:textId="70E15651"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00CE0E52" w14:textId="22630CAA"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r>
      <w:tr w:rsidR="000D0600" w:rsidRPr="00B32CEF" w14:paraId="2E2D980A" w14:textId="77777777" w:rsidTr="007D5A4F">
        <w:trPr>
          <w:trHeight w:val="300"/>
        </w:trPr>
        <w:tc>
          <w:tcPr>
            <w:tcW w:w="1696" w:type="dxa"/>
            <w:noWrap/>
            <w:hideMark/>
          </w:tcPr>
          <w:p w14:paraId="5CAFAB2F" w14:textId="77777777" w:rsidR="000D0600" w:rsidRPr="00B32CEF" w:rsidRDefault="000D0600" w:rsidP="000D0600">
            <w:pPr>
              <w:rPr>
                <w:rFonts w:ascii="Arial Narrow" w:hAnsi="Arial Narrow" w:cs="Arial"/>
                <w:sz w:val="20"/>
              </w:rPr>
            </w:pPr>
            <w:r w:rsidRPr="00B32CEF">
              <w:rPr>
                <w:rFonts w:ascii="Arial Narrow" w:hAnsi="Arial Narrow" w:cs="Arial"/>
                <w:sz w:val="20"/>
              </w:rPr>
              <w:t>Anciliary cost per non infused patient</w:t>
            </w:r>
          </w:p>
        </w:tc>
        <w:tc>
          <w:tcPr>
            <w:tcW w:w="1134" w:type="dxa"/>
            <w:noWrap/>
            <w:hideMark/>
          </w:tcPr>
          <w:p w14:paraId="5A472255" w14:textId="56837BE8"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5FD052C" w14:textId="121203EE"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06BC5137" w14:textId="53C45E4F"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01845193" w14:textId="5649669B"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4C3A166B" w14:textId="08DAE500"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6B7AF28B" w14:textId="5672E8C5"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66B7A479" w14:textId="3A2DC756"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r>
      <w:tr w:rsidR="000D0600" w:rsidRPr="00B32CEF" w14:paraId="0B09D0DB" w14:textId="77777777" w:rsidTr="007D5A4F">
        <w:trPr>
          <w:trHeight w:val="300"/>
        </w:trPr>
        <w:tc>
          <w:tcPr>
            <w:tcW w:w="1696" w:type="dxa"/>
            <w:noWrap/>
            <w:hideMark/>
          </w:tcPr>
          <w:p w14:paraId="262E888F" w14:textId="77777777" w:rsidR="000D0600" w:rsidRPr="00B32CEF" w:rsidRDefault="000D0600" w:rsidP="000D0600">
            <w:pPr>
              <w:rPr>
                <w:rFonts w:ascii="Arial Narrow" w:hAnsi="Arial Narrow" w:cs="Arial"/>
                <w:sz w:val="20"/>
              </w:rPr>
            </w:pPr>
            <w:r w:rsidRPr="00B32CEF">
              <w:rPr>
                <w:rFonts w:ascii="Arial Narrow" w:hAnsi="Arial Narrow" w:cs="Arial"/>
                <w:sz w:val="20"/>
              </w:rPr>
              <w:t>Average cost offset per infused patient</w:t>
            </w:r>
          </w:p>
        </w:tc>
        <w:tc>
          <w:tcPr>
            <w:tcW w:w="1134" w:type="dxa"/>
            <w:noWrap/>
            <w:hideMark/>
          </w:tcPr>
          <w:p w14:paraId="62399004" w14:textId="508633D0"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5556E0E3" w14:textId="65A38D8F"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00FE52D7" w14:textId="00A75CF6"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37BCA493" w14:textId="6061CBF1"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5B026428" w14:textId="3BDDE6C0"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05C94626" w14:textId="0FF2FFC7"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1594DDB3" w14:textId="3571208A"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r>
      <w:tr w:rsidR="000D0600" w:rsidRPr="00B32CEF" w14:paraId="2EE25F0A" w14:textId="77777777" w:rsidTr="007D5A4F">
        <w:trPr>
          <w:trHeight w:val="300"/>
        </w:trPr>
        <w:tc>
          <w:tcPr>
            <w:tcW w:w="1696" w:type="dxa"/>
            <w:noWrap/>
            <w:hideMark/>
          </w:tcPr>
          <w:p w14:paraId="129E1736" w14:textId="77777777" w:rsidR="000D0600" w:rsidRPr="00B32CEF" w:rsidRDefault="000D0600" w:rsidP="000D0600">
            <w:pPr>
              <w:rPr>
                <w:rFonts w:ascii="Arial Narrow" w:hAnsi="Arial Narrow" w:cs="Arial"/>
                <w:sz w:val="20"/>
              </w:rPr>
            </w:pPr>
            <w:r w:rsidRPr="00B32CEF">
              <w:rPr>
                <w:rFonts w:ascii="Arial Narrow" w:hAnsi="Arial Narrow" w:cs="Arial"/>
                <w:sz w:val="20"/>
              </w:rPr>
              <w:t>Total CAR-T COST</w:t>
            </w:r>
          </w:p>
        </w:tc>
        <w:tc>
          <w:tcPr>
            <w:tcW w:w="1134" w:type="dxa"/>
            <w:noWrap/>
            <w:hideMark/>
          </w:tcPr>
          <w:p w14:paraId="55ED2831" w14:textId="5E138F1F"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062BB4C6" w14:textId="525FD55B"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55C2C2A8" w14:textId="0C2CCFCE"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2BB27FBF" w14:textId="1A139401"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79DB9E9F" w14:textId="14BB8D57"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9612A9A" w14:textId="76B57BBE"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1FAC4511" w14:textId="488947E6"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r>
      <w:tr w:rsidR="000D0600" w:rsidRPr="00B32CEF" w14:paraId="6FAB23A9" w14:textId="77777777" w:rsidTr="007D5A4F">
        <w:trPr>
          <w:trHeight w:val="300"/>
        </w:trPr>
        <w:tc>
          <w:tcPr>
            <w:tcW w:w="1696" w:type="dxa"/>
            <w:noWrap/>
            <w:hideMark/>
          </w:tcPr>
          <w:p w14:paraId="3D64CF82" w14:textId="77777777" w:rsidR="000D0600" w:rsidRPr="00B32CEF" w:rsidRDefault="000D0600" w:rsidP="000D0600">
            <w:pPr>
              <w:rPr>
                <w:rFonts w:ascii="Arial Narrow" w:hAnsi="Arial Narrow" w:cs="Arial"/>
                <w:sz w:val="20"/>
              </w:rPr>
            </w:pPr>
            <w:r w:rsidRPr="00B32CEF">
              <w:rPr>
                <w:rFonts w:ascii="Arial Narrow" w:hAnsi="Arial Narrow" w:cs="Arial"/>
                <w:sz w:val="20"/>
              </w:rPr>
              <w:t>Total Ancillary Cost</w:t>
            </w:r>
          </w:p>
        </w:tc>
        <w:tc>
          <w:tcPr>
            <w:tcW w:w="1134" w:type="dxa"/>
            <w:noWrap/>
            <w:hideMark/>
          </w:tcPr>
          <w:p w14:paraId="5F799600" w14:textId="0A6D4784"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567C6DCB" w14:textId="3D1CB68D"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E8CDEE2" w14:textId="04658927"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D4F71A5" w14:textId="336B935A"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6BC7B65C" w14:textId="39A6B4B6"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67ABC528" w14:textId="16ED44DF"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43B7725D" w14:textId="48D0B17E"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r>
      <w:tr w:rsidR="000D0600" w:rsidRPr="00B32CEF" w14:paraId="4EB27F5A" w14:textId="77777777" w:rsidTr="007D5A4F">
        <w:trPr>
          <w:trHeight w:val="300"/>
        </w:trPr>
        <w:tc>
          <w:tcPr>
            <w:tcW w:w="1696" w:type="dxa"/>
            <w:noWrap/>
            <w:hideMark/>
          </w:tcPr>
          <w:p w14:paraId="13840E59" w14:textId="77777777" w:rsidR="000D0600" w:rsidRPr="00B32CEF" w:rsidRDefault="000D0600" w:rsidP="000D0600">
            <w:pPr>
              <w:rPr>
                <w:rFonts w:ascii="Arial Narrow" w:hAnsi="Arial Narrow" w:cs="Arial"/>
                <w:sz w:val="20"/>
              </w:rPr>
            </w:pPr>
            <w:r w:rsidRPr="00B32CEF">
              <w:rPr>
                <w:rFonts w:ascii="Arial Narrow" w:hAnsi="Arial Narrow" w:cs="Arial"/>
                <w:sz w:val="20"/>
              </w:rPr>
              <w:t>Cost offsets</w:t>
            </w:r>
          </w:p>
        </w:tc>
        <w:tc>
          <w:tcPr>
            <w:tcW w:w="1134" w:type="dxa"/>
            <w:noWrap/>
            <w:hideMark/>
          </w:tcPr>
          <w:p w14:paraId="4C271ADD" w14:textId="1CC5CE42"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133E6269" w14:textId="79924C7B"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5B520C9E" w14:textId="50100652"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5BAE542" w14:textId="53CD49F1"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1DFA0958" w14:textId="0FB324DA"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1C452BE5" w14:textId="3C2327F4"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24B1A924" w14:textId="76DBB8E3"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r>
      <w:tr w:rsidR="000D0600" w:rsidRPr="00B32CEF" w14:paraId="0E4D8851" w14:textId="77777777" w:rsidTr="007D5A4F">
        <w:trPr>
          <w:trHeight w:val="300"/>
        </w:trPr>
        <w:tc>
          <w:tcPr>
            <w:tcW w:w="1696" w:type="dxa"/>
            <w:noWrap/>
            <w:hideMark/>
          </w:tcPr>
          <w:p w14:paraId="30CC7F28" w14:textId="77777777" w:rsidR="000D0600" w:rsidRPr="00B32CEF" w:rsidRDefault="000D0600" w:rsidP="000D0600">
            <w:pPr>
              <w:rPr>
                <w:rFonts w:ascii="Arial Narrow" w:hAnsi="Arial Narrow" w:cs="Arial"/>
                <w:sz w:val="20"/>
              </w:rPr>
            </w:pPr>
            <w:r w:rsidRPr="00B32CEF">
              <w:rPr>
                <w:rFonts w:ascii="Arial Narrow" w:hAnsi="Arial Narrow" w:cs="Arial"/>
                <w:sz w:val="20"/>
              </w:rPr>
              <w:t>Net Program Cost</w:t>
            </w:r>
          </w:p>
        </w:tc>
        <w:tc>
          <w:tcPr>
            <w:tcW w:w="1134" w:type="dxa"/>
            <w:noWrap/>
            <w:hideMark/>
          </w:tcPr>
          <w:p w14:paraId="3036E4BE" w14:textId="21C26E8D"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44F2243D" w14:textId="49D638FD"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1865227C" w14:textId="57959504"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AE8BF38" w14:textId="13E4CB85"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4DFCAED2" w14:textId="2974AF47"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134" w:type="dxa"/>
            <w:noWrap/>
            <w:hideMark/>
          </w:tcPr>
          <w:p w14:paraId="71CB8248" w14:textId="12DDA7C5"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c>
          <w:tcPr>
            <w:tcW w:w="1276" w:type="dxa"/>
            <w:noWrap/>
            <w:hideMark/>
          </w:tcPr>
          <w:p w14:paraId="2751F5C0" w14:textId="479E78E6" w:rsidR="000D0600" w:rsidRPr="00B32CEF" w:rsidRDefault="000D0600" w:rsidP="000D0600">
            <w:pPr>
              <w:jc w:val="right"/>
              <w:rPr>
                <w:rFonts w:ascii="Arial Narrow" w:hAnsi="Arial Narrow" w:cs="Arial"/>
                <w:sz w:val="20"/>
              </w:rPr>
            </w:pPr>
            <w:r w:rsidRPr="00B32CEF">
              <w:rPr>
                <w:rFonts w:ascii="Arial Narrow" w:hAnsi="Arial Narrow" w:cs="Arial"/>
                <w:sz w:val="20"/>
              </w:rPr>
              <w:t xml:space="preserve">$redacted </w:t>
            </w:r>
          </w:p>
        </w:tc>
      </w:tr>
    </w:tbl>
    <w:p w14:paraId="0706D4DB" w14:textId="3E075B35" w:rsidR="003536B8" w:rsidRPr="00B32CEF" w:rsidRDefault="003536B8" w:rsidP="00606379">
      <w:pPr>
        <w:spacing w:before="240" w:after="240"/>
      </w:pPr>
      <w:r w:rsidRPr="00B32CEF">
        <w:t>MSAC noted there is a risk that CAR-T cell therapy will be used for patients in whom treatment has not been demonstrated to be effective or cost-effective including patients who are not eligible for treatment under the recommended prescribing rules a</w:t>
      </w:r>
      <w:r w:rsidR="00606379" w:rsidRPr="00B32CEF">
        <w:t>nd patients with other cancers.</w:t>
      </w:r>
    </w:p>
    <w:p w14:paraId="795DD71C" w14:textId="78CF5C65" w:rsidR="003536B8" w:rsidRPr="00AE5B3E" w:rsidRDefault="003536B8" w:rsidP="00606379">
      <w:pPr>
        <w:spacing w:after="240"/>
        <w:rPr>
          <w:i/>
        </w:rPr>
      </w:pPr>
      <w:r w:rsidRPr="00B32CEF">
        <w:t>MSAC noted the applicant’s statement it has “</w:t>
      </w:r>
      <w:r w:rsidRPr="00B32CEF">
        <w:rPr>
          <w:i/>
        </w:rPr>
        <w:t xml:space="preserve">provided its best and final price offer, </w:t>
      </w:r>
      <w:r w:rsidR="000D0600" w:rsidRPr="00B32CEF">
        <w:rPr>
          <w:b/>
        </w:rPr>
        <w:t>redacted</w:t>
      </w:r>
      <w:r w:rsidRPr="00B32CEF">
        <w:rPr>
          <w:i/>
        </w:rPr>
        <w:t>.</w:t>
      </w:r>
    </w:p>
    <w:p w14:paraId="758617C7" w14:textId="013FCBD1" w:rsidR="003536B8" w:rsidRPr="00B32CEF" w:rsidRDefault="003536B8" w:rsidP="00606379">
      <w:pPr>
        <w:spacing w:after="240"/>
      </w:pPr>
      <w:r w:rsidRPr="00AE5B3E">
        <w:t xml:space="preserve">MSAC further noted the applicant’s proposal that the financial risk to Government of subsidy outside the eligible patient population be </w:t>
      </w:r>
      <w:r w:rsidRPr="00B32CEF">
        <w:t xml:space="preserve">managed </w:t>
      </w:r>
      <w:r w:rsidR="000D0600" w:rsidRPr="00B32CEF">
        <w:rPr>
          <w:b/>
        </w:rPr>
        <w:t>redacted</w:t>
      </w:r>
      <w:r w:rsidRPr="00B32CEF">
        <w:t xml:space="preserve">. MSAC rejected this proposal </w:t>
      </w:r>
      <w:r w:rsidR="000D0600" w:rsidRPr="00B32CEF">
        <w:rPr>
          <w:b/>
        </w:rPr>
        <w:t>redacted</w:t>
      </w:r>
      <w:r w:rsidRPr="00B32CEF">
        <w:t xml:space="preserve">, noting it has the potential to exclude otherwise eligible patients from treatment </w:t>
      </w:r>
      <w:r w:rsidR="000D0600" w:rsidRPr="00B32CEF">
        <w:rPr>
          <w:b/>
        </w:rPr>
        <w:t>redacted</w:t>
      </w:r>
      <w:r w:rsidRPr="00B32CEF">
        <w:t>.</w:t>
      </w:r>
    </w:p>
    <w:p w14:paraId="44340644" w14:textId="51FD6028" w:rsidR="003536B8" w:rsidRPr="00B32CEF" w:rsidRDefault="003536B8" w:rsidP="00606379">
      <w:pPr>
        <w:spacing w:after="240"/>
      </w:pPr>
      <w:r w:rsidRPr="00B32CEF">
        <w:lastRenderedPageBreak/>
        <w:t xml:space="preserve">MSAC reaffirmed its advice to the Minister from August 2019 that any risk sharing arrangements put in place for TIS should include </w:t>
      </w:r>
      <w:r w:rsidR="000D0600" w:rsidRPr="00B32CEF">
        <w:rPr>
          <w:b/>
        </w:rPr>
        <w:t>redacted</w:t>
      </w:r>
      <w:r w:rsidRPr="00B32CEF">
        <w:t xml:space="preserve">. MSAC considered it appropriate that the </w:t>
      </w:r>
      <w:r w:rsidR="00B328C0">
        <w:rPr>
          <w:b/>
        </w:rPr>
        <w:t>r</w:t>
      </w:r>
      <w:r w:rsidR="00B328C0" w:rsidRPr="00B32CEF">
        <w:rPr>
          <w:b/>
        </w:rPr>
        <w:t>edacted</w:t>
      </w:r>
      <w:r w:rsidR="00606379" w:rsidRPr="00B32CEF">
        <w:t>.</w:t>
      </w:r>
    </w:p>
    <w:p w14:paraId="4AC7BAC0" w14:textId="522F9728" w:rsidR="003536B8" w:rsidRPr="00B32CEF" w:rsidRDefault="003536B8" w:rsidP="00606379">
      <w:pPr>
        <w:spacing w:after="240"/>
      </w:pPr>
      <w:r w:rsidRPr="00B32CEF">
        <w:t xml:space="preserve">MSAC considered the </w:t>
      </w:r>
      <w:r w:rsidR="000D0600" w:rsidRPr="00B32CEF">
        <w:rPr>
          <w:b/>
        </w:rPr>
        <w:t>redacted</w:t>
      </w:r>
      <w:r w:rsidR="000D0600" w:rsidRPr="00B32CEF">
        <w:t xml:space="preserve"> </w:t>
      </w:r>
      <w:r w:rsidRPr="00B32CEF">
        <w:t xml:space="preserve">arrangement put in place between the Commonwealth and the applicant for TIS for pALL </w:t>
      </w:r>
      <w:r w:rsidR="000D0600" w:rsidRPr="00B32CEF">
        <w:rPr>
          <w:b/>
        </w:rPr>
        <w:t>redacted</w:t>
      </w:r>
      <w:r w:rsidRPr="00B32CEF">
        <w:t>.</w:t>
      </w:r>
    </w:p>
    <w:p w14:paraId="166FB182" w14:textId="6B73CEA1" w:rsidR="003536B8" w:rsidRPr="00B32CEF" w:rsidRDefault="003536B8" w:rsidP="00606379">
      <w:pPr>
        <w:spacing w:after="240"/>
      </w:pPr>
      <w:r w:rsidRPr="00B32CEF">
        <w:t xml:space="preserve">MSAC further considered it appropriate for the Commonwealth to </w:t>
      </w:r>
      <w:r w:rsidR="00A57E62">
        <w:rPr>
          <w:b/>
        </w:rPr>
        <w:t>r</w:t>
      </w:r>
      <w:r w:rsidR="00A57E62" w:rsidRPr="00B32CEF">
        <w:rPr>
          <w:b/>
        </w:rPr>
        <w:t>edacted</w:t>
      </w:r>
      <w:r w:rsidR="00A57E62">
        <w:rPr>
          <w:b/>
        </w:rPr>
        <w:t>.</w:t>
      </w:r>
    </w:p>
    <w:p w14:paraId="5E987F3C" w14:textId="020EC2C7" w:rsidR="003536B8" w:rsidRPr="00AE5B3E" w:rsidRDefault="003536B8" w:rsidP="00606379">
      <w:pPr>
        <w:spacing w:after="240"/>
      </w:pPr>
      <w:r w:rsidRPr="00B32CEF">
        <w:t xml:space="preserve">MSAC requested it be provided with an update on the number of patients referred, screened, prepared and infused with TIS one year after the commencement of public funding. MSAC considered it may be appropriate to revise the patient number estimates </w:t>
      </w:r>
      <w:r w:rsidR="000D0600" w:rsidRPr="00B32CEF">
        <w:rPr>
          <w:b/>
        </w:rPr>
        <w:t>redacted</w:t>
      </w:r>
      <w:r w:rsidR="000D0600" w:rsidRPr="00B32CEF">
        <w:t xml:space="preserve"> </w:t>
      </w:r>
      <w:r w:rsidRPr="00B32CEF">
        <w:t>for the</w:t>
      </w:r>
      <w:r w:rsidRPr="00AE5B3E">
        <w:t xml:space="preserve"> second year if there is a large divergence from the estimated numbers, upwards or</w:t>
      </w:r>
      <w:r w:rsidR="00606379">
        <w:t xml:space="preserve"> downwards; in year 1.</w:t>
      </w:r>
    </w:p>
    <w:p w14:paraId="4E20BE01" w14:textId="1768E1EC" w:rsidR="003536B8" w:rsidRPr="00AE5B3E" w:rsidRDefault="003536B8" w:rsidP="00606379">
      <w:pPr>
        <w:spacing w:after="240"/>
      </w:pPr>
      <w:r w:rsidRPr="00AE5B3E">
        <w:t xml:space="preserve">MSAC indicated it wished to conduct a full review of clinical effectiveness, cost- effectiveness and budget impact of TIS no later than 2 years post the commencement of  public subsidy (note: Novartis will provide a submission to initiate this review). As part of this review MSAC requested the applicant update the current economic model to include the latest available JULIET trial data on PFS, OS, rates of transplant post TIS and immunoglobulin usage. MSAC indicated its intention to again examine patient numbers </w:t>
      </w:r>
      <w:r w:rsidR="000D0600" w:rsidRPr="00B32CEF">
        <w:rPr>
          <w:b/>
        </w:rPr>
        <w:t>redacted</w:t>
      </w:r>
      <w:r w:rsidR="00606379" w:rsidRPr="00B32CEF">
        <w:t xml:space="preserve"> as part</w:t>
      </w:r>
      <w:r w:rsidR="00606379">
        <w:t xml:space="preserve"> of this review.</w:t>
      </w:r>
    </w:p>
    <w:p w14:paraId="592611E4" w14:textId="77777777" w:rsidR="003536B8" w:rsidRPr="00AE5B3E" w:rsidRDefault="003536B8" w:rsidP="003536B8">
      <w:pPr>
        <w:keepNext/>
        <w:spacing w:after="120"/>
      </w:pPr>
      <w:r w:rsidRPr="00AE5B3E">
        <w:t>The MSAC considered that, as with pALL, data on the use of TIS for B cell lymphoma’s in Australia should be recorded by the Australian Bone Marrow Transplant Recipient Registry, with the cost of data collection met by the applicant. This would ensure a single Australia source of data for all CAR-T therapies in all indications and from all treatment centres. The data collected in the registry should align with international data collections to ensure comparability and access and thus contribute to global knowledge. The registry should include the following minimum data:</w:t>
      </w:r>
    </w:p>
    <w:p w14:paraId="24893664" w14:textId="77777777" w:rsidR="003536B8" w:rsidRPr="00AE5B3E" w:rsidRDefault="003536B8" w:rsidP="003536B8">
      <w:pPr>
        <w:pStyle w:val="ListParagraph"/>
        <w:keepNext/>
        <w:widowControl w:val="0"/>
        <w:numPr>
          <w:ilvl w:val="0"/>
          <w:numId w:val="46"/>
        </w:numPr>
        <w:ind w:left="1077" w:hanging="357"/>
        <w:contextualSpacing w:val="0"/>
      </w:pPr>
      <w:r w:rsidRPr="00AE5B3E">
        <w:t>the date of first referral, postcode of patient and referring physician;</w:t>
      </w:r>
    </w:p>
    <w:p w14:paraId="3EF856A5" w14:textId="77777777" w:rsidR="003536B8" w:rsidRPr="00AE5B3E" w:rsidRDefault="003536B8" w:rsidP="003536B8">
      <w:pPr>
        <w:pStyle w:val="ListParagraph"/>
        <w:keepNext/>
        <w:widowControl w:val="0"/>
        <w:numPr>
          <w:ilvl w:val="0"/>
          <w:numId w:val="46"/>
        </w:numPr>
        <w:ind w:left="1077" w:hanging="357"/>
        <w:contextualSpacing w:val="0"/>
      </w:pPr>
      <w:r w:rsidRPr="00AE5B3E">
        <w:t>date of apheresis and infusion for treated patients;</w:t>
      </w:r>
    </w:p>
    <w:p w14:paraId="5820DA3F" w14:textId="77777777" w:rsidR="003536B8" w:rsidRPr="00AE5B3E" w:rsidRDefault="003536B8" w:rsidP="003536B8">
      <w:pPr>
        <w:pStyle w:val="ListParagraph"/>
        <w:keepNext/>
        <w:widowControl w:val="0"/>
        <w:numPr>
          <w:ilvl w:val="0"/>
          <w:numId w:val="46"/>
        </w:numPr>
        <w:ind w:left="1077" w:hanging="357"/>
        <w:contextualSpacing w:val="0"/>
      </w:pPr>
      <w:r w:rsidRPr="00AE5B3E">
        <w:t>number of patients referred but not accepted, for treatment with CAR-T cell therapy, including the reason;</w:t>
      </w:r>
    </w:p>
    <w:p w14:paraId="7F6188B6" w14:textId="77777777" w:rsidR="003536B8" w:rsidRPr="00AE5B3E" w:rsidRDefault="003536B8" w:rsidP="003536B8">
      <w:pPr>
        <w:pStyle w:val="ListParagraph"/>
        <w:numPr>
          <w:ilvl w:val="0"/>
          <w:numId w:val="46"/>
        </w:numPr>
        <w:tabs>
          <w:tab w:val="num" w:pos="360"/>
        </w:tabs>
        <w:ind w:left="1077" w:hanging="357"/>
        <w:contextualSpacing w:val="0"/>
      </w:pPr>
      <w:r w:rsidRPr="00AE5B3E">
        <w:t>patient-reported outcomes;</w:t>
      </w:r>
    </w:p>
    <w:p w14:paraId="5BC6A88C" w14:textId="77777777" w:rsidR="003536B8" w:rsidRPr="00AE5B3E" w:rsidRDefault="003536B8" w:rsidP="003536B8">
      <w:pPr>
        <w:pStyle w:val="ListParagraph"/>
        <w:numPr>
          <w:ilvl w:val="0"/>
          <w:numId w:val="46"/>
        </w:numPr>
        <w:tabs>
          <w:tab w:val="num" w:pos="360"/>
        </w:tabs>
        <w:ind w:left="1077" w:hanging="357"/>
        <w:contextualSpacing w:val="0"/>
      </w:pPr>
      <w:r w:rsidRPr="00AE5B3E">
        <w:t>lymphoma-free survival (complete and partial metabolic response);</w:t>
      </w:r>
    </w:p>
    <w:p w14:paraId="6F3CFB91" w14:textId="77777777" w:rsidR="003536B8" w:rsidRPr="00AE5B3E" w:rsidRDefault="003536B8" w:rsidP="003536B8">
      <w:pPr>
        <w:pStyle w:val="ListParagraph"/>
        <w:numPr>
          <w:ilvl w:val="0"/>
          <w:numId w:val="46"/>
        </w:numPr>
        <w:tabs>
          <w:tab w:val="num" w:pos="360"/>
        </w:tabs>
        <w:ind w:left="1077" w:hanging="357"/>
        <w:contextualSpacing w:val="0"/>
      </w:pPr>
      <w:r w:rsidRPr="00AE5B3E">
        <w:t>complications, use of high cost medicines, late-onset adverse events and adverse events requiring hospitalisation admission and adverse events including those requiring ICU admission;</w:t>
      </w:r>
    </w:p>
    <w:p w14:paraId="118BDB6C" w14:textId="77777777" w:rsidR="003536B8" w:rsidRPr="00AE5B3E" w:rsidRDefault="003536B8" w:rsidP="003536B8">
      <w:pPr>
        <w:pStyle w:val="ListParagraph"/>
        <w:numPr>
          <w:ilvl w:val="0"/>
          <w:numId w:val="46"/>
        </w:numPr>
        <w:tabs>
          <w:tab w:val="num" w:pos="360"/>
        </w:tabs>
        <w:ind w:left="1077" w:hanging="357"/>
        <w:contextualSpacing w:val="0"/>
      </w:pPr>
      <w:r w:rsidRPr="00AE5B3E">
        <w:t xml:space="preserve">use and duration of immunoglobulin; </w:t>
      </w:r>
    </w:p>
    <w:p w14:paraId="3D6D6785" w14:textId="77777777" w:rsidR="003536B8" w:rsidRPr="00AE5B3E" w:rsidRDefault="003536B8" w:rsidP="003536B8">
      <w:pPr>
        <w:pStyle w:val="ListParagraph"/>
        <w:numPr>
          <w:ilvl w:val="0"/>
          <w:numId w:val="46"/>
        </w:numPr>
        <w:tabs>
          <w:tab w:val="num" w:pos="360"/>
        </w:tabs>
        <w:ind w:left="1077" w:hanging="357"/>
        <w:contextualSpacing w:val="0"/>
      </w:pPr>
      <w:r w:rsidRPr="00AE5B3E">
        <w:t>rate of reinfusion with any CAR-T therapy (noting the cost of reinfusion of such therapy will not be funded under the proposed arrangement);</w:t>
      </w:r>
    </w:p>
    <w:p w14:paraId="29293661" w14:textId="77777777" w:rsidR="003536B8" w:rsidRPr="00AE5B3E" w:rsidRDefault="003536B8" w:rsidP="003536B8">
      <w:pPr>
        <w:pStyle w:val="ListParagraph"/>
        <w:numPr>
          <w:ilvl w:val="0"/>
          <w:numId w:val="46"/>
        </w:numPr>
        <w:tabs>
          <w:tab w:val="num" w:pos="360"/>
        </w:tabs>
        <w:ind w:left="1077" w:hanging="357"/>
        <w:contextualSpacing w:val="0"/>
      </w:pPr>
      <w:r w:rsidRPr="00AE5B3E">
        <w:t>indication for use of CAR-T – for example bridge to stem cell transplant, following transplant; and</w:t>
      </w:r>
    </w:p>
    <w:p w14:paraId="0A9E0895" w14:textId="1C8CE4CE" w:rsidR="003536B8" w:rsidRPr="00AE5B3E" w:rsidRDefault="003536B8" w:rsidP="00606379">
      <w:pPr>
        <w:pStyle w:val="ListParagraph"/>
        <w:numPr>
          <w:ilvl w:val="0"/>
          <w:numId w:val="46"/>
        </w:numPr>
        <w:tabs>
          <w:tab w:val="num" w:pos="360"/>
        </w:tabs>
        <w:spacing w:after="240"/>
        <w:ind w:left="1077" w:hanging="357"/>
        <w:contextualSpacing w:val="0"/>
      </w:pPr>
      <w:r w:rsidRPr="00AE5B3E">
        <w:t>results for patients infused with non-optimal cell numbers (noting that for the purposes of subsidy, this is consid</w:t>
      </w:r>
      <w:r w:rsidR="00606379">
        <w:t>ered an unsuccessful infusion).</w:t>
      </w:r>
    </w:p>
    <w:p w14:paraId="6BBBF419" w14:textId="77777777" w:rsidR="003536B8" w:rsidRPr="00AE5B3E" w:rsidRDefault="003536B8" w:rsidP="003536B8">
      <w:r w:rsidRPr="00AE5B3E">
        <w:t>Finally MSAC noted the considerable number of clinical trials being conducted with CAR-T cell therapies across a range of indications and the very high associated funding implications.</w:t>
      </w:r>
    </w:p>
    <w:p w14:paraId="24905739" w14:textId="77777777" w:rsidR="003536B8" w:rsidRPr="00AE5B3E" w:rsidRDefault="003536B8" w:rsidP="003536B8">
      <w:r w:rsidRPr="00AE5B3E">
        <w:t xml:space="preserve">MSAC advised the Minister consider rapidly putting in place further risk mitigation strategies, including, but not limited to utilising the competition between different CAR-T cell therapies to achieve the most efficient price for this service across all indications; and </w:t>
      </w:r>
      <w:r w:rsidRPr="00AE5B3E">
        <w:lastRenderedPageBreak/>
        <w:t>limiting the number of designated treatment centres to balance the need to provide access to patients from all parts of Australia whilst also ensuring availability of sufficient expertise and efficient use of hospital resources.</w:t>
      </w:r>
    </w:p>
    <w:p w14:paraId="30D550C7" w14:textId="58623DC8" w:rsidR="001827D7" w:rsidRDefault="003536B8" w:rsidP="005B1B02">
      <w:pPr>
        <w:pStyle w:val="Heading1"/>
      </w:pPr>
      <w:r w:rsidRPr="00F715D1">
        <w:t>MSAC’s advice to the Minister</w:t>
      </w:r>
      <w:r>
        <w:t xml:space="preserve"> – August 2019</w:t>
      </w:r>
    </w:p>
    <w:p w14:paraId="32D20F5F" w14:textId="1FA3D3F1" w:rsidR="00581EE3" w:rsidRPr="00D420AF" w:rsidRDefault="00581EE3" w:rsidP="00D420AF">
      <w:pPr>
        <w:spacing w:after="240"/>
      </w:pPr>
      <w:r w:rsidRPr="00D420AF">
        <w:t>After considering the strength of the available evidence in relation to comparative safety, clinical effectiveness and cost-effectiveness, MSAC did not support public funding for tisagenlecleucel for the treatment of adults with confirmed relapsed/refractory diffuse large B-cell lymphoma (r/r DLBCL). MSAC recognised the unmet clinical need and accepted that tisagenlecleucel had been shown to be clinically effective in some patients. However, MSAC considered more work is needed to identify the patients most likely to benefit from treatment and, based on the outcomes of that work, to refine the estimates of number of patients and financial impact of subsidy. MSAC continued to have some concerns regarding the effectiveness and cost-effectiveness of tisagenlecleucel.</w:t>
      </w:r>
    </w:p>
    <w:tbl>
      <w:tblPr>
        <w:tblStyle w:val="TableGrid"/>
        <w:tblW w:w="0" w:type="auto"/>
        <w:tblLook w:val="04A0" w:firstRow="1" w:lastRow="0" w:firstColumn="1" w:lastColumn="0" w:noHBand="0" w:noVBand="1"/>
        <w:tblDescription w:val="Consumer summary of MSAC consideration"/>
      </w:tblPr>
      <w:tblGrid>
        <w:gridCol w:w="9016"/>
      </w:tblGrid>
      <w:tr w:rsidR="006B42ED" w14:paraId="525CC567" w14:textId="77777777" w:rsidTr="005B1B02">
        <w:trPr>
          <w:tblHeader/>
        </w:trPr>
        <w:tc>
          <w:tcPr>
            <w:tcW w:w="9016" w:type="dxa"/>
          </w:tcPr>
          <w:p w14:paraId="2E0008C2" w14:textId="77777777" w:rsidR="006B42ED" w:rsidRDefault="006B42ED" w:rsidP="005B1B02">
            <w:pPr>
              <w:spacing w:before="120" w:after="120"/>
            </w:pPr>
            <w:r w:rsidRPr="003A48A9">
              <w:rPr>
                <w:rFonts w:ascii="Times New Roman" w:hAnsi="Times New Roman" w:cs="Times New Roman"/>
                <w:b/>
              </w:rPr>
              <w:t>Consumer summary</w:t>
            </w:r>
          </w:p>
        </w:tc>
      </w:tr>
      <w:tr w:rsidR="006B42ED" w14:paraId="5059356B" w14:textId="77777777" w:rsidTr="005B1B02">
        <w:tc>
          <w:tcPr>
            <w:tcW w:w="9016" w:type="dxa"/>
          </w:tcPr>
          <w:p w14:paraId="4C0DF2D5" w14:textId="2C03E1AC" w:rsidR="006B42ED" w:rsidRPr="00AE5B3E" w:rsidRDefault="006B42ED" w:rsidP="005B1B02">
            <w:pPr>
              <w:spacing w:before="120" w:after="240"/>
              <w:rPr>
                <w:rFonts w:ascii="Times New Roman" w:hAnsi="Times New Roman" w:cs="Times New Roman"/>
              </w:rPr>
            </w:pPr>
            <w:r w:rsidRPr="00AE5B3E">
              <w:rPr>
                <w:rFonts w:ascii="Times New Roman" w:hAnsi="Times New Roman" w:cs="Times New Roman"/>
              </w:rPr>
              <w:t>Tisagenlecleucel (TIS) is a type of chimeric antigen receptor T cell (CAR-T) therapy. CAR-T therapy is used when patients with some types of cancer, such as lymphoma or leukaemia, don’t respond to (otherwise known as refractory), or relapse after, other types of treatment, such as chemotherapy. CAR-T therapy involves taking some of the patient’s own blood, and sending it to a laboratory where the T cells are extracted and altered so that they can attack cancer cells. The patient’s changed T cell are infused back into them to target and kill the cancer cells in the patient’s body.</w:t>
            </w:r>
          </w:p>
          <w:p w14:paraId="4E29BD3B" w14:textId="77777777" w:rsidR="006B42ED" w:rsidRPr="00AE5B3E" w:rsidRDefault="006B42ED" w:rsidP="005B1B02">
            <w:pPr>
              <w:spacing w:after="240"/>
              <w:rPr>
                <w:rFonts w:ascii="Times New Roman" w:hAnsi="Times New Roman" w:cs="Times New Roman"/>
              </w:rPr>
            </w:pPr>
            <w:r w:rsidRPr="00AE5B3E">
              <w:rPr>
                <w:rFonts w:ascii="Times New Roman" w:hAnsi="Times New Roman" w:cs="Times New Roman"/>
              </w:rPr>
              <w:t>This application requested public funding for TIS for patients with relapsed or refractory diffuse large B-cell lymphoma, or DLBCL.</w:t>
            </w:r>
          </w:p>
          <w:p w14:paraId="324D50D5" w14:textId="09756CF7" w:rsidR="006B42ED" w:rsidRPr="00AE5B3E" w:rsidRDefault="006B42ED" w:rsidP="005B1B02">
            <w:pPr>
              <w:spacing w:after="120"/>
              <w:rPr>
                <w:rFonts w:ascii="Times New Roman" w:hAnsi="Times New Roman" w:cs="Times New Roman"/>
                <w:b/>
              </w:rPr>
            </w:pPr>
            <w:r w:rsidRPr="00AE5B3E">
              <w:rPr>
                <w:rFonts w:ascii="Times New Roman" w:hAnsi="Times New Roman" w:cs="Times New Roman"/>
                <w:b/>
              </w:rPr>
              <w:t xml:space="preserve">MSAC’s August 2019 </w:t>
            </w:r>
            <w:r w:rsidR="00313528">
              <w:rPr>
                <w:rFonts w:ascii="Times New Roman" w:hAnsi="Times New Roman" w:cs="Times New Roman"/>
                <w:b/>
              </w:rPr>
              <w:t>advice</w:t>
            </w:r>
            <w:r w:rsidRPr="00AE5B3E">
              <w:rPr>
                <w:rFonts w:ascii="Times New Roman" w:hAnsi="Times New Roman" w:cs="Times New Roman"/>
                <w:b/>
              </w:rPr>
              <w:t xml:space="preserve"> to the Commonwealth Minister</w:t>
            </w:r>
            <w:r w:rsidR="00313528">
              <w:rPr>
                <w:rFonts w:ascii="Times New Roman" w:hAnsi="Times New Roman" w:cs="Times New Roman"/>
                <w:b/>
              </w:rPr>
              <w:t xml:space="preserve"> for Health</w:t>
            </w:r>
          </w:p>
          <w:p w14:paraId="5B22D165" w14:textId="77777777" w:rsidR="006B42ED" w:rsidRPr="00AE5B3E" w:rsidRDefault="006B42ED" w:rsidP="005B1B02">
            <w:pPr>
              <w:spacing w:after="240"/>
              <w:rPr>
                <w:rFonts w:ascii="Times New Roman" w:hAnsi="Times New Roman" w:cs="Times New Roman"/>
              </w:rPr>
            </w:pPr>
            <w:r w:rsidRPr="00AE5B3E">
              <w:rPr>
                <w:rFonts w:ascii="Times New Roman" w:hAnsi="Times New Roman" w:cs="Times New Roman"/>
              </w:rPr>
              <w:t xml:space="preserve">MSAC did not support public funding for TIS for DLBCL at this time because, based on the information in the application, it is not sure how well TIS works for people with DLBCL and the sponsor has asked for a very high price for TIS. TIS can be a very toxic therapy and it can’t be used in all patients with DLBCL. MSAC felt that more work needs to be done to help doctors and patients choose whether to use TIS. </w:t>
            </w:r>
          </w:p>
          <w:p w14:paraId="61C7FD9C" w14:textId="77777777" w:rsidR="006B42ED" w:rsidRPr="00AE5B3E" w:rsidRDefault="006B42ED" w:rsidP="005B1B02">
            <w:pPr>
              <w:spacing w:after="120"/>
              <w:rPr>
                <w:rFonts w:ascii="Times New Roman" w:hAnsi="Times New Roman" w:cs="Times New Roman"/>
              </w:rPr>
            </w:pPr>
            <w:r w:rsidRPr="00AE5B3E">
              <w:rPr>
                <w:rFonts w:ascii="Times New Roman" w:hAnsi="Times New Roman" w:cs="Times New Roman"/>
              </w:rPr>
              <w:t>MSAC did not accept parts of the sponsor’s economic evaluation of TIS treatment. MSAC also could not calculate how many people might need TIS each year, so it could not estimate the financial impact of funding. MSAC has asked the sponsor to do more work to address these issues.</w:t>
            </w:r>
          </w:p>
        </w:tc>
      </w:tr>
    </w:tbl>
    <w:p w14:paraId="158FA2F6" w14:textId="56DB1DFA" w:rsidR="00581EE3" w:rsidRPr="00581EE3" w:rsidRDefault="00581EE3" w:rsidP="00606379">
      <w:pPr>
        <w:spacing w:before="240"/>
        <w:rPr>
          <w:rFonts w:ascii="Arial" w:hAnsi="Arial"/>
          <w:b/>
          <w:bCs/>
          <w:szCs w:val="28"/>
        </w:rPr>
      </w:pPr>
      <w:r w:rsidRPr="00581EE3">
        <w:rPr>
          <w:rFonts w:ascii="Arial" w:hAnsi="Arial"/>
          <w:b/>
          <w:bCs/>
          <w:szCs w:val="28"/>
        </w:rPr>
        <w:t>Summary of consideration and rationale for MSAC’s advice</w:t>
      </w:r>
      <w:r>
        <w:rPr>
          <w:rFonts w:ascii="Arial" w:hAnsi="Arial"/>
          <w:b/>
          <w:bCs/>
          <w:szCs w:val="28"/>
        </w:rPr>
        <w:t xml:space="preserve"> – August 2019</w:t>
      </w:r>
    </w:p>
    <w:p w14:paraId="16FB48B8" w14:textId="5993C8EA" w:rsidR="001925B9" w:rsidRPr="00581EE3" w:rsidRDefault="001925B9" w:rsidP="00581EE3">
      <w:pPr>
        <w:spacing w:before="240"/>
        <w:rPr>
          <w:szCs w:val="24"/>
        </w:rPr>
      </w:pPr>
      <w:r w:rsidRPr="00581EE3">
        <w:rPr>
          <w:szCs w:val="24"/>
        </w:rPr>
        <w:t>This application was a resubmission for tisagenlecleucel (TIS) for treatment of relapsed or refractory DLBCL</w:t>
      </w:r>
      <w:r w:rsidR="00F824E9" w:rsidRPr="00581EE3">
        <w:rPr>
          <w:szCs w:val="24"/>
        </w:rPr>
        <w:t>.</w:t>
      </w:r>
    </w:p>
    <w:p w14:paraId="412166AD" w14:textId="682EE8D5" w:rsidR="001925B9" w:rsidRPr="00AB75A3" w:rsidRDefault="001925B9" w:rsidP="00581EE3">
      <w:pPr>
        <w:pStyle w:val="Heading2"/>
        <w:spacing w:before="240"/>
      </w:pPr>
      <w:r w:rsidRPr="00AB75A3">
        <w:t>Applicant hearing</w:t>
      </w:r>
    </w:p>
    <w:p w14:paraId="396CDEA7" w14:textId="77777777" w:rsidR="00E32A5D" w:rsidRDefault="001925B9" w:rsidP="000F6762">
      <w:pPr>
        <w:spacing w:after="240"/>
      </w:pPr>
      <w:r>
        <w:t>The applicant was granted a hearing, which included a slide p</w:t>
      </w:r>
      <w:r w:rsidR="000F6762">
        <w:t>resentation.</w:t>
      </w:r>
    </w:p>
    <w:p w14:paraId="20A68469" w14:textId="77777777" w:rsidR="00F8279B" w:rsidRDefault="0036260D" w:rsidP="000F6762">
      <w:pPr>
        <w:spacing w:after="240"/>
      </w:pPr>
      <w:r>
        <w:t xml:space="preserve">MSAC first heard from an Australia clinician who has treated a number of </w:t>
      </w:r>
      <w:r w:rsidR="007A7B8F">
        <w:t xml:space="preserve">r/r </w:t>
      </w:r>
      <w:r>
        <w:t xml:space="preserve">DLBCL patients with TIS. The clinician described their experience using this therapy and presented </w:t>
      </w:r>
      <w:r>
        <w:lastRenderedPageBreak/>
        <w:t>clinical vignettes for two patients. Overall</w:t>
      </w:r>
      <w:r w:rsidR="00FF1DCF">
        <w:t>,</w:t>
      </w:r>
      <w:r>
        <w:t xml:space="preserve"> the clinician considered TIS </w:t>
      </w:r>
      <w:r w:rsidR="007A7B8F">
        <w:t>provides an important new therapeutic option for patients with r/r DLBCL</w:t>
      </w:r>
      <w:r w:rsidR="00FF1DCF">
        <w:t xml:space="preserve"> who have limited other treatment options</w:t>
      </w:r>
      <w:r w:rsidR="000F6762">
        <w:t>.</w:t>
      </w:r>
    </w:p>
    <w:p w14:paraId="2F327E85" w14:textId="77777777" w:rsidR="001925B9" w:rsidRDefault="001925B9" w:rsidP="000F6762">
      <w:pPr>
        <w:spacing w:after="240"/>
      </w:pPr>
      <w:r>
        <w:t xml:space="preserve">The applicant </w:t>
      </w:r>
      <w:r w:rsidR="00E32A5D">
        <w:t xml:space="preserve">focussed on </w:t>
      </w:r>
      <w:r>
        <w:t>the</w:t>
      </w:r>
      <w:r w:rsidR="0036260D">
        <w:t xml:space="preserve"> </w:t>
      </w:r>
      <w:r>
        <w:t xml:space="preserve">use of the spline versus lognormal </w:t>
      </w:r>
      <w:r w:rsidR="00E32A5D">
        <w:t>extrapolation</w:t>
      </w:r>
      <w:r w:rsidR="00F8279B">
        <w:t xml:space="preserve"> methods</w:t>
      </w:r>
      <w:r w:rsidR="00E32A5D">
        <w:t xml:space="preserve"> </w:t>
      </w:r>
      <w:r>
        <w:t xml:space="preserve">in the </w:t>
      </w:r>
      <w:r w:rsidR="00E32A5D">
        <w:t xml:space="preserve">modelled </w:t>
      </w:r>
      <w:r>
        <w:t xml:space="preserve">economic evaluation, and </w:t>
      </w:r>
      <w:r w:rsidR="00E32A5D">
        <w:t>argu</w:t>
      </w:r>
      <w:r w:rsidR="00F8279B">
        <w:t>ed</w:t>
      </w:r>
      <w:r>
        <w:t xml:space="preserve"> that </w:t>
      </w:r>
      <w:r w:rsidR="00F8279B">
        <w:t>a</w:t>
      </w:r>
      <w:r>
        <w:t xml:space="preserve"> spline </w:t>
      </w:r>
      <w:r w:rsidR="00F8279B">
        <w:t xml:space="preserve">extrapolation method </w:t>
      </w:r>
      <w:r>
        <w:t xml:space="preserve">was </w:t>
      </w:r>
      <w:r w:rsidR="002051A9">
        <w:t xml:space="preserve">better </w:t>
      </w:r>
      <w:r>
        <w:t xml:space="preserve">suited to the data than </w:t>
      </w:r>
      <w:r w:rsidR="00F8279B">
        <w:t xml:space="preserve">a </w:t>
      </w:r>
      <w:r>
        <w:t xml:space="preserve">lognormal </w:t>
      </w:r>
      <w:r w:rsidR="00F8279B">
        <w:t>extrapolation method</w:t>
      </w:r>
      <w:r>
        <w:t xml:space="preserve">. </w:t>
      </w:r>
      <w:r w:rsidR="00F8279B">
        <w:t xml:space="preserve">The </w:t>
      </w:r>
      <w:r w:rsidR="004722CD">
        <w:t xml:space="preserve">applicant </w:t>
      </w:r>
      <w:r w:rsidR="00F8279B">
        <w:t xml:space="preserve"> considered </w:t>
      </w:r>
      <w:r w:rsidR="002051A9">
        <w:t xml:space="preserve">that the </w:t>
      </w:r>
      <w:r w:rsidR="00F8279B">
        <w:t>l</w:t>
      </w:r>
      <w:r>
        <w:t xml:space="preserve">ognormal </w:t>
      </w:r>
      <w:r w:rsidR="00F8279B">
        <w:t xml:space="preserve">extrapolation </w:t>
      </w:r>
      <w:r w:rsidR="002051A9">
        <w:t xml:space="preserve">was </w:t>
      </w:r>
      <w:r w:rsidR="00F8279B">
        <w:t xml:space="preserve">overly </w:t>
      </w:r>
      <w:r>
        <w:t>conservative and inconsistent with the observed data to date, and</w:t>
      </w:r>
      <w:r w:rsidR="00F8279B">
        <w:t xml:space="preserve"> </w:t>
      </w:r>
      <w:r w:rsidR="00FF4F7F">
        <w:t xml:space="preserve">expressed the view that a lognormal extrapolation </w:t>
      </w:r>
      <w:r>
        <w:t>un</w:t>
      </w:r>
      <w:r w:rsidR="000F6762">
        <w:t>derestimates the effect of TIS.</w:t>
      </w:r>
    </w:p>
    <w:p w14:paraId="3F2C8E02" w14:textId="77777777" w:rsidR="001925B9" w:rsidRDefault="001925B9" w:rsidP="000F6762">
      <w:pPr>
        <w:spacing w:after="240"/>
      </w:pPr>
      <w:r>
        <w:t xml:space="preserve">MSAC asked the applicant about the proportion of </w:t>
      </w:r>
      <w:r w:rsidR="007A7B8F">
        <w:t xml:space="preserve">r/r DLBCL </w:t>
      </w:r>
      <w:r>
        <w:t xml:space="preserve">patients who might be </w:t>
      </w:r>
      <w:r w:rsidR="007A7B8F">
        <w:t xml:space="preserve">treated with </w:t>
      </w:r>
      <w:r>
        <w:t xml:space="preserve">TIS </w:t>
      </w:r>
      <w:r w:rsidR="00FF1DCF">
        <w:t xml:space="preserve">in Australia </w:t>
      </w:r>
      <w:r w:rsidR="007A7B8F">
        <w:t xml:space="preserve">if the conditions of subsidy were aligned with </w:t>
      </w:r>
      <w:r>
        <w:t xml:space="preserve">the Therapeutic Goods Administration (TGA) </w:t>
      </w:r>
      <w:r w:rsidR="007A7B8F">
        <w:t>approved indication</w:t>
      </w:r>
      <w:r>
        <w:t xml:space="preserve">. The </w:t>
      </w:r>
      <w:r w:rsidR="007A7B8F">
        <w:t>clinic</w:t>
      </w:r>
      <w:r w:rsidR="00F47A97">
        <w:t>i</w:t>
      </w:r>
      <w:r w:rsidR="007A7B8F">
        <w:t>an</w:t>
      </w:r>
      <w:r>
        <w:t xml:space="preserve"> noted that</w:t>
      </w:r>
      <w:r w:rsidR="007A7B8F">
        <w:t xml:space="preserve"> in practice</w:t>
      </w:r>
      <w:r>
        <w:t xml:space="preserve"> </w:t>
      </w:r>
      <w:r w:rsidR="007A7B8F">
        <w:t>patient suitability for TIS will be</w:t>
      </w:r>
      <w:r>
        <w:t xml:space="preserve"> based on</w:t>
      </w:r>
      <w:r w:rsidR="007A7B8F">
        <w:t xml:space="preserve"> considerations including the patient</w:t>
      </w:r>
      <w:r w:rsidR="00FF4F7F">
        <w:t>’</w:t>
      </w:r>
      <w:r w:rsidR="007A7B8F">
        <w:t>s</w:t>
      </w:r>
      <w:r>
        <w:t xml:space="preserve"> performance status</w:t>
      </w:r>
      <w:r w:rsidR="007A7B8F">
        <w:t xml:space="preserve"> and</w:t>
      </w:r>
      <w:r>
        <w:t xml:space="preserve"> renal function. Older patients are more likely to have comorbidities that would render them </w:t>
      </w:r>
      <w:r w:rsidR="007A7B8F">
        <w:t>unsuitable</w:t>
      </w:r>
      <w:r>
        <w:t xml:space="preserve"> for TIS. </w:t>
      </w:r>
      <w:r w:rsidR="007A7B8F">
        <w:t>However,</w:t>
      </w:r>
      <w:r w:rsidR="004A79E5">
        <w:t xml:space="preserve"> </w:t>
      </w:r>
      <w:r w:rsidR="007A7B8F">
        <w:t xml:space="preserve">the clinician considered </w:t>
      </w:r>
      <w:r w:rsidR="003E7734">
        <w:t xml:space="preserve">it likely </w:t>
      </w:r>
      <w:r w:rsidR="007A7B8F">
        <w:t xml:space="preserve">that in Australian clinical </w:t>
      </w:r>
      <w:r w:rsidR="007A7B8F" w:rsidRPr="00B516BD">
        <w:t>practice</w:t>
      </w:r>
      <w:r w:rsidR="004F7FEF" w:rsidRPr="00B516BD">
        <w:t xml:space="preserve"> slightly</w:t>
      </w:r>
      <w:r w:rsidR="007A7B8F" w:rsidRPr="00B516BD">
        <w:t xml:space="preserve"> more patients would be found suitable for therapy than in the </w:t>
      </w:r>
      <w:r w:rsidRPr="00B516BD">
        <w:t xml:space="preserve">JULIET </w:t>
      </w:r>
      <w:r w:rsidR="007A7B8F" w:rsidRPr="00B516BD">
        <w:t xml:space="preserve">clinical </w:t>
      </w:r>
      <w:r w:rsidRPr="00B516BD">
        <w:t>trial</w:t>
      </w:r>
      <w:r w:rsidR="00F47A97" w:rsidRPr="00B516BD">
        <w:t>,</w:t>
      </w:r>
      <w:r w:rsidR="007A7B8F" w:rsidRPr="00B516BD">
        <w:t xml:space="preserve"> where less than half of all screened patients went on to receive TIS (see also Figure </w:t>
      </w:r>
      <w:r w:rsidR="00FF1DCF" w:rsidRPr="00B516BD">
        <w:t>1 below</w:t>
      </w:r>
      <w:r w:rsidR="004A79E5" w:rsidRPr="00B516BD">
        <w:t xml:space="preserve">). In their experience, more patients who begin manufacturing turn out to receive treatment. </w:t>
      </w:r>
      <w:r w:rsidR="004F7FEF" w:rsidRPr="00B516BD">
        <w:t>This was due to improvements in manufacturing turnaround and capacity in the commercial setting, as compared to the trial setting.</w:t>
      </w:r>
    </w:p>
    <w:p w14:paraId="2B50A677" w14:textId="50D4C440" w:rsidR="001925B9" w:rsidRDefault="001925B9" w:rsidP="000F6762">
      <w:pPr>
        <w:spacing w:after="240"/>
      </w:pPr>
      <w:r>
        <w:t xml:space="preserve">MSAC </w:t>
      </w:r>
      <w:r w:rsidR="002051A9">
        <w:t xml:space="preserve">asked </w:t>
      </w:r>
      <w:r w:rsidR="00F47A97">
        <w:t xml:space="preserve">why </w:t>
      </w:r>
      <w:r w:rsidR="00FF4F7F">
        <w:t xml:space="preserve">the modelled ICERs were similar for the DLBCL and </w:t>
      </w:r>
      <w:r w:rsidR="00EB4895" w:rsidRPr="00740F16">
        <w:t>p</w:t>
      </w:r>
      <w:r w:rsidR="00EB4895">
        <w:t>a</w:t>
      </w:r>
      <w:r w:rsidR="00EB4895" w:rsidRPr="00740F16">
        <w:t>ediatric acute lymphoblastic leukemia</w:t>
      </w:r>
      <w:r w:rsidR="00EB4895">
        <w:t xml:space="preserve"> (</w:t>
      </w:r>
      <w:r w:rsidR="00FF4F7F">
        <w:t>pALL</w:t>
      </w:r>
      <w:r w:rsidR="00EB4895">
        <w:t>)</w:t>
      </w:r>
      <w:r w:rsidR="00FF4F7F">
        <w:t xml:space="preserve"> populations despite the large differences i</w:t>
      </w:r>
      <w:r w:rsidR="003724B7">
        <w:t xml:space="preserve">n </w:t>
      </w:r>
      <w:r w:rsidR="00FF4F7F">
        <w:t xml:space="preserve">modelled life-years </w:t>
      </w:r>
      <w:r w:rsidR="003724B7">
        <w:t xml:space="preserve">(LYs) </w:t>
      </w:r>
      <w:r w:rsidR="00FF4F7F">
        <w:t>gained</w:t>
      </w:r>
      <w:r w:rsidR="003724B7">
        <w:t>.</w:t>
      </w:r>
      <w:r w:rsidR="00FF4F7F">
        <w:t xml:space="preserve"> </w:t>
      </w:r>
      <w:r w:rsidR="003724B7">
        <w:t xml:space="preserve">MSAC noted that the economic model for the pALL population (for which funding was considered and accepted by MSAC in April 2019) estimated 6.8 life-years gained and an incremental cost-effectiveness ratio (ICER) </w:t>
      </w:r>
      <w:r w:rsidR="003724B7" w:rsidRPr="00B32CEF">
        <w:t>of about $</w:t>
      </w:r>
      <w:r w:rsidR="000D0600" w:rsidRPr="00B32CEF">
        <w:rPr>
          <w:b/>
        </w:rPr>
        <w:t>redacted</w:t>
      </w:r>
      <w:r w:rsidR="000D0600" w:rsidRPr="00B32CEF">
        <w:t xml:space="preserve"> </w:t>
      </w:r>
      <w:r w:rsidR="003724B7" w:rsidRPr="00B32CEF">
        <w:t>per QALY.</w:t>
      </w:r>
      <w:r w:rsidRPr="00B32CEF">
        <w:t xml:space="preserve"> </w:t>
      </w:r>
      <w:r w:rsidR="003724B7" w:rsidRPr="00B32CEF">
        <w:t>By contrast t</w:t>
      </w:r>
      <w:r w:rsidRPr="00B32CEF">
        <w:t xml:space="preserve">he </w:t>
      </w:r>
      <w:r w:rsidR="003724B7" w:rsidRPr="00B32CEF">
        <w:t xml:space="preserve">economic model for the </w:t>
      </w:r>
      <w:r w:rsidRPr="00B32CEF">
        <w:t xml:space="preserve">DLBCL </w:t>
      </w:r>
      <w:r w:rsidR="003724B7" w:rsidRPr="00B32CEF">
        <w:t>population</w:t>
      </w:r>
      <w:r w:rsidR="00F47A97" w:rsidRPr="00B32CEF">
        <w:t xml:space="preserve"> estimated </w:t>
      </w:r>
      <w:r w:rsidRPr="00B32CEF">
        <w:t>an increment of 1.4 LYs and an ICER of $</w:t>
      </w:r>
      <w:r w:rsidR="000D0600" w:rsidRPr="00B32CEF">
        <w:rPr>
          <w:b/>
        </w:rPr>
        <w:t>redacted</w:t>
      </w:r>
      <w:r w:rsidR="000D0600" w:rsidRPr="00B32CEF">
        <w:t xml:space="preserve"> </w:t>
      </w:r>
      <w:r w:rsidRPr="00B32CEF">
        <w:t>per QALY</w:t>
      </w:r>
      <w:r w:rsidR="0016194B" w:rsidRPr="00B32CEF">
        <w:t>. The applicant was unable to provide an explanation for this at the hearing</w:t>
      </w:r>
      <w:r w:rsidR="004F7FEF" w:rsidRPr="00B32CEF">
        <w:t xml:space="preserve"> which satisfied the MSAC</w:t>
      </w:r>
      <w:r w:rsidR="0016194B" w:rsidRPr="00B32CEF">
        <w:t xml:space="preserve">. </w:t>
      </w:r>
      <w:r w:rsidR="005730A7" w:rsidRPr="00B32CEF">
        <w:t>This point is discussed</w:t>
      </w:r>
      <w:r w:rsidR="005730A7">
        <w:t xml:space="preserve"> </w:t>
      </w:r>
      <w:r w:rsidR="0016194B">
        <w:t xml:space="preserve">further </w:t>
      </w:r>
      <w:r w:rsidR="005730A7">
        <w:t>below.</w:t>
      </w:r>
    </w:p>
    <w:p w14:paraId="500EDE80" w14:textId="77777777" w:rsidR="001925B9" w:rsidRDefault="001011DD" w:rsidP="000F6762">
      <w:pPr>
        <w:spacing w:after="240"/>
      </w:pPr>
      <w:r>
        <w:t>In response to being asked whether there are any randomised controlled studies being conducted in this patient population, t</w:t>
      </w:r>
      <w:r w:rsidR="001925B9">
        <w:t xml:space="preserve">he applicant </w:t>
      </w:r>
      <w:r>
        <w:t xml:space="preserve">indicated </w:t>
      </w:r>
      <w:r w:rsidR="001925B9">
        <w:t xml:space="preserve">there are three international multicentre randomised controlled trials currently looking at CAR-T </w:t>
      </w:r>
      <w:r>
        <w:t xml:space="preserve">therapy </w:t>
      </w:r>
      <w:r w:rsidR="001925B9">
        <w:t>compared with autologous stem cell transplant in DLBCL patients who relapse within 12</w:t>
      </w:r>
      <w:r w:rsidR="002051A9">
        <w:t xml:space="preserve"> </w:t>
      </w:r>
      <w:r w:rsidR="001925B9">
        <w:t xml:space="preserve">months of diagnosis. However, </w:t>
      </w:r>
      <w:r>
        <w:t xml:space="preserve">these </w:t>
      </w:r>
      <w:r w:rsidR="001925B9">
        <w:t>trials are still</w:t>
      </w:r>
      <w:r>
        <w:t xml:space="preserve"> in the</w:t>
      </w:r>
      <w:r w:rsidR="001925B9">
        <w:t xml:space="preserve"> recruit</w:t>
      </w:r>
      <w:r>
        <w:t>ment stage. The applicant stated it was not aware of any ongoing randomised controlled studies in patients whose disease has relapsed after</w:t>
      </w:r>
      <w:r w:rsidRPr="001011DD">
        <w:t xml:space="preserve"> autologous stem cell transplant</w:t>
      </w:r>
      <w:r w:rsidR="00FF1DCF">
        <w:t>, ie the majority of the population in whom subsidy is currently proposed</w:t>
      </w:r>
      <w:r>
        <w:t>.</w:t>
      </w:r>
    </w:p>
    <w:p w14:paraId="657AA1F9" w14:textId="77777777" w:rsidR="001925B9" w:rsidRPr="000F6762" w:rsidRDefault="001925B9" w:rsidP="000F6762">
      <w:pPr>
        <w:pStyle w:val="Heading3"/>
        <w:spacing w:before="0" w:after="120"/>
        <w:rPr>
          <w:rFonts w:ascii="Times New Roman" w:hAnsi="Times New Roman" w:cs="Times New Roman"/>
          <w:b/>
          <w:color w:val="auto"/>
        </w:rPr>
      </w:pPr>
      <w:r w:rsidRPr="006318D8">
        <w:rPr>
          <w:rFonts w:ascii="Times New Roman" w:hAnsi="Times New Roman" w:cs="Times New Roman"/>
          <w:b/>
          <w:color w:val="auto"/>
        </w:rPr>
        <w:t>MSAC discussion</w:t>
      </w:r>
    </w:p>
    <w:p w14:paraId="2CA4C69E" w14:textId="77777777" w:rsidR="004C4107" w:rsidRDefault="00B227E9" w:rsidP="000F6762">
      <w:pPr>
        <w:spacing w:after="240"/>
      </w:pPr>
      <w:r>
        <w:t xml:space="preserve">The MSAC noted that the population treated in the key clinical study, JULIET (C2201) was narrower </w:t>
      </w:r>
      <w:r w:rsidR="00EB4895">
        <w:t xml:space="preserve">than </w:t>
      </w:r>
      <w:r>
        <w:t xml:space="preserve">the population for whom subsidy is proposed, </w:t>
      </w:r>
      <w:r w:rsidR="001936EC">
        <w:t xml:space="preserve">as </w:t>
      </w:r>
      <w:r>
        <w:t>a significant proportion of the</w:t>
      </w:r>
      <w:r w:rsidR="002051A9">
        <w:t xml:space="preserve"> screened</w:t>
      </w:r>
      <w:r>
        <w:t xml:space="preserve"> patient</w:t>
      </w:r>
      <w:r w:rsidR="001936EC">
        <w:t xml:space="preserve"> population did</w:t>
      </w:r>
      <w:r>
        <w:t xml:space="preserve"> not meet the eligibility criteria (see Figure </w:t>
      </w:r>
      <w:r w:rsidR="00DF2A45">
        <w:t>3</w:t>
      </w:r>
      <w:r>
        <w:t>)</w:t>
      </w:r>
      <w:r w:rsidR="00FF1DCF">
        <w:t>. The MSAC further noted the JULIET eligibility criteria</w:t>
      </w:r>
      <w:r w:rsidR="004C4107">
        <w:t xml:space="preserve"> </w:t>
      </w:r>
      <w:r w:rsidR="001936EC">
        <w:t>considered</w:t>
      </w:r>
      <w:r w:rsidR="004C4107">
        <w:t xml:space="preserve"> the fitness of the patient to receive treatment with TIS</w:t>
      </w:r>
      <w:r w:rsidR="00FF1DCF">
        <w:t>, and consequently are highly relevant to establishing the conditions of use of TIS in Australia.</w:t>
      </w:r>
    </w:p>
    <w:p w14:paraId="4F4BE9D8" w14:textId="5CE90AF7" w:rsidR="00DF2A45" w:rsidRDefault="00B227E9" w:rsidP="00606379">
      <w:pPr>
        <w:spacing w:after="240"/>
      </w:pPr>
      <w:r>
        <w:t xml:space="preserve">In addition, even amongst those patients eligible to enrol in the </w:t>
      </w:r>
      <w:r w:rsidR="004C4107">
        <w:t xml:space="preserve">JULIET </w:t>
      </w:r>
      <w:r>
        <w:t xml:space="preserve">study, around </w:t>
      </w:r>
      <w:r w:rsidR="00FF1DCF">
        <w:t>one-third</w:t>
      </w:r>
      <w:r>
        <w:t xml:space="preserve"> did not go on to receive treatment with TIS</w:t>
      </w:r>
      <w:r w:rsidR="004C4107">
        <w:t>; including 16/165 patients who died</w:t>
      </w:r>
      <w:r w:rsidR="00FF1DCF" w:rsidRPr="00FF1DCF">
        <w:t>, between enrolment and infusion</w:t>
      </w:r>
      <w:r w:rsidR="00FF1DCF">
        <w:t>,</w:t>
      </w:r>
      <w:r w:rsidR="00FF1DCF" w:rsidRPr="00FF1DCF">
        <w:t xml:space="preserve"> </w:t>
      </w:r>
      <w:r w:rsidR="004C4107">
        <w:t xml:space="preserve">and a further 16/165 who </w:t>
      </w:r>
      <w:r w:rsidR="00EA046C" w:rsidRPr="004C4107">
        <w:t>had their treating physician decide against further participation</w:t>
      </w:r>
      <w:r w:rsidR="004C4107">
        <w:t xml:space="preserve"> </w:t>
      </w:r>
      <w:r w:rsidR="00606379">
        <w:t>between enrolment and infusion.</w:t>
      </w:r>
    </w:p>
    <w:p w14:paraId="2E56D4D8" w14:textId="77777777" w:rsidR="00B227E9" w:rsidRPr="000F6762" w:rsidRDefault="00B227E9" w:rsidP="000F6762">
      <w:pPr>
        <w:keepNext/>
        <w:keepLines/>
        <w:rPr>
          <w:rFonts w:ascii="Arial Narrow" w:hAnsi="Arial Narrow"/>
          <w:b/>
          <w:sz w:val="20"/>
        </w:rPr>
      </w:pPr>
      <w:r w:rsidRPr="000F6762">
        <w:rPr>
          <w:rFonts w:ascii="Arial Narrow" w:hAnsi="Arial Narrow"/>
          <w:b/>
          <w:sz w:val="20"/>
        </w:rPr>
        <w:lastRenderedPageBreak/>
        <w:t xml:space="preserve">Figure </w:t>
      </w:r>
      <w:r w:rsidR="00DF2A45">
        <w:rPr>
          <w:rFonts w:ascii="Arial Narrow" w:hAnsi="Arial Narrow"/>
          <w:b/>
          <w:sz w:val="20"/>
        </w:rPr>
        <w:t>3</w:t>
      </w:r>
      <w:r w:rsidRPr="000F6762">
        <w:rPr>
          <w:rFonts w:ascii="Arial Narrow" w:hAnsi="Arial Narrow"/>
          <w:b/>
          <w:sz w:val="20"/>
        </w:rPr>
        <w:t>: Patient disposition, JULIET study</w:t>
      </w:r>
    </w:p>
    <w:p w14:paraId="54301FFC" w14:textId="77777777" w:rsidR="004C4107" w:rsidRDefault="00B227E9" w:rsidP="000F6762">
      <w:pPr>
        <w:keepNext/>
        <w:keepLines/>
        <w:spacing w:after="240"/>
      </w:pPr>
      <w:r w:rsidRPr="00B227E9">
        <w:rPr>
          <w:noProof/>
        </w:rPr>
        <w:drawing>
          <wp:inline distT="0" distB="0" distL="0" distR="0" wp14:anchorId="6C8394DD" wp14:editId="0EF2C232">
            <wp:extent cx="3425825" cy="2948729"/>
            <wp:effectExtent l="0" t="0" r="3175" b="4445"/>
            <wp:docPr id="4" name="Picture 3" descr="Flow chart for patients from eligibility screening to study enrolment to receiving an infusion" title="Patient disposition, JULIET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431407" cy="2953534"/>
                    </a:xfrm>
                    <a:prstGeom prst="rect">
                      <a:avLst/>
                    </a:prstGeom>
                  </pic:spPr>
                </pic:pic>
              </a:graphicData>
            </a:graphic>
          </wp:inline>
        </w:drawing>
      </w:r>
    </w:p>
    <w:p w14:paraId="5547E541" w14:textId="77777777" w:rsidR="004C4107" w:rsidRDefault="004C4107" w:rsidP="000F6762">
      <w:pPr>
        <w:spacing w:after="240"/>
      </w:pPr>
      <w:r>
        <w:t>MSAC acknowledged the comments made by the clinician in the sponsor hearing</w:t>
      </w:r>
      <w:r w:rsidR="00F1418D">
        <w:t xml:space="preserve"> that it was likely that Australian clinicians would want to treat a broader population than in the </w:t>
      </w:r>
      <w:r w:rsidR="00FF1DCF">
        <w:t xml:space="preserve">JULIET </w:t>
      </w:r>
      <w:r w:rsidR="00F1418D">
        <w:t>trial. However, MSAC noted evidence is currently only available for the trial population and the effectiveness and toxicity of TIS has not been established in a broader population</w:t>
      </w:r>
      <w:r w:rsidR="007C04FB">
        <w:t xml:space="preserve">, which </w:t>
      </w:r>
      <w:r w:rsidR="00F1418D">
        <w:t xml:space="preserve">will include patients </w:t>
      </w:r>
      <w:r w:rsidR="003E7734">
        <w:t xml:space="preserve">who were </w:t>
      </w:r>
      <w:r w:rsidR="00F1418D">
        <w:t xml:space="preserve">considered </w:t>
      </w:r>
      <w:r w:rsidR="007C04FB">
        <w:t xml:space="preserve">too </w:t>
      </w:r>
      <w:r w:rsidR="00F1418D">
        <w:t xml:space="preserve">unwell for treatment in JULIET. MSAC considered it </w:t>
      </w:r>
      <w:r>
        <w:t xml:space="preserve">critically important that </w:t>
      </w:r>
      <w:r w:rsidR="00F1418D">
        <w:t xml:space="preserve">treatment with TIS is </w:t>
      </w:r>
      <w:r w:rsidR="00486DE6">
        <w:t>used only in patients likely to be fit enough to tolerate</w:t>
      </w:r>
      <w:r w:rsidR="001936EC">
        <w:t xml:space="preserve"> the treatment</w:t>
      </w:r>
      <w:r w:rsidR="00F1418D">
        <w:t>. MSAC recommended the Department convene a discussion with relevant stakeholders including treating clinicians, consumers, and representatives of the sponsor</w:t>
      </w:r>
      <w:r w:rsidR="007C04FB">
        <w:t>,</w:t>
      </w:r>
      <w:r w:rsidR="00F1418D">
        <w:t xml:space="preserve"> Commonwealth and State/Territory governments to </w:t>
      </w:r>
      <w:r w:rsidR="007C04FB">
        <w:t xml:space="preserve">consider </w:t>
      </w:r>
      <w:r w:rsidR="00F1418D">
        <w:t xml:space="preserve">the criteria for eligibility for </w:t>
      </w:r>
      <w:r w:rsidR="003E7734">
        <w:t xml:space="preserve">CAR-T </w:t>
      </w:r>
      <w:r w:rsidR="00F1418D">
        <w:t>t</w:t>
      </w:r>
      <w:r w:rsidR="003E7734">
        <w:t xml:space="preserve">herapy. </w:t>
      </w:r>
      <w:r w:rsidR="007C04FB">
        <w:t>MSAC considered the outcomes of that discussion should inform any future subsidy proposal made by the sponsor.</w:t>
      </w:r>
    </w:p>
    <w:p w14:paraId="4232DF3B" w14:textId="77777777" w:rsidR="002C71D0" w:rsidRPr="006A6212" w:rsidRDefault="001925B9" w:rsidP="000F6762">
      <w:pPr>
        <w:spacing w:after="240"/>
      </w:pPr>
      <w:r>
        <w:t xml:space="preserve">MSAC noted the inclusion of the December 2018 data </w:t>
      </w:r>
      <w:r w:rsidR="00486DE6">
        <w:t xml:space="preserve">cut </w:t>
      </w:r>
      <w:r>
        <w:t xml:space="preserve">from the JULIET trial </w:t>
      </w:r>
      <w:r w:rsidR="007C04FB">
        <w:t xml:space="preserve">in the resubmission </w:t>
      </w:r>
      <w:r>
        <w:t>had minimal effects on the observed overall survival (OS) and progression-free survival (P</w:t>
      </w:r>
      <w:r w:rsidRPr="003E7734">
        <w:t>FS)</w:t>
      </w:r>
      <w:r w:rsidR="001936EC" w:rsidRPr="003E7734">
        <w:t>.</w:t>
      </w:r>
      <w:r w:rsidRPr="003E7734">
        <w:t xml:space="preserve"> </w:t>
      </w:r>
      <w:r w:rsidR="00493DC8" w:rsidRPr="003E7734">
        <w:t xml:space="preserve">In the December 2018 data cut, median PFS </w:t>
      </w:r>
      <w:r w:rsidR="00493DC8" w:rsidRPr="006A6212">
        <w:t>was 4.6 months (95% CI: 3.7, 5.2) which was the same as the May 2018 data cut (4.6 months [3.68, 5.19]). The median overall survival in the December 2018 data cut was 8.2 (5.8, 11.7 months) compared to 8.25</w:t>
      </w:r>
      <w:r w:rsidR="00037C4B">
        <w:t> </w:t>
      </w:r>
      <w:r w:rsidR="00493DC8" w:rsidRPr="006A6212">
        <w:t xml:space="preserve">months (5.82, 11.7 months) in the May 2018 </w:t>
      </w:r>
      <w:r w:rsidR="002C71D0" w:rsidRPr="006A6212">
        <w:t>results presented at the November 2018 meeting</w:t>
      </w:r>
      <w:r w:rsidR="00FC5330" w:rsidRPr="006A6212">
        <w:t>.</w:t>
      </w:r>
    </w:p>
    <w:p w14:paraId="13DB52B7" w14:textId="66DCD3E4" w:rsidR="00DF2A45" w:rsidRPr="003E7734" w:rsidRDefault="002C71D0" w:rsidP="001925B9">
      <w:r w:rsidRPr="006A6212">
        <w:t xml:space="preserve">MSAC agreed </w:t>
      </w:r>
      <w:r w:rsidR="001925B9" w:rsidRPr="006A6212">
        <w:t>TIS shows a</w:t>
      </w:r>
      <w:r w:rsidR="008318A9" w:rsidRPr="006A6212">
        <w:t>n overall</w:t>
      </w:r>
      <w:r w:rsidR="001925B9" w:rsidRPr="006A6212">
        <w:t xml:space="preserve"> </w:t>
      </w:r>
      <w:r w:rsidR="00E303F7" w:rsidRPr="006A6212">
        <w:t>benefit</w:t>
      </w:r>
      <w:r w:rsidR="001925B9" w:rsidRPr="006A6212">
        <w:t xml:space="preserve"> compared with </w:t>
      </w:r>
      <w:r w:rsidR="00877CCF" w:rsidRPr="006A6212">
        <w:t>sa</w:t>
      </w:r>
      <w:r w:rsidR="00877CCF">
        <w:t>lvage chemotherapy regimen</w:t>
      </w:r>
      <w:r w:rsidR="008F75C2">
        <w:t xml:space="preserve"> (</w:t>
      </w:r>
      <w:r w:rsidR="001925B9" w:rsidRPr="003E7734">
        <w:t>SCR</w:t>
      </w:r>
      <w:r w:rsidR="008F75C2">
        <w:t>)</w:t>
      </w:r>
      <w:r w:rsidR="00493DC8" w:rsidRPr="003E7734">
        <w:t xml:space="preserve">; however noted that the </w:t>
      </w:r>
      <w:r w:rsidR="00486DE6" w:rsidRPr="003E7734">
        <w:t xml:space="preserve">evidence of benefit is </w:t>
      </w:r>
      <w:r w:rsidR="00493DC8" w:rsidRPr="003E7734">
        <w:t xml:space="preserve">derived from a single arm trial in which the overall duration of follow-up remains short and the number of patients small (see Figure </w:t>
      </w:r>
      <w:r w:rsidR="00DF2A45">
        <w:t>4</w:t>
      </w:r>
      <w:r w:rsidR="00493DC8" w:rsidRPr="003E7734">
        <w:t xml:space="preserve">). Overall the results </w:t>
      </w:r>
      <w:r w:rsidR="00486DE6" w:rsidRPr="003E7734">
        <w:t>for</w:t>
      </w:r>
      <w:r w:rsidR="00493DC8" w:rsidRPr="003E7734">
        <w:t xml:space="preserve"> TIS</w:t>
      </w:r>
      <w:r w:rsidR="00486DE6" w:rsidRPr="003E7734">
        <w:t xml:space="preserve"> in treat</w:t>
      </w:r>
      <w:r w:rsidR="00EB4895" w:rsidRPr="003E7734">
        <w:t>ing</w:t>
      </w:r>
      <w:r w:rsidR="00486DE6" w:rsidRPr="003E7734">
        <w:t xml:space="preserve"> DLBCL</w:t>
      </w:r>
      <w:r w:rsidR="00493DC8" w:rsidRPr="003E7734">
        <w:t xml:space="preserve"> are not as promising as those seen for the pALL population (proportion alive at 12 months post-infusion 40% versus 71%</w:t>
      </w:r>
      <w:r w:rsidR="001936EC" w:rsidRPr="003E7734">
        <w:t xml:space="preserve"> for the pALL population</w:t>
      </w:r>
      <w:r w:rsidR="00493DC8" w:rsidRPr="003E7734">
        <w:t>)</w:t>
      </w:r>
      <w:r w:rsidR="00486DE6" w:rsidRPr="003E7734">
        <w:t>.</w:t>
      </w:r>
    </w:p>
    <w:p w14:paraId="60010381" w14:textId="77777777" w:rsidR="00493DC8" w:rsidRPr="006A6212" w:rsidRDefault="00493DC8" w:rsidP="00493DC8">
      <w:pPr>
        <w:keepNext/>
      </w:pPr>
      <w:bookmarkStart w:id="1" w:name="_Ref3976087"/>
      <w:r w:rsidRPr="006A6212">
        <w:rPr>
          <w:rFonts w:ascii="Arial Narrow" w:hAnsi="Arial Narrow" w:cs="Arial"/>
          <w:b/>
          <w:bCs/>
          <w:color w:val="000000"/>
          <w:sz w:val="20"/>
        </w:rPr>
        <w:lastRenderedPageBreak/>
        <w:t>Figure</w:t>
      </w:r>
      <w:r w:rsidR="007C04FB" w:rsidRPr="006A6212">
        <w:rPr>
          <w:rFonts w:ascii="Arial Narrow" w:hAnsi="Arial Narrow" w:cs="Arial"/>
          <w:b/>
          <w:bCs/>
          <w:color w:val="000000"/>
          <w:sz w:val="20"/>
        </w:rPr>
        <w:t xml:space="preserve"> </w:t>
      </w:r>
      <w:r w:rsidR="00DF2A45">
        <w:rPr>
          <w:rFonts w:ascii="Arial Narrow" w:hAnsi="Arial Narrow" w:cs="Arial"/>
          <w:b/>
          <w:bCs/>
          <w:color w:val="000000"/>
          <w:sz w:val="20"/>
        </w:rPr>
        <w:t>4</w:t>
      </w:r>
      <w:bookmarkEnd w:id="1"/>
      <w:r w:rsidRPr="006A6212">
        <w:rPr>
          <w:rFonts w:ascii="Arial Narrow" w:hAnsi="Arial Narrow"/>
          <w:b/>
          <w:color w:val="000000" w:themeColor="text1"/>
          <w:sz w:val="20"/>
        </w:rPr>
        <w:t>: Kaplan Meier plot of Overall Survival (enrolled set) for December 2018 Data cut</w:t>
      </w:r>
    </w:p>
    <w:p w14:paraId="21F06194" w14:textId="77777777" w:rsidR="00493DC8" w:rsidRPr="00F9204A" w:rsidRDefault="00493DC8" w:rsidP="00493DC8">
      <w:r w:rsidRPr="00F9204A">
        <w:rPr>
          <w:noProof/>
        </w:rPr>
        <w:drawing>
          <wp:inline distT="0" distB="0" distL="0" distR="0" wp14:anchorId="1210BED3" wp14:editId="226B8DE5">
            <wp:extent cx="5324475" cy="3656026"/>
            <wp:effectExtent l="0" t="0" r="0" b="1905"/>
            <wp:docPr id="13" name="Picture 13" descr="Kaplan Meier plot of Overall Survival (enrolled set) for December 2018 Data 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2f/zhm6z3dj30sf_8n5mpxmrs1w0000gn/T/com.microsoft.Word/WebArchiveCopyPasteTempFiles/cidimage001.png@01D4DE5A.0A5F7D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254" cy="3662741"/>
                    </a:xfrm>
                    <a:prstGeom prst="rect">
                      <a:avLst/>
                    </a:prstGeom>
                    <a:noFill/>
                    <a:ln>
                      <a:noFill/>
                    </a:ln>
                  </pic:spPr>
                </pic:pic>
              </a:graphicData>
            </a:graphic>
          </wp:inline>
        </w:drawing>
      </w:r>
    </w:p>
    <w:p w14:paraId="1DDC2BF5" w14:textId="77777777" w:rsidR="00493DC8" w:rsidRPr="000F6762" w:rsidRDefault="00493DC8" w:rsidP="000F6762">
      <w:pPr>
        <w:spacing w:after="240"/>
        <w:rPr>
          <w:rFonts w:ascii="Arial Narrow" w:hAnsi="Arial Narrow"/>
          <w:sz w:val="16"/>
          <w:szCs w:val="16"/>
        </w:rPr>
      </w:pPr>
      <w:r w:rsidRPr="00F9204A">
        <w:rPr>
          <w:rFonts w:ascii="Arial Narrow" w:hAnsi="Arial Narrow"/>
          <w:sz w:val="16"/>
          <w:szCs w:val="16"/>
        </w:rPr>
        <w:t xml:space="preserve">Source: Figure </w:t>
      </w:r>
      <w:r w:rsidRPr="00F9204A">
        <w:rPr>
          <w:rFonts w:ascii="Arial Narrow" w:hAnsi="Arial Narrow"/>
          <w:bCs/>
          <w:color w:val="454545"/>
          <w:sz w:val="16"/>
          <w:szCs w:val="16"/>
        </w:rPr>
        <w:t>F142_7_04.rtf file in the update DLBCL_20 Feb folder</w:t>
      </w:r>
    </w:p>
    <w:p w14:paraId="228F0A88" w14:textId="77777777" w:rsidR="008F4BA2" w:rsidRPr="003E7734" w:rsidRDefault="001925B9" w:rsidP="000F6762">
      <w:pPr>
        <w:spacing w:after="240"/>
      </w:pPr>
      <w:r w:rsidRPr="003E7734">
        <w:t xml:space="preserve">MSAC noted the calculated differences seen in the LYs and ICERs for the pALL and DLBCL populations. </w:t>
      </w:r>
      <w:r w:rsidR="008F4BA2" w:rsidRPr="003E7734">
        <w:t>In the absence of an explanation from the sponsor during the hearing</w:t>
      </w:r>
      <w:r w:rsidR="004F7FEF">
        <w:t xml:space="preserve"> which satisfied the MSAC</w:t>
      </w:r>
      <w:r w:rsidR="008F4BA2" w:rsidRPr="003E7734">
        <w:t xml:space="preserve">, </w:t>
      </w:r>
      <w:r w:rsidR="001936EC" w:rsidRPr="003E7734">
        <w:t>an analysis was undertaken</w:t>
      </w:r>
      <w:r w:rsidR="008F4BA2" w:rsidRPr="003E7734">
        <w:t xml:space="preserve"> to </w:t>
      </w:r>
      <w:r w:rsidR="001936EC" w:rsidRPr="003E7734">
        <w:t>clarify this issue</w:t>
      </w:r>
      <w:r w:rsidR="008F4BA2" w:rsidRPr="003E7734">
        <w:t>:</w:t>
      </w:r>
    </w:p>
    <w:p w14:paraId="6493C38B" w14:textId="2030AE72" w:rsidR="00A85B71" w:rsidRPr="00B32CEF" w:rsidRDefault="008F4BA2" w:rsidP="000F6762">
      <w:pPr>
        <w:spacing w:after="240"/>
        <w:ind w:left="720" w:hanging="720"/>
      </w:pPr>
      <w:r w:rsidRPr="003E7734">
        <w:tab/>
      </w:r>
      <w:r w:rsidR="001D2CC8" w:rsidRPr="003E7734">
        <w:t>Assuming that different extrapolation</w:t>
      </w:r>
      <w:r w:rsidR="00983BC2" w:rsidRPr="003E7734">
        <w:t>s</w:t>
      </w:r>
      <w:r w:rsidR="001D2CC8" w:rsidRPr="003E7734">
        <w:t xml:space="preserve"> are appropriate for the two populations (lognormal for the pALL population and spline for the DLBCL population), then the higher number of LYs in the pALL population (6.8) relative to the DLBCL population (1.4) are consistent with the higher observed response rate and younger age of the pALL population. </w:t>
      </w:r>
      <w:r w:rsidR="001925B9" w:rsidRPr="003E7734">
        <w:t xml:space="preserve"> </w:t>
      </w:r>
      <w:r w:rsidRPr="003E7734">
        <w:t xml:space="preserve">Thus, </w:t>
      </w:r>
      <w:r w:rsidR="001925B9" w:rsidRPr="003E7734">
        <w:t xml:space="preserve">the extrapolation methods, and the inclusion of different </w:t>
      </w:r>
      <w:r w:rsidR="00F94F7A" w:rsidRPr="003E7734">
        <w:t xml:space="preserve">treatment-related </w:t>
      </w:r>
      <w:r w:rsidR="001925B9" w:rsidRPr="003E7734">
        <w:t>cost</w:t>
      </w:r>
      <w:r w:rsidR="00F94F7A" w:rsidRPr="003E7734">
        <w:t>s</w:t>
      </w:r>
      <w:r w:rsidR="001925B9" w:rsidRPr="003E7734">
        <w:t xml:space="preserve">  </w:t>
      </w:r>
      <w:r w:rsidR="001936EC" w:rsidRPr="003E7734">
        <w:t xml:space="preserve">must </w:t>
      </w:r>
      <w:r w:rsidR="001925B9" w:rsidRPr="003E7734">
        <w:t>explain the</w:t>
      </w:r>
      <w:r w:rsidR="001936EC" w:rsidRPr="003E7734">
        <w:t xml:space="preserve"> similar ICER for the two diseases. </w:t>
      </w:r>
      <w:r w:rsidR="005730A7" w:rsidRPr="003E7734">
        <w:t xml:space="preserve">At a TIS price </w:t>
      </w:r>
      <w:r w:rsidR="005730A7" w:rsidRPr="00B32CEF">
        <w:t>of $</w:t>
      </w:r>
      <w:r w:rsidR="000D0600" w:rsidRPr="00B32CEF">
        <w:rPr>
          <w:b/>
        </w:rPr>
        <w:t>redacted</w:t>
      </w:r>
      <w:r w:rsidR="005730A7" w:rsidRPr="00B32CEF">
        <w:t xml:space="preserve"> the additional costs for treating DLBCL would be $</w:t>
      </w:r>
      <w:r w:rsidR="000D0600" w:rsidRPr="00B32CEF">
        <w:rPr>
          <w:b/>
        </w:rPr>
        <w:t>redacted</w:t>
      </w:r>
      <w:r w:rsidR="00C829E5" w:rsidRPr="00B32CEF">
        <w:t xml:space="preserve"> </w:t>
      </w:r>
      <w:r w:rsidR="005730A7" w:rsidRPr="00B32CEF">
        <w:t>vs around $</w:t>
      </w:r>
      <w:r w:rsidR="000D0600" w:rsidRPr="00B32CEF">
        <w:rPr>
          <w:b/>
        </w:rPr>
        <w:t>redacted</w:t>
      </w:r>
      <w:r w:rsidR="00C829E5" w:rsidRPr="00B32CEF">
        <w:t xml:space="preserve"> </w:t>
      </w:r>
      <w:r w:rsidR="005730A7" w:rsidRPr="00B32CEF">
        <w:t xml:space="preserve">for pALL. </w:t>
      </w:r>
      <w:r w:rsidR="00983BC2" w:rsidRPr="00B32CEF">
        <w:t>Thus MSAC considered the explanation for these differences must lie in a significant difference in treatment costs for D</w:t>
      </w:r>
      <w:r w:rsidR="002F700C" w:rsidRPr="00B32CEF">
        <w:t>LBCL. However, it</w:t>
      </w:r>
      <w:r w:rsidR="005730A7" w:rsidRPr="00B32CEF">
        <w:t xml:space="preserve"> was not clear </w:t>
      </w:r>
      <w:r w:rsidR="003F0BD9" w:rsidRPr="00B32CEF">
        <w:t xml:space="preserve">to MSAC </w:t>
      </w:r>
      <w:r w:rsidR="005730A7" w:rsidRPr="00B32CEF">
        <w:t xml:space="preserve">whether </w:t>
      </w:r>
      <w:r w:rsidR="00F94F7A" w:rsidRPr="00B32CEF">
        <w:t>the cost differences in the TIS arms of the m</w:t>
      </w:r>
      <w:r w:rsidRPr="00B32CEF">
        <w:t>o</w:t>
      </w:r>
      <w:r w:rsidR="00F94F7A" w:rsidRPr="00B32CEF">
        <w:t>dels are an accurate reflection of differences in disease management for DLBCL relative to pALL</w:t>
      </w:r>
      <w:r w:rsidR="000F6762" w:rsidRPr="00B32CEF">
        <w:t>.</w:t>
      </w:r>
    </w:p>
    <w:p w14:paraId="13C197EC" w14:textId="02530361" w:rsidR="001925B9" w:rsidRDefault="00A85B71" w:rsidP="000F6762">
      <w:pPr>
        <w:spacing w:after="240"/>
      </w:pPr>
      <w:r w:rsidRPr="00B32CEF">
        <w:t xml:space="preserve">MSAC noted the revised economic analysis provided by the applicant </w:t>
      </w:r>
      <w:r w:rsidR="00545564" w:rsidRPr="00B32CEF">
        <w:t xml:space="preserve">with this application </w:t>
      </w:r>
      <w:r w:rsidR="00977225" w:rsidRPr="00B32CEF">
        <w:t>resulted in a base case incremental cost per quality adjusted life year of $</w:t>
      </w:r>
      <w:r w:rsidR="000D0600" w:rsidRPr="00B32CEF">
        <w:rPr>
          <w:b/>
        </w:rPr>
        <w:t>redacted</w:t>
      </w:r>
      <w:r w:rsidR="000D0600" w:rsidRPr="00B32CEF">
        <w:t xml:space="preserve"> </w:t>
      </w:r>
      <w:r w:rsidR="00977225" w:rsidRPr="00B32CEF">
        <w:t>which</w:t>
      </w:r>
      <w:r w:rsidR="00977225">
        <w:t xml:space="preserve"> is </w:t>
      </w:r>
      <w:r w:rsidR="003F0BD9">
        <w:t xml:space="preserve">somewhat </w:t>
      </w:r>
      <w:r w:rsidR="00977225">
        <w:t>higher than is usually acceptable and likely, for the reasons set out by the ESC, to be underestimated.</w:t>
      </w:r>
    </w:p>
    <w:p w14:paraId="04EDE5D8" w14:textId="77777777" w:rsidR="00D909BB" w:rsidRDefault="001925B9" w:rsidP="000F6762">
      <w:pPr>
        <w:spacing w:after="240"/>
      </w:pPr>
      <w:r>
        <w:t xml:space="preserve">MSAC </w:t>
      </w:r>
      <w:r w:rsidR="003F0BD9">
        <w:t xml:space="preserve">further </w:t>
      </w:r>
      <w:r>
        <w:t>noted the</w:t>
      </w:r>
      <w:r w:rsidR="00977225">
        <w:t xml:space="preserve"> outcomes of the economic model are most sensitive to the price of TIS, the method of extrapolation and the starting age of the model</w:t>
      </w:r>
      <w:r>
        <w:t xml:space="preserve"> and any reasonable variations of these give rise to unacceptably high </w:t>
      </w:r>
      <w:r w:rsidR="00977225">
        <w:t>cost effectiveness ratios</w:t>
      </w:r>
      <w:r>
        <w:t>.</w:t>
      </w:r>
    </w:p>
    <w:p w14:paraId="35975048" w14:textId="77777777" w:rsidR="001925B9" w:rsidRDefault="00D909BB" w:rsidP="001925B9">
      <w:r>
        <w:t xml:space="preserve">MSAC was concerned that if treatment in Australia is </w:t>
      </w:r>
      <w:r w:rsidR="00545564">
        <w:t xml:space="preserve">given </w:t>
      </w:r>
      <w:r>
        <w:t xml:space="preserve">to a much wider population than included in the JULIET trial </w:t>
      </w:r>
      <w:r w:rsidR="00545564">
        <w:t>t</w:t>
      </w:r>
      <w:r>
        <w:t xml:space="preserve">hereby </w:t>
      </w:r>
      <w:r w:rsidR="00545564">
        <w:t xml:space="preserve">including </w:t>
      </w:r>
      <w:r>
        <w:t>less fit patients, this would also have an unfavourable impact on the cost-effectiveness of treatment.</w:t>
      </w:r>
      <w:r w:rsidR="00977225">
        <w:t xml:space="preserve"> </w:t>
      </w:r>
    </w:p>
    <w:p w14:paraId="6F88676B" w14:textId="2080C126" w:rsidR="005A4E9D" w:rsidRDefault="005A4E9D" w:rsidP="000F6762">
      <w:pPr>
        <w:spacing w:after="240"/>
      </w:pPr>
      <w:r>
        <w:lastRenderedPageBreak/>
        <w:t>MSAC considered the n</w:t>
      </w:r>
      <w:r w:rsidR="00A85B71">
        <w:t>umber of patients likely to be infused in Australia is a key issue that has not been resolved by the resubmission.</w:t>
      </w:r>
      <w:r>
        <w:t xml:space="preserve"> MSAC considered the sponsor</w:t>
      </w:r>
      <w:r w:rsidR="00545564">
        <w:t>’</w:t>
      </w:r>
      <w:r>
        <w:t>s revised estimates of patient numbers</w:t>
      </w:r>
      <w:r w:rsidR="00545564">
        <w:t xml:space="preserve"> </w:t>
      </w:r>
      <w:r>
        <w:t>and financial impact</w:t>
      </w:r>
      <w:r w:rsidR="000A2CB8">
        <w:t xml:space="preserve"> of subsidy</w:t>
      </w:r>
      <w:r>
        <w:t xml:space="preserve"> presented with the pre-MSAC response remain </w:t>
      </w:r>
      <w:r w:rsidR="00545564">
        <w:t xml:space="preserve">implausibly </w:t>
      </w:r>
      <w:r>
        <w:t>high, although acknowledged that the NHS England patient number estimates referred in Addendum 2 to the critique are an underestimate.</w:t>
      </w:r>
    </w:p>
    <w:p w14:paraId="5EF45E6B" w14:textId="77777777" w:rsidR="00C54290" w:rsidRPr="002B501C" w:rsidRDefault="005A4E9D" w:rsidP="00C54290">
      <w:pPr>
        <w:rPr>
          <w:sz w:val="22"/>
        </w:rPr>
      </w:pPr>
      <w:r w:rsidRPr="002B501C">
        <w:t xml:space="preserve">MSAC </w:t>
      </w:r>
      <w:r w:rsidR="00C54290" w:rsidRPr="002B501C">
        <w:t xml:space="preserve">considered the patient numbers and financial impacts of </w:t>
      </w:r>
      <w:r w:rsidR="000A2CB8" w:rsidRPr="002B501C">
        <w:t>subsidising TIS for r/r DLBCL</w:t>
      </w:r>
      <w:r w:rsidR="00C54290" w:rsidRPr="002B501C">
        <w:t xml:space="preserve"> would be more accurate if they were amended so:</w:t>
      </w:r>
    </w:p>
    <w:p w14:paraId="5FD71419" w14:textId="77777777" w:rsidR="00C54290" w:rsidRPr="002B501C" w:rsidRDefault="00C54290" w:rsidP="00C54290">
      <w:pPr>
        <w:pStyle w:val="ListParagraph"/>
        <w:numPr>
          <w:ilvl w:val="0"/>
          <w:numId w:val="36"/>
        </w:numPr>
        <w:contextualSpacing w:val="0"/>
      </w:pPr>
      <w:r w:rsidRPr="002B501C">
        <w:t xml:space="preserve">AIHW </w:t>
      </w:r>
      <w:hyperlink r:id="rId14" w:history="1">
        <w:r w:rsidRPr="002B501C">
          <w:rPr>
            <w:rStyle w:val="Hyperlink"/>
            <w:color w:val="auto"/>
          </w:rPr>
          <w:t>Australian Cancer Database</w:t>
        </w:r>
      </w:hyperlink>
      <w:r w:rsidRPr="002B501C">
        <w:t xml:space="preserve"> figures are used to project the population diagnosed with NHL. This includes registry data for new diagnosed cases from all states and territories to 2015.</w:t>
      </w:r>
    </w:p>
    <w:p w14:paraId="592AEC21" w14:textId="77777777" w:rsidR="003459AD" w:rsidRPr="00D66327" w:rsidRDefault="00C54290" w:rsidP="00D66327">
      <w:pPr>
        <w:pStyle w:val="ListParagraph"/>
        <w:numPr>
          <w:ilvl w:val="0"/>
          <w:numId w:val="36"/>
        </w:numPr>
        <w:spacing w:after="240"/>
        <w:rPr>
          <w:sz w:val="22"/>
          <w:szCs w:val="22"/>
        </w:rPr>
      </w:pPr>
      <w:r w:rsidRPr="002B501C">
        <w:t>Patients unfit for TIS are excluded. MSAC considered that the proportion of patients over age 80 in the Victorian Cancer Registry</w:t>
      </w:r>
      <w:r w:rsidR="004B7444" w:rsidRPr="002B501C">
        <w:t xml:space="preserve"> (</w:t>
      </w:r>
      <w:r w:rsidRPr="002B501C">
        <w:t>Wong Doo et al. (2019), Table 1, p4</w:t>
      </w:r>
      <w:r w:rsidR="004B7444" w:rsidRPr="002B501C">
        <w:t>)</w:t>
      </w:r>
      <w:r w:rsidR="00D66327">
        <w:t xml:space="preserve"> </w:t>
      </w:r>
      <w:r w:rsidR="004B7444" w:rsidRPr="002B501C">
        <w:t>could be used as a proxy for estimating the proportion of patients of all a</w:t>
      </w:r>
      <w:r w:rsidR="00D66327">
        <w:t xml:space="preserve">ges unfit for TIS; with the </w:t>
      </w:r>
      <w:r w:rsidR="004B7444" w:rsidRPr="002B501C">
        <w:t>addition of the proportion having an</w:t>
      </w:r>
      <w:r w:rsidRPr="002B501C">
        <w:t xml:space="preserve"> ECOG more than 2 </w:t>
      </w:r>
      <w:r w:rsidR="004B7444" w:rsidRPr="002B501C">
        <w:t xml:space="preserve">in </w:t>
      </w:r>
      <w:r w:rsidR="004B7444" w:rsidRPr="002B501C">
        <w:rPr>
          <w:sz w:val="22"/>
          <w:szCs w:val="22"/>
        </w:rPr>
        <w:t>Crump 2017 (Table 1 p1803)</w:t>
      </w:r>
      <w:r w:rsidR="00D66327">
        <w:rPr>
          <w:sz w:val="22"/>
          <w:szCs w:val="22"/>
        </w:rPr>
        <w:t>.</w:t>
      </w:r>
    </w:p>
    <w:p w14:paraId="5EB1A127" w14:textId="504DF1F5" w:rsidR="003459AD" w:rsidRPr="00B32CEF" w:rsidRDefault="003459AD" w:rsidP="00D66327">
      <w:pPr>
        <w:spacing w:after="240"/>
      </w:pPr>
      <w:r w:rsidRPr="002B501C">
        <w:t>Incorporating these changes into the sponsor’s estimates results in a total number of TIS treated patients over 6 year</w:t>
      </w:r>
      <w:r w:rsidR="000A2CB8" w:rsidRPr="002B501C">
        <w:t>s</w:t>
      </w:r>
      <w:r w:rsidRPr="002B501C">
        <w:t xml:space="preserve"> of </w:t>
      </w:r>
      <w:r w:rsidRPr="004F7FEF">
        <w:t>1084</w:t>
      </w:r>
      <w:r w:rsidRPr="002B501C">
        <w:t xml:space="preserve"> at a total cost </w:t>
      </w:r>
      <w:r w:rsidR="000A2CB8" w:rsidRPr="00B32CEF">
        <w:t xml:space="preserve">of </w:t>
      </w:r>
      <w:r w:rsidRPr="00B32CEF">
        <w:t>$</w:t>
      </w:r>
      <w:r w:rsidR="000D0600" w:rsidRPr="00B32CEF">
        <w:rPr>
          <w:b/>
        </w:rPr>
        <w:t>redacted</w:t>
      </w:r>
      <w:r w:rsidR="00365F3D" w:rsidRPr="00B32CEF">
        <w:t xml:space="preserve"> million</w:t>
      </w:r>
      <w:r w:rsidR="00D66327" w:rsidRPr="00B32CEF">
        <w:t xml:space="preserve"> </w:t>
      </w:r>
      <w:r w:rsidRPr="00B32CEF">
        <w:t xml:space="preserve">(TIS component of therapy only (see Table </w:t>
      </w:r>
      <w:r w:rsidR="00DF2A45" w:rsidRPr="00B32CEF">
        <w:t>6</w:t>
      </w:r>
      <w:r w:rsidRPr="00B32CEF">
        <w:t>).</w:t>
      </w:r>
    </w:p>
    <w:p w14:paraId="5F8035F9" w14:textId="77777777" w:rsidR="003459AD" w:rsidRPr="00B32CEF" w:rsidRDefault="00EA046C" w:rsidP="003459AD">
      <w:pPr>
        <w:rPr>
          <w:rFonts w:ascii="Arial Narrow" w:hAnsi="Arial Narrow"/>
          <w:b/>
          <w:sz w:val="20"/>
        </w:rPr>
      </w:pPr>
      <w:r w:rsidRPr="00B32CEF">
        <w:rPr>
          <w:rFonts w:ascii="Arial Narrow" w:hAnsi="Arial Narrow"/>
          <w:b/>
          <w:sz w:val="20"/>
        </w:rPr>
        <w:t xml:space="preserve">Table </w:t>
      </w:r>
      <w:r w:rsidR="00DF2A45" w:rsidRPr="00B32CEF">
        <w:rPr>
          <w:rFonts w:ascii="Arial Narrow" w:hAnsi="Arial Narrow"/>
          <w:b/>
          <w:sz w:val="20"/>
        </w:rPr>
        <w:t>6</w:t>
      </w:r>
      <w:r w:rsidR="006753E4" w:rsidRPr="00B32CEF">
        <w:rPr>
          <w:rFonts w:ascii="Arial Narrow" w:hAnsi="Arial Narrow"/>
          <w:b/>
          <w:sz w:val="20"/>
        </w:rPr>
        <w:tab/>
        <w:t>Estimate</w:t>
      </w:r>
      <w:r w:rsidR="00036E0B" w:rsidRPr="00B32CEF">
        <w:rPr>
          <w:rFonts w:ascii="Arial Narrow" w:hAnsi="Arial Narrow"/>
          <w:b/>
          <w:sz w:val="20"/>
        </w:rPr>
        <w:t>d</w:t>
      </w:r>
      <w:r w:rsidR="006753E4" w:rsidRPr="00B32CEF">
        <w:rPr>
          <w:rFonts w:ascii="Arial Narrow" w:hAnsi="Arial Narrow"/>
          <w:b/>
          <w:sz w:val="20"/>
        </w:rPr>
        <w:t xml:space="preserve"> costs for infused patients</w:t>
      </w:r>
    </w:p>
    <w:tbl>
      <w:tblPr>
        <w:tblStyle w:val="TableGrid"/>
        <w:tblW w:w="0" w:type="auto"/>
        <w:tblLook w:val="04A0" w:firstRow="1" w:lastRow="0" w:firstColumn="1" w:lastColumn="0" w:noHBand="0" w:noVBand="1"/>
        <w:tblDescription w:val="Estimated costs for infused DLBCL patients"/>
      </w:tblPr>
      <w:tblGrid>
        <w:gridCol w:w="925"/>
        <w:gridCol w:w="1140"/>
        <w:gridCol w:w="1149"/>
        <w:gridCol w:w="1142"/>
        <w:gridCol w:w="1142"/>
        <w:gridCol w:w="1144"/>
        <w:gridCol w:w="1139"/>
        <w:gridCol w:w="1235"/>
      </w:tblGrid>
      <w:tr w:rsidR="00365F3D" w:rsidRPr="00B32CEF" w14:paraId="2B0DC0DE" w14:textId="77777777" w:rsidTr="00313528">
        <w:trPr>
          <w:trHeight w:val="281"/>
          <w:tblHeader/>
        </w:trPr>
        <w:tc>
          <w:tcPr>
            <w:tcW w:w="925" w:type="dxa"/>
            <w:hideMark/>
          </w:tcPr>
          <w:p w14:paraId="54A3855F" w14:textId="77777777" w:rsidR="00365F3D" w:rsidRPr="00B32CEF" w:rsidRDefault="00365F3D" w:rsidP="001827D7">
            <w:pPr>
              <w:rPr>
                <w:rFonts w:ascii="Arial Narrow" w:hAnsi="Arial Narrow"/>
                <w:b/>
                <w:bCs/>
                <w:sz w:val="20"/>
              </w:rPr>
            </w:pPr>
            <w:r w:rsidRPr="00B32CEF">
              <w:rPr>
                <w:rFonts w:ascii="Arial Narrow" w:hAnsi="Arial Narrow"/>
                <w:b/>
                <w:bCs/>
                <w:sz w:val="20"/>
              </w:rPr>
              <w:t>DLBCL</w:t>
            </w:r>
          </w:p>
        </w:tc>
        <w:tc>
          <w:tcPr>
            <w:tcW w:w="1140" w:type="dxa"/>
            <w:hideMark/>
          </w:tcPr>
          <w:p w14:paraId="20406747" w14:textId="77777777" w:rsidR="00365F3D" w:rsidRPr="00B32CEF" w:rsidRDefault="00365F3D" w:rsidP="001827D7">
            <w:pPr>
              <w:rPr>
                <w:rFonts w:ascii="Arial Narrow" w:hAnsi="Arial Narrow"/>
                <w:b/>
                <w:bCs/>
                <w:sz w:val="20"/>
              </w:rPr>
            </w:pPr>
            <w:r w:rsidRPr="00B32CEF">
              <w:rPr>
                <w:rFonts w:ascii="Arial Narrow" w:hAnsi="Arial Narrow"/>
                <w:b/>
                <w:bCs/>
                <w:sz w:val="20"/>
              </w:rPr>
              <w:t>Year 1</w:t>
            </w:r>
          </w:p>
        </w:tc>
        <w:tc>
          <w:tcPr>
            <w:tcW w:w="1149" w:type="dxa"/>
            <w:hideMark/>
          </w:tcPr>
          <w:p w14:paraId="61C6D97F" w14:textId="77777777" w:rsidR="00365F3D" w:rsidRPr="00B32CEF" w:rsidRDefault="00365F3D" w:rsidP="001827D7">
            <w:pPr>
              <w:rPr>
                <w:rFonts w:ascii="Arial Narrow" w:hAnsi="Arial Narrow"/>
                <w:b/>
                <w:bCs/>
                <w:sz w:val="20"/>
              </w:rPr>
            </w:pPr>
            <w:r w:rsidRPr="00B32CEF">
              <w:rPr>
                <w:rFonts w:ascii="Arial Narrow" w:hAnsi="Arial Narrow"/>
                <w:b/>
                <w:bCs/>
                <w:sz w:val="20"/>
              </w:rPr>
              <w:t>Year 2</w:t>
            </w:r>
          </w:p>
        </w:tc>
        <w:tc>
          <w:tcPr>
            <w:tcW w:w="1142" w:type="dxa"/>
            <w:hideMark/>
          </w:tcPr>
          <w:p w14:paraId="2492BAA6" w14:textId="77777777" w:rsidR="00365F3D" w:rsidRPr="00B32CEF" w:rsidRDefault="00365F3D" w:rsidP="001827D7">
            <w:pPr>
              <w:rPr>
                <w:rFonts w:ascii="Arial Narrow" w:hAnsi="Arial Narrow"/>
                <w:b/>
                <w:bCs/>
                <w:sz w:val="20"/>
              </w:rPr>
            </w:pPr>
            <w:r w:rsidRPr="00B32CEF">
              <w:rPr>
                <w:rFonts w:ascii="Arial Narrow" w:hAnsi="Arial Narrow"/>
                <w:b/>
                <w:bCs/>
                <w:sz w:val="20"/>
              </w:rPr>
              <w:t>Year 3</w:t>
            </w:r>
          </w:p>
        </w:tc>
        <w:tc>
          <w:tcPr>
            <w:tcW w:w="1142" w:type="dxa"/>
            <w:hideMark/>
          </w:tcPr>
          <w:p w14:paraId="2C0F4028" w14:textId="77777777" w:rsidR="00365F3D" w:rsidRPr="00B32CEF" w:rsidRDefault="00365F3D" w:rsidP="001827D7">
            <w:pPr>
              <w:rPr>
                <w:rFonts w:ascii="Arial Narrow" w:hAnsi="Arial Narrow"/>
                <w:b/>
                <w:bCs/>
                <w:sz w:val="20"/>
              </w:rPr>
            </w:pPr>
            <w:r w:rsidRPr="00B32CEF">
              <w:rPr>
                <w:rFonts w:ascii="Arial Narrow" w:hAnsi="Arial Narrow"/>
                <w:b/>
                <w:bCs/>
                <w:sz w:val="20"/>
              </w:rPr>
              <w:t>Year 4</w:t>
            </w:r>
          </w:p>
        </w:tc>
        <w:tc>
          <w:tcPr>
            <w:tcW w:w="1144" w:type="dxa"/>
            <w:hideMark/>
          </w:tcPr>
          <w:p w14:paraId="601D0DCE" w14:textId="77777777" w:rsidR="00365F3D" w:rsidRPr="00B32CEF" w:rsidRDefault="00365F3D" w:rsidP="001827D7">
            <w:pPr>
              <w:rPr>
                <w:rFonts w:ascii="Arial Narrow" w:hAnsi="Arial Narrow"/>
                <w:b/>
                <w:bCs/>
                <w:sz w:val="20"/>
              </w:rPr>
            </w:pPr>
            <w:r w:rsidRPr="00B32CEF">
              <w:rPr>
                <w:rFonts w:ascii="Arial Narrow" w:hAnsi="Arial Narrow"/>
                <w:b/>
                <w:bCs/>
                <w:sz w:val="20"/>
              </w:rPr>
              <w:t>Year 5</w:t>
            </w:r>
          </w:p>
        </w:tc>
        <w:tc>
          <w:tcPr>
            <w:tcW w:w="1139" w:type="dxa"/>
            <w:hideMark/>
          </w:tcPr>
          <w:p w14:paraId="55A7786B" w14:textId="77777777" w:rsidR="00365F3D" w:rsidRPr="00B32CEF" w:rsidRDefault="00365F3D" w:rsidP="001827D7">
            <w:pPr>
              <w:rPr>
                <w:rFonts w:ascii="Arial Narrow" w:hAnsi="Arial Narrow"/>
                <w:b/>
                <w:bCs/>
                <w:sz w:val="20"/>
              </w:rPr>
            </w:pPr>
            <w:r w:rsidRPr="00B32CEF">
              <w:rPr>
                <w:rFonts w:ascii="Arial Narrow" w:hAnsi="Arial Narrow"/>
                <w:b/>
                <w:bCs/>
                <w:sz w:val="20"/>
              </w:rPr>
              <w:t>Year 6</w:t>
            </w:r>
          </w:p>
        </w:tc>
        <w:tc>
          <w:tcPr>
            <w:tcW w:w="1235" w:type="dxa"/>
            <w:hideMark/>
          </w:tcPr>
          <w:p w14:paraId="14C37FE2" w14:textId="77777777" w:rsidR="00365F3D" w:rsidRPr="00B32CEF" w:rsidRDefault="00365F3D" w:rsidP="001827D7">
            <w:pPr>
              <w:rPr>
                <w:rFonts w:ascii="Arial Narrow" w:hAnsi="Arial Narrow"/>
                <w:b/>
                <w:bCs/>
                <w:sz w:val="20"/>
              </w:rPr>
            </w:pPr>
            <w:r w:rsidRPr="00B32CEF">
              <w:rPr>
                <w:rFonts w:ascii="Arial Narrow" w:hAnsi="Arial Narrow"/>
                <w:b/>
                <w:bCs/>
                <w:sz w:val="20"/>
              </w:rPr>
              <w:t>Total</w:t>
            </w:r>
          </w:p>
        </w:tc>
      </w:tr>
      <w:tr w:rsidR="00365F3D" w:rsidRPr="00B32CEF" w14:paraId="6378C8CC" w14:textId="77777777" w:rsidTr="000D0600">
        <w:trPr>
          <w:trHeight w:val="300"/>
        </w:trPr>
        <w:tc>
          <w:tcPr>
            <w:tcW w:w="925" w:type="dxa"/>
            <w:hideMark/>
          </w:tcPr>
          <w:p w14:paraId="49ACCE3A" w14:textId="77777777" w:rsidR="00365F3D" w:rsidRPr="00B32CEF" w:rsidRDefault="00365F3D" w:rsidP="001827D7">
            <w:pPr>
              <w:rPr>
                <w:rFonts w:ascii="Arial Narrow" w:hAnsi="Arial Narrow"/>
                <w:sz w:val="20"/>
              </w:rPr>
            </w:pPr>
            <w:r w:rsidRPr="00B32CEF">
              <w:rPr>
                <w:rFonts w:ascii="Arial Narrow" w:hAnsi="Arial Narrow"/>
                <w:sz w:val="20"/>
              </w:rPr>
              <w:t>Total infused patients</w:t>
            </w:r>
          </w:p>
        </w:tc>
        <w:tc>
          <w:tcPr>
            <w:tcW w:w="1140" w:type="dxa"/>
            <w:hideMark/>
          </w:tcPr>
          <w:p w14:paraId="05706F26" w14:textId="77777777" w:rsidR="00365F3D" w:rsidRPr="00B32CEF" w:rsidRDefault="00365F3D" w:rsidP="001827D7">
            <w:pPr>
              <w:rPr>
                <w:rFonts w:ascii="Arial Narrow" w:hAnsi="Arial Narrow"/>
                <w:sz w:val="20"/>
              </w:rPr>
            </w:pPr>
            <w:r w:rsidRPr="00B32CEF">
              <w:rPr>
                <w:rFonts w:ascii="Arial Narrow" w:hAnsi="Arial Narrow"/>
                <w:sz w:val="20"/>
              </w:rPr>
              <w:t>132</w:t>
            </w:r>
          </w:p>
        </w:tc>
        <w:tc>
          <w:tcPr>
            <w:tcW w:w="1149" w:type="dxa"/>
            <w:hideMark/>
          </w:tcPr>
          <w:p w14:paraId="4564C3BF" w14:textId="77777777" w:rsidR="00365F3D" w:rsidRPr="00B32CEF" w:rsidRDefault="00365F3D" w:rsidP="001827D7">
            <w:pPr>
              <w:rPr>
                <w:rFonts w:ascii="Arial Narrow" w:hAnsi="Arial Narrow"/>
                <w:sz w:val="20"/>
              </w:rPr>
            </w:pPr>
            <w:r w:rsidRPr="00B32CEF">
              <w:rPr>
                <w:rFonts w:ascii="Arial Narrow" w:hAnsi="Arial Narrow"/>
                <w:sz w:val="20"/>
              </w:rPr>
              <w:t>199</w:t>
            </w:r>
          </w:p>
        </w:tc>
        <w:tc>
          <w:tcPr>
            <w:tcW w:w="1142" w:type="dxa"/>
            <w:hideMark/>
          </w:tcPr>
          <w:p w14:paraId="45B6400B" w14:textId="77777777" w:rsidR="00365F3D" w:rsidRPr="00B32CEF" w:rsidRDefault="00365F3D" w:rsidP="001827D7">
            <w:pPr>
              <w:rPr>
                <w:rFonts w:ascii="Arial Narrow" w:hAnsi="Arial Narrow"/>
                <w:sz w:val="20"/>
              </w:rPr>
            </w:pPr>
            <w:r w:rsidRPr="00B32CEF">
              <w:rPr>
                <w:rFonts w:ascii="Arial Narrow" w:hAnsi="Arial Narrow"/>
                <w:sz w:val="20"/>
              </w:rPr>
              <w:t>194</w:t>
            </w:r>
          </w:p>
        </w:tc>
        <w:tc>
          <w:tcPr>
            <w:tcW w:w="1142" w:type="dxa"/>
            <w:hideMark/>
          </w:tcPr>
          <w:p w14:paraId="7BC3AEAC" w14:textId="77777777" w:rsidR="00365F3D" w:rsidRPr="00B32CEF" w:rsidRDefault="00365F3D" w:rsidP="001827D7">
            <w:pPr>
              <w:rPr>
                <w:rFonts w:ascii="Arial Narrow" w:hAnsi="Arial Narrow"/>
                <w:sz w:val="20"/>
              </w:rPr>
            </w:pPr>
            <w:r w:rsidRPr="00B32CEF">
              <w:rPr>
                <w:rFonts w:ascii="Arial Narrow" w:hAnsi="Arial Narrow"/>
                <w:sz w:val="20"/>
              </w:rPr>
              <w:t>186</w:t>
            </w:r>
          </w:p>
        </w:tc>
        <w:tc>
          <w:tcPr>
            <w:tcW w:w="1144" w:type="dxa"/>
            <w:hideMark/>
          </w:tcPr>
          <w:p w14:paraId="1D110408" w14:textId="77777777" w:rsidR="00365F3D" w:rsidRPr="00B32CEF" w:rsidRDefault="00365F3D" w:rsidP="001827D7">
            <w:pPr>
              <w:rPr>
                <w:rFonts w:ascii="Arial Narrow" w:hAnsi="Arial Narrow"/>
                <w:sz w:val="20"/>
              </w:rPr>
            </w:pPr>
            <w:r w:rsidRPr="00B32CEF">
              <w:rPr>
                <w:rFonts w:ascii="Arial Narrow" w:hAnsi="Arial Narrow"/>
                <w:sz w:val="20"/>
              </w:rPr>
              <w:t>186</w:t>
            </w:r>
          </w:p>
        </w:tc>
        <w:tc>
          <w:tcPr>
            <w:tcW w:w="1139" w:type="dxa"/>
            <w:hideMark/>
          </w:tcPr>
          <w:p w14:paraId="30D47103" w14:textId="77777777" w:rsidR="00365F3D" w:rsidRPr="00B32CEF" w:rsidRDefault="00365F3D" w:rsidP="001827D7">
            <w:pPr>
              <w:rPr>
                <w:rFonts w:ascii="Arial Narrow" w:hAnsi="Arial Narrow"/>
                <w:sz w:val="20"/>
              </w:rPr>
            </w:pPr>
            <w:r w:rsidRPr="00B32CEF">
              <w:rPr>
                <w:rFonts w:ascii="Arial Narrow" w:hAnsi="Arial Narrow"/>
                <w:sz w:val="20"/>
              </w:rPr>
              <w:t>188</w:t>
            </w:r>
          </w:p>
        </w:tc>
        <w:tc>
          <w:tcPr>
            <w:tcW w:w="1235" w:type="dxa"/>
            <w:hideMark/>
          </w:tcPr>
          <w:p w14:paraId="61004C37" w14:textId="77777777" w:rsidR="00365F3D" w:rsidRPr="00B32CEF" w:rsidRDefault="00365F3D" w:rsidP="001827D7">
            <w:pPr>
              <w:rPr>
                <w:rFonts w:ascii="Arial Narrow" w:hAnsi="Arial Narrow"/>
                <w:sz w:val="20"/>
              </w:rPr>
            </w:pPr>
            <w:r w:rsidRPr="00B32CEF">
              <w:rPr>
                <w:rFonts w:ascii="Arial Narrow" w:hAnsi="Arial Narrow"/>
                <w:sz w:val="20"/>
              </w:rPr>
              <w:t>1084</w:t>
            </w:r>
          </w:p>
        </w:tc>
      </w:tr>
      <w:tr w:rsidR="000D0600" w:rsidRPr="00B32CEF" w14:paraId="7CC07754" w14:textId="77777777" w:rsidTr="000D0600">
        <w:trPr>
          <w:trHeight w:val="300"/>
        </w:trPr>
        <w:tc>
          <w:tcPr>
            <w:tcW w:w="925" w:type="dxa"/>
            <w:hideMark/>
          </w:tcPr>
          <w:p w14:paraId="2BBC2CC0" w14:textId="77777777" w:rsidR="000D0600" w:rsidRPr="00B32CEF" w:rsidRDefault="000D0600" w:rsidP="000D0600">
            <w:pPr>
              <w:rPr>
                <w:rFonts w:ascii="Arial Narrow" w:hAnsi="Arial Narrow"/>
                <w:sz w:val="20"/>
              </w:rPr>
            </w:pPr>
            <w:r w:rsidRPr="00B32CEF">
              <w:rPr>
                <w:rFonts w:ascii="Arial Narrow" w:hAnsi="Arial Narrow"/>
                <w:sz w:val="20"/>
              </w:rPr>
              <w:t>TIS cost per infused patient</w:t>
            </w:r>
          </w:p>
        </w:tc>
        <w:tc>
          <w:tcPr>
            <w:tcW w:w="1140" w:type="dxa"/>
            <w:hideMark/>
          </w:tcPr>
          <w:p w14:paraId="6D0D9824" w14:textId="4C765618" w:rsidR="000D0600" w:rsidRPr="00B32CEF" w:rsidRDefault="000D0600" w:rsidP="000D0600">
            <w:pPr>
              <w:rPr>
                <w:rFonts w:ascii="Arial Narrow" w:hAnsi="Arial Narrow"/>
                <w:sz w:val="20"/>
              </w:rPr>
            </w:pPr>
            <w:r w:rsidRPr="00B32CEF">
              <w:rPr>
                <w:rFonts w:ascii="Arial Narrow" w:hAnsi="Arial Narrow"/>
                <w:sz w:val="20"/>
              </w:rPr>
              <w:t>$redacted</w:t>
            </w:r>
          </w:p>
        </w:tc>
        <w:tc>
          <w:tcPr>
            <w:tcW w:w="1149" w:type="dxa"/>
            <w:hideMark/>
          </w:tcPr>
          <w:p w14:paraId="3D92877A" w14:textId="4FE6DB22" w:rsidR="000D0600" w:rsidRPr="00B32CEF" w:rsidRDefault="000D0600" w:rsidP="000D0600">
            <w:pPr>
              <w:rPr>
                <w:rFonts w:ascii="Arial Narrow" w:hAnsi="Arial Narrow"/>
                <w:sz w:val="20"/>
              </w:rPr>
            </w:pPr>
            <w:r w:rsidRPr="00B32CEF">
              <w:rPr>
                <w:rFonts w:ascii="Arial Narrow" w:hAnsi="Arial Narrow"/>
                <w:sz w:val="20"/>
              </w:rPr>
              <w:t>$redacted</w:t>
            </w:r>
          </w:p>
        </w:tc>
        <w:tc>
          <w:tcPr>
            <w:tcW w:w="1142" w:type="dxa"/>
            <w:hideMark/>
          </w:tcPr>
          <w:p w14:paraId="39642A76" w14:textId="2BFD2065" w:rsidR="000D0600" w:rsidRPr="00B32CEF" w:rsidRDefault="000D0600" w:rsidP="000D0600">
            <w:pPr>
              <w:rPr>
                <w:rFonts w:ascii="Arial Narrow" w:hAnsi="Arial Narrow"/>
                <w:sz w:val="20"/>
              </w:rPr>
            </w:pPr>
            <w:r w:rsidRPr="00B32CEF">
              <w:rPr>
                <w:rFonts w:ascii="Arial Narrow" w:hAnsi="Arial Narrow"/>
                <w:sz w:val="20"/>
              </w:rPr>
              <w:t>$redacted</w:t>
            </w:r>
          </w:p>
        </w:tc>
        <w:tc>
          <w:tcPr>
            <w:tcW w:w="1142" w:type="dxa"/>
            <w:hideMark/>
          </w:tcPr>
          <w:p w14:paraId="52BDD439" w14:textId="65B8C316" w:rsidR="000D0600" w:rsidRPr="00B32CEF" w:rsidRDefault="000D0600" w:rsidP="000D0600">
            <w:pPr>
              <w:rPr>
                <w:rFonts w:ascii="Arial Narrow" w:hAnsi="Arial Narrow"/>
                <w:sz w:val="20"/>
              </w:rPr>
            </w:pPr>
            <w:r w:rsidRPr="00B32CEF">
              <w:rPr>
                <w:rFonts w:ascii="Arial Narrow" w:hAnsi="Arial Narrow"/>
                <w:sz w:val="20"/>
              </w:rPr>
              <w:t>$redacted</w:t>
            </w:r>
          </w:p>
        </w:tc>
        <w:tc>
          <w:tcPr>
            <w:tcW w:w="1144" w:type="dxa"/>
            <w:hideMark/>
          </w:tcPr>
          <w:p w14:paraId="57836300" w14:textId="1A64D3F9" w:rsidR="000D0600" w:rsidRPr="00B32CEF" w:rsidRDefault="000D0600" w:rsidP="000D0600">
            <w:pPr>
              <w:rPr>
                <w:rFonts w:ascii="Arial Narrow" w:hAnsi="Arial Narrow"/>
                <w:sz w:val="20"/>
              </w:rPr>
            </w:pPr>
            <w:r w:rsidRPr="00B32CEF">
              <w:rPr>
                <w:rFonts w:ascii="Arial Narrow" w:hAnsi="Arial Narrow"/>
                <w:sz w:val="20"/>
              </w:rPr>
              <w:t>$redacted</w:t>
            </w:r>
          </w:p>
        </w:tc>
        <w:tc>
          <w:tcPr>
            <w:tcW w:w="1139" w:type="dxa"/>
            <w:hideMark/>
          </w:tcPr>
          <w:p w14:paraId="6679DE19" w14:textId="018184B0" w:rsidR="000D0600" w:rsidRPr="00B32CEF" w:rsidRDefault="000D0600" w:rsidP="000D0600">
            <w:pPr>
              <w:rPr>
                <w:rFonts w:ascii="Arial Narrow" w:hAnsi="Arial Narrow"/>
                <w:sz w:val="20"/>
              </w:rPr>
            </w:pPr>
            <w:r w:rsidRPr="00B32CEF">
              <w:rPr>
                <w:rFonts w:ascii="Arial Narrow" w:hAnsi="Arial Narrow"/>
                <w:sz w:val="20"/>
              </w:rPr>
              <w:t>$redacted</w:t>
            </w:r>
          </w:p>
        </w:tc>
        <w:tc>
          <w:tcPr>
            <w:tcW w:w="1235" w:type="dxa"/>
            <w:hideMark/>
          </w:tcPr>
          <w:p w14:paraId="6C4A62E2" w14:textId="77777777" w:rsidR="000D0600" w:rsidRPr="00B32CEF" w:rsidRDefault="000D0600" w:rsidP="000D0600">
            <w:pPr>
              <w:rPr>
                <w:rFonts w:ascii="Arial Narrow" w:hAnsi="Arial Narrow"/>
                <w:sz w:val="20"/>
              </w:rPr>
            </w:pPr>
            <w:r w:rsidRPr="00B32CEF">
              <w:rPr>
                <w:rFonts w:ascii="Arial Narrow" w:hAnsi="Arial Narrow"/>
                <w:sz w:val="20"/>
              </w:rPr>
              <w:t> </w:t>
            </w:r>
          </w:p>
        </w:tc>
      </w:tr>
      <w:tr w:rsidR="000D0600" w:rsidRPr="00B32CEF" w14:paraId="48163941" w14:textId="77777777" w:rsidTr="000D0600">
        <w:trPr>
          <w:trHeight w:val="300"/>
        </w:trPr>
        <w:tc>
          <w:tcPr>
            <w:tcW w:w="925" w:type="dxa"/>
            <w:hideMark/>
          </w:tcPr>
          <w:p w14:paraId="7EAEBBD6" w14:textId="77777777" w:rsidR="000D0600" w:rsidRPr="00B32CEF" w:rsidRDefault="000D0600" w:rsidP="000D0600">
            <w:pPr>
              <w:rPr>
                <w:rFonts w:ascii="Arial Narrow" w:hAnsi="Arial Narrow"/>
                <w:sz w:val="20"/>
              </w:rPr>
            </w:pPr>
            <w:r w:rsidRPr="00B32CEF">
              <w:rPr>
                <w:rFonts w:ascii="Arial Narrow" w:hAnsi="Arial Narrow"/>
                <w:sz w:val="20"/>
              </w:rPr>
              <w:t>Total cost - infused patients</w:t>
            </w:r>
          </w:p>
        </w:tc>
        <w:tc>
          <w:tcPr>
            <w:tcW w:w="1140" w:type="dxa"/>
            <w:hideMark/>
          </w:tcPr>
          <w:p w14:paraId="1068F75B" w14:textId="66598892" w:rsidR="000D0600" w:rsidRPr="00B32CEF" w:rsidRDefault="000D0600" w:rsidP="000D0600">
            <w:pPr>
              <w:rPr>
                <w:rFonts w:ascii="Arial Narrow" w:hAnsi="Arial Narrow"/>
                <w:sz w:val="20"/>
              </w:rPr>
            </w:pPr>
            <w:r w:rsidRPr="00B32CEF">
              <w:rPr>
                <w:rFonts w:ascii="Arial Narrow" w:hAnsi="Arial Narrow"/>
                <w:sz w:val="20"/>
              </w:rPr>
              <w:t>$redacted</w:t>
            </w:r>
          </w:p>
        </w:tc>
        <w:tc>
          <w:tcPr>
            <w:tcW w:w="1149" w:type="dxa"/>
            <w:hideMark/>
          </w:tcPr>
          <w:p w14:paraId="25E62637" w14:textId="10437390" w:rsidR="000D0600" w:rsidRPr="00B32CEF" w:rsidRDefault="000D0600" w:rsidP="000D0600">
            <w:pPr>
              <w:rPr>
                <w:rFonts w:ascii="Arial Narrow" w:hAnsi="Arial Narrow"/>
                <w:sz w:val="20"/>
              </w:rPr>
            </w:pPr>
            <w:r w:rsidRPr="00B32CEF">
              <w:rPr>
                <w:rFonts w:ascii="Arial Narrow" w:hAnsi="Arial Narrow"/>
                <w:sz w:val="20"/>
              </w:rPr>
              <w:t>$redacted</w:t>
            </w:r>
          </w:p>
        </w:tc>
        <w:tc>
          <w:tcPr>
            <w:tcW w:w="1142" w:type="dxa"/>
            <w:hideMark/>
          </w:tcPr>
          <w:p w14:paraId="0954E2C0" w14:textId="6C699D04" w:rsidR="000D0600" w:rsidRPr="00B32CEF" w:rsidRDefault="000D0600" w:rsidP="000D0600">
            <w:pPr>
              <w:rPr>
                <w:rFonts w:ascii="Arial Narrow" w:hAnsi="Arial Narrow"/>
                <w:sz w:val="20"/>
              </w:rPr>
            </w:pPr>
            <w:r w:rsidRPr="00B32CEF">
              <w:rPr>
                <w:rFonts w:ascii="Arial Narrow" w:hAnsi="Arial Narrow"/>
                <w:sz w:val="20"/>
              </w:rPr>
              <w:t>$redacted</w:t>
            </w:r>
          </w:p>
        </w:tc>
        <w:tc>
          <w:tcPr>
            <w:tcW w:w="1142" w:type="dxa"/>
            <w:hideMark/>
          </w:tcPr>
          <w:p w14:paraId="188BA044" w14:textId="2CB92EC4" w:rsidR="000D0600" w:rsidRPr="00B32CEF" w:rsidRDefault="000D0600" w:rsidP="000D0600">
            <w:pPr>
              <w:rPr>
                <w:rFonts w:ascii="Arial Narrow" w:hAnsi="Arial Narrow"/>
                <w:sz w:val="20"/>
              </w:rPr>
            </w:pPr>
            <w:r w:rsidRPr="00B32CEF">
              <w:rPr>
                <w:rFonts w:ascii="Arial Narrow" w:hAnsi="Arial Narrow"/>
                <w:sz w:val="20"/>
              </w:rPr>
              <w:t>$redacted</w:t>
            </w:r>
          </w:p>
        </w:tc>
        <w:tc>
          <w:tcPr>
            <w:tcW w:w="1144" w:type="dxa"/>
            <w:hideMark/>
          </w:tcPr>
          <w:p w14:paraId="3F90133D" w14:textId="60F1D04D" w:rsidR="000D0600" w:rsidRPr="00B32CEF" w:rsidRDefault="000D0600" w:rsidP="000D0600">
            <w:pPr>
              <w:rPr>
                <w:rFonts w:ascii="Arial Narrow" w:hAnsi="Arial Narrow"/>
                <w:sz w:val="20"/>
              </w:rPr>
            </w:pPr>
            <w:r w:rsidRPr="00B32CEF">
              <w:rPr>
                <w:rFonts w:ascii="Arial Narrow" w:hAnsi="Arial Narrow"/>
                <w:sz w:val="20"/>
              </w:rPr>
              <w:t>$redacted</w:t>
            </w:r>
          </w:p>
        </w:tc>
        <w:tc>
          <w:tcPr>
            <w:tcW w:w="1139" w:type="dxa"/>
            <w:hideMark/>
          </w:tcPr>
          <w:p w14:paraId="153EF064" w14:textId="679353CF" w:rsidR="000D0600" w:rsidRPr="00B32CEF" w:rsidRDefault="000D0600" w:rsidP="000D0600">
            <w:pPr>
              <w:rPr>
                <w:rFonts w:ascii="Arial Narrow" w:hAnsi="Arial Narrow"/>
                <w:sz w:val="20"/>
              </w:rPr>
            </w:pPr>
            <w:r w:rsidRPr="00B32CEF">
              <w:rPr>
                <w:rFonts w:ascii="Arial Narrow" w:hAnsi="Arial Narrow"/>
                <w:sz w:val="20"/>
              </w:rPr>
              <w:t>$redacted</w:t>
            </w:r>
          </w:p>
        </w:tc>
        <w:tc>
          <w:tcPr>
            <w:tcW w:w="1235" w:type="dxa"/>
            <w:hideMark/>
          </w:tcPr>
          <w:p w14:paraId="2A98EF04" w14:textId="0308486B" w:rsidR="000D0600" w:rsidRPr="00B32CEF" w:rsidRDefault="000D0600" w:rsidP="000D0600">
            <w:pPr>
              <w:rPr>
                <w:rFonts w:ascii="Arial Narrow" w:hAnsi="Arial Narrow"/>
                <w:sz w:val="20"/>
              </w:rPr>
            </w:pPr>
            <w:r w:rsidRPr="00B32CEF">
              <w:rPr>
                <w:rFonts w:ascii="Arial Narrow" w:hAnsi="Arial Narrow"/>
                <w:sz w:val="20"/>
              </w:rPr>
              <w:t>$redacted</w:t>
            </w:r>
          </w:p>
        </w:tc>
      </w:tr>
    </w:tbl>
    <w:p w14:paraId="179F536C" w14:textId="77777777" w:rsidR="005A4E9D" w:rsidRPr="00B32CEF" w:rsidRDefault="003459AD" w:rsidP="00D66327">
      <w:pPr>
        <w:spacing w:before="240" w:after="240"/>
      </w:pPr>
      <w:r w:rsidRPr="00B32CEF">
        <w:t>MSAC recognised these estimates could require further review based on the final a</w:t>
      </w:r>
      <w:r w:rsidR="00D66327" w:rsidRPr="00B32CEF">
        <w:t>greed TIS eligibility criteria.</w:t>
      </w:r>
    </w:p>
    <w:p w14:paraId="5B79AFC8" w14:textId="46068A71" w:rsidR="00F7451D" w:rsidRDefault="001925B9" w:rsidP="00606379">
      <w:pPr>
        <w:spacing w:after="240"/>
      </w:pPr>
      <w:r w:rsidRPr="00B32CEF">
        <w:t xml:space="preserve">MSAC </w:t>
      </w:r>
      <w:r w:rsidR="00545564" w:rsidRPr="00B32CEF">
        <w:t xml:space="preserve">considered </w:t>
      </w:r>
      <w:r w:rsidRPr="00B32CEF">
        <w:t xml:space="preserve">that, for this application to be successful, a risk-sharing agreement similar to the one put </w:t>
      </w:r>
      <w:r w:rsidR="000A2CB8" w:rsidRPr="00B32CEF">
        <w:t>in place</w:t>
      </w:r>
      <w:r w:rsidRPr="00B32CEF">
        <w:t xml:space="preserve"> for the pALL population need</w:t>
      </w:r>
      <w:r w:rsidR="002B501C" w:rsidRPr="00B32CEF">
        <w:t>s</w:t>
      </w:r>
      <w:r w:rsidRPr="00B32CEF">
        <w:t xml:space="preserve"> to </w:t>
      </w:r>
      <w:r w:rsidR="00D82A00" w:rsidRPr="00B32CEF">
        <w:t>developed</w:t>
      </w:r>
      <w:r w:rsidR="00545564" w:rsidRPr="00B32CEF">
        <w:t>.</w:t>
      </w:r>
      <w:r w:rsidR="00D82A00" w:rsidRPr="00B32CEF">
        <w:t xml:space="preserve"> MSAC considered the </w:t>
      </w:r>
      <w:r w:rsidR="00F7451D" w:rsidRPr="00B32CEF">
        <w:t xml:space="preserve">risk-sharing arrangement should include </w:t>
      </w:r>
      <w:r w:rsidR="000D0600" w:rsidRPr="00B32CEF">
        <w:rPr>
          <w:b/>
        </w:rPr>
        <w:t>redacted</w:t>
      </w:r>
      <w:r w:rsidR="00D82A00" w:rsidRPr="00B32CEF">
        <w:t xml:space="preserve">, data collection </w:t>
      </w:r>
      <w:r w:rsidR="000A2CB8" w:rsidRPr="00B32CEF">
        <w:t xml:space="preserve">requirements </w:t>
      </w:r>
      <w:r w:rsidR="00D82A00" w:rsidRPr="00B32CEF">
        <w:t>and arrangements for further review(s) by MSAC</w:t>
      </w:r>
      <w:r w:rsidRPr="00B32CEF">
        <w:t xml:space="preserve">. </w:t>
      </w:r>
      <w:r w:rsidR="000D0600" w:rsidRPr="00B32CEF">
        <w:rPr>
          <w:b/>
        </w:rPr>
        <w:t>Redacted</w:t>
      </w:r>
      <w:r w:rsidR="00F7451D" w:rsidRPr="00B32CEF">
        <w:t>.</w:t>
      </w:r>
    </w:p>
    <w:p w14:paraId="66597CB9" w14:textId="77777777" w:rsidR="001925B9" w:rsidRDefault="001925B9" w:rsidP="00D66327">
      <w:pPr>
        <w:spacing w:after="240"/>
      </w:pPr>
      <w:r>
        <w:t xml:space="preserve">MSAC </w:t>
      </w:r>
      <w:r w:rsidR="00D82A00">
        <w:t>noted t</w:t>
      </w:r>
      <w:r>
        <w:t>he final JULIET data would be available in 2023</w:t>
      </w:r>
      <w:r w:rsidR="00D82A00">
        <w:t xml:space="preserve">, and considered this might be an appropriate trigger for an MSAC review, although it may also be necessary to schedule an earlier review around 2 years after </w:t>
      </w:r>
      <w:r w:rsidR="00EA046C">
        <w:t>the commencement of subsidy.</w:t>
      </w:r>
    </w:p>
    <w:p w14:paraId="1212A2B8" w14:textId="77777777" w:rsidR="001925B9" w:rsidRPr="00A12700" w:rsidRDefault="001925B9" w:rsidP="000F6762">
      <w:pPr>
        <w:spacing w:after="240"/>
      </w:pPr>
      <w:r>
        <w:t xml:space="preserve">MSAC </w:t>
      </w:r>
      <w:r w:rsidR="005A4E9D">
        <w:t xml:space="preserve">considered </w:t>
      </w:r>
      <w:r>
        <w:t>that any resubmission could bypass ESC.</w:t>
      </w:r>
    </w:p>
    <w:p w14:paraId="6FF93AB1" w14:textId="77777777" w:rsidR="002C71D0" w:rsidRPr="003700A9" w:rsidRDefault="002C71D0" w:rsidP="002C71D0">
      <w:pPr>
        <w:pStyle w:val="Heading1"/>
        <w:spacing w:before="0" w:after="0"/>
      </w:pPr>
      <w:r w:rsidRPr="003700A9">
        <w:t>Background</w:t>
      </w:r>
    </w:p>
    <w:p w14:paraId="474D8DF0" w14:textId="77777777" w:rsidR="002C71D0" w:rsidRPr="00B02E35" w:rsidRDefault="002C71D0" w:rsidP="00D66327">
      <w:pPr>
        <w:spacing w:before="240" w:after="240"/>
        <w:rPr>
          <w:szCs w:val="24"/>
        </w:rPr>
      </w:pPr>
      <w:r>
        <w:t xml:space="preserve">This is the first resubmission for TIS for r/r diffuse </w:t>
      </w:r>
      <w:r>
        <w:rPr>
          <w:iCs/>
        </w:rPr>
        <w:t xml:space="preserve">DLBCL. At the November 2018 meeting, </w:t>
      </w:r>
      <w:r>
        <w:t xml:space="preserve">MSAC previously </w:t>
      </w:r>
      <w:r w:rsidRPr="007176F4">
        <w:t xml:space="preserve">did not support public funding for TIS for adults with confirmed </w:t>
      </w:r>
      <w:r>
        <w:t xml:space="preserve">r/r </w:t>
      </w:r>
      <w:r w:rsidRPr="007176F4">
        <w:t>DLBCL.</w:t>
      </w:r>
      <w:r>
        <w:t xml:space="preserve"> Specifically, MSAC requested the </w:t>
      </w:r>
      <w:r w:rsidRPr="006C64BA">
        <w:t>definition of the appropriate eligible population needed to be redefined</w:t>
      </w:r>
      <w:r>
        <w:rPr>
          <w:szCs w:val="24"/>
        </w:rPr>
        <w:t xml:space="preserve">, as well as amendments made to the economic evaluation and </w:t>
      </w:r>
      <w:r w:rsidRPr="00760018">
        <w:rPr>
          <w:szCs w:val="24"/>
        </w:rPr>
        <w:t xml:space="preserve">a </w:t>
      </w:r>
      <w:r w:rsidRPr="00760018">
        <w:rPr>
          <w:szCs w:val="24"/>
        </w:rPr>
        <w:lastRenderedPageBreak/>
        <w:t xml:space="preserve">reduced price for </w:t>
      </w:r>
      <w:r>
        <w:rPr>
          <w:szCs w:val="24"/>
        </w:rPr>
        <w:t>TIS</w:t>
      </w:r>
      <w:r w:rsidRPr="00760018">
        <w:rPr>
          <w:szCs w:val="24"/>
        </w:rPr>
        <w:t xml:space="preserve"> ascertained</w:t>
      </w:r>
      <w:r>
        <w:t xml:space="preserve"> </w:t>
      </w:r>
      <w:r w:rsidRPr="00760018">
        <w:rPr>
          <w:szCs w:val="24"/>
        </w:rPr>
        <w:t>at which it is acceptably cost-effective</w:t>
      </w:r>
      <w:r>
        <w:rPr>
          <w:szCs w:val="24"/>
        </w:rPr>
        <w:t xml:space="preserve"> [Final Public Summary Document (PSD) Application No. 1519, 2018, 201</w:t>
      </w:r>
      <w:r w:rsidR="00D66327">
        <w:rPr>
          <w:szCs w:val="24"/>
        </w:rPr>
        <w:t>9, p6].</w:t>
      </w:r>
    </w:p>
    <w:p w14:paraId="054B10ED" w14:textId="77777777" w:rsidR="002C71D0" w:rsidRDefault="002C71D0" w:rsidP="002C71D0">
      <w:pPr>
        <w:pStyle w:val="Heading1"/>
        <w:spacing w:before="0" w:after="0"/>
      </w:pPr>
      <w:r w:rsidRPr="00B02E35">
        <w:t>Prerequisites to implementation of any funding advice</w:t>
      </w:r>
    </w:p>
    <w:p w14:paraId="2BD4F452" w14:textId="77777777" w:rsidR="002C71D0" w:rsidRPr="00B02E35" w:rsidRDefault="002C71D0" w:rsidP="00D66327">
      <w:pPr>
        <w:spacing w:before="240" w:after="240"/>
      </w:pPr>
      <w:r>
        <w:t>This was unchanged, refer to Application 1519 Final PSD</w:t>
      </w:r>
      <w:r w:rsidRPr="000C582B">
        <w:t xml:space="preserve"> </w:t>
      </w:r>
      <w:r>
        <w:t>2018, 2019, p9.</w:t>
      </w:r>
    </w:p>
    <w:p w14:paraId="23ADA550" w14:textId="77777777" w:rsidR="002C71D0" w:rsidRDefault="002C71D0" w:rsidP="002C71D0">
      <w:pPr>
        <w:pStyle w:val="Heading1"/>
        <w:spacing w:before="0" w:after="0"/>
      </w:pPr>
      <w:r w:rsidRPr="00B02E35">
        <w:t>Proposal for public funding</w:t>
      </w:r>
    </w:p>
    <w:p w14:paraId="57ABB864" w14:textId="77777777" w:rsidR="002C71D0" w:rsidRDefault="002C71D0" w:rsidP="00D66327">
      <w:pPr>
        <w:spacing w:before="240" w:after="240"/>
      </w:pPr>
      <w:r>
        <w:t>The previous submission requested creation of a new national funding mechanism, suitable for providing equitable and affordable patient access to this highly specialised and individualised hybrid genetic therapeutic process, ac</w:t>
      </w:r>
      <w:r w:rsidR="00D66327">
        <w:t>ross both approved indications.</w:t>
      </w:r>
    </w:p>
    <w:p w14:paraId="71CDB55C" w14:textId="77777777" w:rsidR="002C71D0" w:rsidRPr="00D66327" w:rsidRDefault="002C71D0" w:rsidP="00D66327">
      <w:pPr>
        <w:spacing w:after="240"/>
        <w:rPr>
          <w:szCs w:val="24"/>
        </w:rPr>
      </w:pPr>
      <w:r>
        <w:t>However, MSAC considered that the funding model for the proposed pALL population should reflect the current Commonwealth–state agreements for funding through public hospitals and that in the future, a Nationally Funded Centres Program model could be considered.  For the r/r DLBCL population, it was suggested that a centre would subsequently be required in every state due to the larger patient numbers [</w:t>
      </w:r>
      <w:r>
        <w:rPr>
          <w:szCs w:val="24"/>
        </w:rPr>
        <w:t>PSD Application No. 1519, 2018, 2019, p8].</w:t>
      </w:r>
    </w:p>
    <w:p w14:paraId="7BB36CE0" w14:textId="77777777" w:rsidR="002C71D0" w:rsidRDefault="002C71D0" w:rsidP="00413CD4">
      <w:pPr>
        <w:spacing w:after="240"/>
      </w:pPr>
      <w:r>
        <w:t>The resubmission stated that issues around the appropriate funding model for CAR-T therapies lie beyond the expertise of the applicant or scope of the resubmission.  However, as noted previously, Novartis is willing to work closely with MSAC, the Department of Health and broader Australian Government to develop a suitable program that addresses these general principles and ensures timely and affordable access to this important new therapeutic process.</w:t>
      </w:r>
    </w:p>
    <w:p w14:paraId="2D64C14A" w14:textId="77777777" w:rsidR="002C71D0" w:rsidRPr="00413CD4" w:rsidRDefault="002C71D0" w:rsidP="00413CD4">
      <w:pPr>
        <w:pStyle w:val="Heading2"/>
        <w:spacing w:after="0"/>
        <w:rPr>
          <w:b w:val="0"/>
          <w:i/>
        </w:rPr>
      </w:pPr>
      <w:r w:rsidRPr="00413CD4">
        <w:rPr>
          <w:b w:val="0"/>
          <w:i/>
        </w:rPr>
        <w:t>Requested price</w:t>
      </w:r>
    </w:p>
    <w:p w14:paraId="561E290B" w14:textId="4DE15813" w:rsidR="005233C6" w:rsidRPr="00B32CEF" w:rsidRDefault="002C71D0" w:rsidP="00606379">
      <w:pPr>
        <w:spacing w:after="240"/>
      </w:pPr>
      <w:r w:rsidRPr="0079129A">
        <w:t xml:space="preserve">The </w:t>
      </w:r>
      <w:r>
        <w:t>resubmission</w:t>
      </w:r>
      <w:r w:rsidRPr="0079129A">
        <w:t xml:space="preserve"> proposed a reduced effective price for the </w:t>
      </w:r>
      <w:r>
        <w:t xml:space="preserve">r/r </w:t>
      </w:r>
      <w:r w:rsidRPr="0079129A">
        <w:t xml:space="preserve">DLBCL indication of </w:t>
      </w:r>
      <w:r w:rsidR="005233C6" w:rsidRPr="00B32CEF">
        <w:rPr>
          <w:b/>
        </w:rPr>
        <w:t>redacted</w:t>
      </w:r>
      <w:r w:rsidR="00F7451D" w:rsidRPr="00B32CEF">
        <w:t>.</w:t>
      </w:r>
    </w:p>
    <w:p w14:paraId="348A3FF8" w14:textId="45DE7562" w:rsidR="005233C6" w:rsidRPr="00B32CEF" w:rsidRDefault="00F7451D" w:rsidP="00606379">
      <w:pPr>
        <w:spacing w:after="240"/>
        <w:jc w:val="both"/>
        <w:rPr>
          <w:rFonts w:ascii="Arial Narrow" w:hAnsi="Arial Narrow"/>
          <w:b/>
          <w:sz w:val="20"/>
        </w:rPr>
      </w:pPr>
      <w:r w:rsidRPr="00B32CEF">
        <w:rPr>
          <w:rFonts w:ascii="Arial Narrow" w:hAnsi="Arial Narrow"/>
          <w:b/>
          <w:color w:val="000000" w:themeColor="text1"/>
          <w:sz w:val="20"/>
        </w:rPr>
        <w:t xml:space="preserve">Table </w:t>
      </w:r>
      <w:r w:rsidR="00DF2A45" w:rsidRPr="00B32CEF">
        <w:rPr>
          <w:rFonts w:ascii="Arial Narrow" w:hAnsi="Arial Narrow"/>
          <w:b/>
          <w:color w:val="000000" w:themeColor="text1"/>
          <w:sz w:val="20"/>
        </w:rPr>
        <w:t>7</w:t>
      </w:r>
      <w:r w:rsidRPr="00B32CEF">
        <w:rPr>
          <w:rFonts w:ascii="Arial Narrow" w:hAnsi="Arial Narrow"/>
          <w:b/>
          <w:color w:val="000000" w:themeColor="text1"/>
          <w:sz w:val="20"/>
        </w:rPr>
        <w:t xml:space="preserve">: </w:t>
      </w:r>
      <w:r w:rsidR="005233C6" w:rsidRPr="00B32CEF">
        <w:rPr>
          <w:rFonts w:ascii="Arial Narrow" w:hAnsi="Arial Narrow"/>
          <w:b/>
          <w:sz w:val="20"/>
        </w:rPr>
        <w:t>Redacted</w:t>
      </w:r>
    </w:p>
    <w:p w14:paraId="48050A39" w14:textId="7B098734" w:rsidR="00F7451D" w:rsidRPr="00D66327" w:rsidRDefault="005233C6" w:rsidP="00606379">
      <w:pPr>
        <w:spacing w:after="240"/>
      </w:pPr>
      <w:r w:rsidRPr="00B32CEF">
        <w:rPr>
          <w:b/>
        </w:rPr>
        <w:t>Redacted</w:t>
      </w:r>
      <w:r w:rsidR="00F7451D" w:rsidRPr="00B32CEF">
        <w:t>.</w:t>
      </w:r>
    </w:p>
    <w:p w14:paraId="04661815" w14:textId="77777777" w:rsidR="002C71D0" w:rsidRPr="00B02E35" w:rsidRDefault="002C71D0" w:rsidP="002C71D0">
      <w:pPr>
        <w:pStyle w:val="Heading1"/>
        <w:spacing w:before="0" w:after="0"/>
      </w:pPr>
      <w:r w:rsidRPr="00B02E35">
        <w:t>Summary of Public Consultation Feedback/Consumer Issues</w:t>
      </w:r>
    </w:p>
    <w:p w14:paraId="5BB69C45" w14:textId="77777777" w:rsidR="002C71D0" w:rsidRPr="00D66327" w:rsidRDefault="002C71D0" w:rsidP="00D66327">
      <w:pPr>
        <w:spacing w:before="240" w:after="240"/>
      </w:pPr>
      <w:r>
        <w:t>This was unchanged, refer to Application 1519 Final PSD</w:t>
      </w:r>
      <w:r w:rsidRPr="000C582B">
        <w:t xml:space="preserve"> </w:t>
      </w:r>
      <w:r>
        <w:t>2018, 2019, p10.</w:t>
      </w:r>
    </w:p>
    <w:p w14:paraId="0795D737" w14:textId="77777777" w:rsidR="002C71D0" w:rsidRDefault="002C71D0" w:rsidP="002C71D0">
      <w:pPr>
        <w:pStyle w:val="Heading1"/>
        <w:spacing w:before="0" w:after="0"/>
      </w:pPr>
      <w:r w:rsidRPr="00BF0DFE">
        <w:t>Proposed intervention’s place in clinical management</w:t>
      </w:r>
    </w:p>
    <w:p w14:paraId="1A6E0BC9" w14:textId="77777777" w:rsidR="002C71D0" w:rsidRDefault="002C71D0" w:rsidP="00D66327">
      <w:pPr>
        <w:spacing w:before="240"/>
      </w:pPr>
      <w:r>
        <w:t>This was unchanged; refer to Application 1519 Final</w:t>
      </w:r>
      <w:r w:rsidDel="00B60538">
        <w:t xml:space="preserve"> </w:t>
      </w:r>
      <w:r>
        <w:t>PSD</w:t>
      </w:r>
      <w:r w:rsidRPr="000C582B">
        <w:t xml:space="preserve"> </w:t>
      </w:r>
      <w:r>
        <w:t>2018, 2019, p10</w:t>
      </w:r>
      <w:r w:rsidR="00EA046C">
        <w:t>.</w:t>
      </w:r>
    </w:p>
    <w:p w14:paraId="0AC6D758" w14:textId="77777777" w:rsidR="00D66327" w:rsidRDefault="00D66327" w:rsidP="00D66327">
      <w:pPr>
        <w:pStyle w:val="Caption"/>
        <w:keepNext/>
        <w:keepLines/>
      </w:pPr>
      <w:r>
        <w:lastRenderedPageBreak/>
        <w:t xml:space="preserve">Figure </w:t>
      </w:r>
      <w:r w:rsidR="00DF2A45">
        <w:t>5</w:t>
      </w:r>
      <w:r>
        <w:t>:</w:t>
      </w:r>
      <w:r>
        <w:tab/>
        <w:t>Current and proposed management algorithm for DLBCL</w:t>
      </w:r>
    </w:p>
    <w:p w14:paraId="093FFCBA" w14:textId="77777777" w:rsidR="002C71D0" w:rsidRPr="000F3CB1" w:rsidRDefault="002C71D0" w:rsidP="00D66327">
      <w:pPr>
        <w:keepNext/>
        <w:keepLines/>
      </w:pPr>
      <w:r>
        <w:rPr>
          <w:noProof/>
        </w:rPr>
        <w:drawing>
          <wp:inline distT="0" distB="0" distL="0" distR="0" wp14:anchorId="5D6948A6" wp14:editId="2B14E9B7">
            <wp:extent cx="5314315" cy="6029325"/>
            <wp:effectExtent l="0" t="0" r="635" b="9525"/>
            <wp:docPr id="1" name="Picture 1" descr="Current and proposed managment algorithm for DLBCL"/>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5" cstate="print">
                      <a:extLst>
                        <a:ext uri="{28A0092B-C50C-407E-A947-70E740481C1C}">
                          <a14:useLocalDpi xmlns:a14="http://schemas.microsoft.com/office/drawing/2010/main" val="0"/>
                        </a:ext>
                      </a:extLst>
                    </a:blip>
                    <a:srcRect l="33071" t="3383"/>
                    <a:stretch/>
                  </pic:blipFill>
                  <pic:spPr bwMode="auto">
                    <a:xfrm>
                      <a:off x="0" y="0"/>
                      <a:ext cx="5314315" cy="6029325"/>
                    </a:xfrm>
                    <a:prstGeom prst="rect">
                      <a:avLst/>
                    </a:prstGeom>
                    <a:ln>
                      <a:noFill/>
                    </a:ln>
                    <a:extLst>
                      <a:ext uri="{53640926-AAD7-44D8-BBD7-CCE9431645EC}">
                        <a14:shadowObscured xmlns:a14="http://schemas.microsoft.com/office/drawing/2010/main"/>
                      </a:ext>
                    </a:extLst>
                  </pic:spPr>
                </pic:pic>
              </a:graphicData>
            </a:graphic>
          </wp:inline>
        </w:drawing>
      </w:r>
    </w:p>
    <w:p w14:paraId="76CF100F" w14:textId="77777777" w:rsidR="002C71D0" w:rsidRPr="00813E31" w:rsidRDefault="002C71D0" w:rsidP="002C71D0">
      <w:pPr>
        <w:pStyle w:val="CaptionFootnote"/>
        <w:rPr>
          <w:rFonts w:asciiTheme="minorHAnsi" w:hAnsiTheme="minorHAnsi"/>
          <w:sz w:val="22"/>
        </w:rPr>
      </w:pPr>
      <w:r>
        <w:t xml:space="preserve">The solid lines represent current pathways, and dotted lines the proposed changes with the addition of tisagenlecleucel; </w:t>
      </w:r>
    </w:p>
    <w:p w14:paraId="00A7FAE7" w14:textId="77777777" w:rsidR="002C71D0" w:rsidRPr="00813E31" w:rsidRDefault="002C71D0" w:rsidP="002C71D0">
      <w:pPr>
        <w:pStyle w:val="CaptionFootnote"/>
        <w:rPr>
          <w:rFonts w:asciiTheme="minorHAnsi" w:hAnsiTheme="minorHAnsi"/>
          <w:sz w:val="22"/>
        </w:rPr>
      </w:pPr>
      <w:r>
        <w:t>The circles indicate the patient subgroups suggested in the PICO Confirmation and the diamonds the potential comparators for each of these</w:t>
      </w:r>
    </w:p>
    <w:p w14:paraId="47510F50" w14:textId="77777777" w:rsidR="002C71D0" w:rsidRPr="00B02E35" w:rsidRDefault="002C71D0" w:rsidP="006753E4">
      <w:pPr>
        <w:pStyle w:val="CaptionFootnote"/>
        <w:spacing w:after="240"/>
      </w:pPr>
      <w:r>
        <w:t>Options following tisagenlecleucel treatment are also shown, noting that patients would not be eligible to return for a secon</w:t>
      </w:r>
      <w:r w:rsidR="006753E4">
        <w:t>d infusion.</w:t>
      </w:r>
    </w:p>
    <w:p w14:paraId="0BC54E07" w14:textId="77777777" w:rsidR="002C71D0" w:rsidRDefault="002C71D0" w:rsidP="002C71D0">
      <w:pPr>
        <w:pStyle w:val="Heading1"/>
        <w:spacing w:before="0" w:after="0"/>
      </w:pPr>
      <w:r w:rsidRPr="00D55F83">
        <w:t xml:space="preserve">Other </w:t>
      </w:r>
      <w:r w:rsidRPr="00D55F83">
        <w:rPr>
          <w:szCs w:val="24"/>
        </w:rPr>
        <w:t>options</w:t>
      </w:r>
      <w:r w:rsidRPr="00D55F83">
        <w:t xml:space="preserve"> for MSAC consideration</w:t>
      </w:r>
    </w:p>
    <w:p w14:paraId="2B4F18F1" w14:textId="77777777" w:rsidR="002C71D0" w:rsidRPr="006753E4" w:rsidRDefault="002C71D0" w:rsidP="006753E4">
      <w:pPr>
        <w:spacing w:before="240" w:after="240"/>
      </w:pPr>
      <w:r>
        <w:t>Nil.</w:t>
      </w:r>
    </w:p>
    <w:p w14:paraId="147CAA73" w14:textId="77777777" w:rsidR="002C71D0" w:rsidRDefault="002C71D0" w:rsidP="002C71D0">
      <w:pPr>
        <w:pStyle w:val="Heading1"/>
        <w:spacing w:before="0" w:after="0"/>
      </w:pPr>
      <w:r w:rsidRPr="00D55F83">
        <w:t>Comparator to the proposed intervention</w:t>
      </w:r>
    </w:p>
    <w:p w14:paraId="0DA3A98A" w14:textId="77777777" w:rsidR="002C71D0" w:rsidRDefault="002C71D0" w:rsidP="006753E4">
      <w:pPr>
        <w:spacing w:before="240" w:after="240"/>
      </w:pPr>
      <w:r>
        <w:t xml:space="preserve">Consistent with the previous submission, the main comparator was </w:t>
      </w:r>
      <w:r w:rsidR="003B5D81">
        <w:t>SCR</w:t>
      </w:r>
      <w:r>
        <w:t>. MSAC previously accepted the proposed comparators Application 1519 Final</w:t>
      </w:r>
      <w:r w:rsidDel="00B60538">
        <w:t xml:space="preserve"> </w:t>
      </w:r>
      <w:r>
        <w:t>PSD</w:t>
      </w:r>
      <w:r w:rsidRPr="000C582B">
        <w:t xml:space="preserve"> </w:t>
      </w:r>
      <w:r>
        <w:t>2018, 201</w:t>
      </w:r>
      <w:r w:rsidR="006753E4">
        <w:t>9, p10.</w:t>
      </w:r>
    </w:p>
    <w:p w14:paraId="5AABC99B" w14:textId="77777777" w:rsidR="002C71D0" w:rsidRPr="006753E4" w:rsidRDefault="002C71D0" w:rsidP="006753E4">
      <w:pPr>
        <w:spacing w:after="240"/>
      </w:pPr>
      <w:r>
        <w:t>However, MSAC also considered that the r/r DLBCL population has other treatment options available to them, and the comparative effectiveness of TIS against these options had not been adequately explored [Final</w:t>
      </w:r>
      <w:r w:rsidDel="00B60538">
        <w:t xml:space="preserve"> </w:t>
      </w:r>
      <w:r>
        <w:t xml:space="preserve">PSD, p9]. The resubmission stated </w:t>
      </w:r>
      <w:r w:rsidRPr="009A1314">
        <w:t xml:space="preserve">there are no other therapeutic options commercially available in Australia for </w:t>
      </w:r>
      <w:r>
        <w:t xml:space="preserve">r/r </w:t>
      </w:r>
      <w:r w:rsidRPr="009A1314">
        <w:t xml:space="preserve">DLBCL for which clinical </w:t>
      </w:r>
      <w:r w:rsidRPr="009A1314">
        <w:lastRenderedPageBreak/>
        <w:t>effectiveness, safety or cost is significantly different to those regimens canvassed in the submission</w:t>
      </w:r>
      <w:r>
        <w:t>; hence the resubmission proposed the same comparator previously assessed by MSAC [Resubmission 1519.1 2019, p28].</w:t>
      </w:r>
    </w:p>
    <w:p w14:paraId="0B621B2D" w14:textId="77777777" w:rsidR="002C71D0" w:rsidRDefault="002C71D0" w:rsidP="002C71D0">
      <w:pPr>
        <w:pStyle w:val="Heading1"/>
        <w:spacing w:before="0" w:after="0"/>
      </w:pPr>
      <w:r w:rsidRPr="00B02E35">
        <w:t>Comparative safety</w:t>
      </w:r>
    </w:p>
    <w:p w14:paraId="4DB934FC" w14:textId="77777777" w:rsidR="002C71D0" w:rsidRDefault="002C71D0" w:rsidP="006753E4">
      <w:pPr>
        <w:spacing w:before="240" w:after="240"/>
      </w:pPr>
      <w:r>
        <w:t xml:space="preserve">The resubmission relied on results from the </w:t>
      </w:r>
      <w:r w:rsidRPr="0079129A">
        <w:t>data cut date of 21 May 2018</w:t>
      </w:r>
      <w:r>
        <w:t xml:space="preserve"> from the JULIET trial (intention-to-treat (ITT) N=167; Infused N=115). Specifically, the resubmission presented </w:t>
      </w:r>
      <w:r w:rsidRPr="0079129A">
        <w:t>‘non-CSR’ safety analyses</w:t>
      </w:r>
      <w:r>
        <w:t>, which the Critique highlighted the non-CSR analyses did not defined adverse events (AE)s in same terms (relative to CSR-based AEs in previous submission). However, the Critique stated that it was unlikely this difference in defi</w:t>
      </w:r>
      <w:r w:rsidR="006753E4">
        <w:t>nition made a large difference.</w:t>
      </w:r>
    </w:p>
    <w:p w14:paraId="553284C2" w14:textId="77777777" w:rsidR="002C71D0" w:rsidRPr="006753E4" w:rsidRDefault="002C71D0" w:rsidP="006753E4">
      <w:pPr>
        <w:spacing w:after="240"/>
      </w:pPr>
      <w:r>
        <w:t xml:space="preserve">The Critique stated overall, no substantial changes in the proportion of patients with adverse events was presented in the updated JULIET data (note Table </w:t>
      </w:r>
      <w:r w:rsidR="00DF2A45">
        <w:t>7</w:t>
      </w:r>
      <w:r w:rsidR="006753E4">
        <w:t xml:space="preserve"> summarises safety outcomes).</w:t>
      </w:r>
    </w:p>
    <w:p w14:paraId="0E1BDED2" w14:textId="77777777" w:rsidR="002C71D0" w:rsidRDefault="002C71D0" w:rsidP="002C71D0">
      <w:pPr>
        <w:pStyle w:val="Heading1"/>
        <w:spacing w:before="0" w:after="0"/>
      </w:pPr>
      <w:r w:rsidRPr="00B02E35">
        <w:t>Comparative effectiveness</w:t>
      </w:r>
    </w:p>
    <w:p w14:paraId="5E3FD7AF" w14:textId="77777777" w:rsidR="002C71D0" w:rsidRDefault="002C71D0" w:rsidP="006753E4">
      <w:pPr>
        <w:spacing w:before="240" w:after="240"/>
      </w:pPr>
      <w:r>
        <w:t xml:space="preserve">The resubmission relied on results from the </w:t>
      </w:r>
      <w:r w:rsidRPr="0079129A">
        <w:t>data cut date of 21 May 2018</w:t>
      </w:r>
      <w:r>
        <w:t xml:space="preserve"> from the JULIET trial (Table </w:t>
      </w:r>
      <w:r w:rsidR="00DF2A45">
        <w:t>8</w:t>
      </w:r>
      <w:r w:rsidR="006753E4">
        <w:t>).</w:t>
      </w:r>
    </w:p>
    <w:p w14:paraId="524233A8" w14:textId="77777777" w:rsidR="002C71D0" w:rsidRDefault="002C71D0" w:rsidP="002C71D0">
      <w:pPr>
        <w:pStyle w:val="Caption"/>
      </w:pPr>
      <w:r>
        <w:t xml:space="preserve">Table </w:t>
      </w:r>
      <w:r w:rsidR="00DF2A45">
        <w:t>8</w:t>
      </w:r>
      <w:r>
        <w:tab/>
      </w:r>
      <w:r w:rsidRPr="00C22503">
        <w:t>Comparative summary results from the DLBCL trials</w:t>
      </w:r>
    </w:p>
    <w:tbl>
      <w:tblPr>
        <w:tblStyle w:val="TableGrid1"/>
        <w:tblW w:w="9634" w:type="dxa"/>
        <w:tblCellMar>
          <w:left w:w="28" w:type="dxa"/>
          <w:right w:w="28" w:type="dxa"/>
        </w:tblCellMar>
        <w:tblLook w:val="04A0" w:firstRow="1" w:lastRow="0" w:firstColumn="1" w:lastColumn="0" w:noHBand="0" w:noVBand="1"/>
        <w:tblDescription w:val="Comparative summary of results from the DLBCL trials - JULIET, U-PEN, SCHOLAR, CORAL_E1, CORAL_E2"/>
      </w:tblPr>
      <w:tblGrid>
        <w:gridCol w:w="1835"/>
        <w:gridCol w:w="1348"/>
        <w:gridCol w:w="1348"/>
        <w:gridCol w:w="1418"/>
        <w:gridCol w:w="1276"/>
        <w:gridCol w:w="992"/>
        <w:gridCol w:w="283"/>
        <w:gridCol w:w="1134"/>
      </w:tblGrid>
      <w:tr w:rsidR="002C71D0" w:rsidRPr="009D6759" w14:paraId="3AF9FAB8" w14:textId="77777777" w:rsidTr="00313528">
        <w:trPr>
          <w:tblHeader/>
        </w:trPr>
        <w:tc>
          <w:tcPr>
            <w:tcW w:w="1835" w:type="dxa"/>
            <w:shd w:val="clear" w:color="auto" w:fill="auto"/>
          </w:tcPr>
          <w:p w14:paraId="50C4A120" w14:textId="77777777" w:rsidR="002C71D0" w:rsidRPr="009D6759" w:rsidRDefault="002C71D0" w:rsidP="002C71D0">
            <w:pPr>
              <w:pStyle w:val="Table"/>
              <w:rPr>
                <w:rStyle w:val="Small"/>
              </w:rPr>
            </w:pPr>
            <w:r>
              <w:rPr>
                <w:rStyle w:val="Small"/>
              </w:rPr>
              <w:t>Outcome</w:t>
            </w:r>
          </w:p>
        </w:tc>
        <w:tc>
          <w:tcPr>
            <w:tcW w:w="2696" w:type="dxa"/>
            <w:gridSpan w:val="2"/>
            <w:shd w:val="clear" w:color="auto" w:fill="auto"/>
          </w:tcPr>
          <w:p w14:paraId="22663473" w14:textId="77777777" w:rsidR="002C71D0" w:rsidRDefault="002C71D0" w:rsidP="002C71D0">
            <w:pPr>
              <w:pStyle w:val="TableCentre"/>
              <w:rPr>
                <w:rStyle w:val="Small"/>
              </w:rPr>
            </w:pPr>
            <w:r>
              <w:rPr>
                <w:rStyle w:val="Small"/>
              </w:rPr>
              <w:t>JULIET (May 2018)</w:t>
            </w:r>
          </w:p>
        </w:tc>
        <w:tc>
          <w:tcPr>
            <w:tcW w:w="1418" w:type="dxa"/>
            <w:shd w:val="clear" w:color="auto" w:fill="auto"/>
          </w:tcPr>
          <w:p w14:paraId="45F6E1DD" w14:textId="77777777" w:rsidR="002C71D0" w:rsidRPr="009D6759" w:rsidRDefault="002C71D0" w:rsidP="002C71D0">
            <w:pPr>
              <w:pStyle w:val="TableCentre"/>
              <w:rPr>
                <w:rStyle w:val="Small"/>
              </w:rPr>
            </w:pPr>
            <w:r>
              <w:rPr>
                <w:rStyle w:val="Small"/>
              </w:rPr>
              <w:t>U-PEN</w:t>
            </w:r>
          </w:p>
        </w:tc>
        <w:tc>
          <w:tcPr>
            <w:tcW w:w="1276" w:type="dxa"/>
            <w:shd w:val="clear" w:color="auto" w:fill="auto"/>
          </w:tcPr>
          <w:p w14:paraId="2B43BD11" w14:textId="77777777" w:rsidR="002C71D0" w:rsidRPr="009D6759" w:rsidRDefault="002C71D0" w:rsidP="002C71D0">
            <w:pPr>
              <w:pStyle w:val="TableCentre"/>
              <w:rPr>
                <w:rStyle w:val="Small"/>
              </w:rPr>
            </w:pPr>
            <w:r>
              <w:rPr>
                <w:rStyle w:val="Small"/>
              </w:rPr>
              <w:t>SCHOLAR</w:t>
            </w:r>
          </w:p>
        </w:tc>
        <w:tc>
          <w:tcPr>
            <w:tcW w:w="1275" w:type="dxa"/>
            <w:gridSpan w:val="2"/>
            <w:shd w:val="clear" w:color="auto" w:fill="auto"/>
          </w:tcPr>
          <w:p w14:paraId="60B91096" w14:textId="77777777" w:rsidR="002C71D0" w:rsidRDefault="002C71D0" w:rsidP="002C71D0">
            <w:pPr>
              <w:pStyle w:val="TableCentre"/>
              <w:rPr>
                <w:rStyle w:val="Small"/>
              </w:rPr>
            </w:pPr>
            <w:r>
              <w:rPr>
                <w:rStyle w:val="Small"/>
              </w:rPr>
              <w:t>CORAL_E1</w:t>
            </w:r>
          </w:p>
        </w:tc>
        <w:tc>
          <w:tcPr>
            <w:tcW w:w="1134" w:type="dxa"/>
            <w:shd w:val="clear" w:color="auto" w:fill="auto"/>
          </w:tcPr>
          <w:p w14:paraId="36BE3B69" w14:textId="77777777" w:rsidR="002C71D0" w:rsidRDefault="002C71D0" w:rsidP="002C71D0">
            <w:pPr>
              <w:pStyle w:val="TableCentre"/>
              <w:rPr>
                <w:rStyle w:val="Small"/>
              </w:rPr>
            </w:pPr>
            <w:r>
              <w:rPr>
                <w:rStyle w:val="Small"/>
              </w:rPr>
              <w:t>CORAL_E2</w:t>
            </w:r>
          </w:p>
        </w:tc>
      </w:tr>
      <w:tr w:rsidR="002C71D0" w:rsidRPr="009D6759" w14:paraId="35FA2D03" w14:textId="77777777" w:rsidTr="002C71D0">
        <w:tc>
          <w:tcPr>
            <w:tcW w:w="1835" w:type="dxa"/>
            <w:shd w:val="clear" w:color="auto" w:fill="BFBFBF" w:themeFill="background1" w:themeFillShade="BF"/>
          </w:tcPr>
          <w:p w14:paraId="23143AF0" w14:textId="77777777" w:rsidR="002C71D0" w:rsidRPr="009D6759" w:rsidRDefault="002C71D0" w:rsidP="002C71D0">
            <w:pPr>
              <w:pStyle w:val="Table"/>
              <w:rPr>
                <w:rStyle w:val="Small"/>
              </w:rPr>
            </w:pPr>
            <w:r>
              <w:rPr>
                <w:rStyle w:val="Small"/>
              </w:rPr>
              <w:t>Efficacy outcomes</w:t>
            </w:r>
          </w:p>
        </w:tc>
        <w:tc>
          <w:tcPr>
            <w:tcW w:w="1348" w:type="dxa"/>
            <w:shd w:val="clear" w:color="auto" w:fill="BFBFBF" w:themeFill="background1" w:themeFillShade="BF"/>
          </w:tcPr>
          <w:p w14:paraId="5A25D7B6" w14:textId="77777777" w:rsidR="002C71D0" w:rsidRDefault="002C71D0" w:rsidP="002C71D0">
            <w:pPr>
              <w:pStyle w:val="TableCentre"/>
              <w:rPr>
                <w:rStyle w:val="Small"/>
              </w:rPr>
            </w:pPr>
            <w:r>
              <w:rPr>
                <w:rStyle w:val="Small"/>
              </w:rPr>
              <w:t>Enrolled: N=167</w:t>
            </w:r>
          </w:p>
        </w:tc>
        <w:tc>
          <w:tcPr>
            <w:tcW w:w="1348" w:type="dxa"/>
            <w:shd w:val="clear" w:color="auto" w:fill="BFBFBF" w:themeFill="background1" w:themeFillShade="BF"/>
          </w:tcPr>
          <w:p w14:paraId="78D148BD" w14:textId="77777777" w:rsidR="002C71D0" w:rsidRDefault="002C71D0" w:rsidP="002C71D0">
            <w:pPr>
              <w:pStyle w:val="TableCentre"/>
              <w:rPr>
                <w:rStyle w:val="Small"/>
              </w:rPr>
            </w:pPr>
            <w:r>
              <w:rPr>
                <w:rStyle w:val="Small"/>
              </w:rPr>
              <w:t>Infused: N=115</w:t>
            </w:r>
          </w:p>
        </w:tc>
        <w:tc>
          <w:tcPr>
            <w:tcW w:w="1418" w:type="dxa"/>
            <w:shd w:val="clear" w:color="auto" w:fill="BFBFBF" w:themeFill="background1" w:themeFillShade="BF"/>
          </w:tcPr>
          <w:p w14:paraId="0FE082E2" w14:textId="77777777" w:rsidR="002C71D0" w:rsidRPr="009D6759" w:rsidRDefault="002C71D0" w:rsidP="002C71D0">
            <w:pPr>
              <w:pStyle w:val="TableCentre"/>
              <w:rPr>
                <w:rStyle w:val="Small"/>
              </w:rPr>
            </w:pPr>
            <w:r>
              <w:rPr>
                <w:rStyle w:val="Small"/>
              </w:rPr>
              <w:t>N=14 (DLBCL)</w:t>
            </w:r>
          </w:p>
        </w:tc>
        <w:tc>
          <w:tcPr>
            <w:tcW w:w="1276" w:type="dxa"/>
            <w:shd w:val="clear" w:color="auto" w:fill="BFBFBF" w:themeFill="background1" w:themeFillShade="BF"/>
          </w:tcPr>
          <w:p w14:paraId="3309D445" w14:textId="77777777" w:rsidR="002C71D0" w:rsidRPr="009D6759" w:rsidRDefault="002C71D0" w:rsidP="002C71D0">
            <w:pPr>
              <w:pStyle w:val="TableCentre"/>
              <w:rPr>
                <w:rStyle w:val="Small"/>
              </w:rPr>
            </w:pPr>
            <w:r>
              <w:rPr>
                <w:rStyle w:val="Small"/>
              </w:rPr>
              <w:t>N=523</w:t>
            </w:r>
          </w:p>
        </w:tc>
        <w:tc>
          <w:tcPr>
            <w:tcW w:w="1275" w:type="dxa"/>
            <w:gridSpan w:val="2"/>
            <w:shd w:val="clear" w:color="auto" w:fill="BFBFBF" w:themeFill="background1" w:themeFillShade="BF"/>
          </w:tcPr>
          <w:p w14:paraId="1B212F70" w14:textId="77777777" w:rsidR="002C71D0" w:rsidRPr="009D6759" w:rsidRDefault="002C71D0" w:rsidP="002C71D0">
            <w:pPr>
              <w:pStyle w:val="TableCentre"/>
              <w:rPr>
                <w:rStyle w:val="Small"/>
              </w:rPr>
            </w:pPr>
            <w:r>
              <w:rPr>
                <w:rStyle w:val="Small"/>
              </w:rPr>
              <w:t>N=203</w:t>
            </w:r>
          </w:p>
        </w:tc>
        <w:tc>
          <w:tcPr>
            <w:tcW w:w="1134" w:type="dxa"/>
            <w:shd w:val="clear" w:color="auto" w:fill="BFBFBF" w:themeFill="background1" w:themeFillShade="BF"/>
          </w:tcPr>
          <w:p w14:paraId="6325A364" w14:textId="77777777" w:rsidR="002C71D0" w:rsidRPr="009D6759" w:rsidRDefault="002C71D0" w:rsidP="002C71D0">
            <w:pPr>
              <w:pStyle w:val="TableCentre"/>
              <w:rPr>
                <w:rStyle w:val="Small"/>
              </w:rPr>
            </w:pPr>
            <w:r>
              <w:rPr>
                <w:rStyle w:val="Small"/>
              </w:rPr>
              <w:t>N=75</w:t>
            </w:r>
          </w:p>
        </w:tc>
      </w:tr>
      <w:tr w:rsidR="002C71D0" w:rsidRPr="009D6759" w14:paraId="3403C081" w14:textId="77777777" w:rsidTr="002C71D0">
        <w:tc>
          <w:tcPr>
            <w:tcW w:w="1835" w:type="dxa"/>
          </w:tcPr>
          <w:p w14:paraId="599DA554" w14:textId="77777777" w:rsidR="002C71D0" w:rsidRDefault="002C71D0" w:rsidP="002C71D0">
            <w:pPr>
              <w:pStyle w:val="Table"/>
              <w:rPr>
                <w:rStyle w:val="Small"/>
              </w:rPr>
            </w:pPr>
            <w:r w:rsidRPr="009D6759">
              <w:rPr>
                <w:rStyle w:val="Small"/>
              </w:rPr>
              <w:t>ORR</w:t>
            </w:r>
            <w:r>
              <w:rPr>
                <w:rStyle w:val="Small"/>
              </w:rPr>
              <w:t>, n/N (%)</w:t>
            </w:r>
          </w:p>
          <w:p w14:paraId="0FDC6E2C" w14:textId="77777777" w:rsidR="002C71D0" w:rsidRPr="009D6759" w:rsidRDefault="002C71D0" w:rsidP="002C71D0">
            <w:pPr>
              <w:pStyle w:val="Table"/>
              <w:rPr>
                <w:rStyle w:val="Small"/>
              </w:rPr>
            </w:pPr>
            <w:r>
              <w:rPr>
                <w:rStyle w:val="Small"/>
              </w:rPr>
              <w:t>[95% CI]</w:t>
            </w:r>
          </w:p>
        </w:tc>
        <w:tc>
          <w:tcPr>
            <w:tcW w:w="1348" w:type="dxa"/>
            <w:shd w:val="clear" w:color="auto" w:fill="auto"/>
          </w:tcPr>
          <w:p w14:paraId="167B3B9E" w14:textId="77777777" w:rsidR="002C71D0" w:rsidRDefault="002C71D0" w:rsidP="002C71D0">
            <w:pPr>
              <w:pStyle w:val="TableCentre"/>
              <w:rPr>
                <w:rStyle w:val="Small"/>
              </w:rPr>
            </w:pPr>
            <w:r>
              <w:rPr>
                <w:rStyle w:val="Small"/>
              </w:rPr>
              <w:t>53/147 (36.1)</w:t>
            </w:r>
          </w:p>
          <w:p w14:paraId="10AAE7A1" w14:textId="77777777" w:rsidR="002C71D0" w:rsidRDefault="002C71D0" w:rsidP="002C71D0">
            <w:pPr>
              <w:pStyle w:val="TableCentre"/>
              <w:rPr>
                <w:rStyle w:val="Small"/>
              </w:rPr>
            </w:pPr>
            <w:r>
              <w:rPr>
                <w:rStyle w:val="Small"/>
              </w:rPr>
              <w:t>[28.3; 44.4]</w:t>
            </w:r>
          </w:p>
        </w:tc>
        <w:tc>
          <w:tcPr>
            <w:tcW w:w="1348" w:type="dxa"/>
            <w:shd w:val="clear" w:color="auto" w:fill="auto"/>
          </w:tcPr>
          <w:p w14:paraId="0784CD0E" w14:textId="77777777" w:rsidR="002C71D0" w:rsidRDefault="002C71D0" w:rsidP="002C71D0">
            <w:pPr>
              <w:pStyle w:val="TableCentre"/>
              <w:rPr>
                <w:rStyle w:val="Small"/>
              </w:rPr>
            </w:pPr>
            <w:r>
              <w:rPr>
                <w:rStyle w:val="Small"/>
              </w:rPr>
              <w:t>53/99 (53.5)</w:t>
            </w:r>
          </w:p>
          <w:p w14:paraId="0CBB4318" w14:textId="77777777" w:rsidR="002C71D0" w:rsidRDefault="002C71D0" w:rsidP="002C71D0">
            <w:pPr>
              <w:pStyle w:val="TableCentre"/>
              <w:rPr>
                <w:rStyle w:val="Small"/>
              </w:rPr>
            </w:pPr>
            <w:r>
              <w:rPr>
                <w:rStyle w:val="Small"/>
              </w:rPr>
              <w:t>[43.2;63.6]</w:t>
            </w:r>
          </w:p>
        </w:tc>
        <w:tc>
          <w:tcPr>
            <w:tcW w:w="1418" w:type="dxa"/>
          </w:tcPr>
          <w:p w14:paraId="07099B42" w14:textId="77777777" w:rsidR="002C71D0" w:rsidRDefault="002C71D0" w:rsidP="002C71D0">
            <w:pPr>
              <w:pStyle w:val="TableCentre"/>
              <w:rPr>
                <w:rStyle w:val="Small"/>
              </w:rPr>
            </w:pPr>
            <w:r>
              <w:rPr>
                <w:rStyle w:val="Small"/>
              </w:rPr>
              <w:t>7 (50)</w:t>
            </w:r>
          </w:p>
          <w:p w14:paraId="1695D48C" w14:textId="77777777" w:rsidR="002C71D0" w:rsidRPr="009D6759" w:rsidRDefault="002C71D0" w:rsidP="002C71D0">
            <w:pPr>
              <w:pStyle w:val="TableCentre"/>
              <w:rPr>
                <w:rStyle w:val="Small"/>
              </w:rPr>
            </w:pPr>
            <w:r>
              <w:rPr>
                <w:rStyle w:val="Small"/>
              </w:rPr>
              <w:t>NR</w:t>
            </w:r>
          </w:p>
        </w:tc>
        <w:tc>
          <w:tcPr>
            <w:tcW w:w="1276" w:type="dxa"/>
          </w:tcPr>
          <w:p w14:paraId="0D07C0BA" w14:textId="77777777" w:rsidR="002C71D0" w:rsidRDefault="002C71D0" w:rsidP="002C71D0">
            <w:pPr>
              <w:pStyle w:val="TableCentre"/>
              <w:rPr>
                <w:rStyle w:val="Small"/>
              </w:rPr>
            </w:pPr>
            <w:r>
              <w:rPr>
                <w:rStyle w:val="Small"/>
              </w:rPr>
              <w:t>134 (26.0)</w:t>
            </w:r>
          </w:p>
          <w:p w14:paraId="7D794614" w14:textId="77777777" w:rsidR="002C71D0" w:rsidRPr="009D6759" w:rsidRDefault="002C71D0" w:rsidP="002C71D0">
            <w:pPr>
              <w:pStyle w:val="TableCentre"/>
              <w:rPr>
                <w:rStyle w:val="Small"/>
              </w:rPr>
            </w:pPr>
            <w:r>
              <w:rPr>
                <w:rStyle w:val="Small"/>
              </w:rPr>
              <w:t xml:space="preserve">[21.9,29.6] </w:t>
            </w:r>
          </w:p>
        </w:tc>
        <w:tc>
          <w:tcPr>
            <w:tcW w:w="1275" w:type="dxa"/>
            <w:gridSpan w:val="2"/>
          </w:tcPr>
          <w:p w14:paraId="30827B68" w14:textId="77777777" w:rsidR="002C71D0" w:rsidRDefault="002C71D0" w:rsidP="002C71D0">
            <w:pPr>
              <w:pStyle w:val="TableCentre"/>
              <w:rPr>
                <w:rStyle w:val="Small"/>
              </w:rPr>
            </w:pPr>
            <w:r>
              <w:rPr>
                <w:rStyle w:val="Small"/>
              </w:rPr>
              <w:t>79 (38.9)</w:t>
            </w:r>
          </w:p>
          <w:p w14:paraId="18C50E4A" w14:textId="77777777" w:rsidR="002C71D0" w:rsidRDefault="002C71D0" w:rsidP="002C71D0">
            <w:pPr>
              <w:pStyle w:val="TableCentre"/>
              <w:rPr>
                <w:rStyle w:val="Small"/>
              </w:rPr>
            </w:pPr>
            <w:r>
              <w:rPr>
                <w:rStyle w:val="Small"/>
              </w:rPr>
              <w:t>[32.2, 46.0]</w:t>
            </w:r>
          </w:p>
        </w:tc>
        <w:tc>
          <w:tcPr>
            <w:tcW w:w="1134" w:type="dxa"/>
          </w:tcPr>
          <w:p w14:paraId="5AC1E7A0" w14:textId="77777777" w:rsidR="002C71D0" w:rsidRDefault="002C71D0" w:rsidP="002C71D0">
            <w:pPr>
              <w:pStyle w:val="TableCentre"/>
              <w:rPr>
                <w:rStyle w:val="Small"/>
              </w:rPr>
            </w:pPr>
            <w:r>
              <w:rPr>
                <w:rStyle w:val="Small"/>
              </w:rPr>
              <w:t>33 (44.0)</w:t>
            </w:r>
          </w:p>
          <w:p w14:paraId="5BDFCE8C" w14:textId="77777777" w:rsidR="002C71D0" w:rsidRDefault="002C71D0" w:rsidP="002C71D0">
            <w:pPr>
              <w:pStyle w:val="TableCentre"/>
              <w:rPr>
                <w:rStyle w:val="Small"/>
              </w:rPr>
            </w:pPr>
            <w:r>
              <w:rPr>
                <w:rStyle w:val="Small"/>
              </w:rPr>
              <w:t>[32.5, 55.9]</w:t>
            </w:r>
          </w:p>
        </w:tc>
      </w:tr>
      <w:tr w:rsidR="002C71D0" w:rsidRPr="009D6759" w14:paraId="2FA5CAED" w14:textId="77777777" w:rsidTr="002C71D0">
        <w:tc>
          <w:tcPr>
            <w:tcW w:w="1835" w:type="dxa"/>
          </w:tcPr>
          <w:p w14:paraId="0EFCE112" w14:textId="77777777" w:rsidR="002C71D0" w:rsidRDefault="002C71D0" w:rsidP="002C71D0">
            <w:pPr>
              <w:pStyle w:val="Table"/>
              <w:rPr>
                <w:rStyle w:val="Small"/>
              </w:rPr>
            </w:pPr>
            <w:r w:rsidRPr="009D6759">
              <w:rPr>
                <w:rStyle w:val="Small"/>
              </w:rPr>
              <w:t>Median</w:t>
            </w:r>
            <w:r>
              <w:rPr>
                <w:rStyle w:val="Small"/>
              </w:rPr>
              <w:t xml:space="preserve"> PFS (months)</w:t>
            </w:r>
          </w:p>
          <w:p w14:paraId="1653189A" w14:textId="77777777" w:rsidR="002C71D0" w:rsidRPr="009D6759" w:rsidRDefault="002C71D0" w:rsidP="002C71D0">
            <w:pPr>
              <w:pStyle w:val="Table"/>
              <w:rPr>
                <w:rStyle w:val="Small"/>
              </w:rPr>
            </w:pPr>
            <w:r>
              <w:rPr>
                <w:rStyle w:val="Small"/>
              </w:rPr>
              <w:t>[95% CI]</w:t>
            </w:r>
          </w:p>
        </w:tc>
        <w:tc>
          <w:tcPr>
            <w:tcW w:w="1348" w:type="dxa"/>
            <w:shd w:val="clear" w:color="auto" w:fill="auto"/>
          </w:tcPr>
          <w:p w14:paraId="0CE3941B" w14:textId="77777777" w:rsidR="002C71D0" w:rsidRDefault="002C71D0" w:rsidP="002C71D0">
            <w:pPr>
              <w:pStyle w:val="TableCentre"/>
              <w:rPr>
                <w:rStyle w:val="Small"/>
              </w:rPr>
            </w:pPr>
            <w:r>
              <w:rPr>
                <w:rStyle w:val="Small"/>
              </w:rPr>
              <w:t>4.6</w:t>
            </w:r>
          </w:p>
          <w:p w14:paraId="11B58037" w14:textId="77777777" w:rsidR="002C71D0" w:rsidRDefault="002C71D0" w:rsidP="002C71D0">
            <w:pPr>
              <w:pStyle w:val="TableCentre"/>
              <w:rPr>
                <w:rStyle w:val="Small"/>
              </w:rPr>
            </w:pPr>
            <w:r>
              <w:rPr>
                <w:rStyle w:val="Small"/>
              </w:rPr>
              <w:t>[3.7;5.2]</w:t>
            </w:r>
          </w:p>
        </w:tc>
        <w:tc>
          <w:tcPr>
            <w:tcW w:w="1348" w:type="dxa"/>
            <w:shd w:val="clear" w:color="auto" w:fill="auto"/>
          </w:tcPr>
          <w:p w14:paraId="7B047E7E" w14:textId="77777777" w:rsidR="002C71D0" w:rsidRDefault="002C71D0" w:rsidP="002C71D0">
            <w:pPr>
              <w:pStyle w:val="TableCentre"/>
              <w:rPr>
                <w:rStyle w:val="Small"/>
              </w:rPr>
            </w:pPr>
            <w:r>
              <w:rPr>
                <w:rStyle w:val="Small"/>
              </w:rPr>
              <w:t>2.9</w:t>
            </w:r>
          </w:p>
          <w:p w14:paraId="767590AC" w14:textId="77777777" w:rsidR="002C71D0" w:rsidRDefault="002C71D0" w:rsidP="002C71D0">
            <w:pPr>
              <w:pStyle w:val="TableCentre"/>
              <w:rPr>
                <w:rStyle w:val="Small"/>
              </w:rPr>
            </w:pPr>
            <w:r>
              <w:rPr>
                <w:rStyle w:val="Small"/>
              </w:rPr>
              <w:t>[2.3;4.2]</w:t>
            </w:r>
          </w:p>
        </w:tc>
        <w:tc>
          <w:tcPr>
            <w:tcW w:w="1418" w:type="dxa"/>
          </w:tcPr>
          <w:p w14:paraId="173BFBB7" w14:textId="77777777" w:rsidR="002C71D0" w:rsidRDefault="002C71D0" w:rsidP="002C71D0">
            <w:pPr>
              <w:pStyle w:val="TableCentre"/>
              <w:rPr>
                <w:rStyle w:val="Small"/>
              </w:rPr>
            </w:pPr>
            <w:r>
              <w:rPr>
                <w:rStyle w:val="Small"/>
              </w:rPr>
              <w:t xml:space="preserve">3.2 </w:t>
            </w:r>
          </w:p>
          <w:p w14:paraId="73345E3D" w14:textId="77777777" w:rsidR="002C71D0" w:rsidRPr="009D6759" w:rsidRDefault="002C71D0" w:rsidP="002C71D0">
            <w:pPr>
              <w:pStyle w:val="TableCentre"/>
              <w:rPr>
                <w:rStyle w:val="Small"/>
              </w:rPr>
            </w:pPr>
            <w:r>
              <w:rPr>
                <w:rStyle w:val="Small"/>
              </w:rPr>
              <w:t>[0.9, NE]</w:t>
            </w:r>
          </w:p>
        </w:tc>
        <w:tc>
          <w:tcPr>
            <w:tcW w:w="1276" w:type="dxa"/>
          </w:tcPr>
          <w:p w14:paraId="3B10444B" w14:textId="77777777" w:rsidR="002C71D0" w:rsidRPr="009D6759" w:rsidRDefault="002C71D0" w:rsidP="002C71D0">
            <w:pPr>
              <w:pStyle w:val="TableCentre"/>
              <w:rPr>
                <w:rStyle w:val="Small"/>
              </w:rPr>
            </w:pPr>
            <w:r>
              <w:rPr>
                <w:rStyle w:val="Small"/>
              </w:rPr>
              <w:t>NR</w:t>
            </w:r>
          </w:p>
        </w:tc>
        <w:tc>
          <w:tcPr>
            <w:tcW w:w="1275" w:type="dxa"/>
            <w:gridSpan w:val="2"/>
          </w:tcPr>
          <w:p w14:paraId="7A18CE14" w14:textId="77777777" w:rsidR="002C71D0" w:rsidRPr="009D6759" w:rsidRDefault="002C71D0" w:rsidP="002C71D0">
            <w:pPr>
              <w:pStyle w:val="TableCentre"/>
              <w:rPr>
                <w:rStyle w:val="Small"/>
              </w:rPr>
            </w:pPr>
            <w:r>
              <w:rPr>
                <w:rStyle w:val="Small"/>
              </w:rPr>
              <w:t>NR</w:t>
            </w:r>
          </w:p>
        </w:tc>
        <w:tc>
          <w:tcPr>
            <w:tcW w:w="1134" w:type="dxa"/>
          </w:tcPr>
          <w:p w14:paraId="24A6D77E" w14:textId="77777777" w:rsidR="002C71D0" w:rsidRPr="009D6759" w:rsidRDefault="002C71D0" w:rsidP="002C71D0">
            <w:pPr>
              <w:pStyle w:val="TableCentre"/>
              <w:rPr>
                <w:rStyle w:val="Small"/>
              </w:rPr>
            </w:pPr>
            <w:r>
              <w:rPr>
                <w:rStyle w:val="Small"/>
              </w:rPr>
              <w:t>NR</w:t>
            </w:r>
          </w:p>
        </w:tc>
      </w:tr>
      <w:tr w:rsidR="002C71D0" w:rsidRPr="009D6759" w14:paraId="10404FC9" w14:textId="77777777" w:rsidTr="002C71D0">
        <w:tc>
          <w:tcPr>
            <w:tcW w:w="1835" w:type="dxa"/>
          </w:tcPr>
          <w:p w14:paraId="0666AAE3" w14:textId="77777777" w:rsidR="002C71D0" w:rsidRDefault="002C71D0" w:rsidP="002C71D0">
            <w:pPr>
              <w:pStyle w:val="Table"/>
              <w:rPr>
                <w:rStyle w:val="Small"/>
              </w:rPr>
            </w:pPr>
            <w:r w:rsidRPr="009D6759">
              <w:rPr>
                <w:rStyle w:val="Small"/>
              </w:rPr>
              <w:t>Median</w:t>
            </w:r>
            <w:r>
              <w:rPr>
                <w:rStyle w:val="Small"/>
              </w:rPr>
              <w:t xml:space="preserve"> OS</w:t>
            </w:r>
            <w:r w:rsidRPr="009D6759">
              <w:rPr>
                <w:rStyle w:val="Small"/>
              </w:rPr>
              <w:t xml:space="preserve"> (months)</w:t>
            </w:r>
          </w:p>
          <w:p w14:paraId="2BB67034" w14:textId="77777777" w:rsidR="002C71D0" w:rsidRPr="009D6759" w:rsidRDefault="002C71D0" w:rsidP="002C71D0">
            <w:pPr>
              <w:pStyle w:val="Table"/>
              <w:rPr>
                <w:rStyle w:val="Small"/>
              </w:rPr>
            </w:pPr>
            <w:r>
              <w:rPr>
                <w:rStyle w:val="Small"/>
              </w:rPr>
              <w:t>[95% CI]</w:t>
            </w:r>
          </w:p>
        </w:tc>
        <w:tc>
          <w:tcPr>
            <w:tcW w:w="1348" w:type="dxa"/>
            <w:shd w:val="clear" w:color="auto" w:fill="auto"/>
          </w:tcPr>
          <w:p w14:paraId="10FB350A" w14:textId="77777777" w:rsidR="002C71D0" w:rsidRDefault="002C71D0" w:rsidP="002C71D0">
            <w:pPr>
              <w:pStyle w:val="TableCentre"/>
              <w:rPr>
                <w:rStyle w:val="Small"/>
              </w:rPr>
            </w:pPr>
            <w:r>
              <w:rPr>
                <w:rStyle w:val="Small"/>
              </w:rPr>
              <w:t>8.25</w:t>
            </w:r>
          </w:p>
          <w:p w14:paraId="102E7250" w14:textId="77777777" w:rsidR="002C71D0" w:rsidRDefault="002C71D0" w:rsidP="002C71D0">
            <w:pPr>
              <w:pStyle w:val="TableCentre"/>
              <w:rPr>
                <w:rStyle w:val="Small"/>
              </w:rPr>
            </w:pPr>
            <w:r>
              <w:rPr>
                <w:rStyle w:val="Small"/>
              </w:rPr>
              <w:t>[5.8;11.7]</w:t>
            </w:r>
          </w:p>
        </w:tc>
        <w:tc>
          <w:tcPr>
            <w:tcW w:w="1348" w:type="dxa"/>
            <w:shd w:val="clear" w:color="auto" w:fill="auto"/>
          </w:tcPr>
          <w:p w14:paraId="60E42AF2" w14:textId="77777777" w:rsidR="002C71D0" w:rsidRDefault="002C71D0" w:rsidP="002C71D0">
            <w:pPr>
              <w:pStyle w:val="TableCentre"/>
              <w:rPr>
                <w:rStyle w:val="Small"/>
              </w:rPr>
            </w:pPr>
            <w:r>
              <w:rPr>
                <w:rStyle w:val="Small"/>
              </w:rPr>
              <w:t>11.1</w:t>
            </w:r>
          </w:p>
          <w:p w14:paraId="2C50757C" w14:textId="77777777" w:rsidR="002C71D0" w:rsidRDefault="002C71D0" w:rsidP="002C71D0">
            <w:pPr>
              <w:pStyle w:val="TableCentre"/>
              <w:rPr>
                <w:rStyle w:val="Small"/>
              </w:rPr>
            </w:pPr>
            <w:r>
              <w:rPr>
                <w:rStyle w:val="Small"/>
              </w:rPr>
              <w:t>[6.6; NE]</w:t>
            </w:r>
          </w:p>
        </w:tc>
        <w:tc>
          <w:tcPr>
            <w:tcW w:w="1418" w:type="dxa"/>
          </w:tcPr>
          <w:p w14:paraId="25B7DB48" w14:textId="77777777" w:rsidR="002C71D0" w:rsidRDefault="002C71D0" w:rsidP="002C71D0">
            <w:pPr>
              <w:pStyle w:val="TableCentre"/>
              <w:rPr>
                <w:rStyle w:val="Small"/>
              </w:rPr>
            </w:pPr>
            <w:r>
              <w:rPr>
                <w:rStyle w:val="Small"/>
              </w:rPr>
              <w:t>22.2</w:t>
            </w:r>
          </w:p>
          <w:p w14:paraId="19642CB4" w14:textId="77777777" w:rsidR="002C71D0" w:rsidRPr="009D6759" w:rsidRDefault="002C71D0" w:rsidP="002C71D0">
            <w:pPr>
              <w:pStyle w:val="TableCentre"/>
              <w:rPr>
                <w:rStyle w:val="Small"/>
              </w:rPr>
            </w:pPr>
            <w:r>
              <w:rPr>
                <w:rStyle w:val="Small"/>
              </w:rPr>
              <w:t>[NR]</w:t>
            </w:r>
          </w:p>
        </w:tc>
        <w:tc>
          <w:tcPr>
            <w:tcW w:w="1276" w:type="dxa"/>
          </w:tcPr>
          <w:p w14:paraId="3313BD2C" w14:textId="77777777" w:rsidR="002C71D0" w:rsidRDefault="002C71D0" w:rsidP="002C71D0">
            <w:pPr>
              <w:pStyle w:val="TableCentre"/>
              <w:rPr>
                <w:rStyle w:val="Small"/>
              </w:rPr>
            </w:pPr>
            <w:r>
              <w:rPr>
                <w:rStyle w:val="Small"/>
              </w:rPr>
              <w:t xml:space="preserve">6.3 </w:t>
            </w:r>
          </w:p>
          <w:p w14:paraId="174D1B47" w14:textId="77777777" w:rsidR="002C71D0" w:rsidRPr="009D6759" w:rsidRDefault="002C71D0" w:rsidP="002C71D0">
            <w:pPr>
              <w:pStyle w:val="TableCentre"/>
              <w:rPr>
                <w:rStyle w:val="Small"/>
              </w:rPr>
            </w:pPr>
            <w:r>
              <w:rPr>
                <w:rStyle w:val="Small"/>
              </w:rPr>
              <w:t>[5.9,7.0]</w:t>
            </w:r>
          </w:p>
        </w:tc>
        <w:tc>
          <w:tcPr>
            <w:tcW w:w="1275" w:type="dxa"/>
            <w:gridSpan w:val="2"/>
          </w:tcPr>
          <w:p w14:paraId="041C218D" w14:textId="77777777" w:rsidR="002C71D0" w:rsidRDefault="002C71D0" w:rsidP="002C71D0">
            <w:pPr>
              <w:pStyle w:val="TableCentre"/>
              <w:rPr>
                <w:rStyle w:val="Small"/>
              </w:rPr>
            </w:pPr>
            <w:r>
              <w:rPr>
                <w:rStyle w:val="Small"/>
              </w:rPr>
              <w:t>4.4</w:t>
            </w:r>
          </w:p>
          <w:p w14:paraId="463FDEE3" w14:textId="77777777" w:rsidR="002C71D0" w:rsidRPr="009D6759" w:rsidRDefault="002C71D0" w:rsidP="002C71D0">
            <w:pPr>
              <w:pStyle w:val="TableCentre"/>
              <w:rPr>
                <w:rStyle w:val="Small"/>
              </w:rPr>
            </w:pPr>
            <w:r>
              <w:rPr>
                <w:rStyle w:val="Small"/>
              </w:rPr>
              <w:t>[NR]</w:t>
            </w:r>
          </w:p>
        </w:tc>
        <w:tc>
          <w:tcPr>
            <w:tcW w:w="1134" w:type="dxa"/>
          </w:tcPr>
          <w:p w14:paraId="1B567AF1" w14:textId="77777777" w:rsidR="002C71D0" w:rsidRDefault="002C71D0" w:rsidP="002C71D0">
            <w:pPr>
              <w:pStyle w:val="TableCentre"/>
              <w:rPr>
                <w:rStyle w:val="Small"/>
              </w:rPr>
            </w:pPr>
            <w:r>
              <w:rPr>
                <w:rStyle w:val="Small"/>
              </w:rPr>
              <w:t>10.0</w:t>
            </w:r>
          </w:p>
          <w:p w14:paraId="5FB7262C" w14:textId="77777777" w:rsidR="002C71D0" w:rsidRPr="009D6759" w:rsidRDefault="002C71D0" w:rsidP="002C71D0">
            <w:pPr>
              <w:pStyle w:val="TableCentre"/>
              <w:rPr>
                <w:rStyle w:val="Small"/>
              </w:rPr>
            </w:pPr>
            <w:r>
              <w:rPr>
                <w:rStyle w:val="Small"/>
              </w:rPr>
              <w:t>[NR]</w:t>
            </w:r>
          </w:p>
        </w:tc>
      </w:tr>
      <w:tr w:rsidR="002C71D0" w:rsidRPr="009D6759" w14:paraId="4935AA6B" w14:textId="77777777" w:rsidTr="002C71D0">
        <w:tc>
          <w:tcPr>
            <w:tcW w:w="1835" w:type="dxa"/>
            <w:shd w:val="clear" w:color="auto" w:fill="BFBFBF" w:themeFill="background1" w:themeFillShade="BF"/>
          </w:tcPr>
          <w:p w14:paraId="0E4197C8" w14:textId="77777777" w:rsidR="002C71D0" w:rsidRPr="009D6759" w:rsidRDefault="002C71D0" w:rsidP="002C71D0">
            <w:pPr>
              <w:pStyle w:val="Table"/>
              <w:rPr>
                <w:rStyle w:val="Small"/>
              </w:rPr>
            </w:pPr>
            <w:r w:rsidRPr="009D6759">
              <w:rPr>
                <w:rStyle w:val="Small"/>
              </w:rPr>
              <w:t>Safety</w:t>
            </w:r>
            <w:r>
              <w:rPr>
                <w:rStyle w:val="Small"/>
              </w:rPr>
              <w:t xml:space="preserve"> outcomes</w:t>
            </w:r>
          </w:p>
        </w:tc>
        <w:tc>
          <w:tcPr>
            <w:tcW w:w="2696" w:type="dxa"/>
            <w:gridSpan w:val="2"/>
            <w:shd w:val="clear" w:color="auto" w:fill="BFBFBF" w:themeFill="background1" w:themeFillShade="BF"/>
          </w:tcPr>
          <w:p w14:paraId="05688B42" w14:textId="77777777" w:rsidR="002C71D0" w:rsidRPr="009D6759" w:rsidRDefault="002C71D0" w:rsidP="002C71D0">
            <w:pPr>
              <w:pStyle w:val="TableCentre"/>
              <w:rPr>
                <w:rStyle w:val="Small"/>
              </w:rPr>
            </w:pPr>
            <w:r>
              <w:rPr>
                <w:rStyle w:val="Small"/>
              </w:rPr>
              <w:t>Infused: N = 115</w:t>
            </w:r>
          </w:p>
        </w:tc>
        <w:tc>
          <w:tcPr>
            <w:tcW w:w="1418" w:type="dxa"/>
            <w:shd w:val="clear" w:color="auto" w:fill="BFBFBF" w:themeFill="background1" w:themeFillShade="BF"/>
          </w:tcPr>
          <w:p w14:paraId="16B30DEA" w14:textId="77777777" w:rsidR="002C71D0" w:rsidRPr="009D6759" w:rsidRDefault="002C71D0" w:rsidP="002C71D0">
            <w:pPr>
              <w:pStyle w:val="TableCentre"/>
              <w:rPr>
                <w:rStyle w:val="Small"/>
              </w:rPr>
            </w:pPr>
          </w:p>
        </w:tc>
        <w:tc>
          <w:tcPr>
            <w:tcW w:w="3685" w:type="dxa"/>
            <w:gridSpan w:val="4"/>
            <w:shd w:val="clear" w:color="auto" w:fill="BFBFBF" w:themeFill="background1" w:themeFillShade="BF"/>
          </w:tcPr>
          <w:p w14:paraId="6E29808E" w14:textId="77777777" w:rsidR="002C71D0" w:rsidRPr="009D6759" w:rsidRDefault="002C71D0" w:rsidP="002C71D0">
            <w:pPr>
              <w:pStyle w:val="TableCentre"/>
              <w:rPr>
                <w:rStyle w:val="Small"/>
              </w:rPr>
            </w:pPr>
            <w:r>
              <w:rPr>
                <w:rStyle w:val="Small"/>
              </w:rPr>
              <w:t>Corazelli 2009: Patients = 62; Courses = 291</w:t>
            </w:r>
          </w:p>
        </w:tc>
      </w:tr>
      <w:tr w:rsidR="002C71D0" w:rsidRPr="009256AB" w14:paraId="18F9B156" w14:textId="77777777" w:rsidTr="002C71D0">
        <w:tc>
          <w:tcPr>
            <w:tcW w:w="1835" w:type="dxa"/>
          </w:tcPr>
          <w:p w14:paraId="2AD794D4" w14:textId="77777777" w:rsidR="002C71D0" w:rsidRPr="009256AB" w:rsidRDefault="002C71D0" w:rsidP="002C71D0">
            <w:pPr>
              <w:pStyle w:val="Table"/>
              <w:rPr>
                <w:rStyle w:val="Small"/>
              </w:rPr>
            </w:pPr>
            <w:r>
              <w:rPr>
                <w:rStyle w:val="Small"/>
              </w:rPr>
              <w:t>Patients with AEs</w:t>
            </w:r>
            <w:r w:rsidRPr="009256AB">
              <w:rPr>
                <w:rStyle w:val="Small"/>
              </w:rPr>
              <w:t>, n(%)</w:t>
            </w:r>
          </w:p>
        </w:tc>
        <w:tc>
          <w:tcPr>
            <w:tcW w:w="2696" w:type="dxa"/>
            <w:gridSpan w:val="2"/>
          </w:tcPr>
          <w:p w14:paraId="2B754735" w14:textId="77777777" w:rsidR="002C71D0" w:rsidRPr="009256AB" w:rsidRDefault="002C71D0" w:rsidP="002C71D0">
            <w:pPr>
              <w:pStyle w:val="TableCentre"/>
              <w:rPr>
                <w:rStyle w:val="Small"/>
              </w:rPr>
            </w:pPr>
            <w:r>
              <w:rPr>
                <w:rStyle w:val="Small"/>
              </w:rPr>
              <w:t>115 (100)</w:t>
            </w:r>
          </w:p>
        </w:tc>
        <w:tc>
          <w:tcPr>
            <w:tcW w:w="1418" w:type="dxa"/>
          </w:tcPr>
          <w:p w14:paraId="4D398CF4" w14:textId="77777777" w:rsidR="002C71D0" w:rsidRPr="009256AB" w:rsidRDefault="002C71D0" w:rsidP="002C71D0">
            <w:pPr>
              <w:pStyle w:val="TableCentre"/>
              <w:rPr>
                <w:rStyle w:val="Small"/>
              </w:rPr>
            </w:pPr>
            <w:r w:rsidRPr="009256AB">
              <w:rPr>
                <w:rStyle w:val="Small"/>
              </w:rPr>
              <w:t>NR</w:t>
            </w:r>
          </w:p>
        </w:tc>
        <w:tc>
          <w:tcPr>
            <w:tcW w:w="2268" w:type="dxa"/>
            <w:gridSpan w:val="2"/>
          </w:tcPr>
          <w:p w14:paraId="33E1382B" w14:textId="77777777" w:rsidR="002C71D0" w:rsidRPr="00C22503" w:rsidRDefault="002C71D0" w:rsidP="002C71D0">
            <w:pPr>
              <w:pStyle w:val="Table"/>
              <w:rPr>
                <w:rFonts w:ascii="Arial Narrow" w:hAnsi="Arial Narrow"/>
              </w:rPr>
            </w:pPr>
            <w:r w:rsidRPr="00C22503">
              <w:rPr>
                <w:rFonts w:ascii="Arial Narrow" w:hAnsi="Arial Narrow"/>
              </w:rPr>
              <w:t>Total AEs n (n per course)</w:t>
            </w:r>
          </w:p>
        </w:tc>
        <w:tc>
          <w:tcPr>
            <w:tcW w:w="1417" w:type="dxa"/>
            <w:gridSpan w:val="2"/>
          </w:tcPr>
          <w:p w14:paraId="6234A70E" w14:textId="77777777" w:rsidR="002C71D0" w:rsidRPr="00C22503" w:rsidRDefault="002C71D0" w:rsidP="002C71D0">
            <w:pPr>
              <w:pStyle w:val="TableCentre"/>
              <w:rPr>
                <w:rFonts w:ascii="Arial Narrow" w:hAnsi="Arial Narrow"/>
              </w:rPr>
            </w:pPr>
            <w:r w:rsidRPr="00C22503">
              <w:rPr>
                <w:rFonts w:ascii="Arial Narrow" w:hAnsi="Arial Narrow"/>
              </w:rPr>
              <w:t>1,629 (5.6)</w:t>
            </w:r>
          </w:p>
        </w:tc>
      </w:tr>
      <w:tr w:rsidR="002C71D0" w:rsidRPr="009256AB" w14:paraId="5AA92C22" w14:textId="77777777" w:rsidTr="002C71D0">
        <w:trPr>
          <w:trHeight w:val="154"/>
        </w:trPr>
        <w:tc>
          <w:tcPr>
            <w:tcW w:w="1835" w:type="dxa"/>
          </w:tcPr>
          <w:p w14:paraId="3E14DD46" w14:textId="77777777" w:rsidR="002C71D0" w:rsidRPr="009256AB" w:rsidRDefault="002C71D0" w:rsidP="002C71D0">
            <w:pPr>
              <w:pStyle w:val="Table"/>
              <w:rPr>
                <w:rStyle w:val="Small"/>
              </w:rPr>
            </w:pPr>
            <w:r>
              <w:rPr>
                <w:rStyle w:val="Small"/>
              </w:rPr>
              <w:t xml:space="preserve">  </w:t>
            </w:r>
            <w:r w:rsidRPr="009256AB">
              <w:rPr>
                <w:rStyle w:val="Small"/>
              </w:rPr>
              <w:t xml:space="preserve">Grade </w:t>
            </w:r>
            <w:r>
              <w:rPr>
                <w:rStyle w:val="Small"/>
              </w:rPr>
              <w:t>¾</w:t>
            </w:r>
          </w:p>
        </w:tc>
        <w:tc>
          <w:tcPr>
            <w:tcW w:w="2696" w:type="dxa"/>
            <w:gridSpan w:val="2"/>
          </w:tcPr>
          <w:p w14:paraId="4179A6A3" w14:textId="77777777" w:rsidR="002C71D0" w:rsidRPr="009256AB" w:rsidRDefault="002C71D0" w:rsidP="002C71D0">
            <w:pPr>
              <w:pStyle w:val="TableCentre"/>
              <w:rPr>
                <w:rStyle w:val="Small"/>
              </w:rPr>
            </w:pPr>
            <w:r>
              <w:rPr>
                <w:rStyle w:val="Small"/>
              </w:rPr>
              <w:t>104 (90.4)</w:t>
            </w:r>
          </w:p>
        </w:tc>
        <w:tc>
          <w:tcPr>
            <w:tcW w:w="1418" w:type="dxa"/>
          </w:tcPr>
          <w:p w14:paraId="72FA9DBE" w14:textId="77777777" w:rsidR="002C71D0" w:rsidRPr="009256AB" w:rsidRDefault="002C71D0" w:rsidP="002C71D0">
            <w:pPr>
              <w:pStyle w:val="TableCentre"/>
              <w:rPr>
                <w:rStyle w:val="Small"/>
              </w:rPr>
            </w:pPr>
            <w:r w:rsidRPr="009256AB">
              <w:rPr>
                <w:rStyle w:val="Small"/>
              </w:rPr>
              <w:t>NR</w:t>
            </w:r>
          </w:p>
        </w:tc>
        <w:tc>
          <w:tcPr>
            <w:tcW w:w="2268" w:type="dxa"/>
            <w:gridSpan w:val="2"/>
          </w:tcPr>
          <w:p w14:paraId="13827CC2" w14:textId="77777777" w:rsidR="002C71D0" w:rsidRPr="00C22503" w:rsidRDefault="002C71D0" w:rsidP="002C71D0">
            <w:pPr>
              <w:pStyle w:val="Table"/>
              <w:rPr>
                <w:rFonts w:ascii="Arial Narrow" w:hAnsi="Arial Narrow"/>
              </w:rPr>
            </w:pPr>
            <w:r w:rsidRPr="00C22503">
              <w:rPr>
                <w:rFonts w:ascii="Arial Narrow" w:hAnsi="Arial Narrow"/>
              </w:rPr>
              <w:t xml:space="preserve">   Grade </w:t>
            </w:r>
            <w:r>
              <w:rPr>
                <w:rFonts w:ascii="Arial Narrow" w:hAnsi="Arial Narrow"/>
              </w:rPr>
              <w:t>¾</w:t>
            </w:r>
          </w:p>
        </w:tc>
        <w:tc>
          <w:tcPr>
            <w:tcW w:w="1417" w:type="dxa"/>
            <w:gridSpan w:val="2"/>
          </w:tcPr>
          <w:p w14:paraId="0FF8E656" w14:textId="77777777" w:rsidR="002C71D0" w:rsidRPr="00C22503" w:rsidRDefault="002C71D0" w:rsidP="002C71D0">
            <w:pPr>
              <w:pStyle w:val="TableCentre"/>
              <w:rPr>
                <w:rFonts w:ascii="Arial Narrow" w:hAnsi="Arial Narrow"/>
              </w:rPr>
            </w:pPr>
            <w:r w:rsidRPr="00C22503">
              <w:rPr>
                <w:rFonts w:ascii="Arial Narrow" w:hAnsi="Arial Narrow"/>
              </w:rPr>
              <w:t>368 (1.3)</w:t>
            </w:r>
          </w:p>
        </w:tc>
      </w:tr>
      <w:tr w:rsidR="002C71D0" w:rsidRPr="009256AB" w14:paraId="2F85F316" w14:textId="77777777" w:rsidTr="002C71D0">
        <w:tc>
          <w:tcPr>
            <w:tcW w:w="1835" w:type="dxa"/>
          </w:tcPr>
          <w:p w14:paraId="270F0BB7" w14:textId="77777777" w:rsidR="002C71D0" w:rsidRPr="009256AB" w:rsidRDefault="002C71D0" w:rsidP="002C71D0">
            <w:pPr>
              <w:pStyle w:val="Table"/>
              <w:rPr>
                <w:rStyle w:val="Small"/>
              </w:rPr>
            </w:pPr>
            <w:r>
              <w:rPr>
                <w:rStyle w:val="Small"/>
              </w:rPr>
              <w:t xml:space="preserve">  </w:t>
            </w:r>
            <w:r w:rsidRPr="009256AB">
              <w:rPr>
                <w:rStyle w:val="Small"/>
              </w:rPr>
              <w:t>Drug-related</w:t>
            </w:r>
          </w:p>
        </w:tc>
        <w:tc>
          <w:tcPr>
            <w:tcW w:w="2696" w:type="dxa"/>
            <w:gridSpan w:val="2"/>
          </w:tcPr>
          <w:p w14:paraId="07412C86" w14:textId="77777777" w:rsidR="002C71D0" w:rsidRPr="009256AB" w:rsidRDefault="002C71D0" w:rsidP="002C71D0">
            <w:pPr>
              <w:pStyle w:val="TableCentre"/>
              <w:rPr>
                <w:rStyle w:val="Small"/>
              </w:rPr>
            </w:pPr>
            <w:r>
              <w:rPr>
                <w:rStyle w:val="Small"/>
              </w:rPr>
              <w:t>102 (88.7)</w:t>
            </w:r>
          </w:p>
        </w:tc>
        <w:tc>
          <w:tcPr>
            <w:tcW w:w="1418" w:type="dxa"/>
          </w:tcPr>
          <w:p w14:paraId="6A55B744" w14:textId="77777777" w:rsidR="002C71D0" w:rsidRPr="009256AB" w:rsidRDefault="002C71D0" w:rsidP="002C71D0">
            <w:pPr>
              <w:pStyle w:val="TableCentre"/>
              <w:rPr>
                <w:rStyle w:val="Small"/>
              </w:rPr>
            </w:pPr>
            <w:r w:rsidRPr="009256AB">
              <w:rPr>
                <w:rStyle w:val="Small"/>
              </w:rPr>
              <w:t>NR</w:t>
            </w:r>
          </w:p>
        </w:tc>
        <w:tc>
          <w:tcPr>
            <w:tcW w:w="3685" w:type="dxa"/>
            <w:gridSpan w:val="4"/>
            <w:vMerge w:val="restart"/>
            <w:vAlign w:val="center"/>
          </w:tcPr>
          <w:p w14:paraId="75649A72" w14:textId="77777777" w:rsidR="002C71D0" w:rsidRPr="00C22503" w:rsidRDefault="002C71D0" w:rsidP="002C71D0">
            <w:pPr>
              <w:pStyle w:val="TableCentre"/>
              <w:rPr>
                <w:rFonts w:ascii="Arial Narrow" w:hAnsi="Arial Narrow"/>
              </w:rPr>
            </w:pPr>
            <w:r w:rsidRPr="00C22503">
              <w:rPr>
                <w:rFonts w:ascii="Arial Narrow" w:hAnsi="Arial Narrow"/>
              </w:rPr>
              <w:t>NR</w:t>
            </w:r>
          </w:p>
        </w:tc>
      </w:tr>
      <w:tr w:rsidR="002C71D0" w:rsidRPr="009256AB" w14:paraId="1E9A4549" w14:textId="77777777" w:rsidTr="002C71D0">
        <w:tc>
          <w:tcPr>
            <w:tcW w:w="1835" w:type="dxa"/>
          </w:tcPr>
          <w:p w14:paraId="40CB6D95" w14:textId="77777777" w:rsidR="002C71D0" w:rsidRPr="009256AB" w:rsidRDefault="002C71D0" w:rsidP="002C71D0">
            <w:pPr>
              <w:pStyle w:val="Table"/>
              <w:rPr>
                <w:rStyle w:val="Small"/>
              </w:rPr>
            </w:pPr>
            <w:r>
              <w:rPr>
                <w:rStyle w:val="Small"/>
              </w:rPr>
              <w:t xml:space="preserve">  </w:t>
            </w:r>
            <w:r w:rsidRPr="009256AB">
              <w:rPr>
                <w:rStyle w:val="Small"/>
              </w:rPr>
              <w:t>Serious AEs</w:t>
            </w:r>
          </w:p>
        </w:tc>
        <w:tc>
          <w:tcPr>
            <w:tcW w:w="2696" w:type="dxa"/>
            <w:gridSpan w:val="2"/>
          </w:tcPr>
          <w:p w14:paraId="5737B7C2" w14:textId="77777777" w:rsidR="002C71D0" w:rsidRPr="009256AB" w:rsidRDefault="002C71D0" w:rsidP="002C71D0">
            <w:pPr>
              <w:pStyle w:val="TableCentre"/>
              <w:rPr>
                <w:rStyle w:val="Small"/>
              </w:rPr>
            </w:pPr>
            <w:r>
              <w:rPr>
                <w:rStyle w:val="Small"/>
              </w:rPr>
              <w:t>79 (68.7)</w:t>
            </w:r>
          </w:p>
        </w:tc>
        <w:tc>
          <w:tcPr>
            <w:tcW w:w="1418" w:type="dxa"/>
          </w:tcPr>
          <w:p w14:paraId="0F916406" w14:textId="77777777" w:rsidR="002C71D0" w:rsidRPr="009256AB" w:rsidRDefault="002C71D0" w:rsidP="002C71D0">
            <w:pPr>
              <w:pStyle w:val="TableCentre"/>
              <w:rPr>
                <w:rStyle w:val="Small"/>
              </w:rPr>
            </w:pPr>
            <w:r w:rsidRPr="009256AB">
              <w:rPr>
                <w:rStyle w:val="Small"/>
              </w:rPr>
              <w:t>NR</w:t>
            </w:r>
          </w:p>
        </w:tc>
        <w:tc>
          <w:tcPr>
            <w:tcW w:w="3685" w:type="dxa"/>
            <w:gridSpan w:val="4"/>
            <w:vMerge/>
          </w:tcPr>
          <w:p w14:paraId="57B6E5C9" w14:textId="77777777" w:rsidR="002C71D0" w:rsidRPr="00C22503" w:rsidRDefault="002C71D0" w:rsidP="002C71D0">
            <w:pPr>
              <w:pStyle w:val="TableCentre"/>
              <w:rPr>
                <w:rFonts w:ascii="Arial Narrow" w:hAnsi="Arial Narrow"/>
              </w:rPr>
            </w:pPr>
          </w:p>
        </w:tc>
      </w:tr>
      <w:tr w:rsidR="002C71D0" w:rsidRPr="009256AB" w14:paraId="71DA9742" w14:textId="77777777" w:rsidTr="002C71D0">
        <w:tc>
          <w:tcPr>
            <w:tcW w:w="1835" w:type="dxa"/>
          </w:tcPr>
          <w:p w14:paraId="1F60BF43" w14:textId="77777777" w:rsidR="002C71D0" w:rsidRPr="009256AB" w:rsidRDefault="002C71D0" w:rsidP="002C71D0">
            <w:pPr>
              <w:pStyle w:val="Table"/>
              <w:rPr>
                <w:rStyle w:val="Small"/>
              </w:rPr>
            </w:pPr>
            <w:r w:rsidRPr="009256AB">
              <w:rPr>
                <w:rStyle w:val="Small"/>
              </w:rPr>
              <w:t>Deaths</w:t>
            </w:r>
          </w:p>
        </w:tc>
        <w:tc>
          <w:tcPr>
            <w:tcW w:w="2696" w:type="dxa"/>
            <w:gridSpan w:val="2"/>
          </w:tcPr>
          <w:p w14:paraId="5D963A97" w14:textId="77777777" w:rsidR="002C71D0" w:rsidRPr="009256AB" w:rsidRDefault="002C71D0" w:rsidP="002C71D0">
            <w:pPr>
              <w:pStyle w:val="TableCentre"/>
              <w:rPr>
                <w:rStyle w:val="Small"/>
              </w:rPr>
            </w:pPr>
            <w:r>
              <w:rPr>
                <w:rStyle w:val="Small"/>
              </w:rPr>
              <w:t>3 (2.6) *</w:t>
            </w:r>
          </w:p>
        </w:tc>
        <w:tc>
          <w:tcPr>
            <w:tcW w:w="1418" w:type="dxa"/>
          </w:tcPr>
          <w:p w14:paraId="6752971C" w14:textId="77777777" w:rsidR="002C71D0" w:rsidRPr="009256AB" w:rsidRDefault="002C71D0" w:rsidP="002C71D0">
            <w:pPr>
              <w:pStyle w:val="TableCentre"/>
              <w:rPr>
                <w:rStyle w:val="Small"/>
              </w:rPr>
            </w:pPr>
            <w:r w:rsidRPr="009256AB">
              <w:rPr>
                <w:rStyle w:val="Small"/>
              </w:rPr>
              <w:t>NR</w:t>
            </w:r>
          </w:p>
        </w:tc>
        <w:tc>
          <w:tcPr>
            <w:tcW w:w="2268" w:type="dxa"/>
            <w:gridSpan w:val="2"/>
          </w:tcPr>
          <w:p w14:paraId="667BE85C" w14:textId="77777777" w:rsidR="002C71D0" w:rsidRPr="00C22503" w:rsidRDefault="002C71D0" w:rsidP="002C71D0">
            <w:pPr>
              <w:pStyle w:val="Table"/>
              <w:rPr>
                <w:rFonts w:ascii="Arial Narrow" w:hAnsi="Arial Narrow"/>
              </w:rPr>
            </w:pPr>
            <w:r w:rsidRPr="00C22503">
              <w:rPr>
                <w:rFonts w:ascii="Arial Narrow" w:hAnsi="Arial Narrow"/>
              </w:rPr>
              <w:t>Deaths n(%)</w:t>
            </w:r>
          </w:p>
        </w:tc>
        <w:tc>
          <w:tcPr>
            <w:tcW w:w="1417" w:type="dxa"/>
            <w:gridSpan w:val="2"/>
          </w:tcPr>
          <w:p w14:paraId="3A8DED6F" w14:textId="77777777" w:rsidR="002C71D0" w:rsidRPr="00C22503" w:rsidRDefault="002C71D0" w:rsidP="002C71D0">
            <w:pPr>
              <w:pStyle w:val="TableCentre"/>
              <w:rPr>
                <w:rFonts w:ascii="Arial Narrow" w:hAnsi="Arial Narrow"/>
              </w:rPr>
            </w:pPr>
            <w:r w:rsidRPr="00C22503">
              <w:rPr>
                <w:rFonts w:ascii="Arial Narrow" w:hAnsi="Arial Narrow"/>
              </w:rPr>
              <w:t>1 (1.7)</w:t>
            </w:r>
          </w:p>
        </w:tc>
      </w:tr>
      <w:tr w:rsidR="002C71D0" w:rsidRPr="009256AB" w14:paraId="4896D6AC" w14:textId="77777777" w:rsidTr="002C71D0">
        <w:tc>
          <w:tcPr>
            <w:tcW w:w="1835" w:type="dxa"/>
          </w:tcPr>
          <w:p w14:paraId="69E9BA4E" w14:textId="77777777" w:rsidR="002C71D0" w:rsidRPr="009256AB" w:rsidRDefault="002C71D0" w:rsidP="002C71D0">
            <w:pPr>
              <w:pStyle w:val="Table"/>
              <w:rPr>
                <w:rStyle w:val="Small"/>
              </w:rPr>
            </w:pPr>
            <w:r w:rsidRPr="009256AB">
              <w:rPr>
                <w:rStyle w:val="Small"/>
              </w:rPr>
              <w:t>CRS (any grade)</w:t>
            </w:r>
          </w:p>
        </w:tc>
        <w:tc>
          <w:tcPr>
            <w:tcW w:w="2696" w:type="dxa"/>
            <w:gridSpan w:val="2"/>
          </w:tcPr>
          <w:p w14:paraId="469D41F0" w14:textId="77777777" w:rsidR="002C71D0" w:rsidRPr="009256AB" w:rsidRDefault="002C71D0" w:rsidP="002C71D0">
            <w:pPr>
              <w:pStyle w:val="TableCentre"/>
              <w:rPr>
                <w:rStyle w:val="Small"/>
              </w:rPr>
            </w:pPr>
            <w:r>
              <w:rPr>
                <w:rStyle w:val="Small"/>
              </w:rPr>
              <w:t>66 (57.4)</w:t>
            </w:r>
          </w:p>
        </w:tc>
        <w:tc>
          <w:tcPr>
            <w:tcW w:w="1418" w:type="dxa"/>
          </w:tcPr>
          <w:p w14:paraId="19F77AD8" w14:textId="77777777" w:rsidR="002C71D0" w:rsidRPr="009256AB" w:rsidRDefault="002C71D0" w:rsidP="002C71D0">
            <w:pPr>
              <w:pStyle w:val="TableCentre"/>
              <w:rPr>
                <w:rStyle w:val="Small"/>
              </w:rPr>
            </w:pPr>
            <w:r w:rsidRPr="009256AB">
              <w:rPr>
                <w:rStyle w:val="Small"/>
              </w:rPr>
              <w:t>16 (57.0)</w:t>
            </w:r>
          </w:p>
        </w:tc>
        <w:tc>
          <w:tcPr>
            <w:tcW w:w="3685" w:type="dxa"/>
            <w:gridSpan w:val="4"/>
            <w:vAlign w:val="center"/>
          </w:tcPr>
          <w:p w14:paraId="46305E1A" w14:textId="77777777" w:rsidR="002C71D0" w:rsidRPr="00C22503" w:rsidRDefault="002C71D0" w:rsidP="002C71D0">
            <w:pPr>
              <w:pStyle w:val="TableCentre"/>
              <w:rPr>
                <w:rFonts w:ascii="Arial Narrow" w:hAnsi="Arial Narrow"/>
              </w:rPr>
            </w:pPr>
            <w:r w:rsidRPr="00C22503">
              <w:rPr>
                <w:rFonts w:ascii="Arial Narrow" w:hAnsi="Arial Narrow"/>
              </w:rPr>
              <w:t>NR</w:t>
            </w:r>
          </w:p>
        </w:tc>
      </w:tr>
    </w:tbl>
    <w:p w14:paraId="5DB66C69" w14:textId="77777777" w:rsidR="002C71D0" w:rsidRDefault="002C71D0" w:rsidP="006753E4">
      <w:pPr>
        <w:pStyle w:val="CaptionFootnote"/>
        <w:spacing w:after="240"/>
      </w:pPr>
      <w:r>
        <w:t>Abbreviations: ORR = overall response rate; PFS = Progression Free Survival; OS = Overall Survival; AE = Adverse Event; CRS = Cytokine release syndrome; NE = Not evaluable; NR = not reported; CI = Confidence Interval; * Deaths w</w:t>
      </w:r>
      <w:r w:rsidR="006753E4">
        <w:t>ithin 30 days post TIS infusion</w:t>
      </w:r>
    </w:p>
    <w:p w14:paraId="3A69CF83" w14:textId="77777777" w:rsidR="006E319A" w:rsidRPr="00B02E35" w:rsidRDefault="002C71D0" w:rsidP="006753E4">
      <w:pPr>
        <w:spacing w:after="240"/>
      </w:pPr>
      <w:r>
        <w:t xml:space="preserve">The Critique provided a comparison of results from 11 December 2018 data cut-off with resubmission’s May 2018 data cut, noting the updated results indicated similar estimates of effect size for progression free survival (PFS) and overall survival (OS). Specifically, </w:t>
      </w:r>
      <w:r w:rsidRPr="0079129A">
        <w:t>the main new OS evidence presented is approx</w:t>
      </w:r>
      <w:r>
        <w:t>imately 6 months more of follow-</w:t>
      </w:r>
      <w:r w:rsidRPr="0079129A">
        <w:t>up, indicating a similar survival trend.</w:t>
      </w:r>
    </w:p>
    <w:p w14:paraId="084AA67D" w14:textId="77777777" w:rsidR="002C71D0" w:rsidRDefault="002C71D0" w:rsidP="002C71D0">
      <w:pPr>
        <w:pStyle w:val="Heading1"/>
        <w:spacing w:before="0" w:after="0"/>
      </w:pPr>
      <w:r w:rsidRPr="00451310">
        <w:t>Economic evaluation</w:t>
      </w:r>
    </w:p>
    <w:p w14:paraId="32E1D158" w14:textId="10FAC209" w:rsidR="006753E4" w:rsidRDefault="002C71D0" w:rsidP="006753E4">
      <w:pPr>
        <w:spacing w:before="240" w:after="240"/>
      </w:pPr>
      <w:r>
        <w:t xml:space="preserve">The resubmission presented a cost-utility analysis, using a similar model structure as previous submission. A summary of the key issues and how they were addressed in resubmission’s revised base case is provided in Table </w:t>
      </w:r>
      <w:r w:rsidR="00DF2A45">
        <w:t>9</w:t>
      </w:r>
      <w:r w:rsidR="006753E4">
        <w:t>.</w:t>
      </w:r>
    </w:p>
    <w:p w14:paraId="1C28DED5" w14:textId="77777777" w:rsidR="002C71D0" w:rsidRDefault="002C71D0" w:rsidP="00F92419">
      <w:pPr>
        <w:pStyle w:val="Caption"/>
        <w:keepNext/>
        <w:keepLines/>
      </w:pPr>
      <w:r>
        <w:lastRenderedPageBreak/>
        <w:t xml:space="preserve">Table </w:t>
      </w:r>
      <w:r w:rsidR="00DF2A45">
        <w:t>9</w:t>
      </w:r>
      <w:r>
        <w:tab/>
      </w:r>
      <w:r w:rsidRPr="00BF0C99">
        <w:t>Summary of issues raised and how they have been addressed</w:t>
      </w:r>
    </w:p>
    <w:tbl>
      <w:tblPr>
        <w:tblStyle w:val="TableGrid"/>
        <w:tblW w:w="0" w:type="auto"/>
        <w:tblLook w:val="04A0" w:firstRow="1" w:lastRow="0" w:firstColumn="1" w:lastColumn="0" w:noHBand="0" w:noVBand="1"/>
        <w:tblDescription w:val="Summary of the issues raised and how they have been addressed"/>
      </w:tblPr>
      <w:tblGrid>
        <w:gridCol w:w="2324"/>
        <w:gridCol w:w="6692"/>
      </w:tblGrid>
      <w:tr w:rsidR="002C71D0" w:rsidRPr="00BC2755" w14:paraId="650484C2" w14:textId="77777777" w:rsidTr="00313528">
        <w:trPr>
          <w:tblHeader/>
        </w:trPr>
        <w:tc>
          <w:tcPr>
            <w:tcW w:w="2405" w:type="dxa"/>
            <w:shd w:val="clear" w:color="auto" w:fill="auto"/>
          </w:tcPr>
          <w:p w14:paraId="66F95E41" w14:textId="77777777" w:rsidR="002C71D0" w:rsidRPr="00BF0C99" w:rsidRDefault="002C71D0" w:rsidP="00F92419">
            <w:pPr>
              <w:pStyle w:val="Table"/>
              <w:keepNext/>
              <w:keepLines/>
              <w:rPr>
                <w:rStyle w:val="SmallBold"/>
                <w:rFonts w:ascii="Arial Narrow" w:hAnsi="Arial Narrow"/>
              </w:rPr>
            </w:pPr>
            <w:r w:rsidRPr="00BF0C99">
              <w:rPr>
                <w:rStyle w:val="SmallBold"/>
                <w:rFonts w:ascii="Arial Narrow" w:hAnsi="Arial Narrow"/>
              </w:rPr>
              <w:t>Issue</w:t>
            </w:r>
          </w:p>
        </w:tc>
        <w:tc>
          <w:tcPr>
            <w:tcW w:w="7223" w:type="dxa"/>
            <w:shd w:val="clear" w:color="auto" w:fill="auto"/>
          </w:tcPr>
          <w:p w14:paraId="07A1CB65" w14:textId="77777777" w:rsidR="002C71D0" w:rsidRPr="00BF0C99" w:rsidRDefault="002C71D0" w:rsidP="00F92419">
            <w:pPr>
              <w:pStyle w:val="Table"/>
              <w:keepNext/>
              <w:keepLines/>
              <w:rPr>
                <w:rStyle w:val="SmallBold"/>
                <w:rFonts w:ascii="Arial Narrow" w:hAnsi="Arial Narrow"/>
              </w:rPr>
            </w:pPr>
            <w:r w:rsidRPr="00BF0C99">
              <w:rPr>
                <w:rStyle w:val="SmallBold"/>
                <w:rFonts w:ascii="Arial Narrow" w:hAnsi="Arial Narrow"/>
              </w:rPr>
              <w:t>Response</w:t>
            </w:r>
          </w:p>
        </w:tc>
      </w:tr>
      <w:tr w:rsidR="002C71D0" w14:paraId="07F62130" w14:textId="77777777" w:rsidTr="002C71D0">
        <w:tc>
          <w:tcPr>
            <w:tcW w:w="2405" w:type="dxa"/>
          </w:tcPr>
          <w:p w14:paraId="7965E09D" w14:textId="77777777" w:rsidR="002C71D0" w:rsidRPr="00BF0C99" w:rsidRDefault="002C71D0" w:rsidP="00F92419">
            <w:pPr>
              <w:pStyle w:val="Table"/>
              <w:keepNext/>
              <w:keepLines/>
              <w:rPr>
                <w:rFonts w:ascii="Arial Narrow" w:hAnsi="Arial Narrow"/>
              </w:rPr>
            </w:pPr>
            <w:r w:rsidRPr="00BF0C99">
              <w:rPr>
                <w:rFonts w:ascii="Arial Narrow" w:hAnsi="Arial Narrow"/>
              </w:rPr>
              <w:t>Naïve indirect comparisons of single arm trials</w:t>
            </w:r>
          </w:p>
        </w:tc>
        <w:tc>
          <w:tcPr>
            <w:tcW w:w="7223" w:type="dxa"/>
          </w:tcPr>
          <w:p w14:paraId="5466D494" w14:textId="77777777" w:rsidR="002C71D0" w:rsidRPr="00BF0C99" w:rsidRDefault="002C71D0" w:rsidP="00F92419">
            <w:pPr>
              <w:pStyle w:val="Table"/>
              <w:keepNext/>
              <w:keepLines/>
              <w:rPr>
                <w:rFonts w:ascii="Arial Narrow" w:hAnsi="Arial Narrow"/>
              </w:rPr>
            </w:pPr>
            <w:r w:rsidRPr="00BF0C99">
              <w:rPr>
                <w:rFonts w:ascii="Arial Narrow" w:hAnsi="Arial Narrow"/>
              </w:rPr>
              <w:t>No change, with the revised base case continuing to be informed by a naïve indirect comparison of results from the TIS trials with those of the SCHOLAR meta-analysis.  No direct or indirect randomised trials have (or are likely to) become available which would facilitate a more formal comparison.  Results of an updated MAIC analysis are presented in Section B of the resubmission, however this is considered an experimental approach and would require a likely-invalid assumption of proportional hazards in order to be incorporated in the</w:t>
            </w:r>
            <w:r w:rsidR="006753E4">
              <w:rPr>
                <w:rFonts w:ascii="Arial Narrow" w:hAnsi="Arial Narrow"/>
              </w:rPr>
              <w:t xml:space="preserve"> economic evaluation.</w:t>
            </w:r>
          </w:p>
        </w:tc>
      </w:tr>
      <w:tr w:rsidR="002C71D0" w14:paraId="41A7C806" w14:textId="77777777" w:rsidTr="002C71D0">
        <w:tc>
          <w:tcPr>
            <w:tcW w:w="2405" w:type="dxa"/>
          </w:tcPr>
          <w:p w14:paraId="0863E5BD" w14:textId="77777777" w:rsidR="002C71D0" w:rsidRPr="00BF0C99" w:rsidRDefault="002C71D0" w:rsidP="002C71D0">
            <w:pPr>
              <w:pStyle w:val="Table"/>
              <w:rPr>
                <w:rFonts w:ascii="Arial Narrow" w:hAnsi="Arial Narrow"/>
              </w:rPr>
            </w:pPr>
            <w:r w:rsidRPr="00BF0C99">
              <w:rPr>
                <w:rFonts w:ascii="Arial Narrow" w:hAnsi="Arial Narrow"/>
              </w:rPr>
              <w:t>Maturity of evidence from TIS trials</w:t>
            </w:r>
          </w:p>
        </w:tc>
        <w:tc>
          <w:tcPr>
            <w:tcW w:w="7223" w:type="dxa"/>
          </w:tcPr>
          <w:p w14:paraId="7B713915" w14:textId="77777777" w:rsidR="002C71D0" w:rsidRPr="00BF0C99" w:rsidRDefault="002C71D0" w:rsidP="002C71D0">
            <w:pPr>
              <w:pStyle w:val="Table"/>
              <w:rPr>
                <w:rFonts w:ascii="Arial Narrow" w:hAnsi="Arial Narrow"/>
              </w:rPr>
            </w:pPr>
            <w:r w:rsidRPr="00BF0C99">
              <w:rPr>
                <w:rFonts w:ascii="Arial Narrow" w:hAnsi="Arial Narrow"/>
              </w:rPr>
              <w:t xml:space="preserve">The revised base case is informed by updated results from most recent available analysis of the JULIET trial (May 2018) in which the median time from infusion to the data cut-off was 19.3 months. </w:t>
            </w:r>
          </w:p>
        </w:tc>
      </w:tr>
      <w:tr w:rsidR="002C71D0" w14:paraId="5F2746DD" w14:textId="77777777" w:rsidTr="002C71D0">
        <w:tc>
          <w:tcPr>
            <w:tcW w:w="2405" w:type="dxa"/>
          </w:tcPr>
          <w:p w14:paraId="5CB16F83" w14:textId="77777777" w:rsidR="002C71D0" w:rsidRPr="00BF0C99" w:rsidRDefault="002C71D0" w:rsidP="002C71D0">
            <w:pPr>
              <w:pStyle w:val="Table"/>
              <w:rPr>
                <w:rFonts w:ascii="Arial Narrow" w:hAnsi="Arial Narrow"/>
              </w:rPr>
            </w:pPr>
            <w:r w:rsidRPr="00BF0C99">
              <w:rPr>
                <w:rFonts w:ascii="Arial Narrow" w:hAnsi="Arial Narrow"/>
              </w:rPr>
              <w:t>Intention to treat analysis</w:t>
            </w:r>
          </w:p>
        </w:tc>
        <w:tc>
          <w:tcPr>
            <w:tcW w:w="7223" w:type="dxa"/>
          </w:tcPr>
          <w:p w14:paraId="1E0FCC8F" w14:textId="77777777" w:rsidR="002C71D0" w:rsidRPr="00BF0C99" w:rsidRDefault="002C71D0" w:rsidP="002C71D0">
            <w:pPr>
              <w:pStyle w:val="Table"/>
              <w:rPr>
                <w:rFonts w:ascii="Arial Narrow" w:hAnsi="Arial Narrow"/>
              </w:rPr>
            </w:pPr>
            <w:r w:rsidRPr="00BF0C99">
              <w:rPr>
                <w:rFonts w:ascii="Arial Narrow" w:hAnsi="Arial Narrow"/>
              </w:rPr>
              <w:t>Whilst Novartis maintains the infused population is most appropriate, acknowledging the strong views expressed by the evaluators, the resubmission adopts the ITT population in the base case analysis. The revised base case is informed by PFS and OS outcomes for the total enrolled population from the above analysis of JULIET, under an extremely conservative assumption that observed rates of non-infusion in that trial will be replicated in the real-world commercial setting. Estimated costs for this proxy ITT cohort are adjusted for the proportion of patients who do not receive TIS, under the reasonable assumption that such patients would likely receive an alternative s</w:t>
            </w:r>
            <w:r w:rsidR="006753E4">
              <w:rPr>
                <w:rFonts w:ascii="Arial Narrow" w:hAnsi="Arial Narrow"/>
              </w:rPr>
              <w:t>tandard chemotherapy regimen.</w:t>
            </w:r>
          </w:p>
        </w:tc>
      </w:tr>
      <w:tr w:rsidR="002C71D0" w14:paraId="36551048" w14:textId="77777777" w:rsidTr="002C71D0">
        <w:tc>
          <w:tcPr>
            <w:tcW w:w="2405" w:type="dxa"/>
          </w:tcPr>
          <w:p w14:paraId="00D67FFB" w14:textId="77777777" w:rsidR="002C71D0" w:rsidRPr="00BF0C99" w:rsidRDefault="002C71D0" w:rsidP="002C71D0">
            <w:pPr>
              <w:pStyle w:val="Table"/>
              <w:rPr>
                <w:rFonts w:ascii="Arial Narrow" w:hAnsi="Arial Narrow"/>
              </w:rPr>
            </w:pPr>
            <w:r w:rsidRPr="00BF0C99">
              <w:rPr>
                <w:rFonts w:ascii="Arial Narrow" w:hAnsi="Arial Narrow"/>
              </w:rPr>
              <w:t>Unclear/uncertain extrapolation of survival curves</w:t>
            </w:r>
          </w:p>
        </w:tc>
        <w:tc>
          <w:tcPr>
            <w:tcW w:w="7223" w:type="dxa"/>
          </w:tcPr>
          <w:p w14:paraId="3FF85EAE" w14:textId="77777777" w:rsidR="002C71D0" w:rsidRPr="00BF0C99" w:rsidRDefault="002C71D0" w:rsidP="002C71D0">
            <w:pPr>
              <w:pStyle w:val="Table"/>
              <w:rPr>
                <w:rFonts w:ascii="Arial Narrow" w:hAnsi="Arial Narrow"/>
              </w:rPr>
            </w:pPr>
            <w:r w:rsidRPr="00BF0C99">
              <w:rPr>
                <w:rFonts w:ascii="Arial Narrow" w:hAnsi="Arial Narrow"/>
              </w:rPr>
              <w:t>The revised base case is informed by data from JULIET only, as opposed to the POOLED dataset including pseudo individual patient level data from U-PEN. Furthermore, model selection is based on the best fitting parametric model for each PFS/OS dataset for TIS and SCR, as opposed to the probability weighted approach presented in the original submission. Based on these criteria, flexible cubic spline models with either 1 or 2 knots have been used to extrapolate outcomes from the observed trial period of approximately 20 months until the assumed application of a common long term mort</w:t>
            </w:r>
            <w:r w:rsidR="006753E4">
              <w:rPr>
                <w:rFonts w:ascii="Arial Narrow" w:hAnsi="Arial Narrow"/>
              </w:rPr>
              <w:t>ality rate as discussed below.</w:t>
            </w:r>
          </w:p>
        </w:tc>
      </w:tr>
      <w:tr w:rsidR="002C71D0" w14:paraId="1A7D74B3" w14:textId="77777777" w:rsidTr="002C71D0">
        <w:tc>
          <w:tcPr>
            <w:tcW w:w="2405" w:type="dxa"/>
          </w:tcPr>
          <w:p w14:paraId="785E5BA4" w14:textId="77777777" w:rsidR="002C71D0" w:rsidRPr="00BF0C99" w:rsidRDefault="002C71D0" w:rsidP="002C71D0">
            <w:pPr>
              <w:pStyle w:val="Table"/>
              <w:rPr>
                <w:rFonts w:ascii="Arial Narrow" w:hAnsi="Arial Narrow"/>
              </w:rPr>
            </w:pPr>
            <w:r w:rsidRPr="00BF0C99">
              <w:rPr>
                <w:rFonts w:ascii="Arial Narrow" w:hAnsi="Arial Narrow"/>
              </w:rPr>
              <w:t>Long term mortality</w:t>
            </w:r>
          </w:p>
        </w:tc>
        <w:tc>
          <w:tcPr>
            <w:tcW w:w="7223" w:type="dxa"/>
          </w:tcPr>
          <w:p w14:paraId="56EE9957" w14:textId="77777777" w:rsidR="002C71D0" w:rsidRPr="00BF0C99" w:rsidRDefault="002C71D0" w:rsidP="002C71D0">
            <w:pPr>
              <w:pStyle w:val="Table"/>
              <w:rPr>
                <w:rFonts w:ascii="Arial Narrow" w:hAnsi="Arial Narrow"/>
              </w:rPr>
            </w:pPr>
            <w:r w:rsidRPr="00BF0C99">
              <w:rPr>
                <w:rFonts w:ascii="Arial Narrow" w:hAnsi="Arial Narrow"/>
              </w:rPr>
              <w:t xml:space="preserve">The common long-term survival model in the revised base case uses general age based Australian mortality rates with a standardised mortality ratio for DLBCL survivors.  The model is applied from 36 months reflecting available literature suggesting that DLBCL patients achieve an effective cure after around 24 months of PFS </w:t>
            </w:r>
            <w:r w:rsidRPr="00BF0C99">
              <w:rPr>
                <w:rFonts w:ascii="Arial Narrow" w:hAnsi="Arial Narrow"/>
              </w:rPr>
              <w:fldChar w:fldCharType="begin">
                <w:fldData xml:space="preserve">PEVuZE5vdGU+PENpdGU+PEF1dGhvcj5NYXVyZXI8L0F1dGhvcj48WWVhcj4yMDE0PC9ZZWFyPjxS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ZGljYWw+PHBhZ2VzPjEwNjYtNzM8L3BhZ2VzPjx2b2x1bWU+MzI8L3ZvbHVtZT48bnVtYmVyPjEw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</w:fldData>
              </w:fldChar>
            </w:r>
            <w:r w:rsidRPr="00BF0C99">
              <w:rPr>
                <w:rFonts w:ascii="Arial Narrow" w:hAnsi="Arial Narrow"/>
              </w:rPr>
              <w:instrText xml:space="preserve"> ADDIN EN.CITE </w:instrText>
            </w:r>
            <w:r w:rsidRPr="00BF0C99">
              <w:rPr>
                <w:rFonts w:ascii="Arial Narrow" w:hAnsi="Arial Narrow"/>
              </w:rPr>
              <w:fldChar w:fldCharType="begin">
                <w:fldData xml:space="preserve">PEVuZE5vdGU+PENpdGU+PEF1dGhvcj5NYXVyZXI8L0F1dGhvcj48WWVhcj4yMDE0PC9ZZWFyPjxS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</w:fldData>
              </w:fldChar>
            </w:r>
            <w:r w:rsidRPr="00BF0C99">
              <w:rPr>
                <w:rFonts w:ascii="Arial Narrow" w:hAnsi="Arial Narrow"/>
              </w:rPr>
              <w:instrText xml:space="preserve"> ADDIN EN.CITE.DATA </w:instrText>
            </w:r>
            <w:r w:rsidRPr="00BF0C99">
              <w:rPr>
                <w:rFonts w:ascii="Arial Narrow" w:hAnsi="Arial Narrow"/>
              </w:rPr>
            </w:r>
            <w:r w:rsidRPr="00BF0C99">
              <w:rPr>
                <w:rFonts w:ascii="Arial Narrow" w:hAnsi="Arial Narrow"/>
              </w:rPr>
              <w:fldChar w:fldCharType="end"/>
            </w:r>
            <w:r w:rsidRPr="00BF0C99">
              <w:rPr>
                <w:rFonts w:ascii="Arial Narrow" w:hAnsi="Arial Narrow"/>
              </w:rPr>
            </w:r>
            <w:r w:rsidRPr="00BF0C99">
              <w:rPr>
                <w:rFonts w:ascii="Arial Narrow" w:hAnsi="Arial Narrow"/>
              </w:rPr>
              <w:fldChar w:fldCharType="separate"/>
            </w:r>
            <w:r w:rsidRPr="00BF0C99">
              <w:rPr>
                <w:rFonts w:ascii="Arial Narrow" w:hAnsi="Arial Narrow"/>
                <w:noProof/>
              </w:rPr>
              <w:t>(Maurer, Ghesquieres et al. 2014)</w:t>
            </w:r>
            <w:r w:rsidRPr="00BF0C99">
              <w:rPr>
                <w:rFonts w:ascii="Arial Narrow" w:hAnsi="Arial Narrow"/>
              </w:rPr>
              <w:fldChar w:fldCharType="end"/>
            </w:r>
            <w:r w:rsidRPr="00BF0C99">
              <w:rPr>
                <w:rFonts w:ascii="Arial Narrow" w:hAnsi="Arial Narrow"/>
              </w:rPr>
              <w:t xml:space="preserve">.  The observed OS curve for SCR in the SCHOLAR study also flattens out after approximately 3 years, suggesting that this is where SMR adjusted mortality rates should begin to apply. </w:t>
            </w:r>
          </w:p>
        </w:tc>
      </w:tr>
      <w:tr w:rsidR="002C71D0" w14:paraId="59C7FBB0" w14:textId="77777777" w:rsidTr="002C71D0">
        <w:tc>
          <w:tcPr>
            <w:tcW w:w="2405" w:type="dxa"/>
          </w:tcPr>
          <w:p w14:paraId="59F2C58D" w14:textId="77777777" w:rsidR="002C71D0" w:rsidRPr="00BF0C99" w:rsidRDefault="002C71D0" w:rsidP="002C71D0">
            <w:pPr>
              <w:pStyle w:val="Table"/>
              <w:rPr>
                <w:rFonts w:ascii="Arial Narrow" w:hAnsi="Arial Narrow"/>
              </w:rPr>
            </w:pPr>
            <w:r w:rsidRPr="00BF0C99">
              <w:rPr>
                <w:rFonts w:ascii="Arial Narrow" w:hAnsi="Arial Narrow"/>
              </w:rPr>
              <w:t>Consideration of SCT following TIS</w:t>
            </w:r>
          </w:p>
        </w:tc>
        <w:tc>
          <w:tcPr>
            <w:tcW w:w="7223" w:type="dxa"/>
          </w:tcPr>
          <w:p w14:paraId="519199D9" w14:textId="77777777" w:rsidR="002C71D0" w:rsidRPr="00BF0C99" w:rsidRDefault="002C71D0" w:rsidP="002C71D0">
            <w:pPr>
              <w:pStyle w:val="Table"/>
              <w:rPr>
                <w:rFonts w:ascii="Arial Narrow" w:hAnsi="Arial Narrow"/>
              </w:rPr>
            </w:pPr>
            <w:r w:rsidRPr="00BF0C99">
              <w:rPr>
                <w:rFonts w:ascii="Arial Narrow" w:hAnsi="Arial Narrow"/>
              </w:rPr>
              <w:t>Costs and potential quality of life effects of subsequent SCT following either TIS or SCR were included in the original model and have been retained here. Comparative rates of SCT have been obtained from the respective clinical trials. Survival outcomes drawn from the same trials are inclusive of any additional effects from these downstream procedures. However, there are insufficient data with which to separately model the effects of alternative rates of su</w:t>
            </w:r>
            <w:r w:rsidR="006753E4">
              <w:rPr>
                <w:rFonts w:ascii="Arial Narrow" w:hAnsi="Arial Narrow"/>
              </w:rPr>
              <w:t>bsequent SCT post TIS or SCR.</w:t>
            </w:r>
          </w:p>
        </w:tc>
      </w:tr>
      <w:tr w:rsidR="002C71D0" w14:paraId="151CE3A9" w14:textId="77777777" w:rsidTr="002C71D0">
        <w:tc>
          <w:tcPr>
            <w:tcW w:w="2405" w:type="dxa"/>
          </w:tcPr>
          <w:p w14:paraId="680F7151" w14:textId="77777777" w:rsidR="002C71D0" w:rsidRPr="00BF0C99" w:rsidRDefault="002C71D0" w:rsidP="002C71D0">
            <w:pPr>
              <w:pStyle w:val="Table"/>
              <w:rPr>
                <w:rFonts w:ascii="Arial Narrow" w:hAnsi="Arial Narrow"/>
              </w:rPr>
            </w:pPr>
            <w:r w:rsidRPr="00BF0C99">
              <w:rPr>
                <w:rFonts w:ascii="Arial Narrow" w:hAnsi="Arial Narrow"/>
              </w:rPr>
              <w:t>Average age of patients in the trials vs. Australian population</w:t>
            </w:r>
          </w:p>
        </w:tc>
        <w:tc>
          <w:tcPr>
            <w:tcW w:w="7223" w:type="dxa"/>
          </w:tcPr>
          <w:p w14:paraId="337B1D39" w14:textId="6A4362B0" w:rsidR="002C71D0" w:rsidRPr="00B32CEF" w:rsidRDefault="002C71D0" w:rsidP="005233C6">
            <w:pPr>
              <w:pStyle w:val="Table"/>
              <w:rPr>
                <w:rFonts w:ascii="Arial Narrow" w:hAnsi="Arial Narrow"/>
              </w:rPr>
            </w:pPr>
            <w:r w:rsidRPr="00B32CEF">
              <w:rPr>
                <w:rFonts w:ascii="Arial Narrow" w:hAnsi="Arial Narrow"/>
              </w:rPr>
              <w:t xml:space="preserve">The starting age of patients remains estimated based on the mean age of patients in the relevant TIS dataset; 56 years as per the enrolled population in the May 2018 analysis of JULIET. Subgroup analyses key outcomes by age presented in Section B of the resubmission did not suggest that this was an important short-term treatment effect modifier.  While the potential longer term survival benefits obtained as a result of TIS treatment would theoretically be less in an older population, it is uncertain that Australian patients will be materially older or have worse life expectancy than those in JULIET.  Furthermore, an </w:t>
            </w:r>
            <w:r w:rsidR="005233C6" w:rsidRPr="00B32CEF">
              <w:rPr>
                <w:rFonts w:ascii="Arial Narrow" w:hAnsi="Arial Narrow"/>
              </w:rPr>
              <w:t>redacted</w:t>
            </w:r>
            <w:r w:rsidRPr="00B32CEF">
              <w:rPr>
                <w:rFonts w:ascii="Arial Narrow" w:hAnsi="Arial Narrow"/>
              </w:rPr>
              <w:t xml:space="preserve"> is being proposed which will substantively address this unce</w:t>
            </w:r>
            <w:r w:rsidR="006753E4" w:rsidRPr="00B32CEF">
              <w:rPr>
                <w:rFonts w:ascii="Arial Narrow" w:hAnsi="Arial Narrow"/>
              </w:rPr>
              <w:t>rtainty.</w:t>
            </w:r>
            <w:r w:rsidRPr="00B32CEF">
              <w:rPr>
                <w:rFonts w:ascii="Arial Narrow" w:hAnsi="Arial Narrow"/>
              </w:rPr>
              <w:t xml:space="preserve"> </w:t>
            </w:r>
          </w:p>
        </w:tc>
      </w:tr>
      <w:tr w:rsidR="002C71D0" w14:paraId="005DE493" w14:textId="77777777" w:rsidTr="002C71D0">
        <w:tc>
          <w:tcPr>
            <w:tcW w:w="2405" w:type="dxa"/>
          </w:tcPr>
          <w:p w14:paraId="1056769B" w14:textId="77777777" w:rsidR="002C71D0" w:rsidRPr="00BF0C99" w:rsidRDefault="002C71D0" w:rsidP="002C71D0">
            <w:pPr>
              <w:pStyle w:val="Table"/>
              <w:rPr>
                <w:rFonts w:ascii="Arial Narrow" w:hAnsi="Arial Narrow"/>
              </w:rPr>
            </w:pPr>
            <w:r w:rsidRPr="00BF0C99">
              <w:rPr>
                <w:rFonts w:ascii="Arial Narrow" w:hAnsi="Arial Narrow"/>
              </w:rPr>
              <w:t>Oversimplified costing of adverse events</w:t>
            </w:r>
          </w:p>
        </w:tc>
        <w:tc>
          <w:tcPr>
            <w:tcW w:w="7223" w:type="dxa"/>
          </w:tcPr>
          <w:p w14:paraId="6010D23A" w14:textId="77777777" w:rsidR="002C71D0" w:rsidRPr="00B32CEF" w:rsidRDefault="002C71D0" w:rsidP="002C71D0">
            <w:pPr>
              <w:pStyle w:val="Table"/>
              <w:rPr>
                <w:rFonts w:ascii="Arial Narrow" w:hAnsi="Arial Narrow"/>
              </w:rPr>
            </w:pPr>
            <w:r w:rsidRPr="00B32CEF">
              <w:rPr>
                <w:rFonts w:ascii="Arial Narrow" w:hAnsi="Arial Narrow"/>
              </w:rPr>
              <w:t>A more comprehensive trial-based approach to the costing of adverse events has been implemented, which separately and discretely considers all reported Grade 3/4 events occurring at a frequency &lt;4% in either group.  This is considered an extremely conservative approach, as many of these events would be reported and managed concurrently, often within the context of the initial treatment episode.  However, this is balanced by the absence of any reliable information on longer</w:t>
            </w:r>
            <w:r w:rsidR="006753E4" w:rsidRPr="00B32CEF">
              <w:rPr>
                <w:rFonts w:ascii="Arial Narrow" w:hAnsi="Arial Narrow"/>
              </w:rPr>
              <w:t xml:space="preserve"> term adverse outcomes of TIS.</w:t>
            </w:r>
          </w:p>
        </w:tc>
      </w:tr>
      <w:tr w:rsidR="002C71D0" w14:paraId="3FB0F4EA" w14:textId="77777777" w:rsidTr="002C71D0">
        <w:tc>
          <w:tcPr>
            <w:tcW w:w="2405" w:type="dxa"/>
          </w:tcPr>
          <w:p w14:paraId="2D16854A" w14:textId="77777777" w:rsidR="002C71D0" w:rsidRPr="00BF0C99" w:rsidRDefault="002C71D0" w:rsidP="002C71D0">
            <w:pPr>
              <w:pStyle w:val="Table"/>
              <w:rPr>
                <w:rFonts w:ascii="Arial Narrow" w:hAnsi="Arial Narrow"/>
              </w:rPr>
            </w:pPr>
            <w:r w:rsidRPr="00BF0C99">
              <w:rPr>
                <w:rFonts w:ascii="Arial Narrow" w:hAnsi="Arial Narrow"/>
              </w:rPr>
              <w:t>Underestimation of IVIg use</w:t>
            </w:r>
          </w:p>
        </w:tc>
        <w:tc>
          <w:tcPr>
            <w:tcW w:w="7223" w:type="dxa"/>
          </w:tcPr>
          <w:p w14:paraId="54042FF7" w14:textId="5A957D27" w:rsidR="002C71D0" w:rsidRPr="00B32CEF" w:rsidRDefault="002C71D0" w:rsidP="002C71D0">
            <w:pPr>
              <w:pStyle w:val="Table"/>
              <w:rPr>
                <w:rFonts w:ascii="Arial Narrow" w:hAnsi="Arial Narrow"/>
              </w:rPr>
            </w:pPr>
            <w:r w:rsidRPr="00B32CEF">
              <w:rPr>
                <w:rFonts w:ascii="Arial Narrow" w:hAnsi="Arial Narrow"/>
              </w:rPr>
              <w:t xml:space="preserve">The assumed mean duration of IVIg use has been increased from </w:t>
            </w:r>
            <w:r w:rsidR="005233C6" w:rsidRPr="00B32CEF">
              <w:rPr>
                <w:rFonts w:ascii="Arial Narrow" w:hAnsi="Arial Narrow"/>
              </w:rPr>
              <w:t>redacted</w:t>
            </w:r>
            <w:r w:rsidR="00C8087C" w:rsidRPr="00B32CEF">
              <w:rPr>
                <w:rFonts w:ascii="Arial Narrow" w:hAnsi="Arial Narrow"/>
              </w:rPr>
              <w:t xml:space="preserve"> </w:t>
            </w:r>
            <w:r w:rsidRPr="00B32CEF">
              <w:rPr>
                <w:rFonts w:ascii="Arial Narrow" w:hAnsi="Arial Narrow"/>
              </w:rPr>
              <w:t xml:space="preserve">to 15 months in line with evolving clinical opinion and experience. Additional sensitivity analyses are </w:t>
            </w:r>
            <w:r w:rsidR="006753E4" w:rsidRPr="00B32CEF">
              <w:rPr>
                <w:rFonts w:ascii="Arial Narrow" w:hAnsi="Arial Narrow"/>
              </w:rPr>
              <w:t>also presented.</w:t>
            </w:r>
          </w:p>
        </w:tc>
      </w:tr>
      <w:tr w:rsidR="002C71D0" w14:paraId="30342A37" w14:textId="77777777" w:rsidTr="002C71D0">
        <w:tc>
          <w:tcPr>
            <w:tcW w:w="2405" w:type="dxa"/>
          </w:tcPr>
          <w:p w14:paraId="02B09B37" w14:textId="77777777" w:rsidR="002C71D0" w:rsidRPr="00BF0C99" w:rsidRDefault="002C71D0" w:rsidP="002C71D0">
            <w:pPr>
              <w:pStyle w:val="Table"/>
              <w:rPr>
                <w:rFonts w:ascii="Arial Narrow" w:hAnsi="Arial Narrow"/>
              </w:rPr>
            </w:pPr>
            <w:r w:rsidRPr="00BF0C99">
              <w:rPr>
                <w:rFonts w:ascii="Arial Narrow" w:hAnsi="Arial Narrow"/>
              </w:rPr>
              <w:lastRenderedPageBreak/>
              <w:t>Constant health state utility weights</w:t>
            </w:r>
          </w:p>
        </w:tc>
        <w:tc>
          <w:tcPr>
            <w:tcW w:w="7223" w:type="dxa"/>
          </w:tcPr>
          <w:p w14:paraId="4C3F372A" w14:textId="77777777" w:rsidR="002C71D0" w:rsidRPr="00BF0C99" w:rsidRDefault="002C71D0" w:rsidP="002C71D0">
            <w:pPr>
              <w:pStyle w:val="Table"/>
              <w:rPr>
                <w:rFonts w:ascii="Arial Narrow" w:hAnsi="Arial Narrow"/>
              </w:rPr>
            </w:pPr>
            <w:r w:rsidRPr="00BF0C99">
              <w:rPr>
                <w:rFonts w:ascii="Arial Narrow" w:hAnsi="Arial Narrow"/>
              </w:rPr>
              <w:t xml:space="preserve">A time-based reduction in health state utilities has been added into the evaluation, as previously described in the AGCR.  For the revised base case, this has been set at </w:t>
            </w:r>
            <w:r w:rsidRPr="004F7FEF">
              <w:rPr>
                <w:rFonts w:ascii="Arial Narrow" w:hAnsi="Arial Narrow"/>
              </w:rPr>
              <w:t>0.0005</w:t>
            </w:r>
            <w:r w:rsidRPr="00BF0C99">
              <w:rPr>
                <w:rFonts w:ascii="Arial Narrow" w:hAnsi="Arial Narrow"/>
              </w:rPr>
              <w:t xml:space="preserve"> per cycle, or approximately </w:t>
            </w:r>
            <w:r w:rsidRPr="004F7FEF">
              <w:rPr>
                <w:rFonts w:ascii="Arial Narrow" w:hAnsi="Arial Narrow"/>
              </w:rPr>
              <w:t>0.06</w:t>
            </w:r>
            <w:r w:rsidR="006753E4">
              <w:rPr>
                <w:rFonts w:ascii="Arial Narrow" w:hAnsi="Arial Narrow"/>
              </w:rPr>
              <w:t xml:space="preserve"> over 10 years.</w:t>
            </w:r>
          </w:p>
        </w:tc>
      </w:tr>
    </w:tbl>
    <w:p w14:paraId="5C44564C" w14:textId="77777777" w:rsidR="002C71D0" w:rsidRDefault="002C71D0" w:rsidP="00606379">
      <w:pPr>
        <w:spacing w:before="240" w:after="120"/>
      </w:pPr>
      <w:r>
        <w:t xml:space="preserve">The results of </w:t>
      </w:r>
      <w:r w:rsidRPr="00BF0C99">
        <w:t xml:space="preserve">discounted total and incremental costs, outcomes and </w:t>
      </w:r>
      <w:r>
        <w:t xml:space="preserve">incremental </w:t>
      </w:r>
      <w:r w:rsidRPr="00BF0C99">
        <w:t>cost-effectiveness ratios</w:t>
      </w:r>
      <w:r>
        <w:t xml:space="preserve"> (ICER)s</w:t>
      </w:r>
      <w:r w:rsidRPr="00BF0C99">
        <w:t xml:space="preserve"> for the revised evaluation are provided in Table</w:t>
      </w:r>
      <w:r>
        <w:t xml:space="preserve"> </w:t>
      </w:r>
      <w:r w:rsidR="00DF2A45">
        <w:t>10</w:t>
      </w:r>
      <w:r w:rsidR="006753E4">
        <w:t>.</w:t>
      </w:r>
    </w:p>
    <w:p w14:paraId="44AF850A" w14:textId="77777777" w:rsidR="002C71D0" w:rsidRDefault="002C71D0" w:rsidP="002C71D0">
      <w:pPr>
        <w:pStyle w:val="Caption"/>
      </w:pPr>
      <w:r>
        <w:t xml:space="preserve">Table </w:t>
      </w:r>
      <w:r w:rsidR="00DF2A45">
        <w:t>10</w:t>
      </w:r>
      <w:r>
        <w:t>: Summary of discounted incremental results</w:t>
      </w:r>
    </w:p>
    <w:tbl>
      <w:tblPr>
        <w:tblStyle w:val="Submissionstandard"/>
        <w:tblW w:w="9634" w:type="dxa"/>
        <w:tblLook w:val="04A0" w:firstRow="1" w:lastRow="0" w:firstColumn="1" w:lastColumn="0" w:noHBand="0" w:noVBand="1"/>
        <w:tblDescription w:val="Summary of discounted incremental results from the economic evaluation"/>
      </w:tblPr>
      <w:tblGrid>
        <w:gridCol w:w="2160"/>
        <w:gridCol w:w="2371"/>
        <w:gridCol w:w="2268"/>
        <w:gridCol w:w="2835"/>
      </w:tblGrid>
      <w:tr w:rsidR="00C8087C" w:rsidRPr="001546DF" w14:paraId="20C5267F" w14:textId="77777777" w:rsidTr="00313528">
        <w:trPr>
          <w:cnfStyle w:val="100000000000" w:firstRow="1" w:lastRow="0" w:firstColumn="0" w:lastColumn="0" w:oddVBand="0" w:evenVBand="0" w:oddHBand="0" w:evenHBand="0" w:firstRowFirstColumn="0" w:firstRowLastColumn="0" w:lastRowFirstColumn="0" w:lastRowLastColumn="0"/>
          <w:trHeight w:val="118"/>
          <w:tblHeader/>
        </w:trPr>
        <w:tc>
          <w:tcPr>
            <w:tcW w:w="2160" w:type="dxa"/>
            <w:shd w:val="clear" w:color="auto" w:fill="auto"/>
            <w:noWrap/>
            <w:hideMark/>
          </w:tcPr>
          <w:p w14:paraId="1C8FABE6" w14:textId="77777777" w:rsidR="00C8087C" w:rsidRPr="001546DF" w:rsidRDefault="00C8087C" w:rsidP="001827D7">
            <w:pPr>
              <w:keepNext/>
              <w:rPr>
                <w:rFonts w:ascii="Arial Narrow" w:hAnsi="Arial Narrow" w:cs="Calibri"/>
                <w:b w:val="0"/>
                <w:bCs/>
              </w:rPr>
            </w:pPr>
            <w:r w:rsidRPr="001546DF">
              <w:rPr>
                <w:rFonts w:ascii="Arial Narrow" w:hAnsi="Arial Narrow" w:cs="Calibri"/>
                <w:b w:val="0"/>
                <w:bCs/>
              </w:rPr>
              <w:t>Outcome</w:t>
            </w:r>
          </w:p>
        </w:tc>
        <w:tc>
          <w:tcPr>
            <w:tcW w:w="2371" w:type="dxa"/>
            <w:shd w:val="clear" w:color="auto" w:fill="auto"/>
            <w:noWrap/>
            <w:hideMark/>
          </w:tcPr>
          <w:p w14:paraId="4EC2532C" w14:textId="77777777" w:rsidR="00C8087C" w:rsidRPr="001546DF" w:rsidRDefault="00C8087C" w:rsidP="001827D7">
            <w:pPr>
              <w:keepNext/>
              <w:jc w:val="center"/>
              <w:rPr>
                <w:rFonts w:ascii="Arial Narrow" w:hAnsi="Arial Narrow" w:cs="Calibri"/>
                <w:b w:val="0"/>
                <w:bCs/>
              </w:rPr>
            </w:pPr>
            <w:r w:rsidRPr="001546DF">
              <w:rPr>
                <w:rFonts w:ascii="Arial Narrow" w:hAnsi="Arial Narrow" w:cs="Calibri"/>
                <w:b w:val="0"/>
                <w:bCs/>
              </w:rPr>
              <w:t>TIS</w:t>
            </w:r>
          </w:p>
        </w:tc>
        <w:tc>
          <w:tcPr>
            <w:tcW w:w="2268" w:type="dxa"/>
            <w:shd w:val="clear" w:color="auto" w:fill="auto"/>
            <w:noWrap/>
            <w:hideMark/>
          </w:tcPr>
          <w:p w14:paraId="0FFD96CE" w14:textId="77777777" w:rsidR="00C8087C" w:rsidRPr="001546DF" w:rsidRDefault="00C8087C" w:rsidP="001827D7">
            <w:pPr>
              <w:keepNext/>
              <w:jc w:val="center"/>
              <w:rPr>
                <w:rFonts w:ascii="Arial Narrow" w:hAnsi="Arial Narrow" w:cs="Calibri"/>
                <w:b w:val="0"/>
                <w:bCs/>
              </w:rPr>
            </w:pPr>
            <w:r w:rsidRPr="001546DF">
              <w:rPr>
                <w:rFonts w:ascii="Arial Narrow" w:hAnsi="Arial Narrow" w:cs="Calibri"/>
                <w:b w:val="0"/>
                <w:bCs/>
              </w:rPr>
              <w:t>SCR</w:t>
            </w:r>
          </w:p>
        </w:tc>
        <w:tc>
          <w:tcPr>
            <w:tcW w:w="2835" w:type="dxa"/>
            <w:shd w:val="clear" w:color="auto" w:fill="auto"/>
            <w:noWrap/>
            <w:hideMark/>
          </w:tcPr>
          <w:p w14:paraId="0E8F0BD2" w14:textId="77777777" w:rsidR="00C8087C" w:rsidRPr="001546DF" w:rsidRDefault="00C8087C" w:rsidP="001827D7">
            <w:pPr>
              <w:keepNext/>
              <w:jc w:val="center"/>
              <w:rPr>
                <w:rFonts w:ascii="Arial Narrow" w:hAnsi="Arial Narrow" w:cs="Calibri"/>
                <w:b w:val="0"/>
                <w:bCs/>
              </w:rPr>
            </w:pPr>
            <w:r w:rsidRPr="001546DF">
              <w:rPr>
                <w:rFonts w:ascii="Arial Narrow" w:hAnsi="Arial Narrow" w:cs="Calibri"/>
                <w:b w:val="0"/>
                <w:bCs/>
              </w:rPr>
              <w:t>Incremental</w:t>
            </w:r>
          </w:p>
        </w:tc>
      </w:tr>
      <w:tr w:rsidR="00C8087C" w:rsidRPr="002E1C91" w14:paraId="35BF96CB" w14:textId="77777777" w:rsidTr="001827D7">
        <w:trPr>
          <w:trHeight w:val="198"/>
        </w:trPr>
        <w:tc>
          <w:tcPr>
            <w:tcW w:w="2160" w:type="dxa"/>
            <w:noWrap/>
          </w:tcPr>
          <w:p w14:paraId="46629A3F" w14:textId="77777777" w:rsidR="00C8087C" w:rsidRPr="00BF0C99" w:rsidRDefault="00C8087C" w:rsidP="001827D7">
            <w:pPr>
              <w:pStyle w:val="Table"/>
              <w:keepNext/>
              <w:rPr>
                <w:rFonts w:ascii="Arial Narrow" w:hAnsi="Arial Narrow"/>
                <w:color w:val="000000"/>
              </w:rPr>
            </w:pPr>
            <w:r w:rsidRPr="00BF0C99">
              <w:rPr>
                <w:rFonts w:ascii="Arial Narrow" w:hAnsi="Arial Narrow"/>
              </w:rPr>
              <w:t>Median PFS (months)</w:t>
            </w:r>
          </w:p>
        </w:tc>
        <w:tc>
          <w:tcPr>
            <w:tcW w:w="2371" w:type="dxa"/>
            <w:noWrap/>
          </w:tcPr>
          <w:p w14:paraId="4FC440FF" w14:textId="77777777" w:rsidR="00C8087C" w:rsidRPr="00BF0C99" w:rsidRDefault="00C8087C" w:rsidP="001827D7">
            <w:pPr>
              <w:pStyle w:val="TableCentre"/>
              <w:keepNext/>
              <w:rPr>
                <w:rFonts w:ascii="Arial Narrow" w:hAnsi="Arial Narrow"/>
              </w:rPr>
            </w:pPr>
            <w:r w:rsidRPr="00BF0C99">
              <w:rPr>
                <w:rFonts w:ascii="Arial Narrow" w:hAnsi="Arial Narrow"/>
              </w:rPr>
              <w:t>4.000</w:t>
            </w:r>
          </w:p>
        </w:tc>
        <w:tc>
          <w:tcPr>
            <w:tcW w:w="2268" w:type="dxa"/>
            <w:noWrap/>
          </w:tcPr>
          <w:p w14:paraId="36FE55DF" w14:textId="77777777" w:rsidR="00C8087C" w:rsidRPr="00BF0C99" w:rsidRDefault="00C8087C" w:rsidP="001827D7">
            <w:pPr>
              <w:pStyle w:val="TableCentre"/>
              <w:keepNext/>
              <w:rPr>
                <w:rFonts w:ascii="Arial Narrow" w:hAnsi="Arial Narrow"/>
              </w:rPr>
            </w:pPr>
            <w:r w:rsidRPr="00BF0C99">
              <w:rPr>
                <w:rFonts w:ascii="Arial Narrow" w:hAnsi="Arial Narrow"/>
              </w:rPr>
              <w:t xml:space="preserve">4.000 </w:t>
            </w:r>
          </w:p>
        </w:tc>
        <w:tc>
          <w:tcPr>
            <w:tcW w:w="2835" w:type="dxa"/>
            <w:noWrap/>
          </w:tcPr>
          <w:p w14:paraId="563120AE" w14:textId="77777777" w:rsidR="00C8087C" w:rsidRPr="00BF0C99" w:rsidRDefault="00C8087C" w:rsidP="001827D7">
            <w:pPr>
              <w:pStyle w:val="TableCentre"/>
              <w:keepNext/>
              <w:rPr>
                <w:rFonts w:ascii="Arial Narrow" w:hAnsi="Arial Narrow"/>
              </w:rPr>
            </w:pPr>
            <w:r w:rsidRPr="00BF0C99">
              <w:rPr>
                <w:rFonts w:ascii="Arial Narrow" w:hAnsi="Arial Narrow"/>
              </w:rPr>
              <w:t>0.000</w:t>
            </w:r>
          </w:p>
        </w:tc>
      </w:tr>
      <w:tr w:rsidR="00C8087C" w:rsidRPr="002E1C91" w14:paraId="3B10CF9E" w14:textId="77777777" w:rsidTr="001827D7">
        <w:trPr>
          <w:trHeight w:val="198"/>
        </w:trPr>
        <w:tc>
          <w:tcPr>
            <w:tcW w:w="2160" w:type="dxa"/>
            <w:noWrap/>
          </w:tcPr>
          <w:p w14:paraId="1208AC96" w14:textId="77777777" w:rsidR="00C8087C" w:rsidRPr="00BF0C99" w:rsidRDefault="00C8087C" w:rsidP="001827D7">
            <w:pPr>
              <w:pStyle w:val="Table"/>
              <w:keepNext/>
              <w:rPr>
                <w:rFonts w:ascii="Arial Narrow" w:hAnsi="Arial Narrow"/>
                <w:color w:val="000000"/>
              </w:rPr>
            </w:pPr>
            <w:r w:rsidRPr="00BF0C99">
              <w:rPr>
                <w:rFonts w:ascii="Arial Narrow" w:hAnsi="Arial Narrow"/>
              </w:rPr>
              <w:t>Median OS (months)</w:t>
            </w:r>
          </w:p>
        </w:tc>
        <w:tc>
          <w:tcPr>
            <w:tcW w:w="2371" w:type="dxa"/>
            <w:noWrap/>
          </w:tcPr>
          <w:p w14:paraId="71D1AADD" w14:textId="77777777" w:rsidR="00C8087C" w:rsidRPr="00BF0C99" w:rsidRDefault="00C8087C" w:rsidP="001827D7">
            <w:pPr>
              <w:pStyle w:val="TableCentre"/>
              <w:keepNext/>
              <w:rPr>
                <w:rFonts w:ascii="Arial Narrow" w:hAnsi="Arial Narrow"/>
              </w:rPr>
            </w:pPr>
            <w:r w:rsidRPr="00BF0C99">
              <w:rPr>
                <w:rFonts w:ascii="Arial Narrow" w:hAnsi="Arial Narrow"/>
              </w:rPr>
              <w:t>8.000</w:t>
            </w:r>
          </w:p>
        </w:tc>
        <w:tc>
          <w:tcPr>
            <w:tcW w:w="2268" w:type="dxa"/>
            <w:noWrap/>
          </w:tcPr>
          <w:p w14:paraId="1394DF37" w14:textId="77777777" w:rsidR="00C8087C" w:rsidRPr="00BF0C99" w:rsidRDefault="00C8087C" w:rsidP="001827D7">
            <w:pPr>
              <w:pStyle w:val="TableCentre"/>
              <w:keepNext/>
              <w:rPr>
                <w:rFonts w:ascii="Arial Narrow" w:hAnsi="Arial Narrow"/>
              </w:rPr>
            </w:pPr>
            <w:r w:rsidRPr="00BF0C99">
              <w:rPr>
                <w:rFonts w:ascii="Arial Narrow" w:hAnsi="Arial Narrow"/>
              </w:rPr>
              <w:t xml:space="preserve">6.000  </w:t>
            </w:r>
          </w:p>
        </w:tc>
        <w:tc>
          <w:tcPr>
            <w:tcW w:w="2835" w:type="dxa"/>
            <w:noWrap/>
          </w:tcPr>
          <w:p w14:paraId="51440F6E" w14:textId="77777777" w:rsidR="00C8087C" w:rsidRPr="00BF0C99" w:rsidRDefault="00C8087C" w:rsidP="001827D7">
            <w:pPr>
              <w:pStyle w:val="TableCentre"/>
              <w:keepNext/>
              <w:rPr>
                <w:rFonts w:ascii="Arial Narrow" w:hAnsi="Arial Narrow"/>
              </w:rPr>
            </w:pPr>
            <w:r w:rsidRPr="00BF0C99">
              <w:rPr>
                <w:rFonts w:ascii="Arial Narrow" w:hAnsi="Arial Narrow"/>
              </w:rPr>
              <w:t>2.000</w:t>
            </w:r>
          </w:p>
        </w:tc>
      </w:tr>
      <w:tr w:rsidR="00C8087C" w:rsidRPr="00B32CEF" w14:paraId="240C2F47" w14:textId="77777777" w:rsidTr="001827D7">
        <w:trPr>
          <w:trHeight w:val="198"/>
        </w:trPr>
        <w:tc>
          <w:tcPr>
            <w:tcW w:w="2160" w:type="dxa"/>
            <w:noWrap/>
            <w:hideMark/>
          </w:tcPr>
          <w:p w14:paraId="0EF9C661" w14:textId="77777777" w:rsidR="00C8087C" w:rsidRPr="00B32CEF" w:rsidRDefault="00C8087C" w:rsidP="001827D7">
            <w:pPr>
              <w:pStyle w:val="Table"/>
              <w:keepNext/>
              <w:rPr>
                <w:rFonts w:ascii="Arial Narrow" w:hAnsi="Arial Narrow"/>
                <w:color w:val="000000"/>
              </w:rPr>
            </w:pPr>
            <w:r w:rsidRPr="00B32CEF">
              <w:rPr>
                <w:rFonts w:ascii="Arial Narrow" w:hAnsi="Arial Narrow"/>
                <w:color w:val="000000"/>
              </w:rPr>
              <w:t>Discounted Costs</w:t>
            </w:r>
          </w:p>
        </w:tc>
        <w:tc>
          <w:tcPr>
            <w:tcW w:w="2371" w:type="dxa"/>
            <w:noWrap/>
            <w:hideMark/>
          </w:tcPr>
          <w:p w14:paraId="1F3C32E2" w14:textId="0289EB5B" w:rsidR="00C8087C" w:rsidRPr="00B32CEF" w:rsidRDefault="005233C6" w:rsidP="001827D7">
            <w:pPr>
              <w:pStyle w:val="TableCentre"/>
              <w:keepNext/>
              <w:rPr>
                <w:rFonts w:ascii="Arial Narrow" w:hAnsi="Arial Narrow"/>
                <w:color w:val="000000"/>
              </w:rPr>
            </w:pPr>
            <w:r w:rsidRPr="00B32CEF">
              <w:rPr>
                <w:rFonts w:ascii="Arial Narrow" w:hAnsi="Arial Narrow"/>
              </w:rPr>
              <w:t>$redacted</w:t>
            </w:r>
          </w:p>
        </w:tc>
        <w:tc>
          <w:tcPr>
            <w:tcW w:w="2268" w:type="dxa"/>
            <w:noWrap/>
            <w:hideMark/>
          </w:tcPr>
          <w:p w14:paraId="6378D20E" w14:textId="6824275F" w:rsidR="00C8087C" w:rsidRPr="00B32CEF" w:rsidRDefault="005233C6" w:rsidP="001827D7">
            <w:pPr>
              <w:pStyle w:val="TableCentre"/>
              <w:keepNext/>
              <w:rPr>
                <w:rFonts w:ascii="Arial Narrow" w:hAnsi="Arial Narrow"/>
                <w:color w:val="000000"/>
              </w:rPr>
            </w:pPr>
            <w:r w:rsidRPr="00B32CEF">
              <w:rPr>
                <w:rFonts w:ascii="Arial Narrow" w:hAnsi="Arial Narrow"/>
              </w:rPr>
              <w:t>$redacted</w:t>
            </w:r>
          </w:p>
        </w:tc>
        <w:tc>
          <w:tcPr>
            <w:tcW w:w="2835" w:type="dxa"/>
            <w:noWrap/>
            <w:hideMark/>
          </w:tcPr>
          <w:p w14:paraId="2D1F47A4" w14:textId="12DC8D8D" w:rsidR="00C8087C" w:rsidRPr="00B32CEF" w:rsidRDefault="005233C6" w:rsidP="001827D7">
            <w:pPr>
              <w:pStyle w:val="TableCentre"/>
              <w:keepNext/>
              <w:rPr>
                <w:rFonts w:ascii="Arial Narrow" w:hAnsi="Arial Narrow"/>
                <w:color w:val="000000"/>
              </w:rPr>
            </w:pPr>
            <w:r w:rsidRPr="00B32CEF">
              <w:rPr>
                <w:rFonts w:ascii="Arial Narrow" w:hAnsi="Arial Narrow"/>
              </w:rPr>
              <w:t>$redacted</w:t>
            </w:r>
          </w:p>
        </w:tc>
      </w:tr>
      <w:tr w:rsidR="00C8087C" w:rsidRPr="00B32CEF" w14:paraId="3C8B59C6" w14:textId="77777777" w:rsidTr="001827D7">
        <w:trPr>
          <w:trHeight w:val="198"/>
        </w:trPr>
        <w:tc>
          <w:tcPr>
            <w:tcW w:w="2160" w:type="dxa"/>
            <w:noWrap/>
            <w:hideMark/>
          </w:tcPr>
          <w:p w14:paraId="027E8253" w14:textId="77777777" w:rsidR="00C8087C" w:rsidRPr="00B32CEF" w:rsidRDefault="00C8087C" w:rsidP="001827D7">
            <w:pPr>
              <w:pStyle w:val="Table"/>
              <w:keepNext/>
              <w:rPr>
                <w:rFonts w:ascii="Arial Narrow" w:hAnsi="Arial Narrow"/>
                <w:color w:val="000000"/>
              </w:rPr>
            </w:pPr>
            <w:r w:rsidRPr="00B32CEF">
              <w:rPr>
                <w:rFonts w:ascii="Arial Narrow" w:hAnsi="Arial Narrow"/>
                <w:color w:val="000000"/>
              </w:rPr>
              <w:t>Discounted Life Years</w:t>
            </w:r>
          </w:p>
        </w:tc>
        <w:tc>
          <w:tcPr>
            <w:tcW w:w="2371" w:type="dxa"/>
            <w:noWrap/>
            <w:hideMark/>
          </w:tcPr>
          <w:p w14:paraId="4A5A6139" w14:textId="77777777" w:rsidR="00C8087C" w:rsidRPr="00B32CEF" w:rsidRDefault="00C8087C" w:rsidP="001827D7">
            <w:pPr>
              <w:pStyle w:val="TableCentre"/>
              <w:keepNext/>
              <w:rPr>
                <w:rFonts w:ascii="Arial Narrow" w:hAnsi="Arial Narrow"/>
              </w:rPr>
            </w:pPr>
            <w:r w:rsidRPr="00B32CEF">
              <w:rPr>
                <w:rFonts w:ascii="Arial Narrow" w:hAnsi="Arial Narrow"/>
              </w:rPr>
              <w:t>4.007</w:t>
            </w:r>
          </w:p>
        </w:tc>
        <w:tc>
          <w:tcPr>
            <w:tcW w:w="2268" w:type="dxa"/>
            <w:noWrap/>
            <w:hideMark/>
          </w:tcPr>
          <w:p w14:paraId="0850B4F5" w14:textId="77777777" w:rsidR="00C8087C" w:rsidRPr="00B32CEF" w:rsidRDefault="00C8087C" w:rsidP="001827D7">
            <w:pPr>
              <w:pStyle w:val="TableCentre"/>
              <w:keepNext/>
              <w:rPr>
                <w:rFonts w:ascii="Arial Narrow" w:hAnsi="Arial Narrow"/>
              </w:rPr>
            </w:pPr>
            <w:r w:rsidRPr="00B32CEF">
              <w:rPr>
                <w:rFonts w:ascii="Arial Narrow" w:hAnsi="Arial Narrow"/>
              </w:rPr>
              <w:t>2.538</w:t>
            </w:r>
          </w:p>
        </w:tc>
        <w:tc>
          <w:tcPr>
            <w:tcW w:w="2835" w:type="dxa"/>
            <w:noWrap/>
            <w:hideMark/>
          </w:tcPr>
          <w:p w14:paraId="1B3ADF0B" w14:textId="77777777" w:rsidR="00C8087C" w:rsidRPr="00B32CEF" w:rsidRDefault="00C8087C" w:rsidP="001827D7">
            <w:pPr>
              <w:pStyle w:val="TableCentre"/>
              <w:keepNext/>
              <w:rPr>
                <w:rFonts w:ascii="Arial Narrow" w:hAnsi="Arial Narrow"/>
              </w:rPr>
            </w:pPr>
            <w:r w:rsidRPr="00B32CEF">
              <w:rPr>
                <w:rFonts w:ascii="Arial Narrow" w:hAnsi="Arial Narrow"/>
              </w:rPr>
              <w:t>1.469</w:t>
            </w:r>
          </w:p>
        </w:tc>
      </w:tr>
      <w:tr w:rsidR="00C8087C" w:rsidRPr="00B32CEF" w14:paraId="27260465" w14:textId="77777777" w:rsidTr="001827D7">
        <w:trPr>
          <w:trHeight w:val="198"/>
        </w:trPr>
        <w:tc>
          <w:tcPr>
            <w:tcW w:w="2160" w:type="dxa"/>
            <w:noWrap/>
            <w:hideMark/>
          </w:tcPr>
          <w:p w14:paraId="48FFE449" w14:textId="77777777" w:rsidR="00C8087C" w:rsidRPr="00B32CEF" w:rsidRDefault="00C8087C" w:rsidP="001827D7">
            <w:pPr>
              <w:pStyle w:val="Table"/>
              <w:keepNext/>
              <w:rPr>
                <w:rFonts w:ascii="Arial Narrow" w:hAnsi="Arial Narrow"/>
                <w:color w:val="000000"/>
              </w:rPr>
            </w:pPr>
            <w:r w:rsidRPr="00B32CEF">
              <w:rPr>
                <w:rFonts w:ascii="Arial Narrow" w:hAnsi="Arial Narrow"/>
                <w:color w:val="000000"/>
              </w:rPr>
              <w:t>Discounted QALYs</w:t>
            </w:r>
          </w:p>
        </w:tc>
        <w:tc>
          <w:tcPr>
            <w:tcW w:w="2371" w:type="dxa"/>
            <w:noWrap/>
            <w:hideMark/>
          </w:tcPr>
          <w:p w14:paraId="1BE598D1" w14:textId="77777777" w:rsidR="00C8087C" w:rsidRPr="00B32CEF" w:rsidRDefault="00C8087C" w:rsidP="001827D7">
            <w:pPr>
              <w:pStyle w:val="TableCentre"/>
              <w:keepNext/>
              <w:rPr>
                <w:rFonts w:ascii="Arial Narrow" w:hAnsi="Arial Narrow"/>
              </w:rPr>
            </w:pPr>
            <w:r w:rsidRPr="00B32CEF">
              <w:rPr>
                <w:rFonts w:ascii="Arial Narrow" w:hAnsi="Arial Narrow"/>
              </w:rPr>
              <w:t>3.046</w:t>
            </w:r>
          </w:p>
        </w:tc>
        <w:tc>
          <w:tcPr>
            <w:tcW w:w="2268" w:type="dxa"/>
            <w:noWrap/>
            <w:hideMark/>
          </w:tcPr>
          <w:p w14:paraId="52244AAA" w14:textId="77777777" w:rsidR="00C8087C" w:rsidRPr="00B32CEF" w:rsidRDefault="00C8087C" w:rsidP="001827D7">
            <w:pPr>
              <w:pStyle w:val="TableCentre"/>
              <w:keepNext/>
              <w:rPr>
                <w:rFonts w:ascii="Arial Narrow" w:hAnsi="Arial Narrow"/>
              </w:rPr>
            </w:pPr>
            <w:r w:rsidRPr="00B32CEF">
              <w:rPr>
                <w:rFonts w:ascii="Arial Narrow" w:hAnsi="Arial Narrow"/>
              </w:rPr>
              <w:t>1.768</w:t>
            </w:r>
          </w:p>
        </w:tc>
        <w:tc>
          <w:tcPr>
            <w:tcW w:w="2835" w:type="dxa"/>
            <w:noWrap/>
            <w:hideMark/>
          </w:tcPr>
          <w:p w14:paraId="55513333" w14:textId="77777777" w:rsidR="00C8087C" w:rsidRPr="00B32CEF" w:rsidRDefault="00C8087C" w:rsidP="001827D7">
            <w:pPr>
              <w:pStyle w:val="TableCentre"/>
              <w:keepNext/>
              <w:rPr>
                <w:rFonts w:ascii="Arial Narrow" w:hAnsi="Arial Narrow"/>
              </w:rPr>
            </w:pPr>
            <w:r w:rsidRPr="00B32CEF">
              <w:rPr>
                <w:rFonts w:ascii="Arial Narrow" w:hAnsi="Arial Narrow"/>
              </w:rPr>
              <w:t>1.278</w:t>
            </w:r>
          </w:p>
        </w:tc>
      </w:tr>
      <w:tr w:rsidR="00C8087C" w:rsidRPr="00B32CEF" w14:paraId="5E328F65" w14:textId="77777777" w:rsidTr="001827D7">
        <w:trPr>
          <w:trHeight w:val="198"/>
        </w:trPr>
        <w:tc>
          <w:tcPr>
            <w:tcW w:w="2160" w:type="dxa"/>
            <w:noWrap/>
            <w:hideMark/>
          </w:tcPr>
          <w:p w14:paraId="78835A80" w14:textId="77777777" w:rsidR="00C8087C" w:rsidRPr="00B32CEF" w:rsidRDefault="00C8087C" w:rsidP="001827D7">
            <w:pPr>
              <w:pStyle w:val="Table"/>
              <w:keepNext/>
              <w:rPr>
                <w:rFonts w:ascii="Arial Narrow" w:hAnsi="Arial Narrow"/>
                <w:color w:val="000000"/>
              </w:rPr>
            </w:pPr>
            <w:r w:rsidRPr="00B32CEF">
              <w:rPr>
                <w:rFonts w:ascii="Arial Narrow" w:hAnsi="Arial Narrow"/>
                <w:color w:val="000000"/>
              </w:rPr>
              <w:t>Discounted Cost/LY</w:t>
            </w:r>
          </w:p>
        </w:tc>
        <w:tc>
          <w:tcPr>
            <w:tcW w:w="4639" w:type="dxa"/>
            <w:gridSpan w:val="2"/>
            <w:vMerge w:val="restart"/>
            <w:noWrap/>
            <w:hideMark/>
          </w:tcPr>
          <w:p w14:paraId="6233C919" w14:textId="77777777" w:rsidR="00C8087C" w:rsidRPr="00B32CEF" w:rsidRDefault="00C8087C" w:rsidP="001827D7">
            <w:pPr>
              <w:pStyle w:val="TableCentre"/>
              <w:keepNext/>
              <w:rPr>
                <w:rFonts w:ascii="Arial Narrow" w:hAnsi="Arial Narrow"/>
                <w:color w:val="000000"/>
              </w:rPr>
            </w:pPr>
          </w:p>
          <w:p w14:paraId="77B6B3CC" w14:textId="77777777" w:rsidR="00C8087C" w:rsidRPr="00B32CEF" w:rsidRDefault="00C8087C" w:rsidP="001827D7">
            <w:pPr>
              <w:pStyle w:val="TableCentre"/>
              <w:keepNext/>
              <w:rPr>
                <w:rFonts w:ascii="Arial Narrow" w:hAnsi="Arial Narrow"/>
                <w:color w:val="000000"/>
              </w:rPr>
            </w:pPr>
          </w:p>
        </w:tc>
        <w:tc>
          <w:tcPr>
            <w:tcW w:w="2835" w:type="dxa"/>
            <w:noWrap/>
            <w:hideMark/>
          </w:tcPr>
          <w:p w14:paraId="371C92A5" w14:textId="1DF7A36E" w:rsidR="00C8087C" w:rsidRPr="00B32CEF" w:rsidRDefault="005233C6" w:rsidP="001827D7">
            <w:pPr>
              <w:pStyle w:val="TableCentre"/>
              <w:keepNext/>
              <w:rPr>
                <w:rFonts w:ascii="Arial Narrow" w:hAnsi="Arial Narrow"/>
                <w:color w:val="000000"/>
              </w:rPr>
            </w:pPr>
            <w:r w:rsidRPr="00B32CEF">
              <w:rPr>
                <w:rFonts w:ascii="Arial Narrow" w:hAnsi="Arial Narrow"/>
              </w:rPr>
              <w:t>$redacted</w:t>
            </w:r>
          </w:p>
        </w:tc>
      </w:tr>
      <w:tr w:rsidR="00C8087C" w:rsidRPr="00B32CEF" w14:paraId="49811022" w14:textId="77777777" w:rsidTr="001827D7">
        <w:trPr>
          <w:trHeight w:val="198"/>
        </w:trPr>
        <w:tc>
          <w:tcPr>
            <w:tcW w:w="2160" w:type="dxa"/>
            <w:noWrap/>
            <w:hideMark/>
          </w:tcPr>
          <w:p w14:paraId="54B3EC28" w14:textId="77777777" w:rsidR="00C8087C" w:rsidRPr="00B32CEF" w:rsidRDefault="00C8087C" w:rsidP="001827D7">
            <w:pPr>
              <w:pStyle w:val="Table"/>
              <w:keepNext/>
              <w:rPr>
                <w:rFonts w:ascii="Arial Narrow" w:hAnsi="Arial Narrow"/>
                <w:color w:val="000000"/>
              </w:rPr>
            </w:pPr>
            <w:r w:rsidRPr="00B32CEF">
              <w:rPr>
                <w:rFonts w:ascii="Arial Narrow" w:hAnsi="Arial Narrow"/>
                <w:color w:val="000000"/>
              </w:rPr>
              <w:t>Discounted Cost/QALY</w:t>
            </w:r>
          </w:p>
        </w:tc>
        <w:tc>
          <w:tcPr>
            <w:tcW w:w="4639" w:type="dxa"/>
            <w:gridSpan w:val="2"/>
            <w:vMerge/>
            <w:noWrap/>
            <w:hideMark/>
          </w:tcPr>
          <w:p w14:paraId="1577ABE7" w14:textId="77777777" w:rsidR="00C8087C" w:rsidRPr="00B32CEF" w:rsidRDefault="00C8087C" w:rsidP="001827D7">
            <w:pPr>
              <w:pStyle w:val="TableCentre"/>
              <w:keepNext/>
              <w:rPr>
                <w:rFonts w:ascii="Arial Narrow" w:hAnsi="Arial Narrow"/>
                <w:color w:val="000000"/>
              </w:rPr>
            </w:pPr>
          </w:p>
        </w:tc>
        <w:tc>
          <w:tcPr>
            <w:tcW w:w="2835" w:type="dxa"/>
            <w:noWrap/>
            <w:hideMark/>
          </w:tcPr>
          <w:p w14:paraId="2B0A6994" w14:textId="72A8FD4A" w:rsidR="00C8087C" w:rsidRPr="00B32CEF" w:rsidRDefault="005233C6" w:rsidP="001827D7">
            <w:pPr>
              <w:pStyle w:val="TableCentre"/>
              <w:keepNext/>
              <w:rPr>
                <w:rFonts w:ascii="Arial Narrow" w:hAnsi="Arial Narrow"/>
                <w:color w:val="000000"/>
              </w:rPr>
            </w:pPr>
            <w:r w:rsidRPr="00B32CEF">
              <w:rPr>
                <w:rFonts w:ascii="Arial Narrow" w:hAnsi="Arial Narrow"/>
              </w:rPr>
              <w:t>$redacted</w:t>
            </w:r>
          </w:p>
        </w:tc>
      </w:tr>
    </w:tbl>
    <w:p w14:paraId="084ED320" w14:textId="6C1D591F" w:rsidR="002C71D0" w:rsidRPr="00B32CEF" w:rsidRDefault="002C71D0" w:rsidP="00606379">
      <w:pPr>
        <w:spacing w:before="240"/>
      </w:pPr>
      <w:r w:rsidRPr="00B32CEF">
        <w:t>The Critique’s one-way sensitivity analyses indicated:</w:t>
      </w:r>
    </w:p>
    <w:p w14:paraId="530625A6" w14:textId="37BBC626" w:rsidR="002C71D0" w:rsidRPr="00B32CEF" w:rsidRDefault="002C71D0" w:rsidP="002C71D0">
      <w:pPr>
        <w:pStyle w:val="ListParagraph"/>
        <w:numPr>
          <w:ilvl w:val="0"/>
          <w:numId w:val="32"/>
        </w:numPr>
      </w:pPr>
      <w:r w:rsidRPr="00B32CEF">
        <w:t>for varying the method for parametric extrapolation the ICER ranged from SCR dominant (exponential for all survival curves) to $</w:t>
      </w:r>
      <w:r w:rsidR="005233C6" w:rsidRPr="00B32CEF">
        <w:rPr>
          <w:b/>
        </w:rPr>
        <w:t>redacted</w:t>
      </w:r>
      <w:r w:rsidR="005233C6" w:rsidRPr="00B32CEF">
        <w:t xml:space="preserve"> </w:t>
      </w:r>
      <w:r w:rsidRPr="00B32CEF">
        <w:t>(lognormal for TIS; Gamma for SCR);</w:t>
      </w:r>
    </w:p>
    <w:p w14:paraId="2DDF45E5" w14:textId="7856B528" w:rsidR="002C71D0" w:rsidRPr="00B32CEF" w:rsidRDefault="002C71D0" w:rsidP="002C71D0">
      <w:pPr>
        <w:pStyle w:val="ListParagraph"/>
        <w:numPr>
          <w:ilvl w:val="0"/>
          <w:numId w:val="32"/>
        </w:numPr>
      </w:pPr>
      <w:r w:rsidRPr="00B32CEF">
        <w:t>for varying the start age in model the ICER ranged from $</w:t>
      </w:r>
      <w:r w:rsidR="005233C6" w:rsidRPr="00B32CEF">
        <w:rPr>
          <w:b/>
        </w:rPr>
        <w:t>redacted</w:t>
      </w:r>
      <w:r w:rsidR="005233C6" w:rsidRPr="00B32CEF">
        <w:t xml:space="preserve"> </w:t>
      </w:r>
      <w:r w:rsidRPr="00B32CEF">
        <w:t>(model age: 60</w:t>
      </w:r>
      <w:r w:rsidR="007209D8" w:rsidRPr="00B32CEF">
        <w:t> </w:t>
      </w:r>
      <w:r w:rsidRPr="00B32CEF">
        <w:t>years) to $</w:t>
      </w:r>
      <w:r w:rsidR="005233C6" w:rsidRPr="00B32CEF">
        <w:rPr>
          <w:b/>
        </w:rPr>
        <w:t>redacted</w:t>
      </w:r>
      <w:r w:rsidR="005233C6" w:rsidRPr="00B32CEF">
        <w:t xml:space="preserve"> </w:t>
      </w:r>
      <w:r w:rsidRPr="00B32CEF">
        <w:t>(model age: 70 years).</w:t>
      </w:r>
    </w:p>
    <w:p w14:paraId="69892DF1" w14:textId="1AE504DE" w:rsidR="002C71D0" w:rsidRPr="00B32CEF" w:rsidRDefault="002C71D0" w:rsidP="006753E4">
      <w:pPr>
        <w:spacing w:after="240"/>
      </w:pPr>
      <w:r w:rsidRPr="00B32CEF">
        <w:t xml:space="preserve">Using the lognormal curves for all parametric extrapolation, the Critique’s multivariate sensitivity analyses indicated the ICER ranged from </w:t>
      </w:r>
      <w:r w:rsidR="00C8087C" w:rsidRPr="00B32CEF">
        <w:t>$</w:t>
      </w:r>
      <w:r w:rsidR="005233C6" w:rsidRPr="00B32CEF">
        <w:rPr>
          <w:b/>
        </w:rPr>
        <w:t>redacted</w:t>
      </w:r>
      <w:r w:rsidR="005233C6" w:rsidRPr="00B32CEF">
        <w:t xml:space="preserve"> </w:t>
      </w:r>
      <w:r w:rsidR="00C8087C" w:rsidRPr="00B32CEF">
        <w:t>(TIS price: $</w:t>
      </w:r>
      <w:r w:rsidR="005233C6" w:rsidRPr="00B32CEF">
        <w:rPr>
          <w:b/>
        </w:rPr>
        <w:t>redacted</w:t>
      </w:r>
      <w:r w:rsidR="00C8087C" w:rsidRPr="00B32CEF">
        <w:t>) to $</w:t>
      </w:r>
      <w:r w:rsidR="005233C6" w:rsidRPr="00B32CEF">
        <w:rPr>
          <w:b/>
        </w:rPr>
        <w:t>redacted</w:t>
      </w:r>
      <w:r w:rsidR="005233C6" w:rsidRPr="00B32CEF">
        <w:t xml:space="preserve"> </w:t>
      </w:r>
      <w:r w:rsidRPr="00B32CEF">
        <w:t>(start age: 65 years).</w:t>
      </w:r>
    </w:p>
    <w:p w14:paraId="4EB468E4" w14:textId="77777777" w:rsidR="002C71D0" w:rsidRPr="00B32CEF" w:rsidRDefault="002C71D0" w:rsidP="006753E4">
      <w:pPr>
        <w:spacing w:after="240"/>
      </w:pPr>
      <w:r w:rsidRPr="00B32CEF">
        <w:t xml:space="preserve">In summary, the Critique stated that the resubmission’s economic evaluation based on a naïve comparison has substantial evidentiary problems that lead to high economic uncertainty and at times illogical results. Acknowledging the strong limitations of the clinical evidence, it appears likely that the ICER is extremely underestimated in the </w:t>
      </w:r>
      <w:r w:rsidR="006753E4" w:rsidRPr="00B32CEF">
        <w:t>resubmission.</w:t>
      </w:r>
    </w:p>
    <w:p w14:paraId="7A28D3B5" w14:textId="77777777" w:rsidR="002C71D0" w:rsidRPr="00B32CEF" w:rsidRDefault="002C71D0" w:rsidP="002C71D0">
      <w:pPr>
        <w:jc w:val="both"/>
      </w:pPr>
      <w:r w:rsidRPr="00B32CEF">
        <w:t>In the Pre-ESC response, the applicant provided an updated economic model for TIS, with the following changes applied to the re-application base case:</w:t>
      </w:r>
    </w:p>
    <w:p w14:paraId="0B4EC1A4" w14:textId="77777777" w:rsidR="002C71D0" w:rsidRPr="00B32CEF" w:rsidRDefault="002C71D0" w:rsidP="002C71D0">
      <w:pPr>
        <w:pStyle w:val="ListParagraph"/>
        <w:numPr>
          <w:ilvl w:val="0"/>
          <w:numId w:val="34"/>
        </w:numPr>
        <w:ind w:left="284" w:hanging="284"/>
        <w:jc w:val="both"/>
      </w:pPr>
      <w:r w:rsidRPr="00B32CEF">
        <w:t>The results from the December 2018 data-cut of JULIET were applied to the model (compared to May 2018 in the re-application).</w:t>
      </w:r>
    </w:p>
    <w:p w14:paraId="67675FDB" w14:textId="77777777" w:rsidR="002C71D0" w:rsidRPr="00B32CEF" w:rsidRDefault="002C71D0" w:rsidP="002C71D0">
      <w:pPr>
        <w:pStyle w:val="ListParagraph"/>
        <w:numPr>
          <w:ilvl w:val="0"/>
          <w:numId w:val="34"/>
        </w:numPr>
        <w:ind w:left="284" w:hanging="284"/>
        <w:jc w:val="both"/>
      </w:pPr>
      <w:r w:rsidRPr="00B32CEF">
        <w:t>The PFS and OS extrapolation is forced from cycle 24 instead of cycle 20, reflecting the additional observed data available.</w:t>
      </w:r>
    </w:p>
    <w:p w14:paraId="03D54601" w14:textId="77777777" w:rsidR="002C71D0" w:rsidRPr="00B32CEF" w:rsidRDefault="002C71D0" w:rsidP="002C71D0">
      <w:pPr>
        <w:pStyle w:val="ListParagraph"/>
        <w:numPr>
          <w:ilvl w:val="0"/>
          <w:numId w:val="34"/>
        </w:numPr>
        <w:ind w:left="284" w:hanging="284"/>
        <w:jc w:val="both"/>
      </w:pPr>
      <w:r w:rsidRPr="00B32CEF">
        <w:t>The TIS PFS and OS extrapolation models changed from Spline 2 to Spline 1 and Spline 3, as these were the best fitting models to the updated data cut.</w:t>
      </w:r>
    </w:p>
    <w:p w14:paraId="27EB47FE" w14:textId="67FB31B6" w:rsidR="002C71D0" w:rsidRPr="00B32CEF" w:rsidRDefault="002C71D0" w:rsidP="002C71D0">
      <w:pPr>
        <w:pStyle w:val="ListParagraph"/>
        <w:numPr>
          <w:ilvl w:val="0"/>
          <w:numId w:val="34"/>
        </w:numPr>
        <w:ind w:left="284" w:hanging="284"/>
        <w:jc w:val="both"/>
      </w:pPr>
      <w:r w:rsidRPr="00B32CEF">
        <w:t>The price of TIS was reduced from $</w:t>
      </w:r>
      <w:r w:rsidR="005233C6" w:rsidRPr="00B32CEF">
        <w:rPr>
          <w:b/>
        </w:rPr>
        <w:t>redacted</w:t>
      </w:r>
      <w:r w:rsidR="005233C6" w:rsidRPr="00B32CEF">
        <w:t xml:space="preserve"> </w:t>
      </w:r>
      <w:r w:rsidR="00C8087C" w:rsidRPr="00B32CEF">
        <w:t>to $</w:t>
      </w:r>
      <w:r w:rsidR="005233C6" w:rsidRPr="00B32CEF">
        <w:rPr>
          <w:b/>
        </w:rPr>
        <w:t>redacted</w:t>
      </w:r>
      <w:r w:rsidRPr="00B32CEF">
        <w:t>.</w:t>
      </w:r>
    </w:p>
    <w:p w14:paraId="08359486" w14:textId="77777777" w:rsidR="002C71D0" w:rsidRPr="006753E4" w:rsidRDefault="002C71D0" w:rsidP="006753E4">
      <w:pPr>
        <w:pStyle w:val="ListParagraph"/>
        <w:numPr>
          <w:ilvl w:val="0"/>
          <w:numId w:val="34"/>
        </w:numPr>
        <w:spacing w:after="240"/>
        <w:ind w:left="284" w:hanging="284"/>
        <w:jc w:val="both"/>
      </w:pPr>
      <w:r w:rsidRPr="00C525CB">
        <w:t>No changes were made to th</w:t>
      </w:r>
      <w:r w:rsidR="00581FA4">
        <w:t>e SCR</w:t>
      </w:r>
      <w:r w:rsidRPr="00C525CB">
        <w:t xml:space="preserve"> arm, other than forcing PFS and OS extrapolation from cycle 24 instead of cycle 20.</w:t>
      </w:r>
    </w:p>
    <w:p w14:paraId="0A8F8378" w14:textId="77777777" w:rsidR="002C71D0" w:rsidRPr="00C525CB" w:rsidRDefault="002C71D0" w:rsidP="00606379">
      <w:pPr>
        <w:spacing w:after="120"/>
        <w:jc w:val="both"/>
      </w:pPr>
      <w:r w:rsidRPr="00C525CB">
        <w:t xml:space="preserve">The revised base case ICER per QALY is presented in Table </w:t>
      </w:r>
      <w:r w:rsidR="00DF2A45">
        <w:t>11</w:t>
      </w:r>
      <w:r w:rsidRPr="00C525CB">
        <w:t>.</w:t>
      </w:r>
    </w:p>
    <w:p w14:paraId="3EB33B35" w14:textId="77777777" w:rsidR="002C71D0" w:rsidRPr="006753E4" w:rsidRDefault="002C71D0" w:rsidP="00606379">
      <w:pPr>
        <w:pStyle w:val="Caption1"/>
        <w:spacing w:after="0"/>
        <w:rPr>
          <w:rFonts w:cs="Arial"/>
          <w:lang w:val="en-AU"/>
        </w:rPr>
      </w:pPr>
      <w:r w:rsidRPr="006753E4">
        <w:rPr>
          <w:rFonts w:cs="Arial"/>
          <w:lang w:val="en-AU"/>
        </w:rPr>
        <w:t xml:space="preserve">Table </w:t>
      </w:r>
      <w:r w:rsidR="00DF2A45">
        <w:rPr>
          <w:rFonts w:cs="Arial"/>
          <w:lang w:val="en-AU"/>
        </w:rPr>
        <w:t>11</w:t>
      </w:r>
      <w:r w:rsidR="00855EF1">
        <w:rPr>
          <w:rFonts w:cs="Arial"/>
          <w:lang w:val="en-AU"/>
        </w:rPr>
        <w:tab/>
        <w:t>Results of the revised economic evaluation</w:t>
      </w:r>
    </w:p>
    <w:tbl>
      <w:tblPr>
        <w:tblStyle w:val="TableGrid2"/>
        <w:tblW w:w="5001" w:type="pct"/>
        <w:tblLayout w:type="fixed"/>
        <w:tblLook w:val="04A0" w:firstRow="1" w:lastRow="0" w:firstColumn="1" w:lastColumn="0" w:noHBand="0" w:noVBand="1"/>
        <w:tblDescription w:val="Results of the revised economic evaluation&#10;&#10;"/>
      </w:tblPr>
      <w:tblGrid>
        <w:gridCol w:w="2761"/>
        <w:gridCol w:w="1964"/>
        <w:gridCol w:w="1970"/>
        <w:gridCol w:w="2323"/>
      </w:tblGrid>
      <w:tr w:rsidR="00F352C0" w:rsidRPr="0079129A" w14:paraId="4119263C" w14:textId="77777777" w:rsidTr="007D5A4F">
        <w:trPr>
          <w:tblHeader/>
        </w:trPr>
        <w:tc>
          <w:tcPr>
            <w:tcW w:w="1531" w:type="pct"/>
            <w:noWrap/>
          </w:tcPr>
          <w:p w14:paraId="7CF324F6" w14:textId="77777777" w:rsidR="00F352C0" w:rsidRPr="0079129A" w:rsidRDefault="00F352C0" w:rsidP="001827D7">
            <w:pPr>
              <w:spacing w:before="20" w:after="20"/>
              <w:rPr>
                <w:rFonts w:ascii="Arial Narrow" w:hAnsi="Arial Narrow"/>
                <w:sz w:val="20"/>
              </w:rPr>
            </w:pPr>
            <w:r w:rsidRPr="0079129A">
              <w:rPr>
                <w:rFonts w:ascii="Arial Narrow" w:hAnsi="Arial Narrow" w:cs="Calibri"/>
                <w:b/>
                <w:sz w:val="20"/>
              </w:rPr>
              <w:t>Outcome</w:t>
            </w:r>
          </w:p>
        </w:tc>
        <w:tc>
          <w:tcPr>
            <w:tcW w:w="1089" w:type="pct"/>
            <w:noWrap/>
          </w:tcPr>
          <w:p w14:paraId="16DDE0DD" w14:textId="77777777" w:rsidR="00F352C0" w:rsidRPr="0079129A" w:rsidRDefault="00F352C0" w:rsidP="001827D7">
            <w:pPr>
              <w:spacing w:before="20" w:after="20"/>
              <w:jc w:val="center"/>
              <w:rPr>
                <w:rFonts w:ascii="Arial Narrow" w:hAnsi="Arial Narrow"/>
                <w:sz w:val="20"/>
              </w:rPr>
            </w:pPr>
            <w:r w:rsidRPr="0079129A">
              <w:rPr>
                <w:rFonts w:ascii="Arial Narrow" w:hAnsi="Arial Narrow" w:cs="Calibri"/>
                <w:b/>
                <w:sz w:val="20"/>
              </w:rPr>
              <w:t>TIS</w:t>
            </w:r>
          </w:p>
        </w:tc>
        <w:tc>
          <w:tcPr>
            <w:tcW w:w="1092" w:type="pct"/>
            <w:noWrap/>
          </w:tcPr>
          <w:p w14:paraId="59083C8D" w14:textId="77777777" w:rsidR="00F352C0" w:rsidRPr="0079129A" w:rsidRDefault="00F352C0" w:rsidP="001827D7">
            <w:pPr>
              <w:spacing w:before="20" w:after="20"/>
              <w:jc w:val="center"/>
              <w:rPr>
                <w:rFonts w:ascii="Arial Narrow" w:hAnsi="Arial Narrow"/>
                <w:sz w:val="20"/>
              </w:rPr>
            </w:pPr>
            <w:r w:rsidRPr="0079129A">
              <w:rPr>
                <w:rFonts w:ascii="Arial Narrow" w:hAnsi="Arial Narrow" w:cs="Calibri"/>
                <w:b/>
                <w:sz w:val="20"/>
              </w:rPr>
              <w:t>SCR</w:t>
            </w:r>
          </w:p>
        </w:tc>
        <w:tc>
          <w:tcPr>
            <w:tcW w:w="1288" w:type="pct"/>
            <w:noWrap/>
          </w:tcPr>
          <w:p w14:paraId="2C07C4E4" w14:textId="77777777" w:rsidR="00F352C0" w:rsidRPr="0079129A" w:rsidRDefault="00F352C0" w:rsidP="001827D7">
            <w:pPr>
              <w:spacing w:before="20" w:after="20"/>
              <w:jc w:val="center"/>
              <w:rPr>
                <w:rFonts w:ascii="Arial Narrow" w:hAnsi="Arial Narrow"/>
                <w:sz w:val="20"/>
              </w:rPr>
            </w:pPr>
            <w:r w:rsidRPr="0079129A">
              <w:rPr>
                <w:rFonts w:ascii="Arial Narrow" w:hAnsi="Arial Narrow" w:cs="Calibri"/>
                <w:b/>
                <w:sz w:val="20"/>
              </w:rPr>
              <w:t>Incr</w:t>
            </w:r>
            <w:r>
              <w:rPr>
                <w:rFonts w:ascii="Arial Narrow" w:hAnsi="Arial Narrow" w:cs="Calibri"/>
                <w:b/>
                <w:sz w:val="20"/>
              </w:rPr>
              <w:t>ement</w:t>
            </w:r>
          </w:p>
        </w:tc>
      </w:tr>
      <w:tr w:rsidR="00F352C0" w:rsidRPr="0079129A" w14:paraId="38638909" w14:textId="77777777" w:rsidTr="007D5A4F">
        <w:tc>
          <w:tcPr>
            <w:tcW w:w="5000" w:type="pct"/>
            <w:gridSpan w:val="4"/>
            <w:noWrap/>
          </w:tcPr>
          <w:p w14:paraId="7CDCA99B" w14:textId="77777777" w:rsidR="00F352C0" w:rsidRPr="0079129A" w:rsidRDefault="00F352C0" w:rsidP="001827D7">
            <w:pPr>
              <w:spacing w:before="20" w:after="20"/>
              <w:rPr>
                <w:rFonts w:ascii="Arial Narrow" w:hAnsi="Arial Narrow"/>
                <w:b/>
                <w:sz w:val="20"/>
              </w:rPr>
            </w:pPr>
            <w:r w:rsidRPr="0079129A">
              <w:rPr>
                <w:rFonts w:ascii="Arial Narrow" w:hAnsi="Arial Narrow"/>
                <w:b/>
                <w:sz w:val="20"/>
              </w:rPr>
              <w:t xml:space="preserve">Base case (Spline </w:t>
            </w:r>
            <w:r>
              <w:rPr>
                <w:rFonts w:ascii="Arial Narrow" w:hAnsi="Arial Narrow"/>
                <w:b/>
                <w:sz w:val="20"/>
              </w:rPr>
              <w:t xml:space="preserve">1/3 for TIS OS/PFS </w:t>
            </w:r>
            <w:r w:rsidRPr="0079129A">
              <w:rPr>
                <w:rFonts w:ascii="Arial Narrow" w:hAnsi="Arial Narrow"/>
                <w:b/>
                <w:sz w:val="20"/>
              </w:rPr>
              <w:t>and Spline 1 for SCR OS/PFS)</w:t>
            </w:r>
          </w:p>
        </w:tc>
      </w:tr>
      <w:tr w:rsidR="00F352C0" w:rsidRPr="0079129A" w14:paraId="178F5282" w14:textId="77777777" w:rsidTr="007D5A4F">
        <w:tc>
          <w:tcPr>
            <w:tcW w:w="1531" w:type="pct"/>
            <w:noWrap/>
            <w:hideMark/>
          </w:tcPr>
          <w:p w14:paraId="5D8CDD22" w14:textId="77777777" w:rsidR="00F352C0" w:rsidRPr="0079129A" w:rsidRDefault="00F352C0" w:rsidP="001827D7">
            <w:pPr>
              <w:spacing w:before="20" w:after="20"/>
              <w:rPr>
                <w:rFonts w:ascii="Arial Narrow" w:hAnsi="Arial Narrow"/>
                <w:color w:val="000000"/>
                <w:sz w:val="20"/>
              </w:rPr>
            </w:pPr>
            <w:r w:rsidRPr="0079129A">
              <w:rPr>
                <w:rFonts w:ascii="Arial Narrow" w:hAnsi="Arial Narrow" w:cs="Calibri"/>
                <w:color w:val="000000"/>
                <w:sz w:val="20"/>
              </w:rPr>
              <w:t>Discounted Costs</w:t>
            </w:r>
          </w:p>
        </w:tc>
        <w:tc>
          <w:tcPr>
            <w:tcW w:w="1089" w:type="pct"/>
            <w:noWrap/>
          </w:tcPr>
          <w:p w14:paraId="000C4A68" w14:textId="2D6110FB" w:rsidR="00F352C0" w:rsidRPr="00B32CEF" w:rsidRDefault="005233C6" w:rsidP="001827D7">
            <w:pPr>
              <w:spacing w:before="20" w:after="20"/>
              <w:jc w:val="center"/>
              <w:rPr>
                <w:rFonts w:ascii="Arial Narrow" w:hAnsi="Arial Narrow"/>
                <w:color w:val="000000"/>
                <w:sz w:val="20"/>
              </w:rPr>
            </w:pPr>
            <w:r w:rsidRPr="00B32CEF">
              <w:rPr>
                <w:rFonts w:ascii="Arial Narrow" w:hAnsi="Arial Narrow"/>
                <w:color w:val="000000"/>
                <w:sz w:val="20"/>
              </w:rPr>
              <w:t>$redacted</w:t>
            </w:r>
          </w:p>
        </w:tc>
        <w:tc>
          <w:tcPr>
            <w:tcW w:w="1092" w:type="pct"/>
            <w:noWrap/>
          </w:tcPr>
          <w:p w14:paraId="728F1E37" w14:textId="594AB4CB" w:rsidR="00F352C0" w:rsidRPr="00B32CEF" w:rsidRDefault="00F352C0" w:rsidP="001827D7">
            <w:pPr>
              <w:spacing w:before="20" w:after="20"/>
              <w:jc w:val="center"/>
              <w:rPr>
                <w:rFonts w:ascii="Arial Narrow" w:hAnsi="Arial Narrow"/>
                <w:color w:val="000000"/>
                <w:sz w:val="20"/>
              </w:rPr>
            </w:pPr>
            <w:r w:rsidRPr="00B32CEF">
              <w:rPr>
                <w:rFonts w:ascii="Arial Narrow" w:hAnsi="Arial Narrow"/>
                <w:color w:val="000000"/>
                <w:sz w:val="20"/>
              </w:rPr>
              <w:t>$</w:t>
            </w:r>
            <w:r w:rsidR="005233C6" w:rsidRPr="00B32CEF">
              <w:rPr>
                <w:rFonts w:ascii="Arial Narrow" w:hAnsi="Arial Narrow"/>
                <w:color w:val="000000"/>
                <w:sz w:val="20"/>
              </w:rPr>
              <w:t>redacted</w:t>
            </w:r>
          </w:p>
        </w:tc>
        <w:tc>
          <w:tcPr>
            <w:tcW w:w="1288" w:type="pct"/>
            <w:noWrap/>
          </w:tcPr>
          <w:p w14:paraId="77872B26" w14:textId="3AE2B10C" w:rsidR="00F352C0" w:rsidRPr="00B32CEF" w:rsidRDefault="005233C6" w:rsidP="001827D7">
            <w:pPr>
              <w:spacing w:before="20" w:after="20"/>
              <w:jc w:val="center"/>
              <w:rPr>
                <w:rFonts w:ascii="Arial Narrow" w:hAnsi="Arial Narrow"/>
                <w:color w:val="000000"/>
                <w:sz w:val="20"/>
              </w:rPr>
            </w:pPr>
            <w:r w:rsidRPr="00B32CEF">
              <w:rPr>
                <w:rFonts w:ascii="Arial Narrow" w:hAnsi="Arial Narrow"/>
                <w:color w:val="000000"/>
                <w:sz w:val="20"/>
              </w:rPr>
              <w:t>$redacted</w:t>
            </w:r>
          </w:p>
        </w:tc>
      </w:tr>
      <w:tr w:rsidR="00F352C0" w:rsidRPr="0079129A" w14:paraId="090E5124" w14:textId="77777777" w:rsidTr="007D5A4F">
        <w:tc>
          <w:tcPr>
            <w:tcW w:w="1531" w:type="pct"/>
            <w:noWrap/>
            <w:hideMark/>
          </w:tcPr>
          <w:p w14:paraId="705D08E2" w14:textId="77777777" w:rsidR="00F352C0" w:rsidRPr="0079129A" w:rsidRDefault="00F352C0" w:rsidP="001827D7">
            <w:pPr>
              <w:spacing w:before="20" w:after="20"/>
              <w:rPr>
                <w:rFonts w:ascii="Arial Narrow" w:hAnsi="Arial Narrow"/>
                <w:color w:val="000000"/>
                <w:sz w:val="20"/>
              </w:rPr>
            </w:pPr>
            <w:r w:rsidRPr="0079129A">
              <w:rPr>
                <w:rFonts w:ascii="Arial Narrow" w:hAnsi="Arial Narrow" w:cs="Calibri"/>
                <w:color w:val="000000"/>
                <w:sz w:val="20"/>
              </w:rPr>
              <w:t>Discounted Life Years</w:t>
            </w:r>
          </w:p>
        </w:tc>
        <w:tc>
          <w:tcPr>
            <w:tcW w:w="1089" w:type="pct"/>
            <w:noWrap/>
          </w:tcPr>
          <w:p w14:paraId="3C2AC721" w14:textId="77777777" w:rsidR="00F352C0" w:rsidRPr="00B32CEF" w:rsidRDefault="00F352C0" w:rsidP="001827D7">
            <w:pPr>
              <w:spacing w:before="20" w:after="20"/>
              <w:jc w:val="center"/>
              <w:rPr>
                <w:rFonts w:ascii="Arial Narrow" w:hAnsi="Arial Narrow"/>
                <w:sz w:val="20"/>
              </w:rPr>
            </w:pPr>
            <w:r w:rsidRPr="00B32CEF">
              <w:rPr>
                <w:rFonts w:ascii="Arial Narrow" w:hAnsi="Arial Narrow"/>
                <w:sz w:val="20"/>
              </w:rPr>
              <w:t>3.962</w:t>
            </w:r>
          </w:p>
        </w:tc>
        <w:tc>
          <w:tcPr>
            <w:tcW w:w="1092" w:type="pct"/>
            <w:noWrap/>
          </w:tcPr>
          <w:p w14:paraId="50260EBC" w14:textId="77777777" w:rsidR="00F352C0" w:rsidRPr="00B32CEF" w:rsidRDefault="00F352C0" w:rsidP="001827D7">
            <w:pPr>
              <w:spacing w:before="20" w:after="20"/>
              <w:jc w:val="center"/>
              <w:rPr>
                <w:rFonts w:ascii="Arial Narrow" w:hAnsi="Arial Narrow"/>
                <w:sz w:val="20"/>
              </w:rPr>
            </w:pPr>
            <w:r w:rsidRPr="00B32CEF">
              <w:rPr>
                <w:rFonts w:ascii="Arial Narrow" w:hAnsi="Arial Narrow"/>
                <w:sz w:val="20"/>
              </w:rPr>
              <w:t>2.538</w:t>
            </w:r>
          </w:p>
        </w:tc>
        <w:tc>
          <w:tcPr>
            <w:tcW w:w="1288" w:type="pct"/>
            <w:noWrap/>
          </w:tcPr>
          <w:p w14:paraId="5F1022A7" w14:textId="77777777" w:rsidR="00F352C0" w:rsidRPr="00B32CEF" w:rsidRDefault="00F352C0" w:rsidP="001827D7">
            <w:pPr>
              <w:spacing w:before="20" w:after="20"/>
              <w:jc w:val="center"/>
              <w:rPr>
                <w:rFonts w:ascii="Arial Narrow" w:hAnsi="Arial Narrow"/>
                <w:sz w:val="20"/>
              </w:rPr>
            </w:pPr>
            <w:r w:rsidRPr="00B32CEF">
              <w:rPr>
                <w:rFonts w:ascii="Arial Narrow" w:hAnsi="Arial Narrow"/>
                <w:sz w:val="20"/>
              </w:rPr>
              <w:t>1.425</w:t>
            </w:r>
          </w:p>
        </w:tc>
      </w:tr>
      <w:tr w:rsidR="00F352C0" w:rsidRPr="0079129A" w14:paraId="617E8519" w14:textId="77777777" w:rsidTr="007D5A4F">
        <w:tc>
          <w:tcPr>
            <w:tcW w:w="1531" w:type="pct"/>
            <w:noWrap/>
            <w:hideMark/>
          </w:tcPr>
          <w:p w14:paraId="054B77D9" w14:textId="77777777" w:rsidR="00F352C0" w:rsidRPr="0079129A" w:rsidRDefault="00F352C0" w:rsidP="001827D7">
            <w:pPr>
              <w:spacing w:before="20" w:after="20"/>
              <w:rPr>
                <w:rFonts w:ascii="Arial Narrow" w:hAnsi="Arial Narrow"/>
                <w:color w:val="000000"/>
                <w:sz w:val="20"/>
              </w:rPr>
            </w:pPr>
            <w:r w:rsidRPr="0079129A">
              <w:rPr>
                <w:rFonts w:ascii="Arial Narrow" w:hAnsi="Arial Narrow" w:cs="Calibri"/>
                <w:color w:val="000000"/>
                <w:sz w:val="20"/>
              </w:rPr>
              <w:t>Discounted QALYs</w:t>
            </w:r>
          </w:p>
        </w:tc>
        <w:tc>
          <w:tcPr>
            <w:tcW w:w="1089" w:type="pct"/>
            <w:noWrap/>
          </w:tcPr>
          <w:p w14:paraId="3B4161ED" w14:textId="77777777" w:rsidR="00F352C0" w:rsidRPr="00B32CEF" w:rsidRDefault="00F352C0" w:rsidP="001827D7">
            <w:pPr>
              <w:spacing w:before="20" w:after="20"/>
              <w:jc w:val="center"/>
              <w:rPr>
                <w:rFonts w:ascii="Arial Narrow" w:hAnsi="Arial Narrow"/>
                <w:sz w:val="20"/>
              </w:rPr>
            </w:pPr>
            <w:r w:rsidRPr="00B32CEF">
              <w:rPr>
                <w:rFonts w:ascii="Arial Narrow" w:hAnsi="Arial Narrow"/>
                <w:sz w:val="20"/>
              </w:rPr>
              <w:t>2.992</w:t>
            </w:r>
          </w:p>
        </w:tc>
        <w:tc>
          <w:tcPr>
            <w:tcW w:w="1092" w:type="pct"/>
            <w:noWrap/>
          </w:tcPr>
          <w:p w14:paraId="56568D60" w14:textId="77777777" w:rsidR="00F352C0" w:rsidRPr="00B32CEF" w:rsidRDefault="00F352C0" w:rsidP="001827D7">
            <w:pPr>
              <w:spacing w:before="20" w:after="20"/>
              <w:jc w:val="center"/>
              <w:rPr>
                <w:rFonts w:ascii="Arial Narrow" w:hAnsi="Arial Narrow"/>
                <w:sz w:val="20"/>
              </w:rPr>
            </w:pPr>
            <w:r w:rsidRPr="00B32CEF">
              <w:rPr>
                <w:rFonts w:ascii="Arial Narrow" w:hAnsi="Arial Narrow"/>
                <w:sz w:val="20"/>
              </w:rPr>
              <w:t>1.768</w:t>
            </w:r>
          </w:p>
        </w:tc>
        <w:tc>
          <w:tcPr>
            <w:tcW w:w="1288" w:type="pct"/>
            <w:noWrap/>
          </w:tcPr>
          <w:p w14:paraId="517A7244" w14:textId="77777777" w:rsidR="00F352C0" w:rsidRPr="00B32CEF" w:rsidRDefault="00F352C0" w:rsidP="001827D7">
            <w:pPr>
              <w:spacing w:before="20" w:after="20"/>
              <w:jc w:val="center"/>
              <w:rPr>
                <w:rFonts w:ascii="Arial Narrow" w:hAnsi="Arial Narrow"/>
                <w:sz w:val="20"/>
              </w:rPr>
            </w:pPr>
            <w:r w:rsidRPr="00B32CEF">
              <w:rPr>
                <w:rFonts w:ascii="Arial Narrow" w:hAnsi="Arial Narrow"/>
                <w:sz w:val="20"/>
              </w:rPr>
              <w:t>1.225</w:t>
            </w:r>
          </w:p>
        </w:tc>
      </w:tr>
      <w:tr w:rsidR="00F352C0" w:rsidRPr="0079129A" w14:paraId="74245720" w14:textId="77777777" w:rsidTr="007D5A4F">
        <w:tc>
          <w:tcPr>
            <w:tcW w:w="3712" w:type="pct"/>
            <w:gridSpan w:val="3"/>
            <w:noWrap/>
            <w:hideMark/>
          </w:tcPr>
          <w:p w14:paraId="4DC50D96" w14:textId="77777777" w:rsidR="00F352C0" w:rsidRPr="00B32CEF" w:rsidRDefault="00F352C0" w:rsidP="001827D7">
            <w:pPr>
              <w:spacing w:before="20" w:after="20"/>
              <w:jc w:val="right"/>
              <w:rPr>
                <w:rFonts w:ascii="Arial Narrow" w:hAnsi="Arial Narrow"/>
                <w:color w:val="000000"/>
                <w:sz w:val="20"/>
              </w:rPr>
            </w:pPr>
            <w:r w:rsidRPr="00B32CEF">
              <w:rPr>
                <w:rFonts w:ascii="Arial Narrow" w:hAnsi="Arial Narrow" w:cs="Calibri"/>
                <w:color w:val="000000"/>
                <w:sz w:val="20"/>
              </w:rPr>
              <w:t>Discounted Cost/LY</w:t>
            </w:r>
          </w:p>
        </w:tc>
        <w:tc>
          <w:tcPr>
            <w:tcW w:w="1288" w:type="pct"/>
            <w:noWrap/>
          </w:tcPr>
          <w:p w14:paraId="1BA716DA" w14:textId="68E6AC6B" w:rsidR="00F352C0" w:rsidRPr="00B32CEF" w:rsidRDefault="005233C6" w:rsidP="001827D7">
            <w:pPr>
              <w:spacing w:before="20" w:after="20"/>
              <w:jc w:val="center"/>
              <w:rPr>
                <w:rFonts w:ascii="Arial Narrow" w:hAnsi="Arial Narrow"/>
                <w:color w:val="000000"/>
                <w:sz w:val="20"/>
              </w:rPr>
            </w:pPr>
            <w:r w:rsidRPr="00B32CEF">
              <w:rPr>
                <w:rFonts w:ascii="Arial Narrow" w:hAnsi="Arial Narrow"/>
                <w:color w:val="000000"/>
                <w:sz w:val="20"/>
              </w:rPr>
              <w:t>$redacted</w:t>
            </w:r>
          </w:p>
        </w:tc>
      </w:tr>
      <w:tr w:rsidR="00F352C0" w:rsidRPr="0079129A" w14:paraId="00FE3BF6" w14:textId="77777777" w:rsidTr="007D5A4F">
        <w:tc>
          <w:tcPr>
            <w:tcW w:w="3712" w:type="pct"/>
            <w:gridSpan w:val="3"/>
            <w:noWrap/>
            <w:hideMark/>
          </w:tcPr>
          <w:p w14:paraId="312F4DBA" w14:textId="77777777" w:rsidR="00F352C0" w:rsidRPr="00B32CEF" w:rsidRDefault="00F352C0" w:rsidP="001827D7">
            <w:pPr>
              <w:spacing w:before="20" w:after="20"/>
              <w:jc w:val="right"/>
              <w:rPr>
                <w:rFonts w:ascii="Arial Narrow" w:hAnsi="Arial Narrow"/>
                <w:b/>
                <w:color w:val="000000"/>
                <w:sz w:val="20"/>
              </w:rPr>
            </w:pPr>
            <w:r w:rsidRPr="00B32CEF">
              <w:rPr>
                <w:rFonts w:ascii="Arial Narrow" w:hAnsi="Arial Narrow" w:cs="Calibri"/>
                <w:b/>
                <w:color w:val="000000"/>
                <w:sz w:val="20"/>
              </w:rPr>
              <w:t>Discounted Cost/QALY</w:t>
            </w:r>
          </w:p>
        </w:tc>
        <w:tc>
          <w:tcPr>
            <w:tcW w:w="1288" w:type="pct"/>
            <w:noWrap/>
          </w:tcPr>
          <w:p w14:paraId="7EC5B002" w14:textId="6B5BFD6B" w:rsidR="00F352C0" w:rsidRPr="00B32CEF" w:rsidRDefault="005233C6" w:rsidP="001827D7">
            <w:pPr>
              <w:spacing w:before="20" w:after="20"/>
              <w:jc w:val="center"/>
              <w:rPr>
                <w:rFonts w:ascii="Arial Narrow" w:hAnsi="Arial Narrow"/>
                <w:b/>
                <w:color w:val="000000"/>
                <w:sz w:val="20"/>
              </w:rPr>
            </w:pPr>
            <w:r w:rsidRPr="00B32CEF">
              <w:rPr>
                <w:rFonts w:ascii="Arial Narrow" w:hAnsi="Arial Narrow"/>
                <w:b/>
                <w:color w:val="000000"/>
                <w:sz w:val="20"/>
              </w:rPr>
              <w:t>$redacted</w:t>
            </w:r>
          </w:p>
        </w:tc>
      </w:tr>
    </w:tbl>
    <w:p w14:paraId="344EE9F7" w14:textId="77777777" w:rsidR="002C71D0" w:rsidRDefault="002C71D0" w:rsidP="005C7326">
      <w:pPr>
        <w:pStyle w:val="Heading1"/>
        <w:spacing w:after="0"/>
      </w:pPr>
      <w:r w:rsidRPr="00B02E35">
        <w:lastRenderedPageBreak/>
        <w:t>Financial/budgetary impacts</w:t>
      </w:r>
    </w:p>
    <w:p w14:paraId="527278E7" w14:textId="77777777" w:rsidR="002C71D0" w:rsidRDefault="002C71D0" w:rsidP="00855EF1">
      <w:pPr>
        <w:spacing w:before="240"/>
      </w:pPr>
      <w:r>
        <w:t xml:space="preserve">The resubmission’s financial estimates (Table </w:t>
      </w:r>
      <w:r w:rsidR="00DF2A45">
        <w:t>12</w:t>
      </w:r>
      <w:r>
        <w:t>) included the following changes:</w:t>
      </w:r>
    </w:p>
    <w:p w14:paraId="0C9528E6" w14:textId="77777777" w:rsidR="002C71D0" w:rsidRPr="0079129A" w:rsidRDefault="002C71D0" w:rsidP="002C71D0">
      <w:pPr>
        <w:pStyle w:val="ListParagraph"/>
        <w:numPr>
          <w:ilvl w:val="0"/>
          <w:numId w:val="26"/>
        </w:numPr>
        <w:ind w:left="426" w:hanging="426"/>
        <w:jc w:val="both"/>
      </w:pPr>
      <w:r w:rsidRPr="0079129A">
        <w:t xml:space="preserve">The </w:t>
      </w:r>
      <w:r>
        <w:t>resubmission</w:t>
      </w:r>
      <w:r w:rsidRPr="0079129A">
        <w:t xml:space="preserve"> considers the financial impact of the proposed program across all government healthcare budgets; </w:t>
      </w:r>
    </w:p>
    <w:p w14:paraId="514EBBCC" w14:textId="77777777" w:rsidR="002C71D0" w:rsidRPr="0079129A" w:rsidRDefault="002C71D0" w:rsidP="002C71D0">
      <w:pPr>
        <w:pStyle w:val="ListParagraph"/>
        <w:numPr>
          <w:ilvl w:val="0"/>
          <w:numId w:val="26"/>
        </w:numPr>
        <w:ind w:left="426" w:hanging="426"/>
        <w:jc w:val="both"/>
      </w:pPr>
      <w:r w:rsidRPr="0079129A">
        <w:t>Estimates of the eligible population in the first two years of the analysis have been increased to account for current prevalent rela</w:t>
      </w:r>
      <w:r>
        <w:t>psed / refractory DLBCL cases;</w:t>
      </w:r>
    </w:p>
    <w:p w14:paraId="54875C72" w14:textId="77777777" w:rsidR="002C71D0" w:rsidRPr="0079129A" w:rsidRDefault="002C71D0" w:rsidP="002C71D0">
      <w:pPr>
        <w:pStyle w:val="ListParagraph"/>
        <w:numPr>
          <w:ilvl w:val="0"/>
          <w:numId w:val="26"/>
        </w:numPr>
        <w:ind w:left="426" w:hanging="426"/>
        <w:jc w:val="both"/>
      </w:pPr>
      <w:r w:rsidRPr="0079129A">
        <w:t>Additional disaggregated uptake assumptions have been applied, incorporating updated expectations around geographical access and likely utilisation of CAR-T therapy;</w:t>
      </w:r>
    </w:p>
    <w:p w14:paraId="67F26B5C" w14:textId="77777777" w:rsidR="002C71D0" w:rsidRPr="0079129A" w:rsidRDefault="002C71D0" w:rsidP="002C71D0">
      <w:pPr>
        <w:pStyle w:val="ListParagraph"/>
        <w:numPr>
          <w:ilvl w:val="0"/>
          <w:numId w:val="26"/>
        </w:numPr>
        <w:ind w:left="426" w:hanging="426"/>
        <w:jc w:val="both"/>
      </w:pPr>
      <w:r w:rsidRPr="0079129A">
        <w:t>The previous market share approach has been discarded and revised estimates account for the total expected uptake of CAR-T therapies within the target r/r DLBCL indication;</w:t>
      </w:r>
    </w:p>
    <w:p w14:paraId="5A0DA27B" w14:textId="77777777" w:rsidR="002C71D0" w:rsidRPr="0079129A" w:rsidRDefault="002C71D0" w:rsidP="002C71D0">
      <w:pPr>
        <w:pStyle w:val="ListParagraph"/>
        <w:numPr>
          <w:ilvl w:val="0"/>
          <w:numId w:val="26"/>
        </w:numPr>
        <w:ind w:left="426" w:hanging="426"/>
        <w:jc w:val="both"/>
      </w:pPr>
      <w:r w:rsidRPr="0079129A">
        <w:t xml:space="preserve">Cost estimates have been refined to separately consider infused and non-infused patients, explicitly assuming that the applicant will not receive any funding for the latter group; </w:t>
      </w:r>
    </w:p>
    <w:p w14:paraId="581F1E67" w14:textId="77777777" w:rsidR="002C71D0" w:rsidRPr="0079129A" w:rsidRDefault="002C71D0" w:rsidP="002C71D0">
      <w:pPr>
        <w:pStyle w:val="ListParagraph"/>
        <w:numPr>
          <w:ilvl w:val="0"/>
          <w:numId w:val="26"/>
        </w:numPr>
        <w:ind w:left="426" w:hanging="426"/>
        <w:jc w:val="both"/>
      </w:pPr>
      <w:r w:rsidRPr="0079129A">
        <w:t>Increased costs related to Grade 3/4 adverse events and prolonged IVIg administration have been incorporated, consistent with the revised economic evaluation;</w:t>
      </w:r>
      <w:r>
        <w:t xml:space="preserve"> and</w:t>
      </w:r>
    </w:p>
    <w:p w14:paraId="3CDE2777" w14:textId="004720B7" w:rsidR="002C71D0" w:rsidRPr="00B32CEF" w:rsidRDefault="002C71D0" w:rsidP="002C71D0">
      <w:pPr>
        <w:pStyle w:val="ListParagraph"/>
        <w:numPr>
          <w:ilvl w:val="0"/>
          <w:numId w:val="26"/>
        </w:numPr>
        <w:ind w:left="426" w:hanging="426"/>
        <w:jc w:val="both"/>
      </w:pPr>
      <w:r w:rsidRPr="0079129A">
        <w:t xml:space="preserve">The launch price of TIS has been </w:t>
      </w:r>
      <w:r w:rsidRPr="00B32CEF">
        <w:t xml:space="preserve">reduced, </w:t>
      </w:r>
      <w:r w:rsidR="005233C6" w:rsidRPr="00B32CEF">
        <w:rPr>
          <w:b/>
        </w:rPr>
        <w:t>redacted</w:t>
      </w:r>
      <w:r w:rsidRPr="00B32CEF">
        <w:t>, in line with the new pricing proposal.</w:t>
      </w:r>
    </w:p>
    <w:p w14:paraId="319CD619" w14:textId="77777777" w:rsidR="002C71D0" w:rsidRPr="00B32CEF" w:rsidRDefault="002C71D0" w:rsidP="00855EF1">
      <w:pPr>
        <w:pStyle w:val="Caption"/>
        <w:spacing w:before="240" w:after="0"/>
      </w:pPr>
      <w:r w:rsidRPr="00B32CEF">
        <w:t xml:space="preserve">Table </w:t>
      </w:r>
      <w:r w:rsidR="00DF2A45" w:rsidRPr="00B32CEF">
        <w:t>12</w:t>
      </w:r>
      <w:r w:rsidRPr="00B32CEF">
        <w:t>: Estimated financial impact</w:t>
      </w:r>
    </w:p>
    <w:tbl>
      <w:tblPr>
        <w:tblStyle w:val="TableGrid2"/>
        <w:tblW w:w="9776" w:type="dxa"/>
        <w:tblLook w:val="04A0" w:firstRow="1" w:lastRow="0" w:firstColumn="1" w:lastColumn="0" w:noHBand="0" w:noVBand="1"/>
        <w:tblDescription w:val="Estimated financial impact"/>
      </w:tblPr>
      <w:tblGrid>
        <w:gridCol w:w="2035"/>
        <w:gridCol w:w="1060"/>
        <w:gridCol w:w="1151"/>
        <w:gridCol w:w="1151"/>
        <w:gridCol w:w="1151"/>
        <w:gridCol w:w="1060"/>
        <w:gridCol w:w="1060"/>
        <w:gridCol w:w="1108"/>
      </w:tblGrid>
      <w:tr w:rsidR="00155D43" w:rsidRPr="00B32CEF" w14:paraId="0AF42A46" w14:textId="77777777" w:rsidTr="00313528">
        <w:trPr>
          <w:trHeight w:val="198"/>
          <w:tblHeader/>
        </w:trPr>
        <w:tc>
          <w:tcPr>
            <w:tcW w:w="2035" w:type="dxa"/>
            <w:noWrap/>
            <w:hideMark/>
          </w:tcPr>
          <w:p w14:paraId="68CE5D10" w14:textId="77777777" w:rsidR="00155D43" w:rsidRPr="00B32CEF" w:rsidRDefault="00155D43" w:rsidP="001827D7">
            <w:pPr>
              <w:pStyle w:val="Table"/>
              <w:rPr>
                <w:rFonts w:ascii="Arial Narrow" w:hAnsi="Arial Narrow"/>
                <w:szCs w:val="20"/>
                <w:lang w:eastAsia="en-AU"/>
              </w:rPr>
            </w:pPr>
            <w:r w:rsidRPr="00B32CEF">
              <w:rPr>
                <w:rFonts w:ascii="Arial Narrow" w:hAnsi="Arial Narrow"/>
                <w:szCs w:val="20"/>
                <w:lang w:eastAsia="en-AU"/>
              </w:rPr>
              <w:t>Total Patients</w:t>
            </w:r>
          </w:p>
        </w:tc>
        <w:tc>
          <w:tcPr>
            <w:tcW w:w="1060" w:type="dxa"/>
            <w:noWrap/>
            <w:hideMark/>
          </w:tcPr>
          <w:p w14:paraId="4FD522CD" w14:textId="77777777" w:rsidR="00155D43" w:rsidRPr="00B32CEF" w:rsidRDefault="00155D43" w:rsidP="001827D7">
            <w:pPr>
              <w:pStyle w:val="Table"/>
              <w:jc w:val="center"/>
              <w:rPr>
                <w:rFonts w:ascii="Arial Narrow" w:hAnsi="Arial Narrow"/>
                <w:szCs w:val="20"/>
                <w:lang w:eastAsia="en-AU"/>
              </w:rPr>
            </w:pPr>
            <w:r w:rsidRPr="00B32CEF">
              <w:rPr>
                <w:rFonts w:ascii="Arial Narrow" w:hAnsi="Arial Narrow"/>
                <w:szCs w:val="20"/>
              </w:rPr>
              <w:t>Year 1</w:t>
            </w:r>
          </w:p>
        </w:tc>
        <w:tc>
          <w:tcPr>
            <w:tcW w:w="1151" w:type="dxa"/>
            <w:noWrap/>
            <w:hideMark/>
          </w:tcPr>
          <w:p w14:paraId="3EA4F335" w14:textId="77777777" w:rsidR="00155D43" w:rsidRPr="00B32CEF" w:rsidRDefault="00155D43" w:rsidP="001827D7">
            <w:pPr>
              <w:pStyle w:val="Table"/>
              <w:jc w:val="center"/>
              <w:rPr>
                <w:rFonts w:ascii="Arial Narrow" w:hAnsi="Arial Narrow"/>
                <w:szCs w:val="20"/>
                <w:lang w:eastAsia="en-AU"/>
              </w:rPr>
            </w:pPr>
            <w:r w:rsidRPr="00B32CEF">
              <w:rPr>
                <w:rFonts w:ascii="Arial Narrow" w:hAnsi="Arial Narrow"/>
                <w:szCs w:val="20"/>
              </w:rPr>
              <w:t>Year 2</w:t>
            </w:r>
          </w:p>
        </w:tc>
        <w:tc>
          <w:tcPr>
            <w:tcW w:w="1151" w:type="dxa"/>
            <w:noWrap/>
            <w:hideMark/>
          </w:tcPr>
          <w:p w14:paraId="5912FED6" w14:textId="77777777" w:rsidR="00155D43" w:rsidRPr="00B32CEF" w:rsidRDefault="00155D43" w:rsidP="001827D7">
            <w:pPr>
              <w:pStyle w:val="Table"/>
              <w:jc w:val="center"/>
              <w:rPr>
                <w:rFonts w:ascii="Arial Narrow" w:hAnsi="Arial Narrow"/>
                <w:szCs w:val="20"/>
                <w:lang w:eastAsia="en-AU"/>
              </w:rPr>
            </w:pPr>
            <w:r w:rsidRPr="00B32CEF">
              <w:rPr>
                <w:rFonts w:ascii="Arial Narrow" w:hAnsi="Arial Narrow"/>
                <w:szCs w:val="20"/>
              </w:rPr>
              <w:t>Year 3</w:t>
            </w:r>
          </w:p>
        </w:tc>
        <w:tc>
          <w:tcPr>
            <w:tcW w:w="1151" w:type="dxa"/>
            <w:noWrap/>
            <w:hideMark/>
          </w:tcPr>
          <w:p w14:paraId="48C735A1" w14:textId="77777777" w:rsidR="00155D43" w:rsidRPr="00B32CEF" w:rsidRDefault="00155D43" w:rsidP="001827D7">
            <w:pPr>
              <w:pStyle w:val="Table"/>
              <w:jc w:val="center"/>
              <w:rPr>
                <w:rFonts w:ascii="Arial Narrow" w:hAnsi="Arial Narrow"/>
                <w:szCs w:val="20"/>
                <w:lang w:eastAsia="en-AU"/>
              </w:rPr>
            </w:pPr>
            <w:r w:rsidRPr="00B32CEF">
              <w:rPr>
                <w:rFonts w:ascii="Arial Narrow" w:hAnsi="Arial Narrow"/>
                <w:szCs w:val="20"/>
              </w:rPr>
              <w:t>Year 4</w:t>
            </w:r>
          </w:p>
        </w:tc>
        <w:tc>
          <w:tcPr>
            <w:tcW w:w="1060" w:type="dxa"/>
            <w:noWrap/>
            <w:hideMark/>
          </w:tcPr>
          <w:p w14:paraId="1D612BD2" w14:textId="77777777" w:rsidR="00155D43" w:rsidRPr="00B32CEF" w:rsidRDefault="00155D43" w:rsidP="001827D7">
            <w:pPr>
              <w:pStyle w:val="Table"/>
              <w:jc w:val="center"/>
              <w:rPr>
                <w:rFonts w:ascii="Arial Narrow" w:hAnsi="Arial Narrow"/>
                <w:szCs w:val="20"/>
                <w:lang w:eastAsia="en-AU"/>
              </w:rPr>
            </w:pPr>
            <w:r w:rsidRPr="00B32CEF">
              <w:rPr>
                <w:rFonts w:ascii="Arial Narrow" w:hAnsi="Arial Narrow"/>
                <w:szCs w:val="20"/>
              </w:rPr>
              <w:t>Year 5</w:t>
            </w:r>
          </w:p>
        </w:tc>
        <w:tc>
          <w:tcPr>
            <w:tcW w:w="1060" w:type="dxa"/>
            <w:noWrap/>
            <w:hideMark/>
          </w:tcPr>
          <w:p w14:paraId="33DAD1F6" w14:textId="77777777" w:rsidR="00155D43" w:rsidRPr="00B32CEF" w:rsidRDefault="00155D43" w:rsidP="001827D7">
            <w:pPr>
              <w:pStyle w:val="Table"/>
              <w:jc w:val="center"/>
              <w:rPr>
                <w:rFonts w:ascii="Arial Narrow" w:hAnsi="Arial Narrow"/>
                <w:szCs w:val="20"/>
                <w:lang w:eastAsia="en-AU"/>
              </w:rPr>
            </w:pPr>
            <w:r w:rsidRPr="00B32CEF">
              <w:rPr>
                <w:rFonts w:ascii="Arial Narrow" w:hAnsi="Arial Narrow"/>
                <w:szCs w:val="20"/>
              </w:rPr>
              <w:t>Year 6</w:t>
            </w:r>
          </w:p>
        </w:tc>
        <w:tc>
          <w:tcPr>
            <w:tcW w:w="1108" w:type="dxa"/>
          </w:tcPr>
          <w:p w14:paraId="6CB58675" w14:textId="77777777" w:rsidR="00155D43" w:rsidRPr="00B32CEF" w:rsidRDefault="00155D43" w:rsidP="001827D7">
            <w:pPr>
              <w:pStyle w:val="Table"/>
              <w:jc w:val="center"/>
              <w:rPr>
                <w:rFonts w:ascii="Arial Narrow" w:hAnsi="Arial Narrow"/>
                <w:szCs w:val="20"/>
              </w:rPr>
            </w:pPr>
            <w:r w:rsidRPr="00B32CEF">
              <w:rPr>
                <w:rFonts w:ascii="Arial Narrow" w:hAnsi="Arial Narrow"/>
                <w:szCs w:val="20"/>
              </w:rPr>
              <w:t>Total</w:t>
            </w:r>
          </w:p>
        </w:tc>
      </w:tr>
      <w:tr w:rsidR="005233C6" w:rsidRPr="00B32CEF" w14:paraId="0E35D1F0" w14:textId="77777777" w:rsidTr="00313528">
        <w:trPr>
          <w:trHeight w:val="198"/>
        </w:trPr>
        <w:tc>
          <w:tcPr>
            <w:tcW w:w="2035" w:type="dxa"/>
            <w:noWrap/>
            <w:hideMark/>
          </w:tcPr>
          <w:p w14:paraId="540664F8" w14:textId="77777777" w:rsidR="005233C6" w:rsidRPr="00B32CEF" w:rsidRDefault="005233C6" w:rsidP="005233C6">
            <w:pPr>
              <w:pStyle w:val="Table"/>
              <w:rPr>
                <w:rFonts w:ascii="Arial Narrow" w:hAnsi="Arial Narrow"/>
                <w:color w:val="000000"/>
                <w:szCs w:val="20"/>
                <w:lang w:eastAsia="en-AU"/>
              </w:rPr>
            </w:pPr>
            <w:r w:rsidRPr="00B32CEF">
              <w:rPr>
                <w:rFonts w:ascii="Arial Narrow" w:hAnsi="Arial Narrow"/>
                <w:color w:val="000000"/>
                <w:szCs w:val="20"/>
                <w:lang w:eastAsia="en-AU"/>
              </w:rPr>
              <w:t>Eligible population</w:t>
            </w:r>
          </w:p>
        </w:tc>
        <w:tc>
          <w:tcPr>
            <w:tcW w:w="1060" w:type="dxa"/>
            <w:noWrap/>
          </w:tcPr>
          <w:p w14:paraId="145C5803" w14:textId="32C666DF"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35A91D5E" w14:textId="5916EC24"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33D8746B" w14:textId="6B9F775B"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11F6FB79" w14:textId="33BA6266"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060" w:type="dxa"/>
            <w:noWrap/>
          </w:tcPr>
          <w:p w14:paraId="4B1A1930" w14:textId="1D45C678"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060" w:type="dxa"/>
            <w:noWrap/>
          </w:tcPr>
          <w:p w14:paraId="4345242C" w14:textId="66FCC7C9"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08" w:type="dxa"/>
          </w:tcPr>
          <w:p w14:paraId="4E898EBD" w14:textId="66E51726"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r>
      <w:tr w:rsidR="005233C6" w:rsidRPr="00B32CEF" w14:paraId="0E7F4101" w14:textId="77777777" w:rsidTr="00313528">
        <w:trPr>
          <w:trHeight w:val="198"/>
        </w:trPr>
        <w:tc>
          <w:tcPr>
            <w:tcW w:w="2035" w:type="dxa"/>
            <w:noWrap/>
          </w:tcPr>
          <w:p w14:paraId="41C39F88" w14:textId="77777777" w:rsidR="005233C6" w:rsidRPr="00B32CEF" w:rsidRDefault="005233C6" w:rsidP="005233C6">
            <w:pPr>
              <w:pStyle w:val="Table"/>
              <w:rPr>
                <w:rFonts w:ascii="Arial Narrow" w:hAnsi="Arial Narrow"/>
                <w:color w:val="000000"/>
                <w:szCs w:val="20"/>
                <w:lang w:eastAsia="en-AU"/>
              </w:rPr>
            </w:pPr>
            <w:r w:rsidRPr="00B32CEF">
              <w:rPr>
                <w:rFonts w:ascii="Arial Narrow" w:hAnsi="Arial Narrow"/>
                <w:color w:val="000000"/>
                <w:szCs w:val="20"/>
                <w:lang w:eastAsia="en-AU"/>
              </w:rPr>
              <w:t>TIS patients (infused)</w:t>
            </w:r>
          </w:p>
        </w:tc>
        <w:tc>
          <w:tcPr>
            <w:tcW w:w="1060" w:type="dxa"/>
            <w:noWrap/>
          </w:tcPr>
          <w:p w14:paraId="08CBF8DB" w14:textId="484DFC35"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141691DF" w14:textId="18A4A207"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40E6E736" w14:textId="682E6E50"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7540DC3A" w14:textId="76D6D25A"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544DA690" w14:textId="3D929CC9"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41FBC824" w14:textId="513646FD"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08" w:type="dxa"/>
          </w:tcPr>
          <w:p w14:paraId="7339E125" w14:textId="4B43613A"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r>
      <w:tr w:rsidR="005233C6" w:rsidRPr="00B32CEF" w14:paraId="7F5382BF" w14:textId="77777777" w:rsidTr="00313528">
        <w:trPr>
          <w:trHeight w:val="198"/>
        </w:trPr>
        <w:tc>
          <w:tcPr>
            <w:tcW w:w="2035" w:type="dxa"/>
            <w:noWrap/>
          </w:tcPr>
          <w:p w14:paraId="42ED80E1" w14:textId="77777777" w:rsidR="005233C6" w:rsidRPr="00B32CEF" w:rsidRDefault="005233C6" w:rsidP="005233C6">
            <w:pPr>
              <w:pStyle w:val="Table"/>
              <w:rPr>
                <w:rFonts w:ascii="Arial Narrow" w:hAnsi="Arial Narrow"/>
                <w:color w:val="000000"/>
                <w:szCs w:val="20"/>
                <w:lang w:eastAsia="en-AU"/>
              </w:rPr>
            </w:pPr>
            <w:r w:rsidRPr="00B32CEF">
              <w:rPr>
                <w:rFonts w:ascii="Arial Narrow" w:hAnsi="Arial Narrow"/>
                <w:color w:val="000000"/>
                <w:szCs w:val="20"/>
                <w:lang w:eastAsia="en-AU"/>
              </w:rPr>
              <w:t>TIS patients (non-infused)</w:t>
            </w:r>
          </w:p>
        </w:tc>
        <w:tc>
          <w:tcPr>
            <w:tcW w:w="1060" w:type="dxa"/>
            <w:noWrap/>
          </w:tcPr>
          <w:p w14:paraId="2C761673" w14:textId="626086C9"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49480408" w14:textId="40F2CF3E"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6ACF80F8" w14:textId="4DDC2F74"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359390AC" w14:textId="77475EBF"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7921E395" w14:textId="55DF26B4"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2424C7D0" w14:textId="1339770C"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08" w:type="dxa"/>
          </w:tcPr>
          <w:p w14:paraId="321233A1" w14:textId="5AE8FCF8"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r>
      <w:tr w:rsidR="005233C6" w:rsidRPr="00B32CEF" w14:paraId="24AA34A6" w14:textId="77777777" w:rsidTr="00313528">
        <w:trPr>
          <w:trHeight w:val="198"/>
        </w:trPr>
        <w:tc>
          <w:tcPr>
            <w:tcW w:w="2035" w:type="dxa"/>
            <w:noWrap/>
          </w:tcPr>
          <w:p w14:paraId="41CBE2BB" w14:textId="77777777" w:rsidR="005233C6" w:rsidRPr="00B32CEF" w:rsidRDefault="005233C6" w:rsidP="005233C6">
            <w:pPr>
              <w:pStyle w:val="Table"/>
              <w:rPr>
                <w:rFonts w:ascii="Arial Narrow" w:hAnsi="Arial Narrow"/>
                <w:color w:val="000000"/>
                <w:szCs w:val="20"/>
                <w:lang w:eastAsia="en-AU"/>
              </w:rPr>
            </w:pPr>
            <w:r w:rsidRPr="00B32CEF">
              <w:rPr>
                <w:rFonts w:ascii="Arial Narrow" w:hAnsi="Arial Narrow"/>
                <w:color w:val="000000"/>
                <w:szCs w:val="20"/>
                <w:lang w:eastAsia="en-AU"/>
              </w:rPr>
              <w:t>TIS costs (infused)</w:t>
            </w:r>
          </w:p>
        </w:tc>
        <w:tc>
          <w:tcPr>
            <w:tcW w:w="1060" w:type="dxa"/>
            <w:noWrap/>
          </w:tcPr>
          <w:p w14:paraId="45C5F7D3" w14:textId="0BFECDE7"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56C135F7" w14:textId="408AC15C"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4D40162D" w14:textId="6F7A4CD8"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2E9FA732" w14:textId="50BAC27D"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060" w:type="dxa"/>
            <w:noWrap/>
          </w:tcPr>
          <w:p w14:paraId="3DDE03C1" w14:textId="791C60AD"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060" w:type="dxa"/>
            <w:noWrap/>
          </w:tcPr>
          <w:p w14:paraId="0942CDBF" w14:textId="3BD9C421"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08" w:type="dxa"/>
          </w:tcPr>
          <w:p w14:paraId="62DBC890" w14:textId="7729B278"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r>
      <w:tr w:rsidR="005233C6" w:rsidRPr="00B32CEF" w14:paraId="54B16336" w14:textId="77777777" w:rsidTr="00313528">
        <w:trPr>
          <w:trHeight w:val="198"/>
        </w:trPr>
        <w:tc>
          <w:tcPr>
            <w:tcW w:w="2035" w:type="dxa"/>
            <w:noWrap/>
          </w:tcPr>
          <w:p w14:paraId="30B29335" w14:textId="77777777" w:rsidR="005233C6" w:rsidRPr="00B32CEF" w:rsidRDefault="005233C6" w:rsidP="005233C6">
            <w:pPr>
              <w:pStyle w:val="Table"/>
              <w:rPr>
                <w:rFonts w:ascii="Arial Narrow" w:hAnsi="Arial Narrow"/>
                <w:color w:val="000000"/>
                <w:szCs w:val="20"/>
                <w:lang w:eastAsia="en-AU"/>
              </w:rPr>
            </w:pPr>
            <w:r w:rsidRPr="00B32CEF">
              <w:rPr>
                <w:rFonts w:ascii="Arial Narrow" w:hAnsi="Arial Narrow"/>
                <w:color w:val="000000"/>
                <w:szCs w:val="20"/>
                <w:lang w:eastAsia="en-AU"/>
              </w:rPr>
              <w:t>Other costs (infused)</w:t>
            </w:r>
          </w:p>
        </w:tc>
        <w:tc>
          <w:tcPr>
            <w:tcW w:w="1060" w:type="dxa"/>
            <w:noWrap/>
          </w:tcPr>
          <w:p w14:paraId="4DC615FF" w14:textId="7ACBEC9B"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4346A4E3" w14:textId="01879CFE"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08307CB9" w14:textId="39DFFF71"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51" w:type="dxa"/>
            <w:noWrap/>
          </w:tcPr>
          <w:p w14:paraId="472D7A08" w14:textId="2B135330"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060" w:type="dxa"/>
            <w:noWrap/>
          </w:tcPr>
          <w:p w14:paraId="36AF60EB" w14:textId="6A20968A"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060" w:type="dxa"/>
            <w:noWrap/>
          </w:tcPr>
          <w:p w14:paraId="0125F350" w14:textId="11215FF9" w:rsidR="005233C6" w:rsidRPr="00B32CEF" w:rsidRDefault="005233C6" w:rsidP="005233C6">
            <w:pPr>
              <w:pStyle w:val="Table"/>
              <w:jc w:val="center"/>
              <w:rPr>
                <w:rFonts w:ascii="Arial Narrow" w:hAnsi="Arial Narrow"/>
                <w:color w:val="000000"/>
                <w:szCs w:val="20"/>
                <w:lang w:eastAsia="en-AU"/>
              </w:rPr>
            </w:pPr>
            <w:r w:rsidRPr="00B32CEF">
              <w:rPr>
                <w:rFonts w:ascii="Arial Narrow" w:hAnsi="Arial Narrow"/>
                <w:szCs w:val="20"/>
              </w:rPr>
              <w:t>$redacted</w:t>
            </w:r>
          </w:p>
        </w:tc>
        <w:tc>
          <w:tcPr>
            <w:tcW w:w="1108" w:type="dxa"/>
          </w:tcPr>
          <w:p w14:paraId="27F3F2AB" w14:textId="30D04328"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r>
      <w:tr w:rsidR="005233C6" w:rsidRPr="00B32CEF" w14:paraId="390A7ABF" w14:textId="77777777" w:rsidTr="00313528">
        <w:trPr>
          <w:trHeight w:val="198"/>
        </w:trPr>
        <w:tc>
          <w:tcPr>
            <w:tcW w:w="2035" w:type="dxa"/>
            <w:noWrap/>
          </w:tcPr>
          <w:p w14:paraId="3437F2D6" w14:textId="77777777" w:rsidR="005233C6" w:rsidRPr="00B32CEF" w:rsidRDefault="005233C6" w:rsidP="005233C6">
            <w:pPr>
              <w:pStyle w:val="Table"/>
              <w:rPr>
                <w:rFonts w:ascii="Arial Narrow" w:hAnsi="Arial Narrow"/>
                <w:color w:val="000000"/>
                <w:szCs w:val="20"/>
                <w:lang w:eastAsia="en-AU"/>
              </w:rPr>
            </w:pPr>
            <w:r w:rsidRPr="00B32CEF">
              <w:rPr>
                <w:rFonts w:ascii="Arial Narrow" w:hAnsi="Arial Narrow"/>
                <w:color w:val="000000"/>
                <w:szCs w:val="20"/>
                <w:lang w:eastAsia="en-AU"/>
              </w:rPr>
              <w:t>Other costs (non-infused)</w:t>
            </w:r>
          </w:p>
        </w:tc>
        <w:tc>
          <w:tcPr>
            <w:tcW w:w="1060" w:type="dxa"/>
            <w:noWrap/>
          </w:tcPr>
          <w:p w14:paraId="616BC03A" w14:textId="602A34C5"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7DBA4BA8" w14:textId="3D627134"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6EF55D05" w14:textId="70998998"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55FE85B9" w14:textId="699237B8"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205CDC41" w14:textId="3E6FFF9A"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257A7F7C" w14:textId="5EE81EB8"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08" w:type="dxa"/>
          </w:tcPr>
          <w:p w14:paraId="677971AA" w14:textId="4CDA19E2"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r>
      <w:tr w:rsidR="005233C6" w:rsidRPr="00B32CEF" w14:paraId="1B0FED16" w14:textId="77777777" w:rsidTr="00313528">
        <w:trPr>
          <w:trHeight w:val="198"/>
        </w:trPr>
        <w:tc>
          <w:tcPr>
            <w:tcW w:w="2035" w:type="dxa"/>
            <w:noWrap/>
          </w:tcPr>
          <w:p w14:paraId="6213D21E" w14:textId="77777777" w:rsidR="005233C6" w:rsidRPr="00B32CEF" w:rsidRDefault="005233C6" w:rsidP="005233C6">
            <w:pPr>
              <w:pStyle w:val="Table"/>
              <w:rPr>
                <w:rFonts w:ascii="Arial Narrow" w:hAnsi="Arial Narrow"/>
                <w:color w:val="000000"/>
                <w:szCs w:val="20"/>
                <w:lang w:eastAsia="en-AU"/>
              </w:rPr>
            </w:pPr>
            <w:r w:rsidRPr="00B32CEF">
              <w:rPr>
                <w:rFonts w:ascii="Arial Narrow" w:hAnsi="Arial Narrow"/>
                <w:color w:val="000000"/>
                <w:szCs w:val="20"/>
                <w:lang w:eastAsia="en-AU"/>
              </w:rPr>
              <w:t>Cost offsets (SCR)</w:t>
            </w:r>
          </w:p>
        </w:tc>
        <w:tc>
          <w:tcPr>
            <w:tcW w:w="1060" w:type="dxa"/>
            <w:noWrap/>
          </w:tcPr>
          <w:p w14:paraId="2D70B5D8" w14:textId="3C9CD65D"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57FCFD5A" w14:textId="32AC4E1B"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1F905664" w14:textId="3E9A50F4"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7F4EF4FE" w14:textId="5C6566C8"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1319BD18" w14:textId="41450FF4"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5D780F45" w14:textId="41E41FF7"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08" w:type="dxa"/>
          </w:tcPr>
          <w:p w14:paraId="61EEA3D4" w14:textId="6FEE89BA"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r>
      <w:tr w:rsidR="005233C6" w:rsidRPr="00847C36" w14:paraId="0FA663FD" w14:textId="77777777" w:rsidTr="00313528">
        <w:trPr>
          <w:trHeight w:val="198"/>
        </w:trPr>
        <w:tc>
          <w:tcPr>
            <w:tcW w:w="2035" w:type="dxa"/>
            <w:noWrap/>
          </w:tcPr>
          <w:p w14:paraId="4D071C24" w14:textId="77777777" w:rsidR="005233C6" w:rsidRPr="00B32CEF" w:rsidRDefault="005233C6" w:rsidP="005233C6">
            <w:pPr>
              <w:pStyle w:val="Table"/>
              <w:rPr>
                <w:rFonts w:ascii="Arial Narrow" w:hAnsi="Arial Narrow"/>
                <w:color w:val="000000"/>
                <w:szCs w:val="20"/>
                <w:lang w:eastAsia="en-AU"/>
              </w:rPr>
            </w:pPr>
            <w:r w:rsidRPr="00B32CEF">
              <w:rPr>
                <w:rFonts w:ascii="Arial Narrow" w:hAnsi="Arial Narrow"/>
                <w:color w:val="000000"/>
                <w:szCs w:val="20"/>
                <w:lang w:eastAsia="en-AU"/>
              </w:rPr>
              <w:t>Net budget impact</w:t>
            </w:r>
          </w:p>
        </w:tc>
        <w:tc>
          <w:tcPr>
            <w:tcW w:w="1060" w:type="dxa"/>
            <w:noWrap/>
          </w:tcPr>
          <w:p w14:paraId="24CF5EEE" w14:textId="770BEB7C"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42799FBC" w14:textId="1F1B4F89"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4EF1CFE1" w14:textId="13F3CA49"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51" w:type="dxa"/>
            <w:noWrap/>
          </w:tcPr>
          <w:p w14:paraId="2DC0C9C0" w14:textId="5A03F46F"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58088A83" w14:textId="3C2C1F9A"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060" w:type="dxa"/>
            <w:noWrap/>
          </w:tcPr>
          <w:p w14:paraId="5AB6B388" w14:textId="2980A48F"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c>
          <w:tcPr>
            <w:tcW w:w="1108" w:type="dxa"/>
          </w:tcPr>
          <w:p w14:paraId="2E12507C" w14:textId="39C0A8D3" w:rsidR="005233C6" w:rsidRPr="00B32CEF" w:rsidRDefault="005233C6" w:rsidP="005233C6">
            <w:pPr>
              <w:pStyle w:val="Table"/>
              <w:jc w:val="center"/>
              <w:rPr>
                <w:rFonts w:ascii="Arial Narrow" w:hAnsi="Arial Narrow"/>
                <w:szCs w:val="20"/>
              </w:rPr>
            </w:pPr>
            <w:r w:rsidRPr="00B32CEF">
              <w:rPr>
                <w:rFonts w:ascii="Arial Narrow" w:hAnsi="Arial Narrow"/>
                <w:szCs w:val="20"/>
              </w:rPr>
              <w:t>$redacted</w:t>
            </w:r>
          </w:p>
        </w:tc>
      </w:tr>
    </w:tbl>
    <w:p w14:paraId="7D56AA90" w14:textId="77777777" w:rsidR="002C71D0" w:rsidRPr="0079129A" w:rsidRDefault="002C71D0" w:rsidP="00855EF1">
      <w:pPr>
        <w:pStyle w:val="CaptionFootnote"/>
      </w:pPr>
      <w:r>
        <w:t>Source: Secti</w:t>
      </w:r>
      <w:r w:rsidR="00855EF1">
        <w:t>on E Workbook, Inputs worksheet</w:t>
      </w:r>
    </w:p>
    <w:p w14:paraId="00DA455C" w14:textId="77777777" w:rsidR="002C71D0" w:rsidRDefault="002C71D0" w:rsidP="00855EF1">
      <w:pPr>
        <w:spacing w:before="240" w:after="240"/>
      </w:pPr>
      <w:r>
        <w:t xml:space="preserve">The Critique stated the </w:t>
      </w:r>
      <w:r w:rsidRPr="00847C36">
        <w:t>most important change in financial estimates was the near tripling of total infused patients over the first six years of listing. Other important changes included the TIS price reduction, and the more conservative costing of AEs.</w:t>
      </w:r>
    </w:p>
    <w:p w14:paraId="69C3E7A1" w14:textId="27ED66E8" w:rsidR="005C7326" w:rsidRPr="005C7326" w:rsidRDefault="002C71D0">
      <w:r>
        <w:t>The Pre-ESC response offer of a lower price has not been inc</w:t>
      </w:r>
      <w:r w:rsidR="00855EF1">
        <w:t>orporated into these estimates.</w:t>
      </w:r>
      <w:r w:rsidR="005C7326">
        <w:br w:type="page"/>
      </w:r>
    </w:p>
    <w:p w14:paraId="2EA6F54C" w14:textId="284492E3" w:rsidR="002C71D0" w:rsidRPr="002C71D0" w:rsidRDefault="006A0D97" w:rsidP="008318A9">
      <w:pPr>
        <w:pStyle w:val="Heading1"/>
      </w:pPr>
      <w:r w:rsidRPr="00F715D1">
        <w:lastRenderedPageBreak/>
        <w:t>Key issues from ESC for MSAC</w:t>
      </w:r>
    </w:p>
    <w:tbl>
      <w:tblPr>
        <w:tblStyle w:val="TableGrid"/>
        <w:tblW w:w="9470" w:type="dxa"/>
        <w:tblLook w:val="04A0" w:firstRow="1" w:lastRow="0" w:firstColumn="1" w:lastColumn="0" w:noHBand="0" w:noVBand="1"/>
        <w:tblDescription w:val="Summary of the key issues raised by ESC for MSAC consideration"/>
      </w:tblPr>
      <w:tblGrid>
        <w:gridCol w:w="3114"/>
        <w:gridCol w:w="6356"/>
      </w:tblGrid>
      <w:tr w:rsidR="00B52A75" w:rsidRPr="00F85C3A" w14:paraId="029C1BA5" w14:textId="77777777" w:rsidTr="00600E7A">
        <w:trPr>
          <w:trHeight w:val="556"/>
          <w:tblHeader/>
        </w:trPr>
        <w:tc>
          <w:tcPr>
            <w:tcW w:w="3114" w:type="dxa"/>
            <w:tcBorders>
              <w:top w:val="single" w:sz="4" w:space="0" w:color="auto"/>
              <w:left w:val="single" w:sz="4" w:space="0" w:color="auto"/>
              <w:bottom w:val="single" w:sz="4" w:space="0" w:color="auto"/>
              <w:right w:val="single" w:sz="4" w:space="0" w:color="auto"/>
            </w:tcBorders>
            <w:vAlign w:val="center"/>
            <w:hideMark/>
          </w:tcPr>
          <w:p w14:paraId="561D2CFD" w14:textId="77777777" w:rsidR="00B52A75" w:rsidRPr="00ED4A24" w:rsidRDefault="00B52A75" w:rsidP="00600E7A">
            <w:pPr>
              <w:rPr>
                <w:rFonts w:ascii="Arial Narrow" w:hAnsi="Arial Narrow"/>
                <w:b/>
                <w:szCs w:val="22"/>
              </w:rPr>
            </w:pPr>
            <w:r w:rsidRPr="00ED4A24">
              <w:rPr>
                <w:rFonts w:ascii="Arial Narrow" w:hAnsi="Arial Narrow"/>
                <w:b/>
                <w:szCs w:val="22"/>
              </w:rPr>
              <w:t>ESC key issue</w:t>
            </w:r>
          </w:p>
        </w:tc>
        <w:tc>
          <w:tcPr>
            <w:tcW w:w="6356" w:type="dxa"/>
            <w:tcBorders>
              <w:top w:val="single" w:sz="4" w:space="0" w:color="auto"/>
              <w:left w:val="single" w:sz="4" w:space="0" w:color="auto"/>
              <w:bottom w:val="single" w:sz="4" w:space="0" w:color="auto"/>
              <w:right w:val="single" w:sz="4" w:space="0" w:color="auto"/>
            </w:tcBorders>
            <w:vAlign w:val="center"/>
            <w:hideMark/>
          </w:tcPr>
          <w:p w14:paraId="3853D195" w14:textId="77777777" w:rsidR="00B52A75" w:rsidRPr="00ED4A24" w:rsidRDefault="00B52A75" w:rsidP="00600E7A">
            <w:pPr>
              <w:rPr>
                <w:rFonts w:ascii="Arial Narrow" w:hAnsi="Arial Narrow"/>
                <w:b/>
                <w:szCs w:val="22"/>
              </w:rPr>
            </w:pPr>
            <w:r w:rsidRPr="00ED4A24">
              <w:rPr>
                <w:rFonts w:ascii="Arial Narrow" w:hAnsi="Arial Narrow"/>
                <w:b/>
                <w:szCs w:val="22"/>
              </w:rPr>
              <w:t>ESC advice to MSAC</w:t>
            </w:r>
          </w:p>
        </w:tc>
      </w:tr>
      <w:tr w:rsidR="00B52A75" w:rsidRPr="007E40AC" w14:paraId="50626B45" w14:textId="77777777" w:rsidTr="00600E7A">
        <w:tc>
          <w:tcPr>
            <w:tcW w:w="3114" w:type="dxa"/>
            <w:tcBorders>
              <w:top w:val="single" w:sz="4" w:space="0" w:color="auto"/>
              <w:left w:val="single" w:sz="4" w:space="0" w:color="auto"/>
              <w:bottom w:val="single" w:sz="4" w:space="0" w:color="auto"/>
              <w:right w:val="single" w:sz="4" w:space="0" w:color="auto"/>
            </w:tcBorders>
          </w:tcPr>
          <w:p w14:paraId="39DD4C9A" w14:textId="77777777" w:rsidR="00B52A75" w:rsidRPr="00ED4A24" w:rsidRDefault="00B52A75" w:rsidP="00600E7A">
            <w:pPr>
              <w:rPr>
                <w:rFonts w:ascii="Arial Narrow" w:hAnsi="Arial Narrow"/>
                <w:szCs w:val="22"/>
              </w:rPr>
            </w:pPr>
            <w:r w:rsidRPr="00ED4A24">
              <w:rPr>
                <w:rFonts w:ascii="Arial Narrow" w:hAnsi="Arial Narrow"/>
                <w:szCs w:val="22"/>
              </w:rPr>
              <w:t>The definition of the eligible population remains broad</w:t>
            </w:r>
          </w:p>
        </w:tc>
        <w:tc>
          <w:tcPr>
            <w:tcW w:w="6356" w:type="dxa"/>
            <w:tcBorders>
              <w:top w:val="single" w:sz="4" w:space="0" w:color="auto"/>
              <w:left w:val="single" w:sz="4" w:space="0" w:color="auto"/>
              <w:bottom w:val="single" w:sz="4" w:space="0" w:color="auto"/>
              <w:right w:val="single" w:sz="4" w:space="0" w:color="auto"/>
            </w:tcBorders>
          </w:tcPr>
          <w:p w14:paraId="79D08A9C" w14:textId="77777777" w:rsidR="00B52A75" w:rsidRPr="00A81BB6" w:rsidRDefault="00B52A75" w:rsidP="00600E7A">
            <w:pPr>
              <w:spacing w:after="120"/>
              <w:rPr>
                <w:rFonts w:ascii="Arial Narrow" w:hAnsi="Arial Narrow"/>
                <w:szCs w:val="22"/>
              </w:rPr>
            </w:pPr>
            <w:r w:rsidRPr="00A81BB6">
              <w:rPr>
                <w:rFonts w:ascii="Arial Narrow" w:hAnsi="Arial Narrow"/>
                <w:szCs w:val="22"/>
              </w:rPr>
              <w:t>Based on TGA approved indication</w:t>
            </w:r>
            <w:r>
              <w:rPr>
                <w:rFonts w:ascii="Arial Narrow" w:hAnsi="Arial Narrow"/>
                <w:szCs w:val="22"/>
              </w:rPr>
              <w:t>,</w:t>
            </w:r>
            <w:r w:rsidRPr="00A81BB6">
              <w:rPr>
                <w:rFonts w:ascii="Arial Narrow" w:hAnsi="Arial Narrow"/>
                <w:szCs w:val="22"/>
              </w:rPr>
              <w:t xml:space="preserve"> MSAC may wish to define the eligible population for public funding more tightly than the TGA-approved indication. </w:t>
            </w:r>
          </w:p>
        </w:tc>
      </w:tr>
      <w:tr w:rsidR="00B52A75" w:rsidRPr="007E40AC" w14:paraId="2E121A1B" w14:textId="77777777" w:rsidTr="00600E7A">
        <w:trPr>
          <w:trHeight w:val="464"/>
        </w:trPr>
        <w:tc>
          <w:tcPr>
            <w:tcW w:w="3114" w:type="dxa"/>
            <w:tcBorders>
              <w:top w:val="single" w:sz="4" w:space="0" w:color="auto"/>
              <w:left w:val="single" w:sz="4" w:space="0" w:color="auto"/>
              <w:bottom w:val="single" w:sz="4" w:space="0" w:color="auto"/>
              <w:right w:val="single" w:sz="4" w:space="0" w:color="auto"/>
            </w:tcBorders>
          </w:tcPr>
          <w:p w14:paraId="6ABA25C8" w14:textId="77777777" w:rsidR="00B52A75" w:rsidRPr="00ED4A24" w:rsidRDefault="00B52A75" w:rsidP="00600E7A">
            <w:pPr>
              <w:rPr>
                <w:rFonts w:ascii="Arial Narrow" w:hAnsi="Arial Narrow"/>
                <w:szCs w:val="22"/>
              </w:rPr>
            </w:pPr>
            <w:r w:rsidRPr="00ED4A24">
              <w:rPr>
                <w:rFonts w:ascii="Arial Narrow" w:hAnsi="Arial Narrow"/>
                <w:szCs w:val="22"/>
              </w:rPr>
              <w:t>Survival data are immature</w:t>
            </w:r>
            <w:r>
              <w:rPr>
                <w:rFonts w:ascii="Arial Narrow" w:hAnsi="Arial Narrow"/>
                <w:szCs w:val="22"/>
              </w:rPr>
              <w:t>.</w:t>
            </w:r>
            <w:r w:rsidRPr="00ED4A24">
              <w:rPr>
                <w:rFonts w:ascii="Arial Narrow" w:hAnsi="Arial Narrow"/>
                <w:szCs w:val="22"/>
              </w:rPr>
              <w:t xml:space="preserve"> Claims of superior effectiveness and non-inferior safety are unsubstantiated</w:t>
            </w:r>
          </w:p>
        </w:tc>
        <w:tc>
          <w:tcPr>
            <w:tcW w:w="6356" w:type="dxa"/>
            <w:tcBorders>
              <w:top w:val="single" w:sz="4" w:space="0" w:color="auto"/>
              <w:left w:val="single" w:sz="4" w:space="0" w:color="auto"/>
              <w:bottom w:val="single" w:sz="4" w:space="0" w:color="auto"/>
              <w:right w:val="single" w:sz="4" w:space="0" w:color="auto"/>
            </w:tcBorders>
          </w:tcPr>
          <w:p w14:paraId="02486332" w14:textId="77777777" w:rsidR="00B52A75" w:rsidRPr="00A81BB6" w:rsidRDefault="00B52A75" w:rsidP="00855EF1">
            <w:pPr>
              <w:spacing w:after="480"/>
              <w:rPr>
                <w:rFonts w:ascii="Arial Narrow" w:hAnsi="Arial Narrow"/>
                <w:szCs w:val="22"/>
              </w:rPr>
            </w:pPr>
            <w:r w:rsidRPr="00A81BB6">
              <w:rPr>
                <w:rFonts w:ascii="Arial Narrow" w:hAnsi="Arial Narrow"/>
                <w:szCs w:val="22"/>
              </w:rPr>
              <w:t xml:space="preserve">The applicant presented </w:t>
            </w:r>
            <w:r>
              <w:rPr>
                <w:rFonts w:ascii="Arial Narrow" w:hAnsi="Arial Narrow"/>
                <w:szCs w:val="22"/>
              </w:rPr>
              <w:t>the same</w:t>
            </w:r>
            <w:r w:rsidRPr="00A81BB6">
              <w:rPr>
                <w:rFonts w:ascii="Arial Narrow" w:hAnsi="Arial Narrow"/>
                <w:szCs w:val="22"/>
              </w:rPr>
              <w:t xml:space="preserve"> data-cut from the JULIET study</w:t>
            </w:r>
            <w:r>
              <w:rPr>
                <w:rFonts w:ascii="Arial Narrow" w:hAnsi="Arial Narrow"/>
                <w:szCs w:val="22"/>
              </w:rPr>
              <w:t xml:space="preserve"> (May 2018) as the pre-ESC updates for the previous application.</w:t>
            </w:r>
            <w:r w:rsidRPr="00A81BB6">
              <w:rPr>
                <w:rFonts w:ascii="Arial Narrow" w:hAnsi="Arial Narrow"/>
                <w:szCs w:val="22"/>
              </w:rPr>
              <w:t xml:space="preserve"> </w:t>
            </w:r>
            <w:r>
              <w:rPr>
                <w:rFonts w:ascii="Arial Narrow" w:hAnsi="Arial Narrow"/>
                <w:szCs w:val="22"/>
              </w:rPr>
              <w:t>Results from a more recent data-cut (</w:t>
            </w:r>
            <w:r w:rsidRPr="00A81BB6">
              <w:rPr>
                <w:rFonts w:ascii="Arial Narrow" w:hAnsi="Arial Narrow"/>
                <w:szCs w:val="22"/>
              </w:rPr>
              <w:t>December 2018</w:t>
            </w:r>
            <w:r>
              <w:rPr>
                <w:rFonts w:ascii="Arial Narrow" w:hAnsi="Arial Narrow"/>
                <w:szCs w:val="22"/>
              </w:rPr>
              <w:t>) are relied on in the pre-ESC Response to the current application but have not been independently evaluated. C</w:t>
            </w:r>
            <w:r w:rsidRPr="00A81BB6">
              <w:rPr>
                <w:rFonts w:ascii="Arial Narrow" w:hAnsi="Arial Narrow"/>
                <w:szCs w:val="22"/>
              </w:rPr>
              <w:t xml:space="preserve">onsiderable uncertainty remains around </w:t>
            </w:r>
            <w:r>
              <w:rPr>
                <w:rFonts w:ascii="Arial Narrow" w:hAnsi="Arial Narrow"/>
                <w:szCs w:val="22"/>
              </w:rPr>
              <w:t xml:space="preserve">the </w:t>
            </w:r>
            <w:r w:rsidRPr="00A81BB6">
              <w:rPr>
                <w:rFonts w:ascii="Arial Narrow" w:hAnsi="Arial Narrow"/>
                <w:szCs w:val="22"/>
              </w:rPr>
              <w:t xml:space="preserve">size and the durability of the benefit. Treatment with TIS </w:t>
            </w:r>
            <w:r>
              <w:rPr>
                <w:rFonts w:ascii="Arial Narrow" w:hAnsi="Arial Narrow"/>
                <w:szCs w:val="22"/>
              </w:rPr>
              <w:t xml:space="preserve">is </w:t>
            </w:r>
            <w:r w:rsidRPr="00A81BB6">
              <w:rPr>
                <w:rFonts w:ascii="Arial Narrow" w:hAnsi="Arial Narrow"/>
                <w:szCs w:val="22"/>
              </w:rPr>
              <w:t xml:space="preserve">associated with significant </w:t>
            </w:r>
            <w:r>
              <w:rPr>
                <w:rFonts w:ascii="Arial Narrow" w:hAnsi="Arial Narrow"/>
                <w:szCs w:val="22"/>
              </w:rPr>
              <w:t xml:space="preserve">risk of </w:t>
            </w:r>
            <w:r w:rsidRPr="00A81BB6">
              <w:rPr>
                <w:rFonts w:ascii="Arial Narrow" w:hAnsi="Arial Narrow"/>
                <w:szCs w:val="22"/>
              </w:rPr>
              <w:t xml:space="preserve">adverse events. </w:t>
            </w:r>
          </w:p>
        </w:tc>
      </w:tr>
      <w:tr w:rsidR="00B52A75" w:rsidRPr="007E40AC" w14:paraId="1F11D7C4" w14:textId="77777777" w:rsidTr="00600E7A">
        <w:tc>
          <w:tcPr>
            <w:tcW w:w="3114" w:type="dxa"/>
            <w:tcBorders>
              <w:top w:val="single" w:sz="4" w:space="0" w:color="auto"/>
              <w:left w:val="single" w:sz="4" w:space="0" w:color="auto"/>
              <w:bottom w:val="single" w:sz="4" w:space="0" w:color="auto"/>
              <w:right w:val="single" w:sz="4" w:space="0" w:color="auto"/>
            </w:tcBorders>
          </w:tcPr>
          <w:p w14:paraId="07804658" w14:textId="77777777" w:rsidR="00B52A75" w:rsidRPr="00ED4A24" w:rsidRDefault="00B52A75" w:rsidP="00600E7A">
            <w:pPr>
              <w:rPr>
                <w:rFonts w:ascii="Arial Narrow" w:hAnsi="Arial Narrow"/>
                <w:szCs w:val="22"/>
              </w:rPr>
            </w:pPr>
            <w:r w:rsidRPr="00ED4A24">
              <w:rPr>
                <w:rFonts w:ascii="Arial Narrow" w:hAnsi="Arial Narrow"/>
                <w:szCs w:val="22"/>
              </w:rPr>
              <w:t>Comparative effectiveness of TIS against other treatment options</w:t>
            </w:r>
          </w:p>
        </w:tc>
        <w:tc>
          <w:tcPr>
            <w:tcW w:w="6356" w:type="dxa"/>
            <w:tcBorders>
              <w:top w:val="single" w:sz="4" w:space="0" w:color="auto"/>
              <w:left w:val="single" w:sz="4" w:space="0" w:color="auto"/>
              <w:bottom w:val="single" w:sz="4" w:space="0" w:color="auto"/>
              <w:right w:val="single" w:sz="4" w:space="0" w:color="auto"/>
            </w:tcBorders>
          </w:tcPr>
          <w:p w14:paraId="5F1761DA" w14:textId="77777777" w:rsidR="00B52A75" w:rsidRPr="00A81BB6" w:rsidRDefault="00B52A75" w:rsidP="00600E7A">
            <w:pPr>
              <w:spacing w:after="120"/>
              <w:rPr>
                <w:rFonts w:ascii="Arial Narrow" w:hAnsi="Arial Narrow"/>
                <w:szCs w:val="22"/>
              </w:rPr>
            </w:pPr>
            <w:r w:rsidRPr="00A81BB6">
              <w:rPr>
                <w:rFonts w:ascii="Arial Narrow" w:hAnsi="Arial Narrow"/>
                <w:szCs w:val="22"/>
              </w:rPr>
              <w:t xml:space="preserve">The applicant has not addressed this; </w:t>
            </w:r>
            <w:r>
              <w:rPr>
                <w:rFonts w:ascii="Arial Narrow" w:hAnsi="Arial Narrow"/>
                <w:szCs w:val="22"/>
              </w:rPr>
              <w:t xml:space="preserve">the applicant states that </w:t>
            </w:r>
            <w:r w:rsidRPr="00A81BB6">
              <w:rPr>
                <w:rFonts w:ascii="Arial Narrow" w:hAnsi="Arial Narrow"/>
                <w:szCs w:val="22"/>
              </w:rPr>
              <w:t xml:space="preserve">it was unclear as to what was required. </w:t>
            </w:r>
            <w:r>
              <w:rPr>
                <w:rFonts w:ascii="Arial Narrow" w:hAnsi="Arial Narrow"/>
                <w:szCs w:val="22"/>
              </w:rPr>
              <w:t>Although not explicitly stated in the MSAC Advice for the previous application, ESC was of the view that it was not unreasonable to expect there to be a consideration of the effectiveness of emerging immunotherapies for the proposed population.</w:t>
            </w:r>
          </w:p>
        </w:tc>
      </w:tr>
      <w:tr w:rsidR="00B52A75" w:rsidRPr="007E40AC" w14:paraId="5A40FE34" w14:textId="77777777" w:rsidTr="00600E7A">
        <w:tc>
          <w:tcPr>
            <w:tcW w:w="3114" w:type="dxa"/>
            <w:tcBorders>
              <w:top w:val="single" w:sz="4" w:space="0" w:color="auto"/>
              <w:left w:val="single" w:sz="4" w:space="0" w:color="auto"/>
              <w:bottom w:val="single" w:sz="4" w:space="0" w:color="auto"/>
              <w:right w:val="single" w:sz="4" w:space="0" w:color="auto"/>
            </w:tcBorders>
          </w:tcPr>
          <w:p w14:paraId="0A8F3F71" w14:textId="77777777" w:rsidR="00B52A75" w:rsidRPr="00ED4A24" w:rsidRDefault="00B52A75" w:rsidP="00600E7A">
            <w:pPr>
              <w:rPr>
                <w:rFonts w:ascii="Arial Narrow" w:hAnsi="Arial Narrow"/>
                <w:szCs w:val="22"/>
              </w:rPr>
            </w:pPr>
            <w:r w:rsidRPr="00ED4A24">
              <w:rPr>
                <w:rFonts w:ascii="Arial Narrow" w:hAnsi="Arial Narrow"/>
                <w:szCs w:val="22"/>
              </w:rPr>
              <w:t xml:space="preserve">Issues with the economic modelling </w:t>
            </w:r>
          </w:p>
        </w:tc>
        <w:tc>
          <w:tcPr>
            <w:tcW w:w="6356" w:type="dxa"/>
            <w:tcBorders>
              <w:top w:val="single" w:sz="4" w:space="0" w:color="auto"/>
              <w:left w:val="single" w:sz="4" w:space="0" w:color="auto"/>
              <w:bottom w:val="single" w:sz="4" w:space="0" w:color="auto"/>
              <w:right w:val="single" w:sz="4" w:space="0" w:color="auto"/>
            </w:tcBorders>
          </w:tcPr>
          <w:p w14:paraId="34817F3C" w14:textId="77777777" w:rsidR="00B52A75" w:rsidRPr="00A81BB6" w:rsidRDefault="00B52A75" w:rsidP="00600E7A">
            <w:pPr>
              <w:pStyle w:val="NormalBeforeBullet"/>
              <w:spacing w:after="0"/>
              <w:rPr>
                <w:rFonts w:ascii="Arial Narrow" w:hAnsi="Arial Narrow"/>
                <w:szCs w:val="22"/>
              </w:rPr>
            </w:pPr>
            <w:r w:rsidRPr="00A81BB6">
              <w:rPr>
                <w:rFonts w:ascii="Arial Narrow" w:hAnsi="Arial Narrow"/>
                <w:szCs w:val="22"/>
              </w:rPr>
              <w:t xml:space="preserve">The base case may be overly optimistic, as the following </w:t>
            </w:r>
            <w:r>
              <w:rPr>
                <w:rFonts w:ascii="Arial Narrow" w:hAnsi="Arial Narrow"/>
                <w:szCs w:val="22"/>
              </w:rPr>
              <w:t>assumptions</w:t>
            </w:r>
            <w:r w:rsidRPr="00A81BB6">
              <w:rPr>
                <w:rFonts w:ascii="Arial Narrow" w:hAnsi="Arial Narrow"/>
                <w:szCs w:val="22"/>
              </w:rPr>
              <w:t xml:space="preserve"> </w:t>
            </w:r>
            <w:r>
              <w:rPr>
                <w:rFonts w:ascii="Arial Narrow" w:hAnsi="Arial Narrow"/>
                <w:szCs w:val="22"/>
              </w:rPr>
              <w:t xml:space="preserve">substantially </w:t>
            </w:r>
            <w:r w:rsidRPr="00A81BB6">
              <w:rPr>
                <w:rFonts w:ascii="Arial Narrow" w:hAnsi="Arial Narrow"/>
                <w:szCs w:val="22"/>
              </w:rPr>
              <w:t>affect the ICER:</w:t>
            </w:r>
          </w:p>
          <w:p w14:paraId="66FAE893" w14:textId="77777777" w:rsidR="00B52A75" w:rsidRPr="000334EC" w:rsidRDefault="00B52A75" w:rsidP="00B52A75">
            <w:pPr>
              <w:pStyle w:val="ListParagraph"/>
              <w:numPr>
                <w:ilvl w:val="0"/>
                <w:numId w:val="27"/>
              </w:numPr>
              <w:spacing w:after="120"/>
              <w:rPr>
                <w:rFonts w:ascii="Arial Narrow" w:hAnsi="Arial Narrow"/>
                <w:szCs w:val="22"/>
              </w:rPr>
            </w:pPr>
            <w:r w:rsidRPr="000334EC">
              <w:rPr>
                <w:rFonts w:ascii="Arial Narrow" w:hAnsi="Arial Narrow"/>
                <w:szCs w:val="22"/>
              </w:rPr>
              <w:t>extrapolation method; and</w:t>
            </w:r>
          </w:p>
          <w:p w14:paraId="42B9500E" w14:textId="77777777" w:rsidR="00B52A75" w:rsidRPr="000334EC" w:rsidRDefault="00B52A75" w:rsidP="00B52A75">
            <w:pPr>
              <w:pStyle w:val="ListParagraph"/>
              <w:numPr>
                <w:ilvl w:val="0"/>
                <w:numId w:val="27"/>
              </w:numPr>
              <w:spacing w:after="120"/>
              <w:rPr>
                <w:rFonts w:ascii="Arial Narrow" w:hAnsi="Arial Narrow"/>
                <w:szCs w:val="22"/>
              </w:rPr>
            </w:pPr>
            <w:r w:rsidRPr="000334EC">
              <w:rPr>
                <w:rFonts w:ascii="Arial Narrow" w:hAnsi="Arial Narrow"/>
                <w:szCs w:val="22"/>
              </w:rPr>
              <w:t>starting age.</w:t>
            </w:r>
          </w:p>
        </w:tc>
      </w:tr>
      <w:tr w:rsidR="00B52A75" w:rsidRPr="007E40AC" w14:paraId="194AB575" w14:textId="77777777" w:rsidTr="00600E7A">
        <w:tc>
          <w:tcPr>
            <w:tcW w:w="3114" w:type="dxa"/>
            <w:tcBorders>
              <w:top w:val="single" w:sz="4" w:space="0" w:color="auto"/>
              <w:left w:val="single" w:sz="4" w:space="0" w:color="auto"/>
              <w:bottom w:val="single" w:sz="4" w:space="0" w:color="auto"/>
              <w:right w:val="single" w:sz="4" w:space="0" w:color="auto"/>
            </w:tcBorders>
          </w:tcPr>
          <w:p w14:paraId="0A64F7EC" w14:textId="77777777" w:rsidR="00B52A75" w:rsidRPr="00ED4A24" w:rsidRDefault="00B52A75" w:rsidP="00600E7A">
            <w:pPr>
              <w:rPr>
                <w:rFonts w:ascii="Arial Narrow" w:hAnsi="Arial Narrow"/>
                <w:szCs w:val="22"/>
              </w:rPr>
            </w:pPr>
            <w:r>
              <w:rPr>
                <w:rFonts w:ascii="Arial Narrow" w:hAnsi="Arial Narrow"/>
                <w:szCs w:val="22"/>
              </w:rPr>
              <w:t>U</w:t>
            </w:r>
            <w:r w:rsidRPr="00ED4A24">
              <w:rPr>
                <w:rFonts w:ascii="Arial Narrow" w:hAnsi="Arial Narrow"/>
                <w:szCs w:val="22"/>
              </w:rPr>
              <w:t xml:space="preserve">ncertainty </w:t>
            </w:r>
            <w:r>
              <w:rPr>
                <w:rFonts w:ascii="Arial Narrow" w:hAnsi="Arial Narrow"/>
                <w:szCs w:val="22"/>
              </w:rPr>
              <w:t>in</w:t>
            </w:r>
            <w:r w:rsidRPr="00ED4A24">
              <w:rPr>
                <w:rFonts w:ascii="Arial Narrow" w:hAnsi="Arial Narrow"/>
                <w:szCs w:val="22"/>
              </w:rPr>
              <w:t xml:space="preserve"> the budget impact</w:t>
            </w:r>
          </w:p>
        </w:tc>
        <w:tc>
          <w:tcPr>
            <w:tcW w:w="6356" w:type="dxa"/>
            <w:tcBorders>
              <w:top w:val="single" w:sz="4" w:space="0" w:color="auto"/>
              <w:left w:val="single" w:sz="4" w:space="0" w:color="auto"/>
              <w:bottom w:val="single" w:sz="4" w:space="0" w:color="auto"/>
              <w:right w:val="single" w:sz="4" w:space="0" w:color="auto"/>
            </w:tcBorders>
          </w:tcPr>
          <w:p w14:paraId="5E87C2D8" w14:textId="77777777" w:rsidR="00B52A75" w:rsidRPr="00A81BB6" w:rsidRDefault="00B52A75" w:rsidP="00600E7A">
            <w:pPr>
              <w:spacing w:after="120"/>
              <w:rPr>
                <w:rFonts w:ascii="Arial Narrow" w:hAnsi="Arial Narrow"/>
                <w:szCs w:val="22"/>
              </w:rPr>
            </w:pPr>
            <w:r w:rsidRPr="00A81BB6">
              <w:rPr>
                <w:rFonts w:ascii="Arial Narrow" w:hAnsi="Arial Narrow"/>
                <w:szCs w:val="22"/>
              </w:rPr>
              <w:t xml:space="preserve">Likely that utilisation and cost estimates for TIS are significantly overestimated. </w:t>
            </w:r>
          </w:p>
        </w:tc>
      </w:tr>
      <w:tr w:rsidR="00B52A75" w:rsidRPr="007E40AC" w14:paraId="659297A8" w14:textId="77777777" w:rsidTr="00600E7A">
        <w:tc>
          <w:tcPr>
            <w:tcW w:w="3114" w:type="dxa"/>
            <w:tcBorders>
              <w:top w:val="single" w:sz="4" w:space="0" w:color="auto"/>
              <w:left w:val="single" w:sz="4" w:space="0" w:color="auto"/>
              <w:bottom w:val="single" w:sz="4" w:space="0" w:color="auto"/>
              <w:right w:val="single" w:sz="4" w:space="0" w:color="auto"/>
            </w:tcBorders>
          </w:tcPr>
          <w:p w14:paraId="62200CF0" w14:textId="77777777" w:rsidR="00B52A75" w:rsidRPr="00ED4A24" w:rsidRDefault="00B52A75" w:rsidP="00600E7A">
            <w:pPr>
              <w:spacing w:after="120"/>
              <w:rPr>
                <w:rFonts w:ascii="Arial Narrow" w:hAnsi="Arial Narrow"/>
                <w:szCs w:val="22"/>
              </w:rPr>
            </w:pPr>
            <w:r>
              <w:rPr>
                <w:rFonts w:ascii="Arial Narrow" w:hAnsi="Arial Narrow"/>
                <w:szCs w:val="22"/>
              </w:rPr>
              <w:t>Risk mitigation proposals</w:t>
            </w:r>
          </w:p>
        </w:tc>
        <w:tc>
          <w:tcPr>
            <w:tcW w:w="6356" w:type="dxa"/>
            <w:tcBorders>
              <w:top w:val="single" w:sz="4" w:space="0" w:color="auto"/>
              <w:left w:val="single" w:sz="4" w:space="0" w:color="auto"/>
              <w:bottom w:val="single" w:sz="4" w:space="0" w:color="auto"/>
              <w:right w:val="single" w:sz="4" w:space="0" w:color="auto"/>
            </w:tcBorders>
          </w:tcPr>
          <w:p w14:paraId="029D3F50" w14:textId="77777777" w:rsidR="00B52A75" w:rsidRPr="000334EC" w:rsidRDefault="00B52A75" w:rsidP="00600E7A">
            <w:pPr>
              <w:spacing w:after="120"/>
              <w:rPr>
                <w:rFonts w:ascii="Arial Narrow" w:hAnsi="Arial Narrow"/>
                <w:szCs w:val="22"/>
              </w:rPr>
            </w:pPr>
            <w:r w:rsidRPr="00A81BB6">
              <w:rPr>
                <w:rFonts w:ascii="Arial Narrow" w:hAnsi="Arial Narrow"/>
                <w:szCs w:val="22"/>
              </w:rPr>
              <w:t xml:space="preserve">The </w:t>
            </w:r>
            <w:r w:rsidRPr="004F7FEF">
              <w:rPr>
                <w:rFonts w:ascii="Arial Narrow" w:hAnsi="Arial Narrow"/>
                <w:szCs w:val="22"/>
              </w:rPr>
              <w:t>final price offer</w:t>
            </w:r>
            <w:r w:rsidRPr="00A81BB6">
              <w:rPr>
                <w:rFonts w:ascii="Arial Narrow" w:hAnsi="Arial Narrow"/>
                <w:szCs w:val="22"/>
              </w:rPr>
              <w:t xml:space="preserve"> and the proposed risk-sharing arrangement may not be sufficient to offset the clinical, economic and budget uncertainties with </w:t>
            </w:r>
            <w:r w:rsidRPr="000334EC">
              <w:rPr>
                <w:rFonts w:ascii="Arial Narrow" w:hAnsi="Arial Narrow"/>
                <w:szCs w:val="22"/>
              </w:rPr>
              <w:t>this subsidy proposal.</w:t>
            </w:r>
          </w:p>
        </w:tc>
      </w:tr>
    </w:tbl>
    <w:p w14:paraId="43D0FFB2" w14:textId="77777777" w:rsidR="002F2195" w:rsidRDefault="002F2195" w:rsidP="00AB75A3">
      <w:pPr>
        <w:pStyle w:val="Heading2"/>
        <w:spacing w:before="240"/>
      </w:pPr>
      <w:r w:rsidRPr="00ED4A24">
        <w:t>ESC Discussion</w:t>
      </w:r>
    </w:p>
    <w:p w14:paraId="43EE1D37" w14:textId="77777777" w:rsidR="005F16FC" w:rsidRDefault="005F16FC" w:rsidP="00855EF1">
      <w:pPr>
        <w:spacing w:after="240"/>
      </w:pPr>
      <w:r w:rsidRPr="00A81BB6">
        <w:t>Application 1519.1 is a re</w:t>
      </w:r>
      <w:r>
        <w:t xml:space="preserve">-application </w:t>
      </w:r>
      <w:r w:rsidRPr="00A81BB6">
        <w:t xml:space="preserve">that seeks MSAC support for the public subsidy of tisagenlecleucel (TIS) for adult patients with relapsed or refractory diffuse large B-cell lymphoma (DLBCL) after two or more lines of systemic therapy. </w:t>
      </w:r>
    </w:p>
    <w:p w14:paraId="20E3A0BF" w14:textId="77777777" w:rsidR="005F16FC" w:rsidRDefault="005F16FC" w:rsidP="005F16FC">
      <w:r>
        <w:t>The ESC noted the re-application included:</w:t>
      </w:r>
    </w:p>
    <w:p w14:paraId="579A8A17" w14:textId="77777777" w:rsidR="005F16FC" w:rsidRDefault="005F16FC" w:rsidP="005F16FC">
      <w:pPr>
        <w:pStyle w:val="ListParagraph"/>
        <w:numPr>
          <w:ilvl w:val="0"/>
          <w:numId w:val="29"/>
        </w:numPr>
      </w:pPr>
      <w:r>
        <w:t>an updated price;</w:t>
      </w:r>
    </w:p>
    <w:p w14:paraId="5EB071DD" w14:textId="26DB6606" w:rsidR="005F16FC" w:rsidRPr="00B32CEF" w:rsidRDefault="005233C6" w:rsidP="005F16FC">
      <w:pPr>
        <w:pStyle w:val="ListParagraph"/>
        <w:numPr>
          <w:ilvl w:val="0"/>
          <w:numId w:val="29"/>
        </w:numPr>
      </w:pPr>
      <w:r w:rsidRPr="00B32CEF">
        <w:rPr>
          <w:b/>
        </w:rPr>
        <w:t>redacted</w:t>
      </w:r>
      <w:r w:rsidR="005F16FC" w:rsidRPr="00B32CEF">
        <w:t>;</w:t>
      </w:r>
    </w:p>
    <w:p w14:paraId="320D1F80" w14:textId="77777777" w:rsidR="005F16FC" w:rsidRDefault="005F16FC" w:rsidP="005F16FC">
      <w:pPr>
        <w:pStyle w:val="ListParagraph"/>
        <w:numPr>
          <w:ilvl w:val="0"/>
          <w:numId w:val="29"/>
        </w:numPr>
      </w:pPr>
      <w:r>
        <w:t xml:space="preserve">updated clinical data (the economic analysis was only updated with the new clinical data as part of the pre-ESC response); </w:t>
      </w:r>
    </w:p>
    <w:p w14:paraId="3C7E40C6" w14:textId="77777777" w:rsidR="005F16FC" w:rsidRDefault="005F16FC" w:rsidP="005F16FC">
      <w:pPr>
        <w:pStyle w:val="ListParagraph"/>
        <w:numPr>
          <w:ilvl w:val="0"/>
          <w:numId w:val="29"/>
        </w:numPr>
      </w:pPr>
      <w:r>
        <w:t>an updated economic analysis and</w:t>
      </w:r>
    </w:p>
    <w:p w14:paraId="5287CC83" w14:textId="77777777" w:rsidR="005F16FC" w:rsidRPr="00855EF1" w:rsidRDefault="005F16FC" w:rsidP="00855EF1">
      <w:pPr>
        <w:pStyle w:val="ListParagraph"/>
        <w:numPr>
          <w:ilvl w:val="0"/>
          <w:numId w:val="29"/>
        </w:numPr>
        <w:spacing w:after="240"/>
      </w:pPr>
      <w:r>
        <w:t>updated financial estimates</w:t>
      </w:r>
      <w:r w:rsidR="00855EF1">
        <w:t>.</w:t>
      </w:r>
    </w:p>
    <w:p w14:paraId="3EBD9C99" w14:textId="77777777" w:rsidR="005F16FC" w:rsidRPr="00855EF1" w:rsidRDefault="005F16FC" w:rsidP="00855EF1">
      <w:pPr>
        <w:spacing w:after="240"/>
      </w:pPr>
      <w:r>
        <w:t xml:space="preserve">The ESC noted </w:t>
      </w:r>
      <w:r w:rsidRPr="006C7F89">
        <w:t>DLBCL consists of multiple diseases, some of which have poor prognosis depending on the genetic profile</w:t>
      </w:r>
      <w:r>
        <w:t>.</w:t>
      </w:r>
      <w:r w:rsidRPr="006C7F89">
        <w:t xml:space="preserve"> </w:t>
      </w:r>
      <w:r>
        <w:t>T</w:t>
      </w:r>
      <w:r w:rsidRPr="006C7F89">
        <w:t xml:space="preserve">he refractory and relapsed population </w:t>
      </w:r>
      <w:r>
        <w:t xml:space="preserve">also </w:t>
      </w:r>
      <w:r w:rsidRPr="006C7F89">
        <w:t xml:space="preserve">differ clinically. </w:t>
      </w:r>
      <w:r>
        <w:t>In Australia a</w:t>
      </w:r>
      <w:r w:rsidRPr="006C7F89">
        <w:t>ll DLBCL patients receive rituximab</w:t>
      </w:r>
      <w:r>
        <w:t xml:space="preserve"> as part of first line combination chemotherapy.</w:t>
      </w:r>
      <w:r w:rsidRPr="006C7F89">
        <w:t xml:space="preserve"> </w:t>
      </w:r>
      <w:r>
        <w:t>R</w:t>
      </w:r>
      <w:r w:rsidRPr="006C7F89">
        <w:t xml:space="preserve">elapsed disease is treated with chemotherapy, and then a second-line </w:t>
      </w:r>
      <w:r w:rsidRPr="006C7F89">
        <w:lastRenderedPageBreak/>
        <w:t xml:space="preserve">chemotherapy regimen or </w:t>
      </w:r>
      <w:r w:rsidRPr="0033180D">
        <w:t>autologous stem cell transplantation (</w:t>
      </w:r>
      <w:r w:rsidRPr="006C7F89">
        <w:t>ASCT</w:t>
      </w:r>
      <w:r>
        <w:t>)</w:t>
      </w:r>
      <w:r w:rsidRPr="006C7F89">
        <w:t>. Refractory disease is treated with multiple lines of therapy and many patients are never candidates for ASCT</w:t>
      </w:r>
      <w:r w:rsidR="00855EF1">
        <w:t>.</w:t>
      </w:r>
    </w:p>
    <w:p w14:paraId="0B2D7FB6" w14:textId="77777777" w:rsidR="005F16FC" w:rsidRPr="00A81BB6" w:rsidRDefault="005F16FC" w:rsidP="005F16FC">
      <w:pPr>
        <w:pStyle w:val="NormalBeforeBullet"/>
      </w:pPr>
      <w:r w:rsidRPr="00A81BB6">
        <w:t>The ESC noted the change to the proposed eligibility for subsidy to reflect the wording of the TGA approval:</w:t>
      </w:r>
    </w:p>
    <w:p w14:paraId="6B8932B2" w14:textId="77777777" w:rsidR="005F16FC" w:rsidRPr="00A81BB6" w:rsidRDefault="005F16FC" w:rsidP="005F16FC">
      <w:pPr>
        <w:pStyle w:val="Bullet"/>
      </w:pPr>
      <w:r w:rsidRPr="00A81BB6">
        <w:t>previous application: adult patients with relapsed or refractory DLBCL who are ineligible for or relapse after autologous stem cell transplant</w:t>
      </w:r>
      <w:r>
        <w:t xml:space="preserve"> (ASCT)</w:t>
      </w:r>
    </w:p>
    <w:p w14:paraId="096ABEBE" w14:textId="77777777" w:rsidR="005F16FC" w:rsidRPr="00A81BB6" w:rsidRDefault="005F16FC" w:rsidP="005F16FC">
      <w:pPr>
        <w:pStyle w:val="BulletLast"/>
      </w:pPr>
      <w:r w:rsidRPr="00A81BB6">
        <w:t xml:space="preserve">current application: adult patients with relapsed or refractory DLBCL after two or more lines of systemic therapy. </w:t>
      </w:r>
    </w:p>
    <w:p w14:paraId="5F243E09" w14:textId="77777777" w:rsidR="005F16FC" w:rsidRDefault="005F16FC" w:rsidP="00855EF1">
      <w:pPr>
        <w:spacing w:after="240"/>
      </w:pPr>
      <w:r>
        <w:t xml:space="preserve">The resubmission argued that the eligible population would effectively remain the same as in the previous application. </w:t>
      </w:r>
      <w:r w:rsidRPr="00A81BB6">
        <w:t>However, ESC considered that the revised eligibility criteria may not adequately describe the patients most likely to benefit from therapy and advised that the MSAC may wish to include additional criteria, for example</w:t>
      </w:r>
      <w:r>
        <w:t>:</w:t>
      </w:r>
      <w:r w:rsidRPr="00A81BB6">
        <w:t xml:space="preserve"> performance status</w:t>
      </w:r>
      <w:r>
        <w:t>;</w:t>
      </w:r>
      <w:r w:rsidRPr="00A81BB6">
        <w:t xml:space="preserve"> whether or not ASCT is counted as a line of systemic therapy</w:t>
      </w:r>
      <w:r>
        <w:t>; and whether or not treatment with CAR-T therapy should be limited to once per lifetime.</w:t>
      </w:r>
      <w:r w:rsidRPr="00A81BB6">
        <w:t xml:space="preserve"> </w:t>
      </w:r>
      <w:r>
        <w:t>ESC further noted that the characteristics that might render patients ineligible for ASCT (e.g. older age/frailty, multiple co-morbidities) might also render them unsuitable for CAR-T therapy, and that the JULIET clinical trial protocol included a number of eligibility criteria directed at ensuring that patients are fit enough for treatment with TIS.</w:t>
      </w:r>
    </w:p>
    <w:p w14:paraId="0C6CD642" w14:textId="77777777" w:rsidR="005F16FC" w:rsidRDefault="005F16FC" w:rsidP="00855EF1">
      <w:pPr>
        <w:spacing w:after="240"/>
      </w:pPr>
      <w:r>
        <w:t xml:space="preserve">The ESC noted the re-application included updated clinical data from the single arm JULIET study, with headline results for the 11 December 2018 data cut-off provided post application and incorporated into the economic analysis provided </w:t>
      </w:r>
      <w:r w:rsidR="00855EF1">
        <w:t>with the pre-ESC response.</w:t>
      </w:r>
    </w:p>
    <w:p w14:paraId="46646689" w14:textId="77777777" w:rsidR="005F16FC" w:rsidRDefault="005F16FC" w:rsidP="00855EF1">
      <w:pPr>
        <w:spacing w:after="240"/>
      </w:pPr>
      <w:r>
        <w:t>The ESC noted the median Progression Free Survival (P</w:t>
      </w:r>
      <w:r w:rsidRPr="0079129A">
        <w:t>FS</w:t>
      </w:r>
      <w:r>
        <w:t>)</w:t>
      </w:r>
      <w:r w:rsidRPr="0079129A">
        <w:t xml:space="preserve"> </w:t>
      </w:r>
      <w:r>
        <w:t xml:space="preserve">based on the December 2018 cut-off of the JULIET data </w:t>
      </w:r>
      <w:r w:rsidRPr="006A6212">
        <w:t>was 4.6 months (95% CI: 3.7, 5.2) which was the same as at</w:t>
      </w:r>
      <w:r>
        <w:t xml:space="preserve"> </w:t>
      </w:r>
      <w:r w:rsidRPr="0079129A">
        <w:t>the May 2018 dat</w:t>
      </w:r>
      <w:r>
        <w:t xml:space="preserve">a cut (4.6 months [3.68, 5.19]). However, ESC also noted the short median duration of follow up and very low numbers of at risk patients at later time points in the PFS and Overall Survival (OS) Kaplan Meier curves. Although the </w:t>
      </w:r>
      <w:r w:rsidRPr="00A81BB6">
        <w:t xml:space="preserve">ESC was </w:t>
      </w:r>
      <w:r>
        <w:t xml:space="preserve">somewhat </w:t>
      </w:r>
      <w:r w:rsidRPr="00A81BB6">
        <w:t>reassured by the</w:t>
      </w:r>
      <w:r>
        <w:t xml:space="preserve"> additional clinical results</w:t>
      </w:r>
      <w:r w:rsidRPr="00A81BB6">
        <w:t xml:space="preserve">, it </w:t>
      </w:r>
      <w:r>
        <w:t>was of the view that</w:t>
      </w:r>
      <w:r w:rsidRPr="00A81BB6">
        <w:t xml:space="preserve"> there continues to be considerable uncertainty around the long term outcomes of treatment</w:t>
      </w:r>
      <w:r>
        <w:t>.</w:t>
      </w:r>
    </w:p>
    <w:p w14:paraId="69F49805" w14:textId="7E778703" w:rsidR="005B51D9" w:rsidRDefault="005B51D9" w:rsidP="00606379">
      <w:pPr>
        <w:spacing w:after="240"/>
      </w:pPr>
      <w:r w:rsidRPr="00A81BB6">
        <w:t xml:space="preserve">The ESC acknowledged the sponsor </w:t>
      </w:r>
      <w:r w:rsidRPr="00B32CEF">
        <w:t xml:space="preserve">proposes </w:t>
      </w:r>
      <w:r w:rsidR="005233C6" w:rsidRPr="00B32CEF">
        <w:rPr>
          <w:b/>
        </w:rPr>
        <w:t>redacted</w:t>
      </w:r>
      <w:r w:rsidR="005233C6" w:rsidRPr="00B32CEF">
        <w:t xml:space="preserve"> </w:t>
      </w:r>
      <w:r w:rsidRPr="00B32CEF">
        <w:t xml:space="preserve">for the DLBCL indication, and that this may be the most feasible/practical approach to addressing the concerns raised in the evaluation while providing timely access to this therapy. The ESC considered the </w:t>
      </w:r>
      <w:r w:rsidR="005233C6" w:rsidRPr="00B32CEF">
        <w:rPr>
          <w:b/>
        </w:rPr>
        <w:t>redacted</w:t>
      </w:r>
      <w:r w:rsidR="005233C6" w:rsidRPr="00B32CEF">
        <w:t xml:space="preserve"> </w:t>
      </w:r>
      <w:r w:rsidRPr="00B32CEF">
        <w:t xml:space="preserve">in the context of this disease. The ESC also noted the proposed </w:t>
      </w:r>
      <w:r w:rsidR="005233C6" w:rsidRPr="00B32CEF">
        <w:rPr>
          <w:b/>
        </w:rPr>
        <w:t>redacted</w:t>
      </w:r>
      <w:r w:rsidRPr="00B32CEF">
        <w:t>.</w:t>
      </w:r>
    </w:p>
    <w:p w14:paraId="6778F518" w14:textId="77777777" w:rsidR="005F16FC" w:rsidRPr="00A81BB6" w:rsidRDefault="005F16FC" w:rsidP="00330E03">
      <w:pPr>
        <w:spacing w:after="240"/>
      </w:pPr>
      <w:r w:rsidRPr="00A81BB6">
        <w:t xml:space="preserve">ESC noted the updated JULIET safety data, </w:t>
      </w:r>
      <w:r>
        <w:t>and that</w:t>
      </w:r>
      <w:r w:rsidRPr="00A81BB6">
        <w:t xml:space="preserve"> there were no changes to the proportion of patie</w:t>
      </w:r>
      <w:r w:rsidR="00330E03">
        <w:t>nts with adverse events (AEs).</w:t>
      </w:r>
    </w:p>
    <w:p w14:paraId="265F8E89" w14:textId="77777777" w:rsidR="005F16FC" w:rsidRDefault="005F16FC" w:rsidP="00330E03">
      <w:pPr>
        <w:spacing w:after="240"/>
      </w:pPr>
      <w:r w:rsidRPr="00A81BB6">
        <w:t xml:space="preserve">The ESC noted the applicant had included an extra study (Corazzelli 2009) to inform the modelling of AEs in the </w:t>
      </w:r>
      <w:r w:rsidR="005031A2">
        <w:t>SCR</w:t>
      </w:r>
      <w:r w:rsidRPr="00A81BB6">
        <w:t xml:space="preserve"> arm of the economic model. However, the Critique noted that the Corazzelli study followed patients with B-cell non-Hodgkin lymphoma after treatment with gemcitabine and oxaliplatin (with or without rituximab). ESC agreed </w:t>
      </w:r>
      <w:r>
        <w:t xml:space="preserve">with the Critique </w:t>
      </w:r>
      <w:r w:rsidRPr="00A81BB6">
        <w:t xml:space="preserve">that it is unclear if these AE data would be applicable to the DLBCL population treated with R-DHAP – the salvage chemotherapy most likely to be used in Australia and the one </w:t>
      </w:r>
      <w:r>
        <w:t>assum</w:t>
      </w:r>
      <w:r w:rsidRPr="00A81BB6">
        <w:t xml:space="preserve">ed </w:t>
      </w:r>
      <w:r>
        <w:t>for</w:t>
      </w:r>
      <w:r w:rsidRPr="00A81BB6">
        <w:t xml:space="preserve"> the economic evaluation. The Critique also noted that Corazzelli did not look at AEs as a proportion of events over patients treated, but rather the proportion of cycles with individual adverse events over number of courses of treatment. The ESC considered that this did not form a reasonable basis for comparison of AEs in the economic model.</w:t>
      </w:r>
    </w:p>
    <w:p w14:paraId="3AEBD810" w14:textId="77777777" w:rsidR="005F16FC" w:rsidRPr="00A81BB6" w:rsidRDefault="005F16FC" w:rsidP="005F16FC">
      <w:r w:rsidRPr="00A81BB6">
        <w:lastRenderedPageBreak/>
        <w:t>The ESC noted the re-application included changes to the economic evaluation</w:t>
      </w:r>
      <w:r>
        <w:t xml:space="preserve"> (re-application model)</w:t>
      </w:r>
      <w:r w:rsidRPr="00A81BB6">
        <w:t>, and that the latest version of the economic model provided with the pre</w:t>
      </w:r>
      <w:r>
        <w:t>-</w:t>
      </w:r>
      <w:r w:rsidRPr="00A81BB6">
        <w:t xml:space="preserve">ESC response </w:t>
      </w:r>
      <w:r>
        <w:t xml:space="preserve">(pre-ESC model) </w:t>
      </w:r>
      <w:r w:rsidRPr="00A81BB6">
        <w:t>had the following changes applied to the re-application base case:</w:t>
      </w:r>
    </w:p>
    <w:p w14:paraId="04CCC3CB" w14:textId="77777777" w:rsidR="005F16FC" w:rsidRPr="00A81BB6" w:rsidRDefault="005F16FC" w:rsidP="005F16FC">
      <w:pPr>
        <w:pStyle w:val="ListParagraph"/>
        <w:numPr>
          <w:ilvl w:val="0"/>
          <w:numId w:val="30"/>
        </w:numPr>
        <w:ind w:left="426" w:hanging="426"/>
        <w:jc w:val="both"/>
      </w:pPr>
      <w:r w:rsidRPr="00A81BB6">
        <w:t>The results from the December 2018 data-cut of JULIET were applied to the model (compared to May 2018 in the re-application)</w:t>
      </w:r>
      <w:r>
        <w:t>;</w:t>
      </w:r>
    </w:p>
    <w:p w14:paraId="3E7FFE64" w14:textId="77777777" w:rsidR="005F16FC" w:rsidRPr="00A81BB6" w:rsidRDefault="005F16FC" w:rsidP="005F16FC">
      <w:pPr>
        <w:pStyle w:val="ListParagraph"/>
        <w:numPr>
          <w:ilvl w:val="0"/>
          <w:numId w:val="30"/>
        </w:numPr>
        <w:ind w:left="426" w:hanging="426"/>
        <w:jc w:val="both"/>
      </w:pPr>
      <w:r w:rsidRPr="00A81BB6">
        <w:t xml:space="preserve">The PFS and OS extrapolation </w:t>
      </w:r>
      <w:r>
        <w:t>was</w:t>
      </w:r>
      <w:r w:rsidRPr="00A81BB6">
        <w:t xml:space="preserve"> forced from cycle 24 instead of cycle 20, reflecting the additional observed data available</w:t>
      </w:r>
      <w:r>
        <w:t>;</w:t>
      </w:r>
    </w:p>
    <w:p w14:paraId="4F4F0C48" w14:textId="77777777" w:rsidR="005F16FC" w:rsidRPr="00A81BB6" w:rsidRDefault="005F16FC" w:rsidP="005F16FC">
      <w:pPr>
        <w:pStyle w:val="ListParagraph"/>
        <w:numPr>
          <w:ilvl w:val="0"/>
          <w:numId w:val="30"/>
        </w:numPr>
        <w:ind w:left="426" w:hanging="426"/>
        <w:jc w:val="both"/>
      </w:pPr>
      <w:r w:rsidRPr="00A81BB6">
        <w:t xml:space="preserve">The TIS PFS and OS extrapolation models </w:t>
      </w:r>
      <w:r>
        <w:t xml:space="preserve">were </w:t>
      </w:r>
      <w:r w:rsidRPr="00A81BB6">
        <w:t>changed from Spline 2 to Spline 1 and Spline 3, as these were the best fitting models to the updated data cut</w:t>
      </w:r>
      <w:r>
        <w:t>; and</w:t>
      </w:r>
    </w:p>
    <w:p w14:paraId="26970AB6" w14:textId="080045F5" w:rsidR="005F16FC" w:rsidRPr="00B32CEF" w:rsidRDefault="005F16FC" w:rsidP="00330E03">
      <w:pPr>
        <w:pStyle w:val="ListParagraph"/>
        <w:numPr>
          <w:ilvl w:val="0"/>
          <w:numId w:val="30"/>
        </w:numPr>
        <w:spacing w:after="240"/>
        <w:ind w:left="426" w:hanging="426"/>
        <w:jc w:val="both"/>
      </w:pPr>
      <w:r w:rsidRPr="00A81BB6">
        <w:t xml:space="preserve">The price of TIS was reduced </w:t>
      </w:r>
      <w:r w:rsidRPr="00B32CEF">
        <w:t>from $</w:t>
      </w:r>
      <w:r w:rsidR="005233C6" w:rsidRPr="00B32CEF">
        <w:rPr>
          <w:b/>
        </w:rPr>
        <w:t>redacted</w:t>
      </w:r>
      <w:r w:rsidR="005233C6" w:rsidRPr="00B32CEF">
        <w:t xml:space="preserve"> </w:t>
      </w:r>
      <w:r w:rsidR="005B51D9" w:rsidRPr="00B32CEF">
        <w:t>to $</w:t>
      </w:r>
      <w:r w:rsidR="005233C6" w:rsidRPr="00B32CEF">
        <w:rPr>
          <w:b/>
        </w:rPr>
        <w:t>redacted</w:t>
      </w:r>
      <w:r w:rsidRPr="00B32CEF">
        <w:t>.</w:t>
      </w:r>
    </w:p>
    <w:p w14:paraId="0B82B8D2" w14:textId="77777777" w:rsidR="005F16FC" w:rsidRPr="00B32CEF" w:rsidRDefault="005F16FC" w:rsidP="005F16FC">
      <w:r w:rsidRPr="00B32CEF">
        <w:t>The ESC noted that the updated economic model is based on the intention-to-treat (ITT) population, consistent with the MSAC advice from its November 2018 consideration.</w:t>
      </w:r>
    </w:p>
    <w:p w14:paraId="30F8F574" w14:textId="77777777" w:rsidR="005F16FC" w:rsidRPr="00B32CEF" w:rsidRDefault="005F16FC" w:rsidP="00330E03">
      <w:pPr>
        <w:spacing w:after="120"/>
      </w:pPr>
      <w:r w:rsidRPr="00B32CEF">
        <w:t>However, the ESC noted a number of issues remain with the economic model that mean that the incremental cost (ICER) per quality adjusted life year (QALY) is likely underestimated:</w:t>
      </w:r>
    </w:p>
    <w:p w14:paraId="59ED4093" w14:textId="7AD7F11D" w:rsidR="005F16FC" w:rsidRPr="00B32CEF" w:rsidRDefault="005F16FC" w:rsidP="00037C4B">
      <w:pPr>
        <w:pStyle w:val="ListParagraph"/>
        <w:numPr>
          <w:ilvl w:val="0"/>
          <w:numId w:val="30"/>
        </w:numPr>
        <w:ind w:left="426" w:hanging="426"/>
      </w:pPr>
      <w:r w:rsidRPr="00B32CEF">
        <w:t>The extrapolation of survival in the TIS arm may be overly optimistic. The base case (Spline 1/3 for TIS OS/PFS and Spline 1 for SCR OS/PFS) discounted cost/QALY is $</w:t>
      </w:r>
      <w:r w:rsidR="005233C6" w:rsidRPr="00B32CEF">
        <w:rPr>
          <w:b/>
        </w:rPr>
        <w:t>redacted</w:t>
      </w:r>
      <w:r w:rsidRPr="00B32CEF">
        <w:t>. Alternative extrapolation methods result in higher discounted costs/QALY (eg</w:t>
      </w:r>
      <w:r w:rsidR="00037C4B" w:rsidRPr="00B32CEF">
        <w:t> </w:t>
      </w:r>
      <w:r w:rsidRPr="00B32CEF">
        <w:t>using lognormal for all survival curves, the discounted cost/QALY is $</w:t>
      </w:r>
      <w:r w:rsidR="005233C6" w:rsidRPr="00B32CEF">
        <w:rPr>
          <w:b/>
        </w:rPr>
        <w:t>redacted</w:t>
      </w:r>
      <w:r w:rsidRPr="00B32CEF">
        <w:t>; using loglogistic for all survival curves, the discounted cost/QALY is $</w:t>
      </w:r>
      <w:r w:rsidR="005233C6" w:rsidRPr="00B32CEF">
        <w:rPr>
          <w:b/>
        </w:rPr>
        <w:t>redacted</w:t>
      </w:r>
      <w:r w:rsidRPr="00B32CEF">
        <w:t>) (See also Table</w:t>
      </w:r>
      <w:r w:rsidR="00037C4B" w:rsidRPr="00B32CEF">
        <w:t> </w:t>
      </w:r>
      <w:r w:rsidRPr="00B32CEF">
        <w:t xml:space="preserve">3 in the addendum to the Critique) </w:t>
      </w:r>
    </w:p>
    <w:p w14:paraId="7DD334A5" w14:textId="2A9BCB51" w:rsidR="005F16FC" w:rsidRPr="00B32CEF" w:rsidRDefault="005F16FC" w:rsidP="00037C4B">
      <w:pPr>
        <w:pStyle w:val="ListParagraph"/>
        <w:numPr>
          <w:ilvl w:val="0"/>
          <w:numId w:val="30"/>
        </w:numPr>
        <w:spacing w:after="240"/>
        <w:ind w:left="426" w:hanging="426"/>
      </w:pPr>
      <w:r w:rsidRPr="00B32CEF">
        <w:t>The starting age in the model (56 years) is lower than the age of diagnosis in Australia (60</w:t>
      </w:r>
      <w:r w:rsidR="00037C4B" w:rsidRPr="00B32CEF">
        <w:t> </w:t>
      </w:r>
      <w:r w:rsidRPr="00B32CEF">
        <w:t>– 70 years). In the model provided in the re-application, the base care discounted cost was $</w:t>
      </w:r>
      <w:r w:rsidR="005233C6" w:rsidRPr="00B32CEF">
        <w:rPr>
          <w:b/>
        </w:rPr>
        <w:t>redacted</w:t>
      </w:r>
      <w:r w:rsidR="005233C6" w:rsidRPr="00B32CEF">
        <w:t xml:space="preserve"> </w:t>
      </w:r>
      <w:r w:rsidR="005B51D9" w:rsidRPr="00B32CEF">
        <w:t>/QALY, which increased to $</w:t>
      </w:r>
      <w:r w:rsidR="005233C6" w:rsidRPr="00B32CEF">
        <w:rPr>
          <w:b/>
        </w:rPr>
        <w:t>redacted</w:t>
      </w:r>
      <w:r w:rsidR="005233C6" w:rsidRPr="00B32CEF">
        <w:t xml:space="preserve"> </w:t>
      </w:r>
      <w:r w:rsidR="005B51D9" w:rsidRPr="00B32CEF">
        <w:t>/QALY if the starting age in the model was 60 years and to $</w:t>
      </w:r>
      <w:r w:rsidR="005233C6" w:rsidRPr="00B32CEF">
        <w:rPr>
          <w:b/>
        </w:rPr>
        <w:t>redacted</w:t>
      </w:r>
      <w:r w:rsidR="005233C6" w:rsidRPr="00B32CEF">
        <w:t xml:space="preserve"> </w:t>
      </w:r>
      <w:r w:rsidRPr="00B32CEF">
        <w:t>/QALY at age 70 years.</w:t>
      </w:r>
    </w:p>
    <w:p w14:paraId="2A9797B4" w14:textId="70F3F28A" w:rsidR="005F16FC" w:rsidRPr="00330E03" w:rsidRDefault="005F16FC" w:rsidP="00330E03">
      <w:pPr>
        <w:spacing w:after="240"/>
      </w:pPr>
      <w:r w:rsidRPr="00B32CEF">
        <w:t>The Critique considered it counter intuitive that the modelled ICER in the ITT population in the pre-ESC model was lower than in the infused population ($</w:t>
      </w:r>
      <w:r w:rsidR="005233C6" w:rsidRPr="00B32CEF">
        <w:rPr>
          <w:b/>
        </w:rPr>
        <w:t>redacted</w:t>
      </w:r>
      <w:r w:rsidR="005233C6" w:rsidRPr="00B32CEF">
        <w:t xml:space="preserve"> </w:t>
      </w:r>
      <w:r w:rsidR="005B51D9" w:rsidRPr="00B32CEF">
        <w:t>versus $</w:t>
      </w:r>
      <w:r w:rsidR="005233C6" w:rsidRPr="00B32CEF">
        <w:rPr>
          <w:b/>
        </w:rPr>
        <w:t>redacted</w:t>
      </w:r>
      <w:r w:rsidRPr="00B32CEF">
        <w:t>).</w:t>
      </w:r>
      <w:r w:rsidRPr="00A81BB6">
        <w:t xml:space="preserve"> The same outcome was also observed in the model provided with the </w:t>
      </w:r>
      <w:r>
        <w:t xml:space="preserve">previous </w:t>
      </w:r>
      <w:r w:rsidRPr="00A81BB6">
        <w:t>applicat</w:t>
      </w:r>
      <w:r>
        <w:t>i</w:t>
      </w:r>
      <w:r w:rsidRPr="00A81BB6">
        <w:t>on. The applicant explained this is a mathematical artefact as a result of the extrapolation. The ESC considered the applicant</w:t>
      </w:r>
      <w:r>
        <w:t>’</w:t>
      </w:r>
      <w:r w:rsidRPr="00A81BB6">
        <w:t>s explanation may be reasonable</w:t>
      </w:r>
      <w:r>
        <w:t>, with this outcome being possible in some scenarios.</w:t>
      </w:r>
    </w:p>
    <w:p w14:paraId="14A38E50" w14:textId="77777777" w:rsidR="005F16FC" w:rsidRDefault="005F16FC" w:rsidP="00330E03">
      <w:pPr>
        <w:spacing w:after="120"/>
        <w:jc w:val="both"/>
      </w:pPr>
      <w:r>
        <w:t xml:space="preserve">The ESC noted the applicant had updated the financial estimates as follows: </w:t>
      </w:r>
    </w:p>
    <w:p w14:paraId="61975632" w14:textId="77777777" w:rsidR="005F16FC" w:rsidRPr="0079129A" w:rsidRDefault="005F16FC" w:rsidP="00330E03">
      <w:pPr>
        <w:pStyle w:val="ListParagraph"/>
        <w:numPr>
          <w:ilvl w:val="0"/>
          <w:numId w:val="30"/>
        </w:numPr>
        <w:ind w:left="425" w:hanging="425"/>
        <w:jc w:val="both"/>
      </w:pPr>
      <w:r>
        <w:t xml:space="preserve">to </w:t>
      </w:r>
      <w:r w:rsidRPr="0079129A">
        <w:t xml:space="preserve">consider the financial impact of the proposed program across all government healthcare budgets; </w:t>
      </w:r>
    </w:p>
    <w:p w14:paraId="05D2B2C8" w14:textId="77777777" w:rsidR="005F16FC" w:rsidRPr="0079129A" w:rsidRDefault="005F16FC" w:rsidP="005F16FC">
      <w:pPr>
        <w:pStyle w:val="ListParagraph"/>
        <w:numPr>
          <w:ilvl w:val="0"/>
          <w:numId w:val="26"/>
        </w:numPr>
        <w:ind w:left="426" w:hanging="426"/>
        <w:jc w:val="both"/>
      </w:pPr>
      <w:r w:rsidRPr="0079129A">
        <w:t>the eligible population in the first two years of the analysis ha</w:t>
      </w:r>
      <w:r>
        <w:t>s</w:t>
      </w:r>
      <w:r w:rsidRPr="0079129A">
        <w:t xml:space="preserve"> been increased to account for curr</w:t>
      </w:r>
      <w:r w:rsidR="00330E03">
        <w:t>ent prevalent r/r DLBCL cases;</w:t>
      </w:r>
    </w:p>
    <w:p w14:paraId="7F21445F" w14:textId="77777777" w:rsidR="005F16FC" w:rsidRPr="0079129A" w:rsidRDefault="005F16FC" w:rsidP="005F16FC">
      <w:pPr>
        <w:pStyle w:val="ListParagraph"/>
        <w:numPr>
          <w:ilvl w:val="0"/>
          <w:numId w:val="26"/>
        </w:numPr>
        <w:ind w:left="426" w:hanging="426"/>
        <w:jc w:val="both"/>
      </w:pPr>
      <w:r>
        <w:t>a</w:t>
      </w:r>
      <w:r w:rsidRPr="0079129A">
        <w:t>dditional disaggregated uptake assumptions have been applied, incorporating updated expectations around geographical access and likely utilisation of CAR-T therapy;</w:t>
      </w:r>
    </w:p>
    <w:p w14:paraId="3A48E6AD" w14:textId="77777777" w:rsidR="005F16FC" w:rsidRPr="0079129A" w:rsidRDefault="005F16FC" w:rsidP="005F16FC">
      <w:pPr>
        <w:pStyle w:val="ListParagraph"/>
        <w:numPr>
          <w:ilvl w:val="0"/>
          <w:numId w:val="26"/>
        </w:numPr>
        <w:ind w:left="426" w:hanging="426"/>
        <w:jc w:val="both"/>
      </w:pPr>
      <w:r>
        <w:t>t</w:t>
      </w:r>
      <w:r w:rsidRPr="0079129A">
        <w:t>he previous market share approach has been discarded and revised estimates account for the total expected uptake of CAR-T therapies within the target r/r DLBCL indication;</w:t>
      </w:r>
    </w:p>
    <w:p w14:paraId="19C63F8F" w14:textId="77777777" w:rsidR="005F16FC" w:rsidRPr="0079129A" w:rsidRDefault="005F16FC" w:rsidP="005F16FC">
      <w:pPr>
        <w:pStyle w:val="ListParagraph"/>
        <w:numPr>
          <w:ilvl w:val="0"/>
          <w:numId w:val="26"/>
        </w:numPr>
        <w:ind w:left="426" w:hanging="426"/>
        <w:jc w:val="both"/>
      </w:pPr>
      <w:r>
        <w:t>c</w:t>
      </w:r>
      <w:r w:rsidRPr="0079129A">
        <w:t xml:space="preserve">ost estimates have been refined to separately consider infused and non-infused patients, explicitly assuming that the applicant will not receive any funding for the latter group; </w:t>
      </w:r>
    </w:p>
    <w:p w14:paraId="65811A14" w14:textId="77777777" w:rsidR="005F16FC" w:rsidRPr="0079129A" w:rsidRDefault="005F16FC" w:rsidP="005F16FC">
      <w:pPr>
        <w:pStyle w:val="ListParagraph"/>
        <w:numPr>
          <w:ilvl w:val="0"/>
          <w:numId w:val="26"/>
        </w:numPr>
        <w:ind w:left="426" w:hanging="426"/>
        <w:jc w:val="both"/>
      </w:pPr>
      <w:r>
        <w:t>i</w:t>
      </w:r>
      <w:r w:rsidRPr="0079129A">
        <w:t>ncreased costs related to Grade 3/4 adverse events and prolonged IVIg administration have been incorporated, consistent with the revised economic evaluation;</w:t>
      </w:r>
      <w:r>
        <w:t xml:space="preserve"> and</w:t>
      </w:r>
    </w:p>
    <w:p w14:paraId="24D255E5" w14:textId="77777777" w:rsidR="005F16FC" w:rsidRDefault="005F16FC" w:rsidP="00330E03">
      <w:pPr>
        <w:pStyle w:val="ListParagraph"/>
        <w:numPr>
          <w:ilvl w:val="0"/>
          <w:numId w:val="26"/>
        </w:numPr>
        <w:spacing w:after="240"/>
        <w:ind w:left="426" w:hanging="426"/>
        <w:jc w:val="both"/>
      </w:pPr>
      <w:r>
        <w:t>t</w:t>
      </w:r>
      <w:r w:rsidRPr="0079129A">
        <w:t>he price of TIS has been reduced</w:t>
      </w:r>
      <w:r>
        <w:t>.</w:t>
      </w:r>
    </w:p>
    <w:p w14:paraId="343609DC" w14:textId="77777777" w:rsidR="005F16FC" w:rsidRDefault="005F16FC" w:rsidP="00330E03">
      <w:pPr>
        <w:spacing w:after="120"/>
      </w:pPr>
      <w:r>
        <w:t>The ESC considered it likely that the utilisation and cost estimates for TIS in DLBCL are signif</w:t>
      </w:r>
      <w:r w:rsidR="00330E03">
        <w:t>icantly over-estimated, noting:</w:t>
      </w:r>
    </w:p>
    <w:p w14:paraId="18250455" w14:textId="77777777" w:rsidR="005F16FC" w:rsidRDefault="005F16FC" w:rsidP="00330E03">
      <w:pPr>
        <w:pStyle w:val="ListParagraph"/>
        <w:numPr>
          <w:ilvl w:val="0"/>
          <w:numId w:val="30"/>
        </w:numPr>
        <w:ind w:left="426" w:hanging="426"/>
      </w:pPr>
      <w:r w:rsidRPr="006C7F89">
        <w:lastRenderedPageBreak/>
        <w:t xml:space="preserve">in an overseas program, one-third of the patients recommended for CAR-T therapy did not receive the transfusion because of disease progression </w:t>
      </w:r>
      <w:r>
        <w:t>or</w:t>
      </w:r>
      <w:r w:rsidRPr="006C7F89">
        <w:t xml:space="preserve"> death</w:t>
      </w:r>
      <w:r>
        <w:t>. However the submission assumes higher uptake rates will occur in Australia;</w:t>
      </w:r>
    </w:p>
    <w:p w14:paraId="5F23E853" w14:textId="77777777" w:rsidR="005F16FC" w:rsidRDefault="005F16FC" w:rsidP="00330E03">
      <w:pPr>
        <w:pStyle w:val="ListParagraph"/>
        <w:numPr>
          <w:ilvl w:val="0"/>
          <w:numId w:val="30"/>
        </w:numPr>
        <w:ind w:left="426" w:hanging="426"/>
      </w:pPr>
      <w:r w:rsidRPr="00B53D15">
        <w:t xml:space="preserve">many patients </w:t>
      </w:r>
      <w:r>
        <w:t xml:space="preserve">in this DLBCL population who are </w:t>
      </w:r>
      <w:r w:rsidRPr="00B53D15">
        <w:t>unsuitable for ASCT</w:t>
      </w:r>
      <w:r>
        <w:t xml:space="preserve"> </w:t>
      </w:r>
      <w:r w:rsidRPr="00B53D15">
        <w:t>as a second-line treatment due to comorbidities and/or age would also be unsuitable for TIS therapy, given the safety profile of TIS.</w:t>
      </w:r>
    </w:p>
    <w:p w14:paraId="7F94A1DF" w14:textId="77777777" w:rsidR="005F16FC" w:rsidRDefault="005F16FC" w:rsidP="00330E03">
      <w:pPr>
        <w:pStyle w:val="ListParagraph"/>
        <w:numPr>
          <w:ilvl w:val="0"/>
          <w:numId w:val="30"/>
        </w:numPr>
        <w:spacing w:after="240"/>
        <w:ind w:left="426"/>
      </w:pPr>
      <w:r>
        <w:t xml:space="preserve">the submission’s estimates for the total infused population in Australia greatly exceed the NHS England patient number estimates for tisagenlecleucel and for axicabtagene ciloleucal (Yescarta®), noting the UK estimates do not account for market share (ie the two populations overlap), and also the estimated UK patient population eligible for </w:t>
      </w:r>
      <w:r w:rsidRPr="00AF3DC3">
        <w:t xml:space="preserve">axicabtagene ciloleucal is higher to account for </w:t>
      </w:r>
      <w:r>
        <w:t>its</w:t>
      </w:r>
      <w:r w:rsidRPr="00AF3DC3">
        <w:t xml:space="preserve"> wider indication</w:t>
      </w:r>
      <w:r>
        <w:rPr>
          <w:rStyle w:val="FootnoteReference"/>
        </w:rPr>
        <w:footnoteReference w:id="1"/>
      </w:r>
      <w:r>
        <w:t>. This is in spite the total population covered by NHS England being around 56 million compared to the Austr</w:t>
      </w:r>
      <w:r w:rsidR="00330E03">
        <w:t>alian population of 26 million.</w:t>
      </w:r>
    </w:p>
    <w:p w14:paraId="0412F388" w14:textId="77777777" w:rsidR="005F16FC" w:rsidRDefault="005F16FC" w:rsidP="00330E03">
      <w:pPr>
        <w:spacing w:after="240"/>
      </w:pPr>
      <w:r>
        <w:t>The ESC requested the Department undertake a second independent review of the utilisation and financial estimates presented in the submission and provide these to the MS</w:t>
      </w:r>
      <w:r w:rsidR="00330E03">
        <w:t>AC as an annex to the critique.</w:t>
      </w:r>
    </w:p>
    <w:p w14:paraId="66156446" w14:textId="77777777" w:rsidR="005F16FC" w:rsidRPr="00A81BB6" w:rsidRDefault="005F16FC" w:rsidP="00330E03">
      <w:pPr>
        <w:spacing w:after="240"/>
      </w:pPr>
      <w:r w:rsidRPr="00A81BB6">
        <w:t>Finally, the ESC noted there continue to be media reports suggesting Novartis may be experiencing difficulties in manufacturing product</w:t>
      </w:r>
      <w:r>
        <w:t xml:space="preserve"> to regulatory standards, in</w:t>
      </w:r>
      <w:r w:rsidRPr="00A81BB6">
        <w:t xml:space="preserve"> particular for DLBCL patients. The ESC requested the applicant provide an update on the </w:t>
      </w:r>
      <w:r>
        <w:t xml:space="preserve">current </w:t>
      </w:r>
      <w:r w:rsidRPr="00A81BB6">
        <w:t>manufacturing failure r</w:t>
      </w:r>
      <w:r w:rsidR="00330E03">
        <w:t>ate with its pre-MSAC response.</w:t>
      </w:r>
    </w:p>
    <w:p w14:paraId="5DB4B04A" w14:textId="40C1E8BA" w:rsidR="005F16FC" w:rsidRDefault="005F16FC" w:rsidP="005F16FC">
      <w:pPr>
        <w:rPr>
          <w:highlight w:val="yellow"/>
        </w:rPr>
      </w:pPr>
      <w:r w:rsidRPr="00A81BB6">
        <w:t>Overall, with the exception of the adoption of ITT analyses in the economic model, the ESC was of the view that none of the areas of clinical, economic or budget uncertainty previously identified by the MSAC have been substantively addressed in the re-application</w:t>
      </w:r>
      <w:r>
        <w:t xml:space="preserve">.  The ESC considered that </w:t>
      </w:r>
      <w:r w:rsidRPr="00B32CEF">
        <w:t xml:space="preserve">the </w:t>
      </w:r>
      <w:r w:rsidR="005233C6" w:rsidRPr="00B32CEF">
        <w:rPr>
          <w:b/>
        </w:rPr>
        <w:t>redacted</w:t>
      </w:r>
      <w:r w:rsidR="005233C6" w:rsidRPr="00B32CEF">
        <w:t xml:space="preserve"> </w:t>
      </w:r>
      <w:r w:rsidRPr="00B32CEF">
        <w:t>may</w:t>
      </w:r>
      <w:r>
        <w:t xml:space="preserve"> not adequately address these issues and requires further development and refinement. </w:t>
      </w:r>
    </w:p>
    <w:p w14:paraId="77DBDF12" w14:textId="77777777" w:rsidR="00D90A38" w:rsidRPr="00F715D1" w:rsidRDefault="00BC1364" w:rsidP="00F715D1">
      <w:pPr>
        <w:pStyle w:val="Heading1"/>
      </w:pPr>
      <w:r w:rsidRPr="00F715D1">
        <w:t>Other significant factors</w:t>
      </w:r>
    </w:p>
    <w:p w14:paraId="4909ADB9" w14:textId="77777777" w:rsidR="00BC1364" w:rsidRPr="00330E03" w:rsidRDefault="00BC1364" w:rsidP="00F715D1">
      <w:pPr>
        <w:spacing w:after="240"/>
        <w:rPr>
          <w:szCs w:val="24"/>
        </w:rPr>
      </w:pPr>
      <w:r w:rsidRPr="00330E03">
        <w:rPr>
          <w:szCs w:val="24"/>
        </w:rPr>
        <w:t>Nil</w:t>
      </w:r>
      <w:r w:rsidR="00330E03">
        <w:rPr>
          <w:szCs w:val="24"/>
        </w:rPr>
        <w:t>.</w:t>
      </w:r>
    </w:p>
    <w:p w14:paraId="135A7989" w14:textId="77777777" w:rsidR="00BC1364" w:rsidRPr="00F715D1" w:rsidRDefault="00BC1364" w:rsidP="00F715D1">
      <w:pPr>
        <w:pStyle w:val="Heading1"/>
      </w:pPr>
      <w:r w:rsidRPr="00F715D1">
        <w:t xml:space="preserve">Applicant’s comments on MSAC’s </w:t>
      </w:r>
      <w:r w:rsidR="00DA56AA" w:rsidRPr="00F715D1">
        <w:t>Public Summary Document</w:t>
      </w:r>
    </w:p>
    <w:p w14:paraId="3CDE4F36" w14:textId="3F80DCDC" w:rsidR="00D3362D" w:rsidRDefault="009A1FC5" w:rsidP="00954FD9">
      <w:pPr>
        <w:autoSpaceDE w:val="0"/>
        <w:autoSpaceDN w:val="0"/>
        <w:rPr>
          <w:color w:val="000000" w:themeColor="text1"/>
        </w:rPr>
      </w:pPr>
      <w:r w:rsidRPr="00195EF1">
        <w:rPr>
          <w:color w:val="000000" w:themeColor="text1"/>
        </w:rPr>
        <w:t>Novartis welcomes the MSAC recommendation of tisagenlecluecel for patients with DLBCL. After considerable efforts from the MSAC, the Department of Health and Novartis, we look forward to reimbursed access for eligible Australian patients to this innovative, personalised therapy.</w:t>
      </w:r>
    </w:p>
    <w:p w14:paraId="2C0EB29E" w14:textId="77777777" w:rsidR="00BC1364" w:rsidRPr="00F715D1" w:rsidRDefault="00271F18" w:rsidP="00F715D1">
      <w:pPr>
        <w:pStyle w:val="Heading1"/>
      </w:pPr>
      <w:r w:rsidRPr="00F715D1">
        <w:t>Further information on MSAC</w:t>
      </w:r>
    </w:p>
    <w:p w14:paraId="4AE71C55"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6"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54A34" w14:textId="77777777" w:rsidR="005233C6" w:rsidRDefault="005233C6" w:rsidP="00065623">
      <w:r>
        <w:separator/>
      </w:r>
    </w:p>
  </w:endnote>
  <w:endnote w:type="continuationSeparator" w:id="0">
    <w:p w14:paraId="1F2F6AC8" w14:textId="77777777" w:rsidR="005233C6" w:rsidRDefault="005233C6"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4EC8" w14:textId="77777777" w:rsidR="00004B5A" w:rsidRDefault="00004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3A564C2" w14:textId="4A2B4E2B" w:rsidR="005233C6" w:rsidRDefault="005233C6">
        <w:pPr>
          <w:pStyle w:val="Footer"/>
          <w:jc w:val="right"/>
        </w:pPr>
        <w:r>
          <w:fldChar w:fldCharType="begin"/>
        </w:r>
        <w:r>
          <w:instrText xml:space="preserve"> PAGE   \* MERGEFORMAT </w:instrText>
        </w:r>
        <w:r>
          <w:fldChar w:fldCharType="separate"/>
        </w:r>
        <w:r w:rsidR="003105CE">
          <w:rPr>
            <w:noProof/>
          </w:rPr>
          <w:t>3</w:t>
        </w:r>
        <w:r>
          <w:rPr>
            <w:noProof/>
          </w:rPr>
          <w:fldChar w:fldCharType="end"/>
        </w:r>
      </w:p>
    </w:sdtContent>
  </w:sdt>
  <w:p w14:paraId="0B1748A3" w14:textId="77777777" w:rsidR="005233C6" w:rsidRDefault="00523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A9B2" w14:textId="77777777" w:rsidR="00004B5A" w:rsidRDefault="00004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CFD32" w14:textId="77777777" w:rsidR="005233C6" w:rsidRDefault="005233C6" w:rsidP="00065623">
      <w:r>
        <w:separator/>
      </w:r>
    </w:p>
  </w:footnote>
  <w:footnote w:type="continuationSeparator" w:id="0">
    <w:p w14:paraId="068D6870" w14:textId="77777777" w:rsidR="005233C6" w:rsidRDefault="005233C6" w:rsidP="00065623">
      <w:r>
        <w:continuationSeparator/>
      </w:r>
    </w:p>
  </w:footnote>
  <w:footnote w:id="1">
    <w:p w14:paraId="74BA8BB0" w14:textId="77777777" w:rsidR="005233C6" w:rsidRDefault="005233C6" w:rsidP="005F16FC">
      <w:pPr>
        <w:pStyle w:val="FootnoteText"/>
      </w:pPr>
      <w:r>
        <w:rPr>
          <w:rStyle w:val="FootnoteReference"/>
        </w:rPr>
        <w:footnoteRef/>
      </w:r>
      <w:r>
        <w:t xml:space="preserve"> </w:t>
      </w:r>
      <w:hyperlink r:id="rId1" w:tooltip="Link to NHS England interim specification for delivery of tisagenlecleucel" w:history="1">
        <w:r w:rsidRPr="00476863">
          <w:rPr>
            <w:rStyle w:val="Hyperlink"/>
          </w:rPr>
          <w:t>https://www.england.nhs.uk/wp-content/uploads/2018/12/Tisagenlecleucel-Chimeric-Antigen-Receptor-T-Cell-CAR-T-Therapy-for-ALL-and-DLBCL.pdf</w:t>
        </w:r>
      </w:hyperlink>
    </w:p>
    <w:p w14:paraId="338DC9C9" w14:textId="77777777" w:rsidR="005233C6" w:rsidRDefault="003105CE" w:rsidP="005F16FC">
      <w:pPr>
        <w:pStyle w:val="FootnoteText"/>
      </w:pPr>
      <w:hyperlink r:id="rId2" w:tooltip="Link to NHS England interm specification for delivery of axicabtagene ciloleucel" w:history="1">
        <w:r w:rsidR="005233C6">
          <w:rPr>
            <w:rStyle w:val="Hyperlink"/>
          </w:rPr>
          <w:t>https://www.england.nhs.uk/wp-content/uploads/2018/12/Axicabtagene-Ciloleucel-Chimeric-Antigen-Receptor-T-Cell-CAR-T-Therapy-for-the-treatment-of-adult-patients-wit.pdf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BCE39" w14:textId="77777777" w:rsidR="00004B5A" w:rsidRDefault="00004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26F4" w14:textId="77777777" w:rsidR="00004B5A" w:rsidRDefault="00004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D9D03" w14:textId="77777777" w:rsidR="00004B5A" w:rsidRDefault="00004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FB"/>
    <w:multiLevelType w:val="hybridMultilevel"/>
    <w:tmpl w:val="D65ACD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DD2856"/>
    <w:multiLevelType w:val="hybridMultilevel"/>
    <w:tmpl w:val="34B09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3753FD"/>
    <w:multiLevelType w:val="hybridMultilevel"/>
    <w:tmpl w:val="398AB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3BC4DAC"/>
    <w:multiLevelType w:val="hybridMultilevel"/>
    <w:tmpl w:val="04D25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B00FDA"/>
    <w:multiLevelType w:val="hybridMultilevel"/>
    <w:tmpl w:val="8588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73C6D"/>
    <w:multiLevelType w:val="hybridMultilevel"/>
    <w:tmpl w:val="E862B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6D657F"/>
    <w:multiLevelType w:val="hybridMultilevel"/>
    <w:tmpl w:val="0C8C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14B486B"/>
    <w:multiLevelType w:val="hybridMultilevel"/>
    <w:tmpl w:val="FFCE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C22AB4"/>
    <w:multiLevelType w:val="hybridMultilevel"/>
    <w:tmpl w:val="E62A9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A7C12"/>
    <w:multiLevelType w:val="hybridMultilevel"/>
    <w:tmpl w:val="3C26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349E4"/>
    <w:multiLevelType w:val="hybridMultilevel"/>
    <w:tmpl w:val="6EB6B6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2113C7E"/>
    <w:multiLevelType w:val="hybridMultilevel"/>
    <w:tmpl w:val="F1C82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E70FE"/>
    <w:multiLevelType w:val="hybridMultilevel"/>
    <w:tmpl w:val="2DB85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93180A"/>
    <w:multiLevelType w:val="hybridMultilevel"/>
    <w:tmpl w:val="BA389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70132C"/>
    <w:multiLevelType w:val="hybridMultilevel"/>
    <w:tmpl w:val="F78407D8"/>
    <w:lvl w:ilvl="0" w:tplc="FE8C04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E4CD0"/>
    <w:multiLevelType w:val="hybridMultilevel"/>
    <w:tmpl w:val="18D4FB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5FD06A5D"/>
    <w:multiLevelType w:val="hybridMultilevel"/>
    <w:tmpl w:val="8760E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DF372E"/>
    <w:multiLevelType w:val="hybridMultilevel"/>
    <w:tmpl w:val="60866C60"/>
    <w:lvl w:ilvl="0" w:tplc="37341E3E">
      <w:start w:val="1"/>
      <w:numFmt w:val="bullet"/>
      <w:lvlText w:val="•"/>
      <w:lvlJc w:val="left"/>
      <w:pPr>
        <w:tabs>
          <w:tab w:val="num" w:pos="720"/>
        </w:tabs>
        <w:ind w:left="720" w:hanging="360"/>
      </w:pPr>
      <w:rPr>
        <w:rFonts w:ascii="Arial" w:hAnsi="Arial" w:hint="default"/>
      </w:rPr>
    </w:lvl>
    <w:lvl w:ilvl="1" w:tplc="B5808B40" w:tentative="1">
      <w:start w:val="1"/>
      <w:numFmt w:val="bullet"/>
      <w:lvlText w:val="•"/>
      <w:lvlJc w:val="left"/>
      <w:pPr>
        <w:tabs>
          <w:tab w:val="num" w:pos="1440"/>
        </w:tabs>
        <w:ind w:left="1440" w:hanging="360"/>
      </w:pPr>
      <w:rPr>
        <w:rFonts w:ascii="Arial" w:hAnsi="Arial" w:hint="default"/>
      </w:rPr>
    </w:lvl>
    <w:lvl w:ilvl="2" w:tplc="76BC78BA" w:tentative="1">
      <w:start w:val="1"/>
      <w:numFmt w:val="bullet"/>
      <w:lvlText w:val="•"/>
      <w:lvlJc w:val="left"/>
      <w:pPr>
        <w:tabs>
          <w:tab w:val="num" w:pos="2160"/>
        </w:tabs>
        <w:ind w:left="2160" w:hanging="360"/>
      </w:pPr>
      <w:rPr>
        <w:rFonts w:ascii="Arial" w:hAnsi="Arial" w:hint="default"/>
      </w:rPr>
    </w:lvl>
    <w:lvl w:ilvl="3" w:tplc="1C9CE49A" w:tentative="1">
      <w:start w:val="1"/>
      <w:numFmt w:val="bullet"/>
      <w:lvlText w:val="•"/>
      <w:lvlJc w:val="left"/>
      <w:pPr>
        <w:tabs>
          <w:tab w:val="num" w:pos="2880"/>
        </w:tabs>
        <w:ind w:left="2880" w:hanging="360"/>
      </w:pPr>
      <w:rPr>
        <w:rFonts w:ascii="Arial" w:hAnsi="Arial" w:hint="default"/>
      </w:rPr>
    </w:lvl>
    <w:lvl w:ilvl="4" w:tplc="71ECD3F2" w:tentative="1">
      <w:start w:val="1"/>
      <w:numFmt w:val="bullet"/>
      <w:lvlText w:val="•"/>
      <w:lvlJc w:val="left"/>
      <w:pPr>
        <w:tabs>
          <w:tab w:val="num" w:pos="3600"/>
        </w:tabs>
        <w:ind w:left="3600" w:hanging="360"/>
      </w:pPr>
      <w:rPr>
        <w:rFonts w:ascii="Arial" w:hAnsi="Arial" w:hint="default"/>
      </w:rPr>
    </w:lvl>
    <w:lvl w:ilvl="5" w:tplc="84F89976" w:tentative="1">
      <w:start w:val="1"/>
      <w:numFmt w:val="bullet"/>
      <w:lvlText w:val="•"/>
      <w:lvlJc w:val="left"/>
      <w:pPr>
        <w:tabs>
          <w:tab w:val="num" w:pos="4320"/>
        </w:tabs>
        <w:ind w:left="4320" w:hanging="360"/>
      </w:pPr>
      <w:rPr>
        <w:rFonts w:ascii="Arial" w:hAnsi="Arial" w:hint="default"/>
      </w:rPr>
    </w:lvl>
    <w:lvl w:ilvl="6" w:tplc="DD5A6B3C" w:tentative="1">
      <w:start w:val="1"/>
      <w:numFmt w:val="bullet"/>
      <w:lvlText w:val="•"/>
      <w:lvlJc w:val="left"/>
      <w:pPr>
        <w:tabs>
          <w:tab w:val="num" w:pos="5040"/>
        </w:tabs>
        <w:ind w:left="5040" w:hanging="360"/>
      </w:pPr>
      <w:rPr>
        <w:rFonts w:ascii="Arial" w:hAnsi="Arial" w:hint="default"/>
      </w:rPr>
    </w:lvl>
    <w:lvl w:ilvl="7" w:tplc="66DEB8D8" w:tentative="1">
      <w:start w:val="1"/>
      <w:numFmt w:val="bullet"/>
      <w:lvlText w:val="•"/>
      <w:lvlJc w:val="left"/>
      <w:pPr>
        <w:tabs>
          <w:tab w:val="num" w:pos="5760"/>
        </w:tabs>
        <w:ind w:left="5760" w:hanging="360"/>
      </w:pPr>
      <w:rPr>
        <w:rFonts w:ascii="Arial" w:hAnsi="Arial" w:hint="default"/>
      </w:rPr>
    </w:lvl>
    <w:lvl w:ilvl="8" w:tplc="E230EA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1943726"/>
    <w:multiLevelType w:val="hybridMultilevel"/>
    <w:tmpl w:val="F214A9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9B27E4"/>
    <w:multiLevelType w:val="hybridMultilevel"/>
    <w:tmpl w:val="1910B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6B97535"/>
    <w:multiLevelType w:val="hybridMultilevel"/>
    <w:tmpl w:val="8AEAC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7"/>
  </w:num>
  <w:num w:numId="3">
    <w:abstractNumId w:val="3"/>
  </w:num>
  <w:num w:numId="4">
    <w:abstractNumId w:val="30"/>
  </w:num>
  <w:num w:numId="5">
    <w:abstractNumId w:val="19"/>
  </w:num>
  <w:num w:numId="6">
    <w:abstractNumId w:val="28"/>
  </w:num>
  <w:num w:numId="7">
    <w:abstractNumId w:val="37"/>
  </w:num>
  <w:num w:numId="8">
    <w:abstractNumId w:val="22"/>
  </w:num>
  <w:num w:numId="9">
    <w:abstractNumId w:val="46"/>
  </w:num>
  <w:num w:numId="10">
    <w:abstractNumId w:val="2"/>
  </w:num>
  <w:num w:numId="11">
    <w:abstractNumId w:val="33"/>
  </w:num>
  <w:num w:numId="12">
    <w:abstractNumId w:val="38"/>
  </w:num>
  <w:num w:numId="13">
    <w:abstractNumId w:val="8"/>
  </w:num>
  <w:num w:numId="14">
    <w:abstractNumId w:val="43"/>
  </w:num>
  <w:num w:numId="15">
    <w:abstractNumId w:val="32"/>
  </w:num>
  <w:num w:numId="16">
    <w:abstractNumId w:val="39"/>
  </w:num>
  <w:num w:numId="17">
    <w:abstractNumId w:val="23"/>
  </w:num>
  <w:num w:numId="18">
    <w:abstractNumId w:val="25"/>
  </w:num>
  <w:num w:numId="19">
    <w:abstractNumId w:val="41"/>
  </w:num>
  <w:num w:numId="20">
    <w:abstractNumId w:val="40"/>
  </w:num>
  <w:num w:numId="21">
    <w:abstractNumId w:val="6"/>
  </w:num>
  <w:num w:numId="22">
    <w:abstractNumId w:val="16"/>
  </w:num>
  <w:num w:numId="23">
    <w:abstractNumId w:val="5"/>
  </w:num>
  <w:num w:numId="24">
    <w:abstractNumId w:val="14"/>
  </w:num>
  <w:num w:numId="25">
    <w:abstractNumId w:val="9"/>
  </w:num>
  <w:num w:numId="26">
    <w:abstractNumId w:val="10"/>
  </w:num>
  <w:num w:numId="27">
    <w:abstractNumId w:val="24"/>
  </w:num>
  <w:num w:numId="28">
    <w:abstractNumId w:val="45"/>
  </w:num>
  <w:num w:numId="29">
    <w:abstractNumId w:val="12"/>
  </w:num>
  <w:num w:numId="30">
    <w:abstractNumId w:val="17"/>
  </w:num>
  <w:num w:numId="31">
    <w:abstractNumId w:val="1"/>
  </w:num>
  <w:num w:numId="32">
    <w:abstractNumId w:val="13"/>
  </w:num>
  <w:num w:numId="33">
    <w:abstractNumId w:val="42"/>
  </w:num>
  <w:num w:numId="34">
    <w:abstractNumId w:val="18"/>
  </w:num>
  <w:num w:numId="35">
    <w:abstractNumId w:val="35"/>
  </w:num>
  <w:num w:numId="36">
    <w:abstractNumId w:val="20"/>
  </w:num>
  <w:num w:numId="37">
    <w:abstractNumId w:val="31"/>
  </w:num>
  <w:num w:numId="38">
    <w:abstractNumId w:val="4"/>
  </w:num>
  <w:num w:numId="39">
    <w:abstractNumId w:val="21"/>
  </w:num>
  <w:num w:numId="40">
    <w:abstractNumId w:val="0"/>
  </w:num>
  <w:num w:numId="41">
    <w:abstractNumId w:val="34"/>
  </w:num>
  <w:num w:numId="42">
    <w:abstractNumId w:val="15"/>
  </w:num>
  <w:num w:numId="43">
    <w:abstractNumId w:val="44"/>
  </w:num>
  <w:num w:numId="44">
    <w:abstractNumId w:val="29"/>
  </w:num>
  <w:num w:numId="45">
    <w:abstractNumId w:val="7"/>
  </w:num>
  <w:num w:numId="46">
    <w:abstractNumId w:val="3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4B5A"/>
    <w:rsid w:val="000068F4"/>
    <w:rsid w:val="00007312"/>
    <w:rsid w:val="00011A36"/>
    <w:rsid w:val="00011FDA"/>
    <w:rsid w:val="00017BEC"/>
    <w:rsid w:val="00033A9D"/>
    <w:rsid w:val="0003604A"/>
    <w:rsid w:val="00036E0B"/>
    <w:rsid w:val="00037C4B"/>
    <w:rsid w:val="000470D9"/>
    <w:rsid w:val="00047606"/>
    <w:rsid w:val="00065623"/>
    <w:rsid w:val="00071E4E"/>
    <w:rsid w:val="000756B9"/>
    <w:rsid w:val="00096B67"/>
    <w:rsid w:val="00096DAF"/>
    <w:rsid w:val="000A2CB8"/>
    <w:rsid w:val="000B2898"/>
    <w:rsid w:val="000C2F47"/>
    <w:rsid w:val="000D0600"/>
    <w:rsid w:val="000D2B9A"/>
    <w:rsid w:val="000D68F4"/>
    <w:rsid w:val="000D6C00"/>
    <w:rsid w:val="000E4E04"/>
    <w:rsid w:val="000F14B4"/>
    <w:rsid w:val="000F1793"/>
    <w:rsid w:val="000F228B"/>
    <w:rsid w:val="000F6762"/>
    <w:rsid w:val="000F75DF"/>
    <w:rsid w:val="0010075C"/>
    <w:rsid w:val="001011DD"/>
    <w:rsid w:val="001023DC"/>
    <w:rsid w:val="001029C9"/>
    <w:rsid w:val="00103514"/>
    <w:rsid w:val="001039C7"/>
    <w:rsid w:val="00114A1F"/>
    <w:rsid w:val="001244A6"/>
    <w:rsid w:val="00127955"/>
    <w:rsid w:val="001328FA"/>
    <w:rsid w:val="001353B4"/>
    <w:rsid w:val="00135FA2"/>
    <w:rsid w:val="00147AAF"/>
    <w:rsid w:val="001552C0"/>
    <w:rsid w:val="00155D43"/>
    <w:rsid w:val="00156EB5"/>
    <w:rsid w:val="0016194B"/>
    <w:rsid w:val="001640B1"/>
    <w:rsid w:val="001768F0"/>
    <w:rsid w:val="001827D7"/>
    <w:rsid w:val="0018435E"/>
    <w:rsid w:val="001925B9"/>
    <w:rsid w:val="001936EC"/>
    <w:rsid w:val="00193DDF"/>
    <w:rsid w:val="00196ACD"/>
    <w:rsid w:val="001A57E6"/>
    <w:rsid w:val="001C2536"/>
    <w:rsid w:val="001C6A18"/>
    <w:rsid w:val="001D2CC8"/>
    <w:rsid w:val="001D369F"/>
    <w:rsid w:val="001F2391"/>
    <w:rsid w:val="001F2AAD"/>
    <w:rsid w:val="002041A1"/>
    <w:rsid w:val="002051A9"/>
    <w:rsid w:val="002054F0"/>
    <w:rsid w:val="00214DFC"/>
    <w:rsid w:val="0022231F"/>
    <w:rsid w:val="00230D6B"/>
    <w:rsid w:val="00232020"/>
    <w:rsid w:val="00232068"/>
    <w:rsid w:val="002330F2"/>
    <w:rsid w:val="00235E40"/>
    <w:rsid w:val="00237258"/>
    <w:rsid w:val="00243D9E"/>
    <w:rsid w:val="002507B7"/>
    <w:rsid w:val="00253B66"/>
    <w:rsid w:val="002541FA"/>
    <w:rsid w:val="00254917"/>
    <w:rsid w:val="00261DF1"/>
    <w:rsid w:val="00270FF4"/>
    <w:rsid w:val="00271F18"/>
    <w:rsid w:val="00282779"/>
    <w:rsid w:val="0028334D"/>
    <w:rsid w:val="002851E9"/>
    <w:rsid w:val="00295F88"/>
    <w:rsid w:val="002A0ED4"/>
    <w:rsid w:val="002B501C"/>
    <w:rsid w:val="002B7FFA"/>
    <w:rsid w:val="002C2BCF"/>
    <w:rsid w:val="002C5C00"/>
    <w:rsid w:val="002C71D0"/>
    <w:rsid w:val="002D18B7"/>
    <w:rsid w:val="002E1259"/>
    <w:rsid w:val="002E397C"/>
    <w:rsid w:val="002F2195"/>
    <w:rsid w:val="002F279D"/>
    <w:rsid w:val="002F3150"/>
    <w:rsid w:val="002F43B8"/>
    <w:rsid w:val="002F700C"/>
    <w:rsid w:val="00300AD2"/>
    <w:rsid w:val="00301AE7"/>
    <w:rsid w:val="003105CE"/>
    <w:rsid w:val="00313170"/>
    <w:rsid w:val="00313528"/>
    <w:rsid w:val="003158A9"/>
    <w:rsid w:val="003178AD"/>
    <w:rsid w:val="00330E03"/>
    <w:rsid w:val="00336856"/>
    <w:rsid w:val="00341C0D"/>
    <w:rsid w:val="0034554D"/>
    <w:rsid w:val="003459AD"/>
    <w:rsid w:val="00351885"/>
    <w:rsid w:val="00352224"/>
    <w:rsid w:val="003536B8"/>
    <w:rsid w:val="0036260D"/>
    <w:rsid w:val="00365F3D"/>
    <w:rsid w:val="003671E6"/>
    <w:rsid w:val="003724B7"/>
    <w:rsid w:val="00384272"/>
    <w:rsid w:val="00386D67"/>
    <w:rsid w:val="003945B8"/>
    <w:rsid w:val="003A6541"/>
    <w:rsid w:val="003B5D81"/>
    <w:rsid w:val="003B7601"/>
    <w:rsid w:val="003C1146"/>
    <w:rsid w:val="003D1B2D"/>
    <w:rsid w:val="003D7F29"/>
    <w:rsid w:val="003E1398"/>
    <w:rsid w:val="003E1600"/>
    <w:rsid w:val="003E3E9E"/>
    <w:rsid w:val="003E5CAA"/>
    <w:rsid w:val="003E7734"/>
    <w:rsid w:val="003F0BD9"/>
    <w:rsid w:val="003F1C63"/>
    <w:rsid w:val="003F3A51"/>
    <w:rsid w:val="00405A6B"/>
    <w:rsid w:val="00407B1F"/>
    <w:rsid w:val="00407C6E"/>
    <w:rsid w:val="0041184F"/>
    <w:rsid w:val="00413CD4"/>
    <w:rsid w:val="00414C57"/>
    <w:rsid w:val="0041758C"/>
    <w:rsid w:val="0042036E"/>
    <w:rsid w:val="00430EFE"/>
    <w:rsid w:val="00433B1E"/>
    <w:rsid w:val="00447120"/>
    <w:rsid w:val="004539DE"/>
    <w:rsid w:val="004722CD"/>
    <w:rsid w:val="00474BC4"/>
    <w:rsid w:val="00486DE6"/>
    <w:rsid w:val="00493DC8"/>
    <w:rsid w:val="00496285"/>
    <w:rsid w:val="004A2CF1"/>
    <w:rsid w:val="004A79E5"/>
    <w:rsid w:val="004B167F"/>
    <w:rsid w:val="004B7444"/>
    <w:rsid w:val="004C3035"/>
    <w:rsid w:val="004C307F"/>
    <w:rsid w:val="004C4107"/>
    <w:rsid w:val="004C6F6D"/>
    <w:rsid w:val="004E0C30"/>
    <w:rsid w:val="004E4BA8"/>
    <w:rsid w:val="004F340F"/>
    <w:rsid w:val="004F7B7C"/>
    <w:rsid w:val="004F7FEF"/>
    <w:rsid w:val="005031A2"/>
    <w:rsid w:val="005067A1"/>
    <w:rsid w:val="00507AB6"/>
    <w:rsid w:val="005121F7"/>
    <w:rsid w:val="00515B12"/>
    <w:rsid w:val="0052243D"/>
    <w:rsid w:val="005233C6"/>
    <w:rsid w:val="00532435"/>
    <w:rsid w:val="00545564"/>
    <w:rsid w:val="00550354"/>
    <w:rsid w:val="0055774B"/>
    <w:rsid w:val="00565941"/>
    <w:rsid w:val="00571236"/>
    <w:rsid w:val="005730A7"/>
    <w:rsid w:val="00581EE3"/>
    <w:rsid w:val="00581FA4"/>
    <w:rsid w:val="00583CEB"/>
    <w:rsid w:val="00585FDE"/>
    <w:rsid w:val="005953A1"/>
    <w:rsid w:val="005A4362"/>
    <w:rsid w:val="005A4E9D"/>
    <w:rsid w:val="005B1B02"/>
    <w:rsid w:val="005B51D9"/>
    <w:rsid w:val="005B5434"/>
    <w:rsid w:val="005C7326"/>
    <w:rsid w:val="005D0332"/>
    <w:rsid w:val="005D0D8C"/>
    <w:rsid w:val="005E3242"/>
    <w:rsid w:val="005E54A7"/>
    <w:rsid w:val="005F16FC"/>
    <w:rsid w:val="00600E7A"/>
    <w:rsid w:val="00602CB1"/>
    <w:rsid w:val="00606379"/>
    <w:rsid w:val="006318D8"/>
    <w:rsid w:val="00635D9E"/>
    <w:rsid w:val="00643357"/>
    <w:rsid w:val="0065221F"/>
    <w:rsid w:val="00657EE7"/>
    <w:rsid w:val="00660FCB"/>
    <w:rsid w:val="00671689"/>
    <w:rsid w:val="006753E4"/>
    <w:rsid w:val="006776AE"/>
    <w:rsid w:val="00686D74"/>
    <w:rsid w:val="006A0D97"/>
    <w:rsid w:val="006A1D35"/>
    <w:rsid w:val="006A6026"/>
    <w:rsid w:val="006A6212"/>
    <w:rsid w:val="006B17DE"/>
    <w:rsid w:val="006B1F86"/>
    <w:rsid w:val="006B42ED"/>
    <w:rsid w:val="006C0A91"/>
    <w:rsid w:val="006D1518"/>
    <w:rsid w:val="006E2DD3"/>
    <w:rsid w:val="006E319A"/>
    <w:rsid w:val="006F4ABD"/>
    <w:rsid w:val="007054BB"/>
    <w:rsid w:val="00707064"/>
    <w:rsid w:val="007074B2"/>
    <w:rsid w:val="007129A9"/>
    <w:rsid w:val="00715038"/>
    <w:rsid w:val="007153D8"/>
    <w:rsid w:val="0071616A"/>
    <w:rsid w:val="007209D8"/>
    <w:rsid w:val="00730683"/>
    <w:rsid w:val="007308CD"/>
    <w:rsid w:val="00731706"/>
    <w:rsid w:val="00736581"/>
    <w:rsid w:val="0075261F"/>
    <w:rsid w:val="0075468E"/>
    <w:rsid w:val="007602A3"/>
    <w:rsid w:val="00762863"/>
    <w:rsid w:val="00763C63"/>
    <w:rsid w:val="00766419"/>
    <w:rsid w:val="007665D8"/>
    <w:rsid w:val="00766E36"/>
    <w:rsid w:val="007765F4"/>
    <w:rsid w:val="00776633"/>
    <w:rsid w:val="00784D53"/>
    <w:rsid w:val="0079645F"/>
    <w:rsid w:val="00797797"/>
    <w:rsid w:val="00797E02"/>
    <w:rsid w:val="007A03F4"/>
    <w:rsid w:val="007A1717"/>
    <w:rsid w:val="007A63C9"/>
    <w:rsid w:val="007A7B8F"/>
    <w:rsid w:val="007B32D1"/>
    <w:rsid w:val="007B7095"/>
    <w:rsid w:val="007C04FB"/>
    <w:rsid w:val="007C6E24"/>
    <w:rsid w:val="007D24E1"/>
    <w:rsid w:val="007D5A4F"/>
    <w:rsid w:val="007D6288"/>
    <w:rsid w:val="007D72B6"/>
    <w:rsid w:val="007F4CE9"/>
    <w:rsid w:val="007F4E20"/>
    <w:rsid w:val="00802A13"/>
    <w:rsid w:val="00811745"/>
    <w:rsid w:val="00811906"/>
    <w:rsid w:val="00814745"/>
    <w:rsid w:val="00822C7E"/>
    <w:rsid w:val="00827852"/>
    <w:rsid w:val="008318A9"/>
    <w:rsid w:val="00847060"/>
    <w:rsid w:val="008471F9"/>
    <w:rsid w:val="00847A36"/>
    <w:rsid w:val="00855EF1"/>
    <w:rsid w:val="00856A33"/>
    <w:rsid w:val="00872EF9"/>
    <w:rsid w:val="00873E71"/>
    <w:rsid w:val="00877CCF"/>
    <w:rsid w:val="008839FB"/>
    <w:rsid w:val="008848DE"/>
    <w:rsid w:val="008878D6"/>
    <w:rsid w:val="00892620"/>
    <w:rsid w:val="00896A9E"/>
    <w:rsid w:val="008B38D7"/>
    <w:rsid w:val="008C7D37"/>
    <w:rsid w:val="008D1E2D"/>
    <w:rsid w:val="008D5885"/>
    <w:rsid w:val="008D7032"/>
    <w:rsid w:val="008E3398"/>
    <w:rsid w:val="008E72B1"/>
    <w:rsid w:val="008F1D18"/>
    <w:rsid w:val="008F4BA2"/>
    <w:rsid w:val="008F7082"/>
    <w:rsid w:val="008F75C2"/>
    <w:rsid w:val="00911E20"/>
    <w:rsid w:val="009141A4"/>
    <w:rsid w:val="0091769C"/>
    <w:rsid w:val="0092108B"/>
    <w:rsid w:val="00922CFC"/>
    <w:rsid w:val="00923FA2"/>
    <w:rsid w:val="00932A64"/>
    <w:rsid w:val="0093334F"/>
    <w:rsid w:val="0094404F"/>
    <w:rsid w:val="00954FD9"/>
    <w:rsid w:val="0096060D"/>
    <w:rsid w:val="00964A9F"/>
    <w:rsid w:val="00964EAE"/>
    <w:rsid w:val="00974A50"/>
    <w:rsid w:val="0097585A"/>
    <w:rsid w:val="00977225"/>
    <w:rsid w:val="00983BC2"/>
    <w:rsid w:val="0099145F"/>
    <w:rsid w:val="009924B0"/>
    <w:rsid w:val="009942C9"/>
    <w:rsid w:val="00996257"/>
    <w:rsid w:val="009976D8"/>
    <w:rsid w:val="009A0D8A"/>
    <w:rsid w:val="009A1FC5"/>
    <w:rsid w:val="009A4C1B"/>
    <w:rsid w:val="009B27E7"/>
    <w:rsid w:val="009B35C4"/>
    <w:rsid w:val="009B7602"/>
    <w:rsid w:val="009C630A"/>
    <w:rsid w:val="009C6A24"/>
    <w:rsid w:val="009E0D98"/>
    <w:rsid w:val="00A068A1"/>
    <w:rsid w:val="00A1207D"/>
    <w:rsid w:val="00A12FD8"/>
    <w:rsid w:val="00A23300"/>
    <w:rsid w:val="00A346FC"/>
    <w:rsid w:val="00A57E62"/>
    <w:rsid w:val="00A846F2"/>
    <w:rsid w:val="00A84F93"/>
    <w:rsid w:val="00A85B71"/>
    <w:rsid w:val="00A92C96"/>
    <w:rsid w:val="00A94E91"/>
    <w:rsid w:val="00AA0529"/>
    <w:rsid w:val="00AB1AC5"/>
    <w:rsid w:val="00AB3BFC"/>
    <w:rsid w:val="00AB75A3"/>
    <w:rsid w:val="00AC4F2E"/>
    <w:rsid w:val="00AD0C37"/>
    <w:rsid w:val="00AD14B1"/>
    <w:rsid w:val="00AD1761"/>
    <w:rsid w:val="00AD385F"/>
    <w:rsid w:val="00AE309A"/>
    <w:rsid w:val="00AE3FE6"/>
    <w:rsid w:val="00AE5B3E"/>
    <w:rsid w:val="00AE6E2A"/>
    <w:rsid w:val="00AF2A2D"/>
    <w:rsid w:val="00B03EAB"/>
    <w:rsid w:val="00B227E9"/>
    <w:rsid w:val="00B31E9C"/>
    <w:rsid w:val="00B328C0"/>
    <w:rsid w:val="00B32CEF"/>
    <w:rsid w:val="00B35595"/>
    <w:rsid w:val="00B516BD"/>
    <w:rsid w:val="00B51C6D"/>
    <w:rsid w:val="00B52A75"/>
    <w:rsid w:val="00B57F56"/>
    <w:rsid w:val="00B83DD2"/>
    <w:rsid w:val="00B8468E"/>
    <w:rsid w:val="00B86D64"/>
    <w:rsid w:val="00BA0C27"/>
    <w:rsid w:val="00BA4AC5"/>
    <w:rsid w:val="00BC1364"/>
    <w:rsid w:val="00BC2667"/>
    <w:rsid w:val="00BC4829"/>
    <w:rsid w:val="00BC5E4E"/>
    <w:rsid w:val="00BC7DE9"/>
    <w:rsid w:val="00BE4D58"/>
    <w:rsid w:val="00BF479B"/>
    <w:rsid w:val="00C007A1"/>
    <w:rsid w:val="00C02577"/>
    <w:rsid w:val="00C12720"/>
    <w:rsid w:val="00C204FB"/>
    <w:rsid w:val="00C20BEE"/>
    <w:rsid w:val="00C2158D"/>
    <w:rsid w:val="00C42DA2"/>
    <w:rsid w:val="00C54290"/>
    <w:rsid w:val="00C558EA"/>
    <w:rsid w:val="00C61B6E"/>
    <w:rsid w:val="00C67DD2"/>
    <w:rsid w:val="00C70444"/>
    <w:rsid w:val="00C725CB"/>
    <w:rsid w:val="00C76F5C"/>
    <w:rsid w:val="00C8087C"/>
    <w:rsid w:val="00C829E5"/>
    <w:rsid w:val="00C85DD2"/>
    <w:rsid w:val="00C96BAD"/>
    <w:rsid w:val="00C97AD1"/>
    <w:rsid w:val="00CA5B3C"/>
    <w:rsid w:val="00CA6944"/>
    <w:rsid w:val="00CB0F8E"/>
    <w:rsid w:val="00CB7E7D"/>
    <w:rsid w:val="00CC2911"/>
    <w:rsid w:val="00CD6C91"/>
    <w:rsid w:val="00CE17F9"/>
    <w:rsid w:val="00CF0C6D"/>
    <w:rsid w:val="00CF603E"/>
    <w:rsid w:val="00CF7307"/>
    <w:rsid w:val="00CF7C68"/>
    <w:rsid w:val="00D057CE"/>
    <w:rsid w:val="00D06E6B"/>
    <w:rsid w:val="00D12157"/>
    <w:rsid w:val="00D124FA"/>
    <w:rsid w:val="00D2215C"/>
    <w:rsid w:val="00D25F99"/>
    <w:rsid w:val="00D3362D"/>
    <w:rsid w:val="00D340DE"/>
    <w:rsid w:val="00D420AF"/>
    <w:rsid w:val="00D51C51"/>
    <w:rsid w:val="00D5270E"/>
    <w:rsid w:val="00D55723"/>
    <w:rsid w:val="00D57A47"/>
    <w:rsid w:val="00D62FAD"/>
    <w:rsid w:val="00D64355"/>
    <w:rsid w:val="00D66327"/>
    <w:rsid w:val="00D70450"/>
    <w:rsid w:val="00D82A00"/>
    <w:rsid w:val="00D83BFD"/>
    <w:rsid w:val="00D909BB"/>
    <w:rsid w:val="00D90A38"/>
    <w:rsid w:val="00DA0515"/>
    <w:rsid w:val="00DA171E"/>
    <w:rsid w:val="00DA56AA"/>
    <w:rsid w:val="00DA6FF5"/>
    <w:rsid w:val="00DB5833"/>
    <w:rsid w:val="00DC3AD1"/>
    <w:rsid w:val="00DC618E"/>
    <w:rsid w:val="00DD2858"/>
    <w:rsid w:val="00DD2B58"/>
    <w:rsid w:val="00DE1EE0"/>
    <w:rsid w:val="00DF08EA"/>
    <w:rsid w:val="00DF2A45"/>
    <w:rsid w:val="00DF5D8E"/>
    <w:rsid w:val="00E025DF"/>
    <w:rsid w:val="00E02F16"/>
    <w:rsid w:val="00E03E33"/>
    <w:rsid w:val="00E059E0"/>
    <w:rsid w:val="00E1209B"/>
    <w:rsid w:val="00E14233"/>
    <w:rsid w:val="00E303F7"/>
    <w:rsid w:val="00E32887"/>
    <w:rsid w:val="00E32A5D"/>
    <w:rsid w:val="00E333C3"/>
    <w:rsid w:val="00E347E4"/>
    <w:rsid w:val="00E3642A"/>
    <w:rsid w:val="00E415C4"/>
    <w:rsid w:val="00E455E7"/>
    <w:rsid w:val="00E50016"/>
    <w:rsid w:val="00E50EAA"/>
    <w:rsid w:val="00E536AF"/>
    <w:rsid w:val="00E61AFA"/>
    <w:rsid w:val="00E656D6"/>
    <w:rsid w:val="00E7002E"/>
    <w:rsid w:val="00E8441B"/>
    <w:rsid w:val="00E9478A"/>
    <w:rsid w:val="00E977EE"/>
    <w:rsid w:val="00EA046C"/>
    <w:rsid w:val="00EA2F24"/>
    <w:rsid w:val="00EA5AF8"/>
    <w:rsid w:val="00EA67A2"/>
    <w:rsid w:val="00EA702F"/>
    <w:rsid w:val="00EB4895"/>
    <w:rsid w:val="00EB630F"/>
    <w:rsid w:val="00EB6B6F"/>
    <w:rsid w:val="00EB6E70"/>
    <w:rsid w:val="00EB7A27"/>
    <w:rsid w:val="00EC122D"/>
    <w:rsid w:val="00EC1921"/>
    <w:rsid w:val="00EC3C45"/>
    <w:rsid w:val="00EC4F98"/>
    <w:rsid w:val="00ED5748"/>
    <w:rsid w:val="00ED682D"/>
    <w:rsid w:val="00EE7836"/>
    <w:rsid w:val="00EF4D6E"/>
    <w:rsid w:val="00EF59DB"/>
    <w:rsid w:val="00F01CDD"/>
    <w:rsid w:val="00F047D3"/>
    <w:rsid w:val="00F0604F"/>
    <w:rsid w:val="00F12F02"/>
    <w:rsid w:val="00F1418D"/>
    <w:rsid w:val="00F1658E"/>
    <w:rsid w:val="00F32E0D"/>
    <w:rsid w:val="00F35134"/>
    <w:rsid w:val="00F352C0"/>
    <w:rsid w:val="00F3538D"/>
    <w:rsid w:val="00F37B9C"/>
    <w:rsid w:val="00F41812"/>
    <w:rsid w:val="00F47A97"/>
    <w:rsid w:val="00F67311"/>
    <w:rsid w:val="00F715D1"/>
    <w:rsid w:val="00F72715"/>
    <w:rsid w:val="00F72C9B"/>
    <w:rsid w:val="00F73333"/>
    <w:rsid w:val="00F7451D"/>
    <w:rsid w:val="00F824E9"/>
    <w:rsid w:val="00F8279B"/>
    <w:rsid w:val="00F8298B"/>
    <w:rsid w:val="00F9204A"/>
    <w:rsid w:val="00F92419"/>
    <w:rsid w:val="00F94F7A"/>
    <w:rsid w:val="00F95D8F"/>
    <w:rsid w:val="00F96444"/>
    <w:rsid w:val="00FB350A"/>
    <w:rsid w:val="00FB4C5D"/>
    <w:rsid w:val="00FC1953"/>
    <w:rsid w:val="00FC5330"/>
    <w:rsid w:val="00FE0F69"/>
    <w:rsid w:val="00FE1C3F"/>
    <w:rsid w:val="00FE731D"/>
    <w:rsid w:val="00FF1DCF"/>
    <w:rsid w:val="00FF2483"/>
    <w:rsid w:val="00FF4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98A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Heading3"/>
    <w:next w:val="Normal"/>
    <w:link w:val="Heading2Char"/>
    <w:unhideWhenUsed/>
    <w:qFormat/>
    <w:locked/>
    <w:rsid w:val="00AB75A3"/>
    <w:pPr>
      <w:spacing w:before="0" w:after="120"/>
      <w:outlineLvl w:val="1"/>
    </w:pPr>
    <w:rPr>
      <w:rFonts w:ascii="Times New Roman" w:hAnsi="Times New Roman" w:cs="Times New Roman"/>
      <w:b/>
      <w:color w:val="auto"/>
    </w:rPr>
  </w:style>
  <w:style w:type="paragraph" w:styleId="Heading3">
    <w:name w:val="heading 3"/>
    <w:basedOn w:val="Normal"/>
    <w:next w:val="Normal"/>
    <w:link w:val="Heading3Char"/>
    <w:unhideWhenUsed/>
    <w:qFormat/>
    <w:locked/>
    <w:rsid w:val="001925B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Bullet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AB75A3"/>
    <w:rPr>
      <w:rFonts w:eastAsiaTheme="majorEastAsia"/>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Dossier table,Section 3- footnotes"/>
    <w:basedOn w:val="TableNormal"/>
    <w:uiPriority w:val="59"/>
    <w:locked/>
    <w:rsid w:val="002F219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BulletPoints Char"/>
    <w:link w:val="ListParagraph"/>
    <w:uiPriority w:val="34"/>
    <w:rsid w:val="002F2195"/>
    <w:rPr>
      <w:rFonts w:eastAsia="Times New Roman"/>
      <w:sz w:val="24"/>
      <w:szCs w:val="20"/>
    </w:rPr>
  </w:style>
  <w:style w:type="paragraph" w:customStyle="1" w:styleId="NormalBeforeBullet">
    <w:name w:val="NormalBeforeBullet"/>
    <w:basedOn w:val="Normal"/>
    <w:qFormat/>
    <w:rsid w:val="002F2195"/>
    <w:pPr>
      <w:keepNext/>
      <w:spacing w:after="120"/>
    </w:pPr>
    <w:rPr>
      <w:color w:val="000000"/>
    </w:rPr>
  </w:style>
  <w:style w:type="paragraph" w:customStyle="1" w:styleId="BulletBeforeDash">
    <w:name w:val="BulletBeforeDash"/>
    <w:basedOn w:val="Normal"/>
    <w:rsid w:val="002F2195"/>
    <w:pPr>
      <w:numPr>
        <w:numId w:val="28"/>
      </w:numPr>
    </w:pPr>
    <w:rPr>
      <w:color w:val="000000"/>
    </w:rPr>
  </w:style>
  <w:style w:type="paragraph" w:customStyle="1" w:styleId="Bullet">
    <w:name w:val="Bullet"/>
    <w:basedOn w:val="BulletBeforeDash"/>
    <w:qFormat/>
    <w:rsid w:val="002F2195"/>
    <w:pPr>
      <w:spacing w:after="120"/>
    </w:pPr>
  </w:style>
  <w:style w:type="paragraph" w:customStyle="1" w:styleId="BulletLast">
    <w:name w:val="BulletLast"/>
    <w:basedOn w:val="Bullet"/>
    <w:qFormat/>
    <w:rsid w:val="002F2195"/>
    <w:pPr>
      <w:spacing w:after="240"/>
    </w:pPr>
  </w:style>
  <w:style w:type="paragraph" w:customStyle="1" w:styleId="Tabletextcentred">
    <w:name w:val="Table text centred"/>
    <w:basedOn w:val="Normal"/>
    <w:link w:val="TabletextcentredChar"/>
    <w:qFormat/>
    <w:rsid w:val="002F2195"/>
    <w:pPr>
      <w:spacing w:before="40" w:after="40"/>
      <w:jc w:val="center"/>
    </w:pPr>
    <w:rPr>
      <w:rFonts w:ascii="Arial Narrow" w:hAnsi="Arial Narrow"/>
      <w:sz w:val="20"/>
      <w:szCs w:val="24"/>
      <w:lang w:eastAsia="en-US"/>
    </w:rPr>
  </w:style>
  <w:style w:type="character" w:customStyle="1" w:styleId="TabletextcentredChar">
    <w:name w:val="Table text centred Char"/>
    <w:basedOn w:val="DefaultParagraphFont"/>
    <w:link w:val="Tabletextcentred"/>
    <w:rsid w:val="002F2195"/>
    <w:rPr>
      <w:rFonts w:ascii="Arial Narrow" w:eastAsia="Times New Roman" w:hAnsi="Arial Narrow"/>
      <w:sz w:val="20"/>
      <w:szCs w:val="24"/>
      <w:lang w:eastAsia="en-US"/>
    </w:rPr>
  </w:style>
  <w:style w:type="paragraph" w:customStyle="1" w:styleId="CaptionFootnote">
    <w:name w:val="Caption Footnote"/>
    <w:basedOn w:val="Caption"/>
    <w:link w:val="CaptionFootnoteChar"/>
    <w:qFormat/>
    <w:rsid w:val="002F2195"/>
    <w:pPr>
      <w:widowControl w:val="0"/>
      <w:spacing w:after="0"/>
    </w:pPr>
    <w:rPr>
      <w:rFonts w:eastAsiaTheme="majorEastAsia" w:cstheme="majorBidi"/>
      <w:b w:val="0"/>
      <w:bCs/>
      <w:iCs w:val="0"/>
      <w:sz w:val="18"/>
      <w:lang w:eastAsia="en-US" w:bidi="en-US"/>
    </w:rPr>
  </w:style>
  <w:style w:type="character" w:customStyle="1" w:styleId="CaptionFootnoteChar">
    <w:name w:val="Caption Footnote Char"/>
    <w:basedOn w:val="DefaultParagraphFont"/>
    <w:link w:val="CaptionFootnote"/>
    <w:rsid w:val="002F2195"/>
    <w:rPr>
      <w:rFonts w:ascii="Arial Narrow" w:eastAsiaTheme="majorEastAsia" w:hAnsi="Arial Narrow" w:cstheme="majorBidi"/>
      <w:bCs/>
      <w:sz w:val="18"/>
      <w:szCs w:val="18"/>
      <w:lang w:eastAsia="en-US" w:bidi="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2F2195"/>
    <w:pPr>
      <w:spacing w:before="40" w:after="40"/>
    </w:pPr>
    <w:rPr>
      <w:rFonts w:ascii="Arial Narrow" w:hAnsi="Arial Narrow"/>
      <w:b/>
      <w:iCs/>
      <w:sz w:val="20"/>
      <w:szCs w:val="18"/>
    </w:rPr>
  </w:style>
  <w:style w:type="paragraph" w:customStyle="1" w:styleId="Table">
    <w:name w:val="Table"/>
    <w:aliases w:val="9 pt,10 pt  Bold,10 pt,9pt,Normal + Courier New,Courier New,Not Bold,Text + Courier New,Bold,table text 10 pt + Arial,Normal + (Latin) Arial,(Complex) Arial,legendt,Table + (Latin) Courier New,Before:  0 pt,After:  0 pt,Table pt,legendpt"/>
    <w:basedOn w:val="Normal"/>
    <w:link w:val="TableChar"/>
    <w:qFormat/>
    <w:rsid w:val="002F2195"/>
    <w:rPr>
      <w:rFonts w:ascii="Candara" w:eastAsiaTheme="majorEastAsia" w:hAnsi="Candara" w:cstheme="majorBidi"/>
      <w:sz w:val="20"/>
      <w:szCs w:val="22"/>
      <w:lang w:eastAsia="en-US" w:bidi="en-US"/>
    </w:rPr>
  </w:style>
  <w:style w:type="character" w:customStyle="1" w:styleId="TableChar">
    <w:name w:val="Table Char"/>
    <w:aliases w:val="10 pt  Bold Char,9 pt Char,10 pt Char,9pt Char,9 Char,Table pt Char,table text 10 pt + Arial Char,Bold Char,Normal + (Latin) Arial Char,(Complex) Arial Char,Normal + Courier New Char,Italic Char,Justified Char,Left:  0&quot; Char,Be... Char"/>
    <w:basedOn w:val="DefaultParagraphFont"/>
    <w:link w:val="Table"/>
    <w:locked/>
    <w:rsid w:val="002F2195"/>
    <w:rPr>
      <w:rFonts w:ascii="Candara" w:eastAsiaTheme="majorEastAsia" w:hAnsi="Candara" w:cstheme="majorBidi"/>
      <w:sz w:val="20"/>
      <w:lang w:eastAsia="en-US" w:bidi="en-US"/>
    </w:rPr>
  </w:style>
  <w:style w:type="paragraph" w:customStyle="1" w:styleId="TableCentre">
    <w:name w:val="Table Centre"/>
    <w:basedOn w:val="Table"/>
    <w:qFormat/>
    <w:rsid w:val="002F2195"/>
    <w:pPr>
      <w:jc w:val="center"/>
    </w:p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2F2195"/>
    <w:rPr>
      <w:rFonts w:ascii="Arial Narrow" w:eastAsia="Times New Roman" w:hAnsi="Arial Narrow"/>
      <w:b/>
      <w:iCs/>
      <w:sz w:val="20"/>
      <w:szCs w:val="18"/>
    </w:rPr>
  </w:style>
  <w:style w:type="character" w:customStyle="1" w:styleId="Small">
    <w:name w:val="Small"/>
    <w:basedOn w:val="DefaultParagraphFont"/>
    <w:uiPriority w:val="4"/>
    <w:qFormat/>
    <w:rsid w:val="002F2195"/>
    <w:rPr>
      <w:rFonts w:ascii="Arial Narrow" w:hAnsi="Arial Narrow"/>
      <w:sz w:val="20"/>
    </w:rPr>
  </w:style>
  <w:style w:type="table" w:customStyle="1" w:styleId="TableGrid1">
    <w:name w:val="Table Grid1"/>
    <w:basedOn w:val="TableNormal"/>
    <w:next w:val="TableGrid"/>
    <w:uiPriority w:val="59"/>
    <w:rsid w:val="002F2195"/>
    <w:rPr>
      <w:rFonts w:eastAsia="Batang"/>
      <w:sz w:val="20"/>
      <w:szCs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Bold">
    <w:name w:val="Small Bold"/>
    <w:basedOn w:val="DefaultParagraphFont"/>
    <w:uiPriority w:val="4"/>
    <w:qFormat/>
    <w:rsid w:val="00CF603E"/>
    <w:rPr>
      <w:rFonts w:ascii="Candara" w:hAnsi="Candara"/>
      <w:b/>
      <w:sz w:val="20"/>
      <w:lang w:val="en-AU"/>
    </w:rPr>
  </w:style>
  <w:style w:type="table" w:customStyle="1" w:styleId="Submissionstandard">
    <w:name w:val="Submission standard"/>
    <w:qFormat/>
    <w:rsid w:val="00CF603E"/>
    <w:rPr>
      <w:rFonts w:ascii="Arial Narrow" w:eastAsia="Times New Roman" w:hAnsi="Arial Narrow"/>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Cambria" w:hAnsi="Cambria" w:cs="Times New Roman"/>
        <w:b/>
        <w:sz w:val="20"/>
      </w:rPr>
      <w:tblPr/>
      <w:tcPr>
        <w:shd w:val="clear" w:color="auto" w:fill="BFBFBF"/>
      </w:tcPr>
    </w:tblStylePr>
  </w:style>
  <w:style w:type="character" w:customStyle="1" w:styleId="Heading3Char">
    <w:name w:val="Heading 3 Char"/>
    <w:basedOn w:val="DefaultParagraphFont"/>
    <w:link w:val="Heading3"/>
    <w:rsid w:val="001925B9"/>
    <w:rPr>
      <w:rFonts w:asciiTheme="majorHAnsi" w:eastAsiaTheme="majorEastAsia" w:hAnsiTheme="majorHAnsi" w:cstheme="majorBidi"/>
      <w:color w:val="243F60" w:themeColor="accent1" w:themeShade="7F"/>
      <w:sz w:val="24"/>
      <w:szCs w:val="24"/>
    </w:rPr>
  </w:style>
  <w:style w:type="paragraph" w:customStyle="1" w:styleId="Caption1">
    <w:name w:val="Caption1"/>
    <w:basedOn w:val="Normal"/>
    <w:link w:val="captionChar0"/>
    <w:qFormat/>
    <w:rsid w:val="002C71D0"/>
    <w:pPr>
      <w:keepNext/>
      <w:spacing w:after="40"/>
    </w:pPr>
    <w:rPr>
      <w:rFonts w:ascii="Arial Narrow" w:hAnsi="Arial Narrow"/>
      <w:b/>
      <w:iCs/>
      <w:sz w:val="20"/>
      <w:szCs w:val="18"/>
      <w:lang w:val="en-US" w:eastAsia="en-US"/>
    </w:rPr>
  </w:style>
  <w:style w:type="character" w:customStyle="1" w:styleId="captionChar0">
    <w:name w:val="caption Char"/>
    <w:basedOn w:val="DefaultParagraphFont"/>
    <w:link w:val="Caption1"/>
    <w:rsid w:val="002C71D0"/>
    <w:rPr>
      <w:rFonts w:ascii="Arial Narrow" w:eastAsia="Times New Roman" w:hAnsi="Arial Narrow"/>
      <w:b/>
      <w:iCs/>
      <w:sz w:val="20"/>
      <w:szCs w:val="18"/>
      <w:lang w:val="en-US" w:eastAsia="en-US"/>
    </w:rPr>
  </w:style>
  <w:style w:type="paragraph" w:styleId="NormalWeb">
    <w:name w:val="Normal (Web)"/>
    <w:basedOn w:val="Normal"/>
    <w:uiPriority w:val="99"/>
    <w:semiHidden/>
    <w:unhideWhenUsed/>
    <w:rsid w:val="004C4107"/>
    <w:pPr>
      <w:spacing w:before="100" w:beforeAutospacing="1" w:after="100" w:afterAutospacing="1"/>
    </w:pPr>
    <w:rPr>
      <w:szCs w:val="24"/>
    </w:rPr>
  </w:style>
  <w:style w:type="paragraph" w:styleId="Revision">
    <w:name w:val="Revision"/>
    <w:hidden/>
    <w:uiPriority w:val="99"/>
    <w:semiHidden/>
    <w:rsid w:val="00FF1DCF"/>
    <w:rPr>
      <w:rFonts w:eastAsia="Times New Roman"/>
      <w:sz w:val="24"/>
      <w:szCs w:val="20"/>
    </w:rPr>
  </w:style>
  <w:style w:type="table" w:customStyle="1" w:styleId="TableGrid2">
    <w:name w:val="Table Grid2"/>
    <w:basedOn w:val="TableNormal"/>
    <w:next w:val="TableGrid"/>
    <w:uiPriority w:val="39"/>
    <w:rsid w:val="001827D7"/>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928">
      <w:bodyDiv w:val="1"/>
      <w:marLeft w:val="0"/>
      <w:marRight w:val="0"/>
      <w:marTop w:val="0"/>
      <w:marBottom w:val="0"/>
      <w:divBdr>
        <w:top w:val="none" w:sz="0" w:space="0" w:color="auto"/>
        <w:left w:val="none" w:sz="0" w:space="0" w:color="auto"/>
        <w:bottom w:val="none" w:sz="0" w:space="0" w:color="auto"/>
        <w:right w:val="none" w:sz="0" w:space="0" w:color="auto"/>
      </w:divBdr>
    </w:div>
    <w:div w:id="137579387">
      <w:bodyDiv w:val="1"/>
      <w:marLeft w:val="0"/>
      <w:marRight w:val="0"/>
      <w:marTop w:val="0"/>
      <w:marBottom w:val="0"/>
      <w:divBdr>
        <w:top w:val="none" w:sz="0" w:space="0" w:color="auto"/>
        <w:left w:val="none" w:sz="0" w:space="0" w:color="auto"/>
        <w:bottom w:val="none" w:sz="0" w:space="0" w:color="auto"/>
        <w:right w:val="none" w:sz="0" w:space="0" w:color="auto"/>
      </w:divBdr>
    </w:div>
    <w:div w:id="154105196">
      <w:bodyDiv w:val="1"/>
      <w:marLeft w:val="0"/>
      <w:marRight w:val="0"/>
      <w:marTop w:val="0"/>
      <w:marBottom w:val="0"/>
      <w:divBdr>
        <w:top w:val="none" w:sz="0" w:space="0" w:color="auto"/>
        <w:left w:val="none" w:sz="0" w:space="0" w:color="auto"/>
        <w:bottom w:val="none" w:sz="0" w:space="0" w:color="auto"/>
        <w:right w:val="none" w:sz="0" w:space="0" w:color="auto"/>
      </w:divBdr>
    </w:div>
    <w:div w:id="197470666">
      <w:bodyDiv w:val="1"/>
      <w:marLeft w:val="0"/>
      <w:marRight w:val="0"/>
      <w:marTop w:val="0"/>
      <w:marBottom w:val="0"/>
      <w:divBdr>
        <w:top w:val="none" w:sz="0" w:space="0" w:color="auto"/>
        <w:left w:val="none" w:sz="0" w:space="0" w:color="auto"/>
        <w:bottom w:val="none" w:sz="0" w:space="0" w:color="auto"/>
        <w:right w:val="none" w:sz="0" w:space="0" w:color="auto"/>
      </w:divBdr>
    </w:div>
    <w:div w:id="336427540">
      <w:bodyDiv w:val="1"/>
      <w:marLeft w:val="0"/>
      <w:marRight w:val="0"/>
      <w:marTop w:val="0"/>
      <w:marBottom w:val="0"/>
      <w:divBdr>
        <w:top w:val="none" w:sz="0" w:space="0" w:color="auto"/>
        <w:left w:val="none" w:sz="0" w:space="0" w:color="auto"/>
        <w:bottom w:val="none" w:sz="0" w:space="0" w:color="auto"/>
        <w:right w:val="none" w:sz="0" w:space="0" w:color="auto"/>
      </w:divBdr>
    </w:div>
    <w:div w:id="404114546">
      <w:bodyDiv w:val="1"/>
      <w:marLeft w:val="0"/>
      <w:marRight w:val="0"/>
      <w:marTop w:val="0"/>
      <w:marBottom w:val="0"/>
      <w:divBdr>
        <w:top w:val="none" w:sz="0" w:space="0" w:color="auto"/>
        <w:left w:val="none" w:sz="0" w:space="0" w:color="auto"/>
        <w:bottom w:val="none" w:sz="0" w:space="0" w:color="auto"/>
        <w:right w:val="none" w:sz="0" w:space="0" w:color="auto"/>
      </w:divBdr>
    </w:div>
    <w:div w:id="639652193">
      <w:bodyDiv w:val="1"/>
      <w:marLeft w:val="0"/>
      <w:marRight w:val="0"/>
      <w:marTop w:val="0"/>
      <w:marBottom w:val="0"/>
      <w:divBdr>
        <w:top w:val="none" w:sz="0" w:space="0" w:color="auto"/>
        <w:left w:val="none" w:sz="0" w:space="0" w:color="auto"/>
        <w:bottom w:val="none" w:sz="0" w:space="0" w:color="auto"/>
        <w:right w:val="none" w:sz="0" w:space="0" w:color="auto"/>
      </w:divBdr>
      <w:divsChild>
        <w:div w:id="116066412">
          <w:marLeft w:val="446"/>
          <w:marRight w:val="0"/>
          <w:marTop w:val="0"/>
          <w:marBottom w:val="0"/>
          <w:divBdr>
            <w:top w:val="none" w:sz="0" w:space="0" w:color="auto"/>
            <w:left w:val="none" w:sz="0" w:space="0" w:color="auto"/>
            <w:bottom w:val="none" w:sz="0" w:space="0" w:color="auto"/>
            <w:right w:val="none" w:sz="0" w:space="0" w:color="auto"/>
          </w:divBdr>
        </w:div>
        <w:div w:id="300774920">
          <w:marLeft w:val="446"/>
          <w:marRight w:val="0"/>
          <w:marTop w:val="0"/>
          <w:marBottom w:val="0"/>
          <w:divBdr>
            <w:top w:val="none" w:sz="0" w:space="0" w:color="auto"/>
            <w:left w:val="none" w:sz="0" w:space="0" w:color="auto"/>
            <w:bottom w:val="none" w:sz="0" w:space="0" w:color="auto"/>
            <w:right w:val="none" w:sz="0" w:space="0" w:color="auto"/>
          </w:divBdr>
        </w:div>
        <w:div w:id="602148970">
          <w:marLeft w:val="446"/>
          <w:marRight w:val="0"/>
          <w:marTop w:val="0"/>
          <w:marBottom w:val="0"/>
          <w:divBdr>
            <w:top w:val="none" w:sz="0" w:space="0" w:color="auto"/>
            <w:left w:val="none" w:sz="0" w:space="0" w:color="auto"/>
            <w:bottom w:val="none" w:sz="0" w:space="0" w:color="auto"/>
            <w:right w:val="none" w:sz="0" w:space="0" w:color="auto"/>
          </w:divBdr>
        </w:div>
        <w:div w:id="1280911377">
          <w:marLeft w:val="446"/>
          <w:marRight w:val="0"/>
          <w:marTop w:val="0"/>
          <w:marBottom w:val="0"/>
          <w:divBdr>
            <w:top w:val="none" w:sz="0" w:space="0" w:color="auto"/>
            <w:left w:val="none" w:sz="0" w:space="0" w:color="auto"/>
            <w:bottom w:val="none" w:sz="0" w:space="0" w:color="auto"/>
            <w:right w:val="none" w:sz="0" w:space="0" w:color="auto"/>
          </w:divBdr>
        </w:div>
        <w:div w:id="1941597107">
          <w:marLeft w:val="446"/>
          <w:marRight w:val="0"/>
          <w:marTop w:val="0"/>
          <w:marBottom w:val="0"/>
          <w:divBdr>
            <w:top w:val="none" w:sz="0" w:space="0" w:color="auto"/>
            <w:left w:val="none" w:sz="0" w:space="0" w:color="auto"/>
            <w:bottom w:val="none" w:sz="0" w:space="0" w:color="auto"/>
            <w:right w:val="none" w:sz="0" w:space="0" w:color="auto"/>
          </w:divBdr>
        </w:div>
      </w:divsChild>
    </w:div>
    <w:div w:id="680083421">
      <w:bodyDiv w:val="1"/>
      <w:marLeft w:val="0"/>
      <w:marRight w:val="0"/>
      <w:marTop w:val="0"/>
      <w:marBottom w:val="0"/>
      <w:divBdr>
        <w:top w:val="none" w:sz="0" w:space="0" w:color="auto"/>
        <w:left w:val="none" w:sz="0" w:space="0" w:color="auto"/>
        <w:bottom w:val="none" w:sz="0" w:space="0" w:color="auto"/>
        <w:right w:val="none" w:sz="0" w:space="0" w:color="auto"/>
      </w:divBdr>
      <w:divsChild>
        <w:div w:id="1523856565">
          <w:marLeft w:val="0"/>
          <w:marRight w:val="0"/>
          <w:marTop w:val="0"/>
          <w:marBottom w:val="0"/>
          <w:divBdr>
            <w:top w:val="none" w:sz="0" w:space="0" w:color="auto"/>
            <w:left w:val="none" w:sz="0" w:space="0" w:color="auto"/>
            <w:bottom w:val="none" w:sz="0" w:space="0" w:color="auto"/>
            <w:right w:val="none" w:sz="0" w:space="0" w:color="auto"/>
          </w:divBdr>
        </w:div>
      </w:divsChild>
    </w:div>
    <w:div w:id="988944334">
      <w:bodyDiv w:val="1"/>
      <w:marLeft w:val="0"/>
      <w:marRight w:val="0"/>
      <w:marTop w:val="0"/>
      <w:marBottom w:val="0"/>
      <w:divBdr>
        <w:top w:val="none" w:sz="0" w:space="0" w:color="auto"/>
        <w:left w:val="none" w:sz="0" w:space="0" w:color="auto"/>
        <w:bottom w:val="none" w:sz="0" w:space="0" w:color="auto"/>
        <w:right w:val="none" w:sz="0" w:space="0" w:color="auto"/>
      </w:divBdr>
    </w:div>
    <w:div w:id="1154956200">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56875848">
      <w:bodyDiv w:val="1"/>
      <w:marLeft w:val="0"/>
      <w:marRight w:val="0"/>
      <w:marTop w:val="0"/>
      <w:marBottom w:val="0"/>
      <w:divBdr>
        <w:top w:val="none" w:sz="0" w:space="0" w:color="auto"/>
        <w:left w:val="none" w:sz="0" w:space="0" w:color="auto"/>
        <w:bottom w:val="none" w:sz="0" w:space="0" w:color="auto"/>
        <w:right w:val="none" w:sz="0" w:space="0" w:color="auto"/>
      </w:divBdr>
    </w:div>
    <w:div w:id="1573855299">
      <w:bodyDiv w:val="1"/>
      <w:marLeft w:val="0"/>
      <w:marRight w:val="0"/>
      <w:marTop w:val="0"/>
      <w:marBottom w:val="0"/>
      <w:divBdr>
        <w:top w:val="none" w:sz="0" w:space="0" w:color="auto"/>
        <w:left w:val="none" w:sz="0" w:space="0" w:color="auto"/>
        <w:bottom w:val="none" w:sz="0" w:space="0" w:color="auto"/>
        <w:right w:val="none" w:sz="0" w:space="0" w:color="auto"/>
      </w:divBdr>
    </w:div>
    <w:div w:id="1624269914">
      <w:bodyDiv w:val="1"/>
      <w:marLeft w:val="0"/>
      <w:marRight w:val="0"/>
      <w:marTop w:val="0"/>
      <w:marBottom w:val="0"/>
      <w:divBdr>
        <w:top w:val="none" w:sz="0" w:space="0" w:color="auto"/>
        <w:left w:val="none" w:sz="0" w:space="0" w:color="auto"/>
        <w:bottom w:val="none" w:sz="0" w:space="0" w:color="auto"/>
        <w:right w:val="none" w:sz="0" w:space="0" w:color="auto"/>
      </w:divBdr>
    </w:div>
    <w:div w:id="1663967713">
      <w:bodyDiv w:val="1"/>
      <w:marLeft w:val="0"/>
      <w:marRight w:val="0"/>
      <w:marTop w:val="0"/>
      <w:marBottom w:val="0"/>
      <w:divBdr>
        <w:top w:val="none" w:sz="0" w:space="0" w:color="auto"/>
        <w:left w:val="none" w:sz="0" w:space="0" w:color="auto"/>
        <w:bottom w:val="none" w:sz="0" w:space="0" w:color="auto"/>
        <w:right w:val="none" w:sz="0" w:space="0" w:color="auto"/>
      </w:divBdr>
    </w:div>
    <w:div w:id="1760442897">
      <w:bodyDiv w:val="1"/>
      <w:marLeft w:val="0"/>
      <w:marRight w:val="0"/>
      <w:marTop w:val="0"/>
      <w:marBottom w:val="0"/>
      <w:divBdr>
        <w:top w:val="none" w:sz="0" w:space="0" w:color="auto"/>
        <w:left w:val="none" w:sz="0" w:space="0" w:color="auto"/>
        <w:bottom w:val="none" w:sz="0" w:space="0" w:color="auto"/>
        <w:right w:val="none" w:sz="0" w:space="0" w:color="auto"/>
      </w:divBdr>
    </w:div>
    <w:div w:id="21305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msac.gov.au/internet/msac/publishing.nsf/Content/1519.1-publi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aihw.gov.au/about-our-data/our-data-collections/australian-cancer-databas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england.nhs.uk/wp-content/uploads/2018/12/Axicabtagene-Ciloleucel-Chimeric-Antigen-Receptor-T-Cell-CAR-T-Therapy-for-the-treatment-of-adult-patients-wit.pdf" TargetMode="External"/><Relationship Id="rId1" Type="http://schemas.openxmlformats.org/officeDocument/2006/relationships/hyperlink" Target="https://www.england.nhs.uk/wp-content/uploads/2018/12/Tisagenlecleucel-Chimeric-Antigen-Receptor-T-Cell-CAR-T-Therapy-for-ALL-and-DLBC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76CA6-AC6D-4B0E-A0AD-BE555DF6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10354</Words>
  <Characters>58438</Characters>
  <Application>Microsoft Office Word</Application>
  <DocSecurity>0</DocSecurity>
  <Lines>486</Lines>
  <Paragraphs>137</Paragraphs>
  <ScaleCrop>false</ScaleCrop>
  <Company/>
  <LinksUpToDate>false</LinksUpToDate>
  <CharactersWithSpaces>68655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2020-01-27T02:26:00Z</dcterms:created>
  <dcterms:modified xsi:type="dcterms:W3CDTF">2020-01-27T02:26:00Z</dcterms:modified>
</cp:coreProperties>
</file>