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26A66" w14:textId="7535852B" w:rsidR="00904A1D" w:rsidRDefault="00904A1D" w:rsidP="00DC2522">
      <w:pPr>
        <w:spacing w:line="240" w:lineRule="auto"/>
        <w:jc w:val="center"/>
      </w:pPr>
      <w:r w:rsidRPr="00CD0571">
        <w:rPr>
          <w:rFonts w:eastAsia="Times New Roman"/>
          <w:b/>
          <w:bCs/>
          <w:noProof/>
          <w:color w:val="800000"/>
          <w:lang w:eastAsia="en-AU"/>
        </w:rPr>
        <w:drawing>
          <wp:inline distT="0" distB="0" distL="0" distR="0" wp14:anchorId="536A6EA1" wp14:editId="3522EAC9">
            <wp:extent cx="1838325" cy="742950"/>
            <wp:effectExtent l="0" t="0" r="9525" b="0"/>
            <wp:docPr id="1" name="Picture 1" descr="MSAC logo stacke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C logo stacked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0" cy="744233"/>
                    </a:xfrm>
                    <a:prstGeom prst="rect">
                      <a:avLst/>
                    </a:prstGeom>
                    <a:noFill/>
                    <a:ln>
                      <a:noFill/>
                    </a:ln>
                  </pic:spPr>
                </pic:pic>
              </a:graphicData>
            </a:graphic>
          </wp:inline>
        </w:drawing>
      </w:r>
    </w:p>
    <w:p w14:paraId="49E91011" w14:textId="5A57A654" w:rsidR="00904A1D" w:rsidRDefault="00904A1D" w:rsidP="00DC2522">
      <w:pPr>
        <w:keepNext/>
        <w:widowControl w:val="0"/>
        <w:spacing w:line="240" w:lineRule="auto"/>
        <w:jc w:val="center"/>
        <w:rPr>
          <w:rFonts w:eastAsia="Times New Roman"/>
          <w:b/>
          <w:bCs/>
          <w:snapToGrid w:val="0"/>
          <w:lang w:val="en-US"/>
        </w:rPr>
      </w:pPr>
      <w:r w:rsidRPr="00A91BF6">
        <w:rPr>
          <w:rFonts w:eastAsia="Times New Roman"/>
          <w:b/>
          <w:bCs/>
          <w:snapToGrid w:val="0"/>
          <w:lang w:val="en-US"/>
        </w:rPr>
        <w:t>STAKEHOLDER MEETING</w:t>
      </w:r>
      <w:r>
        <w:rPr>
          <w:rFonts w:eastAsia="Times New Roman"/>
          <w:b/>
          <w:bCs/>
          <w:snapToGrid w:val="0"/>
          <w:lang w:val="en-US"/>
        </w:rPr>
        <w:t xml:space="preserve"> </w:t>
      </w:r>
      <w:r w:rsidR="00F50286">
        <w:rPr>
          <w:rFonts w:eastAsia="Times New Roman"/>
          <w:b/>
          <w:bCs/>
          <w:snapToGrid w:val="0"/>
          <w:lang w:val="en-US"/>
        </w:rPr>
        <w:t>OUTCOME STATEMENT</w:t>
      </w:r>
    </w:p>
    <w:p w14:paraId="0D1A2CE1" w14:textId="77777777" w:rsidR="00904A1D" w:rsidRPr="00904A1D" w:rsidRDefault="00904A1D" w:rsidP="0029751F">
      <w:pPr>
        <w:keepNext/>
        <w:widowControl w:val="0"/>
        <w:spacing w:after="0" w:line="240" w:lineRule="auto"/>
        <w:jc w:val="center"/>
        <w:rPr>
          <w:rFonts w:eastAsia="Times New Roman"/>
          <w:b/>
          <w:bCs/>
          <w:snapToGrid w:val="0"/>
          <w:lang w:val="en-US"/>
        </w:rPr>
      </w:pPr>
      <w:r w:rsidRPr="00904A1D">
        <w:rPr>
          <w:rFonts w:eastAsia="Times New Roman"/>
          <w:b/>
          <w:bCs/>
          <w:snapToGrid w:val="0"/>
          <w:lang w:val="en-US"/>
        </w:rPr>
        <w:t xml:space="preserve">CAR-T CELL THERAPY FOR THE TREATMENT OF </w:t>
      </w:r>
    </w:p>
    <w:p w14:paraId="4CB7735A" w14:textId="4C90210A" w:rsidR="00904A1D" w:rsidRDefault="00904A1D" w:rsidP="00DC2522">
      <w:pPr>
        <w:keepNext/>
        <w:widowControl w:val="0"/>
        <w:spacing w:line="240" w:lineRule="auto"/>
        <w:jc w:val="center"/>
        <w:rPr>
          <w:rFonts w:eastAsia="Times New Roman"/>
          <w:b/>
          <w:bCs/>
          <w:snapToGrid w:val="0"/>
          <w:lang w:val="en-US"/>
        </w:rPr>
      </w:pPr>
      <w:r w:rsidRPr="00904A1D">
        <w:rPr>
          <w:rFonts w:eastAsia="Times New Roman"/>
          <w:b/>
          <w:bCs/>
          <w:snapToGrid w:val="0"/>
          <w:lang w:val="en-US"/>
        </w:rPr>
        <w:t>RELAPSED/REFRACTORY DLBCL, PMBCL &amp; FML</w:t>
      </w:r>
    </w:p>
    <w:p w14:paraId="584F60F2" w14:textId="1BF14232" w:rsidR="00904A1D" w:rsidRDefault="00904A1D" w:rsidP="00DC2522">
      <w:pPr>
        <w:keepNext/>
        <w:widowControl w:val="0"/>
        <w:spacing w:line="240" w:lineRule="auto"/>
        <w:jc w:val="center"/>
        <w:rPr>
          <w:rFonts w:eastAsia="Times New Roman"/>
          <w:b/>
          <w:bCs/>
          <w:snapToGrid w:val="0"/>
          <w:lang w:val="en-US"/>
        </w:rPr>
      </w:pPr>
      <w:r>
        <w:rPr>
          <w:rFonts w:eastAsia="Times New Roman"/>
          <w:b/>
          <w:bCs/>
          <w:snapToGrid w:val="0"/>
          <w:lang w:val="en-US"/>
        </w:rPr>
        <w:t>Tuesday, 12 November, 2019</w:t>
      </w:r>
    </w:p>
    <w:p w14:paraId="5775FBCB" w14:textId="5BF2CD4B" w:rsidR="00904A1D" w:rsidRPr="00DC2522" w:rsidRDefault="00DC2522" w:rsidP="00DC2522">
      <w:pPr>
        <w:pStyle w:val="Heading2"/>
        <w:spacing w:after="240"/>
      </w:pPr>
      <w:r>
        <w:t>Introduction</w:t>
      </w:r>
    </w:p>
    <w:p w14:paraId="1D51ED20" w14:textId="4387EE28" w:rsidR="007B5BBB" w:rsidRPr="0041588E" w:rsidRDefault="007B5BBB" w:rsidP="0029751F">
      <w:pPr>
        <w:keepNext/>
        <w:widowControl w:val="0"/>
        <w:spacing w:after="0" w:line="240" w:lineRule="auto"/>
        <w:rPr>
          <w:rFonts w:eastAsia="Times New Roman"/>
          <w:b/>
          <w:bCs/>
          <w:i/>
          <w:snapToGrid w:val="0"/>
          <w:lang w:val="en-US"/>
        </w:rPr>
      </w:pPr>
      <w:r w:rsidRPr="0041588E">
        <w:rPr>
          <w:rFonts w:eastAsia="Times New Roman"/>
          <w:b/>
          <w:bCs/>
          <w:i/>
          <w:snapToGrid w:val="0"/>
          <w:lang w:val="en-US"/>
        </w:rPr>
        <w:t>Attendees</w:t>
      </w:r>
    </w:p>
    <w:p w14:paraId="6F1BB7E5" w14:textId="1A812EE3" w:rsidR="007235CE" w:rsidRDefault="00904A1D" w:rsidP="00DC2522">
      <w:pPr>
        <w:keepNext/>
        <w:widowControl w:val="0"/>
        <w:spacing w:after="240" w:line="240" w:lineRule="auto"/>
        <w:rPr>
          <w:rFonts w:eastAsia="Times New Roman"/>
          <w:bCs/>
          <w:snapToGrid w:val="0"/>
          <w:lang w:val="en-US"/>
        </w:rPr>
      </w:pPr>
      <w:r>
        <w:rPr>
          <w:rFonts w:eastAsia="Times New Roman"/>
          <w:bCs/>
          <w:snapToGrid w:val="0"/>
          <w:lang w:val="en-US"/>
        </w:rPr>
        <w:t xml:space="preserve">Meeting attendees included members of the Medical Services Advisory Committee (MSAC); clinicians with experience in </w:t>
      </w:r>
      <w:r w:rsidR="0017656D">
        <w:rPr>
          <w:rFonts w:eastAsia="Times New Roman"/>
          <w:bCs/>
          <w:snapToGrid w:val="0"/>
          <w:lang w:val="en-US"/>
        </w:rPr>
        <w:t xml:space="preserve">treating </w:t>
      </w:r>
      <w:r>
        <w:rPr>
          <w:rFonts w:eastAsia="Times New Roman"/>
          <w:bCs/>
          <w:snapToGrid w:val="0"/>
          <w:lang w:val="en-US"/>
        </w:rPr>
        <w:t xml:space="preserve">lymphoma and CAR-T cell therapy; representatives of the applicants; representatives from consumer organisations; representatives from State/Territory health departments; and representatives from the </w:t>
      </w:r>
      <w:r w:rsidR="00C93F9E">
        <w:rPr>
          <w:rFonts w:eastAsia="Times New Roman"/>
          <w:bCs/>
          <w:snapToGrid w:val="0"/>
          <w:lang w:val="en-US"/>
        </w:rPr>
        <w:t xml:space="preserve">Commonwealth </w:t>
      </w:r>
      <w:r w:rsidR="00DC2522">
        <w:rPr>
          <w:rFonts w:eastAsia="Times New Roman"/>
          <w:bCs/>
          <w:snapToGrid w:val="0"/>
          <w:lang w:val="en-US"/>
        </w:rPr>
        <w:t>Department of Health.</w:t>
      </w:r>
    </w:p>
    <w:p w14:paraId="4C51871B" w14:textId="5C395D04" w:rsidR="007B5BBB" w:rsidRDefault="000E7A51" w:rsidP="00DC2522">
      <w:pPr>
        <w:keepNext/>
        <w:widowControl w:val="0"/>
        <w:spacing w:after="240" w:line="240" w:lineRule="auto"/>
      </w:pPr>
      <w:r w:rsidRPr="008B26EC">
        <w:t xml:space="preserve">The Chair clarified that the Stakeholder meeting was not an MSAC decision making forum, but would inform the issues considered by MSAC following its </w:t>
      </w:r>
      <w:r>
        <w:t>August 2019</w:t>
      </w:r>
      <w:r w:rsidR="00A87E33">
        <w:t xml:space="preserve"> </w:t>
      </w:r>
      <w:r>
        <w:t>consideration of application 1519.1</w:t>
      </w:r>
      <w:r w:rsidRPr="008B26EC">
        <w:t xml:space="preserve"> (</w:t>
      </w:r>
      <w:r>
        <w:t>tisagenlecleucel</w:t>
      </w:r>
      <w:r w:rsidR="00F50286">
        <w:t xml:space="preserve"> (Kymriah®)</w:t>
      </w:r>
      <w:r>
        <w:t>) and application 1587 (axicabtagene ciloleucel (</w:t>
      </w:r>
      <w:r w:rsidR="00F50286">
        <w:t>Yescarta®</w:t>
      </w:r>
      <w:r>
        <w:t xml:space="preserve">)) to </w:t>
      </w:r>
      <w:r w:rsidR="00DC2522">
        <w:t>be considered in November 2019.</w:t>
      </w:r>
    </w:p>
    <w:p w14:paraId="7A293C9D" w14:textId="23F7C7CA" w:rsidR="00904A1D" w:rsidRPr="00DC2522" w:rsidRDefault="007B5BBB" w:rsidP="00DC2522">
      <w:pPr>
        <w:keepNext/>
        <w:widowControl w:val="0"/>
        <w:spacing w:after="240" w:line="240" w:lineRule="auto"/>
        <w:rPr>
          <w:rFonts w:eastAsia="Times New Roman"/>
          <w:bCs/>
          <w:snapToGrid w:val="0"/>
          <w:lang w:val="en-US"/>
        </w:rPr>
      </w:pPr>
      <w:r>
        <w:rPr>
          <w:rFonts w:eastAsia="Times New Roman"/>
          <w:bCs/>
          <w:snapToGrid w:val="0"/>
          <w:lang w:val="en-US"/>
        </w:rPr>
        <w:t>The Chair reminded participants that this was a confidential discussion</w:t>
      </w:r>
      <w:r w:rsidR="0041588E">
        <w:rPr>
          <w:rFonts w:eastAsia="Times New Roman"/>
          <w:bCs/>
          <w:snapToGrid w:val="0"/>
          <w:lang w:val="en-US"/>
        </w:rPr>
        <w:t xml:space="preserve"> and a</w:t>
      </w:r>
      <w:r>
        <w:rPr>
          <w:rFonts w:eastAsia="Times New Roman"/>
          <w:bCs/>
          <w:snapToGrid w:val="0"/>
          <w:lang w:val="en-US"/>
        </w:rPr>
        <w:t xml:space="preserve">n Outcome Statement would </w:t>
      </w:r>
      <w:r w:rsidR="00A83E82">
        <w:rPr>
          <w:rFonts w:eastAsia="Times New Roman"/>
          <w:bCs/>
          <w:snapToGrid w:val="0"/>
          <w:lang w:val="en-US"/>
        </w:rPr>
        <w:t xml:space="preserve">be </w:t>
      </w:r>
      <w:r w:rsidR="00DC2522">
        <w:rPr>
          <w:rFonts w:eastAsia="Times New Roman"/>
          <w:bCs/>
          <w:snapToGrid w:val="0"/>
          <w:lang w:val="en-US"/>
        </w:rPr>
        <w:t>published on the MSAC website.</w:t>
      </w:r>
    </w:p>
    <w:p w14:paraId="2FF79E3C" w14:textId="5EDC80DE" w:rsidR="007B5BBB" w:rsidRPr="00310289" w:rsidRDefault="007B5BBB" w:rsidP="0029751F">
      <w:pPr>
        <w:keepNext/>
        <w:widowControl w:val="0"/>
        <w:spacing w:after="0" w:line="240" w:lineRule="auto"/>
        <w:rPr>
          <w:rFonts w:eastAsia="Times New Roman"/>
          <w:b/>
          <w:bCs/>
          <w:i/>
          <w:snapToGrid w:val="0"/>
          <w:lang w:val="en-US"/>
        </w:rPr>
      </w:pPr>
      <w:r w:rsidRPr="00310289">
        <w:rPr>
          <w:rFonts w:eastAsia="Times New Roman"/>
          <w:b/>
          <w:bCs/>
          <w:i/>
          <w:snapToGrid w:val="0"/>
          <w:lang w:val="en-US"/>
        </w:rPr>
        <w:t>Purpose</w:t>
      </w:r>
    </w:p>
    <w:p w14:paraId="33074EBA" w14:textId="71291502" w:rsidR="007A63C1" w:rsidRDefault="00C3305A" w:rsidP="00DC2522">
      <w:pPr>
        <w:keepNext/>
        <w:widowControl w:val="0"/>
        <w:spacing w:after="240" w:line="240" w:lineRule="auto"/>
        <w:rPr>
          <w:rFonts w:eastAsia="Times New Roman"/>
          <w:bCs/>
          <w:snapToGrid w:val="0"/>
          <w:lang w:val="en-US"/>
        </w:rPr>
      </w:pPr>
      <w:r>
        <w:rPr>
          <w:rFonts w:eastAsia="Times New Roman"/>
          <w:bCs/>
          <w:snapToGrid w:val="0"/>
          <w:lang w:val="en-US"/>
        </w:rPr>
        <w:t>The key objective</w:t>
      </w:r>
      <w:r w:rsidR="00BB4331">
        <w:rPr>
          <w:rFonts w:eastAsia="Times New Roman"/>
          <w:bCs/>
          <w:snapToGrid w:val="0"/>
          <w:lang w:val="en-US"/>
        </w:rPr>
        <w:t>s</w:t>
      </w:r>
      <w:r>
        <w:rPr>
          <w:rFonts w:eastAsia="Times New Roman"/>
          <w:bCs/>
          <w:snapToGrid w:val="0"/>
          <w:lang w:val="en-US"/>
        </w:rPr>
        <w:t xml:space="preserve"> of the meeting w</w:t>
      </w:r>
      <w:r w:rsidR="00BB4331">
        <w:rPr>
          <w:rFonts w:eastAsia="Times New Roman"/>
          <w:bCs/>
          <w:snapToGrid w:val="0"/>
          <w:lang w:val="en-US"/>
        </w:rPr>
        <w:t>ere</w:t>
      </w:r>
      <w:r>
        <w:rPr>
          <w:rFonts w:eastAsia="Times New Roman"/>
          <w:bCs/>
          <w:snapToGrid w:val="0"/>
          <w:lang w:val="en-US"/>
        </w:rPr>
        <w:t xml:space="preserve"> to </w:t>
      </w:r>
      <w:r w:rsidR="007B5BBB">
        <w:rPr>
          <w:rFonts w:eastAsia="Times New Roman"/>
          <w:bCs/>
          <w:snapToGrid w:val="0"/>
          <w:lang w:val="en-US"/>
        </w:rPr>
        <w:t>all</w:t>
      </w:r>
      <w:r w:rsidR="00310289">
        <w:rPr>
          <w:rFonts w:eastAsia="Times New Roman"/>
          <w:bCs/>
          <w:snapToGrid w:val="0"/>
          <w:lang w:val="en-US"/>
        </w:rPr>
        <w:t>ow</w:t>
      </w:r>
      <w:r w:rsidR="007B5BBB">
        <w:rPr>
          <w:rFonts w:eastAsia="Times New Roman"/>
          <w:bCs/>
          <w:snapToGrid w:val="0"/>
          <w:lang w:val="en-US"/>
        </w:rPr>
        <w:t xml:space="preserve"> MSAC to </w:t>
      </w:r>
      <w:r>
        <w:rPr>
          <w:rFonts w:eastAsia="Times New Roman"/>
          <w:bCs/>
          <w:snapToGrid w:val="0"/>
          <w:lang w:val="en-US"/>
        </w:rPr>
        <w:t>seek input from</w:t>
      </w:r>
      <w:r w:rsidR="002C28F6">
        <w:rPr>
          <w:rFonts w:eastAsia="Times New Roman"/>
          <w:bCs/>
          <w:snapToGrid w:val="0"/>
          <w:lang w:val="en-US"/>
        </w:rPr>
        <w:t xml:space="preserve"> </w:t>
      </w:r>
      <w:r>
        <w:rPr>
          <w:rFonts w:eastAsia="Times New Roman"/>
          <w:bCs/>
          <w:snapToGrid w:val="0"/>
          <w:lang w:val="en-US"/>
        </w:rPr>
        <w:t>stakeholders on:</w:t>
      </w:r>
    </w:p>
    <w:p w14:paraId="701D22D7" w14:textId="6D0E91BE" w:rsidR="002C28F6" w:rsidRPr="00DC2522" w:rsidRDefault="00C3305A" w:rsidP="00DC2522">
      <w:pPr>
        <w:pStyle w:val="ListParagraph"/>
        <w:keepNext/>
        <w:widowControl w:val="0"/>
        <w:numPr>
          <w:ilvl w:val="0"/>
          <w:numId w:val="2"/>
        </w:numPr>
        <w:spacing w:after="240" w:line="240" w:lineRule="auto"/>
        <w:ind w:left="714" w:hanging="357"/>
        <w:contextualSpacing w:val="0"/>
        <w:rPr>
          <w:rFonts w:eastAsia="Times New Roman"/>
          <w:bCs/>
          <w:snapToGrid w:val="0"/>
          <w:lang w:val="en-US"/>
        </w:rPr>
      </w:pPr>
      <w:r>
        <w:rPr>
          <w:rFonts w:eastAsia="Times New Roman"/>
          <w:bCs/>
          <w:snapToGrid w:val="0"/>
          <w:lang w:val="en-US"/>
        </w:rPr>
        <w:t xml:space="preserve">The criteria for eligibility for CAR-T cell therapy in diffuse large B-cell lymphoma (DLBCL), primary mediastinal large B-cell lymphoma (PMBCL) and transformed follicular lymphoma (TFL). </w:t>
      </w:r>
    </w:p>
    <w:p w14:paraId="13912EE0" w14:textId="2116DF30" w:rsidR="000C1A48" w:rsidRPr="00DC2522" w:rsidRDefault="00C3305A" w:rsidP="00DC2522">
      <w:pPr>
        <w:pStyle w:val="ListParagraph"/>
        <w:keepNext/>
        <w:widowControl w:val="0"/>
        <w:numPr>
          <w:ilvl w:val="0"/>
          <w:numId w:val="2"/>
        </w:numPr>
        <w:spacing w:after="240" w:line="240" w:lineRule="auto"/>
        <w:ind w:left="714" w:hanging="357"/>
        <w:rPr>
          <w:rFonts w:eastAsia="Times New Roman"/>
          <w:bCs/>
          <w:snapToGrid w:val="0"/>
          <w:lang w:val="en-US"/>
        </w:rPr>
      </w:pPr>
      <w:r>
        <w:rPr>
          <w:rFonts w:eastAsia="Times New Roman"/>
          <w:bCs/>
          <w:snapToGrid w:val="0"/>
          <w:lang w:val="en-US"/>
        </w:rPr>
        <w:t xml:space="preserve">The response </w:t>
      </w:r>
      <w:r w:rsidR="002C28F6">
        <w:rPr>
          <w:rFonts w:eastAsia="Times New Roman"/>
          <w:bCs/>
          <w:snapToGrid w:val="0"/>
          <w:lang w:val="en-US"/>
        </w:rPr>
        <w:t>and assessment criteria to establish durability of response in clinical practice</w:t>
      </w:r>
      <w:r w:rsidR="0041588E">
        <w:rPr>
          <w:rFonts w:eastAsia="Times New Roman"/>
          <w:bCs/>
          <w:snapToGrid w:val="0"/>
          <w:lang w:val="en-US"/>
        </w:rPr>
        <w:t>.</w:t>
      </w:r>
    </w:p>
    <w:p w14:paraId="35947F8D" w14:textId="322193A9" w:rsidR="00B449E5" w:rsidRDefault="000C1A48" w:rsidP="00DC2522">
      <w:pPr>
        <w:keepNext/>
        <w:widowControl w:val="0"/>
        <w:spacing w:after="240" w:line="240" w:lineRule="auto"/>
        <w:rPr>
          <w:rFonts w:eastAsia="Times New Roman"/>
          <w:bCs/>
          <w:snapToGrid w:val="0"/>
          <w:lang w:val="en-US"/>
        </w:rPr>
      </w:pPr>
      <w:r>
        <w:rPr>
          <w:rFonts w:eastAsia="Times New Roman"/>
          <w:bCs/>
          <w:snapToGrid w:val="0"/>
          <w:lang w:val="en-US"/>
        </w:rPr>
        <w:t>Other issues discussed included: Australian patient registr</w:t>
      </w:r>
      <w:r w:rsidR="00BB4331">
        <w:rPr>
          <w:rFonts w:eastAsia="Times New Roman"/>
          <w:bCs/>
          <w:snapToGrid w:val="0"/>
          <w:lang w:val="en-US"/>
        </w:rPr>
        <w:t>ies</w:t>
      </w:r>
      <w:r>
        <w:rPr>
          <w:rFonts w:eastAsia="Times New Roman"/>
          <w:bCs/>
          <w:snapToGrid w:val="0"/>
          <w:lang w:val="en-US"/>
        </w:rPr>
        <w:t xml:space="preserve">, equity of access across </w:t>
      </w:r>
      <w:r w:rsidR="0041588E">
        <w:rPr>
          <w:rFonts w:eastAsia="Times New Roman"/>
          <w:bCs/>
          <w:snapToGrid w:val="0"/>
          <w:lang w:val="en-US"/>
        </w:rPr>
        <w:t>A</w:t>
      </w:r>
      <w:r w:rsidR="00BB4331">
        <w:rPr>
          <w:rFonts w:eastAsia="Times New Roman"/>
          <w:bCs/>
          <w:snapToGrid w:val="0"/>
          <w:lang w:val="en-US"/>
        </w:rPr>
        <w:t>ustralia</w:t>
      </w:r>
      <w:r>
        <w:rPr>
          <w:rFonts w:eastAsia="Times New Roman"/>
          <w:bCs/>
          <w:snapToGrid w:val="0"/>
          <w:lang w:val="en-US"/>
        </w:rPr>
        <w:t xml:space="preserve">, </w:t>
      </w:r>
      <w:r w:rsidR="00BB4331">
        <w:rPr>
          <w:rFonts w:eastAsia="Times New Roman"/>
          <w:bCs/>
          <w:snapToGrid w:val="0"/>
          <w:lang w:val="en-US"/>
        </w:rPr>
        <w:t xml:space="preserve">and </w:t>
      </w:r>
      <w:r w:rsidR="00F3027E">
        <w:rPr>
          <w:rFonts w:eastAsia="Times New Roman"/>
          <w:bCs/>
          <w:snapToGrid w:val="0"/>
          <w:lang w:val="en-US"/>
        </w:rPr>
        <w:t>treatment cent</w:t>
      </w:r>
      <w:r w:rsidR="007235CE">
        <w:rPr>
          <w:rFonts w:eastAsia="Times New Roman"/>
          <w:bCs/>
          <w:snapToGrid w:val="0"/>
          <w:lang w:val="en-US"/>
        </w:rPr>
        <w:t>re</w:t>
      </w:r>
      <w:r w:rsidR="00F3027E">
        <w:rPr>
          <w:rFonts w:eastAsia="Times New Roman"/>
          <w:bCs/>
          <w:snapToGrid w:val="0"/>
          <w:lang w:val="en-US"/>
        </w:rPr>
        <w:t xml:space="preserve"> accreditation</w:t>
      </w:r>
      <w:r w:rsidR="00DC2522">
        <w:rPr>
          <w:rFonts w:eastAsia="Times New Roman"/>
          <w:bCs/>
          <w:snapToGrid w:val="0"/>
          <w:lang w:val="en-US"/>
        </w:rPr>
        <w:t xml:space="preserve"> and readiness.</w:t>
      </w:r>
    </w:p>
    <w:p w14:paraId="70F3920B" w14:textId="77777777" w:rsidR="00DA607D" w:rsidRPr="0041588E" w:rsidRDefault="00DA607D" w:rsidP="0029751F">
      <w:pPr>
        <w:keepNext/>
        <w:widowControl w:val="0"/>
        <w:spacing w:after="0" w:line="240" w:lineRule="auto"/>
        <w:rPr>
          <w:rFonts w:eastAsia="Times New Roman"/>
          <w:b/>
          <w:bCs/>
          <w:i/>
          <w:snapToGrid w:val="0"/>
          <w:lang w:val="en-US"/>
        </w:rPr>
      </w:pPr>
      <w:r w:rsidRPr="0041588E">
        <w:rPr>
          <w:rFonts w:eastAsia="Times New Roman"/>
          <w:b/>
          <w:bCs/>
          <w:i/>
          <w:snapToGrid w:val="0"/>
          <w:lang w:val="en-US"/>
        </w:rPr>
        <w:t>Conflicts of interest</w:t>
      </w:r>
    </w:p>
    <w:p w14:paraId="07BFB825" w14:textId="68A4A218" w:rsidR="0041588E" w:rsidRDefault="00DA607D" w:rsidP="00DC2522">
      <w:pPr>
        <w:keepNext/>
        <w:widowControl w:val="0"/>
        <w:spacing w:line="240" w:lineRule="auto"/>
        <w:rPr>
          <w:rFonts w:eastAsia="Times New Roman"/>
          <w:bCs/>
          <w:snapToGrid w:val="0"/>
          <w:lang w:val="en-US"/>
        </w:rPr>
      </w:pPr>
      <w:r>
        <w:rPr>
          <w:rFonts w:eastAsia="Times New Roman"/>
          <w:bCs/>
          <w:snapToGrid w:val="0"/>
          <w:lang w:val="en-US"/>
        </w:rPr>
        <w:t xml:space="preserve">The Chair noted the </w:t>
      </w:r>
      <w:r w:rsidR="00DC2522">
        <w:rPr>
          <w:rFonts w:eastAsia="Times New Roman"/>
          <w:bCs/>
          <w:snapToGrid w:val="0"/>
          <w:lang w:val="en-US"/>
        </w:rPr>
        <w:t>conflicts of interest declared.</w:t>
      </w:r>
    </w:p>
    <w:p w14:paraId="19F8B942" w14:textId="66D44AF9" w:rsidR="00BB3214" w:rsidRPr="00DC2522" w:rsidRDefault="008A52FA" w:rsidP="00DC2522">
      <w:pPr>
        <w:pStyle w:val="Heading3"/>
        <w:spacing w:after="240"/>
      </w:pPr>
      <w:r w:rsidRPr="00A83E82">
        <w:t>Background</w:t>
      </w:r>
    </w:p>
    <w:p w14:paraId="7CFC8966" w14:textId="273EA73D" w:rsidR="007A63C1" w:rsidRDefault="00BB3214" w:rsidP="00DC2522">
      <w:pPr>
        <w:spacing w:after="0" w:line="240" w:lineRule="auto"/>
      </w:pPr>
      <w:r>
        <w:t xml:space="preserve">Kymriah and Yescarta are </w:t>
      </w:r>
      <w:r w:rsidRPr="001F45DB">
        <w:t xml:space="preserve">CAR-T </w:t>
      </w:r>
      <w:r>
        <w:t xml:space="preserve">cell </w:t>
      </w:r>
      <w:r w:rsidRPr="001F45DB">
        <w:t>th</w:t>
      </w:r>
      <w:r>
        <w:t xml:space="preserve">erapies. </w:t>
      </w:r>
      <w:r w:rsidRPr="001F45DB">
        <w:t>Each dose is a customised treatment created using an individual patient’s own</w:t>
      </w:r>
      <w:r>
        <w:t xml:space="preserve"> genetically modified</w:t>
      </w:r>
      <w:r w:rsidRPr="001F45DB">
        <w:t xml:space="preserve"> T-ce</w:t>
      </w:r>
      <w:r>
        <w:t>lls</w:t>
      </w:r>
      <w:r w:rsidR="00BD0030">
        <w:t xml:space="preserve"> (a type of white blood cell)</w:t>
      </w:r>
      <w:r w:rsidRPr="001F45DB">
        <w:t xml:space="preserve">. </w:t>
      </w:r>
      <w:r>
        <w:t>The single dose is delivered intravenously.</w:t>
      </w:r>
      <w:r w:rsidR="007A63C1">
        <w:br w:type="page"/>
      </w:r>
    </w:p>
    <w:p w14:paraId="0291D4F0" w14:textId="5D4ED84C" w:rsidR="00450F63" w:rsidRPr="00450F63" w:rsidRDefault="00BB3214" w:rsidP="00DC2522">
      <w:pPr>
        <w:spacing w:after="240" w:line="240" w:lineRule="auto"/>
      </w:pPr>
      <w:r w:rsidRPr="00450F63">
        <w:lastRenderedPageBreak/>
        <w:t>CAR-T cell therapy treatment involves</w:t>
      </w:r>
      <w:r w:rsidR="00A24ED1" w:rsidRPr="00450F63">
        <w:t xml:space="preserve"> </w:t>
      </w:r>
      <w:r w:rsidR="00450F63" w:rsidRPr="004B469B">
        <w:t>six</w:t>
      </w:r>
      <w:r w:rsidR="00B85D25" w:rsidRPr="004B469B">
        <w:t xml:space="preserve"> </w:t>
      </w:r>
      <w:r w:rsidRPr="004B469B">
        <w:t>stages:</w:t>
      </w:r>
    </w:p>
    <w:p w14:paraId="48F9AC79" w14:textId="1852413C" w:rsidR="00BB3214" w:rsidRPr="004B469B" w:rsidRDefault="00450F63" w:rsidP="004B469B">
      <w:pPr>
        <w:pStyle w:val="ListParagraph"/>
        <w:numPr>
          <w:ilvl w:val="0"/>
          <w:numId w:val="13"/>
        </w:numPr>
        <w:spacing w:after="0" w:line="240" w:lineRule="auto"/>
        <w:ind w:hanging="720"/>
      </w:pPr>
      <w:r w:rsidRPr="00450F63">
        <w:t xml:space="preserve">Collect of cells from the patient </w:t>
      </w:r>
      <w:r w:rsidR="00BB3214" w:rsidRPr="004B469B">
        <w:t>(apheresis)</w:t>
      </w:r>
      <w:r w:rsidRPr="004B469B">
        <w:t>.</w:t>
      </w:r>
      <w:r w:rsidR="00BB3214" w:rsidRPr="004B469B">
        <w:t xml:space="preserve"> </w:t>
      </w:r>
    </w:p>
    <w:p w14:paraId="48DDBF89" w14:textId="269D5F82" w:rsidR="00A83E82" w:rsidRPr="004B469B" w:rsidRDefault="00BB3214" w:rsidP="004B469B">
      <w:pPr>
        <w:pStyle w:val="ListParagraph"/>
        <w:numPr>
          <w:ilvl w:val="0"/>
          <w:numId w:val="13"/>
        </w:numPr>
        <w:spacing w:after="0" w:line="240" w:lineRule="auto"/>
        <w:ind w:hanging="720"/>
      </w:pPr>
      <w:r w:rsidRPr="004B469B">
        <w:t>Cell modification and re-programming at a specialised manufacturing centre</w:t>
      </w:r>
      <w:r w:rsidR="00450F63" w:rsidRPr="004B469B">
        <w:t>.</w:t>
      </w:r>
    </w:p>
    <w:p w14:paraId="77F1C359" w14:textId="4380DF47" w:rsidR="00450F63" w:rsidRPr="004B469B" w:rsidRDefault="00A83E82" w:rsidP="004B469B">
      <w:pPr>
        <w:pStyle w:val="ListParagraph"/>
        <w:numPr>
          <w:ilvl w:val="0"/>
          <w:numId w:val="13"/>
        </w:numPr>
        <w:spacing w:after="0" w:line="240" w:lineRule="auto"/>
        <w:ind w:hanging="720"/>
      </w:pPr>
      <w:r w:rsidRPr="004B469B">
        <w:t>The patient may undergo bridging therapy</w:t>
      </w:r>
      <w:r w:rsidR="00A56B1F" w:rsidRPr="004B469B">
        <w:t xml:space="preserve"> whilst </w:t>
      </w:r>
      <w:r w:rsidR="004B469B">
        <w:t>the CAR-</w:t>
      </w:r>
      <w:r w:rsidR="00A56B1F" w:rsidRPr="004B469B">
        <w:t>T</w:t>
      </w:r>
      <w:r w:rsidR="004B469B">
        <w:t xml:space="preserve"> </w:t>
      </w:r>
      <w:r w:rsidR="00A56B1F" w:rsidRPr="004B469B">
        <w:t>cells are being manufactured</w:t>
      </w:r>
    </w:p>
    <w:p w14:paraId="2D5A6DFB" w14:textId="3FC5B6CB" w:rsidR="00BB3214" w:rsidRPr="004B469B" w:rsidRDefault="00450F63" w:rsidP="004B469B">
      <w:pPr>
        <w:pStyle w:val="ListParagraph"/>
        <w:numPr>
          <w:ilvl w:val="0"/>
          <w:numId w:val="13"/>
        </w:numPr>
        <w:spacing w:after="0" w:line="240" w:lineRule="auto"/>
        <w:ind w:hanging="720"/>
      </w:pPr>
      <w:r w:rsidRPr="004B469B">
        <w:t>The patient receives cytotoxic preconditioning therapy</w:t>
      </w:r>
      <w:r w:rsidR="00BB3214" w:rsidRPr="004B469B">
        <w:t xml:space="preserve"> </w:t>
      </w:r>
    </w:p>
    <w:p w14:paraId="5DDA5C87" w14:textId="3E4218A0" w:rsidR="00BB3214" w:rsidRPr="004B469B" w:rsidRDefault="00450F63" w:rsidP="004B469B">
      <w:pPr>
        <w:pStyle w:val="ListParagraph"/>
        <w:keepNext/>
        <w:widowControl w:val="0"/>
        <w:numPr>
          <w:ilvl w:val="0"/>
          <w:numId w:val="13"/>
        </w:numPr>
        <w:spacing w:after="0" w:line="240" w:lineRule="auto"/>
        <w:ind w:hanging="720"/>
        <w:rPr>
          <w:rFonts w:eastAsia="Times New Roman"/>
          <w:bCs/>
          <w:snapToGrid w:val="0"/>
          <w:lang w:val="en-US"/>
        </w:rPr>
      </w:pPr>
      <w:r w:rsidRPr="004B469B">
        <w:t>The patient receives the i</w:t>
      </w:r>
      <w:r w:rsidR="00BB3214" w:rsidRPr="004B469B">
        <w:t>nfusion of the modified cells</w:t>
      </w:r>
      <w:r w:rsidR="00BD0030" w:rsidRPr="004B469B">
        <w:t>.</w:t>
      </w:r>
      <w:r w:rsidR="00BB3214" w:rsidRPr="004B469B">
        <w:t xml:space="preserve"> </w:t>
      </w:r>
    </w:p>
    <w:p w14:paraId="6A2748A9" w14:textId="6E6E2246" w:rsidR="00BB3214" w:rsidRPr="00DC2522" w:rsidRDefault="00450F63" w:rsidP="00DC2522">
      <w:pPr>
        <w:pStyle w:val="ListParagraph"/>
        <w:keepNext/>
        <w:widowControl w:val="0"/>
        <w:numPr>
          <w:ilvl w:val="0"/>
          <w:numId w:val="13"/>
        </w:numPr>
        <w:spacing w:after="240" w:line="240" w:lineRule="auto"/>
        <w:ind w:hanging="720"/>
        <w:rPr>
          <w:rFonts w:eastAsia="Times New Roman"/>
          <w:bCs/>
          <w:snapToGrid w:val="0"/>
          <w:lang w:val="en-US"/>
        </w:rPr>
      </w:pPr>
      <w:r w:rsidRPr="00450F63">
        <w:t>The patient is monitor</w:t>
      </w:r>
      <w:r w:rsidR="00DC2522">
        <w:t>ed.</w:t>
      </w:r>
    </w:p>
    <w:p w14:paraId="0161BB2B" w14:textId="0381D797" w:rsidR="00BB3214" w:rsidRDefault="00BB3214" w:rsidP="00DC2522">
      <w:pPr>
        <w:spacing w:after="240" w:line="240" w:lineRule="auto"/>
      </w:pPr>
      <w:r w:rsidRPr="000B1CE0">
        <w:t>The process from aphe</w:t>
      </w:r>
      <w:r>
        <w:t>resis to infusion can take a number of weeks.</w:t>
      </w:r>
      <w:r w:rsidR="00450F63">
        <w:t xml:space="preserve"> Patients need to stay within proximity of their treatment centre for 4 weeks after infusion for monitoring and for treatment of</w:t>
      </w:r>
      <w:r w:rsidR="004B469B">
        <w:t xml:space="preserve"> </w:t>
      </w:r>
      <w:r w:rsidR="00450F63">
        <w:t>any side effects.</w:t>
      </w:r>
    </w:p>
    <w:p w14:paraId="0CB7BA51" w14:textId="0757C589" w:rsidR="008A52FA" w:rsidRPr="00DC2522" w:rsidRDefault="00BD0030" w:rsidP="00DC2522">
      <w:pPr>
        <w:spacing w:after="240" w:line="240" w:lineRule="auto"/>
      </w:pPr>
      <w:r>
        <w:t xml:space="preserve">Currently, treatment can only take place in </w:t>
      </w:r>
      <w:r w:rsidR="00BB3214">
        <w:t xml:space="preserve">tertiary public hospitals </w:t>
      </w:r>
      <w:r>
        <w:t xml:space="preserve">with </w:t>
      </w:r>
      <w:r w:rsidR="00BB3214">
        <w:t>appropriate expertise and facilities.</w:t>
      </w:r>
    </w:p>
    <w:p w14:paraId="5AB251D8" w14:textId="61543618" w:rsidR="00BB3214" w:rsidRPr="00DC2522" w:rsidRDefault="00997226" w:rsidP="00DC2522">
      <w:pPr>
        <w:keepNext/>
        <w:widowControl w:val="0"/>
        <w:spacing w:after="240" w:line="240" w:lineRule="auto"/>
        <w:rPr>
          <w:rFonts w:eastAsia="Times New Roman"/>
          <w:bCs/>
          <w:snapToGrid w:val="0"/>
        </w:rPr>
      </w:pPr>
      <w:r>
        <w:rPr>
          <w:rFonts w:eastAsia="Times New Roman"/>
          <w:bCs/>
          <w:snapToGrid w:val="0"/>
          <w:lang w:val="en-US"/>
        </w:rPr>
        <w:t>At its August 2019 meeting, MSAC</w:t>
      </w:r>
      <w:r w:rsidR="001D47FC">
        <w:rPr>
          <w:rFonts w:eastAsia="Times New Roman"/>
          <w:bCs/>
          <w:snapToGrid w:val="0"/>
          <w:lang w:val="en-US"/>
        </w:rPr>
        <w:t xml:space="preserve"> considered </w:t>
      </w:r>
      <w:r w:rsidR="00991BC0">
        <w:rPr>
          <w:rFonts w:eastAsia="Times New Roman"/>
          <w:bCs/>
          <w:snapToGrid w:val="0"/>
          <w:lang w:val="en-US"/>
        </w:rPr>
        <w:t xml:space="preserve">an </w:t>
      </w:r>
      <w:r w:rsidR="001D47FC">
        <w:rPr>
          <w:rFonts w:eastAsia="Times New Roman"/>
          <w:bCs/>
          <w:snapToGrid w:val="0"/>
          <w:lang w:val="en-US"/>
        </w:rPr>
        <w:t>application</w:t>
      </w:r>
      <w:r w:rsidR="00991BC0">
        <w:rPr>
          <w:rFonts w:eastAsia="Times New Roman"/>
          <w:bCs/>
          <w:snapToGrid w:val="0"/>
          <w:lang w:val="en-US"/>
        </w:rPr>
        <w:t xml:space="preserve"> for the public funding of Kymriah</w:t>
      </w:r>
      <w:r w:rsidR="00F50286">
        <w:rPr>
          <w:rFonts w:eastAsia="Times New Roman"/>
          <w:bCs/>
          <w:snapToGrid w:val="0"/>
          <w:lang w:val="en-US"/>
        </w:rPr>
        <w:t xml:space="preserve"> </w:t>
      </w:r>
      <w:r w:rsidR="001D47FC">
        <w:t xml:space="preserve">for the treatment of </w:t>
      </w:r>
      <w:r w:rsidR="00991BC0">
        <w:t>r/r</w:t>
      </w:r>
      <w:r w:rsidR="001D47FC">
        <w:t xml:space="preserve"> </w:t>
      </w:r>
      <w:r w:rsidR="00991BC0">
        <w:t>DLBCL (application 1519.1)</w:t>
      </w:r>
      <w:r w:rsidR="001D47FC">
        <w:t xml:space="preserve"> and</w:t>
      </w:r>
      <w:r>
        <w:rPr>
          <w:rFonts w:eastAsia="Times New Roman"/>
          <w:bCs/>
          <w:snapToGrid w:val="0"/>
          <w:lang w:val="en-US"/>
        </w:rPr>
        <w:t xml:space="preserve"> </w:t>
      </w:r>
      <w:r w:rsidRPr="00997226">
        <w:rPr>
          <w:rFonts w:eastAsia="Times New Roman"/>
          <w:bCs/>
          <w:snapToGrid w:val="0"/>
        </w:rPr>
        <w:t>recommended the Department convene a discussion with relevant stakeholders including treating clinicians, consume</w:t>
      </w:r>
      <w:r w:rsidR="004A5545">
        <w:rPr>
          <w:rFonts w:eastAsia="Times New Roman"/>
          <w:bCs/>
          <w:snapToGrid w:val="0"/>
        </w:rPr>
        <w:t>rs, and representatives of the applicants</w:t>
      </w:r>
      <w:r w:rsidRPr="00997226">
        <w:rPr>
          <w:rFonts w:eastAsia="Times New Roman"/>
          <w:bCs/>
          <w:snapToGrid w:val="0"/>
        </w:rPr>
        <w:t>, Commonwealth and State/Territory governments to consider the criteria for</w:t>
      </w:r>
      <w:r w:rsidR="00DC2522">
        <w:rPr>
          <w:rFonts w:eastAsia="Times New Roman"/>
          <w:bCs/>
          <w:snapToGrid w:val="0"/>
        </w:rPr>
        <w:t xml:space="preserve"> eligibility for CAR-T therapy.</w:t>
      </w:r>
    </w:p>
    <w:p w14:paraId="455CD8BC" w14:textId="316709F7" w:rsidR="00BD0030" w:rsidRPr="008C532B" w:rsidRDefault="00965F2E" w:rsidP="00DC2522">
      <w:pPr>
        <w:keepNext/>
        <w:widowControl w:val="0"/>
        <w:spacing w:after="240" w:line="240" w:lineRule="auto"/>
        <w:rPr>
          <w:bCs/>
          <w:snapToGrid w:val="0"/>
        </w:rPr>
      </w:pPr>
      <w:r w:rsidRPr="008C532B">
        <w:rPr>
          <w:bCs/>
          <w:snapToGrid w:val="0"/>
        </w:rPr>
        <w:t>MSAC considered more work</w:t>
      </w:r>
      <w:r w:rsidR="008C532B">
        <w:rPr>
          <w:bCs/>
          <w:snapToGrid w:val="0"/>
        </w:rPr>
        <w:t xml:space="preserve"> was</w:t>
      </w:r>
      <w:r w:rsidRPr="008C532B">
        <w:rPr>
          <w:bCs/>
          <w:snapToGrid w:val="0"/>
        </w:rPr>
        <w:t xml:space="preserve"> needed to identify the patients most likely to benefit from CAR-T cell therapy. </w:t>
      </w:r>
      <w:r w:rsidR="008C532B">
        <w:rPr>
          <w:bCs/>
          <w:snapToGrid w:val="0"/>
        </w:rPr>
        <w:t>In particular, the MSAC noted:</w:t>
      </w:r>
    </w:p>
    <w:p w14:paraId="186A37A7" w14:textId="77777777" w:rsidR="00DD3A8D" w:rsidRPr="008C532B" w:rsidRDefault="008C532B" w:rsidP="0029751F">
      <w:pPr>
        <w:pStyle w:val="ListParagraph"/>
        <w:keepNext/>
        <w:widowControl w:val="0"/>
        <w:numPr>
          <w:ilvl w:val="0"/>
          <w:numId w:val="4"/>
        </w:numPr>
        <w:spacing w:after="0" w:line="240" w:lineRule="auto"/>
        <w:rPr>
          <w:bCs/>
          <w:snapToGrid w:val="0"/>
        </w:rPr>
      </w:pPr>
      <w:r>
        <w:rPr>
          <w:bCs/>
          <w:snapToGrid w:val="0"/>
        </w:rPr>
        <w:t>The p</w:t>
      </w:r>
      <w:r w:rsidR="00965F2E" w:rsidRPr="008C532B">
        <w:rPr>
          <w:bCs/>
          <w:snapToGrid w:val="0"/>
        </w:rPr>
        <w:t>opulation treated in</w:t>
      </w:r>
      <w:r>
        <w:rPr>
          <w:bCs/>
          <w:snapToGrid w:val="0"/>
        </w:rPr>
        <w:t xml:space="preserve"> the</w:t>
      </w:r>
      <w:r w:rsidR="00965F2E" w:rsidRPr="008C532B">
        <w:rPr>
          <w:bCs/>
          <w:snapToGrid w:val="0"/>
        </w:rPr>
        <w:t xml:space="preserve"> JULIET </w:t>
      </w:r>
      <w:r>
        <w:rPr>
          <w:bCs/>
          <w:snapToGrid w:val="0"/>
        </w:rPr>
        <w:t xml:space="preserve">trial was </w:t>
      </w:r>
      <w:r w:rsidR="00965F2E" w:rsidRPr="008C532B">
        <w:rPr>
          <w:bCs/>
          <w:snapToGrid w:val="0"/>
        </w:rPr>
        <w:t xml:space="preserve">narrower than </w:t>
      </w:r>
      <w:r>
        <w:rPr>
          <w:bCs/>
          <w:snapToGrid w:val="0"/>
        </w:rPr>
        <w:t xml:space="preserve">the proposed subsidy population. </w:t>
      </w:r>
    </w:p>
    <w:p w14:paraId="3DE5AF60" w14:textId="77777777" w:rsidR="00DD3A8D" w:rsidRPr="008C532B" w:rsidRDefault="00965F2E" w:rsidP="0029751F">
      <w:pPr>
        <w:pStyle w:val="ListParagraph"/>
        <w:keepNext/>
        <w:widowControl w:val="0"/>
        <w:numPr>
          <w:ilvl w:val="0"/>
          <w:numId w:val="4"/>
        </w:numPr>
        <w:spacing w:after="0" w:line="240" w:lineRule="auto"/>
        <w:rPr>
          <w:bCs/>
          <w:snapToGrid w:val="0"/>
        </w:rPr>
      </w:pPr>
      <w:r w:rsidRPr="008C532B">
        <w:rPr>
          <w:bCs/>
          <w:snapToGrid w:val="0"/>
        </w:rPr>
        <w:t>Effectiveness, safety and cost-effectiveness in</w:t>
      </w:r>
      <w:r w:rsidR="008C532B">
        <w:rPr>
          <w:bCs/>
          <w:snapToGrid w:val="0"/>
        </w:rPr>
        <w:t xml:space="preserve"> the</w:t>
      </w:r>
      <w:r w:rsidRPr="008C532B">
        <w:rPr>
          <w:bCs/>
          <w:snapToGrid w:val="0"/>
        </w:rPr>
        <w:t xml:space="preserve"> broader population may not be the same as in JULIET</w:t>
      </w:r>
      <w:r w:rsidR="008C532B">
        <w:rPr>
          <w:bCs/>
          <w:snapToGrid w:val="0"/>
        </w:rPr>
        <w:t xml:space="preserve"> trial</w:t>
      </w:r>
      <w:r w:rsidRPr="008C532B">
        <w:rPr>
          <w:bCs/>
          <w:snapToGrid w:val="0"/>
        </w:rPr>
        <w:t>.</w:t>
      </w:r>
    </w:p>
    <w:p w14:paraId="2667DB32" w14:textId="37821F99" w:rsidR="007A63C1" w:rsidRPr="00DC2522" w:rsidRDefault="008C532B" w:rsidP="00DC2522">
      <w:pPr>
        <w:pStyle w:val="ListParagraph"/>
        <w:keepNext/>
        <w:widowControl w:val="0"/>
        <w:numPr>
          <w:ilvl w:val="0"/>
          <w:numId w:val="4"/>
        </w:numPr>
        <w:spacing w:after="240" w:line="240" w:lineRule="auto"/>
        <w:ind w:left="714" w:hanging="357"/>
        <w:rPr>
          <w:bCs/>
          <w:snapToGrid w:val="0"/>
        </w:rPr>
      </w:pPr>
      <w:r>
        <w:rPr>
          <w:bCs/>
          <w:snapToGrid w:val="0"/>
        </w:rPr>
        <w:t>It is c</w:t>
      </w:r>
      <w:r w:rsidR="00965F2E" w:rsidRPr="008C532B">
        <w:rPr>
          <w:bCs/>
          <w:snapToGrid w:val="0"/>
        </w:rPr>
        <w:t>ritically important that treatment is used only in patients likely to be fit enough to tolerate</w:t>
      </w:r>
      <w:r>
        <w:rPr>
          <w:bCs/>
          <w:snapToGrid w:val="0"/>
        </w:rPr>
        <w:t xml:space="preserve"> it</w:t>
      </w:r>
      <w:r w:rsidR="00965F2E" w:rsidRPr="008C532B">
        <w:rPr>
          <w:bCs/>
          <w:snapToGrid w:val="0"/>
        </w:rPr>
        <w:t>.</w:t>
      </w:r>
    </w:p>
    <w:p w14:paraId="6CFEACF6" w14:textId="77D0A2B0" w:rsidR="00310289" w:rsidRDefault="003C20C2" w:rsidP="00DC2522">
      <w:pPr>
        <w:keepNext/>
        <w:widowControl w:val="0"/>
        <w:spacing w:after="240" w:line="240" w:lineRule="auto"/>
      </w:pPr>
      <w:r>
        <w:rPr>
          <w:bCs/>
          <w:snapToGrid w:val="0"/>
        </w:rPr>
        <w:t>The meeting noted that a second CAR-T cell therapy</w:t>
      </w:r>
      <w:r w:rsidR="00F50286">
        <w:rPr>
          <w:bCs/>
          <w:snapToGrid w:val="0"/>
        </w:rPr>
        <w:t xml:space="preserve">, </w:t>
      </w:r>
      <w:r>
        <w:t>Yescarta</w:t>
      </w:r>
      <w:r w:rsidR="00F50286">
        <w:t xml:space="preserve"> </w:t>
      </w:r>
      <w:r>
        <w:t>for r/r CD19-positive lymphoma was due to be considered at the upcom</w:t>
      </w:r>
      <w:r w:rsidR="00DC2522">
        <w:t>ing November 2019 MSAC meeting.</w:t>
      </w:r>
    </w:p>
    <w:p w14:paraId="457E4D7E" w14:textId="4BE227D5" w:rsidR="008F6FA1" w:rsidRPr="00DC2522" w:rsidRDefault="008F6FA1" w:rsidP="00DC2522">
      <w:pPr>
        <w:pStyle w:val="Heading3"/>
        <w:spacing w:after="240"/>
      </w:pPr>
      <w:r w:rsidRPr="008F6FA1">
        <w:t xml:space="preserve">Summary of discussion </w:t>
      </w:r>
      <w:r w:rsidR="007B5BBB">
        <w:t>and outcomes</w:t>
      </w:r>
    </w:p>
    <w:p w14:paraId="68F1CF8C" w14:textId="77777777" w:rsidR="00D01C9C" w:rsidRPr="0041588E" w:rsidRDefault="00D01C9C" w:rsidP="004B469B">
      <w:pPr>
        <w:pStyle w:val="Heading2"/>
      </w:pPr>
      <w:r w:rsidRPr="0041588E">
        <w:t>Eligibility criteria</w:t>
      </w:r>
    </w:p>
    <w:p w14:paraId="4129C9CB" w14:textId="2F17A16F" w:rsidR="00D01C9C" w:rsidRPr="00DC2522" w:rsidRDefault="006F6A92" w:rsidP="00DC2522">
      <w:pPr>
        <w:keepNext/>
        <w:widowControl w:val="0"/>
        <w:spacing w:after="240" w:line="240" w:lineRule="auto"/>
        <w:rPr>
          <w:rFonts w:eastAsia="Times New Roman"/>
          <w:bCs/>
          <w:snapToGrid w:val="0"/>
          <w:lang w:val="en-US"/>
        </w:rPr>
      </w:pPr>
      <w:r w:rsidRPr="007B5BBB">
        <w:rPr>
          <w:rFonts w:eastAsia="Times New Roman"/>
          <w:bCs/>
          <w:snapToGrid w:val="0"/>
          <w:lang w:val="en-US"/>
        </w:rPr>
        <w:t>There was consensus</w:t>
      </w:r>
      <w:r w:rsidR="00D01C9C" w:rsidRPr="006F6A92">
        <w:rPr>
          <w:rFonts w:eastAsia="Times New Roman"/>
          <w:bCs/>
          <w:snapToGrid w:val="0"/>
          <w:lang w:val="en-US"/>
        </w:rPr>
        <w:t xml:space="preserve"> that </w:t>
      </w:r>
      <w:r w:rsidR="00671015" w:rsidRPr="006F6A92">
        <w:rPr>
          <w:rFonts w:eastAsia="Times New Roman"/>
          <w:bCs/>
          <w:snapToGrid w:val="0"/>
          <w:lang w:val="en-US"/>
        </w:rPr>
        <w:t xml:space="preserve">patient </w:t>
      </w:r>
      <w:r w:rsidR="00D01C9C" w:rsidRPr="006F6A92">
        <w:rPr>
          <w:rFonts w:eastAsia="Times New Roman"/>
          <w:bCs/>
          <w:snapToGrid w:val="0"/>
          <w:lang w:val="en-US"/>
        </w:rPr>
        <w:t xml:space="preserve">eligibility criteria will require ongoing </w:t>
      </w:r>
      <w:r w:rsidRPr="007B5BBB">
        <w:rPr>
          <w:rFonts w:eastAsia="Times New Roman"/>
          <w:bCs/>
          <w:snapToGrid w:val="0"/>
          <w:lang w:val="en-US"/>
        </w:rPr>
        <w:t xml:space="preserve">monitoring and </w:t>
      </w:r>
      <w:r w:rsidR="00310289">
        <w:rPr>
          <w:rFonts w:eastAsia="Times New Roman"/>
          <w:bCs/>
          <w:snapToGrid w:val="0"/>
          <w:lang w:val="en-US"/>
        </w:rPr>
        <w:t xml:space="preserve">potentially, </w:t>
      </w:r>
      <w:r w:rsidR="00D01C9C" w:rsidRPr="006F6A92">
        <w:rPr>
          <w:rFonts w:eastAsia="Times New Roman"/>
          <w:bCs/>
          <w:snapToGrid w:val="0"/>
          <w:lang w:val="en-US"/>
        </w:rPr>
        <w:t>revision</w:t>
      </w:r>
      <w:r w:rsidR="00310289">
        <w:rPr>
          <w:rFonts w:eastAsia="Times New Roman"/>
          <w:bCs/>
          <w:snapToGrid w:val="0"/>
          <w:lang w:val="en-US"/>
        </w:rPr>
        <w:t>,</w:t>
      </w:r>
      <w:r w:rsidR="00D01C9C" w:rsidRPr="006F6A92">
        <w:rPr>
          <w:rFonts w:eastAsia="Times New Roman"/>
          <w:bCs/>
          <w:snapToGrid w:val="0"/>
          <w:lang w:val="en-US"/>
        </w:rPr>
        <w:t xml:space="preserve"> as treatment sites mature and gain experience in treating patients with CAR-T cell therapy.</w:t>
      </w:r>
    </w:p>
    <w:p w14:paraId="7B2F3AFF" w14:textId="77777777" w:rsidR="00D01C9C" w:rsidRPr="00383B79" w:rsidRDefault="00D01C9C" w:rsidP="0029751F">
      <w:pPr>
        <w:pStyle w:val="ListParagraph"/>
        <w:numPr>
          <w:ilvl w:val="0"/>
          <w:numId w:val="10"/>
        </w:numPr>
        <w:spacing w:after="0" w:line="240" w:lineRule="auto"/>
        <w:rPr>
          <w:i/>
        </w:rPr>
      </w:pPr>
      <w:r w:rsidRPr="00383B79">
        <w:rPr>
          <w:i/>
        </w:rPr>
        <w:t>Indication</w:t>
      </w:r>
    </w:p>
    <w:p w14:paraId="2ED4ED62" w14:textId="78C2843F" w:rsidR="007A63C1" w:rsidRDefault="002F7E49" w:rsidP="00DC2522">
      <w:pPr>
        <w:spacing w:after="240" w:line="240" w:lineRule="auto"/>
      </w:pPr>
      <w:r w:rsidRPr="002F7E49">
        <w:t xml:space="preserve">In addition to r/r DLBCL, </w:t>
      </w:r>
      <w:r>
        <w:t>t</w:t>
      </w:r>
      <w:r w:rsidR="00D01C9C" w:rsidRPr="00383B79">
        <w:t xml:space="preserve">here was consensus that PMBCL </w:t>
      </w:r>
      <w:r w:rsidR="00BB4331">
        <w:t xml:space="preserve">should be </w:t>
      </w:r>
      <w:r w:rsidR="00D01C9C" w:rsidRPr="00383B79">
        <w:t>in scope for treatment with CAR-T cell therapy. Patient</w:t>
      </w:r>
      <w:r w:rsidR="00BB4331">
        <w:t>s with this condition were included in the ZUMA-1 clinical trial of Yescarta,</w:t>
      </w:r>
      <w:r w:rsidR="00D01C9C" w:rsidRPr="00383B79">
        <w:t xml:space="preserve"> </w:t>
      </w:r>
      <w:r w:rsidR="00BB4331">
        <w:t xml:space="preserve">patient </w:t>
      </w:r>
      <w:r w:rsidR="00D01C9C" w:rsidRPr="00383B79">
        <w:t xml:space="preserve">numbers were </w:t>
      </w:r>
      <w:r w:rsidR="00BB4331">
        <w:t xml:space="preserve">noted </w:t>
      </w:r>
      <w:r w:rsidR="007B5BBB">
        <w:t>as</w:t>
      </w:r>
      <w:r w:rsidR="00D01C9C" w:rsidRPr="00383B79">
        <w:t xml:space="preserve"> small, </w:t>
      </w:r>
      <w:r w:rsidR="00BB4331">
        <w:t xml:space="preserve">and current </w:t>
      </w:r>
      <w:r w:rsidR="00D01C9C" w:rsidRPr="00383B79">
        <w:t>treatment options</w:t>
      </w:r>
      <w:r w:rsidR="00BB4331">
        <w:t xml:space="preserve"> limited</w:t>
      </w:r>
      <w:r w:rsidR="00D01C9C" w:rsidRPr="00383B79">
        <w:t>.</w:t>
      </w:r>
    </w:p>
    <w:p w14:paraId="04665559" w14:textId="648F5D9A" w:rsidR="00A24ED1" w:rsidRDefault="00D01C9C" w:rsidP="00DC2522">
      <w:pPr>
        <w:spacing w:after="240" w:line="240" w:lineRule="auto"/>
      </w:pPr>
      <w:r w:rsidRPr="00383B79">
        <w:t xml:space="preserve">TFL was </w:t>
      </w:r>
      <w:r w:rsidR="00BB4331">
        <w:t>also</w:t>
      </w:r>
      <w:r w:rsidR="002F7E49">
        <w:t xml:space="preserve"> considered</w:t>
      </w:r>
      <w:r w:rsidR="00BB4331">
        <w:t xml:space="preserve"> </w:t>
      </w:r>
      <w:r w:rsidRPr="00383B79">
        <w:t>in scope for treatment once the large cell component had met the DLBCL CAR-T cell therapy treatment criteria</w:t>
      </w:r>
      <w:r w:rsidR="00BB4331">
        <w:t xml:space="preserve"> (</w:t>
      </w:r>
      <w:r w:rsidR="001B2EFF">
        <w:t>i.e.</w:t>
      </w:r>
      <w:r w:rsidR="00BB4331">
        <w:t xml:space="preserve"> patients must have failed or be refractory to two lines of systemic therapy after the disease had transformed)</w:t>
      </w:r>
      <w:r w:rsidR="00DC2522">
        <w:t>.</w:t>
      </w:r>
    </w:p>
    <w:p w14:paraId="0E6AEB19" w14:textId="2E90FCA6" w:rsidR="00A24ED1" w:rsidRDefault="00A24ED1" w:rsidP="00DC2522">
      <w:pPr>
        <w:spacing w:after="240" w:line="240" w:lineRule="auto"/>
      </w:pPr>
      <w:r>
        <w:lastRenderedPageBreak/>
        <w:t>The majority of attendees considered patients with</w:t>
      </w:r>
      <w:r w:rsidR="00445347">
        <w:t xml:space="preserve"> secondary</w:t>
      </w:r>
      <w:r>
        <w:t xml:space="preserve"> CNS </w:t>
      </w:r>
      <w:r w:rsidR="001811A5">
        <w:t xml:space="preserve">disease </w:t>
      </w:r>
      <w:r>
        <w:t>should not be excluded from CAR-T treatment, unless this CNS disease was uncontrolled at the time of infusion</w:t>
      </w:r>
      <w:r w:rsidR="00445347">
        <w:t>.</w:t>
      </w:r>
      <w:r w:rsidR="009B4ACB">
        <w:t xml:space="preserve"> </w:t>
      </w:r>
      <w:r w:rsidR="00445347">
        <w:t>T</w:t>
      </w:r>
      <w:r w:rsidR="009B4ACB">
        <w:t xml:space="preserve">here is </w:t>
      </w:r>
      <w:r w:rsidR="00F703E6">
        <w:t xml:space="preserve">some </w:t>
      </w:r>
      <w:r w:rsidR="009B4ACB">
        <w:t>evidence that their outcomes are comparable with patients without CNS disease</w:t>
      </w:r>
      <w:r>
        <w:t>.</w:t>
      </w:r>
      <w:r w:rsidR="003E45C7" w:rsidRPr="003E45C7">
        <w:t xml:space="preserve"> </w:t>
      </w:r>
      <w:r w:rsidR="003E45C7">
        <w:t xml:space="preserve">There was a consensus that patients with </w:t>
      </w:r>
      <w:r w:rsidR="003E45C7">
        <w:rPr>
          <w:i/>
          <w:iCs/>
        </w:rPr>
        <w:t xml:space="preserve">primary </w:t>
      </w:r>
      <w:r w:rsidR="003E45C7">
        <w:t xml:space="preserve">CNS lymphoma should not be offered CAR-T </w:t>
      </w:r>
      <w:r w:rsidR="004B469B">
        <w:t xml:space="preserve">cell therapy </w:t>
      </w:r>
      <w:r w:rsidR="003E45C7">
        <w:t>due to an absence of clinical data in this entity.</w:t>
      </w:r>
    </w:p>
    <w:p w14:paraId="339BC134" w14:textId="0E458E71" w:rsidR="00A24ED1" w:rsidRDefault="002F7E49" w:rsidP="00DC2522">
      <w:pPr>
        <w:spacing w:after="240" w:line="240" w:lineRule="auto"/>
      </w:pPr>
      <w:r>
        <w:t>T</w:t>
      </w:r>
      <w:r w:rsidR="00A917BF">
        <w:t xml:space="preserve">hese were the only </w:t>
      </w:r>
      <w:r>
        <w:t xml:space="preserve">lymphoma </w:t>
      </w:r>
      <w:r w:rsidR="00A917BF">
        <w:t>indications considered appropriate for treatment with CAR-T cell therapy at this time.</w:t>
      </w:r>
    </w:p>
    <w:p w14:paraId="72BAD189" w14:textId="77777777" w:rsidR="00D01C9C" w:rsidRPr="00EF59B0" w:rsidRDefault="00D01C9C" w:rsidP="0029751F">
      <w:pPr>
        <w:pStyle w:val="ListParagraph"/>
        <w:numPr>
          <w:ilvl w:val="0"/>
          <w:numId w:val="10"/>
        </w:numPr>
        <w:spacing w:after="0" w:line="240" w:lineRule="auto"/>
        <w:rPr>
          <w:i/>
        </w:rPr>
      </w:pPr>
      <w:r w:rsidRPr="00EF59B0">
        <w:rPr>
          <w:i/>
        </w:rPr>
        <w:t>Line of therapy</w:t>
      </w:r>
    </w:p>
    <w:p w14:paraId="06BAE474" w14:textId="64DC6F72" w:rsidR="003E45C7" w:rsidRDefault="00D01C9C" w:rsidP="00DC2522">
      <w:pPr>
        <w:spacing w:after="240" w:line="240" w:lineRule="auto"/>
      </w:pPr>
      <w:r>
        <w:t>There was consensus that CAR-T cell therapy should be indicated for use in the relapsed or refractory setting, following two lines of systemic therapy</w:t>
      </w:r>
      <w:r w:rsidR="001B2EFF">
        <w:t>.</w:t>
      </w:r>
    </w:p>
    <w:p w14:paraId="4B132624" w14:textId="1DBFF948" w:rsidR="003E45C7" w:rsidRDefault="003E45C7" w:rsidP="00DC2522">
      <w:pPr>
        <w:spacing w:after="240" w:line="240" w:lineRule="auto"/>
      </w:pPr>
      <w:r>
        <w:t>Depth of response to prior therapies was not considered to be an important criterion but it was agreed that patients with rampant progression may be more difficult to manage through the manufacturing period and be less likely to respond to CAR-T cell therapy.</w:t>
      </w:r>
    </w:p>
    <w:p w14:paraId="3060BE15" w14:textId="0EAB13AF" w:rsidR="0041588E" w:rsidRDefault="00D01C9C" w:rsidP="00DC2522">
      <w:pPr>
        <w:spacing w:after="240" w:line="240" w:lineRule="auto"/>
      </w:pPr>
      <w:r>
        <w:t>It was considered appropriate for a note to be included in the eligibility criteria, to mitigate against treating patients unlikely to respond to treatment based on the tempo of disease</w:t>
      </w:r>
      <w:r w:rsidR="003E45C7">
        <w:t xml:space="preserve"> and availability of effective bridging therapies.</w:t>
      </w:r>
      <w:r w:rsidR="001B2EFF">
        <w:t xml:space="preserve"> </w:t>
      </w:r>
      <w:r w:rsidR="003E45C7">
        <w:t>The</w:t>
      </w:r>
      <w:r>
        <w:t xml:space="preserve"> final decision to proceed with treatment based on disease stability, should rest with the </w:t>
      </w:r>
      <w:r w:rsidR="007B5BBB">
        <w:t>treatment team</w:t>
      </w:r>
      <w:r w:rsidR="00DC2522">
        <w:t>.</w:t>
      </w:r>
    </w:p>
    <w:p w14:paraId="60906456" w14:textId="77777777" w:rsidR="00D01C9C" w:rsidRPr="00EF59B0" w:rsidRDefault="00D01C9C" w:rsidP="0029751F">
      <w:pPr>
        <w:pStyle w:val="ListParagraph"/>
        <w:numPr>
          <w:ilvl w:val="0"/>
          <w:numId w:val="10"/>
        </w:numPr>
        <w:spacing w:after="0" w:line="240" w:lineRule="auto"/>
        <w:rPr>
          <w:i/>
        </w:rPr>
      </w:pPr>
      <w:r w:rsidRPr="00EF59B0">
        <w:rPr>
          <w:i/>
        </w:rPr>
        <w:t>Age</w:t>
      </w:r>
    </w:p>
    <w:p w14:paraId="444F9489" w14:textId="5D15338E" w:rsidR="007A63C1" w:rsidRDefault="00D01C9C" w:rsidP="00DC2522">
      <w:pPr>
        <w:spacing w:after="240" w:line="240" w:lineRule="auto"/>
      </w:pPr>
      <w:r>
        <w:t xml:space="preserve">The majority of attendees were of the opinion that </w:t>
      </w:r>
      <w:r w:rsidR="0016144E">
        <w:t xml:space="preserve">there should not be </w:t>
      </w:r>
      <w:r>
        <w:t>an upper age limit for treatment, however some considered an upper ag</w:t>
      </w:r>
      <w:r w:rsidR="00DC2522">
        <w:t>e limit of 75 years reasonable.</w:t>
      </w:r>
    </w:p>
    <w:p w14:paraId="1E662D7B" w14:textId="48E3A469" w:rsidR="00D01C9C" w:rsidRDefault="00AF6D8A" w:rsidP="00DC2522">
      <w:pPr>
        <w:spacing w:after="240" w:line="240" w:lineRule="auto"/>
      </w:pPr>
      <w:r>
        <w:t xml:space="preserve">There was consensus that other indicators of fitness for treatment such as </w:t>
      </w:r>
      <w:r w:rsidR="00D01C9C">
        <w:t>performance status</w:t>
      </w:r>
      <w:r>
        <w:t>,</w:t>
      </w:r>
      <w:r w:rsidR="00D01C9C">
        <w:t xml:space="preserve"> comorbidity and frailty scores </w:t>
      </w:r>
      <w:r>
        <w:t xml:space="preserve">were appropriate </w:t>
      </w:r>
      <w:r w:rsidR="00D01C9C">
        <w:t>measure</w:t>
      </w:r>
      <w:r w:rsidR="002F7E49">
        <w:t>s</w:t>
      </w:r>
      <w:r w:rsidR="00D01C9C">
        <w:t xml:space="preserve"> of a patient’s </w:t>
      </w:r>
      <w:r>
        <w:t xml:space="preserve">suitability for </w:t>
      </w:r>
      <w:r w:rsidR="00D01C9C">
        <w:t>treatment</w:t>
      </w:r>
      <w:r>
        <w:t xml:space="preserve"> with CAR-T cell therapy</w:t>
      </w:r>
      <w:r w:rsidR="00DC2522">
        <w:t>.</w:t>
      </w:r>
    </w:p>
    <w:p w14:paraId="50EB9349" w14:textId="77777777" w:rsidR="00D01C9C" w:rsidRPr="00EF59B0" w:rsidRDefault="00D01C9C" w:rsidP="0029751F">
      <w:pPr>
        <w:pStyle w:val="ListParagraph"/>
        <w:numPr>
          <w:ilvl w:val="0"/>
          <w:numId w:val="10"/>
        </w:numPr>
        <w:spacing w:after="0" w:line="240" w:lineRule="auto"/>
        <w:rPr>
          <w:i/>
        </w:rPr>
      </w:pPr>
      <w:r w:rsidRPr="00EF59B0">
        <w:rPr>
          <w:i/>
        </w:rPr>
        <w:t>Performance status</w:t>
      </w:r>
    </w:p>
    <w:p w14:paraId="57E11BD2" w14:textId="03F70A78" w:rsidR="006659FA" w:rsidRDefault="00D01C9C" w:rsidP="00D64F0E">
      <w:pPr>
        <w:spacing w:after="240" w:line="240" w:lineRule="auto"/>
      </w:pPr>
      <w:r>
        <w:t xml:space="preserve">Requirement of an </w:t>
      </w:r>
      <w:r w:rsidRPr="005661F1">
        <w:t>Eastern Cooperative Oncology Group (ECOG) performance status</w:t>
      </w:r>
      <w:r>
        <w:t xml:space="preserve"> of 0-1 for treatment was considered appropriate.</w:t>
      </w:r>
    </w:p>
    <w:p w14:paraId="2A60471A" w14:textId="51570CF2" w:rsidR="00310289" w:rsidRDefault="006659FA" w:rsidP="00D64F0E">
      <w:pPr>
        <w:spacing w:after="240" w:line="240" w:lineRule="auto"/>
      </w:pPr>
      <w:r>
        <w:t>A statement about the patient’s anticipated ability to survive the manufacturing duration and bridging therapy should be included in the criteria.</w:t>
      </w:r>
    </w:p>
    <w:p w14:paraId="1DCDB5DC" w14:textId="77777777" w:rsidR="00D01C9C" w:rsidRPr="00EF59B0" w:rsidRDefault="00D01C9C" w:rsidP="0029751F">
      <w:pPr>
        <w:pStyle w:val="ListParagraph"/>
        <w:numPr>
          <w:ilvl w:val="0"/>
          <w:numId w:val="10"/>
        </w:numPr>
        <w:spacing w:after="0" w:line="240" w:lineRule="auto"/>
        <w:rPr>
          <w:i/>
        </w:rPr>
      </w:pPr>
      <w:r w:rsidRPr="00EF59B0">
        <w:rPr>
          <w:i/>
        </w:rPr>
        <w:t>Organ function</w:t>
      </w:r>
    </w:p>
    <w:p w14:paraId="77C68CC3" w14:textId="239732E2" w:rsidR="00D01C9C" w:rsidRDefault="00D01C9C" w:rsidP="00D64F0E">
      <w:pPr>
        <w:spacing w:after="240" w:line="240" w:lineRule="auto"/>
      </w:pPr>
      <w:r>
        <w:t xml:space="preserve">Attendees considered the inclusion of eligibility criteria relating to organ function was appropriate. Cardiac, pulmonary and renal function were considered to be most indicative of patient fitness </w:t>
      </w:r>
      <w:r w:rsidR="00AF6D8A">
        <w:t>for</w:t>
      </w:r>
      <w:r w:rsidR="009B4ACB">
        <w:t xml:space="preserve"> consideration of</w:t>
      </w:r>
      <w:r w:rsidR="00AF6D8A">
        <w:t xml:space="preserve"> </w:t>
      </w:r>
      <w:r w:rsidR="00A56B1F">
        <w:t>lympho</w:t>
      </w:r>
      <w:r w:rsidR="009B4ACB">
        <w:t>depleti</w:t>
      </w:r>
      <w:r w:rsidR="00A56B1F">
        <w:t>ng</w:t>
      </w:r>
      <w:r w:rsidR="009B4ACB">
        <w:t xml:space="preserve"> chemotherapy and </w:t>
      </w:r>
      <w:r w:rsidR="00AF6D8A">
        <w:t>CAR-T cell therapy</w:t>
      </w:r>
      <w:r w:rsidR="00310289">
        <w:t>.</w:t>
      </w:r>
    </w:p>
    <w:p w14:paraId="17131EDC" w14:textId="77777777" w:rsidR="00D01C9C" w:rsidRPr="00EF59B0" w:rsidRDefault="00D01C9C" w:rsidP="0029751F">
      <w:pPr>
        <w:pStyle w:val="ListParagraph"/>
        <w:numPr>
          <w:ilvl w:val="0"/>
          <w:numId w:val="10"/>
        </w:numPr>
        <w:spacing w:after="0" w:line="240" w:lineRule="auto"/>
        <w:rPr>
          <w:i/>
        </w:rPr>
      </w:pPr>
      <w:r w:rsidRPr="00EF59B0">
        <w:rPr>
          <w:i/>
        </w:rPr>
        <w:t>Comorbidities</w:t>
      </w:r>
    </w:p>
    <w:p w14:paraId="78FD1488" w14:textId="43D06940" w:rsidR="00310289" w:rsidRDefault="007B5BBB" w:rsidP="00D64F0E">
      <w:pPr>
        <w:spacing w:after="240" w:line="240" w:lineRule="auto"/>
      </w:pPr>
      <w:r>
        <w:t>Attendees considered m</w:t>
      </w:r>
      <w:r w:rsidR="00D01C9C">
        <w:t xml:space="preserve">ost patients with controlled comorbidities at time of infusion </w:t>
      </w:r>
      <w:r w:rsidR="00AF6D8A">
        <w:t>sh</w:t>
      </w:r>
      <w:r w:rsidR="002F7E49">
        <w:t>ould be</w:t>
      </w:r>
      <w:r w:rsidR="00DC2522">
        <w:t xml:space="preserve"> considered for treatment.</w:t>
      </w:r>
    </w:p>
    <w:p w14:paraId="51A6B541" w14:textId="060E99A7" w:rsidR="00D64F0E" w:rsidRDefault="002F7E49" w:rsidP="00D64F0E">
      <w:pPr>
        <w:spacing w:after="240" w:line="240" w:lineRule="auto"/>
      </w:pPr>
      <w:r>
        <w:t>Patients with uncontrolled infection at the time of infusion should not receive treatment.</w:t>
      </w:r>
      <w:r w:rsidR="00D64F0E">
        <w:br w:type="page"/>
      </w:r>
    </w:p>
    <w:p w14:paraId="3A5DF85A" w14:textId="6CD6445A" w:rsidR="007A63C1" w:rsidRDefault="00D01C9C" w:rsidP="003C1FF3">
      <w:pPr>
        <w:pStyle w:val="Heading2"/>
        <w:spacing w:after="240"/>
      </w:pPr>
      <w:r w:rsidRPr="007B5BBB">
        <w:lastRenderedPageBreak/>
        <w:t>Response criteria and assessment</w:t>
      </w:r>
    </w:p>
    <w:p w14:paraId="7CBE7EE6" w14:textId="77E99F55" w:rsidR="00310289" w:rsidRDefault="00D01C9C" w:rsidP="003C1FF3">
      <w:pPr>
        <w:spacing w:after="240" w:line="240" w:lineRule="auto"/>
      </w:pPr>
      <w:r>
        <w:t xml:space="preserve">Attendees </w:t>
      </w:r>
      <w:r w:rsidR="00F009F2">
        <w:t xml:space="preserve">agreed </w:t>
      </w:r>
      <w:r w:rsidR="002F7E49">
        <w:t xml:space="preserve">the </w:t>
      </w:r>
      <w:r>
        <w:t xml:space="preserve">response and assessment criteria should </w:t>
      </w:r>
      <w:r w:rsidR="002F7E49">
        <w:t xml:space="preserve">be </w:t>
      </w:r>
      <w:r w:rsidR="00F009F2">
        <w:t>objective,</w:t>
      </w:r>
      <w:r w:rsidR="002F7E49">
        <w:t xml:space="preserve"> </w:t>
      </w:r>
      <w:r w:rsidR="009B4ACB">
        <w:t xml:space="preserve">reliable, </w:t>
      </w:r>
      <w:r w:rsidR="00F009F2">
        <w:t xml:space="preserve">simple </w:t>
      </w:r>
      <w:r>
        <w:t>and independently verifi</w:t>
      </w:r>
      <w:r w:rsidR="007B5BBB">
        <w:t>able</w:t>
      </w:r>
      <w:r w:rsidR="00335BE1">
        <w:t xml:space="preserve"> based on the Lugano 2014</w:t>
      </w:r>
      <w:r w:rsidR="002B46CC">
        <w:rPr>
          <w:rStyle w:val="FootnoteReference"/>
        </w:rPr>
        <w:footnoteReference w:id="1"/>
      </w:r>
      <w:r w:rsidR="00335BE1">
        <w:t xml:space="preserve"> criteria</w:t>
      </w:r>
      <w:r w:rsidR="006659FA">
        <w:t>, in comparison with a PET performed after the last cycle of salvage, and</w:t>
      </w:r>
      <w:r w:rsidR="00976007">
        <w:t>/</w:t>
      </w:r>
      <w:r w:rsidR="006659FA">
        <w:t>or bridging therapy</w:t>
      </w:r>
      <w:r>
        <w:t xml:space="preserve">. </w:t>
      </w:r>
    </w:p>
    <w:p w14:paraId="21D8275B" w14:textId="2A734851" w:rsidR="001B2EFF" w:rsidRDefault="009B4ACB" w:rsidP="003C1FF3">
      <w:pPr>
        <w:spacing w:after="240" w:line="240" w:lineRule="auto"/>
      </w:pPr>
      <w:r>
        <w:t xml:space="preserve">FDG </w:t>
      </w:r>
      <w:r w:rsidR="00D01C9C">
        <w:t>PET-CT scan, with or without IV contrast, was considered the best modality for establishing patient response. A score of 1-</w:t>
      </w:r>
      <w:r w:rsidR="006F6A92">
        <w:t>2</w:t>
      </w:r>
      <w:r w:rsidR="00D01C9C">
        <w:t xml:space="preserve"> using the 5-point </w:t>
      </w:r>
      <w:r w:rsidR="006F6A92">
        <w:t xml:space="preserve">Deauville </w:t>
      </w:r>
      <w:r w:rsidR="00D01C9C">
        <w:t>s</w:t>
      </w:r>
      <w:r w:rsidR="006F6A92">
        <w:t>c</w:t>
      </w:r>
      <w:r w:rsidR="00D01C9C">
        <w:t xml:space="preserve">ale </w:t>
      </w:r>
      <w:r w:rsidR="007B5BBB">
        <w:t xml:space="preserve">would </w:t>
      </w:r>
      <w:r w:rsidR="00D01C9C">
        <w:t>represent a complete metabolic response at the end-of-treatment assessment</w:t>
      </w:r>
      <w:r w:rsidR="00C44A98">
        <w:rPr>
          <w:rStyle w:val="FootnoteReference"/>
        </w:rPr>
        <w:footnoteReference w:id="2"/>
      </w:r>
      <w:r w:rsidR="00D01C9C">
        <w:t xml:space="preserve">. </w:t>
      </w:r>
      <w:r w:rsidR="006659FA">
        <w:t>Partial metabolic response, stable and progressive disease should also be recorded.</w:t>
      </w:r>
    </w:p>
    <w:p w14:paraId="2F9E0C7B" w14:textId="5D3A6A44" w:rsidR="009356D4" w:rsidRDefault="006F6A92" w:rsidP="003C1FF3">
      <w:pPr>
        <w:spacing w:after="240" w:line="240" w:lineRule="auto"/>
      </w:pPr>
      <w:r>
        <w:t>There was consensus that a</w:t>
      </w:r>
      <w:r w:rsidR="006659FA">
        <w:t xml:space="preserve"> requirement for a</w:t>
      </w:r>
      <w:r w:rsidR="00D01C9C">
        <w:t xml:space="preserve"> </w:t>
      </w:r>
      <w:r w:rsidR="009B4ACB">
        <w:t xml:space="preserve">FDG </w:t>
      </w:r>
      <w:r w:rsidR="00D01C9C">
        <w:t xml:space="preserve">PET-CT scan at 12 months was </w:t>
      </w:r>
      <w:r w:rsidR="002F7E49">
        <w:t>a</w:t>
      </w:r>
      <w:r w:rsidR="00D01C9C">
        <w:t xml:space="preserve">ppropriate for </w:t>
      </w:r>
      <w:r w:rsidR="006659FA">
        <w:t xml:space="preserve">collecting national data on </w:t>
      </w:r>
      <w:r w:rsidR="00D01C9C">
        <w:t xml:space="preserve">the durability of </w:t>
      </w:r>
      <w:r>
        <w:t xml:space="preserve">response to </w:t>
      </w:r>
      <w:r w:rsidR="00D01C9C">
        <w:t>CAR-T cell therapy in clinical practice</w:t>
      </w:r>
      <w:r w:rsidR="00BA0D24">
        <w:t xml:space="preserve">, as based on currently available evidence, most CAR T-cell failures will have occurred prior to this </w:t>
      </w:r>
      <w:r w:rsidR="001B2EFF">
        <w:t>time point</w:t>
      </w:r>
      <w:r>
        <w:t>.</w:t>
      </w:r>
      <w:r w:rsidR="00D01C9C">
        <w:t xml:space="preserve"> </w:t>
      </w:r>
      <w:r>
        <w:t>The</w:t>
      </w:r>
      <w:r w:rsidR="00D01C9C">
        <w:t xml:space="preserve"> consumer group representatives </w:t>
      </w:r>
      <w:r w:rsidR="002F7E49">
        <w:t>considered patients would not object to this, and recommended the consent process</w:t>
      </w:r>
      <w:r w:rsidR="00310289">
        <w:t xml:space="preserve"> include the reason for this scan.</w:t>
      </w:r>
    </w:p>
    <w:p w14:paraId="12F81EE9" w14:textId="465CFEA3" w:rsidR="006F6A92" w:rsidRDefault="00D01C9C" w:rsidP="003C1FF3">
      <w:pPr>
        <w:keepNext/>
        <w:widowControl w:val="0"/>
        <w:spacing w:after="240" w:line="240" w:lineRule="auto"/>
      </w:pPr>
      <w:r>
        <w:t xml:space="preserve">The attendees noted that a patient would be considered to have experienced treatment failure with CAR-T cell therapy for the purpose of the 12 month reporting measure, if they had </w:t>
      </w:r>
      <w:r w:rsidR="007235CE">
        <w:t>experience</w:t>
      </w:r>
      <w:r w:rsidR="00310289">
        <w:t>d</w:t>
      </w:r>
      <w:r w:rsidR="007235CE">
        <w:t xml:space="preserve"> </w:t>
      </w:r>
      <w:r w:rsidR="000603CB">
        <w:t xml:space="preserve">lymphoma </w:t>
      </w:r>
      <w:r w:rsidR="00976007">
        <w:t>r</w:t>
      </w:r>
      <w:r>
        <w:t>elapse requiring any systemic therap</w:t>
      </w:r>
      <w:r w:rsidR="00310289">
        <w:t>y</w:t>
      </w:r>
      <w:r w:rsidR="00A56B1F">
        <w:t xml:space="preserve"> (excluding localised radiation treatment to a single site of disease that was persistent post CAR-T cell therapy)</w:t>
      </w:r>
      <w:r w:rsidR="007235CE" w:rsidRPr="007235CE">
        <w:t xml:space="preserve"> </w:t>
      </w:r>
      <w:r w:rsidR="007B5BBB">
        <w:t xml:space="preserve">earlier than </w:t>
      </w:r>
      <w:r w:rsidR="007235CE">
        <w:t xml:space="preserve">12 months </w:t>
      </w:r>
      <w:r w:rsidR="007B5BBB">
        <w:t xml:space="preserve">after </w:t>
      </w:r>
      <w:r w:rsidR="0041588E">
        <w:t>i</w:t>
      </w:r>
      <w:r w:rsidR="007235CE">
        <w:t>nfusion</w:t>
      </w:r>
      <w:r>
        <w:t xml:space="preserve">. In this case, a </w:t>
      </w:r>
      <w:r w:rsidR="009B4ACB">
        <w:t xml:space="preserve">FDG </w:t>
      </w:r>
      <w:r>
        <w:t>PET-CT scan at 1</w:t>
      </w:r>
      <w:r w:rsidR="003C1FF3">
        <w:t>2 months would not be required.</w:t>
      </w:r>
    </w:p>
    <w:p w14:paraId="178478E3" w14:textId="38870413" w:rsidR="007A63C1" w:rsidRDefault="006F6A92" w:rsidP="003C1FF3">
      <w:pPr>
        <w:keepNext/>
        <w:widowControl w:val="0"/>
        <w:spacing w:after="240" w:line="240" w:lineRule="auto"/>
      </w:pPr>
      <w:r>
        <w:t xml:space="preserve">Overall, </w:t>
      </w:r>
      <w:r w:rsidR="00D01C9C">
        <w:t>patient response at 12 months</w:t>
      </w:r>
      <w:r w:rsidR="00335BE1">
        <w:t xml:space="preserve"> among those who have not received post-CAR-T systemic therapy</w:t>
      </w:r>
      <w:r w:rsidR="00D01C9C">
        <w:t xml:space="preserve"> could be repo</w:t>
      </w:r>
      <w:r w:rsidR="003C1FF3">
        <w:t>rted using three (3) questions:</w:t>
      </w:r>
    </w:p>
    <w:p w14:paraId="2CBF4AB2" w14:textId="420D6911" w:rsidR="006F6A92" w:rsidRDefault="00D01C9C" w:rsidP="0029751F">
      <w:pPr>
        <w:keepNext/>
        <w:widowControl w:val="0"/>
        <w:spacing w:after="0" w:line="240" w:lineRule="auto"/>
        <w:rPr>
          <w:rFonts w:eastAsia="Times New Roman"/>
          <w:bCs/>
          <w:snapToGrid w:val="0"/>
          <w:lang w:val="en-US"/>
        </w:rPr>
      </w:pPr>
      <w:r>
        <w:t xml:space="preserve">1. </w:t>
      </w:r>
      <w:r>
        <w:rPr>
          <w:rFonts w:eastAsia="Times New Roman"/>
          <w:bCs/>
          <w:snapToGrid w:val="0"/>
          <w:lang w:val="en-US"/>
        </w:rPr>
        <w:t>W</w:t>
      </w:r>
      <w:r w:rsidRPr="00A664AD">
        <w:rPr>
          <w:rFonts w:eastAsia="Times New Roman"/>
          <w:bCs/>
          <w:snapToGrid w:val="0"/>
          <w:lang w:val="en-US"/>
        </w:rPr>
        <w:t xml:space="preserve">hat was the </w:t>
      </w:r>
      <w:r>
        <w:rPr>
          <w:rFonts w:eastAsia="Times New Roman"/>
          <w:bCs/>
          <w:snapToGrid w:val="0"/>
          <w:lang w:val="en-US"/>
        </w:rPr>
        <w:t xml:space="preserve">patient’s </w:t>
      </w:r>
      <w:r w:rsidRPr="00A664AD">
        <w:rPr>
          <w:rFonts w:eastAsia="Times New Roman"/>
          <w:bCs/>
          <w:snapToGrid w:val="0"/>
          <w:lang w:val="en-US"/>
        </w:rPr>
        <w:t>best response?</w:t>
      </w:r>
      <w:r>
        <w:rPr>
          <w:rFonts w:eastAsia="Times New Roman"/>
          <w:bCs/>
          <w:snapToGrid w:val="0"/>
          <w:lang w:val="en-US"/>
        </w:rPr>
        <w:t xml:space="preserve"> </w:t>
      </w:r>
    </w:p>
    <w:p w14:paraId="4C33C5F8" w14:textId="24EF23AF" w:rsidR="009B4ACB" w:rsidRDefault="00D01C9C" w:rsidP="0029751F">
      <w:pPr>
        <w:keepNext/>
        <w:widowControl w:val="0"/>
        <w:spacing w:after="0" w:line="240" w:lineRule="auto"/>
        <w:rPr>
          <w:rFonts w:eastAsia="Times New Roman"/>
          <w:bCs/>
          <w:snapToGrid w:val="0"/>
          <w:lang w:val="en-US"/>
        </w:rPr>
      </w:pPr>
      <w:r w:rsidRPr="00A664AD">
        <w:rPr>
          <w:rFonts w:eastAsia="Times New Roman"/>
          <w:bCs/>
          <w:snapToGrid w:val="0"/>
          <w:lang w:val="en-US"/>
        </w:rPr>
        <w:t xml:space="preserve">2. </w:t>
      </w:r>
      <w:r>
        <w:rPr>
          <w:rFonts w:eastAsia="Times New Roman"/>
          <w:bCs/>
          <w:snapToGrid w:val="0"/>
          <w:lang w:val="en-US"/>
        </w:rPr>
        <w:t>H</w:t>
      </w:r>
      <w:r w:rsidRPr="00A664AD">
        <w:rPr>
          <w:rFonts w:eastAsia="Times New Roman"/>
          <w:bCs/>
          <w:snapToGrid w:val="0"/>
          <w:lang w:val="en-US"/>
        </w:rPr>
        <w:t xml:space="preserve">as patient had subsequent progression? </w:t>
      </w:r>
    </w:p>
    <w:p w14:paraId="49AE49B1" w14:textId="71636F5D" w:rsidR="00D01C9C" w:rsidRDefault="00D01C9C" w:rsidP="003C1FF3">
      <w:pPr>
        <w:keepNext/>
        <w:widowControl w:val="0"/>
        <w:spacing w:after="240" w:line="240" w:lineRule="auto"/>
        <w:rPr>
          <w:rFonts w:eastAsia="Times New Roman"/>
          <w:bCs/>
          <w:snapToGrid w:val="0"/>
          <w:lang w:val="en-US"/>
        </w:rPr>
      </w:pPr>
      <w:r w:rsidRPr="00A664AD">
        <w:rPr>
          <w:rFonts w:eastAsia="Times New Roman"/>
          <w:bCs/>
          <w:snapToGrid w:val="0"/>
          <w:lang w:val="en-US"/>
        </w:rPr>
        <w:t xml:space="preserve">3. What does the </w:t>
      </w:r>
      <w:r w:rsidR="009B4ACB">
        <w:rPr>
          <w:rFonts w:eastAsia="Times New Roman"/>
          <w:bCs/>
          <w:snapToGrid w:val="0"/>
          <w:lang w:val="en-US"/>
        </w:rPr>
        <w:t xml:space="preserve">FDG </w:t>
      </w:r>
      <w:r w:rsidRPr="00A664AD">
        <w:rPr>
          <w:rFonts w:eastAsia="Times New Roman"/>
          <w:bCs/>
          <w:snapToGrid w:val="0"/>
          <w:lang w:val="en-US"/>
        </w:rPr>
        <w:t>PET-CT currently show</w:t>
      </w:r>
      <w:r w:rsidR="00335BE1">
        <w:rPr>
          <w:rFonts w:eastAsia="Times New Roman"/>
          <w:bCs/>
          <w:snapToGrid w:val="0"/>
          <w:lang w:val="en-US"/>
        </w:rPr>
        <w:t xml:space="preserve"> in comparison to previous scan results</w:t>
      </w:r>
      <w:r w:rsidRPr="00A664AD">
        <w:rPr>
          <w:rFonts w:eastAsia="Times New Roman"/>
          <w:bCs/>
          <w:snapToGrid w:val="0"/>
          <w:lang w:val="en-US"/>
        </w:rPr>
        <w:t>?</w:t>
      </w:r>
    </w:p>
    <w:p w14:paraId="18A0EE7B" w14:textId="44F24066" w:rsidR="009B4ACB" w:rsidRPr="00A664AD" w:rsidRDefault="009B4ACB" w:rsidP="003C1FF3">
      <w:pPr>
        <w:keepNext/>
        <w:widowControl w:val="0"/>
        <w:spacing w:after="240" w:line="240" w:lineRule="auto"/>
        <w:rPr>
          <w:rFonts w:eastAsia="Times New Roman"/>
          <w:bCs/>
          <w:snapToGrid w:val="0"/>
          <w:lang w:val="en-US"/>
        </w:rPr>
      </w:pPr>
      <w:r>
        <w:rPr>
          <w:rFonts w:eastAsia="Times New Roman"/>
          <w:bCs/>
          <w:snapToGrid w:val="0"/>
          <w:lang w:val="en-US"/>
        </w:rPr>
        <w:t xml:space="preserve">The appropriate method of assessment of patients with extra-medullary disease occurring in e.g. the bowel or CNS was discussed. It was agreed that such patients represent a small pool of the total population and therefore </w:t>
      </w:r>
      <w:r w:rsidR="0016149E">
        <w:rPr>
          <w:rFonts w:eastAsia="Times New Roman"/>
          <w:bCs/>
          <w:snapToGrid w:val="0"/>
          <w:lang w:val="en-US"/>
        </w:rPr>
        <w:t xml:space="preserve">additional organ appropriate (e.g. endoscopy, MRI) response assessment was clinically appropriate, </w:t>
      </w:r>
      <w:r w:rsidR="0061018B">
        <w:rPr>
          <w:rFonts w:eastAsia="Times New Roman"/>
          <w:bCs/>
          <w:snapToGrid w:val="0"/>
          <w:lang w:val="en-US"/>
        </w:rPr>
        <w:t xml:space="preserve">however </w:t>
      </w:r>
      <w:r w:rsidR="0016149E">
        <w:rPr>
          <w:rFonts w:eastAsia="Times New Roman"/>
          <w:bCs/>
          <w:snapToGrid w:val="0"/>
          <w:lang w:val="en-US"/>
        </w:rPr>
        <w:t>was not required</w:t>
      </w:r>
      <w:r w:rsidR="004238CF">
        <w:rPr>
          <w:rFonts w:eastAsia="Times New Roman"/>
          <w:bCs/>
          <w:snapToGrid w:val="0"/>
          <w:lang w:val="en-US"/>
        </w:rPr>
        <w:t xml:space="preserve"> for the purpose of </w:t>
      </w:r>
      <w:r w:rsidR="0016149E">
        <w:rPr>
          <w:rFonts w:eastAsia="Times New Roman"/>
          <w:bCs/>
          <w:snapToGrid w:val="0"/>
          <w:lang w:val="en-US"/>
        </w:rPr>
        <w:t>collecting national data at the 12 month assessment point</w:t>
      </w:r>
      <w:r w:rsidR="0082039E">
        <w:rPr>
          <w:rStyle w:val="FootnoteReference"/>
          <w:rFonts w:eastAsia="Times New Roman"/>
          <w:bCs/>
          <w:snapToGrid w:val="0"/>
          <w:lang w:val="en-US"/>
        </w:rPr>
        <w:footnoteReference w:id="3"/>
      </w:r>
      <w:r w:rsidR="003C1FF3">
        <w:rPr>
          <w:rFonts w:eastAsia="Times New Roman"/>
          <w:bCs/>
          <w:snapToGrid w:val="0"/>
          <w:lang w:val="en-US"/>
        </w:rPr>
        <w:t>.</w:t>
      </w:r>
    </w:p>
    <w:p w14:paraId="506764B4" w14:textId="0C431F1B" w:rsidR="00D01C9C" w:rsidRPr="003C1FF3" w:rsidRDefault="00D01C9C" w:rsidP="003C1FF3">
      <w:pPr>
        <w:pStyle w:val="Heading2"/>
        <w:spacing w:after="240"/>
      </w:pPr>
      <w:r w:rsidRPr="007B5BBB">
        <w:t>Records and registries</w:t>
      </w:r>
    </w:p>
    <w:p w14:paraId="4549BAAD" w14:textId="061FEAA5" w:rsidR="00310289" w:rsidRDefault="0041588E" w:rsidP="003C1FF3">
      <w:pPr>
        <w:keepNext/>
        <w:widowControl w:val="0"/>
        <w:spacing w:after="240" w:line="240" w:lineRule="auto"/>
        <w:rPr>
          <w:rFonts w:eastAsia="Times New Roman"/>
          <w:bCs/>
          <w:snapToGrid w:val="0"/>
          <w:lang w:val="en-US"/>
        </w:rPr>
      </w:pPr>
      <w:r>
        <w:rPr>
          <w:rFonts w:eastAsia="Times New Roman"/>
          <w:bCs/>
          <w:snapToGrid w:val="0"/>
          <w:lang w:val="en-US"/>
        </w:rPr>
        <w:t>T</w:t>
      </w:r>
      <w:r w:rsidR="00D01C9C">
        <w:rPr>
          <w:rFonts w:eastAsia="Times New Roman"/>
          <w:bCs/>
          <w:snapToGrid w:val="0"/>
          <w:lang w:val="en-US"/>
        </w:rPr>
        <w:t xml:space="preserve">he Australian Bone Marrow Transplant Recipient Registry (ABMTRR) </w:t>
      </w:r>
      <w:r w:rsidR="006F6A92">
        <w:rPr>
          <w:rFonts w:eastAsia="Times New Roman"/>
          <w:bCs/>
          <w:snapToGrid w:val="0"/>
          <w:lang w:val="en-US"/>
        </w:rPr>
        <w:t xml:space="preserve">will </w:t>
      </w:r>
      <w:r w:rsidR="00D01C9C">
        <w:rPr>
          <w:rFonts w:eastAsia="Times New Roman"/>
          <w:bCs/>
          <w:snapToGrid w:val="0"/>
          <w:lang w:val="en-US"/>
        </w:rPr>
        <w:t xml:space="preserve">be used to capture information on Australian patients treated with </w:t>
      </w:r>
      <w:r w:rsidR="007235CE">
        <w:rPr>
          <w:rFonts w:eastAsia="Times New Roman"/>
          <w:bCs/>
          <w:snapToGrid w:val="0"/>
          <w:lang w:val="en-US"/>
        </w:rPr>
        <w:t xml:space="preserve">Kymriah </w:t>
      </w:r>
      <w:r w:rsidR="00D01C9C">
        <w:rPr>
          <w:rFonts w:eastAsia="Times New Roman"/>
          <w:bCs/>
          <w:snapToGrid w:val="0"/>
          <w:lang w:val="en-US"/>
        </w:rPr>
        <w:t>for acute lymphoblastic leukemia (ALL)</w:t>
      </w:r>
      <w:r w:rsidR="003C1FF3">
        <w:rPr>
          <w:rFonts w:eastAsia="Times New Roman"/>
          <w:bCs/>
          <w:snapToGrid w:val="0"/>
          <w:lang w:val="en-US"/>
        </w:rPr>
        <w:t>.</w:t>
      </w:r>
    </w:p>
    <w:p w14:paraId="01F6B938" w14:textId="49D5926A" w:rsidR="003C1FF3" w:rsidRDefault="0041588E" w:rsidP="003C1FF3">
      <w:pPr>
        <w:keepNext/>
        <w:widowControl w:val="0"/>
        <w:spacing w:after="240" w:line="240" w:lineRule="auto"/>
        <w:rPr>
          <w:rFonts w:eastAsia="Times New Roman"/>
          <w:bCs/>
          <w:snapToGrid w:val="0"/>
          <w:lang w:val="en-US"/>
        </w:rPr>
      </w:pPr>
      <w:r>
        <w:rPr>
          <w:rFonts w:eastAsia="Times New Roman"/>
          <w:bCs/>
          <w:snapToGrid w:val="0"/>
          <w:lang w:val="en-US"/>
        </w:rPr>
        <w:t xml:space="preserve">The ABMTRR representatives </w:t>
      </w:r>
      <w:r w:rsidR="006F6A92">
        <w:rPr>
          <w:rFonts w:eastAsia="Times New Roman"/>
          <w:bCs/>
          <w:snapToGrid w:val="0"/>
          <w:lang w:val="en-US"/>
        </w:rPr>
        <w:t xml:space="preserve">confirmed </w:t>
      </w:r>
      <w:r w:rsidR="00D01C9C">
        <w:rPr>
          <w:rFonts w:eastAsia="Times New Roman"/>
          <w:bCs/>
          <w:snapToGrid w:val="0"/>
          <w:lang w:val="en-US"/>
        </w:rPr>
        <w:t xml:space="preserve">it </w:t>
      </w:r>
      <w:r w:rsidR="00310289">
        <w:rPr>
          <w:rFonts w:eastAsia="Times New Roman"/>
          <w:bCs/>
          <w:snapToGrid w:val="0"/>
          <w:lang w:val="en-US"/>
        </w:rPr>
        <w:t xml:space="preserve">has the capability </w:t>
      </w:r>
      <w:r w:rsidR="00D01C9C">
        <w:rPr>
          <w:rFonts w:eastAsia="Times New Roman"/>
          <w:bCs/>
          <w:snapToGrid w:val="0"/>
          <w:lang w:val="en-US"/>
        </w:rPr>
        <w:t xml:space="preserve">to capture data </w:t>
      </w:r>
      <w:r>
        <w:rPr>
          <w:rFonts w:eastAsia="Times New Roman"/>
          <w:bCs/>
          <w:snapToGrid w:val="0"/>
          <w:lang w:val="en-US"/>
        </w:rPr>
        <w:t>for</w:t>
      </w:r>
      <w:r w:rsidR="00D01C9C">
        <w:rPr>
          <w:rFonts w:eastAsia="Times New Roman"/>
          <w:bCs/>
          <w:snapToGrid w:val="0"/>
          <w:lang w:val="en-US"/>
        </w:rPr>
        <w:t xml:space="preserve"> the DLBCL population.</w:t>
      </w:r>
      <w:r w:rsidR="003C1FF3">
        <w:rPr>
          <w:rFonts w:eastAsia="Times New Roman"/>
          <w:bCs/>
          <w:snapToGrid w:val="0"/>
          <w:lang w:val="en-US"/>
        </w:rPr>
        <w:br w:type="page"/>
      </w:r>
    </w:p>
    <w:p w14:paraId="6CA987B2" w14:textId="61A5A599" w:rsidR="007235CE" w:rsidRDefault="00D01C9C" w:rsidP="003C1FF3">
      <w:pPr>
        <w:keepNext/>
        <w:widowControl w:val="0"/>
        <w:spacing w:after="240" w:line="240" w:lineRule="auto"/>
        <w:rPr>
          <w:rFonts w:eastAsia="Times New Roman"/>
          <w:bCs/>
          <w:snapToGrid w:val="0"/>
          <w:lang w:val="en-US"/>
        </w:rPr>
      </w:pPr>
      <w:r>
        <w:rPr>
          <w:rFonts w:eastAsia="Times New Roman"/>
          <w:bCs/>
          <w:snapToGrid w:val="0"/>
          <w:lang w:val="en-US"/>
        </w:rPr>
        <w:lastRenderedPageBreak/>
        <w:t xml:space="preserve">Attendees considered that in addition to the data-set </w:t>
      </w:r>
      <w:r w:rsidR="007235CE">
        <w:rPr>
          <w:rFonts w:eastAsia="Times New Roman"/>
          <w:bCs/>
          <w:snapToGrid w:val="0"/>
          <w:lang w:val="en-US"/>
        </w:rPr>
        <w:t xml:space="preserve">recommended by MSAC for </w:t>
      </w:r>
      <w:r>
        <w:rPr>
          <w:rFonts w:eastAsia="Times New Roman"/>
          <w:bCs/>
          <w:snapToGrid w:val="0"/>
          <w:lang w:val="en-US"/>
        </w:rPr>
        <w:t>capture by the ABMTRR for ALL, any future data-set for DLBCL should</w:t>
      </w:r>
      <w:r w:rsidR="006F6A92">
        <w:rPr>
          <w:rFonts w:eastAsia="Times New Roman"/>
          <w:bCs/>
          <w:snapToGrid w:val="0"/>
          <w:lang w:val="en-US"/>
        </w:rPr>
        <w:t xml:space="preserve"> ideally</w:t>
      </w:r>
      <w:r>
        <w:rPr>
          <w:rFonts w:eastAsia="Times New Roman"/>
          <w:bCs/>
          <w:snapToGrid w:val="0"/>
          <w:lang w:val="en-US"/>
        </w:rPr>
        <w:t xml:space="preserve"> also capture: the </w:t>
      </w:r>
      <w:r w:rsidR="0016149E">
        <w:rPr>
          <w:rFonts w:eastAsia="Times New Roman"/>
          <w:bCs/>
          <w:snapToGrid w:val="0"/>
          <w:lang w:val="en-US"/>
        </w:rPr>
        <w:t xml:space="preserve">date of first </w:t>
      </w:r>
      <w:r>
        <w:rPr>
          <w:rFonts w:eastAsia="Times New Roman"/>
          <w:bCs/>
          <w:snapToGrid w:val="0"/>
          <w:lang w:val="en-US"/>
        </w:rPr>
        <w:t>referral</w:t>
      </w:r>
      <w:r w:rsidR="007235CE">
        <w:rPr>
          <w:rFonts w:eastAsia="Times New Roman"/>
          <w:bCs/>
          <w:snapToGrid w:val="0"/>
          <w:lang w:val="en-US"/>
        </w:rPr>
        <w:t>,</w:t>
      </w:r>
      <w:r w:rsidR="0016149E">
        <w:rPr>
          <w:rFonts w:eastAsia="Times New Roman"/>
          <w:bCs/>
          <w:snapToGrid w:val="0"/>
          <w:lang w:val="en-US"/>
        </w:rPr>
        <w:t xml:space="preserve"> postcode of patient and referring physician, date of </w:t>
      </w:r>
      <w:r w:rsidR="007235CE">
        <w:rPr>
          <w:rFonts w:eastAsia="Times New Roman"/>
          <w:bCs/>
          <w:snapToGrid w:val="0"/>
          <w:lang w:val="en-US"/>
        </w:rPr>
        <w:t xml:space="preserve">apheresis </w:t>
      </w:r>
      <w:r>
        <w:rPr>
          <w:rFonts w:eastAsia="Times New Roman"/>
          <w:bCs/>
          <w:snapToGrid w:val="0"/>
          <w:lang w:val="en-US"/>
        </w:rPr>
        <w:t xml:space="preserve">and infusion </w:t>
      </w:r>
      <w:r w:rsidR="007235CE">
        <w:rPr>
          <w:rFonts w:eastAsia="Times New Roman"/>
          <w:bCs/>
          <w:snapToGrid w:val="0"/>
          <w:lang w:val="en-US"/>
        </w:rPr>
        <w:t xml:space="preserve">for treated </w:t>
      </w:r>
      <w:r>
        <w:rPr>
          <w:rFonts w:eastAsia="Times New Roman"/>
          <w:bCs/>
          <w:snapToGrid w:val="0"/>
          <w:lang w:val="en-US"/>
        </w:rPr>
        <w:t>patient</w:t>
      </w:r>
      <w:r w:rsidR="007235CE">
        <w:rPr>
          <w:rFonts w:eastAsia="Times New Roman"/>
          <w:bCs/>
          <w:snapToGrid w:val="0"/>
          <w:lang w:val="en-US"/>
        </w:rPr>
        <w:t>s</w:t>
      </w:r>
      <w:r>
        <w:rPr>
          <w:rFonts w:eastAsia="Times New Roman"/>
          <w:bCs/>
          <w:snapToGrid w:val="0"/>
          <w:lang w:val="en-US"/>
        </w:rPr>
        <w:t xml:space="preserve">; </w:t>
      </w:r>
      <w:r w:rsidR="007235CE">
        <w:rPr>
          <w:rFonts w:eastAsia="Times New Roman"/>
          <w:bCs/>
          <w:snapToGrid w:val="0"/>
          <w:lang w:val="en-US"/>
        </w:rPr>
        <w:t xml:space="preserve">and </w:t>
      </w:r>
      <w:r w:rsidR="007235CE" w:rsidRPr="007235CE">
        <w:rPr>
          <w:rFonts w:eastAsia="Times New Roman"/>
          <w:bCs/>
          <w:snapToGrid w:val="0"/>
          <w:lang w:val="en-US"/>
        </w:rPr>
        <w:t>the number of patients referred but not accepted</w:t>
      </w:r>
      <w:r w:rsidR="0041588E">
        <w:rPr>
          <w:rFonts w:eastAsia="Times New Roman"/>
          <w:bCs/>
          <w:snapToGrid w:val="0"/>
          <w:lang w:val="en-US"/>
        </w:rPr>
        <w:t>,</w:t>
      </w:r>
      <w:r w:rsidR="007235CE" w:rsidRPr="007235CE">
        <w:rPr>
          <w:rFonts w:eastAsia="Times New Roman"/>
          <w:bCs/>
          <w:snapToGrid w:val="0"/>
          <w:lang w:val="en-US"/>
        </w:rPr>
        <w:t xml:space="preserve"> for treatment with CAR-T cell therapy, including the reason</w:t>
      </w:r>
      <w:r w:rsidR="00310289">
        <w:rPr>
          <w:rFonts w:eastAsia="Times New Roman"/>
          <w:bCs/>
          <w:snapToGrid w:val="0"/>
          <w:lang w:val="en-US"/>
        </w:rPr>
        <w:t>.</w:t>
      </w:r>
    </w:p>
    <w:p w14:paraId="2831D72C" w14:textId="7CA198AB" w:rsidR="00D01C9C" w:rsidRDefault="00D01C9C" w:rsidP="003C1FF3">
      <w:pPr>
        <w:keepNext/>
        <w:widowControl w:val="0"/>
        <w:spacing w:after="240" w:line="240" w:lineRule="auto"/>
        <w:rPr>
          <w:rFonts w:eastAsia="Times New Roman"/>
          <w:bCs/>
          <w:snapToGrid w:val="0"/>
          <w:lang w:val="en-US"/>
        </w:rPr>
      </w:pPr>
      <w:r>
        <w:rPr>
          <w:rFonts w:eastAsia="Times New Roman"/>
          <w:bCs/>
          <w:snapToGrid w:val="0"/>
          <w:lang w:val="en-US"/>
        </w:rPr>
        <w:t xml:space="preserve">Representatives from the ABMTRR confirmed that the registry was now congruent with the </w:t>
      </w:r>
      <w:r w:rsidRPr="00071574">
        <w:rPr>
          <w:rFonts w:eastAsia="Times New Roman"/>
          <w:bCs/>
          <w:snapToGrid w:val="0"/>
          <w:lang w:val="en-US"/>
        </w:rPr>
        <w:t>Center for International Blood and Marrow Transplant Research (CIBMTR)</w:t>
      </w:r>
      <w:r>
        <w:rPr>
          <w:rFonts w:eastAsia="Times New Roman"/>
          <w:bCs/>
          <w:snapToGrid w:val="0"/>
          <w:lang w:val="en-US"/>
        </w:rPr>
        <w:t xml:space="preserve"> and is working towards becoming congruent with other registries, such as the </w:t>
      </w:r>
      <w:r w:rsidRPr="00071574">
        <w:rPr>
          <w:rFonts w:eastAsia="Times New Roman"/>
          <w:bCs/>
          <w:snapToGrid w:val="0"/>
          <w:lang w:val="en-US"/>
        </w:rPr>
        <w:t>Research Electronic Data Capture</w:t>
      </w:r>
      <w:r>
        <w:rPr>
          <w:rFonts w:eastAsia="Times New Roman"/>
          <w:bCs/>
          <w:snapToGrid w:val="0"/>
          <w:lang w:val="en-US"/>
        </w:rPr>
        <w:t xml:space="preserve"> (REDCap) used by the Peter MacCallum Cancer Centre</w:t>
      </w:r>
      <w:r w:rsidR="000603CB">
        <w:rPr>
          <w:rFonts w:eastAsia="Times New Roman"/>
          <w:bCs/>
          <w:snapToGrid w:val="0"/>
          <w:lang w:val="en-US"/>
        </w:rPr>
        <w:t>,and the Australian Lymphoma and related Diseases Registry</w:t>
      </w:r>
      <w:r w:rsidR="003C1FF3">
        <w:rPr>
          <w:rFonts w:eastAsia="Times New Roman"/>
          <w:bCs/>
          <w:snapToGrid w:val="0"/>
          <w:lang w:val="en-US"/>
        </w:rPr>
        <w:t xml:space="preserve"> (based at Monash University).</w:t>
      </w:r>
    </w:p>
    <w:p w14:paraId="17FC0B09" w14:textId="2AA7A3F3" w:rsidR="00D01C9C" w:rsidRPr="003C1FF3" w:rsidRDefault="00D01C9C" w:rsidP="003C1FF3">
      <w:pPr>
        <w:pStyle w:val="Heading2"/>
        <w:spacing w:after="240"/>
      </w:pPr>
      <w:r w:rsidRPr="007B5BBB">
        <w:t>Implementation issues</w:t>
      </w:r>
    </w:p>
    <w:p w14:paraId="2290F5C0" w14:textId="788CABAA" w:rsidR="00D01C9C" w:rsidRDefault="0016149E" w:rsidP="003C1FF3">
      <w:pPr>
        <w:keepNext/>
        <w:widowControl w:val="0"/>
        <w:spacing w:after="240" w:line="240" w:lineRule="auto"/>
        <w:rPr>
          <w:rFonts w:eastAsia="Times New Roman"/>
          <w:bCs/>
          <w:snapToGrid w:val="0"/>
          <w:lang w:val="en-US"/>
        </w:rPr>
      </w:pPr>
      <w:r>
        <w:rPr>
          <w:rFonts w:eastAsia="Times New Roman"/>
          <w:bCs/>
          <w:snapToGrid w:val="0"/>
          <w:lang w:val="en-US"/>
        </w:rPr>
        <w:t>Monitoring for and e</w:t>
      </w:r>
      <w:r w:rsidR="00D01C9C">
        <w:rPr>
          <w:rFonts w:eastAsia="Times New Roman"/>
          <w:bCs/>
          <w:snapToGrid w:val="0"/>
          <w:lang w:val="en-US"/>
        </w:rPr>
        <w:t xml:space="preserve">nsuring equity of access to therapy for patients in non-treating states and in rural/remote areas was identified </w:t>
      </w:r>
      <w:r w:rsidR="006F6A92">
        <w:rPr>
          <w:rFonts w:eastAsia="Times New Roman"/>
          <w:bCs/>
          <w:snapToGrid w:val="0"/>
          <w:lang w:val="en-US"/>
        </w:rPr>
        <w:t>as important</w:t>
      </w:r>
      <w:r w:rsidR="007235CE">
        <w:rPr>
          <w:rFonts w:eastAsia="Times New Roman"/>
          <w:bCs/>
          <w:snapToGrid w:val="0"/>
          <w:lang w:val="en-US"/>
        </w:rPr>
        <w:t xml:space="preserve">, including the need to support </w:t>
      </w:r>
      <w:r w:rsidR="00D01C9C">
        <w:rPr>
          <w:rFonts w:eastAsia="Times New Roman"/>
          <w:bCs/>
          <w:snapToGrid w:val="0"/>
          <w:lang w:val="en-US"/>
        </w:rPr>
        <w:t xml:space="preserve">patient </w:t>
      </w:r>
      <w:r>
        <w:rPr>
          <w:rFonts w:eastAsia="Times New Roman"/>
          <w:bCs/>
          <w:snapToGrid w:val="0"/>
          <w:lang w:val="en-US"/>
        </w:rPr>
        <w:t xml:space="preserve">and carer </w:t>
      </w:r>
      <w:r w:rsidR="00D01C9C">
        <w:rPr>
          <w:rFonts w:eastAsia="Times New Roman"/>
          <w:bCs/>
          <w:snapToGrid w:val="0"/>
          <w:lang w:val="en-US"/>
        </w:rPr>
        <w:t>travel and accommodation costs.</w:t>
      </w:r>
      <w:r w:rsidR="00A56B1F">
        <w:rPr>
          <w:rFonts w:eastAsia="Times New Roman"/>
          <w:bCs/>
          <w:snapToGrid w:val="0"/>
          <w:lang w:val="en-US"/>
        </w:rPr>
        <w:t xml:space="preserve"> This includes any costs incurred for the purpos</w:t>
      </w:r>
      <w:r w:rsidR="003C1FF3">
        <w:rPr>
          <w:rFonts w:eastAsia="Times New Roman"/>
          <w:bCs/>
          <w:snapToGrid w:val="0"/>
          <w:lang w:val="en-US"/>
        </w:rPr>
        <w:t>e of post-treatment assessment.</w:t>
      </w:r>
    </w:p>
    <w:p w14:paraId="18E9E569" w14:textId="78C2B067" w:rsidR="00D01C9C" w:rsidRDefault="00D01C9C" w:rsidP="003C1FF3">
      <w:pPr>
        <w:keepNext/>
        <w:widowControl w:val="0"/>
        <w:spacing w:after="240" w:line="240" w:lineRule="auto"/>
        <w:rPr>
          <w:rFonts w:eastAsia="Times New Roman"/>
          <w:bCs/>
          <w:snapToGrid w:val="0"/>
          <w:lang w:val="en-US"/>
        </w:rPr>
      </w:pPr>
      <w:r w:rsidRPr="00B3304B">
        <w:rPr>
          <w:rFonts w:eastAsia="Times New Roman"/>
          <w:bCs/>
          <w:snapToGrid w:val="0"/>
          <w:lang w:val="en-US"/>
        </w:rPr>
        <w:t xml:space="preserve">Treatment site accreditation was identified as a </w:t>
      </w:r>
      <w:r w:rsidR="00A61117">
        <w:rPr>
          <w:rFonts w:eastAsia="Times New Roman"/>
          <w:bCs/>
          <w:snapToGrid w:val="0"/>
          <w:lang w:val="en-US"/>
        </w:rPr>
        <w:t xml:space="preserve">potential </w:t>
      </w:r>
      <w:r w:rsidRPr="00B3304B">
        <w:rPr>
          <w:rFonts w:eastAsia="Times New Roman"/>
          <w:bCs/>
          <w:snapToGrid w:val="0"/>
          <w:lang w:val="en-US"/>
        </w:rPr>
        <w:t>hurdle to rolling out CAR-T cell therapy</w:t>
      </w:r>
      <w:r w:rsidR="00F50286">
        <w:rPr>
          <w:rFonts w:eastAsia="Times New Roman"/>
          <w:bCs/>
          <w:snapToGrid w:val="0"/>
          <w:lang w:val="en-US"/>
        </w:rPr>
        <w:t xml:space="preserve"> centres</w:t>
      </w:r>
      <w:r w:rsidR="007235CE">
        <w:rPr>
          <w:rFonts w:eastAsia="Times New Roman"/>
          <w:bCs/>
          <w:snapToGrid w:val="0"/>
          <w:lang w:val="en-US"/>
        </w:rPr>
        <w:t>,</w:t>
      </w:r>
      <w:r w:rsidRPr="00B3304B">
        <w:rPr>
          <w:rFonts w:eastAsia="Times New Roman"/>
          <w:bCs/>
          <w:snapToGrid w:val="0"/>
          <w:lang w:val="en-US"/>
        </w:rPr>
        <w:t xml:space="preserve"> </w:t>
      </w:r>
      <w:r>
        <w:rPr>
          <w:rFonts w:eastAsia="Times New Roman"/>
          <w:bCs/>
          <w:snapToGrid w:val="0"/>
          <w:lang w:val="en-US"/>
        </w:rPr>
        <w:t>if public</w:t>
      </w:r>
      <w:r w:rsidR="007235CE">
        <w:rPr>
          <w:rFonts w:eastAsia="Times New Roman"/>
          <w:bCs/>
          <w:snapToGrid w:val="0"/>
          <w:lang w:val="en-US"/>
        </w:rPr>
        <w:t>ly</w:t>
      </w:r>
      <w:r>
        <w:rPr>
          <w:rFonts w:eastAsia="Times New Roman"/>
          <w:bCs/>
          <w:snapToGrid w:val="0"/>
          <w:lang w:val="en-US"/>
        </w:rPr>
        <w:t xml:space="preserve"> fund</w:t>
      </w:r>
      <w:r w:rsidR="007235CE">
        <w:rPr>
          <w:rFonts w:eastAsia="Times New Roman"/>
          <w:bCs/>
          <w:snapToGrid w:val="0"/>
          <w:lang w:val="en-US"/>
        </w:rPr>
        <w:t>ed for DLBCL</w:t>
      </w:r>
      <w:r w:rsidR="00F50286">
        <w:rPr>
          <w:rFonts w:eastAsia="Times New Roman"/>
          <w:bCs/>
          <w:snapToGrid w:val="0"/>
          <w:lang w:val="en-US"/>
        </w:rPr>
        <w:t>.</w:t>
      </w:r>
      <w:r>
        <w:rPr>
          <w:rFonts w:eastAsia="Times New Roman"/>
          <w:bCs/>
          <w:snapToGrid w:val="0"/>
          <w:lang w:val="en-US"/>
        </w:rPr>
        <w:t xml:space="preserve"> </w:t>
      </w:r>
      <w:r w:rsidR="00B70324">
        <w:rPr>
          <w:rFonts w:eastAsia="Times New Roman"/>
          <w:bCs/>
          <w:snapToGrid w:val="0"/>
          <w:lang w:val="en-US"/>
        </w:rPr>
        <w:t>In addition to accreditation, s</w:t>
      </w:r>
      <w:r>
        <w:rPr>
          <w:rFonts w:eastAsia="Times New Roman"/>
          <w:bCs/>
          <w:snapToGrid w:val="0"/>
          <w:lang w:val="en-US"/>
        </w:rPr>
        <w:t xml:space="preserve">ites are required to undergo separate </w:t>
      </w:r>
      <w:r w:rsidR="00A61117">
        <w:rPr>
          <w:rFonts w:eastAsia="Times New Roman"/>
          <w:bCs/>
          <w:snapToGrid w:val="0"/>
          <w:lang w:val="en-US"/>
        </w:rPr>
        <w:t xml:space="preserve">qualification processes by </w:t>
      </w:r>
      <w:r w:rsidR="00F50286">
        <w:rPr>
          <w:rFonts w:eastAsia="Times New Roman"/>
          <w:bCs/>
          <w:snapToGrid w:val="0"/>
          <w:lang w:val="en-US"/>
        </w:rPr>
        <w:t>both</w:t>
      </w:r>
      <w:r>
        <w:rPr>
          <w:rFonts w:eastAsia="Times New Roman"/>
          <w:bCs/>
          <w:snapToGrid w:val="0"/>
          <w:lang w:val="en-US"/>
        </w:rPr>
        <w:t xml:space="preserve"> companies</w:t>
      </w:r>
      <w:r w:rsidR="00B70324">
        <w:rPr>
          <w:rFonts w:eastAsia="Times New Roman"/>
          <w:bCs/>
          <w:snapToGrid w:val="0"/>
          <w:lang w:val="en-US"/>
        </w:rPr>
        <w:t xml:space="preserve"> before delivering CAR-T cell therapy</w:t>
      </w:r>
      <w:r w:rsidR="00CB48C5">
        <w:rPr>
          <w:rFonts w:eastAsia="Times New Roman"/>
          <w:bCs/>
          <w:snapToGrid w:val="0"/>
          <w:lang w:val="en-US"/>
        </w:rPr>
        <w:t>.</w:t>
      </w:r>
    </w:p>
    <w:p w14:paraId="2B3B5290" w14:textId="6B8FD965" w:rsidR="00F50286" w:rsidRDefault="00D01C9C" w:rsidP="003C1FF3">
      <w:pPr>
        <w:keepNext/>
        <w:widowControl w:val="0"/>
        <w:spacing w:after="240" w:line="240" w:lineRule="auto"/>
        <w:rPr>
          <w:rFonts w:eastAsia="Times New Roman"/>
          <w:bCs/>
          <w:snapToGrid w:val="0"/>
          <w:lang w:val="en-US"/>
        </w:rPr>
      </w:pPr>
      <w:r>
        <w:rPr>
          <w:rFonts w:eastAsia="Times New Roman"/>
          <w:bCs/>
          <w:snapToGrid w:val="0"/>
          <w:lang w:val="en-US"/>
        </w:rPr>
        <w:t>Currently</w:t>
      </w:r>
      <w:r w:rsidR="00B70324">
        <w:rPr>
          <w:rFonts w:eastAsia="Times New Roman"/>
          <w:bCs/>
          <w:snapToGrid w:val="0"/>
          <w:lang w:val="en-US"/>
        </w:rPr>
        <w:t>,</w:t>
      </w:r>
      <w:r>
        <w:rPr>
          <w:rFonts w:eastAsia="Times New Roman"/>
          <w:bCs/>
          <w:snapToGrid w:val="0"/>
          <w:lang w:val="en-US"/>
        </w:rPr>
        <w:t xml:space="preserve"> </w:t>
      </w:r>
      <w:r w:rsidR="007A63C1">
        <w:rPr>
          <w:rFonts w:eastAsia="Times New Roman"/>
          <w:bCs/>
          <w:snapToGrid w:val="0"/>
          <w:lang w:val="en-US"/>
        </w:rPr>
        <w:t xml:space="preserve">the </w:t>
      </w:r>
      <w:r>
        <w:rPr>
          <w:rFonts w:eastAsia="Times New Roman"/>
          <w:bCs/>
          <w:snapToGrid w:val="0"/>
          <w:lang w:val="en-US"/>
        </w:rPr>
        <w:t>Peter MacCallum</w:t>
      </w:r>
      <w:r w:rsidR="00310289">
        <w:rPr>
          <w:rFonts w:eastAsia="Times New Roman"/>
          <w:bCs/>
          <w:snapToGrid w:val="0"/>
          <w:lang w:val="en-US"/>
        </w:rPr>
        <w:t xml:space="preserve"> Cancer Centre</w:t>
      </w:r>
      <w:r w:rsidR="007A63C1">
        <w:rPr>
          <w:rFonts w:eastAsia="Times New Roman"/>
          <w:bCs/>
          <w:snapToGrid w:val="0"/>
          <w:lang w:val="en-US"/>
        </w:rPr>
        <w:t>,</w:t>
      </w:r>
      <w:r w:rsidR="00310289">
        <w:rPr>
          <w:rFonts w:eastAsia="Times New Roman"/>
          <w:bCs/>
          <w:snapToGrid w:val="0"/>
          <w:lang w:val="en-US"/>
        </w:rPr>
        <w:t xml:space="preserve"> Victoria</w:t>
      </w:r>
      <w:r w:rsidR="007A63C1">
        <w:rPr>
          <w:rFonts w:eastAsia="Times New Roman"/>
          <w:bCs/>
          <w:snapToGrid w:val="0"/>
          <w:lang w:val="en-US"/>
        </w:rPr>
        <w:t>,</w:t>
      </w:r>
      <w:r>
        <w:rPr>
          <w:rFonts w:eastAsia="Times New Roman"/>
          <w:bCs/>
          <w:snapToGrid w:val="0"/>
          <w:lang w:val="en-US"/>
        </w:rPr>
        <w:t xml:space="preserve"> </w:t>
      </w:r>
      <w:r w:rsidR="006659FA">
        <w:rPr>
          <w:rFonts w:eastAsia="Times New Roman"/>
          <w:bCs/>
          <w:snapToGrid w:val="0"/>
          <w:lang w:val="en-US"/>
        </w:rPr>
        <w:t>and Royal Price Alfred Hospital in NSW are</w:t>
      </w:r>
      <w:r>
        <w:rPr>
          <w:rFonts w:eastAsia="Times New Roman"/>
          <w:bCs/>
          <w:snapToGrid w:val="0"/>
          <w:lang w:val="en-US"/>
        </w:rPr>
        <w:t xml:space="preserve"> the only </w:t>
      </w:r>
      <w:r w:rsidR="00F50286">
        <w:rPr>
          <w:rFonts w:eastAsia="Times New Roman"/>
          <w:bCs/>
          <w:snapToGrid w:val="0"/>
          <w:lang w:val="en-US"/>
        </w:rPr>
        <w:t>centre</w:t>
      </w:r>
      <w:r w:rsidR="006659FA">
        <w:rPr>
          <w:rFonts w:eastAsia="Times New Roman"/>
          <w:bCs/>
          <w:snapToGrid w:val="0"/>
          <w:lang w:val="en-US"/>
        </w:rPr>
        <w:t>s</w:t>
      </w:r>
      <w:r w:rsidR="00F50286">
        <w:rPr>
          <w:rFonts w:eastAsia="Times New Roman"/>
          <w:bCs/>
          <w:snapToGrid w:val="0"/>
          <w:lang w:val="en-US"/>
        </w:rPr>
        <w:t xml:space="preserve"> </w:t>
      </w:r>
      <w:r w:rsidR="00B70324">
        <w:rPr>
          <w:rFonts w:eastAsia="Times New Roman"/>
          <w:bCs/>
          <w:snapToGrid w:val="0"/>
          <w:lang w:val="en-US"/>
        </w:rPr>
        <w:t xml:space="preserve">fully qualified (by the company) to deliver </w:t>
      </w:r>
      <w:r w:rsidR="00F50286">
        <w:rPr>
          <w:rFonts w:eastAsia="Times New Roman"/>
          <w:bCs/>
          <w:snapToGrid w:val="0"/>
          <w:lang w:val="en-US"/>
        </w:rPr>
        <w:t>Kymriah for adults.</w:t>
      </w:r>
      <w:r>
        <w:rPr>
          <w:rFonts w:eastAsia="Times New Roman"/>
          <w:bCs/>
          <w:snapToGrid w:val="0"/>
          <w:lang w:val="en-US"/>
        </w:rPr>
        <w:t xml:space="preserve"> </w:t>
      </w:r>
      <w:r w:rsidR="006659FA">
        <w:rPr>
          <w:rFonts w:eastAsia="Times New Roman"/>
          <w:bCs/>
          <w:snapToGrid w:val="0"/>
          <w:lang w:val="en-US"/>
        </w:rPr>
        <w:t>Royal Prince Alfred Hospital is expected</w:t>
      </w:r>
      <w:r w:rsidR="003E45C7">
        <w:rPr>
          <w:rFonts w:eastAsia="Times New Roman"/>
          <w:bCs/>
          <w:snapToGrid w:val="0"/>
          <w:lang w:val="en-US"/>
        </w:rPr>
        <w:t xml:space="preserve"> </w:t>
      </w:r>
      <w:r>
        <w:rPr>
          <w:rFonts w:eastAsia="Times New Roman"/>
          <w:bCs/>
          <w:snapToGrid w:val="0"/>
          <w:lang w:val="en-US"/>
        </w:rPr>
        <w:t xml:space="preserve">to start treating </w:t>
      </w:r>
      <w:r w:rsidR="006659FA">
        <w:rPr>
          <w:rFonts w:eastAsia="Times New Roman"/>
          <w:bCs/>
          <w:snapToGrid w:val="0"/>
          <w:lang w:val="en-US"/>
        </w:rPr>
        <w:t xml:space="preserve">patients </w:t>
      </w:r>
      <w:r w:rsidR="003C1FF3">
        <w:rPr>
          <w:rFonts w:eastAsia="Times New Roman"/>
          <w:bCs/>
          <w:snapToGrid w:val="0"/>
          <w:lang w:val="en-US"/>
        </w:rPr>
        <w:t>in early 2020.</w:t>
      </w:r>
    </w:p>
    <w:p w14:paraId="47D46016" w14:textId="1B7DB5C8" w:rsidR="007235CE" w:rsidRDefault="00D01C9C" w:rsidP="003C1FF3">
      <w:pPr>
        <w:keepNext/>
        <w:widowControl w:val="0"/>
        <w:spacing w:after="240" w:line="240" w:lineRule="auto"/>
        <w:rPr>
          <w:rFonts w:eastAsia="Times New Roman"/>
          <w:bCs/>
          <w:snapToGrid w:val="0"/>
          <w:lang w:val="en-US"/>
        </w:rPr>
      </w:pPr>
      <w:r>
        <w:rPr>
          <w:rFonts w:eastAsia="Times New Roman"/>
          <w:bCs/>
          <w:snapToGrid w:val="0"/>
          <w:lang w:val="en-US"/>
        </w:rPr>
        <w:t xml:space="preserve">Multiple other sites across the country were identified as </w:t>
      </w:r>
      <w:r w:rsidR="00F50286">
        <w:rPr>
          <w:rFonts w:eastAsia="Times New Roman"/>
          <w:bCs/>
          <w:snapToGrid w:val="0"/>
          <w:lang w:val="en-US"/>
        </w:rPr>
        <w:t>potential sites for delivering</w:t>
      </w:r>
      <w:r>
        <w:rPr>
          <w:rFonts w:eastAsia="Times New Roman"/>
          <w:bCs/>
          <w:snapToGrid w:val="0"/>
          <w:lang w:val="en-US"/>
        </w:rPr>
        <w:t xml:space="preserve"> CAR-T cell therapy</w:t>
      </w:r>
      <w:r w:rsidR="00A61117">
        <w:rPr>
          <w:rFonts w:eastAsia="Times New Roman"/>
          <w:bCs/>
          <w:snapToGrid w:val="0"/>
          <w:lang w:val="en-US"/>
        </w:rPr>
        <w:t xml:space="preserve"> once qualif</w:t>
      </w:r>
      <w:r w:rsidR="003C1FF3">
        <w:rPr>
          <w:rFonts w:eastAsia="Times New Roman"/>
          <w:bCs/>
          <w:snapToGrid w:val="0"/>
          <w:lang w:val="en-US"/>
        </w:rPr>
        <w:t>ication processes are complete.</w:t>
      </w:r>
    </w:p>
    <w:p w14:paraId="498598F2" w14:textId="2F1A6C16" w:rsidR="00D01C9C" w:rsidRPr="003F53B9" w:rsidRDefault="00D01C9C" w:rsidP="0029751F">
      <w:pPr>
        <w:keepNext/>
        <w:widowControl w:val="0"/>
        <w:spacing w:after="0" w:line="240" w:lineRule="auto"/>
        <w:rPr>
          <w:rFonts w:eastAsia="Times New Roman"/>
          <w:bCs/>
          <w:snapToGrid w:val="0"/>
          <w:lang w:val="en-US"/>
        </w:rPr>
      </w:pPr>
      <w:r>
        <w:rPr>
          <w:rFonts w:eastAsia="Times New Roman"/>
          <w:bCs/>
          <w:snapToGrid w:val="0"/>
          <w:lang w:val="en-US"/>
        </w:rPr>
        <w:t>FACT or J</w:t>
      </w:r>
      <w:r w:rsidR="00A56B1F">
        <w:rPr>
          <w:rFonts w:eastAsia="Times New Roman"/>
          <w:bCs/>
          <w:snapToGrid w:val="0"/>
          <w:lang w:val="en-US"/>
        </w:rPr>
        <w:t>A</w:t>
      </w:r>
      <w:r>
        <w:rPr>
          <w:rFonts w:eastAsia="Times New Roman"/>
          <w:bCs/>
          <w:snapToGrid w:val="0"/>
          <w:lang w:val="en-US"/>
        </w:rPr>
        <w:t>CI</w:t>
      </w:r>
      <w:r w:rsidR="00A56B1F">
        <w:rPr>
          <w:rFonts w:eastAsia="Times New Roman"/>
          <w:bCs/>
          <w:snapToGrid w:val="0"/>
          <w:lang w:val="en-US"/>
        </w:rPr>
        <w:t>E</w:t>
      </w:r>
      <w:r>
        <w:rPr>
          <w:rFonts w:eastAsia="Times New Roman"/>
          <w:bCs/>
          <w:snapToGrid w:val="0"/>
          <w:lang w:val="en-US"/>
        </w:rPr>
        <w:t xml:space="preserve"> accreditation</w:t>
      </w:r>
      <w:r w:rsidR="00CB48C5">
        <w:rPr>
          <w:rFonts w:eastAsia="Times New Roman"/>
          <w:bCs/>
          <w:snapToGrid w:val="0"/>
          <w:lang w:val="en-US"/>
        </w:rPr>
        <w:t xml:space="preserve"> </w:t>
      </w:r>
      <w:r>
        <w:rPr>
          <w:rFonts w:eastAsia="Times New Roman"/>
          <w:bCs/>
          <w:snapToGrid w:val="0"/>
          <w:lang w:val="en-US"/>
        </w:rPr>
        <w:t>were considered the gold standard for sites providing these therapies, however it was not considered that a site which had not undergone this accreditation process should be excluded from providing CAR-T cell therapy</w:t>
      </w:r>
      <w:r w:rsidR="00A56B1F">
        <w:rPr>
          <w:rFonts w:eastAsia="Times New Roman"/>
          <w:bCs/>
          <w:snapToGrid w:val="0"/>
          <w:lang w:val="en-US"/>
        </w:rPr>
        <w:t xml:space="preserve"> while working towards FACT and/or JACIE accreditation within a reasonable time period</w:t>
      </w:r>
      <w:r>
        <w:rPr>
          <w:rFonts w:eastAsia="Times New Roman"/>
          <w:bCs/>
          <w:snapToGrid w:val="0"/>
          <w:lang w:val="en-US"/>
        </w:rPr>
        <w:t xml:space="preserve">. </w:t>
      </w:r>
      <w:r w:rsidR="00A61117">
        <w:rPr>
          <w:rFonts w:eastAsia="Times New Roman"/>
          <w:bCs/>
          <w:snapToGrid w:val="0"/>
          <w:lang w:val="en-US"/>
        </w:rPr>
        <w:t xml:space="preserve">The FACT or JACIE accreditation process can </w:t>
      </w:r>
      <w:r w:rsidR="003C1FF3">
        <w:rPr>
          <w:rFonts w:eastAsia="Times New Roman"/>
          <w:bCs/>
          <w:snapToGrid w:val="0"/>
          <w:lang w:val="en-US"/>
        </w:rPr>
        <w:t>take up to 2 years to complete.</w:t>
      </w:r>
      <w:bookmarkStart w:id="0" w:name="_GoBack"/>
      <w:bookmarkEnd w:id="0"/>
    </w:p>
    <w:sectPr w:rsidR="00D01C9C" w:rsidRPr="003F53B9" w:rsidSect="007A63C1">
      <w:headerReference w:type="even" r:id="rId9"/>
      <w:headerReference w:type="default" r:id="rId10"/>
      <w:footerReference w:type="even" r:id="rId11"/>
      <w:footerReference w:type="default" r:id="rId12"/>
      <w:headerReference w:type="first" r:id="rId13"/>
      <w:footerReference w:type="first" r:id="rId14"/>
      <w:pgSz w:w="11906" w:h="16838"/>
      <w:pgMar w:top="1191" w:right="1440" w:bottom="1191" w:left="144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892E5" w14:textId="77777777" w:rsidR="0041588E" w:rsidRDefault="0041588E" w:rsidP="0041588E">
      <w:pPr>
        <w:spacing w:after="0" w:line="240" w:lineRule="auto"/>
      </w:pPr>
      <w:r>
        <w:separator/>
      </w:r>
    </w:p>
  </w:endnote>
  <w:endnote w:type="continuationSeparator" w:id="0">
    <w:p w14:paraId="5780EEEA" w14:textId="77777777" w:rsidR="0041588E" w:rsidRDefault="0041588E" w:rsidP="0041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7B65" w14:textId="77777777" w:rsidR="00034C53" w:rsidRDefault="00034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436663"/>
      <w:docPartObj>
        <w:docPartGallery w:val="Page Numbers (Bottom of Page)"/>
        <w:docPartUnique/>
      </w:docPartObj>
    </w:sdtPr>
    <w:sdtEndPr>
      <w:rPr>
        <w:noProof/>
      </w:rPr>
    </w:sdtEndPr>
    <w:sdtContent>
      <w:p w14:paraId="6FE34650" w14:textId="6F1DBD31" w:rsidR="003C1FF3" w:rsidRDefault="003C1FF3">
        <w:pPr>
          <w:pStyle w:val="Footer"/>
          <w:jc w:val="right"/>
        </w:pPr>
        <w:r>
          <w:fldChar w:fldCharType="begin"/>
        </w:r>
        <w:r>
          <w:instrText xml:space="preserve"> PAGE   \* MERGEFORMAT </w:instrText>
        </w:r>
        <w:r>
          <w:fldChar w:fldCharType="separate"/>
        </w:r>
        <w:r w:rsidR="00034C53">
          <w:rPr>
            <w:noProof/>
          </w:rPr>
          <w:t>3</w:t>
        </w:r>
        <w:r>
          <w:rPr>
            <w:noProof/>
          </w:rPr>
          <w:fldChar w:fldCharType="end"/>
        </w:r>
      </w:p>
    </w:sdtContent>
  </w:sdt>
  <w:p w14:paraId="6575CA5A" w14:textId="77777777" w:rsidR="003C1FF3" w:rsidRDefault="003C1F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41D4" w14:textId="77777777" w:rsidR="00034C53" w:rsidRDefault="00034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EFAD8" w14:textId="77777777" w:rsidR="0041588E" w:rsidRDefault="0041588E" w:rsidP="0041588E">
      <w:pPr>
        <w:spacing w:after="0" w:line="240" w:lineRule="auto"/>
      </w:pPr>
      <w:r>
        <w:separator/>
      </w:r>
    </w:p>
  </w:footnote>
  <w:footnote w:type="continuationSeparator" w:id="0">
    <w:p w14:paraId="3449E85D" w14:textId="77777777" w:rsidR="0041588E" w:rsidRDefault="0041588E" w:rsidP="0041588E">
      <w:pPr>
        <w:spacing w:after="0" w:line="240" w:lineRule="auto"/>
      </w:pPr>
      <w:r>
        <w:continuationSeparator/>
      </w:r>
    </w:p>
  </w:footnote>
  <w:footnote w:id="1">
    <w:p w14:paraId="59865F35" w14:textId="33B1D319" w:rsidR="002B46CC" w:rsidRDefault="002B46CC">
      <w:pPr>
        <w:pStyle w:val="FootnoteText"/>
      </w:pPr>
      <w:r>
        <w:rPr>
          <w:rStyle w:val="FootnoteReference"/>
        </w:rPr>
        <w:footnoteRef/>
      </w:r>
      <w:r>
        <w:t xml:space="preserve"> </w:t>
      </w:r>
      <w:r w:rsidRPr="002B46CC">
        <w:t>Cheson JCO 2014 and, Barrington JCO 2014.</w:t>
      </w:r>
    </w:p>
  </w:footnote>
  <w:footnote w:id="2">
    <w:p w14:paraId="182C7E7B" w14:textId="421F59CF" w:rsidR="00C44A98" w:rsidRDefault="00C44A98">
      <w:pPr>
        <w:pStyle w:val="FootnoteText"/>
      </w:pPr>
      <w:r>
        <w:rPr>
          <w:rStyle w:val="FootnoteReference"/>
        </w:rPr>
        <w:footnoteRef/>
      </w:r>
      <w:r>
        <w:t xml:space="preserve"> The Clinical Trial Protocol for the Juliet study stipulated a score of 1 or 2 with or without a residual mass on a 5-PS must be achieved for a complete metabolic response (Juliet Trial Protocol CCTL019C2201, Version 5, page 144, source ct1019c2201p01-legacy-clinical-strudy-report, p 4342.) </w:t>
      </w:r>
    </w:p>
  </w:footnote>
  <w:footnote w:id="3">
    <w:p w14:paraId="010091BA" w14:textId="35EFC5E4" w:rsidR="0082039E" w:rsidRDefault="0082039E">
      <w:pPr>
        <w:pStyle w:val="FootnoteText"/>
      </w:pPr>
      <w:r>
        <w:rPr>
          <w:rStyle w:val="FootnoteReference"/>
        </w:rPr>
        <w:footnoteRef/>
      </w:r>
      <w:r>
        <w:t xml:space="preserve"> </w:t>
      </w:r>
      <w:r w:rsidRPr="0082039E">
        <w:t>Lugano criteria and Imaging consensus: Barrington JCO 2014, Cheson JCO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6DED0" w14:textId="77777777" w:rsidR="00034C53" w:rsidRDefault="00034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4217" w14:textId="77777777" w:rsidR="00034C53" w:rsidRDefault="00034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78A0F" w14:textId="77777777" w:rsidR="00034C53" w:rsidRDefault="00034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F58E0"/>
    <w:multiLevelType w:val="hybridMultilevel"/>
    <w:tmpl w:val="108C2532"/>
    <w:lvl w:ilvl="0" w:tplc="68D083F4">
      <w:start w:val="1"/>
      <w:numFmt w:val="decimal"/>
      <w:pStyle w:val="Heading3"/>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D55F89"/>
    <w:multiLevelType w:val="hybridMultilevel"/>
    <w:tmpl w:val="EBE0A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1565B"/>
    <w:multiLevelType w:val="hybridMultilevel"/>
    <w:tmpl w:val="53A2F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DE61C1"/>
    <w:multiLevelType w:val="hybridMultilevel"/>
    <w:tmpl w:val="05588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5162D"/>
    <w:multiLevelType w:val="hybridMultilevel"/>
    <w:tmpl w:val="EF32DC9E"/>
    <w:lvl w:ilvl="0" w:tplc="0C09000F">
      <w:start w:val="1"/>
      <w:numFmt w:val="decimal"/>
      <w:lvlText w:val="%1."/>
      <w:lvlJc w:val="left"/>
      <w:pPr>
        <w:ind w:left="720" w:hanging="360"/>
      </w:pPr>
      <w:rPr>
        <w:rFonts w:hint="default"/>
      </w:rPr>
    </w:lvl>
    <w:lvl w:ilvl="1" w:tplc="0D78F5CE" w:tentative="1">
      <w:start w:val="1"/>
      <w:numFmt w:val="bullet"/>
      <w:lvlText w:val="o"/>
      <w:lvlJc w:val="left"/>
      <w:pPr>
        <w:ind w:left="1440" w:hanging="360"/>
      </w:pPr>
      <w:rPr>
        <w:rFonts w:ascii="Courier New" w:hAnsi="Courier New" w:cs="Courier New" w:hint="default"/>
      </w:rPr>
    </w:lvl>
    <w:lvl w:ilvl="2" w:tplc="8152931E" w:tentative="1">
      <w:start w:val="1"/>
      <w:numFmt w:val="bullet"/>
      <w:lvlText w:val=""/>
      <w:lvlJc w:val="left"/>
      <w:pPr>
        <w:ind w:left="2160" w:hanging="360"/>
      </w:pPr>
      <w:rPr>
        <w:rFonts w:ascii="Wingdings" w:hAnsi="Wingdings" w:hint="default"/>
      </w:rPr>
    </w:lvl>
    <w:lvl w:ilvl="3" w:tplc="4914046C" w:tentative="1">
      <w:start w:val="1"/>
      <w:numFmt w:val="bullet"/>
      <w:lvlText w:val=""/>
      <w:lvlJc w:val="left"/>
      <w:pPr>
        <w:ind w:left="2880" w:hanging="360"/>
      </w:pPr>
      <w:rPr>
        <w:rFonts w:ascii="Symbol" w:hAnsi="Symbol" w:hint="default"/>
      </w:rPr>
    </w:lvl>
    <w:lvl w:ilvl="4" w:tplc="DF648372" w:tentative="1">
      <w:start w:val="1"/>
      <w:numFmt w:val="bullet"/>
      <w:lvlText w:val="o"/>
      <w:lvlJc w:val="left"/>
      <w:pPr>
        <w:ind w:left="3600" w:hanging="360"/>
      </w:pPr>
      <w:rPr>
        <w:rFonts w:ascii="Courier New" w:hAnsi="Courier New" w:cs="Courier New" w:hint="default"/>
      </w:rPr>
    </w:lvl>
    <w:lvl w:ilvl="5" w:tplc="35DCBEB2" w:tentative="1">
      <w:start w:val="1"/>
      <w:numFmt w:val="bullet"/>
      <w:lvlText w:val=""/>
      <w:lvlJc w:val="left"/>
      <w:pPr>
        <w:ind w:left="4320" w:hanging="360"/>
      </w:pPr>
      <w:rPr>
        <w:rFonts w:ascii="Wingdings" w:hAnsi="Wingdings" w:hint="default"/>
      </w:rPr>
    </w:lvl>
    <w:lvl w:ilvl="6" w:tplc="412EF514" w:tentative="1">
      <w:start w:val="1"/>
      <w:numFmt w:val="bullet"/>
      <w:lvlText w:val=""/>
      <w:lvlJc w:val="left"/>
      <w:pPr>
        <w:ind w:left="5040" w:hanging="360"/>
      </w:pPr>
      <w:rPr>
        <w:rFonts w:ascii="Symbol" w:hAnsi="Symbol" w:hint="default"/>
      </w:rPr>
    </w:lvl>
    <w:lvl w:ilvl="7" w:tplc="8E40B07E" w:tentative="1">
      <w:start w:val="1"/>
      <w:numFmt w:val="bullet"/>
      <w:lvlText w:val="o"/>
      <w:lvlJc w:val="left"/>
      <w:pPr>
        <w:ind w:left="5760" w:hanging="360"/>
      </w:pPr>
      <w:rPr>
        <w:rFonts w:ascii="Courier New" w:hAnsi="Courier New" w:cs="Courier New" w:hint="default"/>
      </w:rPr>
    </w:lvl>
    <w:lvl w:ilvl="8" w:tplc="4D6A5092" w:tentative="1">
      <w:start w:val="1"/>
      <w:numFmt w:val="bullet"/>
      <w:lvlText w:val=""/>
      <w:lvlJc w:val="left"/>
      <w:pPr>
        <w:ind w:left="6480" w:hanging="360"/>
      </w:pPr>
      <w:rPr>
        <w:rFonts w:ascii="Wingdings" w:hAnsi="Wingdings" w:hint="default"/>
      </w:rPr>
    </w:lvl>
  </w:abstractNum>
  <w:abstractNum w:abstractNumId="5" w15:restartNumberingAfterBreak="0">
    <w:nsid w:val="40610E8C"/>
    <w:multiLevelType w:val="hybridMultilevel"/>
    <w:tmpl w:val="7EEA4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F90DA4"/>
    <w:multiLevelType w:val="hybridMultilevel"/>
    <w:tmpl w:val="218091E0"/>
    <w:lvl w:ilvl="0" w:tplc="F65A8732">
      <w:start w:val="1"/>
      <w:numFmt w:val="bullet"/>
      <w:lvlText w:val=""/>
      <w:lvlJc w:val="left"/>
      <w:pPr>
        <w:ind w:left="720" w:hanging="360"/>
      </w:pPr>
      <w:rPr>
        <w:rFonts w:ascii="Symbol" w:hAnsi="Symbol" w:hint="default"/>
      </w:rPr>
    </w:lvl>
    <w:lvl w:ilvl="1" w:tplc="0D78F5CE" w:tentative="1">
      <w:start w:val="1"/>
      <w:numFmt w:val="bullet"/>
      <w:lvlText w:val="o"/>
      <w:lvlJc w:val="left"/>
      <w:pPr>
        <w:ind w:left="1440" w:hanging="360"/>
      </w:pPr>
      <w:rPr>
        <w:rFonts w:ascii="Courier New" w:hAnsi="Courier New" w:cs="Courier New" w:hint="default"/>
      </w:rPr>
    </w:lvl>
    <w:lvl w:ilvl="2" w:tplc="8152931E" w:tentative="1">
      <w:start w:val="1"/>
      <w:numFmt w:val="bullet"/>
      <w:lvlText w:val=""/>
      <w:lvlJc w:val="left"/>
      <w:pPr>
        <w:ind w:left="2160" w:hanging="360"/>
      </w:pPr>
      <w:rPr>
        <w:rFonts w:ascii="Wingdings" w:hAnsi="Wingdings" w:hint="default"/>
      </w:rPr>
    </w:lvl>
    <w:lvl w:ilvl="3" w:tplc="4914046C" w:tentative="1">
      <w:start w:val="1"/>
      <w:numFmt w:val="bullet"/>
      <w:lvlText w:val=""/>
      <w:lvlJc w:val="left"/>
      <w:pPr>
        <w:ind w:left="2880" w:hanging="360"/>
      </w:pPr>
      <w:rPr>
        <w:rFonts w:ascii="Symbol" w:hAnsi="Symbol" w:hint="default"/>
      </w:rPr>
    </w:lvl>
    <w:lvl w:ilvl="4" w:tplc="DF648372" w:tentative="1">
      <w:start w:val="1"/>
      <w:numFmt w:val="bullet"/>
      <w:lvlText w:val="o"/>
      <w:lvlJc w:val="left"/>
      <w:pPr>
        <w:ind w:left="3600" w:hanging="360"/>
      </w:pPr>
      <w:rPr>
        <w:rFonts w:ascii="Courier New" w:hAnsi="Courier New" w:cs="Courier New" w:hint="default"/>
      </w:rPr>
    </w:lvl>
    <w:lvl w:ilvl="5" w:tplc="35DCBEB2" w:tentative="1">
      <w:start w:val="1"/>
      <w:numFmt w:val="bullet"/>
      <w:lvlText w:val=""/>
      <w:lvlJc w:val="left"/>
      <w:pPr>
        <w:ind w:left="4320" w:hanging="360"/>
      </w:pPr>
      <w:rPr>
        <w:rFonts w:ascii="Wingdings" w:hAnsi="Wingdings" w:hint="default"/>
      </w:rPr>
    </w:lvl>
    <w:lvl w:ilvl="6" w:tplc="412EF514" w:tentative="1">
      <w:start w:val="1"/>
      <w:numFmt w:val="bullet"/>
      <w:lvlText w:val=""/>
      <w:lvlJc w:val="left"/>
      <w:pPr>
        <w:ind w:left="5040" w:hanging="360"/>
      </w:pPr>
      <w:rPr>
        <w:rFonts w:ascii="Symbol" w:hAnsi="Symbol" w:hint="default"/>
      </w:rPr>
    </w:lvl>
    <w:lvl w:ilvl="7" w:tplc="8E40B07E" w:tentative="1">
      <w:start w:val="1"/>
      <w:numFmt w:val="bullet"/>
      <w:lvlText w:val="o"/>
      <w:lvlJc w:val="left"/>
      <w:pPr>
        <w:ind w:left="5760" w:hanging="360"/>
      </w:pPr>
      <w:rPr>
        <w:rFonts w:ascii="Courier New" w:hAnsi="Courier New" w:cs="Courier New" w:hint="default"/>
      </w:rPr>
    </w:lvl>
    <w:lvl w:ilvl="8" w:tplc="4D6A5092" w:tentative="1">
      <w:start w:val="1"/>
      <w:numFmt w:val="bullet"/>
      <w:lvlText w:val=""/>
      <w:lvlJc w:val="left"/>
      <w:pPr>
        <w:ind w:left="6480" w:hanging="360"/>
      </w:pPr>
      <w:rPr>
        <w:rFonts w:ascii="Wingdings" w:hAnsi="Wingdings" w:hint="default"/>
      </w:rPr>
    </w:lvl>
  </w:abstractNum>
  <w:abstractNum w:abstractNumId="7" w15:restartNumberingAfterBreak="0">
    <w:nsid w:val="5A86214F"/>
    <w:multiLevelType w:val="hybridMultilevel"/>
    <w:tmpl w:val="0CB6F51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9F51E7A"/>
    <w:multiLevelType w:val="hybridMultilevel"/>
    <w:tmpl w:val="C7BAE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974A03"/>
    <w:multiLevelType w:val="hybridMultilevel"/>
    <w:tmpl w:val="1DEC5274"/>
    <w:lvl w:ilvl="0" w:tplc="B310228E">
      <w:start w:val="1"/>
      <w:numFmt w:val="bullet"/>
      <w:lvlText w:val=""/>
      <w:lvlJc w:val="left"/>
      <w:pPr>
        <w:tabs>
          <w:tab w:val="num" w:pos="720"/>
        </w:tabs>
        <w:ind w:left="720" w:hanging="360"/>
      </w:pPr>
      <w:rPr>
        <w:rFonts w:ascii="Wingdings 3" w:hAnsi="Wingdings 3" w:hint="default"/>
      </w:rPr>
    </w:lvl>
    <w:lvl w:ilvl="1" w:tplc="1696FC2E">
      <w:start w:val="174"/>
      <w:numFmt w:val="bullet"/>
      <w:lvlText w:val=""/>
      <w:lvlJc w:val="left"/>
      <w:pPr>
        <w:tabs>
          <w:tab w:val="num" w:pos="1440"/>
        </w:tabs>
        <w:ind w:left="1440" w:hanging="360"/>
      </w:pPr>
      <w:rPr>
        <w:rFonts w:ascii="Wingdings 3" w:hAnsi="Wingdings 3" w:hint="default"/>
      </w:rPr>
    </w:lvl>
    <w:lvl w:ilvl="2" w:tplc="FD6E1BEE" w:tentative="1">
      <w:start w:val="1"/>
      <w:numFmt w:val="bullet"/>
      <w:lvlText w:val=""/>
      <w:lvlJc w:val="left"/>
      <w:pPr>
        <w:tabs>
          <w:tab w:val="num" w:pos="2160"/>
        </w:tabs>
        <w:ind w:left="2160" w:hanging="360"/>
      </w:pPr>
      <w:rPr>
        <w:rFonts w:ascii="Wingdings 3" w:hAnsi="Wingdings 3" w:hint="default"/>
      </w:rPr>
    </w:lvl>
    <w:lvl w:ilvl="3" w:tplc="DDE67F0E" w:tentative="1">
      <w:start w:val="1"/>
      <w:numFmt w:val="bullet"/>
      <w:lvlText w:val=""/>
      <w:lvlJc w:val="left"/>
      <w:pPr>
        <w:tabs>
          <w:tab w:val="num" w:pos="2880"/>
        </w:tabs>
        <w:ind w:left="2880" w:hanging="360"/>
      </w:pPr>
      <w:rPr>
        <w:rFonts w:ascii="Wingdings 3" w:hAnsi="Wingdings 3" w:hint="default"/>
      </w:rPr>
    </w:lvl>
    <w:lvl w:ilvl="4" w:tplc="A54CD28C" w:tentative="1">
      <w:start w:val="1"/>
      <w:numFmt w:val="bullet"/>
      <w:lvlText w:val=""/>
      <w:lvlJc w:val="left"/>
      <w:pPr>
        <w:tabs>
          <w:tab w:val="num" w:pos="3600"/>
        </w:tabs>
        <w:ind w:left="3600" w:hanging="360"/>
      </w:pPr>
      <w:rPr>
        <w:rFonts w:ascii="Wingdings 3" w:hAnsi="Wingdings 3" w:hint="default"/>
      </w:rPr>
    </w:lvl>
    <w:lvl w:ilvl="5" w:tplc="CA6401AE" w:tentative="1">
      <w:start w:val="1"/>
      <w:numFmt w:val="bullet"/>
      <w:lvlText w:val=""/>
      <w:lvlJc w:val="left"/>
      <w:pPr>
        <w:tabs>
          <w:tab w:val="num" w:pos="4320"/>
        </w:tabs>
        <w:ind w:left="4320" w:hanging="360"/>
      </w:pPr>
      <w:rPr>
        <w:rFonts w:ascii="Wingdings 3" w:hAnsi="Wingdings 3" w:hint="default"/>
      </w:rPr>
    </w:lvl>
    <w:lvl w:ilvl="6" w:tplc="B67C26F2" w:tentative="1">
      <w:start w:val="1"/>
      <w:numFmt w:val="bullet"/>
      <w:lvlText w:val=""/>
      <w:lvlJc w:val="left"/>
      <w:pPr>
        <w:tabs>
          <w:tab w:val="num" w:pos="5040"/>
        </w:tabs>
        <w:ind w:left="5040" w:hanging="360"/>
      </w:pPr>
      <w:rPr>
        <w:rFonts w:ascii="Wingdings 3" w:hAnsi="Wingdings 3" w:hint="default"/>
      </w:rPr>
    </w:lvl>
    <w:lvl w:ilvl="7" w:tplc="67A6CA22" w:tentative="1">
      <w:start w:val="1"/>
      <w:numFmt w:val="bullet"/>
      <w:lvlText w:val=""/>
      <w:lvlJc w:val="left"/>
      <w:pPr>
        <w:tabs>
          <w:tab w:val="num" w:pos="5760"/>
        </w:tabs>
        <w:ind w:left="5760" w:hanging="360"/>
      </w:pPr>
      <w:rPr>
        <w:rFonts w:ascii="Wingdings 3" w:hAnsi="Wingdings 3" w:hint="default"/>
      </w:rPr>
    </w:lvl>
    <w:lvl w:ilvl="8" w:tplc="00C25CFA"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D8B4E54"/>
    <w:multiLevelType w:val="hybridMultilevel"/>
    <w:tmpl w:val="9CFA8D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73EC7471"/>
    <w:multiLevelType w:val="hybridMultilevel"/>
    <w:tmpl w:val="40A2D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EE7E31"/>
    <w:multiLevelType w:val="hybridMultilevel"/>
    <w:tmpl w:val="FC5A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2"/>
  </w:num>
  <w:num w:numId="5">
    <w:abstractNumId w:val="1"/>
  </w:num>
  <w:num w:numId="6">
    <w:abstractNumId w:val="7"/>
  </w:num>
  <w:num w:numId="7">
    <w:abstractNumId w:val="5"/>
  </w:num>
  <w:num w:numId="8">
    <w:abstractNumId w:val="2"/>
  </w:num>
  <w:num w:numId="9">
    <w:abstractNumId w:val="10"/>
  </w:num>
  <w:num w:numId="10">
    <w:abstractNumId w:val="11"/>
  </w:num>
  <w:num w:numId="11">
    <w:abstractNumId w:val="6"/>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A1D"/>
    <w:rsid w:val="00034C53"/>
    <w:rsid w:val="00042725"/>
    <w:rsid w:val="000603CB"/>
    <w:rsid w:val="00097D3C"/>
    <w:rsid w:val="000B1715"/>
    <w:rsid w:val="000C1A48"/>
    <w:rsid w:val="000E7A51"/>
    <w:rsid w:val="00126BB4"/>
    <w:rsid w:val="00141D89"/>
    <w:rsid w:val="0016144E"/>
    <w:rsid w:val="0016149E"/>
    <w:rsid w:val="0016684E"/>
    <w:rsid w:val="0017656D"/>
    <w:rsid w:val="001811A5"/>
    <w:rsid w:val="001B2EFF"/>
    <w:rsid w:val="001D47FC"/>
    <w:rsid w:val="0022106B"/>
    <w:rsid w:val="00252AB5"/>
    <w:rsid w:val="00280050"/>
    <w:rsid w:val="0029751F"/>
    <w:rsid w:val="002B46CC"/>
    <w:rsid w:val="002C28F6"/>
    <w:rsid w:val="002D762E"/>
    <w:rsid w:val="002F7204"/>
    <w:rsid w:val="002F7E49"/>
    <w:rsid w:val="00306E75"/>
    <w:rsid w:val="00310289"/>
    <w:rsid w:val="003226BC"/>
    <w:rsid w:val="00335BE1"/>
    <w:rsid w:val="00352EC6"/>
    <w:rsid w:val="0037524B"/>
    <w:rsid w:val="003C1FF3"/>
    <w:rsid w:val="003C20C2"/>
    <w:rsid w:val="003E45C7"/>
    <w:rsid w:val="0041588E"/>
    <w:rsid w:val="004202F7"/>
    <w:rsid w:val="004238CF"/>
    <w:rsid w:val="00445347"/>
    <w:rsid w:val="00445BCA"/>
    <w:rsid w:val="00450F63"/>
    <w:rsid w:val="00475982"/>
    <w:rsid w:val="004A5545"/>
    <w:rsid w:val="004B469B"/>
    <w:rsid w:val="00572FE6"/>
    <w:rsid w:val="0058540E"/>
    <w:rsid w:val="005C676A"/>
    <w:rsid w:val="0061018B"/>
    <w:rsid w:val="006153DB"/>
    <w:rsid w:val="00616DA2"/>
    <w:rsid w:val="006659FA"/>
    <w:rsid w:val="00671015"/>
    <w:rsid w:val="00697655"/>
    <w:rsid w:val="006F6A92"/>
    <w:rsid w:val="007235CE"/>
    <w:rsid w:val="00764DD8"/>
    <w:rsid w:val="0079375C"/>
    <w:rsid w:val="007A63C1"/>
    <w:rsid w:val="007B5BBB"/>
    <w:rsid w:val="0082039E"/>
    <w:rsid w:val="008A52FA"/>
    <w:rsid w:val="008C532B"/>
    <w:rsid w:val="008F6FA1"/>
    <w:rsid w:val="0090299E"/>
    <w:rsid w:val="00904A1D"/>
    <w:rsid w:val="00922C3A"/>
    <w:rsid w:val="009356D4"/>
    <w:rsid w:val="00965F2E"/>
    <w:rsid w:val="00972861"/>
    <w:rsid w:val="00976007"/>
    <w:rsid w:val="00982E13"/>
    <w:rsid w:val="00991BC0"/>
    <w:rsid w:val="00997226"/>
    <w:rsid w:val="009A7C39"/>
    <w:rsid w:val="009B4ACB"/>
    <w:rsid w:val="009C1781"/>
    <w:rsid w:val="00A24ED1"/>
    <w:rsid w:val="00A56B1F"/>
    <w:rsid w:val="00A61117"/>
    <w:rsid w:val="00A83E82"/>
    <w:rsid w:val="00A87E33"/>
    <w:rsid w:val="00A917BF"/>
    <w:rsid w:val="00AC285B"/>
    <w:rsid w:val="00AF6D8A"/>
    <w:rsid w:val="00B449E5"/>
    <w:rsid w:val="00B44F4C"/>
    <w:rsid w:val="00B70324"/>
    <w:rsid w:val="00B71ED4"/>
    <w:rsid w:val="00B85D25"/>
    <w:rsid w:val="00BA0D24"/>
    <w:rsid w:val="00BB3214"/>
    <w:rsid w:val="00BB4331"/>
    <w:rsid w:val="00BD0030"/>
    <w:rsid w:val="00C3305A"/>
    <w:rsid w:val="00C44A98"/>
    <w:rsid w:val="00C55736"/>
    <w:rsid w:val="00C627C0"/>
    <w:rsid w:val="00C74065"/>
    <w:rsid w:val="00C93F9E"/>
    <w:rsid w:val="00CA14B9"/>
    <w:rsid w:val="00CA456A"/>
    <w:rsid w:val="00CB48C5"/>
    <w:rsid w:val="00CC6FCA"/>
    <w:rsid w:val="00CE4715"/>
    <w:rsid w:val="00D01C9C"/>
    <w:rsid w:val="00D2742B"/>
    <w:rsid w:val="00D64F0E"/>
    <w:rsid w:val="00DA607D"/>
    <w:rsid w:val="00DC2522"/>
    <w:rsid w:val="00DD3A8D"/>
    <w:rsid w:val="00DF63C5"/>
    <w:rsid w:val="00E565D1"/>
    <w:rsid w:val="00E92D43"/>
    <w:rsid w:val="00EA2711"/>
    <w:rsid w:val="00EA578A"/>
    <w:rsid w:val="00EB0DC3"/>
    <w:rsid w:val="00F009F2"/>
    <w:rsid w:val="00F14D6C"/>
    <w:rsid w:val="00F3027E"/>
    <w:rsid w:val="00F50286"/>
    <w:rsid w:val="00F55C60"/>
    <w:rsid w:val="00F56FFB"/>
    <w:rsid w:val="00F703E6"/>
    <w:rsid w:val="00FB06F8"/>
    <w:rsid w:val="00FB5834"/>
    <w:rsid w:val="00FD3F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C08B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83E82"/>
    <w:pPr>
      <w:keepNext/>
      <w:widowControl w:val="0"/>
      <w:spacing w:after="0" w:line="240" w:lineRule="auto"/>
      <w:outlineLvl w:val="1"/>
    </w:pPr>
    <w:rPr>
      <w:rFonts w:eastAsia="Times New Roman"/>
      <w:b/>
      <w:bCs/>
      <w:snapToGrid w:val="0"/>
      <w:lang w:val="en-US"/>
    </w:rPr>
  </w:style>
  <w:style w:type="paragraph" w:styleId="Heading3">
    <w:name w:val="heading 3"/>
    <w:basedOn w:val="ListParagraph"/>
    <w:next w:val="Normal"/>
    <w:link w:val="Heading3Char"/>
    <w:uiPriority w:val="9"/>
    <w:unhideWhenUsed/>
    <w:qFormat/>
    <w:rsid w:val="00A83E82"/>
    <w:pPr>
      <w:keepNext/>
      <w:widowControl w:val="0"/>
      <w:numPr>
        <w:numId w:val="1"/>
      </w:numPr>
      <w:spacing w:after="0" w:line="240" w:lineRule="auto"/>
      <w:outlineLvl w:val="2"/>
    </w:pPr>
    <w:rPr>
      <w:rFonts w:eastAsia="Times New Roman"/>
      <w:b/>
      <w:bCs/>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
    <w:basedOn w:val="Normal"/>
    <w:link w:val="ListParagraphChar"/>
    <w:uiPriority w:val="34"/>
    <w:qFormat/>
    <w:rsid w:val="00904A1D"/>
    <w:pPr>
      <w:ind w:left="720"/>
      <w:contextualSpacing/>
    </w:pPr>
  </w:style>
  <w:style w:type="paragraph" w:styleId="NormalWeb">
    <w:name w:val="Normal (Web)"/>
    <w:basedOn w:val="Normal"/>
    <w:uiPriority w:val="99"/>
    <w:semiHidden/>
    <w:unhideWhenUsed/>
    <w:rsid w:val="00997226"/>
    <w:pPr>
      <w:spacing w:before="100" w:beforeAutospacing="1" w:after="100" w:afterAutospacing="1" w:line="240" w:lineRule="auto"/>
    </w:pPr>
    <w:rPr>
      <w:rFonts w:eastAsia="Times New Roman"/>
      <w:lang w:eastAsia="en-AU"/>
    </w:rPr>
  </w:style>
  <w:style w:type="paragraph" w:styleId="BalloonText">
    <w:name w:val="Balloon Text"/>
    <w:basedOn w:val="Normal"/>
    <w:link w:val="BalloonTextChar"/>
    <w:uiPriority w:val="99"/>
    <w:semiHidden/>
    <w:unhideWhenUsed/>
    <w:rsid w:val="00C9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F9E"/>
    <w:rPr>
      <w:rFonts w:ascii="Segoe UI" w:hAnsi="Segoe UI" w:cs="Segoe UI"/>
      <w:sz w:val="18"/>
      <w:szCs w:val="18"/>
    </w:rPr>
  </w:style>
  <w:style w:type="character" w:styleId="CommentReference">
    <w:name w:val="annotation reference"/>
    <w:basedOn w:val="DefaultParagraphFont"/>
    <w:uiPriority w:val="99"/>
    <w:semiHidden/>
    <w:unhideWhenUsed/>
    <w:rsid w:val="00C93F9E"/>
    <w:rPr>
      <w:sz w:val="16"/>
      <w:szCs w:val="16"/>
    </w:rPr>
  </w:style>
  <w:style w:type="paragraph" w:styleId="CommentText">
    <w:name w:val="annotation text"/>
    <w:basedOn w:val="Normal"/>
    <w:link w:val="CommentTextChar"/>
    <w:uiPriority w:val="99"/>
    <w:semiHidden/>
    <w:unhideWhenUsed/>
    <w:rsid w:val="00C93F9E"/>
    <w:pPr>
      <w:spacing w:line="240" w:lineRule="auto"/>
    </w:pPr>
    <w:rPr>
      <w:sz w:val="20"/>
      <w:szCs w:val="20"/>
    </w:rPr>
  </w:style>
  <w:style w:type="character" w:customStyle="1" w:styleId="CommentTextChar">
    <w:name w:val="Comment Text Char"/>
    <w:basedOn w:val="DefaultParagraphFont"/>
    <w:link w:val="CommentText"/>
    <w:uiPriority w:val="99"/>
    <w:semiHidden/>
    <w:rsid w:val="00C93F9E"/>
    <w:rPr>
      <w:sz w:val="20"/>
      <w:szCs w:val="20"/>
    </w:rPr>
  </w:style>
  <w:style w:type="paragraph" w:styleId="CommentSubject">
    <w:name w:val="annotation subject"/>
    <w:basedOn w:val="CommentText"/>
    <w:next w:val="CommentText"/>
    <w:link w:val="CommentSubjectChar"/>
    <w:uiPriority w:val="99"/>
    <w:semiHidden/>
    <w:unhideWhenUsed/>
    <w:rsid w:val="00C93F9E"/>
    <w:rPr>
      <w:b/>
      <w:bCs/>
    </w:rPr>
  </w:style>
  <w:style w:type="character" w:customStyle="1" w:styleId="CommentSubjectChar">
    <w:name w:val="Comment Subject Char"/>
    <w:basedOn w:val="CommentTextChar"/>
    <w:link w:val="CommentSubject"/>
    <w:uiPriority w:val="99"/>
    <w:semiHidden/>
    <w:rsid w:val="00C93F9E"/>
    <w:rPr>
      <w:b/>
      <w:bCs/>
      <w:sz w:val="20"/>
      <w:szCs w:val="20"/>
    </w:rPr>
  </w:style>
  <w:style w:type="paragraph" w:styleId="Header">
    <w:name w:val="header"/>
    <w:basedOn w:val="Normal"/>
    <w:link w:val="HeaderChar"/>
    <w:uiPriority w:val="99"/>
    <w:unhideWhenUsed/>
    <w:rsid w:val="00415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8E"/>
  </w:style>
  <w:style w:type="paragraph" w:styleId="Footer">
    <w:name w:val="footer"/>
    <w:basedOn w:val="Normal"/>
    <w:link w:val="FooterChar"/>
    <w:uiPriority w:val="99"/>
    <w:unhideWhenUsed/>
    <w:rsid w:val="00415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8E"/>
  </w:style>
  <w:style w:type="character" w:customStyle="1" w:styleId="ListParagraphChar">
    <w:name w:val="List Paragraph Char"/>
    <w:aliases w:val="BulletPoints Char"/>
    <w:basedOn w:val="DefaultParagraphFont"/>
    <w:link w:val="ListParagraph"/>
    <w:uiPriority w:val="99"/>
    <w:rsid w:val="00BB3214"/>
  </w:style>
  <w:style w:type="character" w:customStyle="1" w:styleId="Heading2Char">
    <w:name w:val="Heading 2 Char"/>
    <w:basedOn w:val="DefaultParagraphFont"/>
    <w:link w:val="Heading2"/>
    <w:uiPriority w:val="9"/>
    <w:rsid w:val="00A83E82"/>
    <w:rPr>
      <w:rFonts w:eastAsia="Times New Roman"/>
      <w:b/>
      <w:bCs/>
      <w:snapToGrid w:val="0"/>
      <w:lang w:val="en-US"/>
    </w:rPr>
  </w:style>
  <w:style w:type="character" w:customStyle="1" w:styleId="Heading3Char">
    <w:name w:val="Heading 3 Char"/>
    <w:basedOn w:val="DefaultParagraphFont"/>
    <w:link w:val="Heading3"/>
    <w:uiPriority w:val="9"/>
    <w:rsid w:val="00A83E82"/>
    <w:rPr>
      <w:rFonts w:eastAsia="Times New Roman"/>
      <w:b/>
      <w:bCs/>
      <w:snapToGrid w:val="0"/>
      <w:lang w:val="en-US"/>
    </w:rPr>
  </w:style>
  <w:style w:type="paragraph" w:styleId="FootnoteText">
    <w:name w:val="footnote text"/>
    <w:basedOn w:val="Normal"/>
    <w:link w:val="FootnoteTextChar"/>
    <w:uiPriority w:val="99"/>
    <w:semiHidden/>
    <w:unhideWhenUsed/>
    <w:rsid w:val="00C44A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A98"/>
    <w:rPr>
      <w:sz w:val="20"/>
      <w:szCs w:val="20"/>
    </w:rPr>
  </w:style>
  <w:style w:type="character" w:styleId="FootnoteReference">
    <w:name w:val="footnote reference"/>
    <w:basedOn w:val="DefaultParagraphFont"/>
    <w:uiPriority w:val="99"/>
    <w:semiHidden/>
    <w:unhideWhenUsed/>
    <w:rsid w:val="00C44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61185">
      <w:bodyDiv w:val="1"/>
      <w:marLeft w:val="0"/>
      <w:marRight w:val="0"/>
      <w:marTop w:val="0"/>
      <w:marBottom w:val="0"/>
      <w:divBdr>
        <w:top w:val="none" w:sz="0" w:space="0" w:color="auto"/>
        <w:left w:val="none" w:sz="0" w:space="0" w:color="auto"/>
        <w:bottom w:val="none" w:sz="0" w:space="0" w:color="auto"/>
        <w:right w:val="none" w:sz="0" w:space="0" w:color="auto"/>
      </w:divBdr>
    </w:div>
    <w:div w:id="1545293723">
      <w:bodyDiv w:val="1"/>
      <w:marLeft w:val="0"/>
      <w:marRight w:val="0"/>
      <w:marTop w:val="0"/>
      <w:marBottom w:val="0"/>
      <w:divBdr>
        <w:top w:val="none" w:sz="0" w:space="0" w:color="auto"/>
        <w:left w:val="none" w:sz="0" w:space="0" w:color="auto"/>
        <w:bottom w:val="none" w:sz="0" w:space="0" w:color="auto"/>
        <w:right w:val="none" w:sz="0" w:space="0" w:color="auto"/>
      </w:divBdr>
      <w:divsChild>
        <w:div w:id="1125465019">
          <w:marLeft w:val="547"/>
          <w:marRight w:val="0"/>
          <w:marTop w:val="200"/>
          <w:marBottom w:val="0"/>
          <w:divBdr>
            <w:top w:val="none" w:sz="0" w:space="0" w:color="auto"/>
            <w:left w:val="none" w:sz="0" w:space="0" w:color="auto"/>
            <w:bottom w:val="none" w:sz="0" w:space="0" w:color="auto"/>
            <w:right w:val="none" w:sz="0" w:space="0" w:color="auto"/>
          </w:divBdr>
        </w:div>
        <w:div w:id="1818840348">
          <w:marLeft w:val="1166"/>
          <w:marRight w:val="0"/>
          <w:marTop w:val="200"/>
          <w:marBottom w:val="0"/>
          <w:divBdr>
            <w:top w:val="none" w:sz="0" w:space="0" w:color="auto"/>
            <w:left w:val="none" w:sz="0" w:space="0" w:color="auto"/>
            <w:bottom w:val="none" w:sz="0" w:space="0" w:color="auto"/>
            <w:right w:val="none" w:sz="0" w:space="0" w:color="auto"/>
          </w:divBdr>
        </w:div>
        <w:div w:id="851644925">
          <w:marLeft w:val="1166"/>
          <w:marRight w:val="0"/>
          <w:marTop w:val="200"/>
          <w:marBottom w:val="0"/>
          <w:divBdr>
            <w:top w:val="none" w:sz="0" w:space="0" w:color="auto"/>
            <w:left w:val="none" w:sz="0" w:space="0" w:color="auto"/>
            <w:bottom w:val="none" w:sz="0" w:space="0" w:color="auto"/>
            <w:right w:val="none" w:sz="0" w:space="0" w:color="auto"/>
          </w:divBdr>
        </w:div>
        <w:div w:id="1578979549">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3FAC2-4914-4224-A28A-D67403EB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CAR-T Stakeholder meeting outcomes statement</dc:title>
  <dc:subject/>
  <dc:creator/>
  <cp:keywords/>
  <dc:description/>
  <cp:lastModifiedBy/>
  <cp:revision>1</cp:revision>
  <dcterms:created xsi:type="dcterms:W3CDTF">2019-11-22T06:11:00Z</dcterms:created>
  <dcterms:modified xsi:type="dcterms:W3CDTF">2019-11-27T04:09:00Z</dcterms:modified>
</cp:coreProperties>
</file>