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EF5F2" w14:textId="77777777" w:rsidR="00B25C43" w:rsidRDefault="00B25C43" w:rsidP="00051843">
      <w:pPr>
        <w:rPr>
          <w:rFonts w:ascii="Segoe UI" w:eastAsia="Segoe UI" w:hAnsi="Segoe UI"/>
          <w:b/>
          <w:color w:val="000000"/>
          <w:sz w:val="32"/>
        </w:rPr>
      </w:pPr>
    </w:p>
    <w:tbl>
      <w:tblPr>
        <w:tblStyle w:val="TableGrid"/>
        <w:tblW w:w="0" w:type="auto"/>
        <w:tblLook w:val="04A0" w:firstRow="1" w:lastRow="0" w:firstColumn="1" w:lastColumn="0" w:noHBand="0" w:noVBand="1"/>
      </w:tblPr>
      <w:tblGrid>
        <w:gridCol w:w="9465"/>
      </w:tblGrid>
      <w:tr w:rsidR="00E103B8" w14:paraId="535A2064" w14:textId="77777777" w:rsidTr="00E103B8">
        <w:tc>
          <w:tcPr>
            <w:tcW w:w="9465" w:type="dxa"/>
          </w:tcPr>
          <w:p w14:paraId="02F2E976" w14:textId="77777777" w:rsidR="00E103B8" w:rsidRPr="005C703B" w:rsidRDefault="00E103B8" w:rsidP="00E103B8">
            <w:pPr>
              <w:pStyle w:val="Responsetext"/>
              <w:rPr>
                <w:b/>
                <w:bCs/>
              </w:rPr>
            </w:pPr>
            <w:r w:rsidRPr="005C703B">
              <w:rPr>
                <w:b/>
                <w:bCs/>
              </w:rPr>
              <w:t xml:space="preserve">PICO </w:t>
            </w:r>
            <w:r>
              <w:rPr>
                <w:b/>
                <w:bCs/>
              </w:rPr>
              <w:t>bypass requested</w:t>
            </w:r>
          </w:p>
          <w:p w14:paraId="3BF3126F" w14:textId="77777777" w:rsidR="00E103B8" w:rsidRDefault="00E103B8" w:rsidP="00E103B8">
            <w:pPr>
              <w:pStyle w:val="Responsetext"/>
            </w:pPr>
            <w:r>
              <w:t>As MSAC and ESC have recently reviewed the use of MBGS stents during standalone glaucoma surgery, including review of devices inserted into the suprachoroidal space, it is proposed that the PICO process is bypassed.</w:t>
            </w:r>
          </w:p>
          <w:p w14:paraId="7716F980" w14:textId="7B114A3A" w:rsidR="00E103B8" w:rsidRDefault="00E103B8" w:rsidP="00E103B8">
            <w:pPr>
              <w:pStyle w:val="Responsetext"/>
            </w:pPr>
            <w:r>
              <w:t xml:space="preserve">This is supported by the following from the MSAC Public Summary Document (PSD) 1541 (August 2019; p. 17;) where </w:t>
            </w:r>
            <w:r w:rsidRPr="00FF2C1E">
              <w:t>“</w:t>
            </w:r>
            <w:r w:rsidRPr="005C4D57">
              <w:rPr>
                <w:i/>
                <w:iCs/>
              </w:rPr>
              <w:t>ESC noted that MBGS devices include a variety of implanted, minimally invasive ocular stents and scaffolds that are placed via a corneal incision into the trabecular meshwork (TB MBGS) or suprachoroidal space (SC MBGS) of the eye. The exact positioning of implantation is specific to each device. These devices aim to improve aqueous humour outflow and lower intraocular pressure, which in turn reduces the reliance on topical hypotensive medication.  ESC noted that although MBGS devices differ in design and manufacturer specifications, the complexity and resource burden of the implantation procedure is comparable.</w:t>
            </w:r>
            <w:r w:rsidRPr="00FF2C1E">
              <w:t>”</w:t>
            </w:r>
          </w:p>
          <w:p w14:paraId="3F760313" w14:textId="7DE3C395" w:rsidR="00E103B8" w:rsidRDefault="00E103B8" w:rsidP="00E103B8">
            <w:pPr>
              <w:pStyle w:val="Responsetext"/>
            </w:pPr>
            <w:r>
              <w:t>Hence the PICO has been informed by this prior standalone MGBS application.</w:t>
            </w:r>
          </w:p>
          <w:p w14:paraId="476E97CA" w14:textId="77777777" w:rsidR="00E103B8" w:rsidRPr="005C4D57" w:rsidRDefault="00E103B8" w:rsidP="00E103B8">
            <w:pPr>
              <w:pStyle w:val="Responsebold"/>
            </w:pPr>
            <w:r w:rsidRPr="005C4D57">
              <w:t>Population</w:t>
            </w:r>
          </w:p>
          <w:p w14:paraId="78C1F69F" w14:textId="37B36FE7" w:rsidR="00E103B8" w:rsidRDefault="00E103B8" w:rsidP="00E103B8">
            <w:pPr>
              <w:pStyle w:val="Responsetext"/>
            </w:pPr>
            <w:r>
              <w:t>An identical population to</w:t>
            </w:r>
            <w:r w:rsidR="003367A6">
              <w:t xml:space="preserve"> existing</w:t>
            </w:r>
            <w:r>
              <w:t xml:space="preserve"> item 42504 is proposed</w:t>
            </w:r>
            <w:r w:rsidR="00076566">
              <w:t xml:space="preserve">, allowing the </w:t>
            </w:r>
            <w:r>
              <w:t xml:space="preserve">MGBS </w:t>
            </w:r>
            <w:r w:rsidR="00B1013C">
              <w:t>device</w:t>
            </w:r>
            <w:r>
              <w:t xml:space="preserve"> </w:t>
            </w:r>
            <w:r w:rsidR="00076566">
              <w:t>to be inserted via</w:t>
            </w:r>
            <w:r>
              <w:t xml:space="preserve"> the suprachoroidal space (MINIject</w:t>
            </w:r>
            <w:r w:rsidR="00076566" w:rsidRPr="00041637">
              <w:rPr>
                <w:vertAlign w:val="superscript"/>
              </w:rPr>
              <w:sym w:font="Symbol" w:char="F0D2"/>
            </w:r>
            <w:r>
              <w:t xml:space="preserve"> insertion site) </w:t>
            </w:r>
            <w:r w:rsidR="00076566">
              <w:t xml:space="preserve">as an </w:t>
            </w:r>
            <w:r w:rsidR="00B1013C">
              <w:t xml:space="preserve">alternative </w:t>
            </w:r>
            <w:r w:rsidR="00076566">
              <w:t>option to insertion into the</w:t>
            </w:r>
            <w:r>
              <w:t xml:space="preserve"> trabecular meshwork.</w:t>
            </w:r>
          </w:p>
          <w:p w14:paraId="441F3496" w14:textId="77777777" w:rsidR="00E103B8" w:rsidRDefault="00E103B8" w:rsidP="00E103B8">
            <w:pPr>
              <w:pStyle w:val="Responsebold"/>
            </w:pPr>
            <w:r>
              <w:t>Intervention</w:t>
            </w:r>
          </w:p>
          <w:p w14:paraId="7C313E06" w14:textId="79D8C6DC" w:rsidR="00E103B8" w:rsidRDefault="00E103B8" w:rsidP="00E103B8">
            <w:pPr>
              <w:pStyle w:val="Responsetext"/>
            </w:pPr>
            <w:r>
              <w:t xml:space="preserve">MINIject is a MBGS </w:t>
            </w:r>
            <w:r w:rsidR="00B1013C">
              <w:t>device</w:t>
            </w:r>
            <w:r>
              <w:t xml:space="preserve"> inserted into the suprachoroidal space. Details of the device are provided, including key clinical and safety differences between MINIject and previously available </w:t>
            </w:r>
            <w:r w:rsidR="003367A6">
              <w:t>devices</w:t>
            </w:r>
            <w:r>
              <w:t xml:space="preserve"> inserted into the suprachoroidal space.</w:t>
            </w:r>
          </w:p>
          <w:p w14:paraId="08255CBA" w14:textId="77777777" w:rsidR="00E103B8" w:rsidRPr="008E5D7C" w:rsidRDefault="00E103B8" w:rsidP="00E103B8">
            <w:pPr>
              <w:pStyle w:val="Responsebold"/>
            </w:pPr>
            <w:r w:rsidRPr="008E5D7C">
              <w:t>Comparator</w:t>
            </w:r>
          </w:p>
          <w:p w14:paraId="1C62F874" w14:textId="5A736345" w:rsidR="00E103B8" w:rsidRDefault="00E103B8" w:rsidP="00E103B8">
            <w:pPr>
              <w:pStyle w:val="Responsetext"/>
            </w:pPr>
            <w:r>
              <w:t>The only key change from the PICO established for the standalone surgery devices inserted into the trabecular meshwork (item 42504</w:t>
            </w:r>
            <w:r w:rsidR="003367A6">
              <w:t>; PSD 1541</w:t>
            </w:r>
            <w:r>
              <w:t xml:space="preserve">) is choice of comparator. At that time, since standalone MBGS surgery did not have a valid MBS item, the comparator was </w:t>
            </w:r>
            <w:r w:rsidR="0072748D">
              <w:t>trabeculectomy</w:t>
            </w:r>
            <w:r>
              <w:t>. Since suprachoroidal MBGS surgery would replace the existing standalone MBGS where the stent system is inserted into the trabecular meshwork, this is now the comparator.</w:t>
            </w:r>
            <w:r w:rsidR="00B25C43">
              <w:t xml:space="preserve"> </w:t>
            </w:r>
            <w:r>
              <w:t>As iS</w:t>
            </w:r>
            <w:r w:rsidR="00926D1B">
              <w:t>tent</w:t>
            </w:r>
            <w:r>
              <w:t xml:space="preserve"> is the most used trans trabecular meshwork MBGS stent system used (with supporting data</w:t>
            </w:r>
            <w:r w:rsidR="00076566">
              <w:t>, including expert opinion,</w:t>
            </w:r>
            <w:r>
              <w:t xml:space="preserve"> provided in </w:t>
            </w:r>
            <w:r w:rsidR="00076566">
              <w:t xml:space="preserve">the </w:t>
            </w:r>
            <w:r>
              <w:t>comparator section) it is proposed that MBGS surgery using iS</w:t>
            </w:r>
            <w:r w:rsidR="00926D1B">
              <w:t>tent</w:t>
            </w:r>
            <w:r>
              <w:t xml:space="preserve"> is the comparator.</w:t>
            </w:r>
          </w:p>
          <w:p w14:paraId="1BE24C6A" w14:textId="77777777" w:rsidR="00E103B8" w:rsidRPr="005C703B" w:rsidRDefault="00E103B8" w:rsidP="00E103B8">
            <w:pPr>
              <w:pStyle w:val="Responsetext"/>
              <w:rPr>
                <w:b/>
                <w:bCs/>
              </w:rPr>
            </w:pPr>
            <w:r w:rsidRPr="005C703B">
              <w:rPr>
                <w:b/>
                <w:bCs/>
              </w:rPr>
              <w:t>Outcomes</w:t>
            </w:r>
          </w:p>
          <w:p w14:paraId="440A1F28" w14:textId="1017FA62" w:rsidR="00E103B8" w:rsidRDefault="00E103B8" w:rsidP="00041637">
            <w:pPr>
              <w:pStyle w:val="Responsetext"/>
              <w:rPr>
                <w:rFonts w:eastAsia="Segoe UI"/>
                <w:b/>
                <w:color w:val="000000"/>
                <w:sz w:val="32"/>
              </w:rPr>
            </w:pPr>
            <w:r>
              <w:t>Relevant clinical</w:t>
            </w:r>
            <w:r w:rsidR="003367A6">
              <w:t xml:space="preserve"> study</w:t>
            </w:r>
            <w:r>
              <w:t xml:space="preserve"> outcomes were established during the PSD 1541 (item 42504) process. As reduction in intraocular pressure </w:t>
            </w:r>
            <w:r w:rsidR="003367A6">
              <w:t xml:space="preserve">is </w:t>
            </w:r>
            <w:r>
              <w:t>the only known modifiable risk factor in glaucoma that is associated with improved outcomes and MGBS results in reduced IOP, change from baseline IOP is the key outcome for consideration</w:t>
            </w:r>
            <w:r w:rsidR="00076566">
              <w:t>, plus IOP-lowering medication use changes</w:t>
            </w:r>
            <w:r>
              <w:t>. Additionally, safety outcomes including adverse events and serious adverse events are recognised as important outcomes that would be reported for MINIject and comparator.</w:t>
            </w:r>
          </w:p>
        </w:tc>
      </w:tr>
    </w:tbl>
    <w:p w14:paraId="34C51A2F" w14:textId="77777777" w:rsidR="00E103B8" w:rsidRDefault="00E103B8" w:rsidP="00051843">
      <w:pPr>
        <w:rPr>
          <w:rFonts w:ascii="Segoe UI" w:eastAsia="Segoe UI" w:hAnsi="Segoe UI"/>
          <w:b/>
          <w:color w:val="000000"/>
          <w:sz w:val="32"/>
        </w:rPr>
      </w:pPr>
    </w:p>
    <w:p w14:paraId="5BEAFFDE" w14:textId="6BA14AC9" w:rsidR="00051843" w:rsidRDefault="00051843" w:rsidP="00051843">
      <w:pPr>
        <w:rPr>
          <w:rFonts w:ascii="Segoe UI" w:eastAsia="Segoe UI" w:hAnsi="Segoe UI"/>
          <w:b/>
          <w:color w:val="000000"/>
          <w:sz w:val="32"/>
        </w:rPr>
      </w:pPr>
      <w:r>
        <w:rPr>
          <w:rFonts w:ascii="Segoe UI" w:eastAsia="Segoe UI" w:hAnsi="Segoe UI"/>
          <w:b/>
          <w:color w:val="000000"/>
          <w:sz w:val="32"/>
        </w:rPr>
        <w:lastRenderedPageBreak/>
        <w:t>Population</w:t>
      </w:r>
    </w:p>
    <w:p w14:paraId="6166CFB9" w14:textId="77777777" w:rsidR="00051843" w:rsidRDefault="00051843" w:rsidP="00051843">
      <w:pPr>
        <w:spacing w:after="0" w:line="240" w:lineRule="auto"/>
        <w:rPr>
          <w:rFonts w:ascii="Segoe UI" w:eastAsia="Segoe UI" w:hAnsi="Segoe UI"/>
          <w:b/>
          <w:color w:val="000000"/>
          <w:sz w:val="22"/>
        </w:rPr>
      </w:pPr>
      <w:r>
        <w:rPr>
          <w:rFonts w:ascii="Segoe UI" w:eastAsia="Segoe UI" w:hAnsi="Segoe UI"/>
          <w:b/>
          <w:color w:val="000000"/>
          <w:sz w:val="22"/>
        </w:rPr>
        <w:t>Describe the population in which the proposed health technology is intended to be used:</w:t>
      </w:r>
    </w:p>
    <w:p w14:paraId="403BD183" w14:textId="77777777" w:rsidR="00051843" w:rsidRDefault="00051843" w:rsidP="00051843">
      <w:pPr>
        <w:spacing w:after="0" w:line="240" w:lineRule="auto"/>
        <w:rPr>
          <w:rFonts w:ascii="Segoe UI" w:eastAsia="Segoe UI" w:hAnsi="Segoe UI"/>
          <w:b/>
          <w:color w:val="000000"/>
          <w:sz w:val="22"/>
        </w:rPr>
      </w:pPr>
    </w:p>
    <w:p w14:paraId="20F6E402" w14:textId="0B5AC8CC" w:rsidR="002F64F4" w:rsidRPr="002F64F4" w:rsidRDefault="002F64F4" w:rsidP="003102B4">
      <w:pPr>
        <w:pStyle w:val="Responsetext"/>
      </w:pPr>
      <w:r>
        <w:t>Patients with g</w:t>
      </w:r>
      <w:r w:rsidRPr="002F64F4">
        <w:t>laucoma</w:t>
      </w:r>
      <w:r>
        <w:t xml:space="preserve"> requiring</w:t>
      </w:r>
      <w:r w:rsidRPr="002F64F4">
        <w:t xml:space="preserve"> implantation of a micro-bypass surgery</w:t>
      </w:r>
      <w:r>
        <w:t xml:space="preserve"> (MBGS)</w:t>
      </w:r>
      <w:r w:rsidRPr="002F64F4">
        <w:t xml:space="preserve"> stent system into the </w:t>
      </w:r>
      <w:r>
        <w:t>suprachoroidal space</w:t>
      </w:r>
      <w:r w:rsidRPr="002F64F4">
        <w:t>, if:</w:t>
      </w:r>
    </w:p>
    <w:p w14:paraId="234AC5EC" w14:textId="77777777" w:rsidR="002F64F4" w:rsidRPr="002F64F4" w:rsidRDefault="002F64F4" w:rsidP="003102B4">
      <w:pPr>
        <w:pStyle w:val="Responsetext"/>
      </w:pPr>
      <w:r w:rsidRPr="002F64F4">
        <w:t>(a) conservative therapies have failed, are likely to fail, or are contraindicated; and</w:t>
      </w:r>
    </w:p>
    <w:p w14:paraId="4D033191" w14:textId="07278A64" w:rsidR="00051843" w:rsidRDefault="002F64F4" w:rsidP="003102B4">
      <w:pPr>
        <w:pStyle w:val="Responsetext"/>
      </w:pPr>
      <w:r w:rsidRPr="002F64F4">
        <w:t>(b) the service is performed by a specialist with training that is recognised by the Conjoint Committee for the Recognition of Training in Micro-Bypass Glaucoma Surgery</w:t>
      </w:r>
    </w:p>
    <w:p w14:paraId="73605C00" w14:textId="77777777" w:rsidR="002F64F4" w:rsidRDefault="002F64F4" w:rsidP="00AE6358">
      <w:pPr>
        <w:pStyle w:val="Responsetext"/>
        <w:spacing w:after="0"/>
      </w:pPr>
    </w:p>
    <w:p w14:paraId="76B62ED1" w14:textId="4C30671B" w:rsidR="002F6385" w:rsidRDefault="00E74BA7" w:rsidP="002F6385">
      <w:pPr>
        <w:pStyle w:val="Responsetext"/>
      </w:pPr>
      <w:r>
        <w:t>For the purpose of this application, t</w:t>
      </w:r>
      <w:r w:rsidR="002F6385">
        <w:t>he population does not include patients requiring concomitant cataract surgery.</w:t>
      </w:r>
      <w:r w:rsidR="00A47364">
        <w:t xml:space="preserve"> This population is already address in MBS code 42705.</w:t>
      </w:r>
    </w:p>
    <w:p w14:paraId="05894EF9" w14:textId="77777777" w:rsidR="00961CD2" w:rsidRDefault="00961CD2" w:rsidP="002F64F4">
      <w:pPr>
        <w:spacing w:after="0" w:line="240" w:lineRule="auto"/>
        <w:rPr>
          <w:rFonts w:ascii="Segoe UI" w:eastAsia="Segoe UI" w:hAnsi="Segoe UI"/>
          <w:b/>
          <w:color w:val="000000"/>
          <w:sz w:val="22"/>
        </w:rPr>
      </w:pPr>
    </w:p>
    <w:p w14:paraId="0E9168DC" w14:textId="77777777" w:rsidR="00051843" w:rsidRDefault="00051843" w:rsidP="00051843">
      <w:pPr>
        <w:spacing w:after="0" w:line="240" w:lineRule="auto"/>
        <w:rPr>
          <w:rFonts w:ascii="Segoe UI" w:eastAsia="Segoe UI" w:hAnsi="Segoe UI"/>
          <w:b/>
          <w:color w:val="000000"/>
          <w:sz w:val="22"/>
        </w:rPr>
      </w:pPr>
      <w:r>
        <w:rPr>
          <w:rFonts w:ascii="Segoe UI" w:eastAsia="Segoe UI" w:hAnsi="Segoe UI"/>
          <w:b/>
          <w:color w:val="000000"/>
          <w:sz w:val="22"/>
        </w:rPr>
        <w:t>Specify any characteristics of patients with the medical condition, or suspected of, who are proposed to be eligible for the proposed health technology, describing how a patient would be investigated, managed and referred within the Australian health care system in the lead up to being considered eligible for the technology:</w:t>
      </w:r>
    </w:p>
    <w:p w14:paraId="7B7089F3" w14:textId="77777777" w:rsidR="00051843" w:rsidRDefault="00051843" w:rsidP="00051843">
      <w:pPr>
        <w:spacing w:after="0" w:line="240" w:lineRule="auto"/>
        <w:rPr>
          <w:rFonts w:ascii="Segoe UI" w:eastAsia="Segoe UI" w:hAnsi="Segoe UI"/>
          <w:b/>
          <w:color w:val="000000"/>
          <w:sz w:val="22"/>
        </w:rPr>
      </w:pPr>
    </w:p>
    <w:p w14:paraId="27691ACD" w14:textId="5278C147" w:rsidR="00051843" w:rsidRDefault="0033723A" w:rsidP="00961CD2">
      <w:pPr>
        <w:pStyle w:val="Responsetext"/>
      </w:pPr>
      <w:r>
        <w:t>Patients with glaucoma are usually identified by their optometrist</w:t>
      </w:r>
      <w:r w:rsidR="00453E2F">
        <w:t xml:space="preserve"> during routine eye examinations. </w:t>
      </w:r>
      <w:r w:rsidR="00961CD2">
        <w:t xml:space="preserve">The Royal Australian and New Zealand College of Ophthalmologists (RANZCO) recommend that all patients with ‘high suspicion’ suspected glaucoma or definite glaucoma are referred to an ophthalmologist for development of a collaborative care plan between the optometrist and ophthalmologist, or in the case of advanced or acute glaucoma, for management specifically by the ophthalmologist according to the RANZCO referral pathway available at </w:t>
      </w:r>
      <w:hyperlink r:id="rId11" w:history="1">
        <w:r w:rsidR="00961CD2" w:rsidRPr="004006B4">
          <w:rPr>
            <w:rStyle w:val="Hyperlink"/>
          </w:rPr>
          <w:t>https://ranzco.edu/wp-content/uploads/2019/06/RANZCO-Referral-pathway-for-Glaucoma-management-1.pdf</w:t>
        </w:r>
      </w:hyperlink>
      <w:r w:rsidR="00961CD2">
        <w:t>.</w:t>
      </w:r>
    </w:p>
    <w:p w14:paraId="08C98C12" w14:textId="0452BD92" w:rsidR="002F6385" w:rsidRDefault="00961CD2" w:rsidP="00961CD2">
      <w:pPr>
        <w:pStyle w:val="Responsetext"/>
      </w:pPr>
      <w:r>
        <w:t xml:space="preserve">Patients with glaucoma are assessed for use of conservative therapies including topical hypotensive medication, oral systemic medication or laser trabeculoplasty, with therapy assessed on an ongoing basis. </w:t>
      </w:r>
      <w:r w:rsidR="002F6385">
        <w:t>I</w:t>
      </w:r>
      <w:r w:rsidR="002F6385" w:rsidRPr="002F6385">
        <w:t>f intraocular pressure control can be established with adherence to well tolerated topical medications or with laser trabeculoplasty then stand-alone incisional glaucoma surgery should generally be deferred</w:t>
      </w:r>
      <w:r w:rsidR="002F6385">
        <w:t xml:space="preserve"> </w:t>
      </w:r>
      <w:r w:rsidR="002F6385">
        <w:fldChar w:fldCharType="begin"/>
      </w:r>
      <w:r w:rsidR="002F6385">
        <w:instrText xml:space="preserve"> ADDIN EN.CITE &lt;EndNote&gt;&lt;Cite&gt;&lt;Author&gt;RANZCO&lt;/Author&gt;&lt;Year&gt;2020&lt;/Year&gt;&lt;RecNum&gt;3&lt;/RecNum&gt;&lt;DisplayText&gt;(RANZCO 2020b)&lt;/DisplayText&gt;&lt;record&gt;&lt;rec-number&gt;3&lt;/rec-number&gt;&lt;foreign-keys&gt;&lt;key app="EN" db-id="0tfze2xwopafsxerxxip50rgeept0fs2fwvx" timestamp="1689471660"&gt;3&lt;/key&gt;&lt;/foreign-keys&gt;&lt;ref-type name="Web Page"&gt;12&lt;/ref-type&gt;&lt;contributors&gt;&lt;authors&gt;&lt;author&gt;RANZCO,&lt;/author&gt;&lt;/authors&gt;&lt;/contributors&gt;&lt;titles&gt;&lt;title&gt;The Royal Australian and New Zealand College of Ophthalmologists. Guidelines for the Use of Trabecular Micro-bypass Glaucoma Stents (MBGS)&lt;/title&gt;&lt;/titles&gt;&lt;section&gt;1 February 2020&lt;/section&gt;&lt;dates&gt;&lt;year&gt;2020&lt;/year&gt;&lt;/dates&gt;&lt;pub-location&gt;https://ranzco.edu/wp-content/uploads/2020/05/RANZCO-Guidelines-for-the-Use-of-Trabecular-Micro-bypass-Glaucoma-Stents-MBGS-002.pdf&lt;/pub-location&gt;&lt;publisher&gt;The Royal Australian and New Zealand College of Ophthalmologists&lt;/publisher&gt;&lt;urls&gt;&lt;related-urls&gt;&lt;url&gt;https://ranzco.edu/wp-content/uploads/2020/05/RANZCO-Guidelines-for-the-Use-of-Trabecular-Micro-bypass-Glaucoma-Stents-MBGS-002.pdf&lt;/url&gt;&lt;/related-urls&gt;&lt;/urls&gt;&lt;/record&gt;&lt;/Cite&gt;&lt;/EndNote&gt;</w:instrText>
      </w:r>
      <w:r w:rsidR="002F6385">
        <w:fldChar w:fldCharType="separate"/>
      </w:r>
      <w:r w:rsidR="002F6385">
        <w:rPr>
          <w:noProof/>
        </w:rPr>
        <w:t>(RANZCO 2020b)</w:t>
      </w:r>
      <w:r w:rsidR="002F6385">
        <w:fldChar w:fldCharType="end"/>
      </w:r>
      <w:r w:rsidR="002F6385" w:rsidRPr="002F6385">
        <w:t>.</w:t>
      </w:r>
    </w:p>
    <w:p w14:paraId="7AED101D" w14:textId="6A815AAB" w:rsidR="00961CD2" w:rsidRPr="00961CD2" w:rsidRDefault="00961CD2" w:rsidP="00961CD2">
      <w:pPr>
        <w:pStyle w:val="Responsetext"/>
      </w:pPr>
      <w:r>
        <w:t>Once these conservative therapies have failed or are intolerable, patients can be considered for more intensive interventions which may include MBGS stent implantation</w:t>
      </w:r>
      <w:r w:rsidR="002F6385">
        <w:t xml:space="preserve"> or a glaucoma filtering operation</w:t>
      </w:r>
      <w:r>
        <w:t xml:space="preserve"> </w:t>
      </w:r>
      <w:r w:rsidR="002F6385">
        <w:fldChar w:fldCharType="begin"/>
      </w:r>
      <w:r w:rsidR="002F6385">
        <w:instrText xml:space="preserve"> ADDIN EN.CITE &lt;EndNote&gt;&lt;Cite&gt;&lt;Author&gt;RANZCO&lt;/Author&gt;&lt;Year&gt;2020&lt;/Year&gt;&lt;RecNum&gt;3&lt;/RecNum&gt;&lt;DisplayText&gt;(RANZCO 2020b)&lt;/DisplayText&gt;&lt;record&gt;&lt;rec-number&gt;3&lt;/rec-number&gt;&lt;foreign-keys&gt;&lt;key app="EN" db-id="0tfze2xwopafsxerxxip50rgeept0fs2fwvx" timestamp="1689471660"&gt;3&lt;/key&gt;&lt;/foreign-keys&gt;&lt;ref-type name="Web Page"&gt;12&lt;/ref-type&gt;&lt;contributors&gt;&lt;authors&gt;&lt;author&gt;RANZCO,&lt;/author&gt;&lt;/authors&gt;&lt;/contributors&gt;&lt;titles&gt;&lt;title&gt;The Royal Australian and New Zealand College of Ophthalmologists. Guidelines for the Use of Trabecular Micro-bypass Glaucoma Stents (MBGS)&lt;/title&gt;&lt;/titles&gt;&lt;section&gt;1 February 2020&lt;/section&gt;&lt;dates&gt;&lt;year&gt;2020&lt;/year&gt;&lt;/dates&gt;&lt;pub-location&gt;https://ranzco.edu/wp-content/uploads/2020/05/RANZCO-Guidelines-for-the-Use-of-Trabecular-Micro-bypass-Glaucoma-Stents-MBGS-002.pdf&lt;/pub-location&gt;&lt;publisher&gt;The Royal Australian and New Zealand College of Ophthalmologists&lt;/publisher&gt;&lt;urls&gt;&lt;related-urls&gt;&lt;url&gt;https://ranzco.edu/wp-content/uploads/2020/05/RANZCO-Guidelines-for-the-Use-of-Trabecular-Micro-bypass-Glaucoma-Stents-MBGS-002.pdf&lt;/url&gt;&lt;/related-urls&gt;&lt;/urls&gt;&lt;/record&gt;&lt;/Cite&gt;&lt;/EndNote&gt;</w:instrText>
      </w:r>
      <w:r w:rsidR="002F6385">
        <w:fldChar w:fldCharType="separate"/>
      </w:r>
      <w:r w:rsidR="002F6385">
        <w:rPr>
          <w:noProof/>
        </w:rPr>
        <w:t>(RANZCO 2020b)</w:t>
      </w:r>
      <w:r w:rsidR="002F6385">
        <w:fldChar w:fldCharType="end"/>
      </w:r>
      <w:r>
        <w:t xml:space="preserve">. The current treatment algorithm for open angle glaucoma (OAG) is </w:t>
      </w:r>
      <w:r w:rsidRPr="00961CD2">
        <w:t xml:space="preserve">provided in </w:t>
      </w:r>
      <w:r w:rsidRPr="00961CD2">
        <w:fldChar w:fldCharType="begin"/>
      </w:r>
      <w:r w:rsidRPr="00961CD2">
        <w:instrText xml:space="preserve"> REF _Ref140411062 \h </w:instrText>
      </w:r>
      <w:r>
        <w:instrText xml:space="preserve"> \* MERGEFORMAT </w:instrText>
      </w:r>
      <w:r w:rsidRPr="00961CD2">
        <w:fldChar w:fldCharType="separate"/>
      </w:r>
      <w:r w:rsidR="00976372" w:rsidRPr="00AE474C">
        <w:t xml:space="preserve">Figure </w:t>
      </w:r>
      <w:r w:rsidR="00976372">
        <w:t>1</w:t>
      </w:r>
      <w:r w:rsidRPr="00961CD2">
        <w:fldChar w:fldCharType="end"/>
      </w:r>
      <w:r w:rsidRPr="00961CD2">
        <w:t>.</w:t>
      </w:r>
    </w:p>
    <w:p w14:paraId="0635F721" w14:textId="77777777" w:rsidR="00051843" w:rsidRDefault="00051843" w:rsidP="00051843">
      <w:pPr>
        <w:spacing w:after="0" w:line="240" w:lineRule="auto"/>
        <w:rPr>
          <w:rFonts w:ascii="Segoe UI" w:eastAsia="Segoe UI" w:hAnsi="Segoe UI"/>
          <w:b/>
          <w:color w:val="000000"/>
          <w:sz w:val="22"/>
        </w:rPr>
      </w:pPr>
    </w:p>
    <w:p w14:paraId="5F56597E" w14:textId="77777777" w:rsidR="00051843" w:rsidRDefault="00051843" w:rsidP="00051843">
      <w:pPr>
        <w:spacing w:after="0" w:line="240" w:lineRule="auto"/>
        <w:rPr>
          <w:rFonts w:ascii="Segoe UI" w:eastAsia="Segoe UI" w:hAnsi="Segoe UI"/>
          <w:b/>
          <w:color w:val="000000"/>
          <w:sz w:val="22"/>
        </w:rPr>
      </w:pPr>
      <w:r>
        <w:rPr>
          <w:rFonts w:ascii="Segoe UI" w:eastAsia="Segoe UI" w:hAnsi="Segoe UI"/>
          <w:b/>
          <w:color w:val="000000"/>
          <w:sz w:val="22"/>
        </w:rPr>
        <w:t>Provide a rationale for the specifics of the eligible population:</w:t>
      </w:r>
    </w:p>
    <w:p w14:paraId="0EB432EF" w14:textId="77777777" w:rsidR="00051843" w:rsidRDefault="00051843" w:rsidP="00051843">
      <w:pPr>
        <w:spacing w:after="0" w:line="240" w:lineRule="auto"/>
        <w:rPr>
          <w:rFonts w:ascii="Segoe UI" w:eastAsia="Segoe UI" w:hAnsi="Segoe UI"/>
          <w:b/>
          <w:color w:val="000000"/>
          <w:sz w:val="22"/>
        </w:rPr>
      </w:pPr>
    </w:p>
    <w:p w14:paraId="3212AD7A" w14:textId="00766A9A" w:rsidR="00051843" w:rsidRDefault="002F64F4" w:rsidP="003102B4">
      <w:pPr>
        <w:pStyle w:val="Responsetext"/>
      </w:pPr>
      <w:r>
        <w:t>The patient population is consistent with the existing MBS item 42504 that allows</w:t>
      </w:r>
      <w:r w:rsidR="00A9247E">
        <w:t xml:space="preserve"> the insertion of a glaucoma drainage implant during MBGS via the </w:t>
      </w:r>
      <w:r>
        <w:t>trabecular meshwork.</w:t>
      </w:r>
      <w:r w:rsidR="00A9247E">
        <w:t xml:space="preserve"> As MINIject is inserted via the suprachoroidal (supraciliary) space, rather than the trabecular meshwork</w:t>
      </w:r>
      <w:r w:rsidR="001428E8">
        <w:t>,</w:t>
      </w:r>
      <w:r w:rsidR="00A9247E">
        <w:t xml:space="preserve"> this change is requested. No other change to the eligible population for MBS item 42504 is proposed.</w:t>
      </w:r>
    </w:p>
    <w:p w14:paraId="61CF620B" w14:textId="33F82F4D" w:rsidR="00B1021E" w:rsidRPr="00FF2C1E" w:rsidRDefault="00B1021E" w:rsidP="00B1021E">
      <w:pPr>
        <w:pStyle w:val="Responsetext"/>
      </w:pPr>
      <w:r>
        <w:t xml:space="preserve">It should be noted that it should be noted that in the PSD 1541 (p. 17, August 2019) that recommended a standalone MBGS surgery item </w:t>
      </w:r>
      <w:r w:rsidRPr="00FF2C1E">
        <w:t>“</w:t>
      </w:r>
      <w:r w:rsidRPr="005C703B">
        <w:rPr>
          <w:i/>
          <w:iCs/>
        </w:rPr>
        <w:t xml:space="preserve">ESC noted that MBGS devices include a variety of </w:t>
      </w:r>
      <w:r w:rsidRPr="005C703B">
        <w:rPr>
          <w:i/>
          <w:iCs/>
        </w:rPr>
        <w:lastRenderedPageBreak/>
        <w:t>implanted, minimally invasive ocular stents and scaffolds that are placed via a corneal incision into the trabecular meshwork (TB MBGS) or suprachoroidal space (SC MBGS) of the eye. The exact positioning of implantation is specific to each device. These devices aim to improve aqueous humour outflow and lower intraocular pressure, which in turn reduces the reliance on topical hypotensive medication.  ESC noted that although MBGS devices differ in design and manufacturer specifications, the complexity and resource burden of the implantation procedure is comparable.</w:t>
      </w:r>
      <w:r w:rsidRPr="00FF2C1E">
        <w:t>”</w:t>
      </w:r>
    </w:p>
    <w:p w14:paraId="6BF13183" w14:textId="77777777" w:rsidR="00B1021E" w:rsidRDefault="00B1021E" w:rsidP="00B1021E">
      <w:pPr>
        <w:pStyle w:val="Responsetext"/>
      </w:pPr>
      <w:r>
        <w:t>It was also noted that:</w:t>
      </w:r>
    </w:p>
    <w:p w14:paraId="1F054F8D" w14:textId="77777777" w:rsidR="00B1021E" w:rsidRDefault="00B1021E" w:rsidP="00B1021E">
      <w:pPr>
        <w:pStyle w:val="Responsetext"/>
      </w:pPr>
      <w:r w:rsidRPr="00FF2C1E">
        <w:t>“</w:t>
      </w:r>
      <w:r w:rsidRPr="005C703B">
        <w:rPr>
          <w:i/>
          <w:iCs/>
        </w:rPr>
        <w:t>ESC recalled that MSAC previously accepted that the two types of MBGS devices are comparable and should be covered under one MBS item in the cataract surgery setting</w:t>
      </w:r>
      <w:r w:rsidRPr="00FF2C1E">
        <w:t>.”</w:t>
      </w:r>
      <w:r>
        <w:t xml:space="preserve"> (MSAC PSD 1541 p. 17, August 2019)</w:t>
      </w:r>
    </w:p>
    <w:p w14:paraId="29C98980" w14:textId="77777777" w:rsidR="00B1021E" w:rsidRPr="00FF2C1E" w:rsidRDefault="00B1021E" w:rsidP="00B1021E">
      <w:pPr>
        <w:pStyle w:val="Responsetext"/>
      </w:pPr>
      <w:r>
        <w:t>Hence the proposed MBGS standalone population proposed has already been assessed as being suitable for devices inserted into the suprachoroidal space, which is the site of MINIject insertion.</w:t>
      </w:r>
    </w:p>
    <w:p w14:paraId="1195F312" w14:textId="77777777" w:rsidR="00051843" w:rsidRPr="00BE6B22" w:rsidRDefault="00051843" w:rsidP="00051843">
      <w:pPr>
        <w:spacing w:after="0" w:line="240" w:lineRule="auto"/>
        <w:rPr>
          <w:rFonts w:asciiTheme="minorHAnsi" w:eastAsia="Segoe UI" w:hAnsiTheme="minorHAnsi" w:cstheme="minorHAnsi"/>
          <w:color w:val="000000"/>
          <w:sz w:val="22"/>
          <w:szCs w:val="22"/>
        </w:rPr>
      </w:pPr>
    </w:p>
    <w:p w14:paraId="409AB389" w14:textId="5246070F" w:rsidR="00051843" w:rsidRDefault="00051843" w:rsidP="00051843">
      <w:pPr>
        <w:rPr>
          <w:rFonts w:ascii="Segoe UI" w:eastAsia="Segoe UI" w:hAnsi="Segoe UI"/>
          <w:bCs/>
          <w:color w:val="000000"/>
          <w:sz w:val="22"/>
        </w:rPr>
      </w:pPr>
      <w:r>
        <w:rPr>
          <w:rFonts w:ascii="Segoe UI" w:eastAsia="Segoe UI" w:hAnsi="Segoe UI"/>
          <w:b/>
          <w:color w:val="000000"/>
          <w:sz w:val="22"/>
        </w:rPr>
        <w:t xml:space="preserve">Are there any prerequisite tests? </w:t>
      </w:r>
    </w:p>
    <w:p w14:paraId="09E658E1" w14:textId="6389B093" w:rsidR="00051843" w:rsidRPr="0073306C" w:rsidRDefault="00051843" w:rsidP="00730CAD">
      <w:pPr>
        <w:spacing w:after="0" w:line="240" w:lineRule="auto"/>
        <w:rPr>
          <w:rFonts w:ascii="Segoe UI" w:eastAsia="Segoe UI" w:hAnsi="Segoe UI"/>
          <w:b/>
          <w:color w:val="000000"/>
          <w:sz w:val="22"/>
        </w:rPr>
      </w:pPr>
      <w:r w:rsidRPr="0073306C">
        <w:rPr>
          <w:rFonts w:ascii="Segoe UI" w:eastAsia="Segoe UI" w:hAnsi="Segoe UI"/>
          <w:b/>
          <w:color w:val="000000"/>
          <w:sz w:val="22"/>
        </w:rPr>
        <w:t>Yes</w:t>
      </w:r>
      <w:r w:rsidRPr="0073306C">
        <w:rPr>
          <w:rFonts w:ascii="Segoe UI" w:eastAsia="Segoe UI" w:hAnsi="Segoe UI"/>
          <w:b/>
          <w:color w:val="000000"/>
          <w:sz w:val="22"/>
        </w:rPr>
        <w:tab/>
      </w:r>
      <w:r w:rsidRPr="0073306C">
        <w:rPr>
          <w:rFonts w:ascii="Segoe UI" w:eastAsia="Segoe UI" w:hAnsi="Segoe UI"/>
          <w:b/>
          <w:color w:val="000000"/>
          <w:sz w:val="22"/>
        </w:rPr>
        <w:tab/>
      </w:r>
    </w:p>
    <w:p w14:paraId="64EC5580" w14:textId="77777777" w:rsidR="00051843" w:rsidRDefault="00051843" w:rsidP="00051843">
      <w:pPr>
        <w:rPr>
          <w:rFonts w:ascii="Segoe UI" w:eastAsia="Segoe UI" w:hAnsi="Segoe UI"/>
          <w:bCs/>
          <w:color w:val="000000"/>
          <w:sz w:val="22"/>
        </w:rPr>
      </w:pPr>
    </w:p>
    <w:p w14:paraId="5D615C11" w14:textId="5DE713DE" w:rsidR="00051843" w:rsidRPr="00DF2D79" w:rsidRDefault="00051843" w:rsidP="0073306C">
      <w:pPr>
        <w:rPr>
          <w:rFonts w:ascii="Segoe UI" w:eastAsia="Segoe UI" w:hAnsi="Segoe UI"/>
          <w:bCs/>
          <w:color w:val="000000"/>
          <w:sz w:val="22"/>
        </w:rPr>
      </w:pPr>
      <w:r>
        <w:rPr>
          <w:rFonts w:ascii="Segoe UI" w:eastAsia="Segoe UI" w:hAnsi="Segoe UI"/>
          <w:b/>
          <w:color w:val="000000"/>
          <w:sz w:val="22"/>
        </w:rPr>
        <w:t xml:space="preserve">Are the prerequisite tests MBS funded? </w:t>
      </w:r>
    </w:p>
    <w:p w14:paraId="7B15CE91" w14:textId="54CAA7DB" w:rsidR="00051843" w:rsidRPr="0073306C" w:rsidRDefault="0073306C" w:rsidP="00051843">
      <w:pPr>
        <w:rPr>
          <w:b/>
          <w:bCs/>
        </w:rPr>
      </w:pPr>
      <w:r w:rsidRPr="0073306C">
        <w:rPr>
          <w:rFonts w:ascii="Segoe UI" w:eastAsia="Segoe UI" w:hAnsi="Segoe UI"/>
          <w:b/>
          <w:color w:val="000000"/>
          <w:sz w:val="22"/>
        </w:rPr>
        <w:t>Yes</w:t>
      </w:r>
    </w:p>
    <w:p w14:paraId="0EA27B14" w14:textId="0F2BEA3A" w:rsidR="00051843" w:rsidRDefault="00051843" w:rsidP="00051843">
      <w:pPr>
        <w:spacing w:after="0" w:line="240" w:lineRule="auto"/>
        <w:rPr>
          <w:rFonts w:ascii="Segoe UI" w:eastAsia="Segoe UI" w:hAnsi="Segoe UI"/>
          <w:b/>
          <w:color w:val="000000"/>
          <w:sz w:val="22"/>
        </w:rPr>
      </w:pPr>
      <w:r>
        <w:rPr>
          <w:rFonts w:ascii="Segoe UI" w:eastAsia="Segoe UI" w:hAnsi="Segoe UI"/>
          <w:b/>
          <w:color w:val="000000"/>
          <w:sz w:val="22"/>
        </w:rPr>
        <w:t>Please provide details to fund the prerequisite tests:</w:t>
      </w:r>
    </w:p>
    <w:p w14:paraId="0A585F0C" w14:textId="77777777" w:rsidR="00051843" w:rsidRDefault="00051843" w:rsidP="00051843">
      <w:pPr>
        <w:spacing w:after="0" w:line="240" w:lineRule="auto"/>
        <w:rPr>
          <w:rFonts w:ascii="Segoe UI" w:eastAsia="Segoe UI" w:hAnsi="Segoe UI"/>
          <w:b/>
          <w:color w:val="000000"/>
          <w:sz w:val="22"/>
        </w:rPr>
      </w:pPr>
    </w:p>
    <w:p w14:paraId="7B430C59" w14:textId="61480BEE" w:rsidR="00051843" w:rsidRDefault="00051843" w:rsidP="00051843">
      <w:pPr>
        <w:spacing w:after="0" w:line="240" w:lineRule="auto"/>
        <w:rPr>
          <w:rFonts w:asciiTheme="minorHAnsi" w:eastAsia="Segoe UI" w:hAnsiTheme="minorHAnsi" w:cstheme="minorHAnsi"/>
          <w:color w:val="000000"/>
          <w:sz w:val="22"/>
          <w:szCs w:val="22"/>
        </w:rPr>
      </w:pPr>
      <w:r>
        <w:rPr>
          <w:rFonts w:ascii="Segoe UI" w:hAnsi="Segoe UI" w:cs="Segoe UI"/>
          <w:sz w:val="22"/>
          <w:szCs w:val="22"/>
        </w:rPr>
        <w:fldChar w:fldCharType="begin">
          <w:ffData>
            <w:name w:val=""/>
            <w:enabled/>
            <w:calcOnExit w:val="0"/>
            <w:textInput>
              <w:default w:val="Provide a response if you answered 'No' to the question above"/>
            </w:textInput>
          </w:ffData>
        </w:fldChar>
      </w:r>
      <w:r>
        <w:rPr>
          <w:rFonts w:ascii="Segoe UI" w:hAnsi="Segoe UI" w:cs="Segoe UI"/>
          <w:sz w:val="22"/>
          <w:szCs w:val="22"/>
        </w:rPr>
        <w:instrText xml:space="preserve"> FORMTEXT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noProof/>
          <w:sz w:val="22"/>
          <w:szCs w:val="22"/>
        </w:rPr>
        <w:t>Provide a response if you answered 'No' to the question above</w:t>
      </w:r>
      <w:r>
        <w:rPr>
          <w:rFonts w:ascii="Segoe UI" w:hAnsi="Segoe UI" w:cs="Segoe UI"/>
          <w:sz w:val="22"/>
          <w:szCs w:val="22"/>
        </w:rPr>
        <w:fldChar w:fldCharType="end"/>
      </w:r>
    </w:p>
    <w:p w14:paraId="58FB847B" w14:textId="77777777" w:rsidR="00D32DD1" w:rsidRDefault="00D32DD1" w:rsidP="00051843"/>
    <w:p w14:paraId="730114B1" w14:textId="17224D17" w:rsidR="00280050" w:rsidRDefault="00051843">
      <w:pPr>
        <w:rPr>
          <w:rFonts w:ascii="Segoe UI" w:eastAsia="Segoe UI" w:hAnsi="Segoe UI"/>
          <w:b/>
          <w:color w:val="000000"/>
          <w:sz w:val="32"/>
        </w:rPr>
      </w:pPr>
      <w:r>
        <w:rPr>
          <w:rFonts w:ascii="Segoe UI" w:eastAsia="Segoe UI" w:hAnsi="Segoe UI"/>
          <w:b/>
          <w:color w:val="000000"/>
          <w:sz w:val="32"/>
        </w:rPr>
        <w:t>Intervention</w:t>
      </w:r>
    </w:p>
    <w:p w14:paraId="14667EFE" w14:textId="3F80E52D" w:rsidR="00BE6B22" w:rsidRDefault="00665487" w:rsidP="00BE6B22">
      <w:pPr>
        <w:spacing w:after="0" w:line="240" w:lineRule="auto"/>
        <w:rPr>
          <w:rFonts w:ascii="Segoe UI" w:eastAsia="Segoe UI" w:hAnsi="Segoe UI"/>
          <w:b/>
          <w:color w:val="000000"/>
          <w:sz w:val="22"/>
        </w:rPr>
      </w:pPr>
      <w:r w:rsidRPr="00B15CDF">
        <w:rPr>
          <w:rFonts w:ascii="Segoe UI" w:eastAsia="Segoe UI" w:hAnsi="Segoe UI"/>
          <w:b/>
          <w:color w:val="000000"/>
          <w:sz w:val="22"/>
        </w:rPr>
        <w:t>Name of the proposed health technology:</w:t>
      </w:r>
    </w:p>
    <w:p w14:paraId="4EE4D8C5" w14:textId="77777777" w:rsidR="00665487" w:rsidRDefault="00665487" w:rsidP="00BE6B22">
      <w:pPr>
        <w:spacing w:after="0" w:line="240" w:lineRule="auto"/>
        <w:rPr>
          <w:rFonts w:ascii="Segoe UI" w:eastAsia="Segoe UI" w:hAnsi="Segoe UI"/>
          <w:b/>
          <w:color w:val="000000"/>
          <w:sz w:val="22"/>
        </w:rPr>
      </w:pPr>
    </w:p>
    <w:p w14:paraId="39FF5A69" w14:textId="433FE3AA" w:rsidR="00BE6B22" w:rsidRDefault="00A9247E" w:rsidP="0040465F">
      <w:pPr>
        <w:pStyle w:val="Responsetext"/>
      </w:pPr>
      <w:r>
        <w:t>The proposed health technology is the MINIject</w:t>
      </w:r>
      <w:r w:rsidRPr="00A9247E">
        <w:rPr>
          <w:vertAlign w:val="superscript"/>
        </w:rPr>
        <w:sym w:font="Symbol" w:char="F0D2"/>
      </w:r>
      <w:r>
        <w:t xml:space="preserve"> micro-bypass </w:t>
      </w:r>
      <w:r w:rsidR="0040465F">
        <w:t xml:space="preserve">surgery </w:t>
      </w:r>
      <w:r w:rsidR="00AA35E4">
        <w:t>device</w:t>
      </w:r>
      <w:r w:rsidR="000E3E4D">
        <w:t>, which</w:t>
      </w:r>
      <w:r w:rsidR="0015110D">
        <w:t xml:space="preserve"> </w:t>
      </w:r>
      <w:r w:rsidR="008F56AC">
        <w:t xml:space="preserve">is </w:t>
      </w:r>
      <w:r w:rsidR="0040465F">
        <w:t>inserted</w:t>
      </w:r>
      <w:r>
        <w:t xml:space="preserve"> </w:t>
      </w:r>
      <w:r w:rsidR="003A4365">
        <w:t xml:space="preserve">into the suprachoroidal space </w:t>
      </w:r>
      <w:r>
        <w:t>during MBGS.</w:t>
      </w:r>
      <w:r w:rsidR="0040465F">
        <w:t xml:space="preserve"> </w:t>
      </w:r>
    </w:p>
    <w:p w14:paraId="08D783A3" w14:textId="77777777" w:rsidR="000D1061" w:rsidRDefault="000D1061" w:rsidP="00AE6358">
      <w:pPr>
        <w:pStyle w:val="Responsetext"/>
        <w:spacing w:after="0"/>
      </w:pPr>
    </w:p>
    <w:p w14:paraId="441FF52C" w14:textId="27464B56" w:rsidR="000D1061" w:rsidRDefault="000D1061" w:rsidP="0030297D">
      <w:pPr>
        <w:pStyle w:val="Responsetext"/>
      </w:pPr>
      <w:r>
        <w:t>An overview of MINIject is provided below:</w:t>
      </w:r>
    </w:p>
    <w:p w14:paraId="7612379F" w14:textId="39D6BFB3" w:rsidR="000D1061" w:rsidRDefault="000D1061" w:rsidP="000D1061">
      <w:pPr>
        <w:pStyle w:val="Responsebullet"/>
      </w:pPr>
      <w:r w:rsidRPr="00D4150E">
        <w:t>MINIject</w:t>
      </w:r>
      <w:r w:rsidRPr="0030297D">
        <w:rPr>
          <w:vertAlign w:val="superscript"/>
        </w:rPr>
        <w:t>®</w:t>
      </w:r>
      <w:r w:rsidRPr="00D4150E">
        <w:t xml:space="preserve"> is TGA approved</w:t>
      </w:r>
      <w:r>
        <w:t xml:space="preserve"> (ARTG ID 400268)</w:t>
      </w:r>
    </w:p>
    <w:p w14:paraId="2444228F" w14:textId="783F6DC6" w:rsidR="006B6F06" w:rsidRDefault="006B6F06" w:rsidP="000D1061">
      <w:pPr>
        <w:pStyle w:val="Responsebullet"/>
      </w:pPr>
      <w:r>
        <w:t xml:space="preserve">MINIject </w:t>
      </w:r>
      <w:r w:rsidRPr="006B6F06">
        <w:t>consist</w:t>
      </w:r>
      <w:r w:rsidR="00E103B8">
        <w:t>s</w:t>
      </w:r>
      <w:r w:rsidRPr="006B6F06">
        <w:t xml:space="preserve"> of a glaucoma drainage implant, and a Delivery System</w:t>
      </w:r>
      <w:r>
        <w:t xml:space="preserve"> (source: MINIject Instructions For Use)</w:t>
      </w:r>
      <w:r w:rsidRPr="006B6F06">
        <w:t xml:space="preserve">. </w:t>
      </w:r>
    </w:p>
    <w:p w14:paraId="6EE22D3E" w14:textId="77777777" w:rsidR="006B6F06" w:rsidRDefault="006B6F06" w:rsidP="006B6F06">
      <w:pPr>
        <w:pStyle w:val="Responsebullet"/>
        <w:numPr>
          <w:ilvl w:val="1"/>
          <w:numId w:val="2"/>
        </w:numPr>
      </w:pPr>
      <w:r w:rsidRPr="006B6F06">
        <w:t xml:space="preserve">The implant is composed of medical-grade silicone which has a precise porous microstructure and is 5.0 mm long with an oblong cross section of 1.1 x 0.6 mm. </w:t>
      </w:r>
    </w:p>
    <w:p w14:paraId="6CA8397A" w14:textId="1502C6C6" w:rsidR="00AE6358" w:rsidRDefault="006B6F06" w:rsidP="006B6F06">
      <w:pPr>
        <w:pStyle w:val="Responsebullet"/>
        <w:numPr>
          <w:ilvl w:val="1"/>
          <w:numId w:val="2"/>
        </w:numPr>
      </w:pPr>
      <w:r w:rsidRPr="006B6F06">
        <w:t>It has a green marker (0.4 mm wide) on the proximal end of the implant (“coloured ring”) that serves as a visual aid to assist with proper implantation depth in the supraciliary space</w:t>
      </w:r>
    </w:p>
    <w:p w14:paraId="694FF781" w14:textId="07F44A75" w:rsidR="006B6F06" w:rsidRDefault="006B6F06" w:rsidP="006B6F06">
      <w:pPr>
        <w:pStyle w:val="Responsebullet"/>
        <w:numPr>
          <w:ilvl w:val="1"/>
          <w:numId w:val="2"/>
        </w:numPr>
      </w:pPr>
      <w:r w:rsidRPr="006B6F06">
        <w:t>The MINIject implant is designed to be implanted with its head in the anterior chamber and its body in the supraciliary space</w:t>
      </w:r>
      <w:r w:rsidR="00154B10">
        <w:t xml:space="preserve">. When correctly implanted using </w:t>
      </w:r>
      <w:r w:rsidR="00154B10">
        <w:lastRenderedPageBreak/>
        <w:t>the green ring, only 0.5mm of the implant is present in the anterior chamber, well away from the cornea.</w:t>
      </w:r>
    </w:p>
    <w:p w14:paraId="32E9C69C" w14:textId="77777777" w:rsidR="000D1061" w:rsidRDefault="000D1061" w:rsidP="00AE6358">
      <w:pPr>
        <w:pStyle w:val="Responsetext"/>
        <w:spacing w:after="0"/>
      </w:pPr>
    </w:p>
    <w:p w14:paraId="4263436B" w14:textId="77777777" w:rsidR="00B8306A" w:rsidRDefault="00B8306A" w:rsidP="00B8306A">
      <w:pPr>
        <w:pStyle w:val="Responsetext"/>
      </w:pPr>
      <w:r>
        <w:t>As MINIject is inserted into the suprachoroidal space, a wording change in existing MBS item 42504 to allow this specific site of insertion is requested. All other components of the existing item MBS 42504 are proposed to be the same for this new device.</w:t>
      </w:r>
    </w:p>
    <w:p w14:paraId="6255F424" w14:textId="5664F0F9" w:rsidR="00AE6358" w:rsidRPr="00022B2C" w:rsidRDefault="00B8306A" w:rsidP="00022B2C">
      <w:pPr>
        <w:pStyle w:val="Responsetext"/>
        <w:rPr>
          <w:rFonts w:asciiTheme="minorHAnsi" w:eastAsia="Segoe UI" w:hAnsiTheme="minorHAnsi" w:cstheme="minorHAnsi"/>
          <w:color w:val="000000"/>
        </w:rPr>
      </w:pPr>
      <w:r>
        <w:t>The proposed addition of MINIject to the MBS 42504 procedure code would allow use of the micro-bypass stent inserted into the suprachoroidal space as a standalone procedure for glaucoma (i.e. not in association with cataract surgery). This is because separate MBS items apply to micro-bypass stent insertion (item 42705) in conjunction with cataract surgery</w:t>
      </w:r>
      <w:r w:rsidRPr="007B7090">
        <w:t xml:space="preserve"> </w:t>
      </w:r>
      <w:r>
        <w:t>and removal (item 42505). Items 42705 and 42505 allow stent insertion</w:t>
      </w:r>
      <w:r w:rsidR="00AA7B89">
        <w:t>/removal</w:t>
      </w:r>
      <w:r>
        <w:t xml:space="preserve"> into both the trabecular meshwork and suprachoroidal space, and hence allow use of MINIject, as confirmed by </w:t>
      </w:r>
      <w:r w:rsidRPr="00C22E7E">
        <w:t>MSAC applications 1496 and 1483</w:t>
      </w:r>
      <w:r>
        <w:t>, despite wording precising trans-trabecular devices in these two MBS items.</w:t>
      </w:r>
      <w:bookmarkStart w:id="0" w:name="_Hlk140852025"/>
    </w:p>
    <w:p w14:paraId="7F631A8D" w14:textId="1FC1A14E" w:rsidR="00B25C43" w:rsidRPr="0073306C" w:rsidRDefault="0073306C" w:rsidP="00D2095C">
      <w:pPr>
        <w:pStyle w:val="Responsetext"/>
        <w:rPr>
          <w:b/>
          <w:bCs/>
        </w:rPr>
      </w:pPr>
      <w:r w:rsidRPr="0073306C">
        <w:rPr>
          <w:b/>
          <w:bCs/>
        </w:rPr>
        <w:t>Redacted</w:t>
      </w:r>
    </w:p>
    <w:bookmarkEnd w:id="0"/>
    <w:p w14:paraId="680B592B" w14:textId="77777777" w:rsidR="0030297D" w:rsidRPr="00BE6B22" w:rsidRDefault="0030297D" w:rsidP="00B11F08">
      <w:pPr>
        <w:pStyle w:val="Responsetext"/>
        <w:spacing w:after="0"/>
        <w:rPr>
          <w:rFonts w:asciiTheme="minorHAnsi" w:eastAsia="Segoe UI" w:hAnsiTheme="minorHAnsi" w:cstheme="minorHAnsi"/>
          <w:color w:val="000000"/>
        </w:rPr>
      </w:pPr>
    </w:p>
    <w:p w14:paraId="3B0D3826" w14:textId="797D6036" w:rsidR="00BE6B22" w:rsidRDefault="00665487" w:rsidP="00BE6B22">
      <w:pPr>
        <w:spacing w:after="0" w:line="240" w:lineRule="auto"/>
        <w:rPr>
          <w:rFonts w:ascii="Segoe UI" w:eastAsia="Segoe UI" w:hAnsi="Segoe UI"/>
          <w:b/>
          <w:color w:val="000000"/>
          <w:sz w:val="22"/>
        </w:rPr>
      </w:pPr>
      <w:r w:rsidRPr="00B15CDF">
        <w:rPr>
          <w:rFonts w:ascii="Segoe UI" w:eastAsia="Segoe UI" w:hAnsi="Segoe UI"/>
          <w:b/>
          <w:color w:val="000000"/>
          <w:sz w:val="22"/>
        </w:rPr>
        <w:t>Describe the key components and clinical steps involved in delivering the proposed health technology</w:t>
      </w:r>
      <w:r w:rsidR="00BE6B22">
        <w:rPr>
          <w:rFonts w:ascii="Segoe UI" w:eastAsia="Segoe UI" w:hAnsi="Segoe UI"/>
          <w:b/>
          <w:color w:val="000000"/>
          <w:sz w:val="22"/>
        </w:rPr>
        <w:t>:</w:t>
      </w:r>
    </w:p>
    <w:p w14:paraId="61D4A875" w14:textId="364F7B47" w:rsidR="00BE6B22" w:rsidRDefault="00BE6B22" w:rsidP="00BE6B22">
      <w:pPr>
        <w:spacing w:after="0" w:line="240" w:lineRule="auto"/>
        <w:rPr>
          <w:rFonts w:ascii="Segoe UI" w:eastAsia="Segoe UI" w:hAnsi="Segoe UI"/>
          <w:b/>
          <w:color w:val="000000"/>
          <w:sz w:val="22"/>
        </w:rPr>
      </w:pPr>
    </w:p>
    <w:p w14:paraId="2239266A" w14:textId="75E1FEB1" w:rsidR="00BE6B22" w:rsidRDefault="00061B3B" w:rsidP="00DA060D">
      <w:pPr>
        <w:pStyle w:val="Responsetext"/>
      </w:pPr>
      <w:r>
        <w:t>Once a patient is identified as a candidate for incisional surgery</w:t>
      </w:r>
      <w:r w:rsidR="00AE2385">
        <w:t xml:space="preserve">, </w:t>
      </w:r>
      <w:r>
        <w:t xml:space="preserve">and </w:t>
      </w:r>
      <w:r w:rsidR="00AE2385">
        <w:t xml:space="preserve">an MBGS device is considered appropriate, </w:t>
      </w:r>
      <w:r w:rsidR="0040465F">
        <w:t>MINIject</w:t>
      </w:r>
      <w:r>
        <w:t xml:space="preserve"> </w:t>
      </w:r>
      <w:r w:rsidR="00AE2385">
        <w:t>may then be</w:t>
      </w:r>
      <w:r>
        <w:t xml:space="preserve"> selected by the surgeon according to </w:t>
      </w:r>
      <w:r w:rsidR="00AE2385">
        <w:t xml:space="preserve">surgeon preference and </w:t>
      </w:r>
      <w:r>
        <w:t>patient needs</w:t>
      </w:r>
      <w:r w:rsidR="00AE2385">
        <w:t>.</w:t>
      </w:r>
      <w:r>
        <w:t xml:space="preserve"> MINIject</w:t>
      </w:r>
      <w:r w:rsidR="0040465F">
        <w:t xml:space="preserve"> would be implanted into the eye during MBGS. The insertion process is similar to other </w:t>
      </w:r>
      <w:r w:rsidR="0030297D">
        <w:t xml:space="preserve">MBGS </w:t>
      </w:r>
      <w:r w:rsidR="0040465F">
        <w:t>stents except that it is inserted into the suprachoroidal space, rather than the trabecular meshwork.</w:t>
      </w:r>
    </w:p>
    <w:p w14:paraId="12E9C481" w14:textId="5BD8B55D" w:rsidR="00DA060D" w:rsidRDefault="00DA060D" w:rsidP="00DA060D">
      <w:pPr>
        <w:pStyle w:val="Responsetext"/>
      </w:pPr>
      <w:r>
        <w:t>Patients are admitted to a day surgery centre or hospital for the procedure. MBGS (also called minimally invasive glaucoma surgery</w:t>
      </w:r>
      <w:r w:rsidR="0030297D">
        <w:t>;</w:t>
      </w:r>
      <w:r>
        <w:t xml:space="preserve"> MIGS</w:t>
      </w:r>
      <w:r w:rsidR="0030297D">
        <w:t>)</w:t>
      </w:r>
      <w:r>
        <w:t xml:space="preserve"> is </w:t>
      </w:r>
      <w:r w:rsidR="0030297D">
        <w:t xml:space="preserve">a </w:t>
      </w:r>
      <w:r>
        <w:t>surgical procedure performed</w:t>
      </w:r>
      <w:r w:rsidR="002F6385">
        <w:t>, usually</w:t>
      </w:r>
      <w:r>
        <w:t xml:space="preserve"> under a local anaesthetic</w:t>
      </w:r>
      <w:r w:rsidR="00CB0E4C">
        <w:t xml:space="preserve"> </w:t>
      </w:r>
      <w:r w:rsidR="00CB0E4C" w:rsidRPr="00CB0E4C">
        <w:t>(peribulbar / retrobulbar / sub-tenon</w:t>
      </w:r>
      <w:r w:rsidR="00CB0E4C">
        <w:t xml:space="preserve"> anaesthetic)</w:t>
      </w:r>
      <w:r>
        <w:t xml:space="preserve">. Specialised equipment required for the procedure is the same as that used for implanting a stent into the trabecular meshwork, including the </w:t>
      </w:r>
      <w:r w:rsidR="0030297D">
        <w:t>Ophthalmic</w:t>
      </w:r>
      <w:r>
        <w:t xml:space="preserve"> Viscoelastic Device, gonioprism for visualisation, and anaesthesia, as currently done under item 42504. </w:t>
      </w:r>
    </w:p>
    <w:p w14:paraId="3F298201" w14:textId="77777777" w:rsidR="009D517C" w:rsidRDefault="00D42087" w:rsidP="009D517C">
      <w:pPr>
        <w:pStyle w:val="Responsetext"/>
      </w:pPr>
      <w:r>
        <w:t xml:space="preserve">The estimated time to undertake standalone MBGS was 45–60 minutes (including preparation, stent implantation and post-operative requirements) in MSAC PSD 1541 for standalone MBGS (PSD p. 19). However, in this PSD ESC noted that public consultation feedback in the critique for previous Applications 1483 and 1496 indicated that it might take less than 15 minutes of the surgeon’s time. </w:t>
      </w:r>
      <w:r w:rsidR="009D517C" w:rsidRPr="00E46807">
        <w:t>While the surgical procedure</w:t>
      </w:r>
      <w:r w:rsidR="009D517C">
        <w:t xml:space="preserve"> may only take around 15 minutes , the total time required for admission, preparation, surgery and recovery may be much longer, i.e. from 45 minutes to 2 to 3 hours.</w:t>
      </w:r>
    </w:p>
    <w:p w14:paraId="14574514" w14:textId="5FA544E9" w:rsidR="00D42087" w:rsidRPr="00E46807" w:rsidRDefault="00B81CE1" w:rsidP="00E46807">
      <w:pPr>
        <w:pStyle w:val="Responsetext"/>
      </w:pPr>
      <w:r>
        <w:t xml:space="preserve">In PSD1541, </w:t>
      </w:r>
      <w:r w:rsidRPr="00B81CE1">
        <w:t xml:space="preserve">ESC noted that </w:t>
      </w:r>
      <w:r w:rsidR="00F80843">
        <w:t>“</w:t>
      </w:r>
      <w:r w:rsidRPr="00B8306A">
        <w:rPr>
          <w:i/>
          <w:iCs/>
        </w:rPr>
        <w:t xml:space="preserve">although MBGS devices differ in design and manufacturer </w:t>
      </w:r>
      <w:r w:rsidRPr="00E77871">
        <w:rPr>
          <w:i/>
          <w:iCs/>
        </w:rPr>
        <w:t>specifications, the complexity and resource burden of the implantation procedure is comparable</w:t>
      </w:r>
      <w:r w:rsidRPr="00B81CE1">
        <w:t>.</w:t>
      </w:r>
      <w:r w:rsidR="00F80843">
        <w:t xml:space="preserve">” </w:t>
      </w:r>
      <w:r w:rsidR="00D42087">
        <w:t>Importantly, the time required for MBGS using MINIject will be the same as that required for MBGS using the comparator stent since the surgeon follows the same general procedure and uses the same surgical equipment, regardless of the exact site of stent insertion.</w:t>
      </w:r>
    </w:p>
    <w:p w14:paraId="4F0CD170" w14:textId="6AAE8DD6" w:rsidR="002063A3" w:rsidRDefault="002063A3" w:rsidP="00BE6B22">
      <w:pPr>
        <w:spacing w:after="0" w:line="240" w:lineRule="auto"/>
        <w:rPr>
          <w:rFonts w:ascii="Segoe UI" w:eastAsia="Segoe UI" w:hAnsi="Segoe UI"/>
          <w:b/>
          <w:color w:val="000000"/>
          <w:sz w:val="22"/>
        </w:rPr>
      </w:pPr>
    </w:p>
    <w:p w14:paraId="45844360" w14:textId="77777777" w:rsidR="00B11F08" w:rsidRDefault="00B11F08" w:rsidP="00BE6B22">
      <w:pPr>
        <w:spacing w:after="0" w:line="240" w:lineRule="auto"/>
        <w:rPr>
          <w:rFonts w:ascii="Segoe UI" w:eastAsia="Segoe UI" w:hAnsi="Segoe UI"/>
          <w:b/>
          <w:color w:val="000000"/>
          <w:sz w:val="22"/>
        </w:rPr>
      </w:pPr>
    </w:p>
    <w:p w14:paraId="0CAE2206" w14:textId="77777777" w:rsidR="00730CAD" w:rsidRDefault="00730CAD" w:rsidP="00BE6B22">
      <w:pPr>
        <w:spacing w:after="0" w:line="240" w:lineRule="auto"/>
        <w:rPr>
          <w:rFonts w:ascii="Segoe UI" w:eastAsia="Segoe UI" w:hAnsi="Segoe UI"/>
          <w:b/>
          <w:color w:val="000000"/>
          <w:sz w:val="22"/>
        </w:rPr>
      </w:pPr>
    </w:p>
    <w:p w14:paraId="01111955" w14:textId="7D965E57" w:rsidR="00BE6B22" w:rsidRDefault="00665487" w:rsidP="00BE6B22">
      <w:pPr>
        <w:spacing w:after="0" w:line="240" w:lineRule="auto"/>
        <w:rPr>
          <w:rFonts w:ascii="Segoe UI" w:eastAsia="Segoe UI" w:hAnsi="Segoe UI"/>
          <w:b/>
          <w:color w:val="000000"/>
          <w:sz w:val="22"/>
        </w:rPr>
      </w:pPr>
      <w:r w:rsidRPr="00B15CDF">
        <w:rPr>
          <w:rFonts w:ascii="Segoe UI" w:eastAsia="Segoe UI" w:hAnsi="Segoe UI"/>
          <w:b/>
          <w:color w:val="000000"/>
          <w:sz w:val="22"/>
        </w:rPr>
        <w:lastRenderedPageBreak/>
        <w:t>Identify how the proposed technology achieves the intended patient outcomes</w:t>
      </w:r>
      <w:r w:rsidR="00BE6B22">
        <w:rPr>
          <w:rFonts w:ascii="Segoe UI" w:eastAsia="Segoe UI" w:hAnsi="Segoe UI"/>
          <w:b/>
          <w:color w:val="000000"/>
          <w:sz w:val="22"/>
        </w:rPr>
        <w:t>:</w:t>
      </w:r>
    </w:p>
    <w:p w14:paraId="496F861E" w14:textId="56790DA1" w:rsidR="00BE6B22" w:rsidRDefault="00BE6B22" w:rsidP="00BE6B22">
      <w:pPr>
        <w:spacing w:after="0" w:line="240" w:lineRule="auto"/>
        <w:rPr>
          <w:rFonts w:ascii="Segoe UI" w:eastAsia="Segoe UI" w:hAnsi="Segoe UI"/>
          <w:b/>
          <w:color w:val="000000"/>
          <w:sz w:val="22"/>
        </w:rPr>
      </w:pPr>
    </w:p>
    <w:p w14:paraId="20C09D61" w14:textId="072B6BD9" w:rsidR="00BE6B22" w:rsidRDefault="00DA060D" w:rsidP="00BE6B22">
      <w:pPr>
        <w:spacing w:after="0" w:line="240" w:lineRule="auto"/>
        <w:rPr>
          <w:rFonts w:asciiTheme="minorHAnsi" w:eastAsia="Segoe UI" w:hAnsiTheme="minorHAnsi" w:cstheme="minorHAnsi"/>
          <w:color w:val="000000"/>
          <w:sz w:val="22"/>
          <w:szCs w:val="22"/>
        </w:rPr>
      </w:pPr>
      <w:r>
        <w:rPr>
          <w:rFonts w:ascii="Segoe UI" w:hAnsi="Segoe UI" w:cs="Segoe UI"/>
          <w:sz w:val="22"/>
          <w:szCs w:val="22"/>
        </w:rPr>
        <w:t>MINIject implantation</w:t>
      </w:r>
      <w:r w:rsidR="0030297D">
        <w:rPr>
          <w:rFonts w:ascii="Segoe UI" w:hAnsi="Segoe UI" w:cs="Segoe UI"/>
          <w:sz w:val="22"/>
          <w:szCs w:val="22"/>
        </w:rPr>
        <w:t xml:space="preserve"> during MBGS</w:t>
      </w:r>
      <w:r>
        <w:rPr>
          <w:rFonts w:ascii="Segoe UI" w:hAnsi="Segoe UI" w:cs="Segoe UI"/>
          <w:sz w:val="22"/>
          <w:szCs w:val="22"/>
        </w:rPr>
        <w:t xml:space="preserve"> </w:t>
      </w:r>
      <w:r w:rsidR="00E4636A">
        <w:rPr>
          <w:rFonts w:ascii="Segoe UI" w:hAnsi="Segoe UI" w:cs="Segoe UI"/>
          <w:sz w:val="22"/>
          <w:szCs w:val="22"/>
        </w:rPr>
        <w:t>lowers</w:t>
      </w:r>
      <w:r w:rsidR="00DD442F">
        <w:rPr>
          <w:rFonts w:ascii="Segoe UI" w:hAnsi="Segoe UI" w:cs="Segoe UI"/>
          <w:sz w:val="22"/>
          <w:szCs w:val="22"/>
        </w:rPr>
        <w:t xml:space="preserve"> intraocular pressure (IOP)</w:t>
      </w:r>
      <w:r w:rsidR="00E6158B">
        <w:rPr>
          <w:rFonts w:ascii="Segoe UI" w:hAnsi="Segoe UI" w:cs="Segoe UI"/>
          <w:sz w:val="22"/>
          <w:szCs w:val="22"/>
        </w:rPr>
        <w:t xml:space="preserve"> by enhancing</w:t>
      </w:r>
      <w:r w:rsidR="00AD1531">
        <w:rPr>
          <w:rFonts w:ascii="Segoe UI" w:hAnsi="Segoe UI" w:cs="Segoe UI"/>
          <w:sz w:val="22"/>
          <w:szCs w:val="22"/>
        </w:rPr>
        <w:t xml:space="preserve"> aqueous outflow through the suprachoroidal space</w:t>
      </w:r>
      <w:r w:rsidR="00DD442F">
        <w:rPr>
          <w:rFonts w:ascii="Segoe UI" w:hAnsi="Segoe UI" w:cs="Segoe UI"/>
          <w:sz w:val="22"/>
          <w:szCs w:val="22"/>
        </w:rPr>
        <w:t xml:space="preserve">, </w:t>
      </w:r>
      <w:r w:rsidR="00A43CE3">
        <w:rPr>
          <w:rFonts w:ascii="Segoe UI" w:hAnsi="Segoe UI" w:cs="Segoe UI"/>
          <w:sz w:val="22"/>
          <w:szCs w:val="22"/>
        </w:rPr>
        <w:t xml:space="preserve">while additionally </w:t>
      </w:r>
      <w:r w:rsidR="00DD442F">
        <w:rPr>
          <w:rFonts w:ascii="Segoe UI" w:hAnsi="Segoe UI" w:cs="Segoe UI"/>
          <w:sz w:val="22"/>
          <w:szCs w:val="22"/>
        </w:rPr>
        <w:t xml:space="preserve">reducing </w:t>
      </w:r>
      <w:r w:rsidR="00E4636A" w:rsidRPr="00E4636A">
        <w:rPr>
          <w:rFonts w:ascii="Segoe UI" w:hAnsi="Segoe UI" w:cs="Segoe UI"/>
          <w:sz w:val="22"/>
          <w:szCs w:val="22"/>
        </w:rPr>
        <w:t>reliance on topical hypotensive medication</w:t>
      </w:r>
      <w:r w:rsidR="00062516">
        <w:rPr>
          <w:rFonts w:ascii="Segoe UI" w:hAnsi="Segoe UI" w:cs="Segoe UI"/>
          <w:sz w:val="22"/>
          <w:szCs w:val="22"/>
        </w:rPr>
        <w:t>. IOP is a known modifiable risk factor associated with long term, patient relevant outcomes including reduced visual loss and improvement in patients’ quality of life.</w:t>
      </w:r>
    </w:p>
    <w:p w14:paraId="72015A67" w14:textId="77777777" w:rsidR="00BE6B22" w:rsidRPr="00BE6B22" w:rsidRDefault="00BE6B22" w:rsidP="00BE6B22">
      <w:pPr>
        <w:spacing w:after="0" w:line="240" w:lineRule="auto"/>
        <w:rPr>
          <w:rFonts w:asciiTheme="minorHAnsi" w:eastAsia="Segoe UI" w:hAnsiTheme="minorHAnsi" w:cstheme="minorHAnsi"/>
          <w:color w:val="000000"/>
          <w:sz w:val="22"/>
          <w:szCs w:val="22"/>
        </w:rPr>
      </w:pPr>
    </w:p>
    <w:p w14:paraId="0F9D3230" w14:textId="4341C9EA" w:rsidR="00BE6B22" w:rsidRPr="00665487" w:rsidRDefault="00665487">
      <w:pPr>
        <w:rPr>
          <w:rFonts w:ascii="Segoe UI" w:eastAsia="Segoe UI" w:hAnsi="Segoe UI"/>
          <w:b/>
          <w:color w:val="000000"/>
          <w:sz w:val="22"/>
        </w:rPr>
      </w:pPr>
      <w:r w:rsidRPr="00B15CDF">
        <w:rPr>
          <w:rFonts w:ascii="Segoe UI" w:eastAsia="Segoe UI" w:hAnsi="Segoe UI"/>
          <w:b/>
          <w:color w:val="000000"/>
          <w:sz w:val="22"/>
        </w:rPr>
        <w:t>Does the proposed health technology include a registered trademark component with characteristics that distinguishes it from other similar health components</w:t>
      </w:r>
      <w:r w:rsidR="00BE6B22">
        <w:rPr>
          <w:rFonts w:ascii="Segoe UI" w:eastAsia="Segoe UI" w:hAnsi="Segoe UI"/>
          <w:b/>
          <w:color w:val="000000"/>
          <w:sz w:val="22"/>
        </w:rPr>
        <w:t xml:space="preserve">? </w:t>
      </w:r>
    </w:p>
    <w:p w14:paraId="6F3B5B06" w14:textId="4DEBE043" w:rsidR="00BE6B22" w:rsidRDefault="0073306C" w:rsidP="0073306C">
      <w:pPr>
        <w:ind w:left="3600" w:firstLine="720"/>
        <w:rPr>
          <w:rFonts w:ascii="Segoe UI" w:eastAsia="Segoe UI" w:hAnsi="Segoe UI"/>
          <w:bCs/>
          <w:color w:val="000000"/>
          <w:sz w:val="22"/>
        </w:rPr>
      </w:pPr>
      <w:r w:rsidRPr="0073306C">
        <w:rPr>
          <w:rFonts w:ascii="Segoe UI" w:eastAsia="Segoe UI" w:hAnsi="Segoe UI"/>
          <w:b/>
          <w:color w:val="000000"/>
          <w:sz w:val="22"/>
        </w:rPr>
        <w:t>Yes</w:t>
      </w:r>
    </w:p>
    <w:p w14:paraId="1D12A8E7" w14:textId="7C8A4546" w:rsidR="00B759D1" w:rsidRDefault="00665487" w:rsidP="00B759D1">
      <w:pPr>
        <w:spacing w:after="0" w:line="240" w:lineRule="auto"/>
        <w:rPr>
          <w:rFonts w:ascii="Segoe UI" w:eastAsia="Segoe UI" w:hAnsi="Segoe UI"/>
          <w:b/>
          <w:color w:val="000000"/>
          <w:sz w:val="22"/>
        </w:rPr>
      </w:pPr>
      <w:r w:rsidRPr="00B15CDF">
        <w:rPr>
          <w:rFonts w:ascii="Segoe UI" w:eastAsia="Segoe UI" w:hAnsi="Segoe UI"/>
          <w:b/>
          <w:color w:val="000000"/>
          <w:sz w:val="22"/>
        </w:rPr>
        <w:t>Explain whether it is essential to have this trademark component or whether there would be other components that would be suitable</w:t>
      </w:r>
      <w:r w:rsidR="00B759D1">
        <w:rPr>
          <w:rFonts w:ascii="Segoe UI" w:eastAsia="Segoe UI" w:hAnsi="Segoe UI"/>
          <w:b/>
          <w:color w:val="000000"/>
          <w:sz w:val="22"/>
        </w:rPr>
        <w:t>:</w:t>
      </w:r>
    </w:p>
    <w:p w14:paraId="6FE677F6" w14:textId="77777777" w:rsidR="00B759D1" w:rsidRDefault="00B759D1" w:rsidP="00B759D1">
      <w:pPr>
        <w:spacing w:after="0" w:line="240" w:lineRule="auto"/>
        <w:rPr>
          <w:rFonts w:ascii="Segoe UI" w:eastAsia="Segoe UI" w:hAnsi="Segoe UI"/>
          <w:b/>
          <w:color w:val="000000"/>
          <w:sz w:val="22"/>
        </w:rPr>
      </w:pPr>
    </w:p>
    <w:p w14:paraId="77951498" w14:textId="06158CFB" w:rsidR="00B759D1" w:rsidRDefault="005768FF" w:rsidP="003102B4">
      <w:pPr>
        <w:pStyle w:val="Responsetext"/>
      </w:pPr>
      <w:r>
        <w:t xml:space="preserve">The proposed MBS item is not specific to the trademarked MINIject </w:t>
      </w:r>
      <w:r w:rsidR="00BE6C95">
        <w:t>device</w:t>
      </w:r>
      <w:r>
        <w:t>, but rather focusses on the</w:t>
      </w:r>
      <w:r w:rsidR="009347CA">
        <w:t xml:space="preserve"> class</w:t>
      </w:r>
      <w:r w:rsidR="00E103B8">
        <w:t>es</w:t>
      </w:r>
      <w:r w:rsidR="009347CA">
        <w:t xml:space="preserve"> of </w:t>
      </w:r>
      <w:r w:rsidR="00E103B8">
        <w:t>MBGS</w:t>
      </w:r>
      <w:r w:rsidR="009347CA">
        <w:t xml:space="preserve"> devices</w:t>
      </w:r>
      <w:r w:rsidR="00D75293">
        <w:t>. It was</w:t>
      </w:r>
      <w:r w:rsidR="006E5EF9">
        <w:t xml:space="preserve"> noted in PSD 1541</w:t>
      </w:r>
      <w:r w:rsidR="00042470">
        <w:t>, “</w:t>
      </w:r>
      <w:r w:rsidR="00042470" w:rsidRPr="00216512">
        <w:rPr>
          <w:rFonts w:ascii="Lato" w:hAnsi="Lato"/>
          <w:i/>
          <w:iCs/>
          <w:color w:val="333333"/>
          <w:shd w:val="clear" w:color="auto" w:fill="FFFFFF"/>
        </w:rPr>
        <w:t>ESC recalled that MSAC previously accepted that the two types of MBGS devices are comparable and should be covered under one MBS item in the cataract surgery setting</w:t>
      </w:r>
      <w:r w:rsidR="000B699D">
        <w:rPr>
          <w:rFonts w:ascii="Lato" w:hAnsi="Lato"/>
          <w:i/>
          <w:iCs/>
          <w:color w:val="333333"/>
          <w:shd w:val="clear" w:color="auto" w:fill="FFFFFF"/>
        </w:rPr>
        <w:t>.</w:t>
      </w:r>
      <w:r w:rsidR="00042470">
        <w:rPr>
          <w:rFonts w:ascii="Lato" w:hAnsi="Lato"/>
          <w:i/>
          <w:iCs/>
          <w:color w:val="333333"/>
          <w:shd w:val="clear" w:color="auto" w:fill="FFFFFF"/>
        </w:rPr>
        <w:t xml:space="preserve">” </w:t>
      </w:r>
      <w:r w:rsidR="000B699D" w:rsidRPr="00E103B8">
        <w:rPr>
          <w:rFonts w:ascii="Lato" w:hAnsi="Lato"/>
          <w:color w:val="333333"/>
          <w:shd w:val="clear" w:color="auto" w:fill="FFFFFF"/>
        </w:rPr>
        <w:t>It</w:t>
      </w:r>
      <w:r w:rsidR="00042470" w:rsidRPr="000B699D">
        <w:t xml:space="preserve"> is </w:t>
      </w:r>
      <w:r w:rsidR="000B699D" w:rsidRPr="000B699D">
        <w:t>thus</w:t>
      </w:r>
      <w:r w:rsidR="000B699D">
        <w:t xml:space="preserve"> </w:t>
      </w:r>
      <w:r w:rsidR="00042470">
        <w:t>proposed that MINIject be included in the MBS item 42504 with the other MBGS</w:t>
      </w:r>
      <w:r w:rsidR="00A22D9D">
        <w:t xml:space="preserve"> devices used in a standalone setting, similar to what is already done in item code 42705 in conjunction with cataract surgery.</w:t>
      </w:r>
      <w:r w:rsidR="00B1021E">
        <w:t xml:space="preserve"> </w:t>
      </w:r>
      <w:r w:rsidR="00D14499">
        <w:t xml:space="preserve">This provides the choice to surgeons to select the most appropriate device within the class according to their preference and patient needs. </w:t>
      </w:r>
    </w:p>
    <w:p w14:paraId="2D4411B7" w14:textId="77777777" w:rsidR="00B759D1" w:rsidRPr="00BE6B22" w:rsidRDefault="00B759D1" w:rsidP="00B759D1">
      <w:pPr>
        <w:spacing w:after="0" w:line="240" w:lineRule="auto"/>
        <w:rPr>
          <w:rFonts w:asciiTheme="minorHAnsi" w:eastAsia="Segoe UI" w:hAnsiTheme="minorHAnsi" w:cstheme="minorHAnsi"/>
          <w:color w:val="000000"/>
          <w:sz w:val="22"/>
          <w:szCs w:val="22"/>
        </w:rPr>
      </w:pPr>
    </w:p>
    <w:p w14:paraId="46AD8179" w14:textId="44B328B8" w:rsidR="00665487" w:rsidRDefault="00EA7B42" w:rsidP="00665487">
      <w:pPr>
        <w:rPr>
          <w:rFonts w:ascii="Segoe UI" w:eastAsia="Segoe UI" w:hAnsi="Segoe UI"/>
          <w:bCs/>
          <w:color w:val="000000"/>
          <w:sz w:val="22"/>
        </w:rPr>
      </w:pPr>
      <w:r w:rsidRPr="00B15CDF">
        <w:rPr>
          <w:rFonts w:ascii="Segoe UI" w:eastAsia="Segoe UI" w:hAnsi="Segoe UI"/>
          <w:b/>
          <w:color w:val="000000"/>
          <w:sz w:val="22"/>
        </w:rPr>
        <w:t>Are there any proposed limitations on the provision of the proposed health technology delivered to the patient (For example: accessibility, dosage, quantity, duration or frequency)</w:t>
      </w:r>
      <w:r>
        <w:rPr>
          <w:rFonts w:ascii="Segoe UI" w:eastAsia="Segoe UI" w:hAnsi="Segoe UI"/>
          <w:b/>
          <w:color w:val="000000"/>
          <w:sz w:val="22"/>
        </w:rPr>
        <w:t>:</w:t>
      </w:r>
      <w:r w:rsidR="00665487">
        <w:rPr>
          <w:rFonts w:ascii="Segoe UI" w:eastAsia="Segoe UI" w:hAnsi="Segoe UI"/>
          <w:b/>
          <w:color w:val="000000"/>
          <w:sz w:val="22"/>
        </w:rPr>
        <w:t xml:space="preserve"> </w:t>
      </w:r>
    </w:p>
    <w:p w14:paraId="094CE936" w14:textId="04EAF484" w:rsidR="00665487" w:rsidRPr="0073306C" w:rsidRDefault="0073306C" w:rsidP="00730CAD">
      <w:pPr>
        <w:spacing w:after="0" w:line="240" w:lineRule="auto"/>
        <w:rPr>
          <w:rFonts w:ascii="Segoe UI" w:eastAsia="Segoe UI" w:hAnsi="Segoe UI"/>
          <w:b/>
          <w:color w:val="000000"/>
          <w:sz w:val="22"/>
        </w:rPr>
      </w:pPr>
      <w:r w:rsidRPr="0073306C">
        <w:rPr>
          <w:rFonts w:ascii="Segoe UI" w:eastAsia="Segoe UI" w:hAnsi="Segoe UI"/>
          <w:b/>
          <w:color w:val="000000"/>
          <w:sz w:val="22"/>
        </w:rPr>
        <w:t>No</w:t>
      </w:r>
    </w:p>
    <w:p w14:paraId="04F56D0B" w14:textId="77777777" w:rsidR="00022B2C" w:rsidRDefault="00022B2C" w:rsidP="00665487">
      <w:pPr>
        <w:spacing w:after="0" w:line="240" w:lineRule="auto"/>
        <w:rPr>
          <w:rFonts w:ascii="Segoe UI" w:eastAsia="Segoe UI" w:hAnsi="Segoe UI"/>
          <w:b/>
          <w:color w:val="000000"/>
          <w:sz w:val="22"/>
        </w:rPr>
      </w:pPr>
    </w:p>
    <w:p w14:paraId="71A9F719" w14:textId="7EBBC805" w:rsidR="00665487" w:rsidRDefault="00EA7B42" w:rsidP="00665487">
      <w:pPr>
        <w:spacing w:after="0" w:line="240" w:lineRule="auto"/>
        <w:rPr>
          <w:rFonts w:ascii="Segoe UI" w:eastAsia="Segoe UI" w:hAnsi="Segoe UI"/>
          <w:b/>
          <w:color w:val="000000"/>
          <w:sz w:val="22"/>
        </w:rPr>
      </w:pPr>
      <w:r>
        <w:rPr>
          <w:rFonts w:ascii="Segoe UI" w:eastAsia="Segoe UI" w:hAnsi="Segoe UI"/>
          <w:b/>
          <w:color w:val="000000"/>
          <w:sz w:val="22"/>
        </w:rPr>
        <w:t>Provide details and explain</w:t>
      </w:r>
      <w:r w:rsidR="00665487">
        <w:rPr>
          <w:rFonts w:ascii="Segoe UI" w:eastAsia="Segoe UI" w:hAnsi="Segoe UI"/>
          <w:b/>
          <w:color w:val="000000"/>
          <w:sz w:val="22"/>
        </w:rPr>
        <w:t>:</w:t>
      </w:r>
    </w:p>
    <w:p w14:paraId="207973FE" w14:textId="77777777" w:rsidR="00665487" w:rsidRDefault="00665487" w:rsidP="00665487">
      <w:pPr>
        <w:spacing w:after="0" w:line="240" w:lineRule="auto"/>
        <w:rPr>
          <w:rFonts w:ascii="Segoe UI" w:eastAsia="Segoe UI" w:hAnsi="Segoe UI"/>
          <w:b/>
          <w:color w:val="000000"/>
          <w:sz w:val="22"/>
        </w:rPr>
      </w:pPr>
    </w:p>
    <w:p w14:paraId="06046640" w14:textId="77777777" w:rsidR="00863E20" w:rsidRDefault="005768FF" w:rsidP="003102B4">
      <w:pPr>
        <w:pStyle w:val="Responsetext"/>
      </w:pPr>
      <w:r>
        <w:t>Use of MINIject as an alternative to other available micro-bypass surgery stents</w:t>
      </w:r>
      <w:r w:rsidR="00863E20">
        <w:t xml:space="preserve"> during standalone MBGS</w:t>
      </w:r>
      <w:r>
        <w:t xml:space="preserve"> is proposed, consistent with </w:t>
      </w:r>
      <w:r w:rsidR="00863E20">
        <w:t>use of trabecular meshwork implanted stents allowed under MBS item 42504.</w:t>
      </w:r>
    </w:p>
    <w:p w14:paraId="33C98722" w14:textId="6387A8D1" w:rsidR="002063A3" w:rsidRPr="0073306C" w:rsidRDefault="0073306C" w:rsidP="003102B4">
      <w:pPr>
        <w:pStyle w:val="Responsetext"/>
        <w:rPr>
          <w:b/>
          <w:bCs/>
        </w:rPr>
      </w:pPr>
      <w:r w:rsidRPr="0073306C">
        <w:rPr>
          <w:b/>
          <w:bCs/>
        </w:rPr>
        <w:t>Redacted</w:t>
      </w:r>
    </w:p>
    <w:p w14:paraId="7EDC963E" w14:textId="77777777" w:rsidR="00665487" w:rsidRPr="00BE6B22" w:rsidRDefault="00665487" w:rsidP="00665487">
      <w:pPr>
        <w:spacing w:after="0" w:line="240" w:lineRule="auto"/>
        <w:rPr>
          <w:rFonts w:asciiTheme="minorHAnsi" w:eastAsia="Segoe UI" w:hAnsiTheme="minorHAnsi" w:cstheme="minorHAnsi"/>
          <w:color w:val="000000"/>
          <w:sz w:val="22"/>
          <w:szCs w:val="22"/>
        </w:rPr>
      </w:pPr>
    </w:p>
    <w:p w14:paraId="277ADD85" w14:textId="59994BEE" w:rsidR="006227EF" w:rsidRDefault="006227EF" w:rsidP="006227EF">
      <w:pPr>
        <w:spacing w:after="0" w:line="240" w:lineRule="auto"/>
        <w:rPr>
          <w:rFonts w:ascii="Segoe UI" w:eastAsia="Segoe UI" w:hAnsi="Segoe UI"/>
          <w:b/>
          <w:color w:val="000000"/>
          <w:sz w:val="22"/>
        </w:rPr>
      </w:pPr>
      <w:r>
        <w:rPr>
          <w:rFonts w:ascii="Segoe UI" w:eastAsia="Segoe UI" w:hAnsi="Segoe UI"/>
          <w:b/>
          <w:color w:val="000000"/>
          <w:sz w:val="22"/>
        </w:rPr>
        <w:t>If applicable, advise which health professionals will be needed to provide the proposed health technology:</w:t>
      </w:r>
    </w:p>
    <w:p w14:paraId="2F90F356" w14:textId="77777777" w:rsidR="006227EF" w:rsidRDefault="006227EF" w:rsidP="006227EF">
      <w:pPr>
        <w:spacing w:after="0" w:line="240" w:lineRule="auto"/>
        <w:rPr>
          <w:rFonts w:ascii="Segoe UI" w:eastAsia="Segoe UI" w:hAnsi="Segoe UI"/>
          <w:b/>
          <w:color w:val="000000"/>
          <w:sz w:val="22"/>
        </w:rPr>
      </w:pPr>
    </w:p>
    <w:p w14:paraId="66D3F0AC" w14:textId="05083861" w:rsidR="006227EF" w:rsidRDefault="00DD355D" w:rsidP="003102B4">
      <w:pPr>
        <w:pStyle w:val="Responsetext"/>
        <w:rPr>
          <w:rFonts w:asciiTheme="minorHAnsi" w:eastAsia="Segoe UI" w:hAnsiTheme="minorHAnsi" w:cstheme="minorHAnsi"/>
          <w:color w:val="000000"/>
        </w:rPr>
      </w:pPr>
      <w:r>
        <w:t xml:space="preserve">Ophthalmologists with surgical training (recognised </w:t>
      </w:r>
      <w:r w:rsidR="002F6385">
        <w:t xml:space="preserve">by </w:t>
      </w:r>
      <w:r w:rsidRPr="00DD355D">
        <w:t>the Conjoint Committee for the Recognition of Training in Micro-Bypass Glaucoma Surgery</w:t>
      </w:r>
      <w:r>
        <w:t>).</w:t>
      </w:r>
    </w:p>
    <w:p w14:paraId="6BC4ECCB" w14:textId="77777777" w:rsidR="006227EF" w:rsidRPr="00BE6B22" w:rsidRDefault="006227EF" w:rsidP="006227EF">
      <w:pPr>
        <w:spacing w:after="0" w:line="240" w:lineRule="auto"/>
        <w:rPr>
          <w:rFonts w:asciiTheme="minorHAnsi" w:eastAsia="Segoe UI" w:hAnsiTheme="minorHAnsi" w:cstheme="minorHAnsi"/>
          <w:color w:val="000000"/>
          <w:sz w:val="22"/>
          <w:szCs w:val="22"/>
        </w:rPr>
      </w:pPr>
    </w:p>
    <w:p w14:paraId="1618878E" w14:textId="3213AAEC" w:rsidR="006227EF" w:rsidRDefault="006227EF" w:rsidP="006227EF">
      <w:pPr>
        <w:spacing w:after="0" w:line="240" w:lineRule="auto"/>
        <w:rPr>
          <w:rFonts w:ascii="Segoe UI" w:eastAsia="Segoe UI" w:hAnsi="Segoe UI"/>
          <w:b/>
          <w:color w:val="000000"/>
          <w:sz w:val="22"/>
        </w:rPr>
      </w:pPr>
      <w:r w:rsidRPr="00BE0612">
        <w:rPr>
          <w:rFonts w:ascii="Segoe UI" w:eastAsia="Segoe UI" w:hAnsi="Segoe UI"/>
          <w:b/>
          <w:color w:val="000000"/>
          <w:sz w:val="22"/>
        </w:rPr>
        <w:t xml:space="preserve">If applicable, advise </w:t>
      </w:r>
      <w:r w:rsidR="00BE0612" w:rsidRPr="00BE0612">
        <w:rPr>
          <w:rFonts w:ascii="Segoe UI" w:eastAsia="Segoe UI" w:hAnsi="Segoe UI"/>
          <w:b/>
          <w:color w:val="000000"/>
          <w:sz w:val="22"/>
        </w:rPr>
        <w:t>whether delivery of the proposed health technology can be delegated to another</w:t>
      </w:r>
      <w:r w:rsidRPr="00BE0612">
        <w:rPr>
          <w:rFonts w:ascii="Segoe UI" w:eastAsia="Segoe UI" w:hAnsi="Segoe UI"/>
          <w:b/>
          <w:color w:val="000000"/>
          <w:sz w:val="22"/>
        </w:rPr>
        <w:t xml:space="preserve"> health professional:</w:t>
      </w:r>
    </w:p>
    <w:p w14:paraId="46150CA8" w14:textId="77777777" w:rsidR="006227EF" w:rsidRDefault="006227EF" w:rsidP="006227EF">
      <w:pPr>
        <w:spacing w:after="0" w:line="240" w:lineRule="auto"/>
        <w:rPr>
          <w:rFonts w:ascii="Segoe UI" w:eastAsia="Segoe UI" w:hAnsi="Segoe UI"/>
          <w:b/>
          <w:color w:val="000000"/>
          <w:sz w:val="22"/>
        </w:rPr>
      </w:pPr>
    </w:p>
    <w:p w14:paraId="30935A1B" w14:textId="41792DCE" w:rsidR="006227EF" w:rsidRDefault="00DD355D" w:rsidP="006227EF">
      <w:pPr>
        <w:spacing w:after="0" w:line="240" w:lineRule="auto"/>
        <w:rPr>
          <w:rFonts w:asciiTheme="minorHAnsi" w:eastAsia="Segoe UI" w:hAnsiTheme="minorHAnsi" w:cstheme="minorHAnsi"/>
          <w:color w:val="000000"/>
          <w:sz w:val="22"/>
          <w:szCs w:val="22"/>
        </w:rPr>
      </w:pPr>
      <w:r>
        <w:rPr>
          <w:rFonts w:ascii="Segoe UI" w:hAnsi="Segoe UI" w:cs="Segoe UI"/>
          <w:sz w:val="22"/>
          <w:szCs w:val="22"/>
        </w:rPr>
        <w:t>No</w:t>
      </w:r>
    </w:p>
    <w:p w14:paraId="5A95FA3B" w14:textId="1FF485D1" w:rsidR="00665487" w:rsidRDefault="00665487"/>
    <w:p w14:paraId="5E38BA3B" w14:textId="5598DC0C" w:rsidR="006227EF" w:rsidRDefault="006227EF" w:rsidP="006227EF">
      <w:pPr>
        <w:spacing w:after="0" w:line="240" w:lineRule="auto"/>
        <w:rPr>
          <w:rFonts w:ascii="Segoe UI" w:eastAsia="Segoe UI" w:hAnsi="Segoe UI"/>
          <w:b/>
          <w:color w:val="000000"/>
          <w:sz w:val="22"/>
        </w:rPr>
      </w:pPr>
      <w:r w:rsidRPr="00BE0612">
        <w:rPr>
          <w:rFonts w:ascii="Segoe UI" w:eastAsia="Segoe UI" w:hAnsi="Segoe UI"/>
          <w:b/>
          <w:color w:val="000000"/>
          <w:sz w:val="22"/>
        </w:rPr>
        <w:t xml:space="preserve">If applicable, advise </w:t>
      </w:r>
      <w:r w:rsidR="00BE0612" w:rsidRPr="00BE0612">
        <w:rPr>
          <w:rFonts w:ascii="Segoe UI" w:eastAsia="Segoe UI" w:hAnsi="Segoe UI"/>
          <w:b/>
          <w:color w:val="000000"/>
          <w:sz w:val="22"/>
        </w:rPr>
        <w:t>if there are any limitations on which health professionals might provide a referral for</w:t>
      </w:r>
      <w:r w:rsidRPr="00BE0612">
        <w:rPr>
          <w:rFonts w:ascii="Segoe UI" w:eastAsia="Segoe UI" w:hAnsi="Segoe UI"/>
          <w:b/>
          <w:color w:val="000000"/>
          <w:sz w:val="22"/>
        </w:rPr>
        <w:t xml:space="preserve"> the proposed health technology:</w:t>
      </w:r>
    </w:p>
    <w:p w14:paraId="414D5196" w14:textId="77777777" w:rsidR="006227EF" w:rsidRDefault="006227EF" w:rsidP="006227EF">
      <w:pPr>
        <w:spacing w:after="0" w:line="240" w:lineRule="auto"/>
        <w:rPr>
          <w:rFonts w:ascii="Segoe UI" w:eastAsia="Segoe UI" w:hAnsi="Segoe UI"/>
          <w:b/>
          <w:color w:val="000000"/>
          <w:sz w:val="22"/>
        </w:rPr>
      </w:pPr>
    </w:p>
    <w:p w14:paraId="4E3FC467" w14:textId="3F69ADE0" w:rsidR="006227EF" w:rsidRDefault="00DD355D" w:rsidP="006227EF">
      <w:pPr>
        <w:spacing w:after="0" w:line="240" w:lineRule="auto"/>
        <w:rPr>
          <w:rFonts w:asciiTheme="minorHAnsi" w:eastAsia="Segoe UI" w:hAnsiTheme="minorHAnsi" w:cstheme="minorHAnsi"/>
          <w:color w:val="000000"/>
          <w:sz w:val="22"/>
          <w:szCs w:val="22"/>
        </w:rPr>
      </w:pPr>
      <w:r>
        <w:rPr>
          <w:rFonts w:ascii="Segoe UI" w:hAnsi="Segoe UI" w:cs="Segoe UI"/>
          <w:sz w:val="22"/>
          <w:szCs w:val="22"/>
        </w:rPr>
        <w:t>Clinical ophthalmologists, Optometrists.</w:t>
      </w:r>
    </w:p>
    <w:p w14:paraId="02BE6BC3" w14:textId="48253016" w:rsidR="006227EF" w:rsidRDefault="006227EF"/>
    <w:p w14:paraId="30AC00A8" w14:textId="59E0FD10" w:rsidR="00380C41" w:rsidRDefault="00380C41" w:rsidP="00380C41">
      <w:pPr>
        <w:rPr>
          <w:rFonts w:ascii="Segoe UI" w:eastAsia="Segoe UI" w:hAnsi="Segoe UI"/>
          <w:bCs/>
          <w:color w:val="000000"/>
          <w:sz w:val="22"/>
        </w:rPr>
      </w:pPr>
      <w:r>
        <w:rPr>
          <w:rFonts w:ascii="Segoe UI" w:eastAsia="Segoe UI" w:hAnsi="Segoe UI"/>
          <w:b/>
          <w:color w:val="000000"/>
          <w:sz w:val="22"/>
        </w:rPr>
        <w:t xml:space="preserve">Is there specific training or qualifications required to provide or deliver the proposed service, and/or any accreditation requirements to support delivery of the health technology? </w:t>
      </w:r>
    </w:p>
    <w:p w14:paraId="51A1FACE" w14:textId="72289934" w:rsidR="00380C41" w:rsidRPr="004F31A3" w:rsidRDefault="004F31A3" w:rsidP="00730CAD">
      <w:pPr>
        <w:spacing w:after="0" w:line="240" w:lineRule="auto"/>
        <w:rPr>
          <w:rFonts w:ascii="Segoe UI" w:eastAsia="Segoe UI" w:hAnsi="Segoe UI"/>
          <w:b/>
          <w:color w:val="000000"/>
          <w:sz w:val="22"/>
        </w:rPr>
      </w:pPr>
      <w:r w:rsidRPr="004F31A3">
        <w:rPr>
          <w:rFonts w:ascii="Segoe UI" w:eastAsia="Segoe UI" w:hAnsi="Segoe UI"/>
          <w:b/>
          <w:color w:val="000000"/>
          <w:sz w:val="22"/>
        </w:rPr>
        <w:t>Yes</w:t>
      </w:r>
    </w:p>
    <w:p w14:paraId="4E1F9F81" w14:textId="77777777" w:rsidR="00380C41" w:rsidRDefault="00380C41" w:rsidP="00380C41"/>
    <w:p w14:paraId="2E36FC91" w14:textId="62325928" w:rsidR="00380C41" w:rsidRDefault="00380C41" w:rsidP="00380C41">
      <w:pPr>
        <w:spacing w:after="0" w:line="240" w:lineRule="auto"/>
        <w:rPr>
          <w:rFonts w:ascii="Segoe UI" w:eastAsia="Segoe UI" w:hAnsi="Segoe UI"/>
          <w:b/>
          <w:color w:val="000000"/>
          <w:sz w:val="22"/>
        </w:rPr>
      </w:pPr>
      <w:r>
        <w:rPr>
          <w:rFonts w:ascii="Segoe UI" w:eastAsia="Segoe UI" w:hAnsi="Segoe UI"/>
          <w:b/>
          <w:color w:val="000000"/>
          <w:sz w:val="22"/>
        </w:rPr>
        <w:t>Provide details and explain:</w:t>
      </w:r>
    </w:p>
    <w:p w14:paraId="0E842550" w14:textId="77777777" w:rsidR="00380C41" w:rsidRDefault="00380C41" w:rsidP="00380C41">
      <w:pPr>
        <w:spacing w:after="0" w:line="240" w:lineRule="auto"/>
        <w:rPr>
          <w:rFonts w:ascii="Segoe UI" w:eastAsia="Segoe UI" w:hAnsi="Segoe UI"/>
          <w:b/>
          <w:color w:val="000000"/>
          <w:sz w:val="22"/>
        </w:rPr>
      </w:pPr>
    </w:p>
    <w:p w14:paraId="2FAA0185" w14:textId="00C542F2" w:rsidR="00380C41" w:rsidRDefault="00DD355D" w:rsidP="003102B4">
      <w:pPr>
        <w:pStyle w:val="Responsetext"/>
      </w:pPr>
      <w:r>
        <w:t xml:space="preserve">The service must be performed </w:t>
      </w:r>
      <w:r w:rsidRPr="00DD355D">
        <w:t>by a</w:t>
      </w:r>
      <w:r>
        <w:t>n ophthalmologist</w:t>
      </w:r>
      <w:r w:rsidRPr="00DD355D">
        <w:t xml:space="preserve"> with </w:t>
      </w:r>
      <w:r>
        <w:t xml:space="preserve">surgical </w:t>
      </w:r>
      <w:r w:rsidRPr="00DD355D">
        <w:t>training that is recognised by the Conjoint Committee for the Recognition of Training in Micro-Bypass Glaucoma Surgery</w:t>
      </w:r>
      <w:r w:rsidR="00864A18">
        <w:t xml:space="preserve"> (consistent with the training requirements </w:t>
      </w:r>
      <w:r w:rsidR="00D4634B">
        <w:t>for</w:t>
      </w:r>
      <w:r w:rsidR="00864A18">
        <w:t xml:space="preserve"> </w:t>
      </w:r>
      <w:r w:rsidR="00D4634B">
        <w:t xml:space="preserve">use of </w:t>
      </w:r>
      <w:r w:rsidR="00864A18">
        <w:t>item 42504</w:t>
      </w:r>
      <w:r w:rsidR="00D4634B">
        <w:t>)</w:t>
      </w:r>
      <w:r>
        <w:t>.</w:t>
      </w:r>
      <w:r w:rsidR="00464A8F">
        <w:t xml:space="preserve"> </w:t>
      </w:r>
      <w:r w:rsidR="00464A8F" w:rsidRPr="00464A8F">
        <w:t>The Conjoint Committee comprises representatives from the Australian and New Zealand Glaucoma Society (ANZGS) and the Royal Australian and New Zealand College of Ophthalmologists (RANZCO).</w:t>
      </w:r>
    </w:p>
    <w:p w14:paraId="04348017" w14:textId="77777777" w:rsidR="00B8306A" w:rsidRDefault="00864A18" w:rsidP="003102B4">
      <w:pPr>
        <w:pStyle w:val="Responsetext"/>
      </w:pPr>
      <w:r>
        <w:t>Additio</w:t>
      </w:r>
      <w:r w:rsidR="00D4634B">
        <w:t>nally the RANZCO Guidelines for standalone trabecular micro-bypass glaucoma MBGS stenting recommend that surgeons should be certified by the medical device supplier to e</w:t>
      </w:r>
      <w:r w:rsidR="00D4634B" w:rsidRPr="00D4634B">
        <w:t>nsure they have undergone training and possess the appropriate understanding, training and skills specific to the insertion of these devices</w:t>
      </w:r>
      <w:r w:rsidR="00D4634B">
        <w:t xml:space="preserve"> </w:t>
      </w:r>
      <w:r w:rsidR="00464A8F">
        <w:fldChar w:fldCharType="begin"/>
      </w:r>
      <w:r w:rsidR="000D1061">
        <w:instrText xml:space="preserve"> ADDIN EN.CITE &lt;EndNote&gt;&lt;Cite&gt;&lt;Author&gt;RANZCO&lt;/Author&gt;&lt;Year&gt;2020&lt;/Year&gt;&lt;RecNum&gt;2&lt;/RecNum&gt;&lt;DisplayText&gt;(RANZCO 2020a)&lt;/DisplayText&gt;&lt;record&gt;&lt;rec-number&gt;2&lt;/rec-number&gt;&lt;foreign-keys&gt;&lt;key app="EN" db-id="0tfze2xwopafsxerxxip50rgeept0fs2fwvx" timestamp="1689471645"&gt;2&lt;/key&gt;&lt;/foreign-keys&gt;&lt;ref-type name="Web Page"&gt;12&lt;/ref-type&gt;&lt;contributors&gt;&lt;authors&gt;&lt;author&gt;RANZCO,&lt;/author&gt;&lt;/authors&gt;&lt;/contributors&gt;&lt;titles&gt;&lt;title&gt;The Royal Australian and New Zealand College of Ophthalmologists. Guidelines for Standalone Trans-trabecular Micro-bypass Glaucoma Stenting (MBGS).&lt;/title&gt;&lt;/titles&gt;&lt;num-vols&gt;196.2020.06 01&lt;/num-vols&gt;&lt;section&gt;9 June 2020&lt;/section&gt;&lt;dates&gt;&lt;year&gt;2020&lt;/year&gt;&lt;/dates&gt;&lt;publisher&gt;The Royal Australian and New Zealand College of Ophthalmologists&lt;/publisher&gt;&lt;urls&gt;&lt;related-urls&gt;&lt;url&gt;https://ranzco.edu/wp-content/uploads/2020/06/Guidelines-for-Standalone-Trans-trabecular-Micro-Bypass-Glaucoma-MBGS-stenting.pdf&lt;/url&gt;&lt;/related-urls&gt;&lt;/urls&gt;&lt;/record&gt;&lt;/Cite&gt;&lt;/EndNote&gt;</w:instrText>
      </w:r>
      <w:r w:rsidR="00464A8F">
        <w:fldChar w:fldCharType="separate"/>
      </w:r>
      <w:r w:rsidR="000D1061">
        <w:rPr>
          <w:noProof/>
        </w:rPr>
        <w:t>(RANZCO 2020a)</w:t>
      </w:r>
      <w:r w:rsidR="00464A8F">
        <w:fldChar w:fldCharType="end"/>
      </w:r>
      <w:r w:rsidR="00D4634B">
        <w:t xml:space="preserve">. This </w:t>
      </w:r>
      <w:r w:rsidR="00464A8F">
        <w:t xml:space="preserve">requirement </w:t>
      </w:r>
      <w:r w:rsidR="00D4634B">
        <w:t xml:space="preserve">would also be applicable </w:t>
      </w:r>
      <w:r w:rsidR="00464A8F">
        <w:t xml:space="preserve">when </w:t>
      </w:r>
      <w:r w:rsidR="00D4634B">
        <w:t>MINIject</w:t>
      </w:r>
      <w:r w:rsidR="00464A8F">
        <w:t xml:space="preserve"> is used for standalone MBGS.</w:t>
      </w:r>
      <w:r w:rsidR="00B8306A">
        <w:t xml:space="preserve"> </w:t>
      </w:r>
    </w:p>
    <w:p w14:paraId="5D08774F" w14:textId="27593BFC" w:rsidR="00864A18" w:rsidRDefault="004F31A3" w:rsidP="003102B4">
      <w:pPr>
        <w:pStyle w:val="Responsetext"/>
        <w:rPr>
          <w:b/>
          <w:bCs/>
        </w:rPr>
      </w:pPr>
      <w:r w:rsidRPr="004F31A3">
        <w:rPr>
          <w:b/>
          <w:bCs/>
        </w:rPr>
        <w:t>Redacted</w:t>
      </w:r>
    </w:p>
    <w:p w14:paraId="255EFEFA" w14:textId="77777777" w:rsidR="00022B2C" w:rsidRPr="004F31A3" w:rsidRDefault="00022B2C" w:rsidP="00022B2C">
      <w:pPr>
        <w:pStyle w:val="Responsetext"/>
        <w:spacing w:after="0"/>
        <w:rPr>
          <w:b/>
          <w:bCs/>
        </w:rPr>
      </w:pPr>
    </w:p>
    <w:p w14:paraId="40213484" w14:textId="51048A62" w:rsidR="00380C41" w:rsidRDefault="00BB494A" w:rsidP="00380C41">
      <w:pPr>
        <w:spacing w:after="0" w:line="240" w:lineRule="auto"/>
        <w:rPr>
          <w:rFonts w:ascii="Segoe UI" w:eastAsia="Segoe UI" w:hAnsi="Segoe UI"/>
          <w:b/>
          <w:color w:val="000000"/>
          <w:sz w:val="22"/>
        </w:rPr>
      </w:pPr>
      <w:r>
        <w:rPr>
          <w:rFonts w:ascii="Segoe UI" w:eastAsia="Segoe UI" w:hAnsi="Segoe UI"/>
          <w:b/>
          <w:color w:val="000000"/>
          <w:sz w:val="22"/>
        </w:rPr>
        <w:t xml:space="preserve">Indicate the proposed setting(s) in which the proposed health technology will be delivered: </w:t>
      </w:r>
      <w:r w:rsidRPr="00B63A61">
        <w:rPr>
          <w:rFonts w:ascii="Segoe UI" w:eastAsia="Segoe UI" w:hAnsi="Segoe UI"/>
          <w:bCs/>
          <w:color w:val="000000"/>
          <w:sz w:val="22"/>
        </w:rPr>
        <w:t>(</w:t>
      </w:r>
      <w:r>
        <w:rPr>
          <w:rFonts w:ascii="Segoe UI" w:eastAsia="Segoe UI" w:hAnsi="Segoe UI"/>
          <w:bCs/>
          <w:color w:val="000000"/>
          <w:sz w:val="22"/>
        </w:rPr>
        <w:t>select all relevant settings</w:t>
      </w:r>
      <w:r w:rsidRPr="00B63A61">
        <w:rPr>
          <w:rFonts w:ascii="Segoe UI" w:eastAsia="Segoe UI" w:hAnsi="Segoe UI"/>
          <w:bCs/>
          <w:color w:val="000000"/>
          <w:sz w:val="22"/>
        </w:rPr>
        <w:t>)</w:t>
      </w:r>
    </w:p>
    <w:p w14:paraId="54E88C9C" w14:textId="77777777" w:rsidR="00380C41" w:rsidRDefault="00380C41" w:rsidP="00380C41">
      <w:pPr>
        <w:spacing w:after="0" w:line="240" w:lineRule="auto"/>
        <w:rPr>
          <w:rFonts w:ascii="Segoe UI" w:eastAsia="Segoe UI" w:hAnsi="Segoe UI"/>
          <w:b/>
          <w:color w:val="000000"/>
          <w:sz w:val="22"/>
        </w:rPr>
      </w:pPr>
    </w:p>
    <w:p w14:paraId="786722A5" w14:textId="7F65AC67" w:rsidR="00380C41" w:rsidRPr="000627EF" w:rsidRDefault="00380C41"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00FA7BD3">
        <w:rPr>
          <w:rFonts w:ascii="Segoe UI" w:hAnsi="Segoe UI" w:cs="Segoe UI"/>
          <w:sz w:val="22"/>
          <w:szCs w:val="22"/>
        </w:rPr>
      </w:r>
      <w:r w:rsidR="00FA7BD3">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sidR="00BB494A">
        <w:rPr>
          <w:rFonts w:ascii="Segoe UI" w:hAnsi="Segoe UI" w:cs="Segoe UI"/>
          <w:sz w:val="22"/>
          <w:szCs w:val="22"/>
        </w:rPr>
        <w:t>Consulting rooms</w:t>
      </w:r>
      <w:r w:rsidRPr="000627EF">
        <w:rPr>
          <w:rFonts w:ascii="Segoe UI" w:hAnsi="Segoe UI" w:cs="Segoe UI"/>
          <w:sz w:val="22"/>
          <w:szCs w:val="22"/>
        </w:rPr>
        <w:t xml:space="preserve"> </w:t>
      </w:r>
    </w:p>
    <w:p w14:paraId="27A91C50" w14:textId="587C9C5E" w:rsidR="00380C41" w:rsidRPr="000627EF" w:rsidRDefault="004D51F9" w:rsidP="002D7216">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sidR="00FA7BD3">
        <w:rPr>
          <w:rFonts w:ascii="Segoe UI" w:hAnsi="Segoe UI" w:cs="Segoe UI"/>
          <w:sz w:val="22"/>
          <w:szCs w:val="22"/>
        </w:rPr>
      </w:r>
      <w:r w:rsidR="00FA7BD3">
        <w:rPr>
          <w:rFonts w:ascii="Segoe UI" w:hAnsi="Segoe UI" w:cs="Segoe UI"/>
          <w:sz w:val="22"/>
          <w:szCs w:val="22"/>
        </w:rPr>
        <w:fldChar w:fldCharType="separate"/>
      </w:r>
      <w:r>
        <w:rPr>
          <w:rFonts w:ascii="Segoe UI" w:hAnsi="Segoe UI" w:cs="Segoe UI"/>
          <w:sz w:val="22"/>
          <w:szCs w:val="22"/>
        </w:rPr>
        <w:fldChar w:fldCharType="end"/>
      </w:r>
      <w:r w:rsidR="00380C41" w:rsidRPr="000627EF">
        <w:rPr>
          <w:rFonts w:ascii="Segoe UI" w:hAnsi="Segoe UI" w:cs="Segoe UI"/>
          <w:sz w:val="22"/>
          <w:szCs w:val="22"/>
        </w:rPr>
        <w:t xml:space="preserve"> </w:t>
      </w:r>
      <w:r w:rsidR="00BB494A">
        <w:rPr>
          <w:rFonts w:ascii="Segoe UI" w:hAnsi="Segoe UI" w:cs="Segoe UI"/>
          <w:sz w:val="22"/>
          <w:szCs w:val="22"/>
        </w:rPr>
        <w:t>Day surgery centre</w:t>
      </w:r>
    </w:p>
    <w:p w14:paraId="1DAFF305" w14:textId="40C84702" w:rsidR="00380C41" w:rsidRPr="000627EF" w:rsidRDefault="00380C41"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00FA7BD3">
        <w:rPr>
          <w:rFonts w:ascii="Segoe UI" w:hAnsi="Segoe UI" w:cs="Segoe UI"/>
          <w:sz w:val="22"/>
          <w:szCs w:val="22"/>
        </w:rPr>
      </w:r>
      <w:r w:rsidR="00FA7BD3">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sidR="00BB494A">
        <w:rPr>
          <w:rFonts w:ascii="Segoe UI" w:hAnsi="Segoe UI" w:cs="Segoe UI"/>
          <w:sz w:val="22"/>
          <w:szCs w:val="22"/>
        </w:rPr>
        <w:t>Emergency Department</w:t>
      </w:r>
      <w:r w:rsidRPr="000627EF">
        <w:rPr>
          <w:rFonts w:ascii="Segoe UI" w:hAnsi="Segoe UI" w:cs="Segoe UI"/>
          <w:sz w:val="22"/>
          <w:szCs w:val="22"/>
        </w:rPr>
        <w:t xml:space="preserve"> </w:t>
      </w:r>
    </w:p>
    <w:p w14:paraId="020AC503" w14:textId="391CB9E8" w:rsidR="00380C41" w:rsidRDefault="004D51F9" w:rsidP="002D7216">
      <w:pPr>
        <w:pStyle w:val="Tickboxes"/>
        <w:ind w:left="0"/>
        <w:rPr>
          <w:rFonts w:ascii="Segoe UI" w:hAnsi="Segoe UI" w:cs="Segoe UI"/>
          <w:sz w:val="22"/>
          <w:szCs w:val="22"/>
        </w:rPr>
      </w:pPr>
      <w:r>
        <w:rPr>
          <w:rFonts w:ascii="Segoe UI" w:hAnsi="Segoe UI" w:cs="Segoe UI"/>
          <w:sz w:val="22"/>
          <w:szCs w:val="22"/>
        </w:rPr>
        <w:fldChar w:fldCharType="begin">
          <w:ffData>
            <w:name w:val="Check2"/>
            <w:enabled/>
            <w:calcOnExit w:val="0"/>
            <w:checkBox>
              <w:sizeAuto/>
              <w:default w:val="1"/>
            </w:checkBox>
          </w:ffData>
        </w:fldChar>
      </w:r>
      <w:bookmarkStart w:id="1" w:name="Check2"/>
      <w:r>
        <w:rPr>
          <w:rFonts w:ascii="Segoe UI" w:hAnsi="Segoe UI" w:cs="Segoe UI"/>
          <w:sz w:val="22"/>
          <w:szCs w:val="22"/>
        </w:rPr>
        <w:instrText xml:space="preserve"> FORMCHECKBOX </w:instrText>
      </w:r>
      <w:r w:rsidR="00FA7BD3">
        <w:rPr>
          <w:rFonts w:ascii="Segoe UI" w:hAnsi="Segoe UI" w:cs="Segoe UI"/>
          <w:sz w:val="22"/>
          <w:szCs w:val="22"/>
        </w:rPr>
      </w:r>
      <w:r w:rsidR="00FA7BD3">
        <w:rPr>
          <w:rFonts w:ascii="Segoe UI" w:hAnsi="Segoe UI" w:cs="Segoe UI"/>
          <w:sz w:val="22"/>
          <w:szCs w:val="22"/>
        </w:rPr>
        <w:fldChar w:fldCharType="separate"/>
      </w:r>
      <w:r>
        <w:rPr>
          <w:rFonts w:ascii="Segoe UI" w:hAnsi="Segoe UI" w:cs="Segoe UI"/>
          <w:sz w:val="22"/>
          <w:szCs w:val="22"/>
        </w:rPr>
        <w:fldChar w:fldCharType="end"/>
      </w:r>
      <w:bookmarkEnd w:id="1"/>
      <w:r w:rsidR="00380C41">
        <w:rPr>
          <w:rFonts w:ascii="Segoe UI" w:hAnsi="Segoe UI" w:cs="Segoe UI"/>
          <w:sz w:val="22"/>
          <w:szCs w:val="22"/>
        </w:rPr>
        <w:t xml:space="preserve"> </w:t>
      </w:r>
      <w:r w:rsidR="00BB494A">
        <w:rPr>
          <w:rFonts w:ascii="Segoe UI" w:hAnsi="Segoe UI" w:cs="Segoe UI"/>
          <w:sz w:val="22"/>
          <w:szCs w:val="22"/>
        </w:rPr>
        <w:t>Inpatient private hospital</w:t>
      </w:r>
    </w:p>
    <w:p w14:paraId="6E8C6D7D" w14:textId="269E647A" w:rsidR="00BB494A" w:rsidRPr="000627EF" w:rsidRDefault="00B1021E" w:rsidP="002D7216">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sidR="00FA7BD3">
        <w:rPr>
          <w:rFonts w:ascii="Segoe UI" w:hAnsi="Segoe UI" w:cs="Segoe UI"/>
          <w:sz w:val="22"/>
          <w:szCs w:val="22"/>
        </w:rPr>
      </w:r>
      <w:r w:rsidR="00FA7BD3">
        <w:rPr>
          <w:rFonts w:ascii="Segoe UI" w:hAnsi="Segoe UI" w:cs="Segoe UI"/>
          <w:sz w:val="22"/>
          <w:szCs w:val="22"/>
        </w:rPr>
        <w:fldChar w:fldCharType="separate"/>
      </w:r>
      <w:r>
        <w:rPr>
          <w:rFonts w:ascii="Segoe UI" w:hAnsi="Segoe UI" w:cs="Segoe UI"/>
          <w:sz w:val="22"/>
          <w:szCs w:val="22"/>
        </w:rPr>
        <w:fldChar w:fldCharType="end"/>
      </w:r>
      <w:r w:rsidR="00BB494A" w:rsidRPr="000627EF">
        <w:rPr>
          <w:rFonts w:ascii="Segoe UI" w:hAnsi="Segoe UI" w:cs="Segoe UI"/>
          <w:sz w:val="22"/>
          <w:szCs w:val="22"/>
        </w:rPr>
        <w:t xml:space="preserve"> </w:t>
      </w:r>
      <w:r w:rsidR="00BB494A">
        <w:rPr>
          <w:rFonts w:ascii="Segoe UI" w:hAnsi="Segoe UI" w:cs="Segoe UI"/>
          <w:sz w:val="22"/>
          <w:szCs w:val="22"/>
        </w:rPr>
        <w:t>Inpatient public hospital</w:t>
      </w:r>
      <w:r w:rsidR="00BB494A" w:rsidRPr="000627EF">
        <w:rPr>
          <w:rFonts w:ascii="Segoe UI" w:hAnsi="Segoe UI" w:cs="Segoe UI"/>
          <w:sz w:val="22"/>
          <w:szCs w:val="22"/>
        </w:rPr>
        <w:t xml:space="preserve"> </w:t>
      </w:r>
    </w:p>
    <w:p w14:paraId="1C5133DF" w14:textId="2F641D97" w:rsidR="00BB494A" w:rsidRPr="000627EF" w:rsidRDefault="00BB494A"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00FA7BD3">
        <w:rPr>
          <w:rFonts w:ascii="Segoe UI" w:hAnsi="Segoe UI" w:cs="Segoe UI"/>
          <w:sz w:val="22"/>
          <w:szCs w:val="22"/>
        </w:rPr>
      </w:r>
      <w:r w:rsidR="00FA7BD3">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Laboratory</w:t>
      </w:r>
    </w:p>
    <w:p w14:paraId="723FB55F" w14:textId="4F589AB5" w:rsidR="00BB494A" w:rsidRPr="000627EF" w:rsidRDefault="00BB494A"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00FA7BD3">
        <w:rPr>
          <w:rFonts w:ascii="Segoe UI" w:hAnsi="Segoe UI" w:cs="Segoe UI"/>
          <w:sz w:val="22"/>
          <w:szCs w:val="22"/>
        </w:rPr>
      </w:r>
      <w:r w:rsidR="00FA7BD3">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Outpatient clinic</w:t>
      </w:r>
      <w:r w:rsidRPr="000627EF">
        <w:rPr>
          <w:rFonts w:ascii="Segoe UI" w:hAnsi="Segoe UI" w:cs="Segoe UI"/>
          <w:sz w:val="22"/>
          <w:szCs w:val="22"/>
        </w:rPr>
        <w:t xml:space="preserve"> </w:t>
      </w:r>
    </w:p>
    <w:p w14:paraId="111DE2AB" w14:textId="35A5324A" w:rsidR="00BB494A" w:rsidRDefault="00BB494A"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00FA7BD3">
        <w:rPr>
          <w:rFonts w:ascii="Segoe UI" w:hAnsi="Segoe UI" w:cs="Segoe UI"/>
          <w:sz w:val="22"/>
          <w:szCs w:val="22"/>
        </w:rPr>
      </w:r>
      <w:r w:rsidR="00FA7BD3">
        <w:rPr>
          <w:rFonts w:ascii="Segoe UI" w:hAnsi="Segoe UI" w:cs="Segoe UI"/>
          <w:sz w:val="22"/>
          <w:szCs w:val="22"/>
        </w:rPr>
        <w:fldChar w:fldCharType="separate"/>
      </w:r>
      <w:r w:rsidRPr="000627EF">
        <w:rPr>
          <w:rFonts w:ascii="Segoe UI" w:hAnsi="Segoe UI" w:cs="Segoe UI"/>
          <w:sz w:val="22"/>
          <w:szCs w:val="22"/>
        </w:rPr>
        <w:fldChar w:fldCharType="end"/>
      </w:r>
      <w:r>
        <w:rPr>
          <w:rFonts w:ascii="Segoe UI" w:hAnsi="Segoe UI" w:cs="Segoe UI"/>
          <w:sz w:val="22"/>
          <w:szCs w:val="22"/>
        </w:rPr>
        <w:t xml:space="preserve"> Patient’s home</w:t>
      </w:r>
    </w:p>
    <w:p w14:paraId="428D75FD" w14:textId="3E4C76FA" w:rsidR="00BB494A" w:rsidRPr="000627EF" w:rsidRDefault="00BB494A"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00FA7BD3">
        <w:rPr>
          <w:rFonts w:ascii="Segoe UI" w:hAnsi="Segoe UI" w:cs="Segoe UI"/>
          <w:sz w:val="22"/>
          <w:szCs w:val="22"/>
        </w:rPr>
      </w:r>
      <w:r w:rsidR="00FA7BD3">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Point of care testing</w:t>
      </w:r>
      <w:r w:rsidRPr="000627EF">
        <w:rPr>
          <w:rFonts w:ascii="Segoe UI" w:hAnsi="Segoe UI" w:cs="Segoe UI"/>
          <w:sz w:val="22"/>
          <w:szCs w:val="22"/>
        </w:rPr>
        <w:t xml:space="preserve"> </w:t>
      </w:r>
    </w:p>
    <w:p w14:paraId="47F449C5" w14:textId="7A9B3B9E" w:rsidR="00BB494A" w:rsidRPr="000627EF" w:rsidRDefault="00BB494A"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00FA7BD3">
        <w:rPr>
          <w:rFonts w:ascii="Segoe UI" w:hAnsi="Segoe UI" w:cs="Segoe UI"/>
          <w:sz w:val="22"/>
          <w:szCs w:val="22"/>
        </w:rPr>
      </w:r>
      <w:r w:rsidR="00FA7BD3">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Residential aged care facility</w:t>
      </w:r>
    </w:p>
    <w:p w14:paraId="01BEE2C3" w14:textId="404D7701" w:rsidR="00BB494A" w:rsidRPr="000627EF" w:rsidRDefault="00BB494A"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00FA7BD3">
        <w:rPr>
          <w:rFonts w:ascii="Segoe UI" w:hAnsi="Segoe UI" w:cs="Segoe UI"/>
          <w:sz w:val="22"/>
          <w:szCs w:val="22"/>
        </w:rPr>
      </w:r>
      <w:r w:rsidR="00FA7BD3">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Other (please specify)</w:t>
      </w:r>
      <w:r w:rsidRPr="000627EF">
        <w:rPr>
          <w:rFonts w:ascii="Segoe UI" w:hAnsi="Segoe UI" w:cs="Segoe UI"/>
          <w:sz w:val="22"/>
          <w:szCs w:val="22"/>
        </w:rPr>
        <w:t xml:space="preserve"> </w:t>
      </w:r>
    </w:p>
    <w:p w14:paraId="594B3A20" w14:textId="77777777" w:rsidR="00BB494A" w:rsidRPr="000627EF" w:rsidRDefault="00BB494A" w:rsidP="00380C41">
      <w:pPr>
        <w:pStyle w:val="Tickboxes"/>
        <w:ind w:left="-284"/>
        <w:rPr>
          <w:rFonts w:ascii="Segoe UI" w:hAnsi="Segoe UI" w:cs="Segoe UI"/>
          <w:b/>
          <w:bCs w:val="0"/>
          <w:sz w:val="22"/>
          <w:szCs w:val="22"/>
        </w:rPr>
      </w:pPr>
    </w:p>
    <w:p w14:paraId="0D56AD3D" w14:textId="65F5731C" w:rsidR="00BB494A" w:rsidRDefault="004D51F9" w:rsidP="00BB494A">
      <w:pPr>
        <w:spacing w:after="0" w:line="240" w:lineRule="auto"/>
        <w:rPr>
          <w:rFonts w:asciiTheme="minorHAnsi" w:eastAsia="Segoe UI" w:hAnsiTheme="minorHAnsi" w:cstheme="minorHAnsi"/>
          <w:color w:val="000000"/>
          <w:sz w:val="22"/>
          <w:szCs w:val="22"/>
        </w:rPr>
      </w:pPr>
      <w:r>
        <w:rPr>
          <w:rFonts w:ascii="Segoe UI" w:hAnsi="Segoe UI" w:cs="Segoe UI"/>
          <w:sz w:val="22"/>
          <w:szCs w:val="22"/>
        </w:rPr>
        <w:t xml:space="preserve">The surgery would be carried out in day surgery centres or in a private hospital. While this surgery may be carried out in public hospitals, if the patient is a publicly-funded patient then the service </w:t>
      </w:r>
      <w:r w:rsidR="00287618">
        <w:rPr>
          <w:rFonts w:ascii="Segoe UI" w:hAnsi="Segoe UI" w:cs="Segoe UI"/>
          <w:sz w:val="22"/>
          <w:szCs w:val="22"/>
        </w:rPr>
        <w:t xml:space="preserve">would not </w:t>
      </w:r>
      <w:r>
        <w:rPr>
          <w:rFonts w:ascii="Segoe UI" w:hAnsi="Segoe UI" w:cs="Segoe UI"/>
          <w:sz w:val="22"/>
          <w:szCs w:val="22"/>
        </w:rPr>
        <w:t>be claimed under an MBS code.</w:t>
      </w:r>
    </w:p>
    <w:p w14:paraId="552DCBE3" w14:textId="4994C765" w:rsidR="00380C41" w:rsidRDefault="00380C41" w:rsidP="00380C41">
      <w:pPr>
        <w:spacing w:after="0" w:line="240" w:lineRule="auto"/>
        <w:rPr>
          <w:rFonts w:asciiTheme="minorHAnsi" w:eastAsia="Segoe UI" w:hAnsiTheme="minorHAnsi" w:cstheme="minorHAnsi"/>
          <w:color w:val="000000"/>
          <w:sz w:val="22"/>
          <w:szCs w:val="22"/>
        </w:rPr>
      </w:pPr>
    </w:p>
    <w:p w14:paraId="6BB258FD" w14:textId="340CBFF2" w:rsidR="00022B2C" w:rsidRDefault="00022B2C" w:rsidP="00380C41">
      <w:pPr>
        <w:spacing w:after="0" w:line="240" w:lineRule="auto"/>
        <w:rPr>
          <w:rFonts w:asciiTheme="minorHAnsi" w:eastAsia="Segoe UI" w:hAnsiTheme="minorHAnsi" w:cstheme="minorHAnsi"/>
          <w:color w:val="000000"/>
          <w:sz w:val="22"/>
          <w:szCs w:val="22"/>
        </w:rPr>
      </w:pPr>
    </w:p>
    <w:p w14:paraId="682C7F41" w14:textId="77777777" w:rsidR="00022B2C" w:rsidRPr="00BE6B22" w:rsidRDefault="00022B2C" w:rsidP="00380C41">
      <w:pPr>
        <w:spacing w:after="0" w:line="240" w:lineRule="auto"/>
        <w:rPr>
          <w:rFonts w:asciiTheme="minorHAnsi" w:eastAsia="Segoe UI" w:hAnsiTheme="minorHAnsi" w:cstheme="minorHAnsi"/>
          <w:color w:val="000000"/>
          <w:sz w:val="22"/>
          <w:szCs w:val="22"/>
        </w:rPr>
      </w:pPr>
    </w:p>
    <w:p w14:paraId="2A1C0D0A" w14:textId="2DFFCE29" w:rsidR="002D7216" w:rsidRDefault="002D7216" w:rsidP="002D7216">
      <w:pPr>
        <w:rPr>
          <w:rFonts w:ascii="Segoe UI" w:eastAsia="Segoe UI" w:hAnsi="Segoe UI"/>
          <w:bCs/>
          <w:color w:val="000000"/>
          <w:sz w:val="22"/>
        </w:rPr>
      </w:pPr>
      <w:r>
        <w:rPr>
          <w:rFonts w:ascii="Segoe UI" w:eastAsia="Segoe UI" w:hAnsi="Segoe UI"/>
          <w:b/>
          <w:color w:val="000000"/>
          <w:sz w:val="22"/>
        </w:rPr>
        <w:t xml:space="preserve">Is the proposed health technology intended to be entirely rendered inside Australia? </w:t>
      </w:r>
    </w:p>
    <w:p w14:paraId="112CF328" w14:textId="7AD5808F" w:rsidR="002D7216" w:rsidRPr="004F31A3" w:rsidRDefault="004F31A3" w:rsidP="00730CAD">
      <w:pPr>
        <w:spacing w:after="0" w:line="240" w:lineRule="auto"/>
        <w:rPr>
          <w:rFonts w:ascii="Segoe UI" w:eastAsia="Segoe UI" w:hAnsi="Segoe UI"/>
          <w:b/>
          <w:color w:val="000000"/>
          <w:sz w:val="22"/>
        </w:rPr>
      </w:pPr>
      <w:r w:rsidRPr="004F31A3">
        <w:rPr>
          <w:rFonts w:ascii="Segoe UI" w:eastAsia="Segoe UI" w:hAnsi="Segoe UI"/>
          <w:b/>
          <w:color w:val="000000"/>
          <w:sz w:val="22"/>
        </w:rPr>
        <w:t>Yes</w:t>
      </w:r>
    </w:p>
    <w:p w14:paraId="0478F3B1" w14:textId="77777777" w:rsidR="002D7216" w:rsidRDefault="002D7216" w:rsidP="00022B2C">
      <w:pPr>
        <w:spacing w:after="120"/>
      </w:pPr>
    </w:p>
    <w:p w14:paraId="2F297C95" w14:textId="518F319E" w:rsidR="002D7216" w:rsidRDefault="002D7216" w:rsidP="002D7216">
      <w:pPr>
        <w:spacing w:after="0" w:line="240" w:lineRule="auto"/>
        <w:rPr>
          <w:rFonts w:ascii="Segoe UI" w:eastAsia="Segoe UI" w:hAnsi="Segoe UI"/>
          <w:b/>
          <w:color w:val="000000"/>
          <w:sz w:val="22"/>
        </w:rPr>
      </w:pPr>
      <w:r>
        <w:rPr>
          <w:rFonts w:ascii="Segoe UI" w:eastAsia="Segoe UI" w:hAnsi="Segoe UI"/>
          <w:b/>
          <w:color w:val="000000"/>
          <w:sz w:val="22"/>
        </w:rPr>
        <w:t>Please provide additional details on the proposed health technology to be rendered outside of Australia:</w:t>
      </w:r>
    </w:p>
    <w:p w14:paraId="659D2B35" w14:textId="77777777" w:rsidR="002D7216" w:rsidRDefault="002D7216" w:rsidP="002D7216">
      <w:pPr>
        <w:spacing w:after="0" w:line="240" w:lineRule="auto"/>
        <w:rPr>
          <w:rFonts w:ascii="Segoe UI" w:eastAsia="Segoe UI" w:hAnsi="Segoe UI"/>
          <w:b/>
          <w:color w:val="000000"/>
          <w:sz w:val="22"/>
        </w:rPr>
      </w:pPr>
    </w:p>
    <w:p w14:paraId="598F6A3E" w14:textId="42397B8A" w:rsidR="002D7216" w:rsidRDefault="002D7216" w:rsidP="002D7216">
      <w:pPr>
        <w:spacing w:after="0" w:line="240" w:lineRule="auto"/>
        <w:rPr>
          <w:rFonts w:asciiTheme="minorHAnsi" w:eastAsia="Segoe UI" w:hAnsiTheme="minorHAnsi" w:cstheme="minorHAnsi"/>
          <w:color w:val="000000"/>
          <w:sz w:val="22"/>
          <w:szCs w:val="22"/>
        </w:rPr>
      </w:pPr>
      <w:r>
        <w:rPr>
          <w:rFonts w:ascii="Segoe UI" w:hAnsi="Segoe UI" w:cs="Segoe UI"/>
          <w:sz w:val="22"/>
          <w:szCs w:val="22"/>
        </w:rPr>
        <w:fldChar w:fldCharType="begin">
          <w:ffData>
            <w:name w:val=""/>
            <w:enabled/>
            <w:calcOnExit w:val="0"/>
            <w:textInput>
              <w:default w:val="Provide a response if you answered 'No' to the question above"/>
            </w:textInput>
          </w:ffData>
        </w:fldChar>
      </w:r>
      <w:r>
        <w:rPr>
          <w:rFonts w:ascii="Segoe UI" w:hAnsi="Segoe UI" w:cs="Segoe UI"/>
          <w:sz w:val="22"/>
          <w:szCs w:val="22"/>
        </w:rPr>
        <w:instrText xml:space="preserve"> FORMTEXT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noProof/>
          <w:sz w:val="22"/>
          <w:szCs w:val="22"/>
        </w:rPr>
        <w:t>Provide a response if you answered 'No' to the question above</w:t>
      </w:r>
      <w:r>
        <w:rPr>
          <w:rFonts w:ascii="Segoe UI" w:hAnsi="Segoe UI" w:cs="Segoe UI"/>
          <w:sz w:val="22"/>
          <w:szCs w:val="22"/>
        </w:rPr>
        <w:fldChar w:fldCharType="end"/>
      </w:r>
    </w:p>
    <w:p w14:paraId="50B7B1F9" w14:textId="77777777" w:rsidR="00BE0612" w:rsidRDefault="00BE0612"/>
    <w:p w14:paraId="5B9D9A2F" w14:textId="61DEB7C8" w:rsidR="00FE257E" w:rsidRDefault="00FE257E" w:rsidP="00FE257E">
      <w:pPr>
        <w:rPr>
          <w:rFonts w:ascii="Segoe UI" w:eastAsia="Segoe UI" w:hAnsi="Segoe UI"/>
          <w:b/>
          <w:color w:val="000000"/>
          <w:sz w:val="32"/>
        </w:rPr>
      </w:pPr>
      <w:r>
        <w:rPr>
          <w:rFonts w:ascii="Segoe UI" w:eastAsia="Segoe UI" w:hAnsi="Segoe UI"/>
          <w:b/>
          <w:color w:val="000000"/>
          <w:sz w:val="32"/>
        </w:rPr>
        <w:t>Comparator</w:t>
      </w:r>
    </w:p>
    <w:p w14:paraId="236B2BF5" w14:textId="7118FBB3" w:rsidR="00FE257E" w:rsidRDefault="00FE257E" w:rsidP="00FE257E">
      <w:pPr>
        <w:spacing w:after="0" w:line="240" w:lineRule="auto"/>
        <w:rPr>
          <w:rFonts w:ascii="Segoe UI" w:hAnsi="Segoe UI" w:cs="Segoe UI"/>
          <w:b/>
          <w:bCs/>
          <w:sz w:val="22"/>
          <w:szCs w:val="22"/>
        </w:rPr>
      </w:pPr>
      <w:r w:rsidRPr="00FE257E">
        <w:rPr>
          <w:rFonts w:ascii="Segoe UI" w:hAnsi="Segoe UI" w:cs="Segoe UI"/>
          <w:b/>
          <w:bCs/>
          <w:sz w:val="22"/>
          <w:szCs w:val="22"/>
        </w:rPr>
        <w:t xml:space="preserve">Nominate the appropriate comparator(s) for the proposed medical service (i.e. how is the proposed population currently managed in the absence of the proposed medical service being available in the </w:t>
      </w:r>
      <w:r w:rsidRPr="00FE257E">
        <w:rPr>
          <w:rFonts w:ascii="Segoe UI" w:hAnsi="Segoe UI" w:cs="Segoe UI"/>
          <w:b/>
          <w:bCs/>
          <w:sz w:val="22"/>
          <w:szCs w:val="22"/>
          <w:u w:val="single"/>
        </w:rPr>
        <w:t>Australian health care system)</w:t>
      </w:r>
      <w:r w:rsidRPr="00FE257E">
        <w:rPr>
          <w:rFonts w:ascii="Segoe UI" w:hAnsi="Segoe UI" w:cs="Segoe UI"/>
          <w:b/>
          <w:bCs/>
          <w:sz w:val="22"/>
          <w:szCs w:val="22"/>
        </w:rPr>
        <w:t>. This includes identifying health care resources that are needed to be delivered at the same time as the comparator service</w:t>
      </w:r>
      <w:r>
        <w:rPr>
          <w:rFonts w:ascii="Segoe UI" w:hAnsi="Segoe UI" w:cs="Segoe UI"/>
          <w:b/>
          <w:bCs/>
          <w:sz w:val="22"/>
          <w:szCs w:val="22"/>
        </w:rPr>
        <w:t>:</w:t>
      </w:r>
    </w:p>
    <w:p w14:paraId="4FFBF7A2" w14:textId="77777777" w:rsidR="00FE257E" w:rsidRDefault="00FE257E" w:rsidP="00FE257E">
      <w:pPr>
        <w:spacing w:after="0" w:line="240" w:lineRule="auto"/>
        <w:rPr>
          <w:rFonts w:ascii="Segoe UI" w:eastAsia="Segoe UI" w:hAnsi="Segoe UI"/>
          <w:b/>
          <w:color w:val="000000"/>
          <w:sz w:val="22"/>
        </w:rPr>
      </w:pPr>
    </w:p>
    <w:p w14:paraId="1057EECD" w14:textId="771299F3" w:rsidR="00FE257E" w:rsidRDefault="00226F65" w:rsidP="00FE257E">
      <w:pPr>
        <w:spacing w:after="0" w:line="240" w:lineRule="auto"/>
        <w:rPr>
          <w:rFonts w:ascii="Segoe UI" w:hAnsi="Segoe UI" w:cs="Segoe UI"/>
          <w:sz w:val="22"/>
          <w:szCs w:val="22"/>
        </w:rPr>
      </w:pPr>
      <w:r>
        <w:rPr>
          <w:rFonts w:ascii="Segoe UI" w:hAnsi="Segoe UI" w:cs="Segoe UI"/>
          <w:sz w:val="22"/>
          <w:szCs w:val="22"/>
        </w:rPr>
        <w:t>The comparator is implantation of an alternative micro-bypass surgery stent system via the trabecular meshwork</w:t>
      </w:r>
      <w:r w:rsidR="00121089">
        <w:rPr>
          <w:rFonts w:ascii="Segoe UI" w:hAnsi="Segoe UI" w:cs="Segoe UI"/>
          <w:sz w:val="22"/>
          <w:szCs w:val="22"/>
        </w:rPr>
        <w:t>, specifically the most used stent in Australia iS</w:t>
      </w:r>
      <w:r w:rsidR="00BE17F3">
        <w:rPr>
          <w:rFonts w:ascii="Segoe UI" w:hAnsi="Segoe UI" w:cs="Segoe UI"/>
          <w:sz w:val="22"/>
          <w:szCs w:val="22"/>
        </w:rPr>
        <w:t>tent</w:t>
      </w:r>
      <w:r w:rsidR="00121089" w:rsidRPr="00121089">
        <w:rPr>
          <w:rFonts w:ascii="Segoe UI" w:hAnsi="Segoe UI" w:cs="Segoe UI"/>
          <w:sz w:val="22"/>
          <w:szCs w:val="22"/>
          <w:vertAlign w:val="superscript"/>
        </w:rPr>
        <w:sym w:font="Symbol" w:char="F0D2"/>
      </w:r>
      <w:r w:rsidR="00E4636A">
        <w:rPr>
          <w:rFonts w:ascii="Segoe UI" w:hAnsi="Segoe UI" w:cs="Segoe UI"/>
          <w:sz w:val="22"/>
          <w:szCs w:val="22"/>
        </w:rPr>
        <w:t xml:space="preserve"> (Glaukos).</w:t>
      </w:r>
    </w:p>
    <w:p w14:paraId="6E02E070" w14:textId="713C8C32" w:rsidR="000D1061" w:rsidRDefault="00B1021E" w:rsidP="00FE257E">
      <w:pPr>
        <w:spacing w:after="0" w:line="240" w:lineRule="auto"/>
        <w:rPr>
          <w:rFonts w:ascii="Segoe UI" w:hAnsi="Segoe UI" w:cs="Segoe UI"/>
          <w:sz w:val="22"/>
          <w:szCs w:val="22"/>
        </w:rPr>
      </w:pPr>
      <w:r>
        <w:rPr>
          <w:rFonts w:ascii="Segoe UI" w:hAnsi="Segoe UI" w:cs="Segoe UI"/>
          <w:sz w:val="22"/>
          <w:szCs w:val="22"/>
        </w:rPr>
        <w:t>The resources required to deliver the</w:t>
      </w:r>
      <w:r w:rsidR="009B7DA4">
        <w:rPr>
          <w:rFonts w:ascii="Segoe UI" w:hAnsi="Segoe UI" w:cs="Segoe UI"/>
          <w:sz w:val="22"/>
          <w:szCs w:val="22"/>
        </w:rPr>
        <w:t xml:space="preserve"> intervention (i.e. MBGS with the stent system (</w:t>
      </w:r>
      <w:r w:rsidR="009B7DA4" w:rsidRPr="00B1021E">
        <w:rPr>
          <w:rFonts w:ascii="Segoe UI" w:hAnsi="Segoe UI" w:cs="Segoe UI"/>
          <w:sz w:val="22"/>
          <w:szCs w:val="22"/>
        </w:rPr>
        <w:t>MINIject</w:t>
      </w:r>
      <w:r w:rsidR="009B7DA4">
        <w:rPr>
          <w:rFonts w:ascii="Segoe UI" w:hAnsi="Segoe UI" w:cs="Segoe UI"/>
          <w:sz w:val="22"/>
          <w:szCs w:val="22"/>
        </w:rPr>
        <w:t xml:space="preserve">) delivered via the </w:t>
      </w:r>
      <w:r>
        <w:rPr>
          <w:rFonts w:ascii="Segoe UI" w:hAnsi="Segoe UI" w:cs="Segoe UI"/>
          <w:sz w:val="22"/>
          <w:szCs w:val="22"/>
        </w:rPr>
        <w:t>suprachoroidal space) would not change from that required to implant the comparator product</w:t>
      </w:r>
      <w:r w:rsidR="009B7DA4">
        <w:rPr>
          <w:rFonts w:ascii="Segoe UI" w:hAnsi="Segoe UI" w:cs="Segoe UI"/>
          <w:sz w:val="22"/>
          <w:szCs w:val="22"/>
        </w:rPr>
        <w:t xml:space="preserve"> (i.e. currently required for item 42504)</w:t>
      </w:r>
      <w:r>
        <w:rPr>
          <w:rFonts w:ascii="Segoe UI" w:hAnsi="Segoe UI" w:cs="Segoe UI"/>
          <w:sz w:val="22"/>
          <w:szCs w:val="22"/>
        </w:rPr>
        <w:t xml:space="preserve">. </w:t>
      </w:r>
      <w:r w:rsidR="009B7DA4">
        <w:rPr>
          <w:rFonts w:ascii="Segoe UI" w:hAnsi="Segoe UI" w:cs="Segoe UI"/>
          <w:sz w:val="22"/>
          <w:szCs w:val="22"/>
        </w:rPr>
        <w:t>Resources required for MBGS (using either the comparator or the intervention) include the</w:t>
      </w:r>
      <w:r>
        <w:rPr>
          <w:rFonts w:ascii="Segoe UI" w:hAnsi="Segoe UI" w:cs="Segoe UI"/>
          <w:sz w:val="22"/>
          <w:szCs w:val="22"/>
        </w:rPr>
        <w:t xml:space="preserve"> requirement for anaesthesia, </w:t>
      </w:r>
      <w:r w:rsidR="009B7DA4">
        <w:rPr>
          <w:rFonts w:ascii="Segoe UI" w:hAnsi="Segoe UI" w:cs="Segoe UI"/>
          <w:sz w:val="22"/>
          <w:szCs w:val="22"/>
        </w:rPr>
        <w:t xml:space="preserve">use of </w:t>
      </w:r>
      <w:r w:rsidR="009B7DA4" w:rsidRPr="009B7DA4">
        <w:rPr>
          <w:rFonts w:ascii="Segoe UI" w:hAnsi="Segoe UI" w:cs="Segoe UI"/>
          <w:sz w:val="22"/>
          <w:szCs w:val="22"/>
        </w:rPr>
        <w:t>Ophthalmic Viscosurgical Devices</w:t>
      </w:r>
      <w:r w:rsidR="009B7DA4">
        <w:rPr>
          <w:rFonts w:ascii="Segoe UI" w:hAnsi="Segoe UI" w:cs="Segoe UI"/>
          <w:sz w:val="22"/>
          <w:szCs w:val="22"/>
        </w:rPr>
        <w:t xml:space="preserve"> (</w:t>
      </w:r>
      <w:r>
        <w:rPr>
          <w:rFonts w:ascii="Segoe UI" w:hAnsi="Segoe UI" w:cs="Segoe UI"/>
          <w:sz w:val="22"/>
          <w:szCs w:val="22"/>
        </w:rPr>
        <w:t>OVD</w:t>
      </w:r>
      <w:r w:rsidR="009B7DA4">
        <w:rPr>
          <w:rFonts w:ascii="Segoe UI" w:hAnsi="Segoe UI" w:cs="Segoe UI"/>
          <w:sz w:val="22"/>
          <w:szCs w:val="22"/>
        </w:rPr>
        <w:t>)</w:t>
      </w:r>
      <w:r>
        <w:rPr>
          <w:rFonts w:ascii="Segoe UI" w:hAnsi="Segoe UI" w:cs="Segoe UI"/>
          <w:sz w:val="22"/>
          <w:szCs w:val="22"/>
        </w:rPr>
        <w:t>, gonioprism for visualisation</w:t>
      </w:r>
      <w:r w:rsidR="009B7DA4">
        <w:rPr>
          <w:rFonts w:ascii="Segoe UI" w:hAnsi="Segoe UI" w:cs="Segoe UI"/>
          <w:sz w:val="22"/>
          <w:szCs w:val="22"/>
        </w:rPr>
        <w:t xml:space="preserve"> and</w:t>
      </w:r>
      <w:r>
        <w:rPr>
          <w:rFonts w:ascii="Segoe UI" w:hAnsi="Segoe UI" w:cs="Segoe UI"/>
          <w:sz w:val="22"/>
          <w:szCs w:val="22"/>
        </w:rPr>
        <w:t xml:space="preserve"> surgical knife for the incision.</w:t>
      </w:r>
    </w:p>
    <w:p w14:paraId="0E765FBD" w14:textId="77777777" w:rsidR="000D1061" w:rsidRDefault="000D1061" w:rsidP="00FE257E">
      <w:pPr>
        <w:spacing w:after="0" w:line="240" w:lineRule="auto"/>
        <w:rPr>
          <w:rFonts w:ascii="Segoe UI" w:hAnsi="Segoe UI" w:cs="Segoe UI"/>
          <w:sz w:val="22"/>
          <w:szCs w:val="22"/>
        </w:rPr>
      </w:pPr>
    </w:p>
    <w:p w14:paraId="7EC016AD" w14:textId="52EFBECC" w:rsidR="000D1061" w:rsidRDefault="000D1061" w:rsidP="00FE257E">
      <w:pPr>
        <w:spacing w:after="0" w:line="240" w:lineRule="auto"/>
        <w:rPr>
          <w:rFonts w:ascii="Segoe UI" w:hAnsi="Segoe UI" w:cs="Segoe UI"/>
          <w:sz w:val="22"/>
          <w:szCs w:val="22"/>
        </w:rPr>
      </w:pPr>
      <w:r>
        <w:rPr>
          <w:rFonts w:ascii="Segoe UI" w:hAnsi="Segoe UI" w:cs="Segoe UI"/>
          <w:sz w:val="22"/>
          <w:szCs w:val="22"/>
        </w:rPr>
        <w:t xml:space="preserve">Overview of </w:t>
      </w:r>
      <w:r w:rsidR="00BE17F3" w:rsidRPr="00BE17F3">
        <w:rPr>
          <w:rFonts w:ascii="Segoe UI" w:hAnsi="Segoe UI" w:cs="Segoe UI"/>
          <w:sz w:val="22"/>
          <w:szCs w:val="22"/>
        </w:rPr>
        <w:t>iStent</w:t>
      </w:r>
      <w:r>
        <w:rPr>
          <w:rFonts w:ascii="Segoe UI" w:hAnsi="Segoe UI" w:cs="Segoe UI"/>
          <w:sz w:val="22"/>
          <w:szCs w:val="22"/>
        </w:rPr>
        <w:t xml:space="preserve"> and </w:t>
      </w:r>
      <w:r w:rsidRPr="000D1061">
        <w:rPr>
          <w:rFonts w:ascii="Segoe UI" w:hAnsi="Segoe UI" w:cs="Segoe UI"/>
          <w:sz w:val="22"/>
          <w:szCs w:val="22"/>
        </w:rPr>
        <w:t>iStent</w:t>
      </w:r>
      <w:r>
        <w:rPr>
          <w:rFonts w:ascii="Segoe UI" w:hAnsi="Segoe UI" w:cs="Segoe UI"/>
          <w:sz w:val="22"/>
          <w:szCs w:val="22"/>
        </w:rPr>
        <w:t xml:space="preserve"> inject from </w:t>
      </w:r>
      <w:r>
        <w:rPr>
          <w:rFonts w:ascii="Segoe UI" w:hAnsi="Segoe UI" w:cs="Segoe UI"/>
          <w:sz w:val="22"/>
          <w:szCs w:val="22"/>
        </w:rPr>
        <w:fldChar w:fldCharType="begin"/>
      </w:r>
      <w:r w:rsidR="0067605B">
        <w:rPr>
          <w:rFonts w:ascii="Segoe UI" w:hAnsi="Segoe UI" w:cs="Segoe UI"/>
          <w:sz w:val="22"/>
          <w:szCs w:val="22"/>
        </w:rPr>
        <w:instrText xml:space="preserve"> ADDIN EN.CITE &lt;EndNote&gt;&lt;Cite&gt;&lt;Author&gt;RANZCO&lt;/Author&gt;&lt;Year&gt;2020&lt;/Year&gt;&lt;RecNum&gt;3&lt;/RecNum&gt;&lt;DisplayText&gt;(RANZCO 2020b)&lt;/DisplayText&gt;&lt;record&gt;&lt;rec-number&gt;3&lt;/rec-number&gt;&lt;foreign-keys&gt;&lt;key app="EN" db-id="0tfze2xwopafsxerxxip50rgeept0fs2fwvx" timestamp="1689471660"&gt;3&lt;/key&gt;&lt;/foreign-keys&gt;&lt;ref-type name="Web Page"&gt;12&lt;/ref-type&gt;&lt;contributors&gt;&lt;authors&gt;&lt;author&gt;RANZCO,&lt;/author&gt;&lt;/authors&gt;&lt;/contributors&gt;&lt;titles&gt;&lt;title&gt;The Royal Australian and New Zealand College of Ophthalmologists. Guidelines for the Use of Trabecular Micro-bypass Glaucoma Stents (MBGS)&lt;/title&gt;&lt;/titles&gt;&lt;section&gt;1 February 2020&lt;/section&gt;&lt;dates&gt;&lt;year&gt;2020&lt;/year&gt;&lt;/dates&gt;&lt;pub-location&gt;https://ranzco.edu/wp-content/uploads/2020/05/RANZCO-Guidelines-for-the-Use-of-Trabecular-Micro-bypass-Glaucoma-Stents-MBGS-002.pdf&lt;/pub-location&gt;&lt;publisher&gt;The Royal Australian and New Zealand College of Ophthalmologists&lt;/publisher&gt;&lt;urls&gt;&lt;related-urls&gt;&lt;url&gt;https://ranzco.edu/wp-content/uploads/2020/05/RANZCO-Guidelines-for-the-Use-of-Trabecular-Micro-bypass-Glaucoma-Stents-MBGS-002.pdf&lt;/url&gt;&lt;/related-urls&gt;&lt;/urls&gt;&lt;/record&gt;&lt;/Cite&gt;&lt;/EndNote&gt;</w:instrText>
      </w:r>
      <w:r>
        <w:rPr>
          <w:rFonts w:ascii="Segoe UI" w:hAnsi="Segoe UI" w:cs="Segoe UI"/>
          <w:sz w:val="22"/>
          <w:szCs w:val="22"/>
        </w:rPr>
        <w:fldChar w:fldCharType="separate"/>
      </w:r>
      <w:r>
        <w:rPr>
          <w:rFonts w:ascii="Segoe UI" w:hAnsi="Segoe UI" w:cs="Segoe UI"/>
          <w:noProof/>
          <w:sz w:val="22"/>
          <w:szCs w:val="22"/>
        </w:rPr>
        <w:t>(RANZCO 2020b)</w:t>
      </w:r>
      <w:r>
        <w:rPr>
          <w:rFonts w:ascii="Segoe UI" w:hAnsi="Segoe UI" w:cs="Segoe UI"/>
          <w:sz w:val="22"/>
          <w:szCs w:val="22"/>
        </w:rPr>
        <w:fldChar w:fldCharType="end"/>
      </w:r>
      <w:r>
        <w:rPr>
          <w:rFonts w:ascii="Segoe UI" w:hAnsi="Segoe UI" w:cs="Segoe UI"/>
          <w:sz w:val="22"/>
          <w:szCs w:val="22"/>
        </w:rPr>
        <w:t>:</w:t>
      </w:r>
    </w:p>
    <w:p w14:paraId="359DA849" w14:textId="11672715" w:rsidR="000D1061" w:rsidRDefault="000D1061" w:rsidP="000D1061">
      <w:pPr>
        <w:pStyle w:val="Responsetext"/>
        <w:numPr>
          <w:ilvl w:val="0"/>
          <w:numId w:val="3"/>
        </w:numPr>
      </w:pPr>
      <w:r w:rsidRPr="000D1061">
        <w:t>iStent</w:t>
      </w:r>
      <w:r>
        <w:t xml:space="preserve"> and</w:t>
      </w:r>
      <w:r w:rsidRPr="000D1061">
        <w:t xml:space="preserve"> iStent inject are </w:t>
      </w:r>
      <w:r>
        <w:t xml:space="preserve">titanium </w:t>
      </w:r>
      <w:r w:rsidRPr="000D1061">
        <w:t xml:space="preserve">stents designed to cannulate the canal of Schlemm. </w:t>
      </w:r>
    </w:p>
    <w:p w14:paraId="5C593A48" w14:textId="7C4DC159" w:rsidR="000D1061" w:rsidRPr="000D1061" w:rsidRDefault="000D1061" w:rsidP="000D1061">
      <w:pPr>
        <w:pStyle w:val="Responsetext"/>
        <w:numPr>
          <w:ilvl w:val="0"/>
          <w:numId w:val="3"/>
        </w:numPr>
      </w:pPr>
      <w:r w:rsidRPr="000D1061">
        <w:t xml:space="preserve">The original iStent has an outlet at a right-angle to the stent body and a sharp front end to perform the initial goniotomy. It is held in place by semi-circumferential rings along the body of the stent. These are generally decreasing in usage since the advent of iStent inject. However, it is important to note that many of the published studies are of the single iStent. </w:t>
      </w:r>
    </w:p>
    <w:p w14:paraId="2B1707B5" w14:textId="77777777" w:rsidR="000D1061" w:rsidRDefault="000D1061" w:rsidP="000D1061">
      <w:pPr>
        <w:pStyle w:val="Responsetext"/>
        <w:numPr>
          <w:ilvl w:val="0"/>
          <w:numId w:val="3"/>
        </w:numPr>
      </w:pPr>
      <w:r w:rsidRPr="000D1061">
        <w:t xml:space="preserve">The iStent inject system contains two rivet-like stents with blunt arrowhead shaped front ends. They are designed to directly perforate the trabecular meshwork and penetrate the canal at right angles to the canal’s course. Implantation force is provided by its spring-loaded introducer which contains a needle to incise the tissues. </w:t>
      </w:r>
    </w:p>
    <w:p w14:paraId="7FA69580" w14:textId="491E5105" w:rsidR="000D1061" w:rsidRPr="00BE6B22" w:rsidRDefault="000D1061" w:rsidP="000D1061">
      <w:pPr>
        <w:pStyle w:val="Responsetext"/>
        <w:numPr>
          <w:ilvl w:val="0"/>
          <w:numId w:val="3"/>
        </w:numPr>
      </w:pPr>
      <w:r w:rsidRPr="000D1061">
        <w:t>The two stents are designed to be placed</w:t>
      </w:r>
      <w:r>
        <w:t xml:space="preserve"> </w:t>
      </w:r>
      <w:r w:rsidRPr="000D1061">
        <w:t xml:space="preserve">adjacent to collector channels, approximately 2-3 clock hours away from each other. The stents are preloaded on the needle within the introducer and are delivered one at a time upon activation of the actuator.  </w:t>
      </w:r>
    </w:p>
    <w:p w14:paraId="412030A6" w14:textId="3C091759" w:rsidR="00930344" w:rsidRDefault="00930344" w:rsidP="00930344">
      <w:pPr>
        <w:spacing w:after="0" w:line="240" w:lineRule="auto"/>
        <w:rPr>
          <w:rFonts w:ascii="Segoe UI" w:eastAsia="Segoe UI" w:hAnsi="Segoe UI"/>
          <w:b/>
          <w:color w:val="000000"/>
          <w:sz w:val="22"/>
        </w:rPr>
      </w:pPr>
    </w:p>
    <w:p w14:paraId="3E3431F7" w14:textId="5F954AA9" w:rsidR="00FE257E" w:rsidRDefault="00955904" w:rsidP="00FE257E">
      <w:pPr>
        <w:rPr>
          <w:rFonts w:ascii="Segoe UI" w:eastAsia="Segoe UI" w:hAnsi="Segoe UI"/>
          <w:b/>
          <w:color w:val="000000"/>
          <w:sz w:val="22"/>
        </w:rPr>
      </w:pPr>
      <w:r>
        <w:rPr>
          <w:rFonts w:ascii="Segoe UI" w:eastAsia="Segoe UI" w:hAnsi="Segoe UI"/>
          <w:b/>
          <w:color w:val="000000"/>
          <w:sz w:val="22"/>
        </w:rPr>
        <w:t>List any existing MBS item numbers that are relevant for the nominated comparators</w:t>
      </w:r>
      <w:r w:rsidR="000627EF">
        <w:rPr>
          <w:rFonts w:ascii="Segoe UI" w:eastAsia="Segoe UI" w:hAnsi="Segoe UI"/>
          <w:b/>
          <w:color w:val="000000"/>
          <w:sz w:val="22"/>
        </w:rPr>
        <w:t>:</w:t>
      </w:r>
      <w:r w:rsidR="00FE257E">
        <w:rPr>
          <w:rFonts w:ascii="Segoe UI" w:eastAsia="Segoe UI" w:hAnsi="Segoe UI"/>
          <w:b/>
          <w:color w:val="000000"/>
          <w:sz w:val="22"/>
        </w:rPr>
        <w:t xml:space="preserve"> </w:t>
      </w:r>
    </w:p>
    <w:p w14:paraId="3AFCB345" w14:textId="7E371A47" w:rsidR="00955904" w:rsidRPr="003102B4" w:rsidRDefault="003102B4" w:rsidP="003102B4">
      <w:pPr>
        <w:pStyle w:val="Responsetext"/>
      </w:pPr>
      <w:r w:rsidRPr="003102B4">
        <w:t xml:space="preserve">Item </w:t>
      </w:r>
      <w:r w:rsidR="00226F65" w:rsidRPr="003102B4">
        <w:t>42504</w:t>
      </w:r>
      <w:r w:rsidRPr="003102B4">
        <w:t xml:space="preserve"> – this item allows for insertion of a micro-bypass stent for glaucoma via the trabecular meshwork only. Hence item 42504 allows insertion of micro-bypass stents currently on </w:t>
      </w:r>
      <w:r w:rsidRPr="003102B4">
        <w:lastRenderedPageBreak/>
        <w:t>the Prosthes</w:t>
      </w:r>
      <w:r w:rsidR="00B22A1F">
        <w:t>e</w:t>
      </w:r>
      <w:r w:rsidRPr="003102B4">
        <w:t>s List (including iSTENT</w:t>
      </w:r>
      <w:r w:rsidR="00464A8F" w:rsidRPr="00B22A1F">
        <w:rPr>
          <w:vertAlign w:val="superscript"/>
        </w:rPr>
        <w:sym w:font="Symbol" w:char="F0D2"/>
      </w:r>
      <w:r w:rsidRPr="003102B4">
        <w:t>) but cannot be used for insertion of MINIject that is implanted via the suprachoroidal space.</w:t>
      </w:r>
    </w:p>
    <w:p w14:paraId="42D10056" w14:textId="2562AA65" w:rsidR="00226F65" w:rsidRPr="00BE6B22" w:rsidRDefault="00226F65" w:rsidP="003102B4">
      <w:pPr>
        <w:pStyle w:val="Responsetext"/>
        <w:rPr>
          <w:rFonts w:asciiTheme="minorHAnsi" w:eastAsia="Segoe UI" w:hAnsiTheme="minorHAnsi" w:cstheme="minorHAnsi"/>
          <w:color w:val="000000"/>
        </w:rPr>
      </w:pPr>
      <w:r>
        <w:t>Other MBS item numbers for insertion (item 42705) and removal (item</w:t>
      </w:r>
      <w:r w:rsidR="003102B4">
        <w:t xml:space="preserve"> 42505)</w:t>
      </w:r>
      <w:r>
        <w:t xml:space="preserve"> of MBGS stents in association with cataract surgery are not relevant to this application, as insertion </w:t>
      </w:r>
      <w:r w:rsidR="003102B4">
        <w:t>of both suprachoroidal and trabecular meshwork stents were assessed by MSAC (Applications 1496 and 1483) and are therefore covered by the existing item numbers (advice from MSAC Surgical Services section</w:t>
      </w:r>
      <w:r w:rsidR="002F6385">
        <w:t xml:space="preserve">, </w:t>
      </w:r>
      <w:r w:rsidR="003102B4">
        <w:t>received 5 April 2023).</w:t>
      </w:r>
    </w:p>
    <w:p w14:paraId="63959FFE" w14:textId="77777777" w:rsidR="00955904" w:rsidRDefault="00955904" w:rsidP="00FE257E">
      <w:pPr>
        <w:spacing w:after="0" w:line="240" w:lineRule="auto"/>
        <w:rPr>
          <w:rFonts w:ascii="Segoe UI" w:eastAsia="Segoe UI" w:hAnsi="Segoe UI"/>
          <w:b/>
          <w:color w:val="000000"/>
          <w:sz w:val="22"/>
        </w:rPr>
      </w:pPr>
    </w:p>
    <w:p w14:paraId="24FC375A" w14:textId="16C38F6E" w:rsidR="00FE257E" w:rsidRDefault="005B5A58" w:rsidP="00FE257E">
      <w:pPr>
        <w:spacing w:after="0" w:line="240" w:lineRule="auto"/>
        <w:rPr>
          <w:rFonts w:ascii="Segoe UI" w:eastAsia="Segoe UI" w:hAnsi="Segoe UI"/>
          <w:b/>
          <w:color w:val="000000"/>
          <w:sz w:val="22"/>
        </w:rPr>
      </w:pPr>
      <w:r>
        <w:rPr>
          <w:rFonts w:ascii="Segoe UI" w:eastAsia="Segoe UI" w:hAnsi="Segoe UI"/>
          <w:b/>
          <w:color w:val="000000"/>
          <w:sz w:val="22"/>
        </w:rPr>
        <w:t>Please provide a rationale for why this is a comparator</w:t>
      </w:r>
      <w:r w:rsidR="000627EF">
        <w:rPr>
          <w:rFonts w:ascii="Segoe UI" w:eastAsia="Segoe UI" w:hAnsi="Segoe UI"/>
          <w:b/>
          <w:color w:val="000000"/>
          <w:sz w:val="22"/>
        </w:rPr>
        <w:t>:</w:t>
      </w:r>
    </w:p>
    <w:p w14:paraId="7AE42CF7" w14:textId="77777777" w:rsidR="00FE257E" w:rsidRDefault="00FE257E" w:rsidP="00FE257E">
      <w:pPr>
        <w:spacing w:after="0" w:line="240" w:lineRule="auto"/>
        <w:rPr>
          <w:rFonts w:ascii="Segoe UI" w:eastAsia="Segoe UI" w:hAnsi="Segoe UI"/>
          <w:b/>
          <w:color w:val="000000"/>
          <w:sz w:val="22"/>
        </w:rPr>
      </w:pPr>
    </w:p>
    <w:p w14:paraId="4FC0B5D8" w14:textId="77777777" w:rsidR="00CF64AF" w:rsidRDefault="00CF64AF" w:rsidP="00CF64AF">
      <w:pPr>
        <w:pStyle w:val="Responsetext"/>
      </w:pPr>
      <w:r>
        <w:t>As iSTENT is the most used micro-bypass stent implanted into the trabecular meshwork in Australia this is proposed as the comparator.</w:t>
      </w:r>
    </w:p>
    <w:p w14:paraId="5C234CF5" w14:textId="77777777" w:rsidR="009A713B" w:rsidRDefault="009A713B" w:rsidP="00022B2C">
      <w:pPr>
        <w:pStyle w:val="Responsetext"/>
        <w:spacing w:after="0"/>
      </w:pPr>
    </w:p>
    <w:p w14:paraId="32790978" w14:textId="77777777" w:rsidR="009A713B" w:rsidRDefault="009A713B" w:rsidP="009A713B">
      <w:pPr>
        <w:pStyle w:val="Responsetext"/>
      </w:pPr>
      <w:r>
        <w:t>In order to select the comparator for MINIject in the context of standalone treatment in the Australian glaucoma population, current alternative health technologies for that condition in Australia were reviewed as well as the technology most likely to be replaced in clinical practice.</w:t>
      </w:r>
    </w:p>
    <w:p w14:paraId="686D024E" w14:textId="77777777" w:rsidR="009A713B" w:rsidRDefault="009A713B" w:rsidP="009A713B">
      <w:pPr>
        <w:pStyle w:val="Responsetext"/>
      </w:pPr>
      <w:r>
        <w:t xml:space="preserve">The population expected for standalone treatment with MINIject is the same glaucoma population who are candidates for incisional surgery, who have failed or are ineligible for conservative medical therapies such as drops, and who could be treated by a standalone MBGS device, as defined by the 42504 MBS code for standalone implantation of a MBGS device. The most used device in this category is the iStent. </w:t>
      </w:r>
    </w:p>
    <w:p w14:paraId="38FE4FA4" w14:textId="77777777" w:rsidR="009A713B" w:rsidRDefault="009A713B" w:rsidP="009A713B">
      <w:pPr>
        <w:pStyle w:val="Responsetext"/>
      </w:pPr>
      <w:r>
        <w:t>The use of iStent being the most frequent MBGS is confirmed by A/Prof. Ashish Agar:</w:t>
      </w:r>
    </w:p>
    <w:p w14:paraId="74759679" w14:textId="2F6CA548" w:rsidR="009A713B" w:rsidRDefault="009A713B" w:rsidP="009A713B">
      <w:pPr>
        <w:pStyle w:val="Responsetext"/>
      </w:pPr>
      <w:r>
        <w:t>“</w:t>
      </w:r>
      <w:r w:rsidRPr="0055209F">
        <w:rPr>
          <w:i/>
          <w:iCs/>
        </w:rPr>
        <w:t>The iStent platform (Glaukos) is the most widely used MBGS device; Hydrus (Ivantis) is the second most widely used. Both are TGA-approved and MBS-funded in Australia</w:t>
      </w:r>
      <w:r>
        <w:t>,” he says.</w:t>
      </w:r>
      <w:r w:rsidR="00B8306A">
        <w:t xml:space="preserve"> </w:t>
      </w:r>
      <w:r>
        <w:t>(</w:t>
      </w:r>
      <w:r w:rsidR="00B8306A">
        <w:t xml:space="preserve">source: </w:t>
      </w:r>
      <w:hyperlink r:id="rId12" w:history="1">
        <w:r w:rsidR="00B8306A" w:rsidRPr="00B8306A">
          <w:rPr>
            <w:rStyle w:val="Hyperlink"/>
          </w:rPr>
          <w:t>https://www.insightnews.com.au/making-a-stand-for-mbgs-under-medicare/</w:t>
        </w:r>
      </w:hyperlink>
      <w:r>
        <w:t xml:space="preserve"> </w:t>
      </w:r>
      <w:r>
        <w:fldChar w:fldCharType="begin"/>
      </w:r>
      <w:r>
        <w:instrText xml:space="preserve"> ADDIN EN.CITE &lt;EndNote&gt;&lt;Cite&gt;&lt;Author&gt;Bowman&lt;/Author&gt;&lt;Year&gt;2021&lt;/Year&gt;&lt;RecNum&gt;4&lt;/RecNum&gt;&lt;DisplayText&gt;(Bowman 2021)&lt;/DisplayText&gt;&lt;record&gt;&lt;rec-number&gt;4&lt;/rec-number&gt;&lt;foreign-keys&gt;&lt;key app="EN" db-id="0tfze2xwopafsxerxxip50rgeept0fs2fwvx" timestamp="1689472543"&gt;4&lt;/key&gt;&lt;/foreign-keys&gt;&lt;ref-type name="Web Page"&gt;12&lt;/ref-type&gt;&lt;contributors&gt;&lt;authors&gt;&lt;author&gt;Bowman, R.&lt;/author&gt;&lt;/authors&gt;&lt;/contributors&gt;&lt;titles&gt;&lt;title&gt;Making a stand for MBGS under Medicare&lt;/title&gt;&lt;secondary-title&gt;iNSIGHT&lt;/secondary-title&gt;&lt;/titles&gt;&lt;periodical&gt;&lt;full-title&gt;iNSIGHT&lt;/full-title&gt;&lt;/periodical&gt;&lt;section&gt;9 March 2021&lt;/section&gt;&lt;dates&gt;&lt;year&gt;2021&lt;/year&gt;&lt;/dates&gt;&lt;pub-location&gt;https://www.insightnews.com.au/making-a-stand-for-mbgs-under-medicare/&lt;/pub-location&gt;&lt;urls&gt;&lt;related-urls&gt;&lt;url&gt;https://www.insightnews.com.au/making-a-stand-for-mbgs-under-medicare/&lt;/url&gt;&lt;/related-urls&gt;&lt;/urls&gt;&lt;/record&gt;&lt;/Cite&gt;&lt;/EndNote&gt;</w:instrText>
      </w:r>
      <w:r>
        <w:fldChar w:fldCharType="separate"/>
      </w:r>
      <w:r>
        <w:rPr>
          <w:noProof/>
        </w:rPr>
        <w:t>(Bowman 2021)</w:t>
      </w:r>
      <w:r>
        <w:fldChar w:fldCharType="end"/>
      </w:r>
      <w:r>
        <w:t>)</w:t>
      </w:r>
    </w:p>
    <w:p w14:paraId="5E1AA780" w14:textId="19E34E16" w:rsidR="009A713B" w:rsidRDefault="009A713B" w:rsidP="009A713B">
      <w:pPr>
        <w:pStyle w:val="Responsetext"/>
      </w:pPr>
      <w:r>
        <w:t xml:space="preserve">In addition, during the ASO Skills Expo in Sydney on Saturday 3rd June 2023, </w:t>
      </w:r>
      <w:r w:rsidR="000F7EAD">
        <w:rPr>
          <w:b/>
          <w:bCs/>
        </w:rPr>
        <w:t>r</w:t>
      </w:r>
      <w:r w:rsidR="000F7EAD" w:rsidRPr="000F7EAD">
        <w:rPr>
          <w:b/>
          <w:bCs/>
        </w:rPr>
        <w:t>edacted</w:t>
      </w:r>
      <w:r>
        <w:t xml:space="preserve">, </w:t>
      </w:r>
      <w:r w:rsidR="00FA7BD3">
        <w:rPr>
          <w:b/>
          <w:bCs/>
        </w:rPr>
        <w:t>redacted</w:t>
      </w:r>
      <w:r>
        <w:t>, claimed in a panel that 800 surgeons in Australia are using iStent. This supports the claim that iStent is very widely used in Australia.</w:t>
      </w:r>
    </w:p>
    <w:p w14:paraId="1AFD3959" w14:textId="1C63BFD9" w:rsidR="009A713B" w:rsidRDefault="009A713B" w:rsidP="009A713B">
      <w:pPr>
        <w:pStyle w:val="Responsetext"/>
      </w:pPr>
      <w:r>
        <w:t xml:space="preserve">The number of Australian ophthalmologists currently performing MBGS could not be determined, however in 2018-2019 there were an estimated 1,000 full time equivalent ophthalmologists </w:t>
      </w:r>
      <w:r>
        <w:fldChar w:fldCharType="begin"/>
      </w:r>
      <w:r>
        <w:instrText xml:space="preserve"> ADDIN EN.CITE &lt;EndNote&gt;&lt;Cite&gt;&lt;Author&gt;AIHW&lt;/Author&gt;&lt;Year&gt;2021&lt;/Year&gt;&lt;RecNum&gt;5&lt;/RecNum&gt;&lt;DisplayText&gt;(AIHW 2021)&lt;/DisplayText&gt;&lt;record&gt;&lt;rec-number&gt;5&lt;/rec-number&gt;&lt;foreign-keys&gt;&lt;key app="EN" db-id="0tfze2xwopafsxerxxip50rgeept0fs2fwvx" timestamp="1689477951"&gt;5&lt;/key&gt;&lt;/foreign-keys&gt;&lt;ref-type name="Web Page"&gt;12&lt;/ref-type&gt;&lt;contributors&gt;&lt;authors&gt;&lt;author&gt;AIHW,&lt;/author&gt;&lt;/authors&gt;&lt;/contributors&gt;&lt;titles&gt;&lt;title&gt;Australian Institute of Health and Welfare, last updated 11 Feb 2021. Eye health.&lt;/title&gt;&lt;/titles&gt;&lt;dates&gt;&lt;year&gt;2021&lt;/year&gt;&lt;/dates&gt;&lt;pub-location&gt;https://www.aihw.gov.au/reports/eye-health/eye-health/contents/treatment-and-management&lt;/pub-location&gt;&lt;urls&gt;&lt;related-urls&gt;&lt;url&gt;https://www.aihw.gov.au/reports/workforce/eye-health-workforce-in-australia/formats&lt;/url&gt;&lt;/related-urls&gt;&lt;/urls&gt;&lt;/record&gt;&lt;/Cite&gt;&lt;/EndNote&gt;</w:instrText>
      </w:r>
      <w:r>
        <w:fldChar w:fldCharType="separate"/>
      </w:r>
      <w:r>
        <w:rPr>
          <w:noProof/>
        </w:rPr>
        <w:t>(AIHW 2021)</w:t>
      </w:r>
      <w:r>
        <w:fldChar w:fldCharType="end"/>
      </w:r>
      <w:r>
        <w:t xml:space="preserve">, with only a subpopulation of total ophthalmologists having surgical training. Hence assuming the cited 800 surgeons currently undertaking MBGS with </w:t>
      </w:r>
      <w:r w:rsidR="00E327F0">
        <w:t>iStent</w:t>
      </w:r>
      <w:r>
        <w:t xml:space="preserve"> is accurate, it would be reasonable to assume that </w:t>
      </w:r>
      <w:r w:rsidR="00E327F0">
        <w:t>iStent</w:t>
      </w:r>
      <w:r>
        <w:t xml:space="preserve"> is used by a majority of Australian ophthalmologists who undertake MBGS surgery.</w:t>
      </w:r>
    </w:p>
    <w:p w14:paraId="3F98C9F8" w14:textId="77777777" w:rsidR="009A713B" w:rsidRDefault="009A713B" w:rsidP="009A713B">
      <w:pPr>
        <w:pStyle w:val="Responsetext"/>
      </w:pPr>
      <w:r>
        <w:t>The iStent device used within the same 42504 standalone code is the most appropriate comparator to MINIject compared with other procedures such as SLT and trabeculectomy, as the iStent belongs to the same “MBGS” class as MINIject, with a similar class level of safety and efficacy.</w:t>
      </w:r>
    </w:p>
    <w:p w14:paraId="043A3965" w14:textId="33C4723B" w:rsidR="009A713B" w:rsidRDefault="009A713B" w:rsidP="009A713B">
      <w:pPr>
        <w:pStyle w:val="Responsetext"/>
      </w:pPr>
      <w:r>
        <w:t xml:space="preserve">The iStent device is also the most appropriate comparator as it is this device which the MINIject device is most likely to replace in a standalone setting, according to surgeon preference and based upon patient needs. There would be no impact on use in hospital vs day surgery and private/public hospitals if MINIject was approved under MBS code 42504, as the existing iStent device usage would be replaced by MINIject with the same length of procedure, associated anaesthesia and surgical tools required, such as OVD. This is supported by the ESC discussion in </w:t>
      </w:r>
      <w:r>
        <w:lastRenderedPageBreak/>
        <w:t>PSD 1541 which states: “</w:t>
      </w:r>
      <w:r w:rsidRPr="0055209F">
        <w:rPr>
          <w:i/>
          <w:iCs/>
        </w:rPr>
        <w:t>ESC noted that MBGS devices include a variety of implanted, minimally invasive ocular stents and scaffolds that are placed via a corneal incision into the trabecular meshwork (TB MBGS) or suprachoroidal space (SC MBGS) of the eye. The exact positioning of implantation is specific to each device. These devices aim to improve aqueous humour outflow and lower intraocular pressure, which in turn reduces the reliance on topical hypotensive medication. ESC noted that although MBGS devices differ in design and manufacturer specifications, the complexity and resource burden of the implantation procedure is comparable</w:t>
      </w:r>
      <w:r>
        <w:t xml:space="preserve">.” </w:t>
      </w:r>
    </w:p>
    <w:p w14:paraId="6388FB38" w14:textId="125F1222" w:rsidR="009A713B" w:rsidRDefault="00B8306A" w:rsidP="009A713B">
      <w:pPr>
        <w:pStyle w:val="Responsetext"/>
      </w:pPr>
      <w:r>
        <w:t>Additionally, i</w:t>
      </w:r>
      <w:r w:rsidR="009A713B">
        <w:t>n PSD 1541</w:t>
      </w:r>
      <w:r w:rsidR="00481338">
        <w:t>,</w:t>
      </w:r>
      <w:r w:rsidR="009A713B">
        <w:t xml:space="preserve"> </w:t>
      </w:r>
      <w:r w:rsidR="00EE3C12">
        <w:t>after</w:t>
      </w:r>
      <w:r w:rsidR="004E33D9">
        <w:t xml:space="preserve"> referring to the CyPass suprachoroidal stent and the iStent trabecular bypass stent, </w:t>
      </w:r>
      <w:r w:rsidR="0039109A">
        <w:t>“</w:t>
      </w:r>
      <w:r w:rsidR="009A713B" w:rsidRPr="00B25C43">
        <w:rPr>
          <w:i/>
          <w:iCs/>
        </w:rPr>
        <w:t>ESC recalled that MSAC previously accepted that the two types of MBGS devices are comparable and should be covered under one MBS item in the cataract surgery setting.</w:t>
      </w:r>
      <w:r w:rsidR="009A713B">
        <w:t xml:space="preserve">” </w:t>
      </w:r>
      <w:r w:rsidR="00D8039E">
        <w:t>Thus MINIject, a suprachoroidal implant</w:t>
      </w:r>
      <w:r w:rsidR="007A745E">
        <w:t xml:space="preserve">, would also be considered comparable to the iStent comparator. </w:t>
      </w:r>
      <w:r w:rsidR="00BD31A0">
        <w:t>Additionally, a</w:t>
      </w:r>
      <w:r w:rsidR="009A713B" w:rsidRPr="000A59A9">
        <w:t>s MINIject would replace an existing device within the same class of MBGS devices, there would be no shift from current practice.</w:t>
      </w:r>
    </w:p>
    <w:p w14:paraId="191A822A" w14:textId="77777777" w:rsidR="009A713B" w:rsidRDefault="009A713B" w:rsidP="009A713B">
      <w:pPr>
        <w:pStyle w:val="Responsetext"/>
      </w:pPr>
      <w:r>
        <w:t xml:space="preserve">Similar to iStent, usage of MINIject may delay the need for trabeculectomy or other more invasive filtering procedures. </w:t>
      </w:r>
    </w:p>
    <w:p w14:paraId="5553C1EA" w14:textId="6D6A4B52" w:rsidR="009A713B" w:rsidRDefault="009A713B" w:rsidP="00F171B7">
      <w:pPr>
        <w:pStyle w:val="Responsebold"/>
      </w:pPr>
      <w:r>
        <w:t>Clinical expert survey to confirm choice of comparator</w:t>
      </w:r>
    </w:p>
    <w:p w14:paraId="76C581D1" w14:textId="4B0A1894" w:rsidR="009A713B" w:rsidRDefault="009A713B" w:rsidP="009A713B">
      <w:pPr>
        <w:pStyle w:val="Responsetext"/>
      </w:pPr>
      <w:r>
        <w:t xml:space="preserve">In order to confirm the choice of iStent as the comparator for MINIject in a standalone procedure as a reasonable one, </w:t>
      </w:r>
      <w:r w:rsidR="00B8306A">
        <w:t xml:space="preserve">clinical </w:t>
      </w:r>
      <w:r>
        <w:t>experts were identified in different geographical regions based upon the highest volume of 42504 MBGS procedures performed. From July 2022 to May 2023, 90% of volume was performed in QLD, NSW and VIC in that order. Two surgeons from each region were identified based upon their qualified usage of MBGS procedures and their representation in professional societies</w:t>
      </w:r>
      <w:r w:rsidR="00E4796D">
        <w:t xml:space="preserve"> (</w:t>
      </w:r>
      <w:r w:rsidR="00E4796D">
        <w:fldChar w:fldCharType="begin"/>
      </w:r>
      <w:r w:rsidR="00E4796D">
        <w:instrText xml:space="preserve"> REF _Ref140749706 \h </w:instrText>
      </w:r>
      <w:r w:rsidR="00E4796D">
        <w:fldChar w:fldCharType="separate"/>
      </w:r>
      <w:r w:rsidR="00976372" w:rsidRPr="00E4796D">
        <w:t xml:space="preserve">Table </w:t>
      </w:r>
      <w:r w:rsidR="00976372">
        <w:rPr>
          <w:noProof/>
        </w:rPr>
        <w:t>1</w:t>
      </w:r>
      <w:r w:rsidR="00E4796D">
        <w:fldChar w:fldCharType="end"/>
      </w:r>
      <w:r w:rsidR="00E4796D">
        <w:t>).</w:t>
      </w:r>
    </w:p>
    <w:p w14:paraId="44687A20" w14:textId="77777777" w:rsidR="009A713B" w:rsidRDefault="009A713B" w:rsidP="00022B2C">
      <w:pPr>
        <w:pStyle w:val="Responsetext"/>
        <w:spacing w:after="0"/>
      </w:pPr>
    </w:p>
    <w:p w14:paraId="5A64908A" w14:textId="02A3D266" w:rsidR="009A713B" w:rsidRPr="00E4796D" w:rsidRDefault="00E4796D" w:rsidP="00F171B7">
      <w:pPr>
        <w:pStyle w:val="Caption"/>
      </w:pPr>
      <w:bookmarkStart w:id="2" w:name="_Ref140749706"/>
      <w:r w:rsidRPr="00E4796D">
        <w:t xml:space="preserve">Table </w:t>
      </w:r>
      <w:r w:rsidR="00FA7BD3">
        <w:fldChar w:fldCharType="begin"/>
      </w:r>
      <w:r w:rsidR="00FA7BD3">
        <w:instrText xml:space="preserve"> SEQ Table \* ARABIC </w:instrText>
      </w:r>
      <w:r w:rsidR="00FA7BD3">
        <w:fldChar w:fldCharType="separate"/>
      </w:r>
      <w:r w:rsidR="00976372">
        <w:rPr>
          <w:noProof/>
        </w:rPr>
        <w:t>1</w:t>
      </w:r>
      <w:r w:rsidR="00FA7BD3">
        <w:rPr>
          <w:noProof/>
        </w:rPr>
        <w:fldChar w:fldCharType="end"/>
      </w:r>
      <w:bookmarkEnd w:id="2"/>
      <w:r w:rsidRPr="00E4796D">
        <w:t xml:space="preserve">: Clinical experts </w:t>
      </w:r>
      <w:r w:rsidR="00B8306A">
        <w:t>surveyed</w:t>
      </w:r>
      <w:r w:rsidRPr="00E4796D">
        <w:t xml:space="preserve"> (July 2023)</w:t>
      </w:r>
    </w:p>
    <w:tbl>
      <w:tblPr>
        <w:tblStyle w:val="TableGrid"/>
        <w:tblW w:w="9048" w:type="dxa"/>
        <w:tblLook w:val="04A0" w:firstRow="1" w:lastRow="0" w:firstColumn="1" w:lastColumn="0" w:noHBand="0" w:noVBand="1"/>
      </w:tblPr>
      <w:tblGrid>
        <w:gridCol w:w="1158"/>
        <w:gridCol w:w="1492"/>
        <w:gridCol w:w="955"/>
        <w:gridCol w:w="5443"/>
      </w:tblGrid>
      <w:tr w:rsidR="009A713B" w14:paraId="678397F7" w14:textId="77777777" w:rsidTr="00022B2C">
        <w:trPr>
          <w:trHeight w:val="453"/>
          <w:tblHeader/>
        </w:trPr>
        <w:tc>
          <w:tcPr>
            <w:tcW w:w="1158" w:type="dxa"/>
            <w:shd w:val="clear" w:color="auto" w:fill="F2F2F2" w:themeFill="background1" w:themeFillShade="F2"/>
          </w:tcPr>
          <w:p w14:paraId="7E0D134B" w14:textId="77777777" w:rsidR="009A713B" w:rsidRPr="00022B2C" w:rsidRDefault="009A713B" w:rsidP="00F171B7">
            <w:pPr>
              <w:pStyle w:val="Tableheading"/>
              <w:rPr>
                <w:lang w:val="en-US"/>
              </w:rPr>
            </w:pPr>
            <w:r w:rsidRPr="00022B2C">
              <w:rPr>
                <w:lang w:val="en-US"/>
              </w:rPr>
              <w:t>Title</w:t>
            </w:r>
          </w:p>
        </w:tc>
        <w:tc>
          <w:tcPr>
            <w:tcW w:w="1492" w:type="dxa"/>
            <w:shd w:val="clear" w:color="auto" w:fill="F2F2F2" w:themeFill="background1" w:themeFillShade="F2"/>
          </w:tcPr>
          <w:p w14:paraId="56AA2845" w14:textId="77777777" w:rsidR="009A713B" w:rsidRPr="00022B2C" w:rsidRDefault="009A713B" w:rsidP="00F171B7">
            <w:pPr>
              <w:pStyle w:val="Tableheading"/>
              <w:rPr>
                <w:lang w:val="en-US"/>
              </w:rPr>
            </w:pPr>
            <w:r w:rsidRPr="00022B2C">
              <w:rPr>
                <w:lang w:val="en-US"/>
              </w:rPr>
              <w:t>Name</w:t>
            </w:r>
          </w:p>
        </w:tc>
        <w:tc>
          <w:tcPr>
            <w:tcW w:w="955" w:type="dxa"/>
            <w:shd w:val="clear" w:color="auto" w:fill="F2F2F2" w:themeFill="background1" w:themeFillShade="F2"/>
          </w:tcPr>
          <w:p w14:paraId="58D7BB01" w14:textId="77777777" w:rsidR="009A713B" w:rsidRPr="00022B2C" w:rsidRDefault="009A713B" w:rsidP="00F171B7">
            <w:pPr>
              <w:pStyle w:val="Tableheading"/>
              <w:rPr>
                <w:lang w:val="en-US"/>
              </w:rPr>
            </w:pPr>
            <w:r w:rsidRPr="00022B2C">
              <w:rPr>
                <w:lang w:val="en-US"/>
              </w:rPr>
              <w:t>State</w:t>
            </w:r>
          </w:p>
        </w:tc>
        <w:tc>
          <w:tcPr>
            <w:tcW w:w="5443" w:type="dxa"/>
            <w:shd w:val="clear" w:color="auto" w:fill="F2F2F2" w:themeFill="background1" w:themeFillShade="F2"/>
          </w:tcPr>
          <w:p w14:paraId="672DEA54" w14:textId="77777777" w:rsidR="009A713B" w:rsidRPr="00022B2C" w:rsidRDefault="009A713B" w:rsidP="00F171B7">
            <w:pPr>
              <w:pStyle w:val="Tableheading"/>
              <w:rPr>
                <w:lang w:val="en-US"/>
              </w:rPr>
            </w:pPr>
            <w:r w:rsidRPr="00022B2C">
              <w:rPr>
                <w:lang w:val="en-US"/>
              </w:rPr>
              <w:t>Affiliations</w:t>
            </w:r>
          </w:p>
        </w:tc>
      </w:tr>
      <w:tr w:rsidR="009A713B" w14:paraId="076E9A07" w14:textId="77777777" w:rsidTr="00022B2C">
        <w:trPr>
          <w:trHeight w:val="453"/>
        </w:trPr>
        <w:tc>
          <w:tcPr>
            <w:tcW w:w="1158" w:type="dxa"/>
          </w:tcPr>
          <w:p w14:paraId="3E69DDCF" w14:textId="62B6F567" w:rsidR="009A713B" w:rsidRPr="00022B2C" w:rsidRDefault="004F31A3" w:rsidP="00F171B7">
            <w:pPr>
              <w:pStyle w:val="Tablecontent"/>
              <w:rPr>
                <w:b/>
                <w:bCs/>
                <w:lang w:val="en-US"/>
              </w:rPr>
            </w:pPr>
            <w:r w:rsidRPr="00022B2C">
              <w:rPr>
                <w:b/>
                <w:bCs/>
                <w:lang w:val="en-US"/>
              </w:rPr>
              <w:t>Redacted</w:t>
            </w:r>
          </w:p>
        </w:tc>
        <w:tc>
          <w:tcPr>
            <w:tcW w:w="1492" w:type="dxa"/>
          </w:tcPr>
          <w:p w14:paraId="7E6F2A6F" w14:textId="5258B8C1" w:rsidR="009A713B" w:rsidRPr="00022B2C" w:rsidRDefault="004F31A3" w:rsidP="00F171B7">
            <w:pPr>
              <w:pStyle w:val="Tablecontent"/>
              <w:rPr>
                <w:lang w:val="en-US"/>
              </w:rPr>
            </w:pPr>
            <w:r w:rsidRPr="00022B2C">
              <w:rPr>
                <w:b/>
                <w:bCs/>
                <w:lang w:val="en-US"/>
              </w:rPr>
              <w:t>Redacted</w:t>
            </w:r>
          </w:p>
        </w:tc>
        <w:tc>
          <w:tcPr>
            <w:tcW w:w="955" w:type="dxa"/>
          </w:tcPr>
          <w:p w14:paraId="09BBD52B" w14:textId="20079E2E" w:rsidR="009A713B" w:rsidRPr="00022B2C" w:rsidRDefault="004F31A3" w:rsidP="00F171B7">
            <w:pPr>
              <w:pStyle w:val="Tablecontent"/>
              <w:rPr>
                <w:lang w:val="en-US"/>
              </w:rPr>
            </w:pPr>
            <w:r w:rsidRPr="00022B2C">
              <w:rPr>
                <w:b/>
                <w:bCs/>
                <w:lang w:val="en-US"/>
              </w:rPr>
              <w:t>Redacted</w:t>
            </w:r>
          </w:p>
        </w:tc>
        <w:tc>
          <w:tcPr>
            <w:tcW w:w="5443" w:type="dxa"/>
          </w:tcPr>
          <w:p w14:paraId="05ED9B61" w14:textId="04404823" w:rsidR="009A713B" w:rsidRPr="00022B2C" w:rsidRDefault="004F31A3" w:rsidP="00F171B7">
            <w:pPr>
              <w:pStyle w:val="Tablecontent"/>
              <w:rPr>
                <w:lang w:val="en-US"/>
              </w:rPr>
            </w:pPr>
            <w:r w:rsidRPr="00022B2C">
              <w:rPr>
                <w:b/>
                <w:bCs/>
                <w:lang w:val="en-US"/>
              </w:rPr>
              <w:t>Redacted</w:t>
            </w:r>
          </w:p>
        </w:tc>
      </w:tr>
      <w:tr w:rsidR="004F31A3" w14:paraId="5EFB9C8D" w14:textId="77777777" w:rsidTr="00022B2C">
        <w:trPr>
          <w:trHeight w:val="453"/>
        </w:trPr>
        <w:tc>
          <w:tcPr>
            <w:tcW w:w="1158" w:type="dxa"/>
          </w:tcPr>
          <w:p w14:paraId="3917C474" w14:textId="22188D7B" w:rsidR="004F31A3" w:rsidRPr="00022B2C" w:rsidRDefault="004F31A3" w:rsidP="004F31A3">
            <w:pPr>
              <w:pStyle w:val="Tablecontent"/>
              <w:rPr>
                <w:lang w:val="en-US"/>
              </w:rPr>
            </w:pPr>
            <w:r w:rsidRPr="00022B2C">
              <w:rPr>
                <w:b/>
                <w:bCs/>
                <w:lang w:val="en-US"/>
              </w:rPr>
              <w:t>Redacted</w:t>
            </w:r>
          </w:p>
        </w:tc>
        <w:tc>
          <w:tcPr>
            <w:tcW w:w="1492" w:type="dxa"/>
          </w:tcPr>
          <w:p w14:paraId="5FD85BAC" w14:textId="35E18C45" w:rsidR="004F31A3" w:rsidRPr="00022B2C" w:rsidRDefault="004F31A3" w:rsidP="004F31A3">
            <w:pPr>
              <w:pStyle w:val="Tablecontent"/>
              <w:rPr>
                <w:lang w:val="en-US"/>
              </w:rPr>
            </w:pPr>
            <w:r w:rsidRPr="00022B2C">
              <w:rPr>
                <w:b/>
                <w:bCs/>
                <w:lang w:val="en-US"/>
              </w:rPr>
              <w:t>Redacted</w:t>
            </w:r>
          </w:p>
        </w:tc>
        <w:tc>
          <w:tcPr>
            <w:tcW w:w="955" w:type="dxa"/>
          </w:tcPr>
          <w:p w14:paraId="0A41C4E8" w14:textId="2BB3193D" w:rsidR="004F31A3" w:rsidRPr="00022B2C" w:rsidRDefault="004F31A3" w:rsidP="004F31A3">
            <w:pPr>
              <w:pStyle w:val="Tablecontent"/>
              <w:rPr>
                <w:lang w:val="en-US"/>
              </w:rPr>
            </w:pPr>
            <w:r w:rsidRPr="00022B2C">
              <w:rPr>
                <w:b/>
                <w:bCs/>
                <w:lang w:val="en-US"/>
              </w:rPr>
              <w:t>Redacted</w:t>
            </w:r>
          </w:p>
        </w:tc>
        <w:tc>
          <w:tcPr>
            <w:tcW w:w="5443" w:type="dxa"/>
          </w:tcPr>
          <w:p w14:paraId="182BAF95" w14:textId="1B8948BE" w:rsidR="004F31A3" w:rsidRPr="00022B2C" w:rsidRDefault="004F31A3" w:rsidP="004F31A3">
            <w:pPr>
              <w:pStyle w:val="Tablecontent"/>
              <w:rPr>
                <w:lang w:val="en-US"/>
              </w:rPr>
            </w:pPr>
            <w:r w:rsidRPr="00022B2C">
              <w:rPr>
                <w:b/>
                <w:bCs/>
                <w:lang w:val="en-US"/>
              </w:rPr>
              <w:t>Redacted</w:t>
            </w:r>
          </w:p>
        </w:tc>
      </w:tr>
      <w:tr w:rsidR="004F31A3" w14:paraId="4AD71FF5" w14:textId="77777777" w:rsidTr="00022B2C">
        <w:trPr>
          <w:trHeight w:val="453"/>
        </w:trPr>
        <w:tc>
          <w:tcPr>
            <w:tcW w:w="1158" w:type="dxa"/>
          </w:tcPr>
          <w:p w14:paraId="75B1BA9D" w14:textId="2F82C666" w:rsidR="004F31A3" w:rsidRPr="00022B2C" w:rsidRDefault="004F31A3" w:rsidP="004F31A3">
            <w:pPr>
              <w:pStyle w:val="Tablecontent"/>
              <w:rPr>
                <w:lang w:val="en-US"/>
              </w:rPr>
            </w:pPr>
            <w:r w:rsidRPr="00022B2C">
              <w:rPr>
                <w:b/>
                <w:bCs/>
                <w:lang w:val="en-US"/>
              </w:rPr>
              <w:t>Redacted</w:t>
            </w:r>
          </w:p>
        </w:tc>
        <w:tc>
          <w:tcPr>
            <w:tcW w:w="1492" w:type="dxa"/>
          </w:tcPr>
          <w:p w14:paraId="3E5120BB" w14:textId="275D726A" w:rsidR="004F31A3" w:rsidRPr="00022B2C" w:rsidRDefault="004F31A3" w:rsidP="004F31A3">
            <w:pPr>
              <w:pStyle w:val="Tablecontent"/>
              <w:rPr>
                <w:lang w:val="en-US"/>
              </w:rPr>
            </w:pPr>
            <w:r w:rsidRPr="00022B2C">
              <w:rPr>
                <w:b/>
                <w:bCs/>
                <w:lang w:val="en-US"/>
              </w:rPr>
              <w:t>Redacted</w:t>
            </w:r>
          </w:p>
        </w:tc>
        <w:tc>
          <w:tcPr>
            <w:tcW w:w="955" w:type="dxa"/>
          </w:tcPr>
          <w:p w14:paraId="49617DF9" w14:textId="63F1AE44" w:rsidR="004F31A3" w:rsidRPr="00022B2C" w:rsidRDefault="004F31A3" w:rsidP="004F31A3">
            <w:pPr>
              <w:pStyle w:val="Tablecontent"/>
              <w:rPr>
                <w:lang w:val="en-US"/>
              </w:rPr>
            </w:pPr>
            <w:r w:rsidRPr="00022B2C">
              <w:rPr>
                <w:b/>
                <w:bCs/>
                <w:lang w:val="en-US"/>
              </w:rPr>
              <w:t>Redacted</w:t>
            </w:r>
          </w:p>
        </w:tc>
        <w:tc>
          <w:tcPr>
            <w:tcW w:w="5443" w:type="dxa"/>
          </w:tcPr>
          <w:p w14:paraId="3C2AA3B5" w14:textId="4657E6A1" w:rsidR="004F31A3" w:rsidRPr="00022B2C" w:rsidRDefault="004F31A3" w:rsidP="004F31A3">
            <w:pPr>
              <w:pStyle w:val="Tablecontent"/>
              <w:rPr>
                <w:lang w:val="en-US"/>
              </w:rPr>
            </w:pPr>
            <w:r w:rsidRPr="00022B2C">
              <w:rPr>
                <w:b/>
                <w:bCs/>
                <w:lang w:val="en-US"/>
              </w:rPr>
              <w:t>Redacted</w:t>
            </w:r>
          </w:p>
        </w:tc>
      </w:tr>
      <w:tr w:rsidR="004F31A3" w14:paraId="04E58C7F" w14:textId="77777777" w:rsidTr="00022B2C">
        <w:trPr>
          <w:trHeight w:val="453"/>
        </w:trPr>
        <w:tc>
          <w:tcPr>
            <w:tcW w:w="1158" w:type="dxa"/>
          </w:tcPr>
          <w:p w14:paraId="39F1E59A" w14:textId="7EB8FC3E" w:rsidR="004F31A3" w:rsidRPr="00022B2C" w:rsidRDefault="004F31A3" w:rsidP="004F31A3">
            <w:pPr>
              <w:pStyle w:val="Tablecontent"/>
              <w:rPr>
                <w:lang w:val="en-US"/>
              </w:rPr>
            </w:pPr>
            <w:r w:rsidRPr="00022B2C">
              <w:rPr>
                <w:b/>
                <w:bCs/>
                <w:lang w:val="en-US"/>
              </w:rPr>
              <w:t>Redacted</w:t>
            </w:r>
          </w:p>
        </w:tc>
        <w:tc>
          <w:tcPr>
            <w:tcW w:w="1492" w:type="dxa"/>
          </w:tcPr>
          <w:p w14:paraId="1002187E" w14:textId="63A171E2" w:rsidR="004F31A3" w:rsidRPr="00022B2C" w:rsidRDefault="004F31A3" w:rsidP="004F31A3">
            <w:pPr>
              <w:pStyle w:val="Tablecontent"/>
              <w:rPr>
                <w:lang w:val="en-US"/>
              </w:rPr>
            </w:pPr>
            <w:r w:rsidRPr="00022B2C">
              <w:rPr>
                <w:b/>
                <w:bCs/>
                <w:lang w:val="en-US"/>
              </w:rPr>
              <w:t>Redacted</w:t>
            </w:r>
          </w:p>
        </w:tc>
        <w:tc>
          <w:tcPr>
            <w:tcW w:w="955" w:type="dxa"/>
          </w:tcPr>
          <w:p w14:paraId="3B72618E" w14:textId="122A5221" w:rsidR="004F31A3" w:rsidRPr="00022B2C" w:rsidRDefault="004F31A3" w:rsidP="004F31A3">
            <w:pPr>
              <w:pStyle w:val="Tablecontent"/>
              <w:rPr>
                <w:lang w:val="en-US"/>
              </w:rPr>
            </w:pPr>
            <w:r w:rsidRPr="00022B2C">
              <w:rPr>
                <w:b/>
                <w:bCs/>
                <w:lang w:val="en-US"/>
              </w:rPr>
              <w:t>Redacted</w:t>
            </w:r>
          </w:p>
        </w:tc>
        <w:tc>
          <w:tcPr>
            <w:tcW w:w="5443" w:type="dxa"/>
          </w:tcPr>
          <w:p w14:paraId="2E155EE0" w14:textId="31B8B442" w:rsidR="004F31A3" w:rsidRPr="00022B2C" w:rsidRDefault="004F31A3" w:rsidP="004F31A3">
            <w:pPr>
              <w:pStyle w:val="Tablecontent"/>
              <w:rPr>
                <w:lang w:val="en-US"/>
              </w:rPr>
            </w:pPr>
            <w:r w:rsidRPr="00022B2C">
              <w:rPr>
                <w:b/>
                <w:bCs/>
                <w:lang w:val="en-US"/>
              </w:rPr>
              <w:t>Redacted</w:t>
            </w:r>
          </w:p>
        </w:tc>
      </w:tr>
      <w:tr w:rsidR="004F31A3" w14:paraId="324F0578" w14:textId="77777777" w:rsidTr="00022B2C">
        <w:trPr>
          <w:trHeight w:val="453"/>
        </w:trPr>
        <w:tc>
          <w:tcPr>
            <w:tcW w:w="1158" w:type="dxa"/>
          </w:tcPr>
          <w:p w14:paraId="754BA4CC" w14:textId="55371E86" w:rsidR="004F31A3" w:rsidRPr="00022B2C" w:rsidRDefault="004F31A3" w:rsidP="004F31A3">
            <w:pPr>
              <w:pStyle w:val="Tablecontent"/>
              <w:rPr>
                <w:lang w:val="en-US"/>
              </w:rPr>
            </w:pPr>
            <w:r w:rsidRPr="00022B2C">
              <w:rPr>
                <w:b/>
                <w:bCs/>
                <w:lang w:val="en-US"/>
              </w:rPr>
              <w:t>Redacted</w:t>
            </w:r>
          </w:p>
        </w:tc>
        <w:tc>
          <w:tcPr>
            <w:tcW w:w="1492" w:type="dxa"/>
          </w:tcPr>
          <w:p w14:paraId="71FE1CF1" w14:textId="25C9A8F9" w:rsidR="004F31A3" w:rsidRPr="00022B2C" w:rsidRDefault="004F31A3" w:rsidP="004F31A3">
            <w:pPr>
              <w:pStyle w:val="Tablecontent"/>
              <w:rPr>
                <w:lang w:val="en-US"/>
              </w:rPr>
            </w:pPr>
            <w:r w:rsidRPr="00022B2C">
              <w:rPr>
                <w:b/>
                <w:bCs/>
                <w:lang w:val="en-US"/>
              </w:rPr>
              <w:t>Redacted</w:t>
            </w:r>
          </w:p>
        </w:tc>
        <w:tc>
          <w:tcPr>
            <w:tcW w:w="955" w:type="dxa"/>
          </w:tcPr>
          <w:p w14:paraId="3CA94D0D" w14:textId="3F56D391" w:rsidR="004F31A3" w:rsidRPr="00022B2C" w:rsidRDefault="004F31A3" w:rsidP="004F31A3">
            <w:pPr>
              <w:pStyle w:val="Tablecontent"/>
              <w:rPr>
                <w:lang w:val="en-US"/>
              </w:rPr>
            </w:pPr>
            <w:r w:rsidRPr="00022B2C">
              <w:rPr>
                <w:b/>
                <w:bCs/>
                <w:lang w:val="en-US"/>
              </w:rPr>
              <w:t>Redacted</w:t>
            </w:r>
          </w:p>
        </w:tc>
        <w:tc>
          <w:tcPr>
            <w:tcW w:w="5443" w:type="dxa"/>
          </w:tcPr>
          <w:p w14:paraId="45FDBD2B" w14:textId="013BB095" w:rsidR="004F31A3" w:rsidRPr="00022B2C" w:rsidRDefault="004F31A3" w:rsidP="004F31A3">
            <w:pPr>
              <w:pStyle w:val="Tablecontent"/>
              <w:rPr>
                <w:lang w:val="en-US"/>
              </w:rPr>
            </w:pPr>
            <w:r w:rsidRPr="00022B2C">
              <w:rPr>
                <w:b/>
                <w:bCs/>
                <w:lang w:val="en-US"/>
              </w:rPr>
              <w:t>Redacted</w:t>
            </w:r>
          </w:p>
        </w:tc>
      </w:tr>
      <w:tr w:rsidR="004F31A3" w14:paraId="3CDC4229" w14:textId="77777777" w:rsidTr="00022B2C">
        <w:trPr>
          <w:trHeight w:val="453"/>
        </w:trPr>
        <w:tc>
          <w:tcPr>
            <w:tcW w:w="1158" w:type="dxa"/>
          </w:tcPr>
          <w:p w14:paraId="1C91A72F" w14:textId="5461E94A" w:rsidR="004F31A3" w:rsidRPr="00022B2C" w:rsidRDefault="004F31A3" w:rsidP="004F31A3">
            <w:pPr>
              <w:pStyle w:val="Tablecontent"/>
              <w:rPr>
                <w:lang w:val="en-US"/>
              </w:rPr>
            </w:pPr>
            <w:r w:rsidRPr="00022B2C">
              <w:rPr>
                <w:b/>
                <w:bCs/>
                <w:lang w:val="en-US"/>
              </w:rPr>
              <w:t>Redacted</w:t>
            </w:r>
          </w:p>
        </w:tc>
        <w:tc>
          <w:tcPr>
            <w:tcW w:w="1492" w:type="dxa"/>
          </w:tcPr>
          <w:p w14:paraId="1AC780B5" w14:textId="4E35F578" w:rsidR="004F31A3" w:rsidRPr="00022B2C" w:rsidRDefault="004F31A3" w:rsidP="004F31A3">
            <w:pPr>
              <w:pStyle w:val="Tablecontent"/>
              <w:rPr>
                <w:lang w:val="en-US"/>
              </w:rPr>
            </w:pPr>
            <w:r w:rsidRPr="00022B2C">
              <w:rPr>
                <w:b/>
                <w:bCs/>
                <w:lang w:val="en-US"/>
              </w:rPr>
              <w:t>Redacted</w:t>
            </w:r>
          </w:p>
        </w:tc>
        <w:tc>
          <w:tcPr>
            <w:tcW w:w="955" w:type="dxa"/>
          </w:tcPr>
          <w:p w14:paraId="72A14FEE" w14:textId="59089ABB" w:rsidR="004F31A3" w:rsidRPr="00022B2C" w:rsidRDefault="004F31A3" w:rsidP="004F31A3">
            <w:pPr>
              <w:pStyle w:val="Tablecontent"/>
              <w:rPr>
                <w:lang w:val="en-US"/>
              </w:rPr>
            </w:pPr>
            <w:r w:rsidRPr="00022B2C">
              <w:rPr>
                <w:b/>
                <w:bCs/>
                <w:lang w:val="en-US"/>
              </w:rPr>
              <w:t>Redacted</w:t>
            </w:r>
          </w:p>
        </w:tc>
        <w:tc>
          <w:tcPr>
            <w:tcW w:w="5443" w:type="dxa"/>
          </w:tcPr>
          <w:p w14:paraId="318455CC" w14:textId="01CBF176" w:rsidR="004F31A3" w:rsidRPr="00022B2C" w:rsidRDefault="004F31A3" w:rsidP="004F31A3">
            <w:pPr>
              <w:pStyle w:val="Tablecontent"/>
              <w:rPr>
                <w:lang w:val="en-US"/>
              </w:rPr>
            </w:pPr>
            <w:r w:rsidRPr="00022B2C">
              <w:rPr>
                <w:b/>
                <w:bCs/>
                <w:lang w:val="en-US"/>
              </w:rPr>
              <w:t>Redacted</w:t>
            </w:r>
          </w:p>
        </w:tc>
      </w:tr>
    </w:tbl>
    <w:p w14:paraId="7EE2280F" w14:textId="77777777" w:rsidR="009A713B" w:rsidRDefault="009A713B" w:rsidP="00CF64AF">
      <w:pPr>
        <w:pStyle w:val="Responsetext"/>
      </w:pPr>
    </w:p>
    <w:p w14:paraId="3BB4C6FE" w14:textId="2FBD1FF8" w:rsidR="00E4796D" w:rsidRDefault="00E4796D" w:rsidP="006F4103">
      <w:pPr>
        <w:pStyle w:val="Responsetext"/>
        <w:rPr>
          <w:lang w:val="en-US"/>
        </w:rPr>
      </w:pPr>
      <w:r>
        <w:rPr>
          <w:lang w:val="en-US"/>
        </w:rPr>
        <w:t>These surgeons were contacted individually by email and explained the need for a choice of comparator for the MINIject MSAC application submission regarding the standalone 42504 MBGS code. It was suggested that iStent could be the appropriate comparator with reasons given as listed above</w:t>
      </w:r>
      <w:r w:rsidRPr="00BD45F6">
        <w:rPr>
          <w:lang w:val="en-US"/>
        </w:rPr>
        <w:t xml:space="preserve">. </w:t>
      </w:r>
      <w:r w:rsidRPr="00BD45F6">
        <w:t>A limitation of this research is that the MINIject device has not yet been used in Australia, and so these experts cannot be confident as to what its outcomes or projected usage may be.</w:t>
      </w:r>
      <w:r>
        <w:t xml:space="preserve"> </w:t>
      </w:r>
      <w:r>
        <w:rPr>
          <w:lang w:val="en-US"/>
        </w:rPr>
        <w:t xml:space="preserve"> </w:t>
      </w:r>
      <w:r>
        <w:t xml:space="preserve">None of these experts have a financial relationship or other contractual agreement with the manufacturer. </w:t>
      </w:r>
      <w:r>
        <w:rPr>
          <w:lang w:val="en-US"/>
        </w:rPr>
        <w:t xml:space="preserve">Responses received by the MSAC submission deadline are recorded </w:t>
      </w:r>
      <w:r w:rsidR="006F4103">
        <w:rPr>
          <w:lang w:val="en-US"/>
        </w:rPr>
        <w:t xml:space="preserve">in </w:t>
      </w:r>
      <w:r w:rsidR="006F4103">
        <w:rPr>
          <w:lang w:val="en-US"/>
        </w:rPr>
        <w:fldChar w:fldCharType="begin"/>
      </w:r>
      <w:r w:rsidR="006F4103">
        <w:rPr>
          <w:lang w:val="en-US"/>
        </w:rPr>
        <w:instrText xml:space="preserve"> REF _Ref140749965 \h </w:instrText>
      </w:r>
      <w:r w:rsidR="006F4103">
        <w:rPr>
          <w:lang w:val="en-US"/>
        </w:rPr>
      </w:r>
      <w:r w:rsidR="006F4103">
        <w:rPr>
          <w:lang w:val="en-US"/>
        </w:rPr>
        <w:fldChar w:fldCharType="separate"/>
      </w:r>
      <w:r w:rsidR="00976372" w:rsidRPr="00E4796D">
        <w:t xml:space="preserve">Table </w:t>
      </w:r>
      <w:r w:rsidR="00976372">
        <w:rPr>
          <w:noProof/>
        </w:rPr>
        <w:t>2</w:t>
      </w:r>
      <w:r w:rsidR="006F4103">
        <w:rPr>
          <w:lang w:val="en-US"/>
        </w:rPr>
        <w:fldChar w:fldCharType="end"/>
      </w:r>
      <w:r w:rsidR="006F4103">
        <w:rPr>
          <w:lang w:val="en-US"/>
        </w:rPr>
        <w:t>.</w:t>
      </w:r>
    </w:p>
    <w:p w14:paraId="5F553E4A" w14:textId="77777777" w:rsidR="00022B2C" w:rsidRDefault="00022B2C">
      <w:pPr>
        <w:rPr>
          <w:b/>
          <w:bCs/>
          <w:i/>
          <w:iCs/>
          <w:color w:val="44546A" w:themeColor="text2"/>
          <w:sz w:val="20"/>
          <w:szCs w:val="20"/>
        </w:rPr>
      </w:pPr>
      <w:bookmarkStart w:id="3" w:name="_Ref140749965"/>
      <w:r>
        <w:br w:type="page"/>
      </w:r>
    </w:p>
    <w:p w14:paraId="6CC0D383" w14:textId="531B749B" w:rsidR="006F4103" w:rsidRPr="00E4796D" w:rsidRDefault="006F4103" w:rsidP="006F4103">
      <w:pPr>
        <w:pStyle w:val="Caption"/>
      </w:pPr>
      <w:r w:rsidRPr="00E4796D">
        <w:lastRenderedPageBreak/>
        <w:t xml:space="preserve">Table </w:t>
      </w:r>
      <w:r w:rsidR="00FA7BD3">
        <w:fldChar w:fldCharType="begin"/>
      </w:r>
      <w:r w:rsidR="00FA7BD3">
        <w:instrText xml:space="preserve"> SEQ Table \* ARABIC </w:instrText>
      </w:r>
      <w:r w:rsidR="00FA7BD3">
        <w:fldChar w:fldCharType="separate"/>
      </w:r>
      <w:r w:rsidR="00976372">
        <w:rPr>
          <w:noProof/>
        </w:rPr>
        <w:t>2</w:t>
      </w:r>
      <w:r w:rsidR="00FA7BD3">
        <w:rPr>
          <w:noProof/>
        </w:rPr>
        <w:fldChar w:fldCharType="end"/>
      </w:r>
      <w:bookmarkEnd w:id="3"/>
      <w:r w:rsidRPr="00E4796D">
        <w:t xml:space="preserve">: Clinical expert </w:t>
      </w:r>
      <w:r>
        <w:t>responses on choice of comparator</w:t>
      </w:r>
    </w:p>
    <w:tbl>
      <w:tblPr>
        <w:tblStyle w:val="TableGrid"/>
        <w:tblW w:w="9029" w:type="dxa"/>
        <w:tblLook w:val="04A0" w:firstRow="1" w:lastRow="0" w:firstColumn="1" w:lastColumn="0" w:noHBand="0" w:noVBand="1"/>
      </w:tblPr>
      <w:tblGrid>
        <w:gridCol w:w="1168"/>
        <w:gridCol w:w="1374"/>
        <w:gridCol w:w="702"/>
        <w:gridCol w:w="1273"/>
        <w:gridCol w:w="4512"/>
      </w:tblGrid>
      <w:tr w:rsidR="00E4796D" w14:paraId="6FD6948D" w14:textId="77777777" w:rsidTr="00022B2C">
        <w:trPr>
          <w:trHeight w:val="552"/>
        </w:trPr>
        <w:tc>
          <w:tcPr>
            <w:tcW w:w="1168" w:type="dxa"/>
            <w:shd w:val="clear" w:color="auto" w:fill="F2F2F2" w:themeFill="background1" w:themeFillShade="F2"/>
          </w:tcPr>
          <w:p w14:paraId="6DF667A2" w14:textId="77777777" w:rsidR="00E4796D" w:rsidRDefault="00E4796D" w:rsidP="00C17CFD">
            <w:pPr>
              <w:pStyle w:val="Tableheading"/>
              <w:rPr>
                <w:lang w:val="en-US"/>
              </w:rPr>
            </w:pPr>
            <w:r>
              <w:rPr>
                <w:lang w:val="en-US"/>
              </w:rPr>
              <w:t>Title</w:t>
            </w:r>
          </w:p>
        </w:tc>
        <w:tc>
          <w:tcPr>
            <w:tcW w:w="1374" w:type="dxa"/>
            <w:shd w:val="clear" w:color="auto" w:fill="F2F2F2" w:themeFill="background1" w:themeFillShade="F2"/>
          </w:tcPr>
          <w:p w14:paraId="20F2A6E4" w14:textId="77777777" w:rsidR="00E4796D" w:rsidRDefault="00E4796D" w:rsidP="00C17CFD">
            <w:pPr>
              <w:pStyle w:val="Tableheading"/>
              <w:rPr>
                <w:lang w:val="en-US"/>
              </w:rPr>
            </w:pPr>
            <w:r>
              <w:rPr>
                <w:lang w:val="en-US"/>
              </w:rPr>
              <w:t>Name</w:t>
            </w:r>
          </w:p>
        </w:tc>
        <w:tc>
          <w:tcPr>
            <w:tcW w:w="702" w:type="dxa"/>
            <w:shd w:val="clear" w:color="auto" w:fill="F2F2F2" w:themeFill="background1" w:themeFillShade="F2"/>
          </w:tcPr>
          <w:p w14:paraId="17F9482E" w14:textId="77777777" w:rsidR="00E4796D" w:rsidRDefault="00E4796D" w:rsidP="00C17CFD">
            <w:pPr>
              <w:pStyle w:val="Tableheading"/>
              <w:rPr>
                <w:lang w:val="en-US"/>
              </w:rPr>
            </w:pPr>
            <w:r>
              <w:rPr>
                <w:lang w:val="en-US"/>
              </w:rPr>
              <w:t>State</w:t>
            </w:r>
          </w:p>
        </w:tc>
        <w:tc>
          <w:tcPr>
            <w:tcW w:w="1273" w:type="dxa"/>
            <w:shd w:val="clear" w:color="auto" w:fill="F2F2F2" w:themeFill="background1" w:themeFillShade="F2"/>
          </w:tcPr>
          <w:p w14:paraId="5152CDE6" w14:textId="77777777" w:rsidR="00E4796D" w:rsidRDefault="00E4796D" w:rsidP="00C17CFD">
            <w:pPr>
              <w:pStyle w:val="Tableheading"/>
              <w:rPr>
                <w:lang w:val="en-US"/>
              </w:rPr>
            </w:pPr>
            <w:r>
              <w:rPr>
                <w:lang w:val="en-US"/>
              </w:rPr>
              <w:t>Comparator selected</w:t>
            </w:r>
          </w:p>
        </w:tc>
        <w:tc>
          <w:tcPr>
            <w:tcW w:w="4512" w:type="dxa"/>
            <w:shd w:val="clear" w:color="auto" w:fill="F2F2F2" w:themeFill="background1" w:themeFillShade="F2"/>
          </w:tcPr>
          <w:p w14:paraId="70B1CB71" w14:textId="77777777" w:rsidR="00E4796D" w:rsidRDefault="00E4796D" w:rsidP="00C17CFD">
            <w:pPr>
              <w:pStyle w:val="Tableheading"/>
              <w:rPr>
                <w:lang w:val="en-US"/>
              </w:rPr>
            </w:pPr>
            <w:r>
              <w:rPr>
                <w:lang w:val="en-US"/>
              </w:rPr>
              <w:t>Additional comments</w:t>
            </w:r>
          </w:p>
        </w:tc>
      </w:tr>
      <w:tr w:rsidR="004F31A3" w14:paraId="1C130D80" w14:textId="77777777" w:rsidTr="004F31A3">
        <w:trPr>
          <w:trHeight w:val="276"/>
        </w:trPr>
        <w:tc>
          <w:tcPr>
            <w:tcW w:w="1168" w:type="dxa"/>
          </w:tcPr>
          <w:p w14:paraId="58B428EF" w14:textId="6950D1CD" w:rsidR="004F31A3" w:rsidRPr="00022B2C" w:rsidRDefault="004F31A3" w:rsidP="004F31A3">
            <w:pPr>
              <w:pStyle w:val="Tablecontent"/>
              <w:rPr>
                <w:lang w:val="en-US"/>
              </w:rPr>
            </w:pPr>
            <w:r w:rsidRPr="00022B2C">
              <w:rPr>
                <w:b/>
                <w:bCs/>
                <w:lang w:val="en-US"/>
              </w:rPr>
              <w:t>Redacted</w:t>
            </w:r>
          </w:p>
        </w:tc>
        <w:tc>
          <w:tcPr>
            <w:tcW w:w="1374" w:type="dxa"/>
          </w:tcPr>
          <w:p w14:paraId="12933417" w14:textId="0467D94C" w:rsidR="004F31A3" w:rsidRPr="00022B2C" w:rsidRDefault="004F31A3" w:rsidP="004F31A3">
            <w:pPr>
              <w:pStyle w:val="Tablecontent"/>
              <w:rPr>
                <w:lang w:val="en-US"/>
              </w:rPr>
            </w:pPr>
            <w:r w:rsidRPr="00022B2C">
              <w:rPr>
                <w:b/>
                <w:bCs/>
                <w:lang w:val="en-US"/>
              </w:rPr>
              <w:t>Redacted</w:t>
            </w:r>
          </w:p>
        </w:tc>
        <w:tc>
          <w:tcPr>
            <w:tcW w:w="702" w:type="dxa"/>
          </w:tcPr>
          <w:p w14:paraId="344212F9" w14:textId="77777777" w:rsidR="004F31A3" w:rsidRDefault="004F31A3" w:rsidP="004F31A3">
            <w:pPr>
              <w:pStyle w:val="Tablecontent"/>
              <w:rPr>
                <w:lang w:val="en-US"/>
              </w:rPr>
            </w:pPr>
            <w:r>
              <w:rPr>
                <w:lang w:val="en-US"/>
              </w:rPr>
              <w:t>QLD</w:t>
            </w:r>
          </w:p>
        </w:tc>
        <w:tc>
          <w:tcPr>
            <w:tcW w:w="1273" w:type="dxa"/>
          </w:tcPr>
          <w:p w14:paraId="65DEB245" w14:textId="77777777" w:rsidR="004F31A3" w:rsidRDefault="004F31A3" w:rsidP="004F31A3">
            <w:pPr>
              <w:pStyle w:val="Tablecontent"/>
              <w:rPr>
                <w:lang w:val="en-US"/>
              </w:rPr>
            </w:pPr>
            <w:r>
              <w:rPr>
                <w:lang w:val="en-US"/>
              </w:rPr>
              <w:t>N/A</w:t>
            </w:r>
          </w:p>
        </w:tc>
        <w:tc>
          <w:tcPr>
            <w:tcW w:w="4512" w:type="dxa"/>
          </w:tcPr>
          <w:p w14:paraId="2B69FCC6" w14:textId="77777777" w:rsidR="004F31A3" w:rsidRDefault="004F31A3" w:rsidP="004F31A3">
            <w:pPr>
              <w:pStyle w:val="Tablecontent"/>
              <w:rPr>
                <w:lang w:val="en-US"/>
              </w:rPr>
            </w:pPr>
            <w:r w:rsidRPr="00130AA5">
              <w:rPr>
                <w:lang w:val="en-US"/>
              </w:rPr>
              <w:t>I feel that this matter should be referred to ANZGS committee for further comments rather than just myself as one person.  Also would be better to get opinion from someone who has actually used the device in their patients. I will copy to ANZGS committee chairs and seek their advice.</w:t>
            </w:r>
          </w:p>
        </w:tc>
      </w:tr>
      <w:tr w:rsidR="004F31A3" w14:paraId="3B4F63D9" w14:textId="77777777" w:rsidTr="004F31A3">
        <w:trPr>
          <w:trHeight w:val="265"/>
        </w:trPr>
        <w:tc>
          <w:tcPr>
            <w:tcW w:w="1168" w:type="dxa"/>
          </w:tcPr>
          <w:p w14:paraId="21F9AB9D" w14:textId="3C87C428" w:rsidR="004F31A3" w:rsidRPr="00022B2C" w:rsidRDefault="004F31A3" w:rsidP="004F31A3">
            <w:pPr>
              <w:pStyle w:val="Tablecontent"/>
              <w:rPr>
                <w:lang w:val="en-US"/>
              </w:rPr>
            </w:pPr>
            <w:r w:rsidRPr="00022B2C">
              <w:rPr>
                <w:b/>
                <w:bCs/>
                <w:lang w:val="en-US"/>
              </w:rPr>
              <w:t>Redacted</w:t>
            </w:r>
          </w:p>
        </w:tc>
        <w:tc>
          <w:tcPr>
            <w:tcW w:w="1374" w:type="dxa"/>
          </w:tcPr>
          <w:p w14:paraId="02395DC9" w14:textId="0F408AED" w:rsidR="004F31A3" w:rsidRPr="00022B2C" w:rsidRDefault="004F31A3" w:rsidP="004F31A3">
            <w:pPr>
              <w:pStyle w:val="Tablecontent"/>
              <w:rPr>
                <w:lang w:val="en-US"/>
              </w:rPr>
            </w:pPr>
            <w:r w:rsidRPr="00022B2C">
              <w:rPr>
                <w:b/>
                <w:bCs/>
                <w:lang w:val="en-US"/>
              </w:rPr>
              <w:t>Redacted</w:t>
            </w:r>
          </w:p>
        </w:tc>
        <w:tc>
          <w:tcPr>
            <w:tcW w:w="702" w:type="dxa"/>
          </w:tcPr>
          <w:p w14:paraId="6DCFA0E3" w14:textId="77777777" w:rsidR="004F31A3" w:rsidRDefault="004F31A3" w:rsidP="004F31A3">
            <w:pPr>
              <w:pStyle w:val="Tablecontent"/>
              <w:rPr>
                <w:lang w:val="en-US"/>
              </w:rPr>
            </w:pPr>
            <w:r>
              <w:rPr>
                <w:lang w:val="en-US"/>
              </w:rPr>
              <w:t>QLD</w:t>
            </w:r>
          </w:p>
        </w:tc>
        <w:tc>
          <w:tcPr>
            <w:tcW w:w="1273" w:type="dxa"/>
          </w:tcPr>
          <w:p w14:paraId="515C1F80" w14:textId="77777777" w:rsidR="004F31A3" w:rsidRDefault="004F31A3" w:rsidP="004F31A3">
            <w:pPr>
              <w:pStyle w:val="Tablecontent"/>
              <w:rPr>
                <w:lang w:val="en-US"/>
              </w:rPr>
            </w:pPr>
          </w:p>
        </w:tc>
        <w:tc>
          <w:tcPr>
            <w:tcW w:w="4512" w:type="dxa"/>
          </w:tcPr>
          <w:p w14:paraId="563145CB" w14:textId="77777777" w:rsidR="004F31A3" w:rsidRDefault="004F31A3" w:rsidP="004F31A3">
            <w:pPr>
              <w:pStyle w:val="Tablecontent"/>
              <w:rPr>
                <w:lang w:val="en-US"/>
              </w:rPr>
            </w:pPr>
          </w:p>
        </w:tc>
      </w:tr>
      <w:tr w:rsidR="004F31A3" w14:paraId="2E1D3939" w14:textId="77777777" w:rsidTr="004F31A3">
        <w:trPr>
          <w:trHeight w:val="276"/>
        </w:trPr>
        <w:tc>
          <w:tcPr>
            <w:tcW w:w="1168" w:type="dxa"/>
          </w:tcPr>
          <w:p w14:paraId="02FC130E" w14:textId="39A41D74" w:rsidR="004F31A3" w:rsidRPr="00022B2C" w:rsidRDefault="004F31A3" w:rsidP="004F31A3">
            <w:pPr>
              <w:pStyle w:val="Tablecontent"/>
              <w:rPr>
                <w:lang w:val="en-US"/>
              </w:rPr>
            </w:pPr>
            <w:r w:rsidRPr="00022B2C">
              <w:rPr>
                <w:b/>
                <w:bCs/>
                <w:lang w:val="en-US"/>
              </w:rPr>
              <w:t>Redacted</w:t>
            </w:r>
          </w:p>
        </w:tc>
        <w:tc>
          <w:tcPr>
            <w:tcW w:w="1374" w:type="dxa"/>
          </w:tcPr>
          <w:p w14:paraId="1B73B104" w14:textId="37E3BF25" w:rsidR="004F31A3" w:rsidRPr="00022B2C" w:rsidRDefault="004F31A3" w:rsidP="004F31A3">
            <w:pPr>
              <w:pStyle w:val="Tablecontent"/>
              <w:rPr>
                <w:lang w:val="en-US"/>
              </w:rPr>
            </w:pPr>
            <w:r w:rsidRPr="00022B2C">
              <w:rPr>
                <w:b/>
                <w:bCs/>
                <w:lang w:val="en-US"/>
              </w:rPr>
              <w:t>Redacted</w:t>
            </w:r>
          </w:p>
        </w:tc>
        <w:tc>
          <w:tcPr>
            <w:tcW w:w="702" w:type="dxa"/>
          </w:tcPr>
          <w:p w14:paraId="405AB162" w14:textId="77777777" w:rsidR="004F31A3" w:rsidRDefault="004F31A3" w:rsidP="004F31A3">
            <w:pPr>
              <w:pStyle w:val="Tablecontent"/>
              <w:rPr>
                <w:lang w:val="en-US"/>
              </w:rPr>
            </w:pPr>
            <w:r>
              <w:rPr>
                <w:lang w:val="en-US"/>
              </w:rPr>
              <w:t>NSW</w:t>
            </w:r>
          </w:p>
        </w:tc>
        <w:tc>
          <w:tcPr>
            <w:tcW w:w="1273" w:type="dxa"/>
          </w:tcPr>
          <w:p w14:paraId="7253DFA7" w14:textId="77777777" w:rsidR="004F31A3" w:rsidRDefault="004F31A3" w:rsidP="004F31A3">
            <w:pPr>
              <w:pStyle w:val="Tablecontent"/>
              <w:rPr>
                <w:lang w:val="en-US"/>
              </w:rPr>
            </w:pPr>
            <w:r>
              <w:rPr>
                <w:lang w:val="en-US"/>
              </w:rPr>
              <w:t>iStent</w:t>
            </w:r>
          </w:p>
        </w:tc>
        <w:tc>
          <w:tcPr>
            <w:tcW w:w="4512" w:type="dxa"/>
          </w:tcPr>
          <w:p w14:paraId="16B80ED2" w14:textId="77777777" w:rsidR="004F31A3" w:rsidRDefault="004F31A3" w:rsidP="004F31A3">
            <w:pPr>
              <w:pStyle w:val="Tablecontent"/>
              <w:rPr>
                <w:lang w:val="en-US"/>
              </w:rPr>
            </w:pPr>
            <w:r>
              <w:rPr>
                <w:lang w:val="en-US"/>
              </w:rPr>
              <w:t>Agree with the comparator</w:t>
            </w:r>
          </w:p>
        </w:tc>
      </w:tr>
      <w:tr w:rsidR="004F31A3" w14:paraId="5A40F68F" w14:textId="77777777" w:rsidTr="004F31A3">
        <w:trPr>
          <w:trHeight w:val="276"/>
        </w:trPr>
        <w:tc>
          <w:tcPr>
            <w:tcW w:w="1168" w:type="dxa"/>
          </w:tcPr>
          <w:p w14:paraId="32291C9F" w14:textId="002B033F" w:rsidR="004F31A3" w:rsidRPr="00022B2C" w:rsidRDefault="004F31A3" w:rsidP="004F31A3">
            <w:pPr>
              <w:pStyle w:val="Tablecontent"/>
              <w:rPr>
                <w:lang w:val="en-US"/>
              </w:rPr>
            </w:pPr>
            <w:r w:rsidRPr="00022B2C">
              <w:rPr>
                <w:b/>
                <w:bCs/>
                <w:lang w:val="en-US"/>
              </w:rPr>
              <w:t>Redacted</w:t>
            </w:r>
          </w:p>
        </w:tc>
        <w:tc>
          <w:tcPr>
            <w:tcW w:w="1374" w:type="dxa"/>
          </w:tcPr>
          <w:p w14:paraId="6E3BBC3A" w14:textId="338F78B5" w:rsidR="004F31A3" w:rsidRPr="00022B2C" w:rsidRDefault="004F31A3" w:rsidP="004F31A3">
            <w:pPr>
              <w:pStyle w:val="Tablecontent"/>
              <w:rPr>
                <w:lang w:val="en-US"/>
              </w:rPr>
            </w:pPr>
            <w:r w:rsidRPr="00022B2C">
              <w:rPr>
                <w:b/>
                <w:bCs/>
                <w:lang w:val="en-US"/>
              </w:rPr>
              <w:t>Redacted</w:t>
            </w:r>
          </w:p>
        </w:tc>
        <w:tc>
          <w:tcPr>
            <w:tcW w:w="702" w:type="dxa"/>
          </w:tcPr>
          <w:p w14:paraId="04B0ED51" w14:textId="77777777" w:rsidR="004F31A3" w:rsidRDefault="004F31A3" w:rsidP="004F31A3">
            <w:pPr>
              <w:pStyle w:val="Tablecontent"/>
              <w:rPr>
                <w:lang w:val="en-US"/>
              </w:rPr>
            </w:pPr>
            <w:r>
              <w:rPr>
                <w:lang w:val="en-US"/>
              </w:rPr>
              <w:t>NSW</w:t>
            </w:r>
          </w:p>
        </w:tc>
        <w:tc>
          <w:tcPr>
            <w:tcW w:w="1273" w:type="dxa"/>
          </w:tcPr>
          <w:p w14:paraId="128CF3CD" w14:textId="77777777" w:rsidR="004F31A3" w:rsidRDefault="004F31A3" w:rsidP="004F31A3">
            <w:pPr>
              <w:pStyle w:val="Tablecontent"/>
              <w:rPr>
                <w:lang w:val="en-US"/>
              </w:rPr>
            </w:pPr>
          </w:p>
        </w:tc>
        <w:tc>
          <w:tcPr>
            <w:tcW w:w="4512" w:type="dxa"/>
          </w:tcPr>
          <w:p w14:paraId="4471BBDD" w14:textId="77777777" w:rsidR="004F31A3" w:rsidRDefault="004F31A3" w:rsidP="004F31A3">
            <w:pPr>
              <w:pStyle w:val="Tablecontent"/>
              <w:rPr>
                <w:lang w:val="en-US"/>
              </w:rPr>
            </w:pPr>
          </w:p>
        </w:tc>
      </w:tr>
      <w:tr w:rsidR="004F31A3" w14:paraId="32D5EDD8" w14:textId="77777777" w:rsidTr="004F31A3">
        <w:trPr>
          <w:trHeight w:val="276"/>
        </w:trPr>
        <w:tc>
          <w:tcPr>
            <w:tcW w:w="1168" w:type="dxa"/>
          </w:tcPr>
          <w:p w14:paraId="093FADA9" w14:textId="5D433BE5" w:rsidR="004F31A3" w:rsidRPr="00022B2C" w:rsidRDefault="004F31A3" w:rsidP="004F31A3">
            <w:pPr>
              <w:pStyle w:val="Tablecontent"/>
              <w:rPr>
                <w:lang w:val="en-US"/>
              </w:rPr>
            </w:pPr>
            <w:r w:rsidRPr="00022B2C">
              <w:rPr>
                <w:b/>
                <w:bCs/>
                <w:lang w:val="en-US"/>
              </w:rPr>
              <w:t>Redacted</w:t>
            </w:r>
          </w:p>
        </w:tc>
        <w:tc>
          <w:tcPr>
            <w:tcW w:w="1374" w:type="dxa"/>
          </w:tcPr>
          <w:p w14:paraId="6AF5DA79" w14:textId="556C5671" w:rsidR="004F31A3" w:rsidRPr="00022B2C" w:rsidRDefault="004F31A3" w:rsidP="004F31A3">
            <w:pPr>
              <w:pStyle w:val="Tablecontent"/>
              <w:rPr>
                <w:lang w:val="en-US"/>
              </w:rPr>
            </w:pPr>
            <w:r w:rsidRPr="00022B2C">
              <w:rPr>
                <w:b/>
                <w:bCs/>
                <w:lang w:val="en-US"/>
              </w:rPr>
              <w:t>Redacted</w:t>
            </w:r>
          </w:p>
        </w:tc>
        <w:tc>
          <w:tcPr>
            <w:tcW w:w="702" w:type="dxa"/>
          </w:tcPr>
          <w:p w14:paraId="74CB48FE" w14:textId="77777777" w:rsidR="004F31A3" w:rsidRDefault="004F31A3" w:rsidP="004F31A3">
            <w:pPr>
              <w:pStyle w:val="Tablecontent"/>
              <w:rPr>
                <w:lang w:val="en-US"/>
              </w:rPr>
            </w:pPr>
            <w:r>
              <w:rPr>
                <w:lang w:val="en-US"/>
              </w:rPr>
              <w:t>Vic</w:t>
            </w:r>
          </w:p>
        </w:tc>
        <w:tc>
          <w:tcPr>
            <w:tcW w:w="1273" w:type="dxa"/>
          </w:tcPr>
          <w:p w14:paraId="35BC2DFD" w14:textId="17687C11" w:rsidR="004F31A3" w:rsidRDefault="004F31A3" w:rsidP="004F31A3">
            <w:pPr>
              <w:pStyle w:val="Tablecontent"/>
              <w:rPr>
                <w:lang w:val="en-US"/>
              </w:rPr>
            </w:pPr>
            <w:r w:rsidRPr="0082744D">
              <w:rPr>
                <w:lang w:val="en-US"/>
              </w:rPr>
              <w:t>42504 code</w:t>
            </w:r>
          </w:p>
        </w:tc>
        <w:tc>
          <w:tcPr>
            <w:tcW w:w="4512" w:type="dxa"/>
          </w:tcPr>
          <w:p w14:paraId="0F3D042D" w14:textId="6BD53860" w:rsidR="004F31A3" w:rsidRDefault="004F31A3" w:rsidP="004F31A3">
            <w:pPr>
              <w:pStyle w:val="Tablecontent"/>
              <w:rPr>
                <w:lang w:val="en-US"/>
              </w:rPr>
            </w:pPr>
            <w:r w:rsidRPr="0024673E">
              <w:rPr>
                <w:lang w:val="en-US"/>
              </w:rPr>
              <w:t>I agree the 42504 code is the closest code for the istar device, although the medicare description is insertion of micro bypass into the trabecular meshwork.</w:t>
            </w:r>
          </w:p>
        </w:tc>
      </w:tr>
      <w:tr w:rsidR="004F31A3" w14:paraId="69BD3A60" w14:textId="77777777" w:rsidTr="004F31A3">
        <w:trPr>
          <w:trHeight w:val="276"/>
        </w:trPr>
        <w:tc>
          <w:tcPr>
            <w:tcW w:w="1168" w:type="dxa"/>
          </w:tcPr>
          <w:p w14:paraId="5412337C" w14:textId="5E8B67D0" w:rsidR="004F31A3" w:rsidRPr="00022B2C" w:rsidRDefault="004F31A3" w:rsidP="004F31A3">
            <w:pPr>
              <w:pStyle w:val="Tablecontent"/>
              <w:rPr>
                <w:lang w:val="en-US"/>
              </w:rPr>
            </w:pPr>
            <w:r w:rsidRPr="00022B2C">
              <w:rPr>
                <w:b/>
                <w:bCs/>
                <w:lang w:val="en-US"/>
              </w:rPr>
              <w:t>Redacted</w:t>
            </w:r>
          </w:p>
        </w:tc>
        <w:tc>
          <w:tcPr>
            <w:tcW w:w="1374" w:type="dxa"/>
          </w:tcPr>
          <w:p w14:paraId="594E08D7" w14:textId="1C7CB99E" w:rsidR="004F31A3" w:rsidRPr="00022B2C" w:rsidRDefault="004F31A3" w:rsidP="004F31A3">
            <w:pPr>
              <w:pStyle w:val="Tablecontent"/>
              <w:rPr>
                <w:lang w:val="en-US"/>
              </w:rPr>
            </w:pPr>
            <w:r w:rsidRPr="00022B2C">
              <w:rPr>
                <w:b/>
                <w:bCs/>
                <w:lang w:val="en-US"/>
              </w:rPr>
              <w:t>Redacted</w:t>
            </w:r>
          </w:p>
        </w:tc>
        <w:tc>
          <w:tcPr>
            <w:tcW w:w="702" w:type="dxa"/>
          </w:tcPr>
          <w:p w14:paraId="21B6166B" w14:textId="77777777" w:rsidR="004F31A3" w:rsidRDefault="004F31A3" w:rsidP="004F31A3">
            <w:pPr>
              <w:pStyle w:val="Tablecontent"/>
              <w:rPr>
                <w:lang w:val="en-US"/>
              </w:rPr>
            </w:pPr>
            <w:r>
              <w:rPr>
                <w:lang w:val="en-US"/>
              </w:rPr>
              <w:t>Vic</w:t>
            </w:r>
          </w:p>
        </w:tc>
        <w:tc>
          <w:tcPr>
            <w:tcW w:w="1273" w:type="dxa"/>
          </w:tcPr>
          <w:p w14:paraId="6186D971" w14:textId="77777777" w:rsidR="004F31A3" w:rsidRDefault="004F31A3" w:rsidP="004F31A3">
            <w:pPr>
              <w:pStyle w:val="Tablecontent"/>
              <w:rPr>
                <w:lang w:val="en-US"/>
              </w:rPr>
            </w:pPr>
            <w:r>
              <w:rPr>
                <w:lang w:val="en-US"/>
              </w:rPr>
              <w:t>iStent</w:t>
            </w:r>
          </w:p>
        </w:tc>
        <w:tc>
          <w:tcPr>
            <w:tcW w:w="4512" w:type="dxa"/>
          </w:tcPr>
          <w:p w14:paraId="0D50A456" w14:textId="77777777" w:rsidR="004F31A3" w:rsidRPr="006A479E" w:rsidRDefault="004F31A3" w:rsidP="004F31A3">
            <w:pPr>
              <w:pStyle w:val="Tablecontent"/>
            </w:pPr>
            <w:r>
              <w:t>Regarding your request to use iStent as the comparator for MINIject, I am comfortable supporting this decision. Given the widespread use of iStent as an MBGS device in Australia, it seems logical to use it as a comparator, especially considering that it falls under the same 42504 code. I believe this comparison will provide a clear and fair assessment of MINIject's potential impact and utility in a standalone setting.</w:t>
            </w:r>
          </w:p>
        </w:tc>
      </w:tr>
    </w:tbl>
    <w:p w14:paraId="623F2953" w14:textId="043FDACD" w:rsidR="00CF64AF" w:rsidRDefault="00B8306A" w:rsidP="00D2095C">
      <w:pPr>
        <w:pStyle w:val="Footnote"/>
      </w:pPr>
      <w:r>
        <w:t>N/A: not applicable</w:t>
      </w:r>
    </w:p>
    <w:p w14:paraId="2F47DBF3" w14:textId="593AB2A2" w:rsidR="00FE257E" w:rsidRDefault="00FE257E" w:rsidP="00FE257E">
      <w:pPr>
        <w:spacing w:after="0" w:line="240" w:lineRule="auto"/>
        <w:rPr>
          <w:rFonts w:ascii="Segoe UI" w:eastAsia="Segoe UI" w:hAnsi="Segoe UI"/>
          <w:b/>
          <w:color w:val="000000"/>
          <w:sz w:val="22"/>
        </w:rPr>
      </w:pPr>
    </w:p>
    <w:p w14:paraId="3BE3CF30" w14:textId="3B03FC16" w:rsidR="005B5A58" w:rsidRDefault="005B5A58" w:rsidP="00FE257E">
      <w:pPr>
        <w:spacing w:after="0" w:line="240" w:lineRule="auto"/>
        <w:rPr>
          <w:rFonts w:ascii="Segoe UI" w:eastAsia="Segoe UI" w:hAnsi="Segoe UI"/>
          <w:b/>
          <w:color w:val="000000"/>
          <w:sz w:val="22"/>
        </w:rPr>
      </w:pPr>
      <w:r>
        <w:rPr>
          <w:rFonts w:ascii="Segoe UI" w:eastAsia="Segoe UI" w:hAnsi="Segoe UI"/>
          <w:b/>
          <w:color w:val="000000"/>
          <w:sz w:val="22"/>
        </w:rPr>
        <w:t xml:space="preserve">Pattern of substitution – Will the proposed health technology wholly replace the proposed comparator, partially replace </w:t>
      </w:r>
      <w:r w:rsidR="000627EF">
        <w:rPr>
          <w:rFonts w:ascii="Segoe UI" w:eastAsia="Segoe UI" w:hAnsi="Segoe UI"/>
          <w:b/>
          <w:color w:val="000000"/>
          <w:sz w:val="22"/>
        </w:rPr>
        <w:t>the proposed comparator, displace the proposed comparator or be used in combination with the proposed comparator?</w:t>
      </w:r>
      <w:r w:rsidR="00DB2D53">
        <w:rPr>
          <w:rFonts w:ascii="Segoe UI" w:eastAsia="Segoe UI" w:hAnsi="Segoe UI"/>
          <w:b/>
          <w:color w:val="000000"/>
          <w:sz w:val="22"/>
        </w:rPr>
        <w:t xml:space="preserve"> </w:t>
      </w:r>
    </w:p>
    <w:p w14:paraId="1DB01406" w14:textId="06FCFE07" w:rsidR="000627EF" w:rsidRDefault="000627EF" w:rsidP="00FE257E">
      <w:pPr>
        <w:spacing w:after="0" w:line="240" w:lineRule="auto"/>
        <w:rPr>
          <w:rFonts w:ascii="Segoe UI" w:eastAsia="Segoe UI" w:hAnsi="Segoe UI"/>
          <w:b/>
          <w:color w:val="000000"/>
          <w:sz w:val="22"/>
        </w:rPr>
      </w:pPr>
    </w:p>
    <w:p w14:paraId="0A5F4C44" w14:textId="7542FF35" w:rsidR="000627EF" w:rsidRPr="000627EF" w:rsidRDefault="000627EF" w:rsidP="000627EF">
      <w:pPr>
        <w:pStyle w:val="Tickboxes"/>
        <w:ind w:left="-284"/>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00FA7BD3">
        <w:rPr>
          <w:rFonts w:ascii="Segoe UI" w:hAnsi="Segoe UI" w:cs="Segoe UI"/>
          <w:sz w:val="22"/>
          <w:szCs w:val="22"/>
        </w:rPr>
      </w:r>
      <w:r w:rsidR="00FA7BD3">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None – used with the comparator </w:t>
      </w:r>
    </w:p>
    <w:p w14:paraId="04FD711F" w14:textId="03E32ADB" w:rsidR="000627EF" w:rsidRPr="000627EF" w:rsidRDefault="000627EF" w:rsidP="000627EF">
      <w:pPr>
        <w:pStyle w:val="Tickboxes"/>
        <w:ind w:left="-284"/>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00FA7BD3">
        <w:rPr>
          <w:rFonts w:ascii="Segoe UI" w:hAnsi="Segoe UI" w:cs="Segoe UI"/>
          <w:sz w:val="22"/>
          <w:szCs w:val="22"/>
        </w:rPr>
      </w:r>
      <w:r w:rsidR="00FA7BD3">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Displaced – comparator will likely be used following the proposed technology in some patient</w:t>
      </w:r>
      <w:r>
        <w:rPr>
          <w:rFonts w:ascii="Segoe UI" w:hAnsi="Segoe UI" w:cs="Segoe UI"/>
          <w:sz w:val="22"/>
          <w:szCs w:val="22"/>
        </w:rPr>
        <w:t>s</w:t>
      </w:r>
    </w:p>
    <w:p w14:paraId="3243B3BE" w14:textId="31989390" w:rsidR="000627EF" w:rsidRPr="000627EF" w:rsidRDefault="00E4636A" w:rsidP="000627EF">
      <w:pPr>
        <w:pStyle w:val="Tickboxes"/>
        <w:ind w:left="-284"/>
        <w:rPr>
          <w:rFonts w:ascii="Segoe UI" w:hAnsi="Segoe UI" w:cs="Segoe UI"/>
          <w:sz w:val="22"/>
          <w:szCs w:val="22"/>
        </w:rPr>
      </w:pPr>
      <w:r>
        <w:rPr>
          <w:rFonts w:ascii="Segoe UI" w:hAnsi="Segoe UI" w:cs="Segoe UI"/>
          <w:sz w:val="22"/>
          <w:szCs w:val="22"/>
        </w:rPr>
        <w:fldChar w:fldCharType="begin">
          <w:ffData>
            <w:name w:val="Check1"/>
            <w:enabled/>
            <w:calcOnExit w:val="0"/>
            <w:checkBox>
              <w:sizeAuto/>
              <w:default w:val="1"/>
            </w:checkBox>
          </w:ffData>
        </w:fldChar>
      </w:r>
      <w:bookmarkStart w:id="4" w:name="Check1"/>
      <w:r>
        <w:rPr>
          <w:rFonts w:ascii="Segoe UI" w:hAnsi="Segoe UI" w:cs="Segoe UI"/>
          <w:sz w:val="22"/>
          <w:szCs w:val="22"/>
        </w:rPr>
        <w:instrText xml:space="preserve"> FORMCHECKBOX </w:instrText>
      </w:r>
      <w:r w:rsidR="00FA7BD3">
        <w:rPr>
          <w:rFonts w:ascii="Segoe UI" w:hAnsi="Segoe UI" w:cs="Segoe UI"/>
          <w:sz w:val="22"/>
          <w:szCs w:val="22"/>
        </w:rPr>
      </w:r>
      <w:r w:rsidR="00FA7BD3">
        <w:rPr>
          <w:rFonts w:ascii="Segoe UI" w:hAnsi="Segoe UI" w:cs="Segoe UI"/>
          <w:sz w:val="22"/>
          <w:szCs w:val="22"/>
        </w:rPr>
        <w:fldChar w:fldCharType="separate"/>
      </w:r>
      <w:r>
        <w:rPr>
          <w:rFonts w:ascii="Segoe UI" w:hAnsi="Segoe UI" w:cs="Segoe UI"/>
          <w:sz w:val="22"/>
          <w:szCs w:val="22"/>
        </w:rPr>
        <w:fldChar w:fldCharType="end"/>
      </w:r>
      <w:bookmarkEnd w:id="4"/>
      <w:r w:rsidR="000627EF" w:rsidRPr="000627EF">
        <w:rPr>
          <w:rFonts w:ascii="Segoe UI" w:hAnsi="Segoe UI" w:cs="Segoe UI"/>
          <w:sz w:val="22"/>
          <w:szCs w:val="22"/>
        </w:rPr>
        <w:t xml:space="preserve"> Partial – in some cases, the proposed technology will replace the use of the comparator, but not in all cases </w:t>
      </w:r>
    </w:p>
    <w:p w14:paraId="6A535D15" w14:textId="51E2E3BA" w:rsidR="000627EF" w:rsidRPr="000627EF" w:rsidRDefault="000627EF" w:rsidP="000627EF">
      <w:pPr>
        <w:pStyle w:val="Tickboxes"/>
        <w:ind w:left="-284"/>
        <w:rPr>
          <w:rFonts w:ascii="Segoe UI" w:hAnsi="Segoe UI" w:cs="Segoe UI"/>
          <w:b/>
          <w:bCs w:val="0"/>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00FA7BD3">
        <w:rPr>
          <w:rFonts w:ascii="Segoe UI" w:hAnsi="Segoe UI" w:cs="Segoe UI"/>
          <w:sz w:val="22"/>
          <w:szCs w:val="22"/>
        </w:rPr>
      </w:r>
      <w:r w:rsidR="00FA7BD3">
        <w:rPr>
          <w:rFonts w:ascii="Segoe UI" w:hAnsi="Segoe UI" w:cs="Segoe UI"/>
          <w:sz w:val="22"/>
          <w:szCs w:val="22"/>
        </w:rPr>
        <w:fldChar w:fldCharType="separate"/>
      </w:r>
      <w:r w:rsidRPr="000627EF">
        <w:rPr>
          <w:rFonts w:ascii="Segoe UI" w:hAnsi="Segoe UI" w:cs="Segoe UI"/>
          <w:sz w:val="22"/>
          <w:szCs w:val="22"/>
        </w:rPr>
        <w:fldChar w:fldCharType="end"/>
      </w:r>
      <w:r>
        <w:rPr>
          <w:rFonts w:ascii="Segoe UI" w:hAnsi="Segoe UI" w:cs="Segoe UI"/>
          <w:sz w:val="22"/>
          <w:szCs w:val="22"/>
        </w:rPr>
        <w:t xml:space="preserve"> </w:t>
      </w:r>
      <w:r w:rsidRPr="000627EF">
        <w:rPr>
          <w:rFonts w:ascii="Segoe UI" w:hAnsi="Segoe UI" w:cs="Segoe UI"/>
          <w:sz w:val="22"/>
          <w:szCs w:val="22"/>
        </w:rPr>
        <w:t>Full – subjects who receive the proposed intervention will not receive the comparato</w:t>
      </w:r>
      <w:r>
        <w:rPr>
          <w:rFonts w:ascii="Segoe UI" w:hAnsi="Segoe UI" w:cs="Segoe UI"/>
          <w:sz w:val="22"/>
          <w:szCs w:val="22"/>
        </w:rPr>
        <w:t>r</w:t>
      </w:r>
    </w:p>
    <w:p w14:paraId="32AA0FD6" w14:textId="55C0ECCF" w:rsidR="000627EF" w:rsidRDefault="000627EF" w:rsidP="00FE257E">
      <w:pPr>
        <w:spacing w:after="0" w:line="240" w:lineRule="auto"/>
        <w:rPr>
          <w:rFonts w:ascii="Segoe UI" w:eastAsia="Segoe UI" w:hAnsi="Segoe UI"/>
          <w:b/>
          <w:color w:val="000000"/>
          <w:sz w:val="22"/>
        </w:rPr>
      </w:pPr>
    </w:p>
    <w:p w14:paraId="5565CDF0" w14:textId="0BCDE2AD" w:rsidR="000627EF" w:rsidRDefault="000627EF" w:rsidP="000627EF">
      <w:pPr>
        <w:spacing w:after="0" w:line="240" w:lineRule="auto"/>
        <w:rPr>
          <w:rFonts w:ascii="Segoe UI" w:eastAsia="Segoe UI" w:hAnsi="Segoe UI"/>
          <w:b/>
          <w:color w:val="000000"/>
          <w:sz w:val="22"/>
        </w:rPr>
      </w:pPr>
      <w:r>
        <w:rPr>
          <w:rFonts w:ascii="Segoe UI" w:eastAsia="Segoe UI" w:hAnsi="Segoe UI"/>
          <w:b/>
          <w:color w:val="000000"/>
          <w:sz w:val="22"/>
        </w:rPr>
        <w:t>Please outline and explain the extent to which the current comparator is expected to be substituted:</w:t>
      </w:r>
    </w:p>
    <w:p w14:paraId="3D9A6633" w14:textId="77777777" w:rsidR="000627EF" w:rsidRDefault="000627EF" w:rsidP="000627EF">
      <w:pPr>
        <w:spacing w:after="0" w:line="240" w:lineRule="auto"/>
        <w:rPr>
          <w:rFonts w:ascii="Segoe UI" w:eastAsia="Segoe UI" w:hAnsi="Segoe UI"/>
          <w:b/>
          <w:color w:val="000000"/>
          <w:sz w:val="22"/>
        </w:rPr>
      </w:pPr>
    </w:p>
    <w:p w14:paraId="56604992" w14:textId="17F1EE21" w:rsidR="00CF2C5F" w:rsidRDefault="00CF2C5F" w:rsidP="00E77871">
      <w:pPr>
        <w:pStyle w:val="Responsetext"/>
      </w:pPr>
      <w:r w:rsidRPr="001B12B4">
        <w:t>Assuming 4</w:t>
      </w:r>
      <w:r>
        <w:t>7</w:t>
      </w:r>
      <w:r w:rsidRPr="001B12B4">
        <w:t>0 claims</w:t>
      </w:r>
      <w:r>
        <w:t xml:space="preserve"> of the 42504 MBS item</w:t>
      </w:r>
      <w:r w:rsidRPr="001B12B4">
        <w:t xml:space="preserve"> in 2023-2024</w:t>
      </w:r>
      <w:r>
        <w:t xml:space="preserve"> (consistent 9.7% growth as between the 2 prior financial years)</w:t>
      </w:r>
      <w:r w:rsidRPr="001B12B4">
        <w:t xml:space="preserve">, </w:t>
      </w:r>
      <w:r w:rsidR="00350462">
        <w:rPr>
          <w:b/>
          <w:bCs/>
          <w:lang w:val="en-US"/>
        </w:rPr>
        <w:t>r</w:t>
      </w:r>
      <w:r w:rsidR="004F31A3" w:rsidRPr="00350462">
        <w:rPr>
          <w:b/>
          <w:bCs/>
          <w:lang w:val="en-US"/>
        </w:rPr>
        <w:t>edacted</w:t>
      </w:r>
      <w:r>
        <w:t xml:space="preserve">, we project that </w:t>
      </w:r>
      <w:r w:rsidRPr="001B12B4">
        <w:t xml:space="preserve">MINIject would be used </w:t>
      </w:r>
      <w:r w:rsidR="00350462">
        <w:rPr>
          <w:b/>
          <w:bCs/>
          <w:lang w:val="en-US"/>
        </w:rPr>
        <w:t>r</w:t>
      </w:r>
      <w:r w:rsidR="004F31A3" w:rsidRPr="00350462">
        <w:rPr>
          <w:b/>
          <w:bCs/>
          <w:lang w:val="en-US"/>
        </w:rPr>
        <w:t>edacted</w:t>
      </w:r>
      <w:r w:rsidR="004F31A3" w:rsidRPr="001B12B4">
        <w:t xml:space="preserve"> </w:t>
      </w:r>
      <w:r w:rsidRPr="001B12B4">
        <w:t xml:space="preserve">of the time in each of Years 1 and 2, and </w:t>
      </w:r>
      <w:r w:rsidR="00350462">
        <w:rPr>
          <w:b/>
          <w:bCs/>
          <w:lang w:val="en-US"/>
        </w:rPr>
        <w:t>r</w:t>
      </w:r>
      <w:r w:rsidR="004F31A3" w:rsidRPr="00350462">
        <w:rPr>
          <w:b/>
          <w:bCs/>
          <w:lang w:val="en-US"/>
        </w:rPr>
        <w:t>edacted</w:t>
      </w:r>
      <w:r w:rsidR="004F31A3" w:rsidRPr="001B12B4">
        <w:t xml:space="preserve"> </w:t>
      </w:r>
      <w:r w:rsidRPr="001B12B4">
        <w:t>of the time in each of years 3 and 4 post approval</w:t>
      </w:r>
      <w:r>
        <w:t xml:space="preserve">. The numerical number of MINIject </w:t>
      </w:r>
      <w:r w:rsidR="00D63CC6">
        <w:t xml:space="preserve">item </w:t>
      </w:r>
      <w:r>
        <w:t xml:space="preserve">42504 claims in year 1 (assuming constant number of total claims compared with the projection for the 2023-2024 financial year) would be </w:t>
      </w:r>
      <w:r w:rsidR="00350462">
        <w:rPr>
          <w:b/>
          <w:bCs/>
          <w:lang w:val="en-US"/>
        </w:rPr>
        <w:t>r</w:t>
      </w:r>
      <w:r w:rsidR="004F31A3" w:rsidRPr="00350462">
        <w:rPr>
          <w:b/>
          <w:bCs/>
          <w:lang w:val="en-US"/>
        </w:rPr>
        <w:t>edacted</w:t>
      </w:r>
      <w:r>
        <w:t xml:space="preserve"> claims.</w:t>
      </w:r>
    </w:p>
    <w:p w14:paraId="46F3486B" w14:textId="5115036A" w:rsidR="00CF2C5F" w:rsidRPr="001B12B4" w:rsidRDefault="00CF2C5F" w:rsidP="00E77871">
      <w:pPr>
        <w:pStyle w:val="Responsetext"/>
      </w:pPr>
      <w:r>
        <w:t xml:space="preserve">Note that these claims for MINIject under MBS </w:t>
      </w:r>
      <w:r w:rsidR="00D63CC6">
        <w:t>item</w:t>
      </w:r>
      <w:r>
        <w:t xml:space="preserve"> 42504 would be expected to be a replacement of claims for iStent, thus there would be no expected shift from current practice or usage.</w:t>
      </w:r>
    </w:p>
    <w:p w14:paraId="7E2E1DAA" w14:textId="0F18226F" w:rsidR="00CF2C5F" w:rsidRDefault="00CF2C5F" w:rsidP="00E77871">
      <w:pPr>
        <w:pStyle w:val="Responsetext"/>
      </w:pPr>
      <w:r>
        <w:t xml:space="preserve">In order to evaluate whether such an estimate is reasonable, experts were contacted individually via email regarding the above utilisation estimates for MINIject and responded with their </w:t>
      </w:r>
      <w:r>
        <w:lastRenderedPageBreak/>
        <w:t>comments</w:t>
      </w:r>
      <w:r w:rsidR="00F17A74">
        <w:t xml:space="preserve"> (</w:t>
      </w:r>
      <w:r w:rsidR="00F17A74">
        <w:fldChar w:fldCharType="begin"/>
      </w:r>
      <w:r w:rsidR="00F17A74">
        <w:instrText xml:space="preserve"> REF _Ref140751399 \h </w:instrText>
      </w:r>
      <w:r w:rsidR="00F17A74">
        <w:fldChar w:fldCharType="separate"/>
      </w:r>
      <w:r w:rsidR="00976372" w:rsidRPr="00E4796D">
        <w:t xml:space="preserve">Table </w:t>
      </w:r>
      <w:r w:rsidR="00976372">
        <w:rPr>
          <w:noProof/>
        </w:rPr>
        <w:t>3</w:t>
      </w:r>
      <w:r w:rsidR="00F17A74">
        <w:fldChar w:fldCharType="end"/>
      </w:r>
      <w:r w:rsidR="00F17A74">
        <w:t>)</w:t>
      </w:r>
      <w:r>
        <w:t xml:space="preserve">. </w:t>
      </w:r>
      <w:r w:rsidRPr="00BD45F6">
        <w:t>A limitation of this research is that the MINIject device has not yet been used in Australia, and so experts cannot be confident as to what its projected utilisation may be</w:t>
      </w:r>
      <w:r w:rsidRPr="00350462">
        <w:t>.</w:t>
      </w:r>
      <w:r>
        <w:t xml:space="preserve"> These experts were chosen from the states QLD, NSW and VIC to represent the geographical states covering 90% of claims of the 42504 MBS code from July 2022 to May 2023. None of these experts have a financial relationship or other contractual agreement with the manufacturer.</w:t>
      </w:r>
    </w:p>
    <w:p w14:paraId="6DC0DD60" w14:textId="0BC455D0" w:rsidR="00F17A74" w:rsidRPr="00E4796D" w:rsidRDefault="00F17A74" w:rsidP="00F17A74">
      <w:pPr>
        <w:pStyle w:val="Caption"/>
      </w:pPr>
      <w:bookmarkStart w:id="5" w:name="_Ref140751399"/>
      <w:r w:rsidRPr="00E4796D">
        <w:t xml:space="preserve">Table </w:t>
      </w:r>
      <w:r w:rsidR="00FA7BD3">
        <w:fldChar w:fldCharType="begin"/>
      </w:r>
      <w:r w:rsidR="00FA7BD3">
        <w:instrText xml:space="preserve"> SEQ Table \* ARABIC </w:instrText>
      </w:r>
      <w:r w:rsidR="00FA7BD3">
        <w:fldChar w:fldCharType="separate"/>
      </w:r>
      <w:r w:rsidR="00976372">
        <w:rPr>
          <w:noProof/>
        </w:rPr>
        <w:t>3</w:t>
      </w:r>
      <w:r w:rsidR="00FA7BD3">
        <w:rPr>
          <w:noProof/>
        </w:rPr>
        <w:fldChar w:fldCharType="end"/>
      </w:r>
      <w:bookmarkEnd w:id="5"/>
      <w:r w:rsidRPr="00E4796D">
        <w:t xml:space="preserve">: Clinical expert </w:t>
      </w:r>
      <w:r>
        <w:t>responses on projected utilisation of MINIject</w:t>
      </w:r>
    </w:p>
    <w:tbl>
      <w:tblPr>
        <w:tblStyle w:val="TableGrid"/>
        <w:tblW w:w="9471" w:type="dxa"/>
        <w:tblLook w:val="04A0" w:firstRow="1" w:lastRow="0" w:firstColumn="1" w:lastColumn="0" w:noHBand="0" w:noVBand="1"/>
      </w:tblPr>
      <w:tblGrid>
        <w:gridCol w:w="1020"/>
        <w:gridCol w:w="1413"/>
        <w:gridCol w:w="850"/>
        <w:gridCol w:w="6188"/>
      </w:tblGrid>
      <w:tr w:rsidR="001433B6" w14:paraId="4AB614D7" w14:textId="77777777" w:rsidTr="00350462">
        <w:trPr>
          <w:trHeight w:val="607"/>
          <w:tblHeader/>
        </w:trPr>
        <w:tc>
          <w:tcPr>
            <w:tcW w:w="1020" w:type="dxa"/>
            <w:shd w:val="clear" w:color="auto" w:fill="F2F2F2" w:themeFill="background1" w:themeFillShade="F2"/>
          </w:tcPr>
          <w:p w14:paraId="0CB0B808" w14:textId="77777777" w:rsidR="001433B6" w:rsidRDefault="001433B6" w:rsidP="005B18B5">
            <w:pPr>
              <w:pStyle w:val="Tableheading"/>
              <w:rPr>
                <w:lang w:val="en-US"/>
              </w:rPr>
            </w:pPr>
            <w:r>
              <w:rPr>
                <w:lang w:val="en-US"/>
              </w:rPr>
              <w:t>Title</w:t>
            </w:r>
          </w:p>
        </w:tc>
        <w:tc>
          <w:tcPr>
            <w:tcW w:w="1413" w:type="dxa"/>
            <w:shd w:val="clear" w:color="auto" w:fill="F2F2F2" w:themeFill="background1" w:themeFillShade="F2"/>
          </w:tcPr>
          <w:p w14:paraId="7290CABE" w14:textId="77777777" w:rsidR="001433B6" w:rsidRDefault="001433B6" w:rsidP="005B18B5">
            <w:pPr>
              <w:pStyle w:val="Tableheading"/>
              <w:rPr>
                <w:lang w:val="en-US"/>
              </w:rPr>
            </w:pPr>
            <w:r>
              <w:rPr>
                <w:lang w:val="en-US"/>
              </w:rPr>
              <w:t>Name</w:t>
            </w:r>
          </w:p>
        </w:tc>
        <w:tc>
          <w:tcPr>
            <w:tcW w:w="850" w:type="dxa"/>
            <w:shd w:val="clear" w:color="auto" w:fill="F2F2F2" w:themeFill="background1" w:themeFillShade="F2"/>
          </w:tcPr>
          <w:p w14:paraId="37BED1EF" w14:textId="77777777" w:rsidR="001433B6" w:rsidRDefault="001433B6" w:rsidP="005B18B5">
            <w:pPr>
              <w:pStyle w:val="Tableheading"/>
              <w:rPr>
                <w:lang w:val="en-US"/>
              </w:rPr>
            </w:pPr>
            <w:r>
              <w:rPr>
                <w:lang w:val="en-US"/>
              </w:rPr>
              <w:t>State</w:t>
            </w:r>
          </w:p>
        </w:tc>
        <w:tc>
          <w:tcPr>
            <w:tcW w:w="6188" w:type="dxa"/>
            <w:shd w:val="clear" w:color="auto" w:fill="F2F2F2" w:themeFill="background1" w:themeFillShade="F2"/>
          </w:tcPr>
          <w:p w14:paraId="2E88A1DB" w14:textId="77777777" w:rsidR="001433B6" w:rsidRDefault="001433B6" w:rsidP="005B18B5">
            <w:pPr>
              <w:pStyle w:val="Tableheading"/>
              <w:rPr>
                <w:lang w:val="en-US"/>
              </w:rPr>
            </w:pPr>
            <w:r>
              <w:rPr>
                <w:lang w:val="en-US"/>
              </w:rPr>
              <w:t>Comments on projected utilization of MINIject</w:t>
            </w:r>
          </w:p>
        </w:tc>
      </w:tr>
      <w:tr w:rsidR="004F31A3" w14:paraId="07CD640D" w14:textId="77777777" w:rsidTr="005C703B">
        <w:trPr>
          <w:trHeight w:val="303"/>
        </w:trPr>
        <w:tc>
          <w:tcPr>
            <w:tcW w:w="1020" w:type="dxa"/>
          </w:tcPr>
          <w:p w14:paraId="5538D740" w14:textId="1F5381C9" w:rsidR="004F31A3" w:rsidRPr="00350462" w:rsidRDefault="004F31A3" w:rsidP="004F31A3">
            <w:pPr>
              <w:pStyle w:val="Tablecontent"/>
              <w:rPr>
                <w:lang w:val="en-US"/>
              </w:rPr>
            </w:pPr>
            <w:r w:rsidRPr="00350462">
              <w:rPr>
                <w:b/>
                <w:bCs/>
                <w:lang w:val="en-US"/>
              </w:rPr>
              <w:t>Redacted</w:t>
            </w:r>
          </w:p>
        </w:tc>
        <w:tc>
          <w:tcPr>
            <w:tcW w:w="1413" w:type="dxa"/>
          </w:tcPr>
          <w:p w14:paraId="00A68952" w14:textId="0DF70014" w:rsidR="004F31A3" w:rsidRPr="00350462" w:rsidRDefault="004F31A3" w:rsidP="004F31A3">
            <w:pPr>
              <w:pStyle w:val="Tablecontent"/>
              <w:rPr>
                <w:lang w:val="en-US"/>
              </w:rPr>
            </w:pPr>
            <w:r w:rsidRPr="00350462">
              <w:rPr>
                <w:b/>
                <w:bCs/>
                <w:lang w:val="en-US"/>
              </w:rPr>
              <w:t>Redacted</w:t>
            </w:r>
          </w:p>
        </w:tc>
        <w:tc>
          <w:tcPr>
            <w:tcW w:w="850" w:type="dxa"/>
          </w:tcPr>
          <w:p w14:paraId="0FEEC4D1" w14:textId="77777777" w:rsidR="004F31A3" w:rsidRDefault="004F31A3" w:rsidP="004F31A3">
            <w:pPr>
              <w:pStyle w:val="Tablecontent"/>
              <w:rPr>
                <w:lang w:val="en-US"/>
              </w:rPr>
            </w:pPr>
            <w:r>
              <w:rPr>
                <w:lang w:val="en-US"/>
              </w:rPr>
              <w:t>QLD</w:t>
            </w:r>
          </w:p>
        </w:tc>
        <w:tc>
          <w:tcPr>
            <w:tcW w:w="6188" w:type="dxa"/>
          </w:tcPr>
          <w:p w14:paraId="560137FA" w14:textId="77777777" w:rsidR="004F31A3" w:rsidRDefault="004F31A3" w:rsidP="004F31A3">
            <w:pPr>
              <w:pStyle w:val="Tablecontent"/>
              <w:rPr>
                <w:lang w:val="en-US"/>
              </w:rPr>
            </w:pPr>
            <w:r w:rsidRPr="00130AA5">
              <w:rPr>
                <w:lang w:val="en-US"/>
              </w:rPr>
              <w:t>I feel that this matter should be referred to ANZGS committee for further comments rather than just myself as one person.  Also would be better to get opinion from someone who has actually used the device in their patients. I will copy to ANZGS committee chairs and seek their advice.</w:t>
            </w:r>
          </w:p>
        </w:tc>
      </w:tr>
      <w:tr w:rsidR="004F31A3" w14:paraId="2F78E3F5" w14:textId="77777777" w:rsidTr="005C703B">
        <w:trPr>
          <w:trHeight w:val="291"/>
        </w:trPr>
        <w:tc>
          <w:tcPr>
            <w:tcW w:w="1020" w:type="dxa"/>
          </w:tcPr>
          <w:p w14:paraId="6D840A01" w14:textId="54EEF28E" w:rsidR="004F31A3" w:rsidRPr="00350462" w:rsidRDefault="004F31A3" w:rsidP="004F31A3">
            <w:pPr>
              <w:pStyle w:val="Tablecontent"/>
              <w:rPr>
                <w:lang w:val="en-US"/>
              </w:rPr>
            </w:pPr>
            <w:r w:rsidRPr="00350462">
              <w:rPr>
                <w:b/>
                <w:bCs/>
                <w:lang w:val="en-US"/>
              </w:rPr>
              <w:t>Redacted</w:t>
            </w:r>
          </w:p>
        </w:tc>
        <w:tc>
          <w:tcPr>
            <w:tcW w:w="1413" w:type="dxa"/>
          </w:tcPr>
          <w:p w14:paraId="7D80CCE8" w14:textId="17BC033D" w:rsidR="004F31A3" w:rsidRPr="00350462" w:rsidRDefault="004F31A3" w:rsidP="004F31A3">
            <w:pPr>
              <w:pStyle w:val="Tablecontent"/>
              <w:rPr>
                <w:lang w:val="en-US"/>
              </w:rPr>
            </w:pPr>
            <w:r w:rsidRPr="00350462">
              <w:rPr>
                <w:b/>
                <w:bCs/>
                <w:lang w:val="en-US"/>
              </w:rPr>
              <w:t>Redacted</w:t>
            </w:r>
          </w:p>
        </w:tc>
        <w:tc>
          <w:tcPr>
            <w:tcW w:w="850" w:type="dxa"/>
          </w:tcPr>
          <w:p w14:paraId="5141ECEC" w14:textId="77777777" w:rsidR="004F31A3" w:rsidRDefault="004F31A3" w:rsidP="004F31A3">
            <w:pPr>
              <w:pStyle w:val="Tablecontent"/>
              <w:rPr>
                <w:lang w:val="en-US"/>
              </w:rPr>
            </w:pPr>
            <w:r>
              <w:rPr>
                <w:lang w:val="en-US"/>
              </w:rPr>
              <w:t>QLD</w:t>
            </w:r>
          </w:p>
        </w:tc>
        <w:tc>
          <w:tcPr>
            <w:tcW w:w="6188" w:type="dxa"/>
          </w:tcPr>
          <w:p w14:paraId="692AF153" w14:textId="77777777" w:rsidR="004F31A3" w:rsidRDefault="004F31A3" w:rsidP="004F31A3">
            <w:pPr>
              <w:pStyle w:val="Tablecontent"/>
              <w:rPr>
                <w:lang w:val="en-US"/>
              </w:rPr>
            </w:pPr>
          </w:p>
        </w:tc>
      </w:tr>
      <w:tr w:rsidR="004F31A3" w14:paraId="26081197" w14:textId="77777777" w:rsidTr="003F514C">
        <w:trPr>
          <w:trHeight w:val="303"/>
        </w:trPr>
        <w:tc>
          <w:tcPr>
            <w:tcW w:w="1020" w:type="dxa"/>
          </w:tcPr>
          <w:p w14:paraId="43B4F731" w14:textId="2EBA7A3E" w:rsidR="004F31A3" w:rsidRPr="00350462" w:rsidRDefault="004F31A3" w:rsidP="004F31A3">
            <w:pPr>
              <w:pStyle w:val="Tablecontent"/>
              <w:rPr>
                <w:lang w:val="en-US"/>
              </w:rPr>
            </w:pPr>
            <w:r w:rsidRPr="00350462">
              <w:rPr>
                <w:b/>
                <w:bCs/>
                <w:lang w:val="en-US"/>
              </w:rPr>
              <w:t>Redacted</w:t>
            </w:r>
          </w:p>
        </w:tc>
        <w:tc>
          <w:tcPr>
            <w:tcW w:w="1413" w:type="dxa"/>
          </w:tcPr>
          <w:p w14:paraId="107BF509" w14:textId="609F74AF" w:rsidR="004F31A3" w:rsidRPr="00350462" w:rsidRDefault="004F31A3" w:rsidP="004F31A3">
            <w:pPr>
              <w:pStyle w:val="Tablecontent"/>
              <w:rPr>
                <w:lang w:val="en-US"/>
              </w:rPr>
            </w:pPr>
            <w:r w:rsidRPr="00350462">
              <w:rPr>
                <w:b/>
                <w:bCs/>
                <w:lang w:val="en-US"/>
              </w:rPr>
              <w:t>Redacted</w:t>
            </w:r>
          </w:p>
        </w:tc>
        <w:tc>
          <w:tcPr>
            <w:tcW w:w="850" w:type="dxa"/>
          </w:tcPr>
          <w:p w14:paraId="7E7412C3" w14:textId="77777777" w:rsidR="004F31A3" w:rsidRDefault="004F31A3" w:rsidP="004F31A3">
            <w:pPr>
              <w:pStyle w:val="Tablecontent"/>
              <w:rPr>
                <w:lang w:val="en-US"/>
              </w:rPr>
            </w:pPr>
            <w:r>
              <w:rPr>
                <w:lang w:val="en-US"/>
              </w:rPr>
              <w:t>NSW</w:t>
            </w:r>
          </w:p>
        </w:tc>
        <w:tc>
          <w:tcPr>
            <w:tcW w:w="6188" w:type="dxa"/>
          </w:tcPr>
          <w:p w14:paraId="4600C165" w14:textId="77777777" w:rsidR="004F31A3" w:rsidRDefault="004F31A3" w:rsidP="004F31A3">
            <w:pPr>
              <w:pStyle w:val="Tablecontent"/>
              <w:rPr>
                <w:lang w:val="en-US"/>
              </w:rPr>
            </w:pPr>
            <w:r>
              <w:rPr>
                <w:lang w:val="en-US"/>
              </w:rPr>
              <w:t>[No comment]</w:t>
            </w:r>
          </w:p>
        </w:tc>
      </w:tr>
      <w:tr w:rsidR="004F31A3" w14:paraId="6DB3C3E7" w14:textId="77777777" w:rsidTr="003F514C">
        <w:trPr>
          <w:trHeight w:val="303"/>
        </w:trPr>
        <w:tc>
          <w:tcPr>
            <w:tcW w:w="1020" w:type="dxa"/>
          </w:tcPr>
          <w:p w14:paraId="1E9795CA" w14:textId="1DF99F76" w:rsidR="004F31A3" w:rsidRPr="00350462" w:rsidRDefault="004F31A3" w:rsidP="004F31A3">
            <w:pPr>
              <w:pStyle w:val="Tablecontent"/>
              <w:rPr>
                <w:lang w:val="en-US"/>
              </w:rPr>
            </w:pPr>
            <w:r w:rsidRPr="00350462">
              <w:rPr>
                <w:b/>
                <w:bCs/>
                <w:lang w:val="en-US"/>
              </w:rPr>
              <w:t>Redacted</w:t>
            </w:r>
          </w:p>
        </w:tc>
        <w:tc>
          <w:tcPr>
            <w:tcW w:w="1413" w:type="dxa"/>
          </w:tcPr>
          <w:p w14:paraId="385A283F" w14:textId="68583F45" w:rsidR="004F31A3" w:rsidRPr="00350462" w:rsidRDefault="004F31A3" w:rsidP="004F31A3">
            <w:pPr>
              <w:pStyle w:val="Tablecontent"/>
              <w:rPr>
                <w:lang w:val="en-US"/>
              </w:rPr>
            </w:pPr>
            <w:r w:rsidRPr="00350462">
              <w:rPr>
                <w:b/>
                <w:bCs/>
                <w:lang w:val="en-US"/>
              </w:rPr>
              <w:t>Redacted</w:t>
            </w:r>
          </w:p>
        </w:tc>
        <w:tc>
          <w:tcPr>
            <w:tcW w:w="850" w:type="dxa"/>
          </w:tcPr>
          <w:p w14:paraId="75C6C5C3" w14:textId="77777777" w:rsidR="004F31A3" w:rsidRDefault="004F31A3" w:rsidP="004F31A3">
            <w:pPr>
              <w:pStyle w:val="Tablecontent"/>
              <w:rPr>
                <w:lang w:val="en-US"/>
              </w:rPr>
            </w:pPr>
            <w:r>
              <w:rPr>
                <w:lang w:val="en-US"/>
              </w:rPr>
              <w:t>NSW</w:t>
            </w:r>
          </w:p>
        </w:tc>
        <w:tc>
          <w:tcPr>
            <w:tcW w:w="6188" w:type="dxa"/>
          </w:tcPr>
          <w:p w14:paraId="659DB19D" w14:textId="77777777" w:rsidR="004F31A3" w:rsidRDefault="004F31A3" w:rsidP="004F31A3">
            <w:pPr>
              <w:pStyle w:val="Tablecontent"/>
              <w:rPr>
                <w:lang w:val="en-US"/>
              </w:rPr>
            </w:pPr>
          </w:p>
        </w:tc>
      </w:tr>
      <w:tr w:rsidR="004F31A3" w14:paraId="141543F3" w14:textId="77777777" w:rsidTr="003F514C">
        <w:trPr>
          <w:trHeight w:val="303"/>
        </w:trPr>
        <w:tc>
          <w:tcPr>
            <w:tcW w:w="1020" w:type="dxa"/>
          </w:tcPr>
          <w:p w14:paraId="246F5607" w14:textId="6BFF336A" w:rsidR="004F31A3" w:rsidRPr="00350462" w:rsidRDefault="004F31A3" w:rsidP="004F31A3">
            <w:pPr>
              <w:pStyle w:val="Tablecontent"/>
              <w:rPr>
                <w:lang w:val="en-US"/>
              </w:rPr>
            </w:pPr>
            <w:r w:rsidRPr="00350462">
              <w:rPr>
                <w:b/>
                <w:bCs/>
                <w:lang w:val="en-US"/>
              </w:rPr>
              <w:t>Redacted</w:t>
            </w:r>
          </w:p>
        </w:tc>
        <w:tc>
          <w:tcPr>
            <w:tcW w:w="1413" w:type="dxa"/>
          </w:tcPr>
          <w:p w14:paraId="5E440D9A" w14:textId="7CFDA99B" w:rsidR="004F31A3" w:rsidRPr="00350462" w:rsidRDefault="004F31A3" w:rsidP="004F31A3">
            <w:pPr>
              <w:pStyle w:val="Tablecontent"/>
              <w:rPr>
                <w:lang w:val="en-US"/>
              </w:rPr>
            </w:pPr>
            <w:r w:rsidRPr="00350462">
              <w:rPr>
                <w:b/>
                <w:bCs/>
                <w:lang w:val="en-US"/>
              </w:rPr>
              <w:t>Redacted</w:t>
            </w:r>
          </w:p>
        </w:tc>
        <w:tc>
          <w:tcPr>
            <w:tcW w:w="850" w:type="dxa"/>
          </w:tcPr>
          <w:p w14:paraId="73CABC96" w14:textId="77777777" w:rsidR="004F31A3" w:rsidRDefault="004F31A3" w:rsidP="004F31A3">
            <w:pPr>
              <w:pStyle w:val="Tablecontent"/>
              <w:rPr>
                <w:lang w:val="en-US"/>
              </w:rPr>
            </w:pPr>
            <w:r>
              <w:rPr>
                <w:lang w:val="en-US"/>
              </w:rPr>
              <w:t>Vic</w:t>
            </w:r>
          </w:p>
        </w:tc>
        <w:tc>
          <w:tcPr>
            <w:tcW w:w="6188" w:type="dxa"/>
          </w:tcPr>
          <w:p w14:paraId="43B1B90F" w14:textId="77777777" w:rsidR="004F31A3" w:rsidRDefault="004F31A3" w:rsidP="004F31A3">
            <w:pPr>
              <w:pStyle w:val="Tablecontent"/>
              <w:rPr>
                <w:lang w:val="en-US"/>
              </w:rPr>
            </w:pPr>
          </w:p>
        </w:tc>
      </w:tr>
      <w:tr w:rsidR="004F31A3" w:rsidRPr="001B12B4" w14:paraId="13BFB66D" w14:textId="77777777" w:rsidTr="003F514C">
        <w:trPr>
          <w:trHeight w:val="303"/>
        </w:trPr>
        <w:tc>
          <w:tcPr>
            <w:tcW w:w="1020" w:type="dxa"/>
          </w:tcPr>
          <w:p w14:paraId="0EDC9068" w14:textId="7D1BD52C" w:rsidR="004F31A3" w:rsidRPr="00350462" w:rsidRDefault="004F31A3" w:rsidP="004F31A3">
            <w:pPr>
              <w:pStyle w:val="Tablecontent"/>
              <w:rPr>
                <w:lang w:val="en-US"/>
              </w:rPr>
            </w:pPr>
            <w:r w:rsidRPr="00350462">
              <w:rPr>
                <w:b/>
                <w:bCs/>
                <w:lang w:val="en-US"/>
              </w:rPr>
              <w:t>Redacted</w:t>
            </w:r>
          </w:p>
        </w:tc>
        <w:tc>
          <w:tcPr>
            <w:tcW w:w="1413" w:type="dxa"/>
          </w:tcPr>
          <w:p w14:paraId="3E9C9210" w14:textId="59CB3FC7" w:rsidR="004F31A3" w:rsidRPr="00350462" w:rsidRDefault="004F31A3" w:rsidP="004F31A3">
            <w:pPr>
              <w:pStyle w:val="Tablecontent"/>
              <w:rPr>
                <w:lang w:val="en-US"/>
              </w:rPr>
            </w:pPr>
            <w:r w:rsidRPr="00350462">
              <w:rPr>
                <w:b/>
                <w:bCs/>
                <w:lang w:val="en-US"/>
              </w:rPr>
              <w:t>Redacted</w:t>
            </w:r>
          </w:p>
        </w:tc>
        <w:tc>
          <w:tcPr>
            <w:tcW w:w="850" w:type="dxa"/>
          </w:tcPr>
          <w:p w14:paraId="179C5711" w14:textId="77777777" w:rsidR="004F31A3" w:rsidRDefault="004F31A3" w:rsidP="004F31A3">
            <w:pPr>
              <w:pStyle w:val="Tablecontent"/>
              <w:rPr>
                <w:lang w:val="en-US"/>
              </w:rPr>
            </w:pPr>
            <w:r>
              <w:rPr>
                <w:lang w:val="en-US"/>
              </w:rPr>
              <w:t>Vic</w:t>
            </w:r>
          </w:p>
        </w:tc>
        <w:tc>
          <w:tcPr>
            <w:tcW w:w="6188" w:type="dxa"/>
          </w:tcPr>
          <w:p w14:paraId="63C4E630" w14:textId="7D26780C" w:rsidR="004F31A3" w:rsidRPr="001B12B4" w:rsidRDefault="004F31A3" w:rsidP="004F31A3">
            <w:pPr>
              <w:pStyle w:val="Tablecontent"/>
            </w:pPr>
            <w:r>
              <w:t xml:space="preserve">As for the expected standalone utilisation of MINIject, your projections seem reasonable. Given the number of claims for the 42504 MBS code in the past two years, assuming a </w:t>
            </w:r>
            <w:r w:rsidR="00350462" w:rsidRPr="00350462">
              <w:rPr>
                <w:b/>
                <w:bCs/>
                <w:lang w:val="en-US"/>
              </w:rPr>
              <w:t>redacted</w:t>
            </w:r>
            <w:r>
              <w:t xml:space="preserve"> usage of MINIject in the first two years and a </w:t>
            </w:r>
            <w:r w:rsidR="00350462" w:rsidRPr="00350462">
              <w:rPr>
                <w:b/>
                <w:bCs/>
                <w:lang w:val="en-US"/>
              </w:rPr>
              <w:t>redacted</w:t>
            </w:r>
            <w:r w:rsidRPr="00350462">
              <w:t xml:space="preserve"> </w:t>
            </w:r>
            <w:r>
              <w:t>usage in the following two years post-approval seems to be a sound estimate. Of course, these are projections and actual usage may vary, but it's a good starting point for your submission.</w:t>
            </w:r>
          </w:p>
        </w:tc>
      </w:tr>
    </w:tbl>
    <w:p w14:paraId="160A911E" w14:textId="77777777" w:rsidR="00127076" w:rsidRDefault="00127076" w:rsidP="00CF2C5F"/>
    <w:p w14:paraId="55A4C277" w14:textId="77777777" w:rsidR="00350462" w:rsidRDefault="00127076" w:rsidP="00FD4223">
      <w:pPr>
        <w:pStyle w:val="Responsetext"/>
      </w:pPr>
      <w:r>
        <w:t xml:space="preserve">It is expected that the decision regarding the extent to which the comparator would be replaced with MINIject is to be made by surgeon preference, taking into consideration patient needs. This may include ease of use of the device, </w:t>
      </w:r>
      <w:r w:rsidR="0041660D">
        <w:t xml:space="preserve">degree of </w:t>
      </w:r>
      <w:r w:rsidR="006D66B3">
        <w:t xml:space="preserve">expected </w:t>
      </w:r>
      <w:r w:rsidR="0041660D">
        <w:t xml:space="preserve">efficacy in comparison with other MBGS devices, patient anatomy, </w:t>
      </w:r>
      <w:r w:rsidR="006D66B3">
        <w:t xml:space="preserve">patient disease, number of baseline medications used by the patient and whether these are desired to be eliminated in their totality, </w:t>
      </w:r>
      <w:r w:rsidR="00DC7F76">
        <w:t>and implant cost.</w:t>
      </w:r>
      <w:r w:rsidR="009E3FC7">
        <w:t xml:space="preserve"> </w:t>
      </w:r>
    </w:p>
    <w:p w14:paraId="2F14E52D" w14:textId="47D87246" w:rsidR="00127076" w:rsidRDefault="004F31A3" w:rsidP="00FD4223">
      <w:pPr>
        <w:pStyle w:val="Responsetext"/>
      </w:pPr>
      <w:r w:rsidRPr="00350462">
        <w:rPr>
          <w:b/>
          <w:bCs/>
          <w:lang w:val="en-US"/>
        </w:rPr>
        <w:t>Redacted</w:t>
      </w:r>
    </w:p>
    <w:p w14:paraId="6549A5AD" w14:textId="77777777" w:rsidR="000627EF" w:rsidRDefault="000627EF" w:rsidP="00FE257E">
      <w:pPr>
        <w:spacing w:after="0" w:line="240" w:lineRule="auto"/>
        <w:rPr>
          <w:rFonts w:ascii="Segoe UI" w:eastAsia="Segoe UI" w:hAnsi="Segoe UI"/>
          <w:b/>
          <w:color w:val="000000"/>
          <w:sz w:val="22"/>
        </w:rPr>
      </w:pPr>
    </w:p>
    <w:p w14:paraId="3E7AD725" w14:textId="7606ED30" w:rsidR="00765B2C" w:rsidRPr="00350462" w:rsidRDefault="0016065A" w:rsidP="00350462">
      <w:pPr>
        <w:rPr>
          <w:rFonts w:ascii="Segoe UI" w:eastAsia="Segoe UI" w:hAnsi="Segoe UI"/>
          <w:b/>
          <w:color w:val="000000"/>
          <w:sz w:val="32"/>
        </w:rPr>
      </w:pPr>
      <w:r>
        <w:rPr>
          <w:rFonts w:ascii="Segoe UI" w:eastAsia="Segoe UI" w:hAnsi="Segoe UI"/>
          <w:b/>
          <w:color w:val="000000"/>
          <w:sz w:val="32"/>
        </w:rPr>
        <w:t>Outcome</w:t>
      </w:r>
      <w:r w:rsidR="00770FA6">
        <w:rPr>
          <w:rFonts w:ascii="Segoe UI" w:eastAsia="Segoe UI" w:hAnsi="Segoe UI"/>
          <w:b/>
          <w:color w:val="000000"/>
          <w:sz w:val="32"/>
        </w:rPr>
        <w:t>s</w:t>
      </w:r>
    </w:p>
    <w:p w14:paraId="11303CD6" w14:textId="26C1DB4D" w:rsidR="004C02B7" w:rsidRDefault="004C02B7" w:rsidP="004C02B7">
      <w:pPr>
        <w:spacing w:after="0" w:line="240" w:lineRule="auto"/>
        <w:rPr>
          <w:rFonts w:ascii="Segoe UI" w:eastAsia="Segoe UI" w:hAnsi="Segoe UI"/>
          <w:b/>
          <w:color w:val="000000"/>
          <w:sz w:val="22"/>
        </w:rPr>
      </w:pPr>
      <w:r>
        <w:rPr>
          <w:rFonts w:ascii="Segoe UI" w:eastAsia="Segoe UI" w:hAnsi="Segoe UI"/>
          <w:b/>
          <w:color w:val="000000"/>
          <w:sz w:val="22"/>
        </w:rPr>
        <w:t>List the key health outcomes (major and minor – prioritising major key health outcomes first) that will need to be measured in assessing the clinical claim for the proposed medical service/technology (versus the comparator):</w:t>
      </w:r>
      <w:r w:rsidR="00DB2D53">
        <w:rPr>
          <w:rFonts w:ascii="Segoe UI" w:eastAsia="Segoe UI" w:hAnsi="Segoe UI"/>
          <w:b/>
          <w:color w:val="000000"/>
          <w:sz w:val="22"/>
        </w:rPr>
        <w:t xml:space="preserve"> </w:t>
      </w:r>
    </w:p>
    <w:p w14:paraId="7DF00C74" w14:textId="77777777" w:rsidR="004C02B7" w:rsidRDefault="004C02B7" w:rsidP="004C02B7">
      <w:pPr>
        <w:spacing w:after="0" w:line="240" w:lineRule="auto"/>
        <w:rPr>
          <w:rFonts w:ascii="Segoe UI" w:eastAsia="Segoe UI" w:hAnsi="Segoe UI"/>
          <w:b/>
          <w:color w:val="000000"/>
          <w:sz w:val="22"/>
        </w:rPr>
      </w:pPr>
    </w:p>
    <w:p w14:paraId="2BA09AC5" w14:textId="6BF974CF" w:rsidR="004C02B7" w:rsidRPr="000627EF" w:rsidRDefault="00E4636A" w:rsidP="00DB2D53">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sidR="00FA7BD3">
        <w:rPr>
          <w:rFonts w:ascii="Segoe UI" w:hAnsi="Segoe UI" w:cs="Segoe UI"/>
          <w:sz w:val="22"/>
          <w:szCs w:val="22"/>
        </w:rPr>
      </w:r>
      <w:r w:rsidR="00FA7BD3">
        <w:rPr>
          <w:rFonts w:ascii="Segoe UI" w:hAnsi="Segoe UI" w:cs="Segoe UI"/>
          <w:sz w:val="22"/>
          <w:szCs w:val="22"/>
        </w:rPr>
        <w:fldChar w:fldCharType="separate"/>
      </w:r>
      <w:r>
        <w:rPr>
          <w:rFonts w:ascii="Segoe UI" w:hAnsi="Segoe UI" w:cs="Segoe UI"/>
          <w:sz w:val="22"/>
          <w:szCs w:val="22"/>
        </w:rPr>
        <w:fldChar w:fldCharType="end"/>
      </w:r>
      <w:r w:rsidR="004C02B7" w:rsidRPr="000627EF">
        <w:rPr>
          <w:rFonts w:ascii="Segoe UI" w:hAnsi="Segoe UI" w:cs="Segoe UI"/>
          <w:sz w:val="22"/>
          <w:szCs w:val="22"/>
        </w:rPr>
        <w:t xml:space="preserve"> </w:t>
      </w:r>
      <w:r w:rsidR="004C02B7">
        <w:rPr>
          <w:rFonts w:ascii="Segoe UI" w:hAnsi="Segoe UI" w:cs="Segoe UI"/>
          <w:sz w:val="22"/>
          <w:szCs w:val="22"/>
        </w:rPr>
        <w:t>Health benefits</w:t>
      </w:r>
      <w:r w:rsidR="004C02B7" w:rsidRPr="000627EF">
        <w:rPr>
          <w:rFonts w:ascii="Segoe UI" w:hAnsi="Segoe UI" w:cs="Segoe UI"/>
          <w:sz w:val="22"/>
          <w:szCs w:val="22"/>
        </w:rPr>
        <w:t xml:space="preserve"> </w:t>
      </w:r>
    </w:p>
    <w:p w14:paraId="4B5E35E8" w14:textId="4E8B2AF0" w:rsidR="004C02B7" w:rsidRPr="000627EF" w:rsidRDefault="009A713B" w:rsidP="00DB2D53">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sidR="00FA7BD3">
        <w:rPr>
          <w:rFonts w:ascii="Segoe UI" w:hAnsi="Segoe UI" w:cs="Segoe UI"/>
          <w:sz w:val="22"/>
          <w:szCs w:val="22"/>
        </w:rPr>
      </w:r>
      <w:r w:rsidR="00FA7BD3">
        <w:rPr>
          <w:rFonts w:ascii="Segoe UI" w:hAnsi="Segoe UI" w:cs="Segoe UI"/>
          <w:sz w:val="22"/>
          <w:szCs w:val="22"/>
        </w:rPr>
        <w:fldChar w:fldCharType="separate"/>
      </w:r>
      <w:r>
        <w:rPr>
          <w:rFonts w:ascii="Segoe UI" w:hAnsi="Segoe UI" w:cs="Segoe UI"/>
          <w:sz w:val="22"/>
          <w:szCs w:val="22"/>
        </w:rPr>
        <w:fldChar w:fldCharType="end"/>
      </w:r>
      <w:r w:rsidR="004C02B7" w:rsidRPr="000627EF">
        <w:rPr>
          <w:rFonts w:ascii="Segoe UI" w:hAnsi="Segoe UI" w:cs="Segoe UI"/>
          <w:sz w:val="22"/>
          <w:szCs w:val="22"/>
        </w:rPr>
        <w:t xml:space="preserve"> </w:t>
      </w:r>
      <w:r w:rsidR="004C02B7">
        <w:rPr>
          <w:rFonts w:ascii="Segoe UI" w:hAnsi="Segoe UI" w:cs="Segoe UI"/>
          <w:sz w:val="22"/>
          <w:szCs w:val="22"/>
        </w:rPr>
        <w:t>Health harms</w:t>
      </w:r>
    </w:p>
    <w:p w14:paraId="7846E3EA" w14:textId="2FF72254" w:rsidR="004C02B7" w:rsidRPr="000627EF" w:rsidRDefault="004C02B7" w:rsidP="00DB2D53">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00FA7BD3">
        <w:rPr>
          <w:rFonts w:ascii="Segoe UI" w:hAnsi="Segoe UI" w:cs="Segoe UI"/>
          <w:sz w:val="22"/>
          <w:szCs w:val="22"/>
        </w:rPr>
      </w:r>
      <w:r w:rsidR="00FA7BD3">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Resources</w:t>
      </w:r>
      <w:r w:rsidRPr="000627EF">
        <w:rPr>
          <w:rFonts w:ascii="Segoe UI" w:hAnsi="Segoe UI" w:cs="Segoe UI"/>
          <w:sz w:val="22"/>
          <w:szCs w:val="22"/>
        </w:rPr>
        <w:t xml:space="preserve"> </w:t>
      </w:r>
    </w:p>
    <w:p w14:paraId="52A271A8" w14:textId="13E65F91" w:rsidR="004C02B7" w:rsidRPr="000627EF" w:rsidRDefault="004C02B7" w:rsidP="00DB2D53">
      <w:pPr>
        <w:pStyle w:val="Tickboxes"/>
        <w:ind w:left="0"/>
        <w:rPr>
          <w:rFonts w:ascii="Segoe UI" w:hAnsi="Segoe UI" w:cs="Segoe UI"/>
          <w:b/>
          <w:bCs w:val="0"/>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00FA7BD3">
        <w:rPr>
          <w:rFonts w:ascii="Segoe UI" w:hAnsi="Segoe UI" w:cs="Segoe UI"/>
          <w:sz w:val="22"/>
          <w:szCs w:val="22"/>
        </w:rPr>
      </w:r>
      <w:r w:rsidR="00FA7BD3">
        <w:rPr>
          <w:rFonts w:ascii="Segoe UI" w:hAnsi="Segoe UI" w:cs="Segoe UI"/>
          <w:sz w:val="22"/>
          <w:szCs w:val="22"/>
        </w:rPr>
        <w:fldChar w:fldCharType="separate"/>
      </w:r>
      <w:r w:rsidRPr="000627EF">
        <w:rPr>
          <w:rFonts w:ascii="Segoe UI" w:hAnsi="Segoe UI" w:cs="Segoe UI"/>
          <w:sz w:val="22"/>
          <w:szCs w:val="22"/>
        </w:rPr>
        <w:fldChar w:fldCharType="end"/>
      </w:r>
      <w:r>
        <w:rPr>
          <w:rFonts w:ascii="Segoe UI" w:hAnsi="Segoe UI" w:cs="Segoe UI"/>
          <w:sz w:val="22"/>
          <w:szCs w:val="22"/>
        </w:rPr>
        <w:t xml:space="preserve"> Value of knowing</w:t>
      </w:r>
    </w:p>
    <w:p w14:paraId="3CEF185E" w14:textId="2BB141F8" w:rsidR="004C02B7" w:rsidRDefault="004C02B7" w:rsidP="004C02B7">
      <w:pPr>
        <w:spacing w:after="0" w:line="240" w:lineRule="auto"/>
        <w:rPr>
          <w:rFonts w:ascii="Segoe UI" w:eastAsia="Segoe UI" w:hAnsi="Segoe UI"/>
          <w:b/>
          <w:color w:val="000000"/>
          <w:sz w:val="22"/>
        </w:rPr>
      </w:pPr>
    </w:p>
    <w:p w14:paraId="07D3F076" w14:textId="3D079FBD" w:rsidR="00E3095B" w:rsidRDefault="00E3095B" w:rsidP="00E3095B">
      <w:pPr>
        <w:pStyle w:val="Responsetext"/>
      </w:pPr>
      <w:r>
        <w:t>Major health outcomes:</w:t>
      </w:r>
    </w:p>
    <w:p w14:paraId="3E7AFB86" w14:textId="77C8A895" w:rsidR="00E3095B" w:rsidRDefault="00E3095B" w:rsidP="00E3095B">
      <w:pPr>
        <w:pStyle w:val="Responsebullet"/>
      </w:pPr>
      <w:r>
        <w:t>Intraocular pressure (IOP) change from baseline (mmHg</w:t>
      </w:r>
      <w:r w:rsidR="00A43675">
        <w:t>, % reduction</w:t>
      </w:r>
      <w:r>
        <w:t>).</w:t>
      </w:r>
    </w:p>
    <w:p w14:paraId="7F345F9B" w14:textId="0A058272" w:rsidR="00D63CC6" w:rsidRDefault="00D63CC6" w:rsidP="005D0158">
      <w:pPr>
        <w:pStyle w:val="Responsebullet"/>
      </w:pPr>
      <w:r w:rsidRPr="00E3095B">
        <w:t>Change from baseline in the mean number</w:t>
      </w:r>
      <w:r>
        <w:t xml:space="preserve"> </w:t>
      </w:r>
      <w:r w:rsidRPr="00E3095B">
        <w:t>of IOP-reducing medications used</w:t>
      </w:r>
    </w:p>
    <w:p w14:paraId="603062F0" w14:textId="66A5BC44" w:rsidR="00E3095B" w:rsidRDefault="00E3095B" w:rsidP="005D0158">
      <w:pPr>
        <w:pStyle w:val="Responsebullet"/>
      </w:pPr>
      <w:r>
        <w:lastRenderedPageBreak/>
        <w:t>Adverse events (AE)</w:t>
      </w:r>
      <w:r w:rsidR="00FD36FE">
        <w:t>, including o</w:t>
      </w:r>
      <w:r>
        <w:t>cular serious</w:t>
      </w:r>
      <w:r w:rsidR="005D0158">
        <w:t xml:space="preserve"> AEs</w:t>
      </w:r>
      <w:r>
        <w:t xml:space="preserve"> (SAE)</w:t>
      </w:r>
      <w:r w:rsidR="005D0158" w:rsidRPr="005D0158">
        <w:t xml:space="preserve"> </w:t>
      </w:r>
      <w:r w:rsidR="005D0158">
        <w:t>(number, % of patients)</w:t>
      </w:r>
      <w:r w:rsidR="00A43675">
        <w:t xml:space="preserve"> related to the device or surgical procedure</w:t>
      </w:r>
    </w:p>
    <w:p w14:paraId="037523C6" w14:textId="74A8A9AF" w:rsidR="00E3095B" w:rsidRDefault="00E3095B" w:rsidP="00E3095B">
      <w:pPr>
        <w:pStyle w:val="Responsetext"/>
      </w:pPr>
      <w:r>
        <w:t>Minor health outcomes</w:t>
      </w:r>
    </w:p>
    <w:p w14:paraId="2439F93A" w14:textId="66F31539" w:rsidR="00F73545" w:rsidRDefault="00F73545" w:rsidP="00F53B86">
      <w:pPr>
        <w:pStyle w:val="Responsebullet"/>
      </w:pPr>
      <w:r>
        <w:t>P</w:t>
      </w:r>
      <w:r w:rsidR="00190D4F">
        <w:t>roportion of p</w:t>
      </w:r>
      <w:r>
        <w:t xml:space="preserve">atients with IOP </w:t>
      </w:r>
      <w:r w:rsidRPr="004C3234">
        <w:rPr>
          <w:rFonts w:ascii="Calibri" w:hAnsi="Calibri" w:cs="Calibri"/>
        </w:rPr>
        <w:t>≤</w:t>
      </w:r>
      <w:r>
        <w:t>18 mmHg at endpoint</w:t>
      </w:r>
    </w:p>
    <w:p w14:paraId="0B97109B" w14:textId="31070D56" w:rsidR="00063EDF" w:rsidRDefault="00F17A74" w:rsidP="00F73545">
      <w:pPr>
        <w:pStyle w:val="Responsebullet"/>
      </w:pPr>
      <w:r>
        <w:t>Proportion</w:t>
      </w:r>
      <w:r w:rsidR="00063EDF">
        <w:t xml:space="preserve"> of patients who are medication-free at follow-up</w:t>
      </w:r>
    </w:p>
    <w:p w14:paraId="72189F69" w14:textId="77777777" w:rsidR="00E3095B" w:rsidRDefault="00E3095B" w:rsidP="00350462">
      <w:pPr>
        <w:pStyle w:val="Responsetext"/>
        <w:spacing w:after="0"/>
      </w:pPr>
    </w:p>
    <w:p w14:paraId="3B869BED" w14:textId="15B522BC" w:rsidR="004C02B7" w:rsidRDefault="00E00CD3" w:rsidP="004C02B7">
      <w:pPr>
        <w:spacing w:after="0" w:line="240" w:lineRule="auto"/>
        <w:rPr>
          <w:rFonts w:ascii="Segoe UI" w:eastAsia="Segoe UI" w:hAnsi="Segoe UI"/>
          <w:b/>
          <w:color w:val="000000"/>
          <w:sz w:val="22"/>
        </w:rPr>
      </w:pPr>
      <w:r>
        <w:rPr>
          <w:rFonts w:ascii="Segoe UI" w:eastAsia="Segoe UI" w:hAnsi="Segoe UI"/>
          <w:b/>
          <w:color w:val="000000"/>
          <w:sz w:val="22"/>
        </w:rPr>
        <w:t>O</w:t>
      </w:r>
      <w:r w:rsidR="00CB5480">
        <w:rPr>
          <w:rFonts w:ascii="Segoe UI" w:eastAsia="Segoe UI" w:hAnsi="Segoe UI"/>
          <w:b/>
          <w:color w:val="000000"/>
          <w:sz w:val="22"/>
        </w:rPr>
        <w:t>utcome description</w:t>
      </w:r>
      <w:r>
        <w:rPr>
          <w:rFonts w:ascii="Segoe UI" w:eastAsia="Segoe UI" w:hAnsi="Segoe UI"/>
          <w:b/>
          <w:color w:val="000000"/>
          <w:sz w:val="22"/>
        </w:rPr>
        <w:t xml:space="preserve"> – please include information about whether a change in patient management, or prognosis, occurs as a result of the test information</w:t>
      </w:r>
      <w:r w:rsidR="004C02B7">
        <w:rPr>
          <w:rFonts w:ascii="Segoe UI" w:eastAsia="Segoe UI" w:hAnsi="Segoe UI"/>
          <w:b/>
          <w:color w:val="000000"/>
          <w:sz w:val="22"/>
        </w:rPr>
        <w:t>:</w:t>
      </w:r>
    </w:p>
    <w:p w14:paraId="36189B68" w14:textId="77777777" w:rsidR="004C02B7" w:rsidRDefault="004C02B7" w:rsidP="004C02B7">
      <w:pPr>
        <w:spacing w:after="0" w:line="240" w:lineRule="auto"/>
        <w:rPr>
          <w:rFonts w:ascii="Segoe UI" w:eastAsia="Segoe UI" w:hAnsi="Segoe UI"/>
          <w:b/>
          <w:color w:val="000000"/>
          <w:sz w:val="22"/>
        </w:rPr>
      </w:pPr>
    </w:p>
    <w:p w14:paraId="7194BAE5" w14:textId="556A2674" w:rsidR="004C02B7" w:rsidRDefault="00E4636A" w:rsidP="00E3095B">
      <w:pPr>
        <w:pStyle w:val="Responsetext"/>
      </w:pPr>
      <w:r>
        <w:t xml:space="preserve">Implantation of MINIject micro-bypass surgery stent </w:t>
      </w:r>
      <w:r w:rsidR="00E3095B">
        <w:t>during standalone surgery results in increased aqueous humour outflow</w:t>
      </w:r>
      <w:r w:rsidR="00B313D8">
        <w:t xml:space="preserve"> into the suprachoroidal space</w:t>
      </w:r>
      <w:r w:rsidR="00E3095B">
        <w:t xml:space="preserve"> leading to reduced IOP. Lowering of IOP is the only known modifiable risk factor for glaucoma progression and is hence the </w:t>
      </w:r>
      <w:r w:rsidR="00E3095B" w:rsidRPr="00E3095B">
        <w:t>key clinically important outcome, being a marker of important long-term outcomes including visual acuity and quality of life.</w:t>
      </w:r>
    </w:p>
    <w:p w14:paraId="6F7CBDB2" w14:textId="477AEBBC" w:rsidR="00E3095B" w:rsidRDefault="00E3095B" w:rsidP="00E3095B">
      <w:pPr>
        <w:pStyle w:val="Responsetext"/>
      </w:pPr>
      <w:r w:rsidRPr="00E17774">
        <w:t>The timel</w:t>
      </w:r>
      <w:r>
        <w:t>iness</w:t>
      </w:r>
      <w:r w:rsidRPr="00E17774">
        <w:t xml:space="preserve"> and appropriate intensity </w:t>
      </w:r>
      <w:r>
        <w:t xml:space="preserve">of glaucoma </w:t>
      </w:r>
      <w:r w:rsidRPr="00E17774">
        <w:t>treatment can save sight</w:t>
      </w:r>
      <w:r>
        <w:t>, evidenced by the positive impact of IOP reductions reducing disease progression</w:t>
      </w:r>
      <w:r w:rsidRPr="00E17774">
        <w:t xml:space="preserve">. </w:t>
      </w:r>
      <w:r>
        <w:t>L</w:t>
      </w:r>
      <w:r w:rsidRPr="00E17774">
        <w:t>owering IOP influences</w:t>
      </w:r>
      <w:r>
        <w:t xml:space="preserve"> both</w:t>
      </w:r>
      <w:r w:rsidRPr="00E17774">
        <w:t xml:space="preserve"> the risk of developing glaucoma and the progression of existing disease</w:t>
      </w:r>
      <w:r>
        <w:t xml:space="preserve"> </w:t>
      </w:r>
      <w:r>
        <w:fldChar w:fldCharType="begin"/>
      </w:r>
      <w:r>
        <w:instrText xml:space="preserve"> ADDIN EN.CITE &lt;EndNote&gt;&lt;Cite&gt;&lt;Author&gt;Jayaram&lt;/Author&gt;&lt;Year&gt;2020&lt;/Year&gt;&lt;RecNum&gt;15&lt;/RecNum&gt;&lt;DisplayText&gt;(Jayaram 2020)&lt;/DisplayText&gt;&lt;record&gt;&lt;rec-number&gt;15&lt;/rec-number&gt;&lt;foreign-keys&gt;&lt;key app="EN" db-id="vpttx5v05r52scezet3p525mw9twa9d9xx95" timestamp="1682225126"&gt;15&lt;/key&gt;&lt;/foreign-keys&gt;&lt;ref-type name="Journal Article"&gt;17&lt;/ref-type&gt;&lt;contributors&gt;&lt;authors&gt;&lt;author&gt;Jayaram, H.&lt;/author&gt;&lt;/authors&gt;&lt;/contributors&gt;&lt;auth-address&gt;Glaucoma Service, Moorfields Eye Hospital NHS Foundation Trust, London, United Kingdom.&amp;#xD;UCL Institute of Ophthalmology, London, United Kingdom.&amp;#xD;NIHR Moorfields Biomedical Research Centre, London, United Kingdom.&lt;/auth-address&gt;&lt;titles&gt;&lt;title&gt;Intraocular pressure reduction in glaucoma: Does every mmHg count?&lt;/title&gt;&lt;secondary-title&gt;Taiwan J Ophthalmol&lt;/secondary-title&gt;&lt;/titles&gt;&lt;periodical&gt;&lt;full-title&gt;Taiwan J Ophthalmol&lt;/full-title&gt;&lt;/periodical&gt;&lt;pages&gt;255-258&lt;/pages&gt;&lt;volume&gt;10&lt;/volume&gt;&lt;number&gt;4&lt;/number&gt;&lt;edition&gt;2021/01/14&lt;/edition&gt;&lt;keywords&gt;&lt;keyword&gt;Glaucoma&lt;/keyword&gt;&lt;keyword&gt;Intraocular Pressure&lt;/keyword&gt;&lt;keyword&gt;Rate of Progression&lt;/keyword&gt;&lt;/keywords&gt;&lt;dates&gt;&lt;year&gt;2020&lt;/year&gt;&lt;pub-dates&gt;&lt;date&gt;Oct-Dec&lt;/date&gt;&lt;/pub-dates&gt;&lt;/dates&gt;&lt;isbn&gt;2211-5056 (Print)&amp;#xD;2211-5056&lt;/isbn&gt;&lt;accession-num&gt;33437597&lt;/accession-num&gt;&lt;urls&gt;&lt;/urls&gt;&lt;custom2&gt;PMC7787090&lt;/custom2&gt;&lt;electronic-resource-num&gt;10.4103/tjo.tjo_63_20&lt;/electronic-resource-num&gt;&lt;remote-database-provider&gt;NLM&lt;/remote-database-provider&gt;&lt;language&gt;eng&lt;/language&gt;&lt;/record&gt;&lt;/Cite&gt;&lt;/EndNote&gt;</w:instrText>
      </w:r>
      <w:r>
        <w:fldChar w:fldCharType="separate"/>
      </w:r>
      <w:r>
        <w:rPr>
          <w:noProof/>
        </w:rPr>
        <w:t>(Jayaram 2020)</w:t>
      </w:r>
      <w:r>
        <w:fldChar w:fldCharType="end"/>
      </w:r>
      <w:r w:rsidRPr="00E17774">
        <w:t xml:space="preserve">. </w:t>
      </w:r>
      <w:r>
        <w:t>While IOP alone does not explain all progression risk, e</w:t>
      </w:r>
      <w:r w:rsidRPr="00E17774">
        <w:t>very mmHg in IOP reduction is important, with evidence</w:t>
      </w:r>
      <w:r>
        <w:t xml:space="preserve"> from a number of studies</w:t>
      </w:r>
      <w:r w:rsidRPr="00E17774">
        <w:t xml:space="preserve"> showing an impact on both functional and structural progression</w:t>
      </w:r>
      <w:r>
        <w:t xml:space="preserve"> (as summarised by </w:t>
      </w:r>
      <w:r>
        <w:fldChar w:fldCharType="begin"/>
      </w:r>
      <w:r>
        <w:instrText xml:space="preserve"> ADDIN EN.CITE &lt;EndNote&gt;&lt;Cite&gt;&lt;Author&gt;Jayaram&lt;/Author&gt;&lt;Year&gt;2020&lt;/Year&gt;&lt;RecNum&gt;15&lt;/RecNum&gt;&lt;DisplayText&gt;(Jayaram 2020)&lt;/DisplayText&gt;&lt;record&gt;&lt;rec-number&gt;15&lt;/rec-number&gt;&lt;foreign-keys&gt;&lt;key app="EN" db-id="vpttx5v05r52scezet3p525mw9twa9d9xx95" timestamp="1682225126"&gt;15&lt;/key&gt;&lt;/foreign-keys&gt;&lt;ref-type name="Journal Article"&gt;17&lt;/ref-type&gt;&lt;contributors&gt;&lt;authors&gt;&lt;author&gt;Jayaram, H.&lt;/author&gt;&lt;/authors&gt;&lt;/contributors&gt;&lt;auth-address&gt;Glaucoma Service, Moorfields Eye Hospital NHS Foundation Trust, London, United Kingdom.&amp;#xD;UCL Institute of Ophthalmology, London, United Kingdom.&amp;#xD;NIHR Moorfields Biomedical Research Centre, London, United Kingdom.&lt;/auth-address&gt;&lt;titles&gt;&lt;title&gt;Intraocular pressure reduction in glaucoma: Does every mmHg count?&lt;/title&gt;&lt;secondary-title&gt;Taiwan J Ophthalmol&lt;/secondary-title&gt;&lt;/titles&gt;&lt;periodical&gt;&lt;full-title&gt;Taiwan J Ophthalmol&lt;/full-title&gt;&lt;/periodical&gt;&lt;pages&gt;255-258&lt;/pages&gt;&lt;volume&gt;10&lt;/volume&gt;&lt;number&gt;4&lt;/number&gt;&lt;edition&gt;2021/01/14&lt;/edition&gt;&lt;keywords&gt;&lt;keyword&gt;Glaucoma&lt;/keyword&gt;&lt;keyword&gt;Intraocular Pressure&lt;/keyword&gt;&lt;keyword&gt;Rate of Progression&lt;/keyword&gt;&lt;/keywords&gt;&lt;dates&gt;&lt;year&gt;2020&lt;/year&gt;&lt;pub-dates&gt;&lt;date&gt;Oct-Dec&lt;/date&gt;&lt;/pub-dates&gt;&lt;/dates&gt;&lt;isbn&gt;2211-5056 (Print)&amp;#xD;2211-5056&lt;/isbn&gt;&lt;accession-num&gt;33437597&lt;/accession-num&gt;&lt;urls&gt;&lt;/urls&gt;&lt;custom2&gt;PMC7787090&lt;/custom2&gt;&lt;electronic-resource-num&gt;10.4103/tjo.tjo_63_20&lt;/electronic-resource-num&gt;&lt;remote-database-provider&gt;NLM&lt;/remote-database-provider&gt;&lt;language&gt;eng&lt;/language&gt;&lt;/record&gt;&lt;/Cite&gt;&lt;/EndNote&gt;</w:instrText>
      </w:r>
      <w:r>
        <w:fldChar w:fldCharType="separate"/>
      </w:r>
      <w:r>
        <w:rPr>
          <w:noProof/>
        </w:rPr>
        <w:t>(Jayaram 2020)</w:t>
      </w:r>
      <w:r>
        <w:fldChar w:fldCharType="end"/>
      </w:r>
      <w:r>
        <w:t>):</w:t>
      </w:r>
    </w:p>
    <w:p w14:paraId="1F864263" w14:textId="43EA40DF" w:rsidR="00E3095B" w:rsidRDefault="00E3095B" w:rsidP="00E3095B">
      <w:pPr>
        <w:pStyle w:val="Responsebullet"/>
      </w:pPr>
      <w:r>
        <w:t>E</w:t>
      </w:r>
      <w:r w:rsidRPr="00BE7F51">
        <w:t>ach initial 1 mmHg reduction of IOP at the first follow-up visit in a cohort of patients with manifest glaucoma (3 months following treatment initiation) decreased the risk of progression by 8%, whereas each 1 mmHg increase in the mean IOP at the first follow-up visit increased the risk of progression by 13%</w:t>
      </w:r>
      <w:r>
        <w:t xml:space="preserve"> </w:t>
      </w:r>
      <w:r>
        <w:fldChar w:fldCharType="begin">
          <w:fldData xml:space="preserve">PEVuZE5vdGU+PENpdGU+PEF1dGhvcj5MZXNrZTwvQXV0aG9yPjxZZWFyPjIwMDc8L1llYXI+PFJl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</w:fldData>
        </w:fldChar>
      </w:r>
      <w:r>
        <w:instrText xml:space="preserve"> ADDIN EN.CITE </w:instrText>
      </w:r>
      <w:r>
        <w:fldChar w:fldCharType="begin">
          <w:fldData xml:space="preserve">PEVuZE5vdGU+PENpdGU+PEF1dGhvcj5MZXNrZTwvQXV0aG9yPjxZZWFyPjIwMDc8L1llYXI+PFJl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</w:fldData>
        </w:fldChar>
      </w:r>
      <w:r>
        <w:instrText xml:space="preserve"> ADDIN EN.CITE.DATA </w:instrText>
      </w:r>
      <w:r>
        <w:fldChar w:fldCharType="end"/>
      </w:r>
      <w:r>
        <w:fldChar w:fldCharType="separate"/>
      </w:r>
      <w:r>
        <w:rPr>
          <w:noProof/>
        </w:rPr>
        <w:t>(Leske 2007)</w:t>
      </w:r>
      <w:r>
        <w:fldChar w:fldCharType="end"/>
      </w:r>
      <w:r w:rsidRPr="00BE7F51">
        <w:t>.</w:t>
      </w:r>
    </w:p>
    <w:p w14:paraId="7CAD9904" w14:textId="5AB6CE18" w:rsidR="00E3095B" w:rsidRDefault="00E3095B" w:rsidP="00E3095B">
      <w:pPr>
        <w:pStyle w:val="Responsebullet"/>
      </w:pPr>
      <w:r w:rsidRPr="00E17774">
        <w:t>Each 1 mmHg increase in mean IOP over the follow-up period for patients with a baseline IOP ≥21 mmHg was associated with a 15% increase in the risk of progression and was 13% for patients with a baseline IOP &lt;21 mmHg</w:t>
      </w:r>
      <w:r>
        <w:t xml:space="preserve"> </w:t>
      </w:r>
      <w:r>
        <w:fldChar w:fldCharType="begin">
          <w:fldData xml:space="preserve">PEVuZE5vdGU+PENpdGU+PEF1dGhvcj5MZXNrZTwvQXV0aG9yPjxZZWFyPjIwMDc8L1llYXI+PFJl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</w:fldData>
        </w:fldChar>
      </w:r>
      <w:r>
        <w:instrText xml:space="preserve"> ADDIN EN.CITE </w:instrText>
      </w:r>
      <w:r>
        <w:fldChar w:fldCharType="begin">
          <w:fldData xml:space="preserve">PEVuZE5vdGU+PENpdGU+PEF1dGhvcj5MZXNrZTwvQXV0aG9yPjxZZWFyPjIwMDc8L1llYXI+PFJl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</w:fldData>
        </w:fldChar>
      </w:r>
      <w:r>
        <w:instrText xml:space="preserve"> ADDIN EN.CITE.DATA </w:instrText>
      </w:r>
      <w:r>
        <w:fldChar w:fldCharType="end"/>
      </w:r>
      <w:r>
        <w:fldChar w:fldCharType="separate"/>
      </w:r>
      <w:r>
        <w:rPr>
          <w:noProof/>
        </w:rPr>
        <w:t>(Leske 2007)</w:t>
      </w:r>
      <w:r>
        <w:fldChar w:fldCharType="end"/>
      </w:r>
      <w:r w:rsidRPr="00E17774">
        <w:t>.</w:t>
      </w:r>
    </w:p>
    <w:p w14:paraId="2AD4327A" w14:textId="442C5608" w:rsidR="00E3095B" w:rsidRDefault="00E3095B" w:rsidP="00E3095B">
      <w:pPr>
        <w:pStyle w:val="Responsebullet"/>
      </w:pPr>
      <w:r w:rsidRPr="00E17774">
        <w:t>The Canadian Glaucoma Study prospectively followed up 258 patients over a median follow-up period of over 5 years and reported that a higher mean IOP was associated with glaucoma progression, with a 19% increase in risk per mmHg higher IOP</w:t>
      </w:r>
      <w:r>
        <w:t xml:space="preserve"> </w:t>
      </w:r>
      <w:r>
        <w:fldChar w:fldCharType="begin">
          <w:fldData xml:space="preserve">PEVuZE5vdGU+PENpdGU+PEF1dGhvcj5DaGF1aGFuPC9BdXRob3I+PFllYXI+MjAwODwvWWVhcj48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</w:fldData>
        </w:fldChar>
      </w:r>
      <w:r>
        <w:instrText xml:space="preserve"> ADDIN EN.CITE </w:instrText>
      </w:r>
      <w:r>
        <w:fldChar w:fldCharType="begin">
          <w:fldData xml:space="preserve">PEVuZE5vdGU+PENpdGU+PEF1dGhvcj5DaGF1aGFuPC9BdXRob3I+PFllYXI+MjAwODwvWWVhcj48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</w:fldData>
        </w:fldChar>
      </w:r>
      <w:r>
        <w:instrText xml:space="preserve"> ADDIN EN.CITE.DATA </w:instrText>
      </w:r>
      <w:r>
        <w:fldChar w:fldCharType="end"/>
      </w:r>
      <w:r>
        <w:fldChar w:fldCharType="separate"/>
      </w:r>
      <w:r>
        <w:rPr>
          <w:noProof/>
        </w:rPr>
        <w:t>(Chauhan 2008)</w:t>
      </w:r>
      <w:r>
        <w:fldChar w:fldCharType="end"/>
      </w:r>
      <w:r>
        <w:t>.</w:t>
      </w:r>
    </w:p>
    <w:p w14:paraId="29A14E42" w14:textId="7386F9F7" w:rsidR="00E3095B" w:rsidRPr="00BE7F51" w:rsidRDefault="00E3095B" w:rsidP="00E3095B">
      <w:pPr>
        <w:pStyle w:val="Responsebullet"/>
      </w:pPr>
      <w:r w:rsidRPr="00E17774">
        <w:t>A retrospective study of glaucoma patients with 5 years of follow-up also showed that the odds of glaucoma progression were 13% higher for every mmHg increase in peak IOP</w:t>
      </w:r>
      <w:r>
        <w:t xml:space="preserve"> </w:t>
      </w:r>
      <w:r>
        <w:fldChar w:fldCharType="begin"/>
      </w:r>
      <w:r>
        <w:instrText xml:space="preserve"> ADDIN EN.CITE &lt;EndNote&gt;&lt;Cite&gt;&lt;Author&gt;De Moraes&lt;/Author&gt;&lt;Year&gt;2012&lt;/Year&gt;&lt;RecNum&gt;37&lt;/RecNum&gt;&lt;DisplayText&gt;(De Moraes 2012)&lt;/DisplayText&gt;&lt;record&gt;&lt;rec-number&gt;37&lt;/rec-number&gt;&lt;foreign-keys&gt;&lt;key app="EN" db-id="vpttx5v05r52scezet3p525mw9twa9d9xx95" timestamp="1683261047"&gt;37&lt;/key&gt;&lt;/foreign-keys&gt;&lt;ref-type name="Journal Article"&gt;17&lt;/ref-type&gt;&lt;contributors&gt;&lt;authors&gt;&lt;author&gt;De Moraes, C. V.&lt;/author&gt;&lt;author&gt;Hill, V.&lt;/author&gt;&lt;author&gt;Tello, C.&lt;/author&gt;&lt;author&gt;Liebmann, J. M.&lt;/author&gt;&lt;author&gt;Ritch, R.&lt;/author&gt;&lt;/authors&gt;&lt;/contributors&gt;&lt;auth-address&gt;Einhorn Clinical Research Center, New York Eye and Ear Infirmary, NY, USA.&lt;/auth-address&gt;&lt;titles&gt;&lt;title&gt;Lower corneal hysteresis is associated with more rapid glaucomatous visual field progression&lt;/title&gt;&lt;secondary-title&gt;J Glaucoma&lt;/secondary-title&gt;&lt;/titles&gt;&lt;periodical&gt;&lt;full-title&gt;J Glaucoma&lt;/full-title&gt;&lt;/periodical&gt;&lt;pages&gt;209-13&lt;/pages&gt;&lt;volume&gt;21&lt;/volume&gt;&lt;number&gt;4&lt;/number&gt;&lt;edition&gt;2011/06/10&lt;/edition&gt;&lt;keywords&gt;&lt;keyword&gt;Aged&lt;/keyword&gt;&lt;keyword&gt;Biomechanical Phenomena&lt;/keyword&gt;&lt;keyword&gt;Cornea/*physiopathology&lt;/keyword&gt;&lt;keyword&gt;Disease Progression&lt;/keyword&gt;&lt;keyword&gt;Elasticity/*physiology&lt;/keyword&gt;&lt;keyword&gt;Female&lt;/keyword&gt;&lt;keyword&gt;Glaucoma/*physiopathology&lt;/keyword&gt;&lt;keyword&gt;Humans&lt;/keyword&gt;&lt;keyword&gt;Intraocular Pressure/physiology&lt;/keyword&gt;&lt;keyword&gt;Male&lt;/keyword&gt;&lt;keyword&gt;Middle Aged&lt;/keyword&gt;&lt;keyword&gt;Retrospective Studies&lt;/keyword&gt;&lt;keyword&gt;Tonometry, Ocular&lt;/keyword&gt;&lt;keyword&gt;Vision Disorders/*physiopathology&lt;/keyword&gt;&lt;keyword&gt;Visual Fields/*physiology&lt;/keyword&gt;&lt;/keywords&gt;&lt;dates&gt;&lt;year&gt;2012&lt;/year&gt;&lt;pub-dates&gt;&lt;date&gt;Apr-May&lt;/date&gt;&lt;/pub-dates&gt;&lt;/dates&gt;&lt;isbn&gt;1057-0829&lt;/isbn&gt;&lt;accession-num&gt;21654511&lt;/accession-num&gt;&lt;urls&gt;&lt;/urls&gt;&lt;electronic-resource-num&gt;10.1097/IJG.0b013e3182071b92&lt;/electronic-resource-num&gt;&lt;remote-database-provider&gt;NLM&lt;/remote-database-provider&gt;&lt;language&gt;eng&lt;/language&gt;&lt;/record&gt;&lt;/Cite&gt;&lt;/EndNote&gt;</w:instrText>
      </w:r>
      <w:r>
        <w:fldChar w:fldCharType="separate"/>
      </w:r>
      <w:r>
        <w:rPr>
          <w:noProof/>
        </w:rPr>
        <w:t>(De Moraes 2012)</w:t>
      </w:r>
      <w:r>
        <w:fldChar w:fldCharType="end"/>
      </w:r>
      <w:r>
        <w:t>.</w:t>
      </w:r>
    </w:p>
    <w:p w14:paraId="0F33880B" w14:textId="5651FA5F" w:rsidR="00566CF9" w:rsidRDefault="00617379" w:rsidP="00F17A74">
      <w:pPr>
        <w:pStyle w:val="Responsetext"/>
        <w:rPr>
          <w:rFonts w:eastAsia="Segoe UI"/>
          <w:b/>
          <w:color w:val="000000"/>
          <w:sz w:val="32"/>
        </w:rPr>
      </w:pPr>
      <w:r w:rsidRPr="00F17A74">
        <w:t>Therefore, every mm</w:t>
      </w:r>
      <w:r w:rsidR="00236A31" w:rsidRPr="00F17A74">
        <w:t xml:space="preserve"> of Hg reduction in </w:t>
      </w:r>
      <w:r w:rsidR="00F17A74">
        <w:t>IOP</w:t>
      </w:r>
      <w:r w:rsidR="00236A31" w:rsidRPr="00F17A74">
        <w:t xml:space="preserve"> makes a difference in preserving vision</w:t>
      </w:r>
      <w:r w:rsidR="009C5651">
        <w:t xml:space="preserve"> for longer and may eliminate the occurrence of blindness</w:t>
      </w:r>
      <w:r w:rsidR="00236A31" w:rsidRPr="00F17A74">
        <w:t xml:space="preserve">. In addition, reduction of </w:t>
      </w:r>
      <w:r w:rsidR="009B20B1" w:rsidRPr="00F17A74">
        <w:t xml:space="preserve">glaucomatous medication use also </w:t>
      </w:r>
      <w:r w:rsidR="002C3286" w:rsidRPr="00F17A74">
        <w:t xml:space="preserve">reduces </w:t>
      </w:r>
      <w:r w:rsidR="0019146B">
        <w:t xml:space="preserve">issues associated with </w:t>
      </w:r>
      <w:r w:rsidR="002C3286" w:rsidRPr="00F17A74">
        <w:t xml:space="preserve">non-compliance </w:t>
      </w:r>
      <w:r w:rsidR="00E30751" w:rsidRPr="00F17A74">
        <w:t xml:space="preserve">which </w:t>
      </w:r>
      <w:r w:rsidR="0019146B">
        <w:t xml:space="preserve">can </w:t>
      </w:r>
      <w:r w:rsidR="00E30751" w:rsidRPr="00F17A74">
        <w:t>cause IOP fluctuations and glaucoma progression</w:t>
      </w:r>
      <w:r w:rsidR="00196FC6">
        <w:t>, because surgical treatment of glaucoma takes treatment out of the hands of the patient</w:t>
      </w:r>
      <w:r w:rsidR="00703858">
        <w:t xml:space="preserve"> by reducing reliance on topical therapy</w:t>
      </w:r>
      <w:r w:rsidR="00E30751" w:rsidRPr="00F17A74">
        <w:t xml:space="preserve">. </w:t>
      </w:r>
      <w:r w:rsidR="0019146B">
        <w:t xml:space="preserve">Reduction of drop use also </w:t>
      </w:r>
      <w:r w:rsidR="009B20B1" w:rsidRPr="00F17A74">
        <w:t xml:space="preserve">reduces side effects </w:t>
      </w:r>
      <w:r w:rsidR="0019146B">
        <w:t xml:space="preserve">and </w:t>
      </w:r>
      <w:r w:rsidR="009B20B1" w:rsidRPr="00F17A74">
        <w:t>reduc</w:t>
      </w:r>
      <w:r w:rsidR="0019146B">
        <w:t>es</w:t>
      </w:r>
      <w:r w:rsidR="009B20B1" w:rsidRPr="00F17A74">
        <w:t xml:space="preserve"> the need for taking additional dry-eye medication</w:t>
      </w:r>
      <w:r w:rsidR="00703858">
        <w:t xml:space="preserve"> (39% of Australians with glaucoma suffer from dry-eye primarily due to glaucoma medication use</w:t>
      </w:r>
      <w:r w:rsidR="00B6781C">
        <w:t xml:space="preserve"> </w:t>
      </w:r>
      <w:r w:rsidR="00B6781C">
        <w:fldChar w:fldCharType="begin"/>
      </w:r>
      <w:r w:rsidR="00B6781C">
        <w:instrText xml:space="preserve"> ADDIN EN.CITE &lt;EndNote&gt;&lt;Cite&gt;&lt;Author&gt;Chan&lt;/Author&gt;&lt;Year&gt;2013&lt;/Year&gt;&lt;RecNum&gt;8&lt;/RecNum&gt;&lt;DisplayText&gt;(Chan 2013)&lt;/DisplayText&gt;&lt;record&gt;&lt;rec-number&gt;8&lt;/rec-number&gt;&lt;foreign-keys&gt;&lt;key app="EN" db-id="0tfze2xwopafsxerxxip50rgeept0fs2fwvx" timestamp="1689823869"&gt;8&lt;/key&gt;&lt;/foreign-keys&gt;&lt;ref-type name="Journal Article"&gt;17&lt;/ref-type&gt;&lt;contributors&gt;&lt;authors&gt;&lt;author&gt;Chan, C. C.&lt;/author&gt;&lt;author&gt;Crowston, J. G.&lt;/author&gt;&lt;author&gt;Tan, R.&lt;/author&gt;&lt;author&gt;Marin, M.&lt;/author&gt;&lt;author&gt;Charles, S.&lt;/author&gt;&lt;/authors&gt;&lt;/contributors&gt;&lt;auth-address&gt;From the *Vision Eye Institute, Chatswood, and †Central Clinical School, University of Sydney, Sydney, New South Wales, Australia; ‡Centre for Eye Research Australia, University of Melbourne, Royal Victorian Eye and Ear Hospital, East Melbourne, Victoria, Australia; §Alcon Pte Ltd, Singapore; ¶OPTUMInsight, Health Economics and Outcomes Research, Burlington, Ontario, Canada; and </w:instrText>
      </w:r>
      <w:r w:rsidR="00B6781C">
        <w:rPr>
          <w:rFonts w:ascii="Cambria Math" w:hAnsi="Cambria Math" w:cs="Cambria Math"/>
        </w:rPr>
        <w:instrText>∥</w:instrText>
      </w:r>
      <w:r w:rsidR="00B6781C">
        <w:instrText>OPTUMInsight, Lilyfield, New South Wales, Australia.&lt;/auth-address&gt;&lt;titles&gt;&lt;title&gt;Burden of Ocular Surface Disease in Patients With Glaucoma From Australia&lt;/title&gt;&lt;secondary-title&gt;Asia Pac J Ophthalmol (Phila)&lt;/secondary-title&gt;&lt;/titles&gt;&lt;periodical&gt;&lt;full-title&gt;Asia Pac J Ophthalmol (Phila)&lt;/full-title&gt;&lt;/periodical&gt;&lt;pages&gt;79-87&lt;/pages&gt;&lt;volume&gt;2&lt;/volume&gt;&lt;number&gt;2&lt;/number&gt;&lt;edition&gt;2013/03/01&lt;/edition&gt;&lt;dates&gt;&lt;year&gt;2013&lt;/year&gt;&lt;pub-dates&gt;&lt;date&gt;Mar-Apr&lt;/date&gt;&lt;/pub-dates&gt;&lt;/dates&gt;&lt;isbn&gt;2162-0989 (Print)&amp;#xD;2162-0989&lt;/isbn&gt;&lt;accession-num&gt;26108043&lt;/accession-num&gt;&lt;urls&gt;&lt;/urls&gt;&lt;electronic-resource-num&gt;10.1097/APO.0b013e31828372c2&lt;/electronic-resource-num&gt;&lt;remote-database-provider&gt;NLM&lt;/remote-database-provider&gt;&lt;language&gt;eng&lt;/language&gt;&lt;/record&gt;&lt;/Cite&gt;&lt;/EndNote&gt;</w:instrText>
      </w:r>
      <w:r w:rsidR="00B6781C">
        <w:fldChar w:fldCharType="separate"/>
      </w:r>
      <w:r w:rsidR="00B6781C">
        <w:rPr>
          <w:noProof/>
        </w:rPr>
        <w:t>(Chan 2013)</w:t>
      </w:r>
      <w:r w:rsidR="00B6781C">
        <w:fldChar w:fldCharType="end"/>
      </w:r>
      <w:r w:rsidR="00703858">
        <w:t>)</w:t>
      </w:r>
      <w:r w:rsidR="002C3286" w:rsidRPr="00F17A74">
        <w:t xml:space="preserve">, and </w:t>
      </w:r>
      <w:r w:rsidR="00196FC6">
        <w:t xml:space="preserve">subsequently </w:t>
      </w:r>
      <w:r w:rsidR="002C3286" w:rsidRPr="00F17A74">
        <w:t>improves patient quality of life</w:t>
      </w:r>
      <w:r w:rsidR="009B20B1" w:rsidRPr="00F17A74">
        <w:t>.</w:t>
      </w:r>
      <w:r w:rsidR="00566CF9">
        <w:rPr>
          <w:rFonts w:eastAsia="Segoe UI"/>
          <w:b/>
          <w:color w:val="000000"/>
          <w:sz w:val="32"/>
        </w:rPr>
        <w:br w:type="page"/>
      </w:r>
    </w:p>
    <w:p w14:paraId="51234613" w14:textId="244CDB64" w:rsidR="00566CF9" w:rsidRDefault="00566CF9" w:rsidP="00566CF9">
      <w:pPr>
        <w:rPr>
          <w:rFonts w:ascii="Segoe UI" w:eastAsia="Segoe UI" w:hAnsi="Segoe UI"/>
          <w:b/>
          <w:color w:val="000000"/>
          <w:sz w:val="32"/>
        </w:rPr>
      </w:pPr>
      <w:r>
        <w:rPr>
          <w:rFonts w:ascii="Segoe UI" w:eastAsia="Segoe UI" w:hAnsi="Segoe UI"/>
          <w:b/>
          <w:color w:val="000000"/>
          <w:sz w:val="32"/>
        </w:rPr>
        <w:lastRenderedPageBreak/>
        <w:t>Proposed MBS items</w:t>
      </w:r>
    </w:p>
    <w:p w14:paraId="65E4A37C" w14:textId="39325C07" w:rsidR="009C0554" w:rsidRDefault="009C0554" w:rsidP="009C0554">
      <w:pPr>
        <w:rPr>
          <w:rFonts w:ascii="Segoe UI" w:eastAsia="Segoe UI" w:hAnsi="Segoe UI"/>
          <w:b/>
          <w:color w:val="000000"/>
          <w:sz w:val="22"/>
        </w:rPr>
      </w:pPr>
      <w:r>
        <w:rPr>
          <w:rFonts w:ascii="Segoe UI" w:eastAsia="Segoe UI" w:hAnsi="Segoe UI"/>
          <w:b/>
          <w:color w:val="000000"/>
          <w:sz w:val="22"/>
        </w:rPr>
        <w:t xml:space="preserve">How is the technology/service funded at present? (for example: research funding; State-based funding; self-funded by patients; no funding or payments): </w:t>
      </w:r>
    </w:p>
    <w:p w14:paraId="0F60C13D" w14:textId="16AB436F" w:rsidR="009C0554" w:rsidRDefault="00FD36FE" w:rsidP="00FD36FE">
      <w:pPr>
        <w:pStyle w:val="Responsetext"/>
      </w:pPr>
      <w:r w:rsidRPr="00BD45F6">
        <w:t>MINIject is not currently available in Australia.</w:t>
      </w:r>
      <w:r w:rsidRPr="00350462">
        <w:t xml:space="preserve"> </w:t>
      </w:r>
      <w:r>
        <w:t xml:space="preserve">MBGS surgery (using alternative MBGS stents) is funded via </w:t>
      </w:r>
      <w:r w:rsidR="006A6918">
        <w:t xml:space="preserve">the </w:t>
      </w:r>
      <w:r>
        <w:t>MBS</w:t>
      </w:r>
      <w:r w:rsidR="006A6918">
        <w:t xml:space="preserve"> (</w:t>
      </w:r>
      <w:r w:rsidR="002F21A9">
        <w:t>except in the public system</w:t>
      </w:r>
      <w:r w:rsidR="006A6918">
        <w:t>), with the stents reimbursed via the Prostheses List</w:t>
      </w:r>
      <w:r w:rsidR="00F7499D">
        <w:t xml:space="preserve"> for private patients</w:t>
      </w:r>
      <w:r w:rsidR="006A6918">
        <w:t>.</w:t>
      </w:r>
    </w:p>
    <w:p w14:paraId="54480786" w14:textId="557A1858" w:rsidR="006A6918" w:rsidRDefault="006A6918" w:rsidP="00FD36FE">
      <w:pPr>
        <w:pStyle w:val="Responsetext"/>
      </w:pPr>
      <w:r>
        <w:t>State-based funding is applicable for MBGS surgery undertaken in public hospitals.</w:t>
      </w:r>
    </w:p>
    <w:p w14:paraId="25EA9A18" w14:textId="4CAF9A21" w:rsidR="006A6918" w:rsidRPr="00BE6B22" w:rsidRDefault="006A6918" w:rsidP="00FD36FE">
      <w:pPr>
        <w:pStyle w:val="Responsetext"/>
        <w:rPr>
          <w:rFonts w:asciiTheme="minorHAnsi" w:eastAsia="Segoe UI" w:hAnsiTheme="minorHAnsi" w:cstheme="minorHAnsi"/>
          <w:color w:val="000000"/>
        </w:rPr>
      </w:pPr>
      <w:r w:rsidRPr="00BD45F6">
        <w:t>There has been an application submitted for Prostheses List funding of MINIject</w:t>
      </w:r>
      <w:r w:rsidRPr="00350462">
        <w:t>.</w:t>
      </w:r>
    </w:p>
    <w:p w14:paraId="212E410A" w14:textId="77777777" w:rsidR="009C0554" w:rsidRDefault="009C0554" w:rsidP="009C0554">
      <w:pPr>
        <w:spacing w:after="0" w:line="240" w:lineRule="auto"/>
        <w:rPr>
          <w:rFonts w:asciiTheme="minorHAnsi" w:eastAsia="Segoe UI" w:hAnsiTheme="minorHAnsi" w:cstheme="minorHAnsi"/>
          <w:color w:val="000000"/>
          <w:sz w:val="22"/>
          <w:szCs w:val="22"/>
        </w:rPr>
      </w:pPr>
    </w:p>
    <w:p w14:paraId="51442769" w14:textId="1E120169" w:rsidR="00566CF9" w:rsidRDefault="00566CF9" w:rsidP="00566CF9">
      <w:pPr>
        <w:spacing w:after="0" w:line="240" w:lineRule="auto"/>
        <w:rPr>
          <w:rFonts w:ascii="Segoe UI" w:hAnsi="Segoe UI" w:cs="Segoe UI"/>
          <w:b/>
          <w:bCs/>
          <w:sz w:val="22"/>
          <w:szCs w:val="22"/>
        </w:rPr>
      </w:pPr>
      <w:r>
        <w:rPr>
          <w:rFonts w:ascii="Segoe UI" w:hAnsi="Segoe UI" w:cs="Segoe UI"/>
          <w:b/>
          <w:bCs/>
          <w:sz w:val="22"/>
          <w:szCs w:val="22"/>
        </w:rPr>
        <w:t xml:space="preserve">Please provide at least one proposed item with their descriptor and associated costs, for each population/Intervention: </w:t>
      </w:r>
    </w:p>
    <w:p w14:paraId="3EA8BF30" w14:textId="6A06CBB0" w:rsidR="00566CF9" w:rsidRDefault="00566CF9" w:rsidP="00566CF9">
      <w:pPr>
        <w:spacing w:after="0" w:line="240" w:lineRule="auto"/>
        <w:rPr>
          <w:rFonts w:ascii="Segoe UI" w:eastAsia="Segoe UI" w:hAnsi="Segoe UI"/>
          <w:b/>
          <w:color w:val="000000"/>
          <w:sz w:val="22"/>
        </w:rPr>
      </w:pPr>
    </w:p>
    <w:p w14:paraId="253DA80D" w14:textId="2918098A" w:rsidR="00836A15" w:rsidRPr="00836A15" w:rsidRDefault="00836A15" w:rsidP="00566CF9">
      <w:pPr>
        <w:spacing w:after="0" w:line="240" w:lineRule="auto"/>
        <w:rPr>
          <w:rFonts w:ascii="Segoe UI" w:eastAsia="Segoe UI" w:hAnsi="Segoe UI"/>
          <w:b/>
          <w:color w:val="000000"/>
          <w:sz w:val="22"/>
        </w:rPr>
      </w:pPr>
      <w:r w:rsidRPr="00836A15">
        <w:rPr>
          <w:rFonts w:ascii="Segoe UI" w:eastAsia="Segoe UI" w:hAnsi="Segoe UI"/>
          <w:b/>
          <w:color w:val="000000"/>
          <w:sz w:val="22"/>
        </w:rPr>
        <w:t>Proposed item details</w:t>
      </w:r>
      <w:r>
        <w:rPr>
          <w:rFonts w:ascii="Segoe UI" w:eastAsia="Segoe UI" w:hAnsi="Segoe UI"/>
          <w:b/>
          <w:color w:val="000000"/>
          <w:sz w:val="22"/>
        </w:rPr>
        <w:t xml:space="preserve"> </w:t>
      </w:r>
    </w:p>
    <w:p w14:paraId="17C1E836" w14:textId="5001B00A" w:rsidR="00836A15" w:rsidRDefault="00836A15" w:rsidP="00566CF9">
      <w:pPr>
        <w:spacing w:after="0" w:line="240" w:lineRule="auto"/>
        <w:rPr>
          <w:rFonts w:ascii="Segoe UI" w:eastAsia="Segoe UI" w:hAnsi="Segoe UI"/>
          <w:bCs/>
          <w:color w:val="000000"/>
          <w:sz w:val="22"/>
        </w:rPr>
      </w:pPr>
    </w:p>
    <w:tbl>
      <w:tblPr>
        <w:tblStyle w:val="TableGrid"/>
        <w:tblW w:w="0" w:type="auto"/>
        <w:tblLook w:val="04A0" w:firstRow="1" w:lastRow="0" w:firstColumn="1" w:lastColumn="0" w:noHBand="0" w:noVBand="1"/>
      </w:tblPr>
      <w:tblGrid>
        <w:gridCol w:w="3256"/>
        <w:gridCol w:w="6209"/>
      </w:tblGrid>
      <w:tr w:rsidR="00A05B4D" w14:paraId="550CA6B5" w14:textId="77777777" w:rsidTr="00A05B4D">
        <w:tc>
          <w:tcPr>
            <w:tcW w:w="3256" w:type="dxa"/>
          </w:tcPr>
          <w:p w14:paraId="392E8065" w14:textId="4DAF87B3" w:rsidR="00A05B4D" w:rsidRPr="00A05B4D" w:rsidRDefault="00A05B4D" w:rsidP="00A05B4D">
            <w:pPr>
              <w:spacing w:after="120"/>
              <w:rPr>
                <w:rFonts w:ascii="Segoe UI" w:eastAsia="Segoe UI" w:hAnsi="Segoe UI"/>
                <w:bCs/>
                <w:color w:val="000000"/>
                <w:sz w:val="20"/>
                <w:szCs w:val="20"/>
              </w:rPr>
            </w:pPr>
            <w:bookmarkStart w:id="6" w:name="_Hlk121232719"/>
            <w:r w:rsidRPr="00A05B4D">
              <w:rPr>
                <w:rFonts w:ascii="Segoe UI" w:eastAsia="Segoe UI" w:hAnsi="Segoe UI"/>
                <w:bCs/>
                <w:color w:val="000000"/>
                <w:sz w:val="20"/>
                <w:szCs w:val="20"/>
              </w:rPr>
              <w:t>MBS item number (where used as a template for the proposed item)</w:t>
            </w:r>
          </w:p>
        </w:tc>
        <w:tc>
          <w:tcPr>
            <w:tcW w:w="6209" w:type="dxa"/>
          </w:tcPr>
          <w:p w14:paraId="4800781C" w14:textId="6D426211" w:rsidR="00A05B4D" w:rsidRPr="00A05B4D" w:rsidRDefault="00E06B12" w:rsidP="00FD36FE">
            <w:pPr>
              <w:pStyle w:val="Responsetext"/>
            </w:pPr>
            <w:r>
              <w:t>42504</w:t>
            </w:r>
          </w:p>
        </w:tc>
      </w:tr>
      <w:tr w:rsidR="00A05B4D" w14:paraId="28C30EF6" w14:textId="77777777" w:rsidTr="00A05B4D">
        <w:tc>
          <w:tcPr>
            <w:tcW w:w="3256" w:type="dxa"/>
          </w:tcPr>
          <w:p w14:paraId="6164541B" w14:textId="67698528" w:rsidR="00A05B4D" w:rsidRPr="00A05B4D" w:rsidRDefault="00A05B4D" w:rsidP="00A05B4D">
            <w:pPr>
              <w:spacing w:after="120"/>
              <w:rPr>
                <w:rFonts w:ascii="Segoe UI" w:eastAsia="Segoe UI" w:hAnsi="Segoe UI"/>
                <w:bCs/>
                <w:color w:val="000000"/>
                <w:sz w:val="20"/>
                <w:szCs w:val="20"/>
              </w:rPr>
            </w:pPr>
            <w:r w:rsidRPr="00A05B4D">
              <w:rPr>
                <w:rFonts w:ascii="Segoe UI" w:eastAsia="Segoe UI" w:hAnsi="Segoe UI"/>
                <w:bCs/>
                <w:color w:val="000000"/>
                <w:sz w:val="20"/>
                <w:szCs w:val="20"/>
              </w:rPr>
              <w:t>Category number</w:t>
            </w:r>
          </w:p>
        </w:tc>
        <w:tc>
          <w:tcPr>
            <w:tcW w:w="6209" w:type="dxa"/>
          </w:tcPr>
          <w:p w14:paraId="60FB6E4B" w14:textId="704DD99C" w:rsidR="00A05B4D" w:rsidRPr="00A05B4D" w:rsidRDefault="00BC1D2B" w:rsidP="00FD36FE">
            <w:pPr>
              <w:pStyle w:val="Responsetext"/>
            </w:pPr>
            <w:r>
              <w:t>3</w:t>
            </w:r>
          </w:p>
        </w:tc>
      </w:tr>
      <w:tr w:rsidR="00A05B4D" w14:paraId="27CB821A" w14:textId="77777777" w:rsidTr="00A05B4D">
        <w:tc>
          <w:tcPr>
            <w:tcW w:w="3256" w:type="dxa"/>
          </w:tcPr>
          <w:p w14:paraId="5E21B36E" w14:textId="39749155" w:rsidR="00A05B4D" w:rsidRPr="00A05B4D" w:rsidRDefault="00A05B4D" w:rsidP="00A05B4D">
            <w:pPr>
              <w:spacing w:after="120"/>
              <w:rPr>
                <w:rFonts w:ascii="Segoe UI" w:eastAsia="Segoe UI" w:hAnsi="Segoe UI"/>
                <w:bCs/>
                <w:color w:val="000000"/>
                <w:sz w:val="20"/>
                <w:szCs w:val="20"/>
              </w:rPr>
            </w:pPr>
            <w:r w:rsidRPr="00A05B4D">
              <w:rPr>
                <w:rFonts w:ascii="Segoe UI" w:eastAsia="Segoe UI" w:hAnsi="Segoe UI"/>
                <w:bCs/>
                <w:color w:val="000000"/>
                <w:sz w:val="20"/>
                <w:szCs w:val="20"/>
              </w:rPr>
              <w:t>Category description</w:t>
            </w:r>
          </w:p>
        </w:tc>
        <w:tc>
          <w:tcPr>
            <w:tcW w:w="6209" w:type="dxa"/>
          </w:tcPr>
          <w:p w14:paraId="4DED686A" w14:textId="788D8F6A" w:rsidR="00A05B4D" w:rsidRPr="00A05B4D" w:rsidRDefault="00BC1D2B" w:rsidP="00FD36FE">
            <w:pPr>
              <w:pStyle w:val="Responsetext"/>
            </w:pPr>
            <w:r w:rsidRPr="00BC1D2B">
              <w:t>Therapeutic procedures</w:t>
            </w:r>
          </w:p>
        </w:tc>
      </w:tr>
      <w:tr w:rsidR="00A05B4D" w14:paraId="7AF5F341" w14:textId="77777777" w:rsidTr="00A05B4D">
        <w:tc>
          <w:tcPr>
            <w:tcW w:w="3256" w:type="dxa"/>
          </w:tcPr>
          <w:p w14:paraId="454ADFE2" w14:textId="5F0060E6" w:rsidR="00A05B4D" w:rsidRPr="00A05B4D" w:rsidRDefault="00A05B4D" w:rsidP="00A05B4D">
            <w:pPr>
              <w:spacing w:after="120"/>
              <w:rPr>
                <w:rFonts w:ascii="Segoe UI" w:eastAsia="Segoe UI" w:hAnsi="Segoe UI"/>
                <w:bCs/>
                <w:color w:val="000000"/>
                <w:sz w:val="20"/>
                <w:szCs w:val="20"/>
              </w:rPr>
            </w:pPr>
            <w:r w:rsidRPr="00A05B4D">
              <w:rPr>
                <w:rFonts w:ascii="Segoe UI" w:eastAsia="Segoe UI" w:hAnsi="Segoe UI"/>
                <w:bCs/>
                <w:color w:val="000000"/>
                <w:sz w:val="20"/>
                <w:szCs w:val="20"/>
              </w:rPr>
              <w:t>Proposed item descriptor</w:t>
            </w:r>
          </w:p>
        </w:tc>
        <w:tc>
          <w:tcPr>
            <w:tcW w:w="6209" w:type="dxa"/>
          </w:tcPr>
          <w:p w14:paraId="3ABF790C" w14:textId="59436B73" w:rsidR="00BC1D2B" w:rsidRPr="00BC1D2B" w:rsidRDefault="00BC1D2B" w:rsidP="00BC1D2B">
            <w:pPr>
              <w:spacing w:after="120"/>
              <w:rPr>
                <w:rFonts w:ascii="Segoe UI" w:hAnsi="Segoe UI" w:cs="Segoe UI"/>
                <w:sz w:val="22"/>
                <w:szCs w:val="22"/>
              </w:rPr>
            </w:pPr>
            <w:r w:rsidRPr="00BC1D2B">
              <w:rPr>
                <w:rFonts w:ascii="Segoe UI" w:hAnsi="Segoe UI" w:cs="Segoe UI"/>
                <w:sz w:val="22"/>
                <w:szCs w:val="22"/>
              </w:rPr>
              <w:t>Glaucoma, implantation of a micro-bypass surgery stent system into the</w:t>
            </w:r>
            <w:r w:rsidR="009E5778">
              <w:rPr>
                <w:rFonts w:ascii="Segoe UI" w:hAnsi="Segoe UI" w:cs="Segoe UI"/>
                <w:sz w:val="22"/>
                <w:szCs w:val="22"/>
              </w:rPr>
              <w:t xml:space="preserve"> trabecular meshwork or</w:t>
            </w:r>
            <w:r w:rsidRPr="00BC1D2B">
              <w:rPr>
                <w:rFonts w:ascii="Segoe UI" w:hAnsi="Segoe UI" w:cs="Segoe UI"/>
                <w:sz w:val="22"/>
                <w:szCs w:val="22"/>
              </w:rPr>
              <w:t xml:space="preserve"> </w:t>
            </w:r>
            <w:r>
              <w:rPr>
                <w:rFonts w:ascii="Segoe UI" w:hAnsi="Segoe UI" w:cs="Segoe UI"/>
                <w:sz w:val="22"/>
                <w:szCs w:val="22"/>
              </w:rPr>
              <w:t>suprachoroidal space</w:t>
            </w:r>
            <w:r w:rsidRPr="00BC1D2B">
              <w:rPr>
                <w:rFonts w:ascii="Segoe UI" w:hAnsi="Segoe UI" w:cs="Segoe UI"/>
                <w:sz w:val="22"/>
                <w:szCs w:val="22"/>
              </w:rPr>
              <w:t>, if:</w:t>
            </w:r>
          </w:p>
          <w:p w14:paraId="5E0C5857" w14:textId="77777777" w:rsidR="00BC1D2B" w:rsidRPr="00BC1D2B" w:rsidRDefault="00BC1D2B" w:rsidP="00BC1D2B">
            <w:pPr>
              <w:spacing w:after="120"/>
              <w:rPr>
                <w:rFonts w:ascii="Segoe UI" w:hAnsi="Segoe UI" w:cs="Segoe UI"/>
                <w:sz w:val="22"/>
                <w:szCs w:val="22"/>
              </w:rPr>
            </w:pPr>
            <w:r w:rsidRPr="00BC1D2B">
              <w:rPr>
                <w:rFonts w:ascii="Segoe UI" w:hAnsi="Segoe UI" w:cs="Segoe UI"/>
                <w:sz w:val="22"/>
                <w:szCs w:val="22"/>
              </w:rPr>
              <w:t>(a) conservative therapies have failed, are likely to fail, or are contraindicated; and</w:t>
            </w:r>
          </w:p>
          <w:p w14:paraId="647BC308" w14:textId="6739BD96" w:rsidR="00A05B4D" w:rsidRPr="00A05B4D" w:rsidRDefault="00BC1D2B" w:rsidP="00BC1D2B">
            <w:pPr>
              <w:pStyle w:val="Responsetext"/>
            </w:pPr>
            <w:r w:rsidRPr="00BC1D2B">
              <w:t>(b) the service is performed by a specialist with training that is recognised by the Conjoint Committee for the Recognition of Training in Micro-Bypass Glaucoma Surgery</w:t>
            </w:r>
          </w:p>
        </w:tc>
      </w:tr>
      <w:tr w:rsidR="00A05B4D" w14:paraId="2C0CA02D" w14:textId="77777777" w:rsidTr="00A05B4D">
        <w:tc>
          <w:tcPr>
            <w:tcW w:w="3256" w:type="dxa"/>
          </w:tcPr>
          <w:p w14:paraId="4881ED4A" w14:textId="6F25EF4B" w:rsidR="00A05B4D" w:rsidRPr="00A05B4D" w:rsidRDefault="00A05B4D" w:rsidP="00A05B4D">
            <w:pPr>
              <w:spacing w:after="120"/>
              <w:rPr>
                <w:rFonts w:ascii="Segoe UI" w:eastAsia="Segoe UI" w:hAnsi="Segoe UI"/>
                <w:bCs/>
                <w:color w:val="000000"/>
                <w:sz w:val="20"/>
                <w:szCs w:val="20"/>
              </w:rPr>
            </w:pPr>
            <w:r w:rsidRPr="00A05B4D">
              <w:rPr>
                <w:rFonts w:ascii="Segoe UI" w:eastAsia="Segoe UI" w:hAnsi="Segoe UI"/>
                <w:bCs/>
                <w:color w:val="000000"/>
                <w:sz w:val="20"/>
                <w:szCs w:val="20"/>
              </w:rPr>
              <w:t>Proposed MBS fee</w:t>
            </w:r>
          </w:p>
        </w:tc>
        <w:tc>
          <w:tcPr>
            <w:tcW w:w="6209" w:type="dxa"/>
          </w:tcPr>
          <w:p w14:paraId="3B790048" w14:textId="110EB74A" w:rsidR="00A05B4D" w:rsidRPr="00A05B4D" w:rsidRDefault="00BC1D2B" w:rsidP="00FD36FE">
            <w:pPr>
              <w:pStyle w:val="Responsetext"/>
            </w:pPr>
            <w:r w:rsidRPr="00BC1D2B">
              <w:t>$329.40</w:t>
            </w:r>
          </w:p>
        </w:tc>
      </w:tr>
      <w:tr w:rsidR="00A05B4D" w14:paraId="0984AD65" w14:textId="77777777" w:rsidTr="00A05B4D">
        <w:tc>
          <w:tcPr>
            <w:tcW w:w="3256" w:type="dxa"/>
          </w:tcPr>
          <w:p w14:paraId="7B69A5E7" w14:textId="0C7AED59" w:rsidR="00A05B4D" w:rsidRPr="00A05B4D" w:rsidRDefault="00A05B4D" w:rsidP="00A05B4D">
            <w:pPr>
              <w:spacing w:after="120"/>
              <w:rPr>
                <w:rFonts w:ascii="Segoe UI" w:eastAsia="Segoe UI" w:hAnsi="Segoe UI"/>
                <w:bCs/>
                <w:color w:val="000000"/>
                <w:sz w:val="20"/>
                <w:szCs w:val="20"/>
              </w:rPr>
            </w:pPr>
            <w:r w:rsidRPr="00A05B4D">
              <w:rPr>
                <w:rFonts w:ascii="Segoe UI" w:eastAsia="Segoe UI" w:hAnsi="Segoe UI"/>
                <w:bCs/>
                <w:color w:val="000000"/>
                <w:sz w:val="20"/>
                <w:szCs w:val="20"/>
              </w:rPr>
              <w:t>Indicate the overall cost per patient of providing the proposed health technology</w:t>
            </w:r>
          </w:p>
        </w:tc>
        <w:tc>
          <w:tcPr>
            <w:tcW w:w="6209" w:type="dxa"/>
          </w:tcPr>
          <w:p w14:paraId="1F0E7AAB" w14:textId="1326169A" w:rsidR="00A05B4D" w:rsidRPr="00A05B4D" w:rsidRDefault="00F17A74" w:rsidP="00FD36FE">
            <w:pPr>
              <w:pStyle w:val="Responsetext"/>
            </w:pPr>
            <w:r>
              <w:t>A</w:t>
            </w:r>
            <w:r w:rsidRPr="00F17A74">
              <w:t>s for MBGS devices currently covered under item 42504</w:t>
            </w:r>
          </w:p>
        </w:tc>
      </w:tr>
      <w:tr w:rsidR="00A05B4D" w14:paraId="273F94AE" w14:textId="77777777" w:rsidTr="00A05B4D">
        <w:tc>
          <w:tcPr>
            <w:tcW w:w="3256" w:type="dxa"/>
          </w:tcPr>
          <w:p w14:paraId="41FCA2CE" w14:textId="1F2EB5A8" w:rsidR="00A05B4D" w:rsidRPr="00A05B4D" w:rsidRDefault="00A05B4D" w:rsidP="00A05B4D">
            <w:pPr>
              <w:spacing w:after="120"/>
              <w:rPr>
                <w:rFonts w:ascii="Segoe UI" w:eastAsia="Segoe UI" w:hAnsi="Segoe UI"/>
                <w:bCs/>
                <w:color w:val="000000"/>
                <w:sz w:val="20"/>
                <w:szCs w:val="20"/>
              </w:rPr>
            </w:pPr>
            <w:r w:rsidRPr="00A05B4D">
              <w:rPr>
                <w:rFonts w:ascii="Segoe UI" w:eastAsia="Segoe UI" w:hAnsi="Segoe UI"/>
                <w:bCs/>
                <w:color w:val="000000"/>
                <w:sz w:val="20"/>
                <w:szCs w:val="20"/>
              </w:rPr>
              <w:t>Please specify any anticipated out of pocket expenses</w:t>
            </w:r>
          </w:p>
        </w:tc>
        <w:tc>
          <w:tcPr>
            <w:tcW w:w="6209" w:type="dxa"/>
          </w:tcPr>
          <w:p w14:paraId="13FE8BA2" w14:textId="19A7D7EF" w:rsidR="00A05B4D" w:rsidRDefault="00FD36FE" w:rsidP="00FD36FE">
            <w:pPr>
              <w:pStyle w:val="Responsetext"/>
              <w:rPr>
                <w:rFonts w:eastAsia="Segoe UI"/>
                <w:bCs/>
                <w:color w:val="000000"/>
              </w:rPr>
            </w:pPr>
            <w:r>
              <w:t>Expected to be consistent with current standalone MBGS surgery.</w:t>
            </w:r>
          </w:p>
        </w:tc>
      </w:tr>
      <w:tr w:rsidR="00A05B4D" w14:paraId="553E9440" w14:textId="77777777" w:rsidTr="00A05B4D">
        <w:tc>
          <w:tcPr>
            <w:tcW w:w="3256" w:type="dxa"/>
          </w:tcPr>
          <w:p w14:paraId="4D378DFC" w14:textId="4C67A6B8" w:rsidR="00A05B4D" w:rsidRPr="00A05B4D" w:rsidRDefault="00A05B4D" w:rsidP="00A05B4D">
            <w:pPr>
              <w:spacing w:after="120"/>
              <w:rPr>
                <w:rFonts w:ascii="Segoe UI" w:eastAsia="Segoe UI" w:hAnsi="Segoe UI"/>
                <w:bCs/>
                <w:color w:val="000000"/>
                <w:sz w:val="20"/>
                <w:szCs w:val="20"/>
              </w:rPr>
            </w:pPr>
            <w:r w:rsidRPr="00A05B4D">
              <w:rPr>
                <w:rFonts w:ascii="Segoe UI" w:eastAsia="Segoe UI" w:hAnsi="Segoe UI"/>
                <w:bCs/>
                <w:color w:val="000000"/>
                <w:sz w:val="20"/>
                <w:szCs w:val="20"/>
              </w:rPr>
              <w:t>Provide any further details and explain</w:t>
            </w:r>
          </w:p>
        </w:tc>
        <w:tc>
          <w:tcPr>
            <w:tcW w:w="6209" w:type="dxa"/>
          </w:tcPr>
          <w:p w14:paraId="674ECDEB" w14:textId="20CDEC6F" w:rsidR="00A05B4D" w:rsidRDefault="00BC1D2B" w:rsidP="00FD36FE">
            <w:pPr>
              <w:pStyle w:val="Responsetext"/>
              <w:rPr>
                <w:rFonts w:eastAsia="Segoe UI"/>
                <w:bCs/>
                <w:color w:val="000000"/>
              </w:rPr>
            </w:pPr>
            <w:r>
              <w:t>The proposed item is based on item 42504 but allowing insertion of the stent into the suprachoroidal space.</w:t>
            </w:r>
          </w:p>
        </w:tc>
      </w:tr>
    </w:tbl>
    <w:p w14:paraId="6BCB3F21" w14:textId="6F41CA79" w:rsidR="00A05B4D" w:rsidRDefault="00A05B4D" w:rsidP="00566CF9">
      <w:pPr>
        <w:spacing w:after="0" w:line="240" w:lineRule="auto"/>
        <w:rPr>
          <w:rFonts w:ascii="Segoe UI" w:eastAsia="Segoe UI" w:hAnsi="Segoe UI"/>
          <w:bCs/>
          <w:color w:val="000000"/>
          <w:sz w:val="22"/>
        </w:rPr>
      </w:pPr>
    </w:p>
    <w:bookmarkEnd w:id="6"/>
    <w:p w14:paraId="2B0168A0" w14:textId="33CCD217" w:rsidR="00E11705" w:rsidRDefault="00E11705">
      <w:pPr>
        <w:rPr>
          <w:rFonts w:ascii="Segoe UI" w:eastAsia="Segoe UI" w:hAnsi="Segoe UI"/>
          <w:b/>
          <w:color w:val="000000"/>
          <w:sz w:val="22"/>
        </w:rPr>
      </w:pPr>
      <w:r>
        <w:rPr>
          <w:rFonts w:ascii="Segoe UI" w:eastAsia="Segoe UI" w:hAnsi="Segoe UI"/>
          <w:b/>
          <w:color w:val="000000"/>
          <w:sz w:val="22"/>
        </w:rPr>
        <w:br w:type="page"/>
      </w:r>
    </w:p>
    <w:p w14:paraId="321449D0" w14:textId="53188756" w:rsidR="005E1CFB" w:rsidRDefault="0090168B" w:rsidP="005E1CFB">
      <w:pPr>
        <w:rPr>
          <w:rFonts w:ascii="Segoe UI" w:eastAsia="Segoe UI" w:hAnsi="Segoe UI"/>
          <w:b/>
          <w:color w:val="000000"/>
          <w:sz w:val="32"/>
        </w:rPr>
      </w:pPr>
      <w:r>
        <w:rPr>
          <w:rFonts w:ascii="Segoe UI" w:eastAsia="Segoe UI" w:hAnsi="Segoe UI"/>
          <w:b/>
          <w:color w:val="000000"/>
          <w:sz w:val="32"/>
        </w:rPr>
        <w:lastRenderedPageBreak/>
        <w:t>Algorithms</w:t>
      </w:r>
    </w:p>
    <w:p w14:paraId="7EDD3EB5" w14:textId="0FB2261E" w:rsidR="0090168B" w:rsidRPr="0090168B" w:rsidRDefault="0090168B" w:rsidP="005E1CFB">
      <w:pPr>
        <w:rPr>
          <w:rFonts w:ascii="Segoe UI" w:eastAsia="Segoe UI" w:hAnsi="Segoe UI"/>
          <w:b/>
          <w:color w:val="000000"/>
          <w:u w:val="single"/>
        </w:rPr>
      </w:pPr>
      <w:r w:rsidRPr="0090168B">
        <w:rPr>
          <w:rFonts w:ascii="Segoe UI" w:eastAsia="Segoe UI" w:hAnsi="Segoe UI"/>
          <w:b/>
          <w:color w:val="000000"/>
          <w:u w:val="single"/>
        </w:rPr>
        <w:t>Preparation for using the health technology</w:t>
      </w:r>
    </w:p>
    <w:p w14:paraId="4F608E4C" w14:textId="7499F42D" w:rsidR="005E1CFB" w:rsidRDefault="0090168B" w:rsidP="005E1CFB">
      <w:pPr>
        <w:spacing w:after="0" w:line="240" w:lineRule="auto"/>
        <w:rPr>
          <w:rFonts w:ascii="Segoe UI" w:eastAsia="Segoe UI" w:hAnsi="Segoe UI"/>
          <w:b/>
          <w:color w:val="000000"/>
          <w:sz w:val="22"/>
        </w:rPr>
      </w:pPr>
      <w:r>
        <w:rPr>
          <w:rFonts w:ascii="Segoe UI" w:eastAsia="Segoe UI" w:hAnsi="Segoe UI"/>
          <w:b/>
          <w:color w:val="000000"/>
          <w:sz w:val="22"/>
        </w:rPr>
        <w:t xml:space="preserve">Define and summarise the clinical management algorithm, including any required tests or healthcare resources, before patients would be eligible for the </w:t>
      </w:r>
      <w:r w:rsidRPr="00DD0A06">
        <w:rPr>
          <w:rFonts w:ascii="Segoe UI" w:eastAsia="Segoe UI" w:hAnsi="Segoe UI"/>
          <w:b/>
          <w:color w:val="000000"/>
          <w:sz w:val="22"/>
          <w:u w:val="single"/>
        </w:rPr>
        <w:t>proposed health technology</w:t>
      </w:r>
      <w:r w:rsidR="005E1CFB">
        <w:rPr>
          <w:rFonts w:ascii="Segoe UI" w:eastAsia="Segoe UI" w:hAnsi="Segoe UI"/>
          <w:b/>
          <w:color w:val="000000"/>
          <w:sz w:val="22"/>
        </w:rPr>
        <w:t>:</w:t>
      </w:r>
    </w:p>
    <w:p w14:paraId="463FDC5D" w14:textId="77777777" w:rsidR="005E1CFB" w:rsidRDefault="005E1CFB" w:rsidP="005E1CFB">
      <w:pPr>
        <w:spacing w:after="0" w:line="240" w:lineRule="auto"/>
        <w:rPr>
          <w:rFonts w:ascii="Segoe UI" w:eastAsia="Segoe UI" w:hAnsi="Segoe UI"/>
          <w:b/>
          <w:color w:val="000000"/>
          <w:sz w:val="22"/>
        </w:rPr>
      </w:pPr>
    </w:p>
    <w:p w14:paraId="1AF5C510" w14:textId="317A7B7B" w:rsidR="005E1CFB" w:rsidRDefault="002740EA" w:rsidP="005E1CFB">
      <w:pPr>
        <w:spacing w:after="0" w:line="240" w:lineRule="auto"/>
        <w:rPr>
          <w:rFonts w:ascii="Segoe UI" w:hAnsi="Segoe UI" w:cs="Segoe UI"/>
          <w:sz w:val="22"/>
          <w:szCs w:val="22"/>
        </w:rPr>
      </w:pPr>
      <w:r>
        <w:rPr>
          <w:rFonts w:ascii="Segoe UI" w:hAnsi="Segoe UI" w:cs="Segoe UI"/>
          <w:sz w:val="22"/>
          <w:szCs w:val="22"/>
        </w:rPr>
        <w:t xml:space="preserve">Patients are diagnosed with suspected or definite glaucoma usually by an optometrist, or by an ophthalmologist. RANZCO recommend the following glaucoma management referral pathway following suspected or definite diagnosis of glaucoma by an optometrist: </w:t>
      </w:r>
      <w:hyperlink r:id="rId13" w:history="1">
        <w:r w:rsidRPr="004006B4">
          <w:rPr>
            <w:rStyle w:val="Hyperlink"/>
            <w:rFonts w:ascii="Segoe UI" w:hAnsi="Segoe UI" w:cs="Segoe UI"/>
            <w:sz w:val="22"/>
            <w:szCs w:val="22"/>
          </w:rPr>
          <w:t>https://ranzco.edu/wp-content/uploads/2019/06/RANZCO-Referral-pathway-for-Glaucoma-management-1.pdf</w:t>
        </w:r>
      </w:hyperlink>
      <w:r w:rsidR="008C05F0">
        <w:rPr>
          <w:rFonts w:ascii="Segoe UI" w:hAnsi="Segoe UI" w:cs="Segoe UI"/>
          <w:sz w:val="22"/>
          <w:szCs w:val="22"/>
        </w:rPr>
        <w:t>.</w:t>
      </w:r>
    </w:p>
    <w:p w14:paraId="5884D78D" w14:textId="77777777" w:rsidR="008C05F0" w:rsidRDefault="008C05F0" w:rsidP="005E1CFB">
      <w:pPr>
        <w:spacing w:after="0" w:line="240" w:lineRule="auto"/>
        <w:rPr>
          <w:rFonts w:ascii="Segoe UI" w:hAnsi="Segoe UI" w:cs="Segoe UI"/>
          <w:sz w:val="22"/>
          <w:szCs w:val="22"/>
        </w:rPr>
      </w:pPr>
    </w:p>
    <w:p w14:paraId="7ED94829" w14:textId="510DD061" w:rsidR="008C05F0" w:rsidRDefault="008C05F0" w:rsidP="005E1CFB">
      <w:pPr>
        <w:spacing w:after="0" w:line="240" w:lineRule="auto"/>
        <w:rPr>
          <w:rFonts w:ascii="Segoe UI" w:hAnsi="Segoe UI" w:cs="Segoe UI"/>
          <w:sz w:val="22"/>
          <w:szCs w:val="22"/>
        </w:rPr>
      </w:pPr>
      <w:r>
        <w:rPr>
          <w:rFonts w:ascii="Segoe UI" w:hAnsi="Segoe UI" w:cs="Segoe UI"/>
          <w:sz w:val="22"/>
          <w:szCs w:val="22"/>
        </w:rPr>
        <w:t xml:space="preserve">Following definitive diagnosis by the ophthalmologist the patient may be considered for treatment as described in </w:t>
      </w:r>
      <w:r w:rsidR="0030135D">
        <w:rPr>
          <w:rFonts w:ascii="Segoe UI" w:hAnsi="Segoe UI" w:cs="Segoe UI"/>
          <w:sz w:val="22"/>
          <w:szCs w:val="22"/>
        </w:rPr>
        <w:t xml:space="preserve">the treatment algorithm </w:t>
      </w:r>
      <w:r w:rsidR="0030135D" w:rsidRPr="0030135D">
        <w:rPr>
          <w:rStyle w:val="ResponsetextChar"/>
        </w:rPr>
        <w:t xml:space="preserve">in </w:t>
      </w:r>
      <w:r w:rsidR="0030135D" w:rsidRPr="0030135D">
        <w:rPr>
          <w:rStyle w:val="ResponsetextChar"/>
        </w:rPr>
        <w:fldChar w:fldCharType="begin"/>
      </w:r>
      <w:r w:rsidR="0030135D" w:rsidRPr="0030135D">
        <w:rPr>
          <w:rStyle w:val="ResponsetextChar"/>
        </w:rPr>
        <w:instrText xml:space="preserve"> REF _Ref140411062 \h </w:instrText>
      </w:r>
      <w:r w:rsidR="0030135D">
        <w:rPr>
          <w:rStyle w:val="ResponsetextChar"/>
        </w:rPr>
        <w:instrText xml:space="preserve"> \* MERGEFORMAT </w:instrText>
      </w:r>
      <w:r w:rsidR="0030135D" w:rsidRPr="0030135D">
        <w:rPr>
          <w:rStyle w:val="ResponsetextChar"/>
        </w:rPr>
      </w:r>
      <w:r w:rsidR="0030135D" w:rsidRPr="0030135D">
        <w:rPr>
          <w:rStyle w:val="ResponsetextChar"/>
        </w:rPr>
        <w:fldChar w:fldCharType="separate"/>
      </w:r>
      <w:r w:rsidR="00976372" w:rsidRPr="00976372">
        <w:rPr>
          <w:rStyle w:val="ResponsetextChar"/>
        </w:rPr>
        <w:t>Figure 1</w:t>
      </w:r>
      <w:r w:rsidR="0030135D" w:rsidRPr="0030135D">
        <w:rPr>
          <w:rStyle w:val="ResponsetextChar"/>
        </w:rPr>
        <w:fldChar w:fldCharType="end"/>
      </w:r>
      <w:r w:rsidR="0030135D" w:rsidRPr="0030135D">
        <w:rPr>
          <w:rStyle w:val="ResponsetextChar"/>
        </w:rPr>
        <w:t>.</w:t>
      </w:r>
    </w:p>
    <w:p w14:paraId="6195B227" w14:textId="77777777" w:rsidR="005E1CFB" w:rsidRDefault="005E1CFB" w:rsidP="005E1CFB">
      <w:pPr>
        <w:spacing w:after="0" w:line="240" w:lineRule="auto"/>
        <w:rPr>
          <w:rFonts w:ascii="Segoe UI" w:eastAsia="Segoe UI" w:hAnsi="Segoe UI"/>
          <w:b/>
          <w:color w:val="000000"/>
          <w:sz w:val="22"/>
        </w:rPr>
      </w:pPr>
    </w:p>
    <w:p w14:paraId="4131E93D" w14:textId="6C67CABB" w:rsidR="005E1CFB" w:rsidRDefault="0090168B" w:rsidP="005E1CFB">
      <w:pPr>
        <w:rPr>
          <w:rFonts w:ascii="Segoe UI" w:eastAsia="Segoe UI" w:hAnsi="Segoe UI"/>
          <w:bCs/>
          <w:color w:val="000000"/>
          <w:sz w:val="22"/>
        </w:rPr>
      </w:pPr>
      <w:r>
        <w:rPr>
          <w:rFonts w:ascii="Segoe UI" w:eastAsia="Segoe UI" w:hAnsi="Segoe UI"/>
          <w:b/>
          <w:color w:val="000000"/>
          <w:sz w:val="22"/>
        </w:rPr>
        <w:t xml:space="preserve">Is there any expectation that the clinical management algorithm </w:t>
      </w:r>
      <w:r w:rsidRPr="00B10A36">
        <w:rPr>
          <w:rFonts w:ascii="Segoe UI" w:eastAsia="Segoe UI" w:hAnsi="Segoe UI"/>
          <w:b/>
          <w:i/>
          <w:iCs/>
          <w:color w:val="000000"/>
          <w:sz w:val="22"/>
        </w:rPr>
        <w:t>before</w:t>
      </w:r>
      <w:r>
        <w:rPr>
          <w:rFonts w:ascii="Segoe UI" w:eastAsia="Segoe UI" w:hAnsi="Segoe UI"/>
          <w:b/>
          <w:color w:val="000000"/>
          <w:sz w:val="22"/>
        </w:rPr>
        <w:t xml:space="preserve"> the health technology is used will change due to the introduction of the </w:t>
      </w:r>
      <w:r w:rsidRPr="00DD0A06">
        <w:rPr>
          <w:rFonts w:ascii="Segoe UI" w:eastAsia="Segoe UI" w:hAnsi="Segoe UI"/>
          <w:b/>
          <w:color w:val="000000"/>
          <w:sz w:val="22"/>
          <w:u w:val="single"/>
        </w:rPr>
        <w:t>proposed health technology</w:t>
      </w:r>
      <w:r w:rsidR="005E1CFB">
        <w:rPr>
          <w:rFonts w:ascii="Segoe UI" w:eastAsia="Segoe UI" w:hAnsi="Segoe UI"/>
          <w:b/>
          <w:color w:val="000000"/>
          <w:sz w:val="22"/>
        </w:rPr>
        <w:t xml:space="preserve">? </w:t>
      </w:r>
    </w:p>
    <w:p w14:paraId="32CD9E81" w14:textId="6C3AE294" w:rsidR="005E1CFB" w:rsidRPr="0007398F" w:rsidRDefault="0007398F" w:rsidP="005E1CFB">
      <w:pPr>
        <w:spacing w:after="0" w:line="240" w:lineRule="auto"/>
        <w:jc w:val="center"/>
        <w:rPr>
          <w:rFonts w:ascii="Segoe UI" w:eastAsia="Segoe UI" w:hAnsi="Segoe UI"/>
          <w:b/>
          <w:color w:val="000000"/>
          <w:sz w:val="22"/>
        </w:rPr>
      </w:pPr>
      <w:r w:rsidRPr="0007398F">
        <w:rPr>
          <w:rFonts w:ascii="Segoe UI" w:eastAsia="Segoe UI" w:hAnsi="Segoe UI"/>
          <w:b/>
          <w:color w:val="000000"/>
          <w:sz w:val="22"/>
        </w:rPr>
        <w:t>No</w:t>
      </w:r>
    </w:p>
    <w:p w14:paraId="1546906F" w14:textId="77777777" w:rsidR="005E1CFB" w:rsidRDefault="005E1CFB" w:rsidP="005E1CFB"/>
    <w:p w14:paraId="4F1FB66F" w14:textId="6FDB4A99" w:rsidR="005E1CFB" w:rsidRDefault="0090168B" w:rsidP="005E1CFB">
      <w:pPr>
        <w:spacing w:after="0" w:line="240" w:lineRule="auto"/>
        <w:rPr>
          <w:rFonts w:ascii="Segoe UI" w:eastAsia="Segoe UI" w:hAnsi="Segoe UI"/>
          <w:b/>
          <w:color w:val="000000"/>
          <w:sz w:val="22"/>
        </w:rPr>
      </w:pPr>
      <w:r>
        <w:rPr>
          <w:rFonts w:ascii="Segoe UI" w:eastAsia="Segoe UI" w:hAnsi="Segoe UI"/>
          <w:b/>
          <w:color w:val="000000"/>
          <w:sz w:val="22"/>
        </w:rPr>
        <w:t xml:space="preserve">Describe and explain any differences in the clinical management algorithm prior to the use of the </w:t>
      </w:r>
      <w:r w:rsidRPr="00DD0A06">
        <w:rPr>
          <w:rFonts w:ascii="Segoe UI" w:eastAsia="Segoe UI" w:hAnsi="Segoe UI"/>
          <w:b/>
          <w:color w:val="000000"/>
          <w:sz w:val="22"/>
          <w:u w:val="single"/>
        </w:rPr>
        <w:t>proposed health technology</w:t>
      </w:r>
      <w:r>
        <w:rPr>
          <w:rFonts w:ascii="Segoe UI" w:eastAsia="Segoe UI" w:hAnsi="Segoe UI"/>
          <w:b/>
          <w:color w:val="000000"/>
          <w:sz w:val="22"/>
        </w:rPr>
        <w:t xml:space="preserve"> vs. the </w:t>
      </w:r>
      <w:r w:rsidRPr="00DD0A06">
        <w:rPr>
          <w:rFonts w:ascii="Segoe UI" w:eastAsia="Segoe UI" w:hAnsi="Segoe UI"/>
          <w:b/>
          <w:color w:val="000000"/>
          <w:sz w:val="22"/>
          <w:u w:val="single"/>
        </w:rPr>
        <w:t>comparator health technology</w:t>
      </w:r>
      <w:r w:rsidR="005E1CFB">
        <w:rPr>
          <w:rFonts w:ascii="Segoe UI" w:eastAsia="Segoe UI" w:hAnsi="Segoe UI"/>
          <w:b/>
          <w:color w:val="000000"/>
          <w:sz w:val="22"/>
        </w:rPr>
        <w:t>:</w:t>
      </w:r>
    </w:p>
    <w:p w14:paraId="0EA69E70" w14:textId="77777777" w:rsidR="005E1CFB" w:rsidRDefault="005E1CFB" w:rsidP="005E1CFB">
      <w:pPr>
        <w:spacing w:after="0" w:line="240" w:lineRule="auto"/>
        <w:rPr>
          <w:rFonts w:ascii="Segoe UI" w:eastAsia="Segoe UI" w:hAnsi="Segoe UI"/>
          <w:b/>
          <w:color w:val="000000"/>
          <w:sz w:val="22"/>
        </w:rPr>
      </w:pPr>
    </w:p>
    <w:p w14:paraId="2918E78F" w14:textId="0E2E52C3" w:rsidR="005E1CFB" w:rsidRDefault="0090168B" w:rsidP="005E1CFB">
      <w:pPr>
        <w:spacing w:after="0" w:line="240" w:lineRule="auto"/>
        <w:rPr>
          <w:rFonts w:asciiTheme="minorHAnsi" w:eastAsia="Segoe UI" w:hAnsiTheme="minorHAnsi" w:cstheme="minorHAnsi"/>
          <w:color w:val="000000"/>
          <w:sz w:val="22"/>
          <w:szCs w:val="22"/>
        </w:rPr>
      </w:pPr>
      <w:r>
        <w:rPr>
          <w:rFonts w:ascii="Segoe UI" w:hAnsi="Segoe UI" w:cs="Segoe UI"/>
          <w:sz w:val="22"/>
          <w:szCs w:val="22"/>
        </w:rPr>
        <w:fldChar w:fldCharType="begin">
          <w:ffData>
            <w:name w:val=""/>
            <w:enabled/>
            <w:calcOnExit w:val="0"/>
            <w:textInput>
              <w:default w:val="Please provide a response if you answered 'Yes' to the question above"/>
            </w:textInput>
          </w:ffData>
        </w:fldChar>
      </w:r>
      <w:r>
        <w:rPr>
          <w:rFonts w:ascii="Segoe UI" w:hAnsi="Segoe UI" w:cs="Segoe UI"/>
          <w:sz w:val="22"/>
          <w:szCs w:val="22"/>
        </w:rPr>
        <w:instrText xml:space="preserve"> FORMTEXT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noProof/>
          <w:sz w:val="22"/>
          <w:szCs w:val="22"/>
        </w:rPr>
        <w:t>Please provide a response if you answered 'Yes' to the question above</w:t>
      </w:r>
      <w:r>
        <w:rPr>
          <w:rFonts w:ascii="Segoe UI" w:hAnsi="Segoe UI" w:cs="Segoe UI"/>
          <w:sz w:val="22"/>
          <w:szCs w:val="22"/>
        </w:rPr>
        <w:fldChar w:fldCharType="end"/>
      </w:r>
    </w:p>
    <w:p w14:paraId="16F3E419" w14:textId="258246A2" w:rsidR="00BE6B22" w:rsidRDefault="00BE6B22"/>
    <w:p w14:paraId="227FE7B3" w14:textId="1055A064" w:rsidR="00F16239" w:rsidRDefault="00F16239" w:rsidP="0090168B">
      <w:pPr>
        <w:spacing w:after="0" w:line="240" w:lineRule="auto"/>
        <w:rPr>
          <w:rFonts w:ascii="Segoe UI" w:eastAsia="Segoe UI" w:hAnsi="Segoe UI"/>
          <w:b/>
          <w:color w:val="000000"/>
          <w:sz w:val="22"/>
        </w:rPr>
      </w:pPr>
      <w:r>
        <w:rPr>
          <w:rFonts w:ascii="Segoe UI" w:eastAsia="Segoe UI" w:hAnsi="Segoe UI"/>
          <w:b/>
          <w:color w:val="000000"/>
          <w:u w:val="single"/>
        </w:rPr>
        <w:t>Use of</w:t>
      </w:r>
      <w:r w:rsidRPr="0090168B">
        <w:rPr>
          <w:rFonts w:ascii="Segoe UI" w:eastAsia="Segoe UI" w:hAnsi="Segoe UI"/>
          <w:b/>
          <w:color w:val="000000"/>
          <w:u w:val="single"/>
        </w:rPr>
        <w:t xml:space="preserve"> the health technology</w:t>
      </w:r>
    </w:p>
    <w:p w14:paraId="2AEB8C28" w14:textId="77777777" w:rsidR="00F16239" w:rsidRDefault="00F16239" w:rsidP="0090168B">
      <w:pPr>
        <w:spacing w:after="0" w:line="240" w:lineRule="auto"/>
        <w:rPr>
          <w:rFonts w:ascii="Segoe UI" w:eastAsia="Segoe UI" w:hAnsi="Segoe UI"/>
          <w:b/>
          <w:color w:val="000000"/>
          <w:sz w:val="22"/>
        </w:rPr>
      </w:pPr>
    </w:p>
    <w:p w14:paraId="69BC68F3" w14:textId="7FF66CF2" w:rsidR="0090168B" w:rsidRDefault="00F16239" w:rsidP="0090168B">
      <w:pPr>
        <w:spacing w:after="0" w:line="240" w:lineRule="auto"/>
        <w:rPr>
          <w:rFonts w:ascii="Segoe UI" w:eastAsia="Segoe UI" w:hAnsi="Segoe UI"/>
          <w:b/>
          <w:color w:val="000000"/>
          <w:sz w:val="22"/>
        </w:rPr>
      </w:pPr>
      <w:r>
        <w:rPr>
          <w:rFonts w:ascii="Segoe UI" w:eastAsia="Segoe UI" w:hAnsi="Segoe UI"/>
          <w:b/>
          <w:color w:val="000000"/>
          <w:sz w:val="22"/>
        </w:rPr>
        <w:t xml:space="preserve">Explain what other healthcare resources are used in conjunction with delivering the </w:t>
      </w:r>
      <w:r w:rsidRPr="00DD0A06">
        <w:rPr>
          <w:rFonts w:ascii="Segoe UI" w:eastAsia="Segoe UI" w:hAnsi="Segoe UI"/>
          <w:b/>
          <w:color w:val="000000"/>
          <w:sz w:val="22"/>
          <w:u w:val="single"/>
        </w:rPr>
        <w:t>proposed health technology</w:t>
      </w:r>
      <w:r w:rsidR="0090168B">
        <w:rPr>
          <w:rFonts w:ascii="Segoe UI" w:eastAsia="Segoe UI" w:hAnsi="Segoe UI"/>
          <w:b/>
          <w:color w:val="000000"/>
          <w:sz w:val="22"/>
        </w:rPr>
        <w:t>:</w:t>
      </w:r>
    </w:p>
    <w:p w14:paraId="7C130FEF" w14:textId="77777777" w:rsidR="0090168B" w:rsidRDefault="0090168B" w:rsidP="0090168B">
      <w:pPr>
        <w:spacing w:after="0" w:line="240" w:lineRule="auto"/>
        <w:rPr>
          <w:rFonts w:ascii="Segoe UI" w:eastAsia="Segoe UI" w:hAnsi="Segoe UI"/>
          <w:b/>
          <w:color w:val="000000"/>
          <w:sz w:val="22"/>
        </w:rPr>
      </w:pPr>
    </w:p>
    <w:p w14:paraId="59FC6D06" w14:textId="1A7EFD6A" w:rsidR="003F68CD" w:rsidRPr="00D4150E" w:rsidRDefault="003F68CD" w:rsidP="003F68CD">
      <w:pPr>
        <w:pStyle w:val="Responsetext"/>
      </w:pPr>
      <w:r w:rsidRPr="00D4150E">
        <w:t xml:space="preserve">The </w:t>
      </w:r>
      <w:r w:rsidR="00101F14">
        <w:t xml:space="preserve">MBGS </w:t>
      </w:r>
      <w:r w:rsidRPr="00D4150E">
        <w:t>procedure can be performed in hospital or in day surgery</w:t>
      </w:r>
      <w:r>
        <w:t xml:space="preserve">, with a </w:t>
      </w:r>
      <w:r w:rsidRPr="00D4150E">
        <w:t xml:space="preserve">sterile environment </w:t>
      </w:r>
      <w:r w:rsidRPr="00D4150E">
        <w:rPr>
          <w:rFonts w:eastAsia="Times New Roman"/>
        </w:rPr>
        <w:t>required for the procedure</w:t>
      </w:r>
      <w:r>
        <w:rPr>
          <w:rFonts w:eastAsia="Times New Roman"/>
        </w:rPr>
        <w:t>. Required equipment includes O</w:t>
      </w:r>
      <w:r w:rsidRPr="00D4150E">
        <w:rPr>
          <w:rFonts w:eastAsia="Times New Roman"/>
        </w:rPr>
        <w:t>p</w:t>
      </w:r>
      <w:r>
        <w:rPr>
          <w:rFonts w:eastAsia="Times New Roman"/>
        </w:rPr>
        <w:t>h</w:t>
      </w:r>
      <w:r w:rsidRPr="00D4150E">
        <w:rPr>
          <w:rFonts w:eastAsia="Times New Roman"/>
        </w:rPr>
        <w:t>hthalmic Viscoelastic Device, gonioprism for visualisation</w:t>
      </w:r>
      <w:r w:rsidR="00EC00B9">
        <w:rPr>
          <w:rFonts w:eastAsia="Times New Roman"/>
        </w:rPr>
        <w:t>, surgical knife</w:t>
      </w:r>
      <w:r w:rsidR="003B01B6">
        <w:rPr>
          <w:rFonts w:eastAsia="Times New Roman"/>
        </w:rPr>
        <w:t xml:space="preserve"> for the incision</w:t>
      </w:r>
      <w:r w:rsidR="00EC00B9">
        <w:rPr>
          <w:rFonts w:eastAsia="Times New Roman"/>
        </w:rPr>
        <w:t>,</w:t>
      </w:r>
      <w:r w:rsidR="00C618F1">
        <w:rPr>
          <w:rFonts w:eastAsia="Times New Roman"/>
        </w:rPr>
        <w:t xml:space="preserve"> plus</w:t>
      </w:r>
      <w:r w:rsidRPr="00D4150E">
        <w:t xml:space="preserve"> anaesthesia </w:t>
      </w:r>
      <w:r w:rsidR="00D42087" w:rsidRPr="00D42087">
        <w:t>(peribulbar / retrobulbar / sub-tenon</w:t>
      </w:r>
      <w:r w:rsidR="00D42087">
        <w:t xml:space="preserve">) </w:t>
      </w:r>
      <w:r w:rsidRPr="00D4150E">
        <w:t>required.</w:t>
      </w:r>
      <w:r w:rsidR="00EC00B9">
        <w:t xml:space="preserve"> These resources are standard for any MBGS procedure, and are no different for </w:t>
      </w:r>
      <w:r w:rsidR="00B6781C">
        <w:t xml:space="preserve">a procedure utilising </w:t>
      </w:r>
      <w:r w:rsidR="00EC00B9">
        <w:t>MINIject.</w:t>
      </w:r>
    </w:p>
    <w:p w14:paraId="69244EED" w14:textId="77777777" w:rsidR="0090168B" w:rsidRDefault="0090168B" w:rsidP="0090168B">
      <w:pPr>
        <w:spacing w:after="0" w:line="240" w:lineRule="auto"/>
        <w:rPr>
          <w:rFonts w:ascii="Segoe UI" w:eastAsia="Segoe UI" w:hAnsi="Segoe UI"/>
          <w:b/>
          <w:color w:val="000000"/>
          <w:sz w:val="22"/>
        </w:rPr>
      </w:pPr>
    </w:p>
    <w:p w14:paraId="30F4C267" w14:textId="3EFA6DF1" w:rsidR="0090168B" w:rsidRDefault="00F16239" w:rsidP="0090168B">
      <w:pPr>
        <w:spacing w:after="0" w:line="240" w:lineRule="auto"/>
        <w:rPr>
          <w:rFonts w:ascii="Segoe UI" w:eastAsia="Segoe UI" w:hAnsi="Segoe UI"/>
          <w:b/>
          <w:color w:val="000000"/>
          <w:sz w:val="22"/>
        </w:rPr>
      </w:pPr>
      <w:r>
        <w:rPr>
          <w:rFonts w:ascii="Segoe UI" w:eastAsia="Segoe UI" w:hAnsi="Segoe UI"/>
          <w:b/>
          <w:color w:val="000000"/>
          <w:sz w:val="22"/>
        </w:rPr>
        <w:t xml:space="preserve">Explain what other healthcare resources are used in conjunction with the </w:t>
      </w:r>
      <w:r w:rsidRPr="00DD0A06">
        <w:rPr>
          <w:rFonts w:ascii="Segoe UI" w:eastAsia="Segoe UI" w:hAnsi="Segoe UI"/>
          <w:b/>
          <w:color w:val="000000"/>
          <w:sz w:val="22"/>
          <w:u w:val="single"/>
        </w:rPr>
        <w:t>comparator health technology</w:t>
      </w:r>
      <w:r w:rsidR="0090168B">
        <w:rPr>
          <w:rFonts w:ascii="Segoe UI" w:eastAsia="Segoe UI" w:hAnsi="Segoe UI"/>
          <w:b/>
          <w:color w:val="000000"/>
          <w:sz w:val="22"/>
        </w:rPr>
        <w:t>:</w:t>
      </w:r>
    </w:p>
    <w:p w14:paraId="38D2ADE7" w14:textId="77777777" w:rsidR="0090168B" w:rsidRDefault="0090168B" w:rsidP="0090168B">
      <w:pPr>
        <w:spacing w:after="0" w:line="240" w:lineRule="auto"/>
        <w:rPr>
          <w:rFonts w:ascii="Segoe UI" w:eastAsia="Segoe UI" w:hAnsi="Segoe UI"/>
          <w:b/>
          <w:color w:val="000000"/>
          <w:sz w:val="22"/>
        </w:rPr>
      </w:pPr>
    </w:p>
    <w:p w14:paraId="283592EB" w14:textId="74527502" w:rsidR="00C618F1" w:rsidRPr="00D4150E" w:rsidRDefault="00C618F1" w:rsidP="00C618F1">
      <w:pPr>
        <w:pStyle w:val="Responsetext"/>
      </w:pPr>
      <w:r w:rsidRPr="00D4150E">
        <w:t>The procedure can be performed in hospital or in day surgery</w:t>
      </w:r>
      <w:r>
        <w:t xml:space="preserve">, with a </w:t>
      </w:r>
      <w:r w:rsidRPr="00D4150E">
        <w:t xml:space="preserve">sterile environment </w:t>
      </w:r>
      <w:r w:rsidRPr="00D4150E">
        <w:rPr>
          <w:rFonts w:eastAsia="Times New Roman"/>
        </w:rPr>
        <w:t>required for the procedure</w:t>
      </w:r>
      <w:r>
        <w:rPr>
          <w:rFonts w:eastAsia="Times New Roman"/>
        </w:rPr>
        <w:t>. Required equipment includes O</w:t>
      </w:r>
      <w:r w:rsidRPr="00D4150E">
        <w:rPr>
          <w:rFonts w:eastAsia="Times New Roman"/>
        </w:rPr>
        <w:t>p</w:t>
      </w:r>
      <w:r>
        <w:rPr>
          <w:rFonts w:eastAsia="Times New Roman"/>
        </w:rPr>
        <w:t>h</w:t>
      </w:r>
      <w:r w:rsidRPr="00D4150E">
        <w:rPr>
          <w:rFonts w:eastAsia="Times New Roman"/>
        </w:rPr>
        <w:t>hthalmic Viscoelastic Device, gonioprism for visualisation</w:t>
      </w:r>
      <w:r w:rsidR="003B01B6">
        <w:rPr>
          <w:rFonts w:eastAsia="Times New Roman"/>
        </w:rPr>
        <w:t>, surgical knife for the incision,</w:t>
      </w:r>
      <w:r>
        <w:rPr>
          <w:rFonts w:eastAsia="Times New Roman"/>
        </w:rPr>
        <w:t xml:space="preserve"> plus</w:t>
      </w:r>
      <w:r w:rsidRPr="00D4150E">
        <w:t xml:space="preserve"> anaesthesia</w:t>
      </w:r>
      <w:r w:rsidR="00D42087">
        <w:t xml:space="preserve"> </w:t>
      </w:r>
      <w:r w:rsidR="00D42087" w:rsidRPr="00D42087">
        <w:t>(peribulbar / retrobulbar / sub-tenon</w:t>
      </w:r>
      <w:r w:rsidR="00D42087">
        <w:t>)</w:t>
      </w:r>
      <w:r w:rsidRPr="00D4150E">
        <w:t xml:space="preserve"> required.</w:t>
      </w:r>
      <w:r w:rsidR="004C4F40" w:rsidRPr="004C4F40">
        <w:t xml:space="preserve"> </w:t>
      </w:r>
      <w:r w:rsidR="004C4F40">
        <w:t>These resources are standard for any MBGS procedure, and are no different for the comparator.</w:t>
      </w:r>
    </w:p>
    <w:p w14:paraId="4151B2DB" w14:textId="77777777" w:rsidR="0090168B" w:rsidRPr="00BE6B22" w:rsidRDefault="0090168B" w:rsidP="0090168B">
      <w:pPr>
        <w:spacing w:after="0" w:line="240" w:lineRule="auto"/>
        <w:rPr>
          <w:rFonts w:asciiTheme="minorHAnsi" w:eastAsia="Segoe UI" w:hAnsiTheme="minorHAnsi" w:cstheme="minorHAnsi"/>
          <w:color w:val="000000"/>
          <w:sz w:val="22"/>
          <w:szCs w:val="22"/>
        </w:rPr>
      </w:pPr>
    </w:p>
    <w:p w14:paraId="0C586E63" w14:textId="36B71299" w:rsidR="00F16239" w:rsidRDefault="00F16239" w:rsidP="00F16239">
      <w:pPr>
        <w:spacing w:after="0" w:line="240" w:lineRule="auto"/>
        <w:rPr>
          <w:rFonts w:ascii="Segoe UI" w:eastAsia="Segoe UI" w:hAnsi="Segoe UI"/>
          <w:b/>
          <w:color w:val="000000"/>
          <w:sz w:val="22"/>
        </w:rPr>
      </w:pPr>
      <w:r>
        <w:rPr>
          <w:rFonts w:ascii="Segoe UI" w:eastAsia="Segoe UI" w:hAnsi="Segoe UI"/>
          <w:b/>
          <w:color w:val="000000"/>
          <w:sz w:val="22"/>
        </w:rPr>
        <w:lastRenderedPageBreak/>
        <w:t xml:space="preserve">Describe and explain any differences in the healthcare resources used in conjunction with the </w:t>
      </w:r>
      <w:r w:rsidRPr="00DD0A06">
        <w:rPr>
          <w:rFonts w:ascii="Segoe UI" w:eastAsia="Segoe UI" w:hAnsi="Segoe UI"/>
          <w:b/>
          <w:color w:val="000000"/>
          <w:sz w:val="22"/>
          <w:u w:val="single"/>
        </w:rPr>
        <w:t>proposed health technology</w:t>
      </w:r>
      <w:r>
        <w:rPr>
          <w:rFonts w:ascii="Segoe UI" w:eastAsia="Segoe UI" w:hAnsi="Segoe UI"/>
          <w:b/>
          <w:color w:val="000000"/>
          <w:sz w:val="22"/>
        </w:rPr>
        <w:t xml:space="preserve"> vs. the </w:t>
      </w:r>
      <w:r w:rsidRPr="00DD0A06">
        <w:rPr>
          <w:rFonts w:ascii="Segoe UI" w:eastAsia="Segoe UI" w:hAnsi="Segoe UI"/>
          <w:b/>
          <w:color w:val="000000"/>
          <w:sz w:val="22"/>
          <w:u w:val="single"/>
        </w:rPr>
        <w:t>comparator health technology</w:t>
      </w:r>
      <w:r>
        <w:rPr>
          <w:rFonts w:ascii="Segoe UI" w:eastAsia="Segoe UI" w:hAnsi="Segoe UI"/>
          <w:b/>
          <w:color w:val="000000"/>
          <w:sz w:val="22"/>
        </w:rPr>
        <w:t>:</w:t>
      </w:r>
    </w:p>
    <w:p w14:paraId="378F78D9" w14:textId="77777777" w:rsidR="00F16239" w:rsidRDefault="00F16239" w:rsidP="00F16239">
      <w:pPr>
        <w:spacing w:after="0" w:line="240" w:lineRule="auto"/>
        <w:rPr>
          <w:rFonts w:ascii="Segoe UI" w:eastAsia="Segoe UI" w:hAnsi="Segoe UI"/>
          <w:b/>
          <w:color w:val="000000"/>
          <w:sz w:val="22"/>
        </w:rPr>
      </w:pPr>
    </w:p>
    <w:p w14:paraId="161BEF1B" w14:textId="65B60D0A" w:rsidR="00F16239" w:rsidRPr="00BE6B22" w:rsidRDefault="003F68CD" w:rsidP="00F16239">
      <w:pPr>
        <w:spacing w:after="0" w:line="240" w:lineRule="auto"/>
        <w:rPr>
          <w:rFonts w:asciiTheme="minorHAnsi" w:eastAsia="Segoe UI" w:hAnsiTheme="minorHAnsi" w:cstheme="minorHAnsi"/>
          <w:color w:val="000000"/>
          <w:sz w:val="22"/>
          <w:szCs w:val="22"/>
        </w:rPr>
      </w:pPr>
      <w:r>
        <w:rPr>
          <w:rFonts w:ascii="Segoe UI" w:hAnsi="Segoe UI" w:cs="Segoe UI"/>
          <w:sz w:val="22"/>
          <w:szCs w:val="22"/>
        </w:rPr>
        <w:t xml:space="preserve">There are no expected differences in healthcare resources used in conjunction with the use of </w:t>
      </w:r>
      <w:r w:rsidRPr="003F68CD">
        <w:rPr>
          <w:rFonts w:ascii="Segoe UI" w:hAnsi="Segoe UI" w:cs="Segoe UI"/>
          <w:sz w:val="22"/>
          <w:szCs w:val="22"/>
        </w:rPr>
        <w:t>MINIject</w:t>
      </w:r>
      <w:r>
        <w:rPr>
          <w:rFonts w:ascii="Segoe UI" w:hAnsi="Segoe UI" w:cs="Segoe UI"/>
          <w:sz w:val="22"/>
          <w:szCs w:val="22"/>
        </w:rPr>
        <w:t xml:space="preserve"> implanted into the suprachoroidal space</w:t>
      </w:r>
      <w:r w:rsidR="0030135D">
        <w:rPr>
          <w:rFonts w:ascii="Segoe UI" w:hAnsi="Segoe UI" w:cs="Segoe UI"/>
          <w:sz w:val="22"/>
          <w:szCs w:val="22"/>
        </w:rPr>
        <w:t>,</w:t>
      </w:r>
      <w:r>
        <w:rPr>
          <w:rFonts w:ascii="Segoe UI" w:hAnsi="Segoe UI" w:cs="Segoe UI"/>
          <w:sz w:val="22"/>
          <w:szCs w:val="22"/>
        </w:rPr>
        <w:t xml:space="preserve"> compared with the comparator implanted into the trabecular meshwork</w:t>
      </w:r>
      <w:r w:rsidR="00101F14">
        <w:rPr>
          <w:rFonts w:ascii="Segoe UI" w:hAnsi="Segoe UI" w:cs="Segoe UI"/>
          <w:sz w:val="22"/>
          <w:szCs w:val="22"/>
        </w:rPr>
        <w:t xml:space="preserve"> during standalone MBGS.</w:t>
      </w:r>
      <w:r w:rsidR="00460385">
        <w:rPr>
          <w:rFonts w:ascii="Segoe UI" w:hAnsi="Segoe UI" w:cs="Segoe UI"/>
          <w:sz w:val="22"/>
          <w:szCs w:val="22"/>
        </w:rPr>
        <w:t xml:space="preserve"> This includes the same expected surgery time </w:t>
      </w:r>
      <w:r w:rsidR="00460385" w:rsidRPr="00460385">
        <w:rPr>
          <w:rFonts w:ascii="Segoe UI" w:hAnsi="Segoe UI" w:cs="Segoe UI"/>
          <w:sz w:val="22"/>
          <w:szCs w:val="22"/>
        </w:rPr>
        <w:t>(including preparation, stent implantation and post-operative requirements)</w:t>
      </w:r>
      <w:r w:rsidR="00460385">
        <w:rPr>
          <w:rFonts w:ascii="Segoe UI" w:hAnsi="Segoe UI" w:cs="Segoe UI"/>
          <w:sz w:val="22"/>
          <w:szCs w:val="22"/>
        </w:rPr>
        <w:t xml:space="preserve"> when either the intervention or comparator is used in standalone MBGS</w:t>
      </w:r>
      <w:r w:rsidR="00152C8E">
        <w:rPr>
          <w:rFonts w:ascii="Segoe UI" w:hAnsi="Segoe UI" w:cs="Segoe UI"/>
          <w:sz w:val="22"/>
          <w:szCs w:val="22"/>
        </w:rPr>
        <w:t>, as well as other healthcare resources required during and after the procedure</w:t>
      </w:r>
      <w:r w:rsidR="00460385">
        <w:rPr>
          <w:rFonts w:ascii="Segoe UI" w:hAnsi="Segoe UI" w:cs="Segoe UI"/>
          <w:sz w:val="22"/>
          <w:szCs w:val="22"/>
        </w:rPr>
        <w:t>.</w:t>
      </w:r>
    </w:p>
    <w:p w14:paraId="37283DD3" w14:textId="1DD89B0D" w:rsidR="00F16239" w:rsidRDefault="00F16239" w:rsidP="00F16239">
      <w:pPr>
        <w:spacing w:after="0" w:line="240" w:lineRule="auto"/>
        <w:rPr>
          <w:rFonts w:ascii="Segoe UI" w:eastAsia="Segoe UI" w:hAnsi="Segoe UI"/>
          <w:b/>
          <w:color w:val="000000"/>
          <w:sz w:val="22"/>
        </w:rPr>
      </w:pPr>
    </w:p>
    <w:p w14:paraId="19C0FB92" w14:textId="2E7DAAB9" w:rsidR="00F16239" w:rsidRDefault="00DD0A06" w:rsidP="00F16239">
      <w:pPr>
        <w:spacing w:after="0" w:line="240" w:lineRule="auto"/>
        <w:rPr>
          <w:rFonts w:ascii="Segoe UI" w:eastAsia="Segoe UI" w:hAnsi="Segoe UI"/>
          <w:b/>
          <w:color w:val="000000"/>
          <w:sz w:val="22"/>
        </w:rPr>
      </w:pPr>
      <w:r>
        <w:rPr>
          <w:rFonts w:ascii="Segoe UI" w:eastAsia="Segoe UI" w:hAnsi="Segoe UI"/>
          <w:b/>
          <w:color w:val="000000"/>
          <w:u w:val="single"/>
        </w:rPr>
        <w:t>Clinical management after the use of</w:t>
      </w:r>
      <w:r w:rsidR="00F16239" w:rsidRPr="0090168B">
        <w:rPr>
          <w:rFonts w:ascii="Segoe UI" w:eastAsia="Segoe UI" w:hAnsi="Segoe UI"/>
          <w:b/>
          <w:color w:val="000000"/>
          <w:u w:val="single"/>
        </w:rPr>
        <w:t xml:space="preserve"> health technology</w:t>
      </w:r>
    </w:p>
    <w:p w14:paraId="2BE17ED5" w14:textId="77777777" w:rsidR="00F16239" w:rsidRDefault="00F16239" w:rsidP="00F16239">
      <w:pPr>
        <w:spacing w:after="0" w:line="240" w:lineRule="auto"/>
        <w:rPr>
          <w:rFonts w:ascii="Segoe UI" w:eastAsia="Segoe UI" w:hAnsi="Segoe UI"/>
          <w:b/>
          <w:color w:val="000000"/>
          <w:sz w:val="22"/>
        </w:rPr>
      </w:pPr>
    </w:p>
    <w:p w14:paraId="3B726EF7" w14:textId="5C47375A" w:rsidR="00F16239" w:rsidRDefault="00F16239" w:rsidP="00F16239">
      <w:pPr>
        <w:spacing w:after="0" w:line="240" w:lineRule="auto"/>
        <w:rPr>
          <w:rFonts w:ascii="Segoe UI" w:eastAsia="Segoe UI" w:hAnsi="Segoe UI"/>
          <w:b/>
          <w:color w:val="000000"/>
          <w:sz w:val="22"/>
        </w:rPr>
      </w:pPr>
      <w:r>
        <w:rPr>
          <w:rFonts w:ascii="Segoe UI" w:eastAsia="Segoe UI" w:hAnsi="Segoe UI"/>
          <w:b/>
          <w:color w:val="000000"/>
          <w:sz w:val="22"/>
        </w:rPr>
        <w:t xml:space="preserve">Define and summarise the clinical management algorithm, including any required tests or healthcare resources, </w:t>
      </w:r>
      <w:r w:rsidRPr="00DD0A06">
        <w:rPr>
          <w:rFonts w:ascii="Segoe UI" w:eastAsia="Segoe UI" w:hAnsi="Segoe UI"/>
          <w:b/>
          <w:i/>
          <w:iCs/>
          <w:color w:val="000000"/>
          <w:sz w:val="22"/>
        </w:rPr>
        <w:t>after</w:t>
      </w:r>
      <w:r>
        <w:rPr>
          <w:rFonts w:ascii="Segoe UI" w:eastAsia="Segoe UI" w:hAnsi="Segoe UI"/>
          <w:b/>
          <w:color w:val="000000"/>
          <w:sz w:val="22"/>
        </w:rPr>
        <w:t xml:space="preserve"> the use of the </w:t>
      </w:r>
      <w:r w:rsidRPr="00DD0A06">
        <w:rPr>
          <w:rFonts w:ascii="Segoe UI" w:eastAsia="Segoe UI" w:hAnsi="Segoe UI"/>
          <w:b/>
          <w:color w:val="000000"/>
          <w:sz w:val="22"/>
          <w:u w:val="single"/>
        </w:rPr>
        <w:t>proposed health technology</w:t>
      </w:r>
      <w:r>
        <w:rPr>
          <w:rFonts w:ascii="Segoe UI" w:eastAsia="Segoe UI" w:hAnsi="Segoe UI"/>
          <w:b/>
          <w:color w:val="000000"/>
          <w:sz w:val="22"/>
        </w:rPr>
        <w:t>:</w:t>
      </w:r>
    </w:p>
    <w:p w14:paraId="3017C87B" w14:textId="77777777" w:rsidR="00F16239" w:rsidRDefault="00F16239" w:rsidP="00F16239">
      <w:pPr>
        <w:spacing w:after="0" w:line="240" w:lineRule="auto"/>
        <w:rPr>
          <w:rFonts w:ascii="Segoe UI" w:eastAsia="Segoe UI" w:hAnsi="Segoe UI"/>
          <w:b/>
          <w:color w:val="000000"/>
          <w:sz w:val="22"/>
        </w:rPr>
      </w:pPr>
    </w:p>
    <w:p w14:paraId="1B72ECDB" w14:textId="32F88014" w:rsidR="00F16239" w:rsidRDefault="00F20898" w:rsidP="00F16239">
      <w:pPr>
        <w:spacing w:after="0" w:line="240" w:lineRule="auto"/>
        <w:rPr>
          <w:rFonts w:asciiTheme="minorHAnsi" w:eastAsia="Segoe UI" w:hAnsiTheme="minorHAnsi" w:cstheme="minorHAnsi"/>
          <w:color w:val="000000"/>
          <w:sz w:val="22"/>
          <w:szCs w:val="22"/>
        </w:rPr>
      </w:pPr>
      <w:r>
        <w:rPr>
          <w:rFonts w:ascii="Segoe UI" w:hAnsi="Segoe UI" w:cs="Segoe UI"/>
          <w:sz w:val="22"/>
          <w:szCs w:val="22"/>
        </w:rPr>
        <w:t>As for other MBGS devices, p</w:t>
      </w:r>
      <w:r w:rsidR="003F68CD">
        <w:rPr>
          <w:rFonts w:ascii="Segoe UI" w:hAnsi="Segoe UI" w:cs="Segoe UI"/>
          <w:sz w:val="22"/>
          <w:szCs w:val="22"/>
        </w:rPr>
        <w:t>atients require regular review</w:t>
      </w:r>
      <w:r>
        <w:rPr>
          <w:rFonts w:ascii="Segoe UI" w:hAnsi="Segoe UI" w:cs="Segoe UI"/>
          <w:sz w:val="22"/>
          <w:szCs w:val="22"/>
        </w:rPr>
        <w:t>s</w:t>
      </w:r>
      <w:r w:rsidR="003F68CD">
        <w:rPr>
          <w:rFonts w:ascii="Segoe UI" w:hAnsi="Segoe UI" w:cs="Segoe UI"/>
          <w:sz w:val="22"/>
          <w:szCs w:val="22"/>
        </w:rPr>
        <w:t xml:space="preserve"> by their Clinical Ophthalmologist after surgery, including review of their </w:t>
      </w:r>
      <w:r w:rsidR="008402B1">
        <w:rPr>
          <w:rFonts w:ascii="Segoe UI" w:hAnsi="Segoe UI" w:cs="Segoe UI"/>
          <w:sz w:val="22"/>
          <w:szCs w:val="22"/>
        </w:rPr>
        <w:t xml:space="preserve">IOP over time, their </w:t>
      </w:r>
      <w:r w:rsidR="00460385">
        <w:rPr>
          <w:rFonts w:ascii="Segoe UI" w:hAnsi="Segoe UI" w:cs="Segoe UI"/>
          <w:sz w:val="22"/>
          <w:szCs w:val="22"/>
        </w:rPr>
        <w:t>visual acuity</w:t>
      </w:r>
      <w:r w:rsidR="008402B1">
        <w:rPr>
          <w:rFonts w:ascii="Segoe UI" w:hAnsi="Segoe UI" w:cs="Segoe UI"/>
          <w:sz w:val="22"/>
          <w:szCs w:val="22"/>
        </w:rPr>
        <w:t>, whether their glaucoma has progressed,</w:t>
      </w:r>
      <w:r w:rsidR="00460385">
        <w:rPr>
          <w:rFonts w:ascii="Segoe UI" w:hAnsi="Segoe UI" w:cs="Segoe UI"/>
          <w:sz w:val="22"/>
          <w:szCs w:val="22"/>
        </w:rPr>
        <w:t xml:space="preserve"> and </w:t>
      </w:r>
      <w:r w:rsidR="008402B1">
        <w:rPr>
          <w:rFonts w:ascii="Segoe UI" w:hAnsi="Segoe UI" w:cs="Segoe UI"/>
          <w:sz w:val="22"/>
          <w:szCs w:val="22"/>
        </w:rPr>
        <w:t xml:space="preserve">their need for </w:t>
      </w:r>
      <w:r w:rsidR="003F68CD">
        <w:rPr>
          <w:rFonts w:ascii="Segoe UI" w:hAnsi="Segoe UI" w:cs="Segoe UI"/>
          <w:sz w:val="22"/>
          <w:szCs w:val="22"/>
        </w:rPr>
        <w:t xml:space="preserve">IOP-reducing medication requirements. </w:t>
      </w:r>
    </w:p>
    <w:p w14:paraId="22F53CB1" w14:textId="77777777" w:rsidR="00F16239" w:rsidRPr="00BE6B22" w:rsidRDefault="00F16239" w:rsidP="00F16239">
      <w:pPr>
        <w:spacing w:after="0" w:line="240" w:lineRule="auto"/>
        <w:rPr>
          <w:rFonts w:asciiTheme="minorHAnsi" w:eastAsia="Segoe UI" w:hAnsiTheme="minorHAnsi" w:cstheme="minorHAnsi"/>
          <w:color w:val="000000"/>
          <w:sz w:val="22"/>
          <w:szCs w:val="22"/>
        </w:rPr>
      </w:pPr>
    </w:p>
    <w:p w14:paraId="3AAC8FD3" w14:textId="2047FC90" w:rsidR="00F16239" w:rsidRDefault="00F16239" w:rsidP="00F16239">
      <w:pPr>
        <w:spacing w:after="0" w:line="240" w:lineRule="auto"/>
        <w:rPr>
          <w:rFonts w:ascii="Segoe UI" w:eastAsia="Segoe UI" w:hAnsi="Segoe UI"/>
          <w:b/>
          <w:color w:val="000000"/>
          <w:sz w:val="22"/>
        </w:rPr>
      </w:pPr>
      <w:r>
        <w:rPr>
          <w:rFonts w:ascii="Segoe UI" w:eastAsia="Segoe UI" w:hAnsi="Segoe UI"/>
          <w:b/>
          <w:color w:val="000000"/>
          <w:sz w:val="22"/>
        </w:rPr>
        <w:t xml:space="preserve">Define and summarise the clinical management algorithm, including any required tests or healthcare resources, </w:t>
      </w:r>
      <w:r w:rsidRPr="00545A4C">
        <w:rPr>
          <w:rFonts w:ascii="Segoe UI" w:eastAsia="Segoe UI" w:hAnsi="Segoe UI"/>
          <w:b/>
          <w:i/>
          <w:iCs/>
          <w:color w:val="000000"/>
          <w:sz w:val="22"/>
        </w:rPr>
        <w:t>after</w:t>
      </w:r>
      <w:r>
        <w:rPr>
          <w:rFonts w:ascii="Segoe UI" w:eastAsia="Segoe UI" w:hAnsi="Segoe UI"/>
          <w:b/>
          <w:color w:val="000000"/>
          <w:sz w:val="22"/>
        </w:rPr>
        <w:t xml:space="preserve"> the use of the </w:t>
      </w:r>
      <w:r w:rsidRPr="00545A4C">
        <w:rPr>
          <w:rFonts w:ascii="Segoe UI" w:eastAsia="Segoe UI" w:hAnsi="Segoe UI"/>
          <w:b/>
          <w:color w:val="000000"/>
          <w:sz w:val="22"/>
          <w:u w:val="single"/>
        </w:rPr>
        <w:t>comparator health technology</w:t>
      </w:r>
      <w:r>
        <w:rPr>
          <w:rFonts w:ascii="Segoe UI" w:eastAsia="Segoe UI" w:hAnsi="Segoe UI"/>
          <w:b/>
          <w:color w:val="000000"/>
          <w:sz w:val="22"/>
        </w:rPr>
        <w:t>:</w:t>
      </w:r>
    </w:p>
    <w:p w14:paraId="09165252" w14:textId="77777777" w:rsidR="00F16239" w:rsidRDefault="00F16239" w:rsidP="00F16239">
      <w:pPr>
        <w:spacing w:after="0" w:line="240" w:lineRule="auto"/>
        <w:rPr>
          <w:rFonts w:ascii="Segoe UI" w:eastAsia="Segoe UI" w:hAnsi="Segoe UI"/>
          <w:b/>
          <w:color w:val="000000"/>
          <w:sz w:val="22"/>
        </w:rPr>
      </w:pPr>
    </w:p>
    <w:p w14:paraId="15C41852" w14:textId="7AD38F63" w:rsidR="00460385" w:rsidRDefault="001478FA" w:rsidP="00460385">
      <w:pPr>
        <w:spacing w:after="0" w:line="240" w:lineRule="auto"/>
        <w:rPr>
          <w:rFonts w:asciiTheme="minorHAnsi" w:eastAsia="Segoe UI" w:hAnsiTheme="minorHAnsi" w:cstheme="minorHAnsi"/>
          <w:color w:val="000000"/>
          <w:sz w:val="22"/>
          <w:szCs w:val="22"/>
        </w:rPr>
      </w:pPr>
      <w:r>
        <w:rPr>
          <w:rFonts w:ascii="Segoe UI" w:hAnsi="Segoe UI" w:cs="Segoe UI"/>
          <w:sz w:val="22"/>
          <w:szCs w:val="22"/>
        </w:rPr>
        <w:t>As for other MBGS devices, p</w:t>
      </w:r>
      <w:r w:rsidR="00460385">
        <w:rPr>
          <w:rFonts w:ascii="Segoe UI" w:hAnsi="Segoe UI" w:cs="Segoe UI"/>
          <w:sz w:val="22"/>
          <w:szCs w:val="22"/>
        </w:rPr>
        <w:t>atients require regular review</w:t>
      </w:r>
      <w:r w:rsidR="00F507B7">
        <w:rPr>
          <w:rFonts w:ascii="Segoe UI" w:hAnsi="Segoe UI" w:cs="Segoe UI"/>
          <w:sz w:val="22"/>
          <w:szCs w:val="22"/>
        </w:rPr>
        <w:t>s</w:t>
      </w:r>
      <w:r w:rsidR="00460385">
        <w:rPr>
          <w:rFonts w:ascii="Segoe UI" w:hAnsi="Segoe UI" w:cs="Segoe UI"/>
          <w:sz w:val="22"/>
          <w:szCs w:val="22"/>
        </w:rPr>
        <w:t xml:space="preserve"> by their Clinical Ophthalmologist after surgery, including review of their </w:t>
      </w:r>
      <w:r w:rsidR="00F507B7">
        <w:rPr>
          <w:rFonts w:ascii="Segoe UI" w:hAnsi="Segoe UI" w:cs="Segoe UI"/>
          <w:sz w:val="22"/>
          <w:szCs w:val="22"/>
        </w:rPr>
        <w:t xml:space="preserve">IOP over time, their </w:t>
      </w:r>
      <w:r w:rsidR="00460385">
        <w:rPr>
          <w:rFonts w:ascii="Segoe UI" w:hAnsi="Segoe UI" w:cs="Segoe UI"/>
          <w:sz w:val="22"/>
          <w:szCs w:val="22"/>
        </w:rPr>
        <w:t>visual acuity</w:t>
      </w:r>
      <w:r w:rsidR="00F507B7">
        <w:rPr>
          <w:rFonts w:ascii="Segoe UI" w:hAnsi="Segoe UI" w:cs="Segoe UI"/>
          <w:sz w:val="22"/>
          <w:szCs w:val="22"/>
        </w:rPr>
        <w:t>, whether their glaucoma has progressed,</w:t>
      </w:r>
      <w:r w:rsidR="00460385">
        <w:rPr>
          <w:rFonts w:ascii="Segoe UI" w:hAnsi="Segoe UI" w:cs="Segoe UI"/>
          <w:sz w:val="22"/>
          <w:szCs w:val="22"/>
        </w:rPr>
        <w:t xml:space="preserve"> and </w:t>
      </w:r>
      <w:r w:rsidR="00F507B7">
        <w:rPr>
          <w:rFonts w:ascii="Segoe UI" w:hAnsi="Segoe UI" w:cs="Segoe UI"/>
          <w:sz w:val="22"/>
          <w:szCs w:val="22"/>
        </w:rPr>
        <w:t xml:space="preserve">their need for </w:t>
      </w:r>
      <w:r w:rsidR="00460385">
        <w:rPr>
          <w:rFonts w:ascii="Segoe UI" w:hAnsi="Segoe UI" w:cs="Segoe UI"/>
          <w:sz w:val="22"/>
          <w:szCs w:val="22"/>
        </w:rPr>
        <w:t xml:space="preserve">IOP-reducing medication requirements. </w:t>
      </w:r>
    </w:p>
    <w:p w14:paraId="7261FD8A" w14:textId="77777777" w:rsidR="00F16239" w:rsidRDefault="00F16239" w:rsidP="00F16239">
      <w:pPr>
        <w:spacing w:after="0" w:line="240" w:lineRule="auto"/>
        <w:rPr>
          <w:rFonts w:ascii="Segoe UI" w:eastAsia="Segoe UI" w:hAnsi="Segoe UI"/>
          <w:b/>
          <w:color w:val="000000"/>
          <w:sz w:val="22"/>
        </w:rPr>
      </w:pPr>
    </w:p>
    <w:p w14:paraId="344880EF" w14:textId="0D1EE335" w:rsidR="00F16239" w:rsidRDefault="00F16239" w:rsidP="00F16239">
      <w:pPr>
        <w:spacing w:after="0" w:line="240" w:lineRule="auto"/>
        <w:rPr>
          <w:rFonts w:ascii="Segoe UI" w:eastAsia="Segoe UI" w:hAnsi="Segoe UI"/>
          <w:b/>
          <w:color w:val="000000"/>
          <w:sz w:val="22"/>
        </w:rPr>
      </w:pPr>
      <w:r>
        <w:rPr>
          <w:rFonts w:ascii="Segoe UI" w:eastAsia="Segoe UI" w:hAnsi="Segoe UI"/>
          <w:b/>
          <w:color w:val="000000"/>
          <w:sz w:val="22"/>
        </w:rPr>
        <w:t xml:space="preserve">Describe and explain any differences in the healthcare resources used </w:t>
      </w:r>
      <w:r w:rsidRPr="00545A4C">
        <w:rPr>
          <w:rFonts w:ascii="Segoe UI" w:eastAsia="Segoe UI" w:hAnsi="Segoe UI"/>
          <w:b/>
          <w:i/>
          <w:iCs/>
          <w:color w:val="000000"/>
          <w:sz w:val="22"/>
        </w:rPr>
        <w:t>after</w:t>
      </w:r>
      <w:r>
        <w:rPr>
          <w:rFonts w:ascii="Segoe UI" w:eastAsia="Segoe UI" w:hAnsi="Segoe UI"/>
          <w:b/>
          <w:color w:val="000000"/>
          <w:sz w:val="22"/>
        </w:rPr>
        <w:t xml:space="preserve"> the </w:t>
      </w:r>
      <w:r w:rsidRPr="00545A4C">
        <w:rPr>
          <w:rFonts w:ascii="Segoe UI" w:eastAsia="Segoe UI" w:hAnsi="Segoe UI"/>
          <w:b/>
          <w:color w:val="000000"/>
          <w:sz w:val="22"/>
          <w:u w:val="single"/>
        </w:rPr>
        <w:t>proposed health technology</w:t>
      </w:r>
      <w:r>
        <w:rPr>
          <w:rFonts w:ascii="Segoe UI" w:eastAsia="Segoe UI" w:hAnsi="Segoe UI"/>
          <w:b/>
          <w:color w:val="000000"/>
          <w:sz w:val="22"/>
        </w:rPr>
        <w:t xml:space="preserve"> vs. the </w:t>
      </w:r>
      <w:r w:rsidRPr="00545A4C">
        <w:rPr>
          <w:rFonts w:ascii="Segoe UI" w:eastAsia="Segoe UI" w:hAnsi="Segoe UI"/>
          <w:b/>
          <w:color w:val="000000"/>
          <w:sz w:val="22"/>
          <w:u w:val="single"/>
        </w:rPr>
        <w:t>comparator health technology</w:t>
      </w:r>
      <w:r>
        <w:rPr>
          <w:rFonts w:ascii="Segoe UI" w:eastAsia="Segoe UI" w:hAnsi="Segoe UI"/>
          <w:b/>
          <w:color w:val="000000"/>
          <w:sz w:val="22"/>
        </w:rPr>
        <w:t>:</w:t>
      </w:r>
    </w:p>
    <w:p w14:paraId="5C871695" w14:textId="77777777" w:rsidR="00F16239" w:rsidRDefault="00F16239" w:rsidP="00F16239">
      <w:pPr>
        <w:spacing w:after="0" w:line="240" w:lineRule="auto"/>
        <w:rPr>
          <w:rFonts w:ascii="Segoe UI" w:eastAsia="Segoe UI" w:hAnsi="Segoe UI"/>
          <w:b/>
          <w:color w:val="000000"/>
          <w:sz w:val="22"/>
        </w:rPr>
      </w:pPr>
    </w:p>
    <w:p w14:paraId="457A3017" w14:textId="636A1361" w:rsidR="00F16239" w:rsidRDefault="003F68CD" w:rsidP="00F16239">
      <w:pPr>
        <w:spacing w:after="0" w:line="240" w:lineRule="auto"/>
        <w:rPr>
          <w:rFonts w:asciiTheme="minorHAnsi" w:eastAsia="Segoe UI" w:hAnsiTheme="minorHAnsi" w:cstheme="minorHAnsi"/>
          <w:color w:val="000000"/>
          <w:sz w:val="22"/>
          <w:szCs w:val="22"/>
        </w:rPr>
      </w:pPr>
      <w:r>
        <w:rPr>
          <w:rFonts w:ascii="Segoe UI" w:hAnsi="Segoe UI" w:cs="Segoe UI"/>
          <w:sz w:val="22"/>
          <w:szCs w:val="22"/>
        </w:rPr>
        <w:t xml:space="preserve">There </w:t>
      </w:r>
      <w:r w:rsidR="00460385">
        <w:rPr>
          <w:rFonts w:ascii="Segoe UI" w:hAnsi="Segoe UI" w:cs="Segoe UI"/>
          <w:sz w:val="22"/>
          <w:szCs w:val="22"/>
        </w:rPr>
        <w:t>are</w:t>
      </w:r>
      <w:r>
        <w:rPr>
          <w:rFonts w:ascii="Segoe UI" w:hAnsi="Segoe UI" w:cs="Segoe UI"/>
          <w:sz w:val="22"/>
          <w:szCs w:val="22"/>
        </w:rPr>
        <w:t xml:space="preserve"> no expected difference</w:t>
      </w:r>
      <w:r w:rsidR="00460385">
        <w:rPr>
          <w:rFonts w:ascii="Segoe UI" w:hAnsi="Segoe UI" w:cs="Segoe UI"/>
          <w:sz w:val="22"/>
          <w:szCs w:val="22"/>
        </w:rPr>
        <w:t>s</w:t>
      </w:r>
      <w:r>
        <w:rPr>
          <w:rFonts w:ascii="Segoe UI" w:hAnsi="Segoe UI" w:cs="Segoe UI"/>
          <w:sz w:val="22"/>
          <w:szCs w:val="22"/>
        </w:rPr>
        <w:t xml:space="preserve"> in healthcare resources used after MBGS using </w:t>
      </w:r>
      <w:r w:rsidRPr="003F68CD">
        <w:rPr>
          <w:rFonts w:ascii="Segoe UI" w:hAnsi="Segoe UI" w:cs="Segoe UI"/>
          <w:sz w:val="22"/>
          <w:szCs w:val="22"/>
        </w:rPr>
        <w:t>MINIject</w:t>
      </w:r>
      <w:r>
        <w:rPr>
          <w:rFonts w:ascii="Segoe UI" w:hAnsi="Segoe UI" w:cs="Segoe UI"/>
          <w:sz w:val="22"/>
          <w:szCs w:val="22"/>
        </w:rPr>
        <w:t xml:space="preserve"> suprachoroidal implant, compared with use of the comparator stent inserted into the trabecular meshwork. Regardless of the type of procedure used for patients with glaucoma, there is a need for ongoing monitoring by their key </w:t>
      </w:r>
      <w:r w:rsidR="00101F14">
        <w:rPr>
          <w:rFonts w:ascii="Segoe UI" w:hAnsi="Segoe UI" w:cs="Segoe UI"/>
          <w:sz w:val="22"/>
          <w:szCs w:val="22"/>
        </w:rPr>
        <w:t>healthcare providers (</w:t>
      </w:r>
      <w:r>
        <w:rPr>
          <w:rFonts w:ascii="Segoe UI" w:hAnsi="Segoe UI" w:cs="Segoe UI"/>
          <w:sz w:val="22"/>
          <w:szCs w:val="22"/>
        </w:rPr>
        <w:t>HCPs</w:t>
      </w:r>
      <w:r w:rsidR="00101F14">
        <w:rPr>
          <w:rFonts w:ascii="Segoe UI" w:hAnsi="Segoe UI" w:cs="Segoe UI"/>
          <w:sz w:val="22"/>
          <w:szCs w:val="22"/>
        </w:rPr>
        <w:t>)</w:t>
      </w:r>
      <w:r w:rsidR="00545F33">
        <w:rPr>
          <w:rFonts w:ascii="Segoe UI" w:hAnsi="Segoe UI" w:cs="Segoe UI"/>
          <w:sz w:val="22"/>
          <w:szCs w:val="22"/>
        </w:rPr>
        <w:t xml:space="preserve"> as glaucoma is an incurable, lifelong disease</w:t>
      </w:r>
      <w:r>
        <w:rPr>
          <w:rFonts w:ascii="Segoe UI" w:hAnsi="Segoe UI" w:cs="Segoe UI"/>
          <w:sz w:val="22"/>
          <w:szCs w:val="22"/>
        </w:rPr>
        <w:t>.</w:t>
      </w:r>
    </w:p>
    <w:p w14:paraId="1EE2B4EC" w14:textId="7EBEC4B1" w:rsidR="0090168B" w:rsidRDefault="0090168B" w:rsidP="00E11705">
      <w:pPr>
        <w:spacing w:after="0"/>
        <w:rPr>
          <w:rFonts w:ascii="Segoe UI" w:eastAsia="Segoe UI" w:hAnsi="Segoe UI"/>
          <w:bCs/>
          <w:color w:val="000000"/>
          <w:sz w:val="22"/>
        </w:rPr>
      </w:pPr>
    </w:p>
    <w:p w14:paraId="778CA512" w14:textId="0C3A17BE" w:rsidR="00F16239" w:rsidRPr="00F16239" w:rsidRDefault="00F16239" w:rsidP="0090168B">
      <w:pPr>
        <w:rPr>
          <w:rFonts w:ascii="Segoe UI" w:eastAsia="Segoe UI" w:hAnsi="Segoe UI"/>
          <w:b/>
          <w:color w:val="000000"/>
          <w:u w:val="single"/>
        </w:rPr>
      </w:pPr>
      <w:r w:rsidRPr="00F16239">
        <w:rPr>
          <w:rFonts w:ascii="Segoe UI" w:eastAsia="Segoe UI" w:hAnsi="Segoe UI"/>
          <w:b/>
          <w:color w:val="000000"/>
          <w:u w:val="single"/>
        </w:rPr>
        <w:t>Algorithms</w:t>
      </w:r>
    </w:p>
    <w:p w14:paraId="29944CD7" w14:textId="5EDE36A1" w:rsidR="00545A4C" w:rsidRDefault="00364572" w:rsidP="0090168B">
      <w:pPr>
        <w:rPr>
          <w:rFonts w:ascii="Segoe UI" w:eastAsia="Segoe UI" w:hAnsi="Segoe UI"/>
          <w:b/>
          <w:color w:val="000000"/>
          <w:sz w:val="22"/>
        </w:rPr>
      </w:pPr>
      <w:r>
        <w:rPr>
          <w:rFonts w:ascii="Segoe UI" w:eastAsia="Segoe UI" w:hAnsi="Segoe UI"/>
          <w:b/>
          <w:color w:val="000000"/>
          <w:sz w:val="22"/>
        </w:rPr>
        <w:t xml:space="preserve">Insert </w:t>
      </w:r>
      <w:r w:rsidR="00545A4C">
        <w:rPr>
          <w:rFonts w:ascii="Segoe UI" w:eastAsia="Segoe UI" w:hAnsi="Segoe UI"/>
          <w:b/>
          <w:color w:val="000000"/>
          <w:sz w:val="22"/>
        </w:rPr>
        <w:t>diagrams demonstrating the clinical management algorithm with and without the proposed health technology:</w:t>
      </w:r>
    </w:p>
    <w:p w14:paraId="0EB5EB03" w14:textId="77777777" w:rsidR="005837E9" w:rsidRDefault="005837E9" w:rsidP="00E11705">
      <w:pPr>
        <w:spacing w:after="0"/>
        <w:rPr>
          <w:rFonts w:ascii="Segoe UI" w:eastAsia="Segoe UI" w:hAnsi="Segoe UI"/>
          <w:b/>
          <w:color w:val="000000"/>
          <w:sz w:val="22"/>
        </w:rPr>
      </w:pPr>
    </w:p>
    <w:p w14:paraId="58DDE9B4" w14:textId="3759E513" w:rsidR="00545A4C" w:rsidRDefault="00C96E92" w:rsidP="0090168B">
      <w:pPr>
        <w:rPr>
          <w:rFonts w:ascii="Segoe UI" w:eastAsia="Segoe UI" w:hAnsi="Segoe UI"/>
          <w:bCs/>
          <w:color w:val="000000"/>
          <w:sz w:val="22"/>
        </w:rPr>
      </w:pPr>
      <w:r w:rsidRPr="00C96E92">
        <w:rPr>
          <w:rFonts w:ascii="Segoe UI" w:eastAsia="Segoe UI" w:hAnsi="Segoe UI"/>
          <w:b/>
          <w:color w:val="000000"/>
          <w:sz w:val="22"/>
        </w:rPr>
        <w:t>Note:</w:t>
      </w:r>
      <w:r>
        <w:rPr>
          <w:rFonts w:ascii="Segoe UI" w:eastAsia="Segoe UI" w:hAnsi="Segoe UI"/>
          <w:bCs/>
          <w:color w:val="000000"/>
          <w:sz w:val="22"/>
        </w:rPr>
        <w:t xml:space="preserve"> </w:t>
      </w:r>
      <w:r w:rsidR="00545A4C">
        <w:rPr>
          <w:rFonts w:ascii="Segoe UI" w:eastAsia="Segoe UI" w:hAnsi="Segoe UI"/>
          <w:bCs/>
          <w:color w:val="000000"/>
          <w:sz w:val="22"/>
        </w:rPr>
        <w:t xml:space="preserve">Please ensure that the diagrams provided do not contain information under copyright. </w:t>
      </w:r>
    </w:p>
    <w:p w14:paraId="69DFB8D8" w14:textId="77777777" w:rsidR="003F68CD" w:rsidRDefault="003F68CD" w:rsidP="00E11705">
      <w:pPr>
        <w:pStyle w:val="Responsetext"/>
        <w:spacing w:after="0"/>
      </w:pPr>
    </w:p>
    <w:p w14:paraId="27E22BC6" w14:textId="61BADC88" w:rsidR="00F16239" w:rsidRDefault="00AE474C" w:rsidP="00AE474C">
      <w:pPr>
        <w:pStyle w:val="Responsetext"/>
      </w:pPr>
      <w:r>
        <w:t xml:space="preserve">The current treatment algorithm for patients diagnosed with open-angle glaucoma (OAG) is provided </w:t>
      </w:r>
      <w:r w:rsidRPr="00101F14">
        <w:t xml:space="preserve">in </w:t>
      </w:r>
      <w:r w:rsidRPr="00101F14">
        <w:fldChar w:fldCharType="begin"/>
      </w:r>
      <w:r w:rsidRPr="00101F14">
        <w:instrText xml:space="preserve"> REF _Ref140411062 \h  \* MERGEFORMAT </w:instrText>
      </w:r>
      <w:r w:rsidRPr="00101F14">
        <w:fldChar w:fldCharType="separate"/>
      </w:r>
      <w:r w:rsidR="00976372" w:rsidRPr="00AE474C">
        <w:t xml:space="preserve">Figure </w:t>
      </w:r>
      <w:r w:rsidR="00976372">
        <w:t>1</w:t>
      </w:r>
      <w:r w:rsidRPr="00101F14">
        <w:fldChar w:fldCharType="end"/>
      </w:r>
      <w:r w:rsidRPr="00101F14">
        <w:t>.</w:t>
      </w:r>
      <w:r>
        <w:t xml:space="preserve"> MBGS surgery, with stent implantation via the trabecular meshwork only, is currently an option for patients with OAG who have not responded to or cannot tolerate conservative therapies.</w:t>
      </w:r>
    </w:p>
    <w:p w14:paraId="159BBF48" w14:textId="7BD9FEA0" w:rsidR="00AE474C" w:rsidRPr="00AE474C" w:rsidRDefault="00AE474C" w:rsidP="00147B3A">
      <w:pPr>
        <w:pStyle w:val="Caption"/>
        <w:keepNext/>
      </w:pPr>
      <w:bookmarkStart w:id="7" w:name="_Ref140411062"/>
      <w:r w:rsidRPr="00AE474C">
        <w:lastRenderedPageBreak/>
        <w:t xml:space="preserve">Figure </w:t>
      </w:r>
      <w:r w:rsidR="00FA7BD3">
        <w:fldChar w:fldCharType="begin"/>
      </w:r>
      <w:r w:rsidR="00FA7BD3">
        <w:instrText xml:space="preserve"> SEQ Figure \* ARABIC </w:instrText>
      </w:r>
      <w:r w:rsidR="00FA7BD3">
        <w:fldChar w:fldCharType="separate"/>
      </w:r>
      <w:r w:rsidR="00976372">
        <w:rPr>
          <w:noProof/>
        </w:rPr>
        <w:t>1</w:t>
      </w:r>
      <w:r w:rsidR="00FA7BD3">
        <w:rPr>
          <w:noProof/>
        </w:rPr>
        <w:fldChar w:fldCharType="end"/>
      </w:r>
      <w:bookmarkEnd w:id="7"/>
      <w:r w:rsidRPr="00AE474C">
        <w:t>:</w:t>
      </w:r>
      <w:r>
        <w:t xml:space="preserve"> </w:t>
      </w:r>
      <w:r w:rsidRPr="00F36A11">
        <w:t>C</w:t>
      </w:r>
      <w:r>
        <w:t>urrent c</w:t>
      </w:r>
      <w:r w:rsidRPr="00F36A11">
        <w:t>linical management algorithm for MBGS stent implantation in the standalone patient population</w:t>
      </w:r>
    </w:p>
    <w:p w14:paraId="1E8967B2" w14:textId="6CAFFC7A" w:rsidR="00AE474C" w:rsidRDefault="00AE474C" w:rsidP="00AE474C">
      <w:pPr>
        <w:pStyle w:val="Responsetext"/>
      </w:pPr>
      <w:r w:rsidRPr="00AE474C">
        <w:rPr>
          <w:noProof/>
        </w:rPr>
        <w:drawing>
          <wp:inline distT="0" distB="0" distL="0" distR="0" wp14:anchorId="3675B774" wp14:editId="153B8CBB">
            <wp:extent cx="6016625" cy="6085205"/>
            <wp:effectExtent l="0" t="0" r="3175" b="0"/>
            <wp:docPr id="1376094125" name="Picture 1" descr="A diagram of a medical proced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094125" name="Picture 1" descr="A diagram of a medical procedure&#10;&#10;Description automatically generated"/>
                    <pic:cNvPicPr/>
                  </pic:nvPicPr>
                  <pic:blipFill>
                    <a:blip r:embed="rId14"/>
                    <a:stretch>
                      <a:fillRect/>
                    </a:stretch>
                  </pic:blipFill>
                  <pic:spPr>
                    <a:xfrm>
                      <a:off x="0" y="0"/>
                      <a:ext cx="6016625" cy="6085205"/>
                    </a:xfrm>
                    <a:prstGeom prst="rect">
                      <a:avLst/>
                    </a:prstGeom>
                  </pic:spPr>
                </pic:pic>
              </a:graphicData>
            </a:graphic>
          </wp:inline>
        </w:drawing>
      </w:r>
    </w:p>
    <w:p w14:paraId="2EB307EA" w14:textId="1FA90374" w:rsidR="003F68CD" w:rsidRDefault="003F68CD" w:rsidP="00AE474C">
      <w:pPr>
        <w:pStyle w:val="Footnote"/>
      </w:pPr>
      <w:r>
        <w:t>MBGS: micro</w:t>
      </w:r>
      <w:r w:rsidR="00BE17F3">
        <w:t>-</w:t>
      </w:r>
      <w:r>
        <w:t>bypass glaucoma surgery; OAG: open-angle glaucoma</w:t>
      </w:r>
    </w:p>
    <w:p w14:paraId="16981E37" w14:textId="2500E738" w:rsidR="00AE474C" w:rsidRDefault="00AE474C" w:rsidP="00AE474C">
      <w:pPr>
        <w:pStyle w:val="Footnote"/>
      </w:pPr>
      <w:r w:rsidRPr="00AE474C">
        <w:t xml:space="preserve">Source: </w:t>
      </w:r>
      <w:r w:rsidR="00C22C18">
        <w:t>B</w:t>
      </w:r>
      <w:r w:rsidRPr="00AE474C">
        <w:t>ased on Figure</w:t>
      </w:r>
      <w:r>
        <w:t xml:space="preserve"> 1</w:t>
      </w:r>
      <w:r w:rsidRPr="00AE474C">
        <w:t xml:space="preserve"> in MSAC 1541 – Final Public Summary Document (PSD)</w:t>
      </w:r>
      <w:r w:rsidR="00C22C18">
        <w:t xml:space="preserve"> (available at </w:t>
      </w:r>
      <w:hyperlink r:id="rId15" w:history="1">
        <w:r w:rsidR="00C22C18" w:rsidRPr="004006B4">
          <w:rPr>
            <w:rStyle w:val="Hyperlink"/>
          </w:rPr>
          <w:t>http://www.msac.gov.au/internet/msac/publishing.nsf/Content/1541-public</w:t>
        </w:r>
      </w:hyperlink>
      <w:r w:rsidR="00C22C18">
        <w:t>)</w:t>
      </w:r>
    </w:p>
    <w:p w14:paraId="5CA2786E" w14:textId="4BD3CD4B" w:rsidR="00101F14" w:rsidRDefault="00101F14">
      <w:pPr>
        <w:rPr>
          <w:rFonts w:ascii="Arial Narrow" w:hAnsi="Arial Narrow" w:cs="Segoe UI"/>
          <w:sz w:val="18"/>
          <w:szCs w:val="18"/>
        </w:rPr>
      </w:pPr>
      <w:r>
        <w:br w:type="page"/>
      </w:r>
    </w:p>
    <w:p w14:paraId="7D995834" w14:textId="4D8C5A55" w:rsidR="00AE474C" w:rsidRDefault="00AE474C" w:rsidP="00AE474C">
      <w:pPr>
        <w:pStyle w:val="Responsetext"/>
      </w:pPr>
      <w:r>
        <w:lastRenderedPageBreak/>
        <w:t xml:space="preserve">The proposed treatment algorithm allows for MBGS </w:t>
      </w:r>
      <w:r w:rsidR="000B3E06">
        <w:t xml:space="preserve">implant </w:t>
      </w:r>
      <w:r>
        <w:t xml:space="preserve">insertion into either the trabecular meshwork or into the </w:t>
      </w:r>
      <w:r w:rsidRPr="00101F14">
        <w:t>suprachoroidal space (</w:t>
      </w:r>
      <w:r w:rsidRPr="00101F14">
        <w:fldChar w:fldCharType="begin"/>
      </w:r>
      <w:r w:rsidRPr="00101F14">
        <w:instrText xml:space="preserve"> REF _Ref140411198 \h </w:instrText>
      </w:r>
      <w:r w:rsidR="00101F14">
        <w:instrText xml:space="preserve"> \* MERGEFORMAT </w:instrText>
      </w:r>
      <w:r w:rsidRPr="00101F14">
        <w:fldChar w:fldCharType="separate"/>
      </w:r>
      <w:r w:rsidR="00976372" w:rsidRPr="00AE474C">
        <w:t xml:space="preserve">Figure </w:t>
      </w:r>
      <w:r w:rsidR="00976372">
        <w:t>2</w:t>
      </w:r>
      <w:r w:rsidRPr="00101F14">
        <w:fldChar w:fldCharType="end"/>
      </w:r>
      <w:r w:rsidRPr="00101F14">
        <w:t>). There</w:t>
      </w:r>
      <w:r>
        <w:t xml:space="preserve"> is no other change to the current algorithm</w:t>
      </w:r>
      <w:r w:rsidR="00101F14">
        <w:t xml:space="preserve"> proposed</w:t>
      </w:r>
      <w:r w:rsidR="00C22C18">
        <w:t>, with the same general requirements (</w:t>
      </w:r>
      <w:r w:rsidR="00101F14">
        <w:t xml:space="preserve">i.e. </w:t>
      </w:r>
      <w:r w:rsidR="00C22C18">
        <w:t xml:space="preserve">performed in a hospital or day surgery, requiring a sterile environment and the same surgical equipment). Thus the only key difference with the proposed algorithm is that it provide </w:t>
      </w:r>
      <w:r>
        <w:t xml:space="preserve">patients/surgeons with an </w:t>
      </w:r>
      <w:r w:rsidR="00C22C18">
        <w:t>option for the</w:t>
      </w:r>
      <w:r>
        <w:t xml:space="preserve"> type of </w:t>
      </w:r>
      <w:r w:rsidR="000B3E06">
        <w:t xml:space="preserve">implant </w:t>
      </w:r>
      <w:r>
        <w:t>that is inserted into a</w:t>
      </w:r>
      <w:r w:rsidR="00C22C18">
        <w:t xml:space="preserve"> slightly</w:t>
      </w:r>
      <w:r>
        <w:t xml:space="preserve"> different part of the eye</w:t>
      </w:r>
      <w:r w:rsidR="00101F14">
        <w:t xml:space="preserve"> as part of standalone MBGS</w:t>
      </w:r>
      <w:r>
        <w:t>.</w:t>
      </w:r>
    </w:p>
    <w:p w14:paraId="1FFBBB9F" w14:textId="79673EDB" w:rsidR="00AE474C" w:rsidRPr="00AE474C" w:rsidRDefault="00AE474C" w:rsidP="00E4796D">
      <w:pPr>
        <w:pStyle w:val="Caption"/>
      </w:pPr>
      <w:bookmarkStart w:id="8" w:name="_Ref140411198"/>
      <w:r w:rsidRPr="00AE474C">
        <w:t xml:space="preserve">Figure </w:t>
      </w:r>
      <w:r w:rsidR="00FA7BD3">
        <w:fldChar w:fldCharType="begin"/>
      </w:r>
      <w:r w:rsidR="00FA7BD3">
        <w:instrText xml:space="preserve"> SEQ Figure \* ARABIC </w:instrText>
      </w:r>
      <w:r w:rsidR="00FA7BD3">
        <w:fldChar w:fldCharType="separate"/>
      </w:r>
      <w:r w:rsidR="00976372">
        <w:rPr>
          <w:noProof/>
        </w:rPr>
        <w:t>2</w:t>
      </w:r>
      <w:r w:rsidR="00FA7BD3">
        <w:rPr>
          <w:noProof/>
        </w:rPr>
        <w:fldChar w:fldCharType="end"/>
      </w:r>
      <w:bookmarkEnd w:id="8"/>
      <w:r w:rsidRPr="00AE474C">
        <w:t>:</w:t>
      </w:r>
      <w:r>
        <w:t xml:space="preserve"> Proposed c</w:t>
      </w:r>
      <w:r w:rsidRPr="00F36A11">
        <w:t>linical management algorithm for MBGS stent implantation in the standalone patient population</w:t>
      </w:r>
      <w:r>
        <w:t xml:space="preserve"> with implant into the suprachoroidal </w:t>
      </w:r>
      <w:r w:rsidR="003F68CD">
        <w:t xml:space="preserve">space </w:t>
      </w:r>
      <w:r>
        <w:t>an option</w:t>
      </w:r>
    </w:p>
    <w:p w14:paraId="7F82AE9E" w14:textId="584711DD" w:rsidR="00AE474C" w:rsidRDefault="00AE474C" w:rsidP="00AE474C">
      <w:pPr>
        <w:pStyle w:val="Responsetext"/>
      </w:pPr>
      <w:r w:rsidRPr="00AE474C">
        <w:rPr>
          <w:noProof/>
        </w:rPr>
        <w:drawing>
          <wp:inline distT="0" distB="0" distL="0" distR="0" wp14:anchorId="3985286C" wp14:editId="32365384">
            <wp:extent cx="6016625" cy="5278755"/>
            <wp:effectExtent l="0" t="0" r="3175" b="0"/>
            <wp:docPr id="289501710" name="Picture 1" descr="A diagram of a patient's surg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501710" name="Picture 1" descr="A diagram of a patient's surgery&#10;&#10;Description automatically generated"/>
                    <pic:cNvPicPr/>
                  </pic:nvPicPr>
                  <pic:blipFill>
                    <a:blip r:embed="rId16"/>
                    <a:stretch>
                      <a:fillRect/>
                    </a:stretch>
                  </pic:blipFill>
                  <pic:spPr>
                    <a:xfrm>
                      <a:off x="0" y="0"/>
                      <a:ext cx="6016625" cy="5278755"/>
                    </a:xfrm>
                    <a:prstGeom prst="rect">
                      <a:avLst/>
                    </a:prstGeom>
                  </pic:spPr>
                </pic:pic>
              </a:graphicData>
            </a:graphic>
          </wp:inline>
        </w:drawing>
      </w:r>
    </w:p>
    <w:p w14:paraId="57DAD89D" w14:textId="31F63C81" w:rsidR="003F68CD" w:rsidRDefault="003F68CD" w:rsidP="003F68CD">
      <w:pPr>
        <w:pStyle w:val="Footnote"/>
      </w:pPr>
      <w:r>
        <w:t>MBGS: micro</w:t>
      </w:r>
      <w:r w:rsidR="00BE17F3">
        <w:t>-</w:t>
      </w:r>
      <w:r>
        <w:t>bypass glaucoma surgery; OAG: open-angle glaucoma</w:t>
      </w:r>
    </w:p>
    <w:p w14:paraId="2FD411F1" w14:textId="4A43C640" w:rsidR="00C22C18" w:rsidRDefault="00AE474C" w:rsidP="00C22C18">
      <w:pPr>
        <w:pStyle w:val="Footnote"/>
      </w:pPr>
      <w:r w:rsidRPr="00AE474C">
        <w:t xml:space="preserve">Source: </w:t>
      </w:r>
      <w:r>
        <w:t>Adapted from</w:t>
      </w:r>
      <w:r w:rsidRPr="00AE474C">
        <w:t xml:space="preserve"> Figure</w:t>
      </w:r>
      <w:r>
        <w:t xml:space="preserve"> 1</w:t>
      </w:r>
      <w:r w:rsidRPr="00AE474C">
        <w:t xml:space="preserve"> in MSAC 1541 – Final Public Summary Document (PSD)</w:t>
      </w:r>
      <w:r w:rsidR="00C22C18">
        <w:t xml:space="preserve"> (available at </w:t>
      </w:r>
      <w:hyperlink r:id="rId17" w:history="1">
        <w:r w:rsidR="00C22C18" w:rsidRPr="004006B4">
          <w:rPr>
            <w:rStyle w:val="Hyperlink"/>
          </w:rPr>
          <w:t>http://www.msac.gov.au/internet/msac/publishing.nsf/Content/1541-public</w:t>
        </w:r>
      </w:hyperlink>
      <w:r w:rsidR="00C22C18">
        <w:t>)</w:t>
      </w:r>
    </w:p>
    <w:p w14:paraId="5BE624EA" w14:textId="51D86881" w:rsidR="004A45BE" w:rsidRDefault="004A45BE">
      <w:pPr>
        <w:rPr>
          <w:rFonts w:ascii="Segoe UI" w:eastAsia="Segoe UI" w:hAnsi="Segoe UI"/>
          <w:bCs/>
          <w:color w:val="000000"/>
          <w:sz w:val="22"/>
        </w:rPr>
      </w:pPr>
      <w:r>
        <w:rPr>
          <w:rFonts w:ascii="Segoe UI" w:eastAsia="Segoe UI" w:hAnsi="Segoe UI"/>
          <w:bCs/>
          <w:color w:val="000000"/>
          <w:sz w:val="22"/>
        </w:rPr>
        <w:br w:type="page"/>
      </w:r>
    </w:p>
    <w:p w14:paraId="5C94C69B" w14:textId="4B95100F" w:rsidR="004A45BE" w:rsidRDefault="004A45BE" w:rsidP="004A45BE">
      <w:pPr>
        <w:rPr>
          <w:rFonts w:ascii="Segoe UI" w:eastAsia="Segoe UI" w:hAnsi="Segoe UI"/>
          <w:b/>
          <w:color w:val="000000"/>
          <w:sz w:val="32"/>
        </w:rPr>
      </w:pPr>
      <w:r>
        <w:rPr>
          <w:rFonts w:ascii="Segoe UI" w:eastAsia="Segoe UI" w:hAnsi="Segoe UI"/>
          <w:b/>
          <w:color w:val="000000"/>
          <w:sz w:val="32"/>
        </w:rPr>
        <w:lastRenderedPageBreak/>
        <w:t>Claims</w:t>
      </w:r>
    </w:p>
    <w:p w14:paraId="48DF0F99" w14:textId="11E0A6A5" w:rsidR="004A45BE" w:rsidRDefault="004A45BE" w:rsidP="004A45BE">
      <w:pPr>
        <w:rPr>
          <w:rFonts w:ascii="Segoe UI" w:eastAsia="Segoe UI" w:hAnsi="Segoe UI"/>
          <w:bCs/>
          <w:color w:val="000000"/>
          <w:sz w:val="22"/>
        </w:rPr>
      </w:pPr>
      <w:bookmarkStart w:id="9" w:name="_Hlk121218597"/>
      <w:r>
        <w:rPr>
          <w:rFonts w:ascii="Segoe UI" w:eastAsia="Segoe UI" w:hAnsi="Segoe UI"/>
          <w:b/>
          <w:color w:val="000000"/>
          <w:sz w:val="22"/>
        </w:rPr>
        <w:t xml:space="preserve">In terms of health outcomes (comparative benefits and harms), is the proposed technology claimed to be superior, non-inferior or inferior to the comparator(s)? </w:t>
      </w:r>
    </w:p>
    <w:p w14:paraId="137243BD" w14:textId="77777777" w:rsidR="004209FC" w:rsidRPr="000627EF" w:rsidRDefault="004209FC" w:rsidP="006437E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00FA7BD3">
        <w:rPr>
          <w:rFonts w:ascii="Segoe UI" w:hAnsi="Segoe UI" w:cs="Segoe UI"/>
          <w:sz w:val="22"/>
          <w:szCs w:val="22"/>
        </w:rPr>
      </w:r>
      <w:r w:rsidR="00FA7BD3">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Superior</w:t>
      </w:r>
      <w:r w:rsidRPr="000627EF">
        <w:rPr>
          <w:rFonts w:ascii="Segoe UI" w:hAnsi="Segoe UI" w:cs="Segoe UI"/>
          <w:sz w:val="22"/>
          <w:szCs w:val="22"/>
        </w:rPr>
        <w:t xml:space="preserve"> </w:t>
      </w:r>
    </w:p>
    <w:p w14:paraId="219D6AC6" w14:textId="1B65F059" w:rsidR="004209FC" w:rsidRPr="000627EF" w:rsidRDefault="00C22C18" w:rsidP="006437E6">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sidR="00FA7BD3">
        <w:rPr>
          <w:rFonts w:ascii="Segoe UI" w:hAnsi="Segoe UI" w:cs="Segoe UI"/>
          <w:sz w:val="22"/>
          <w:szCs w:val="22"/>
        </w:rPr>
      </w:r>
      <w:r w:rsidR="00FA7BD3">
        <w:rPr>
          <w:rFonts w:ascii="Segoe UI" w:hAnsi="Segoe UI" w:cs="Segoe UI"/>
          <w:sz w:val="22"/>
          <w:szCs w:val="22"/>
        </w:rPr>
        <w:fldChar w:fldCharType="separate"/>
      </w:r>
      <w:r>
        <w:rPr>
          <w:rFonts w:ascii="Segoe UI" w:hAnsi="Segoe UI" w:cs="Segoe UI"/>
          <w:sz w:val="22"/>
          <w:szCs w:val="22"/>
        </w:rPr>
        <w:fldChar w:fldCharType="end"/>
      </w:r>
      <w:r w:rsidR="004209FC" w:rsidRPr="000627EF">
        <w:rPr>
          <w:rFonts w:ascii="Segoe UI" w:hAnsi="Segoe UI" w:cs="Segoe UI"/>
          <w:sz w:val="22"/>
          <w:szCs w:val="22"/>
        </w:rPr>
        <w:t xml:space="preserve"> </w:t>
      </w:r>
      <w:r w:rsidR="004209FC">
        <w:rPr>
          <w:rFonts w:ascii="Segoe UI" w:hAnsi="Segoe UI" w:cs="Segoe UI"/>
          <w:sz w:val="22"/>
          <w:szCs w:val="22"/>
        </w:rPr>
        <w:t>Non-inferior</w:t>
      </w:r>
    </w:p>
    <w:p w14:paraId="2F1601DA" w14:textId="77777777" w:rsidR="004209FC" w:rsidRPr="000627EF" w:rsidRDefault="004209FC" w:rsidP="006437E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00FA7BD3">
        <w:rPr>
          <w:rFonts w:ascii="Segoe UI" w:hAnsi="Segoe UI" w:cs="Segoe UI"/>
          <w:sz w:val="22"/>
          <w:szCs w:val="22"/>
        </w:rPr>
      </w:r>
      <w:r w:rsidR="00FA7BD3">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Inferior</w:t>
      </w:r>
      <w:r w:rsidRPr="000627EF">
        <w:rPr>
          <w:rFonts w:ascii="Segoe UI" w:hAnsi="Segoe UI" w:cs="Segoe UI"/>
          <w:sz w:val="22"/>
          <w:szCs w:val="22"/>
        </w:rPr>
        <w:t xml:space="preserve"> </w:t>
      </w:r>
    </w:p>
    <w:p w14:paraId="1E1E7FC3" w14:textId="4D1C7098" w:rsidR="00364572" w:rsidRDefault="00364572" w:rsidP="004A45BE">
      <w:pPr>
        <w:spacing w:after="0" w:line="240" w:lineRule="auto"/>
        <w:rPr>
          <w:rFonts w:ascii="Segoe UI" w:eastAsia="Segoe UI" w:hAnsi="Segoe UI"/>
          <w:b/>
          <w:color w:val="000000"/>
          <w:sz w:val="22"/>
        </w:rPr>
      </w:pPr>
    </w:p>
    <w:p w14:paraId="0A260CA0" w14:textId="2E8DE7C0" w:rsidR="00364572" w:rsidRPr="00364572" w:rsidRDefault="00364572" w:rsidP="00364572">
      <w:pPr>
        <w:spacing w:after="0" w:line="240" w:lineRule="auto"/>
        <w:rPr>
          <w:rFonts w:ascii="Segoe UI" w:eastAsia="Segoe UI" w:hAnsi="Segoe UI"/>
          <w:b/>
          <w:color w:val="000000"/>
          <w:sz w:val="22"/>
        </w:rPr>
      </w:pPr>
      <w:r w:rsidRPr="0026282C">
        <w:rPr>
          <w:rFonts w:ascii="Segoe UI" w:eastAsia="Segoe UI" w:hAnsi="Segoe UI" w:cs="Segoe UI"/>
          <w:b/>
          <w:bCs/>
          <w:color w:val="000000"/>
          <w:sz w:val="22"/>
          <w:szCs w:val="22"/>
        </w:rPr>
        <w:t>Please state what the overall claim is, and provide a rationale</w:t>
      </w:r>
      <w:r w:rsidRPr="00B15CDF">
        <w:rPr>
          <w:rFonts w:ascii="Segoe UI" w:eastAsia="Segoe UI" w:hAnsi="Segoe UI"/>
          <w:b/>
          <w:color w:val="000000"/>
          <w:sz w:val="22"/>
        </w:rPr>
        <w:t>:</w:t>
      </w:r>
    </w:p>
    <w:p w14:paraId="12D880D8" w14:textId="77777777" w:rsidR="004A45BE" w:rsidRDefault="004A45BE" w:rsidP="004A45BE">
      <w:pPr>
        <w:spacing w:after="0" w:line="240" w:lineRule="auto"/>
        <w:rPr>
          <w:rFonts w:ascii="Segoe UI" w:eastAsia="Segoe UI" w:hAnsi="Segoe UI"/>
          <w:b/>
          <w:color w:val="000000"/>
          <w:sz w:val="22"/>
        </w:rPr>
      </w:pPr>
    </w:p>
    <w:p w14:paraId="16D3898E" w14:textId="1A32B848" w:rsidR="004A45BE" w:rsidRDefault="00C22C18" w:rsidP="00C618F1">
      <w:pPr>
        <w:pStyle w:val="Responsetext"/>
      </w:pPr>
      <w:r>
        <w:t xml:space="preserve">Implantation of the </w:t>
      </w:r>
      <w:r w:rsidRPr="00C22C18">
        <w:t>MINIject</w:t>
      </w:r>
      <w:r>
        <w:t xml:space="preserve"> MBGS system into the suprachoroidal space provides non-inferior effectiveness and </w:t>
      </w:r>
      <w:r w:rsidR="00C618F1">
        <w:t xml:space="preserve">non-inferior </w:t>
      </w:r>
      <w:r>
        <w:t>safety to stents inserted into the trabecular meshwork</w:t>
      </w:r>
      <w:r w:rsidR="00C618F1">
        <w:t>, as part of standalone MBGS for patients with open-angle glaucoma who have failed or are intolerant to conservative therapies.</w:t>
      </w:r>
    </w:p>
    <w:p w14:paraId="21DBC4B0" w14:textId="75BB1D02" w:rsidR="00C618F1" w:rsidRDefault="00C618F1" w:rsidP="00C618F1">
      <w:pPr>
        <w:pStyle w:val="Responsetext"/>
      </w:pPr>
      <w:r>
        <w:t xml:space="preserve">The claim of non-inferior effectiveness and safety is based on an indirect comparison of the </w:t>
      </w:r>
      <w:r w:rsidR="00D54F7C">
        <w:t xml:space="preserve">generally </w:t>
      </w:r>
      <w:r>
        <w:t>similar mean level of IOP lowering achieved in patients undergoing the two procedures and similar adverse event profiles. IOP lowering is a recognised modifiable risk factor associated with improvements in long term, patient-relevant outcomes including reduced rate of visual deterioration and improved quality of life.</w:t>
      </w:r>
    </w:p>
    <w:p w14:paraId="00DC1383" w14:textId="79753ED1" w:rsidR="007B7B82" w:rsidRPr="00FF2C1E" w:rsidRDefault="007B7B82" w:rsidP="007B7B82">
      <w:pPr>
        <w:pStyle w:val="Responsetext"/>
      </w:pPr>
      <w:r>
        <w:t xml:space="preserve">The comparability of devices inserted </w:t>
      </w:r>
      <w:r w:rsidR="0088757D">
        <w:t>into</w:t>
      </w:r>
      <w:r>
        <w:t xml:space="preserve"> the two sites was recognised in PSD 1541 (p. 17, August 2019) that recommended a standalone MBGS surgery item </w:t>
      </w:r>
      <w:r w:rsidRPr="00FF2C1E">
        <w:t>“</w:t>
      </w:r>
      <w:r w:rsidRPr="005C703B">
        <w:rPr>
          <w:i/>
          <w:iCs/>
        </w:rPr>
        <w:t>ESC noted that MBGS devices include a variety of implanted, minimally invasive ocular stents and scaffolds that are placed via a corneal incision into the trabecular meshwork (TB MBGS) or suprachoroidal space (SC MBGS) of the eye. The exact positioning of implantation is specific to each device. These devices aim to improve aqueous humour outflow and lower intraocular pressure, which in turn reduces the reliance on topical hypotensive medication.  ESC noted that although MBGS devices differ in design and manufacturer specifications, the complexity and resource burden of the implantation procedure is comparable.</w:t>
      </w:r>
      <w:r w:rsidRPr="00FF2C1E">
        <w:t>”</w:t>
      </w:r>
    </w:p>
    <w:p w14:paraId="143BA100" w14:textId="6895E09F" w:rsidR="007B7B82" w:rsidRDefault="007B7B82" w:rsidP="007B7B82">
      <w:pPr>
        <w:pStyle w:val="Responsetext"/>
      </w:pPr>
      <w:r>
        <w:t xml:space="preserve">Further, it was also noted that: </w:t>
      </w:r>
      <w:r w:rsidRPr="00FF2C1E">
        <w:t>“</w:t>
      </w:r>
      <w:r w:rsidRPr="005C703B">
        <w:rPr>
          <w:i/>
          <w:iCs/>
        </w:rPr>
        <w:t>ESC recalled that MSAC previously accepted that the two types of MBGS devices are comparable and should be covered under one MBS item in the cataract surgery setting</w:t>
      </w:r>
      <w:r w:rsidRPr="00FF2C1E">
        <w:t>.”</w:t>
      </w:r>
      <w:r>
        <w:t xml:space="preserve"> (MSAC PSD 1541 p. 17, August 2019)</w:t>
      </w:r>
    </w:p>
    <w:p w14:paraId="1B1BB74D" w14:textId="49DE0D42" w:rsidR="00D54F7C" w:rsidRDefault="00D54F7C" w:rsidP="00C618F1">
      <w:pPr>
        <w:pStyle w:val="Responsetext"/>
      </w:pPr>
      <w:r>
        <w:t xml:space="preserve">Significantly greater clinical efficacy in reducing IOP from baseline has been demonstrated for MINIject compared with iStent when used in standalone MBGS via a naïve indirect treatment comparison. A statistically significant </w:t>
      </w:r>
      <w:r w:rsidR="00843ABD">
        <w:t xml:space="preserve">additional reduction </w:t>
      </w:r>
      <w:r>
        <w:t xml:space="preserve">in mean change from baseline IOP of </w:t>
      </w:r>
      <w:r w:rsidRPr="007D6D54">
        <w:t>-</w:t>
      </w:r>
      <w:r w:rsidRPr="002A6831">
        <w:t>5.20 mm Hg (95% CI -7.78, 95% CI -2.62; p</w:t>
      </w:r>
      <w:r w:rsidR="006C4413" w:rsidRPr="002A6831">
        <w:t>&lt;</w:t>
      </w:r>
      <w:r w:rsidRPr="002A6831">
        <w:t>0.00</w:t>
      </w:r>
      <w:r w:rsidR="006C4413" w:rsidRPr="002A6831">
        <w:t>1</w:t>
      </w:r>
      <w:r w:rsidRPr="002A6831">
        <w:t>) was</w:t>
      </w:r>
      <w:r>
        <w:t xml:space="preserve"> achieved </w:t>
      </w:r>
      <w:r w:rsidR="005E55C3">
        <w:t xml:space="preserve">in favour of </w:t>
      </w:r>
      <w:r>
        <w:t>MINIject vs. iStent at 6 months, with this significant difference in reduction maintained for 24 months post-surgery. However, conservatively, a claim of non-inferior effectiveness is being proposed.</w:t>
      </w:r>
    </w:p>
    <w:p w14:paraId="4F5FD34F" w14:textId="77777777" w:rsidR="00EC2275" w:rsidRDefault="00EC2275" w:rsidP="00EC2275">
      <w:pPr>
        <w:pStyle w:val="Responsetext"/>
      </w:pPr>
    </w:p>
    <w:p w14:paraId="1D37040C" w14:textId="5A52629B" w:rsidR="00EC2275" w:rsidRPr="00EC2275" w:rsidRDefault="00EC2275" w:rsidP="00EC2275">
      <w:pPr>
        <w:pStyle w:val="Responsetext"/>
        <w:rPr>
          <w:u w:val="single"/>
        </w:rPr>
      </w:pPr>
      <w:r w:rsidRPr="00EC2275">
        <w:rPr>
          <w:u w:val="single"/>
        </w:rPr>
        <w:t>Safety of suprachoroidal MBGS</w:t>
      </w:r>
      <w:r w:rsidR="001A161B">
        <w:rPr>
          <w:u w:val="single"/>
        </w:rPr>
        <w:t xml:space="preserve"> stents</w:t>
      </w:r>
    </w:p>
    <w:p w14:paraId="234D7FA7" w14:textId="45C003D8" w:rsidR="00EC2275" w:rsidRPr="00EC2275" w:rsidRDefault="00EC2275" w:rsidP="00EC2275">
      <w:pPr>
        <w:pStyle w:val="Responsetext"/>
      </w:pPr>
      <w:r w:rsidRPr="00EC2275">
        <w:t>MINIject differ</w:t>
      </w:r>
      <w:r w:rsidR="00537CAF">
        <w:t>s</w:t>
      </w:r>
      <w:r w:rsidRPr="00EC2275">
        <w:t xml:space="preserve"> from CyPass Micro-stent</w:t>
      </w:r>
      <w:r w:rsidR="003972AF">
        <w:t>,</w:t>
      </w:r>
      <w:r>
        <w:t xml:space="preserve"> a</w:t>
      </w:r>
      <w:r w:rsidR="003972AF">
        <w:t xml:space="preserve"> previous</w:t>
      </w:r>
      <w:r>
        <w:t xml:space="preserve"> suprachoroidal implant</w:t>
      </w:r>
      <w:r w:rsidRPr="00EC2275">
        <w:t xml:space="preserve"> which was </w:t>
      </w:r>
      <w:r w:rsidR="00460385">
        <w:t xml:space="preserve">voluntarily </w:t>
      </w:r>
      <w:r w:rsidRPr="00EC2275">
        <w:t>withdrawn from the market due to safety concerns</w:t>
      </w:r>
      <w:r w:rsidR="00363C13">
        <w:t xml:space="preserve"> with endothelial cell density loss</w:t>
      </w:r>
      <w:r w:rsidRPr="00EC2275">
        <w:t xml:space="preserve"> </w:t>
      </w:r>
      <w:r>
        <w:t>(leading to</w:t>
      </w:r>
      <w:r w:rsidRPr="00EC2275">
        <w:t xml:space="preserve"> suprachoroidal </w:t>
      </w:r>
      <w:r>
        <w:t>MBGS</w:t>
      </w:r>
      <w:r w:rsidRPr="00EC2275">
        <w:t xml:space="preserve"> </w:t>
      </w:r>
      <w:r>
        <w:t>being</w:t>
      </w:r>
      <w:r w:rsidRPr="00EC2275">
        <w:t xml:space="preserve"> removed from MSAC application 1541</w:t>
      </w:r>
      <w:r>
        <w:t>) in the following ways:</w:t>
      </w:r>
    </w:p>
    <w:p w14:paraId="4171A0F1" w14:textId="560598EF" w:rsidR="00EC2275" w:rsidRPr="00EC2275" w:rsidRDefault="00EC2275" w:rsidP="00EC2275">
      <w:pPr>
        <w:pStyle w:val="Responsebullet"/>
      </w:pPr>
      <w:r w:rsidRPr="00EC2275">
        <w:lastRenderedPageBreak/>
        <w:t>The material of MINIject is softer and more flexible than the CyPass Micro-stent (medical grade silicone with 2/3 empty space vs rigid polyimide) and thus better adapts to the eye anatomy. This means that MINIject is less likely to migrate long-term.</w:t>
      </w:r>
    </w:p>
    <w:p w14:paraId="3F380BB4" w14:textId="7EA98950" w:rsidR="00EC2275" w:rsidRPr="00EC2275" w:rsidRDefault="00EC2275" w:rsidP="00EC2275">
      <w:pPr>
        <w:pStyle w:val="Responsebullet"/>
      </w:pPr>
      <w:r w:rsidRPr="00EC2275">
        <w:t>MINIject is 1mm shorter than CyPass (5mm vs 6mm), and only 0.5mm remains in the anterior chamber after correct implantation, in comparison with 1mm in the anterior chamber after correct implantation with CyPass. This means that the MINIject implant is further away from the cornea and reduces the likelihood of corneal touch and subsequent endothelial cell density loss.</w:t>
      </w:r>
    </w:p>
    <w:p w14:paraId="6425BD2C" w14:textId="1A1552DA" w:rsidR="00EC2275" w:rsidRDefault="00EC2275" w:rsidP="00EC2275">
      <w:pPr>
        <w:pStyle w:val="Responsebullet"/>
      </w:pPr>
      <w:r w:rsidRPr="00EC2275">
        <w:t xml:space="preserve">The implantation time is slightly longer for MINIject than for CyPass. MINIject is not inject-ed forcefully into the suprachoroidal space as is done by the hard material of the CyPass implant, but rather the correct position within the space is achieved by the surgeon using the delivery sheath and a green marking on the implant itself, then a wheel is retracted </w:t>
      </w:r>
      <w:r w:rsidR="00B81B77">
        <w:t>in several m</w:t>
      </w:r>
      <w:r w:rsidR="004B25DE">
        <w:t xml:space="preserve">otions </w:t>
      </w:r>
      <w:r w:rsidRPr="00EC2275">
        <w:t>to withdraw the sheath which lays the implant in place.</w:t>
      </w:r>
    </w:p>
    <w:p w14:paraId="6E396416" w14:textId="1C3D5708" w:rsidR="00594633" w:rsidRPr="00EC2275" w:rsidRDefault="00594633" w:rsidP="00EC2275">
      <w:pPr>
        <w:pStyle w:val="Responsebullet"/>
      </w:pPr>
      <w:r>
        <w:t xml:space="preserve">MINIject clinical </w:t>
      </w:r>
      <w:r w:rsidR="00A57811">
        <w:t>trials</w:t>
      </w:r>
      <w:r>
        <w:t xml:space="preserve"> have be</w:t>
      </w:r>
      <w:r w:rsidR="00866922">
        <w:t>e</w:t>
      </w:r>
      <w:r>
        <w:t xml:space="preserve">n studying endothelial cell density loss from the </w:t>
      </w:r>
      <w:r w:rsidR="00866922">
        <w:t>beginning</w:t>
      </w:r>
      <w:r w:rsidR="00D74BAA">
        <w:t xml:space="preserve">. Current 3-year data for MINIject in the STAR-GLOBAL trial presented at the World Glaucoma Congress (WGC) in Rome </w:t>
      </w:r>
      <w:r w:rsidR="00977DCD">
        <w:t xml:space="preserve">in 2023 </w:t>
      </w:r>
      <w:r w:rsidR="00D74BAA">
        <w:t xml:space="preserve">showed mean endothelial cell density loss of </w:t>
      </w:r>
      <w:r w:rsidR="00D74BAA" w:rsidRPr="002A6831">
        <w:t>9% at 3 years</w:t>
      </w:r>
      <w:r w:rsidR="00A57811" w:rsidRPr="002A6831">
        <w:t xml:space="preserve"> for MINIject implanted in a standalone procedure (n=48)</w:t>
      </w:r>
      <w:r w:rsidR="00977DCD" w:rsidRPr="002A6831">
        <w:t>,</w:t>
      </w:r>
      <w:r w:rsidR="00977DCD">
        <w:t xml:space="preserve"> which is less than that seen for CyPass in the COMPASS study at 2 y</w:t>
      </w:r>
      <w:r w:rsidR="004D1504">
        <w:t>e</w:t>
      </w:r>
      <w:r w:rsidR="00977DCD">
        <w:t>ars.</w:t>
      </w:r>
      <w:r>
        <w:t xml:space="preserve"> </w:t>
      </w:r>
      <w:r w:rsidR="001A46F5">
        <w:t>ECD loss data is not readily available for MBGS devices used in</w:t>
      </w:r>
      <w:r w:rsidR="00EB036B">
        <w:t xml:space="preserve"> </w:t>
      </w:r>
      <w:r w:rsidR="001A46F5">
        <w:t>a standalone study</w:t>
      </w:r>
      <w:r w:rsidR="00EB036B">
        <w:t>,</w:t>
      </w:r>
      <w:r w:rsidR="001A46F5">
        <w:t xml:space="preserve"> apart for MINIject.</w:t>
      </w:r>
      <w:r w:rsidR="004D1504">
        <w:t xml:space="preserve"> </w:t>
      </w:r>
    </w:p>
    <w:p w14:paraId="545CC4E8" w14:textId="1627C043" w:rsidR="00F22538" w:rsidRDefault="00F22538" w:rsidP="00E9713E">
      <w:pPr>
        <w:pStyle w:val="Responsetext"/>
      </w:pPr>
      <w:r>
        <w:t xml:space="preserve">A </w:t>
      </w:r>
      <w:r w:rsidR="00E9713E">
        <w:t>comparison</w:t>
      </w:r>
      <w:r>
        <w:t xml:space="preserve"> of </w:t>
      </w:r>
      <w:r w:rsidR="0098342D">
        <w:t xml:space="preserve">key </w:t>
      </w:r>
      <w:r>
        <w:t>characteristics</w:t>
      </w:r>
      <w:r w:rsidR="00E9713E">
        <w:t xml:space="preserve"> of</w:t>
      </w:r>
      <w:r>
        <w:t xml:space="preserve"> MINIject and Cy</w:t>
      </w:r>
      <w:r w:rsidR="00E327F0">
        <w:t>P</w:t>
      </w:r>
      <w:r>
        <w:t>ass is prov</w:t>
      </w:r>
      <w:r w:rsidR="00E9713E">
        <w:t xml:space="preserve">ided in </w:t>
      </w:r>
      <w:r w:rsidR="0098342D">
        <w:fldChar w:fldCharType="begin"/>
      </w:r>
      <w:r w:rsidR="0098342D">
        <w:instrText xml:space="preserve"> REF _Ref140853295 \h </w:instrText>
      </w:r>
      <w:r w:rsidR="0098342D">
        <w:fldChar w:fldCharType="separate"/>
      </w:r>
      <w:r w:rsidR="00976372">
        <w:t xml:space="preserve">Table </w:t>
      </w:r>
      <w:r w:rsidR="00976372">
        <w:rPr>
          <w:noProof/>
        </w:rPr>
        <w:t>4</w:t>
      </w:r>
      <w:r w:rsidR="0098342D">
        <w:fldChar w:fldCharType="end"/>
      </w:r>
      <w:r w:rsidR="0098342D">
        <w:t>.</w:t>
      </w:r>
    </w:p>
    <w:p w14:paraId="267B2D2D" w14:textId="79FD8BF8" w:rsidR="0098342D" w:rsidRDefault="0098342D" w:rsidP="0098342D">
      <w:pPr>
        <w:pStyle w:val="Caption"/>
      </w:pPr>
      <w:bookmarkStart w:id="10" w:name="_Ref140853295"/>
      <w:r>
        <w:t xml:space="preserve">Table </w:t>
      </w:r>
      <w:r w:rsidR="00FA7BD3">
        <w:fldChar w:fldCharType="begin"/>
      </w:r>
      <w:r w:rsidR="00FA7BD3">
        <w:instrText xml:space="preserve"> SEQ Table \* ARABIC </w:instrText>
      </w:r>
      <w:r w:rsidR="00FA7BD3">
        <w:fldChar w:fldCharType="separate"/>
      </w:r>
      <w:r w:rsidR="00976372">
        <w:rPr>
          <w:noProof/>
        </w:rPr>
        <w:t>4</w:t>
      </w:r>
      <w:r w:rsidR="00FA7BD3">
        <w:rPr>
          <w:noProof/>
        </w:rPr>
        <w:fldChar w:fldCharType="end"/>
      </w:r>
      <w:bookmarkEnd w:id="10"/>
      <w:r>
        <w:t>: Characteristics of MINIject and Cy</w:t>
      </w:r>
      <w:r w:rsidR="00E327F0">
        <w:t>P</w:t>
      </w:r>
      <w:r>
        <w:t>ass</w:t>
      </w:r>
    </w:p>
    <w:tbl>
      <w:tblPr>
        <w:tblStyle w:val="TableGrid1"/>
        <w:tblW w:w="9351" w:type="dxa"/>
        <w:tblInd w:w="0" w:type="dxa"/>
        <w:tblLook w:val="04A0" w:firstRow="1" w:lastRow="0" w:firstColumn="1" w:lastColumn="0" w:noHBand="0" w:noVBand="1"/>
      </w:tblPr>
      <w:tblGrid>
        <w:gridCol w:w="1980"/>
        <w:gridCol w:w="3544"/>
        <w:gridCol w:w="3827"/>
      </w:tblGrid>
      <w:tr w:rsidR="00E9713E" w:rsidRPr="00E9713E" w14:paraId="61855C92" w14:textId="77777777" w:rsidTr="00D37E9F">
        <w:trPr>
          <w:trHeight w:val="246"/>
          <w:tblHeader/>
        </w:trPr>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8151C9" w14:textId="77777777" w:rsidR="00E9713E" w:rsidRPr="0098342D" w:rsidRDefault="00E9713E" w:rsidP="0098342D">
            <w:pPr>
              <w:pStyle w:val="Tablecontent"/>
              <w:rPr>
                <w:b/>
                <w:bCs/>
              </w:rP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62B65EE" w14:textId="737EA661" w:rsidR="00E9713E" w:rsidRPr="0098342D" w:rsidRDefault="00E9713E" w:rsidP="0098342D">
            <w:pPr>
              <w:pStyle w:val="Tableheading"/>
            </w:pPr>
            <w:r w:rsidRPr="0098342D">
              <w:t xml:space="preserve">MINIject </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9F25A76" w14:textId="5CC1BABE" w:rsidR="00E9713E" w:rsidRPr="0098342D" w:rsidRDefault="00E9713E" w:rsidP="0098342D">
            <w:pPr>
              <w:pStyle w:val="Tableheading"/>
            </w:pPr>
            <w:r w:rsidRPr="0098342D">
              <w:t>CyPass</w:t>
            </w:r>
          </w:p>
        </w:tc>
      </w:tr>
      <w:tr w:rsidR="00E9713E" w:rsidRPr="00E9713E" w14:paraId="3920A275" w14:textId="77777777" w:rsidTr="00B101EA">
        <w:tc>
          <w:tcPr>
            <w:tcW w:w="1980" w:type="dxa"/>
            <w:tcBorders>
              <w:top w:val="single" w:sz="4" w:space="0" w:color="auto"/>
              <w:left w:val="single" w:sz="4" w:space="0" w:color="auto"/>
              <w:bottom w:val="single" w:sz="4" w:space="0" w:color="auto"/>
              <w:right w:val="single" w:sz="4" w:space="0" w:color="auto"/>
            </w:tcBorders>
            <w:hideMark/>
          </w:tcPr>
          <w:p w14:paraId="543D490B" w14:textId="77777777" w:rsidR="00E9713E" w:rsidRPr="0098342D" w:rsidRDefault="00E9713E" w:rsidP="0098342D">
            <w:pPr>
              <w:pStyle w:val="Tablecontent"/>
              <w:rPr>
                <w:b/>
                <w:bCs/>
              </w:rPr>
            </w:pPr>
            <w:r w:rsidRPr="0098342D">
              <w:rPr>
                <w:b/>
                <w:bCs/>
              </w:rPr>
              <w:t>Manufacturer</w:t>
            </w:r>
          </w:p>
        </w:tc>
        <w:tc>
          <w:tcPr>
            <w:tcW w:w="3544" w:type="dxa"/>
            <w:tcBorders>
              <w:top w:val="single" w:sz="4" w:space="0" w:color="auto"/>
              <w:left w:val="single" w:sz="4" w:space="0" w:color="auto"/>
              <w:bottom w:val="single" w:sz="4" w:space="0" w:color="auto"/>
              <w:right w:val="single" w:sz="4" w:space="0" w:color="auto"/>
            </w:tcBorders>
            <w:hideMark/>
          </w:tcPr>
          <w:p w14:paraId="4E281C70" w14:textId="77777777" w:rsidR="00E9713E" w:rsidRPr="00E9713E" w:rsidRDefault="00E9713E" w:rsidP="00E9713E">
            <w:pPr>
              <w:pStyle w:val="Tablecontent"/>
              <w:rPr>
                <w:rFonts w:eastAsia="Segoe UI" w:cs="Segoe UI"/>
                <w:szCs w:val="20"/>
                <w:lang w:val="en-US"/>
              </w:rPr>
            </w:pPr>
            <w:r w:rsidRPr="00E9713E">
              <w:rPr>
                <w:rFonts w:eastAsia="Segoe UI" w:cs="Segoe UI"/>
                <w:szCs w:val="20"/>
                <w:lang w:val="en-US"/>
              </w:rPr>
              <w:t xml:space="preserve">iSTAR Medical </w:t>
            </w:r>
          </w:p>
        </w:tc>
        <w:tc>
          <w:tcPr>
            <w:tcW w:w="3827" w:type="dxa"/>
            <w:tcBorders>
              <w:top w:val="single" w:sz="4" w:space="0" w:color="auto"/>
              <w:left w:val="single" w:sz="4" w:space="0" w:color="auto"/>
              <w:bottom w:val="single" w:sz="4" w:space="0" w:color="auto"/>
              <w:right w:val="single" w:sz="4" w:space="0" w:color="auto"/>
            </w:tcBorders>
            <w:hideMark/>
          </w:tcPr>
          <w:p w14:paraId="73D7CEAC" w14:textId="77777777" w:rsidR="00E9713E" w:rsidRPr="00E9713E" w:rsidRDefault="00E9713E" w:rsidP="00E9713E">
            <w:pPr>
              <w:pStyle w:val="Tablecontent"/>
              <w:rPr>
                <w:rFonts w:eastAsia="Segoe UI" w:cs="Segoe UI"/>
                <w:noProof/>
                <w:szCs w:val="20"/>
                <w:lang w:val="en-US"/>
              </w:rPr>
            </w:pPr>
            <w:r w:rsidRPr="00E9713E">
              <w:rPr>
                <w:rFonts w:eastAsia="Segoe UI" w:cs="Segoe UI"/>
                <w:noProof/>
                <w:szCs w:val="20"/>
                <w:lang w:val="en-US"/>
              </w:rPr>
              <w:t>Alcon Inc.</w:t>
            </w:r>
          </w:p>
        </w:tc>
      </w:tr>
      <w:tr w:rsidR="00E9713E" w:rsidRPr="00E9713E" w14:paraId="4F5FD1CC" w14:textId="77777777" w:rsidTr="00B101EA">
        <w:tc>
          <w:tcPr>
            <w:tcW w:w="1980" w:type="dxa"/>
            <w:tcBorders>
              <w:top w:val="single" w:sz="4" w:space="0" w:color="auto"/>
              <w:left w:val="single" w:sz="4" w:space="0" w:color="auto"/>
              <w:bottom w:val="single" w:sz="4" w:space="0" w:color="auto"/>
              <w:right w:val="single" w:sz="4" w:space="0" w:color="auto"/>
            </w:tcBorders>
            <w:hideMark/>
          </w:tcPr>
          <w:p w14:paraId="340533A7" w14:textId="77777777" w:rsidR="00E9713E" w:rsidRPr="0098342D" w:rsidRDefault="00E9713E" w:rsidP="0098342D">
            <w:pPr>
              <w:pStyle w:val="Tablecontent"/>
              <w:rPr>
                <w:b/>
                <w:bCs/>
              </w:rPr>
            </w:pPr>
            <w:r w:rsidRPr="0098342D">
              <w:rPr>
                <w:b/>
                <w:bCs/>
              </w:rPr>
              <w:t>Sponsor</w:t>
            </w:r>
          </w:p>
        </w:tc>
        <w:tc>
          <w:tcPr>
            <w:tcW w:w="3544" w:type="dxa"/>
            <w:tcBorders>
              <w:top w:val="single" w:sz="4" w:space="0" w:color="auto"/>
              <w:left w:val="single" w:sz="4" w:space="0" w:color="auto"/>
              <w:bottom w:val="single" w:sz="4" w:space="0" w:color="auto"/>
              <w:right w:val="single" w:sz="4" w:space="0" w:color="auto"/>
            </w:tcBorders>
            <w:hideMark/>
          </w:tcPr>
          <w:p w14:paraId="469B5CA4" w14:textId="77777777" w:rsidR="00E9713E" w:rsidRPr="00E9713E" w:rsidRDefault="00E9713E" w:rsidP="00E9713E">
            <w:pPr>
              <w:pStyle w:val="Tablecontent"/>
              <w:rPr>
                <w:rFonts w:eastAsia="Segoe UI" w:cs="Segoe UI"/>
                <w:szCs w:val="20"/>
                <w:lang w:val="en-US"/>
              </w:rPr>
            </w:pPr>
            <w:r w:rsidRPr="00E9713E">
              <w:rPr>
                <w:rFonts w:eastAsia="Segoe UI" w:cs="Segoe UI"/>
                <w:szCs w:val="20"/>
                <w:lang w:val="en-US"/>
              </w:rPr>
              <w:t>Compliance Management Solutions</w:t>
            </w:r>
          </w:p>
        </w:tc>
        <w:tc>
          <w:tcPr>
            <w:tcW w:w="3827" w:type="dxa"/>
            <w:tcBorders>
              <w:top w:val="single" w:sz="4" w:space="0" w:color="auto"/>
              <w:left w:val="single" w:sz="4" w:space="0" w:color="auto"/>
              <w:bottom w:val="single" w:sz="4" w:space="0" w:color="auto"/>
              <w:right w:val="single" w:sz="4" w:space="0" w:color="auto"/>
            </w:tcBorders>
            <w:hideMark/>
          </w:tcPr>
          <w:p w14:paraId="513DEAA6" w14:textId="77777777" w:rsidR="00E9713E" w:rsidRPr="00E9713E" w:rsidRDefault="00E9713E" w:rsidP="00E9713E">
            <w:pPr>
              <w:pStyle w:val="Tablecontent"/>
              <w:rPr>
                <w:rFonts w:eastAsia="Segoe UI" w:cs="Segoe UI"/>
                <w:noProof/>
                <w:szCs w:val="20"/>
                <w:lang w:val="en-US"/>
              </w:rPr>
            </w:pPr>
            <w:r w:rsidRPr="00E9713E">
              <w:rPr>
                <w:rFonts w:eastAsia="Segoe UI" w:cs="Segoe UI"/>
                <w:noProof/>
                <w:szCs w:val="20"/>
                <w:lang w:val="en-US"/>
              </w:rPr>
              <w:t>Alcon</w:t>
            </w:r>
          </w:p>
        </w:tc>
      </w:tr>
      <w:tr w:rsidR="00E9713E" w:rsidRPr="00E9713E" w14:paraId="7CE2ED9E" w14:textId="77777777" w:rsidTr="00B101EA">
        <w:tc>
          <w:tcPr>
            <w:tcW w:w="1980" w:type="dxa"/>
            <w:tcBorders>
              <w:top w:val="single" w:sz="4" w:space="0" w:color="auto"/>
              <w:left w:val="single" w:sz="4" w:space="0" w:color="auto"/>
              <w:bottom w:val="single" w:sz="4" w:space="0" w:color="auto"/>
              <w:right w:val="single" w:sz="4" w:space="0" w:color="auto"/>
            </w:tcBorders>
            <w:hideMark/>
          </w:tcPr>
          <w:p w14:paraId="2A0063BD" w14:textId="77777777" w:rsidR="00E9713E" w:rsidRPr="0098342D" w:rsidRDefault="00E9713E" w:rsidP="0098342D">
            <w:pPr>
              <w:pStyle w:val="Tablecontent"/>
              <w:rPr>
                <w:b/>
                <w:bCs/>
              </w:rPr>
            </w:pPr>
            <w:r w:rsidRPr="0098342D">
              <w:rPr>
                <w:b/>
                <w:bCs/>
              </w:rPr>
              <w:t>Indication</w:t>
            </w:r>
          </w:p>
        </w:tc>
        <w:tc>
          <w:tcPr>
            <w:tcW w:w="3544" w:type="dxa"/>
            <w:tcBorders>
              <w:top w:val="single" w:sz="4" w:space="0" w:color="auto"/>
              <w:left w:val="single" w:sz="4" w:space="0" w:color="auto"/>
              <w:bottom w:val="single" w:sz="4" w:space="0" w:color="auto"/>
              <w:right w:val="single" w:sz="4" w:space="0" w:color="auto"/>
            </w:tcBorders>
            <w:hideMark/>
          </w:tcPr>
          <w:p w14:paraId="6BFF2153" w14:textId="77777777" w:rsidR="00E9713E" w:rsidRPr="00E9713E" w:rsidRDefault="00E9713E" w:rsidP="00E9713E">
            <w:pPr>
              <w:pStyle w:val="Tablecontent"/>
              <w:rPr>
                <w:rFonts w:eastAsia="Segoe UI" w:cs="Segoe UI"/>
                <w:szCs w:val="20"/>
                <w:lang w:val="en-US"/>
              </w:rPr>
            </w:pPr>
            <w:r w:rsidRPr="00E9713E">
              <w:rPr>
                <w:rFonts w:eastAsia="Segoe UI" w:cs="Segoe UI"/>
                <w:szCs w:val="20"/>
                <w:lang w:val="en-US"/>
              </w:rPr>
              <w:t>Adult patients diagnosed with OAG</w:t>
            </w:r>
          </w:p>
        </w:tc>
        <w:tc>
          <w:tcPr>
            <w:tcW w:w="3827" w:type="dxa"/>
            <w:tcBorders>
              <w:top w:val="single" w:sz="4" w:space="0" w:color="auto"/>
              <w:left w:val="single" w:sz="4" w:space="0" w:color="auto"/>
              <w:bottom w:val="single" w:sz="4" w:space="0" w:color="auto"/>
              <w:right w:val="single" w:sz="4" w:space="0" w:color="auto"/>
            </w:tcBorders>
            <w:hideMark/>
          </w:tcPr>
          <w:p w14:paraId="35AE5AEC" w14:textId="77777777" w:rsidR="00E9713E" w:rsidRPr="00E9713E" w:rsidRDefault="00E9713E" w:rsidP="00E9713E">
            <w:pPr>
              <w:pStyle w:val="Tablecontent"/>
              <w:rPr>
                <w:rFonts w:eastAsia="Segoe UI" w:cs="Segoe UI"/>
                <w:noProof/>
                <w:szCs w:val="20"/>
                <w:lang w:val="en-US"/>
              </w:rPr>
            </w:pPr>
            <w:r w:rsidRPr="00E9713E">
              <w:rPr>
                <w:rFonts w:eastAsia="Segoe UI" w:cs="Segoe UI"/>
                <w:noProof/>
                <w:szCs w:val="20"/>
                <w:lang w:val="en-US"/>
              </w:rPr>
              <w:t>Adult patients with mild to moderate primary open-angle glaucoma (POAG)</w:t>
            </w:r>
          </w:p>
        </w:tc>
      </w:tr>
      <w:tr w:rsidR="00E9713E" w:rsidRPr="00E9713E" w14:paraId="128A0AD4" w14:textId="77777777" w:rsidTr="00B101EA">
        <w:tc>
          <w:tcPr>
            <w:tcW w:w="1980" w:type="dxa"/>
            <w:tcBorders>
              <w:top w:val="single" w:sz="4" w:space="0" w:color="auto"/>
              <w:left w:val="single" w:sz="4" w:space="0" w:color="auto"/>
              <w:bottom w:val="single" w:sz="4" w:space="0" w:color="auto"/>
              <w:right w:val="single" w:sz="4" w:space="0" w:color="auto"/>
            </w:tcBorders>
            <w:hideMark/>
          </w:tcPr>
          <w:p w14:paraId="28C2B718" w14:textId="77777777" w:rsidR="00E9713E" w:rsidRPr="0098342D" w:rsidRDefault="00E9713E" w:rsidP="0098342D">
            <w:pPr>
              <w:pStyle w:val="Tablecontent"/>
              <w:rPr>
                <w:b/>
                <w:bCs/>
              </w:rPr>
            </w:pPr>
            <w:r w:rsidRPr="0098342D">
              <w:rPr>
                <w:b/>
                <w:bCs/>
              </w:rPr>
              <w:t>Material</w:t>
            </w:r>
          </w:p>
        </w:tc>
        <w:tc>
          <w:tcPr>
            <w:tcW w:w="3544" w:type="dxa"/>
            <w:tcBorders>
              <w:top w:val="single" w:sz="4" w:space="0" w:color="auto"/>
              <w:left w:val="single" w:sz="4" w:space="0" w:color="auto"/>
              <w:bottom w:val="single" w:sz="4" w:space="0" w:color="auto"/>
              <w:right w:val="single" w:sz="4" w:space="0" w:color="auto"/>
            </w:tcBorders>
          </w:tcPr>
          <w:p w14:paraId="50F6CE63" w14:textId="11147AB4" w:rsidR="00E9713E" w:rsidRPr="00E9713E" w:rsidRDefault="00E9713E" w:rsidP="00E9713E">
            <w:pPr>
              <w:pStyle w:val="Tablecontent"/>
              <w:rPr>
                <w:rFonts w:eastAsia="Segoe UI" w:cs="Segoe UI"/>
                <w:szCs w:val="20"/>
                <w:lang w:val="en-US"/>
              </w:rPr>
            </w:pPr>
            <w:r w:rsidRPr="00E9713E">
              <w:rPr>
                <w:rFonts w:eastAsia="Segoe UI" w:cs="Segoe UI"/>
                <w:szCs w:val="20"/>
                <w:lang w:val="en-US"/>
              </w:rPr>
              <w:t>Soft and flexible, porous silicone in a network geometry of hollow spheres, 2/3</w:t>
            </w:r>
            <w:r w:rsidRPr="00E9713E">
              <w:rPr>
                <w:rFonts w:eastAsia="Segoe UI" w:cs="Segoe UI"/>
                <w:szCs w:val="20"/>
                <w:vertAlign w:val="superscript"/>
                <w:lang w:val="en-US"/>
              </w:rPr>
              <w:t>rd</w:t>
            </w:r>
            <w:r w:rsidRPr="00E9713E">
              <w:rPr>
                <w:rFonts w:eastAsia="Segoe UI" w:cs="Segoe UI"/>
                <w:szCs w:val="20"/>
                <w:lang w:val="en-US"/>
              </w:rPr>
              <w:t xml:space="preserve"> empty space</w:t>
            </w:r>
          </w:p>
          <w:p w14:paraId="27588E6C" w14:textId="59B3FF2A" w:rsidR="00E9713E" w:rsidRPr="00E9713E" w:rsidRDefault="00E9713E" w:rsidP="00E9713E">
            <w:pPr>
              <w:pStyle w:val="Tablecontent"/>
              <w:rPr>
                <w:rFonts w:eastAsia="Segoe UI" w:cs="Segoe UI"/>
                <w:szCs w:val="20"/>
                <w:lang w:val="en-US"/>
              </w:rPr>
            </w:pPr>
            <w:r w:rsidRPr="00E9713E">
              <w:rPr>
                <w:rFonts w:eastAsia="Segoe UI"/>
                <w:noProof/>
                <w:sz w:val="22"/>
                <w:szCs w:val="22"/>
              </w:rPr>
              <w:drawing>
                <wp:anchor distT="0" distB="0" distL="114300" distR="114300" simplePos="0" relativeHeight="251659264" behindDoc="0" locked="0" layoutInCell="1" allowOverlap="1" wp14:anchorId="10AA14E4" wp14:editId="5E0D36BD">
                  <wp:simplePos x="0" y="0"/>
                  <wp:positionH relativeFrom="column">
                    <wp:posOffset>235585</wp:posOffset>
                  </wp:positionH>
                  <wp:positionV relativeFrom="paragraph">
                    <wp:posOffset>28575</wp:posOffset>
                  </wp:positionV>
                  <wp:extent cx="825500" cy="628015"/>
                  <wp:effectExtent l="0" t="0" r="0" b="635"/>
                  <wp:wrapNone/>
                  <wp:docPr id="1051202633" name="Picture 1051202633" descr="A close-up of a curved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202633" name="Picture 1051202633" descr="A close-up of a curved object&#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25500" cy="628015"/>
                          </a:xfrm>
                          <a:prstGeom prst="rect">
                            <a:avLst/>
                          </a:prstGeom>
                          <a:noFill/>
                        </pic:spPr>
                      </pic:pic>
                    </a:graphicData>
                  </a:graphic>
                  <wp14:sizeRelH relativeFrom="margin">
                    <wp14:pctWidth>0</wp14:pctWidth>
                  </wp14:sizeRelH>
                  <wp14:sizeRelV relativeFrom="margin">
                    <wp14:pctHeight>0</wp14:pctHeight>
                  </wp14:sizeRelV>
                </wp:anchor>
              </w:drawing>
            </w:r>
          </w:p>
          <w:p w14:paraId="0B5C92A4" w14:textId="77777777" w:rsidR="00E9713E" w:rsidRPr="00E9713E" w:rsidRDefault="00E9713E" w:rsidP="00E9713E">
            <w:pPr>
              <w:pStyle w:val="Tablecontent"/>
              <w:rPr>
                <w:rFonts w:eastAsia="Segoe UI" w:cs="Segoe UI"/>
                <w:szCs w:val="20"/>
                <w:lang w:val="en-US"/>
              </w:rPr>
            </w:pPr>
          </w:p>
          <w:p w14:paraId="7972430A" w14:textId="77777777" w:rsidR="00E9713E" w:rsidRPr="00E9713E" w:rsidRDefault="00E9713E" w:rsidP="00E9713E">
            <w:pPr>
              <w:pStyle w:val="Tablecontent"/>
              <w:rPr>
                <w:rFonts w:eastAsia="Segoe UI" w:cs="Segoe UI"/>
                <w:szCs w:val="20"/>
                <w:lang w:val="en-US"/>
              </w:rPr>
            </w:pPr>
          </w:p>
          <w:p w14:paraId="2F82CFF1" w14:textId="77777777" w:rsidR="00E9713E" w:rsidRPr="00E9713E" w:rsidRDefault="00E9713E" w:rsidP="00E9713E">
            <w:pPr>
              <w:pStyle w:val="Tablecontent"/>
              <w:rPr>
                <w:rFonts w:eastAsia="Segoe UI" w:cs="Segoe UI"/>
                <w:szCs w:val="20"/>
                <w:lang w:val="en-US"/>
              </w:rPr>
            </w:pPr>
          </w:p>
        </w:tc>
        <w:tc>
          <w:tcPr>
            <w:tcW w:w="3827" w:type="dxa"/>
            <w:tcBorders>
              <w:top w:val="single" w:sz="4" w:space="0" w:color="auto"/>
              <w:left w:val="single" w:sz="4" w:space="0" w:color="auto"/>
              <w:bottom w:val="single" w:sz="4" w:space="0" w:color="auto"/>
              <w:right w:val="single" w:sz="4" w:space="0" w:color="auto"/>
            </w:tcBorders>
            <w:hideMark/>
          </w:tcPr>
          <w:p w14:paraId="48702D63" w14:textId="77777777" w:rsidR="00E9713E" w:rsidRPr="00E9713E" w:rsidRDefault="00E9713E" w:rsidP="00E9713E">
            <w:pPr>
              <w:pStyle w:val="Tablecontent"/>
              <w:rPr>
                <w:rFonts w:eastAsia="Segoe UI" w:cs="Segoe UI"/>
                <w:szCs w:val="20"/>
                <w:lang w:val="en-US"/>
              </w:rPr>
            </w:pPr>
            <w:r w:rsidRPr="00E9713E">
              <w:rPr>
                <w:rFonts w:eastAsia="Segoe UI"/>
                <w:noProof/>
                <w:sz w:val="22"/>
                <w:szCs w:val="22"/>
              </w:rPr>
              <w:drawing>
                <wp:anchor distT="0" distB="0" distL="114300" distR="114300" simplePos="0" relativeHeight="251660288" behindDoc="1" locked="0" layoutInCell="1" allowOverlap="1" wp14:anchorId="024CBCEB" wp14:editId="17830DC7">
                  <wp:simplePos x="0" y="0"/>
                  <wp:positionH relativeFrom="column">
                    <wp:posOffset>1154430</wp:posOffset>
                  </wp:positionH>
                  <wp:positionV relativeFrom="paragraph">
                    <wp:posOffset>441960</wp:posOffset>
                  </wp:positionV>
                  <wp:extent cx="699770" cy="537845"/>
                  <wp:effectExtent l="0" t="0" r="5080" b="0"/>
                  <wp:wrapTight wrapText="bothSides">
                    <wp:wrapPolygon edited="0">
                      <wp:start x="0" y="0"/>
                      <wp:lineTo x="0" y="20656"/>
                      <wp:lineTo x="21169" y="20656"/>
                      <wp:lineTo x="21169" y="0"/>
                      <wp:lineTo x="0" y="0"/>
                    </wp:wrapPolygon>
                  </wp:wrapTight>
                  <wp:docPr id="7" name="Picture 2" descr="Supra-Choroidal Devices | Ento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upra-Choroidal Devices | Ento Key"/>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9770" cy="537845"/>
                          </a:xfrm>
                          <a:prstGeom prst="rect">
                            <a:avLst/>
                          </a:prstGeom>
                          <a:noFill/>
                        </pic:spPr>
                      </pic:pic>
                    </a:graphicData>
                  </a:graphic>
                  <wp14:sizeRelH relativeFrom="page">
                    <wp14:pctWidth>0</wp14:pctWidth>
                  </wp14:sizeRelH>
                  <wp14:sizeRelV relativeFrom="page">
                    <wp14:pctHeight>0</wp14:pctHeight>
                  </wp14:sizeRelV>
                </wp:anchor>
              </w:drawing>
            </w:r>
            <w:r w:rsidRPr="00E9713E">
              <w:rPr>
                <w:rFonts w:eastAsia="Segoe UI" w:cs="Segoe UI"/>
                <w:szCs w:val="20"/>
                <w:lang w:val="en-US"/>
              </w:rPr>
              <w:t>Hard polyimide stent</w:t>
            </w:r>
            <w:r w:rsidRPr="00E9713E">
              <w:rPr>
                <w:rFonts w:eastAsia="Segoe UI" w:cs="Segoe UI"/>
                <w:szCs w:val="20"/>
                <w:lang w:val="en-US"/>
              </w:rPr>
              <w:tab/>
            </w:r>
          </w:p>
        </w:tc>
      </w:tr>
      <w:tr w:rsidR="00E9713E" w:rsidRPr="00E9713E" w14:paraId="504717D7" w14:textId="77777777" w:rsidTr="00B101EA">
        <w:tc>
          <w:tcPr>
            <w:tcW w:w="1980" w:type="dxa"/>
            <w:tcBorders>
              <w:top w:val="single" w:sz="4" w:space="0" w:color="auto"/>
              <w:left w:val="single" w:sz="4" w:space="0" w:color="auto"/>
              <w:bottom w:val="single" w:sz="4" w:space="0" w:color="auto"/>
              <w:right w:val="single" w:sz="4" w:space="0" w:color="auto"/>
            </w:tcBorders>
            <w:hideMark/>
          </w:tcPr>
          <w:p w14:paraId="54CE3504" w14:textId="77777777" w:rsidR="00E9713E" w:rsidRPr="0098342D" w:rsidRDefault="00E9713E" w:rsidP="0098342D">
            <w:pPr>
              <w:pStyle w:val="Tablecontent"/>
              <w:rPr>
                <w:b/>
                <w:bCs/>
              </w:rPr>
            </w:pPr>
            <w:r w:rsidRPr="0098342D">
              <w:rPr>
                <w:b/>
                <w:bCs/>
              </w:rPr>
              <w:t>Size</w:t>
            </w:r>
          </w:p>
        </w:tc>
        <w:tc>
          <w:tcPr>
            <w:tcW w:w="3544" w:type="dxa"/>
            <w:tcBorders>
              <w:top w:val="single" w:sz="4" w:space="0" w:color="auto"/>
              <w:left w:val="single" w:sz="4" w:space="0" w:color="auto"/>
              <w:bottom w:val="single" w:sz="4" w:space="0" w:color="auto"/>
              <w:right w:val="single" w:sz="4" w:space="0" w:color="auto"/>
            </w:tcBorders>
            <w:hideMark/>
          </w:tcPr>
          <w:p w14:paraId="05D4B7AB" w14:textId="77777777" w:rsidR="00E9713E" w:rsidRPr="00E9713E" w:rsidRDefault="00E9713E" w:rsidP="00E9713E">
            <w:pPr>
              <w:pStyle w:val="Tablecontent"/>
              <w:rPr>
                <w:rFonts w:eastAsia="Segoe UI" w:cs="Segoe UI"/>
                <w:szCs w:val="20"/>
                <w:lang w:val="en-US"/>
              </w:rPr>
            </w:pPr>
            <w:r w:rsidRPr="00E9713E">
              <w:rPr>
                <w:rFonts w:eastAsia="Segoe UI" w:cs="Segoe UI"/>
                <w:szCs w:val="20"/>
                <w:lang w:val="en-US"/>
              </w:rPr>
              <w:t>5mm long, 1mm wide, 0.5mm tall, spherical pores of 27µm</w:t>
            </w:r>
          </w:p>
        </w:tc>
        <w:tc>
          <w:tcPr>
            <w:tcW w:w="3827" w:type="dxa"/>
            <w:tcBorders>
              <w:top w:val="single" w:sz="4" w:space="0" w:color="auto"/>
              <w:left w:val="single" w:sz="4" w:space="0" w:color="auto"/>
              <w:bottom w:val="single" w:sz="4" w:space="0" w:color="auto"/>
              <w:right w:val="single" w:sz="4" w:space="0" w:color="auto"/>
            </w:tcBorders>
            <w:hideMark/>
          </w:tcPr>
          <w:p w14:paraId="4C96CD19" w14:textId="77777777" w:rsidR="00E9713E" w:rsidRPr="00E9713E" w:rsidRDefault="00E9713E" w:rsidP="00E9713E">
            <w:pPr>
              <w:pStyle w:val="Tablecontent"/>
              <w:rPr>
                <w:rFonts w:eastAsia="Segoe UI" w:cs="Segoe UI"/>
                <w:szCs w:val="20"/>
                <w:lang w:val="en-US"/>
              </w:rPr>
            </w:pPr>
            <w:r w:rsidRPr="00E9713E">
              <w:rPr>
                <w:rFonts w:eastAsia="Segoe UI" w:cs="Segoe UI"/>
                <w:szCs w:val="20"/>
                <w:lang w:val="en-US"/>
              </w:rPr>
              <w:t>6.35mm long, outer diameter of 0.43mm, inner diameter of 0.3mm. 64 fenestrations</w:t>
            </w:r>
          </w:p>
        </w:tc>
      </w:tr>
      <w:tr w:rsidR="00E9713E" w:rsidRPr="00E9713E" w14:paraId="21B25A86" w14:textId="77777777" w:rsidTr="00B101EA">
        <w:tc>
          <w:tcPr>
            <w:tcW w:w="1980" w:type="dxa"/>
            <w:tcBorders>
              <w:top w:val="single" w:sz="4" w:space="0" w:color="auto"/>
              <w:left w:val="single" w:sz="4" w:space="0" w:color="auto"/>
              <w:bottom w:val="single" w:sz="4" w:space="0" w:color="auto"/>
              <w:right w:val="single" w:sz="4" w:space="0" w:color="auto"/>
            </w:tcBorders>
            <w:hideMark/>
          </w:tcPr>
          <w:p w14:paraId="526A7230" w14:textId="77777777" w:rsidR="00E9713E" w:rsidRPr="0098342D" w:rsidRDefault="00E9713E" w:rsidP="0098342D">
            <w:pPr>
              <w:pStyle w:val="Tablecontent"/>
              <w:rPr>
                <w:b/>
                <w:bCs/>
              </w:rPr>
            </w:pPr>
            <w:r w:rsidRPr="0098342D">
              <w:rPr>
                <w:b/>
                <w:bCs/>
              </w:rPr>
              <w:t># implants required to deliver</w:t>
            </w:r>
          </w:p>
        </w:tc>
        <w:tc>
          <w:tcPr>
            <w:tcW w:w="3544" w:type="dxa"/>
            <w:tcBorders>
              <w:top w:val="single" w:sz="4" w:space="0" w:color="auto"/>
              <w:left w:val="single" w:sz="4" w:space="0" w:color="auto"/>
              <w:bottom w:val="single" w:sz="4" w:space="0" w:color="auto"/>
              <w:right w:val="single" w:sz="4" w:space="0" w:color="auto"/>
            </w:tcBorders>
            <w:hideMark/>
          </w:tcPr>
          <w:p w14:paraId="58AB8888" w14:textId="77777777" w:rsidR="00E9713E" w:rsidRPr="00E9713E" w:rsidRDefault="00E9713E" w:rsidP="00E9713E">
            <w:pPr>
              <w:pStyle w:val="Tablecontent"/>
              <w:rPr>
                <w:rFonts w:eastAsia="Segoe UI" w:cs="Segoe UI"/>
                <w:szCs w:val="20"/>
                <w:lang w:val="en-US"/>
              </w:rPr>
            </w:pPr>
            <w:r w:rsidRPr="00E9713E">
              <w:rPr>
                <w:rFonts w:eastAsia="Segoe UI" w:cs="Segoe UI"/>
                <w:szCs w:val="20"/>
                <w:lang w:val="en-US"/>
              </w:rPr>
              <w:t>1</w:t>
            </w:r>
          </w:p>
        </w:tc>
        <w:tc>
          <w:tcPr>
            <w:tcW w:w="3827" w:type="dxa"/>
            <w:tcBorders>
              <w:top w:val="single" w:sz="4" w:space="0" w:color="auto"/>
              <w:left w:val="single" w:sz="4" w:space="0" w:color="auto"/>
              <w:bottom w:val="single" w:sz="4" w:space="0" w:color="auto"/>
              <w:right w:val="single" w:sz="4" w:space="0" w:color="auto"/>
            </w:tcBorders>
            <w:hideMark/>
          </w:tcPr>
          <w:p w14:paraId="47A1B53A" w14:textId="77777777" w:rsidR="00E9713E" w:rsidRPr="00E9713E" w:rsidRDefault="00E9713E" w:rsidP="00E9713E">
            <w:pPr>
              <w:pStyle w:val="Tablecontent"/>
              <w:rPr>
                <w:rFonts w:eastAsia="Segoe UI" w:cs="Segoe UI"/>
                <w:szCs w:val="20"/>
                <w:lang w:val="en-US"/>
              </w:rPr>
            </w:pPr>
            <w:r w:rsidRPr="00E9713E">
              <w:rPr>
                <w:rFonts w:eastAsia="Segoe UI" w:cs="Segoe UI"/>
                <w:szCs w:val="20"/>
                <w:lang w:val="en-US"/>
              </w:rPr>
              <w:t>1</w:t>
            </w:r>
          </w:p>
        </w:tc>
      </w:tr>
      <w:tr w:rsidR="00E9713E" w:rsidRPr="00E9713E" w14:paraId="359313E0" w14:textId="77777777" w:rsidTr="00B101EA">
        <w:tc>
          <w:tcPr>
            <w:tcW w:w="1980" w:type="dxa"/>
            <w:tcBorders>
              <w:top w:val="single" w:sz="4" w:space="0" w:color="auto"/>
              <w:left w:val="single" w:sz="4" w:space="0" w:color="auto"/>
              <w:bottom w:val="single" w:sz="4" w:space="0" w:color="auto"/>
              <w:right w:val="single" w:sz="4" w:space="0" w:color="auto"/>
            </w:tcBorders>
            <w:hideMark/>
          </w:tcPr>
          <w:p w14:paraId="52478219" w14:textId="77777777" w:rsidR="00E9713E" w:rsidRPr="0098342D" w:rsidRDefault="00E9713E" w:rsidP="0098342D">
            <w:pPr>
              <w:pStyle w:val="Tablecontent"/>
              <w:rPr>
                <w:b/>
                <w:bCs/>
              </w:rPr>
            </w:pPr>
            <w:r w:rsidRPr="0098342D">
              <w:rPr>
                <w:b/>
                <w:bCs/>
              </w:rPr>
              <w:t>Procedure type</w:t>
            </w:r>
          </w:p>
        </w:tc>
        <w:tc>
          <w:tcPr>
            <w:tcW w:w="3544" w:type="dxa"/>
            <w:tcBorders>
              <w:top w:val="single" w:sz="4" w:space="0" w:color="auto"/>
              <w:left w:val="single" w:sz="4" w:space="0" w:color="auto"/>
              <w:bottom w:val="single" w:sz="4" w:space="0" w:color="auto"/>
              <w:right w:val="single" w:sz="4" w:space="0" w:color="auto"/>
            </w:tcBorders>
            <w:hideMark/>
          </w:tcPr>
          <w:p w14:paraId="1C56D47F" w14:textId="77777777" w:rsidR="00E9713E" w:rsidRPr="00E9713E" w:rsidRDefault="00E9713E" w:rsidP="00E9713E">
            <w:pPr>
              <w:pStyle w:val="Tablecontent"/>
              <w:rPr>
                <w:rFonts w:eastAsia="Segoe UI" w:cs="Segoe UI"/>
                <w:szCs w:val="20"/>
                <w:lang w:val="en-US"/>
              </w:rPr>
            </w:pPr>
            <w:r w:rsidRPr="00E9713E">
              <w:rPr>
                <w:rFonts w:eastAsia="Segoe UI" w:cs="Segoe UI"/>
                <w:szCs w:val="20"/>
              </w:rPr>
              <w:t>Ab interno, minimally-invasive, no bleb or MMC</w:t>
            </w:r>
          </w:p>
        </w:tc>
        <w:tc>
          <w:tcPr>
            <w:tcW w:w="3827" w:type="dxa"/>
            <w:tcBorders>
              <w:top w:val="single" w:sz="4" w:space="0" w:color="auto"/>
              <w:left w:val="single" w:sz="4" w:space="0" w:color="auto"/>
              <w:bottom w:val="single" w:sz="4" w:space="0" w:color="auto"/>
              <w:right w:val="single" w:sz="4" w:space="0" w:color="auto"/>
            </w:tcBorders>
            <w:hideMark/>
          </w:tcPr>
          <w:p w14:paraId="4A22D6B1" w14:textId="77777777" w:rsidR="00E9713E" w:rsidRPr="00E9713E" w:rsidRDefault="00E9713E" w:rsidP="00E9713E">
            <w:pPr>
              <w:pStyle w:val="Tablecontent"/>
              <w:rPr>
                <w:rFonts w:eastAsia="Segoe UI" w:cs="Segoe UI"/>
                <w:szCs w:val="20"/>
                <w:lang w:val="en-US"/>
              </w:rPr>
            </w:pPr>
            <w:r w:rsidRPr="00E9713E">
              <w:rPr>
                <w:rFonts w:eastAsia="Segoe UI" w:cs="Segoe UI"/>
                <w:szCs w:val="20"/>
              </w:rPr>
              <w:t>Ab interno, minimally-invasive, no bleb or MMC</w:t>
            </w:r>
          </w:p>
        </w:tc>
      </w:tr>
      <w:tr w:rsidR="00E9713E" w:rsidRPr="00E9713E" w14:paraId="38FD2489" w14:textId="77777777" w:rsidTr="00B101EA">
        <w:tc>
          <w:tcPr>
            <w:tcW w:w="1980" w:type="dxa"/>
            <w:tcBorders>
              <w:top w:val="single" w:sz="4" w:space="0" w:color="auto"/>
              <w:left w:val="single" w:sz="4" w:space="0" w:color="auto"/>
              <w:bottom w:val="single" w:sz="4" w:space="0" w:color="auto"/>
              <w:right w:val="single" w:sz="4" w:space="0" w:color="auto"/>
            </w:tcBorders>
            <w:hideMark/>
          </w:tcPr>
          <w:p w14:paraId="666E4E77" w14:textId="77777777" w:rsidR="00E9713E" w:rsidRPr="0098342D" w:rsidRDefault="00E9713E" w:rsidP="0098342D">
            <w:pPr>
              <w:pStyle w:val="Tablecontent"/>
              <w:rPr>
                <w:b/>
                <w:bCs/>
              </w:rPr>
            </w:pPr>
            <w:r w:rsidRPr="0098342D">
              <w:rPr>
                <w:b/>
                <w:bCs/>
              </w:rPr>
              <w:t>Implantation location</w:t>
            </w:r>
          </w:p>
        </w:tc>
        <w:tc>
          <w:tcPr>
            <w:tcW w:w="3544" w:type="dxa"/>
            <w:tcBorders>
              <w:top w:val="single" w:sz="4" w:space="0" w:color="auto"/>
              <w:left w:val="single" w:sz="4" w:space="0" w:color="auto"/>
              <w:bottom w:val="single" w:sz="4" w:space="0" w:color="auto"/>
              <w:right w:val="single" w:sz="4" w:space="0" w:color="auto"/>
            </w:tcBorders>
            <w:hideMark/>
          </w:tcPr>
          <w:p w14:paraId="30C5201F" w14:textId="77777777" w:rsidR="00E9713E" w:rsidRPr="00E9713E" w:rsidRDefault="00E9713E" w:rsidP="00E9713E">
            <w:pPr>
              <w:pStyle w:val="Tablecontent"/>
              <w:rPr>
                <w:rFonts w:eastAsia="Segoe UI" w:cs="Segoe UI"/>
                <w:szCs w:val="20"/>
                <w:lang w:val="en-US"/>
              </w:rPr>
            </w:pPr>
            <w:r w:rsidRPr="00E9713E">
              <w:rPr>
                <w:rFonts w:eastAsia="Segoe UI" w:cs="Segoe UI"/>
                <w:szCs w:val="20"/>
                <w:lang w:val="en-US"/>
              </w:rPr>
              <w:t>Suprachoroidal space (natural drainage pathway)</w:t>
            </w:r>
          </w:p>
        </w:tc>
        <w:tc>
          <w:tcPr>
            <w:tcW w:w="3827" w:type="dxa"/>
            <w:tcBorders>
              <w:top w:val="single" w:sz="4" w:space="0" w:color="auto"/>
              <w:left w:val="single" w:sz="4" w:space="0" w:color="auto"/>
              <w:bottom w:val="single" w:sz="4" w:space="0" w:color="auto"/>
              <w:right w:val="single" w:sz="4" w:space="0" w:color="auto"/>
            </w:tcBorders>
            <w:hideMark/>
          </w:tcPr>
          <w:p w14:paraId="156E0687" w14:textId="77777777" w:rsidR="00E9713E" w:rsidRPr="00E9713E" w:rsidRDefault="00E9713E" w:rsidP="00E9713E">
            <w:pPr>
              <w:pStyle w:val="Tablecontent"/>
              <w:rPr>
                <w:rFonts w:eastAsia="Segoe UI" w:cs="Segoe UI"/>
                <w:szCs w:val="20"/>
                <w:lang w:val="en-US"/>
              </w:rPr>
            </w:pPr>
            <w:r w:rsidRPr="00E9713E">
              <w:rPr>
                <w:rFonts w:eastAsia="Segoe UI" w:cs="Segoe UI"/>
                <w:szCs w:val="20"/>
                <w:lang w:val="en-US"/>
              </w:rPr>
              <w:t>Suprachoroidal space (natural drainage pathway)</w:t>
            </w:r>
          </w:p>
        </w:tc>
      </w:tr>
      <w:tr w:rsidR="00E9713E" w:rsidRPr="00E9713E" w14:paraId="0DCC1EC4" w14:textId="77777777" w:rsidTr="00B101EA">
        <w:tc>
          <w:tcPr>
            <w:tcW w:w="1980" w:type="dxa"/>
            <w:tcBorders>
              <w:top w:val="single" w:sz="4" w:space="0" w:color="auto"/>
              <w:left w:val="single" w:sz="4" w:space="0" w:color="auto"/>
              <w:bottom w:val="single" w:sz="4" w:space="0" w:color="auto"/>
              <w:right w:val="single" w:sz="4" w:space="0" w:color="auto"/>
            </w:tcBorders>
            <w:hideMark/>
          </w:tcPr>
          <w:p w14:paraId="626F7E26" w14:textId="77777777" w:rsidR="00E9713E" w:rsidRPr="0098342D" w:rsidRDefault="00E9713E" w:rsidP="0098342D">
            <w:pPr>
              <w:pStyle w:val="Tablecontent"/>
              <w:rPr>
                <w:b/>
                <w:bCs/>
              </w:rPr>
            </w:pPr>
            <w:r w:rsidRPr="0098342D">
              <w:rPr>
                <w:b/>
                <w:bCs/>
              </w:rPr>
              <w:t>Mechanism of action</w:t>
            </w:r>
          </w:p>
        </w:tc>
        <w:tc>
          <w:tcPr>
            <w:tcW w:w="3544" w:type="dxa"/>
            <w:tcBorders>
              <w:top w:val="single" w:sz="4" w:space="0" w:color="auto"/>
              <w:left w:val="single" w:sz="4" w:space="0" w:color="auto"/>
              <w:bottom w:val="single" w:sz="4" w:space="0" w:color="auto"/>
              <w:right w:val="single" w:sz="4" w:space="0" w:color="auto"/>
            </w:tcBorders>
            <w:hideMark/>
          </w:tcPr>
          <w:p w14:paraId="6A476499" w14:textId="77777777" w:rsidR="00E9713E" w:rsidRPr="00E9713E" w:rsidRDefault="00E9713E" w:rsidP="00E9713E">
            <w:pPr>
              <w:pStyle w:val="Tablecontent"/>
              <w:rPr>
                <w:rFonts w:eastAsia="Segoe UI" w:cs="Segoe UI"/>
                <w:szCs w:val="20"/>
                <w:lang w:val="en-US"/>
              </w:rPr>
            </w:pPr>
            <w:r w:rsidRPr="00E9713E">
              <w:rPr>
                <w:rFonts w:eastAsia="Segoe UI" w:cs="Segoe UI"/>
                <w:szCs w:val="20"/>
                <w:lang w:val="en-US"/>
              </w:rPr>
              <w:t>Unconventional pathway: aqueous passes through the supraciliary space to the suprachoroidal space where it is drained both by the sclera to be resorbed by orbital vessels and the choroid to drain through vortex veins.</w:t>
            </w:r>
          </w:p>
        </w:tc>
        <w:tc>
          <w:tcPr>
            <w:tcW w:w="3827" w:type="dxa"/>
            <w:tcBorders>
              <w:top w:val="single" w:sz="4" w:space="0" w:color="auto"/>
              <w:left w:val="single" w:sz="4" w:space="0" w:color="auto"/>
              <w:bottom w:val="single" w:sz="4" w:space="0" w:color="auto"/>
              <w:right w:val="single" w:sz="4" w:space="0" w:color="auto"/>
            </w:tcBorders>
            <w:hideMark/>
          </w:tcPr>
          <w:p w14:paraId="4FEB37E5" w14:textId="77777777" w:rsidR="00E9713E" w:rsidRPr="00E9713E" w:rsidRDefault="00E9713E" w:rsidP="00E9713E">
            <w:pPr>
              <w:pStyle w:val="Tablecontent"/>
              <w:rPr>
                <w:rFonts w:eastAsia="Segoe UI" w:cs="Segoe UI"/>
                <w:szCs w:val="20"/>
                <w:lang w:val="en-US"/>
              </w:rPr>
            </w:pPr>
            <w:r w:rsidRPr="00E9713E">
              <w:rPr>
                <w:rFonts w:eastAsia="Segoe UI" w:cs="Segoe UI"/>
                <w:szCs w:val="20"/>
                <w:lang w:val="en-US"/>
              </w:rPr>
              <w:t>Unconventional pathway: aqueous passes through the supraciliary space to the suprachoroidal space where it is drained both by the sclera to be resorbed by orbital vessels and the choroid to drain through vortex veins.</w:t>
            </w:r>
          </w:p>
        </w:tc>
      </w:tr>
      <w:tr w:rsidR="00E9713E" w:rsidRPr="00E9713E" w14:paraId="095AF871" w14:textId="77777777" w:rsidTr="00B101EA">
        <w:tc>
          <w:tcPr>
            <w:tcW w:w="1980" w:type="dxa"/>
            <w:tcBorders>
              <w:top w:val="single" w:sz="4" w:space="0" w:color="auto"/>
              <w:left w:val="single" w:sz="4" w:space="0" w:color="auto"/>
              <w:bottom w:val="single" w:sz="4" w:space="0" w:color="auto"/>
              <w:right w:val="single" w:sz="4" w:space="0" w:color="auto"/>
            </w:tcBorders>
            <w:hideMark/>
          </w:tcPr>
          <w:p w14:paraId="6AC4FF1F" w14:textId="77777777" w:rsidR="00E9713E" w:rsidRPr="0098342D" w:rsidRDefault="00E9713E" w:rsidP="0098342D">
            <w:pPr>
              <w:pStyle w:val="Tablecontent"/>
              <w:rPr>
                <w:b/>
                <w:bCs/>
              </w:rPr>
            </w:pPr>
            <w:r w:rsidRPr="0098342D">
              <w:rPr>
                <w:b/>
                <w:bCs/>
              </w:rPr>
              <w:lastRenderedPageBreak/>
              <w:t>Deployment steps</w:t>
            </w:r>
          </w:p>
        </w:tc>
        <w:tc>
          <w:tcPr>
            <w:tcW w:w="3544" w:type="dxa"/>
            <w:tcBorders>
              <w:top w:val="single" w:sz="4" w:space="0" w:color="auto"/>
              <w:left w:val="single" w:sz="4" w:space="0" w:color="auto"/>
              <w:bottom w:val="single" w:sz="4" w:space="0" w:color="auto"/>
              <w:right w:val="single" w:sz="4" w:space="0" w:color="auto"/>
            </w:tcBorders>
            <w:hideMark/>
          </w:tcPr>
          <w:p w14:paraId="227C31C3" w14:textId="77777777" w:rsidR="00E9713E" w:rsidRPr="00E9713E" w:rsidRDefault="00E9713E" w:rsidP="00E9713E">
            <w:pPr>
              <w:pStyle w:val="Tablecontent"/>
              <w:rPr>
                <w:rFonts w:eastAsia="Segoe UI" w:cs="Segoe UI"/>
                <w:szCs w:val="20"/>
                <w:lang w:val="en-US"/>
              </w:rPr>
            </w:pPr>
            <w:r w:rsidRPr="00E9713E">
              <w:rPr>
                <w:rFonts w:eastAsia="Segoe UI" w:cs="Segoe UI"/>
                <w:szCs w:val="20"/>
                <w:lang w:val="en-US"/>
              </w:rPr>
              <w:t>Insert sheath of handle into desired implantation location in supraciliary space and roll back wheel to withdraw sheath to lay implant in place</w:t>
            </w:r>
          </w:p>
        </w:tc>
        <w:tc>
          <w:tcPr>
            <w:tcW w:w="3827" w:type="dxa"/>
            <w:tcBorders>
              <w:top w:val="single" w:sz="4" w:space="0" w:color="auto"/>
              <w:left w:val="single" w:sz="4" w:space="0" w:color="auto"/>
              <w:bottom w:val="single" w:sz="4" w:space="0" w:color="auto"/>
              <w:right w:val="single" w:sz="4" w:space="0" w:color="auto"/>
            </w:tcBorders>
            <w:hideMark/>
          </w:tcPr>
          <w:p w14:paraId="118DD617" w14:textId="77777777" w:rsidR="00E9713E" w:rsidRPr="00E9713E" w:rsidRDefault="00E9713E" w:rsidP="00E9713E">
            <w:pPr>
              <w:pStyle w:val="Tablecontent"/>
              <w:rPr>
                <w:rFonts w:eastAsia="Segoe UI" w:cs="Segoe UI"/>
                <w:szCs w:val="20"/>
                <w:lang w:val="en-US"/>
              </w:rPr>
            </w:pPr>
            <w:r w:rsidRPr="00E9713E">
              <w:rPr>
                <w:rFonts w:eastAsia="Segoe UI" w:cs="Segoe UI"/>
                <w:szCs w:val="20"/>
                <w:lang w:val="en-US"/>
              </w:rPr>
              <w:t xml:space="preserve">Insert the tip of the guidewire into desired implantation location and advance with the stent into the supraciliary space. Then use the front button to retract the guidewire and leave the stent in position. </w:t>
            </w:r>
          </w:p>
        </w:tc>
      </w:tr>
      <w:tr w:rsidR="00E9713E" w:rsidRPr="00E9713E" w14:paraId="511A7412" w14:textId="77777777" w:rsidTr="00B101EA">
        <w:tc>
          <w:tcPr>
            <w:tcW w:w="1980" w:type="dxa"/>
            <w:tcBorders>
              <w:top w:val="single" w:sz="4" w:space="0" w:color="auto"/>
              <w:left w:val="single" w:sz="4" w:space="0" w:color="auto"/>
              <w:bottom w:val="single" w:sz="4" w:space="0" w:color="auto"/>
              <w:right w:val="single" w:sz="4" w:space="0" w:color="auto"/>
            </w:tcBorders>
            <w:hideMark/>
          </w:tcPr>
          <w:p w14:paraId="01F9B07E" w14:textId="77777777" w:rsidR="00E9713E" w:rsidRPr="0098342D" w:rsidRDefault="00E9713E" w:rsidP="0098342D">
            <w:pPr>
              <w:pStyle w:val="Tablecontent"/>
              <w:rPr>
                <w:b/>
                <w:bCs/>
              </w:rPr>
            </w:pPr>
            <w:r w:rsidRPr="0098342D">
              <w:rPr>
                <w:b/>
                <w:bCs/>
              </w:rPr>
              <w:t>Size of implant in the anterior chamber when correctly positioned</w:t>
            </w:r>
          </w:p>
        </w:tc>
        <w:tc>
          <w:tcPr>
            <w:tcW w:w="3544" w:type="dxa"/>
            <w:tcBorders>
              <w:top w:val="single" w:sz="4" w:space="0" w:color="auto"/>
              <w:left w:val="single" w:sz="4" w:space="0" w:color="auto"/>
              <w:bottom w:val="single" w:sz="4" w:space="0" w:color="auto"/>
              <w:right w:val="single" w:sz="4" w:space="0" w:color="auto"/>
            </w:tcBorders>
            <w:hideMark/>
          </w:tcPr>
          <w:p w14:paraId="62F4700B" w14:textId="77777777" w:rsidR="00E9713E" w:rsidRPr="00E9713E" w:rsidRDefault="00E9713E" w:rsidP="00E9713E">
            <w:pPr>
              <w:pStyle w:val="Tablecontent"/>
              <w:rPr>
                <w:rFonts w:eastAsia="Segoe UI" w:cs="Segoe UI"/>
                <w:szCs w:val="20"/>
                <w:lang w:val="en-US"/>
              </w:rPr>
            </w:pPr>
            <w:r w:rsidRPr="00E9713E">
              <w:rPr>
                <w:rFonts w:eastAsia="Segoe UI" w:cs="Segoe UI"/>
                <w:szCs w:val="20"/>
                <w:lang w:val="en-US"/>
              </w:rPr>
              <w:t>≤0.5mm</w:t>
            </w:r>
          </w:p>
        </w:tc>
        <w:tc>
          <w:tcPr>
            <w:tcW w:w="3827" w:type="dxa"/>
            <w:tcBorders>
              <w:top w:val="single" w:sz="4" w:space="0" w:color="auto"/>
              <w:left w:val="single" w:sz="4" w:space="0" w:color="auto"/>
              <w:bottom w:val="single" w:sz="4" w:space="0" w:color="auto"/>
              <w:right w:val="single" w:sz="4" w:space="0" w:color="auto"/>
            </w:tcBorders>
            <w:hideMark/>
          </w:tcPr>
          <w:p w14:paraId="567B3E86" w14:textId="77777777" w:rsidR="00E9713E" w:rsidRPr="00E9713E" w:rsidRDefault="00E9713E" w:rsidP="00E9713E">
            <w:pPr>
              <w:pStyle w:val="Tablecontent"/>
              <w:rPr>
                <w:rFonts w:eastAsia="Segoe UI" w:cs="Segoe UI"/>
                <w:szCs w:val="20"/>
                <w:lang w:val="en-US"/>
              </w:rPr>
            </w:pPr>
            <w:r w:rsidRPr="00E9713E">
              <w:rPr>
                <w:rFonts w:eastAsia="Segoe UI" w:cs="Segoe UI"/>
                <w:szCs w:val="20"/>
                <w:lang w:val="en-US"/>
              </w:rPr>
              <w:t>≤1mm</w:t>
            </w:r>
          </w:p>
        </w:tc>
      </w:tr>
      <w:tr w:rsidR="00E9713E" w:rsidRPr="00E9713E" w14:paraId="1F2CC604" w14:textId="77777777" w:rsidTr="00B101EA">
        <w:tc>
          <w:tcPr>
            <w:tcW w:w="1980" w:type="dxa"/>
            <w:tcBorders>
              <w:top w:val="single" w:sz="4" w:space="0" w:color="auto"/>
              <w:left w:val="single" w:sz="4" w:space="0" w:color="auto"/>
              <w:bottom w:val="single" w:sz="4" w:space="0" w:color="auto"/>
              <w:right w:val="single" w:sz="4" w:space="0" w:color="auto"/>
            </w:tcBorders>
            <w:hideMark/>
          </w:tcPr>
          <w:p w14:paraId="7EE3A4C3" w14:textId="77777777" w:rsidR="00E9713E" w:rsidRPr="0098342D" w:rsidRDefault="00E9713E" w:rsidP="0098342D">
            <w:pPr>
              <w:pStyle w:val="Tablecontent"/>
              <w:rPr>
                <w:b/>
                <w:bCs/>
              </w:rPr>
            </w:pPr>
            <w:r w:rsidRPr="0098342D">
              <w:rPr>
                <w:b/>
                <w:bCs/>
              </w:rPr>
              <w:t>MRI information</w:t>
            </w:r>
          </w:p>
        </w:tc>
        <w:tc>
          <w:tcPr>
            <w:tcW w:w="3544" w:type="dxa"/>
            <w:tcBorders>
              <w:top w:val="single" w:sz="4" w:space="0" w:color="auto"/>
              <w:left w:val="single" w:sz="4" w:space="0" w:color="auto"/>
              <w:bottom w:val="single" w:sz="4" w:space="0" w:color="auto"/>
              <w:right w:val="single" w:sz="4" w:space="0" w:color="auto"/>
            </w:tcBorders>
            <w:hideMark/>
          </w:tcPr>
          <w:p w14:paraId="7E34BEF4" w14:textId="77777777" w:rsidR="00E9713E" w:rsidRPr="00E9713E" w:rsidRDefault="00E9713E" w:rsidP="00E9713E">
            <w:pPr>
              <w:pStyle w:val="Tablecontent"/>
              <w:rPr>
                <w:rFonts w:eastAsia="Segoe UI" w:cs="Segoe UI"/>
                <w:szCs w:val="20"/>
                <w:lang w:val="en-US"/>
              </w:rPr>
            </w:pPr>
            <w:r w:rsidRPr="00E9713E">
              <w:rPr>
                <w:rFonts w:eastAsia="Segoe UI" w:cs="Segoe UI"/>
                <w:szCs w:val="20"/>
                <w:lang w:val="en-US"/>
              </w:rPr>
              <w:t>MRI safe</w:t>
            </w:r>
          </w:p>
        </w:tc>
        <w:tc>
          <w:tcPr>
            <w:tcW w:w="3827" w:type="dxa"/>
            <w:tcBorders>
              <w:top w:val="single" w:sz="4" w:space="0" w:color="auto"/>
              <w:left w:val="single" w:sz="4" w:space="0" w:color="auto"/>
              <w:bottom w:val="single" w:sz="4" w:space="0" w:color="auto"/>
              <w:right w:val="single" w:sz="4" w:space="0" w:color="auto"/>
            </w:tcBorders>
            <w:hideMark/>
          </w:tcPr>
          <w:p w14:paraId="488E890E" w14:textId="77777777" w:rsidR="00E9713E" w:rsidRPr="00E9713E" w:rsidRDefault="00E9713E" w:rsidP="00E9713E">
            <w:pPr>
              <w:pStyle w:val="Tablecontent"/>
              <w:rPr>
                <w:rFonts w:eastAsia="Segoe UI" w:cs="Segoe UI"/>
                <w:szCs w:val="20"/>
                <w:lang w:val="en-US"/>
              </w:rPr>
            </w:pPr>
            <w:r w:rsidRPr="00E9713E">
              <w:rPr>
                <w:rFonts w:eastAsia="Segoe UI" w:cs="Segoe UI"/>
                <w:szCs w:val="20"/>
                <w:lang w:val="en-US"/>
              </w:rPr>
              <w:t>MRI safe</w:t>
            </w:r>
          </w:p>
        </w:tc>
      </w:tr>
      <w:tr w:rsidR="00E9713E" w:rsidRPr="00E9713E" w14:paraId="1C14FB8F" w14:textId="77777777" w:rsidTr="002A6831">
        <w:tc>
          <w:tcPr>
            <w:tcW w:w="1980" w:type="dxa"/>
            <w:tcBorders>
              <w:top w:val="single" w:sz="4" w:space="0" w:color="auto"/>
              <w:left w:val="single" w:sz="4" w:space="0" w:color="auto"/>
              <w:bottom w:val="single" w:sz="4" w:space="0" w:color="auto"/>
              <w:right w:val="single" w:sz="4" w:space="0" w:color="auto"/>
            </w:tcBorders>
            <w:hideMark/>
          </w:tcPr>
          <w:p w14:paraId="13B53876" w14:textId="77777777" w:rsidR="00E9713E" w:rsidRPr="0098342D" w:rsidRDefault="00E9713E" w:rsidP="0098342D">
            <w:pPr>
              <w:pStyle w:val="Tablecontent"/>
              <w:rPr>
                <w:b/>
                <w:bCs/>
              </w:rPr>
            </w:pPr>
            <w:r w:rsidRPr="0098342D">
              <w:rPr>
                <w:b/>
                <w:bCs/>
              </w:rPr>
              <w:t>Mean IOP reduction 3Y</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2A43B267" w14:textId="77777777" w:rsidR="00E9713E" w:rsidRPr="002A6831" w:rsidRDefault="00E9713E" w:rsidP="00E9713E">
            <w:pPr>
              <w:pStyle w:val="Tablecontent"/>
              <w:rPr>
                <w:rFonts w:eastAsia="Segoe UI" w:cs="Segoe UI"/>
                <w:szCs w:val="20"/>
                <w:lang w:val="en-US"/>
              </w:rPr>
            </w:pPr>
            <w:r w:rsidRPr="002A6831">
              <w:rPr>
                <w:rFonts w:eastAsia="Segoe UI" w:cs="Segoe UI"/>
                <w:szCs w:val="20"/>
                <w:lang w:val="en-US"/>
              </w:rPr>
              <w:t>-8.5mmHg*</w:t>
            </w:r>
          </w:p>
        </w:tc>
        <w:tc>
          <w:tcPr>
            <w:tcW w:w="3827" w:type="dxa"/>
            <w:tcBorders>
              <w:top w:val="single" w:sz="4" w:space="0" w:color="auto"/>
              <w:left w:val="single" w:sz="4" w:space="0" w:color="auto"/>
              <w:bottom w:val="single" w:sz="4" w:space="0" w:color="auto"/>
              <w:right w:val="single" w:sz="4" w:space="0" w:color="auto"/>
            </w:tcBorders>
            <w:hideMark/>
          </w:tcPr>
          <w:p w14:paraId="021FE15A" w14:textId="77777777" w:rsidR="00E9713E" w:rsidRPr="00E9713E" w:rsidRDefault="00E9713E" w:rsidP="00E9713E">
            <w:pPr>
              <w:pStyle w:val="Tablecontent"/>
              <w:rPr>
                <w:rFonts w:eastAsia="Segoe UI" w:cs="Segoe UI"/>
                <w:szCs w:val="20"/>
                <w:lang w:val="en-US"/>
              </w:rPr>
            </w:pPr>
            <w:r w:rsidRPr="00E9713E">
              <w:rPr>
                <w:rFonts w:eastAsia="Segoe UI" w:cs="Segoe UI"/>
                <w:szCs w:val="20"/>
                <w:lang w:val="en-US"/>
              </w:rPr>
              <w:t>-4.5mmHg**</w:t>
            </w:r>
          </w:p>
        </w:tc>
      </w:tr>
      <w:tr w:rsidR="00E9713E" w:rsidRPr="00E9713E" w14:paraId="0B6926E7" w14:textId="77777777" w:rsidTr="002A6831">
        <w:tc>
          <w:tcPr>
            <w:tcW w:w="1980" w:type="dxa"/>
            <w:tcBorders>
              <w:top w:val="single" w:sz="4" w:space="0" w:color="auto"/>
              <w:left w:val="single" w:sz="4" w:space="0" w:color="auto"/>
              <w:bottom w:val="single" w:sz="4" w:space="0" w:color="auto"/>
              <w:right w:val="single" w:sz="4" w:space="0" w:color="auto"/>
            </w:tcBorders>
            <w:hideMark/>
          </w:tcPr>
          <w:p w14:paraId="6C0369D3" w14:textId="77777777" w:rsidR="00E9713E" w:rsidRPr="0098342D" w:rsidRDefault="00E9713E" w:rsidP="0098342D">
            <w:pPr>
              <w:pStyle w:val="Tablecontent"/>
              <w:rPr>
                <w:b/>
                <w:bCs/>
              </w:rPr>
            </w:pPr>
            <w:r w:rsidRPr="0098342D">
              <w:rPr>
                <w:b/>
                <w:bCs/>
              </w:rPr>
              <w:t>Mean med reduction 3Y</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59FFC26E" w14:textId="77777777" w:rsidR="00E9713E" w:rsidRPr="002A6831" w:rsidRDefault="00E9713E" w:rsidP="00E9713E">
            <w:pPr>
              <w:pStyle w:val="Tablecontent"/>
              <w:rPr>
                <w:rFonts w:eastAsia="Segoe UI" w:cs="Segoe UI"/>
                <w:szCs w:val="20"/>
                <w:lang w:val="en-US"/>
              </w:rPr>
            </w:pPr>
            <w:r w:rsidRPr="002A6831">
              <w:rPr>
                <w:rFonts w:eastAsia="Segoe UI" w:cs="Segoe UI"/>
                <w:szCs w:val="20"/>
                <w:lang w:val="en-US"/>
              </w:rPr>
              <w:t>-0.9*</w:t>
            </w:r>
          </w:p>
        </w:tc>
        <w:tc>
          <w:tcPr>
            <w:tcW w:w="3827" w:type="dxa"/>
            <w:tcBorders>
              <w:top w:val="single" w:sz="4" w:space="0" w:color="auto"/>
              <w:left w:val="single" w:sz="4" w:space="0" w:color="auto"/>
              <w:bottom w:val="single" w:sz="4" w:space="0" w:color="auto"/>
              <w:right w:val="single" w:sz="4" w:space="0" w:color="auto"/>
            </w:tcBorders>
            <w:hideMark/>
          </w:tcPr>
          <w:p w14:paraId="43D2DCB0" w14:textId="77777777" w:rsidR="00E9713E" w:rsidRPr="00E9713E" w:rsidRDefault="00E9713E" w:rsidP="00E9713E">
            <w:pPr>
              <w:pStyle w:val="Tablecontent"/>
              <w:rPr>
                <w:rFonts w:eastAsia="Segoe UI" w:cs="Segoe UI"/>
                <w:szCs w:val="20"/>
                <w:lang w:val="en-US"/>
              </w:rPr>
            </w:pPr>
            <w:r w:rsidRPr="00E9713E">
              <w:rPr>
                <w:rFonts w:eastAsia="Segoe UI" w:cs="Segoe UI"/>
                <w:szCs w:val="20"/>
                <w:lang w:val="en-US"/>
              </w:rPr>
              <w:t>-0.20**</w:t>
            </w:r>
          </w:p>
        </w:tc>
      </w:tr>
    </w:tbl>
    <w:p w14:paraId="5C063306" w14:textId="0DCB18B4" w:rsidR="00E9713E" w:rsidRPr="00F74075" w:rsidRDefault="00E9713E" w:rsidP="00E9713E">
      <w:pPr>
        <w:spacing w:after="120" w:line="240" w:lineRule="auto"/>
        <w:rPr>
          <w:rFonts w:ascii="Segoe UI" w:eastAsia="Segoe UI" w:hAnsi="Segoe UI"/>
          <w:kern w:val="2"/>
          <w:sz w:val="16"/>
          <w:szCs w:val="16"/>
          <w14:ligatures w14:val="standardContextual"/>
        </w:rPr>
      </w:pPr>
      <w:r w:rsidRPr="00E9713E">
        <w:rPr>
          <w:rFonts w:ascii="Segoe UI" w:eastAsia="Segoe UI" w:hAnsi="Segoe UI"/>
          <w:kern w:val="2"/>
          <w:sz w:val="16"/>
          <w:szCs w:val="16"/>
          <w:lang w:val="en-US"/>
          <w14:ligatures w14:val="standardContextual"/>
        </w:rPr>
        <w:t xml:space="preserve">* STAR-GLOBAL standalone study first presented at the World Glaucoma Congress (29/6/23) – data on file, manuscript in progress. </w:t>
      </w:r>
      <w:r w:rsidRPr="00F74075">
        <w:rPr>
          <w:rFonts w:ascii="Segoe UI" w:eastAsia="Segoe UI" w:hAnsi="Segoe UI"/>
          <w:kern w:val="2"/>
          <w:sz w:val="16"/>
          <w:szCs w:val="16"/>
          <w14:ligatures w14:val="standardContextual"/>
        </w:rPr>
        <w:t>P&lt;0.001 (See details in Summary of Evidence Section).</w:t>
      </w:r>
    </w:p>
    <w:p w14:paraId="74E0557A" w14:textId="4533BE19" w:rsidR="00E9713E" w:rsidRPr="00E9713E" w:rsidRDefault="00E9713E" w:rsidP="00E9713E">
      <w:pPr>
        <w:autoSpaceDE w:val="0"/>
        <w:autoSpaceDN w:val="0"/>
        <w:adjustRightInd w:val="0"/>
        <w:spacing w:after="0" w:line="240" w:lineRule="auto"/>
        <w:rPr>
          <w:rFonts w:ascii="Segoe UI" w:eastAsia="Segoe UI" w:hAnsi="Segoe UI"/>
          <w:kern w:val="2"/>
          <w:sz w:val="16"/>
          <w:szCs w:val="16"/>
          <w:lang w:val="en-US"/>
          <w14:ligatures w14:val="standardContextual"/>
        </w:rPr>
      </w:pPr>
      <w:r w:rsidRPr="00F74075">
        <w:rPr>
          <w:rFonts w:ascii="Segoe UI" w:eastAsia="Segoe UI" w:hAnsi="Segoe UI"/>
          <w:kern w:val="2"/>
          <w:sz w:val="16"/>
          <w:szCs w:val="16"/>
          <w14:ligatures w14:val="standardContextual"/>
        </w:rPr>
        <w:t xml:space="preserve">** </w:t>
      </w:r>
      <w:r w:rsidRPr="00E9713E">
        <w:rPr>
          <w:rFonts w:ascii="Segoe UI" w:eastAsia="Segoe UI" w:hAnsi="Segoe UI"/>
          <w:kern w:val="2"/>
          <w:sz w:val="16"/>
          <w:szCs w:val="16"/>
          <w:lang w:val="en-US"/>
          <w14:ligatures w14:val="standardContextual"/>
        </w:rPr>
        <w:t>Grisanti S, Grisanti S, Garcia-Feijoo J, et al. Supraciliary microstent implantation for open-angle glaucoma: multicentre 3-year outcomes. BMJ Open Ophthalmology 2018;3:e000183. doi:10.1136/bmjophth-2018-000183 (standalone study)</w:t>
      </w:r>
      <w:r>
        <w:rPr>
          <w:rFonts w:ascii="Segoe UI" w:eastAsia="Segoe UI" w:hAnsi="Segoe UI"/>
          <w:kern w:val="2"/>
          <w:sz w:val="16"/>
          <w:szCs w:val="16"/>
          <w:lang w:val="en-US"/>
          <w14:ligatures w14:val="standardContextual"/>
        </w:rPr>
        <w:t xml:space="preserve"> </w:t>
      </w:r>
      <w:r>
        <w:rPr>
          <w:rFonts w:ascii="Segoe UI" w:eastAsia="Segoe UI" w:hAnsi="Segoe UI"/>
          <w:kern w:val="2"/>
          <w:sz w:val="16"/>
          <w:szCs w:val="16"/>
          <w:lang w:val="en-US"/>
          <w14:ligatures w14:val="standardContextual"/>
        </w:rPr>
        <w:fldChar w:fldCharType="begin"/>
      </w:r>
      <w:r w:rsidR="007F4B32">
        <w:rPr>
          <w:rFonts w:ascii="Segoe UI" w:eastAsia="Segoe UI" w:hAnsi="Segoe UI"/>
          <w:kern w:val="2"/>
          <w:sz w:val="16"/>
          <w:szCs w:val="16"/>
          <w:lang w:val="en-US"/>
          <w14:ligatures w14:val="standardContextual"/>
        </w:rPr>
        <w:instrText xml:space="preserve"> ADDIN EN.CITE &lt;EndNote&gt;&lt;Cite&gt;&lt;Author&gt;Grisanti&lt;/Author&gt;&lt;Year&gt;2018&lt;/Year&gt;&lt;RecNum&gt;7&lt;/RecNum&gt;&lt;DisplayText&gt;(Grisanti 2018)&lt;/DisplayText&gt;&lt;record&gt;&lt;rec-number&gt;7&lt;/rec-number&gt;&lt;foreign-keys&gt;&lt;key app="EN" db-id="svrdvvtpi9seeberze55v9rqpw02dfasp2e9" timestamp="1689924740"&gt;7&lt;/key&gt;&lt;/foreign-keys&gt;&lt;ref-type name="Journal Article"&gt;17&lt;/ref-type&gt;&lt;contributors&gt;&lt;authors&gt;&lt;author&gt;Grisanti, S,&lt;/author&gt;&lt;author&gt;Grisanti, S,&lt;/author&gt;&lt;author&gt;Garcia-Feijoo, J,&lt;/author&gt;&lt;author&gt;H. Burkhard Dick&lt;/author&gt;&lt;author&gt;Francisco Jose, Munoz-Negrete&lt;/author&gt;&lt;author&gt;Elena, Arrondo&lt;/author&gt;&lt;author&gt;Tsontcho, Ianchulev&lt;/author&gt;&lt;/authors&gt;&lt;/contributors&gt;&lt;titles&gt;&lt;title&gt;Supraciliary microstent implantation for open-angle glaucoma: multicentre 3-year outcomes&lt;/title&gt;&lt;secondary-title&gt;BMJ Open Ophthalmology&lt;/secondary-title&gt;&lt;/titles&gt;&lt;periodical&gt;&lt;full-title&gt;BMJ Open Ophthalmology&lt;/full-title&gt;&lt;/periodical&gt;&lt;pages&gt;e000183&lt;/pages&gt;&lt;volume&gt;3&lt;/volume&gt;&lt;number&gt;1&lt;/number&gt;&lt;dates&gt;&lt;year&gt;2018&lt;/year&gt;&lt;/dates&gt;&lt;urls&gt;&lt;related-urls&gt;&lt;url&gt;http://bmjophth.bmj.com/content/3/1/e000183.abstract&lt;/url&gt;&lt;/related-urls&gt;&lt;/urls&gt;&lt;electronic-resource-num&gt;10.1136/bmjophth-2018-000183&lt;/electronic-resource-num&gt;&lt;/record&gt;&lt;/Cite&gt;&lt;/EndNote&gt;</w:instrText>
      </w:r>
      <w:r>
        <w:rPr>
          <w:rFonts w:ascii="Segoe UI" w:eastAsia="Segoe UI" w:hAnsi="Segoe UI"/>
          <w:kern w:val="2"/>
          <w:sz w:val="16"/>
          <w:szCs w:val="16"/>
          <w:lang w:val="en-US"/>
          <w14:ligatures w14:val="standardContextual"/>
        </w:rPr>
        <w:fldChar w:fldCharType="separate"/>
      </w:r>
      <w:r w:rsidR="007F4B32">
        <w:rPr>
          <w:rFonts w:ascii="Segoe UI" w:eastAsia="Segoe UI" w:hAnsi="Segoe UI"/>
          <w:noProof/>
          <w:kern w:val="2"/>
          <w:sz w:val="16"/>
          <w:szCs w:val="16"/>
          <w:lang w:val="en-US"/>
          <w14:ligatures w14:val="standardContextual"/>
        </w:rPr>
        <w:t>(Grisanti 2018)</w:t>
      </w:r>
      <w:r>
        <w:rPr>
          <w:rFonts w:ascii="Segoe UI" w:eastAsia="Segoe UI" w:hAnsi="Segoe UI"/>
          <w:kern w:val="2"/>
          <w:sz w:val="16"/>
          <w:szCs w:val="16"/>
          <w:lang w:val="en-US"/>
          <w14:ligatures w14:val="standardContextual"/>
        </w:rPr>
        <w:fldChar w:fldCharType="end"/>
      </w:r>
    </w:p>
    <w:p w14:paraId="5D3C2387" w14:textId="77777777" w:rsidR="00E9713E" w:rsidRPr="00E9713E" w:rsidRDefault="00E9713E" w:rsidP="00E9713E">
      <w:pPr>
        <w:autoSpaceDE w:val="0"/>
        <w:autoSpaceDN w:val="0"/>
        <w:adjustRightInd w:val="0"/>
        <w:spacing w:after="0" w:line="240" w:lineRule="auto"/>
        <w:rPr>
          <w:rFonts w:ascii="HelveticaNeueLTStd-Cn" w:eastAsia="Segoe UI" w:hAnsi="HelveticaNeueLTStd-Cn" w:cs="HelveticaNeueLTStd-Cn"/>
          <w:sz w:val="12"/>
          <w:szCs w:val="12"/>
          <w:lang w:val="en-US"/>
          <w14:ligatures w14:val="standardContextual"/>
        </w:rPr>
      </w:pPr>
    </w:p>
    <w:p w14:paraId="672BD5C5" w14:textId="77777777" w:rsidR="00E9713E" w:rsidRPr="00E9713E" w:rsidRDefault="00E9713E" w:rsidP="00E9713E">
      <w:pPr>
        <w:spacing w:after="120" w:line="240" w:lineRule="auto"/>
        <w:rPr>
          <w:rFonts w:ascii="Segoe UI" w:eastAsia="Segoe UI" w:hAnsi="Segoe UI"/>
          <w:kern w:val="2"/>
          <w:sz w:val="16"/>
          <w:szCs w:val="16"/>
          <w:lang w:val="en-US"/>
          <w14:ligatures w14:val="standardContextual"/>
        </w:rPr>
      </w:pPr>
      <w:r w:rsidRPr="00E9713E">
        <w:rPr>
          <w:rFonts w:ascii="Segoe UI" w:eastAsia="Segoe UI" w:hAnsi="Segoe UI"/>
          <w:kern w:val="2"/>
          <w:sz w:val="16"/>
          <w:szCs w:val="16"/>
          <w:lang w:val="en-US"/>
          <w14:ligatures w14:val="standardContextual"/>
        </w:rPr>
        <w:t>#: number of; POAG: primary open angle glaucoma; OAG: open angle glaucoma; MMC: mitomycin C; med: medication</w:t>
      </w:r>
    </w:p>
    <w:bookmarkEnd w:id="9"/>
    <w:p w14:paraId="4C50D112" w14:textId="77777777" w:rsidR="004A45BE" w:rsidRDefault="004A45BE" w:rsidP="00E9713E">
      <w:pPr>
        <w:pStyle w:val="Responsetext"/>
        <w:rPr>
          <w:b/>
        </w:rPr>
      </w:pPr>
    </w:p>
    <w:p w14:paraId="53717A20" w14:textId="0D5DF54D" w:rsidR="004A45BE" w:rsidRDefault="004A45BE" w:rsidP="004A45BE">
      <w:pPr>
        <w:spacing w:after="0" w:line="240" w:lineRule="auto"/>
        <w:rPr>
          <w:rFonts w:ascii="Segoe UI" w:eastAsia="Segoe UI" w:hAnsi="Segoe UI"/>
          <w:b/>
          <w:color w:val="000000"/>
          <w:sz w:val="22"/>
        </w:rPr>
      </w:pPr>
      <w:r>
        <w:rPr>
          <w:rFonts w:ascii="Segoe UI" w:eastAsia="Segoe UI" w:hAnsi="Segoe UI"/>
          <w:b/>
          <w:color w:val="000000"/>
          <w:sz w:val="22"/>
        </w:rPr>
        <w:t>Why would the requestor seek to use the proposed investigative technology rather than the comparator(s)?</w:t>
      </w:r>
    </w:p>
    <w:p w14:paraId="43670E9E" w14:textId="77777777" w:rsidR="004A45BE" w:rsidRDefault="004A45BE" w:rsidP="004A45BE">
      <w:pPr>
        <w:spacing w:after="0" w:line="240" w:lineRule="auto"/>
        <w:rPr>
          <w:rFonts w:ascii="Segoe UI" w:eastAsia="Segoe UI" w:hAnsi="Segoe UI"/>
          <w:b/>
          <w:color w:val="000000"/>
          <w:sz w:val="22"/>
        </w:rPr>
      </w:pPr>
    </w:p>
    <w:p w14:paraId="63A899F0" w14:textId="79443B29" w:rsidR="004A45BE" w:rsidRDefault="00D54F7C" w:rsidP="00A76BFB">
      <w:pPr>
        <w:pStyle w:val="Responsetext"/>
      </w:pPr>
      <w:r>
        <w:t xml:space="preserve">The availability of the </w:t>
      </w:r>
      <w:r w:rsidRPr="00D54F7C">
        <w:t>MINIject</w:t>
      </w:r>
      <w:r>
        <w:t xml:space="preserve"> suprachoroidal implant provides an alternative option for </w:t>
      </w:r>
      <w:r w:rsidR="00EF2716">
        <w:t xml:space="preserve">surgeons </w:t>
      </w:r>
      <w:r>
        <w:t>undertaking MBGS</w:t>
      </w:r>
      <w:r w:rsidR="00D20591">
        <w:t>, which currently is limited to using stents inserted into the trabecular meshwork.</w:t>
      </w:r>
      <w:r>
        <w:t xml:space="preserve"> </w:t>
      </w:r>
      <w:r w:rsidR="00C03EA3">
        <w:t xml:space="preserve">MINIject’s </w:t>
      </w:r>
      <w:r w:rsidR="00D45C93">
        <w:t>enhanced</w:t>
      </w:r>
      <w:r w:rsidR="00C03EA3">
        <w:t xml:space="preserve"> efficacy </w:t>
      </w:r>
      <w:r w:rsidR="00664053">
        <w:t xml:space="preserve">and alternative implant location could be better suited to some patient’s needs within the same population, </w:t>
      </w:r>
      <w:r w:rsidR="00D45C93">
        <w:t>in comparison with</w:t>
      </w:r>
      <w:r w:rsidR="00664053">
        <w:t xml:space="preserve"> the comparator.</w:t>
      </w:r>
    </w:p>
    <w:p w14:paraId="6BA11E60" w14:textId="7769EBFF" w:rsidR="00A76BFB" w:rsidRDefault="00A76BFB" w:rsidP="00A76BFB">
      <w:pPr>
        <w:pStyle w:val="Responsetext"/>
      </w:pPr>
      <w:r>
        <w:t>MINIject</w:t>
      </w:r>
      <w:r w:rsidRPr="00A76BFB">
        <w:t xml:space="preserve"> is composed of a biocompatible porous proprietary silicone (STAR®) material that provides minimal tissue reaction and theoretically reduces the risk of fibrosis</w:t>
      </w:r>
      <w:r>
        <w:t>, with t</w:t>
      </w:r>
      <w:r w:rsidRPr="00A76BFB">
        <w:t>he unique flexible design conform</w:t>
      </w:r>
      <w:r>
        <w:t>ing</w:t>
      </w:r>
      <w:r w:rsidRPr="00A76BFB">
        <w:t xml:space="preserve"> to the shape of the eye</w:t>
      </w:r>
      <w:r>
        <w:t xml:space="preserve"> </w:t>
      </w:r>
      <w:r>
        <w:fldChar w:fldCharType="begin"/>
      </w:r>
      <w:r w:rsidR="00FD11EA">
        <w:instrText xml:space="preserve"> ADDIN EN.CITE &lt;EndNote&gt;&lt;Cite&gt;&lt;Author&gt;Kennedy&lt;/Author&gt;&lt;Year&gt;2022&lt;/Year&gt;&lt;RecNum&gt;6&lt;/RecNum&gt;&lt;DisplayText&gt;(Kennedy 2022)&lt;/DisplayText&gt;&lt;record&gt;&lt;rec-number&gt;6&lt;/rec-number&gt;&lt;foreign-keys&gt;&lt;key app="EN" db-id="0tfze2xwopafsxerxxip50rgeept0fs2fwvx" timestamp="1689499596"&gt;6&lt;/key&gt;&lt;/foreign-keys&gt;&lt;ref-type name="Web Page"&gt;12&lt;/ref-type&gt;&lt;contributors&gt;&lt;authors&gt;&lt;author&gt;Kennedy, JB,&lt;/author&gt;&lt;author&gt;SooHoo, J&lt;/author&gt;&lt;author&gt;Seibold, LK.&lt;/author&gt;&lt;/authors&gt;&lt;/contributors&gt;&lt;titles&gt;&lt;title&gt;Suprachoroidal Devices. American Academy of Opthalmology. EyeWiki&lt;/title&gt;&lt;/titles&gt;&lt;dates&gt;&lt;year&gt;2022&lt;/year&gt;&lt;/dates&gt;&lt;pub-location&gt;https://eyewiki.aao.org/Suprachoroidal_Devices#MINIject_drainage_system&lt;/pub-location&gt;&lt;urls&gt;&lt;related-urls&gt;&lt;url&gt;https://eyewiki.aao.org/Suprachoroidal_Devices#MINIject_drainage_system&lt;/url&gt;&lt;/related-urls&gt;&lt;/urls&gt;&lt;/record&gt;&lt;/Cite&gt;&lt;/EndNote&gt;</w:instrText>
      </w:r>
      <w:r>
        <w:fldChar w:fldCharType="separate"/>
      </w:r>
      <w:r>
        <w:rPr>
          <w:noProof/>
        </w:rPr>
        <w:t>(Kennedy 2022)</w:t>
      </w:r>
      <w:r>
        <w:fldChar w:fldCharType="end"/>
      </w:r>
      <w:r w:rsidRPr="00A76BFB">
        <w:t>.</w:t>
      </w:r>
      <w:r>
        <w:t xml:space="preserve"> </w:t>
      </w:r>
      <w:r w:rsidRPr="00A76BFB">
        <w:t xml:space="preserve">Augmenting the uveoscleral outflow pathway with implantation of </w:t>
      </w:r>
      <w:r w:rsidR="00EE3859">
        <w:t xml:space="preserve">a </w:t>
      </w:r>
      <w:r w:rsidRPr="00A76BFB">
        <w:t xml:space="preserve">suprachoroidal device </w:t>
      </w:r>
      <w:r w:rsidR="006D39C5">
        <w:t>provides</w:t>
      </w:r>
      <w:r w:rsidRPr="00A76BFB">
        <w:t xml:space="preserve"> an alternative approach for treating glaucoma </w:t>
      </w:r>
      <w:r>
        <w:fldChar w:fldCharType="begin"/>
      </w:r>
      <w:r w:rsidR="00FD11EA">
        <w:instrText xml:space="preserve"> ADDIN EN.CITE &lt;EndNote&gt;&lt;Cite&gt;&lt;Author&gt;Kennedy&lt;/Author&gt;&lt;Year&gt;2022&lt;/Year&gt;&lt;RecNum&gt;6&lt;/RecNum&gt;&lt;DisplayText&gt;(Kennedy 2022)&lt;/DisplayText&gt;&lt;record&gt;&lt;rec-number&gt;6&lt;/rec-number&gt;&lt;foreign-keys&gt;&lt;key app="EN" db-id="0tfze2xwopafsxerxxip50rgeept0fs2fwvx" timestamp="1689499596"&gt;6&lt;/key&gt;&lt;/foreign-keys&gt;&lt;ref-type name="Web Page"&gt;12&lt;/ref-type&gt;&lt;contributors&gt;&lt;authors&gt;&lt;author&gt;Kennedy, JB,&lt;/author&gt;&lt;author&gt;SooHoo, J&lt;/author&gt;&lt;author&gt;Seibold, LK.&lt;/author&gt;&lt;/authors&gt;&lt;/contributors&gt;&lt;titles&gt;&lt;title&gt;Suprachoroidal Devices. American Academy of Opthalmology. EyeWiki&lt;/title&gt;&lt;/titles&gt;&lt;dates&gt;&lt;year&gt;2022&lt;/year&gt;&lt;/dates&gt;&lt;pub-location&gt;https://eyewiki.aao.org/Suprachoroidal_Devices#MINIject_drainage_system&lt;/pub-location&gt;&lt;urls&gt;&lt;related-urls&gt;&lt;url&gt;https://eyewiki.aao.org/Suprachoroidal_Devices#MINIject_drainage_system&lt;/url&gt;&lt;/related-urls&gt;&lt;/urls&gt;&lt;/record&gt;&lt;/Cite&gt;&lt;/EndNote&gt;</w:instrText>
      </w:r>
      <w:r>
        <w:fldChar w:fldCharType="separate"/>
      </w:r>
      <w:r>
        <w:rPr>
          <w:noProof/>
        </w:rPr>
        <w:t>(Kennedy 2022)</w:t>
      </w:r>
      <w:r>
        <w:fldChar w:fldCharType="end"/>
      </w:r>
      <w:r w:rsidRPr="00A76BFB">
        <w:t>.</w:t>
      </w:r>
    </w:p>
    <w:p w14:paraId="06D1936F" w14:textId="16B64521" w:rsidR="00FF5B76" w:rsidRDefault="00FF5B76" w:rsidP="00B6781C">
      <w:pPr>
        <w:pStyle w:val="Responsetext"/>
      </w:pPr>
      <w:r>
        <w:t xml:space="preserve">It is expected that the decision to substitute MINIject for the comparator would be made by surgeon preference, taking into consideration patient needs. This may include ease of use of the device, expected </w:t>
      </w:r>
      <w:r w:rsidR="00C71003">
        <w:t xml:space="preserve">improved </w:t>
      </w:r>
      <w:r>
        <w:t>efficacy in comparison with other MBGS devices, patient anatomy</w:t>
      </w:r>
      <w:r w:rsidR="00F9302C">
        <w:t xml:space="preserve"> which may preclude trabecular</w:t>
      </w:r>
      <w:r w:rsidR="00675CA7">
        <w:t xml:space="preserve"> meshwork insertion</w:t>
      </w:r>
      <w:r>
        <w:t>, patient disease</w:t>
      </w:r>
      <w:r w:rsidR="00003D7D">
        <w:t xml:space="preserve"> in the conventional outflow pathway</w:t>
      </w:r>
      <w:r w:rsidR="00675CA7">
        <w:t xml:space="preserve"> or distal collector channels limiting effectiveness of trabecular MBGS</w:t>
      </w:r>
      <w:r>
        <w:t xml:space="preserve">, number of baseline medications used by the patient and whether these are desired to be eliminated in their totality. </w:t>
      </w:r>
    </w:p>
    <w:p w14:paraId="3DE8BAD4" w14:textId="6AE53049" w:rsidR="007B7B82" w:rsidRDefault="007B7B82" w:rsidP="007B7B82">
      <w:pPr>
        <w:pStyle w:val="Responsetext"/>
      </w:pPr>
      <w:r>
        <w:t xml:space="preserve">A comparison of key characteristics of MINIject and </w:t>
      </w:r>
      <w:r w:rsidR="0088757D">
        <w:t>iStent Inject W</w:t>
      </w:r>
      <w:r>
        <w:t xml:space="preserve"> is provided in </w:t>
      </w:r>
      <w:r w:rsidR="00B101EA">
        <w:fldChar w:fldCharType="begin"/>
      </w:r>
      <w:r w:rsidR="00B101EA">
        <w:instrText xml:space="preserve"> REF _Ref140856363 \h </w:instrText>
      </w:r>
      <w:r w:rsidR="00B101EA">
        <w:fldChar w:fldCharType="separate"/>
      </w:r>
      <w:r w:rsidR="00976372">
        <w:t xml:space="preserve">Table </w:t>
      </w:r>
      <w:r w:rsidR="00976372">
        <w:rPr>
          <w:noProof/>
        </w:rPr>
        <w:t>5</w:t>
      </w:r>
      <w:r w:rsidR="00B101EA">
        <w:fldChar w:fldCharType="end"/>
      </w:r>
      <w:r>
        <w:t>.</w:t>
      </w:r>
    </w:p>
    <w:p w14:paraId="24541F06" w14:textId="1E0A210A" w:rsidR="007B7B82" w:rsidRDefault="007B7B82" w:rsidP="007B7B82">
      <w:pPr>
        <w:pStyle w:val="Caption"/>
      </w:pPr>
      <w:bookmarkStart w:id="11" w:name="_Ref140856363"/>
      <w:r>
        <w:t xml:space="preserve">Table </w:t>
      </w:r>
      <w:r w:rsidR="00FA7BD3">
        <w:fldChar w:fldCharType="begin"/>
      </w:r>
      <w:r w:rsidR="00FA7BD3">
        <w:instrText xml:space="preserve"> SEQ Table \* ARABIC </w:instrText>
      </w:r>
      <w:r w:rsidR="00FA7BD3">
        <w:fldChar w:fldCharType="separate"/>
      </w:r>
      <w:r w:rsidR="00976372">
        <w:rPr>
          <w:noProof/>
        </w:rPr>
        <w:t>5</w:t>
      </w:r>
      <w:r w:rsidR="00FA7BD3">
        <w:rPr>
          <w:noProof/>
        </w:rPr>
        <w:fldChar w:fldCharType="end"/>
      </w:r>
      <w:bookmarkEnd w:id="11"/>
      <w:r>
        <w:t>: Characteristics of MINIject and iS</w:t>
      </w:r>
      <w:r w:rsidR="0088757D">
        <w:t>tent</w:t>
      </w:r>
      <w:r>
        <w:t xml:space="preserve"> W</w:t>
      </w:r>
    </w:p>
    <w:tbl>
      <w:tblPr>
        <w:tblStyle w:val="TableGrid"/>
        <w:tblW w:w="9209" w:type="dxa"/>
        <w:tblLook w:val="04A0" w:firstRow="1" w:lastRow="0" w:firstColumn="1" w:lastColumn="0" w:noHBand="0" w:noVBand="1"/>
      </w:tblPr>
      <w:tblGrid>
        <w:gridCol w:w="2122"/>
        <w:gridCol w:w="3543"/>
        <w:gridCol w:w="3544"/>
      </w:tblGrid>
      <w:tr w:rsidR="007B7B82" w:rsidRPr="00220AC2" w14:paraId="4C6ECA24" w14:textId="77777777" w:rsidTr="00D37E9F">
        <w:trPr>
          <w:tblHeader/>
        </w:trPr>
        <w:tc>
          <w:tcPr>
            <w:tcW w:w="2122" w:type="dxa"/>
            <w:shd w:val="clear" w:color="auto" w:fill="F2F2F2" w:themeFill="background1" w:themeFillShade="F2"/>
          </w:tcPr>
          <w:p w14:paraId="7691DA65" w14:textId="77777777" w:rsidR="007B7B82" w:rsidRPr="00220AC2" w:rsidRDefault="007B7B82" w:rsidP="00220AC2">
            <w:pPr>
              <w:pStyle w:val="Tableheading"/>
            </w:pPr>
          </w:p>
        </w:tc>
        <w:tc>
          <w:tcPr>
            <w:tcW w:w="3543" w:type="dxa"/>
            <w:shd w:val="clear" w:color="auto" w:fill="F2F2F2" w:themeFill="background1" w:themeFillShade="F2"/>
          </w:tcPr>
          <w:p w14:paraId="54743FD7" w14:textId="745B3C23" w:rsidR="007B7B82" w:rsidRPr="00220AC2" w:rsidRDefault="007B7B82" w:rsidP="00220AC2">
            <w:pPr>
              <w:pStyle w:val="Tableheading"/>
            </w:pPr>
            <w:r w:rsidRPr="00220AC2">
              <w:t>MINIject</w:t>
            </w:r>
          </w:p>
        </w:tc>
        <w:tc>
          <w:tcPr>
            <w:tcW w:w="3544" w:type="dxa"/>
            <w:shd w:val="clear" w:color="auto" w:fill="F2F2F2" w:themeFill="background1" w:themeFillShade="F2"/>
          </w:tcPr>
          <w:p w14:paraId="0AC1EB5B" w14:textId="6B1F060B" w:rsidR="007B7B82" w:rsidRPr="00220AC2" w:rsidRDefault="007B7B82" w:rsidP="00220AC2">
            <w:pPr>
              <w:pStyle w:val="Tableheading"/>
            </w:pPr>
            <w:r w:rsidRPr="00220AC2">
              <w:t>iStent Inject W</w:t>
            </w:r>
          </w:p>
        </w:tc>
      </w:tr>
      <w:tr w:rsidR="007B7B82" w:rsidRPr="00C50241" w14:paraId="7E27FD04" w14:textId="77777777" w:rsidTr="007B7B82">
        <w:tc>
          <w:tcPr>
            <w:tcW w:w="2122" w:type="dxa"/>
          </w:tcPr>
          <w:p w14:paraId="514D96E0" w14:textId="77777777" w:rsidR="007B7B82" w:rsidRPr="007B7B82" w:rsidRDefault="007B7B82" w:rsidP="007B7B82">
            <w:pPr>
              <w:pStyle w:val="Tablecontent"/>
              <w:rPr>
                <w:b/>
                <w:bCs/>
              </w:rPr>
            </w:pPr>
            <w:r w:rsidRPr="007B7B82">
              <w:rPr>
                <w:b/>
                <w:bCs/>
              </w:rPr>
              <w:t>Manufacturer</w:t>
            </w:r>
          </w:p>
        </w:tc>
        <w:tc>
          <w:tcPr>
            <w:tcW w:w="3543" w:type="dxa"/>
          </w:tcPr>
          <w:p w14:paraId="28A1FA60" w14:textId="77777777" w:rsidR="007B7B82" w:rsidRPr="00C50241" w:rsidRDefault="007B7B82" w:rsidP="007B7B82">
            <w:pPr>
              <w:pStyle w:val="Tablecontent"/>
              <w:rPr>
                <w:rFonts w:cstheme="minorHAnsi"/>
                <w:lang w:val="en-US"/>
              </w:rPr>
            </w:pPr>
            <w:r w:rsidRPr="00C50241">
              <w:rPr>
                <w:rFonts w:cstheme="minorHAnsi"/>
                <w:lang w:val="en-US"/>
              </w:rPr>
              <w:t xml:space="preserve">iSTAR Medical </w:t>
            </w:r>
          </w:p>
        </w:tc>
        <w:tc>
          <w:tcPr>
            <w:tcW w:w="3544" w:type="dxa"/>
          </w:tcPr>
          <w:p w14:paraId="690EF709" w14:textId="77777777" w:rsidR="007B7B82" w:rsidRPr="00C50241" w:rsidRDefault="007B7B82" w:rsidP="007B7B82">
            <w:pPr>
              <w:pStyle w:val="Tablecontent"/>
              <w:rPr>
                <w:rFonts w:cstheme="minorHAnsi"/>
                <w:noProof/>
                <w:lang w:val="en-US"/>
              </w:rPr>
            </w:pPr>
            <w:r w:rsidRPr="00C50241">
              <w:rPr>
                <w:rFonts w:cstheme="minorHAnsi"/>
                <w:noProof/>
                <w:lang w:val="en-US"/>
              </w:rPr>
              <w:t>Glaukos</w:t>
            </w:r>
            <w:r>
              <w:rPr>
                <w:rFonts w:cstheme="minorHAnsi"/>
                <w:noProof/>
                <w:lang w:val="en-US"/>
              </w:rPr>
              <w:t xml:space="preserve"> Corporation</w:t>
            </w:r>
          </w:p>
        </w:tc>
      </w:tr>
      <w:tr w:rsidR="007B7B82" w:rsidRPr="00C50241" w14:paraId="3688CBE1" w14:textId="77777777" w:rsidTr="007B7B82">
        <w:tc>
          <w:tcPr>
            <w:tcW w:w="2122" w:type="dxa"/>
          </w:tcPr>
          <w:p w14:paraId="5F22801B" w14:textId="77777777" w:rsidR="007B7B82" w:rsidRPr="007B7B82" w:rsidRDefault="007B7B82" w:rsidP="007B7B82">
            <w:pPr>
              <w:pStyle w:val="Tablecontent"/>
              <w:rPr>
                <w:b/>
                <w:bCs/>
              </w:rPr>
            </w:pPr>
            <w:r w:rsidRPr="007B7B82">
              <w:rPr>
                <w:b/>
                <w:bCs/>
              </w:rPr>
              <w:t>Sponsor</w:t>
            </w:r>
          </w:p>
        </w:tc>
        <w:tc>
          <w:tcPr>
            <w:tcW w:w="3543" w:type="dxa"/>
          </w:tcPr>
          <w:p w14:paraId="49997D2D" w14:textId="77777777" w:rsidR="007B7B82" w:rsidRPr="00C50241" w:rsidRDefault="007B7B82" w:rsidP="007B7B82">
            <w:pPr>
              <w:pStyle w:val="Tablecontent"/>
              <w:rPr>
                <w:rFonts w:cstheme="minorHAnsi"/>
                <w:lang w:val="en-US"/>
              </w:rPr>
            </w:pPr>
            <w:r w:rsidRPr="00C50241">
              <w:rPr>
                <w:rFonts w:cstheme="minorHAnsi"/>
                <w:lang w:val="en-US"/>
              </w:rPr>
              <w:t>Compliance Management Systems</w:t>
            </w:r>
          </w:p>
        </w:tc>
        <w:tc>
          <w:tcPr>
            <w:tcW w:w="3544" w:type="dxa"/>
          </w:tcPr>
          <w:p w14:paraId="2063FA5F" w14:textId="77777777" w:rsidR="007B7B82" w:rsidRPr="00C50241" w:rsidRDefault="007B7B82" w:rsidP="007B7B82">
            <w:pPr>
              <w:pStyle w:val="Tablecontent"/>
              <w:rPr>
                <w:rFonts w:cstheme="minorHAnsi"/>
                <w:noProof/>
                <w:lang w:val="en-US"/>
              </w:rPr>
            </w:pPr>
            <w:r w:rsidRPr="00C50241">
              <w:rPr>
                <w:rFonts w:cstheme="minorHAnsi"/>
                <w:noProof/>
                <w:lang w:val="en-US"/>
              </w:rPr>
              <w:t>RQ Solutions</w:t>
            </w:r>
            <w:r w:rsidRPr="00C50241">
              <w:t xml:space="preserve"> </w:t>
            </w:r>
            <w:r w:rsidRPr="00C50241">
              <w:rPr>
                <w:rFonts w:cstheme="minorHAnsi"/>
                <w:noProof/>
                <w:lang w:val="en-US"/>
              </w:rPr>
              <w:t>Medical Devices Distribution Support</w:t>
            </w:r>
          </w:p>
        </w:tc>
      </w:tr>
      <w:tr w:rsidR="007B7B82" w:rsidRPr="00C50241" w14:paraId="0D1685F6" w14:textId="77777777" w:rsidTr="007B7B82">
        <w:tc>
          <w:tcPr>
            <w:tcW w:w="2122" w:type="dxa"/>
          </w:tcPr>
          <w:p w14:paraId="39024783" w14:textId="77777777" w:rsidR="007B7B82" w:rsidRPr="007B7B82" w:rsidRDefault="007B7B82" w:rsidP="007B7B82">
            <w:pPr>
              <w:pStyle w:val="Tablecontent"/>
              <w:rPr>
                <w:b/>
                <w:bCs/>
              </w:rPr>
            </w:pPr>
            <w:r w:rsidRPr="007B7B82">
              <w:rPr>
                <w:b/>
                <w:bCs/>
              </w:rPr>
              <w:lastRenderedPageBreak/>
              <w:t>Indication</w:t>
            </w:r>
          </w:p>
        </w:tc>
        <w:tc>
          <w:tcPr>
            <w:tcW w:w="3543" w:type="dxa"/>
          </w:tcPr>
          <w:p w14:paraId="277E3F16" w14:textId="77777777" w:rsidR="007B7B82" w:rsidRPr="00C50241" w:rsidRDefault="007B7B82" w:rsidP="007B7B82">
            <w:pPr>
              <w:pStyle w:val="Tablecontent"/>
              <w:rPr>
                <w:rFonts w:cstheme="minorHAnsi"/>
                <w:lang w:val="en-US"/>
              </w:rPr>
            </w:pPr>
            <w:r w:rsidRPr="00C50241">
              <w:rPr>
                <w:rFonts w:cstheme="minorHAnsi"/>
                <w:lang w:val="en-US"/>
              </w:rPr>
              <w:t>Adult patients diagnosed with OAG</w:t>
            </w:r>
          </w:p>
        </w:tc>
        <w:tc>
          <w:tcPr>
            <w:tcW w:w="3544" w:type="dxa"/>
          </w:tcPr>
          <w:p w14:paraId="3147084F" w14:textId="77777777" w:rsidR="007B7B82" w:rsidRPr="00C50241" w:rsidRDefault="007B7B82" w:rsidP="007B7B82">
            <w:pPr>
              <w:pStyle w:val="Tablecontent"/>
              <w:rPr>
                <w:rFonts w:cstheme="minorHAnsi"/>
                <w:noProof/>
                <w:lang w:val="en-US"/>
              </w:rPr>
            </w:pPr>
            <w:r w:rsidRPr="00C50241">
              <w:rPr>
                <w:rFonts w:cstheme="minorHAnsi"/>
                <w:lang w:val="en-US"/>
              </w:rPr>
              <w:t>Adult patients with mild-to-moderate POAG treated with ocular hypotensive medication</w:t>
            </w:r>
          </w:p>
        </w:tc>
      </w:tr>
      <w:tr w:rsidR="007B7B82" w:rsidRPr="00C50241" w14:paraId="5DF0855A" w14:textId="77777777" w:rsidTr="007B7B82">
        <w:tc>
          <w:tcPr>
            <w:tcW w:w="2122" w:type="dxa"/>
          </w:tcPr>
          <w:p w14:paraId="341DD7E1" w14:textId="77777777" w:rsidR="007B7B82" w:rsidRPr="007B7B82" w:rsidRDefault="007B7B82" w:rsidP="007B7B82">
            <w:pPr>
              <w:pStyle w:val="Tablecontent"/>
              <w:rPr>
                <w:b/>
                <w:bCs/>
              </w:rPr>
            </w:pPr>
            <w:r w:rsidRPr="007B7B82">
              <w:rPr>
                <w:b/>
                <w:bCs/>
              </w:rPr>
              <w:t>Material</w:t>
            </w:r>
          </w:p>
        </w:tc>
        <w:tc>
          <w:tcPr>
            <w:tcW w:w="3543" w:type="dxa"/>
          </w:tcPr>
          <w:p w14:paraId="77EF9E56" w14:textId="47639FAF" w:rsidR="007B7B82" w:rsidRPr="00C50241" w:rsidRDefault="007B7B82" w:rsidP="007B7B82">
            <w:pPr>
              <w:pStyle w:val="Tablecontent"/>
              <w:rPr>
                <w:rFonts w:cstheme="minorHAnsi"/>
                <w:lang w:val="en-US"/>
              </w:rPr>
            </w:pPr>
            <w:r w:rsidRPr="00C50241">
              <w:rPr>
                <w:rFonts w:cstheme="minorHAnsi"/>
                <w:noProof/>
                <w:lang w:val="en-US"/>
              </w:rPr>
              <w:drawing>
                <wp:anchor distT="0" distB="0" distL="114300" distR="114300" simplePos="0" relativeHeight="251663360" behindDoc="0" locked="0" layoutInCell="1" allowOverlap="1" wp14:anchorId="00237652" wp14:editId="623CAE8E">
                  <wp:simplePos x="0" y="0"/>
                  <wp:positionH relativeFrom="column">
                    <wp:posOffset>450850</wp:posOffset>
                  </wp:positionH>
                  <wp:positionV relativeFrom="paragraph">
                    <wp:posOffset>410210</wp:posOffset>
                  </wp:positionV>
                  <wp:extent cx="825183" cy="628283"/>
                  <wp:effectExtent l="0" t="0" r="0" b="635"/>
                  <wp:wrapNone/>
                  <wp:docPr id="296907401" name="Picture 1" descr="A close-up of a curved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907401" name="Picture 1" descr="A close-up of a curved object&#10;&#10;Description automatically generated"/>
                          <pic:cNvPicPr/>
                        </pic:nvPicPr>
                        <pic:blipFill rotWithShape="1">
                          <a:blip r:embed="rId20" cstate="print">
                            <a:extLst>
                              <a:ext uri="{28A0092B-C50C-407E-A947-70E740481C1C}">
                                <a14:useLocalDpi xmlns:a14="http://schemas.microsoft.com/office/drawing/2010/main" val="0"/>
                              </a:ext>
                            </a:extLst>
                          </a:blip>
                          <a:srcRect/>
                          <a:stretch/>
                        </pic:blipFill>
                        <pic:spPr bwMode="auto">
                          <a:xfrm>
                            <a:off x="0" y="0"/>
                            <a:ext cx="825183" cy="62828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theme="minorHAnsi"/>
                <w:lang w:val="en-US"/>
              </w:rPr>
              <w:t>Soft and flexible, p</w:t>
            </w:r>
            <w:r w:rsidRPr="00C50241">
              <w:rPr>
                <w:rFonts w:cstheme="minorHAnsi"/>
                <w:lang w:val="en-US"/>
              </w:rPr>
              <w:t xml:space="preserve">orous silicone in </w:t>
            </w:r>
            <w:r>
              <w:rPr>
                <w:rFonts w:cstheme="minorHAnsi"/>
                <w:lang w:val="en-US"/>
              </w:rPr>
              <w:t xml:space="preserve">a </w:t>
            </w:r>
            <w:r w:rsidRPr="00C50241">
              <w:rPr>
                <w:rFonts w:cstheme="minorHAnsi"/>
                <w:lang w:val="en-US"/>
              </w:rPr>
              <w:t>network geometry of hollow spheres, 2/3</w:t>
            </w:r>
            <w:r w:rsidRPr="00C50241">
              <w:rPr>
                <w:rFonts w:cstheme="minorHAnsi"/>
                <w:vertAlign w:val="superscript"/>
                <w:lang w:val="en-US"/>
              </w:rPr>
              <w:t>rd</w:t>
            </w:r>
            <w:r w:rsidRPr="00C50241">
              <w:rPr>
                <w:rFonts w:cstheme="minorHAnsi"/>
                <w:lang w:val="en-US"/>
              </w:rPr>
              <w:t xml:space="preserve"> empty space</w:t>
            </w:r>
          </w:p>
          <w:p w14:paraId="3E9A5403" w14:textId="263481C8" w:rsidR="007B7B82" w:rsidRPr="00C50241" w:rsidRDefault="007B7B82" w:rsidP="007B7B82">
            <w:pPr>
              <w:pStyle w:val="Tablecontent"/>
              <w:rPr>
                <w:rFonts w:cstheme="minorHAnsi"/>
                <w:lang w:val="en-US"/>
              </w:rPr>
            </w:pPr>
          </w:p>
          <w:p w14:paraId="4195B9DA" w14:textId="77777777" w:rsidR="007B7B82" w:rsidRPr="00C50241" w:rsidRDefault="007B7B82" w:rsidP="007B7B82">
            <w:pPr>
              <w:pStyle w:val="Tablecontent"/>
              <w:rPr>
                <w:rFonts w:cstheme="minorHAnsi"/>
                <w:lang w:val="en-US"/>
              </w:rPr>
            </w:pPr>
          </w:p>
          <w:p w14:paraId="2807B3F8" w14:textId="77777777" w:rsidR="007B7B82" w:rsidRPr="00C50241" w:rsidRDefault="007B7B82" w:rsidP="007B7B82">
            <w:pPr>
              <w:pStyle w:val="Tablecontent"/>
              <w:rPr>
                <w:rFonts w:cstheme="minorHAnsi"/>
                <w:lang w:val="en-US"/>
              </w:rPr>
            </w:pPr>
          </w:p>
          <w:p w14:paraId="4A8FE76B" w14:textId="77777777" w:rsidR="007B7B82" w:rsidRPr="00C50241" w:rsidRDefault="007B7B82" w:rsidP="007B7B82">
            <w:pPr>
              <w:pStyle w:val="Tablecontent"/>
              <w:rPr>
                <w:rFonts w:cstheme="minorHAnsi"/>
                <w:lang w:val="en-US"/>
              </w:rPr>
            </w:pPr>
          </w:p>
        </w:tc>
        <w:tc>
          <w:tcPr>
            <w:tcW w:w="3544" w:type="dxa"/>
          </w:tcPr>
          <w:p w14:paraId="0DADC1CD" w14:textId="77777777" w:rsidR="007B7B82" w:rsidRPr="00C50241" w:rsidRDefault="007B7B82" w:rsidP="007B7B82">
            <w:pPr>
              <w:pStyle w:val="Tablecontent"/>
              <w:rPr>
                <w:rFonts w:cstheme="minorHAnsi"/>
                <w:lang w:val="en-US"/>
              </w:rPr>
            </w:pPr>
            <w:r w:rsidRPr="00C50241">
              <w:rPr>
                <w:rFonts w:cstheme="minorHAnsi"/>
                <w:noProof/>
                <w:lang w:val="en-US"/>
              </w:rPr>
              <w:drawing>
                <wp:anchor distT="0" distB="0" distL="114300" distR="114300" simplePos="0" relativeHeight="251662336" behindDoc="0" locked="0" layoutInCell="1" allowOverlap="1" wp14:anchorId="7C301710" wp14:editId="471FB652">
                  <wp:simplePos x="0" y="0"/>
                  <wp:positionH relativeFrom="column">
                    <wp:posOffset>494030</wp:posOffset>
                  </wp:positionH>
                  <wp:positionV relativeFrom="paragraph">
                    <wp:posOffset>523240</wp:posOffset>
                  </wp:positionV>
                  <wp:extent cx="836930" cy="516840"/>
                  <wp:effectExtent l="0" t="0" r="1270" b="0"/>
                  <wp:wrapNone/>
                  <wp:docPr id="1263969785" name="Picture 2" descr="A group of round metal objec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969785" name="Picture 2" descr="A group of round metal objects&#10;&#10;Description automatically generated"/>
                          <pic:cNvPicPr/>
                        </pic:nvPicPr>
                        <pic:blipFill rotWithShape="1">
                          <a:blip r:embed="rId21" cstate="print">
                            <a:extLst>
                              <a:ext uri="{28A0092B-C50C-407E-A947-70E740481C1C}">
                                <a14:useLocalDpi xmlns:a14="http://schemas.microsoft.com/office/drawing/2010/main" val="0"/>
                              </a:ext>
                            </a:extLst>
                          </a:blip>
                          <a:srcRect/>
                          <a:stretch/>
                        </pic:blipFill>
                        <pic:spPr bwMode="auto">
                          <a:xfrm>
                            <a:off x="0" y="0"/>
                            <a:ext cx="836930" cy="516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theme="minorHAnsi"/>
                <w:lang w:val="en-US"/>
              </w:rPr>
              <w:t>Hard and solid t</w:t>
            </w:r>
            <w:r w:rsidRPr="00C50241">
              <w:rPr>
                <w:rFonts w:cstheme="minorHAnsi"/>
                <w:lang w:val="en-US"/>
              </w:rPr>
              <w:t>itanium stent tube with heparin coating (porcine source)</w:t>
            </w:r>
            <w:r w:rsidRPr="00C50241">
              <w:rPr>
                <w:rFonts w:cstheme="minorHAnsi"/>
                <w:lang w:val="en-US"/>
              </w:rPr>
              <w:tab/>
            </w:r>
          </w:p>
        </w:tc>
      </w:tr>
      <w:tr w:rsidR="007B7B82" w:rsidRPr="00C50241" w14:paraId="3A886052" w14:textId="77777777" w:rsidTr="007B7B82">
        <w:tc>
          <w:tcPr>
            <w:tcW w:w="2122" w:type="dxa"/>
          </w:tcPr>
          <w:p w14:paraId="6F38AA27" w14:textId="77777777" w:rsidR="007B7B82" w:rsidRPr="007B7B82" w:rsidRDefault="007B7B82" w:rsidP="007B7B82">
            <w:pPr>
              <w:pStyle w:val="Tablecontent"/>
              <w:rPr>
                <w:b/>
                <w:bCs/>
              </w:rPr>
            </w:pPr>
            <w:r w:rsidRPr="007B7B82">
              <w:rPr>
                <w:b/>
                <w:bCs/>
              </w:rPr>
              <w:t>Size</w:t>
            </w:r>
          </w:p>
        </w:tc>
        <w:tc>
          <w:tcPr>
            <w:tcW w:w="3543" w:type="dxa"/>
          </w:tcPr>
          <w:p w14:paraId="6BE49FEA" w14:textId="77777777" w:rsidR="007B7B82" w:rsidRPr="00C50241" w:rsidRDefault="007B7B82" w:rsidP="007B7B82">
            <w:pPr>
              <w:pStyle w:val="Tablecontent"/>
              <w:rPr>
                <w:rFonts w:cstheme="minorHAnsi"/>
                <w:lang w:val="en-US"/>
              </w:rPr>
            </w:pPr>
            <w:r w:rsidRPr="00C50241">
              <w:rPr>
                <w:rFonts w:cstheme="minorHAnsi"/>
                <w:lang w:val="en-US"/>
              </w:rPr>
              <w:t>5mm long, 1mm wide, 0.5mm tall, spherical pores of 27µm</w:t>
            </w:r>
          </w:p>
        </w:tc>
        <w:tc>
          <w:tcPr>
            <w:tcW w:w="3544" w:type="dxa"/>
          </w:tcPr>
          <w:p w14:paraId="3CD7B6B0" w14:textId="77777777" w:rsidR="007B7B82" w:rsidRPr="00C50241" w:rsidRDefault="007B7B82" w:rsidP="007B7B82">
            <w:pPr>
              <w:pStyle w:val="Tablecontent"/>
              <w:rPr>
                <w:rFonts w:cstheme="minorHAnsi"/>
                <w:lang w:val="en-US"/>
              </w:rPr>
            </w:pPr>
            <w:r w:rsidRPr="00C50241">
              <w:rPr>
                <w:rFonts w:cstheme="minorHAnsi"/>
                <w:lang w:val="en-US"/>
              </w:rPr>
              <w:t>0.36mm in height, 0.36mm diameter, central inlet/outlet 80µm, side flow outlets 50µm</w:t>
            </w:r>
          </w:p>
        </w:tc>
      </w:tr>
      <w:tr w:rsidR="007B7B82" w:rsidRPr="00C50241" w14:paraId="3CF4F161" w14:textId="77777777" w:rsidTr="007B7B82">
        <w:tc>
          <w:tcPr>
            <w:tcW w:w="2122" w:type="dxa"/>
          </w:tcPr>
          <w:p w14:paraId="1CE3F039" w14:textId="77777777" w:rsidR="007B7B82" w:rsidRPr="007B7B82" w:rsidRDefault="007B7B82" w:rsidP="007B7B82">
            <w:pPr>
              <w:pStyle w:val="Tablecontent"/>
              <w:rPr>
                <w:b/>
                <w:bCs/>
              </w:rPr>
            </w:pPr>
            <w:r w:rsidRPr="007B7B82">
              <w:rPr>
                <w:b/>
                <w:bCs/>
              </w:rPr>
              <w:t># implants required to deliver</w:t>
            </w:r>
          </w:p>
        </w:tc>
        <w:tc>
          <w:tcPr>
            <w:tcW w:w="3543" w:type="dxa"/>
          </w:tcPr>
          <w:p w14:paraId="6F838AA7" w14:textId="77777777" w:rsidR="007B7B82" w:rsidRPr="00C50241" w:rsidRDefault="007B7B82" w:rsidP="007B7B82">
            <w:pPr>
              <w:pStyle w:val="Tablecontent"/>
              <w:rPr>
                <w:rFonts w:cstheme="minorHAnsi"/>
                <w:lang w:val="en-US"/>
              </w:rPr>
            </w:pPr>
            <w:r w:rsidRPr="00C50241">
              <w:rPr>
                <w:rFonts w:cstheme="minorHAnsi"/>
                <w:lang w:val="en-US"/>
              </w:rPr>
              <w:t>1</w:t>
            </w:r>
          </w:p>
        </w:tc>
        <w:tc>
          <w:tcPr>
            <w:tcW w:w="3544" w:type="dxa"/>
          </w:tcPr>
          <w:p w14:paraId="246B219B" w14:textId="77777777" w:rsidR="007B7B82" w:rsidRPr="00C50241" w:rsidRDefault="007B7B82" w:rsidP="007B7B82">
            <w:pPr>
              <w:pStyle w:val="Tablecontent"/>
              <w:rPr>
                <w:rFonts w:cstheme="minorHAnsi"/>
                <w:lang w:val="en-US"/>
              </w:rPr>
            </w:pPr>
            <w:r w:rsidRPr="00C50241">
              <w:rPr>
                <w:rFonts w:cstheme="minorHAnsi"/>
                <w:lang w:val="en-US"/>
              </w:rPr>
              <w:t>2</w:t>
            </w:r>
          </w:p>
        </w:tc>
      </w:tr>
      <w:tr w:rsidR="007B7B82" w:rsidRPr="00C50241" w14:paraId="4BA8E444" w14:textId="77777777" w:rsidTr="007B7B82">
        <w:tc>
          <w:tcPr>
            <w:tcW w:w="2122" w:type="dxa"/>
          </w:tcPr>
          <w:p w14:paraId="1BDCE750" w14:textId="77777777" w:rsidR="007B7B82" w:rsidRPr="007B7B82" w:rsidRDefault="007B7B82" w:rsidP="007B7B82">
            <w:pPr>
              <w:pStyle w:val="Tablecontent"/>
              <w:rPr>
                <w:b/>
                <w:bCs/>
              </w:rPr>
            </w:pPr>
            <w:r w:rsidRPr="007B7B82">
              <w:rPr>
                <w:b/>
                <w:bCs/>
              </w:rPr>
              <w:t>Procedure type</w:t>
            </w:r>
          </w:p>
        </w:tc>
        <w:tc>
          <w:tcPr>
            <w:tcW w:w="3543" w:type="dxa"/>
          </w:tcPr>
          <w:p w14:paraId="04A2B013" w14:textId="77777777" w:rsidR="007B7B82" w:rsidRPr="00C50241" w:rsidRDefault="007B7B82" w:rsidP="007B7B82">
            <w:pPr>
              <w:pStyle w:val="Tablecontent"/>
              <w:rPr>
                <w:rFonts w:cstheme="minorHAnsi"/>
                <w:lang w:val="en-US"/>
              </w:rPr>
            </w:pPr>
            <w:r w:rsidRPr="00795FAB">
              <w:rPr>
                <w:rFonts w:cstheme="minorHAnsi"/>
              </w:rPr>
              <w:t>Ab interno, minimally-invasive, no bleb or MMC</w:t>
            </w:r>
          </w:p>
        </w:tc>
        <w:tc>
          <w:tcPr>
            <w:tcW w:w="3544" w:type="dxa"/>
          </w:tcPr>
          <w:p w14:paraId="70496B5E" w14:textId="77777777" w:rsidR="007B7B82" w:rsidRPr="00C50241" w:rsidRDefault="007B7B82" w:rsidP="007B7B82">
            <w:pPr>
              <w:pStyle w:val="Tablecontent"/>
              <w:rPr>
                <w:rFonts w:cstheme="minorHAnsi"/>
                <w:lang w:val="en-US"/>
              </w:rPr>
            </w:pPr>
            <w:r w:rsidRPr="000545FD">
              <w:rPr>
                <w:rFonts w:cstheme="minorHAnsi"/>
              </w:rPr>
              <w:t xml:space="preserve">Ab interno, </w:t>
            </w:r>
            <w:r w:rsidRPr="00795FAB">
              <w:rPr>
                <w:rFonts w:cstheme="minorHAnsi"/>
              </w:rPr>
              <w:t>minimally-invasive,</w:t>
            </w:r>
            <w:r w:rsidRPr="000545FD">
              <w:rPr>
                <w:rFonts w:cstheme="minorHAnsi"/>
              </w:rPr>
              <w:t xml:space="preserve"> no bleb or MMC</w:t>
            </w:r>
          </w:p>
        </w:tc>
      </w:tr>
      <w:tr w:rsidR="007B7B82" w:rsidRPr="00C50241" w14:paraId="4448533F" w14:textId="77777777" w:rsidTr="007B7B82">
        <w:tc>
          <w:tcPr>
            <w:tcW w:w="2122" w:type="dxa"/>
          </w:tcPr>
          <w:p w14:paraId="2949ECEE" w14:textId="77777777" w:rsidR="007B7B82" w:rsidRPr="007B7B82" w:rsidRDefault="007B7B82" w:rsidP="007B7B82">
            <w:pPr>
              <w:pStyle w:val="Tablecontent"/>
              <w:rPr>
                <w:b/>
                <w:bCs/>
              </w:rPr>
            </w:pPr>
            <w:r w:rsidRPr="007B7B82">
              <w:rPr>
                <w:b/>
                <w:bCs/>
              </w:rPr>
              <w:t>Implantation location</w:t>
            </w:r>
          </w:p>
        </w:tc>
        <w:tc>
          <w:tcPr>
            <w:tcW w:w="3543" w:type="dxa"/>
          </w:tcPr>
          <w:p w14:paraId="14133357" w14:textId="77777777" w:rsidR="007B7B82" w:rsidRPr="00C50241" w:rsidRDefault="007B7B82" w:rsidP="007B7B82">
            <w:pPr>
              <w:pStyle w:val="Tablecontent"/>
              <w:rPr>
                <w:rFonts w:cstheme="minorHAnsi"/>
                <w:lang w:val="en-US"/>
              </w:rPr>
            </w:pPr>
            <w:r w:rsidRPr="00C50241">
              <w:rPr>
                <w:rFonts w:cstheme="minorHAnsi"/>
                <w:lang w:val="en-US"/>
              </w:rPr>
              <w:t>Suprachoroidal space</w:t>
            </w:r>
            <w:r>
              <w:rPr>
                <w:rFonts w:cstheme="minorHAnsi"/>
                <w:lang w:val="en-US"/>
              </w:rPr>
              <w:t xml:space="preserve"> (natural drainage pathway)</w:t>
            </w:r>
          </w:p>
        </w:tc>
        <w:tc>
          <w:tcPr>
            <w:tcW w:w="3544" w:type="dxa"/>
          </w:tcPr>
          <w:p w14:paraId="3FA55205" w14:textId="77777777" w:rsidR="007B7B82" w:rsidRPr="00C50241" w:rsidRDefault="007B7B82" w:rsidP="007B7B82">
            <w:pPr>
              <w:pStyle w:val="Tablecontent"/>
              <w:rPr>
                <w:rFonts w:cstheme="minorHAnsi"/>
                <w:lang w:val="en-US"/>
              </w:rPr>
            </w:pPr>
            <w:r w:rsidRPr="00C50241">
              <w:rPr>
                <w:rFonts w:cstheme="minorHAnsi"/>
                <w:lang w:val="en-US"/>
              </w:rPr>
              <w:t>Trabecular Meshwork</w:t>
            </w:r>
            <w:r>
              <w:rPr>
                <w:rFonts w:cstheme="minorHAnsi"/>
                <w:lang w:val="en-US"/>
              </w:rPr>
              <w:t xml:space="preserve"> (natural drainage pathway)</w:t>
            </w:r>
          </w:p>
        </w:tc>
      </w:tr>
      <w:tr w:rsidR="007B7B82" w:rsidRPr="00C50241" w14:paraId="5CEE050B" w14:textId="77777777" w:rsidTr="007B7B82">
        <w:tc>
          <w:tcPr>
            <w:tcW w:w="2122" w:type="dxa"/>
          </w:tcPr>
          <w:p w14:paraId="25AE7207" w14:textId="77777777" w:rsidR="007B7B82" w:rsidRPr="007B7B82" w:rsidRDefault="007B7B82" w:rsidP="007B7B82">
            <w:pPr>
              <w:pStyle w:val="Tablecontent"/>
              <w:rPr>
                <w:b/>
                <w:bCs/>
              </w:rPr>
            </w:pPr>
            <w:r w:rsidRPr="007B7B82">
              <w:rPr>
                <w:b/>
                <w:bCs/>
              </w:rPr>
              <w:t>Mechanism of action</w:t>
            </w:r>
          </w:p>
        </w:tc>
        <w:tc>
          <w:tcPr>
            <w:tcW w:w="3543" w:type="dxa"/>
          </w:tcPr>
          <w:p w14:paraId="30593DBA" w14:textId="77777777" w:rsidR="007B7B82" w:rsidRPr="00C50241" w:rsidRDefault="007B7B82" w:rsidP="007B7B82">
            <w:pPr>
              <w:pStyle w:val="Tablecontent"/>
              <w:rPr>
                <w:rFonts w:cstheme="minorHAnsi"/>
                <w:lang w:val="en-US"/>
              </w:rPr>
            </w:pPr>
            <w:r w:rsidRPr="00C50241">
              <w:rPr>
                <w:rFonts w:cstheme="minorHAnsi"/>
                <w:lang w:val="en-US"/>
              </w:rPr>
              <w:t>Unconventional pathway: aqueous passes through the supraciliary space to the suprachoroidal space where it is drained both by the sclera to be resorbed by orbital vessels and the choroid to drain through vortex veins.</w:t>
            </w:r>
          </w:p>
        </w:tc>
        <w:tc>
          <w:tcPr>
            <w:tcW w:w="3544" w:type="dxa"/>
          </w:tcPr>
          <w:p w14:paraId="6AA1D179" w14:textId="77777777" w:rsidR="007B7B82" w:rsidRPr="00C50241" w:rsidRDefault="007B7B82" w:rsidP="007B7B82">
            <w:pPr>
              <w:pStyle w:val="Tablecontent"/>
              <w:rPr>
                <w:rFonts w:cstheme="minorHAnsi"/>
                <w:lang w:val="en-US"/>
              </w:rPr>
            </w:pPr>
            <w:r w:rsidRPr="00C50241">
              <w:rPr>
                <w:rFonts w:cstheme="minorHAnsi"/>
                <w:lang w:val="en-US"/>
              </w:rPr>
              <w:t>Conventional pathway: aqueous flows through the bypass of the trabecular meshwork into Schlemm’s Canal and through collector channels to be absorbed by the episcleral venous system.</w:t>
            </w:r>
          </w:p>
        </w:tc>
      </w:tr>
      <w:tr w:rsidR="007B7B82" w:rsidRPr="00C50241" w14:paraId="19969B5C" w14:textId="77777777" w:rsidTr="007B7B82">
        <w:tc>
          <w:tcPr>
            <w:tcW w:w="2122" w:type="dxa"/>
          </w:tcPr>
          <w:p w14:paraId="32445B07" w14:textId="77777777" w:rsidR="007B7B82" w:rsidRPr="007B7B82" w:rsidRDefault="007B7B82" w:rsidP="007B7B82">
            <w:pPr>
              <w:pStyle w:val="Tablecontent"/>
              <w:rPr>
                <w:b/>
                <w:bCs/>
              </w:rPr>
            </w:pPr>
            <w:r w:rsidRPr="007B7B82">
              <w:rPr>
                <w:b/>
                <w:bCs/>
              </w:rPr>
              <w:t>Deployment steps</w:t>
            </w:r>
          </w:p>
        </w:tc>
        <w:tc>
          <w:tcPr>
            <w:tcW w:w="3543" w:type="dxa"/>
          </w:tcPr>
          <w:p w14:paraId="0364E1D4" w14:textId="77777777" w:rsidR="007B7B82" w:rsidRPr="00C50241" w:rsidRDefault="007B7B82" w:rsidP="007B7B82">
            <w:pPr>
              <w:pStyle w:val="Tablecontent"/>
              <w:rPr>
                <w:rFonts w:cstheme="minorHAnsi"/>
                <w:lang w:val="en-US"/>
              </w:rPr>
            </w:pPr>
            <w:r>
              <w:rPr>
                <w:rFonts w:cstheme="minorHAnsi"/>
                <w:lang w:val="en-US"/>
              </w:rPr>
              <w:t>I</w:t>
            </w:r>
            <w:r w:rsidRPr="00857713">
              <w:rPr>
                <w:rFonts w:cstheme="minorHAnsi"/>
                <w:lang w:val="en-US"/>
              </w:rPr>
              <w:t xml:space="preserve">nsert sheath of handle into desired implantation location in supraciliary space and roll back wheel to withdraw sheath </w:t>
            </w:r>
            <w:r>
              <w:rPr>
                <w:rFonts w:cstheme="minorHAnsi"/>
                <w:lang w:val="en-US"/>
              </w:rPr>
              <w:t>to</w:t>
            </w:r>
            <w:r w:rsidRPr="00857713">
              <w:rPr>
                <w:rFonts w:cstheme="minorHAnsi"/>
                <w:lang w:val="en-US"/>
              </w:rPr>
              <w:t xml:space="preserve"> lay implant in place</w:t>
            </w:r>
          </w:p>
        </w:tc>
        <w:tc>
          <w:tcPr>
            <w:tcW w:w="3544" w:type="dxa"/>
          </w:tcPr>
          <w:p w14:paraId="50384407" w14:textId="77777777" w:rsidR="007B7B82" w:rsidRPr="00C50241" w:rsidRDefault="007B7B82" w:rsidP="007B7B82">
            <w:pPr>
              <w:pStyle w:val="Tablecontent"/>
              <w:rPr>
                <w:rFonts w:cstheme="minorHAnsi"/>
                <w:lang w:val="en-US"/>
              </w:rPr>
            </w:pPr>
            <w:r w:rsidRPr="00735376">
              <w:rPr>
                <w:rFonts w:cstheme="minorHAnsi"/>
                <w:lang w:val="en-US"/>
              </w:rPr>
              <w:t>Slide retraction button to draw back insertion sleeve and advance trocar tip to centre of trabecular meshwork at implantation location. Press trigger to inject stent through trabecular meshwork and into Schlemm’s Canal. Repeat for 2nd stent.</w:t>
            </w:r>
          </w:p>
        </w:tc>
      </w:tr>
      <w:tr w:rsidR="007B7B82" w:rsidRPr="00C50241" w14:paraId="1FD0B681" w14:textId="77777777" w:rsidTr="007B7B82">
        <w:tc>
          <w:tcPr>
            <w:tcW w:w="2122" w:type="dxa"/>
          </w:tcPr>
          <w:p w14:paraId="41D2D198" w14:textId="77777777" w:rsidR="007B7B82" w:rsidRPr="007B7B82" w:rsidRDefault="007B7B82" w:rsidP="007B7B82">
            <w:pPr>
              <w:pStyle w:val="Tablecontent"/>
              <w:rPr>
                <w:b/>
                <w:bCs/>
              </w:rPr>
            </w:pPr>
            <w:r w:rsidRPr="007B7B82">
              <w:rPr>
                <w:b/>
                <w:bCs/>
              </w:rPr>
              <w:t>MRI information</w:t>
            </w:r>
          </w:p>
        </w:tc>
        <w:tc>
          <w:tcPr>
            <w:tcW w:w="3543" w:type="dxa"/>
          </w:tcPr>
          <w:p w14:paraId="4FBF7E66" w14:textId="77777777" w:rsidR="007B7B82" w:rsidRPr="00C50241" w:rsidRDefault="007B7B82" w:rsidP="007B7B82">
            <w:pPr>
              <w:pStyle w:val="Tablecontent"/>
              <w:rPr>
                <w:rFonts w:cstheme="minorHAnsi"/>
                <w:lang w:val="en-US"/>
              </w:rPr>
            </w:pPr>
            <w:r w:rsidRPr="00C50241">
              <w:rPr>
                <w:rFonts w:cstheme="minorHAnsi"/>
                <w:lang w:val="en-US"/>
              </w:rPr>
              <w:t>MRI safe</w:t>
            </w:r>
          </w:p>
        </w:tc>
        <w:tc>
          <w:tcPr>
            <w:tcW w:w="3544" w:type="dxa"/>
          </w:tcPr>
          <w:p w14:paraId="0060E228" w14:textId="77777777" w:rsidR="007B7B82" w:rsidRPr="00C50241" w:rsidRDefault="007B7B82" w:rsidP="007B7B82">
            <w:pPr>
              <w:pStyle w:val="Tablecontent"/>
              <w:rPr>
                <w:rFonts w:cstheme="minorHAnsi"/>
                <w:lang w:val="en-US"/>
              </w:rPr>
            </w:pPr>
            <w:r w:rsidRPr="00C50241">
              <w:rPr>
                <w:rFonts w:cstheme="minorHAnsi"/>
                <w:lang w:val="en-US"/>
              </w:rPr>
              <w:t>MR Conditional</w:t>
            </w:r>
          </w:p>
        </w:tc>
      </w:tr>
      <w:tr w:rsidR="007B7B82" w:rsidRPr="00C50241" w14:paraId="139DA270" w14:textId="77777777" w:rsidTr="007B7B82">
        <w:tc>
          <w:tcPr>
            <w:tcW w:w="2122" w:type="dxa"/>
          </w:tcPr>
          <w:p w14:paraId="24F63F85" w14:textId="77777777" w:rsidR="007B7B82" w:rsidRPr="007B7B82" w:rsidRDefault="007B7B82" w:rsidP="007B7B82">
            <w:pPr>
              <w:pStyle w:val="Tablecontent"/>
              <w:rPr>
                <w:b/>
                <w:bCs/>
              </w:rPr>
            </w:pPr>
            <w:r w:rsidRPr="007B7B82">
              <w:rPr>
                <w:b/>
                <w:bCs/>
              </w:rPr>
              <w:t>Mean IOP reduction 2Y*</w:t>
            </w:r>
          </w:p>
        </w:tc>
        <w:tc>
          <w:tcPr>
            <w:tcW w:w="3543" w:type="dxa"/>
          </w:tcPr>
          <w:p w14:paraId="15EF8C37" w14:textId="77777777" w:rsidR="007B7B82" w:rsidRPr="002A6831" w:rsidRDefault="007B7B82" w:rsidP="007B7B82">
            <w:pPr>
              <w:pStyle w:val="Tablecontent"/>
              <w:rPr>
                <w:rFonts w:cstheme="minorHAnsi"/>
                <w:lang w:val="en-US"/>
              </w:rPr>
            </w:pPr>
            <w:r w:rsidRPr="002A6831">
              <w:rPr>
                <w:rFonts w:cstheme="minorHAnsi"/>
                <w:lang w:val="en-US"/>
              </w:rPr>
              <w:t>-9.57mmHg</w:t>
            </w:r>
          </w:p>
        </w:tc>
        <w:tc>
          <w:tcPr>
            <w:tcW w:w="3544" w:type="dxa"/>
          </w:tcPr>
          <w:p w14:paraId="21E2C49E" w14:textId="77777777" w:rsidR="007B7B82" w:rsidRPr="00C50241" w:rsidRDefault="007B7B82" w:rsidP="007B7B82">
            <w:pPr>
              <w:pStyle w:val="Tablecontent"/>
              <w:rPr>
                <w:rFonts w:cstheme="minorHAnsi"/>
                <w:lang w:val="en-US"/>
              </w:rPr>
            </w:pPr>
            <w:r w:rsidRPr="00C50241">
              <w:rPr>
                <w:rFonts w:cstheme="minorHAnsi"/>
                <w:lang w:val="en-US"/>
              </w:rPr>
              <w:t>-4.92mmHg</w:t>
            </w:r>
          </w:p>
        </w:tc>
      </w:tr>
      <w:tr w:rsidR="007B7B82" w:rsidRPr="00C50241" w14:paraId="46993F70" w14:textId="77777777" w:rsidTr="007B7B82">
        <w:tc>
          <w:tcPr>
            <w:tcW w:w="2122" w:type="dxa"/>
          </w:tcPr>
          <w:p w14:paraId="216D6FA4" w14:textId="77777777" w:rsidR="007B7B82" w:rsidRPr="007B7B82" w:rsidRDefault="007B7B82" w:rsidP="007B7B82">
            <w:pPr>
              <w:pStyle w:val="Tablecontent"/>
              <w:rPr>
                <w:b/>
                <w:bCs/>
              </w:rPr>
            </w:pPr>
            <w:r w:rsidRPr="007B7B82">
              <w:rPr>
                <w:b/>
                <w:bCs/>
              </w:rPr>
              <w:t>Mean med reduction 2Y*</w:t>
            </w:r>
          </w:p>
        </w:tc>
        <w:tc>
          <w:tcPr>
            <w:tcW w:w="3543" w:type="dxa"/>
          </w:tcPr>
          <w:p w14:paraId="7E60AEF5" w14:textId="77777777" w:rsidR="007B7B82" w:rsidRPr="002A6831" w:rsidRDefault="007B7B82" w:rsidP="007B7B82">
            <w:pPr>
              <w:pStyle w:val="Tablecontent"/>
              <w:rPr>
                <w:rFonts w:cstheme="minorHAnsi"/>
                <w:lang w:val="en-US"/>
              </w:rPr>
            </w:pPr>
            <w:r w:rsidRPr="002A6831">
              <w:rPr>
                <w:rFonts w:cstheme="minorHAnsi"/>
                <w:lang w:val="en-US"/>
              </w:rPr>
              <w:t>-1.0</w:t>
            </w:r>
          </w:p>
        </w:tc>
        <w:tc>
          <w:tcPr>
            <w:tcW w:w="3544" w:type="dxa"/>
          </w:tcPr>
          <w:p w14:paraId="5E24D8AD" w14:textId="77777777" w:rsidR="007B7B82" w:rsidRPr="00C50241" w:rsidRDefault="007B7B82" w:rsidP="007B7B82">
            <w:pPr>
              <w:pStyle w:val="Tablecontent"/>
              <w:rPr>
                <w:rFonts w:cstheme="minorHAnsi"/>
                <w:lang w:val="en-US"/>
              </w:rPr>
            </w:pPr>
            <w:r w:rsidRPr="00C50241">
              <w:rPr>
                <w:rFonts w:cstheme="minorHAnsi"/>
                <w:lang w:val="en-US"/>
              </w:rPr>
              <w:t>-0.56</w:t>
            </w:r>
          </w:p>
        </w:tc>
      </w:tr>
    </w:tbl>
    <w:p w14:paraId="77B130FE" w14:textId="271AC2D1" w:rsidR="007B7B82" w:rsidRPr="00B7472C" w:rsidRDefault="007B7B82" w:rsidP="007B7B82">
      <w:pPr>
        <w:pStyle w:val="Footnote"/>
        <w:rPr>
          <w:lang w:val="en-US"/>
        </w:rPr>
      </w:pPr>
      <w:r w:rsidRPr="00B7472C">
        <w:rPr>
          <w:lang w:val="en-US"/>
        </w:rPr>
        <w:t xml:space="preserve">* </w:t>
      </w:r>
      <w:r>
        <w:rPr>
          <w:lang w:val="en-US"/>
        </w:rPr>
        <w:t xml:space="preserve">Mean </w:t>
      </w:r>
      <w:r w:rsidRPr="00B7472C">
        <w:rPr>
          <w:lang w:val="en-US"/>
        </w:rPr>
        <w:t>IOP and medication reduction</w:t>
      </w:r>
      <w:r>
        <w:rPr>
          <w:lang w:val="en-US"/>
        </w:rPr>
        <w:t>s</w:t>
      </w:r>
      <w:r w:rsidRPr="00B7472C">
        <w:rPr>
          <w:lang w:val="en-US"/>
        </w:rPr>
        <w:t xml:space="preserve"> at 2 years from meta-analysis of standalone studies – see </w:t>
      </w:r>
      <w:r w:rsidR="00AF02AD" w:rsidRPr="00AF02AD">
        <w:rPr>
          <w:lang w:val="en-US"/>
        </w:rPr>
        <w:t>Summary of Evidence</w:t>
      </w:r>
      <w:r w:rsidR="00AF02AD">
        <w:rPr>
          <w:lang w:val="en-US"/>
        </w:rPr>
        <w:t xml:space="preserve"> section for details</w:t>
      </w:r>
      <w:r w:rsidRPr="00B7472C">
        <w:rPr>
          <w:lang w:val="en-US"/>
        </w:rPr>
        <w:t>. P-value for IOP reduction: p=0.03. P-value for medication reduction: p=0.26.</w:t>
      </w:r>
    </w:p>
    <w:p w14:paraId="63B16FB1" w14:textId="77777777" w:rsidR="007B7B82" w:rsidRPr="00B7472C" w:rsidRDefault="007B7B82" w:rsidP="007B7B82">
      <w:pPr>
        <w:pStyle w:val="Footnote"/>
        <w:rPr>
          <w:b/>
          <w:bCs/>
          <w:sz w:val="28"/>
          <w:szCs w:val="28"/>
          <w:lang w:val="en-US"/>
        </w:rPr>
      </w:pPr>
      <w:r w:rsidRPr="00B7472C">
        <w:rPr>
          <w:lang w:val="en-US"/>
        </w:rPr>
        <w:t>#: number of; POAG: primary open angle glaucoma; OAG: open angle glaucoma; MMC: mitomycin C</w:t>
      </w:r>
      <w:r>
        <w:rPr>
          <w:lang w:val="en-US"/>
        </w:rPr>
        <w:t>; med: medication</w:t>
      </w:r>
    </w:p>
    <w:p w14:paraId="63C44583" w14:textId="77777777" w:rsidR="007B7B82" w:rsidRDefault="007B7B82" w:rsidP="00B6781C">
      <w:pPr>
        <w:pStyle w:val="Responsetext"/>
      </w:pPr>
    </w:p>
    <w:p w14:paraId="1EB6D795" w14:textId="77777777" w:rsidR="004A45BE" w:rsidRDefault="004A45BE" w:rsidP="004A45BE">
      <w:pPr>
        <w:spacing w:after="0" w:line="240" w:lineRule="auto"/>
        <w:rPr>
          <w:rFonts w:ascii="Segoe UI" w:eastAsia="Segoe UI" w:hAnsi="Segoe UI"/>
          <w:b/>
          <w:color w:val="000000"/>
          <w:sz w:val="22"/>
        </w:rPr>
      </w:pPr>
      <w:r w:rsidRPr="00B15CDF">
        <w:rPr>
          <w:rFonts w:ascii="Segoe UI" w:eastAsia="Segoe UI" w:hAnsi="Segoe UI"/>
          <w:b/>
          <w:color w:val="000000"/>
          <w:sz w:val="22"/>
        </w:rPr>
        <w:t>Identify how the proposed technology achieves the intended patient outcomes</w:t>
      </w:r>
      <w:r>
        <w:rPr>
          <w:rFonts w:ascii="Segoe UI" w:eastAsia="Segoe UI" w:hAnsi="Segoe UI"/>
          <w:b/>
          <w:color w:val="000000"/>
          <w:sz w:val="22"/>
        </w:rPr>
        <w:t>:</w:t>
      </w:r>
    </w:p>
    <w:p w14:paraId="67792CDE" w14:textId="77777777" w:rsidR="004A45BE" w:rsidRDefault="004A45BE" w:rsidP="004A45BE">
      <w:pPr>
        <w:spacing w:after="0" w:line="240" w:lineRule="auto"/>
        <w:rPr>
          <w:rFonts w:ascii="Segoe UI" w:eastAsia="Segoe UI" w:hAnsi="Segoe UI"/>
          <w:b/>
          <w:color w:val="000000"/>
          <w:sz w:val="22"/>
        </w:rPr>
      </w:pPr>
    </w:p>
    <w:p w14:paraId="05794F37" w14:textId="1DABD7A7" w:rsidR="0030297D" w:rsidRPr="0030297D" w:rsidRDefault="00C22C18" w:rsidP="0030297D">
      <w:pPr>
        <w:pStyle w:val="Responsetext"/>
      </w:pPr>
      <w:r>
        <w:t>Insertion of a</w:t>
      </w:r>
      <w:r w:rsidR="001B3BB6">
        <w:t>n implant</w:t>
      </w:r>
      <w:r w:rsidR="00D63CC6">
        <w:t xml:space="preserve"> </w:t>
      </w:r>
      <w:r>
        <w:t>into the suprachoroidal space allows drainage of aqueous humour</w:t>
      </w:r>
      <w:r w:rsidR="007D2081">
        <w:t xml:space="preserve"> from the anterior chamber into the suprachoroidal space</w:t>
      </w:r>
      <w:r w:rsidR="006A7AD2">
        <w:t>, often termed the uveoscleral pathway</w:t>
      </w:r>
      <w:r>
        <w:t xml:space="preserve">, resulting in reduced IOP. </w:t>
      </w:r>
      <w:r w:rsidR="0020169C">
        <w:t>The negative pressure gradient towards the suprachoroidal space, and the absence of episcleral venous pressure in the space</w:t>
      </w:r>
      <w:r w:rsidR="00A20904">
        <w:t xml:space="preserve"> (which is present in the </w:t>
      </w:r>
      <w:r w:rsidR="006A7AD2">
        <w:t>conventional outflow pathway)</w:t>
      </w:r>
      <w:r w:rsidR="0020169C">
        <w:t>, gives the space a theoretically larger ab</w:t>
      </w:r>
      <w:r w:rsidR="00A20904">
        <w:t>sorptive potential and thus greater IOP-lowering potential.</w:t>
      </w:r>
      <w:r w:rsidR="008E5439">
        <w:t xml:space="preserve"> </w:t>
      </w:r>
      <w:r>
        <w:t>Elevated IOP is a modifiable risk factor for glaucoma progression, hence reduction in IOP improves outcomes in glaucoma by reducing the risk of progression leading to impaired vision</w:t>
      </w:r>
      <w:r w:rsidRPr="0030297D">
        <w:t>.</w:t>
      </w:r>
    </w:p>
    <w:p w14:paraId="0613D6AB" w14:textId="2DE0F258" w:rsidR="0030297D" w:rsidRPr="0030297D" w:rsidRDefault="0030297D" w:rsidP="0030297D">
      <w:pPr>
        <w:spacing w:after="0" w:line="240" w:lineRule="auto"/>
        <w:rPr>
          <w:rStyle w:val="ResponsetextChar"/>
        </w:rPr>
      </w:pPr>
      <w:r w:rsidRPr="0030297D">
        <w:rPr>
          <w:rStyle w:val="ResponsetextChar"/>
        </w:rPr>
        <w:t xml:space="preserve">It has been demonstrated that each additional mmHg of IOP lowering reduces the rate of progression of glaucoma by 10-20%. Thus the additional </w:t>
      </w:r>
      <w:r w:rsidR="0079182B">
        <w:rPr>
          <w:rStyle w:val="ResponsetextChar"/>
        </w:rPr>
        <w:t xml:space="preserve">IOP </w:t>
      </w:r>
      <w:r w:rsidRPr="0030297D">
        <w:rPr>
          <w:rStyle w:val="ResponsetextChar"/>
        </w:rPr>
        <w:t xml:space="preserve">lowering </w:t>
      </w:r>
      <w:r w:rsidR="002502C9">
        <w:rPr>
          <w:rStyle w:val="ResponsetextChar"/>
        </w:rPr>
        <w:t>potential of MINIject over the comparator</w:t>
      </w:r>
      <w:r w:rsidR="002873E9">
        <w:rPr>
          <w:rStyle w:val="ResponsetextChar"/>
        </w:rPr>
        <w:t xml:space="preserve"> in a standalone setting</w:t>
      </w:r>
      <w:r w:rsidR="002502C9">
        <w:rPr>
          <w:rStyle w:val="ResponsetextChar"/>
        </w:rPr>
        <w:t xml:space="preserve">, as demonstrated by a naïve indirect comparison </w:t>
      </w:r>
      <w:r w:rsidR="00FC5ECE">
        <w:rPr>
          <w:rStyle w:val="ResponsetextChar"/>
        </w:rPr>
        <w:t xml:space="preserve">through </w:t>
      </w:r>
      <w:r w:rsidR="00FC5ECE">
        <w:rPr>
          <w:rStyle w:val="ResponsetextChar"/>
        </w:rPr>
        <w:lastRenderedPageBreak/>
        <w:t>a literature review</w:t>
      </w:r>
      <w:r w:rsidR="0079182B">
        <w:rPr>
          <w:rStyle w:val="ResponsetextChar"/>
        </w:rPr>
        <w:t xml:space="preserve">, </w:t>
      </w:r>
      <w:r w:rsidRPr="0030297D">
        <w:rPr>
          <w:rStyle w:val="ResponsetextChar"/>
        </w:rPr>
        <w:t xml:space="preserve">delays vision loss </w:t>
      </w:r>
      <w:r w:rsidR="00335193">
        <w:rPr>
          <w:rStyle w:val="ResponsetextChar"/>
        </w:rPr>
        <w:t xml:space="preserve">further </w:t>
      </w:r>
      <w:r w:rsidRPr="0030297D">
        <w:rPr>
          <w:rStyle w:val="ResponsetextChar"/>
        </w:rPr>
        <w:t>and thus improves patient quality of life and reduces costs to the overall health system associated with loss of work productivity, inability to drive/traffic accidents, falls, etc. A</w:t>
      </w:r>
      <w:r w:rsidR="00335193">
        <w:rPr>
          <w:rStyle w:val="ResponsetextChar"/>
        </w:rPr>
        <w:t xml:space="preserve"> greater</w:t>
      </w:r>
      <w:r w:rsidRPr="0030297D">
        <w:rPr>
          <w:rStyle w:val="ResponsetextChar"/>
        </w:rPr>
        <w:t xml:space="preserve"> elimination/reduction in drops the patient is required to administer also results in improved quality of life for patients, less associated ocular surface disease (experienced by 39% of glaucoma patients on drops in Australia</w:t>
      </w:r>
      <w:r w:rsidR="00B6781C">
        <w:rPr>
          <w:rStyle w:val="ResponsetextChar"/>
        </w:rPr>
        <w:t xml:space="preserve"> </w:t>
      </w:r>
      <w:r w:rsidR="00B6781C">
        <w:rPr>
          <w:rStyle w:val="ResponsetextChar"/>
        </w:rPr>
        <w:fldChar w:fldCharType="begin"/>
      </w:r>
      <w:r w:rsidR="00B6781C">
        <w:rPr>
          <w:rStyle w:val="ResponsetextChar"/>
        </w:rPr>
        <w:instrText xml:space="preserve"> ADDIN EN.CITE &lt;EndNote&gt;&lt;Cite&gt;&lt;Author&gt;Chan&lt;/Author&gt;&lt;Year&gt;2013&lt;/Year&gt;&lt;RecNum&gt;8&lt;/RecNum&gt;&lt;DisplayText&gt;(Chan 2013)&lt;/DisplayText&gt;&lt;record&gt;&lt;rec-number&gt;8&lt;/rec-number&gt;&lt;foreign-keys&gt;&lt;key app="EN" db-id="0tfze2xwopafsxerxxip50rgeept0fs2fwvx" timestamp="1689823869"&gt;8&lt;/key&gt;&lt;/foreign-keys&gt;&lt;ref-type name="Journal Article"&gt;17&lt;/ref-type&gt;&lt;contributors&gt;&lt;authors&gt;&lt;author&gt;Chan, C. C.&lt;/author&gt;&lt;author&gt;Crowston, J. G.&lt;/author&gt;&lt;author&gt;Tan, R.&lt;/author&gt;&lt;author&gt;Marin, M.&lt;/author&gt;&lt;author&gt;Charles, S.&lt;/author&gt;&lt;/authors&gt;&lt;/contributors&gt;&lt;auth-address&gt;From the *Vision Eye Institute, Chatswood, and †Central Clinical School, University of Sydney, Sydney, New South Wales, Australia; ‡Centre for Eye Research Australia, University of Melbourne, Royal Victorian Eye and Ear Hospital, East Melbourne, Victoria, Australia; §Alcon Pte Ltd, Singapore; ¶OPTUMInsight, Health Economics and Outcomes Research, Burlington, Ontario, Canada; and </w:instrText>
      </w:r>
      <w:r w:rsidR="00B6781C">
        <w:rPr>
          <w:rStyle w:val="ResponsetextChar"/>
          <w:rFonts w:ascii="Cambria Math" w:hAnsi="Cambria Math" w:cs="Cambria Math"/>
        </w:rPr>
        <w:instrText>∥</w:instrText>
      </w:r>
      <w:r w:rsidR="00B6781C">
        <w:rPr>
          <w:rStyle w:val="ResponsetextChar"/>
        </w:rPr>
        <w:instrText>OPTUMInsight, Lilyfield, New South Wales, Australia.&lt;/auth-address&gt;&lt;titles&gt;&lt;title&gt;Burden of Ocular Surface Disease in Patients With Glaucoma From Australia&lt;/title&gt;&lt;secondary-title&gt;Asia Pac J Ophthalmol (Phila)&lt;/secondary-title&gt;&lt;/titles&gt;&lt;periodical&gt;&lt;full-title&gt;Asia Pac J Ophthalmol (Phila)&lt;/full-title&gt;&lt;/periodical&gt;&lt;pages&gt;79-87&lt;/pages&gt;&lt;volume&gt;2&lt;/volume&gt;&lt;number&gt;2&lt;/number&gt;&lt;edition&gt;2013/03/01&lt;/edition&gt;&lt;dates&gt;&lt;year&gt;2013&lt;/year&gt;&lt;pub-dates&gt;&lt;date&gt;Mar-Apr&lt;/date&gt;&lt;/pub-dates&gt;&lt;/dates&gt;&lt;isbn&gt;2162-0989 (Print)&amp;#xD;2162-0989&lt;/isbn&gt;&lt;accession-num&gt;26108043&lt;/accession-num&gt;&lt;urls&gt;&lt;/urls&gt;&lt;electronic-resource-num&gt;10.1097/APO.0b013e31828372c2&lt;/electronic-resource-num&gt;&lt;remote-database-provider&gt;NLM&lt;/remote-database-provider&gt;&lt;language&gt;eng&lt;/language&gt;&lt;/record&gt;&lt;/Cite&gt;&lt;/EndNote&gt;</w:instrText>
      </w:r>
      <w:r w:rsidR="00B6781C">
        <w:rPr>
          <w:rStyle w:val="ResponsetextChar"/>
        </w:rPr>
        <w:fldChar w:fldCharType="separate"/>
      </w:r>
      <w:r w:rsidR="00B6781C">
        <w:rPr>
          <w:rStyle w:val="ResponsetextChar"/>
          <w:noProof/>
        </w:rPr>
        <w:t>(Chan 2013)</w:t>
      </w:r>
      <w:r w:rsidR="00B6781C">
        <w:rPr>
          <w:rStyle w:val="ResponsetextChar"/>
        </w:rPr>
        <w:fldChar w:fldCharType="end"/>
      </w:r>
      <w:r w:rsidRPr="0030297D">
        <w:rPr>
          <w:rStyle w:val="ResponsetextChar"/>
        </w:rPr>
        <w:t xml:space="preserve">), and </w:t>
      </w:r>
      <w:r w:rsidR="006D39C5">
        <w:rPr>
          <w:rStyle w:val="ResponsetextChar"/>
        </w:rPr>
        <w:t>resultant</w:t>
      </w:r>
      <w:r w:rsidRPr="0030297D">
        <w:rPr>
          <w:rStyle w:val="ResponsetextChar"/>
        </w:rPr>
        <w:t xml:space="preserve"> cost savings for the health system.</w:t>
      </w:r>
    </w:p>
    <w:p w14:paraId="5ED0D298" w14:textId="77777777" w:rsidR="004A45BE" w:rsidRPr="00BE6B22" w:rsidRDefault="004A45BE" w:rsidP="004A45BE">
      <w:pPr>
        <w:spacing w:after="0" w:line="240" w:lineRule="auto"/>
        <w:rPr>
          <w:rFonts w:asciiTheme="minorHAnsi" w:eastAsia="Segoe UI" w:hAnsiTheme="minorHAnsi" w:cstheme="minorHAnsi"/>
          <w:color w:val="000000"/>
          <w:sz w:val="22"/>
          <w:szCs w:val="22"/>
        </w:rPr>
      </w:pPr>
    </w:p>
    <w:p w14:paraId="0C2BEC69" w14:textId="2C6780E2" w:rsidR="004A45BE" w:rsidRPr="00665487" w:rsidRDefault="004A45BE" w:rsidP="004A45BE">
      <w:pPr>
        <w:rPr>
          <w:rFonts w:ascii="Segoe UI" w:eastAsia="Segoe UI" w:hAnsi="Segoe UI"/>
          <w:b/>
          <w:color w:val="000000"/>
          <w:sz w:val="22"/>
        </w:rPr>
      </w:pPr>
      <w:r>
        <w:rPr>
          <w:rFonts w:ascii="Segoe UI" w:eastAsia="Segoe UI" w:hAnsi="Segoe UI"/>
          <w:b/>
          <w:color w:val="000000"/>
          <w:sz w:val="22"/>
        </w:rPr>
        <w:t xml:space="preserve">For some people, compared with the comparator(s), does the test information result in: </w:t>
      </w:r>
    </w:p>
    <w:p w14:paraId="0C192DCC" w14:textId="21B55267" w:rsidR="004A45BE" w:rsidRDefault="004A45BE" w:rsidP="004A45BE">
      <w:pPr>
        <w:spacing w:after="0" w:line="240" w:lineRule="auto"/>
        <w:ind w:firstLine="720"/>
        <w:rPr>
          <w:rFonts w:ascii="Segoe UI" w:eastAsia="Segoe UI" w:hAnsi="Segoe UI"/>
          <w:bCs/>
          <w:color w:val="000000"/>
          <w:sz w:val="22"/>
        </w:rPr>
      </w:pPr>
      <w:r w:rsidRPr="004A45BE">
        <w:rPr>
          <w:rFonts w:ascii="Segoe UI" w:eastAsia="Segoe UI" w:hAnsi="Segoe UI"/>
          <w:b/>
          <w:color w:val="000000"/>
          <w:sz w:val="22"/>
        </w:rPr>
        <w:t>A change in clinical management?</w:t>
      </w:r>
      <w:r>
        <w:rPr>
          <w:rFonts w:ascii="Segoe UI" w:eastAsia="Segoe UI" w:hAnsi="Segoe UI"/>
          <w:bCs/>
          <w:color w:val="000000"/>
          <w:sz w:val="22"/>
        </w:rPr>
        <w:tab/>
      </w:r>
      <w:r>
        <w:rPr>
          <w:rFonts w:ascii="Segoe UI" w:eastAsia="Segoe UI" w:hAnsi="Segoe UI"/>
          <w:bCs/>
          <w:color w:val="000000"/>
          <w:sz w:val="22"/>
        </w:rPr>
        <w:tab/>
      </w:r>
      <w:r>
        <w:rPr>
          <w:rFonts w:ascii="Segoe UI" w:eastAsia="Segoe UI" w:hAnsi="Segoe UI"/>
          <w:bCs/>
          <w:color w:val="000000"/>
          <w:sz w:val="22"/>
        </w:rPr>
        <w:tab/>
      </w:r>
      <w:r>
        <w:rPr>
          <w:rFonts w:ascii="Segoe UI" w:eastAsia="Segoe UI" w:hAnsi="Segoe UI"/>
          <w:bCs/>
          <w:color w:val="000000"/>
          <w:sz w:val="22"/>
        </w:rPr>
        <w:tab/>
      </w:r>
      <w:r w:rsidR="006A4ED3" w:rsidRPr="006A4ED3">
        <w:rPr>
          <w:rFonts w:ascii="Segoe UI" w:eastAsia="Segoe UI" w:hAnsi="Segoe UI"/>
          <w:b/>
          <w:color w:val="000000"/>
          <w:sz w:val="22"/>
        </w:rPr>
        <w:t>No</w:t>
      </w:r>
    </w:p>
    <w:p w14:paraId="67DE36BA" w14:textId="52E668F1" w:rsidR="004A45BE" w:rsidRDefault="004A45BE" w:rsidP="004A45BE">
      <w:pPr>
        <w:spacing w:after="0" w:line="240" w:lineRule="auto"/>
        <w:ind w:firstLine="720"/>
        <w:rPr>
          <w:rFonts w:ascii="Segoe UI" w:eastAsia="Segoe UI" w:hAnsi="Segoe UI"/>
          <w:bCs/>
          <w:color w:val="000000"/>
          <w:sz w:val="22"/>
        </w:rPr>
      </w:pPr>
    </w:p>
    <w:p w14:paraId="0BEB7DBC" w14:textId="5D043939" w:rsidR="004A45BE" w:rsidRPr="00DF2D79" w:rsidRDefault="004A45BE" w:rsidP="004A45BE">
      <w:pPr>
        <w:spacing w:after="0" w:line="240" w:lineRule="auto"/>
        <w:ind w:firstLine="720"/>
        <w:rPr>
          <w:rFonts w:ascii="Segoe UI" w:eastAsia="Segoe UI" w:hAnsi="Segoe UI"/>
          <w:bCs/>
          <w:color w:val="000000"/>
          <w:sz w:val="22"/>
        </w:rPr>
      </w:pPr>
      <w:r w:rsidRPr="004A45BE">
        <w:rPr>
          <w:rFonts w:ascii="Segoe UI" w:eastAsia="Segoe UI" w:hAnsi="Segoe UI"/>
          <w:b/>
          <w:color w:val="000000"/>
          <w:sz w:val="22"/>
        </w:rPr>
        <w:t xml:space="preserve">A change in </w:t>
      </w:r>
      <w:r>
        <w:rPr>
          <w:rFonts w:ascii="Segoe UI" w:eastAsia="Segoe UI" w:hAnsi="Segoe UI"/>
          <w:b/>
          <w:color w:val="000000"/>
          <w:sz w:val="22"/>
        </w:rPr>
        <w:t>health outcome</w:t>
      </w:r>
      <w:r w:rsidRPr="004A45BE">
        <w:rPr>
          <w:rFonts w:ascii="Segoe UI" w:eastAsia="Segoe UI" w:hAnsi="Segoe UI"/>
          <w:b/>
          <w:color w:val="000000"/>
          <w:sz w:val="22"/>
        </w:rPr>
        <w:t>?</w:t>
      </w:r>
      <w:r>
        <w:rPr>
          <w:rFonts w:ascii="Segoe UI" w:eastAsia="Segoe UI" w:hAnsi="Segoe UI"/>
          <w:bCs/>
          <w:color w:val="000000"/>
          <w:sz w:val="22"/>
        </w:rPr>
        <w:tab/>
      </w:r>
      <w:r>
        <w:rPr>
          <w:rFonts w:ascii="Segoe UI" w:eastAsia="Segoe UI" w:hAnsi="Segoe UI"/>
          <w:bCs/>
          <w:color w:val="000000"/>
          <w:sz w:val="22"/>
        </w:rPr>
        <w:tab/>
      </w:r>
      <w:r>
        <w:rPr>
          <w:rFonts w:ascii="Segoe UI" w:eastAsia="Segoe UI" w:hAnsi="Segoe UI"/>
          <w:bCs/>
          <w:color w:val="000000"/>
          <w:sz w:val="22"/>
        </w:rPr>
        <w:tab/>
      </w:r>
      <w:r>
        <w:rPr>
          <w:rFonts w:ascii="Segoe UI" w:eastAsia="Segoe UI" w:hAnsi="Segoe UI"/>
          <w:bCs/>
          <w:color w:val="000000"/>
          <w:sz w:val="22"/>
        </w:rPr>
        <w:tab/>
      </w:r>
      <w:r w:rsidR="006A4ED3" w:rsidRPr="006A4ED3">
        <w:rPr>
          <w:rFonts w:ascii="Segoe UI" w:eastAsia="Segoe UI" w:hAnsi="Segoe UI"/>
          <w:b/>
          <w:color w:val="000000"/>
          <w:sz w:val="22"/>
        </w:rPr>
        <w:t>No</w:t>
      </w:r>
    </w:p>
    <w:p w14:paraId="6C54CA8D" w14:textId="6443482C" w:rsidR="004A45BE" w:rsidRDefault="004A45BE" w:rsidP="004A45BE">
      <w:pPr>
        <w:spacing w:after="0" w:line="240" w:lineRule="auto"/>
        <w:ind w:firstLine="720"/>
        <w:rPr>
          <w:rFonts w:ascii="Segoe UI" w:eastAsia="Segoe UI" w:hAnsi="Segoe UI"/>
          <w:bCs/>
          <w:color w:val="000000"/>
          <w:sz w:val="22"/>
        </w:rPr>
      </w:pPr>
    </w:p>
    <w:p w14:paraId="72E98F35" w14:textId="5012F444" w:rsidR="004A45BE" w:rsidRPr="00DF2D79" w:rsidRDefault="004A45BE" w:rsidP="004A45BE">
      <w:pPr>
        <w:spacing w:after="0" w:line="240" w:lineRule="auto"/>
        <w:ind w:firstLine="720"/>
        <w:rPr>
          <w:rFonts w:ascii="Segoe UI" w:eastAsia="Segoe UI" w:hAnsi="Segoe UI"/>
          <w:bCs/>
          <w:color w:val="000000"/>
          <w:sz w:val="22"/>
        </w:rPr>
      </w:pPr>
      <w:r>
        <w:rPr>
          <w:rFonts w:ascii="Segoe UI" w:eastAsia="Segoe UI" w:hAnsi="Segoe UI"/>
          <w:b/>
          <w:color w:val="000000"/>
          <w:sz w:val="22"/>
        </w:rPr>
        <w:t>Other benefits</w:t>
      </w:r>
      <w:r w:rsidRPr="004A45BE">
        <w:rPr>
          <w:rFonts w:ascii="Segoe UI" w:eastAsia="Segoe UI" w:hAnsi="Segoe UI"/>
          <w:b/>
          <w:color w:val="000000"/>
          <w:sz w:val="22"/>
        </w:rPr>
        <w:t>?</w:t>
      </w:r>
      <w:r>
        <w:rPr>
          <w:rFonts w:ascii="Segoe UI" w:eastAsia="Segoe UI" w:hAnsi="Segoe UI"/>
          <w:bCs/>
          <w:color w:val="000000"/>
          <w:sz w:val="22"/>
        </w:rPr>
        <w:tab/>
      </w:r>
      <w:r>
        <w:rPr>
          <w:rFonts w:ascii="Segoe UI" w:eastAsia="Segoe UI" w:hAnsi="Segoe UI"/>
          <w:bCs/>
          <w:color w:val="000000"/>
          <w:sz w:val="22"/>
        </w:rPr>
        <w:tab/>
      </w:r>
      <w:r>
        <w:rPr>
          <w:rFonts w:ascii="Segoe UI" w:eastAsia="Segoe UI" w:hAnsi="Segoe UI"/>
          <w:bCs/>
          <w:color w:val="000000"/>
          <w:sz w:val="22"/>
        </w:rPr>
        <w:tab/>
      </w:r>
      <w:r>
        <w:rPr>
          <w:rFonts w:ascii="Segoe UI" w:eastAsia="Segoe UI" w:hAnsi="Segoe UI"/>
          <w:bCs/>
          <w:color w:val="000000"/>
          <w:sz w:val="22"/>
        </w:rPr>
        <w:tab/>
      </w:r>
      <w:r>
        <w:rPr>
          <w:rFonts w:ascii="Segoe UI" w:eastAsia="Segoe UI" w:hAnsi="Segoe UI"/>
          <w:bCs/>
          <w:color w:val="000000"/>
          <w:sz w:val="22"/>
        </w:rPr>
        <w:tab/>
      </w:r>
      <w:r>
        <w:rPr>
          <w:rFonts w:ascii="Segoe UI" w:eastAsia="Segoe UI" w:hAnsi="Segoe UI"/>
          <w:bCs/>
          <w:color w:val="000000"/>
          <w:sz w:val="22"/>
        </w:rPr>
        <w:tab/>
      </w:r>
      <w:r w:rsidR="006A4ED3" w:rsidRPr="006A4ED3">
        <w:rPr>
          <w:rFonts w:ascii="Segoe UI" w:eastAsia="Segoe UI" w:hAnsi="Segoe UI"/>
          <w:b/>
          <w:color w:val="000000"/>
          <w:sz w:val="22"/>
        </w:rPr>
        <w:t>No</w:t>
      </w:r>
    </w:p>
    <w:p w14:paraId="0434A6A4" w14:textId="77777777" w:rsidR="004A45BE" w:rsidRPr="00DF2D79" w:rsidRDefault="004A45BE" w:rsidP="004A45BE">
      <w:pPr>
        <w:spacing w:after="0" w:line="240" w:lineRule="auto"/>
        <w:ind w:firstLine="720"/>
        <w:rPr>
          <w:rFonts w:ascii="Segoe UI" w:eastAsia="Segoe UI" w:hAnsi="Segoe UI"/>
          <w:bCs/>
          <w:color w:val="000000"/>
          <w:sz w:val="22"/>
        </w:rPr>
      </w:pPr>
    </w:p>
    <w:p w14:paraId="0F672E8C" w14:textId="6BEE70C3" w:rsidR="004A45BE" w:rsidRDefault="009D5D20" w:rsidP="004A45BE">
      <w:pPr>
        <w:spacing w:after="0" w:line="240" w:lineRule="auto"/>
        <w:rPr>
          <w:rFonts w:ascii="Segoe UI" w:eastAsia="Segoe UI" w:hAnsi="Segoe UI"/>
          <w:b/>
          <w:color w:val="000000"/>
          <w:sz w:val="22"/>
        </w:rPr>
      </w:pPr>
      <w:r>
        <w:rPr>
          <w:rFonts w:ascii="Segoe UI" w:eastAsia="Segoe UI" w:hAnsi="Segoe UI"/>
          <w:b/>
          <w:color w:val="000000"/>
          <w:sz w:val="22"/>
        </w:rPr>
        <w:t>Please provide a rationale, and information on other benefits if relevant</w:t>
      </w:r>
      <w:r w:rsidR="004A45BE">
        <w:rPr>
          <w:rFonts w:ascii="Segoe UI" w:eastAsia="Segoe UI" w:hAnsi="Segoe UI"/>
          <w:b/>
          <w:color w:val="000000"/>
          <w:sz w:val="22"/>
        </w:rPr>
        <w:t>:</w:t>
      </w:r>
    </w:p>
    <w:p w14:paraId="04716397" w14:textId="77777777" w:rsidR="004A45BE" w:rsidRDefault="004A45BE" w:rsidP="004A45BE">
      <w:pPr>
        <w:spacing w:after="0" w:line="240" w:lineRule="auto"/>
        <w:rPr>
          <w:rFonts w:ascii="Segoe UI" w:eastAsia="Segoe UI" w:hAnsi="Segoe UI"/>
          <w:b/>
          <w:color w:val="000000"/>
          <w:sz w:val="22"/>
        </w:rPr>
      </w:pPr>
    </w:p>
    <w:p w14:paraId="23BD9B2F" w14:textId="53194A24" w:rsidR="00C544A6" w:rsidRDefault="00B6781C" w:rsidP="008E5820">
      <w:pPr>
        <w:pStyle w:val="Responsetext"/>
      </w:pPr>
      <w:r>
        <w:t>Note that patients achieve an identical health outcome</w:t>
      </w:r>
      <w:r w:rsidR="00C544A6">
        <w:t xml:space="preserve"> </w:t>
      </w:r>
      <w:r>
        <w:t xml:space="preserve">with the intervention or comparator, i.e. they undergo MBGS surgery </w:t>
      </w:r>
      <w:r w:rsidR="00C544A6">
        <w:t xml:space="preserve">(utilising the same MBS item) </w:t>
      </w:r>
      <w:r w:rsidR="00D63CC6">
        <w:t xml:space="preserve">to lower IOP, </w:t>
      </w:r>
      <w:r>
        <w:t xml:space="preserve">using either </w:t>
      </w:r>
      <w:r w:rsidRPr="00B6781C">
        <w:t>MINIject</w:t>
      </w:r>
      <w:r>
        <w:t xml:space="preserve"> or a </w:t>
      </w:r>
      <w:r w:rsidR="008E5820">
        <w:t>comparator</w:t>
      </w:r>
      <w:r>
        <w:t xml:space="preserve"> trans-trabecular stent</w:t>
      </w:r>
      <w:r w:rsidR="00D63CC6">
        <w:t>. However post surgery,</w:t>
      </w:r>
      <w:r w:rsidR="00C544A6">
        <w:t xml:space="preserve"> mean IOP lowering following surgery is expected to be greater </w:t>
      </w:r>
      <w:r w:rsidR="00D63CC6">
        <w:t>following</w:t>
      </w:r>
      <w:r w:rsidR="00C544A6">
        <w:t xml:space="preserve"> use of MINIject</w:t>
      </w:r>
      <w:r w:rsidR="00D63CC6">
        <w:t>.</w:t>
      </w:r>
    </w:p>
    <w:p w14:paraId="786A2A0B" w14:textId="628CDE88" w:rsidR="008E5820" w:rsidRDefault="00C544A6" w:rsidP="008E5820">
      <w:pPr>
        <w:pStyle w:val="Responsetext"/>
      </w:pPr>
      <w:r>
        <w:t>U</w:t>
      </w:r>
      <w:r w:rsidR="00B6781C">
        <w:t xml:space="preserve">se of </w:t>
      </w:r>
      <w:r w:rsidR="00B6781C" w:rsidRPr="00B6781C">
        <w:t>MINIject</w:t>
      </w:r>
      <w:r w:rsidR="00B6781C">
        <w:t xml:space="preserve"> </w:t>
      </w:r>
      <w:r>
        <w:t xml:space="preserve">during standalone MBGS </w:t>
      </w:r>
      <w:r w:rsidR="00B6781C">
        <w:t>is associated with</w:t>
      </w:r>
      <w:r w:rsidR="008E5820">
        <w:t xml:space="preserve"> a greater</w:t>
      </w:r>
      <w:r w:rsidR="00B6781C">
        <w:t xml:space="preserve"> reduction in IOP compared with the comparator. </w:t>
      </w:r>
      <w:r w:rsidR="008E5820">
        <w:t>Meta-analyses and</w:t>
      </w:r>
      <w:r w:rsidR="00B6781C">
        <w:t xml:space="preserve"> </w:t>
      </w:r>
      <w:r w:rsidR="008E5820">
        <w:t xml:space="preserve">an </w:t>
      </w:r>
      <w:r w:rsidR="00B6781C">
        <w:t xml:space="preserve">indirect treatment comparison of </w:t>
      </w:r>
      <w:r w:rsidR="00B6781C" w:rsidRPr="00B6781C">
        <w:t>MINIject</w:t>
      </w:r>
      <w:r w:rsidR="00B6781C">
        <w:t xml:space="preserve"> versus </w:t>
      </w:r>
      <w:r w:rsidR="00B6781C" w:rsidRPr="00B6781C">
        <w:t>iStent</w:t>
      </w:r>
      <w:r w:rsidR="00B6781C">
        <w:t xml:space="preserve"> used during MBGS </w:t>
      </w:r>
      <w:r w:rsidR="008E5820" w:rsidRPr="002A6831">
        <w:t>were</w:t>
      </w:r>
      <w:r w:rsidR="00B6781C" w:rsidRPr="002A6831">
        <w:t xml:space="preserve"> conducted for the Prostheses List submission, which showed a </w:t>
      </w:r>
      <w:r w:rsidR="008E5820" w:rsidRPr="002A6831">
        <w:t xml:space="preserve">statistically significant </w:t>
      </w:r>
      <w:r w:rsidR="00757C69" w:rsidRPr="002A6831">
        <w:t>additional reduction</w:t>
      </w:r>
      <w:r w:rsidR="008E5820" w:rsidRPr="002A6831">
        <w:t xml:space="preserve"> in mean change from baseline IOP of -5.20 mmHg (95% CI -7.78, 95% CI -2.62; p&lt;0.001)</w:t>
      </w:r>
      <w:r w:rsidR="008E5820">
        <w:t xml:space="preserve"> </w:t>
      </w:r>
      <w:r w:rsidR="00C70EEE">
        <w:t>in favour of</w:t>
      </w:r>
      <w:r w:rsidR="008E5820">
        <w:t xml:space="preserve"> MINIject vs. iStent at 6 months. This significant benefit in reduced IOP was maintained for 24 months post-surgery. </w:t>
      </w:r>
      <w:r w:rsidR="00D63CC6">
        <w:t>The studies utilised for this indirect treatment comparison are reported in the summary of evidence table (at the end of this Application).</w:t>
      </w:r>
    </w:p>
    <w:p w14:paraId="4559AF7E" w14:textId="77777777" w:rsidR="004A45BE" w:rsidRPr="00BE6B22" w:rsidRDefault="004A45BE" w:rsidP="004A45BE">
      <w:pPr>
        <w:spacing w:after="0" w:line="240" w:lineRule="auto"/>
        <w:rPr>
          <w:rFonts w:asciiTheme="minorHAnsi" w:eastAsia="Segoe UI" w:hAnsiTheme="minorHAnsi" w:cstheme="minorHAnsi"/>
          <w:color w:val="000000"/>
          <w:sz w:val="22"/>
          <w:szCs w:val="22"/>
        </w:rPr>
      </w:pPr>
    </w:p>
    <w:p w14:paraId="1CAE3F41" w14:textId="56876683" w:rsidR="004A45BE" w:rsidRDefault="009D5D20" w:rsidP="004A45BE">
      <w:pPr>
        <w:rPr>
          <w:rFonts w:ascii="Segoe UI" w:eastAsia="Segoe UI" w:hAnsi="Segoe UI"/>
          <w:bCs/>
          <w:color w:val="000000"/>
          <w:sz w:val="22"/>
        </w:rPr>
      </w:pPr>
      <w:r>
        <w:rPr>
          <w:rFonts w:ascii="Segoe UI" w:eastAsia="Segoe UI" w:hAnsi="Segoe UI"/>
          <w:b/>
          <w:color w:val="000000"/>
          <w:sz w:val="22"/>
        </w:rPr>
        <w:t>In terms of the immediate costs of the proposed technology (and immediate cost consequences, such as procedural costs, testing costs etc.), is the proposed technology claimed to be more costly, the same cost or less costly than the comparator?</w:t>
      </w:r>
      <w:r w:rsidR="004A45BE">
        <w:rPr>
          <w:rFonts w:ascii="Segoe UI" w:eastAsia="Segoe UI" w:hAnsi="Segoe UI"/>
          <w:b/>
          <w:color w:val="000000"/>
          <w:sz w:val="22"/>
        </w:rPr>
        <w:t xml:space="preserve"> </w:t>
      </w:r>
      <w:r w:rsidR="004A45BE" w:rsidRPr="00B63A61">
        <w:rPr>
          <w:rFonts w:ascii="Segoe UI" w:eastAsia="Segoe UI" w:hAnsi="Segoe UI"/>
          <w:bCs/>
          <w:color w:val="000000"/>
          <w:sz w:val="22"/>
        </w:rPr>
        <w:t xml:space="preserve">(please </w:t>
      </w:r>
      <w:r w:rsidR="00DB2D53">
        <w:rPr>
          <w:rFonts w:ascii="Segoe UI" w:eastAsia="Segoe UI" w:hAnsi="Segoe UI"/>
          <w:bCs/>
          <w:color w:val="000000"/>
          <w:sz w:val="22"/>
        </w:rPr>
        <w:t>select</w:t>
      </w:r>
      <w:r w:rsidR="004A45BE" w:rsidRPr="00B63A61">
        <w:rPr>
          <w:rFonts w:ascii="Segoe UI" w:eastAsia="Segoe UI" w:hAnsi="Segoe UI"/>
          <w:bCs/>
          <w:color w:val="000000"/>
          <w:sz w:val="22"/>
        </w:rPr>
        <w:t xml:space="preserve"> your response)</w:t>
      </w:r>
    </w:p>
    <w:p w14:paraId="0EB954C3" w14:textId="77777777" w:rsidR="006437E6" w:rsidRPr="000627EF" w:rsidRDefault="006437E6" w:rsidP="006437E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00FA7BD3">
        <w:rPr>
          <w:rFonts w:ascii="Segoe UI" w:hAnsi="Segoe UI" w:cs="Segoe UI"/>
          <w:sz w:val="22"/>
          <w:szCs w:val="22"/>
        </w:rPr>
      </w:r>
      <w:r w:rsidR="00FA7BD3">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More costly</w:t>
      </w:r>
      <w:r w:rsidRPr="000627EF">
        <w:rPr>
          <w:rFonts w:ascii="Segoe UI" w:hAnsi="Segoe UI" w:cs="Segoe UI"/>
          <w:sz w:val="22"/>
          <w:szCs w:val="22"/>
        </w:rPr>
        <w:t xml:space="preserve"> </w:t>
      </w:r>
    </w:p>
    <w:p w14:paraId="76F56838" w14:textId="474A5CD3" w:rsidR="006437E6" w:rsidRPr="000627EF" w:rsidRDefault="00376D8E" w:rsidP="006437E6">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sidR="00FA7BD3">
        <w:rPr>
          <w:rFonts w:ascii="Segoe UI" w:hAnsi="Segoe UI" w:cs="Segoe UI"/>
          <w:sz w:val="22"/>
          <w:szCs w:val="22"/>
        </w:rPr>
      </w:r>
      <w:r w:rsidR="00FA7BD3">
        <w:rPr>
          <w:rFonts w:ascii="Segoe UI" w:hAnsi="Segoe UI" w:cs="Segoe UI"/>
          <w:sz w:val="22"/>
          <w:szCs w:val="22"/>
        </w:rPr>
        <w:fldChar w:fldCharType="separate"/>
      </w:r>
      <w:r>
        <w:rPr>
          <w:rFonts w:ascii="Segoe UI" w:hAnsi="Segoe UI" w:cs="Segoe UI"/>
          <w:sz w:val="22"/>
          <w:szCs w:val="22"/>
        </w:rPr>
        <w:fldChar w:fldCharType="end"/>
      </w:r>
      <w:r w:rsidR="006437E6" w:rsidRPr="000627EF">
        <w:rPr>
          <w:rFonts w:ascii="Segoe UI" w:hAnsi="Segoe UI" w:cs="Segoe UI"/>
          <w:sz w:val="22"/>
          <w:szCs w:val="22"/>
        </w:rPr>
        <w:t xml:space="preserve"> </w:t>
      </w:r>
      <w:r w:rsidR="006437E6">
        <w:rPr>
          <w:rFonts w:ascii="Segoe UI" w:hAnsi="Segoe UI" w:cs="Segoe UI"/>
          <w:sz w:val="22"/>
          <w:szCs w:val="22"/>
        </w:rPr>
        <w:t>Same cost</w:t>
      </w:r>
    </w:p>
    <w:p w14:paraId="3FAC3311" w14:textId="77777777" w:rsidR="006437E6" w:rsidRPr="000627EF" w:rsidRDefault="006437E6" w:rsidP="006437E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00FA7BD3">
        <w:rPr>
          <w:rFonts w:ascii="Segoe UI" w:hAnsi="Segoe UI" w:cs="Segoe UI"/>
          <w:sz w:val="22"/>
          <w:szCs w:val="22"/>
        </w:rPr>
      </w:r>
      <w:r w:rsidR="00FA7BD3">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Less costly</w:t>
      </w:r>
      <w:r w:rsidRPr="000627EF">
        <w:rPr>
          <w:rFonts w:ascii="Segoe UI" w:hAnsi="Segoe UI" w:cs="Segoe UI"/>
          <w:sz w:val="22"/>
          <w:szCs w:val="22"/>
        </w:rPr>
        <w:t xml:space="preserve"> </w:t>
      </w:r>
    </w:p>
    <w:p w14:paraId="7925F574" w14:textId="77777777" w:rsidR="00025969" w:rsidRDefault="00025969" w:rsidP="004A45BE"/>
    <w:p w14:paraId="164A331A" w14:textId="613BA0E6" w:rsidR="004A45BE" w:rsidRDefault="009D5D20" w:rsidP="004A45BE">
      <w:pPr>
        <w:spacing w:after="0" w:line="240" w:lineRule="auto"/>
        <w:rPr>
          <w:rFonts w:ascii="Segoe UI" w:eastAsia="Segoe UI" w:hAnsi="Segoe UI"/>
          <w:b/>
          <w:color w:val="000000"/>
          <w:sz w:val="22"/>
        </w:rPr>
      </w:pPr>
      <w:r>
        <w:rPr>
          <w:rFonts w:ascii="Segoe UI" w:eastAsia="Segoe UI" w:hAnsi="Segoe UI"/>
          <w:b/>
          <w:color w:val="000000"/>
          <w:sz w:val="22"/>
        </w:rPr>
        <w:t>Provide a brief rationale for the claim</w:t>
      </w:r>
      <w:r w:rsidR="004A45BE">
        <w:rPr>
          <w:rFonts w:ascii="Segoe UI" w:eastAsia="Segoe UI" w:hAnsi="Segoe UI"/>
          <w:b/>
          <w:color w:val="000000"/>
          <w:sz w:val="22"/>
        </w:rPr>
        <w:t>:</w:t>
      </w:r>
    </w:p>
    <w:p w14:paraId="3797314E" w14:textId="77777777" w:rsidR="004A45BE" w:rsidRDefault="004A45BE" w:rsidP="004A45BE">
      <w:pPr>
        <w:spacing w:after="0" w:line="240" w:lineRule="auto"/>
        <w:rPr>
          <w:rFonts w:ascii="Segoe UI" w:eastAsia="Segoe UI" w:hAnsi="Segoe UI"/>
          <w:b/>
          <w:color w:val="000000"/>
          <w:sz w:val="22"/>
        </w:rPr>
      </w:pPr>
    </w:p>
    <w:p w14:paraId="3E4B5467" w14:textId="54A90735" w:rsidR="004A45BE" w:rsidRDefault="006D39C5" w:rsidP="004A45BE">
      <w:pPr>
        <w:spacing w:after="0" w:line="240" w:lineRule="auto"/>
        <w:rPr>
          <w:rFonts w:ascii="Segoe UI" w:hAnsi="Segoe UI" w:cs="Segoe UI"/>
          <w:sz w:val="22"/>
          <w:szCs w:val="22"/>
        </w:rPr>
      </w:pPr>
      <w:r>
        <w:rPr>
          <w:rFonts w:ascii="Segoe UI" w:hAnsi="Segoe UI" w:cs="Segoe UI"/>
          <w:sz w:val="22"/>
          <w:szCs w:val="22"/>
        </w:rPr>
        <w:t xml:space="preserve">Patient treatment prior to and post MBGS is not expected to differ </w:t>
      </w:r>
      <w:r w:rsidR="00F6064F">
        <w:rPr>
          <w:rFonts w:ascii="Segoe UI" w:hAnsi="Segoe UI" w:cs="Segoe UI"/>
          <w:sz w:val="22"/>
          <w:szCs w:val="22"/>
        </w:rPr>
        <w:t>between</w:t>
      </w:r>
      <w:r>
        <w:rPr>
          <w:rFonts w:ascii="Segoe UI" w:hAnsi="Segoe UI" w:cs="Segoe UI"/>
          <w:sz w:val="22"/>
          <w:szCs w:val="22"/>
        </w:rPr>
        <w:t xml:space="preserve"> use </w:t>
      </w:r>
      <w:r w:rsidR="00F6064F">
        <w:rPr>
          <w:rFonts w:ascii="Segoe UI" w:hAnsi="Segoe UI" w:cs="Segoe UI"/>
          <w:sz w:val="22"/>
          <w:szCs w:val="22"/>
        </w:rPr>
        <w:t xml:space="preserve">of </w:t>
      </w:r>
      <w:r w:rsidRPr="006D39C5">
        <w:rPr>
          <w:rFonts w:ascii="Segoe UI" w:hAnsi="Segoe UI" w:cs="Segoe UI"/>
          <w:sz w:val="22"/>
          <w:szCs w:val="22"/>
        </w:rPr>
        <w:t>MINIject</w:t>
      </w:r>
      <w:r>
        <w:rPr>
          <w:rFonts w:ascii="Segoe UI" w:hAnsi="Segoe UI" w:cs="Segoe UI"/>
          <w:sz w:val="22"/>
          <w:szCs w:val="22"/>
        </w:rPr>
        <w:t xml:space="preserve"> or the comparator stent. The procedure required </w:t>
      </w:r>
      <w:r w:rsidR="00771183">
        <w:rPr>
          <w:rFonts w:ascii="Segoe UI" w:hAnsi="Segoe UI" w:cs="Segoe UI"/>
          <w:sz w:val="22"/>
          <w:szCs w:val="22"/>
        </w:rPr>
        <w:t xml:space="preserve">to implant </w:t>
      </w:r>
      <w:r w:rsidRPr="006D39C5">
        <w:rPr>
          <w:rFonts w:ascii="Segoe UI" w:hAnsi="Segoe UI" w:cs="Segoe UI"/>
          <w:sz w:val="22"/>
          <w:szCs w:val="22"/>
        </w:rPr>
        <w:t>MINIject</w:t>
      </w:r>
      <w:r>
        <w:rPr>
          <w:rFonts w:ascii="Segoe UI" w:hAnsi="Segoe UI" w:cs="Segoe UI"/>
          <w:sz w:val="22"/>
          <w:szCs w:val="22"/>
        </w:rPr>
        <w:t xml:space="preserve"> is similar to insertion of </w:t>
      </w:r>
      <w:r w:rsidR="00771183">
        <w:rPr>
          <w:rFonts w:ascii="Segoe UI" w:hAnsi="Segoe UI" w:cs="Segoe UI"/>
          <w:sz w:val="22"/>
          <w:szCs w:val="22"/>
        </w:rPr>
        <w:t xml:space="preserve">the </w:t>
      </w:r>
      <w:r>
        <w:rPr>
          <w:rFonts w:ascii="Segoe UI" w:hAnsi="Segoe UI" w:cs="Segoe UI"/>
          <w:sz w:val="22"/>
          <w:szCs w:val="22"/>
        </w:rPr>
        <w:t>comparator stents in MBGS, with no expected difference in the use of resources (e.g. theatre time, required equipment, anaesthesia</w:t>
      </w:r>
      <w:r w:rsidR="00460385">
        <w:rPr>
          <w:rFonts w:ascii="Segoe UI" w:hAnsi="Segoe UI" w:cs="Segoe UI"/>
          <w:sz w:val="22"/>
          <w:szCs w:val="22"/>
        </w:rPr>
        <w:t>, recovery time</w:t>
      </w:r>
      <w:r>
        <w:rPr>
          <w:rFonts w:ascii="Segoe UI" w:hAnsi="Segoe UI" w:cs="Segoe UI"/>
          <w:sz w:val="22"/>
          <w:szCs w:val="22"/>
        </w:rPr>
        <w:t xml:space="preserve">) when </w:t>
      </w:r>
      <w:r w:rsidRPr="006D39C5">
        <w:rPr>
          <w:rFonts w:ascii="Segoe UI" w:hAnsi="Segoe UI" w:cs="Segoe UI"/>
          <w:sz w:val="22"/>
          <w:szCs w:val="22"/>
        </w:rPr>
        <w:t>MINIject</w:t>
      </w:r>
      <w:r>
        <w:rPr>
          <w:rFonts w:ascii="Segoe UI" w:hAnsi="Segoe UI" w:cs="Segoe UI"/>
          <w:sz w:val="22"/>
          <w:szCs w:val="22"/>
        </w:rPr>
        <w:t xml:space="preserve"> is used compared with the comparator. Hence no resource use differences or cost difference is assumed. </w:t>
      </w:r>
    </w:p>
    <w:p w14:paraId="3A3ED3FC" w14:textId="5A012448" w:rsidR="00DB2D53" w:rsidRDefault="00DB2D53"/>
    <w:p w14:paraId="78D9C328" w14:textId="1831272D" w:rsidR="0030566C" w:rsidRDefault="0030566C">
      <w:pPr>
        <w:rPr>
          <w:rFonts w:ascii="Segoe UI" w:eastAsia="Segoe UI" w:hAnsi="Segoe UI"/>
          <w:b/>
          <w:color w:val="000000"/>
          <w:sz w:val="32"/>
        </w:rPr>
      </w:pPr>
      <w:bookmarkStart w:id="12" w:name="_Hlk122532620"/>
      <w:r>
        <w:rPr>
          <w:rFonts w:ascii="Segoe UI" w:eastAsia="Segoe UI" w:hAnsi="Segoe UI"/>
          <w:b/>
          <w:color w:val="000000"/>
          <w:sz w:val="32"/>
        </w:rPr>
        <w:lastRenderedPageBreak/>
        <w:t>Summary of Evidence</w:t>
      </w:r>
    </w:p>
    <w:p w14:paraId="30B8B45A" w14:textId="5D63635B" w:rsidR="0030566C" w:rsidRPr="0030566C" w:rsidRDefault="0030566C">
      <w:pPr>
        <w:rPr>
          <w:rFonts w:ascii="Segoe UI" w:eastAsia="Segoe UI" w:hAnsi="Segoe UI"/>
          <w:b/>
          <w:color w:val="000000"/>
          <w:sz w:val="22"/>
        </w:rPr>
      </w:pPr>
      <w:r w:rsidRPr="0030566C">
        <w:rPr>
          <w:rFonts w:ascii="Segoe UI" w:eastAsia="Segoe UI" w:hAnsi="Segoe UI"/>
          <w:b/>
          <w:color w:val="000000"/>
          <w:sz w:val="22"/>
        </w:rPr>
        <w:t>Provide one or more recent (published) high quality clinical studies that support use of the proposed health service/technology. At ‘Application Form lodgement’, please do not attach full text articles; just provide a summary</w:t>
      </w:r>
      <w:r>
        <w:rPr>
          <w:rFonts w:ascii="Segoe UI" w:eastAsia="Segoe UI" w:hAnsi="Segoe UI"/>
          <w:b/>
          <w:color w:val="000000"/>
          <w:sz w:val="22"/>
        </w:rPr>
        <w:t xml:space="preserve"> (repeat columns as required)</w:t>
      </w:r>
      <w:r w:rsidRPr="0030566C">
        <w:rPr>
          <w:rFonts w:ascii="Segoe UI" w:eastAsia="Segoe UI" w:hAnsi="Segoe UI"/>
          <w:b/>
          <w:color w:val="000000"/>
          <w:sz w:val="22"/>
        </w:rPr>
        <w:t>.</w:t>
      </w:r>
    </w:p>
    <w:p w14:paraId="455A5736" w14:textId="1D96F1AD" w:rsidR="0030566C" w:rsidRDefault="0030566C">
      <w:pPr>
        <w:rPr>
          <w:rFonts w:ascii="Segoe UI" w:eastAsia="Segoe UI" w:hAnsi="Segoe UI"/>
          <w:b/>
          <w:color w:val="000000"/>
          <w:sz w:val="22"/>
        </w:rPr>
      </w:pPr>
      <w:r w:rsidRPr="0030566C">
        <w:rPr>
          <w:rFonts w:ascii="Segoe UI" w:eastAsia="Segoe UI" w:hAnsi="Segoe UI"/>
          <w:b/>
          <w:color w:val="000000"/>
          <w:sz w:val="22"/>
        </w:rPr>
        <w:t>Identify yet-to-be-published research that may have results available in the near future (that could be relevant to your application). Do not attach full text articles; this is just a summary</w:t>
      </w:r>
      <w:r>
        <w:rPr>
          <w:rFonts w:ascii="Segoe UI" w:eastAsia="Segoe UI" w:hAnsi="Segoe UI"/>
          <w:b/>
          <w:color w:val="000000"/>
          <w:sz w:val="22"/>
        </w:rPr>
        <w:t xml:space="preserve"> (repeat columns as required)</w:t>
      </w:r>
      <w:r w:rsidRPr="0030566C">
        <w:rPr>
          <w:rFonts w:ascii="Segoe UI" w:eastAsia="Segoe UI" w:hAnsi="Segoe UI"/>
          <w:b/>
          <w:color w:val="000000"/>
          <w:sz w:val="22"/>
        </w:rPr>
        <w:t>.</w:t>
      </w:r>
    </w:p>
    <w:p w14:paraId="6CA2ADA2" w14:textId="77777777" w:rsidR="0067605B" w:rsidRDefault="002C4B38" w:rsidP="0030297D">
      <w:pPr>
        <w:pStyle w:val="Responsetext"/>
      </w:pPr>
      <w:r>
        <w:t>There are no directly comparative randomised, controlled trials of MINIject vs. the comparator</w:t>
      </w:r>
      <w:r w:rsidR="00F73545">
        <w:t>, both used in glaucoma as part of a standalone MBGS procedure</w:t>
      </w:r>
      <w:r>
        <w:t xml:space="preserve">. Hence an indirect treatment comparison will be required. </w:t>
      </w:r>
    </w:p>
    <w:p w14:paraId="4F3CBFF0" w14:textId="77777777" w:rsidR="00EC2275" w:rsidRDefault="0067605B" w:rsidP="0030297D">
      <w:pPr>
        <w:pStyle w:val="Responsetext"/>
      </w:pPr>
      <w:r>
        <w:t>Details</w:t>
      </w:r>
      <w:r w:rsidR="002C4B38">
        <w:t xml:space="preserve"> of the</w:t>
      </w:r>
      <w:r>
        <w:t xml:space="preserve"> 4</w:t>
      </w:r>
      <w:r w:rsidR="002C4B38">
        <w:t xml:space="preserve"> completed MINIject studies </w:t>
      </w:r>
      <w:r>
        <w:t>are</w:t>
      </w:r>
      <w:r w:rsidR="002C4B38">
        <w:t xml:space="preserve"> provided</w:t>
      </w:r>
      <w:r>
        <w:t xml:space="preserve"> in the table below</w:t>
      </w:r>
      <w:r w:rsidR="002C4B38">
        <w:t>.</w:t>
      </w:r>
      <w:r>
        <w:t xml:space="preserve"> </w:t>
      </w:r>
    </w:p>
    <w:p w14:paraId="53DE25C1" w14:textId="20759D4E" w:rsidR="0067605B" w:rsidRDefault="0067605B" w:rsidP="0030297D">
      <w:pPr>
        <w:pStyle w:val="Responsetext"/>
      </w:pPr>
      <w:r>
        <w:t xml:space="preserve">Seven relevant </w:t>
      </w:r>
      <w:r w:rsidR="002C4B38">
        <w:t xml:space="preserve">comparator iStent studies </w:t>
      </w:r>
      <w:r>
        <w:t>identified</w:t>
      </w:r>
      <w:r w:rsidR="002C4B38">
        <w:t xml:space="preserve"> from </w:t>
      </w:r>
      <w:r w:rsidR="00F73545">
        <w:t>a</w:t>
      </w:r>
      <w:r w:rsidR="002C4B38">
        <w:t xml:space="preserve"> literature search conducted in April 2023</w:t>
      </w:r>
      <w:r>
        <w:t xml:space="preserve"> are also provided in the table below. </w:t>
      </w:r>
      <w:r w:rsidR="00EC2275">
        <w:t>Patients in the MINIject studies could have previously undergone other procedures including cataract surgery and prior trabeculoplasty.</w:t>
      </w:r>
    </w:p>
    <w:p w14:paraId="3858517B" w14:textId="336C113D" w:rsidR="0030297D" w:rsidRDefault="0067605B" w:rsidP="0030297D">
      <w:pPr>
        <w:pStyle w:val="Responsetext"/>
      </w:pPr>
      <w:r>
        <w:t>All the intervention and comparator studies were conducted in patients with OAG undergoing standalone OAG surgery, with all iSTENT studies including insertion of two stents, as recommended.</w:t>
      </w:r>
    </w:p>
    <w:p w14:paraId="6F88CF28" w14:textId="030DD644" w:rsidR="00CA45B4" w:rsidRPr="00C70EEE" w:rsidRDefault="00CA45B4" w:rsidP="005968B9">
      <w:pPr>
        <w:pStyle w:val="Responsetext"/>
      </w:pPr>
      <w:r>
        <w:t>Long term, 3-year data on use of MINIject has recently been reported</w:t>
      </w:r>
      <w:r w:rsidR="003A3941">
        <w:t xml:space="preserve"> and is</w:t>
      </w:r>
      <w:r>
        <w:t xml:space="preserve"> included in the table below.</w:t>
      </w:r>
    </w:p>
    <w:p w14:paraId="795E5257" w14:textId="77777777" w:rsidR="0030297D" w:rsidRDefault="0030297D" w:rsidP="0030297D">
      <w:pPr>
        <w:pStyle w:val="Responsetext"/>
      </w:pPr>
    </w:p>
    <w:p w14:paraId="40996E04" w14:textId="77777777" w:rsidR="0030297D" w:rsidRDefault="0030297D" w:rsidP="0030297D">
      <w:pPr>
        <w:pStyle w:val="Responsetext"/>
        <w:sectPr w:rsidR="0030297D" w:rsidSect="00452657">
          <w:headerReference w:type="even" r:id="rId22"/>
          <w:headerReference w:type="default" r:id="rId23"/>
          <w:footerReference w:type="even" r:id="rId24"/>
          <w:footerReference w:type="default" r:id="rId25"/>
          <w:headerReference w:type="first" r:id="rId26"/>
          <w:footerReference w:type="first" r:id="rId27"/>
          <w:pgSz w:w="11906" w:h="16838"/>
          <w:pgMar w:top="1440" w:right="991" w:bottom="1135" w:left="1440" w:header="426" w:footer="252" w:gutter="0"/>
          <w:cols w:space="708"/>
          <w:docGrid w:linePitch="360"/>
        </w:sectPr>
      </w:pPr>
    </w:p>
    <w:p w14:paraId="6D3ED5FB" w14:textId="77777777" w:rsidR="0030297D" w:rsidRDefault="0030297D" w:rsidP="0030297D">
      <w:pPr>
        <w:pStyle w:val="Responsetext"/>
      </w:pPr>
    </w:p>
    <w:tbl>
      <w:tblPr>
        <w:tblStyle w:val="TableGrid"/>
        <w:tblW w:w="5000" w:type="pct"/>
        <w:tblLook w:val="04A0" w:firstRow="1" w:lastRow="0" w:firstColumn="1" w:lastColumn="0" w:noHBand="0" w:noVBand="1"/>
        <w:tblCaption w:val="Summary of Evidence - Published"/>
      </w:tblPr>
      <w:tblGrid>
        <w:gridCol w:w="535"/>
        <w:gridCol w:w="1884"/>
        <w:gridCol w:w="2774"/>
        <w:gridCol w:w="5465"/>
        <w:gridCol w:w="1927"/>
        <w:gridCol w:w="1668"/>
      </w:tblGrid>
      <w:tr w:rsidR="00F21590" w:rsidRPr="0030297D" w14:paraId="66CF159D" w14:textId="77777777" w:rsidTr="00D37E9F">
        <w:trPr>
          <w:tblHeader/>
        </w:trPr>
        <w:tc>
          <w:tcPr>
            <w:tcW w:w="188" w:type="pct"/>
            <w:shd w:val="clear" w:color="auto" w:fill="F2F2F2" w:themeFill="background1" w:themeFillShade="F2"/>
          </w:tcPr>
          <w:p w14:paraId="1BD69B3B" w14:textId="77777777" w:rsidR="0030566C" w:rsidRPr="0030297D" w:rsidRDefault="0030566C" w:rsidP="00C408C2">
            <w:pPr>
              <w:pStyle w:val="Tableheading"/>
            </w:pPr>
          </w:p>
        </w:tc>
        <w:tc>
          <w:tcPr>
            <w:tcW w:w="661" w:type="pct"/>
            <w:shd w:val="clear" w:color="auto" w:fill="F2F2F2" w:themeFill="background1" w:themeFillShade="F2"/>
          </w:tcPr>
          <w:p w14:paraId="130DF137" w14:textId="77777777" w:rsidR="0030566C" w:rsidRPr="0030297D" w:rsidRDefault="0030566C" w:rsidP="00C408C2">
            <w:pPr>
              <w:pStyle w:val="Tableheading"/>
            </w:pPr>
            <w:r w:rsidRPr="0030297D">
              <w:t>Type of study design*</w:t>
            </w:r>
          </w:p>
        </w:tc>
        <w:tc>
          <w:tcPr>
            <w:tcW w:w="973" w:type="pct"/>
            <w:shd w:val="clear" w:color="auto" w:fill="F2F2F2" w:themeFill="background1" w:themeFillShade="F2"/>
          </w:tcPr>
          <w:p w14:paraId="18EB8919" w14:textId="77777777" w:rsidR="0030566C" w:rsidRPr="0030297D" w:rsidRDefault="0030566C" w:rsidP="00C408C2">
            <w:pPr>
              <w:pStyle w:val="Tableheading"/>
            </w:pPr>
            <w:r w:rsidRPr="0030297D">
              <w:t>Title of journal article  or research project (including any trial identifier or study lead if relevant)</w:t>
            </w:r>
          </w:p>
        </w:tc>
        <w:tc>
          <w:tcPr>
            <w:tcW w:w="1917" w:type="pct"/>
            <w:shd w:val="clear" w:color="auto" w:fill="F2F2F2" w:themeFill="background1" w:themeFillShade="F2"/>
          </w:tcPr>
          <w:p w14:paraId="1EF74DD0" w14:textId="77777777" w:rsidR="0030566C" w:rsidRPr="0030297D" w:rsidRDefault="0030566C" w:rsidP="00C408C2">
            <w:pPr>
              <w:pStyle w:val="Tableheading"/>
            </w:pPr>
            <w:r w:rsidRPr="0030297D">
              <w:t>Short description of research  (max 50 words)**</w:t>
            </w:r>
          </w:p>
        </w:tc>
        <w:tc>
          <w:tcPr>
            <w:tcW w:w="676" w:type="pct"/>
            <w:shd w:val="clear" w:color="auto" w:fill="F2F2F2" w:themeFill="background1" w:themeFillShade="F2"/>
          </w:tcPr>
          <w:p w14:paraId="1070F437" w14:textId="77777777" w:rsidR="0030566C" w:rsidRPr="0030297D" w:rsidRDefault="0030566C" w:rsidP="00C408C2">
            <w:pPr>
              <w:pStyle w:val="Tableheading"/>
            </w:pPr>
            <w:r w:rsidRPr="0030297D">
              <w:t>Website link to journal article or research (if available)</w:t>
            </w:r>
          </w:p>
        </w:tc>
        <w:tc>
          <w:tcPr>
            <w:tcW w:w="584" w:type="pct"/>
            <w:shd w:val="clear" w:color="auto" w:fill="F2F2F2" w:themeFill="background1" w:themeFillShade="F2"/>
          </w:tcPr>
          <w:p w14:paraId="585598AD" w14:textId="77777777" w:rsidR="0030566C" w:rsidRPr="0030297D" w:rsidRDefault="0030566C" w:rsidP="00C408C2">
            <w:pPr>
              <w:pStyle w:val="Tableheading"/>
            </w:pPr>
            <w:r w:rsidRPr="0030297D">
              <w:t>Date of publication***</w:t>
            </w:r>
          </w:p>
        </w:tc>
      </w:tr>
      <w:tr w:rsidR="007B6140" w:rsidRPr="007B6140" w14:paraId="42CD721C" w14:textId="77777777" w:rsidTr="007B6140">
        <w:trPr>
          <w:trHeight w:val="511"/>
        </w:trPr>
        <w:tc>
          <w:tcPr>
            <w:tcW w:w="5000" w:type="pct"/>
            <w:gridSpan w:val="6"/>
            <w:shd w:val="clear" w:color="auto" w:fill="FBE4D5" w:themeFill="accent2" w:themeFillTint="33"/>
          </w:tcPr>
          <w:p w14:paraId="4CB7D0AE" w14:textId="0606D648" w:rsidR="007B6140" w:rsidRPr="007B6140" w:rsidRDefault="007B6140" w:rsidP="007B6140">
            <w:pPr>
              <w:pStyle w:val="Tablecontent"/>
              <w:rPr>
                <w:b/>
                <w:bCs/>
              </w:rPr>
            </w:pPr>
            <w:r w:rsidRPr="007B6140">
              <w:rPr>
                <w:b/>
                <w:bCs/>
              </w:rPr>
              <w:t>MINIject studies (standalone procedure)</w:t>
            </w:r>
          </w:p>
        </w:tc>
      </w:tr>
      <w:tr w:rsidR="00F422D7" w:rsidRPr="00C408C2" w14:paraId="05FC6FAA" w14:textId="77777777" w:rsidTr="003A3941">
        <w:tc>
          <w:tcPr>
            <w:tcW w:w="188" w:type="pct"/>
          </w:tcPr>
          <w:p w14:paraId="7D6F4520" w14:textId="35FF7CDA" w:rsidR="0030297D" w:rsidRPr="00C408C2" w:rsidRDefault="0030297D" w:rsidP="00C408C2">
            <w:pPr>
              <w:pStyle w:val="Tabletext"/>
            </w:pPr>
            <w:r w:rsidRPr="00C408C2">
              <w:t>1.</w:t>
            </w:r>
          </w:p>
        </w:tc>
        <w:tc>
          <w:tcPr>
            <w:tcW w:w="661" w:type="pct"/>
          </w:tcPr>
          <w:p w14:paraId="30BBD6E9" w14:textId="2C552A44" w:rsidR="0030297D" w:rsidRPr="00C408C2" w:rsidRDefault="00C408C2" w:rsidP="00C408C2">
            <w:pPr>
              <w:pStyle w:val="Tabletext"/>
            </w:pPr>
            <w:r w:rsidRPr="00236CF2">
              <w:t>Prospective, interventional, open-label</w:t>
            </w:r>
            <w:r>
              <w:t>,</w:t>
            </w:r>
            <w:r w:rsidRPr="00236CF2">
              <w:t xml:space="preserve"> multicentre</w:t>
            </w:r>
          </w:p>
        </w:tc>
        <w:tc>
          <w:tcPr>
            <w:tcW w:w="973" w:type="pct"/>
          </w:tcPr>
          <w:p w14:paraId="72E33CC7" w14:textId="77777777" w:rsidR="00C408C2" w:rsidRDefault="002C4B38" w:rsidP="00C408C2">
            <w:pPr>
              <w:pStyle w:val="Tabletext"/>
              <w:rPr>
                <w:b/>
                <w:bCs/>
              </w:rPr>
            </w:pPr>
            <w:r w:rsidRPr="00C408C2">
              <w:rPr>
                <w:b/>
                <w:bCs/>
              </w:rPr>
              <w:t>STAR I</w:t>
            </w:r>
            <w:r w:rsidR="00C408C2">
              <w:rPr>
                <w:b/>
                <w:bCs/>
              </w:rPr>
              <w:t xml:space="preserve"> </w:t>
            </w:r>
          </w:p>
          <w:p w14:paraId="4D3C34C4" w14:textId="3B888691" w:rsidR="0030297D" w:rsidRDefault="00C408C2" w:rsidP="00C408C2">
            <w:pPr>
              <w:pStyle w:val="Tabletext"/>
            </w:pPr>
            <w:r w:rsidRPr="00427E3D">
              <w:t>Clin</w:t>
            </w:r>
            <w:r>
              <w:t>ical</w:t>
            </w:r>
            <w:r w:rsidRPr="00427E3D">
              <w:t>Trials</w:t>
            </w:r>
            <w:r>
              <w:t>.gov</w:t>
            </w:r>
            <w:r w:rsidRPr="00427E3D">
              <w:t xml:space="preserve"> listing</w:t>
            </w:r>
            <w:r>
              <w:t xml:space="preserve">: </w:t>
            </w:r>
            <w:r w:rsidRPr="00427E3D">
              <w:t>NCT03193736</w:t>
            </w:r>
          </w:p>
          <w:p w14:paraId="54BCB70A" w14:textId="09B4FEF0" w:rsidR="00C408C2" w:rsidRPr="00C408C2" w:rsidRDefault="00C408C2" w:rsidP="00C408C2">
            <w:pPr>
              <w:pStyle w:val="Tabletext"/>
              <w:rPr>
                <w:u w:val="single"/>
              </w:rPr>
            </w:pPr>
            <w:r w:rsidRPr="00C408C2">
              <w:rPr>
                <w:u w:val="single"/>
              </w:rPr>
              <w:t>6 month results:</w:t>
            </w:r>
          </w:p>
          <w:p w14:paraId="76FC0C8E" w14:textId="77777777" w:rsidR="00C408C2" w:rsidRDefault="00C408C2" w:rsidP="00C408C2">
            <w:pPr>
              <w:pStyle w:val="Tabletext"/>
            </w:pPr>
            <w:r w:rsidRPr="00427E3D">
              <w:t>Denis P</w:t>
            </w:r>
            <w:r>
              <w:t xml:space="preserve"> et al</w:t>
            </w:r>
            <w:r w:rsidRPr="00427E3D">
              <w:t>. A First-in-Human Study of the Efficacy and Safety of MINIject in Patients with Medically Uncontrolled Open-Angle Glaucoma (STAR-I). Ophthalmol Glaucoma. 2019 Sep-Oct;2(5):290-297</w:t>
            </w:r>
            <w:r>
              <w:t xml:space="preserve"> </w:t>
            </w:r>
            <w:r w:rsidRPr="00427E3D">
              <w:fldChar w:fldCharType="begin">
                <w:fldData xml:space="preserve">PEVuZE5vdGU+PENpdGU+PEF1dGhvcj5EZW5pczwvQXV0aG9yPjxZZWFyPjIwMTk8L1llYXI+PFJl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</w:fldData>
              </w:fldChar>
            </w:r>
            <w:r w:rsidRPr="00427E3D">
              <w:instrText xml:space="preserve"> ADDIN EN.CITE </w:instrText>
            </w:r>
            <w:r w:rsidRPr="00427E3D">
              <w:fldChar w:fldCharType="begin">
                <w:fldData xml:space="preserve">PEVuZE5vdGU+PENpdGU+PEF1dGhvcj5EZW5pczwvQXV0aG9yPjxZZWFyPjIwMTk8L1llYXI+PFJl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</w:fldData>
              </w:fldChar>
            </w:r>
            <w:r w:rsidRPr="00427E3D">
              <w:instrText xml:space="preserve"> ADDIN EN.CITE.DATA </w:instrText>
            </w:r>
            <w:r w:rsidRPr="00427E3D">
              <w:fldChar w:fldCharType="end"/>
            </w:r>
            <w:r w:rsidRPr="00427E3D">
              <w:fldChar w:fldCharType="separate"/>
            </w:r>
            <w:r w:rsidRPr="00427E3D">
              <w:rPr>
                <w:noProof/>
              </w:rPr>
              <w:t>(Denis 2019)</w:t>
            </w:r>
            <w:r w:rsidRPr="00427E3D">
              <w:fldChar w:fldCharType="end"/>
            </w:r>
          </w:p>
          <w:p w14:paraId="5EDA62B8" w14:textId="2F55D827" w:rsidR="00C408C2" w:rsidRPr="00C408C2" w:rsidRDefault="00C408C2" w:rsidP="00C408C2">
            <w:pPr>
              <w:pStyle w:val="Tabletext"/>
              <w:rPr>
                <w:u w:val="single"/>
              </w:rPr>
            </w:pPr>
            <w:r w:rsidRPr="00C408C2">
              <w:rPr>
                <w:u w:val="single"/>
              </w:rPr>
              <w:t>2-year results:</w:t>
            </w:r>
          </w:p>
          <w:p w14:paraId="31306CE8" w14:textId="748DB360" w:rsidR="00C408C2" w:rsidRPr="00C408C2" w:rsidRDefault="00C408C2" w:rsidP="00C408C2">
            <w:pPr>
              <w:pStyle w:val="Tabletext"/>
              <w:rPr>
                <w:b/>
                <w:bCs/>
              </w:rPr>
            </w:pPr>
            <w:r w:rsidRPr="00427E3D">
              <w:t>Denis P</w:t>
            </w:r>
            <w:r>
              <w:t xml:space="preserve"> et al</w:t>
            </w:r>
            <w:r w:rsidRPr="00427E3D">
              <w:t>. Two-year outcomes of the MINIject drainage system for uncontrolled glaucoma from the STAR-I first-in-human trial. Br J Ophthalmol. 2022 Jan;106(1):65-70.</w:t>
            </w:r>
            <w:r>
              <w:t xml:space="preserve"> </w:t>
            </w:r>
            <w:r w:rsidRPr="00427E3D">
              <w:fldChar w:fldCharType="begin">
                <w:fldData xml:space="preserve">PEVuZE5vdGU+PENpdGU+PEF1dGhvcj5EZW5pczwvQXV0aG9yPjxZZWFyPjIwMjI8L1llYXI+PFJl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</w:fldData>
              </w:fldChar>
            </w:r>
            <w:r w:rsidRPr="00427E3D">
              <w:instrText xml:space="preserve"> ADDIN EN.CITE </w:instrText>
            </w:r>
            <w:r w:rsidRPr="00427E3D">
              <w:fldChar w:fldCharType="begin">
                <w:fldData xml:space="preserve">PEVuZE5vdGU+PENpdGU+PEF1dGhvcj5EZW5pczwvQXV0aG9yPjxZZWFyPjIwMjI8L1llYXI+PFJl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</w:fldData>
              </w:fldChar>
            </w:r>
            <w:r w:rsidRPr="00427E3D">
              <w:instrText xml:space="preserve"> ADDIN EN.CITE.DATA </w:instrText>
            </w:r>
            <w:r w:rsidRPr="00427E3D">
              <w:fldChar w:fldCharType="end"/>
            </w:r>
            <w:r w:rsidRPr="00427E3D">
              <w:fldChar w:fldCharType="separate"/>
            </w:r>
            <w:r w:rsidRPr="00427E3D">
              <w:rPr>
                <w:noProof/>
              </w:rPr>
              <w:t>(Denis 2022)</w:t>
            </w:r>
            <w:r w:rsidRPr="00427E3D">
              <w:fldChar w:fldCharType="end"/>
            </w:r>
          </w:p>
        </w:tc>
        <w:tc>
          <w:tcPr>
            <w:tcW w:w="1917" w:type="pct"/>
          </w:tcPr>
          <w:p w14:paraId="58E94D38" w14:textId="02A4E4A3" w:rsidR="002C4B38" w:rsidRPr="00C408C2" w:rsidRDefault="002C4B38" w:rsidP="00C408C2">
            <w:pPr>
              <w:pStyle w:val="Tabletext"/>
            </w:pPr>
            <w:r w:rsidRPr="00C408C2">
              <w:t>N=25 (ITT)</w:t>
            </w:r>
            <w:r w:rsidR="006535AD">
              <w:t xml:space="preserve"> a</w:t>
            </w:r>
            <w:r w:rsidRPr="00C408C2">
              <w:t xml:space="preserve">dults with POAG or SOAG, uncontrolled with ≥1 IOP-lowering </w:t>
            </w:r>
            <w:r w:rsidR="006535AD">
              <w:t>medication</w:t>
            </w:r>
            <w:r w:rsidR="00774024">
              <w:t xml:space="preserve"> receiving a MINIject implant in a standalone procedure</w:t>
            </w:r>
            <w:r w:rsidR="006535AD">
              <w:t>.</w:t>
            </w:r>
          </w:p>
          <w:p w14:paraId="6CFD2B20" w14:textId="77777777" w:rsidR="00A20F0A" w:rsidRDefault="007B6140" w:rsidP="00A20F0A">
            <w:pPr>
              <w:pStyle w:val="Tabletext"/>
            </w:pPr>
            <w:r w:rsidRPr="007B6140">
              <w:t>During the 6-month follow-up period</w:t>
            </w:r>
            <w:r w:rsidR="00A20F0A">
              <w:t xml:space="preserve">. </w:t>
            </w:r>
            <w:r w:rsidRPr="007B6140">
              <w:t>Six months after surgery, mean diurnal IOP was 14.2 mmHg (</w:t>
            </w:r>
            <w:r w:rsidR="00A20F0A">
              <w:t>SE</w:t>
            </w:r>
            <w:r w:rsidRPr="007B6140">
              <w:t xml:space="preserve"> 0.9</w:t>
            </w:r>
            <w:r w:rsidR="00A20F0A">
              <w:t>)</w:t>
            </w:r>
            <w:r w:rsidRPr="007B6140">
              <w:t xml:space="preserve"> mmHg), equivalent to a reduction of 9.0 mmHg or 39.1% (P &lt; 0.0001).</w:t>
            </w:r>
            <w:r w:rsidR="00A20F0A">
              <w:t xml:space="preserve"> </w:t>
            </w:r>
          </w:p>
          <w:p w14:paraId="76C25B45" w14:textId="77777777" w:rsidR="00A20F0A" w:rsidRDefault="00A20F0A" w:rsidP="00A20F0A">
            <w:pPr>
              <w:pStyle w:val="Tabletext"/>
            </w:pPr>
            <w:r w:rsidRPr="00A20F0A">
              <w:t>Mean baseline IOP was 23.2±2.9 mmHg on 2.0±1.1 glaucoma medication ingredients and decreased to 13.8±3.5 mmHg (−40.7% reduction) on 1.0±1.3 medications 2 years after implantation.</w:t>
            </w:r>
          </w:p>
          <w:p w14:paraId="29CEC5F7" w14:textId="55AFBED7" w:rsidR="007B6140" w:rsidRPr="00C408C2" w:rsidRDefault="00A20F0A" w:rsidP="00A20F0A">
            <w:pPr>
              <w:pStyle w:val="Tabletext"/>
            </w:pPr>
            <w:r w:rsidRPr="00A20F0A">
              <w:t xml:space="preserve">There were no </w:t>
            </w:r>
            <w:r>
              <w:t>SAEs</w:t>
            </w:r>
            <w:r w:rsidRPr="00A20F0A">
              <w:t xml:space="preserve"> related to the device or procedure, and no additional glaucoma surgery was required.</w:t>
            </w:r>
          </w:p>
        </w:tc>
        <w:tc>
          <w:tcPr>
            <w:tcW w:w="676" w:type="pct"/>
          </w:tcPr>
          <w:p w14:paraId="0B2E6892" w14:textId="32EE38C1" w:rsidR="0030297D" w:rsidRDefault="00FA7BD3" w:rsidP="00C408C2">
            <w:pPr>
              <w:pStyle w:val="Tabletext"/>
            </w:pPr>
            <w:hyperlink r:id="rId28" w:history="1">
              <w:r w:rsidR="006535AD">
                <w:rPr>
                  <w:rStyle w:val="Hyperlink"/>
                </w:rPr>
                <w:t>Denis 2019</w:t>
              </w:r>
            </w:hyperlink>
          </w:p>
          <w:p w14:paraId="4C9FBD9F" w14:textId="77777777" w:rsidR="006535AD" w:rsidRDefault="006535AD" w:rsidP="00C408C2">
            <w:pPr>
              <w:pStyle w:val="Tabletext"/>
            </w:pPr>
          </w:p>
          <w:p w14:paraId="02389F96" w14:textId="77777777" w:rsidR="006535AD" w:rsidRDefault="006535AD" w:rsidP="00C408C2">
            <w:pPr>
              <w:pStyle w:val="Tabletext"/>
            </w:pPr>
          </w:p>
          <w:p w14:paraId="36531369" w14:textId="1162CC05" w:rsidR="006535AD" w:rsidRDefault="00FA7BD3" w:rsidP="00C408C2">
            <w:pPr>
              <w:pStyle w:val="Tabletext"/>
            </w:pPr>
            <w:hyperlink r:id="rId29" w:history="1">
              <w:r w:rsidR="006535AD">
                <w:rPr>
                  <w:rStyle w:val="Hyperlink"/>
                </w:rPr>
                <w:t>Denis 2022</w:t>
              </w:r>
            </w:hyperlink>
          </w:p>
          <w:p w14:paraId="7C8D6BB8" w14:textId="3C6D275D" w:rsidR="006535AD" w:rsidRPr="00C408C2" w:rsidRDefault="006535AD" w:rsidP="00C408C2">
            <w:pPr>
              <w:pStyle w:val="Tabletext"/>
            </w:pPr>
          </w:p>
        </w:tc>
        <w:tc>
          <w:tcPr>
            <w:tcW w:w="584" w:type="pct"/>
          </w:tcPr>
          <w:p w14:paraId="590B5380" w14:textId="732F0270" w:rsidR="0030297D" w:rsidRDefault="003F012D" w:rsidP="00C408C2">
            <w:pPr>
              <w:pStyle w:val="Tabletext"/>
            </w:pPr>
            <w:r>
              <w:t>Online</w:t>
            </w:r>
            <w:r w:rsidR="006535AD">
              <w:t xml:space="preserve"> June 2019</w:t>
            </w:r>
          </w:p>
          <w:p w14:paraId="222E7DC6" w14:textId="77777777" w:rsidR="006535AD" w:rsidRDefault="006535AD" w:rsidP="00C408C2">
            <w:pPr>
              <w:pStyle w:val="Tabletext"/>
            </w:pPr>
          </w:p>
          <w:p w14:paraId="586A6DA0" w14:textId="6C614226" w:rsidR="006535AD" w:rsidRPr="00C408C2" w:rsidRDefault="003F012D" w:rsidP="00C408C2">
            <w:pPr>
              <w:pStyle w:val="Tabletext"/>
            </w:pPr>
            <w:r>
              <w:t>Online</w:t>
            </w:r>
            <w:r w:rsidR="006535AD">
              <w:t xml:space="preserve"> October 2020</w:t>
            </w:r>
          </w:p>
        </w:tc>
      </w:tr>
      <w:tr w:rsidR="00F422D7" w:rsidRPr="00C408C2" w14:paraId="03B6F04E" w14:textId="77777777" w:rsidTr="003A3941">
        <w:tc>
          <w:tcPr>
            <w:tcW w:w="188" w:type="pct"/>
          </w:tcPr>
          <w:p w14:paraId="36A420EA" w14:textId="28C6B5C7" w:rsidR="0030297D" w:rsidRPr="00C408C2" w:rsidRDefault="002C4B38" w:rsidP="00C408C2">
            <w:pPr>
              <w:pStyle w:val="Tabletext"/>
            </w:pPr>
            <w:r w:rsidRPr="00C408C2">
              <w:t>2.</w:t>
            </w:r>
          </w:p>
        </w:tc>
        <w:tc>
          <w:tcPr>
            <w:tcW w:w="661" w:type="pct"/>
          </w:tcPr>
          <w:p w14:paraId="518F89B9" w14:textId="2EE4792C" w:rsidR="0030297D" w:rsidRPr="00C408C2" w:rsidRDefault="00C408C2" w:rsidP="00C408C2">
            <w:pPr>
              <w:pStyle w:val="Tabletext"/>
            </w:pPr>
            <w:r w:rsidRPr="00236CF2">
              <w:t>Prospective, interventional, open-label</w:t>
            </w:r>
            <w:r>
              <w:t>,</w:t>
            </w:r>
            <w:r w:rsidRPr="00236CF2">
              <w:t xml:space="preserve"> multicentre</w:t>
            </w:r>
          </w:p>
        </w:tc>
        <w:tc>
          <w:tcPr>
            <w:tcW w:w="973" w:type="pct"/>
          </w:tcPr>
          <w:p w14:paraId="090DFFAD" w14:textId="77777777" w:rsidR="0030297D" w:rsidRPr="00C408C2" w:rsidRDefault="002C4B38" w:rsidP="00C408C2">
            <w:pPr>
              <w:pStyle w:val="Tabletext"/>
              <w:rPr>
                <w:b/>
                <w:bCs/>
              </w:rPr>
            </w:pPr>
            <w:r w:rsidRPr="00C408C2">
              <w:rPr>
                <w:b/>
                <w:bCs/>
              </w:rPr>
              <w:t>STAR II</w:t>
            </w:r>
          </w:p>
          <w:p w14:paraId="3CA7C807" w14:textId="77777777" w:rsidR="00C408C2" w:rsidRPr="00427E3D" w:rsidRDefault="00C408C2" w:rsidP="00C408C2">
            <w:pPr>
              <w:pStyle w:val="Tablecontent"/>
            </w:pPr>
            <w:r w:rsidRPr="00427E3D">
              <w:t>Clin</w:t>
            </w:r>
            <w:r>
              <w:t>ical</w:t>
            </w:r>
            <w:r w:rsidRPr="00427E3D">
              <w:t>Trials</w:t>
            </w:r>
            <w:r>
              <w:t>.gov</w:t>
            </w:r>
            <w:r w:rsidRPr="00427E3D">
              <w:t xml:space="preserve"> listing: NCT03624361</w:t>
            </w:r>
          </w:p>
          <w:p w14:paraId="62D021E2" w14:textId="77777777" w:rsidR="00C408C2" w:rsidRDefault="00C408C2" w:rsidP="00C408C2">
            <w:pPr>
              <w:pStyle w:val="Tabletext"/>
            </w:pPr>
          </w:p>
          <w:p w14:paraId="0AA35A73" w14:textId="62957C15" w:rsidR="00C408C2" w:rsidRPr="00C408C2" w:rsidRDefault="00C408C2" w:rsidP="00C408C2">
            <w:pPr>
              <w:pStyle w:val="Tabletext"/>
            </w:pPr>
            <w:r w:rsidRPr="003A3941">
              <w:rPr>
                <w:lang w:val="es-ES"/>
              </w:rPr>
              <w:t>García Feijoó J</w:t>
            </w:r>
            <w:r w:rsidR="001A161B" w:rsidRPr="003A3941">
              <w:rPr>
                <w:lang w:val="es-ES"/>
              </w:rPr>
              <w:t xml:space="preserve"> et al.</w:t>
            </w:r>
            <w:r w:rsidRPr="003A3941">
              <w:rPr>
                <w:lang w:val="es-ES"/>
              </w:rPr>
              <w:t xml:space="preserve"> </w:t>
            </w:r>
            <w:r w:rsidRPr="00427E3D">
              <w:t xml:space="preserve">STAR-II Investigators. A European Study of the Performance and Safety of MINIject in Patients With Medically Uncontrolled Open-angle Glaucoma (STAR-II). J Glaucoma. 2020 Oct;29(10):864-871. doi: 10.1097/IJG.0000000000001632. PMID: 32769736; PMCID: </w:t>
            </w:r>
            <w:r w:rsidRPr="00427E3D">
              <w:lastRenderedPageBreak/>
              <w:t xml:space="preserve">PMC7647427. </w:t>
            </w:r>
            <w:r w:rsidRPr="00427E3D">
              <w:fldChar w:fldCharType="begin">
                <w:fldData xml:space="preserve">PEVuZE5vdGU+PENpdGU+PEF1dGhvcj5HYXJjw61hIEZlaWpvw7M8L0F1dGhvcj48WWVhcj4yMDIw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</w:fldData>
              </w:fldChar>
            </w:r>
            <w:r w:rsidRPr="00427E3D">
              <w:instrText xml:space="preserve"> ADDIN EN.CITE </w:instrText>
            </w:r>
            <w:r w:rsidRPr="00427E3D">
              <w:fldChar w:fldCharType="begin">
                <w:fldData xml:space="preserve">PEVuZE5vdGU+PENpdGU+PEF1dGhvcj5HYXJjw61hIEZlaWpvw7M8L0F1dGhvcj48WWVhcj4yMDIw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</w:fldData>
              </w:fldChar>
            </w:r>
            <w:r w:rsidRPr="00427E3D">
              <w:instrText xml:space="preserve"> ADDIN EN.CITE.DATA </w:instrText>
            </w:r>
            <w:r w:rsidRPr="00427E3D">
              <w:fldChar w:fldCharType="end"/>
            </w:r>
            <w:r w:rsidRPr="00427E3D">
              <w:fldChar w:fldCharType="separate"/>
            </w:r>
            <w:r w:rsidRPr="00427E3D">
              <w:rPr>
                <w:noProof/>
              </w:rPr>
              <w:t>(García Feijoó 2020)</w:t>
            </w:r>
            <w:r w:rsidRPr="00427E3D">
              <w:fldChar w:fldCharType="end"/>
            </w:r>
          </w:p>
        </w:tc>
        <w:tc>
          <w:tcPr>
            <w:tcW w:w="1917" w:type="pct"/>
          </w:tcPr>
          <w:p w14:paraId="214E8AC2" w14:textId="7CF5CE7E" w:rsidR="00C408C2" w:rsidRDefault="00C408C2" w:rsidP="00C408C2">
            <w:pPr>
              <w:pStyle w:val="Tablecontent"/>
            </w:pPr>
            <w:r>
              <w:lastRenderedPageBreak/>
              <w:t>N= 27</w:t>
            </w:r>
            <w:r w:rsidR="00520FD7">
              <w:t>-</w:t>
            </w:r>
            <w:r>
              <w:t>29 (mITT)</w:t>
            </w:r>
            <w:r w:rsidR="00520FD7">
              <w:t xml:space="preserve">. </w:t>
            </w:r>
            <w:r>
              <w:t>Adults (&gt;50 years) with POAG, uncontrolled with ≥1 IOP-lowering medications undergoing a standalone procedure.</w:t>
            </w:r>
          </w:p>
          <w:p w14:paraId="2F0FBC8C" w14:textId="0DF34A85" w:rsidR="00520FD7" w:rsidRDefault="00520FD7" w:rsidP="00520FD7">
            <w:pPr>
              <w:pStyle w:val="Tabletext"/>
            </w:pPr>
            <w:r>
              <w:t xml:space="preserve">Mean (SD) IOP </w:t>
            </w:r>
            <w:r w:rsidR="00E52F53">
              <w:t xml:space="preserve">(mm Hg) </w:t>
            </w:r>
            <w:r>
              <w:t xml:space="preserve">reduced from </w:t>
            </w:r>
            <w:r w:rsidRPr="0006324A">
              <w:t>24</w:t>
            </w:r>
            <w:r>
              <w:t>.</w:t>
            </w:r>
            <w:r w:rsidRPr="0006324A">
              <w:t>6 ± 3</w:t>
            </w:r>
            <w:r>
              <w:t>.</w:t>
            </w:r>
            <w:r w:rsidRPr="0006324A">
              <w:t>7</w:t>
            </w:r>
            <w:r>
              <w:t xml:space="preserve"> to 14.7 ± 6.0 at 6 months and 15.5 ± 5.7 at 24 months.</w:t>
            </w:r>
          </w:p>
          <w:p w14:paraId="42AB969C" w14:textId="77777777" w:rsidR="00A20F0A" w:rsidRDefault="00520FD7" w:rsidP="00520FD7">
            <w:pPr>
              <w:pStyle w:val="Tabletext"/>
            </w:pPr>
            <w:r>
              <w:t xml:space="preserve">Mean (SD) number of IOP-reducing medications reduced from 3.0 </w:t>
            </w:r>
            <w:r w:rsidRPr="007F73FE">
              <w:t>±</w:t>
            </w:r>
            <w:r>
              <w:t xml:space="preserve"> 1.2 at baseline to </w:t>
            </w:r>
            <w:r w:rsidRPr="007F73FE">
              <w:t>0</w:t>
            </w:r>
            <w:r>
              <w:t>.</w:t>
            </w:r>
            <w:r w:rsidRPr="007F73FE">
              <w:t>9 ± 1</w:t>
            </w:r>
            <w:r>
              <w:t>.</w:t>
            </w:r>
            <w:r w:rsidRPr="007F73FE">
              <w:t>2</w:t>
            </w:r>
            <w:r>
              <w:t xml:space="preserve"> at 6 months to 1.4 </w:t>
            </w:r>
            <w:r w:rsidRPr="007F73FE">
              <w:t xml:space="preserve">± </w:t>
            </w:r>
            <w:r>
              <w:t>1.5 at 24 months.</w:t>
            </w:r>
            <w:r w:rsidR="00A20F0A">
              <w:t xml:space="preserve"> </w:t>
            </w:r>
            <w:r w:rsidR="00A20F0A" w:rsidRPr="00A20F0A">
              <w:t>decreased to 13.8±3.5 mmHg (−40.7% reduction) on 1.0±1.3 medications 2 years after implantation.</w:t>
            </w:r>
          </w:p>
          <w:p w14:paraId="37D191E5" w14:textId="369A5085" w:rsidR="008713D0" w:rsidRPr="00C408C2" w:rsidRDefault="008713D0" w:rsidP="00520FD7">
            <w:pPr>
              <w:pStyle w:val="Tabletext"/>
            </w:pPr>
            <w:r>
              <w:t>6 device-related SAEs were reported all of which resolved.</w:t>
            </w:r>
          </w:p>
        </w:tc>
        <w:tc>
          <w:tcPr>
            <w:tcW w:w="676" w:type="pct"/>
          </w:tcPr>
          <w:p w14:paraId="3409A515" w14:textId="7F0A115F" w:rsidR="0030297D" w:rsidRDefault="00FA7BD3" w:rsidP="00C408C2">
            <w:pPr>
              <w:pStyle w:val="Tabletext"/>
            </w:pPr>
            <w:hyperlink r:id="rId30" w:history="1">
              <w:r w:rsidR="003F012D">
                <w:rPr>
                  <w:rStyle w:val="Hyperlink"/>
                </w:rPr>
                <w:t>Garcia Feijoo 2020</w:t>
              </w:r>
            </w:hyperlink>
          </w:p>
          <w:p w14:paraId="7DD6C6CB" w14:textId="29A1FA52" w:rsidR="003F012D" w:rsidRPr="00C408C2" w:rsidRDefault="003F012D" w:rsidP="00C408C2">
            <w:pPr>
              <w:pStyle w:val="Tabletext"/>
            </w:pPr>
          </w:p>
        </w:tc>
        <w:tc>
          <w:tcPr>
            <w:tcW w:w="584" w:type="pct"/>
          </w:tcPr>
          <w:p w14:paraId="33955A53" w14:textId="24BB0020" w:rsidR="0030297D" w:rsidRPr="00C408C2" w:rsidRDefault="003F012D" w:rsidP="00C408C2">
            <w:pPr>
              <w:pStyle w:val="Tabletext"/>
            </w:pPr>
            <w:r>
              <w:t>Online 5th August 2020</w:t>
            </w:r>
          </w:p>
        </w:tc>
      </w:tr>
      <w:tr w:rsidR="00F422D7" w:rsidRPr="00C408C2" w14:paraId="5DCCE9E2" w14:textId="77777777" w:rsidTr="003A3941">
        <w:tc>
          <w:tcPr>
            <w:tcW w:w="188" w:type="pct"/>
          </w:tcPr>
          <w:p w14:paraId="5CA846B6" w14:textId="2BBADA2C" w:rsidR="0030297D" w:rsidRPr="00C408C2" w:rsidRDefault="002C4B38" w:rsidP="00C408C2">
            <w:pPr>
              <w:pStyle w:val="Tabletext"/>
            </w:pPr>
            <w:r w:rsidRPr="00C408C2">
              <w:t>3.</w:t>
            </w:r>
          </w:p>
        </w:tc>
        <w:tc>
          <w:tcPr>
            <w:tcW w:w="661" w:type="pct"/>
          </w:tcPr>
          <w:p w14:paraId="3EAD8EB5" w14:textId="0E09676D" w:rsidR="0030297D" w:rsidRPr="00C408C2" w:rsidRDefault="00C408C2" w:rsidP="00C408C2">
            <w:pPr>
              <w:pStyle w:val="Tabletext"/>
            </w:pPr>
            <w:r w:rsidRPr="00236CF2">
              <w:t>Prospective, interventional, open-label</w:t>
            </w:r>
            <w:r>
              <w:t>,</w:t>
            </w:r>
            <w:r w:rsidRPr="00236CF2">
              <w:t xml:space="preserve"> multicentre</w:t>
            </w:r>
          </w:p>
        </w:tc>
        <w:tc>
          <w:tcPr>
            <w:tcW w:w="973" w:type="pct"/>
          </w:tcPr>
          <w:p w14:paraId="1232D266" w14:textId="77777777" w:rsidR="0030297D" w:rsidRPr="00C408C2" w:rsidRDefault="002C4B38" w:rsidP="00C408C2">
            <w:pPr>
              <w:pStyle w:val="Tabletext"/>
              <w:rPr>
                <w:b/>
                <w:bCs/>
              </w:rPr>
            </w:pPr>
            <w:r w:rsidRPr="00C408C2">
              <w:rPr>
                <w:b/>
                <w:bCs/>
              </w:rPr>
              <w:t>STAR III</w:t>
            </w:r>
          </w:p>
          <w:p w14:paraId="0A426967" w14:textId="77777777" w:rsidR="00C408C2" w:rsidRDefault="00C408C2" w:rsidP="00C408C2">
            <w:pPr>
              <w:pStyle w:val="Tabletext"/>
            </w:pPr>
          </w:p>
          <w:p w14:paraId="2DFFE7EA" w14:textId="77777777" w:rsidR="00C408C2" w:rsidRPr="00427E3D" w:rsidRDefault="00C408C2" w:rsidP="00C408C2">
            <w:pPr>
              <w:pStyle w:val="Tablecontent"/>
            </w:pPr>
            <w:r w:rsidRPr="00427E3D">
              <w:t>Clin</w:t>
            </w:r>
            <w:r>
              <w:t>ical</w:t>
            </w:r>
            <w:r w:rsidRPr="00427E3D">
              <w:t>Trials</w:t>
            </w:r>
            <w:r>
              <w:t>.gov</w:t>
            </w:r>
            <w:r w:rsidRPr="00427E3D">
              <w:t xml:space="preserve"> listing: NCT03996200 </w:t>
            </w:r>
          </w:p>
          <w:p w14:paraId="23488062" w14:textId="0F7E3F17" w:rsidR="00C408C2" w:rsidRPr="00C408C2" w:rsidRDefault="00C408C2" w:rsidP="00C408C2">
            <w:pPr>
              <w:pStyle w:val="Tabletext"/>
            </w:pPr>
            <w:r>
              <w:t>Data on file</w:t>
            </w:r>
          </w:p>
        </w:tc>
        <w:tc>
          <w:tcPr>
            <w:tcW w:w="1917" w:type="pct"/>
          </w:tcPr>
          <w:p w14:paraId="71E94923" w14:textId="64D6EC45" w:rsidR="00C408C2" w:rsidRPr="002A6831" w:rsidRDefault="00520FD7" w:rsidP="00C408C2">
            <w:pPr>
              <w:pStyle w:val="Tablecontent"/>
            </w:pPr>
            <w:r w:rsidRPr="002A6831">
              <w:t>N=</w:t>
            </w:r>
            <w:r w:rsidR="00C408C2" w:rsidRPr="002A6831">
              <w:t xml:space="preserve"> </w:t>
            </w:r>
            <w:r w:rsidR="003F012D" w:rsidRPr="002A6831">
              <w:t>18-20</w:t>
            </w:r>
            <w:r w:rsidR="00C408C2" w:rsidRPr="002A6831">
              <w:t xml:space="preserve"> (mITT)</w:t>
            </w:r>
            <w:r w:rsidRPr="002A6831">
              <w:t xml:space="preserve">. </w:t>
            </w:r>
            <w:r w:rsidR="00C408C2" w:rsidRPr="002A6831">
              <w:t>Adults with POAG or SOAG uncontrolled with ≥1 IOP-lowering medications</w:t>
            </w:r>
            <w:r w:rsidR="00774024" w:rsidRPr="002A6831">
              <w:t xml:space="preserve"> receiving a MINIject implant in a standalone procedure</w:t>
            </w:r>
            <w:r w:rsidR="00C408C2" w:rsidRPr="002A6831">
              <w:t>.</w:t>
            </w:r>
          </w:p>
          <w:p w14:paraId="08BAC463" w14:textId="0E12E1FA" w:rsidR="00AA209E" w:rsidRPr="002A6831" w:rsidRDefault="00AA209E" w:rsidP="00AA209E">
            <w:pPr>
              <w:pStyle w:val="Tabletext"/>
            </w:pPr>
            <w:r w:rsidRPr="002A6831">
              <w:t>Mean (SD) IOP</w:t>
            </w:r>
            <w:r w:rsidR="00E52F53" w:rsidRPr="002A6831">
              <w:t xml:space="preserve"> (mm Hg) </w:t>
            </w:r>
            <w:r w:rsidRPr="002A6831">
              <w:t>reduced from 23.6 ± 3.1 to 14.4 ± 3.5 at 6 months and 13.6 ± 3.0 at 24 months.</w:t>
            </w:r>
          </w:p>
          <w:p w14:paraId="2F720625" w14:textId="68DBD3BE" w:rsidR="0030297D" w:rsidRPr="002A6831" w:rsidRDefault="00AA209E" w:rsidP="00AA209E">
            <w:pPr>
              <w:pStyle w:val="Tablecontent"/>
            </w:pPr>
            <w:r w:rsidRPr="002A6831">
              <w:t>Mean (SD) number of IOP-reducing medications reduced from 2.2 ± 0.9 at baseline to 1.4 ± 1.5 at 6 months to 1.8 ± 1.4 at 24 months.</w:t>
            </w:r>
          </w:p>
        </w:tc>
        <w:tc>
          <w:tcPr>
            <w:tcW w:w="676" w:type="pct"/>
          </w:tcPr>
          <w:p w14:paraId="44628B6A" w14:textId="77777777" w:rsidR="0030297D" w:rsidRPr="00C408C2" w:rsidRDefault="0030297D" w:rsidP="00C408C2">
            <w:pPr>
              <w:pStyle w:val="Tabletext"/>
            </w:pPr>
          </w:p>
        </w:tc>
        <w:tc>
          <w:tcPr>
            <w:tcW w:w="584" w:type="pct"/>
          </w:tcPr>
          <w:p w14:paraId="138B3069" w14:textId="35609022" w:rsidR="0030297D" w:rsidRPr="00C408C2" w:rsidRDefault="00C2330C" w:rsidP="00C408C2">
            <w:pPr>
              <w:pStyle w:val="Tabletext"/>
            </w:pPr>
            <w:r>
              <w:t>Not published.</w:t>
            </w:r>
          </w:p>
        </w:tc>
      </w:tr>
      <w:tr w:rsidR="00F422D7" w:rsidRPr="00C408C2" w14:paraId="1CF8EA44" w14:textId="77777777" w:rsidTr="00180C27">
        <w:tc>
          <w:tcPr>
            <w:tcW w:w="188" w:type="pct"/>
          </w:tcPr>
          <w:p w14:paraId="7B9F44D7" w14:textId="57A03E93" w:rsidR="0030297D" w:rsidRPr="00C408C2" w:rsidRDefault="002C4B38" w:rsidP="00C408C2">
            <w:pPr>
              <w:pStyle w:val="Tabletext"/>
            </w:pPr>
            <w:r w:rsidRPr="00C408C2">
              <w:t>4.</w:t>
            </w:r>
          </w:p>
        </w:tc>
        <w:tc>
          <w:tcPr>
            <w:tcW w:w="661" w:type="pct"/>
          </w:tcPr>
          <w:p w14:paraId="2820DE99" w14:textId="19D17D4B" w:rsidR="0030297D" w:rsidRPr="00C408C2" w:rsidRDefault="00C408C2" w:rsidP="00C408C2">
            <w:pPr>
              <w:pStyle w:val="Tabletext"/>
            </w:pPr>
            <w:r w:rsidRPr="00236CF2">
              <w:t>Prospective, interventional, open-label</w:t>
            </w:r>
            <w:r>
              <w:t>,</w:t>
            </w:r>
            <w:r w:rsidRPr="00236CF2">
              <w:t xml:space="preserve"> multicentre</w:t>
            </w:r>
          </w:p>
        </w:tc>
        <w:tc>
          <w:tcPr>
            <w:tcW w:w="973" w:type="pct"/>
          </w:tcPr>
          <w:p w14:paraId="5E71AC48" w14:textId="77777777" w:rsidR="0030297D" w:rsidRDefault="002C4B38" w:rsidP="00C408C2">
            <w:pPr>
              <w:pStyle w:val="Tabletext"/>
              <w:rPr>
                <w:b/>
                <w:bCs/>
              </w:rPr>
            </w:pPr>
            <w:r w:rsidRPr="00F73545">
              <w:rPr>
                <w:b/>
                <w:bCs/>
              </w:rPr>
              <w:t>STAR I</w:t>
            </w:r>
            <w:r w:rsidR="00F73545" w:rsidRPr="00F73545">
              <w:rPr>
                <w:b/>
                <w:bCs/>
              </w:rPr>
              <w:t>V</w:t>
            </w:r>
          </w:p>
          <w:p w14:paraId="5FC0C292" w14:textId="77777777" w:rsidR="00F73545" w:rsidRDefault="00F73545" w:rsidP="00C408C2">
            <w:pPr>
              <w:pStyle w:val="Tabletext"/>
            </w:pPr>
          </w:p>
          <w:p w14:paraId="10085C0A" w14:textId="2188107E" w:rsidR="00F73545" w:rsidRPr="00F73545" w:rsidRDefault="00CA45B4" w:rsidP="00F510E6">
            <w:pPr>
              <w:pStyle w:val="Tabletext"/>
            </w:pPr>
            <w:r w:rsidRPr="00CA45B4">
              <w:t>Oral presentation at the World Glaucoma Congress (30</w:t>
            </w:r>
            <w:r w:rsidR="00DC682A">
              <w:t xml:space="preserve"> June </w:t>
            </w:r>
            <w:r w:rsidRPr="00CA45B4">
              <w:t>2023) in Rome, Italy by Prof. Antonio Fea (Turin, Italy).</w:t>
            </w:r>
            <w:r w:rsidR="009A26BE">
              <w:t xml:space="preserve"> “</w:t>
            </w:r>
            <w:r w:rsidR="00F510E6" w:rsidRPr="00427E3D">
              <w:t>Multi-Centre Study Of A Supraciliary Glaucoma Drainage Device  In Patients With Open Angle Glaucoma: 1-Year Follow-Up Results</w:t>
            </w:r>
            <w:r w:rsidR="009A26BE">
              <w:t>”</w:t>
            </w:r>
          </w:p>
        </w:tc>
        <w:tc>
          <w:tcPr>
            <w:tcW w:w="1917" w:type="pct"/>
          </w:tcPr>
          <w:p w14:paraId="46785BB8" w14:textId="6C413AA0" w:rsidR="00C408C2" w:rsidRPr="002A6831" w:rsidRDefault="00C408C2" w:rsidP="00C408C2">
            <w:pPr>
              <w:pStyle w:val="Tablecontent"/>
            </w:pPr>
            <w:r w:rsidRPr="002A6831">
              <w:rPr>
                <w:lang w:val="nb-NO"/>
              </w:rPr>
              <w:t>N=</w:t>
            </w:r>
            <w:r w:rsidR="00AA209E" w:rsidRPr="002A6831">
              <w:rPr>
                <w:lang w:val="nb-NO"/>
              </w:rPr>
              <w:t>17-</w:t>
            </w:r>
            <w:r w:rsidRPr="002A6831">
              <w:rPr>
                <w:lang w:val="nb-NO"/>
              </w:rPr>
              <w:t>19 (mITT)</w:t>
            </w:r>
            <w:r w:rsidR="00AA209E" w:rsidRPr="002A6831">
              <w:rPr>
                <w:lang w:val="nb-NO"/>
              </w:rPr>
              <w:t xml:space="preserve">. </w:t>
            </w:r>
            <w:r w:rsidRPr="002A6831">
              <w:t>Adults (&gt;50 years) with POAG or SOAG uncontrolled with ≥1 IOP-lowering medications undergoing a standalone procedure.</w:t>
            </w:r>
          </w:p>
          <w:p w14:paraId="38127E7C" w14:textId="1BDBC8AE" w:rsidR="00AA209E" w:rsidRPr="002A6831" w:rsidRDefault="00AA209E" w:rsidP="00AA209E">
            <w:pPr>
              <w:pStyle w:val="Tabletext"/>
            </w:pPr>
            <w:r w:rsidRPr="002A6831">
              <w:t>Mean (SD) IOP reduced from 24.3 ± 3.2 to 14.2 ± 4.8 at 6 months and 16.0 ± 4.8 at 12 months.</w:t>
            </w:r>
          </w:p>
          <w:p w14:paraId="25F5B11C" w14:textId="77777777" w:rsidR="0030297D" w:rsidRPr="002A6831" w:rsidRDefault="00AA209E" w:rsidP="00AA209E">
            <w:pPr>
              <w:pStyle w:val="Tablecontent"/>
            </w:pPr>
            <w:r w:rsidRPr="002A6831">
              <w:t xml:space="preserve">Mean (SD) number of IOP-reducing medications reduced from </w:t>
            </w:r>
            <w:r w:rsidR="00D92EDA" w:rsidRPr="002A6831">
              <w:t xml:space="preserve">2.5 ± 1.1 </w:t>
            </w:r>
            <w:r w:rsidRPr="002A6831">
              <w:t xml:space="preserve">at baseline to </w:t>
            </w:r>
            <w:r w:rsidR="00D92EDA" w:rsidRPr="002A6831">
              <w:t xml:space="preserve">1.3 ± 1.3 </w:t>
            </w:r>
            <w:r w:rsidRPr="002A6831">
              <w:t xml:space="preserve">at 6 months to </w:t>
            </w:r>
            <w:r w:rsidR="00D92EDA" w:rsidRPr="002A6831">
              <w:t xml:space="preserve">1.6 ± 1.2 </w:t>
            </w:r>
            <w:r w:rsidRPr="002A6831">
              <w:t xml:space="preserve">at </w:t>
            </w:r>
            <w:r w:rsidR="00D92EDA" w:rsidRPr="002A6831">
              <w:t>12</w:t>
            </w:r>
            <w:r w:rsidRPr="002A6831">
              <w:t xml:space="preserve"> months.</w:t>
            </w:r>
          </w:p>
          <w:p w14:paraId="2BBFB7E9" w14:textId="40EDE712" w:rsidR="00AE7905" w:rsidRPr="002A6831" w:rsidRDefault="00AE7905" w:rsidP="00AA209E">
            <w:pPr>
              <w:pStyle w:val="Tablecontent"/>
            </w:pPr>
            <w:r w:rsidRPr="002A6831">
              <w:t>The most common AEs were anterior chamber inflammation, blurred vision and IOP increase, with no significant loss of endothelial cell density and no eye with &gt;30% loss from baseline.</w:t>
            </w:r>
          </w:p>
        </w:tc>
        <w:tc>
          <w:tcPr>
            <w:tcW w:w="676" w:type="pct"/>
          </w:tcPr>
          <w:p w14:paraId="74FF3C09" w14:textId="77777777" w:rsidR="0030297D" w:rsidRPr="00C408C2" w:rsidRDefault="0030297D" w:rsidP="00C408C2">
            <w:pPr>
              <w:pStyle w:val="Tabletext"/>
            </w:pPr>
          </w:p>
        </w:tc>
        <w:tc>
          <w:tcPr>
            <w:tcW w:w="584" w:type="pct"/>
          </w:tcPr>
          <w:p w14:paraId="7EAF0FAA" w14:textId="1C8BAED6" w:rsidR="0030297D" w:rsidRPr="00C408C2" w:rsidRDefault="00DC682A" w:rsidP="00C408C2">
            <w:pPr>
              <w:pStyle w:val="Tabletext"/>
            </w:pPr>
            <w:r>
              <w:t>Presented</w:t>
            </w:r>
            <w:r w:rsidR="00C2330C">
              <w:t xml:space="preserve"> 2023.</w:t>
            </w:r>
          </w:p>
        </w:tc>
      </w:tr>
      <w:tr w:rsidR="00F422D7" w:rsidRPr="00C408C2" w14:paraId="2361876F" w14:textId="77777777" w:rsidTr="00180C27">
        <w:tc>
          <w:tcPr>
            <w:tcW w:w="188" w:type="pct"/>
          </w:tcPr>
          <w:p w14:paraId="6C6AB51C" w14:textId="53293464" w:rsidR="0030297D" w:rsidRPr="00C408C2" w:rsidRDefault="00DC682A" w:rsidP="00C408C2">
            <w:pPr>
              <w:pStyle w:val="Tabletext"/>
            </w:pPr>
            <w:r>
              <w:t>5</w:t>
            </w:r>
          </w:p>
        </w:tc>
        <w:tc>
          <w:tcPr>
            <w:tcW w:w="661" w:type="pct"/>
          </w:tcPr>
          <w:p w14:paraId="54B2F3F9" w14:textId="2F3296E5" w:rsidR="0030297D" w:rsidRPr="00C408C2" w:rsidRDefault="00DC682A" w:rsidP="00C408C2">
            <w:pPr>
              <w:pStyle w:val="Tabletext"/>
            </w:pPr>
            <w:r w:rsidRPr="00236CF2">
              <w:t>Prospective, interventional, open-label</w:t>
            </w:r>
            <w:r>
              <w:t>,</w:t>
            </w:r>
            <w:r w:rsidRPr="00236CF2">
              <w:t xml:space="preserve"> multicentre</w:t>
            </w:r>
          </w:p>
        </w:tc>
        <w:tc>
          <w:tcPr>
            <w:tcW w:w="973" w:type="pct"/>
          </w:tcPr>
          <w:p w14:paraId="318D0291" w14:textId="7B1945F7" w:rsidR="0030297D" w:rsidRDefault="00DC682A" w:rsidP="00C408C2">
            <w:pPr>
              <w:pStyle w:val="Tabletext"/>
            </w:pPr>
            <w:r>
              <w:t>Combined STAR I, II, III – 3 year follow-up data.</w:t>
            </w:r>
          </w:p>
          <w:p w14:paraId="70467A96" w14:textId="2E5494F6" w:rsidR="00DC682A" w:rsidRPr="00C408C2" w:rsidRDefault="00BE7F4C" w:rsidP="00C408C2">
            <w:pPr>
              <w:pStyle w:val="Tabletext"/>
            </w:pPr>
            <w:r>
              <w:t xml:space="preserve"> Oral presentation at the World Glaucoma Congress (29 June 2023)</w:t>
            </w:r>
            <w:r w:rsidR="00DF41F5">
              <w:t xml:space="preserve"> in Rome, Italy by Dr Inder Paul Singh (WI, USA).</w:t>
            </w:r>
            <w:r w:rsidR="009A26BE">
              <w:t xml:space="preserve"> “</w:t>
            </w:r>
            <w:r w:rsidR="009A26BE" w:rsidRPr="009A26BE">
              <w:t>Sustainable effectiveness of MINIject: 3</w:t>
            </w:r>
            <w:r w:rsidR="009A26BE">
              <w:t xml:space="preserve"> </w:t>
            </w:r>
            <w:r w:rsidR="009A26BE" w:rsidRPr="009A26BE">
              <w:t>year pooled data f</w:t>
            </w:r>
            <w:r w:rsidR="009A26BE">
              <w:t>r</w:t>
            </w:r>
            <w:r w:rsidR="009A26BE" w:rsidRPr="009A26BE">
              <w:t>o</w:t>
            </w:r>
            <w:r w:rsidR="009A26BE">
              <w:t>m</w:t>
            </w:r>
            <w:r w:rsidR="009A26BE" w:rsidRPr="009A26BE">
              <w:t xml:space="preserve"> the STAR-GLOBAL study</w:t>
            </w:r>
            <w:r w:rsidR="009A26BE">
              <w:t>”</w:t>
            </w:r>
          </w:p>
        </w:tc>
        <w:tc>
          <w:tcPr>
            <w:tcW w:w="1917" w:type="pct"/>
          </w:tcPr>
          <w:p w14:paraId="1FBEA5D6" w14:textId="7DE35A29" w:rsidR="00DC682A" w:rsidRPr="002A6831" w:rsidRDefault="00DC682A" w:rsidP="00C408C2">
            <w:pPr>
              <w:pStyle w:val="Tabletext"/>
            </w:pPr>
            <w:r w:rsidRPr="002A6831">
              <w:t xml:space="preserve">N=48 patients with 3 year outcomes data from STAR I, II, III. Baseline IOP reduced from 23.6 mmHg to 13.5 mmHg at </w:t>
            </w:r>
            <w:r w:rsidR="00DF7014" w:rsidRPr="002A6831">
              <w:t xml:space="preserve">2 </w:t>
            </w:r>
            <w:r w:rsidRPr="002A6831">
              <w:t>year</w:t>
            </w:r>
            <w:r w:rsidR="00DF7014" w:rsidRPr="002A6831">
              <w:t>s</w:t>
            </w:r>
            <w:r w:rsidRPr="002A6831">
              <w:t xml:space="preserve"> and 15.1 mmHg at 3 years (-35.6% change from baseline at year 3). </w:t>
            </w:r>
          </w:p>
          <w:p w14:paraId="167E1DDE" w14:textId="1606CAF6" w:rsidR="00DC682A" w:rsidRPr="002A6831" w:rsidRDefault="00DC682A" w:rsidP="00DC682A">
            <w:pPr>
              <w:pStyle w:val="Tabletext"/>
            </w:pPr>
            <w:r w:rsidRPr="002A6831">
              <w:t>Baseline mean number of IOP-reducing medications was 2.2, reduced to 1.1 at 2 years and 1.4 at 3 years.</w:t>
            </w:r>
          </w:p>
          <w:p w14:paraId="0629325E" w14:textId="77777777" w:rsidR="00DC682A" w:rsidRPr="002A6831" w:rsidRDefault="00DC682A" w:rsidP="00C408C2">
            <w:pPr>
              <w:pStyle w:val="Tabletext"/>
            </w:pPr>
            <w:r w:rsidRPr="002A6831">
              <w:t>At 3 years:</w:t>
            </w:r>
          </w:p>
          <w:p w14:paraId="6C3F9242" w14:textId="77777777" w:rsidR="00DC682A" w:rsidRPr="002A6831" w:rsidRDefault="00DC682A" w:rsidP="00E42475">
            <w:pPr>
              <w:pStyle w:val="Tabletext"/>
              <w:numPr>
                <w:ilvl w:val="0"/>
                <w:numId w:val="5"/>
              </w:numPr>
              <w:ind w:left="503" w:hanging="283"/>
            </w:pPr>
            <w:r w:rsidRPr="002A6831">
              <w:t xml:space="preserve">90% of patients had ≥20% IOP reduction from baseline, </w:t>
            </w:r>
          </w:p>
          <w:p w14:paraId="3547F771" w14:textId="77777777" w:rsidR="0030297D" w:rsidRPr="002A6831" w:rsidRDefault="00DC682A" w:rsidP="00E42475">
            <w:pPr>
              <w:pStyle w:val="Tabletext"/>
              <w:numPr>
                <w:ilvl w:val="0"/>
                <w:numId w:val="5"/>
              </w:numPr>
              <w:ind w:left="503" w:hanging="283"/>
            </w:pPr>
            <w:r w:rsidRPr="002A6831">
              <w:t xml:space="preserve">85% of patients had IOP </w:t>
            </w:r>
            <w:r w:rsidRPr="002A6831">
              <w:rPr>
                <w:rFonts w:ascii="Calibri" w:hAnsi="Calibri" w:cs="Calibri"/>
              </w:rPr>
              <w:t>≤</w:t>
            </w:r>
            <w:r w:rsidRPr="002A6831">
              <w:t>18 mmHg</w:t>
            </w:r>
          </w:p>
          <w:p w14:paraId="5AD9B23E" w14:textId="15293581" w:rsidR="00DC682A" w:rsidRPr="002A6831" w:rsidRDefault="00DC682A" w:rsidP="008D6CD3">
            <w:pPr>
              <w:pStyle w:val="Tabletext"/>
              <w:numPr>
                <w:ilvl w:val="0"/>
                <w:numId w:val="5"/>
              </w:numPr>
              <w:ind w:left="503" w:hanging="283"/>
            </w:pPr>
            <w:r w:rsidRPr="002A6831">
              <w:t>42% of patients were IOP-reducing medication free</w:t>
            </w:r>
          </w:p>
        </w:tc>
        <w:tc>
          <w:tcPr>
            <w:tcW w:w="676" w:type="pct"/>
          </w:tcPr>
          <w:p w14:paraId="6C97E823" w14:textId="77777777" w:rsidR="0030297D" w:rsidRPr="00C408C2" w:rsidRDefault="0030297D" w:rsidP="00C408C2">
            <w:pPr>
              <w:pStyle w:val="Tabletext"/>
            </w:pPr>
          </w:p>
        </w:tc>
        <w:tc>
          <w:tcPr>
            <w:tcW w:w="584" w:type="pct"/>
          </w:tcPr>
          <w:p w14:paraId="1AB16AF9" w14:textId="3CFB5A44" w:rsidR="0030297D" w:rsidRPr="00C408C2" w:rsidRDefault="00442137" w:rsidP="00C408C2">
            <w:pPr>
              <w:pStyle w:val="Tabletext"/>
            </w:pPr>
            <w:r>
              <w:t>Presented 2023.</w:t>
            </w:r>
          </w:p>
        </w:tc>
      </w:tr>
      <w:tr w:rsidR="007B6140" w:rsidRPr="00C408C2" w14:paraId="2F682D52" w14:textId="77777777" w:rsidTr="007B6140">
        <w:trPr>
          <w:trHeight w:val="450"/>
        </w:trPr>
        <w:tc>
          <w:tcPr>
            <w:tcW w:w="5000" w:type="pct"/>
            <w:gridSpan w:val="6"/>
            <w:shd w:val="clear" w:color="auto" w:fill="FBE4D5" w:themeFill="accent2" w:themeFillTint="33"/>
          </w:tcPr>
          <w:p w14:paraId="4675C736" w14:textId="7B6381CB" w:rsidR="007B6140" w:rsidRPr="00C408C2" w:rsidRDefault="007B6140" w:rsidP="00C408C2">
            <w:pPr>
              <w:pStyle w:val="Tabletext"/>
              <w:rPr>
                <w:b/>
                <w:bCs/>
              </w:rPr>
            </w:pPr>
            <w:r w:rsidRPr="00C408C2">
              <w:rPr>
                <w:b/>
                <w:bCs/>
              </w:rPr>
              <w:t>iStent studies (standalone procedure)</w:t>
            </w:r>
          </w:p>
        </w:tc>
      </w:tr>
      <w:tr w:rsidR="00F422D7" w:rsidRPr="0030297D" w14:paraId="7F314DDE" w14:textId="77777777" w:rsidTr="003A3941">
        <w:tc>
          <w:tcPr>
            <w:tcW w:w="188" w:type="pct"/>
          </w:tcPr>
          <w:p w14:paraId="0D5BA843" w14:textId="619658AD" w:rsidR="00F55616" w:rsidRPr="0030297D" w:rsidRDefault="007B6140" w:rsidP="00F55616">
            <w:pPr>
              <w:pStyle w:val="Tabletext"/>
            </w:pPr>
            <w:r>
              <w:t>1.</w:t>
            </w:r>
          </w:p>
        </w:tc>
        <w:tc>
          <w:tcPr>
            <w:tcW w:w="661" w:type="pct"/>
          </w:tcPr>
          <w:p w14:paraId="1052BC9A" w14:textId="479B01E5" w:rsidR="00F55616" w:rsidRPr="0030297D" w:rsidRDefault="00F55616" w:rsidP="00F55616">
            <w:pPr>
              <w:pStyle w:val="Tabletext"/>
            </w:pPr>
            <w:r>
              <w:t>M</w:t>
            </w:r>
            <w:r w:rsidRPr="0060086F">
              <w:t>ulti-centre prospective, post-market, unmasked</w:t>
            </w:r>
          </w:p>
        </w:tc>
        <w:tc>
          <w:tcPr>
            <w:tcW w:w="973" w:type="pct"/>
          </w:tcPr>
          <w:p w14:paraId="570C9812" w14:textId="4FF2BFC6" w:rsidR="00F55616" w:rsidRPr="00F510E6" w:rsidRDefault="00F55616" w:rsidP="00F55616">
            <w:pPr>
              <w:pStyle w:val="Tabletext"/>
              <w:rPr>
                <w:b/>
                <w:bCs/>
              </w:rPr>
            </w:pPr>
            <w:r w:rsidRPr="00F510E6">
              <w:rPr>
                <w:b/>
                <w:bCs/>
              </w:rPr>
              <w:fldChar w:fldCharType="begin"/>
            </w:r>
            <w:r w:rsidRPr="00F510E6">
              <w:rPr>
                <w:b/>
                <w:bCs/>
              </w:rPr>
              <w:instrText xml:space="preserve"> ADDIN EN.CITE &lt;EndNote&gt;&lt;Cite&gt;&lt;Author&gt;Voskanyan&lt;/Author&gt;&lt;Year&gt;2014&lt;/Year&gt;&lt;RecNum&gt;10&lt;/RecNum&gt;&lt;DisplayText&gt;(Voskanyan 2014)&lt;/DisplayText&gt;&lt;record&gt;&lt;rec-number&gt;10&lt;/rec-number&gt;&lt;foreign-keys&gt;&lt;key app="EN" db-id="vpttx5v05r52scezet3p525mw9twa9d9xx95" timestamp="1682142108"&gt;10&lt;/key&gt;&lt;/foreign-keys&gt;&lt;ref-type name="Journal Article"&gt;17&lt;/ref-type&gt;&lt;contributors&gt;&lt;authors&gt;&lt;author&gt;Voskanyan, L.&lt;/author&gt;&lt;author&gt;García-Feijoó, J.&lt;/author&gt;&lt;author&gt;Belda, J. I.&lt;/author&gt;&lt;author&gt;Fea, A.&lt;/author&gt;&lt;author&gt;Jünemann, A.&lt;/author&gt;&lt;author&gt;Baudouin, C.&lt;/author&gt;&lt;/authors&gt;&lt;/contributors&gt;&lt;auth-address&gt;S.V. Malayan Ophthalmological Center, Yerevan, Armenia, lilit.voskanyan@yahoo.com.&lt;/auth-address&gt;&lt;titles&gt;&lt;title&gt;Prospective, unmasked evaluation of the iStent® inject system for open-angle glaucoma: synergy trial&lt;/title&gt;&lt;secondary-title&gt;Adv Ther&lt;/secondary-title&gt;&lt;/titles&gt;&lt;periodical&gt;&lt;full-title&gt;Adv Ther&lt;/full-title&gt;&lt;/periodical&gt;&lt;pages&gt;189-201&lt;/pages&gt;&lt;volume&gt;31&lt;/volume&gt;&lt;number&gt;2&lt;/number&gt;&lt;edition&gt;2014/01/24&lt;/edition&gt;&lt;keywords&gt;&lt;keyword&gt;Adult&lt;/keyword&gt;&lt;keyword&gt;Aged&lt;/keyword&gt;&lt;keyword&gt;Aged, 80 and over&lt;/keyword&gt;&lt;keyword&gt;Antihypertensive Agents/therapeutic use&lt;/keyword&gt;&lt;keyword&gt;Cohort Studies&lt;/keyword&gt;&lt;keyword&gt;Female&lt;/keyword&gt;&lt;keyword&gt;*Glaucoma Drainage Implants&lt;/keyword&gt;&lt;keyword&gt;Glaucoma, Open-Angle/drug therapy/*surgery&lt;/keyword&gt;&lt;keyword&gt;Humans&lt;/keyword&gt;&lt;keyword&gt;Intraocular Pressure&lt;/keyword&gt;&lt;keyword&gt;Male&lt;/keyword&gt;&lt;keyword&gt;Middle Aged&lt;/keyword&gt;&lt;keyword&gt;Prospective Studies&lt;/keyword&gt;&lt;keyword&gt;Trabeculectomy/*instrumentation&lt;/keyword&gt;&lt;keyword&gt;Treatment Outcome&lt;/keyword&gt;&lt;/keywords&gt;&lt;dates&gt;&lt;year&gt;2014&lt;/year&gt;&lt;pub-dates&gt;&lt;date&gt;Feb&lt;/date&gt;&lt;/pub-dates&gt;&lt;/dates&gt;&lt;isbn&gt;0741-238X (Print)&amp;#xD;0741-238x&lt;/isbn&gt;&lt;accession-num&gt;24452726&lt;/accession-num&gt;&lt;urls&gt;&lt;/urls&gt;&lt;custom2&gt;PMC3930835&lt;/custom2&gt;&lt;electronic-resource-num&gt;10.1007/s12325-014-0095-y&lt;/electronic-resource-num&gt;&lt;remote-database-provider&gt;NLM&lt;/remote-database-provider&gt;&lt;language&gt;eng&lt;/language&gt;&lt;/record&gt;&lt;/Cite&gt;&lt;/EndNote&gt;</w:instrText>
            </w:r>
            <w:r w:rsidRPr="00F510E6">
              <w:rPr>
                <w:b/>
                <w:bCs/>
              </w:rPr>
              <w:fldChar w:fldCharType="separate"/>
            </w:r>
            <w:r w:rsidRPr="00F510E6">
              <w:rPr>
                <w:b/>
                <w:bCs/>
                <w:noProof/>
              </w:rPr>
              <w:t>(Voskanyan 2014)</w:t>
            </w:r>
            <w:r w:rsidRPr="00F510E6">
              <w:rPr>
                <w:b/>
                <w:bCs/>
              </w:rPr>
              <w:fldChar w:fldCharType="end"/>
            </w:r>
          </w:p>
          <w:p w14:paraId="2C84730E" w14:textId="77777777" w:rsidR="00F55616" w:rsidRDefault="00F55616" w:rsidP="00F55616">
            <w:pPr>
              <w:pStyle w:val="Tabletext"/>
            </w:pPr>
            <w:r w:rsidRPr="004E4F83">
              <w:t>Voskanyan L</w:t>
            </w:r>
            <w:r>
              <w:t xml:space="preserve"> et al.</w:t>
            </w:r>
            <w:r w:rsidRPr="004E4F83">
              <w:t xml:space="preserve"> Prospective, unmasked evaluation of the iStent</w:t>
            </w:r>
            <w:r w:rsidRPr="006E2A1C">
              <w:rPr>
                <w:vertAlign w:val="superscript"/>
              </w:rPr>
              <w:t>®</w:t>
            </w:r>
            <w:r w:rsidRPr="004E4F83">
              <w:t xml:space="preserve"> inject system for open-angle </w:t>
            </w:r>
            <w:r w:rsidRPr="004E4F83">
              <w:lastRenderedPageBreak/>
              <w:t xml:space="preserve">glaucoma: synergy trial. Adv Ther. 2014 Feb;31(2):189-201. </w:t>
            </w:r>
          </w:p>
          <w:p w14:paraId="511A2481" w14:textId="703EBAE5" w:rsidR="00F55616" w:rsidRPr="0030297D" w:rsidRDefault="00F55616" w:rsidP="00F55616">
            <w:pPr>
              <w:pStyle w:val="Tabletext"/>
            </w:pPr>
            <w:r>
              <w:t>ClinicalTrials.gov listing:</w:t>
            </w:r>
            <w:r w:rsidRPr="00C14670">
              <w:t xml:space="preserve"> NCT00911924</w:t>
            </w:r>
          </w:p>
        </w:tc>
        <w:tc>
          <w:tcPr>
            <w:tcW w:w="1917" w:type="pct"/>
          </w:tcPr>
          <w:p w14:paraId="23575AAD" w14:textId="77777777" w:rsidR="00F55616" w:rsidRDefault="008713D0" w:rsidP="00F55616">
            <w:pPr>
              <w:pStyle w:val="Tabletext"/>
            </w:pPr>
            <w:r>
              <w:lastRenderedPageBreak/>
              <w:t xml:space="preserve">N=99 </w:t>
            </w:r>
            <w:r w:rsidR="00F55616">
              <w:t>Adults with POAG or SOAG</w:t>
            </w:r>
            <w:r w:rsidR="006E2A1C">
              <w:t>.</w:t>
            </w:r>
          </w:p>
          <w:p w14:paraId="693E7384" w14:textId="0090795B" w:rsidR="006E2A1C" w:rsidRDefault="006E2A1C" w:rsidP="006E2A1C">
            <w:pPr>
              <w:pStyle w:val="Tabletext"/>
            </w:pPr>
            <w:r>
              <w:t>Mean (SD) IOP</w:t>
            </w:r>
            <w:r w:rsidR="00E52F53">
              <w:t xml:space="preserve"> (mm Hg) </w:t>
            </w:r>
            <w:r>
              <w:t>reduced from 22.1</w:t>
            </w:r>
            <w:r w:rsidRPr="0006324A">
              <w:t xml:space="preserve"> ± 3</w:t>
            </w:r>
            <w:r>
              <w:t>.3 to 16.8 ± 4.1 at 6 months and 15.7 ± 3.7 at 12 months.</w:t>
            </w:r>
          </w:p>
          <w:p w14:paraId="33FCA182" w14:textId="77777777" w:rsidR="006E2A1C" w:rsidRDefault="006E2A1C" w:rsidP="006E2A1C">
            <w:pPr>
              <w:pStyle w:val="Tabletext"/>
            </w:pPr>
            <w:r>
              <w:t>Mean (SD) number of IOP-reducing medications at baseline 2.21</w:t>
            </w:r>
            <w:r w:rsidRPr="003F11CB">
              <w:t>±</w:t>
            </w:r>
            <w:r>
              <w:t>3.5.</w:t>
            </w:r>
          </w:p>
          <w:p w14:paraId="72F74A6B" w14:textId="727BCCE7" w:rsidR="0067605B" w:rsidRPr="0030297D" w:rsidRDefault="0067605B" w:rsidP="006E2A1C">
            <w:pPr>
              <w:pStyle w:val="Tabletext"/>
            </w:pPr>
            <w:r>
              <w:lastRenderedPageBreak/>
              <w:t>Post-operative complications occurred at a low rate and resolved without persistent effects.</w:t>
            </w:r>
          </w:p>
        </w:tc>
        <w:tc>
          <w:tcPr>
            <w:tcW w:w="676" w:type="pct"/>
          </w:tcPr>
          <w:p w14:paraId="50235174" w14:textId="5596FFA7" w:rsidR="00F55616" w:rsidRDefault="00FA7BD3" w:rsidP="00F55616">
            <w:pPr>
              <w:pStyle w:val="Tabletext"/>
            </w:pPr>
            <w:hyperlink r:id="rId31" w:history="1">
              <w:r w:rsidR="002767AB">
                <w:rPr>
                  <w:rStyle w:val="Hyperlink"/>
                </w:rPr>
                <w:t>Voskanyan 2014</w:t>
              </w:r>
            </w:hyperlink>
          </w:p>
          <w:p w14:paraId="13EED7BF" w14:textId="36F329E2" w:rsidR="002767AB" w:rsidRPr="0030297D" w:rsidRDefault="002767AB" w:rsidP="00F55616">
            <w:pPr>
              <w:pStyle w:val="Tabletext"/>
            </w:pPr>
          </w:p>
        </w:tc>
        <w:tc>
          <w:tcPr>
            <w:tcW w:w="584" w:type="pct"/>
          </w:tcPr>
          <w:p w14:paraId="4CD76B04" w14:textId="4F2E94F4" w:rsidR="00F55616" w:rsidRPr="0030297D" w:rsidRDefault="002767AB" w:rsidP="00F55616">
            <w:pPr>
              <w:pStyle w:val="Tabletext"/>
            </w:pPr>
            <w:r>
              <w:t>Online 23</w:t>
            </w:r>
            <w:r w:rsidRPr="002767AB">
              <w:rPr>
                <w:vertAlign w:val="superscript"/>
              </w:rPr>
              <w:t>rd</w:t>
            </w:r>
            <w:r>
              <w:t xml:space="preserve"> January 2014</w:t>
            </w:r>
          </w:p>
        </w:tc>
      </w:tr>
      <w:tr w:rsidR="00F422D7" w:rsidRPr="0030297D" w14:paraId="4E253E57" w14:textId="77777777" w:rsidTr="003A3941">
        <w:tc>
          <w:tcPr>
            <w:tcW w:w="188" w:type="pct"/>
          </w:tcPr>
          <w:p w14:paraId="22D0AA0A" w14:textId="0122866A" w:rsidR="00F55616" w:rsidRPr="0030297D" w:rsidRDefault="007B6140" w:rsidP="00F55616">
            <w:pPr>
              <w:pStyle w:val="Tabletext"/>
            </w:pPr>
            <w:r>
              <w:t>2.</w:t>
            </w:r>
          </w:p>
        </w:tc>
        <w:tc>
          <w:tcPr>
            <w:tcW w:w="661" w:type="pct"/>
          </w:tcPr>
          <w:p w14:paraId="3A17F8C8" w14:textId="61B03BD6" w:rsidR="00F55616" w:rsidRPr="0030297D" w:rsidRDefault="00F55616" w:rsidP="00F55616">
            <w:pPr>
              <w:pStyle w:val="Tabletext"/>
            </w:pPr>
            <w:r>
              <w:t>P</w:t>
            </w:r>
            <w:r w:rsidRPr="0060086F">
              <w:t>rospective, non-randomized, consecutive case series</w:t>
            </w:r>
          </w:p>
        </w:tc>
        <w:tc>
          <w:tcPr>
            <w:tcW w:w="973" w:type="pct"/>
          </w:tcPr>
          <w:p w14:paraId="7C39F38D" w14:textId="27FC3C00" w:rsidR="00F55616" w:rsidRPr="00F510E6" w:rsidRDefault="00F55616" w:rsidP="00F55616">
            <w:pPr>
              <w:pStyle w:val="Tablecontent"/>
              <w:rPr>
                <w:u w:val="single"/>
              </w:rPr>
            </w:pPr>
            <w:r w:rsidRPr="00F510E6">
              <w:rPr>
                <w:b/>
                <w:bCs/>
              </w:rPr>
              <w:fldChar w:fldCharType="begin">
                <w:fldData xml:space="preserve">PEVuZE5vdGU+PENpdGU+PEF1dGhvcj5IZW5nZXJlcjwvQXV0aG9yPjxZZWFyPjIwMjI8L1llYXI+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</w:fldData>
              </w:fldChar>
            </w:r>
            <w:r w:rsidRPr="00F510E6">
              <w:rPr>
                <w:b/>
                <w:bCs/>
              </w:rPr>
              <w:instrText xml:space="preserve"> ADDIN EN.CITE </w:instrText>
            </w:r>
            <w:r w:rsidRPr="00F510E6">
              <w:rPr>
                <w:b/>
                <w:bCs/>
              </w:rPr>
              <w:fldChar w:fldCharType="begin">
                <w:fldData xml:space="preserve">PEVuZE5vdGU+PENpdGU+PEF1dGhvcj5IZW5nZXJlcjwvQXV0aG9yPjxZZWFyPjIwMjI8L1llYXI+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</w:fldData>
              </w:fldChar>
            </w:r>
            <w:r w:rsidRPr="00F510E6">
              <w:rPr>
                <w:b/>
                <w:bCs/>
              </w:rPr>
              <w:instrText xml:space="preserve"> ADDIN EN.CITE.DATA </w:instrText>
            </w:r>
            <w:r w:rsidRPr="00F510E6">
              <w:rPr>
                <w:b/>
                <w:bCs/>
              </w:rPr>
            </w:r>
            <w:r w:rsidRPr="00F510E6">
              <w:rPr>
                <w:b/>
                <w:bCs/>
              </w:rPr>
              <w:fldChar w:fldCharType="end"/>
            </w:r>
            <w:r w:rsidRPr="00F510E6">
              <w:rPr>
                <w:b/>
                <w:bCs/>
              </w:rPr>
            </w:r>
            <w:r w:rsidRPr="00F510E6">
              <w:rPr>
                <w:b/>
                <w:bCs/>
              </w:rPr>
              <w:fldChar w:fldCharType="separate"/>
            </w:r>
            <w:r w:rsidRPr="00F510E6">
              <w:rPr>
                <w:b/>
                <w:bCs/>
                <w:noProof/>
              </w:rPr>
              <w:t>(Hengerer 2022)</w:t>
            </w:r>
            <w:r w:rsidRPr="00F510E6">
              <w:rPr>
                <w:b/>
                <w:bCs/>
              </w:rPr>
              <w:fldChar w:fldCharType="end"/>
            </w:r>
            <w:r w:rsidRPr="00F510E6">
              <w:rPr>
                <w:u w:val="single"/>
              </w:rPr>
              <w:t xml:space="preserve"> 5 year results:</w:t>
            </w:r>
          </w:p>
          <w:p w14:paraId="1BFC8FDF" w14:textId="0DD4EDAA" w:rsidR="00F55616" w:rsidRDefault="00F55616" w:rsidP="00F55616">
            <w:pPr>
              <w:pStyle w:val="Tabletext"/>
            </w:pPr>
            <w:r w:rsidRPr="004E4F83">
              <w:t>Hengerer FH</w:t>
            </w:r>
            <w:r>
              <w:t xml:space="preserve"> et al</w:t>
            </w:r>
            <w:r w:rsidRPr="004E4F83">
              <w:t>. iStent inject Trabecular Micro-Bypass with or Without Cataract Surgery Yields Sustained 5-Year Glaucoma Control. Adv Ther. 2022 Mar;39(3):1417-1431.</w:t>
            </w:r>
          </w:p>
          <w:p w14:paraId="4E83B007" w14:textId="56AD254E" w:rsidR="00F55616" w:rsidRPr="00F510E6" w:rsidRDefault="00F55616" w:rsidP="00F55616">
            <w:pPr>
              <w:pStyle w:val="Tablecontent"/>
              <w:rPr>
                <w:u w:val="single"/>
              </w:rPr>
            </w:pPr>
            <w:r w:rsidRPr="00F510E6">
              <w:rPr>
                <w:b/>
                <w:bCs/>
              </w:rPr>
              <w:fldChar w:fldCharType="begin">
                <w:fldData xml:space="preserve">PEVuZE5vdGU+PENpdGU+PEF1dGhvcj5IZW5nZXJlcjwvQXV0aG9yPjxZZWFyPjIwMTk8L1llYXI+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</w:fldData>
              </w:fldChar>
            </w:r>
            <w:r w:rsidRPr="00F510E6">
              <w:rPr>
                <w:b/>
                <w:bCs/>
              </w:rPr>
              <w:instrText xml:space="preserve"> ADDIN EN.CITE </w:instrText>
            </w:r>
            <w:r w:rsidRPr="00F510E6">
              <w:rPr>
                <w:b/>
                <w:bCs/>
              </w:rPr>
              <w:fldChar w:fldCharType="begin">
                <w:fldData xml:space="preserve">PEVuZE5vdGU+PENpdGU+PEF1dGhvcj5IZW5nZXJlcjwvQXV0aG9yPjxZZWFyPjIwMTk8L1llYXI+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</w:fldData>
              </w:fldChar>
            </w:r>
            <w:r w:rsidRPr="00F510E6">
              <w:rPr>
                <w:b/>
                <w:bCs/>
              </w:rPr>
              <w:instrText xml:space="preserve"> ADDIN EN.CITE.DATA </w:instrText>
            </w:r>
            <w:r w:rsidRPr="00F510E6">
              <w:rPr>
                <w:b/>
                <w:bCs/>
              </w:rPr>
            </w:r>
            <w:r w:rsidRPr="00F510E6">
              <w:rPr>
                <w:b/>
                <w:bCs/>
              </w:rPr>
              <w:fldChar w:fldCharType="end"/>
            </w:r>
            <w:r w:rsidRPr="00F510E6">
              <w:rPr>
                <w:b/>
                <w:bCs/>
              </w:rPr>
            </w:r>
            <w:r w:rsidRPr="00F510E6">
              <w:rPr>
                <w:b/>
                <w:bCs/>
              </w:rPr>
              <w:fldChar w:fldCharType="separate"/>
            </w:r>
            <w:r w:rsidRPr="00F510E6">
              <w:rPr>
                <w:b/>
                <w:bCs/>
                <w:noProof/>
              </w:rPr>
              <w:t>(Hengerer 2019)</w:t>
            </w:r>
            <w:r w:rsidRPr="00F510E6">
              <w:rPr>
                <w:b/>
                <w:bCs/>
              </w:rPr>
              <w:fldChar w:fldCharType="end"/>
            </w:r>
            <w:r w:rsidRPr="00F510E6">
              <w:rPr>
                <w:b/>
                <w:bCs/>
              </w:rPr>
              <w:t xml:space="preserve"> </w:t>
            </w:r>
            <w:r w:rsidRPr="00F510E6">
              <w:rPr>
                <w:u w:val="single"/>
              </w:rPr>
              <w:t>3 year results:</w:t>
            </w:r>
          </w:p>
          <w:p w14:paraId="42DD5AB9" w14:textId="469FFE19" w:rsidR="00F55616" w:rsidRDefault="00F55616" w:rsidP="00F55616">
            <w:pPr>
              <w:pStyle w:val="Tabletext"/>
            </w:pPr>
            <w:r w:rsidRPr="004E4F83">
              <w:t>Hengerer FH</w:t>
            </w:r>
            <w:r w:rsidR="002767AB">
              <w:t xml:space="preserve"> et al.</w:t>
            </w:r>
            <w:r w:rsidRPr="004E4F83">
              <w:t xml:space="preserve"> Second-Generation Trabecular Micro-Bypass Stents as Standalone Treatment for Glaucoma: A 36-Month Prospective Study. Adv Ther. 2019 Jul;36(7):1606-1617</w:t>
            </w:r>
          </w:p>
          <w:p w14:paraId="44AFDE82" w14:textId="40EE4366" w:rsidR="00F55616" w:rsidRPr="0030297D" w:rsidRDefault="00F55616" w:rsidP="00F55616">
            <w:pPr>
              <w:pStyle w:val="Tabletext"/>
            </w:pPr>
            <w:r>
              <w:t>ClinicalTrials.gov listing:</w:t>
            </w:r>
            <w:r w:rsidRPr="00C14670">
              <w:t xml:space="preserve"> NCT02868190</w:t>
            </w:r>
            <w:r>
              <w:t xml:space="preserve"> (no results posted)</w:t>
            </w:r>
          </w:p>
        </w:tc>
        <w:tc>
          <w:tcPr>
            <w:tcW w:w="1917" w:type="pct"/>
          </w:tcPr>
          <w:p w14:paraId="17E856DF" w14:textId="695E3290" w:rsidR="00F55616" w:rsidRDefault="00FE38B4" w:rsidP="00F55616">
            <w:pPr>
              <w:pStyle w:val="Tabletext"/>
            </w:pPr>
            <w:r>
              <w:t xml:space="preserve">N=44 </w:t>
            </w:r>
            <w:r w:rsidR="00F55616">
              <w:t>Adults with POAG, NAG or secondary glaucoma.</w:t>
            </w:r>
          </w:p>
          <w:p w14:paraId="47595B4A" w14:textId="41ECAA0D" w:rsidR="006E2A1C" w:rsidRDefault="006E2A1C" w:rsidP="006E2A1C">
            <w:pPr>
              <w:pStyle w:val="Tabletext"/>
            </w:pPr>
            <w:r>
              <w:t xml:space="preserve">Mean (SD) IOP </w:t>
            </w:r>
            <w:r w:rsidR="00E52F53">
              <w:t xml:space="preserve">(mm Hg) </w:t>
            </w:r>
            <w:r>
              <w:t xml:space="preserve">reduced from </w:t>
            </w:r>
            <w:r w:rsidRPr="003F11CB">
              <w:t>25.3±6.0</w:t>
            </w:r>
            <w:r>
              <w:t xml:space="preserve"> to 15.2 ± 3.1 at 12 months, 15.0 ± 2.7 at 24 months and 14.6 ± 2.0 at 36 months.</w:t>
            </w:r>
          </w:p>
          <w:p w14:paraId="29F7F081" w14:textId="2E07D0DC" w:rsidR="006E2A1C" w:rsidRPr="0030297D" w:rsidRDefault="0067605B" w:rsidP="006E2A1C">
            <w:pPr>
              <w:pStyle w:val="Tabletext"/>
            </w:pPr>
            <w:r>
              <w:t>Minimal AEs and stable visual acuity were reported through to 36 months.</w:t>
            </w:r>
          </w:p>
        </w:tc>
        <w:tc>
          <w:tcPr>
            <w:tcW w:w="676" w:type="pct"/>
          </w:tcPr>
          <w:p w14:paraId="478B1D59" w14:textId="724A5685" w:rsidR="00F55616" w:rsidRDefault="00FA7BD3" w:rsidP="00F55616">
            <w:pPr>
              <w:pStyle w:val="Tabletext"/>
            </w:pPr>
            <w:hyperlink r:id="rId32" w:history="1">
              <w:r w:rsidR="002767AB">
                <w:rPr>
                  <w:rStyle w:val="Hyperlink"/>
                </w:rPr>
                <w:t>Hengerer 2022</w:t>
              </w:r>
            </w:hyperlink>
          </w:p>
          <w:p w14:paraId="1DA0862C" w14:textId="77777777" w:rsidR="002767AB" w:rsidRDefault="002767AB" w:rsidP="00F55616">
            <w:pPr>
              <w:pStyle w:val="Tabletext"/>
            </w:pPr>
          </w:p>
          <w:p w14:paraId="0FBE0415" w14:textId="77777777" w:rsidR="002767AB" w:rsidRDefault="002767AB" w:rsidP="00F55616">
            <w:pPr>
              <w:pStyle w:val="Tabletext"/>
            </w:pPr>
          </w:p>
          <w:p w14:paraId="0AD60620" w14:textId="77777777" w:rsidR="00F81844" w:rsidRDefault="00F81844" w:rsidP="00F55616">
            <w:pPr>
              <w:pStyle w:val="Tabletext"/>
            </w:pPr>
          </w:p>
          <w:p w14:paraId="4B957086" w14:textId="10B8F73C" w:rsidR="002767AB" w:rsidRDefault="00FA7BD3" w:rsidP="00F55616">
            <w:pPr>
              <w:pStyle w:val="Tabletext"/>
            </w:pPr>
            <w:hyperlink r:id="rId33" w:history="1">
              <w:r w:rsidR="002767AB">
                <w:rPr>
                  <w:rStyle w:val="Hyperlink"/>
                </w:rPr>
                <w:t>Hengerer 2019</w:t>
              </w:r>
            </w:hyperlink>
          </w:p>
          <w:p w14:paraId="27D23F16" w14:textId="0D6091C7" w:rsidR="002767AB" w:rsidRPr="0030297D" w:rsidRDefault="002767AB" w:rsidP="00F55616">
            <w:pPr>
              <w:pStyle w:val="Tabletext"/>
            </w:pPr>
          </w:p>
        </w:tc>
        <w:tc>
          <w:tcPr>
            <w:tcW w:w="584" w:type="pct"/>
          </w:tcPr>
          <w:p w14:paraId="2468D8DE" w14:textId="606B86E4" w:rsidR="00F55616" w:rsidRDefault="002767AB" w:rsidP="00F55616">
            <w:pPr>
              <w:pStyle w:val="Tabletext"/>
            </w:pPr>
            <w:r>
              <w:t xml:space="preserve">Online </w:t>
            </w:r>
            <w:r w:rsidR="00F81844">
              <w:t>3</w:t>
            </w:r>
            <w:r w:rsidR="00F81844" w:rsidRPr="00F81844">
              <w:rPr>
                <w:vertAlign w:val="superscript"/>
              </w:rPr>
              <w:t>rd</w:t>
            </w:r>
            <w:r w:rsidR="00F81844">
              <w:t xml:space="preserve"> Feb 2022</w:t>
            </w:r>
          </w:p>
          <w:p w14:paraId="7835358E" w14:textId="77777777" w:rsidR="002767AB" w:rsidRDefault="002767AB" w:rsidP="00F55616">
            <w:pPr>
              <w:pStyle w:val="Tabletext"/>
            </w:pPr>
          </w:p>
          <w:p w14:paraId="4047739E" w14:textId="77777777" w:rsidR="002767AB" w:rsidRDefault="002767AB" w:rsidP="00F55616">
            <w:pPr>
              <w:pStyle w:val="Tabletext"/>
            </w:pPr>
          </w:p>
          <w:p w14:paraId="47CAE7A3" w14:textId="75D54F4F" w:rsidR="002767AB" w:rsidRPr="0030297D" w:rsidRDefault="002767AB" w:rsidP="00F55616">
            <w:pPr>
              <w:pStyle w:val="Tabletext"/>
            </w:pPr>
            <w:r>
              <w:t>Online 22</w:t>
            </w:r>
            <w:r w:rsidRPr="002767AB">
              <w:rPr>
                <w:vertAlign w:val="superscript"/>
              </w:rPr>
              <w:t>nd</w:t>
            </w:r>
            <w:r>
              <w:t xml:space="preserve"> May 2019</w:t>
            </w:r>
          </w:p>
        </w:tc>
      </w:tr>
      <w:tr w:rsidR="00F422D7" w:rsidRPr="0030297D" w14:paraId="04B8AD08" w14:textId="77777777" w:rsidTr="003A3941">
        <w:tc>
          <w:tcPr>
            <w:tcW w:w="188" w:type="pct"/>
          </w:tcPr>
          <w:p w14:paraId="296D81DB" w14:textId="0C042003" w:rsidR="00F55616" w:rsidRPr="0030297D" w:rsidRDefault="007B6140" w:rsidP="00F55616">
            <w:pPr>
              <w:pStyle w:val="Tabletext"/>
            </w:pPr>
            <w:r>
              <w:t>3.</w:t>
            </w:r>
          </w:p>
        </w:tc>
        <w:tc>
          <w:tcPr>
            <w:tcW w:w="661" w:type="pct"/>
          </w:tcPr>
          <w:p w14:paraId="691B6FE5" w14:textId="5EFA995B" w:rsidR="00F55616" w:rsidRPr="0030297D" w:rsidRDefault="0067605B" w:rsidP="00F55616">
            <w:pPr>
              <w:pStyle w:val="Tabletext"/>
            </w:pPr>
            <w:r>
              <w:t>P</w:t>
            </w:r>
            <w:r w:rsidR="00F55616" w:rsidRPr="0060086F">
              <w:t>rospective, single-arm</w:t>
            </w:r>
            <w:r w:rsidR="00F55616">
              <w:t>, single-surgeon</w:t>
            </w:r>
          </w:p>
        </w:tc>
        <w:tc>
          <w:tcPr>
            <w:tcW w:w="973" w:type="pct"/>
          </w:tcPr>
          <w:p w14:paraId="623C8A30" w14:textId="77777777" w:rsidR="00F55616" w:rsidRPr="000C1017" w:rsidRDefault="00F55616" w:rsidP="00F55616">
            <w:pPr>
              <w:pStyle w:val="Tabletext"/>
              <w:rPr>
                <w:b/>
                <w:bCs/>
                <w:lang w:val="nl-BE"/>
              </w:rPr>
            </w:pPr>
            <w:r w:rsidRPr="00F510E6">
              <w:rPr>
                <w:b/>
                <w:bCs/>
              </w:rPr>
              <w:fldChar w:fldCharType="begin">
                <w:fldData xml:space="preserve">PEVuZE5vdGU+PENpdGU+PEF1dGhvcj5MaW5kc3Ryb208L0F1dGhvcj48WWVhcj4yMDIwPC9ZZWFy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</w:fldData>
              </w:fldChar>
            </w:r>
            <w:r w:rsidRPr="000C1017">
              <w:rPr>
                <w:b/>
                <w:bCs/>
                <w:lang w:val="nl-BE"/>
              </w:rPr>
              <w:instrText xml:space="preserve"> ADDIN EN.CITE </w:instrText>
            </w:r>
            <w:r w:rsidRPr="00F510E6">
              <w:rPr>
                <w:b/>
                <w:bCs/>
              </w:rPr>
              <w:fldChar w:fldCharType="begin">
                <w:fldData xml:space="preserve">PEVuZE5vdGU+PENpdGU+PEF1dGhvcj5MaW5kc3Ryb208L0F1dGhvcj48WWVhcj4yMDIwPC9ZZWFy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</w:fldData>
              </w:fldChar>
            </w:r>
            <w:r w:rsidRPr="000C1017">
              <w:rPr>
                <w:b/>
                <w:bCs/>
                <w:lang w:val="nl-BE"/>
              </w:rPr>
              <w:instrText xml:space="preserve"> ADDIN EN.CITE.DATA </w:instrText>
            </w:r>
            <w:r w:rsidRPr="00F510E6">
              <w:rPr>
                <w:b/>
                <w:bCs/>
              </w:rPr>
            </w:r>
            <w:r w:rsidRPr="00F510E6">
              <w:rPr>
                <w:b/>
                <w:bCs/>
              </w:rPr>
              <w:fldChar w:fldCharType="end"/>
            </w:r>
            <w:r w:rsidRPr="00F510E6">
              <w:rPr>
                <w:b/>
                <w:bCs/>
              </w:rPr>
            </w:r>
            <w:r w:rsidRPr="00F510E6">
              <w:rPr>
                <w:b/>
                <w:bCs/>
              </w:rPr>
              <w:fldChar w:fldCharType="separate"/>
            </w:r>
            <w:r w:rsidRPr="000C1017">
              <w:rPr>
                <w:b/>
                <w:bCs/>
                <w:noProof/>
                <w:lang w:val="nl-BE"/>
              </w:rPr>
              <w:t>(Lindstrom 2020)</w:t>
            </w:r>
            <w:r w:rsidRPr="00F510E6">
              <w:rPr>
                <w:b/>
                <w:bCs/>
              </w:rPr>
              <w:fldChar w:fldCharType="end"/>
            </w:r>
          </w:p>
          <w:p w14:paraId="13798C61" w14:textId="0162E461" w:rsidR="00F55616" w:rsidRDefault="00F55616" w:rsidP="00F55616">
            <w:pPr>
              <w:pStyle w:val="Tabletext"/>
            </w:pPr>
            <w:r w:rsidRPr="000C1017">
              <w:rPr>
                <w:lang w:val="nl-BE"/>
              </w:rPr>
              <w:t xml:space="preserve">Lindstrom R et al. </w:t>
            </w:r>
            <w:r w:rsidRPr="004E4F83">
              <w:t>Four-Year Outcomes of Two Second-Generation Trabecular Micro-Bypass Stents in Patients with Open-Angle Glaucoma on One Medication. Clin Ophthalmol. 2020 Jan 13;14:71-80</w:t>
            </w:r>
          </w:p>
          <w:p w14:paraId="5CA08D04" w14:textId="4A05AFF9" w:rsidR="00F55616" w:rsidRPr="0030297D" w:rsidRDefault="00F55616" w:rsidP="00F55616">
            <w:pPr>
              <w:pStyle w:val="Tabletext"/>
            </w:pPr>
            <w:r>
              <w:t>ClinicalTrials.gov listing: NCT02868190 (no results posted)</w:t>
            </w:r>
          </w:p>
        </w:tc>
        <w:tc>
          <w:tcPr>
            <w:tcW w:w="1917" w:type="pct"/>
          </w:tcPr>
          <w:p w14:paraId="72EA47DF" w14:textId="191D42F6" w:rsidR="00F55616" w:rsidRDefault="00C2330C" w:rsidP="00F55616">
            <w:pPr>
              <w:pStyle w:val="Tablecontent"/>
            </w:pPr>
            <w:r>
              <w:t xml:space="preserve">N=57 </w:t>
            </w:r>
            <w:r w:rsidR="00F55616">
              <w:t>Adults with POAG with 1 IOP-lowering medication.</w:t>
            </w:r>
          </w:p>
          <w:p w14:paraId="19A56A5C" w14:textId="0E9ABFD6" w:rsidR="006E2A1C" w:rsidRDefault="0067605B" w:rsidP="00F55616">
            <w:pPr>
              <w:pStyle w:val="Tablecontent"/>
            </w:pPr>
            <w:r>
              <w:t xml:space="preserve">Medicated </w:t>
            </w:r>
            <w:r w:rsidR="006E2A1C">
              <w:t>IOP lowering not reported.</w:t>
            </w:r>
          </w:p>
          <w:p w14:paraId="164EB0B7" w14:textId="2781D79F" w:rsidR="00F55616" w:rsidRPr="0030297D" w:rsidRDefault="0067605B" w:rsidP="00F55616">
            <w:pPr>
              <w:pStyle w:val="Tabletext"/>
            </w:pPr>
            <w:r>
              <w:t xml:space="preserve">During follow-up one </w:t>
            </w:r>
            <w:r w:rsidRPr="0067605B">
              <w:t xml:space="preserve">eye underwent a secondary glaucoma surgery, and safety parameters were </w:t>
            </w:r>
            <w:r>
              <w:t>reported as fav</w:t>
            </w:r>
            <w:r w:rsidRPr="0067605B">
              <w:t>o</w:t>
            </w:r>
            <w:r>
              <w:t>u</w:t>
            </w:r>
            <w:r w:rsidRPr="0067605B">
              <w:t>rable.</w:t>
            </w:r>
          </w:p>
        </w:tc>
        <w:tc>
          <w:tcPr>
            <w:tcW w:w="676" w:type="pct"/>
          </w:tcPr>
          <w:p w14:paraId="63DE2349" w14:textId="1D1A1C0A" w:rsidR="00E00F61" w:rsidRPr="0030297D" w:rsidRDefault="00FA7BD3" w:rsidP="00F55616">
            <w:pPr>
              <w:pStyle w:val="Tabletext"/>
            </w:pPr>
            <w:hyperlink r:id="rId34" w:history="1">
              <w:r w:rsidR="00E00F61">
                <w:rPr>
                  <w:rStyle w:val="Hyperlink"/>
                </w:rPr>
                <w:t>Lindstrom 2020</w:t>
              </w:r>
            </w:hyperlink>
          </w:p>
        </w:tc>
        <w:tc>
          <w:tcPr>
            <w:tcW w:w="584" w:type="pct"/>
          </w:tcPr>
          <w:p w14:paraId="5BFC9A4F" w14:textId="5F71CD4E" w:rsidR="00F55616" w:rsidRPr="0030297D" w:rsidRDefault="00E00F61" w:rsidP="00F55616">
            <w:pPr>
              <w:pStyle w:val="Tabletext"/>
            </w:pPr>
            <w:r>
              <w:t>Online 13</w:t>
            </w:r>
            <w:r w:rsidRPr="00E00F61">
              <w:rPr>
                <w:vertAlign w:val="superscript"/>
              </w:rPr>
              <w:t>th</w:t>
            </w:r>
            <w:r>
              <w:t xml:space="preserve"> Jan 2020</w:t>
            </w:r>
          </w:p>
        </w:tc>
      </w:tr>
      <w:tr w:rsidR="00F422D7" w:rsidRPr="0030297D" w14:paraId="1234A385" w14:textId="77777777" w:rsidTr="003A3941">
        <w:tc>
          <w:tcPr>
            <w:tcW w:w="188" w:type="pct"/>
          </w:tcPr>
          <w:p w14:paraId="06DE4BA8" w14:textId="3BD3BCA6" w:rsidR="00F55616" w:rsidRPr="0030297D" w:rsidRDefault="007B6140" w:rsidP="00F55616">
            <w:pPr>
              <w:pStyle w:val="Tabletext"/>
            </w:pPr>
            <w:r>
              <w:t>4.</w:t>
            </w:r>
          </w:p>
        </w:tc>
        <w:tc>
          <w:tcPr>
            <w:tcW w:w="661" w:type="pct"/>
          </w:tcPr>
          <w:p w14:paraId="19092CFF" w14:textId="75507ABA" w:rsidR="00F55616" w:rsidRPr="0030297D" w:rsidRDefault="00F55616" w:rsidP="00F55616">
            <w:pPr>
              <w:pStyle w:val="Tabletext"/>
            </w:pPr>
            <w:r w:rsidRPr="0060086F">
              <w:t>Retrospective, non-randomized, non- controlled, interventional case series</w:t>
            </w:r>
          </w:p>
        </w:tc>
        <w:tc>
          <w:tcPr>
            <w:tcW w:w="973" w:type="pct"/>
          </w:tcPr>
          <w:p w14:paraId="29E2E159" w14:textId="5BF9C026" w:rsidR="00F55616" w:rsidRPr="000C1017" w:rsidRDefault="00F55616" w:rsidP="00F55616">
            <w:pPr>
              <w:pStyle w:val="Tabletext"/>
              <w:rPr>
                <w:b/>
                <w:bCs/>
                <w:lang w:val="fr-BE"/>
              </w:rPr>
            </w:pPr>
            <w:r w:rsidRPr="00F510E6">
              <w:rPr>
                <w:b/>
                <w:bCs/>
              </w:rPr>
              <w:fldChar w:fldCharType="begin"/>
            </w:r>
            <w:r w:rsidRPr="000C1017">
              <w:rPr>
                <w:b/>
                <w:bCs/>
                <w:lang w:val="fr-BE"/>
              </w:rPr>
              <w:instrText xml:space="preserve"> ADDIN EN.CITE &lt;EndNote&gt;&lt;Cite&gt;&lt;Author&gt;Arnljots&lt;/Author&gt;&lt;Year&gt;2021&lt;/Year&gt;&lt;RecNum&gt;6&lt;/RecNum&gt;&lt;DisplayText&gt;(Arnljots 2021)&lt;/DisplayText&gt;&lt;record&gt;&lt;rec-number&gt;6&lt;/rec-number&gt;&lt;foreign-keys&gt;&lt;key app="EN" db-id="vpttx5v05r52scezet3p525mw9twa9d9xx95" timestamp="1679375633"&gt;6&lt;/key&gt;&lt;/foreign-keys&gt;&lt;ref-type name="Journal Article"&gt;17&lt;/ref-type&gt;&lt;contributors&gt;&lt;authors&gt;&lt;author&gt;Arnljots, T. S.&lt;/author&gt;&lt;author&gt;Economou, M. A.&lt;/author&gt;&lt;/authors&gt;&lt;/contributors&gt;&lt;auth-address&gt;Anterior Segment Department, St. Erik Eye Hospital, Stockholm, Sweden.&amp;#xD;Division of Ophthalmology and Vision, Department of Clinical Neuroscience, Karolinska Institutet, Stockholm, Sweden.&amp;#xD;Department of Ophthalmology, Sophiahemmet Hospital, Stockholm, Sweden.&lt;/auth-address&gt;&lt;titles&gt;&lt;title&gt;Kahook Dual Blade Goniotomy vs iStent inject: Long-Term Results in Patients with Open-Angle Glaucoma&lt;/title&gt;&lt;secondary-title&gt;Clin Ophthalmol&lt;/secondary-title&gt;&lt;/titles&gt;&lt;periodical&gt;&lt;full-title&gt;Clin Ophthalmol&lt;/full-title&gt;&lt;/periodical&gt;&lt;pages&gt;541-550&lt;/pages&gt;&lt;volume&gt;15&lt;/volume&gt;&lt;edition&gt;2021/02/20&lt;/edition&gt;&lt;keywords&gt;&lt;keyword&gt;Kahook Dual Blade&lt;/keyword&gt;&lt;keyword&gt;Migs&lt;/keyword&gt;&lt;keyword&gt;glaucoma surgery&lt;/keyword&gt;&lt;keyword&gt;goniotomy&lt;/keyword&gt;&lt;keyword&gt;iStent inject&lt;/keyword&gt;&lt;keyword&gt;Medical Inc. No other author has a financial or proprietary interest in any&lt;/keyword&gt;&lt;keyword&gt;material or method mentioned.&lt;/keyword&gt;&lt;/keywords&gt;&lt;dates&gt;&lt;year&gt;2021&lt;/year&gt;&lt;/dates&gt;&lt;isbn&gt;1177-5467 (Print)&amp;#xD;1177-5467&lt;/isbn&gt;&lt;accession-num&gt;33603332&lt;/accession-num&gt;&lt;urls&gt;&lt;/urls&gt;&lt;custom2&gt;PMC7884935&lt;/custom2&gt;&lt;electronic-resource-num&gt;10.2147/opth.S284687&lt;/electronic-resource-num&gt;&lt;remote-database-provider&gt;NLM&lt;/remote-database-provider&gt;&lt;language&gt;eng&lt;/language&gt;&lt;/record&gt;&lt;/Cite&gt;&lt;/EndNote&gt;</w:instrText>
            </w:r>
            <w:r w:rsidRPr="00F510E6">
              <w:rPr>
                <w:b/>
                <w:bCs/>
              </w:rPr>
              <w:fldChar w:fldCharType="separate"/>
            </w:r>
            <w:r w:rsidRPr="000C1017">
              <w:rPr>
                <w:b/>
                <w:bCs/>
                <w:noProof/>
                <w:lang w:val="fr-BE"/>
              </w:rPr>
              <w:t>(Arnljots 2021)</w:t>
            </w:r>
            <w:r w:rsidRPr="00F510E6">
              <w:rPr>
                <w:b/>
                <w:bCs/>
              </w:rPr>
              <w:fldChar w:fldCharType="end"/>
            </w:r>
          </w:p>
          <w:p w14:paraId="100FF89F" w14:textId="1D60632D" w:rsidR="00F55616" w:rsidRPr="0030297D" w:rsidRDefault="00F55616" w:rsidP="00F55616">
            <w:pPr>
              <w:pStyle w:val="Tabletext"/>
            </w:pPr>
            <w:r w:rsidRPr="000C1017">
              <w:rPr>
                <w:lang w:val="fr-BE"/>
              </w:rPr>
              <w:t>Arnljots TS</w:t>
            </w:r>
            <w:r w:rsidR="001A161B" w:rsidRPr="000C1017">
              <w:rPr>
                <w:lang w:val="fr-BE"/>
              </w:rPr>
              <w:t xml:space="preserve"> et al.</w:t>
            </w:r>
            <w:r w:rsidRPr="000C1017">
              <w:rPr>
                <w:lang w:val="fr-BE"/>
              </w:rPr>
              <w:t xml:space="preserve"> </w:t>
            </w:r>
            <w:r w:rsidRPr="004E4F83">
              <w:t xml:space="preserve">Dual Blade Goniotomy vs iStent inject: Long-Term Results in Patients with Open-Angle Glaucoma. Clin </w:t>
            </w:r>
            <w:r w:rsidRPr="004E4F83">
              <w:lastRenderedPageBreak/>
              <w:t>Ophthalmol. 2021 Feb 11;15:541-550.</w:t>
            </w:r>
          </w:p>
        </w:tc>
        <w:tc>
          <w:tcPr>
            <w:tcW w:w="1917" w:type="pct"/>
          </w:tcPr>
          <w:p w14:paraId="1DDD12D4" w14:textId="436668E5" w:rsidR="00F55616" w:rsidRDefault="00FE38B4" w:rsidP="00F55616">
            <w:pPr>
              <w:pStyle w:val="Tablecontent"/>
            </w:pPr>
            <w:r>
              <w:lastRenderedPageBreak/>
              <w:t xml:space="preserve">N=14 </w:t>
            </w:r>
            <w:r w:rsidR="00F55616">
              <w:t>Adult</w:t>
            </w:r>
            <w:r>
              <w:t>s</w:t>
            </w:r>
            <w:r w:rsidR="00F55616">
              <w:t xml:space="preserve"> with mild to moderate OAG undergoing a standalone procedure or combined cataract surgery (or goniotomy, this arm not included).</w:t>
            </w:r>
          </w:p>
          <w:p w14:paraId="69FCF38F" w14:textId="37038B9F" w:rsidR="006E2A1C" w:rsidRDefault="006E2A1C" w:rsidP="006E2A1C">
            <w:pPr>
              <w:pStyle w:val="Tabletext"/>
            </w:pPr>
            <w:r>
              <w:t xml:space="preserve">Mean (SD) IOP reduced from </w:t>
            </w:r>
            <w:r w:rsidRPr="003F11CB">
              <w:t>20.6±5.4</w:t>
            </w:r>
            <w:r>
              <w:t xml:space="preserve"> to 18.3 ± 2.3 at 6 months, 18.4 ± 2.4 at 12 months and 16.0 </w:t>
            </w:r>
            <w:r w:rsidRPr="003F11CB">
              <w:t>±</w:t>
            </w:r>
            <w:r>
              <w:t xml:space="preserve"> 4.3</w:t>
            </w:r>
            <w:r w:rsidRPr="003F11CB">
              <w:t>8</w:t>
            </w:r>
            <w:r>
              <w:t xml:space="preserve"> at 24 months.</w:t>
            </w:r>
          </w:p>
          <w:p w14:paraId="72D58382" w14:textId="77777777" w:rsidR="00F55616" w:rsidRDefault="006E2A1C" w:rsidP="006E2A1C">
            <w:pPr>
              <w:pStyle w:val="Tabletext"/>
            </w:pPr>
            <w:r>
              <w:lastRenderedPageBreak/>
              <w:t xml:space="preserve">Mean (SD) number of IOP-reducing medications unchanged from </w:t>
            </w:r>
            <w:r w:rsidRPr="003F11CB">
              <w:t>3.0±1.1</w:t>
            </w:r>
            <w:r>
              <w:t xml:space="preserve"> at baseline to </w:t>
            </w:r>
            <w:r w:rsidRPr="003F11CB">
              <w:t>3.</w:t>
            </w:r>
            <w:r>
              <w:t xml:space="preserve">0 </w:t>
            </w:r>
            <w:r w:rsidRPr="003F11CB">
              <w:t>±</w:t>
            </w:r>
            <w:r>
              <w:t xml:space="preserve"> 0.75 at 24 months.</w:t>
            </w:r>
          </w:p>
          <w:p w14:paraId="4FC1B843" w14:textId="6B939676" w:rsidR="0067605B" w:rsidRPr="0030297D" w:rsidRDefault="0067605B" w:rsidP="006E2A1C">
            <w:pPr>
              <w:pStyle w:val="Tabletext"/>
            </w:pPr>
            <w:r>
              <w:t>No major complications were reported.</w:t>
            </w:r>
          </w:p>
        </w:tc>
        <w:tc>
          <w:tcPr>
            <w:tcW w:w="676" w:type="pct"/>
          </w:tcPr>
          <w:p w14:paraId="73B17AB5" w14:textId="5413ADC7" w:rsidR="00F55616" w:rsidRDefault="00FA7BD3" w:rsidP="00F55616">
            <w:pPr>
              <w:pStyle w:val="Tabletext"/>
            </w:pPr>
            <w:hyperlink r:id="rId35" w:history="1">
              <w:r w:rsidR="00F21590">
                <w:rPr>
                  <w:rStyle w:val="Hyperlink"/>
                </w:rPr>
                <w:t>Arnljots 2021</w:t>
              </w:r>
            </w:hyperlink>
          </w:p>
          <w:p w14:paraId="55C6CDA3" w14:textId="6DB9C3C1" w:rsidR="00F21590" w:rsidRPr="0030297D" w:rsidRDefault="00F21590" w:rsidP="00F55616">
            <w:pPr>
              <w:pStyle w:val="Tabletext"/>
            </w:pPr>
          </w:p>
        </w:tc>
        <w:tc>
          <w:tcPr>
            <w:tcW w:w="584" w:type="pct"/>
          </w:tcPr>
          <w:p w14:paraId="46CBC440" w14:textId="1991ABC5" w:rsidR="00F55616" w:rsidRPr="0030297D" w:rsidRDefault="00F21590" w:rsidP="00F55616">
            <w:pPr>
              <w:pStyle w:val="Tabletext"/>
            </w:pPr>
            <w:r>
              <w:t>Online 11</w:t>
            </w:r>
            <w:r w:rsidRPr="00F21590">
              <w:rPr>
                <w:vertAlign w:val="superscript"/>
              </w:rPr>
              <w:t>th</w:t>
            </w:r>
            <w:r>
              <w:t xml:space="preserve"> Feb 2021</w:t>
            </w:r>
          </w:p>
        </w:tc>
      </w:tr>
      <w:tr w:rsidR="00F422D7" w:rsidRPr="0030297D" w14:paraId="24ED57CF" w14:textId="77777777" w:rsidTr="003A3941">
        <w:tc>
          <w:tcPr>
            <w:tcW w:w="188" w:type="pct"/>
          </w:tcPr>
          <w:p w14:paraId="267E7B15" w14:textId="1EA30FB5" w:rsidR="00F55616" w:rsidRPr="0030297D" w:rsidRDefault="007B6140" w:rsidP="00F55616">
            <w:pPr>
              <w:pStyle w:val="Tabletext"/>
            </w:pPr>
            <w:r>
              <w:t>5.</w:t>
            </w:r>
          </w:p>
        </w:tc>
        <w:tc>
          <w:tcPr>
            <w:tcW w:w="661" w:type="pct"/>
          </w:tcPr>
          <w:p w14:paraId="5D44A134" w14:textId="2B8127E2" w:rsidR="00F55616" w:rsidRPr="0030297D" w:rsidRDefault="00F55616" w:rsidP="00F55616">
            <w:pPr>
              <w:pStyle w:val="Tabletext"/>
            </w:pPr>
            <w:r>
              <w:t>R</w:t>
            </w:r>
            <w:r w:rsidRPr="0060086F">
              <w:t>etrospective, single-centre study</w:t>
            </w:r>
          </w:p>
        </w:tc>
        <w:tc>
          <w:tcPr>
            <w:tcW w:w="973" w:type="pct"/>
          </w:tcPr>
          <w:p w14:paraId="37D874DA" w14:textId="58E79457" w:rsidR="00F55616" w:rsidRPr="000C1017" w:rsidRDefault="00F55616" w:rsidP="00F55616">
            <w:pPr>
              <w:pStyle w:val="Tabletext"/>
              <w:rPr>
                <w:b/>
                <w:bCs/>
                <w:lang w:val="de-DE"/>
              </w:rPr>
            </w:pPr>
            <w:r w:rsidRPr="00F510E6">
              <w:rPr>
                <w:b/>
                <w:bCs/>
              </w:rPr>
              <w:fldChar w:fldCharType="begin">
                <w:fldData xml:space="preserve">PEVuZE5vdGU+PENpdGU+PEF1dGhvcj5QYWhsaXR6c2NoPC9BdXRob3I+PFllYXI+MjAyMTwvWWVh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</w:fldData>
              </w:fldChar>
            </w:r>
            <w:r w:rsidRPr="000C1017">
              <w:rPr>
                <w:b/>
                <w:bCs/>
                <w:lang w:val="de-DE"/>
              </w:rPr>
              <w:instrText xml:space="preserve"> ADDIN EN.CITE </w:instrText>
            </w:r>
            <w:r w:rsidRPr="00F510E6">
              <w:rPr>
                <w:b/>
                <w:bCs/>
              </w:rPr>
              <w:fldChar w:fldCharType="begin">
                <w:fldData xml:space="preserve">PEVuZE5vdGU+PENpdGU+PEF1dGhvcj5QYWhsaXR6c2NoPC9BdXRob3I+PFllYXI+MjAyMTwvWWVh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</w:fldData>
              </w:fldChar>
            </w:r>
            <w:r w:rsidRPr="000C1017">
              <w:rPr>
                <w:b/>
                <w:bCs/>
                <w:lang w:val="de-DE"/>
              </w:rPr>
              <w:instrText xml:space="preserve"> ADDIN EN.CITE.DATA </w:instrText>
            </w:r>
            <w:r w:rsidRPr="00F510E6">
              <w:rPr>
                <w:b/>
                <w:bCs/>
              </w:rPr>
            </w:r>
            <w:r w:rsidRPr="00F510E6">
              <w:rPr>
                <w:b/>
                <w:bCs/>
              </w:rPr>
              <w:fldChar w:fldCharType="end"/>
            </w:r>
            <w:r w:rsidRPr="00F510E6">
              <w:rPr>
                <w:b/>
                <w:bCs/>
              </w:rPr>
            </w:r>
            <w:r w:rsidRPr="00F510E6">
              <w:rPr>
                <w:b/>
                <w:bCs/>
              </w:rPr>
              <w:fldChar w:fldCharType="separate"/>
            </w:r>
            <w:r w:rsidRPr="000C1017">
              <w:rPr>
                <w:b/>
                <w:bCs/>
                <w:noProof/>
                <w:lang w:val="de-DE"/>
              </w:rPr>
              <w:t>(Pahlitzsch 2021)</w:t>
            </w:r>
            <w:r w:rsidRPr="00F510E6">
              <w:rPr>
                <w:b/>
                <w:bCs/>
              </w:rPr>
              <w:fldChar w:fldCharType="end"/>
            </w:r>
          </w:p>
          <w:p w14:paraId="6F8CF81F" w14:textId="77777777" w:rsidR="00F55616" w:rsidRDefault="00F55616" w:rsidP="00F55616">
            <w:pPr>
              <w:pStyle w:val="Tabletext"/>
            </w:pPr>
            <w:r w:rsidRPr="009F764F">
              <w:rPr>
                <w:lang w:val="de-DE"/>
              </w:rPr>
              <w:t>Pahlitzsch M</w:t>
            </w:r>
            <w:r>
              <w:rPr>
                <w:lang w:val="de-DE"/>
              </w:rPr>
              <w:t xml:space="preserve"> et al</w:t>
            </w:r>
            <w:r w:rsidRPr="009F764F">
              <w:rPr>
                <w:lang w:val="de-DE"/>
              </w:rPr>
              <w:t xml:space="preserve">. </w:t>
            </w:r>
            <w:r w:rsidRPr="004E4F83">
              <w:t>Selective Laser Trabeculoplasty Versus MIGS: Forgotten Art or First-Step Procedure in Selected Patients with Open-Angle Glaucoma. Ophthalmol Ther. 2021 Sep;10(3):509-524</w:t>
            </w:r>
            <w:r>
              <w:t>.</w:t>
            </w:r>
          </w:p>
          <w:p w14:paraId="2CE93A28" w14:textId="0E17A5F1" w:rsidR="00F55616" w:rsidRPr="0030297D" w:rsidRDefault="00F55616" w:rsidP="00F55616">
            <w:pPr>
              <w:pStyle w:val="Tabletext"/>
            </w:pPr>
            <w:r>
              <w:t xml:space="preserve">ClinicalTrials.gov listing: </w:t>
            </w:r>
            <w:r w:rsidRPr="00C14670">
              <w:t>NCT 01517477</w:t>
            </w:r>
            <w:r>
              <w:t xml:space="preserve"> (no results posted)</w:t>
            </w:r>
          </w:p>
        </w:tc>
        <w:tc>
          <w:tcPr>
            <w:tcW w:w="1917" w:type="pct"/>
          </w:tcPr>
          <w:p w14:paraId="196A6610" w14:textId="4452A20B" w:rsidR="00F55616" w:rsidRDefault="00FE38B4" w:rsidP="00F55616">
            <w:pPr>
              <w:pStyle w:val="Tabletext"/>
            </w:pPr>
            <w:r>
              <w:t xml:space="preserve">N=66 </w:t>
            </w:r>
            <w:r w:rsidR="00F55616">
              <w:t>Adults with POAG who had received iStent (or selective laser trabeculoplasty or trabeculectomy, these arms not included)</w:t>
            </w:r>
            <w:r w:rsidR="006E2A1C">
              <w:t>.</w:t>
            </w:r>
          </w:p>
          <w:p w14:paraId="21DA2F00" w14:textId="5B624CE1" w:rsidR="006E2A1C" w:rsidRDefault="006E2A1C" w:rsidP="006E2A1C">
            <w:pPr>
              <w:pStyle w:val="Tabletext"/>
            </w:pPr>
            <w:r>
              <w:t xml:space="preserve">Mean (SD) IOP reduced from </w:t>
            </w:r>
            <w:r w:rsidRPr="003F11CB">
              <w:t>19.5 ± 2.0</w:t>
            </w:r>
            <w:r>
              <w:t xml:space="preserve"> to 14.3 ± 3.0 at 6 months, 14.5 ± 3.0 at 12 months, 15.5 ± 2.3 at 24 months and 13.8 ± 2.7 at 36 months.</w:t>
            </w:r>
          </w:p>
          <w:p w14:paraId="0A68EA73" w14:textId="0197C365" w:rsidR="0067605B" w:rsidRPr="0030297D" w:rsidRDefault="006E2A1C" w:rsidP="006E2A1C">
            <w:pPr>
              <w:pStyle w:val="Tabletext"/>
            </w:pPr>
            <w:r>
              <w:t xml:space="preserve">Mean (SD) number of IOP-reducing medications </w:t>
            </w:r>
            <w:r w:rsidR="004C2E65">
              <w:t xml:space="preserve">reduced </w:t>
            </w:r>
            <w:r>
              <w:t xml:space="preserve">from </w:t>
            </w:r>
            <w:r w:rsidR="004C2E65" w:rsidRPr="003F11CB">
              <w:t>2.2 ± 1.2</w:t>
            </w:r>
            <w:r w:rsidR="004C2E65">
              <w:t xml:space="preserve"> </w:t>
            </w:r>
            <w:r>
              <w:t xml:space="preserve">at baseline to </w:t>
            </w:r>
            <w:r w:rsidR="004C2E65">
              <w:t xml:space="preserve">1.7 ± 1.5 </w:t>
            </w:r>
            <w:r>
              <w:t xml:space="preserve">at </w:t>
            </w:r>
            <w:r w:rsidR="004C2E65">
              <w:t>36</w:t>
            </w:r>
            <w:r>
              <w:t xml:space="preserve"> months.</w:t>
            </w:r>
          </w:p>
        </w:tc>
        <w:tc>
          <w:tcPr>
            <w:tcW w:w="676" w:type="pct"/>
          </w:tcPr>
          <w:p w14:paraId="0F4A3DAC" w14:textId="5698669C" w:rsidR="00F55616" w:rsidRDefault="00FA7BD3" w:rsidP="00F55616">
            <w:pPr>
              <w:pStyle w:val="Tabletext"/>
            </w:pPr>
            <w:hyperlink r:id="rId36" w:history="1">
              <w:r w:rsidR="00F422D7">
                <w:rPr>
                  <w:rStyle w:val="Hyperlink"/>
                </w:rPr>
                <w:t>Pahlitzsch 2021</w:t>
              </w:r>
            </w:hyperlink>
          </w:p>
          <w:p w14:paraId="75F6F00D" w14:textId="750C0169" w:rsidR="00F422D7" w:rsidRPr="0030297D" w:rsidRDefault="00F422D7" w:rsidP="00F55616">
            <w:pPr>
              <w:pStyle w:val="Tabletext"/>
            </w:pPr>
          </w:p>
        </w:tc>
        <w:tc>
          <w:tcPr>
            <w:tcW w:w="584" w:type="pct"/>
          </w:tcPr>
          <w:p w14:paraId="1D641E5B" w14:textId="6141953F" w:rsidR="00F55616" w:rsidRPr="0030297D" w:rsidRDefault="00F422D7" w:rsidP="00F55616">
            <w:pPr>
              <w:pStyle w:val="Tabletext"/>
            </w:pPr>
            <w:r>
              <w:t>Online 7</w:t>
            </w:r>
            <w:r w:rsidRPr="00F422D7">
              <w:rPr>
                <w:vertAlign w:val="superscript"/>
              </w:rPr>
              <w:t>th</w:t>
            </w:r>
            <w:r>
              <w:t xml:space="preserve"> May 2021</w:t>
            </w:r>
          </w:p>
        </w:tc>
      </w:tr>
      <w:tr w:rsidR="00F422D7" w:rsidRPr="0030297D" w14:paraId="17C97EC1" w14:textId="77777777" w:rsidTr="003A3941">
        <w:tc>
          <w:tcPr>
            <w:tcW w:w="188" w:type="pct"/>
          </w:tcPr>
          <w:p w14:paraId="7E741DC9" w14:textId="0327150A" w:rsidR="00F55616" w:rsidRPr="0030297D" w:rsidRDefault="007B6140" w:rsidP="00F55616">
            <w:pPr>
              <w:pStyle w:val="Tabletext"/>
            </w:pPr>
            <w:r>
              <w:t>6.</w:t>
            </w:r>
          </w:p>
        </w:tc>
        <w:tc>
          <w:tcPr>
            <w:tcW w:w="661" w:type="pct"/>
          </w:tcPr>
          <w:p w14:paraId="47A7B6E8" w14:textId="14E3DBC0" w:rsidR="00F55616" w:rsidRPr="0030297D" w:rsidRDefault="00F55616" w:rsidP="00F55616">
            <w:pPr>
              <w:pStyle w:val="Tabletext"/>
            </w:pPr>
            <w:r>
              <w:t>P</w:t>
            </w:r>
            <w:r w:rsidRPr="0060086F">
              <w:t>rospective, randomized, open-label</w:t>
            </w:r>
          </w:p>
        </w:tc>
        <w:tc>
          <w:tcPr>
            <w:tcW w:w="973" w:type="pct"/>
          </w:tcPr>
          <w:p w14:paraId="14462C35" w14:textId="77777777" w:rsidR="00F55616" w:rsidRPr="00F510E6" w:rsidRDefault="00F55616" w:rsidP="00F55616">
            <w:pPr>
              <w:pStyle w:val="Tabletext"/>
              <w:rPr>
                <w:b/>
                <w:bCs/>
              </w:rPr>
            </w:pPr>
            <w:r w:rsidRPr="00F510E6">
              <w:rPr>
                <w:b/>
                <w:bCs/>
              </w:rPr>
              <w:fldChar w:fldCharType="begin">
                <w:fldData xml:space="preserve">PEVuZE5vdGU+PENpdGU+PEF1dGhvcj5LYXR6PC9BdXRob3I+PFllYXI+MjAxODwvWWVhcj48UmVj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</w:fldData>
              </w:fldChar>
            </w:r>
            <w:r w:rsidRPr="00F510E6">
              <w:rPr>
                <w:b/>
                <w:bCs/>
              </w:rPr>
              <w:instrText xml:space="preserve"> ADDIN EN.CITE </w:instrText>
            </w:r>
            <w:r w:rsidRPr="00F510E6">
              <w:rPr>
                <w:b/>
                <w:bCs/>
              </w:rPr>
              <w:fldChar w:fldCharType="begin">
                <w:fldData xml:space="preserve">PEVuZE5vdGU+PENpdGU+PEF1dGhvcj5LYXR6PC9BdXRob3I+PFllYXI+MjAxODwvWWVhcj48UmVj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</w:fldData>
              </w:fldChar>
            </w:r>
            <w:r w:rsidRPr="00F510E6">
              <w:rPr>
                <w:b/>
                <w:bCs/>
              </w:rPr>
              <w:instrText xml:space="preserve"> ADDIN EN.CITE.DATA </w:instrText>
            </w:r>
            <w:r w:rsidRPr="00F510E6">
              <w:rPr>
                <w:b/>
                <w:bCs/>
              </w:rPr>
            </w:r>
            <w:r w:rsidRPr="00F510E6">
              <w:rPr>
                <w:b/>
                <w:bCs/>
              </w:rPr>
              <w:fldChar w:fldCharType="end"/>
            </w:r>
            <w:r w:rsidRPr="00F510E6">
              <w:rPr>
                <w:b/>
                <w:bCs/>
              </w:rPr>
            </w:r>
            <w:r w:rsidRPr="00F510E6">
              <w:rPr>
                <w:b/>
                <w:bCs/>
              </w:rPr>
              <w:fldChar w:fldCharType="separate"/>
            </w:r>
            <w:r w:rsidRPr="00F510E6">
              <w:rPr>
                <w:b/>
                <w:bCs/>
                <w:noProof/>
              </w:rPr>
              <w:t>(Katz 2018)</w:t>
            </w:r>
            <w:r w:rsidRPr="00F510E6">
              <w:rPr>
                <w:b/>
                <w:bCs/>
              </w:rPr>
              <w:fldChar w:fldCharType="end"/>
            </w:r>
          </w:p>
          <w:p w14:paraId="0820CB1C" w14:textId="7401473C" w:rsidR="00F55616" w:rsidRPr="0030297D" w:rsidRDefault="00F55616" w:rsidP="00F55616">
            <w:pPr>
              <w:pStyle w:val="Tabletext"/>
            </w:pPr>
            <w:r w:rsidRPr="004E4F83">
              <w:t>Katz L</w:t>
            </w:r>
            <w:r>
              <w:t xml:space="preserve">J et al. </w:t>
            </w:r>
            <w:r w:rsidRPr="004E4F83">
              <w:t>Long-term titrated IOP control with one, two, or three trabecular micro-bypass stents in open-angle glaucoma subjects on topical hypotensive medication: 42-month outcomes. Clin Ophthalmol. 2018 Jan 31;12:255-262</w:t>
            </w:r>
          </w:p>
        </w:tc>
        <w:tc>
          <w:tcPr>
            <w:tcW w:w="1917" w:type="pct"/>
          </w:tcPr>
          <w:p w14:paraId="218EFBFB" w14:textId="1134269B" w:rsidR="00F55616" w:rsidRDefault="00FE38B4" w:rsidP="00F55616">
            <w:pPr>
              <w:pStyle w:val="Tablecontent"/>
            </w:pPr>
            <w:r>
              <w:t xml:space="preserve">N=38 </w:t>
            </w:r>
            <w:r w:rsidR="00F55616">
              <w:t>Adults with OAG (POAG, pseudoexfoliative, or pigmentary glaucoma.</w:t>
            </w:r>
          </w:p>
          <w:p w14:paraId="5EDC815A" w14:textId="77777777" w:rsidR="00E52F53" w:rsidRDefault="00200CD4" w:rsidP="00E52F53">
            <w:pPr>
              <w:pStyle w:val="Tabletext"/>
            </w:pPr>
            <w:r>
              <w:t>Mean (SD) IOP</w:t>
            </w:r>
            <w:r w:rsidR="00E52F53">
              <w:t xml:space="preserve"> (mm Hg)</w:t>
            </w:r>
            <w:r>
              <w:t xml:space="preserve"> reduced from </w:t>
            </w:r>
            <w:r w:rsidRPr="003F11CB">
              <w:t>19.8±1.3</w:t>
            </w:r>
            <w:r>
              <w:t xml:space="preserve"> to </w:t>
            </w:r>
            <w:r w:rsidR="00E52F53" w:rsidRPr="003F11CB">
              <w:t>13.</w:t>
            </w:r>
            <w:r w:rsidR="00E52F53">
              <w:t xml:space="preserve">5 ± 2.3 </w:t>
            </w:r>
            <w:r>
              <w:t>at 6 months</w:t>
            </w:r>
            <w:r w:rsidR="00E52F53">
              <w:t xml:space="preserve"> and</w:t>
            </w:r>
            <w:r>
              <w:t xml:space="preserve"> </w:t>
            </w:r>
            <w:r w:rsidR="00E52F53">
              <w:t xml:space="preserve">12.8 ± 1.4 </w:t>
            </w:r>
            <w:r>
              <w:t>at 12 months</w:t>
            </w:r>
            <w:r w:rsidR="00E52F53">
              <w:t>.</w:t>
            </w:r>
          </w:p>
          <w:p w14:paraId="2DE4E30A" w14:textId="77777777" w:rsidR="00F55616" w:rsidRDefault="00200CD4" w:rsidP="00E52F53">
            <w:pPr>
              <w:pStyle w:val="Tabletext"/>
            </w:pPr>
            <w:r>
              <w:t xml:space="preserve">Mean (SD) number of IOP-reducing </w:t>
            </w:r>
            <w:r w:rsidR="00E52F53">
              <w:t>at baseline 1.76 ± NR</w:t>
            </w:r>
            <w:r w:rsidR="00185BEE">
              <w:t>.</w:t>
            </w:r>
          </w:p>
          <w:p w14:paraId="6D1CA911" w14:textId="66B5ACD7" w:rsidR="00185BEE" w:rsidRPr="0030297D" w:rsidRDefault="00185BEE" w:rsidP="00E52F53">
            <w:pPr>
              <w:pStyle w:val="Tabletext"/>
            </w:pPr>
            <w:r>
              <w:t>Safety parameters were reported as favourable.</w:t>
            </w:r>
          </w:p>
        </w:tc>
        <w:tc>
          <w:tcPr>
            <w:tcW w:w="676" w:type="pct"/>
          </w:tcPr>
          <w:p w14:paraId="03754F0C" w14:textId="460F67A2" w:rsidR="00F55616" w:rsidRDefault="00FA7BD3" w:rsidP="00F55616">
            <w:pPr>
              <w:pStyle w:val="Tabletext"/>
            </w:pPr>
            <w:hyperlink r:id="rId37" w:history="1">
              <w:r w:rsidR="00F422D7">
                <w:rPr>
                  <w:rStyle w:val="Hyperlink"/>
                </w:rPr>
                <w:t>Katz 2018</w:t>
              </w:r>
            </w:hyperlink>
          </w:p>
          <w:p w14:paraId="7F8EDE58" w14:textId="3FD71BC8" w:rsidR="00F422D7" w:rsidRPr="0030297D" w:rsidRDefault="00F422D7" w:rsidP="00F55616">
            <w:pPr>
              <w:pStyle w:val="Tabletext"/>
            </w:pPr>
          </w:p>
        </w:tc>
        <w:tc>
          <w:tcPr>
            <w:tcW w:w="584" w:type="pct"/>
          </w:tcPr>
          <w:p w14:paraId="26F4C8D6" w14:textId="22E68E62" w:rsidR="00F55616" w:rsidRPr="0030297D" w:rsidRDefault="00F422D7" w:rsidP="00F55616">
            <w:pPr>
              <w:pStyle w:val="Tabletext"/>
            </w:pPr>
            <w:r>
              <w:t>Online 31</w:t>
            </w:r>
            <w:r w:rsidRPr="00F422D7">
              <w:rPr>
                <w:vertAlign w:val="superscript"/>
              </w:rPr>
              <w:t>st</w:t>
            </w:r>
            <w:r>
              <w:t xml:space="preserve"> Jan 2018</w:t>
            </w:r>
          </w:p>
        </w:tc>
      </w:tr>
      <w:tr w:rsidR="00F422D7" w:rsidRPr="0030297D" w14:paraId="0D5CCF29" w14:textId="77777777" w:rsidTr="001D551E">
        <w:trPr>
          <w:trHeight w:val="913"/>
        </w:trPr>
        <w:tc>
          <w:tcPr>
            <w:tcW w:w="188" w:type="pct"/>
          </w:tcPr>
          <w:p w14:paraId="63E6A883" w14:textId="0B8E75BE" w:rsidR="00F55616" w:rsidRPr="0030297D" w:rsidRDefault="007B6140" w:rsidP="00F55616">
            <w:pPr>
              <w:pStyle w:val="Tabletext"/>
            </w:pPr>
            <w:r>
              <w:t>7.</w:t>
            </w:r>
          </w:p>
        </w:tc>
        <w:tc>
          <w:tcPr>
            <w:tcW w:w="661" w:type="pct"/>
          </w:tcPr>
          <w:p w14:paraId="047215A4" w14:textId="77777777" w:rsidR="00F55616" w:rsidRDefault="00F55616" w:rsidP="00F55616">
            <w:pPr>
              <w:pStyle w:val="Tablecontent"/>
            </w:pPr>
            <w:r>
              <w:t>Prospective, multicentre, randomised, single masked study.</w:t>
            </w:r>
          </w:p>
          <w:p w14:paraId="22DB9198" w14:textId="5729AE46" w:rsidR="00F55616" w:rsidRPr="0030297D" w:rsidRDefault="00F55616" w:rsidP="00F55616">
            <w:pPr>
              <w:pStyle w:val="Tabletext"/>
            </w:pPr>
            <w:r>
              <w:t>Only the iStent arm will be included in the analysis.</w:t>
            </w:r>
          </w:p>
        </w:tc>
        <w:tc>
          <w:tcPr>
            <w:tcW w:w="973" w:type="pct"/>
          </w:tcPr>
          <w:p w14:paraId="56760E21" w14:textId="0C1C81A1" w:rsidR="00F55616" w:rsidRPr="00F55616" w:rsidRDefault="00F55616" w:rsidP="00F55616">
            <w:pPr>
              <w:pStyle w:val="Tabletext"/>
              <w:rPr>
                <w:u w:val="single"/>
              </w:rPr>
            </w:pPr>
            <w:r w:rsidRPr="00F510E6">
              <w:rPr>
                <w:b/>
                <w:bCs/>
              </w:rPr>
              <w:fldChar w:fldCharType="begin">
                <w:fldData xml:space="preserve">PEVuZE5vdGU+PENpdGU+PEF1dGhvcj5BaG1lZDwvQXV0aG9yPjxZZWFyPjIwMjA8L1llYXI+PFJl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</w:fldData>
              </w:fldChar>
            </w:r>
            <w:r w:rsidRPr="00F510E6">
              <w:rPr>
                <w:b/>
                <w:bCs/>
              </w:rPr>
              <w:instrText xml:space="preserve"> ADDIN EN.CITE </w:instrText>
            </w:r>
            <w:r w:rsidRPr="00F510E6">
              <w:rPr>
                <w:b/>
                <w:bCs/>
              </w:rPr>
              <w:fldChar w:fldCharType="begin">
                <w:fldData xml:space="preserve">PEVuZE5vdGU+PENpdGU+PEF1dGhvcj5BaG1lZDwvQXV0aG9yPjxZZWFyPjIwMjA8L1llYXI+PFJl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</w:fldData>
              </w:fldChar>
            </w:r>
            <w:r w:rsidRPr="00F510E6">
              <w:rPr>
                <w:b/>
                <w:bCs/>
              </w:rPr>
              <w:instrText xml:space="preserve"> ADDIN EN.CITE.DATA </w:instrText>
            </w:r>
            <w:r w:rsidRPr="00F510E6">
              <w:rPr>
                <w:b/>
                <w:bCs/>
              </w:rPr>
            </w:r>
            <w:r w:rsidRPr="00F510E6">
              <w:rPr>
                <w:b/>
                <w:bCs/>
              </w:rPr>
              <w:fldChar w:fldCharType="end"/>
            </w:r>
            <w:r w:rsidRPr="00F510E6">
              <w:rPr>
                <w:b/>
                <w:bCs/>
              </w:rPr>
            </w:r>
            <w:r w:rsidRPr="00F510E6">
              <w:rPr>
                <w:b/>
                <w:bCs/>
              </w:rPr>
              <w:fldChar w:fldCharType="separate"/>
            </w:r>
            <w:r w:rsidRPr="00F510E6">
              <w:rPr>
                <w:b/>
                <w:bCs/>
                <w:noProof/>
              </w:rPr>
              <w:t>(Ahmed 2020)</w:t>
            </w:r>
            <w:r w:rsidRPr="00F510E6">
              <w:rPr>
                <w:b/>
                <w:bCs/>
              </w:rPr>
              <w:fldChar w:fldCharType="end"/>
            </w:r>
            <w:r>
              <w:t xml:space="preserve"> </w:t>
            </w:r>
            <w:r w:rsidRPr="00F55616">
              <w:rPr>
                <w:u w:val="single"/>
              </w:rPr>
              <w:t>12 month results:</w:t>
            </w:r>
          </w:p>
          <w:p w14:paraId="120BDC84" w14:textId="77777777" w:rsidR="00F55616" w:rsidRDefault="00F55616" w:rsidP="00F55616">
            <w:pPr>
              <w:pStyle w:val="Tabletext"/>
            </w:pPr>
            <w:r w:rsidRPr="00606A57">
              <w:t xml:space="preserve">Ahmed, I.I.K. et al. </w:t>
            </w:r>
            <w:r w:rsidRPr="00E82F60">
              <w:t>(2020). "A Prospective Randomized Trial Comparing Hydrus and iStent Microinvasive Glaucoma Surgery Implants for Standalone Treatment of Open-Angle Glaucoma: The COMPARE Study." Ophthalmology 127(1): 52-61.</w:t>
            </w:r>
          </w:p>
          <w:p w14:paraId="39499F02" w14:textId="77777777" w:rsidR="00F55616" w:rsidRDefault="00F55616" w:rsidP="00F55616">
            <w:pPr>
              <w:pStyle w:val="Tabletext"/>
              <w:rPr>
                <w:rStyle w:val="apple-converted-space"/>
                <w:lang w:val="en-US"/>
              </w:rPr>
            </w:pPr>
            <w:r>
              <w:t>ClinicalTrials.gov listing</w:t>
            </w:r>
            <w:r w:rsidRPr="00427E3D">
              <w:rPr>
                <w:rStyle w:val="apple-converted-space"/>
                <w:lang w:val="en-US"/>
              </w:rPr>
              <w:t>: NCT02023242</w:t>
            </w:r>
            <w:r>
              <w:rPr>
                <w:rStyle w:val="apple-converted-space"/>
                <w:lang w:val="en-US"/>
              </w:rPr>
              <w:t xml:space="preserve"> (12 and 24 month results reported).</w:t>
            </w:r>
          </w:p>
          <w:p w14:paraId="5C6D2C30" w14:textId="26544A66" w:rsidR="00F55616" w:rsidRPr="0030297D" w:rsidRDefault="00F55616" w:rsidP="00F55616">
            <w:pPr>
              <w:pStyle w:val="Tabletext"/>
            </w:pPr>
            <w:r w:rsidRPr="00F55616">
              <w:rPr>
                <w:rStyle w:val="apple-converted-space"/>
                <w:u w:val="single"/>
                <w:lang w:val="en-US"/>
              </w:rPr>
              <w:lastRenderedPageBreak/>
              <w:t>24 month results</w:t>
            </w:r>
            <w:r>
              <w:rPr>
                <w:rStyle w:val="apple-converted-space"/>
                <w:lang w:val="en-US"/>
              </w:rPr>
              <w:t xml:space="preserve">: no alternative citation was identified: </w:t>
            </w:r>
            <w:hyperlink r:id="rId38" w:history="1">
              <w:r>
                <w:rPr>
                  <w:rStyle w:val="Hyperlink"/>
                  <w:lang w:val="en-US"/>
                </w:rPr>
                <w:t>https://www.prnewswire.com/news</w:t>
              </w:r>
            </w:hyperlink>
          </w:p>
        </w:tc>
        <w:tc>
          <w:tcPr>
            <w:tcW w:w="1917" w:type="pct"/>
          </w:tcPr>
          <w:p w14:paraId="42F0BFD6" w14:textId="608B0FDB" w:rsidR="00F55616" w:rsidRDefault="00FE38B4" w:rsidP="00F55616">
            <w:pPr>
              <w:pStyle w:val="Tablecontent"/>
            </w:pPr>
            <w:r>
              <w:lastRenderedPageBreak/>
              <w:t xml:space="preserve">N=77 </w:t>
            </w:r>
            <w:r w:rsidR="00F55616">
              <w:t>Adults with OAG</w:t>
            </w:r>
          </w:p>
          <w:p w14:paraId="11DDA139" w14:textId="21F5CB1A" w:rsidR="00F97512" w:rsidRDefault="00F97512" w:rsidP="00F97512">
            <w:pPr>
              <w:pStyle w:val="Tabletext"/>
            </w:pPr>
            <w:r>
              <w:t>Mean (SD) IOP (mm Hg) reduced from 19.1 ± 3.6 to 17.9 ± 3.8 at 6 months, 18.1 ± 3.7 at 12 months and 18.1 ± 3.7 at 24 months.</w:t>
            </w:r>
          </w:p>
          <w:p w14:paraId="770C090C" w14:textId="77777777" w:rsidR="00F55616" w:rsidRDefault="00F97512" w:rsidP="00F55616">
            <w:pPr>
              <w:pStyle w:val="Tabletext"/>
            </w:pPr>
            <w:r>
              <w:t>Mean (SD) number of IOP-reducing medications reduced from 2.7 ± 0.8 at baseline to 1.91 ± 1.36 at 24 months.</w:t>
            </w:r>
          </w:p>
          <w:p w14:paraId="63452193" w14:textId="3848C339" w:rsidR="00185BEE" w:rsidRPr="0030297D" w:rsidRDefault="00185BEE" w:rsidP="00F55616">
            <w:pPr>
              <w:pStyle w:val="Tabletext"/>
            </w:pPr>
            <w:r w:rsidRPr="00185BEE">
              <w:t>Secondary glaucoma surgery was performed in 2 eyes in the 2-iStent group (3.9%)</w:t>
            </w:r>
            <w:r>
              <w:t>. One eye</w:t>
            </w:r>
            <w:r w:rsidRPr="00185BEE">
              <w:t xml:space="preserve"> in the 2-iStent group had BCVA loss of </w:t>
            </w:r>
            <w:r>
              <w:t>≥</w:t>
            </w:r>
            <w:r w:rsidRPr="00185BEE">
              <w:t>2</w:t>
            </w:r>
            <w:r>
              <w:t xml:space="preserve"> </w:t>
            </w:r>
            <w:r w:rsidRPr="00185BEE">
              <w:t>lines.</w:t>
            </w:r>
          </w:p>
        </w:tc>
        <w:tc>
          <w:tcPr>
            <w:tcW w:w="676" w:type="pct"/>
          </w:tcPr>
          <w:p w14:paraId="6E25F312" w14:textId="0953B8F1" w:rsidR="00F422D7" w:rsidRPr="0030297D" w:rsidRDefault="00FA7BD3" w:rsidP="00F55616">
            <w:pPr>
              <w:pStyle w:val="Tabletext"/>
            </w:pPr>
            <w:hyperlink r:id="rId39" w:history="1">
              <w:r w:rsidR="00F422D7">
                <w:rPr>
                  <w:rStyle w:val="Hyperlink"/>
                </w:rPr>
                <w:t>Ahmed 2020</w:t>
              </w:r>
            </w:hyperlink>
          </w:p>
        </w:tc>
        <w:tc>
          <w:tcPr>
            <w:tcW w:w="584" w:type="pct"/>
          </w:tcPr>
          <w:p w14:paraId="40EADE3E" w14:textId="0F99D1DF" w:rsidR="00F55616" w:rsidRPr="0030297D" w:rsidRDefault="00F422D7" w:rsidP="00F55616">
            <w:pPr>
              <w:pStyle w:val="Tabletext"/>
            </w:pPr>
            <w:r>
              <w:t>Online 26</w:t>
            </w:r>
            <w:r w:rsidRPr="00F422D7">
              <w:rPr>
                <w:vertAlign w:val="superscript"/>
              </w:rPr>
              <w:t>th</w:t>
            </w:r>
            <w:r>
              <w:t xml:space="preserve"> Apr 2019</w:t>
            </w:r>
          </w:p>
        </w:tc>
      </w:tr>
    </w:tbl>
    <w:p w14:paraId="451BB9C8" w14:textId="27104AAC" w:rsidR="00C408C2" w:rsidRDefault="00A20F0A" w:rsidP="00C408C2">
      <w:pPr>
        <w:pStyle w:val="Footnote"/>
      </w:pPr>
      <w:r>
        <w:t xml:space="preserve">AE: adverse event; </w:t>
      </w:r>
      <w:r w:rsidR="00C408C2">
        <w:t xml:space="preserve">ITT: intention to treat; mITT: modified intention to treat; N: number of included patients; </w:t>
      </w:r>
      <w:r w:rsidR="00E52F53">
        <w:t xml:space="preserve">NR: not reported; </w:t>
      </w:r>
      <w:r w:rsidR="006535AD">
        <w:t xml:space="preserve">POAG: primary open angle glaucoma; </w:t>
      </w:r>
      <w:r>
        <w:t xml:space="preserve">SAE: serious adverse event; </w:t>
      </w:r>
      <w:r w:rsidR="00C408C2">
        <w:t>SAF: safety</w:t>
      </w:r>
      <w:r w:rsidR="006535AD">
        <w:t>;</w:t>
      </w:r>
      <w:r w:rsidR="006535AD" w:rsidRPr="006535AD">
        <w:t xml:space="preserve"> </w:t>
      </w:r>
      <w:r w:rsidR="006535AD">
        <w:t>SOAG: secondary open angle glaucoma;</w:t>
      </w:r>
    </w:p>
    <w:p w14:paraId="14563A48" w14:textId="77777777" w:rsidR="00C408C2" w:rsidRDefault="00C408C2" w:rsidP="00C408C2">
      <w:pPr>
        <w:pStyle w:val="Footnote"/>
      </w:pPr>
    </w:p>
    <w:p w14:paraId="688B29B0" w14:textId="53B2FB0E" w:rsidR="0030566C" w:rsidRPr="003C2446" w:rsidRDefault="0030566C" w:rsidP="0030566C">
      <w:pPr>
        <w:rPr>
          <w:rFonts w:ascii="Segoe UI" w:hAnsi="Segoe UI" w:cs="Segoe UI"/>
          <w:sz w:val="18"/>
          <w:szCs w:val="18"/>
        </w:rPr>
      </w:pPr>
      <w:r w:rsidRPr="003C2446">
        <w:rPr>
          <w:rFonts w:ascii="Segoe UI" w:hAnsi="Segoe UI" w:cs="Segoe UI"/>
          <w:sz w:val="18"/>
          <w:szCs w:val="18"/>
        </w:rPr>
        <w:t xml:space="preserve">* Categorise study design, for example meta-analysis, randomised trials, non-randomised trial or observational study, study of diagnostic accuracy, etc. </w:t>
      </w:r>
    </w:p>
    <w:p w14:paraId="3DCB45F7" w14:textId="16448B8B" w:rsidR="0030566C" w:rsidRPr="003C2446" w:rsidRDefault="0030566C" w:rsidP="0030566C">
      <w:pPr>
        <w:rPr>
          <w:rFonts w:ascii="Segoe UI" w:hAnsi="Segoe UI" w:cs="Segoe UI"/>
          <w:sz w:val="18"/>
          <w:szCs w:val="18"/>
        </w:rPr>
      </w:pPr>
      <w:r w:rsidRPr="003C2446">
        <w:rPr>
          <w:rFonts w:ascii="Segoe UI" w:hAnsi="Segoe UI" w:cs="Segoe UI"/>
          <w:sz w:val="18"/>
          <w:szCs w:val="18"/>
        </w:rPr>
        <w:t>**Provide high level information including population numbers and whether patients are being recruited or in post-recruitment, including providing the trial registration number to allow for tracking purposes.</w:t>
      </w:r>
      <w:r w:rsidR="003C2446">
        <w:rPr>
          <w:rFonts w:ascii="Segoe UI" w:hAnsi="Segoe UI" w:cs="Segoe UI"/>
          <w:sz w:val="18"/>
          <w:szCs w:val="18"/>
        </w:rPr>
        <w:t xml:space="preserve"> For yet to be published research, p</w:t>
      </w:r>
      <w:r w:rsidR="003C2446" w:rsidRPr="003C2446">
        <w:rPr>
          <w:rFonts w:ascii="Segoe UI" w:hAnsi="Segoe UI" w:cs="Segoe UI"/>
          <w:sz w:val="18"/>
          <w:szCs w:val="18"/>
        </w:rPr>
        <w:t>rovide high level information including population numbers and whether patients are being recruited or in post-recruitment.</w:t>
      </w:r>
    </w:p>
    <w:p w14:paraId="3A47E654" w14:textId="2391D0B1" w:rsidR="0030566C" w:rsidRPr="003C2446" w:rsidRDefault="0030566C" w:rsidP="0030566C">
      <w:pPr>
        <w:rPr>
          <w:rFonts w:ascii="Segoe UI" w:hAnsi="Segoe UI" w:cs="Segoe UI"/>
          <w:sz w:val="18"/>
          <w:szCs w:val="18"/>
        </w:rPr>
      </w:pPr>
      <w:r w:rsidRPr="003C2446">
        <w:rPr>
          <w:rFonts w:ascii="Segoe UI" w:hAnsi="Segoe UI" w:cs="Segoe UI"/>
          <w:sz w:val="18"/>
          <w:szCs w:val="18"/>
        </w:rPr>
        <w:t>*** If the publication is a follow-up to an initial publication, please advise.</w:t>
      </w:r>
      <w:r w:rsidR="003C2446">
        <w:rPr>
          <w:rFonts w:ascii="Segoe UI" w:hAnsi="Segoe UI" w:cs="Segoe UI"/>
          <w:sz w:val="18"/>
          <w:szCs w:val="18"/>
        </w:rPr>
        <w:t xml:space="preserve"> For yet to be published research,</w:t>
      </w:r>
      <w:r w:rsidR="003C2446" w:rsidRPr="003C2446">
        <w:rPr>
          <w:rFonts w:asciiTheme="minorHAnsi" w:hAnsiTheme="minorHAnsi" w:cstheme="minorBidi"/>
          <w:sz w:val="20"/>
          <w:szCs w:val="22"/>
        </w:rPr>
        <w:t xml:space="preserve"> </w:t>
      </w:r>
      <w:r w:rsidR="003C2446">
        <w:rPr>
          <w:rFonts w:asciiTheme="minorHAnsi" w:hAnsiTheme="minorHAnsi" w:cstheme="minorBidi"/>
          <w:sz w:val="20"/>
          <w:szCs w:val="22"/>
        </w:rPr>
        <w:t>include the d</w:t>
      </w:r>
      <w:r w:rsidR="003C2446" w:rsidRPr="003C2446">
        <w:rPr>
          <w:rFonts w:ascii="Segoe UI" w:hAnsi="Segoe UI" w:cs="Segoe UI"/>
          <w:sz w:val="18"/>
          <w:szCs w:val="18"/>
        </w:rPr>
        <w:t>ate of when results will be made available (to the best of your knowledge).</w:t>
      </w:r>
      <w:r w:rsidR="003C2446">
        <w:rPr>
          <w:rFonts w:ascii="Segoe UI" w:hAnsi="Segoe UI" w:cs="Segoe UI"/>
          <w:sz w:val="18"/>
          <w:szCs w:val="18"/>
        </w:rPr>
        <w:t xml:space="preserve"> </w:t>
      </w:r>
    </w:p>
    <w:bookmarkEnd w:id="12"/>
    <w:p w14:paraId="27A97DB3" w14:textId="77777777" w:rsidR="00464A8F" w:rsidRDefault="00464A8F" w:rsidP="0030297D">
      <w:pPr>
        <w:pStyle w:val="Responsetext"/>
      </w:pPr>
    </w:p>
    <w:p w14:paraId="1B779360" w14:textId="77777777" w:rsidR="0030297D" w:rsidRDefault="0030297D" w:rsidP="0030297D">
      <w:pPr>
        <w:pStyle w:val="Responsetext"/>
        <w:sectPr w:rsidR="0030297D" w:rsidSect="0030297D">
          <w:pgSz w:w="16838" w:h="11906" w:orient="landscape"/>
          <w:pgMar w:top="1440" w:right="1440" w:bottom="991" w:left="1135" w:header="426" w:footer="252" w:gutter="0"/>
          <w:cols w:space="708"/>
          <w:docGrid w:linePitch="360"/>
        </w:sectPr>
      </w:pPr>
    </w:p>
    <w:p w14:paraId="7B89D8A5" w14:textId="77777777" w:rsidR="0030297D" w:rsidRDefault="0030297D" w:rsidP="0030297D">
      <w:pPr>
        <w:pStyle w:val="Responsetext"/>
      </w:pPr>
    </w:p>
    <w:p w14:paraId="605FA6A7" w14:textId="7271880E" w:rsidR="00464A8F" w:rsidRPr="003A3941" w:rsidRDefault="000E131F" w:rsidP="000E131F">
      <w:pPr>
        <w:pStyle w:val="Responsebold"/>
        <w:rPr>
          <w:lang w:val="fr-BE"/>
        </w:rPr>
      </w:pPr>
      <w:r w:rsidRPr="003A3941">
        <w:rPr>
          <w:lang w:val="fr-BE"/>
        </w:rPr>
        <w:t>Reference list</w:t>
      </w:r>
    </w:p>
    <w:p w14:paraId="0598172F" w14:textId="77777777" w:rsidR="000E131F" w:rsidRPr="0055209F" w:rsidRDefault="000E131F">
      <w:pPr>
        <w:rPr>
          <w:rFonts w:ascii="Segoe UI" w:hAnsi="Segoe UI" w:cs="Segoe UI"/>
          <w:lang w:val="fr-BE"/>
        </w:rPr>
      </w:pPr>
    </w:p>
    <w:p w14:paraId="2424FD86" w14:textId="77777777" w:rsidR="007F4B32" w:rsidRPr="007F4B32" w:rsidRDefault="00464A8F" w:rsidP="007F4B32">
      <w:pPr>
        <w:pStyle w:val="EndNoteBibliography"/>
        <w:spacing w:after="0"/>
        <w:ind w:left="720" w:hanging="720"/>
      </w:pPr>
      <w:r>
        <w:rPr>
          <w:rFonts w:ascii="Segoe UI" w:hAnsi="Segoe UI" w:cs="Segoe UI"/>
        </w:rPr>
        <w:fldChar w:fldCharType="begin"/>
      </w:r>
      <w:r w:rsidRPr="0055209F">
        <w:rPr>
          <w:rFonts w:ascii="Segoe UI" w:hAnsi="Segoe UI" w:cs="Segoe UI"/>
          <w:lang w:val="fr-BE"/>
        </w:rPr>
        <w:instrText xml:space="preserve"> ADDIN EN.REFLIST </w:instrText>
      </w:r>
      <w:r>
        <w:rPr>
          <w:rFonts w:ascii="Segoe UI" w:hAnsi="Segoe UI" w:cs="Segoe UI"/>
        </w:rPr>
        <w:fldChar w:fldCharType="separate"/>
      </w:r>
      <w:r w:rsidR="007F4B32" w:rsidRPr="00F74075">
        <w:rPr>
          <w:lang w:val="fr-BE"/>
        </w:rPr>
        <w:t xml:space="preserve">Ahmed, I.I.K., A. Fea, L. Au, et al. </w:t>
      </w:r>
      <w:r w:rsidR="007F4B32" w:rsidRPr="007F4B32">
        <w:t xml:space="preserve">(2020). "A Prospective Randomized Trial Comparing Hydrus and iStent Microinvasive Glaucoma Surgery Implants for Standalone Treatment of Open-Angle Glaucoma: The COMPARE Study." </w:t>
      </w:r>
      <w:r w:rsidR="007F4B32" w:rsidRPr="007F4B32">
        <w:rPr>
          <w:u w:val="single"/>
        </w:rPr>
        <w:t>Ophthalmology</w:t>
      </w:r>
      <w:r w:rsidR="007F4B32" w:rsidRPr="007F4B32">
        <w:t xml:space="preserve"> </w:t>
      </w:r>
      <w:r w:rsidR="007F4B32" w:rsidRPr="007F4B32">
        <w:rPr>
          <w:b/>
        </w:rPr>
        <w:t>127</w:t>
      </w:r>
      <w:r w:rsidR="007F4B32" w:rsidRPr="007F4B32">
        <w:t>(1): 52-61.</w:t>
      </w:r>
    </w:p>
    <w:p w14:paraId="60636AF3" w14:textId="7A725A68" w:rsidR="007F4B32" w:rsidRPr="007F4B32" w:rsidRDefault="007F4B32" w:rsidP="007F4B32">
      <w:pPr>
        <w:pStyle w:val="EndNoteBibliography"/>
        <w:spacing w:after="0"/>
        <w:ind w:left="720" w:hanging="720"/>
      </w:pPr>
      <w:r w:rsidRPr="007F4B32">
        <w:t xml:space="preserve">AIHW. (2021). "Australian Institute of Health and Welfare, last updated 11 Feb 2021. Eye health.", from </w:t>
      </w:r>
      <w:hyperlink r:id="rId40" w:history="1">
        <w:r w:rsidRPr="007F4B32">
          <w:rPr>
            <w:rStyle w:val="Hyperlink"/>
          </w:rPr>
          <w:t>https://www.aihw.gov.au/reports/workforce/eye-health-workforce-in-australia/formats</w:t>
        </w:r>
      </w:hyperlink>
      <w:r w:rsidRPr="007F4B32">
        <w:t>.</w:t>
      </w:r>
    </w:p>
    <w:p w14:paraId="20421FC2" w14:textId="77777777" w:rsidR="007F4B32" w:rsidRPr="007F4B32" w:rsidRDefault="007F4B32" w:rsidP="007F4B32">
      <w:pPr>
        <w:pStyle w:val="EndNoteBibliography"/>
        <w:spacing w:after="0"/>
        <w:ind w:left="720" w:hanging="720"/>
      </w:pPr>
      <w:r w:rsidRPr="007F4B32">
        <w:t xml:space="preserve">Arnljots, T.S. and M.A. Economou (2021). "Kahook Dual Blade Goniotomy vs iStent inject: Long-Term Results in Patients with Open-Angle Glaucoma." </w:t>
      </w:r>
      <w:r w:rsidRPr="007F4B32">
        <w:rPr>
          <w:u w:val="single"/>
        </w:rPr>
        <w:t>Clin Ophthalmol</w:t>
      </w:r>
      <w:r w:rsidRPr="007F4B32">
        <w:t xml:space="preserve"> </w:t>
      </w:r>
      <w:r w:rsidRPr="007F4B32">
        <w:rPr>
          <w:b/>
        </w:rPr>
        <w:t>15</w:t>
      </w:r>
      <w:r w:rsidRPr="007F4B32">
        <w:t>: 541-550.</w:t>
      </w:r>
    </w:p>
    <w:p w14:paraId="7451F453" w14:textId="7F19A56A" w:rsidR="007F4B32" w:rsidRPr="007F4B32" w:rsidRDefault="007F4B32" w:rsidP="007F4B32">
      <w:pPr>
        <w:pStyle w:val="EndNoteBibliography"/>
        <w:spacing w:after="0"/>
        <w:ind w:left="720" w:hanging="720"/>
      </w:pPr>
      <w:r w:rsidRPr="007F4B32">
        <w:t xml:space="preserve">Bowman, R. (2021). "Making a stand for MBGS under Medicare." </w:t>
      </w:r>
      <w:r w:rsidRPr="007F4B32">
        <w:rPr>
          <w:u w:val="single"/>
        </w:rPr>
        <w:t>iNSIGHT</w:t>
      </w:r>
      <w:r w:rsidRPr="007F4B32">
        <w:t xml:space="preserve">, from </w:t>
      </w:r>
      <w:hyperlink r:id="rId41" w:history="1">
        <w:r w:rsidRPr="007F4B32">
          <w:rPr>
            <w:rStyle w:val="Hyperlink"/>
          </w:rPr>
          <w:t>https://www.insightnews.com.au/making-a-stand-for-mbgs-under-medicare/</w:t>
        </w:r>
      </w:hyperlink>
      <w:r w:rsidRPr="007F4B32">
        <w:t>.</w:t>
      </w:r>
    </w:p>
    <w:p w14:paraId="1960AE81" w14:textId="77777777" w:rsidR="007F4B32" w:rsidRPr="007F4B32" w:rsidRDefault="007F4B32" w:rsidP="007F4B32">
      <w:pPr>
        <w:pStyle w:val="EndNoteBibliography"/>
        <w:spacing w:after="0"/>
        <w:ind w:left="720" w:hanging="720"/>
      </w:pPr>
      <w:r w:rsidRPr="007F4B32">
        <w:t xml:space="preserve">Chan, C.C., J.G. Crowston, R. Tan, et al. (2013). "Burden of Ocular Surface Disease in Patients With Glaucoma From Australia." </w:t>
      </w:r>
      <w:r w:rsidRPr="007F4B32">
        <w:rPr>
          <w:u w:val="single"/>
        </w:rPr>
        <w:t>Asia Pac J Ophthalmol (Phila)</w:t>
      </w:r>
      <w:r w:rsidRPr="007F4B32">
        <w:t xml:space="preserve"> </w:t>
      </w:r>
      <w:r w:rsidRPr="007F4B32">
        <w:rPr>
          <w:b/>
        </w:rPr>
        <w:t>2</w:t>
      </w:r>
      <w:r w:rsidRPr="007F4B32">
        <w:t>(2): 79-87.</w:t>
      </w:r>
    </w:p>
    <w:p w14:paraId="403AE1B8" w14:textId="77777777" w:rsidR="007F4B32" w:rsidRPr="007F4B32" w:rsidRDefault="007F4B32" w:rsidP="007F4B32">
      <w:pPr>
        <w:pStyle w:val="EndNoteBibliography"/>
        <w:spacing w:after="0"/>
        <w:ind w:left="720" w:hanging="720"/>
      </w:pPr>
      <w:r w:rsidRPr="007F4B32">
        <w:t xml:space="preserve">Chauhan, B.C., F.S. Mikelberg, A.G. Balaszi, et al. (2008). "Canadian Glaucoma Study: 2. risk factors for the progression of open-angle glaucoma." </w:t>
      </w:r>
      <w:r w:rsidRPr="007F4B32">
        <w:rPr>
          <w:u w:val="single"/>
        </w:rPr>
        <w:t>Arch Ophthalmol</w:t>
      </w:r>
      <w:r w:rsidRPr="007F4B32">
        <w:t xml:space="preserve"> </w:t>
      </w:r>
      <w:r w:rsidRPr="007F4B32">
        <w:rPr>
          <w:b/>
        </w:rPr>
        <w:t>126</w:t>
      </w:r>
      <w:r w:rsidRPr="007F4B32">
        <w:t>(8): 1030-1036.</w:t>
      </w:r>
    </w:p>
    <w:p w14:paraId="6DA05AE1" w14:textId="77777777" w:rsidR="007F4B32" w:rsidRPr="007F4B32" w:rsidRDefault="007F4B32" w:rsidP="007F4B32">
      <w:pPr>
        <w:pStyle w:val="EndNoteBibliography"/>
        <w:spacing w:after="0"/>
        <w:ind w:left="720" w:hanging="720"/>
      </w:pPr>
      <w:r w:rsidRPr="007F4B32">
        <w:t xml:space="preserve">De Moraes, C.V., V. Hill, C. Tello, et al. (2012). "Lower corneal hysteresis is associated with more rapid glaucomatous visual field progression." </w:t>
      </w:r>
      <w:r w:rsidRPr="007F4B32">
        <w:rPr>
          <w:u w:val="single"/>
        </w:rPr>
        <w:t>J Glaucoma</w:t>
      </w:r>
      <w:r w:rsidRPr="007F4B32">
        <w:t xml:space="preserve"> </w:t>
      </w:r>
      <w:r w:rsidRPr="007F4B32">
        <w:rPr>
          <w:b/>
        </w:rPr>
        <w:t>21</w:t>
      </w:r>
      <w:r w:rsidRPr="007F4B32">
        <w:t>(4): 209-213.</w:t>
      </w:r>
    </w:p>
    <w:p w14:paraId="043C24DB" w14:textId="77777777" w:rsidR="007F4B32" w:rsidRPr="007F4B32" w:rsidRDefault="007F4B32" w:rsidP="007F4B32">
      <w:pPr>
        <w:pStyle w:val="EndNoteBibliography"/>
        <w:spacing w:after="0"/>
        <w:ind w:left="720" w:hanging="720"/>
      </w:pPr>
      <w:r w:rsidRPr="007F4B32">
        <w:t xml:space="preserve">Denis, P., C. Hirneiß, G.M. Durr, et al. (2022). "Two-year outcomes of the MINIject drainage system for uncontrolled glaucoma from the STAR-I first-in-human trial." </w:t>
      </w:r>
      <w:r w:rsidRPr="007F4B32">
        <w:rPr>
          <w:u w:val="single"/>
        </w:rPr>
        <w:t>Br J Ophthalmol</w:t>
      </w:r>
      <w:r w:rsidRPr="007F4B32">
        <w:t xml:space="preserve"> </w:t>
      </w:r>
      <w:r w:rsidRPr="007F4B32">
        <w:rPr>
          <w:b/>
        </w:rPr>
        <w:t>106</w:t>
      </w:r>
      <w:r w:rsidRPr="007F4B32">
        <w:t>(1): 65-70.</w:t>
      </w:r>
    </w:p>
    <w:p w14:paraId="4A86646C" w14:textId="77777777" w:rsidR="007F4B32" w:rsidRPr="007F4B32" w:rsidRDefault="007F4B32" w:rsidP="007F4B32">
      <w:pPr>
        <w:pStyle w:val="EndNoteBibliography"/>
        <w:spacing w:after="0"/>
        <w:ind w:left="720" w:hanging="720"/>
      </w:pPr>
      <w:r w:rsidRPr="007F4B32">
        <w:t xml:space="preserve">Denis, P., C. Hirneiß, K.P. Reddy, et al. (2019). "A First-in-Human Study of the Efficacy and Safety of MINIject in Patients with Medically Uncontrolled Open-Angle Glaucoma (STAR-I)." </w:t>
      </w:r>
      <w:r w:rsidRPr="007F4B32">
        <w:rPr>
          <w:u w:val="single"/>
        </w:rPr>
        <w:t>Ophthalmol Glaucoma</w:t>
      </w:r>
      <w:r w:rsidRPr="007F4B32">
        <w:t xml:space="preserve"> </w:t>
      </w:r>
      <w:r w:rsidRPr="007F4B32">
        <w:rPr>
          <w:b/>
        </w:rPr>
        <w:t>2</w:t>
      </w:r>
      <w:r w:rsidRPr="007F4B32">
        <w:t>(5): 290-297.</w:t>
      </w:r>
    </w:p>
    <w:p w14:paraId="0C0F872D" w14:textId="77777777" w:rsidR="007F4B32" w:rsidRPr="00F74075" w:rsidRDefault="007F4B32" w:rsidP="007F4B32">
      <w:pPr>
        <w:pStyle w:val="EndNoteBibliography"/>
        <w:spacing w:after="0"/>
        <w:ind w:left="720" w:hanging="720"/>
        <w:rPr>
          <w:lang w:val="fr-BE"/>
        </w:rPr>
      </w:pPr>
      <w:r w:rsidRPr="007F4B32">
        <w:t xml:space="preserve">García Feijoó, J., P. Denis, C. Hirneiß, et al. (2020). "A European Study of the Performance and Safety of MINIject in Patients With Medically Uncontrolled Open-angle Glaucoma (STAR-II)." </w:t>
      </w:r>
      <w:r w:rsidRPr="00F74075">
        <w:rPr>
          <w:u w:val="single"/>
          <w:lang w:val="fr-BE"/>
        </w:rPr>
        <w:t>J Glaucoma</w:t>
      </w:r>
      <w:r w:rsidRPr="00F74075">
        <w:rPr>
          <w:lang w:val="fr-BE"/>
        </w:rPr>
        <w:t xml:space="preserve"> </w:t>
      </w:r>
      <w:r w:rsidRPr="00F74075">
        <w:rPr>
          <w:b/>
          <w:lang w:val="fr-BE"/>
        </w:rPr>
        <w:t>29</w:t>
      </w:r>
      <w:r w:rsidRPr="00F74075">
        <w:rPr>
          <w:lang w:val="fr-BE"/>
        </w:rPr>
        <w:t>(10): 864-871.</w:t>
      </w:r>
    </w:p>
    <w:p w14:paraId="30E8CD60" w14:textId="77777777" w:rsidR="007F4B32" w:rsidRPr="007F4B32" w:rsidRDefault="007F4B32" w:rsidP="007F4B32">
      <w:pPr>
        <w:pStyle w:val="EndNoteBibliography"/>
        <w:spacing w:after="0"/>
        <w:ind w:left="720" w:hanging="720"/>
      </w:pPr>
      <w:r w:rsidRPr="00F74075">
        <w:rPr>
          <w:lang w:val="fr-BE"/>
        </w:rPr>
        <w:t xml:space="preserve">Grisanti, S., S. Grisanti, J. Garcia-Feijoo, et al. </w:t>
      </w:r>
      <w:r w:rsidRPr="007F4B32">
        <w:t xml:space="preserve">(2018). "Supraciliary microstent implantation for open-angle glaucoma: multicentre 3-year outcomes." </w:t>
      </w:r>
      <w:r w:rsidRPr="007F4B32">
        <w:rPr>
          <w:u w:val="single"/>
        </w:rPr>
        <w:t>BMJ Open Ophthalmology</w:t>
      </w:r>
      <w:r w:rsidRPr="007F4B32">
        <w:t xml:space="preserve"> </w:t>
      </w:r>
      <w:r w:rsidRPr="007F4B32">
        <w:rPr>
          <w:b/>
        </w:rPr>
        <w:t>3</w:t>
      </w:r>
      <w:r w:rsidRPr="007F4B32">
        <w:t>(1): e000183.</w:t>
      </w:r>
    </w:p>
    <w:p w14:paraId="3E449A93" w14:textId="77777777" w:rsidR="007F4B32" w:rsidRPr="007F4B32" w:rsidRDefault="007F4B32" w:rsidP="007F4B32">
      <w:pPr>
        <w:pStyle w:val="EndNoteBibliography"/>
        <w:spacing w:after="0"/>
        <w:ind w:left="720" w:hanging="720"/>
      </w:pPr>
      <w:r w:rsidRPr="007F4B32">
        <w:t xml:space="preserve">Hengerer, F.H., G.U. Auffarth and I. Conrad-Hengerer (2022). "iStent inject Trabecular Micro-Bypass with or Without Cataract Surgery Yields Sustained 5-Year Glaucoma Control." </w:t>
      </w:r>
      <w:r w:rsidRPr="007F4B32">
        <w:rPr>
          <w:u w:val="single"/>
        </w:rPr>
        <w:t>Adv Ther</w:t>
      </w:r>
      <w:r w:rsidRPr="007F4B32">
        <w:t xml:space="preserve"> </w:t>
      </w:r>
      <w:r w:rsidRPr="007F4B32">
        <w:rPr>
          <w:b/>
        </w:rPr>
        <w:t>39</w:t>
      </w:r>
      <w:r w:rsidRPr="007F4B32">
        <w:t>(3): 1417-1431.</w:t>
      </w:r>
    </w:p>
    <w:p w14:paraId="1454DC16" w14:textId="77777777" w:rsidR="007F4B32" w:rsidRPr="007F4B32" w:rsidRDefault="007F4B32" w:rsidP="007F4B32">
      <w:pPr>
        <w:pStyle w:val="EndNoteBibliography"/>
        <w:spacing w:after="0"/>
        <w:ind w:left="720" w:hanging="720"/>
      </w:pPr>
      <w:r w:rsidRPr="007F4B32">
        <w:t xml:space="preserve">Hengerer, F.H., G.U. Auffarth, C. Riffel, et al. (2019). "Second-Generation Trabecular Micro-Bypass Stents as Standalone Treatment for Glaucoma: A 36-Month Prospective Study." </w:t>
      </w:r>
      <w:r w:rsidRPr="007F4B32">
        <w:rPr>
          <w:u w:val="single"/>
        </w:rPr>
        <w:t>Adv Ther</w:t>
      </w:r>
      <w:r w:rsidRPr="007F4B32">
        <w:t xml:space="preserve"> </w:t>
      </w:r>
      <w:r w:rsidRPr="007F4B32">
        <w:rPr>
          <w:b/>
        </w:rPr>
        <w:t>36</w:t>
      </w:r>
      <w:r w:rsidRPr="007F4B32">
        <w:t>(7): 1606-1617.</w:t>
      </w:r>
    </w:p>
    <w:p w14:paraId="0656FB9D" w14:textId="77777777" w:rsidR="007F4B32" w:rsidRPr="007F4B32" w:rsidRDefault="007F4B32" w:rsidP="007F4B32">
      <w:pPr>
        <w:pStyle w:val="EndNoteBibliography"/>
        <w:spacing w:after="0"/>
        <w:ind w:left="720" w:hanging="720"/>
      </w:pPr>
      <w:r w:rsidRPr="007F4B32">
        <w:t xml:space="preserve">Jayaram, H. (2020). "Intraocular pressure reduction in glaucoma: Does every mmHg count?" </w:t>
      </w:r>
      <w:r w:rsidRPr="007F4B32">
        <w:rPr>
          <w:u w:val="single"/>
        </w:rPr>
        <w:t>Taiwan J Ophthalmol</w:t>
      </w:r>
      <w:r w:rsidRPr="007F4B32">
        <w:t xml:space="preserve"> </w:t>
      </w:r>
      <w:r w:rsidRPr="007F4B32">
        <w:rPr>
          <w:b/>
        </w:rPr>
        <w:t>10</w:t>
      </w:r>
      <w:r w:rsidRPr="007F4B32">
        <w:t>(4): 255-258.</w:t>
      </w:r>
    </w:p>
    <w:p w14:paraId="19C1CA44" w14:textId="77777777" w:rsidR="007F4B32" w:rsidRPr="007F4B32" w:rsidRDefault="007F4B32" w:rsidP="007F4B32">
      <w:pPr>
        <w:pStyle w:val="EndNoteBibliography"/>
        <w:spacing w:after="0"/>
        <w:ind w:left="720" w:hanging="720"/>
      </w:pPr>
      <w:r w:rsidRPr="007F4B32">
        <w:t xml:space="preserve">Katz, L.J., C. Erb, A. Carceller Guillamet, et al. (2018). "Long-term titrated IOP control with one, two, or three trabecular micro-bypass stents in open-angle glaucoma subjects on topical hypotensive medication: 42-month outcomes." </w:t>
      </w:r>
      <w:r w:rsidRPr="007F4B32">
        <w:rPr>
          <w:u w:val="single"/>
        </w:rPr>
        <w:t>Clin Ophthalmol</w:t>
      </w:r>
      <w:r w:rsidRPr="007F4B32">
        <w:t xml:space="preserve"> </w:t>
      </w:r>
      <w:r w:rsidRPr="007F4B32">
        <w:rPr>
          <w:b/>
        </w:rPr>
        <w:t>12</w:t>
      </w:r>
      <w:r w:rsidRPr="007F4B32">
        <w:t>: 255-262.</w:t>
      </w:r>
    </w:p>
    <w:p w14:paraId="764FE89A" w14:textId="0C05A29B" w:rsidR="007F4B32" w:rsidRPr="007F4B32" w:rsidRDefault="007F4B32" w:rsidP="007F4B32">
      <w:pPr>
        <w:pStyle w:val="EndNoteBibliography"/>
        <w:spacing w:after="0"/>
        <w:ind w:left="720" w:hanging="720"/>
      </w:pPr>
      <w:r w:rsidRPr="007F4B32">
        <w:t xml:space="preserve">Kennedy, J., J. SooHoo and L. Seibold. (2022). "Suprachoroidal Devices. American Academy of Opthalmology. EyeWiki." from </w:t>
      </w:r>
      <w:hyperlink r:id="rId42" w:anchor="MINIject_drainage_system" w:history="1">
        <w:r w:rsidRPr="007F4B32">
          <w:rPr>
            <w:rStyle w:val="Hyperlink"/>
          </w:rPr>
          <w:t>https://eyewiki.aao.org/Suprachoroidal_Devices#MINIject_drainage_system</w:t>
        </w:r>
      </w:hyperlink>
      <w:r w:rsidRPr="007F4B32">
        <w:t>.</w:t>
      </w:r>
    </w:p>
    <w:p w14:paraId="4B030862" w14:textId="77777777" w:rsidR="007F4B32" w:rsidRPr="007F4B32" w:rsidRDefault="007F4B32" w:rsidP="007F4B32">
      <w:pPr>
        <w:pStyle w:val="EndNoteBibliography"/>
        <w:spacing w:after="0"/>
        <w:ind w:left="720" w:hanging="720"/>
      </w:pPr>
      <w:r w:rsidRPr="007F4B32">
        <w:t xml:space="preserve">Leske, M.C., A. Heijl, L. Hyman, et al. (2007). "Predictors of long-term progression in the early manifest glaucoma trial." </w:t>
      </w:r>
      <w:r w:rsidRPr="007F4B32">
        <w:rPr>
          <w:u w:val="single"/>
        </w:rPr>
        <w:t>Ophthalmology</w:t>
      </w:r>
      <w:r w:rsidRPr="007F4B32">
        <w:t xml:space="preserve"> </w:t>
      </w:r>
      <w:r w:rsidRPr="007F4B32">
        <w:rPr>
          <w:b/>
        </w:rPr>
        <w:t>114</w:t>
      </w:r>
      <w:r w:rsidRPr="007F4B32">
        <w:t>(11): 1965-1972.</w:t>
      </w:r>
    </w:p>
    <w:p w14:paraId="53EF06F7" w14:textId="77777777" w:rsidR="007F4B32" w:rsidRPr="007F4B32" w:rsidRDefault="007F4B32" w:rsidP="007F4B32">
      <w:pPr>
        <w:pStyle w:val="EndNoteBibliography"/>
        <w:spacing w:after="0"/>
        <w:ind w:left="720" w:hanging="720"/>
      </w:pPr>
      <w:r w:rsidRPr="007F4B32">
        <w:lastRenderedPageBreak/>
        <w:t xml:space="preserve">Lindstrom, R., S.R. Sarkisian, R. Lewis, et al. (2020). "Four-Year Outcomes of Two Second-Generation Trabecular Micro-Bypass Stents in Patients with Open-Angle Glaucoma on One Medication." </w:t>
      </w:r>
      <w:r w:rsidRPr="007F4B32">
        <w:rPr>
          <w:u w:val="single"/>
        </w:rPr>
        <w:t>Clin Ophthalmol</w:t>
      </w:r>
      <w:r w:rsidRPr="007F4B32">
        <w:t xml:space="preserve"> </w:t>
      </w:r>
      <w:r w:rsidRPr="007F4B32">
        <w:rPr>
          <w:b/>
        </w:rPr>
        <w:t>14</w:t>
      </w:r>
      <w:r w:rsidRPr="007F4B32">
        <w:t>: 71-80.</w:t>
      </w:r>
    </w:p>
    <w:p w14:paraId="52D7C859" w14:textId="77777777" w:rsidR="007F4B32" w:rsidRPr="007F4B32" w:rsidRDefault="007F4B32" w:rsidP="007F4B32">
      <w:pPr>
        <w:pStyle w:val="EndNoteBibliography"/>
        <w:spacing w:after="0"/>
        <w:ind w:left="720" w:hanging="720"/>
      </w:pPr>
      <w:r w:rsidRPr="007F4B32">
        <w:t xml:space="preserve">Pahlitzsch, M., A.M. Davids, S. Winterhalter, et al. (2021). "Selective Laser Trabeculoplasty Versus MIGS: Forgotten Art or First-Step Procedure in Selected Patients with Open-Angle Glaucoma." </w:t>
      </w:r>
      <w:r w:rsidRPr="007F4B32">
        <w:rPr>
          <w:u w:val="single"/>
        </w:rPr>
        <w:t>Ophthalmol Ther</w:t>
      </w:r>
      <w:r w:rsidRPr="007F4B32">
        <w:t xml:space="preserve"> </w:t>
      </w:r>
      <w:r w:rsidRPr="007F4B32">
        <w:rPr>
          <w:b/>
        </w:rPr>
        <w:t>10</w:t>
      </w:r>
      <w:r w:rsidRPr="007F4B32">
        <w:t>(3): 509-524.</w:t>
      </w:r>
    </w:p>
    <w:p w14:paraId="0D1A1985" w14:textId="586E1D44" w:rsidR="007F4B32" w:rsidRPr="007F4B32" w:rsidRDefault="007F4B32" w:rsidP="007F4B32">
      <w:pPr>
        <w:pStyle w:val="EndNoteBibliography"/>
        <w:spacing w:after="0"/>
        <w:ind w:left="720" w:hanging="720"/>
      </w:pPr>
      <w:r w:rsidRPr="007F4B32">
        <w:t xml:space="preserve">RANZCO. (2020a). "The Royal Australian and New Zealand College of Ophthalmologists. Guidelines for Standalone Trans-trabecular Micro-bypass Glaucoma Stenting (MBGS).", from </w:t>
      </w:r>
      <w:hyperlink r:id="rId43" w:history="1">
        <w:r w:rsidRPr="007F4B32">
          <w:rPr>
            <w:rStyle w:val="Hyperlink"/>
          </w:rPr>
          <w:t>https://ranzco.edu/wp-content/uploads/2020/06/Guidelines-for-Standalone-Trans-trabecular-Micro-Bypass-Glaucoma-MBGS-stenting.pdf</w:t>
        </w:r>
      </w:hyperlink>
      <w:r w:rsidRPr="007F4B32">
        <w:t>.</w:t>
      </w:r>
    </w:p>
    <w:p w14:paraId="310782B0" w14:textId="44E1AFE5" w:rsidR="007F4B32" w:rsidRPr="007F4B32" w:rsidRDefault="007F4B32" w:rsidP="007F4B32">
      <w:pPr>
        <w:pStyle w:val="EndNoteBibliography"/>
        <w:spacing w:after="0"/>
        <w:ind w:left="720" w:hanging="720"/>
      </w:pPr>
      <w:r w:rsidRPr="007F4B32">
        <w:t xml:space="preserve">RANZCO. (2020b). "The Royal Australian and New Zealand College of Ophthalmologists. Guidelines for the Use of Trabecular Micro-bypass Glaucoma Stents (MBGS)." from </w:t>
      </w:r>
      <w:hyperlink r:id="rId44" w:history="1">
        <w:r w:rsidRPr="007F4B32">
          <w:rPr>
            <w:rStyle w:val="Hyperlink"/>
          </w:rPr>
          <w:t>https://ranzco.edu/wp-content/uploads/2020/05/RANZCO-Guidelines-for-the-Use-of-Trabecular-Micro-bypass-Glaucoma-Stents-MBGS-002.pdf</w:t>
        </w:r>
      </w:hyperlink>
      <w:r w:rsidRPr="007F4B32">
        <w:t>.</w:t>
      </w:r>
    </w:p>
    <w:p w14:paraId="7329512D" w14:textId="77777777" w:rsidR="007F4B32" w:rsidRPr="007F4B32" w:rsidRDefault="007F4B32" w:rsidP="007F4B32">
      <w:pPr>
        <w:pStyle w:val="EndNoteBibliography"/>
        <w:ind w:left="720" w:hanging="720"/>
      </w:pPr>
      <w:r w:rsidRPr="00F74075">
        <w:rPr>
          <w:lang w:val="es-ES"/>
        </w:rPr>
        <w:t xml:space="preserve">Voskanyan, L., J. García-Feijoó, J.I. Belda, et al. </w:t>
      </w:r>
      <w:r w:rsidRPr="007F4B32">
        <w:t xml:space="preserve">(2014). "Prospective, unmasked evaluation of the iStent® inject system for open-angle glaucoma: synergy trial." </w:t>
      </w:r>
      <w:r w:rsidRPr="007F4B32">
        <w:rPr>
          <w:u w:val="single"/>
        </w:rPr>
        <w:t>Adv Ther</w:t>
      </w:r>
      <w:r w:rsidRPr="007F4B32">
        <w:t xml:space="preserve"> </w:t>
      </w:r>
      <w:r w:rsidRPr="007F4B32">
        <w:rPr>
          <w:b/>
        </w:rPr>
        <w:t>31</w:t>
      </w:r>
      <w:r w:rsidRPr="007F4B32">
        <w:t>(2): 189-201.</w:t>
      </w:r>
    </w:p>
    <w:p w14:paraId="2EB12D7B" w14:textId="51B6F6DD" w:rsidR="0030566C" w:rsidRPr="0030566C" w:rsidRDefault="00464A8F">
      <w:pPr>
        <w:rPr>
          <w:rFonts w:ascii="Segoe UI" w:hAnsi="Segoe UI" w:cs="Segoe UI"/>
        </w:rPr>
      </w:pPr>
      <w:r>
        <w:rPr>
          <w:rFonts w:ascii="Segoe UI" w:hAnsi="Segoe UI" w:cs="Segoe UI"/>
        </w:rPr>
        <w:fldChar w:fldCharType="end"/>
      </w:r>
    </w:p>
    <w:sectPr w:rsidR="0030566C" w:rsidRPr="0030566C" w:rsidSect="00452657">
      <w:pgSz w:w="11906" w:h="16838"/>
      <w:pgMar w:top="1440" w:right="991" w:bottom="1135" w:left="1440" w:header="426"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E498C" w14:textId="77777777" w:rsidR="00C36B9A" w:rsidRDefault="00C36B9A" w:rsidP="00BE6B22">
      <w:pPr>
        <w:spacing w:after="0" w:line="240" w:lineRule="auto"/>
      </w:pPr>
      <w:r>
        <w:separator/>
      </w:r>
    </w:p>
  </w:endnote>
  <w:endnote w:type="continuationSeparator" w:id="0">
    <w:p w14:paraId="0804C4E2" w14:textId="77777777" w:rsidR="00C36B9A" w:rsidRDefault="00C36B9A" w:rsidP="00BE6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PSMT">
    <w:altName w:val="MS Gothic"/>
    <w:panose1 w:val="00000000000000000000"/>
    <w:charset w:val="00"/>
    <w:family w:val="auto"/>
    <w:notTrueType/>
    <w:pitch w:val="default"/>
    <w:sig w:usb0="00000003" w:usb1="00000000" w:usb2="00000000" w:usb3="00000000" w:csb0="00000001" w:csb1="00000000"/>
  </w:font>
  <w:font w:name="Lato">
    <w:altName w:val="Lato"/>
    <w:charset w:val="00"/>
    <w:family w:val="swiss"/>
    <w:pitch w:val="variable"/>
    <w:sig w:usb0="E10002FF" w:usb1="5000ECF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HelveticaNeueLTStd-C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24484" w14:textId="77777777" w:rsidR="00730CAD" w:rsidRDefault="00730C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w:hAnsi="Segoe UI" w:cs="Segoe UI"/>
        <w:sz w:val="20"/>
        <w:szCs w:val="20"/>
      </w:rPr>
      <w:id w:val="-723988514"/>
      <w:docPartObj>
        <w:docPartGallery w:val="Page Numbers (Bottom of Page)"/>
        <w:docPartUnique/>
      </w:docPartObj>
    </w:sdtPr>
    <w:sdtEndPr>
      <w:rPr>
        <w:rFonts w:ascii="Times New Roman" w:hAnsi="Times New Roman" w:cs="Times New Roman"/>
        <w:color w:val="7F7F7F" w:themeColor="background1" w:themeShade="7F"/>
        <w:spacing w:val="60"/>
        <w:sz w:val="24"/>
        <w:szCs w:val="24"/>
      </w:rPr>
    </w:sdtEndPr>
    <w:sdtContent>
      <w:p w14:paraId="1D946C7C" w14:textId="2ED158E6" w:rsidR="0090168B" w:rsidRDefault="0090168B" w:rsidP="0090168B">
        <w:pPr>
          <w:pStyle w:val="Footer"/>
          <w:pBdr>
            <w:top w:val="single" w:sz="4" w:space="1" w:color="D9D9D9" w:themeColor="background1" w:themeShade="D9"/>
          </w:pBdr>
          <w:jc w:val="right"/>
        </w:pPr>
        <w:r w:rsidRPr="0090168B">
          <w:rPr>
            <w:rFonts w:ascii="Segoe UI" w:hAnsi="Segoe UI" w:cs="Segoe UI"/>
            <w:color w:val="7F7F7F" w:themeColor="background1" w:themeShade="7F"/>
            <w:spacing w:val="60"/>
            <w:sz w:val="20"/>
            <w:szCs w:val="20"/>
          </w:rPr>
          <w:t xml:space="preserve">Page </w:t>
        </w:r>
        <w:r w:rsidRPr="0090168B">
          <w:rPr>
            <w:rFonts w:ascii="Segoe UI" w:hAnsi="Segoe UI" w:cs="Segoe UI"/>
            <w:color w:val="7F7F7F" w:themeColor="background1" w:themeShade="7F"/>
            <w:spacing w:val="60"/>
            <w:sz w:val="20"/>
            <w:szCs w:val="20"/>
          </w:rPr>
          <w:fldChar w:fldCharType="begin"/>
        </w:r>
        <w:r w:rsidRPr="0090168B">
          <w:rPr>
            <w:rFonts w:ascii="Segoe UI" w:hAnsi="Segoe UI" w:cs="Segoe UI"/>
            <w:color w:val="7F7F7F" w:themeColor="background1" w:themeShade="7F"/>
            <w:spacing w:val="60"/>
            <w:sz w:val="20"/>
            <w:szCs w:val="20"/>
          </w:rPr>
          <w:instrText xml:space="preserve"> PAGE  \* Arabic  \* MERGEFORMAT </w:instrText>
        </w:r>
        <w:r w:rsidRPr="0090168B">
          <w:rPr>
            <w:rFonts w:ascii="Segoe UI" w:hAnsi="Segoe UI" w:cs="Segoe UI"/>
            <w:color w:val="7F7F7F" w:themeColor="background1" w:themeShade="7F"/>
            <w:spacing w:val="60"/>
            <w:sz w:val="20"/>
            <w:szCs w:val="20"/>
          </w:rPr>
          <w:fldChar w:fldCharType="separate"/>
        </w:r>
        <w:r w:rsidRPr="0090168B">
          <w:rPr>
            <w:rFonts w:ascii="Segoe UI" w:hAnsi="Segoe UI" w:cs="Segoe UI"/>
            <w:noProof/>
            <w:color w:val="7F7F7F" w:themeColor="background1" w:themeShade="7F"/>
            <w:spacing w:val="60"/>
            <w:sz w:val="20"/>
            <w:szCs w:val="20"/>
          </w:rPr>
          <w:t>3</w:t>
        </w:r>
        <w:r w:rsidRPr="0090168B">
          <w:rPr>
            <w:rFonts w:ascii="Segoe UI" w:hAnsi="Segoe UI" w:cs="Segoe UI"/>
            <w:color w:val="7F7F7F" w:themeColor="background1" w:themeShade="7F"/>
            <w:spacing w:val="60"/>
            <w:sz w:val="20"/>
            <w:szCs w:val="20"/>
          </w:rPr>
          <w:fldChar w:fldCharType="end"/>
        </w:r>
        <w:r w:rsidRPr="0090168B">
          <w:rPr>
            <w:rFonts w:ascii="Segoe UI" w:hAnsi="Segoe UI" w:cs="Segoe UI"/>
            <w:color w:val="7F7F7F" w:themeColor="background1" w:themeShade="7F"/>
            <w:spacing w:val="60"/>
            <w:sz w:val="20"/>
            <w:szCs w:val="20"/>
          </w:rPr>
          <w:t xml:space="preserve"> of </w:t>
        </w:r>
        <w:r w:rsidRPr="0090168B">
          <w:rPr>
            <w:rFonts w:ascii="Segoe UI" w:hAnsi="Segoe UI" w:cs="Segoe UI"/>
            <w:color w:val="7F7F7F" w:themeColor="background1" w:themeShade="7F"/>
            <w:spacing w:val="60"/>
            <w:sz w:val="20"/>
            <w:szCs w:val="20"/>
          </w:rPr>
          <w:fldChar w:fldCharType="begin"/>
        </w:r>
        <w:r w:rsidRPr="0090168B">
          <w:rPr>
            <w:rFonts w:ascii="Segoe UI" w:hAnsi="Segoe UI" w:cs="Segoe UI"/>
            <w:color w:val="7F7F7F" w:themeColor="background1" w:themeShade="7F"/>
            <w:spacing w:val="60"/>
            <w:sz w:val="20"/>
            <w:szCs w:val="20"/>
          </w:rPr>
          <w:instrText xml:space="preserve"> NUMPAGES  \* Arabic  \* MERGEFORMAT </w:instrText>
        </w:r>
        <w:r w:rsidRPr="0090168B">
          <w:rPr>
            <w:rFonts w:ascii="Segoe UI" w:hAnsi="Segoe UI" w:cs="Segoe UI"/>
            <w:color w:val="7F7F7F" w:themeColor="background1" w:themeShade="7F"/>
            <w:spacing w:val="60"/>
            <w:sz w:val="20"/>
            <w:szCs w:val="20"/>
          </w:rPr>
          <w:fldChar w:fldCharType="separate"/>
        </w:r>
        <w:r w:rsidRPr="0090168B">
          <w:rPr>
            <w:rFonts w:ascii="Segoe UI" w:hAnsi="Segoe UI" w:cs="Segoe UI"/>
            <w:noProof/>
            <w:color w:val="7F7F7F" w:themeColor="background1" w:themeShade="7F"/>
            <w:spacing w:val="60"/>
            <w:sz w:val="20"/>
            <w:szCs w:val="20"/>
          </w:rPr>
          <w:t>3</w:t>
        </w:r>
        <w:r w:rsidRPr="0090168B">
          <w:rPr>
            <w:rFonts w:ascii="Segoe UI" w:hAnsi="Segoe UI" w:cs="Segoe UI"/>
            <w:color w:val="7F7F7F" w:themeColor="background1" w:themeShade="7F"/>
            <w:spacing w:val="60"/>
            <w:sz w:val="20"/>
            <w:szCs w:val="20"/>
          </w:rPr>
          <w:fldChar w:fldCharType="end"/>
        </w:r>
      </w:p>
    </w:sdtContent>
  </w:sdt>
  <w:p w14:paraId="355A1DA5" w14:textId="77777777" w:rsidR="0090168B" w:rsidRDefault="009016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B8166" w14:textId="77777777" w:rsidR="00730CAD" w:rsidRDefault="0073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3C985" w14:textId="77777777" w:rsidR="00C36B9A" w:rsidRDefault="00C36B9A" w:rsidP="00BE6B22">
      <w:pPr>
        <w:spacing w:after="0" w:line="240" w:lineRule="auto"/>
      </w:pPr>
      <w:r>
        <w:separator/>
      </w:r>
    </w:p>
  </w:footnote>
  <w:footnote w:type="continuationSeparator" w:id="0">
    <w:p w14:paraId="79996A4F" w14:textId="77777777" w:rsidR="00C36B9A" w:rsidRDefault="00C36B9A" w:rsidP="00BE6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C8070" w14:textId="77777777" w:rsidR="00730CAD" w:rsidRDefault="00730C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304FD" w14:textId="2BB5CD16" w:rsidR="00BE6B22" w:rsidRPr="0073306C" w:rsidRDefault="0073306C" w:rsidP="0073306C">
    <w:pPr>
      <w:pStyle w:val="Header"/>
      <w:rPr>
        <w:rFonts w:ascii="Segoe UI" w:eastAsia="Segoe UI" w:hAnsi="Segoe UI"/>
        <w:i/>
        <w:iCs/>
        <w:color w:val="000000"/>
        <w:sz w:val="22"/>
      </w:rPr>
    </w:pPr>
    <w:r w:rsidRPr="0073306C">
      <w:rPr>
        <w:rFonts w:ascii="Segoe UI" w:eastAsia="Segoe UI" w:hAnsi="Segoe UI"/>
        <w:i/>
        <w:iCs/>
        <w:color w:val="000000"/>
        <w:sz w:val="22"/>
      </w:rPr>
      <w:t xml:space="preserve">PICO Set </w:t>
    </w:r>
    <w:r w:rsidR="00D42274" w:rsidRPr="0073306C">
      <w:rPr>
        <w:rFonts w:ascii="Segoe UI" w:eastAsia="Segoe UI" w:hAnsi="Segoe UI"/>
        <w:i/>
        <w:iCs/>
        <w:color w:val="000000"/>
        <w:sz w:val="22"/>
      </w:rPr>
      <w:t xml:space="preserve">Application </w:t>
    </w:r>
    <w:r w:rsidRPr="0073306C">
      <w:rPr>
        <w:rFonts w:ascii="Segoe UI" w:eastAsia="Segoe UI" w:hAnsi="Segoe UI"/>
        <w:i/>
        <w:iCs/>
        <w:color w:val="000000"/>
        <w:sz w:val="22"/>
      </w:rPr>
      <w:t>1764</w:t>
    </w:r>
    <w:r w:rsidR="00BE6B22" w:rsidRPr="0073306C">
      <w:rPr>
        <w:rFonts w:ascii="Segoe UI" w:eastAsia="Segoe UI" w:hAnsi="Segoe UI"/>
        <w:i/>
        <w:iCs/>
        <w:color w:val="000000"/>
        <w:sz w:val="22"/>
      </w:rPr>
      <w:t xml:space="preserve"> </w:t>
    </w:r>
    <w:r w:rsidR="002C4B38" w:rsidRPr="0073306C">
      <w:rPr>
        <w:rFonts w:ascii="Segoe UI" w:eastAsia="Segoe UI" w:hAnsi="Segoe UI"/>
        <w:i/>
        <w:iCs/>
        <w:color w:val="000000"/>
        <w:sz w:val="22"/>
      </w:rPr>
      <w:t>Micro-bypass glaucoma surgery device implantation into the suprachoroidal space as a standalone procedure in patients with open angle glaucoma</w:t>
    </w:r>
  </w:p>
  <w:p w14:paraId="549C5C5B" w14:textId="78899C81" w:rsidR="00452657" w:rsidRPr="002E357C" w:rsidRDefault="002C4B38" w:rsidP="0073306C">
    <w:pPr>
      <w:pStyle w:val="Header"/>
      <w:rPr>
        <w:rFonts w:ascii="Segoe UI" w:eastAsia="Segoe UI" w:hAnsi="Segoe UI"/>
        <w:sz w:val="22"/>
      </w:rPr>
    </w:pPr>
    <w:r>
      <w:rPr>
        <w:rFonts w:ascii="Segoe UI" w:eastAsia="Segoe UI" w:hAnsi="Segoe UI"/>
        <w:sz w:val="22"/>
      </w:rPr>
      <w:tab/>
    </w:r>
  </w:p>
  <w:p w14:paraId="6451851C" w14:textId="3CB073A8" w:rsidR="00F16239" w:rsidRDefault="00F16239" w:rsidP="00BE6B22">
    <w:pPr>
      <w:pStyle w:val="Header"/>
      <w:jc w:val="center"/>
    </w:pPr>
    <w:r>
      <w:rPr>
        <w:rFonts w:ascii="Segoe UI" w:eastAsia="Segoe UI" w:hAnsi="Segoe UI"/>
        <w:noProof/>
        <w:color w:val="FF0000"/>
        <w:sz w:val="22"/>
      </w:rPr>
      <mc:AlternateContent>
        <mc:Choice Requires="wps">
          <w:drawing>
            <wp:anchor distT="0" distB="0" distL="114300" distR="114300" simplePos="0" relativeHeight="251659264" behindDoc="0" locked="0" layoutInCell="1" allowOverlap="1" wp14:anchorId="39B179C6" wp14:editId="3ACB0D94">
              <wp:simplePos x="0" y="0"/>
              <wp:positionH relativeFrom="column">
                <wp:posOffset>-142875</wp:posOffset>
              </wp:positionH>
              <wp:positionV relativeFrom="paragraph">
                <wp:posOffset>117475</wp:posOffset>
              </wp:positionV>
              <wp:extent cx="589597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589597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F1B953"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9.25pt" to="45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" strokecolor="#cfcdcd [2894]"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B3AE" w14:textId="77777777" w:rsidR="00730CAD" w:rsidRDefault="00730C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D3343"/>
    <w:multiLevelType w:val="hybridMultilevel"/>
    <w:tmpl w:val="4BFA348A"/>
    <w:lvl w:ilvl="0" w:tplc="07883ED0">
      <w:start w:val="1"/>
      <w:numFmt w:val="bullet"/>
      <w:pStyle w:val="Response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60B0013"/>
    <w:multiLevelType w:val="hybridMultilevel"/>
    <w:tmpl w:val="6F602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93D6556"/>
    <w:multiLevelType w:val="hybridMultilevel"/>
    <w:tmpl w:val="C0CCE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C2C0360"/>
    <w:multiLevelType w:val="hybridMultilevel"/>
    <w:tmpl w:val="A42467D4"/>
    <w:lvl w:ilvl="0" w:tplc="CE4CD586">
      <w:start w:val="1"/>
      <w:numFmt w:val="bullet"/>
      <w:pStyle w:val="Bulletpoin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5C06678"/>
    <w:multiLevelType w:val="hybridMultilevel"/>
    <w:tmpl w:val="CC36A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42607357">
    <w:abstractNumId w:val="3"/>
  </w:num>
  <w:num w:numId="2" w16cid:durableId="1860972147">
    <w:abstractNumId w:val="0"/>
  </w:num>
  <w:num w:numId="3" w16cid:durableId="817184876">
    <w:abstractNumId w:val="1"/>
  </w:num>
  <w:num w:numId="4" w16cid:durableId="1521821987">
    <w:abstractNumId w:val="4"/>
  </w:num>
  <w:num w:numId="5" w16cid:durableId="857239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uthor-Dat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tfze2xwopafsxerxxip50rgeept0fs2fwvx&quot;&gt;iSTAR MSAC Application Jul-23&lt;record-ids&gt;&lt;item&gt;2&lt;/item&gt;&lt;item&gt;3&lt;/item&gt;&lt;item&gt;4&lt;/item&gt;&lt;item&gt;5&lt;/item&gt;&lt;item&gt;6&lt;/item&gt;&lt;item&gt;8&lt;/item&gt;&lt;/record-ids&gt;&lt;/item&gt;&lt;item db-id=&quot;svrdvvtpi9seeberze55v9rqpw02dfasp2e9&quot;&gt;iSTAR MSAC use&lt;record-ids&gt;&lt;item&gt;7&lt;/item&gt;&lt;/record-ids&gt;&lt;/item&gt;&lt;/Libraries&gt;"/>
  </w:docVars>
  <w:rsids>
    <w:rsidRoot w:val="00BE6B22"/>
    <w:rsid w:val="00003D7D"/>
    <w:rsid w:val="00022B2C"/>
    <w:rsid w:val="0002462A"/>
    <w:rsid w:val="00025969"/>
    <w:rsid w:val="00041637"/>
    <w:rsid w:val="00042470"/>
    <w:rsid w:val="00051843"/>
    <w:rsid w:val="00056A58"/>
    <w:rsid w:val="000607D3"/>
    <w:rsid w:val="00061B3B"/>
    <w:rsid w:val="00062516"/>
    <w:rsid w:val="000627EF"/>
    <w:rsid w:val="00063EDF"/>
    <w:rsid w:val="0007398F"/>
    <w:rsid w:val="00076566"/>
    <w:rsid w:val="000770D1"/>
    <w:rsid w:val="0008264F"/>
    <w:rsid w:val="000842C5"/>
    <w:rsid w:val="0009097A"/>
    <w:rsid w:val="000934AF"/>
    <w:rsid w:val="00093CC7"/>
    <w:rsid w:val="000A59A9"/>
    <w:rsid w:val="000B3E06"/>
    <w:rsid w:val="000B699D"/>
    <w:rsid w:val="000C1017"/>
    <w:rsid w:val="000C41D0"/>
    <w:rsid w:val="000C43E5"/>
    <w:rsid w:val="000D1061"/>
    <w:rsid w:val="000D258D"/>
    <w:rsid w:val="000D6FE1"/>
    <w:rsid w:val="000E131F"/>
    <w:rsid w:val="000E3E4D"/>
    <w:rsid w:val="000F7EAD"/>
    <w:rsid w:val="00100162"/>
    <w:rsid w:val="00101F14"/>
    <w:rsid w:val="001103E9"/>
    <w:rsid w:val="00121089"/>
    <w:rsid w:val="00127076"/>
    <w:rsid w:val="00127091"/>
    <w:rsid w:val="001428E8"/>
    <w:rsid w:val="001433B6"/>
    <w:rsid w:val="001478FA"/>
    <w:rsid w:val="00147B3A"/>
    <w:rsid w:val="0015110D"/>
    <w:rsid w:val="00152C8E"/>
    <w:rsid w:val="00154B10"/>
    <w:rsid w:val="001576C1"/>
    <w:rsid w:val="0016065A"/>
    <w:rsid w:val="00180C27"/>
    <w:rsid w:val="00184120"/>
    <w:rsid w:val="00184A26"/>
    <w:rsid w:val="00185649"/>
    <w:rsid w:val="00185BEE"/>
    <w:rsid w:val="00190522"/>
    <w:rsid w:val="00190D4F"/>
    <w:rsid w:val="0019146B"/>
    <w:rsid w:val="00192383"/>
    <w:rsid w:val="00196FC6"/>
    <w:rsid w:val="00197295"/>
    <w:rsid w:val="001A161B"/>
    <w:rsid w:val="001A46F5"/>
    <w:rsid w:val="001A6652"/>
    <w:rsid w:val="001B3BB6"/>
    <w:rsid w:val="001B5A2D"/>
    <w:rsid w:val="001B7223"/>
    <w:rsid w:val="001D551E"/>
    <w:rsid w:val="00200CD4"/>
    <w:rsid w:val="0020169C"/>
    <w:rsid w:val="002063A3"/>
    <w:rsid w:val="00220AC2"/>
    <w:rsid w:val="00226F65"/>
    <w:rsid w:val="00233D6B"/>
    <w:rsid w:val="00235BB1"/>
    <w:rsid w:val="002361FD"/>
    <w:rsid w:val="00236A31"/>
    <w:rsid w:val="002404DB"/>
    <w:rsid w:val="0024673E"/>
    <w:rsid w:val="002502C9"/>
    <w:rsid w:val="0025570F"/>
    <w:rsid w:val="0026617E"/>
    <w:rsid w:val="00271D58"/>
    <w:rsid w:val="002740EA"/>
    <w:rsid w:val="002767AB"/>
    <w:rsid w:val="00280050"/>
    <w:rsid w:val="002873E9"/>
    <w:rsid w:val="00287618"/>
    <w:rsid w:val="0029096F"/>
    <w:rsid w:val="002A4AE5"/>
    <w:rsid w:val="002A6831"/>
    <w:rsid w:val="002B7B2B"/>
    <w:rsid w:val="002C233E"/>
    <w:rsid w:val="002C3286"/>
    <w:rsid w:val="002C4B38"/>
    <w:rsid w:val="002D289F"/>
    <w:rsid w:val="002D4D67"/>
    <w:rsid w:val="002D7216"/>
    <w:rsid w:val="002E357C"/>
    <w:rsid w:val="002F21A9"/>
    <w:rsid w:val="002F6385"/>
    <w:rsid w:val="002F64F4"/>
    <w:rsid w:val="0030135D"/>
    <w:rsid w:val="0030297D"/>
    <w:rsid w:val="00304CAD"/>
    <w:rsid w:val="0030566C"/>
    <w:rsid w:val="003102B4"/>
    <w:rsid w:val="00327244"/>
    <w:rsid w:val="00331427"/>
    <w:rsid w:val="0033446A"/>
    <w:rsid w:val="00335193"/>
    <w:rsid w:val="003367A6"/>
    <w:rsid w:val="0033723A"/>
    <w:rsid w:val="00346A5E"/>
    <w:rsid w:val="00350116"/>
    <w:rsid w:val="00350462"/>
    <w:rsid w:val="003606DF"/>
    <w:rsid w:val="00361159"/>
    <w:rsid w:val="0036364F"/>
    <w:rsid w:val="00363A81"/>
    <w:rsid w:val="00363C13"/>
    <w:rsid w:val="00364572"/>
    <w:rsid w:val="00376D8E"/>
    <w:rsid w:val="00380C41"/>
    <w:rsid w:val="0038200E"/>
    <w:rsid w:val="0039109A"/>
    <w:rsid w:val="003925C1"/>
    <w:rsid w:val="003972AF"/>
    <w:rsid w:val="003A16D1"/>
    <w:rsid w:val="003A3941"/>
    <w:rsid w:val="003A4365"/>
    <w:rsid w:val="003B01B6"/>
    <w:rsid w:val="003B7ACB"/>
    <w:rsid w:val="003C2446"/>
    <w:rsid w:val="003D3FA8"/>
    <w:rsid w:val="003D73AC"/>
    <w:rsid w:val="003F012D"/>
    <w:rsid w:val="003F30A2"/>
    <w:rsid w:val="003F39D1"/>
    <w:rsid w:val="003F514C"/>
    <w:rsid w:val="003F68CD"/>
    <w:rsid w:val="003F6F48"/>
    <w:rsid w:val="004005A3"/>
    <w:rsid w:val="0040465F"/>
    <w:rsid w:val="0040578F"/>
    <w:rsid w:val="0040704F"/>
    <w:rsid w:val="0041565A"/>
    <w:rsid w:val="0041660D"/>
    <w:rsid w:val="004209FC"/>
    <w:rsid w:val="0042180F"/>
    <w:rsid w:val="00427239"/>
    <w:rsid w:val="00442137"/>
    <w:rsid w:val="00452657"/>
    <w:rsid w:val="00452A33"/>
    <w:rsid w:val="00453E2F"/>
    <w:rsid w:val="00456C1C"/>
    <w:rsid w:val="00460385"/>
    <w:rsid w:val="00464A8F"/>
    <w:rsid w:val="00465156"/>
    <w:rsid w:val="00481338"/>
    <w:rsid w:val="00482120"/>
    <w:rsid w:val="004A2E61"/>
    <w:rsid w:val="004A45B7"/>
    <w:rsid w:val="004A45BE"/>
    <w:rsid w:val="004A6919"/>
    <w:rsid w:val="004B25DE"/>
    <w:rsid w:val="004C02B7"/>
    <w:rsid w:val="004C04C4"/>
    <w:rsid w:val="004C2E65"/>
    <w:rsid w:val="004C3234"/>
    <w:rsid w:val="004C4F40"/>
    <w:rsid w:val="004D1504"/>
    <w:rsid w:val="004D51F9"/>
    <w:rsid w:val="004D5DFC"/>
    <w:rsid w:val="004E0DA2"/>
    <w:rsid w:val="004E33D9"/>
    <w:rsid w:val="004F31A3"/>
    <w:rsid w:val="004F7EC9"/>
    <w:rsid w:val="0050644B"/>
    <w:rsid w:val="005144DE"/>
    <w:rsid w:val="00520FD7"/>
    <w:rsid w:val="0052274F"/>
    <w:rsid w:val="0052515A"/>
    <w:rsid w:val="00525406"/>
    <w:rsid w:val="00537CAF"/>
    <w:rsid w:val="00545A4C"/>
    <w:rsid w:val="00545F33"/>
    <w:rsid w:val="0055209F"/>
    <w:rsid w:val="00562A2C"/>
    <w:rsid w:val="00566CF9"/>
    <w:rsid w:val="00572CA8"/>
    <w:rsid w:val="005768FF"/>
    <w:rsid w:val="00582405"/>
    <w:rsid w:val="005837E9"/>
    <w:rsid w:val="005842D9"/>
    <w:rsid w:val="00594633"/>
    <w:rsid w:val="005968B9"/>
    <w:rsid w:val="005A6E84"/>
    <w:rsid w:val="005B18B5"/>
    <w:rsid w:val="005B5A58"/>
    <w:rsid w:val="005D0158"/>
    <w:rsid w:val="005D23BC"/>
    <w:rsid w:val="005D3AE3"/>
    <w:rsid w:val="005D5373"/>
    <w:rsid w:val="005E1CFB"/>
    <w:rsid w:val="005E55C3"/>
    <w:rsid w:val="006145BC"/>
    <w:rsid w:val="00617379"/>
    <w:rsid w:val="006224A3"/>
    <w:rsid w:val="006227EF"/>
    <w:rsid w:val="006429A1"/>
    <w:rsid w:val="006437E6"/>
    <w:rsid w:val="00645FFC"/>
    <w:rsid w:val="006535AD"/>
    <w:rsid w:val="00664053"/>
    <w:rsid w:val="00665487"/>
    <w:rsid w:val="0066692F"/>
    <w:rsid w:val="00675CA7"/>
    <w:rsid w:val="00675D36"/>
    <w:rsid w:val="0067605B"/>
    <w:rsid w:val="006A4ED3"/>
    <w:rsid w:val="006A6918"/>
    <w:rsid w:val="006A7AD2"/>
    <w:rsid w:val="006B6F06"/>
    <w:rsid w:val="006C4413"/>
    <w:rsid w:val="006D39C5"/>
    <w:rsid w:val="006D4918"/>
    <w:rsid w:val="006D66B3"/>
    <w:rsid w:val="006E2A1C"/>
    <w:rsid w:val="006E5EF9"/>
    <w:rsid w:val="006F4103"/>
    <w:rsid w:val="00703858"/>
    <w:rsid w:val="00710EDC"/>
    <w:rsid w:val="007221F2"/>
    <w:rsid w:val="00722A2C"/>
    <w:rsid w:val="00724049"/>
    <w:rsid w:val="007259DB"/>
    <w:rsid w:val="0072748D"/>
    <w:rsid w:val="00730CAD"/>
    <w:rsid w:val="0073306C"/>
    <w:rsid w:val="00740188"/>
    <w:rsid w:val="0075329F"/>
    <w:rsid w:val="0075425C"/>
    <w:rsid w:val="00757C69"/>
    <w:rsid w:val="00765B2C"/>
    <w:rsid w:val="00770FA6"/>
    <w:rsid w:val="00771183"/>
    <w:rsid w:val="00774024"/>
    <w:rsid w:val="00775F2B"/>
    <w:rsid w:val="0078176D"/>
    <w:rsid w:val="0079182B"/>
    <w:rsid w:val="00793E46"/>
    <w:rsid w:val="007A745E"/>
    <w:rsid w:val="007B6140"/>
    <w:rsid w:val="007B7090"/>
    <w:rsid w:val="007B7B82"/>
    <w:rsid w:val="007D2081"/>
    <w:rsid w:val="007D5F3B"/>
    <w:rsid w:val="007D6FD8"/>
    <w:rsid w:val="007E431A"/>
    <w:rsid w:val="007F4B32"/>
    <w:rsid w:val="007F7E50"/>
    <w:rsid w:val="0082744D"/>
    <w:rsid w:val="00834352"/>
    <w:rsid w:val="0083620E"/>
    <w:rsid w:val="00836A15"/>
    <w:rsid w:val="008402B1"/>
    <w:rsid w:val="00843ABD"/>
    <w:rsid w:val="00844500"/>
    <w:rsid w:val="00850124"/>
    <w:rsid w:val="008605C6"/>
    <w:rsid w:val="00863E20"/>
    <w:rsid w:val="00864A18"/>
    <w:rsid w:val="00866922"/>
    <w:rsid w:val="008713D0"/>
    <w:rsid w:val="00871BB3"/>
    <w:rsid w:val="00877E21"/>
    <w:rsid w:val="00884F92"/>
    <w:rsid w:val="0088757D"/>
    <w:rsid w:val="008B20F8"/>
    <w:rsid w:val="008C05F0"/>
    <w:rsid w:val="008D6CD3"/>
    <w:rsid w:val="008E070A"/>
    <w:rsid w:val="008E18C6"/>
    <w:rsid w:val="008E5439"/>
    <w:rsid w:val="008E5820"/>
    <w:rsid w:val="008F23E6"/>
    <w:rsid w:val="008F56AC"/>
    <w:rsid w:val="008F7109"/>
    <w:rsid w:val="00900C04"/>
    <w:rsid w:val="0090168B"/>
    <w:rsid w:val="00926D1B"/>
    <w:rsid w:val="00930344"/>
    <w:rsid w:val="009347CA"/>
    <w:rsid w:val="00953972"/>
    <w:rsid w:val="00955904"/>
    <w:rsid w:val="009605B1"/>
    <w:rsid w:val="00961CD2"/>
    <w:rsid w:val="0097510A"/>
    <w:rsid w:val="00975B6D"/>
    <w:rsid w:val="00976372"/>
    <w:rsid w:val="00977DCD"/>
    <w:rsid w:val="0098342D"/>
    <w:rsid w:val="009868DE"/>
    <w:rsid w:val="009A12F6"/>
    <w:rsid w:val="009A26BE"/>
    <w:rsid w:val="009A713B"/>
    <w:rsid w:val="009B20B1"/>
    <w:rsid w:val="009B77EC"/>
    <w:rsid w:val="009B7DA4"/>
    <w:rsid w:val="009C0554"/>
    <w:rsid w:val="009C0D06"/>
    <w:rsid w:val="009C4E40"/>
    <w:rsid w:val="009C5651"/>
    <w:rsid w:val="009D4622"/>
    <w:rsid w:val="009D517C"/>
    <w:rsid w:val="009D5D20"/>
    <w:rsid w:val="009E3FC7"/>
    <w:rsid w:val="009E5778"/>
    <w:rsid w:val="00A02077"/>
    <w:rsid w:val="00A05B4D"/>
    <w:rsid w:val="00A20904"/>
    <w:rsid w:val="00A20F0A"/>
    <w:rsid w:val="00A22D9D"/>
    <w:rsid w:val="00A3154A"/>
    <w:rsid w:val="00A34639"/>
    <w:rsid w:val="00A35344"/>
    <w:rsid w:val="00A435D2"/>
    <w:rsid w:val="00A43675"/>
    <w:rsid w:val="00A43CE3"/>
    <w:rsid w:val="00A47364"/>
    <w:rsid w:val="00A57811"/>
    <w:rsid w:val="00A6304B"/>
    <w:rsid w:val="00A76BFB"/>
    <w:rsid w:val="00A77FE6"/>
    <w:rsid w:val="00A8159D"/>
    <w:rsid w:val="00A837E9"/>
    <w:rsid w:val="00A84D22"/>
    <w:rsid w:val="00A85A92"/>
    <w:rsid w:val="00A86E10"/>
    <w:rsid w:val="00A8713F"/>
    <w:rsid w:val="00A9247E"/>
    <w:rsid w:val="00A93733"/>
    <w:rsid w:val="00AA209E"/>
    <w:rsid w:val="00AA35E4"/>
    <w:rsid w:val="00AA7B89"/>
    <w:rsid w:val="00AB7CE4"/>
    <w:rsid w:val="00AC006D"/>
    <w:rsid w:val="00AD1531"/>
    <w:rsid w:val="00AE2385"/>
    <w:rsid w:val="00AE25CD"/>
    <w:rsid w:val="00AE474C"/>
    <w:rsid w:val="00AE6358"/>
    <w:rsid w:val="00AE7905"/>
    <w:rsid w:val="00AF02AD"/>
    <w:rsid w:val="00AF6AE3"/>
    <w:rsid w:val="00B1013C"/>
    <w:rsid w:val="00B101EA"/>
    <w:rsid w:val="00B1021E"/>
    <w:rsid w:val="00B10A36"/>
    <w:rsid w:val="00B11F08"/>
    <w:rsid w:val="00B147E8"/>
    <w:rsid w:val="00B16E66"/>
    <w:rsid w:val="00B22A1F"/>
    <w:rsid w:val="00B25C43"/>
    <w:rsid w:val="00B313D8"/>
    <w:rsid w:val="00B644B1"/>
    <w:rsid w:val="00B6781C"/>
    <w:rsid w:val="00B72E26"/>
    <w:rsid w:val="00B759D1"/>
    <w:rsid w:val="00B81B77"/>
    <w:rsid w:val="00B81CE1"/>
    <w:rsid w:val="00B8306A"/>
    <w:rsid w:val="00B936AF"/>
    <w:rsid w:val="00BA4A73"/>
    <w:rsid w:val="00BB1923"/>
    <w:rsid w:val="00BB494A"/>
    <w:rsid w:val="00BC1D2B"/>
    <w:rsid w:val="00BD0CAF"/>
    <w:rsid w:val="00BD31A0"/>
    <w:rsid w:val="00BD45F6"/>
    <w:rsid w:val="00BD49E4"/>
    <w:rsid w:val="00BE0612"/>
    <w:rsid w:val="00BE17F3"/>
    <w:rsid w:val="00BE3C66"/>
    <w:rsid w:val="00BE6B22"/>
    <w:rsid w:val="00BE6C95"/>
    <w:rsid w:val="00BE7F4C"/>
    <w:rsid w:val="00BF30A1"/>
    <w:rsid w:val="00BF3F90"/>
    <w:rsid w:val="00C01BD4"/>
    <w:rsid w:val="00C0322B"/>
    <w:rsid w:val="00C03EA3"/>
    <w:rsid w:val="00C04C08"/>
    <w:rsid w:val="00C17344"/>
    <w:rsid w:val="00C17CFD"/>
    <w:rsid w:val="00C22C18"/>
    <w:rsid w:val="00C22E7E"/>
    <w:rsid w:val="00C2330C"/>
    <w:rsid w:val="00C36B9A"/>
    <w:rsid w:val="00C408C2"/>
    <w:rsid w:val="00C40BB7"/>
    <w:rsid w:val="00C53225"/>
    <w:rsid w:val="00C544A6"/>
    <w:rsid w:val="00C57631"/>
    <w:rsid w:val="00C618F1"/>
    <w:rsid w:val="00C70EEE"/>
    <w:rsid w:val="00C71003"/>
    <w:rsid w:val="00C83063"/>
    <w:rsid w:val="00C96E92"/>
    <w:rsid w:val="00CA45B4"/>
    <w:rsid w:val="00CB0E4C"/>
    <w:rsid w:val="00CB5480"/>
    <w:rsid w:val="00CC1A27"/>
    <w:rsid w:val="00CE0FBC"/>
    <w:rsid w:val="00CF2C5F"/>
    <w:rsid w:val="00CF64AF"/>
    <w:rsid w:val="00D04110"/>
    <w:rsid w:val="00D14499"/>
    <w:rsid w:val="00D20591"/>
    <w:rsid w:val="00D2095C"/>
    <w:rsid w:val="00D239B0"/>
    <w:rsid w:val="00D24B27"/>
    <w:rsid w:val="00D308B0"/>
    <w:rsid w:val="00D32DD1"/>
    <w:rsid w:val="00D37E9F"/>
    <w:rsid w:val="00D41893"/>
    <w:rsid w:val="00D42087"/>
    <w:rsid w:val="00D42274"/>
    <w:rsid w:val="00D45C93"/>
    <w:rsid w:val="00D4634B"/>
    <w:rsid w:val="00D543CF"/>
    <w:rsid w:val="00D54F7C"/>
    <w:rsid w:val="00D63CC6"/>
    <w:rsid w:val="00D74BAA"/>
    <w:rsid w:val="00D75293"/>
    <w:rsid w:val="00D8039E"/>
    <w:rsid w:val="00D92EDA"/>
    <w:rsid w:val="00DA060D"/>
    <w:rsid w:val="00DA35B0"/>
    <w:rsid w:val="00DB1744"/>
    <w:rsid w:val="00DB2D31"/>
    <w:rsid w:val="00DB2D53"/>
    <w:rsid w:val="00DB3913"/>
    <w:rsid w:val="00DC682A"/>
    <w:rsid w:val="00DC7F76"/>
    <w:rsid w:val="00DD0A06"/>
    <w:rsid w:val="00DD355D"/>
    <w:rsid w:val="00DD442F"/>
    <w:rsid w:val="00DE012B"/>
    <w:rsid w:val="00DE1E61"/>
    <w:rsid w:val="00DE1F4E"/>
    <w:rsid w:val="00DF41F5"/>
    <w:rsid w:val="00DF7014"/>
    <w:rsid w:val="00E00CD3"/>
    <w:rsid w:val="00E00F61"/>
    <w:rsid w:val="00E06B12"/>
    <w:rsid w:val="00E103B8"/>
    <w:rsid w:val="00E11705"/>
    <w:rsid w:val="00E30751"/>
    <w:rsid w:val="00E3095B"/>
    <w:rsid w:val="00E327F0"/>
    <w:rsid w:val="00E423DF"/>
    <w:rsid w:val="00E42475"/>
    <w:rsid w:val="00E4636A"/>
    <w:rsid w:val="00E46807"/>
    <w:rsid w:val="00E4796D"/>
    <w:rsid w:val="00E52F53"/>
    <w:rsid w:val="00E6158B"/>
    <w:rsid w:val="00E648CA"/>
    <w:rsid w:val="00E74BA7"/>
    <w:rsid w:val="00E77871"/>
    <w:rsid w:val="00E87123"/>
    <w:rsid w:val="00E9224A"/>
    <w:rsid w:val="00E9713E"/>
    <w:rsid w:val="00E97174"/>
    <w:rsid w:val="00EA1C3F"/>
    <w:rsid w:val="00EA7B42"/>
    <w:rsid w:val="00EB036B"/>
    <w:rsid w:val="00EB601C"/>
    <w:rsid w:val="00EB7E13"/>
    <w:rsid w:val="00EC00B9"/>
    <w:rsid w:val="00EC2275"/>
    <w:rsid w:val="00EE3859"/>
    <w:rsid w:val="00EE3C12"/>
    <w:rsid w:val="00EE6933"/>
    <w:rsid w:val="00EF12E1"/>
    <w:rsid w:val="00EF2716"/>
    <w:rsid w:val="00EF5CF8"/>
    <w:rsid w:val="00F10956"/>
    <w:rsid w:val="00F14D6C"/>
    <w:rsid w:val="00F16239"/>
    <w:rsid w:val="00F171B7"/>
    <w:rsid w:val="00F17A74"/>
    <w:rsid w:val="00F20898"/>
    <w:rsid w:val="00F21590"/>
    <w:rsid w:val="00F22538"/>
    <w:rsid w:val="00F24CD6"/>
    <w:rsid w:val="00F351F1"/>
    <w:rsid w:val="00F3670D"/>
    <w:rsid w:val="00F422D7"/>
    <w:rsid w:val="00F43168"/>
    <w:rsid w:val="00F45FFA"/>
    <w:rsid w:val="00F47AD7"/>
    <w:rsid w:val="00F507B7"/>
    <w:rsid w:val="00F510E6"/>
    <w:rsid w:val="00F55616"/>
    <w:rsid w:val="00F6064F"/>
    <w:rsid w:val="00F629FF"/>
    <w:rsid w:val="00F708D7"/>
    <w:rsid w:val="00F73545"/>
    <w:rsid w:val="00F74075"/>
    <w:rsid w:val="00F7499D"/>
    <w:rsid w:val="00F77C08"/>
    <w:rsid w:val="00F80843"/>
    <w:rsid w:val="00F81844"/>
    <w:rsid w:val="00F9302C"/>
    <w:rsid w:val="00F954E4"/>
    <w:rsid w:val="00F96A49"/>
    <w:rsid w:val="00F97512"/>
    <w:rsid w:val="00FA6D96"/>
    <w:rsid w:val="00FA6D97"/>
    <w:rsid w:val="00FA7BD3"/>
    <w:rsid w:val="00FC037C"/>
    <w:rsid w:val="00FC5ECE"/>
    <w:rsid w:val="00FD11EA"/>
    <w:rsid w:val="00FD36FE"/>
    <w:rsid w:val="00FD4223"/>
    <w:rsid w:val="00FD5021"/>
    <w:rsid w:val="00FE257E"/>
    <w:rsid w:val="00FE38B4"/>
    <w:rsid w:val="00FF5B76"/>
    <w:rsid w:val="00FF78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8DB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B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B22"/>
  </w:style>
  <w:style w:type="paragraph" w:styleId="Footer">
    <w:name w:val="footer"/>
    <w:basedOn w:val="Normal"/>
    <w:link w:val="FooterChar"/>
    <w:uiPriority w:val="99"/>
    <w:unhideWhenUsed/>
    <w:rsid w:val="00BE6B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B22"/>
  </w:style>
  <w:style w:type="table" w:styleId="TableGrid">
    <w:name w:val="Table Grid"/>
    <w:basedOn w:val="TableNormal"/>
    <w:uiPriority w:val="39"/>
    <w:rsid w:val="00FE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ckboxes">
    <w:name w:val="Tick boxes"/>
    <w:basedOn w:val="Normal"/>
    <w:link w:val="TickboxesChar"/>
    <w:qFormat/>
    <w:rsid w:val="000627EF"/>
    <w:pPr>
      <w:spacing w:after="0" w:line="240" w:lineRule="auto"/>
      <w:ind w:left="360"/>
    </w:pPr>
    <w:rPr>
      <w:rFonts w:asciiTheme="minorHAnsi" w:hAnsiTheme="minorHAnsi" w:cstheme="minorBidi"/>
      <w:bCs/>
      <w:sz w:val="20"/>
      <w:szCs w:val="20"/>
    </w:rPr>
  </w:style>
  <w:style w:type="character" w:customStyle="1" w:styleId="TickboxesChar">
    <w:name w:val="Tick boxes Char"/>
    <w:basedOn w:val="DefaultParagraphFont"/>
    <w:link w:val="Tickboxes"/>
    <w:rsid w:val="000627EF"/>
    <w:rPr>
      <w:rFonts w:asciiTheme="minorHAnsi" w:hAnsiTheme="minorHAnsi" w:cstheme="minorBidi"/>
      <w:bCs/>
      <w:sz w:val="20"/>
      <w:szCs w:val="20"/>
    </w:rPr>
  </w:style>
  <w:style w:type="paragraph" w:styleId="NormalWeb">
    <w:name w:val="Normal (Web)"/>
    <w:basedOn w:val="Normal"/>
    <w:uiPriority w:val="99"/>
    <w:semiHidden/>
    <w:unhideWhenUsed/>
    <w:rsid w:val="000627EF"/>
    <w:pPr>
      <w:spacing w:before="100" w:beforeAutospacing="1" w:after="100" w:afterAutospacing="1" w:line="240" w:lineRule="auto"/>
    </w:pPr>
    <w:rPr>
      <w:rFonts w:eastAsia="Times New Roman"/>
      <w:lang w:eastAsia="en-AU"/>
    </w:rPr>
  </w:style>
  <w:style w:type="character" w:styleId="CommentReference">
    <w:name w:val="annotation reference"/>
    <w:basedOn w:val="DefaultParagraphFont"/>
    <w:uiPriority w:val="99"/>
    <w:semiHidden/>
    <w:unhideWhenUsed/>
    <w:rsid w:val="005D23BC"/>
    <w:rPr>
      <w:sz w:val="16"/>
      <w:szCs w:val="16"/>
    </w:rPr>
  </w:style>
  <w:style w:type="paragraph" w:styleId="CommentText">
    <w:name w:val="annotation text"/>
    <w:basedOn w:val="Normal"/>
    <w:link w:val="CommentTextChar"/>
    <w:uiPriority w:val="99"/>
    <w:unhideWhenUsed/>
    <w:rsid w:val="005D23BC"/>
    <w:pPr>
      <w:spacing w:line="240" w:lineRule="auto"/>
    </w:pPr>
    <w:rPr>
      <w:sz w:val="20"/>
      <w:szCs w:val="20"/>
    </w:rPr>
  </w:style>
  <w:style w:type="character" w:customStyle="1" w:styleId="CommentTextChar">
    <w:name w:val="Comment Text Char"/>
    <w:basedOn w:val="DefaultParagraphFont"/>
    <w:link w:val="CommentText"/>
    <w:uiPriority w:val="99"/>
    <w:rsid w:val="005D23BC"/>
    <w:rPr>
      <w:sz w:val="20"/>
      <w:szCs w:val="20"/>
    </w:rPr>
  </w:style>
  <w:style w:type="paragraph" w:styleId="CommentSubject">
    <w:name w:val="annotation subject"/>
    <w:basedOn w:val="CommentText"/>
    <w:next w:val="CommentText"/>
    <w:link w:val="CommentSubjectChar"/>
    <w:uiPriority w:val="99"/>
    <w:semiHidden/>
    <w:unhideWhenUsed/>
    <w:rsid w:val="005D23BC"/>
    <w:rPr>
      <w:b/>
      <w:bCs/>
    </w:rPr>
  </w:style>
  <w:style w:type="character" w:customStyle="1" w:styleId="CommentSubjectChar">
    <w:name w:val="Comment Subject Char"/>
    <w:basedOn w:val="CommentTextChar"/>
    <w:link w:val="CommentSubject"/>
    <w:uiPriority w:val="99"/>
    <w:semiHidden/>
    <w:rsid w:val="005D23BC"/>
    <w:rPr>
      <w:b/>
      <w:bCs/>
      <w:sz w:val="20"/>
      <w:szCs w:val="20"/>
    </w:rPr>
  </w:style>
  <w:style w:type="paragraph" w:customStyle="1" w:styleId="Responsetext">
    <w:name w:val="Response text"/>
    <w:basedOn w:val="Normal"/>
    <w:link w:val="ResponsetextChar"/>
    <w:qFormat/>
    <w:rsid w:val="003102B4"/>
    <w:pPr>
      <w:spacing w:after="120" w:line="240" w:lineRule="auto"/>
    </w:pPr>
    <w:rPr>
      <w:rFonts w:ascii="Segoe UI" w:hAnsi="Segoe UI" w:cs="Segoe UI"/>
      <w:sz w:val="22"/>
      <w:szCs w:val="22"/>
    </w:rPr>
  </w:style>
  <w:style w:type="character" w:customStyle="1" w:styleId="ResponsetextChar">
    <w:name w:val="Response text Char"/>
    <w:basedOn w:val="DefaultParagraphFont"/>
    <w:link w:val="Responsetext"/>
    <w:rsid w:val="003102B4"/>
    <w:rPr>
      <w:rFonts w:ascii="Segoe UI" w:hAnsi="Segoe UI" w:cs="Segoe UI"/>
      <w:sz w:val="22"/>
      <w:szCs w:val="22"/>
    </w:rPr>
  </w:style>
  <w:style w:type="paragraph" w:customStyle="1" w:styleId="EndNoteBibliographyTitle">
    <w:name w:val="EndNote Bibliography Title"/>
    <w:basedOn w:val="Normal"/>
    <w:link w:val="EndNoteBibliographyTitleChar"/>
    <w:rsid w:val="00464A8F"/>
    <w:pPr>
      <w:spacing w:after="0"/>
      <w:jc w:val="center"/>
    </w:pPr>
    <w:rPr>
      <w:noProof/>
      <w:lang w:val="en-US"/>
    </w:rPr>
  </w:style>
  <w:style w:type="character" w:customStyle="1" w:styleId="EndNoteBibliographyTitleChar">
    <w:name w:val="EndNote Bibliography Title Char"/>
    <w:basedOn w:val="ResponsetextChar"/>
    <w:link w:val="EndNoteBibliographyTitle"/>
    <w:rsid w:val="00464A8F"/>
    <w:rPr>
      <w:rFonts w:ascii="Segoe UI" w:hAnsi="Segoe UI" w:cs="Segoe UI"/>
      <w:noProof/>
      <w:sz w:val="22"/>
      <w:szCs w:val="22"/>
      <w:lang w:val="en-US"/>
    </w:rPr>
  </w:style>
  <w:style w:type="paragraph" w:customStyle="1" w:styleId="EndNoteBibliography">
    <w:name w:val="EndNote Bibliography"/>
    <w:basedOn w:val="Normal"/>
    <w:link w:val="EndNoteBibliographyChar"/>
    <w:rsid w:val="00464A8F"/>
    <w:pPr>
      <w:spacing w:line="240" w:lineRule="auto"/>
    </w:pPr>
    <w:rPr>
      <w:noProof/>
      <w:lang w:val="en-US"/>
    </w:rPr>
  </w:style>
  <w:style w:type="character" w:customStyle="1" w:styleId="EndNoteBibliographyChar">
    <w:name w:val="EndNote Bibliography Char"/>
    <w:basedOn w:val="ResponsetextChar"/>
    <w:link w:val="EndNoteBibliography"/>
    <w:rsid w:val="00464A8F"/>
    <w:rPr>
      <w:rFonts w:ascii="Segoe UI" w:hAnsi="Segoe UI" w:cs="Segoe UI"/>
      <w:noProof/>
      <w:sz w:val="22"/>
      <w:szCs w:val="22"/>
      <w:lang w:val="en-US"/>
    </w:rPr>
  </w:style>
  <w:style w:type="character" w:styleId="Hyperlink">
    <w:name w:val="Hyperlink"/>
    <w:basedOn w:val="DefaultParagraphFont"/>
    <w:uiPriority w:val="99"/>
    <w:unhideWhenUsed/>
    <w:rsid w:val="00121089"/>
    <w:rPr>
      <w:color w:val="0563C1" w:themeColor="hyperlink"/>
      <w:u w:val="single"/>
    </w:rPr>
  </w:style>
  <w:style w:type="character" w:styleId="UnresolvedMention">
    <w:name w:val="Unresolved Mention"/>
    <w:basedOn w:val="DefaultParagraphFont"/>
    <w:uiPriority w:val="99"/>
    <w:semiHidden/>
    <w:unhideWhenUsed/>
    <w:rsid w:val="00121089"/>
    <w:rPr>
      <w:color w:val="605E5C"/>
      <w:shd w:val="clear" w:color="auto" w:fill="E1DFDD"/>
    </w:rPr>
  </w:style>
  <w:style w:type="paragraph" w:customStyle="1" w:styleId="PBSnormal">
    <w:name w:val="PBS normal"/>
    <w:basedOn w:val="Normal"/>
    <w:link w:val="PBSnormalChar"/>
    <w:rsid w:val="00E3095B"/>
    <w:pPr>
      <w:spacing w:before="120" w:after="120" w:line="360" w:lineRule="auto"/>
      <w:jc w:val="both"/>
    </w:pPr>
    <w:rPr>
      <w:rFonts w:ascii="Arial" w:eastAsia="Times New Roman" w:hAnsi="Arial"/>
      <w:sz w:val="22"/>
      <w:szCs w:val="20"/>
      <w:lang w:eastAsia="en-AU"/>
    </w:rPr>
  </w:style>
  <w:style w:type="character" w:customStyle="1" w:styleId="PBSnormalChar">
    <w:name w:val="PBS normal Char"/>
    <w:basedOn w:val="DefaultParagraphFont"/>
    <w:link w:val="PBSnormal"/>
    <w:rsid w:val="00E3095B"/>
    <w:rPr>
      <w:rFonts w:ascii="Arial" w:eastAsia="Times New Roman" w:hAnsi="Arial"/>
      <w:sz w:val="22"/>
      <w:szCs w:val="20"/>
      <w:lang w:eastAsia="en-AU"/>
    </w:rPr>
  </w:style>
  <w:style w:type="paragraph" w:customStyle="1" w:styleId="Bulletpoints">
    <w:name w:val="Bullet points"/>
    <w:basedOn w:val="ListParagraph"/>
    <w:qFormat/>
    <w:rsid w:val="00E3095B"/>
    <w:pPr>
      <w:numPr>
        <w:numId w:val="1"/>
      </w:numPr>
      <w:tabs>
        <w:tab w:val="num" w:pos="360"/>
      </w:tabs>
      <w:spacing w:after="120" w:line="360" w:lineRule="auto"/>
      <w:ind w:firstLine="0"/>
    </w:pPr>
    <w:rPr>
      <w:rFonts w:ascii="Arial" w:eastAsia="Times New Roman" w:hAnsi="Arial" w:cs="Arial"/>
      <w:snapToGrid w:val="0"/>
      <w:color w:val="000000" w:themeColor="text1"/>
      <w:sz w:val="22"/>
      <w:szCs w:val="22"/>
      <w:lang w:eastAsia="en-AU"/>
    </w:rPr>
  </w:style>
  <w:style w:type="paragraph" w:styleId="ListParagraph">
    <w:name w:val="List Paragraph"/>
    <w:basedOn w:val="Normal"/>
    <w:uiPriority w:val="34"/>
    <w:qFormat/>
    <w:rsid w:val="00E3095B"/>
    <w:pPr>
      <w:ind w:left="720"/>
      <w:contextualSpacing/>
    </w:pPr>
  </w:style>
  <w:style w:type="paragraph" w:customStyle="1" w:styleId="Responsebullet">
    <w:name w:val="Response bullet"/>
    <w:basedOn w:val="Responsetext"/>
    <w:link w:val="ResponsebulletChar"/>
    <w:qFormat/>
    <w:rsid w:val="00E3095B"/>
    <w:pPr>
      <w:numPr>
        <w:numId w:val="2"/>
      </w:numPr>
    </w:pPr>
  </w:style>
  <w:style w:type="paragraph" w:customStyle="1" w:styleId="Responsebold">
    <w:name w:val="Response bold"/>
    <w:basedOn w:val="Responsetext"/>
    <w:link w:val="ResponseboldChar"/>
    <w:qFormat/>
    <w:rsid w:val="000E131F"/>
    <w:rPr>
      <w:b/>
      <w:bCs/>
    </w:rPr>
  </w:style>
  <w:style w:type="character" w:customStyle="1" w:styleId="ResponsebulletChar">
    <w:name w:val="Response bullet Char"/>
    <w:basedOn w:val="ResponsetextChar"/>
    <w:link w:val="Responsebullet"/>
    <w:rsid w:val="00E3095B"/>
    <w:rPr>
      <w:rFonts w:ascii="Segoe UI" w:hAnsi="Segoe UI" w:cs="Segoe UI"/>
      <w:sz w:val="22"/>
      <w:szCs w:val="22"/>
    </w:rPr>
  </w:style>
  <w:style w:type="paragraph" w:styleId="Caption">
    <w:name w:val="caption"/>
    <w:basedOn w:val="Normal"/>
    <w:next w:val="Normal"/>
    <w:uiPriority w:val="35"/>
    <w:unhideWhenUsed/>
    <w:qFormat/>
    <w:rsid w:val="00E4796D"/>
    <w:pPr>
      <w:spacing w:after="200" w:line="240" w:lineRule="auto"/>
    </w:pPr>
    <w:rPr>
      <w:b/>
      <w:bCs/>
      <w:i/>
      <w:iCs/>
      <w:color w:val="44546A" w:themeColor="text2"/>
      <w:sz w:val="20"/>
      <w:szCs w:val="20"/>
    </w:rPr>
  </w:style>
  <w:style w:type="character" w:customStyle="1" w:styleId="ResponseboldChar">
    <w:name w:val="Response bold Char"/>
    <w:basedOn w:val="ResponsetextChar"/>
    <w:link w:val="Responsebold"/>
    <w:rsid w:val="000E131F"/>
    <w:rPr>
      <w:rFonts w:ascii="Segoe UI" w:hAnsi="Segoe UI" w:cs="Segoe UI"/>
      <w:b/>
      <w:bCs/>
      <w:sz w:val="22"/>
      <w:szCs w:val="22"/>
    </w:rPr>
  </w:style>
  <w:style w:type="paragraph" w:customStyle="1" w:styleId="Footnote">
    <w:name w:val="Footnote"/>
    <w:basedOn w:val="Responsetext"/>
    <w:link w:val="FootnoteChar"/>
    <w:qFormat/>
    <w:rsid w:val="00AE474C"/>
    <w:rPr>
      <w:rFonts w:ascii="Arial Narrow" w:hAnsi="Arial Narrow"/>
      <w:sz w:val="18"/>
      <w:szCs w:val="18"/>
    </w:rPr>
  </w:style>
  <w:style w:type="paragraph" w:customStyle="1" w:styleId="Tabletext">
    <w:name w:val="Table text"/>
    <w:basedOn w:val="Responsetext"/>
    <w:qFormat/>
    <w:rsid w:val="00C408C2"/>
    <w:pPr>
      <w:spacing w:after="0"/>
    </w:pPr>
    <w:rPr>
      <w:rFonts w:ascii="Arial Narrow" w:hAnsi="Arial Narrow"/>
      <w:sz w:val="20"/>
      <w:szCs w:val="20"/>
    </w:rPr>
  </w:style>
  <w:style w:type="character" w:customStyle="1" w:styleId="FootnoteChar">
    <w:name w:val="Footnote Char"/>
    <w:basedOn w:val="ResponsetextChar"/>
    <w:link w:val="Footnote"/>
    <w:rsid w:val="00AE474C"/>
    <w:rPr>
      <w:rFonts w:ascii="Arial Narrow" w:hAnsi="Arial Narrow" w:cs="Segoe UI"/>
      <w:sz w:val="18"/>
      <w:szCs w:val="18"/>
    </w:rPr>
  </w:style>
  <w:style w:type="paragraph" w:customStyle="1" w:styleId="Tableheading">
    <w:name w:val="Table heading"/>
    <w:basedOn w:val="Tabletext"/>
    <w:qFormat/>
    <w:rsid w:val="0030297D"/>
    <w:rPr>
      <w:b/>
      <w:bCs/>
    </w:rPr>
  </w:style>
  <w:style w:type="paragraph" w:customStyle="1" w:styleId="Tablecontent">
    <w:name w:val="Table content"/>
    <w:basedOn w:val="PBSnormal"/>
    <w:link w:val="TablecontentChar"/>
    <w:qFormat/>
    <w:rsid w:val="00C408C2"/>
    <w:pPr>
      <w:spacing w:before="40" w:after="40" w:line="240" w:lineRule="auto"/>
      <w:jc w:val="left"/>
    </w:pPr>
    <w:rPr>
      <w:rFonts w:ascii="Arial Narrow" w:hAnsi="Arial Narrow"/>
      <w:sz w:val="20"/>
      <w:szCs w:val="18"/>
    </w:rPr>
  </w:style>
  <w:style w:type="character" w:customStyle="1" w:styleId="TablecontentChar">
    <w:name w:val="Table content Char"/>
    <w:basedOn w:val="PBSnormalChar"/>
    <w:link w:val="Tablecontent"/>
    <w:rsid w:val="00C408C2"/>
    <w:rPr>
      <w:rFonts w:ascii="Arial Narrow" w:eastAsia="Times New Roman" w:hAnsi="Arial Narrow"/>
      <w:sz w:val="20"/>
      <w:szCs w:val="18"/>
      <w:lang w:eastAsia="en-AU"/>
    </w:rPr>
  </w:style>
  <w:style w:type="paragraph" w:customStyle="1" w:styleId="TableDash">
    <w:name w:val="TableDash"/>
    <w:basedOn w:val="Normal"/>
    <w:link w:val="TableDashChar"/>
    <w:rsid w:val="00C408C2"/>
    <w:pPr>
      <w:keepNext/>
      <w:spacing w:before="40" w:after="40" w:line="240" w:lineRule="auto"/>
      <w:ind w:left="360" w:hanging="360"/>
    </w:pPr>
    <w:rPr>
      <w:rFonts w:ascii="Arial" w:eastAsia="Times New Roman" w:hAnsi="Arial" w:cs="TimesNewRomanPSMT"/>
      <w:sz w:val="20"/>
      <w:szCs w:val="20"/>
    </w:rPr>
  </w:style>
  <w:style w:type="character" w:customStyle="1" w:styleId="TableDashChar">
    <w:name w:val="TableDash Char"/>
    <w:basedOn w:val="DefaultParagraphFont"/>
    <w:link w:val="TableDash"/>
    <w:rsid w:val="00C408C2"/>
    <w:rPr>
      <w:rFonts w:ascii="Arial" w:eastAsia="Times New Roman" w:hAnsi="Arial" w:cs="TimesNewRomanPSMT"/>
      <w:sz w:val="20"/>
      <w:szCs w:val="20"/>
    </w:rPr>
  </w:style>
  <w:style w:type="paragraph" w:customStyle="1" w:styleId="Raised">
    <w:name w:val="Raised"/>
    <w:basedOn w:val="Normal"/>
    <w:rsid w:val="00C408C2"/>
    <w:pPr>
      <w:spacing w:after="0" w:line="240" w:lineRule="auto"/>
      <w:ind w:left="709"/>
      <w:jc w:val="both"/>
    </w:pPr>
    <w:rPr>
      <w:rFonts w:ascii="Arial" w:eastAsia="Times New Roman" w:hAnsi="Arial"/>
      <w:b/>
      <w:i/>
      <w:position w:val="6"/>
      <w:sz w:val="16"/>
      <w:szCs w:val="22"/>
      <w:lang w:eastAsia="en-AU"/>
    </w:rPr>
  </w:style>
  <w:style w:type="character" w:customStyle="1" w:styleId="apple-converted-space">
    <w:name w:val="apple-converted-space"/>
    <w:basedOn w:val="DefaultParagraphFont"/>
    <w:rsid w:val="00F55616"/>
  </w:style>
  <w:style w:type="paragraph" w:styleId="Revision">
    <w:name w:val="Revision"/>
    <w:hidden/>
    <w:uiPriority w:val="99"/>
    <w:semiHidden/>
    <w:rsid w:val="00E74BA7"/>
    <w:pPr>
      <w:spacing w:after="0" w:line="240" w:lineRule="auto"/>
    </w:pPr>
  </w:style>
  <w:style w:type="table" w:customStyle="1" w:styleId="TableGrid1">
    <w:name w:val="Table Grid1"/>
    <w:basedOn w:val="TableNormal"/>
    <w:next w:val="TableGrid"/>
    <w:uiPriority w:val="39"/>
    <w:rsid w:val="00E9713E"/>
    <w:pPr>
      <w:spacing w:after="0" w:line="240" w:lineRule="auto"/>
    </w:pPr>
    <w:rPr>
      <w:rFonts w:ascii="Segoe UI" w:eastAsia="Segoe UI" w:hAnsi="Segoe UI"/>
      <w:kern w:val="2"/>
      <w:sz w:val="22"/>
      <w:szCs w:val="2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22B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1524">
      <w:bodyDiv w:val="1"/>
      <w:marLeft w:val="0"/>
      <w:marRight w:val="0"/>
      <w:marTop w:val="0"/>
      <w:marBottom w:val="0"/>
      <w:divBdr>
        <w:top w:val="none" w:sz="0" w:space="0" w:color="auto"/>
        <w:left w:val="none" w:sz="0" w:space="0" w:color="auto"/>
        <w:bottom w:val="none" w:sz="0" w:space="0" w:color="auto"/>
        <w:right w:val="none" w:sz="0" w:space="0" w:color="auto"/>
      </w:divBdr>
    </w:div>
    <w:div w:id="175580598">
      <w:bodyDiv w:val="1"/>
      <w:marLeft w:val="0"/>
      <w:marRight w:val="0"/>
      <w:marTop w:val="0"/>
      <w:marBottom w:val="0"/>
      <w:divBdr>
        <w:top w:val="none" w:sz="0" w:space="0" w:color="auto"/>
        <w:left w:val="none" w:sz="0" w:space="0" w:color="auto"/>
        <w:bottom w:val="none" w:sz="0" w:space="0" w:color="auto"/>
        <w:right w:val="none" w:sz="0" w:space="0" w:color="auto"/>
      </w:divBdr>
    </w:div>
    <w:div w:id="613755760">
      <w:bodyDiv w:val="1"/>
      <w:marLeft w:val="0"/>
      <w:marRight w:val="0"/>
      <w:marTop w:val="0"/>
      <w:marBottom w:val="0"/>
      <w:divBdr>
        <w:top w:val="none" w:sz="0" w:space="0" w:color="auto"/>
        <w:left w:val="none" w:sz="0" w:space="0" w:color="auto"/>
        <w:bottom w:val="none" w:sz="0" w:space="0" w:color="auto"/>
        <w:right w:val="none" w:sz="0" w:space="0" w:color="auto"/>
      </w:divBdr>
    </w:div>
    <w:div w:id="773133045">
      <w:bodyDiv w:val="1"/>
      <w:marLeft w:val="0"/>
      <w:marRight w:val="0"/>
      <w:marTop w:val="0"/>
      <w:marBottom w:val="0"/>
      <w:divBdr>
        <w:top w:val="none" w:sz="0" w:space="0" w:color="auto"/>
        <w:left w:val="none" w:sz="0" w:space="0" w:color="auto"/>
        <w:bottom w:val="none" w:sz="0" w:space="0" w:color="auto"/>
        <w:right w:val="none" w:sz="0" w:space="0" w:color="auto"/>
      </w:divBdr>
    </w:div>
    <w:div w:id="798956666">
      <w:bodyDiv w:val="1"/>
      <w:marLeft w:val="0"/>
      <w:marRight w:val="0"/>
      <w:marTop w:val="0"/>
      <w:marBottom w:val="0"/>
      <w:divBdr>
        <w:top w:val="none" w:sz="0" w:space="0" w:color="auto"/>
        <w:left w:val="none" w:sz="0" w:space="0" w:color="auto"/>
        <w:bottom w:val="none" w:sz="0" w:space="0" w:color="auto"/>
        <w:right w:val="none" w:sz="0" w:space="0" w:color="auto"/>
      </w:divBdr>
    </w:div>
    <w:div w:id="1289817749">
      <w:bodyDiv w:val="1"/>
      <w:marLeft w:val="0"/>
      <w:marRight w:val="0"/>
      <w:marTop w:val="0"/>
      <w:marBottom w:val="0"/>
      <w:divBdr>
        <w:top w:val="none" w:sz="0" w:space="0" w:color="auto"/>
        <w:left w:val="none" w:sz="0" w:space="0" w:color="auto"/>
        <w:bottom w:val="none" w:sz="0" w:space="0" w:color="auto"/>
        <w:right w:val="none" w:sz="0" w:space="0" w:color="auto"/>
      </w:divBdr>
    </w:div>
    <w:div w:id="1383675032">
      <w:bodyDiv w:val="1"/>
      <w:marLeft w:val="0"/>
      <w:marRight w:val="0"/>
      <w:marTop w:val="0"/>
      <w:marBottom w:val="0"/>
      <w:divBdr>
        <w:top w:val="none" w:sz="0" w:space="0" w:color="auto"/>
        <w:left w:val="none" w:sz="0" w:space="0" w:color="auto"/>
        <w:bottom w:val="none" w:sz="0" w:space="0" w:color="auto"/>
        <w:right w:val="none" w:sz="0" w:space="0" w:color="auto"/>
      </w:divBdr>
    </w:div>
    <w:div w:id="1448237298">
      <w:bodyDiv w:val="1"/>
      <w:marLeft w:val="0"/>
      <w:marRight w:val="0"/>
      <w:marTop w:val="0"/>
      <w:marBottom w:val="0"/>
      <w:divBdr>
        <w:top w:val="none" w:sz="0" w:space="0" w:color="auto"/>
        <w:left w:val="none" w:sz="0" w:space="0" w:color="auto"/>
        <w:bottom w:val="none" w:sz="0" w:space="0" w:color="auto"/>
        <w:right w:val="none" w:sz="0" w:space="0" w:color="auto"/>
      </w:divBdr>
    </w:div>
    <w:div w:id="1756855199">
      <w:bodyDiv w:val="1"/>
      <w:marLeft w:val="0"/>
      <w:marRight w:val="0"/>
      <w:marTop w:val="0"/>
      <w:marBottom w:val="0"/>
      <w:divBdr>
        <w:top w:val="none" w:sz="0" w:space="0" w:color="auto"/>
        <w:left w:val="none" w:sz="0" w:space="0" w:color="auto"/>
        <w:bottom w:val="none" w:sz="0" w:space="0" w:color="auto"/>
        <w:right w:val="none" w:sz="0" w:space="0" w:color="auto"/>
      </w:divBdr>
    </w:div>
    <w:div w:id="212980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anzco.edu/wp-content/uploads/2019/06/RANZCO-Referral-pathway-for-Glaucoma-management-1.pdf" TargetMode="External"/><Relationship Id="rId18" Type="http://schemas.openxmlformats.org/officeDocument/2006/relationships/image" Target="media/image3.jpeg"/><Relationship Id="rId26" Type="http://schemas.openxmlformats.org/officeDocument/2006/relationships/header" Target="header3.xml"/><Relationship Id="rId39" Type="http://schemas.openxmlformats.org/officeDocument/2006/relationships/hyperlink" Target="https://pubmed.ncbi.nlm.nih.gov/31034856/" TargetMode="External"/><Relationship Id="rId3" Type="http://schemas.openxmlformats.org/officeDocument/2006/relationships/customXml" Target="../customXml/item3.xml"/><Relationship Id="rId21" Type="http://schemas.openxmlformats.org/officeDocument/2006/relationships/image" Target="media/image6.jpeg"/><Relationship Id="rId34" Type="http://schemas.openxmlformats.org/officeDocument/2006/relationships/hyperlink" Target="https://www.ncbi.nlm.nih.gov/pmc/articles/PMC6968820/" TargetMode="External"/><Relationship Id="rId42" Type="http://schemas.openxmlformats.org/officeDocument/2006/relationships/hyperlink" Target="https://eyewiki.aao.org/Suprachoroidal_Devices" TargetMode="External"/><Relationship Id="rId7" Type="http://schemas.openxmlformats.org/officeDocument/2006/relationships/settings" Target="settings.xml"/><Relationship Id="rId12" Type="http://schemas.openxmlformats.org/officeDocument/2006/relationships/hyperlink" Target="https://www.insightnews.com.au/making-a-stand-for-mbgs-under-medicare/" TargetMode="External"/><Relationship Id="rId17" Type="http://schemas.openxmlformats.org/officeDocument/2006/relationships/hyperlink" Target="http://www.msac.gov.au/internet/msac/publishing.nsf/Content/1541-public" TargetMode="External"/><Relationship Id="rId25" Type="http://schemas.openxmlformats.org/officeDocument/2006/relationships/footer" Target="footer2.xml"/><Relationship Id="rId33" Type="http://schemas.openxmlformats.org/officeDocument/2006/relationships/hyperlink" Target="https://www.ncbi.nlm.nih.gov/pmc/articles/PMC6824385/" TargetMode="External"/><Relationship Id="rId38" Type="http://schemas.openxmlformats.org/officeDocument/2006/relationships/hyperlink" Target="https://www.prnewswire.com/news-releases/ivantis-announces-24-month-results-of-landmark-prospective-randomized-comparative-migs-clinical-trial-300812339.html"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5.jpeg"/><Relationship Id="rId29" Type="http://schemas.openxmlformats.org/officeDocument/2006/relationships/hyperlink" Target="https://bjo.bmj.com/content/106/1/65.long" TargetMode="External"/><Relationship Id="rId41" Type="http://schemas.openxmlformats.org/officeDocument/2006/relationships/hyperlink" Target="https://www.insightnews.com.au/making-a-stand-for-mbgs-under-medica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anzco.edu/wp-content/uploads/2019/06/RANZCO-Referral-pathway-for-Glaucoma-management-1.pdf" TargetMode="External"/><Relationship Id="rId24" Type="http://schemas.openxmlformats.org/officeDocument/2006/relationships/footer" Target="footer1.xml"/><Relationship Id="rId32" Type="http://schemas.openxmlformats.org/officeDocument/2006/relationships/hyperlink" Target="https://www.ncbi.nlm.nih.gov/pmc/articles/PMC8918186/" TargetMode="External"/><Relationship Id="rId37" Type="http://schemas.openxmlformats.org/officeDocument/2006/relationships/hyperlink" Target="https://www.ncbi.nlm.nih.gov/pmc/articles/PMC5798569/" TargetMode="External"/><Relationship Id="rId40" Type="http://schemas.openxmlformats.org/officeDocument/2006/relationships/hyperlink" Target="https://www.aihw.gov.au/reports/workforce/eye-health-workforce-in-australia/formats"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msac.gov.au/internet/msac/publishing.nsf/Content/1541-public" TargetMode="External"/><Relationship Id="rId23" Type="http://schemas.openxmlformats.org/officeDocument/2006/relationships/header" Target="header2.xml"/><Relationship Id="rId28" Type="http://schemas.openxmlformats.org/officeDocument/2006/relationships/hyperlink" Target="https://www.sciencedirect.com/science/article/pii/S2589419619300195?via%3Dihub" TargetMode="External"/><Relationship Id="rId36" Type="http://schemas.openxmlformats.org/officeDocument/2006/relationships/hyperlink" Target="https://www.ncbi.nlm.nih.gov/pmc/articles/PMC8319229/" TargetMode="External"/><Relationship Id="rId10" Type="http://schemas.openxmlformats.org/officeDocument/2006/relationships/endnotes" Target="endnotes.xml"/><Relationship Id="rId19" Type="http://schemas.openxmlformats.org/officeDocument/2006/relationships/image" Target="media/image4.jpeg"/><Relationship Id="rId31" Type="http://schemas.openxmlformats.org/officeDocument/2006/relationships/hyperlink" Target="https://www.ncbi.nlm.nih.gov/pmc/articles/PMC3930835/" TargetMode="External"/><Relationship Id="rId44" Type="http://schemas.openxmlformats.org/officeDocument/2006/relationships/hyperlink" Target="https://ranzco.edu/wp-content/uploads/2020/05/RANZCO-Guidelines-for-the-Use-of-Trabecular-Micro-bypass-Glaucoma-Stents-MBGS-00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https://www.ncbi.nlm.nih.gov/pmc/articles/PMC7647427/" TargetMode="External"/><Relationship Id="rId35" Type="http://schemas.openxmlformats.org/officeDocument/2006/relationships/hyperlink" Target="https://www.ncbi.nlm.nih.gov/pmc/articles/PMC7884935/" TargetMode="External"/><Relationship Id="rId43" Type="http://schemas.openxmlformats.org/officeDocument/2006/relationships/hyperlink" Target="https://ranzco.edu/wp-content/uploads/2020/06/Guidelines-for-Standalone-Trans-trabecular-Micro-Bypass-Glaucoma-MBGS-stent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e6c165d-1334-4e3d-ac4c-cda196070297" xsi:nil="true"/>
    <lcf76f155ced4ddcb4097134ff3c332f xmlns="7ea72d31-b391-468a-afa4-2af449538c2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A12E266AD69594FAC52E7A8B8B76707" ma:contentTypeVersion="17" ma:contentTypeDescription="Create a new document." ma:contentTypeScope="" ma:versionID="4b4ccd00d60b34dfd504305be79b870d">
  <xsd:schema xmlns:xsd="http://www.w3.org/2001/XMLSchema" xmlns:xs="http://www.w3.org/2001/XMLSchema" xmlns:p="http://schemas.microsoft.com/office/2006/metadata/properties" xmlns:ns2="7ea72d31-b391-468a-afa4-2af449538c2c" xmlns:ns3="5e6c165d-1334-4e3d-ac4c-cda196070297" targetNamespace="http://schemas.microsoft.com/office/2006/metadata/properties" ma:root="true" ma:fieldsID="fd8df0d0f438dd9c55e0f65836c38d64" ns2:_="" ns3:_="">
    <xsd:import namespace="7ea72d31-b391-468a-afa4-2af449538c2c"/>
    <xsd:import namespace="5e6c165d-1334-4e3d-ac4c-cda1960702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72d31-b391-468a-afa4-2af449538c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c165d-1334-4e3d-ac4c-cda19607029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ab29e77-610f-4ec0-969b-1efd31da693b}" ma:internalName="TaxCatchAll" ma:showField="CatchAllData" ma:web="5e6c165d-1334-4e3d-ac4c-cda1960702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2F57C4-932D-48C1-AD23-600B39975C9B}">
  <ds:schemaRefs>
    <ds:schemaRef ds:uri="http://schemas.microsoft.com/sharepoint/v3/contenttype/forms"/>
  </ds:schemaRefs>
</ds:datastoreItem>
</file>

<file path=customXml/itemProps2.xml><?xml version="1.0" encoding="utf-8"?>
<ds:datastoreItem xmlns:ds="http://schemas.openxmlformats.org/officeDocument/2006/customXml" ds:itemID="{5E1AE448-2035-4A17-A1D3-489D9036C317}">
  <ds:schemaRefs>
    <ds:schemaRef ds:uri="http://schemas.microsoft.com/office/2006/metadata/properties"/>
    <ds:schemaRef ds:uri="http://schemas.microsoft.com/office/infopath/2007/PartnerControls"/>
    <ds:schemaRef ds:uri="5e6c165d-1334-4e3d-ac4c-cda196070297"/>
    <ds:schemaRef ds:uri="7ea72d31-b391-468a-afa4-2af449538c2c"/>
  </ds:schemaRefs>
</ds:datastoreItem>
</file>

<file path=customXml/itemProps3.xml><?xml version="1.0" encoding="utf-8"?>
<ds:datastoreItem xmlns:ds="http://schemas.openxmlformats.org/officeDocument/2006/customXml" ds:itemID="{11F89F4E-8677-400D-A1DA-AE923BDCBBFC}">
  <ds:schemaRefs>
    <ds:schemaRef ds:uri="http://schemas.openxmlformats.org/officeDocument/2006/bibliography"/>
  </ds:schemaRefs>
</ds:datastoreItem>
</file>

<file path=customXml/itemProps4.xml><?xml version="1.0" encoding="utf-8"?>
<ds:datastoreItem xmlns:ds="http://schemas.openxmlformats.org/officeDocument/2006/customXml" ds:itemID="{052F2260-94AE-4B3F-9FE0-6625C4E2E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72d31-b391-468a-afa4-2af449538c2c"/>
    <ds:schemaRef ds:uri="5e6c165d-1334-4e3d-ac4c-cda196070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14131</Words>
  <Characters>80548</Characters>
  <Application>Microsoft Office Word</Application>
  <DocSecurity>0</DocSecurity>
  <Lines>671</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2023-10-16T05:05:00Z</dcterms:created>
  <dcterms:modified xsi:type="dcterms:W3CDTF">2023-10-17T20:48:00Z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0x0101000A12E266AD69594FAC52E7A8B8B76707</vt:lpwstr>
  </property>
</Properties>
</file>