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1CCC" w14:textId="77777777" w:rsidR="00637A71" w:rsidRDefault="00637A71" w:rsidP="00637A71">
      <w:pPr>
        <w:pStyle w:val="Heading1"/>
        <w:numPr>
          <w:ilvl w:val="0"/>
          <w:numId w:val="0"/>
        </w:numPr>
        <w:pBdr>
          <w:bottom w:val="none" w:sz="0" w:space="0" w:color="auto"/>
        </w:pBdr>
        <w:spacing w:before="0" w:after="360"/>
        <w:ind w:left="788"/>
        <w:jc w:val="center"/>
        <w:rPr>
          <w:rFonts w:ascii="Arial" w:hAnsi="Arial" w:cs="Arial"/>
          <w:b/>
          <w:bCs/>
          <w:color w:val="000080"/>
          <w:sz w:val="36"/>
          <w:szCs w:val="36"/>
        </w:rPr>
      </w:pPr>
      <w:bookmarkStart w:id="0" w:name="_Toc69491415"/>
      <w:r>
        <w:rPr>
          <w:rFonts w:ascii="Arial" w:hAnsi="Arial" w:cs="Arial"/>
          <w:b/>
          <w:bCs/>
          <w:color w:val="000080"/>
          <w:sz w:val="36"/>
          <w:szCs w:val="36"/>
        </w:rPr>
        <w:t>Medical Services Advisory Committee (MSAC)</w:t>
      </w:r>
      <w:r>
        <w:rPr>
          <w:rFonts w:ascii="Arial" w:hAnsi="Arial" w:cs="Arial"/>
          <w:b/>
          <w:bCs/>
          <w:color w:val="000080"/>
          <w:sz w:val="36"/>
          <w:szCs w:val="36"/>
        </w:rPr>
        <w:br/>
      </w:r>
      <w:r w:rsidRPr="00F76D74">
        <w:rPr>
          <w:rFonts w:ascii="Arial" w:hAnsi="Arial" w:cs="Arial"/>
          <w:b/>
          <w:bCs/>
          <w:color w:val="000080"/>
          <w:sz w:val="36"/>
          <w:szCs w:val="36"/>
        </w:rPr>
        <w:t>Public Summary Document</w:t>
      </w:r>
    </w:p>
    <w:p w14:paraId="67ADA8A8" w14:textId="77777777" w:rsidR="002328D3" w:rsidRPr="00FC6B0F" w:rsidRDefault="002328D3" w:rsidP="002328D3">
      <w:pPr>
        <w:jc w:val="center"/>
        <w:rPr>
          <w:rFonts w:ascii="Arial" w:eastAsia="Times New Roman" w:hAnsi="Arial" w:cs="Arial"/>
          <w:b/>
          <w:bCs/>
          <w:i/>
          <w:color w:val="000080"/>
          <w:sz w:val="28"/>
          <w:szCs w:val="28"/>
          <w:lang w:eastAsia="en-AU"/>
        </w:rPr>
      </w:pPr>
      <w:r w:rsidRPr="0044058B">
        <w:rPr>
          <w:rFonts w:ascii="Arial" w:eastAsia="Times New Roman" w:hAnsi="Arial" w:cs="Arial"/>
          <w:b/>
          <w:bCs/>
          <w:i/>
          <w:color w:val="000080"/>
          <w:sz w:val="28"/>
          <w:szCs w:val="28"/>
          <w:lang w:eastAsia="en-AU"/>
        </w:rPr>
        <w:t xml:space="preserve">Application No. </w:t>
      </w:r>
      <w:r w:rsidRPr="00FC6B0F">
        <w:rPr>
          <w:rFonts w:ascii="Arial" w:eastAsia="Times New Roman" w:hAnsi="Arial" w:cs="Arial"/>
          <w:b/>
          <w:bCs/>
          <w:i/>
          <w:color w:val="000080"/>
          <w:sz w:val="28"/>
          <w:szCs w:val="28"/>
          <w:lang w:eastAsia="en-AU"/>
        </w:rPr>
        <w:t>1764 – Micro-bypass glaucoma surgery device implantation into the suprachoroidal space as a standalone procedure in patients with open angle glaucoma</w:t>
      </w:r>
    </w:p>
    <w:p w14:paraId="0C2C1BB0" w14:textId="3B4678EB" w:rsidR="002328D3" w:rsidRPr="00FC6B0F" w:rsidRDefault="002328D3" w:rsidP="002328D3">
      <w:pPr>
        <w:tabs>
          <w:tab w:val="left" w:pos="3686"/>
        </w:tabs>
        <w:rPr>
          <w:rFonts w:ascii="Arial" w:eastAsia="Calibri" w:hAnsi="Arial" w:cs="Arial"/>
          <w:b/>
          <w:szCs w:val="24"/>
        </w:rPr>
      </w:pPr>
      <w:r w:rsidRPr="00FC6B0F">
        <w:rPr>
          <w:rFonts w:ascii="Arial" w:eastAsia="Calibri" w:hAnsi="Arial" w:cs="Arial"/>
          <w:b/>
          <w:szCs w:val="24"/>
        </w:rPr>
        <w:t>Applicant:</w:t>
      </w:r>
      <w:r>
        <w:rPr>
          <w:rFonts w:ascii="Arial" w:eastAsia="Calibri" w:hAnsi="Arial" w:cs="Arial"/>
          <w:b/>
          <w:szCs w:val="24"/>
        </w:rPr>
        <w:tab/>
      </w:r>
      <w:proofErr w:type="spellStart"/>
      <w:r>
        <w:rPr>
          <w:rFonts w:ascii="Arial" w:eastAsia="Calibri" w:hAnsi="Arial" w:cs="Arial"/>
          <w:b/>
          <w:szCs w:val="24"/>
        </w:rPr>
        <w:t>iStar</w:t>
      </w:r>
      <w:proofErr w:type="spellEnd"/>
      <w:r>
        <w:rPr>
          <w:rFonts w:ascii="Arial" w:eastAsia="Calibri" w:hAnsi="Arial" w:cs="Arial"/>
          <w:b/>
          <w:szCs w:val="24"/>
        </w:rPr>
        <w:t xml:space="preserve"> Medical </w:t>
      </w:r>
    </w:p>
    <w:p w14:paraId="6D0F9884" w14:textId="4ADD03D0" w:rsidR="000D034C" w:rsidRDefault="000D034C" w:rsidP="000D034C">
      <w:pPr>
        <w:spacing w:before="320"/>
        <w:rPr>
          <w:rFonts w:ascii="Arial" w:hAnsi="Arial" w:cs="Arial"/>
          <w:b/>
          <w:bCs/>
        </w:rPr>
      </w:pPr>
      <w:r w:rsidRPr="00A878EC">
        <w:rPr>
          <w:rFonts w:ascii="Arial" w:hAnsi="Arial" w:cs="Arial"/>
          <w:b/>
          <w:bCs/>
        </w:rPr>
        <w:t xml:space="preserve">Date of </w:t>
      </w:r>
      <w:r w:rsidR="00637A71">
        <w:rPr>
          <w:rFonts w:ascii="Arial" w:hAnsi="Arial" w:cs="Arial"/>
          <w:b/>
          <w:bCs/>
        </w:rPr>
        <w:t>MSAC</w:t>
      </w:r>
      <w:r w:rsidRPr="00A878EC">
        <w:rPr>
          <w:rFonts w:ascii="Arial" w:hAnsi="Arial" w:cs="Arial"/>
          <w:b/>
          <w:bCs/>
        </w:rPr>
        <w:t xml:space="preserve"> consideration:</w:t>
      </w:r>
      <w:r w:rsidRPr="00A878EC">
        <w:rPr>
          <w:rFonts w:ascii="Arial" w:hAnsi="Arial" w:cs="Arial"/>
          <w:b/>
          <w:bCs/>
        </w:rPr>
        <w:tab/>
      </w:r>
      <w:r w:rsidR="00637A71">
        <w:rPr>
          <w:rFonts w:ascii="Arial" w:hAnsi="Arial" w:cs="Arial"/>
          <w:b/>
          <w:bCs/>
        </w:rPr>
        <w:t>4-5 April</w:t>
      </w:r>
      <w:r w:rsidRPr="00A878EC">
        <w:rPr>
          <w:rFonts w:ascii="Arial" w:hAnsi="Arial" w:cs="Arial"/>
          <w:b/>
          <w:bCs/>
        </w:rPr>
        <w:t xml:space="preserve"> 2024</w:t>
      </w:r>
    </w:p>
    <w:p w14:paraId="5A443FF1" w14:textId="3E6D1E98" w:rsidR="00637A71" w:rsidRPr="00415A9B" w:rsidRDefault="00637A71" w:rsidP="00637A71">
      <w:pPr>
        <w:spacing w:after="240"/>
        <w:rPr>
          <w:color w:val="0000FF"/>
          <w:szCs w:val="24"/>
          <w:u w:val="single"/>
        </w:rPr>
      </w:pPr>
      <w:r w:rsidRPr="00F715D1">
        <w:rPr>
          <w:szCs w:val="24"/>
        </w:rPr>
        <w:t>Context for decision: MSAC makes its advice in accordance wit</w:t>
      </w:r>
      <w:r>
        <w:rPr>
          <w:szCs w:val="24"/>
        </w:rPr>
        <w:t>h its Terms of Reference,</w:t>
      </w:r>
      <w:r w:rsidRPr="00F715D1">
        <w:rPr>
          <w:szCs w:val="24"/>
        </w:rPr>
        <w:t xml:space="preserve"> </w:t>
      </w:r>
      <w:hyperlink r:id="rId8" w:tooltip="Link to Medical Services Advisory Committee website" w:history="1">
        <w:r w:rsidRPr="00F715D1">
          <w:rPr>
            <w:rStyle w:val="Hyperlink"/>
            <w:szCs w:val="24"/>
          </w:rPr>
          <w:t>visit the MSAC website</w:t>
        </w:r>
      </w:hyperlink>
    </w:p>
    <w:p w14:paraId="7EAA7262" w14:textId="7B6142A8" w:rsidR="00772829" w:rsidRPr="002759A3" w:rsidRDefault="00772829" w:rsidP="00CF2BF0">
      <w:pPr>
        <w:pStyle w:val="Heading2"/>
        <w:numPr>
          <w:ilvl w:val="0"/>
          <w:numId w:val="25"/>
        </w:numPr>
        <w:ind w:hanging="720"/>
      </w:pPr>
      <w:r w:rsidRPr="002759A3">
        <w:t xml:space="preserve">Purpose </w:t>
      </w:r>
      <w:r w:rsidRPr="000E70B7">
        <w:t>of</w:t>
      </w:r>
      <w:r w:rsidRPr="002759A3">
        <w:t xml:space="preserve"> application</w:t>
      </w:r>
      <w:bookmarkEnd w:id="0"/>
    </w:p>
    <w:p w14:paraId="55629761" w14:textId="17F31FAA" w:rsidR="009763D2" w:rsidRDefault="00A32C21" w:rsidP="00A32C21">
      <w:bookmarkStart w:id="1" w:name="_Toc69491416"/>
      <w:r>
        <w:t>An application requesting public funding of</w:t>
      </w:r>
      <w:r w:rsidR="001B1FA4">
        <w:t xml:space="preserve"> </w:t>
      </w:r>
      <w:r w:rsidR="00F37C16">
        <w:t>micro-bypass glaucoma surgery (</w:t>
      </w:r>
      <w:r w:rsidR="001B1FA4">
        <w:t>MBGS</w:t>
      </w:r>
      <w:r w:rsidR="00F37C16">
        <w:t>)</w:t>
      </w:r>
      <w:r w:rsidR="001B1FA4">
        <w:t xml:space="preserve"> device implantation into the suprachoroidal space as a standalone procedure in patients with</w:t>
      </w:r>
      <w:r w:rsidR="00F37C16">
        <w:t xml:space="preserve"> open angle gl</w:t>
      </w:r>
      <w:r w:rsidR="009572B2">
        <w:t>aucoma</w:t>
      </w:r>
      <w:r w:rsidR="001B1FA4">
        <w:t xml:space="preserve"> </w:t>
      </w:r>
      <w:r w:rsidR="009572B2">
        <w:t>(</w:t>
      </w:r>
      <w:r w:rsidR="001B1FA4">
        <w:t>OAG</w:t>
      </w:r>
      <w:r w:rsidR="009572B2">
        <w:t>)</w:t>
      </w:r>
      <w:r w:rsidR="001B1FA4">
        <w:t xml:space="preserve">, for whom conservative therapies have failed, are likely to fail or are contraindicated </w:t>
      </w:r>
      <w:r>
        <w:t>was</w:t>
      </w:r>
      <w:r w:rsidR="001B1FA4">
        <w:t xml:space="preserve"> </w:t>
      </w:r>
      <w:r>
        <w:t xml:space="preserve">received from </w:t>
      </w:r>
      <w:r w:rsidR="001B1FA4">
        <w:t xml:space="preserve">iSTAR Medical </w:t>
      </w:r>
      <w:r>
        <w:t>by the Department of Health</w:t>
      </w:r>
      <w:r w:rsidR="001B1FA4">
        <w:t xml:space="preserve"> and Aged Care</w:t>
      </w:r>
      <w:r w:rsidR="00121B9A">
        <w:t>.</w:t>
      </w:r>
    </w:p>
    <w:p w14:paraId="08C99398" w14:textId="77777777" w:rsidR="00637A71" w:rsidRDefault="00637A71" w:rsidP="00637A71">
      <w:pPr>
        <w:pStyle w:val="Heading2"/>
      </w:pPr>
      <w:r>
        <w:t>2.</w:t>
      </w:r>
      <w:r>
        <w:tab/>
        <w:t>MSAC’s advice to the Minister</w:t>
      </w:r>
    </w:p>
    <w:p w14:paraId="2D256794" w14:textId="77777777" w:rsidR="00285200" w:rsidRDefault="00637A71" w:rsidP="00730637">
      <w:pPr>
        <w:rPr>
          <w:iCs/>
        </w:rPr>
      </w:pPr>
      <w:r w:rsidRPr="00932DE9">
        <w:rPr>
          <w:iCs/>
        </w:rPr>
        <w:t xml:space="preserve">After considering the strength of the available evidence in relation to comparative safety, clinical effectiveness, </w:t>
      </w:r>
      <w:proofErr w:type="gramStart"/>
      <w:r w:rsidRPr="00932DE9">
        <w:rPr>
          <w:iCs/>
        </w:rPr>
        <w:t>cost-effectiveness</w:t>
      </w:r>
      <w:proofErr w:type="gramEnd"/>
      <w:r w:rsidRPr="00932DE9">
        <w:rPr>
          <w:iCs/>
        </w:rPr>
        <w:t xml:space="preserve"> and total cost,</w:t>
      </w:r>
      <w:r w:rsidR="001E6B67" w:rsidRPr="001E6B67">
        <w:rPr>
          <w:rFonts w:cs="Calibri"/>
        </w:rPr>
        <w:t xml:space="preserve"> </w:t>
      </w:r>
      <w:r w:rsidR="001E6B67" w:rsidRPr="001E6B67">
        <w:rPr>
          <w:iCs/>
        </w:rPr>
        <w:t>MSAC supported the amendment of the existing Medicare Benefits Schedule (MBS) item to add micro-bypass glaucoma surgery device implantation into the suprachoroidal space as a standalone procedure. MSAC considered the insertion of a suprachoroidal stent had at least non-inferior effectiveness compared to the insertion of a stent into the trabecular meshwork. MSAC noted there were limited long-term safety data, however considered that there was no evidence to suggest the safety concerns with the previously withdrawn suprachoroidal device applied to other devices that differ in structure and size, and safety is routinely evaluated through regulatory processes and registries. MSAC considered the standalone insertion of a suprachoroidal stent will provide another option for these patients, and that these stents are already used in conjunction with cataract surgery. MSAC considered the cost-minimisation analysis against trabecular stents showed the insertion of a suprachoroidal stent was acceptably cost-effective. There will probably be some patients receiving a suprachoroidal stent who would not have received a trabecular stent, although the financial impact from this would likely be minimal and was acceptable. MSAC supported the removal of the training requirement from the MBS item descriptor as the specified committee had not been established, and the addition of an explanatory note to relevant MBS items to clarify that suprachoroidal and supraciliary stents are interchangeable terms.</w:t>
      </w:r>
    </w:p>
    <w:p w14:paraId="0343AA3B" w14:textId="49D374AA" w:rsidR="00285200" w:rsidRDefault="00285200" w:rsidP="00285200">
      <w:r>
        <w:t xml:space="preserve">MSAC’s supported </w:t>
      </w:r>
      <w:r w:rsidR="00621107">
        <w:t>revised</w:t>
      </w:r>
      <w:r>
        <w:t xml:space="preserve"> MBS item descriptor </w:t>
      </w:r>
      <w:r w:rsidR="00621107">
        <w:t>is</w:t>
      </w:r>
      <w:r>
        <w:t xml:space="preserve"> below (</w:t>
      </w:r>
      <w:r>
        <w:fldChar w:fldCharType="begin"/>
      </w:r>
      <w:r>
        <w:instrText>REF _Ref164072551</w:instrText>
      </w:r>
      <w:r>
        <w:fldChar w:fldCharType="separate"/>
      </w:r>
      <w:r w:rsidR="003C61D8" w:rsidRPr="0001290C">
        <w:t>Table </w:t>
      </w:r>
      <w:r w:rsidR="003C61D8">
        <w:rPr>
          <w:noProof/>
        </w:rPr>
        <w:t>1</w:t>
      </w:r>
      <w:r>
        <w:fldChar w:fldCharType="end"/>
      </w:r>
      <w:r>
        <w:t>).</w:t>
      </w:r>
    </w:p>
    <w:p w14:paraId="55E63F7F" w14:textId="42013706" w:rsidR="00285200" w:rsidRPr="0001290C" w:rsidRDefault="00285200" w:rsidP="00285200">
      <w:pPr>
        <w:pStyle w:val="Caption"/>
      </w:pPr>
      <w:bookmarkStart w:id="2" w:name="_Ref164072551"/>
      <w:r w:rsidRPr="0001290C">
        <w:lastRenderedPageBreak/>
        <w:t>Table </w:t>
      </w:r>
      <w:r>
        <w:fldChar w:fldCharType="begin"/>
      </w:r>
      <w:r>
        <w:instrText>SEQ Table \* ARABIC</w:instrText>
      </w:r>
      <w:r>
        <w:fldChar w:fldCharType="separate"/>
      </w:r>
      <w:r w:rsidR="003C61D8">
        <w:rPr>
          <w:noProof/>
        </w:rPr>
        <w:t>1</w:t>
      </w:r>
      <w:r>
        <w:fldChar w:fldCharType="end"/>
      </w:r>
      <w:bookmarkEnd w:id="2"/>
      <w:r>
        <w:rPr>
          <w:noProof/>
        </w:rPr>
        <w:tab/>
      </w:r>
      <w:r>
        <w:t>MSAC’s supported</w:t>
      </w:r>
      <w:r w:rsidRPr="0001290C">
        <w:t xml:space="preserve"> </w:t>
      </w:r>
      <w:r>
        <w:t>revis</w:t>
      </w:r>
      <w:r w:rsidR="00CF7CA0">
        <w:t>ed</w:t>
      </w:r>
      <w:r>
        <w:t xml:space="preserve"> MBS </w:t>
      </w:r>
      <w:r w:rsidRPr="0001290C">
        <w:t xml:space="preserve">item </w:t>
      </w:r>
      <w:proofErr w:type="gramStart"/>
      <w:r w:rsidRPr="0001290C">
        <w:t>descriptor</w:t>
      </w:r>
      <w:proofErr w:type="gramEnd"/>
    </w:p>
    <w:tbl>
      <w:tblPr>
        <w:tblStyle w:val="TableGrid"/>
        <w:tblW w:w="0" w:type="auto"/>
        <w:tblLook w:val="04A0" w:firstRow="1" w:lastRow="0" w:firstColumn="1" w:lastColumn="0" w:noHBand="0" w:noVBand="1"/>
      </w:tblPr>
      <w:tblGrid>
        <w:gridCol w:w="9016"/>
      </w:tblGrid>
      <w:tr w:rsidR="00285200" w:rsidRPr="0001290C" w14:paraId="220A0164" w14:textId="77777777" w:rsidTr="40E35DB3">
        <w:trPr>
          <w:cantSplit/>
          <w:trHeight w:val="350"/>
          <w:tblHeader/>
        </w:trPr>
        <w:tc>
          <w:tcPr>
            <w:tcW w:w="9016" w:type="dxa"/>
          </w:tcPr>
          <w:p w14:paraId="7D1ECF77" w14:textId="77777777" w:rsidR="00285200" w:rsidRPr="0001290C" w:rsidRDefault="00285200" w:rsidP="00C93A57">
            <w:pPr>
              <w:pStyle w:val="Tablecontent"/>
              <w:jc w:val="right"/>
            </w:pPr>
            <w:r w:rsidRPr="0001290C">
              <w:t xml:space="preserve">Category </w:t>
            </w:r>
            <w:r>
              <w:t>3</w:t>
            </w:r>
            <w:r w:rsidRPr="0001290C">
              <w:t xml:space="preserve"> – </w:t>
            </w:r>
            <w:r w:rsidRPr="00022B0B">
              <w:t>Therapeutic procedures</w:t>
            </w:r>
          </w:p>
        </w:tc>
      </w:tr>
      <w:tr w:rsidR="00285200" w:rsidRPr="0001290C" w14:paraId="36B4149A" w14:textId="77777777" w:rsidTr="40E35DB3">
        <w:trPr>
          <w:cantSplit/>
          <w:tblHeader/>
        </w:trPr>
        <w:tc>
          <w:tcPr>
            <w:tcW w:w="9016" w:type="dxa"/>
          </w:tcPr>
          <w:p w14:paraId="74E4283A" w14:textId="77777777" w:rsidR="00285200" w:rsidRPr="0001290C" w:rsidRDefault="00285200" w:rsidP="00C93A57">
            <w:pPr>
              <w:pStyle w:val="Tablecontent"/>
              <w:rPr>
                <w:szCs w:val="20"/>
                <w:lang w:val="en-US" w:eastAsia="ja-JP"/>
              </w:rPr>
            </w:pPr>
            <w:r w:rsidRPr="0001290C">
              <w:rPr>
                <w:szCs w:val="20"/>
                <w:lang w:val="en-US" w:eastAsia="ja-JP"/>
              </w:rPr>
              <w:t xml:space="preserve">MBS item </w:t>
            </w:r>
            <w:r w:rsidRPr="004F231D">
              <w:rPr>
                <w:szCs w:val="20"/>
                <w:lang w:val="en-US" w:eastAsia="ja-JP"/>
              </w:rPr>
              <w:t>42504</w:t>
            </w:r>
          </w:p>
          <w:p w14:paraId="6FE81D2C" w14:textId="77777777" w:rsidR="00285200" w:rsidRPr="007F6CC5" w:rsidRDefault="00285200" w:rsidP="00C93A57">
            <w:pPr>
              <w:pStyle w:val="Tablecontent"/>
              <w:rPr>
                <w:szCs w:val="20"/>
                <w:lang w:val="en-US" w:eastAsia="ja-JP"/>
              </w:rPr>
            </w:pPr>
            <w:r w:rsidRPr="004F231D">
              <w:rPr>
                <w:szCs w:val="20"/>
                <w:lang w:val="en-US" w:eastAsia="ja-JP"/>
              </w:rPr>
              <w:t>Glaucoma, implantation of a micro-bypass surgery stent system into</w:t>
            </w:r>
            <w:r w:rsidRPr="00106367">
              <w:rPr>
                <w:szCs w:val="20"/>
                <w:lang w:val="en-US" w:eastAsia="ja-JP"/>
              </w:rPr>
              <w:t xml:space="preserve"> the</w:t>
            </w:r>
            <w:r w:rsidRPr="00CF2BF0">
              <w:rPr>
                <w:szCs w:val="20"/>
                <w:lang w:val="en-US" w:eastAsia="ja-JP"/>
              </w:rPr>
              <w:t xml:space="preserve"> </w:t>
            </w:r>
            <w:r w:rsidRPr="007F6CC5">
              <w:rPr>
                <w:szCs w:val="20"/>
                <w:lang w:val="en-US" w:eastAsia="ja-JP"/>
              </w:rPr>
              <w:t>suprachoroidal space or</w:t>
            </w:r>
            <w:r>
              <w:rPr>
                <w:szCs w:val="20"/>
                <w:lang w:val="en-US" w:eastAsia="ja-JP"/>
              </w:rPr>
              <w:t xml:space="preserve"> </w:t>
            </w:r>
            <w:r w:rsidRPr="004F231D">
              <w:rPr>
                <w:szCs w:val="20"/>
                <w:lang w:val="en-US" w:eastAsia="ja-JP"/>
              </w:rPr>
              <w:t>trabecular meshwork, if conservative therapies have failed, are likely to fail, or are contraindicated</w:t>
            </w:r>
          </w:p>
        </w:tc>
      </w:tr>
      <w:tr w:rsidR="00285200" w:rsidRPr="0001290C" w14:paraId="1A606DCE" w14:textId="77777777" w:rsidTr="40E35DB3">
        <w:trPr>
          <w:cantSplit/>
          <w:trHeight w:val="223"/>
          <w:tblHeader/>
        </w:trPr>
        <w:tc>
          <w:tcPr>
            <w:tcW w:w="9016" w:type="dxa"/>
          </w:tcPr>
          <w:p w14:paraId="358715E9" w14:textId="77777777" w:rsidR="00285200" w:rsidRPr="0001290C" w:rsidRDefault="00285200" w:rsidP="00C93A57">
            <w:pPr>
              <w:pStyle w:val="Tablecontent"/>
              <w:rPr>
                <w:snapToGrid w:val="0"/>
              </w:rPr>
            </w:pPr>
            <w:r>
              <w:t xml:space="preserve">Fee: </w:t>
            </w:r>
            <w:r w:rsidRPr="007F6CC5">
              <w:t>$331.05</w:t>
            </w:r>
            <w:r w:rsidRPr="00A63396">
              <w:t xml:space="preserve">     </w:t>
            </w:r>
            <w:r w:rsidRPr="007F6CC5">
              <w:t>75% benefit: $248.30</w:t>
            </w:r>
            <w:r w:rsidRPr="00A63396">
              <w:t xml:space="preserve">     </w:t>
            </w:r>
            <w:r w:rsidRPr="007F6CC5">
              <w:t>85% benefit: $281.40</w:t>
            </w:r>
          </w:p>
        </w:tc>
      </w:tr>
      <w:tr w:rsidR="00285200" w:rsidRPr="0001290C" w14:paraId="2A7CB119" w14:textId="77777777" w:rsidTr="40E35DB3">
        <w:trPr>
          <w:cantSplit/>
          <w:trHeight w:val="223"/>
          <w:tblHeader/>
        </w:trPr>
        <w:tc>
          <w:tcPr>
            <w:tcW w:w="9016" w:type="dxa"/>
          </w:tcPr>
          <w:p w14:paraId="0061295E" w14:textId="7BBE2A90" w:rsidR="00285200" w:rsidRPr="00944C51" w:rsidRDefault="00285200" w:rsidP="00E0463B">
            <w:pPr>
              <w:pStyle w:val="Tablecontent"/>
            </w:pPr>
            <w:r w:rsidRPr="40E35DB3">
              <w:rPr>
                <w:u w:val="single"/>
              </w:rPr>
              <w:t>Explanatory note:</w:t>
            </w:r>
            <w:r>
              <w:t xml:space="preserve"> </w:t>
            </w:r>
            <w:r w:rsidR="00E0463B" w:rsidRPr="00E0463B">
              <w:t>The suprachoroidal and supraciliary spaces are contiguous and are potential spaces opened by surgery to allow drainage of aqueous humour, and the terms are used interchangeably.</w:t>
            </w:r>
          </w:p>
        </w:tc>
      </w:tr>
    </w:tbl>
    <w:p w14:paraId="03E7D5C4" w14:textId="60E492C9" w:rsidR="008311A3" w:rsidRDefault="00285200" w:rsidP="00B04E66">
      <w:pPr>
        <w:pStyle w:val="Tablenotes0"/>
        <w:rPr>
          <w:szCs w:val="24"/>
        </w:rPr>
      </w:pPr>
      <w:r w:rsidRPr="00922E22">
        <w:rPr>
          <w:u w:val="single"/>
        </w:rPr>
        <w:t>Source</w:t>
      </w:r>
      <w:r>
        <w:t>: MSAC.</w:t>
      </w:r>
      <w:r w:rsidR="00637A71" w:rsidRPr="00932DE9">
        <w:rPr>
          <w:iCs/>
        </w:rPr>
        <w:t xml:space="preserve"> </w:t>
      </w:r>
    </w:p>
    <w:tbl>
      <w:tblPr>
        <w:tblStyle w:val="TableGrid"/>
        <w:tblW w:w="0" w:type="auto"/>
        <w:tblLook w:val="04A0" w:firstRow="1" w:lastRow="0" w:firstColumn="1" w:lastColumn="0" w:noHBand="0" w:noVBand="1"/>
        <w:tblDescription w:val="Consumer summary of MSAC consideration"/>
      </w:tblPr>
      <w:tblGrid>
        <w:gridCol w:w="9016"/>
      </w:tblGrid>
      <w:tr w:rsidR="00730637" w14:paraId="7821E1A5" w14:textId="77777777" w:rsidTr="00730637">
        <w:trPr>
          <w:tblHeader/>
        </w:trPr>
        <w:tc>
          <w:tcPr>
            <w:tcW w:w="9016" w:type="dxa"/>
            <w:tcBorders>
              <w:top w:val="single" w:sz="4" w:space="0" w:color="auto"/>
              <w:left w:val="single" w:sz="4" w:space="0" w:color="auto"/>
              <w:bottom w:val="single" w:sz="4" w:space="0" w:color="auto"/>
              <w:right w:val="single" w:sz="4" w:space="0" w:color="auto"/>
            </w:tcBorders>
            <w:hideMark/>
          </w:tcPr>
          <w:p w14:paraId="59DFC1FD" w14:textId="77777777" w:rsidR="00730637" w:rsidRDefault="00730637" w:rsidP="00DC3236">
            <w:pPr>
              <w:pStyle w:val="Heading3"/>
              <w:spacing w:before="120" w:after="120"/>
              <w:rPr>
                <w:rFonts w:eastAsiaTheme="minorHAnsi" w:cstheme="minorBidi"/>
                <w:iCs/>
              </w:rPr>
            </w:pPr>
            <w:r>
              <w:t xml:space="preserve">Consumer summary </w:t>
            </w:r>
          </w:p>
        </w:tc>
      </w:tr>
      <w:tr w:rsidR="00730637" w14:paraId="5E9B7E0B" w14:textId="77777777" w:rsidTr="00730637">
        <w:tc>
          <w:tcPr>
            <w:tcW w:w="9016" w:type="dxa"/>
            <w:tcBorders>
              <w:top w:val="single" w:sz="4" w:space="0" w:color="auto"/>
              <w:left w:val="single" w:sz="4" w:space="0" w:color="auto"/>
              <w:bottom w:val="single" w:sz="4" w:space="0" w:color="auto"/>
              <w:right w:val="single" w:sz="4" w:space="0" w:color="auto"/>
            </w:tcBorders>
            <w:hideMark/>
          </w:tcPr>
          <w:p w14:paraId="46DA75DF" w14:textId="3E4FB30D" w:rsidR="00730637" w:rsidRDefault="00730637">
            <w:r>
              <w:t xml:space="preserve">This </w:t>
            </w:r>
            <w:r w:rsidR="009A27D5">
              <w:t>wa</w:t>
            </w:r>
            <w:r>
              <w:t xml:space="preserve">s an application from </w:t>
            </w:r>
            <w:proofErr w:type="spellStart"/>
            <w:r>
              <w:t>iStar</w:t>
            </w:r>
            <w:proofErr w:type="spellEnd"/>
            <w:r>
              <w:t xml:space="preserve"> </w:t>
            </w:r>
            <w:proofErr w:type="gramStart"/>
            <w:r>
              <w:t>Medical</w:t>
            </w:r>
            <w:proofErr w:type="gramEnd"/>
            <w:r>
              <w:t xml:space="preserve"> requesting Medicare Benefits Schedule (MBS) listing of micro-bypass glaucoma surgery (MBGS) device implantation into the suprachoroidal space as a standalone procedure in patients with open angle glaucoma.</w:t>
            </w:r>
          </w:p>
          <w:p w14:paraId="0C462187" w14:textId="4973E055" w:rsidR="00730637" w:rsidRDefault="00730637">
            <w:r>
              <w:t>Glaucoma is an eye condition where people lose peripheral vision and may lose their vision completely if it is not treated.</w:t>
            </w:r>
            <w:r w:rsidR="00520948">
              <w:t xml:space="preserve"> The eye</w:t>
            </w:r>
            <w:r w:rsidR="00484FE3">
              <w:t>ball</w:t>
            </w:r>
            <w:r w:rsidR="00520948">
              <w:t xml:space="preserve"> is filled with a fluid, and increased pressure in</w:t>
            </w:r>
            <w:r w:rsidR="00484FE3">
              <w:t>side the eye increases a person’s risk of glaucoma.</w:t>
            </w:r>
            <w:r w:rsidR="0053557A">
              <w:t xml:space="preserve"> </w:t>
            </w:r>
            <w:r w:rsidR="00FF4AF0">
              <w:t>S</w:t>
            </w:r>
            <w:r w:rsidR="00FA2633">
              <w:t xml:space="preserve">urgery </w:t>
            </w:r>
            <w:r w:rsidR="00FF4AF0">
              <w:t>ca</w:t>
            </w:r>
            <w:r w:rsidR="001A1D5A">
              <w:t>n be</w:t>
            </w:r>
            <w:r>
              <w:t xml:space="preserve"> used to lower the pressure </w:t>
            </w:r>
            <w:r w:rsidR="00484FE3">
              <w:t xml:space="preserve">inside </w:t>
            </w:r>
            <w:r>
              <w:t>the eye</w:t>
            </w:r>
            <w:r w:rsidR="00D21E2E">
              <w:t>ball</w:t>
            </w:r>
            <w:r>
              <w:t xml:space="preserve"> in patients with glaucoma. </w:t>
            </w:r>
            <w:r w:rsidR="001A1D5A">
              <w:t xml:space="preserve">This surgery </w:t>
            </w:r>
            <w:r>
              <w:t xml:space="preserve">involves placing a small device </w:t>
            </w:r>
            <w:r w:rsidR="00FA2633">
              <w:t xml:space="preserve">called a stent </w:t>
            </w:r>
            <w:r>
              <w:t>inside the eye to help fluid in the eye to</w:t>
            </w:r>
            <w:r w:rsidR="00484FE3">
              <w:t xml:space="preserve"> slowly</w:t>
            </w:r>
            <w:r>
              <w:t xml:space="preserve"> drain away, which lowers the pressure.</w:t>
            </w:r>
            <w:r w:rsidR="00044F3D">
              <w:t xml:space="preserve"> </w:t>
            </w:r>
            <w:r w:rsidR="00A51E4D">
              <w:t>Th</w:t>
            </w:r>
            <w:r w:rsidR="004D6B43">
              <w:t>is application proposed funding surgery to implant a stent into a part of the eye called the suprachoroidal space.</w:t>
            </w:r>
            <w:r>
              <w:t xml:space="preserve"> It is intended to be used in patients for whom glaucoma eye drops don’t work. </w:t>
            </w:r>
            <w:r w:rsidR="007B1362">
              <w:t>A similar surgery</w:t>
            </w:r>
            <w:r>
              <w:t xml:space="preserve"> is already </w:t>
            </w:r>
            <w:r w:rsidR="007B1362">
              <w:t xml:space="preserve">publicly funded </w:t>
            </w:r>
            <w:r>
              <w:t xml:space="preserve">under MBS item 42504 </w:t>
            </w:r>
            <w:r w:rsidR="007B1362">
              <w:t xml:space="preserve">for implanting a device into a different place in the eye, </w:t>
            </w:r>
            <w:r>
              <w:t xml:space="preserve">called the trabecular meshwork. </w:t>
            </w:r>
            <w:r w:rsidR="00D07B65">
              <w:t>Inserting a suprachoroidal stent is also already</w:t>
            </w:r>
            <w:r w:rsidR="00044F3D">
              <w:t xml:space="preserve"> publicly</w:t>
            </w:r>
            <w:r w:rsidR="00D07B65">
              <w:t xml:space="preserve"> funded but only as part of </w:t>
            </w:r>
            <w:r w:rsidR="00044F3D">
              <w:t>other eye</w:t>
            </w:r>
            <w:r w:rsidR="00D07B65">
              <w:t xml:space="preserve"> surgery,</w:t>
            </w:r>
            <w:r w:rsidR="00044F3D">
              <w:t xml:space="preserve"> </w:t>
            </w:r>
            <w:r w:rsidR="00D07B65">
              <w:t xml:space="preserve">not </w:t>
            </w:r>
            <w:r w:rsidR="008D5E57">
              <w:t xml:space="preserve">as a </w:t>
            </w:r>
            <w:r w:rsidR="00D07B65">
              <w:t>standalone</w:t>
            </w:r>
            <w:r w:rsidR="008D5E57">
              <w:t xml:space="preserve"> procedure</w:t>
            </w:r>
            <w:r w:rsidR="00D07B65">
              <w:t xml:space="preserve">. </w:t>
            </w:r>
            <w:r w:rsidR="003B13C3">
              <w:t>The suprachoroidal stents that could be inserted using this surgery would include the applicant</w:t>
            </w:r>
            <w:r w:rsidR="00361D0F">
              <w:t>’s</w:t>
            </w:r>
            <w:r w:rsidR="003B13C3">
              <w:t xml:space="preserve"> “</w:t>
            </w:r>
            <w:proofErr w:type="spellStart"/>
            <w:r w:rsidR="003B13C3">
              <w:t>MINIject</w:t>
            </w:r>
            <w:proofErr w:type="spellEnd"/>
            <w:r w:rsidR="003B13C3">
              <w:t>”</w:t>
            </w:r>
            <w:r w:rsidR="00361D0F">
              <w:t xml:space="preserve"> stent</w:t>
            </w:r>
            <w:r w:rsidR="003B13C3">
              <w:t>.</w:t>
            </w:r>
          </w:p>
          <w:p w14:paraId="3642CC8D" w14:textId="4321A69F" w:rsidR="00B86D53" w:rsidRDefault="002307F3">
            <w:r>
              <w:t xml:space="preserve">A previous application to MSAC that proposed </w:t>
            </w:r>
            <w:r w:rsidR="008B241B">
              <w:t xml:space="preserve">funding </w:t>
            </w:r>
            <w:r>
              <w:t xml:space="preserve">this surgery was withdrawn after safety concerns. </w:t>
            </w:r>
            <w:r w:rsidR="00B86D53">
              <w:t xml:space="preserve">While there was </w:t>
            </w:r>
            <w:r w:rsidR="00C14890">
              <w:t>limited</w:t>
            </w:r>
            <w:r w:rsidR="00B86D53">
              <w:t xml:space="preserve"> long-term safety data, MSAC considered the evidence showed no reason to </w:t>
            </w:r>
            <w:r w:rsidR="00FB633B">
              <w:t>suggest the safety concerns with the previously withdrawn suprachoroidal device applied to other devices that differ in structure and size. MSAC also considered that saf</w:t>
            </w:r>
            <w:r w:rsidR="009838C6">
              <w:t>ety is ensured by regulatory processes and registries, and so on balance this surgery was acceptably safe.</w:t>
            </w:r>
          </w:p>
          <w:p w14:paraId="47DD5984" w14:textId="1D6A58F3" w:rsidR="009838C6" w:rsidRDefault="009838C6">
            <w:r>
              <w:t xml:space="preserve">The evidence also showed </w:t>
            </w:r>
            <w:r w:rsidR="00DE02D5">
              <w:t>that inserting a suprachoroidal stent was at least as good as a trabecular stent in reducing pressure in the eye</w:t>
            </w:r>
            <w:r w:rsidR="00CF5B23">
              <w:t>.</w:t>
            </w:r>
            <w:r w:rsidR="00D21E2E">
              <w:t xml:space="preserve"> Th</w:t>
            </w:r>
            <w:r w:rsidR="000F7A17">
              <w:t xml:space="preserve">e applicant proposed this surgery should cost the same as the existing surgery to implant a trabecular stent, </w:t>
            </w:r>
            <w:r w:rsidR="009E5FDF">
              <w:t>and MSAC considered given it was at least as effective, that the proposed surgery was good value for money.</w:t>
            </w:r>
          </w:p>
          <w:p w14:paraId="040F4D51" w14:textId="350C9673" w:rsidR="001B0C8D" w:rsidRDefault="009E5FDF">
            <w:r>
              <w:t>The applicant</w:t>
            </w:r>
            <w:r w:rsidR="00C97049">
              <w:t xml:space="preserve"> proposed that suprachoroidal stents would only replace trabecular stents, and no extra patients would receive a suprachoroidal stent so there would be no net cost to the MBS</w:t>
            </w:r>
            <w:r w:rsidR="006D7216">
              <w:t xml:space="preserve"> to add this surgical option</w:t>
            </w:r>
            <w:r w:rsidR="00C97049">
              <w:t xml:space="preserve">. </w:t>
            </w:r>
            <w:r w:rsidR="006D7216">
              <w:t xml:space="preserve">However, </w:t>
            </w:r>
            <w:r w:rsidR="00C97049">
              <w:t xml:space="preserve">MSAC considered that </w:t>
            </w:r>
            <w:r w:rsidR="000A7CD9">
              <w:t>suprachoroidal stents would offer another option for patients, probably including some patients who would not have received a trabecular stent</w:t>
            </w:r>
            <w:r w:rsidR="00DA0E6B">
              <w:t xml:space="preserve"> (such as patients who have trabecular scarring)</w:t>
            </w:r>
            <w:r w:rsidR="000A7CD9">
              <w:t xml:space="preserve">. </w:t>
            </w:r>
            <w:r w:rsidR="001D7B90">
              <w:t xml:space="preserve">But </w:t>
            </w:r>
            <w:r w:rsidR="006D7216">
              <w:t>MSAC considered that</w:t>
            </w:r>
            <w:r w:rsidR="000A7CD9">
              <w:t xml:space="preserve"> the </w:t>
            </w:r>
            <w:r w:rsidR="00257DE9">
              <w:t>increased</w:t>
            </w:r>
            <w:r w:rsidR="000A7CD9">
              <w:t xml:space="preserve"> cost to the MBS would likely be minimal, and </w:t>
            </w:r>
            <w:r w:rsidR="00E81EDD">
              <w:t xml:space="preserve">so </w:t>
            </w:r>
            <w:r w:rsidR="000A7CD9">
              <w:t>advised the cost to the MBS was acceptable.</w:t>
            </w:r>
          </w:p>
          <w:p w14:paraId="39563AEB" w14:textId="22CBF5EC" w:rsidR="00322234" w:rsidRDefault="003F66A4">
            <w:r>
              <w:t xml:space="preserve">MSAC noted that the </w:t>
            </w:r>
            <w:r w:rsidR="00BA028D">
              <w:t>words</w:t>
            </w:r>
            <w:r>
              <w:t xml:space="preserve"> ‘supraciliary’ and ‘suprachoroidal’ </w:t>
            </w:r>
            <w:r w:rsidR="00F2383B">
              <w:t xml:space="preserve">(to describe the part of the eye) </w:t>
            </w:r>
            <w:r>
              <w:t>were both being used in the application documents</w:t>
            </w:r>
            <w:r w:rsidR="009E3770">
              <w:t xml:space="preserve"> to describe this surgery</w:t>
            </w:r>
            <w:r>
              <w:t xml:space="preserve">. On the Australian Register of Therapeutic </w:t>
            </w:r>
            <w:proofErr w:type="gramStart"/>
            <w:r>
              <w:t>Goods</w:t>
            </w:r>
            <w:proofErr w:type="gramEnd"/>
            <w:r>
              <w:t xml:space="preserve"> the </w:t>
            </w:r>
            <w:proofErr w:type="spellStart"/>
            <w:r>
              <w:t>MINIject</w:t>
            </w:r>
            <w:proofErr w:type="spellEnd"/>
            <w:r>
              <w:t xml:space="preserve"> device </w:t>
            </w:r>
            <w:r w:rsidR="000920DB">
              <w:t>is</w:t>
            </w:r>
            <w:r>
              <w:t xml:space="preserve"> </w:t>
            </w:r>
            <w:r w:rsidR="0034724E">
              <w:t>described</w:t>
            </w:r>
            <w:r>
              <w:t xml:space="preserve"> as ‘supraciliary’</w:t>
            </w:r>
            <w:r w:rsidR="00F2383B">
              <w:t xml:space="preserve">, </w:t>
            </w:r>
            <w:r w:rsidR="00CF0297">
              <w:t>whereas</w:t>
            </w:r>
            <w:r w:rsidR="00F2383B">
              <w:t xml:space="preserve"> MBS </w:t>
            </w:r>
            <w:r w:rsidR="00204890">
              <w:t>items say</w:t>
            </w:r>
            <w:r w:rsidR="00F2383B">
              <w:t xml:space="preserve"> ‘suprachoroidal’</w:t>
            </w:r>
            <w:r w:rsidR="003E7DAE">
              <w:t>.</w:t>
            </w:r>
            <w:r w:rsidR="00A3325B">
              <w:t xml:space="preserve"> </w:t>
            </w:r>
            <w:r w:rsidR="00262306">
              <w:t>MSAC considered that t</w:t>
            </w:r>
            <w:r w:rsidR="00AC7B32">
              <w:t xml:space="preserve">he supraciliary space and the suprachoroidal space </w:t>
            </w:r>
            <w:r w:rsidR="00877F4A">
              <w:t>run into each other</w:t>
            </w:r>
            <w:r w:rsidR="00AC7B32">
              <w:t>, so the two words effectively mean the same thing.</w:t>
            </w:r>
            <w:r>
              <w:t xml:space="preserve"> </w:t>
            </w:r>
            <w:r w:rsidR="00877F4A">
              <w:lastRenderedPageBreak/>
              <w:t xml:space="preserve">To avoid confusion, </w:t>
            </w:r>
            <w:r w:rsidR="00322234">
              <w:t xml:space="preserve">MSAC </w:t>
            </w:r>
            <w:r w:rsidR="005B6640">
              <w:t xml:space="preserve">also </w:t>
            </w:r>
            <w:r w:rsidR="00AC7B32">
              <w:t xml:space="preserve">recommended </w:t>
            </w:r>
            <w:r w:rsidR="00DB5FAA">
              <w:t xml:space="preserve">adding </w:t>
            </w:r>
            <w:r w:rsidR="00322234">
              <w:t xml:space="preserve">an explanatory note to the MBS to clarify </w:t>
            </w:r>
            <w:r w:rsidR="001D7B90">
              <w:t>(</w:t>
            </w:r>
            <w:r w:rsidR="00322234">
              <w:t xml:space="preserve">for this and other </w:t>
            </w:r>
            <w:r w:rsidR="00261871">
              <w:t xml:space="preserve">relevant </w:t>
            </w:r>
            <w:r w:rsidR="00322234">
              <w:t>MBS items</w:t>
            </w:r>
            <w:r w:rsidR="001D7B90">
              <w:t>)</w:t>
            </w:r>
            <w:r w:rsidR="00322234">
              <w:t xml:space="preserve"> that </w:t>
            </w:r>
            <w:r w:rsidR="000C4C77">
              <w:t>the</w:t>
            </w:r>
            <w:r w:rsidR="00322234">
              <w:t xml:space="preserve"> suprachoroidal and supraciliary</w:t>
            </w:r>
            <w:r w:rsidR="000C4C77">
              <w:t xml:space="preserve"> spaces </w:t>
            </w:r>
            <w:r w:rsidR="00C8668A">
              <w:t xml:space="preserve">of the eye </w:t>
            </w:r>
            <w:r w:rsidR="000C4C77">
              <w:t>are</w:t>
            </w:r>
            <w:r w:rsidR="00322234">
              <w:t xml:space="preserve"> </w:t>
            </w:r>
            <w:r w:rsidR="000C4C77">
              <w:t>continuous</w:t>
            </w:r>
            <w:r w:rsidR="00F2383B">
              <w:t>.</w:t>
            </w:r>
            <w:r w:rsidR="000C4C77">
              <w:t xml:space="preserve"> </w:t>
            </w:r>
            <w:r w:rsidR="005F4FBD">
              <w:t>T</w:t>
            </w:r>
            <w:r w:rsidR="006C6847">
              <w:t>his</w:t>
            </w:r>
            <w:r w:rsidR="00DB49BC">
              <w:t xml:space="preserve"> surgery can </w:t>
            </w:r>
            <w:r w:rsidR="00483F83">
              <w:t xml:space="preserve">therefore </w:t>
            </w:r>
            <w:r w:rsidR="00DB49BC">
              <w:t>be used for the insertion of a suprachoroidal or supraciliary stent.</w:t>
            </w:r>
          </w:p>
          <w:p w14:paraId="63A9CA09" w14:textId="12578FC3" w:rsidR="00730637" w:rsidRDefault="00730637">
            <w:pPr>
              <w:pStyle w:val="Heading3"/>
            </w:pPr>
            <w:r>
              <w:t xml:space="preserve">MSAC’s advice to the </w:t>
            </w:r>
            <w:proofErr w:type="gramStart"/>
            <w:r>
              <w:t>Commonwealth Minister</w:t>
            </w:r>
            <w:proofErr w:type="gramEnd"/>
            <w:r>
              <w:t xml:space="preserve"> for Health</w:t>
            </w:r>
            <w:r w:rsidR="000F1802">
              <w:t xml:space="preserve"> and Aged Care</w:t>
            </w:r>
          </w:p>
          <w:p w14:paraId="03B8AB97" w14:textId="51B61507" w:rsidR="00730637" w:rsidRDefault="00730637" w:rsidP="00DC3236">
            <w:pPr>
              <w:spacing w:after="120"/>
            </w:pPr>
            <w:r>
              <w:t xml:space="preserve">MSAC supported </w:t>
            </w:r>
            <w:r w:rsidR="00257DE9">
              <w:t>funding the standalone insertion of a suprachoroidal stent on</w:t>
            </w:r>
            <w:r>
              <w:t xml:space="preserve"> the MBS. MSAC considered the </w:t>
            </w:r>
            <w:r w:rsidR="00257DE9">
              <w:t xml:space="preserve">insertion of a suprachoroidal stent </w:t>
            </w:r>
            <w:r>
              <w:t xml:space="preserve">to be safe, </w:t>
            </w:r>
            <w:r w:rsidR="00257DE9">
              <w:t xml:space="preserve">at least as </w:t>
            </w:r>
            <w:r>
              <w:t>effective</w:t>
            </w:r>
            <w:r w:rsidR="00257DE9">
              <w:t xml:space="preserve"> as the existing surgery,</w:t>
            </w:r>
            <w:r>
              <w:t xml:space="preserve"> good value for money</w:t>
            </w:r>
            <w:r w:rsidR="00D02B23">
              <w:t xml:space="preserve">, and </w:t>
            </w:r>
            <w:r w:rsidR="009C052E">
              <w:t xml:space="preserve">to </w:t>
            </w:r>
            <w:r w:rsidR="008E6CA5">
              <w:t>ha</w:t>
            </w:r>
            <w:r w:rsidR="000239ED">
              <w:t>ve</w:t>
            </w:r>
            <w:r w:rsidR="00D02B23">
              <w:t xml:space="preserve"> minimal financial cost to the MBS</w:t>
            </w:r>
            <w:r>
              <w:t>.</w:t>
            </w:r>
            <w:r w:rsidR="00257DE9">
              <w:t xml:space="preserve"> It will also provide another option for patients.</w:t>
            </w:r>
          </w:p>
        </w:tc>
      </w:tr>
    </w:tbl>
    <w:p w14:paraId="6B3058DB" w14:textId="3EE9161A" w:rsidR="00637A71" w:rsidRDefault="00637A71" w:rsidP="00DC3236">
      <w:pPr>
        <w:pStyle w:val="Heading2"/>
        <w:numPr>
          <w:ilvl w:val="0"/>
          <w:numId w:val="37"/>
        </w:numPr>
        <w:ind w:hanging="720"/>
      </w:pPr>
      <w:r>
        <w:lastRenderedPageBreak/>
        <w:t>Summary of consideration and rationale for MSAC’s advice</w:t>
      </w:r>
    </w:p>
    <w:p w14:paraId="0E01B7D7" w14:textId="73672F18" w:rsidR="005A4F7D" w:rsidRDefault="00F259BC" w:rsidP="00F259BC">
      <w:r w:rsidRPr="00516D4E">
        <w:t>MSAC</w:t>
      </w:r>
      <w:r>
        <w:t xml:space="preserve"> noted that this application request</w:t>
      </w:r>
      <w:r w:rsidR="004732E2">
        <w:t>ed</w:t>
      </w:r>
      <w:r>
        <w:t xml:space="preserve"> an amendment</w:t>
      </w:r>
      <w:r w:rsidRPr="00082A84">
        <w:t xml:space="preserve"> </w:t>
      </w:r>
      <w:r>
        <w:t xml:space="preserve">to </w:t>
      </w:r>
      <w:r w:rsidRPr="00082A84">
        <w:t>the existing Medicare Benefits Schedule (MBS) item 42504 to</w:t>
      </w:r>
      <w:r>
        <w:t xml:space="preserve"> add </w:t>
      </w:r>
      <w:r w:rsidRPr="00082A84">
        <w:t>micro-bypass glaucoma surgery (MBGS) device implantation</w:t>
      </w:r>
      <w:r>
        <w:t xml:space="preserve"> </w:t>
      </w:r>
      <w:r w:rsidRPr="00082A84">
        <w:t>into the suprachoroidal space as a standalone procedure in patients with open angle glaucoma</w:t>
      </w:r>
      <w:r>
        <w:t xml:space="preserve"> for whom conservative therapies have failed or are likely to fail</w:t>
      </w:r>
      <w:r w:rsidRPr="00082A84">
        <w:t>.</w:t>
      </w:r>
      <w:r w:rsidR="001320DD">
        <w:t xml:space="preserve"> MSAC noted that previous MSAC application 1541 had originally included suprachoroidal stents as well as trabecular stents, although suprachoroidal stents were withdrawn after the </w:t>
      </w:r>
      <w:proofErr w:type="spellStart"/>
      <w:r w:rsidR="001320DD">
        <w:t>CyPass</w:t>
      </w:r>
      <w:proofErr w:type="spellEnd"/>
      <w:r w:rsidR="001320DD">
        <w:t xml:space="preserve"> device was withdrawn from the market over safety concerns. Standalone </w:t>
      </w:r>
      <w:r w:rsidR="00A356A4">
        <w:t xml:space="preserve">stent implantation was supported </w:t>
      </w:r>
      <w:r w:rsidR="001F4CD5">
        <w:t xml:space="preserve">by MSAC </w:t>
      </w:r>
      <w:r w:rsidR="00A356A4">
        <w:t>for insertion into the trabecular space only,</w:t>
      </w:r>
      <w:r w:rsidR="000F3503">
        <w:t xml:space="preserve"> and this was therefore the proposed comparator</w:t>
      </w:r>
      <w:r w:rsidR="001F4CD5">
        <w:t xml:space="preserve"> in application 1764</w:t>
      </w:r>
      <w:r w:rsidR="000F3503">
        <w:t xml:space="preserve">. </w:t>
      </w:r>
      <w:r>
        <w:t xml:space="preserve">MSAC noted that </w:t>
      </w:r>
      <w:r w:rsidRPr="00D078C8">
        <w:t>insertion of a stent into the suprachoroidal space is already publicly funded under MBS item 42705, for insertion in association with cataract surgery (and removal if required, using MBS item 42505)</w:t>
      </w:r>
      <w:r w:rsidR="001F4CD5">
        <w:t>, so t</w:t>
      </w:r>
      <w:r w:rsidRPr="00D078C8">
        <w:t>he device is already on the Prescribed List (PL).</w:t>
      </w:r>
    </w:p>
    <w:p w14:paraId="42AD6C17" w14:textId="1A28D629" w:rsidR="000F3503" w:rsidRDefault="005A4F7D" w:rsidP="00F259BC">
      <w:r>
        <w:t>MSAC noted that glaucoma is</w:t>
      </w:r>
      <w:r w:rsidR="00DB3B54">
        <w:t xml:space="preserve"> an eye condition most commonly treated through treatments to reduce intraocular pressure</w:t>
      </w:r>
      <w:r w:rsidR="00A17E3A">
        <w:t xml:space="preserve"> (IOP), which is </w:t>
      </w:r>
      <w:r w:rsidR="00A17E3A" w:rsidRPr="002A37F4">
        <w:t>the only known modifiable risk factor for glaucoma</w:t>
      </w:r>
      <w:r w:rsidR="00A17E3A">
        <w:t>.</w:t>
      </w:r>
    </w:p>
    <w:p w14:paraId="4B40FD4F" w14:textId="4F01816B" w:rsidR="00F259BC" w:rsidRPr="0011126D" w:rsidRDefault="00F259BC" w:rsidP="00F259BC">
      <w:r w:rsidRPr="0011126D">
        <w:t xml:space="preserve">MSAC noted </w:t>
      </w:r>
      <w:r w:rsidRPr="006807AE">
        <w:t>consultation input from 3 professional organisations, and 4 individuals (of whom all were medical specialists).</w:t>
      </w:r>
      <w:r w:rsidRPr="0011126D">
        <w:t xml:space="preserve"> MSAC noted that MBGS </w:t>
      </w:r>
      <w:r w:rsidRPr="00491E9F">
        <w:t xml:space="preserve">procedures </w:t>
      </w:r>
      <w:r w:rsidR="00491E9F" w:rsidRPr="00B04E66">
        <w:t xml:space="preserve">can be </w:t>
      </w:r>
      <w:r w:rsidRPr="00B04E66">
        <w:t>highly specialised techniques</w:t>
      </w:r>
      <w:r w:rsidRPr="00491E9F">
        <w:t xml:space="preserve"> and</w:t>
      </w:r>
      <w:r w:rsidRPr="0011126D">
        <w:t xml:space="preserve"> are therefore likely to be </w:t>
      </w:r>
      <w:r w:rsidR="00706792">
        <w:t xml:space="preserve">less </w:t>
      </w:r>
      <w:r w:rsidRPr="0011126D">
        <w:t xml:space="preserve">available in rural and remote areas, which is likely to impact on patient access and equity. </w:t>
      </w:r>
      <w:r w:rsidR="000C5A6F">
        <w:t xml:space="preserve">MSAC </w:t>
      </w:r>
      <w:r w:rsidR="00706792">
        <w:t xml:space="preserve">also </w:t>
      </w:r>
      <w:r w:rsidR="000C5A6F">
        <w:t>considered that accessibility f</w:t>
      </w:r>
      <w:r w:rsidR="00542402">
        <w:t xml:space="preserve">or populations much at risk of glaucoma, including </w:t>
      </w:r>
      <w:r w:rsidR="00C14890">
        <w:t>F</w:t>
      </w:r>
      <w:r w:rsidR="00542402">
        <w:t xml:space="preserve">irst </w:t>
      </w:r>
      <w:r w:rsidR="00C14890">
        <w:t>N</w:t>
      </w:r>
      <w:r w:rsidR="00542402">
        <w:t>ations people</w:t>
      </w:r>
      <w:r w:rsidR="00C14890">
        <w:t>s</w:t>
      </w:r>
      <w:r w:rsidR="00542402">
        <w:t>, was an important equity issue with this application.</w:t>
      </w:r>
    </w:p>
    <w:p w14:paraId="5ECB7627" w14:textId="339016B2" w:rsidR="00A63396" w:rsidRDefault="00F259BC" w:rsidP="005A24D3">
      <w:r>
        <w:t>MSAC noted inconsistenc</w:t>
      </w:r>
      <w:r w:rsidR="005134DB">
        <w:t>y</w:t>
      </w:r>
      <w:r>
        <w:t xml:space="preserve"> in use of the terms</w:t>
      </w:r>
      <w:r w:rsidR="00AF17C7">
        <w:t xml:space="preserve"> ‘</w:t>
      </w:r>
      <w:r>
        <w:t>suprachoroidal</w:t>
      </w:r>
      <w:r w:rsidR="00AF17C7">
        <w:t>’</w:t>
      </w:r>
      <w:r>
        <w:t xml:space="preserve"> and </w:t>
      </w:r>
      <w:r w:rsidR="00AF17C7">
        <w:t>‘</w:t>
      </w:r>
      <w:r>
        <w:t>supraciliary</w:t>
      </w:r>
      <w:r w:rsidR="00AF17C7">
        <w:t>’</w:t>
      </w:r>
      <w:r>
        <w:t xml:space="preserve"> to describe anatomical areas where </w:t>
      </w:r>
      <w:r w:rsidR="00106DB0">
        <w:t xml:space="preserve">these </w:t>
      </w:r>
      <w:r>
        <w:t>MBGS devices are inserted</w:t>
      </w:r>
      <w:r w:rsidR="006F2718">
        <w:t>:</w:t>
      </w:r>
      <w:r>
        <w:t xml:space="preserve"> </w:t>
      </w:r>
      <w:r w:rsidR="00106DB0">
        <w:t xml:space="preserve">the applicant’s </w:t>
      </w:r>
      <w:proofErr w:type="spellStart"/>
      <w:r w:rsidR="00106DB0">
        <w:t>MINIject</w:t>
      </w:r>
      <w:proofErr w:type="spellEnd"/>
      <w:r w:rsidR="00106DB0">
        <w:t xml:space="preserve"> device is described </w:t>
      </w:r>
      <w:r>
        <w:t xml:space="preserve">on the Australian Register of Therapeutic Goods </w:t>
      </w:r>
      <w:r w:rsidR="00106DB0">
        <w:t>(</w:t>
      </w:r>
      <w:r>
        <w:t>ARTG</w:t>
      </w:r>
      <w:r w:rsidR="00106DB0">
        <w:t>)</w:t>
      </w:r>
      <w:r>
        <w:t xml:space="preserve"> </w:t>
      </w:r>
      <w:r w:rsidR="00106DB0">
        <w:t xml:space="preserve">as a supraciliary device, </w:t>
      </w:r>
      <w:r w:rsidR="005134DB">
        <w:t>however</w:t>
      </w:r>
      <w:r w:rsidR="00106DB0">
        <w:t xml:space="preserve"> the applicant proposed </w:t>
      </w:r>
      <w:r w:rsidR="00E921FD">
        <w:t xml:space="preserve">stent insertion would be </w:t>
      </w:r>
      <w:r w:rsidR="009F3C9B">
        <w:t>support</w:t>
      </w:r>
      <w:r w:rsidR="006F2718">
        <w:t>ed</w:t>
      </w:r>
      <w:r w:rsidR="00E921FD">
        <w:t xml:space="preserve"> through amending the MBS item descriptor to add ‘supr</w:t>
      </w:r>
      <w:r w:rsidR="009F3C9B">
        <w:t>a</w:t>
      </w:r>
      <w:r w:rsidR="00E921FD">
        <w:t>choroidal’</w:t>
      </w:r>
      <w:r w:rsidR="006C6847">
        <w:t>, which is also the term used in other MBS items</w:t>
      </w:r>
      <w:r>
        <w:t xml:space="preserve">. MSAC </w:t>
      </w:r>
      <w:r w:rsidR="009F3C9B">
        <w:t xml:space="preserve">noted </w:t>
      </w:r>
      <w:r w:rsidR="00FF5748">
        <w:t xml:space="preserve">ESC had considered </w:t>
      </w:r>
      <w:r w:rsidR="006B76A0">
        <w:t>‘supraciliary’</w:t>
      </w:r>
      <w:r w:rsidR="001E098D">
        <w:t xml:space="preserve"> </w:t>
      </w:r>
      <w:r w:rsidR="00FF5748">
        <w:t xml:space="preserve">may be a subset of </w:t>
      </w:r>
      <w:r w:rsidR="006B76A0">
        <w:t>‘suprachoroidal’</w:t>
      </w:r>
      <w:r w:rsidR="00FF5748">
        <w:t>, however</w:t>
      </w:r>
      <w:r w:rsidR="001E098D">
        <w:t xml:space="preserve"> </w:t>
      </w:r>
      <w:r>
        <w:t xml:space="preserve">the two </w:t>
      </w:r>
      <w:r w:rsidR="009F3C9B">
        <w:t xml:space="preserve">spaces are </w:t>
      </w:r>
      <w:r w:rsidR="006F2718">
        <w:t xml:space="preserve">in fact </w:t>
      </w:r>
      <w:r w:rsidR="009F3C9B">
        <w:t xml:space="preserve">continuous, </w:t>
      </w:r>
      <w:r w:rsidR="006F2718">
        <w:t xml:space="preserve">so </w:t>
      </w:r>
      <w:r w:rsidR="001E098D">
        <w:t>MSAC</w:t>
      </w:r>
      <w:r w:rsidR="006F2718">
        <w:t xml:space="preserve"> </w:t>
      </w:r>
      <w:r w:rsidR="009F3C9B">
        <w:t xml:space="preserve">considered the two anatomical </w:t>
      </w:r>
      <w:r>
        <w:t>terms were interchangeable</w:t>
      </w:r>
      <w:r w:rsidR="009F3C9B">
        <w:t xml:space="preserve">. MSAC </w:t>
      </w:r>
      <w:r>
        <w:t xml:space="preserve">advised the term “suprachoroidal” </w:t>
      </w:r>
      <w:r w:rsidR="009F3C9B">
        <w:t xml:space="preserve">was </w:t>
      </w:r>
      <w:r w:rsidR="008E5A0E">
        <w:t>more appropriate to</w:t>
      </w:r>
      <w:r w:rsidR="009F3C9B">
        <w:t xml:space="preserve"> </w:t>
      </w:r>
      <w:r>
        <w:t>use in the MBS item descriptor</w:t>
      </w:r>
      <w:r w:rsidR="008E5A0E">
        <w:t xml:space="preserve"> for consistency with existing MBS items, </w:t>
      </w:r>
      <w:r w:rsidR="00A61A7B">
        <w:t>and</w:t>
      </w:r>
      <w:r w:rsidR="008E5A0E">
        <w:t xml:space="preserve"> </w:t>
      </w:r>
      <w:r w:rsidR="006F2718">
        <w:t xml:space="preserve">that </w:t>
      </w:r>
      <w:r w:rsidR="00A61A7B">
        <w:t>clarification o</w:t>
      </w:r>
      <w:r w:rsidR="006F2718">
        <w:t>f</w:t>
      </w:r>
      <w:r w:rsidR="00A61A7B">
        <w:t xml:space="preserve"> this </w:t>
      </w:r>
      <w:r w:rsidR="006F2718">
        <w:t xml:space="preserve">anatomical </w:t>
      </w:r>
      <w:r w:rsidR="00A61A7B">
        <w:t>point would be improved by</w:t>
      </w:r>
      <w:r>
        <w:t xml:space="preserve"> addi</w:t>
      </w:r>
      <w:r w:rsidR="00CC64A8">
        <w:t>ng</w:t>
      </w:r>
      <w:r>
        <w:t xml:space="preserve"> an explanatory note to relevant MBS items to clarify that suprachoroidal and supraciliary are interchangeable terms</w:t>
      </w:r>
      <w:r w:rsidR="0079795E">
        <w:t xml:space="preserve">, to clarify which types of </w:t>
      </w:r>
      <w:proofErr w:type="gramStart"/>
      <w:r w:rsidR="0079795E">
        <w:t>device</w:t>
      </w:r>
      <w:proofErr w:type="gramEnd"/>
      <w:r w:rsidR="0079795E">
        <w:t xml:space="preserve"> can be inserted using the relevant MBS items</w:t>
      </w:r>
      <w:r>
        <w:t>.</w:t>
      </w:r>
      <w:r w:rsidR="00366008">
        <w:t xml:space="preserve"> MSAC noted the Department would consult the sector on the wording of the explanatory note.</w:t>
      </w:r>
      <w:r>
        <w:t xml:space="preserve"> In addition, MSAC agreed with the proposal </w:t>
      </w:r>
      <w:r>
        <w:lastRenderedPageBreak/>
        <w:t>from ESC and the Department to delete</w:t>
      </w:r>
      <w:r w:rsidRPr="00CD3DCC">
        <w:t xml:space="preserve"> reference to the Conjoint Committee </w:t>
      </w:r>
      <w:r>
        <w:t>for the Recognition of Training in Micro-Bypass Glaucoma Surgery, as the specified committee had not been established</w:t>
      </w:r>
      <w:r w:rsidRPr="00CD3DCC">
        <w:t>.</w:t>
      </w:r>
      <w:r w:rsidR="001E098D">
        <w:t xml:space="preserve"> </w:t>
      </w:r>
    </w:p>
    <w:p w14:paraId="7AD510D8" w14:textId="44613919" w:rsidR="00F970AC" w:rsidRDefault="00F970AC" w:rsidP="00F970AC">
      <w:r>
        <w:t xml:space="preserve">MSAC noted the evidence presented by the applicant was specific to the </w:t>
      </w:r>
      <w:proofErr w:type="spellStart"/>
      <w:r>
        <w:t>MINIject</w:t>
      </w:r>
      <w:proofErr w:type="spellEnd"/>
      <w:r>
        <w:t xml:space="preserve"> brand of suprachoroidal stent, however it considered the appropriate addition to the MBS item descriptor should be device-agnostic, because in MSAC’s view it was reasonable to assume generalisability of the evidence to other suprachoroidal stents.</w:t>
      </w:r>
    </w:p>
    <w:p w14:paraId="715F50EC" w14:textId="46C5C0FE" w:rsidR="00F259BC" w:rsidRDefault="00F259BC" w:rsidP="007D62EE">
      <w:r>
        <w:t>MSAC noted</w:t>
      </w:r>
      <w:r w:rsidR="00945750">
        <w:t xml:space="preserve"> ESC had raised</w:t>
      </w:r>
      <w:r>
        <w:t xml:space="preserve"> uncertainty about the clinical need and the population in whom </w:t>
      </w:r>
      <w:r w:rsidR="009E7D69">
        <w:t xml:space="preserve">suprachoroidal stents </w:t>
      </w:r>
      <w:r>
        <w:t xml:space="preserve">should be used. MSAC considered that the </w:t>
      </w:r>
      <w:r w:rsidR="00C31CAD">
        <w:t xml:space="preserve">appropriate </w:t>
      </w:r>
      <w:r>
        <w:t xml:space="preserve">use of </w:t>
      </w:r>
      <w:r w:rsidR="00C31CAD">
        <w:t>suprachoroidal stents</w:t>
      </w:r>
      <w:r w:rsidR="00492E58">
        <w:t>, whether used in preference to other stents or not,</w:t>
      </w:r>
      <w:r>
        <w:t xml:space="preserve"> would be determined by </w:t>
      </w:r>
      <w:r w:rsidR="00DF00BC">
        <w:t xml:space="preserve">the patient and clinician </w:t>
      </w:r>
      <w:r w:rsidR="00AE6C69">
        <w:t xml:space="preserve">together, </w:t>
      </w:r>
      <w:r>
        <w:t xml:space="preserve">and </w:t>
      </w:r>
      <w:r w:rsidR="00C31CAD" w:rsidRPr="00492E58">
        <w:t>these stents were</w:t>
      </w:r>
      <w:r w:rsidRPr="00492E58">
        <w:t xml:space="preserve"> likely to provide an alternate option</w:t>
      </w:r>
      <w:r w:rsidR="00492E58" w:rsidRPr="00492E58">
        <w:t>.</w:t>
      </w:r>
      <w:r w:rsidR="009666D9" w:rsidRPr="00492E58">
        <w:t xml:space="preserve"> </w:t>
      </w:r>
      <w:r w:rsidR="00492E58" w:rsidRPr="00B04E66">
        <w:t>F</w:t>
      </w:r>
      <w:r w:rsidRPr="00492E58">
        <w:t xml:space="preserve">or example, </w:t>
      </w:r>
      <w:r w:rsidR="00492E58" w:rsidRPr="00B04E66">
        <w:t>MSAC considered a suprachoroidal stent</w:t>
      </w:r>
      <w:r w:rsidR="00492E58" w:rsidRPr="00492E58">
        <w:t xml:space="preserve"> </w:t>
      </w:r>
      <w:r w:rsidRPr="00492E58">
        <w:t xml:space="preserve">may be </w:t>
      </w:r>
      <w:r w:rsidR="005F39E8">
        <w:t>used</w:t>
      </w:r>
      <w:r w:rsidRPr="00492E58">
        <w:t xml:space="preserve"> in patients who have trabecular scarring</w:t>
      </w:r>
      <w:r w:rsidR="005F39E8">
        <w:t xml:space="preserve"> or in whom the trabecular meshwork is physically inaccessible</w:t>
      </w:r>
      <w:r w:rsidRPr="00492E58">
        <w:t xml:space="preserve">, where </w:t>
      </w:r>
      <w:r w:rsidR="00492E58">
        <w:t xml:space="preserve">inserting </w:t>
      </w:r>
      <w:r w:rsidRPr="00492E58">
        <w:t>a stent in</w:t>
      </w:r>
      <w:r w:rsidR="00492E58">
        <w:t>to</w:t>
      </w:r>
      <w:r w:rsidRPr="00492E58">
        <w:t xml:space="preserve"> the trabecular meshwork is not possible.</w:t>
      </w:r>
      <w:r w:rsidR="00F24870">
        <w:t xml:space="preserve"> MSAC considered that</w:t>
      </w:r>
      <w:r w:rsidR="006F5D6C">
        <w:t xml:space="preserve"> if trauma or scarring could be avoided, this would also allow more surgical options </w:t>
      </w:r>
      <w:r w:rsidR="004951F2">
        <w:t xml:space="preserve">to remain for patients </w:t>
      </w:r>
      <w:r w:rsidR="006F5D6C">
        <w:t>in the future</w:t>
      </w:r>
      <w:r w:rsidR="00B16DC7">
        <w:t>, constituting a further potential advantage</w:t>
      </w:r>
      <w:r w:rsidR="006F5D6C">
        <w:t>.</w:t>
      </w:r>
      <w:r w:rsidR="00545E01">
        <w:t xml:space="preserve"> MSAC noted the applicant in its pre-MSAC response advised that the insertion of multiple stents was possible although highly unlikely and not current practice</w:t>
      </w:r>
      <w:r w:rsidR="00271267">
        <w:t xml:space="preserve"> – and that in that situation the alternative to inserting an additional stent may be trabeculectomy. MSAC noted the applicant also considered suprachoroidal stents were unlikely to replace trabecular stents as the most common procedure.</w:t>
      </w:r>
      <w:r w:rsidR="000440AB">
        <w:t xml:space="preserve"> Overall, MSAC was satisfied that there was sufficient clinical place and need for suprachoroidal stents in addition to trabecular stents, mainly because they will provide another option for patients. MSAC also considered that the clinical place for suprachoroidal stents in these patients may develop over time.</w:t>
      </w:r>
    </w:p>
    <w:p w14:paraId="2561CEAA" w14:textId="777755BF" w:rsidR="002B6020" w:rsidRDefault="648DD1C8" w:rsidP="69C3F4C3">
      <w:pPr>
        <w:spacing w:before="240"/>
      </w:pPr>
      <w:r>
        <w:t xml:space="preserve">Regarding clinical safety, MSAC noted that </w:t>
      </w:r>
      <w:r w:rsidR="21747A57">
        <w:t xml:space="preserve">the evidence showed </w:t>
      </w:r>
      <w:r>
        <w:t xml:space="preserve">adverse events from </w:t>
      </w:r>
      <w:proofErr w:type="spellStart"/>
      <w:r>
        <w:t>MINIject</w:t>
      </w:r>
      <w:proofErr w:type="spellEnd"/>
      <w:r>
        <w:t xml:space="preserve"> use were infrequent and could be mitigated, with anterior chamber inflammation being the main safety risk occurring in approximately 3</w:t>
      </w:r>
      <w:r w:rsidR="00B60E06">
        <w:t>0</w:t>
      </w:r>
      <w:r>
        <w:t xml:space="preserve">% of patients. MSAC </w:t>
      </w:r>
      <w:r w:rsidR="2FE7862B">
        <w:t>considered that</w:t>
      </w:r>
      <w:r>
        <w:t xml:space="preserve"> although </w:t>
      </w:r>
      <w:r w:rsidR="2FE7862B">
        <w:t xml:space="preserve">there was little long-term </w:t>
      </w:r>
      <w:r>
        <w:t xml:space="preserve">safety data </w:t>
      </w:r>
      <w:r w:rsidR="2FE7862B">
        <w:t>for</w:t>
      </w:r>
      <w:r>
        <w:t xml:space="preserve"> </w:t>
      </w:r>
      <w:proofErr w:type="spellStart"/>
      <w:r>
        <w:t>MINIject</w:t>
      </w:r>
      <w:proofErr w:type="spellEnd"/>
      <w:r>
        <w:t xml:space="preserve"> </w:t>
      </w:r>
      <w:r w:rsidR="2FE7862B">
        <w:t>(data were</w:t>
      </w:r>
      <w:r>
        <w:t xml:space="preserve"> limited to 2-3 years</w:t>
      </w:r>
      <w:r w:rsidR="2FE7862B">
        <w:t>)</w:t>
      </w:r>
      <w:r>
        <w:t xml:space="preserve">, there </w:t>
      </w:r>
      <w:r w:rsidR="2FE7862B">
        <w:t>wa</w:t>
      </w:r>
      <w:r>
        <w:t xml:space="preserve">s </w:t>
      </w:r>
      <w:r w:rsidR="2FE7862B">
        <w:t xml:space="preserve">also </w:t>
      </w:r>
      <w:r>
        <w:t xml:space="preserve">no evidence suggesting corneal endothelial cell loss as </w:t>
      </w:r>
      <w:r w:rsidR="5C89D433">
        <w:t xml:space="preserve">had been </w:t>
      </w:r>
      <w:r>
        <w:t xml:space="preserve">observed with </w:t>
      </w:r>
      <w:r w:rsidR="2FE7862B">
        <w:t xml:space="preserve">the suprachoroidal </w:t>
      </w:r>
      <w:proofErr w:type="spellStart"/>
      <w:r>
        <w:t>CyPass</w:t>
      </w:r>
      <w:proofErr w:type="spellEnd"/>
      <w:r w:rsidR="2FE7862B">
        <w:t xml:space="preserve"> device</w:t>
      </w:r>
      <w:r>
        <w:t xml:space="preserve">, </w:t>
      </w:r>
      <w:r w:rsidR="5C89D433">
        <w:t>leading to its withdrawal</w:t>
      </w:r>
      <w:r>
        <w:t xml:space="preserve"> from</w:t>
      </w:r>
      <w:r w:rsidR="2FE7862B">
        <w:t xml:space="preserve"> the Australian</w:t>
      </w:r>
      <w:r>
        <w:t xml:space="preserve"> market.</w:t>
      </w:r>
      <w:r w:rsidR="0086213C">
        <w:rPr>
          <w:sz w:val="32"/>
          <w:szCs w:val="32"/>
        </w:rPr>
        <w:t xml:space="preserve"> </w:t>
      </w:r>
      <w:r>
        <w:t xml:space="preserve">MSAC noted that </w:t>
      </w:r>
      <w:r w:rsidR="5C89D433">
        <w:t xml:space="preserve">the </w:t>
      </w:r>
      <w:proofErr w:type="spellStart"/>
      <w:r>
        <w:t>MINIject</w:t>
      </w:r>
      <w:proofErr w:type="spellEnd"/>
      <w:r>
        <w:t xml:space="preserve"> </w:t>
      </w:r>
      <w:r w:rsidR="5C89D433">
        <w:t xml:space="preserve">stent </w:t>
      </w:r>
      <w:r>
        <w:t>differ</w:t>
      </w:r>
      <w:r w:rsidR="7382DFCF">
        <w:t>ed</w:t>
      </w:r>
      <w:r>
        <w:t xml:space="preserve"> in structure and length from </w:t>
      </w:r>
      <w:r w:rsidR="5C89D433">
        <w:t xml:space="preserve">the </w:t>
      </w:r>
      <w:proofErr w:type="spellStart"/>
      <w:r>
        <w:t>CyPass</w:t>
      </w:r>
      <w:proofErr w:type="spellEnd"/>
      <w:r w:rsidR="5C89D433">
        <w:t xml:space="preserve"> stent</w:t>
      </w:r>
      <w:r>
        <w:t xml:space="preserve">, </w:t>
      </w:r>
      <w:r w:rsidR="7382DFCF">
        <w:t xml:space="preserve">and considered the insertion of </w:t>
      </w:r>
      <w:proofErr w:type="spellStart"/>
      <w:r w:rsidR="7382DFCF">
        <w:t>MINIject</w:t>
      </w:r>
      <w:proofErr w:type="spellEnd"/>
      <w:r w:rsidR="7382DFCF">
        <w:t xml:space="preserve"> will not necessarily </w:t>
      </w:r>
      <w:r>
        <w:t xml:space="preserve">lead to </w:t>
      </w:r>
      <w:r w:rsidR="7382DFCF">
        <w:t>comparable</w:t>
      </w:r>
      <w:r>
        <w:t xml:space="preserve"> adverse events despite insertion into a similar space</w:t>
      </w:r>
      <w:r w:rsidR="7382DFCF">
        <w:t>.</w:t>
      </w:r>
      <w:r>
        <w:t xml:space="preserve"> </w:t>
      </w:r>
      <w:r w:rsidR="7382DFCF">
        <w:t xml:space="preserve">MSAC considered </w:t>
      </w:r>
      <w:r>
        <w:t xml:space="preserve">that </w:t>
      </w:r>
      <w:r w:rsidR="7382DFCF">
        <w:t xml:space="preserve">device </w:t>
      </w:r>
      <w:r>
        <w:t>safety was ensured through existing regulatory processes</w:t>
      </w:r>
      <w:r w:rsidR="7382DFCF">
        <w:t>, including registries</w:t>
      </w:r>
      <w:r>
        <w:t xml:space="preserve">. </w:t>
      </w:r>
      <w:r w:rsidR="01B0D867">
        <w:t xml:space="preserve">MSAC </w:t>
      </w:r>
      <w:r w:rsidR="4BAEC4DC">
        <w:t xml:space="preserve">further </w:t>
      </w:r>
      <w:r w:rsidR="01B0D867">
        <w:t xml:space="preserve">noted the insertion of a suprachoroidal stent is already publicly funded in Australia in conjunction with cataract surgery. </w:t>
      </w:r>
      <w:r w:rsidR="1C25370E">
        <w:t xml:space="preserve">Overall, </w:t>
      </w:r>
      <w:r w:rsidR="7C8A0DBF">
        <w:t xml:space="preserve">MSAC </w:t>
      </w:r>
      <w:r w:rsidR="1C25370E">
        <w:t>advised</w:t>
      </w:r>
      <w:r w:rsidR="7C8A0DBF">
        <w:t xml:space="preserve"> that the safety of </w:t>
      </w:r>
      <w:r w:rsidR="1C25370E">
        <w:t>inserting a suprachoroidal stent</w:t>
      </w:r>
      <w:r w:rsidR="7C8A0DBF">
        <w:t xml:space="preserve"> was non-inferior </w:t>
      </w:r>
      <w:r w:rsidR="2CEFEA2C">
        <w:t xml:space="preserve">compared </w:t>
      </w:r>
      <w:r w:rsidR="7C8A0DBF">
        <w:t xml:space="preserve">to </w:t>
      </w:r>
      <w:r w:rsidR="1C25370E">
        <w:t>inserting a trabecular stent.</w:t>
      </w:r>
    </w:p>
    <w:p w14:paraId="70B064F1" w14:textId="3DE14101" w:rsidR="00F259BC" w:rsidRPr="002A37F4" w:rsidRDefault="00F259BC" w:rsidP="007D62EE">
      <w:r>
        <w:t>Regarding</w:t>
      </w:r>
      <w:r w:rsidRPr="002A37F4">
        <w:t xml:space="preserve"> clinical effectiveness, MSAC noted that </w:t>
      </w:r>
      <w:r w:rsidR="00701385">
        <w:t xml:space="preserve">the evidence showed insertion of the </w:t>
      </w:r>
      <w:proofErr w:type="spellStart"/>
      <w:r w:rsidRPr="002A37F4">
        <w:t>MINIject</w:t>
      </w:r>
      <w:proofErr w:type="spellEnd"/>
      <w:r w:rsidR="00B86852">
        <w:t xml:space="preserve"> </w:t>
      </w:r>
      <w:r w:rsidRPr="002A37F4">
        <w:t xml:space="preserve">resulted in a </w:t>
      </w:r>
      <w:r w:rsidR="00A5419B">
        <w:t xml:space="preserve">clinically </w:t>
      </w:r>
      <w:r w:rsidRPr="002A37F4">
        <w:t xml:space="preserve">significant reduction in </w:t>
      </w:r>
      <w:r w:rsidR="00A17E3A">
        <w:t>IOP</w:t>
      </w:r>
      <w:r w:rsidRPr="002A37F4">
        <w:t xml:space="preserve"> at 6, 12 and 24 months. However, MSAC noted a lack of direct head-to-head comparison studies between </w:t>
      </w:r>
      <w:proofErr w:type="spellStart"/>
      <w:r w:rsidRPr="002A37F4">
        <w:t>MINIject</w:t>
      </w:r>
      <w:proofErr w:type="spellEnd"/>
      <w:r w:rsidRPr="002A37F4">
        <w:t xml:space="preserve"> and </w:t>
      </w:r>
      <w:r w:rsidR="0019202E">
        <w:t xml:space="preserve">the </w:t>
      </w:r>
      <w:r w:rsidR="000E775D">
        <w:t>applicant-developed assessment report (</w:t>
      </w:r>
      <w:r w:rsidR="0019202E">
        <w:t>ADAR</w:t>
      </w:r>
      <w:r w:rsidR="000E775D">
        <w:t>)</w:t>
      </w:r>
      <w:r w:rsidR="0019202E">
        <w:t>’s nominated</w:t>
      </w:r>
      <w:r w:rsidRPr="002A37F4">
        <w:t xml:space="preserve"> comparator </w:t>
      </w:r>
      <w:r w:rsidR="0019202E">
        <w:t xml:space="preserve">of the </w:t>
      </w:r>
      <w:proofErr w:type="spellStart"/>
      <w:r w:rsidRPr="002A37F4">
        <w:t>iStent</w:t>
      </w:r>
      <w:proofErr w:type="spellEnd"/>
      <w:r w:rsidRPr="002A37F4">
        <w:t xml:space="preserve"> (</w:t>
      </w:r>
      <w:proofErr w:type="spellStart"/>
      <w:r w:rsidRPr="002A37F4">
        <w:t>Glaukos</w:t>
      </w:r>
      <w:proofErr w:type="spellEnd"/>
      <w:r w:rsidR="00BE7A4D">
        <w:t>;</w:t>
      </w:r>
      <w:r w:rsidR="0019202E">
        <w:t xml:space="preserve"> </w:t>
      </w:r>
      <w:r w:rsidR="003D2B47">
        <w:t>one</w:t>
      </w:r>
      <w:r w:rsidR="0019202E">
        <w:t xml:space="preserve"> brand of trabecular stent</w:t>
      </w:r>
      <w:r w:rsidR="00BE7A4D">
        <w:t>)</w:t>
      </w:r>
      <w:r w:rsidR="003D2B47">
        <w:t>,</w:t>
      </w:r>
      <w:r w:rsidRPr="002A37F4">
        <w:t xml:space="preserve"> and </w:t>
      </w:r>
      <w:r w:rsidR="003D2B47">
        <w:t xml:space="preserve">that the ADAR </w:t>
      </w:r>
      <w:r w:rsidRPr="002A37F4">
        <w:t xml:space="preserve">instead </w:t>
      </w:r>
      <w:r w:rsidR="00B770CE">
        <w:t xml:space="preserve">used </w:t>
      </w:r>
      <w:r w:rsidRPr="007D62EE">
        <w:t xml:space="preserve">a naïve unanchored indirect treatment comparison (ITC) to estimate the relative effectiveness of the </w:t>
      </w:r>
      <w:r w:rsidR="003D2B47">
        <w:t>insertion of suprachoroidal stents compared to trabecular stents</w:t>
      </w:r>
      <w:r>
        <w:t>. MSAC noted</w:t>
      </w:r>
      <w:r w:rsidRPr="007D62EE">
        <w:t xml:space="preserve"> </w:t>
      </w:r>
      <w:r>
        <w:t>the trial</w:t>
      </w:r>
      <w:r w:rsidRPr="007D62EE">
        <w:t xml:space="preserve"> population</w:t>
      </w:r>
      <w:r>
        <w:t>s</w:t>
      </w:r>
      <w:r w:rsidR="002F0A0A">
        <w:t xml:space="preserve"> were more homogenous </w:t>
      </w:r>
      <w:r w:rsidR="003D2B47">
        <w:t xml:space="preserve">for the intervention </w:t>
      </w:r>
      <w:r w:rsidR="002F0A0A">
        <w:t>than the</w:t>
      </w:r>
      <w:r w:rsidR="003D2B47">
        <w:t xml:space="preserve"> comparator</w:t>
      </w:r>
      <w:r>
        <w:t>,</w:t>
      </w:r>
      <w:r w:rsidRPr="007D62EE">
        <w:t xml:space="preserve"> stemming from differences </w:t>
      </w:r>
      <w:r>
        <w:t xml:space="preserve">in study </w:t>
      </w:r>
      <w:r w:rsidRPr="007D62EE">
        <w:t>design</w:t>
      </w:r>
      <w:r>
        <w:t xml:space="preserve"> and </w:t>
      </w:r>
      <w:r w:rsidRPr="007D62EE">
        <w:t>eligibility criteria</w:t>
      </w:r>
      <w:r w:rsidR="003D2B47">
        <w:t xml:space="preserve">. MSAC considered these </w:t>
      </w:r>
      <w:r w:rsidRPr="007D62EE">
        <w:t>compromise</w:t>
      </w:r>
      <w:r w:rsidR="003D2B47">
        <w:t>d</w:t>
      </w:r>
      <w:r w:rsidRPr="007D62EE">
        <w:t xml:space="preserve"> the validity of </w:t>
      </w:r>
      <w:r>
        <w:t xml:space="preserve">the </w:t>
      </w:r>
      <w:r w:rsidRPr="007D62EE">
        <w:t>ITC analysis</w:t>
      </w:r>
      <w:r w:rsidRPr="002A37F4">
        <w:t xml:space="preserve">, </w:t>
      </w:r>
      <w:r w:rsidR="004D7D2E">
        <w:t>and agreed with ESC that the evidence supported a claim of</w:t>
      </w:r>
      <w:r w:rsidRPr="002A37F4">
        <w:t xml:space="preserve"> </w:t>
      </w:r>
      <w:r w:rsidR="00B05999">
        <w:t xml:space="preserve">at least </w:t>
      </w:r>
      <w:r w:rsidRPr="002A37F4">
        <w:t>non-inferior effectiveness.</w:t>
      </w:r>
    </w:p>
    <w:p w14:paraId="3C44C683" w14:textId="7D577781" w:rsidR="00785230" w:rsidRDefault="00785230" w:rsidP="00785230">
      <w:r>
        <w:lastRenderedPageBreak/>
        <w:t>MSAC noted the applicant proposed the fee for the insertion of a suprachoroidal stent be the same as the current fee for the insertion of a trabecular stent, and considered this was reasonable.</w:t>
      </w:r>
    </w:p>
    <w:p w14:paraId="16964B61" w14:textId="19E2980C" w:rsidR="00F259BC" w:rsidRDefault="00F259BC" w:rsidP="007D62EE">
      <w:r>
        <w:t>MSAC noted ESC</w:t>
      </w:r>
      <w:r w:rsidR="00D41957">
        <w:t xml:space="preserve"> had</w:t>
      </w:r>
      <w:r>
        <w:t xml:space="preserve"> </w:t>
      </w:r>
      <w:r w:rsidR="00D41957">
        <w:t>considered a</w:t>
      </w:r>
      <w:r>
        <w:t xml:space="preserve"> cost utility analysis </w:t>
      </w:r>
      <w:r w:rsidR="000E775D">
        <w:t xml:space="preserve">(CUA) or cost-effectiveness analysis (CEA) </w:t>
      </w:r>
      <w:r w:rsidR="00D41957">
        <w:t>would have been prefer</w:t>
      </w:r>
      <w:r w:rsidR="006C7118">
        <w:t>red</w:t>
      </w:r>
      <w:r w:rsidR="000E775D">
        <w:t xml:space="preserve"> over the ADAR’s cost-minimisation analysis (CMA)</w:t>
      </w:r>
      <w:r w:rsidR="00D41957">
        <w:t xml:space="preserve"> </w:t>
      </w:r>
      <w:r w:rsidR="000E775D">
        <w:t>given</w:t>
      </w:r>
      <w:r>
        <w:t xml:space="preserve"> the applicant claimed superior</w:t>
      </w:r>
      <w:r w:rsidR="000E775D">
        <w:t xml:space="preserve"> safety and effectiveness.</w:t>
      </w:r>
      <w:r w:rsidR="00D41957">
        <w:t xml:space="preserve"> </w:t>
      </w:r>
      <w:r w:rsidR="00A674BE">
        <w:t>However,</w:t>
      </w:r>
      <w:r w:rsidR="00D41957">
        <w:t xml:space="preserve"> MSAC </w:t>
      </w:r>
      <w:r w:rsidR="000E775D">
        <w:t xml:space="preserve">considered </w:t>
      </w:r>
      <w:r w:rsidR="00D41957">
        <w:t xml:space="preserve">that </w:t>
      </w:r>
      <w:r w:rsidR="0047757C">
        <w:t xml:space="preserve">as </w:t>
      </w:r>
      <w:r>
        <w:t xml:space="preserve">safety and </w:t>
      </w:r>
      <w:r w:rsidR="000E775D">
        <w:t>effectiveness were more reasonably non-inferior</w:t>
      </w:r>
      <w:r>
        <w:t xml:space="preserve">, the cost-minimisation analysis was </w:t>
      </w:r>
      <w:r w:rsidR="000E775D">
        <w:t>sufficient for decision-making</w:t>
      </w:r>
      <w:r>
        <w:t xml:space="preserve">. </w:t>
      </w:r>
      <w:r w:rsidR="00801001">
        <w:t>MSAC noted t</w:t>
      </w:r>
      <w:r>
        <w:t xml:space="preserve">he ADAR reported an expected net saving of $240.58 per </w:t>
      </w:r>
      <w:proofErr w:type="spellStart"/>
      <w:r>
        <w:t>MINIject</w:t>
      </w:r>
      <w:proofErr w:type="spellEnd"/>
      <w:r>
        <w:t xml:space="preserve"> procedure (per patient over 2 years), based on reduced costs from lower usage of medications and eyedrops to reduce intraocular pressure and manage </w:t>
      </w:r>
      <w:r w:rsidRPr="007D62EE">
        <w:rPr>
          <w:lang w:val="en-US"/>
        </w:rPr>
        <w:t>ocular surface disease</w:t>
      </w:r>
      <w:r w:rsidR="00CE7280">
        <w:rPr>
          <w:lang w:val="en-US"/>
        </w:rPr>
        <w:t xml:space="preserve"> (OSD)</w:t>
      </w:r>
      <w:r>
        <w:t xml:space="preserve">. MSAC agreed with ESC </w:t>
      </w:r>
      <w:r w:rsidR="00B92790">
        <w:t>that the economic evaluation was</w:t>
      </w:r>
      <w:r>
        <w:t xml:space="preserve"> </w:t>
      </w:r>
      <w:r w:rsidR="00801001">
        <w:t xml:space="preserve">somewhat </w:t>
      </w:r>
      <w:r>
        <w:t>uncertain due to uncertainty over the level of evidence informing the analysis</w:t>
      </w:r>
      <w:r w:rsidR="000A771C">
        <w:t>, and that some of the inputs were speculative</w:t>
      </w:r>
      <w:r w:rsidR="00CE7280">
        <w:t xml:space="preserve"> (in particular, the claimed cost-offsets from reduced OSD medication were highly uncertain)</w:t>
      </w:r>
      <w:r>
        <w:t xml:space="preserve">. However, MSAC considered that higher level evidence </w:t>
      </w:r>
      <w:r w:rsidR="000A771C">
        <w:t>wa</w:t>
      </w:r>
      <w:r>
        <w:t xml:space="preserve">s unlikely to be forthcoming and </w:t>
      </w:r>
      <w:r w:rsidR="00801001">
        <w:t xml:space="preserve">noted that </w:t>
      </w:r>
      <w:r>
        <w:t xml:space="preserve">overseas studies have shown </w:t>
      </w:r>
      <w:proofErr w:type="spellStart"/>
      <w:r>
        <w:t>MINIject</w:t>
      </w:r>
      <w:proofErr w:type="spellEnd"/>
      <w:r>
        <w:t xml:space="preserve"> to be cost-effective. Overall, MSAC </w:t>
      </w:r>
      <w:r w:rsidR="003337CB">
        <w:t xml:space="preserve">advised that </w:t>
      </w:r>
      <w:r w:rsidR="00B92790">
        <w:t xml:space="preserve">the insertion of a suprachoroidal stent was </w:t>
      </w:r>
      <w:r w:rsidR="00B0690C">
        <w:t>acceptably cost-effective</w:t>
      </w:r>
      <w:r>
        <w:t>.</w:t>
      </w:r>
    </w:p>
    <w:p w14:paraId="562E7677" w14:textId="3F802023" w:rsidR="00F84B14" w:rsidRPr="00F84B14" w:rsidRDefault="00F259BC" w:rsidP="007D62EE">
      <w:r>
        <w:t xml:space="preserve">MSAC noted that a market share approach was used for </w:t>
      </w:r>
      <w:r w:rsidR="003337CB">
        <w:t xml:space="preserve">the utilisation and </w:t>
      </w:r>
      <w:r>
        <w:t>financial estimates. MSAC noted the estimated low initial usage and projected increase in usage,</w:t>
      </w:r>
      <w:r w:rsidR="00C17E33">
        <w:t xml:space="preserve"> with the ADAR’s analyses showing</w:t>
      </w:r>
      <w:r>
        <w:t xml:space="preserve"> no net cost to the MBS</w:t>
      </w:r>
      <w:r w:rsidR="00C17E33">
        <w:t xml:space="preserve"> as suprachoroidal stents would only ever replace trabecular stents. </w:t>
      </w:r>
      <w:r>
        <w:t xml:space="preserve">MSAC considered that the main uncertainty </w:t>
      </w:r>
      <w:r w:rsidR="00C17E33">
        <w:t>wa</w:t>
      </w:r>
      <w:r>
        <w:t xml:space="preserve">s whether some patients may receive multiple stents in the same eye (a supraciliary procedure and then a trabecular procedure, or the reverse), in which case there would be a net increase in utilisation and therefore cost to the MBS. MSAC noted that the applicant’s pre-MSAC response stated that this situation would be highly unlikely and is not current practice. </w:t>
      </w:r>
      <w:r w:rsidR="009B7916">
        <w:t>MSAC considered that there will likely be a small amount of non-replacement (i.e.</w:t>
      </w:r>
      <w:r w:rsidR="000213B9">
        <w:t>,</w:t>
      </w:r>
      <w:r w:rsidR="009B7916">
        <w:t xml:space="preserve"> additional) </w:t>
      </w:r>
      <w:r w:rsidR="00B61ED6">
        <w:t>use</w:t>
      </w:r>
      <w:r w:rsidR="00712261">
        <w:t xml:space="preserve">, for example in patients with trabecular scarring who could receive a suprachoroidal stent but </w:t>
      </w:r>
      <w:r w:rsidR="003B1D16">
        <w:t>could not have received</w:t>
      </w:r>
      <w:r w:rsidR="00712261">
        <w:t xml:space="preserve"> a trabecular stent</w:t>
      </w:r>
      <w:r w:rsidR="003B1D16">
        <w:t xml:space="preserve"> under the comparator</w:t>
      </w:r>
      <w:r w:rsidR="00712261">
        <w:t>.</w:t>
      </w:r>
      <w:r w:rsidR="003B1D16">
        <w:t xml:space="preserve"> MSAC considered there was value for patients in having another option</w:t>
      </w:r>
      <w:r w:rsidR="00B61ED6">
        <w:t xml:space="preserve"> available to them</w:t>
      </w:r>
      <w:r w:rsidR="003B1D16">
        <w:t>, and that while the</w:t>
      </w:r>
      <w:r w:rsidR="00E56339">
        <w:t xml:space="preserve"> non-replacement use would come at an additional cost to the MBS, </w:t>
      </w:r>
      <w:r w:rsidR="00FA7F75">
        <w:t xml:space="preserve">advised </w:t>
      </w:r>
      <w:r w:rsidR="00E56339">
        <w:t>this would likely be minimal and was acceptable.</w:t>
      </w:r>
      <w:r w:rsidR="00D74814" w:rsidRPr="00D74814">
        <w:t xml:space="preserve"> </w:t>
      </w:r>
      <w:r w:rsidR="00D74814">
        <w:t>MSAC also considered that the 75% (in-hospital) benefit was more appropriate, given the high rate of MBGS device implantation performed in-hospital.</w:t>
      </w:r>
      <w:r w:rsidR="00FA7F75">
        <w:t xml:space="preserve"> </w:t>
      </w:r>
      <w:r w:rsidR="009B7916">
        <w:t xml:space="preserve">Given the uncertainty around </w:t>
      </w:r>
      <w:r w:rsidR="00D74814">
        <w:t xml:space="preserve">estimated </w:t>
      </w:r>
      <w:r w:rsidR="009B7916">
        <w:t>utilisatio</w:t>
      </w:r>
      <w:r w:rsidR="00D74814">
        <w:t>n</w:t>
      </w:r>
      <w:r w:rsidR="009B7916">
        <w:t xml:space="preserve">, </w:t>
      </w:r>
      <w:r w:rsidR="009D796F">
        <w:t xml:space="preserve">although service volumes were anticipated to be small </w:t>
      </w:r>
      <w:r>
        <w:t xml:space="preserve">MSAC </w:t>
      </w:r>
      <w:r w:rsidR="009D796F">
        <w:t>recommended utilisation be monitored</w:t>
      </w:r>
      <w:r>
        <w:t xml:space="preserve">. </w:t>
      </w:r>
    </w:p>
    <w:p w14:paraId="520D630B" w14:textId="7230A39A" w:rsidR="006C788E" w:rsidRPr="002759A3" w:rsidRDefault="00637A71" w:rsidP="00637A71">
      <w:pPr>
        <w:pStyle w:val="Heading2"/>
        <w:numPr>
          <w:ilvl w:val="1"/>
          <w:numId w:val="0"/>
        </w:numPr>
      </w:pPr>
      <w:r>
        <w:t>4.</w:t>
      </w:r>
      <w:r>
        <w:tab/>
      </w:r>
      <w:r w:rsidR="00772829" w:rsidRPr="002759A3">
        <w:t>Background</w:t>
      </w:r>
      <w:bookmarkStart w:id="3" w:name="_Hlk69734494"/>
      <w:bookmarkEnd w:id="1"/>
    </w:p>
    <w:p w14:paraId="09CF7598" w14:textId="3375C712" w:rsidR="008E51EE" w:rsidRPr="009E2CDE" w:rsidRDefault="008E51EE" w:rsidP="00BF6F82">
      <w:r>
        <w:t xml:space="preserve">To date, </w:t>
      </w:r>
      <w:r w:rsidR="00B61D08">
        <w:t xml:space="preserve">one </w:t>
      </w:r>
      <w:r>
        <w:t xml:space="preserve">prior </w:t>
      </w:r>
      <w:r w:rsidR="00F95B00">
        <w:t xml:space="preserve">application </w:t>
      </w:r>
      <w:r w:rsidR="00602A0B">
        <w:t xml:space="preserve">has been considered by </w:t>
      </w:r>
      <w:r w:rsidR="00F95B00">
        <w:t xml:space="preserve">the </w:t>
      </w:r>
      <w:r w:rsidR="006E23B2">
        <w:t>Medical Service Advisory Committee (</w:t>
      </w:r>
      <w:r>
        <w:t>MSAC</w:t>
      </w:r>
      <w:r w:rsidR="006E23B2">
        <w:t>)</w:t>
      </w:r>
      <w:r>
        <w:t xml:space="preserve"> </w:t>
      </w:r>
      <w:r w:rsidR="00755679">
        <w:t>f</w:t>
      </w:r>
      <w:r>
        <w:t xml:space="preserve">or a standalone MBGS procedure </w:t>
      </w:r>
      <w:r w:rsidR="00143454">
        <w:t>for insertion of a</w:t>
      </w:r>
      <w:r>
        <w:t xml:space="preserve"> stent into the </w:t>
      </w:r>
      <w:r w:rsidR="00DC2844">
        <w:t>suprachoroidal</w:t>
      </w:r>
      <w:r>
        <w:t xml:space="preserve"> space</w:t>
      </w:r>
      <w:r w:rsidR="0074647D">
        <w:t>.</w:t>
      </w:r>
      <w:r>
        <w:t xml:space="preserve"> </w:t>
      </w:r>
    </w:p>
    <w:p w14:paraId="03304373" w14:textId="77C407B0" w:rsidR="009C475E" w:rsidRDefault="004C09E4" w:rsidP="00BF6F82">
      <w:r w:rsidRPr="009E2CDE">
        <w:t>Prior applications regarding the implantation of MBGS devices</w:t>
      </w:r>
      <w:r w:rsidR="00755679">
        <w:t xml:space="preserve"> </w:t>
      </w:r>
      <w:r w:rsidRPr="009E2CDE">
        <w:t>are summarised in</w:t>
      </w:r>
      <w:r w:rsidR="00B90137" w:rsidRPr="009E2CDE">
        <w:t xml:space="preserve"> </w:t>
      </w:r>
      <w:r w:rsidR="00B90137" w:rsidRPr="009E2CDE">
        <w:fldChar w:fldCharType="begin"/>
      </w:r>
      <w:r w:rsidR="00B90137" w:rsidRPr="009E2CDE">
        <w:instrText xml:space="preserve"> REF _Ref150939840 \h </w:instrText>
      </w:r>
      <w:r w:rsidR="009E2CDE">
        <w:instrText xml:space="preserve"> \* MERGEFORMAT </w:instrText>
      </w:r>
      <w:r w:rsidR="00B90137" w:rsidRPr="009E2CDE">
        <w:fldChar w:fldCharType="separate"/>
      </w:r>
      <w:r w:rsidR="003C61D8">
        <w:t>Table</w:t>
      </w:r>
      <w:r w:rsidR="003C61D8" w:rsidRPr="0001290C">
        <w:t> </w:t>
      </w:r>
      <w:r w:rsidR="003C61D8">
        <w:t>2</w:t>
      </w:r>
      <w:r w:rsidR="00B90137" w:rsidRPr="009E2CDE">
        <w:fldChar w:fldCharType="end"/>
      </w:r>
      <w:r w:rsidR="00755679" w:rsidRPr="009E2CDE">
        <w:t>, including dates, indications and MSAC recommendations</w:t>
      </w:r>
      <w:r w:rsidRPr="009E2CDE">
        <w:t xml:space="preserve">. Most relevant to the current application is MSAC Application 1541: ‘Micro-bypass glaucoma surgery device implantation </w:t>
      </w:r>
      <w:r w:rsidR="00995AC5">
        <w:t xml:space="preserve">in </w:t>
      </w:r>
      <w:r w:rsidR="005E4AEE">
        <w:t>trabecular</w:t>
      </w:r>
      <w:r w:rsidR="00995AC5">
        <w:t xml:space="preserve"> meshwork or </w:t>
      </w:r>
      <w:r w:rsidR="005E4AEE">
        <w:t xml:space="preserve">suprachoroidal space </w:t>
      </w:r>
      <w:r w:rsidRPr="009E2CDE">
        <w:t xml:space="preserve">as a standalone procedure in patients with </w:t>
      </w:r>
      <w:r w:rsidR="00FE13CB">
        <w:t>open angle glaucoma</w:t>
      </w:r>
      <w:r w:rsidRPr="009E2CDE">
        <w:t>’ (Nov</w:t>
      </w:r>
      <w:r w:rsidR="00243A5D">
        <w:t>ember</w:t>
      </w:r>
      <w:r w:rsidRPr="009E2CDE">
        <w:t xml:space="preserve"> 2018). The </w:t>
      </w:r>
      <w:r w:rsidR="007E7A64">
        <w:t>first</w:t>
      </w:r>
      <w:r w:rsidR="007E7A64" w:rsidRPr="009E2CDE">
        <w:t xml:space="preserve"> </w:t>
      </w:r>
      <w:r w:rsidRPr="009E2CDE">
        <w:t>1541 submission</w:t>
      </w:r>
      <w:r w:rsidR="007E7A64">
        <w:t xml:space="preserve"> (</w:t>
      </w:r>
      <w:r w:rsidR="00347F30">
        <w:t>for</w:t>
      </w:r>
      <w:r w:rsidR="007E7A64">
        <w:t xml:space="preserve"> </w:t>
      </w:r>
      <w:r w:rsidR="003546B5">
        <w:t xml:space="preserve">standalone </w:t>
      </w:r>
      <w:r w:rsidR="007E7A64">
        <w:t>insertion of a stent into the suprachoroidal space</w:t>
      </w:r>
      <w:r w:rsidR="00347F30">
        <w:t xml:space="preserve"> or trabecular meshwork</w:t>
      </w:r>
      <w:r w:rsidR="007E7A64">
        <w:t>)</w:t>
      </w:r>
      <w:r w:rsidRPr="009E2CDE">
        <w:t xml:space="preserve"> was </w:t>
      </w:r>
      <w:r w:rsidR="00995FAB">
        <w:t xml:space="preserve">not supported </w:t>
      </w:r>
      <w:r w:rsidR="00C036D0">
        <w:t xml:space="preserve">by MSAC </w:t>
      </w:r>
      <w:r w:rsidR="00995FAB">
        <w:t>in November 2018</w:t>
      </w:r>
      <w:r w:rsidRPr="009E2CDE">
        <w:t xml:space="preserve">, </w:t>
      </w:r>
      <w:r w:rsidR="00E47C68">
        <w:t xml:space="preserve">with MSAC </w:t>
      </w:r>
      <w:r w:rsidRPr="009E2CDE">
        <w:t xml:space="preserve">listing the following concerns: eligibility criteria and high leakage risk to other populations, poor comparative safety data, poor comparative </w:t>
      </w:r>
      <w:r w:rsidR="005470F4" w:rsidRPr="009E2CDE">
        <w:t>efficacy,</w:t>
      </w:r>
      <w:r w:rsidRPr="009E2CDE">
        <w:t xml:space="preserve"> and unsatisfactory economic assessment. A resubmission of the 1541 </w:t>
      </w:r>
      <w:r w:rsidR="002D5D72">
        <w:t xml:space="preserve">application </w:t>
      </w:r>
      <w:r w:rsidR="003546B5">
        <w:t xml:space="preserve">for standalone insertion of a stent into the trabecular meshwork </w:t>
      </w:r>
      <w:r w:rsidRPr="009E2CDE">
        <w:t xml:space="preserve">excluded </w:t>
      </w:r>
      <w:r w:rsidR="00DC2844" w:rsidRPr="006A0CD3">
        <w:t>suprachoroidal</w:t>
      </w:r>
      <w:r w:rsidR="00615345" w:rsidRPr="006A0CD3">
        <w:t xml:space="preserve"> </w:t>
      </w:r>
      <w:r w:rsidR="007027E1" w:rsidRPr="006A0CD3">
        <w:t xml:space="preserve">minimally invasive glaucoma surgery </w:t>
      </w:r>
      <w:r w:rsidR="00AB5FD7" w:rsidRPr="006A0CD3">
        <w:t>(</w:t>
      </w:r>
      <w:r w:rsidR="00E237A2" w:rsidRPr="006A0CD3">
        <w:t>MIGS</w:t>
      </w:r>
      <w:r w:rsidR="00AB5FD7" w:rsidRPr="006A0CD3">
        <w:t>)</w:t>
      </w:r>
      <w:r w:rsidR="00E237A2" w:rsidRPr="006A0CD3">
        <w:t>/</w:t>
      </w:r>
      <w:r w:rsidRPr="006A0CD3">
        <w:t>MBGS d</w:t>
      </w:r>
      <w:r w:rsidRPr="009E2CDE">
        <w:t xml:space="preserve">ue to the withdrawal of the </w:t>
      </w:r>
      <w:r w:rsidR="000B2D15" w:rsidRPr="00142A24">
        <w:t>suprachoroidal</w:t>
      </w:r>
      <w:r w:rsidRPr="009E2CDE">
        <w:t xml:space="preserve"> MIGS </w:t>
      </w:r>
      <w:proofErr w:type="spellStart"/>
      <w:r w:rsidRPr="009E2CDE">
        <w:t>CyPass</w:t>
      </w:r>
      <w:proofErr w:type="spellEnd"/>
      <w:r w:rsidRPr="009E2CDE">
        <w:t xml:space="preserve"> stent from the </w:t>
      </w:r>
      <w:r w:rsidRPr="009E2CDE">
        <w:lastRenderedPageBreak/>
        <w:t>Australian market due to safety concerns</w:t>
      </w:r>
      <w:r w:rsidR="00C036D0">
        <w:t>, and</w:t>
      </w:r>
      <w:r w:rsidR="000136D3">
        <w:t xml:space="preserve"> standalone insertion of a trabecular stent </w:t>
      </w:r>
      <w:r w:rsidR="00C036D0" w:rsidRPr="009E2CDE">
        <w:t xml:space="preserve">was </w:t>
      </w:r>
      <w:r w:rsidR="00C036D0">
        <w:t>supported by MSAC</w:t>
      </w:r>
      <w:r w:rsidR="00C036D0" w:rsidRPr="009E2CDE">
        <w:t xml:space="preserve"> in August 2019</w:t>
      </w:r>
      <w:r w:rsidRPr="009E2CDE">
        <w:t xml:space="preserve">. </w:t>
      </w:r>
    </w:p>
    <w:p w14:paraId="5B8D827F" w14:textId="21C2665F" w:rsidR="004C09E4" w:rsidRPr="009E2CDE" w:rsidRDefault="009C475E" w:rsidP="00BF6F82">
      <w:r>
        <w:t>Under Medicare Benefits Schedule (MBS) item 42705, the insertion of a stent into the suprachoroidal space is publicly funded in association with cataract surgery (and removal if required, using item 42505).</w:t>
      </w:r>
    </w:p>
    <w:p w14:paraId="6D6C2ADB" w14:textId="3441089D" w:rsidR="00B90137" w:rsidRDefault="00B90137" w:rsidP="00B90137">
      <w:pPr>
        <w:pStyle w:val="Caption"/>
      </w:pPr>
      <w:bookmarkStart w:id="4" w:name="_Ref150939840"/>
      <w:r>
        <w:t>Table</w:t>
      </w:r>
      <w:r w:rsidR="00CE5FC4" w:rsidRPr="0001290C">
        <w:t> </w:t>
      </w:r>
      <w:r>
        <w:fldChar w:fldCharType="begin"/>
      </w:r>
      <w:r>
        <w:instrText>SEQ Table \* ARABIC</w:instrText>
      </w:r>
      <w:r>
        <w:fldChar w:fldCharType="separate"/>
      </w:r>
      <w:r w:rsidR="003C61D8">
        <w:rPr>
          <w:noProof/>
        </w:rPr>
        <w:t>2</w:t>
      </w:r>
      <w:r>
        <w:fldChar w:fldCharType="end"/>
      </w:r>
      <w:bookmarkEnd w:id="4"/>
      <w:r w:rsidR="00CE5FC4">
        <w:tab/>
      </w:r>
      <w:r w:rsidRPr="006A57B6">
        <w:t xml:space="preserve">Relevant </w:t>
      </w:r>
      <w:r w:rsidR="00EA2D71">
        <w:t xml:space="preserve">previous </w:t>
      </w:r>
      <w:r w:rsidRPr="006A57B6">
        <w:t xml:space="preserve">MSAC applications regarding the use of </w:t>
      </w:r>
      <w:r w:rsidR="00011432">
        <w:t xml:space="preserve">micro-bypass glaucoma surgery </w:t>
      </w:r>
      <w:r w:rsidRPr="006A57B6">
        <w:t xml:space="preserve">device implantation in patients with </w:t>
      </w:r>
      <w:r w:rsidR="00011432">
        <w:t>open angle</w:t>
      </w:r>
      <w:r w:rsidR="00CE5FC4">
        <w:t xml:space="preserve"> glaucoma</w:t>
      </w:r>
    </w:p>
    <w:tbl>
      <w:tblPr>
        <w:tblStyle w:val="TableGrid"/>
        <w:tblW w:w="0" w:type="auto"/>
        <w:tblLook w:val="04A0" w:firstRow="1" w:lastRow="0" w:firstColumn="1" w:lastColumn="0" w:noHBand="0" w:noVBand="1"/>
      </w:tblPr>
      <w:tblGrid>
        <w:gridCol w:w="1461"/>
        <w:gridCol w:w="1795"/>
        <w:gridCol w:w="2976"/>
        <w:gridCol w:w="2784"/>
      </w:tblGrid>
      <w:tr w:rsidR="00CF5F6F" w:rsidRPr="000D7888" w14:paraId="0D018ED2" w14:textId="77777777" w:rsidTr="00617190">
        <w:trPr>
          <w:trHeight w:val="488"/>
          <w:tblHeader/>
        </w:trPr>
        <w:tc>
          <w:tcPr>
            <w:tcW w:w="1461" w:type="dxa"/>
            <w:shd w:val="clear" w:color="auto" w:fill="FFFFFF" w:themeFill="background1"/>
          </w:tcPr>
          <w:p w14:paraId="03C5F3C4" w14:textId="027780F6" w:rsidR="00CF5F6F" w:rsidRPr="000D7888" w:rsidRDefault="00CF5F6F" w:rsidP="000D7888">
            <w:pPr>
              <w:pStyle w:val="Tabletext0"/>
              <w:rPr>
                <w:b/>
                <w:bCs/>
              </w:rPr>
            </w:pPr>
            <w:r w:rsidRPr="000D7888">
              <w:rPr>
                <w:b/>
                <w:bCs/>
              </w:rPr>
              <w:t xml:space="preserve">Application </w:t>
            </w:r>
            <w:r w:rsidR="00EA2D71">
              <w:rPr>
                <w:b/>
                <w:bCs/>
              </w:rPr>
              <w:t>number</w:t>
            </w:r>
            <w:r w:rsidR="00EA2D71" w:rsidRPr="000D7888">
              <w:rPr>
                <w:b/>
                <w:bCs/>
              </w:rPr>
              <w:t xml:space="preserve"> </w:t>
            </w:r>
          </w:p>
        </w:tc>
        <w:tc>
          <w:tcPr>
            <w:tcW w:w="1795" w:type="dxa"/>
            <w:shd w:val="clear" w:color="auto" w:fill="FFFFFF" w:themeFill="background1"/>
          </w:tcPr>
          <w:p w14:paraId="5C2554CF" w14:textId="0E94FCE2" w:rsidR="00CF5F6F" w:rsidRPr="000D7888" w:rsidRDefault="00CF5F6F" w:rsidP="000D7888">
            <w:pPr>
              <w:pStyle w:val="Tabletext0"/>
              <w:rPr>
                <w:b/>
                <w:bCs/>
              </w:rPr>
            </w:pPr>
            <w:r w:rsidRPr="000D7888">
              <w:rPr>
                <w:b/>
                <w:bCs/>
              </w:rPr>
              <w:t xml:space="preserve">Date </w:t>
            </w:r>
            <w:r w:rsidR="00EA2D71">
              <w:rPr>
                <w:b/>
                <w:bCs/>
              </w:rPr>
              <w:t>of MSAC consideration</w:t>
            </w:r>
          </w:p>
        </w:tc>
        <w:tc>
          <w:tcPr>
            <w:tcW w:w="2976" w:type="dxa"/>
            <w:shd w:val="clear" w:color="auto" w:fill="FFFFFF" w:themeFill="background1"/>
          </w:tcPr>
          <w:p w14:paraId="1F33624B" w14:textId="09BCF713" w:rsidR="00CF5F6F" w:rsidRPr="000D7888" w:rsidRDefault="008C688C" w:rsidP="000D7888">
            <w:pPr>
              <w:pStyle w:val="Tabletext0"/>
              <w:rPr>
                <w:b/>
                <w:bCs/>
              </w:rPr>
            </w:pPr>
            <w:r w:rsidRPr="000D7888">
              <w:rPr>
                <w:b/>
                <w:bCs/>
              </w:rPr>
              <w:t xml:space="preserve">Indication </w:t>
            </w:r>
          </w:p>
        </w:tc>
        <w:tc>
          <w:tcPr>
            <w:tcW w:w="2784" w:type="dxa"/>
            <w:shd w:val="clear" w:color="auto" w:fill="FFFFFF" w:themeFill="background1"/>
          </w:tcPr>
          <w:p w14:paraId="114E899A" w14:textId="016BF9F0" w:rsidR="00CF5F6F" w:rsidRPr="000D7888" w:rsidRDefault="007308D7" w:rsidP="000D7888">
            <w:pPr>
              <w:pStyle w:val="Tabletext0"/>
              <w:rPr>
                <w:b/>
                <w:bCs/>
              </w:rPr>
            </w:pPr>
            <w:r w:rsidRPr="000D7888">
              <w:rPr>
                <w:b/>
                <w:bCs/>
              </w:rPr>
              <w:t xml:space="preserve">MSAC </w:t>
            </w:r>
            <w:r w:rsidR="00EA2D71">
              <w:rPr>
                <w:b/>
                <w:bCs/>
              </w:rPr>
              <w:t>advice</w:t>
            </w:r>
            <w:r w:rsidR="00EA2D71" w:rsidRPr="000D7888">
              <w:rPr>
                <w:b/>
                <w:bCs/>
              </w:rPr>
              <w:t xml:space="preserve"> </w:t>
            </w:r>
          </w:p>
        </w:tc>
      </w:tr>
      <w:tr w:rsidR="00CF5F6F" w14:paraId="751AA1FE" w14:textId="77777777" w:rsidTr="00617190">
        <w:tc>
          <w:tcPr>
            <w:tcW w:w="1461" w:type="dxa"/>
          </w:tcPr>
          <w:p w14:paraId="0FD0D8C5" w14:textId="29E2617F" w:rsidR="00CF5F6F" w:rsidRPr="00E92E58" w:rsidRDefault="008C688C" w:rsidP="000D7888">
            <w:pPr>
              <w:pStyle w:val="Tabletext0"/>
            </w:pPr>
            <w:r w:rsidRPr="00E92E58">
              <w:t>1483</w:t>
            </w:r>
          </w:p>
        </w:tc>
        <w:tc>
          <w:tcPr>
            <w:tcW w:w="1795" w:type="dxa"/>
          </w:tcPr>
          <w:p w14:paraId="5A18C62C" w14:textId="32B37800" w:rsidR="00CF5F6F" w:rsidRPr="00E92E58" w:rsidRDefault="00213ACE" w:rsidP="000D7888">
            <w:pPr>
              <w:pStyle w:val="Tabletext0"/>
            </w:pPr>
            <w:r w:rsidRPr="00E92E58">
              <w:t>November 2017</w:t>
            </w:r>
          </w:p>
        </w:tc>
        <w:tc>
          <w:tcPr>
            <w:tcW w:w="2976" w:type="dxa"/>
          </w:tcPr>
          <w:p w14:paraId="03776034" w14:textId="272A7383" w:rsidR="00CF5F6F" w:rsidRPr="00E92E58" w:rsidRDefault="00DB2E48" w:rsidP="000D7888">
            <w:pPr>
              <w:pStyle w:val="Tabletext0"/>
            </w:pPr>
            <w:r w:rsidRPr="00E92E58">
              <w:t>U</w:t>
            </w:r>
            <w:r w:rsidR="00237359" w:rsidRPr="00E92E58">
              <w:t xml:space="preserve">sage of </w:t>
            </w:r>
            <w:r w:rsidR="008D60B0" w:rsidRPr="00E92E58">
              <w:t>TB</w:t>
            </w:r>
            <w:r w:rsidR="00237359" w:rsidRPr="00E92E58">
              <w:t xml:space="preserve"> MBGS</w:t>
            </w:r>
            <w:r w:rsidRPr="00E92E58">
              <w:t xml:space="preserve"> as a standalone procedure and combination with cataract surgery</w:t>
            </w:r>
            <w:r w:rsidR="006A77B0" w:rsidRPr="00E92E58">
              <w:t xml:space="preserve"> in patients with OAG</w:t>
            </w:r>
          </w:p>
        </w:tc>
        <w:tc>
          <w:tcPr>
            <w:tcW w:w="2784" w:type="dxa"/>
          </w:tcPr>
          <w:p w14:paraId="15B252AE" w14:textId="134D60B1" w:rsidR="00CF5F6F" w:rsidRPr="00E92E58" w:rsidRDefault="00995FAB" w:rsidP="00617190">
            <w:pPr>
              <w:pStyle w:val="Tabletext0"/>
              <w:jc w:val="left"/>
            </w:pPr>
            <w:r>
              <w:t>Supported</w:t>
            </w:r>
            <w:r w:rsidRPr="00E92E58">
              <w:t xml:space="preserve"> </w:t>
            </w:r>
            <w:r w:rsidR="00D701B0" w:rsidRPr="00E92E58">
              <w:t>o</w:t>
            </w:r>
            <w:r w:rsidR="00AB0397" w:rsidRPr="00E92E58">
              <w:t xml:space="preserve">nly </w:t>
            </w:r>
            <w:r w:rsidR="00D701B0" w:rsidRPr="00E92E58">
              <w:t xml:space="preserve">in </w:t>
            </w:r>
            <w:r w:rsidR="00AB0397" w:rsidRPr="00E92E58">
              <w:t>combination</w:t>
            </w:r>
            <w:r w:rsidR="00DB2E48" w:rsidRPr="00E92E58">
              <w:t xml:space="preserve"> with </w:t>
            </w:r>
            <w:r w:rsidR="00AB0397" w:rsidRPr="00E92E58">
              <w:t>cataract surgery</w:t>
            </w:r>
            <w:r w:rsidR="00DF1B09" w:rsidRPr="00E92E58">
              <w:t xml:space="preserve"> (</w:t>
            </w:r>
            <w:r>
              <w:t>item</w:t>
            </w:r>
            <w:r w:rsidRPr="00E92E58">
              <w:t xml:space="preserve"> </w:t>
            </w:r>
            <w:r w:rsidR="00DF1B09" w:rsidRPr="00E92E58">
              <w:t>42705)</w:t>
            </w:r>
          </w:p>
        </w:tc>
      </w:tr>
      <w:tr w:rsidR="00CF5F6F" w14:paraId="2867D789" w14:textId="77777777" w:rsidTr="00617190">
        <w:tc>
          <w:tcPr>
            <w:tcW w:w="1461" w:type="dxa"/>
          </w:tcPr>
          <w:p w14:paraId="19C583BD" w14:textId="4C05EE58" w:rsidR="00CF5F6F" w:rsidRPr="00E92E58" w:rsidRDefault="0077261F" w:rsidP="000D7888">
            <w:pPr>
              <w:pStyle w:val="Tabletext0"/>
            </w:pPr>
            <w:r w:rsidRPr="00E92E58">
              <w:t>1496</w:t>
            </w:r>
          </w:p>
        </w:tc>
        <w:tc>
          <w:tcPr>
            <w:tcW w:w="1795" w:type="dxa"/>
          </w:tcPr>
          <w:p w14:paraId="495BA3E1" w14:textId="3A83229F" w:rsidR="00CF5F6F" w:rsidRPr="00E92E58" w:rsidRDefault="00F73D7F" w:rsidP="000D7888">
            <w:pPr>
              <w:pStyle w:val="Tabletext0"/>
            </w:pPr>
            <w:r w:rsidRPr="00E92E58">
              <w:t>November 2017</w:t>
            </w:r>
          </w:p>
        </w:tc>
        <w:tc>
          <w:tcPr>
            <w:tcW w:w="2976" w:type="dxa"/>
          </w:tcPr>
          <w:p w14:paraId="5BAACDBF" w14:textId="7C948F2F" w:rsidR="00CF5F6F" w:rsidRPr="00E92E58" w:rsidRDefault="00DB2E48" w:rsidP="000D7888">
            <w:pPr>
              <w:pStyle w:val="Tabletext0"/>
            </w:pPr>
            <w:r w:rsidRPr="00E92E58">
              <w:t>Usage of SC MBGS as a standalone procedure and combination with cataract surgery in patients with OAG</w:t>
            </w:r>
          </w:p>
        </w:tc>
        <w:tc>
          <w:tcPr>
            <w:tcW w:w="2784" w:type="dxa"/>
          </w:tcPr>
          <w:p w14:paraId="42A3FE84" w14:textId="33DC8951" w:rsidR="00CF5F6F" w:rsidRPr="00E92E58" w:rsidRDefault="00995FAB" w:rsidP="00617190">
            <w:pPr>
              <w:pStyle w:val="Tabletext0"/>
              <w:jc w:val="left"/>
            </w:pPr>
            <w:r>
              <w:t>Supported</w:t>
            </w:r>
            <w:r w:rsidRPr="00E92E58">
              <w:t xml:space="preserve"> </w:t>
            </w:r>
            <w:r w:rsidR="00D701B0" w:rsidRPr="00E92E58">
              <w:t>only in combination</w:t>
            </w:r>
            <w:r w:rsidR="00DB2E48" w:rsidRPr="00E92E58">
              <w:t xml:space="preserve"> with </w:t>
            </w:r>
            <w:r w:rsidR="00D701B0" w:rsidRPr="00E92E58">
              <w:t>cataract surgery</w:t>
            </w:r>
            <w:r w:rsidR="00DF1B09" w:rsidRPr="00E92E58">
              <w:t xml:space="preserve"> (</w:t>
            </w:r>
            <w:r>
              <w:t>item</w:t>
            </w:r>
            <w:r w:rsidRPr="00E92E58">
              <w:t xml:space="preserve"> </w:t>
            </w:r>
            <w:r w:rsidR="00DF1B09" w:rsidRPr="00E92E58">
              <w:t>42705)</w:t>
            </w:r>
          </w:p>
        </w:tc>
      </w:tr>
      <w:tr w:rsidR="00CF5F6F" w14:paraId="4C11E93D" w14:textId="77777777" w:rsidTr="00617190">
        <w:tc>
          <w:tcPr>
            <w:tcW w:w="1461" w:type="dxa"/>
          </w:tcPr>
          <w:p w14:paraId="32C4647C" w14:textId="1D3C59E4" w:rsidR="00CF5F6F" w:rsidRPr="00E92E58" w:rsidRDefault="006D4B66" w:rsidP="000D7888">
            <w:pPr>
              <w:pStyle w:val="Tabletext0"/>
            </w:pPr>
            <w:r w:rsidRPr="00E92E58">
              <w:t>1541</w:t>
            </w:r>
          </w:p>
        </w:tc>
        <w:tc>
          <w:tcPr>
            <w:tcW w:w="1795" w:type="dxa"/>
          </w:tcPr>
          <w:p w14:paraId="334FA7FD" w14:textId="020E8CA0" w:rsidR="00CF5F6F" w:rsidRPr="00E92E58" w:rsidRDefault="00695322" w:rsidP="000D7888">
            <w:pPr>
              <w:pStyle w:val="Tabletext0"/>
            </w:pPr>
            <w:r w:rsidRPr="00E92E58">
              <w:t>November 2018</w:t>
            </w:r>
          </w:p>
        </w:tc>
        <w:tc>
          <w:tcPr>
            <w:tcW w:w="2976" w:type="dxa"/>
          </w:tcPr>
          <w:p w14:paraId="11EC5E91" w14:textId="71B35816" w:rsidR="00CF5F6F" w:rsidRPr="00E92E58" w:rsidRDefault="008F0E3F" w:rsidP="000D7888">
            <w:pPr>
              <w:pStyle w:val="Tabletext0"/>
            </w:pPr>
            <w:r w:rsidRPr="00E92E58">
              <w:t>Resubmission</w:t>
            </w:r>
            <w:r w:rsidR="003B0121" w:rsidRPr="00E92E58">
              <w:t xml:space="preserve"> of </w:t>
            </w:r>
            <w:r w:rsidR="00742670" w:rsidRPr="00E92E58">
              <w:t xml:space="preserve">the </w:t>
            </w:r>
            <w:r w:rsidR="003B0121" w:rsidRPr="00E92E58">
              <w:t>unsuccessful component</w:t>
            </w:r>
            <w:r w:rsidR="00742670" w:rsidRPr="00E92E58">
              <w:t>s</w:t>
            </w:r>
            <w:r w:rsidR="003B0121" w:rsidRPr="00E92E58">
              <w:t xml:space="preserve"> of </w:t>
            </w:r>
            <w:r w:rsidR="00742670" w:rsidRPr="00E92E58">
              <w:t>a</w:t>
            </w:r>
            <w:r w:rsidR="003B0121" w:rsidRPr="00E92E58">
              <w:t xml:space="preserve">pplications 1483 and 1496 </w:t>
            </w:r>
            <w:r w:rsidR="0048395C" w:rsidRPr="00E92E58">
              <w:t>for MBGS device implantation</w:t>
            </w:r>
            <w:r w:rsidR="00C97A75" w:rsidRPr="00E92E58">
              <w:t xml:space="preserve"> in </w:t>
            </w:r>
            <w:r w:rsidR="00A4066A" w:rsidRPr="00E92E58">
              <w:t xml:space="preserve">TB </w:t>
            </w:r>
            <w:r w:rsidR="000F56E3">
              <w:t xml:space="preserve">meshwork </w:t>
            </w:r>
            <w:r w:rsidR="00A4066A" w:rsidRPr="00E92E58">
              <w:t>and SC</w:t>
            </w:r>
            <w:r w:rsidR="0048395C" w:rsidRPr="00E92E58">
              <w:t xml:space="preserve"> </w:t>
            </w:r>
            <w:r w:rsidR="000F56E3">
              <w:t xml:space="preserve">space </w:t>
            </w:r>
            <w:r w:rsidR="0048395C" w:rsidRPr="00E92E58">
              <w:t>as a standalone procedure in patients with OAG</w:t>
            </w:r>
          </w:p>
        </w:tc>
        <w:tc>
          <w:tcPr>
            <w:tcW w:w="2784" w:type="dxa"/>
          </w:tcPr>
          <w:p w14:paraId="33F4A95B" w14:textId="2E8CC1E4" w:rsidR="00CF5F6F" w:rsidRPr="00E92E58" w:rsidRDefault="00995FAB" w:rsidP="00617190">
            <w:pPr>
              <w:pStyle w:val="Tabletext0"/>
              <w:jc w:val="left"/>
            </w:pPr>
            <w:r>
              <w:t>Not supported</w:t>
            </w:r>
            <w:r w:rsidR="00E237A2">
              <w:t>:</w:t>
            </w:r>
            <w:r w:rsidR="00D701B0" w:rsidRPr="00E92E58">
              <w:t xml:space="preserve"> </w:t>
            </w:r>
            <w:r w:rsidR="000C6B06" w:rsidRPr="00E92E58">
              <w:t xml:space="preserve">unclear eligibility criteria and high leakage risk to other populations, poor comparative safety data, poor comparative </w:t>
            </w:r>
            <w:proofErr w:type="gramStart"/>
            <w:r w:rsidR="000C6B06" w:rsidRPr="00E92E58">
              <w:t>efficacy</w:t>
            </w:r>
            <w:proofErr w:type="gramEnd"/>
            <w:r w:rsidR="000C6B06" w:rsidRPr="00E92E58">
              <w:t xml:space="preserve"> and unsatisfactory economic assessment</w:t>
            </w:r>
          </w:p>
        </w:tc>
      </w:tr>
      <w:tr w:rsidR="00EF464B" w14:paraId="06BB7304" w14:textId="77777777" w:rsidTr="00617190">
        <w:tc>
          <w:tcPr>
            <w:tcW w:w="1461" w:type="dxa"/>
          </w:tcPr>
          <w:p w14:paraId="53CA287C" w14:textId="31DB2291" w:rsidR="00EF464B" w:rsidRPr="00E92E58" w:rsidRDefault="0024545A" w:rsidP="000D7888">
            <w:pPr>
              <w:pStyle w:val="Tabletext0"/>
            </w:pPr>
            <w:r w:rsidRPr="00E92E58">
              <w:t xml:space="preserve">1541 resubmission </w:t>
            </w:r>
          </w:p>
        </w:tc>
        <w:tc>
          <w:tcPr>
            <w:tcW w:w="1795" w:type="dxa"/>
          </w:tcPr>
          <w:p w14:paraId="0D7FFBAF" w14:textId="6F34B634" w:rsidR="00EF464B" w:rsidRPr="00E92E58" w:rsidRDefault="00BD00F0" w:rsidP="000D7888">
            <w:pPr>
              <w:pStyle w:val="Tabletext0"/>
            </w:pPr>
            <w:r w:rsidRPr="00E92E58">
              <w:t>August 2019</w:t>
            </w:r>
          </w:p>
        </w:tc>
        <w:tc>
          <w:tcPr>
            <w:tcW w:w="2976" w:type="dxa"/>
          </w:tcPr>
          <w:p w14:paraId="01E72BDD" w14:textId="2824D4EC" w:rsidR="00EF464B" w:rsidRPr="00E92E58" w:rsidRDefault="00D14DDC" w:rsidP="000D7888">
            <w:pPr>
              <w:pStyle w:val="Tabletext0"/>
            </w:pPr>
            <w:r w:rsidRPr="00E92E58">
              <w:t xml:space="preserve">Resubmission </w:t>
            </w:r>
            <w:r w:rsidR="00195AA6" w:rsidRPr="00E92E58">
              <w:t xml:space="preserve">of 1541 </w:t>
            </w:r>
            <w:r w:rsidR="002C74EB" w:rsidRPr="00E92E58">
              <w:t xml:space="preserve">for </w:t>
            </w:r>
            <w:r w:rsidR="001565FC">
              <w:t>MBGS</w:t>
            </w:r>
            <w:r w:rsidR="002C74EB" w:rsidRPr="00E92E58">
              <w:t xml:space="preserve"> device implantation in TB</w:t>
            </w:r>
            <w:r w:rsidR="000F56E3">
              <w:t xml:space="preserve"> meshwork</w:t>
            </w:r>
            <w:r w:rsidR="002C74EB" w:rsidRPr="00E92E58">
              <w:t xml:space="preserve"> as a standalone procedure in patients with OAG</w:t>
            </w:r>
          </w:p>
        </w:tc>
        <w:tc>
          <w:tcPr>
            <w:tcW w:w="2784" w:type="dxa"/>
          </w:tcPr>
          <w:p w14:paraId="1C8A751C" w14:textId="38914F5F" w:rsidR="00EF464B" w:rsidRPr="00E92E58" w:rsidRDefault="00995FAB" w:rsidP="00617190">
            <w:pPr>
              <w:pStyle w:val="Tabletext0"/>
              <w:jc w:val="left"/>
            </w:pPr>
            <w:r>
              <w:t>Supported</w:t>
            </w:r>
            <w:r w:rsidRPr="00E92E58">
              <w:t xml:space="preserve"> </w:t>
            </w:r>
            <w:r w:rsidR="00ED1EAC" w:rsidRPr="00E92E58">
              <w:t xml:space="preserve">and </w:t>
            </w:r>
            <w:r>
              <w:t>MBS listed in</w:t>
            </w:r>
            <w:r w:rsidR="00F32A27" w:rsidRPr="00E92E58">
              <w:t xml:space="preserve"> May 2020</w:t>
            </w:r>
            <w:r w:rsidR="00ED1EAC" w:rsidRPr="00E92E58">
              <w:t xml:space="preserve"> (</w:t>
            </w:r>
            <w:r w:rsidR="000D7888">
              <w:t>MBS item</w:t>
            </w:r>
            <w:r w:rsidR="00ED1EAC" w:rsidRPr="00E92E58">
              <w:t xml:space="preserve"> 42504)</w:t>
            </w:r>
          </w:p>
        </w:tc>
      </w:tr>
    </w:tbl>
    <w:p w14:paraId="26A7E6A3" w14:textId="77E82B80" w:rsidR="009349EE" w:rsidRDefault="000D7888" w:rsidP="000D7888">
      <w:pPr>
        <w:pStyle w:val="Tablenotes0"/>
      </w:pPr>
      <w:r w:rsidRPr="00AD31F1">
        <w:rPr>
          <w:u w:val="single"/>
        </w:rPr>
        <w:t>Abbreviations</w:t>
      </w:r>
      <w:r w:rsidRPr="00AD31F1">
        <w:t>: OAG = open</w:t>
      </w:r>
      <w:r w:rsidR="00580781" w:rsidRPr="00AD31F1">
        <w:t xml:space="preserve"> </w:t>
      </w:r>
      <w:r w:rsidRPr="00AD31F1">
        <w:t xml:space="preserve">angle glaucoma, MBGS = micro-bypass glaucoma surgery, </w:t>
      </w:r>
      <w:r w:rsidR="00CE5FC4" w:rsidRPr="00AD31F1">
        <w:t xml:space="preserve">MSAC = Medical Services Advisory Committee; </w:t>
      </w:r>
      <w:r w:rsidRPr="00AD31F1">
        <w:t>TB = trabecular, SC = suprachoroidal</w:t>
      </w:r>
    </w:p>
    <w:p w14:paraId="6696D75D" w14:textId="5156F72F" w:rsidR="00922E22" w:rsidRPr="00AD31F1" w:rsidRDefault="00922E22" w:rsidP="000D7888">
      <w:pPr>
        <w:pStyle w:val="Tablenotes0"/>
        <w:rPr>
          <w:u w:val="single"/>
        </w:rPr>
      </w:pPr>
      <w:r w:rsidRPr="00922E22">
        <w:rPr>
          <w:u w:val="single"/>
        </w:rPr>
        <w:t>Source</w:t>
      </w:r>
      <w:r>
        <w:t xml:space="preserve">: </w:t>
      </w:r>
      <w:r w:rsidR="0072729C">
        <w:t>Compiled for the commentary</w:t>
      </w:r>
    </w:p>
    <w:p w14:paraId="427BB2B4" w14:textId="27E19C34" w:rsidR="003F3717" w:rsidRPr="002759A3" w:rsidRDefault="00637A71" w:rsidP="00637A71">
      <w:pPr>
        <w:pStyle w:val="Heading2"/>
      </w:pPr>
      <w:bookmarkStart w:id="5" w:name="_Toc69491417"/>
      <w:bookmarkEnd w:id="3"/>
      <w:r>
        <w:t>5.</w:t>
      </w:r>
      <w:r>
        <w:tab/>
      </w:r>
      <w:r w:rsidR="00772829" w:rsidRPr="002759A3">
        <w:t>Prerequisites to implementation of any funding advice</w:t>
      </w:r>
      <w:bookmarkEnd w:id="5"/>
    </w:p>
    <w:p w14:paraId="146373BA" w14:textId="49988C94" w:rsidR="001D4181" w:rsidRPr="009E2CDE" w:rsidRDefault="001D4181" w:rsidP="00BF6F82">
      <w:bookmarkStart w:id="6" w:name="_Toc69491418"/>
      <w:r w:rsidRPr="009E2CDE">
        <w:t xml:space="preserve">Both </w:t>
      </w:r>
      <w:proofErr w:type="spellStart"/>
      <w:r w:rsidRPr="009E2CDE">
        <w:t>MINIject</w:t>
      </w:r>
      <w:proofErr w:type="spellEnd"/>
      <w:r w:rsidRPr="00B04E66">
        <w:rPr>
          <w:vertAlign w:val="superscript"/>
        </w:rPr>
        <w:t>®</w:t>
      </w:r>
      <w:r w:rsidRPr="009E2CDE">
        <w:t xml:space="preserve"> and </w:t>
      </w:r>
      <w:proofErr w:type="spellStart"/>
      <w:r w:rsidRPr="009E2CDE">
        <w:t>MINIject</w:t>
      </w:r>
      <w:proofErr w:type="spellEnd"/>
      <w:r w:rsidRPr="00B04E66">
        <w:rPr>
          <w:vertAlign w:val="superscript"/>
        </w:rPr>
        <w:t>®</w:t>
      </w:r>
      <w:r w:rsidRPr="009E2CDE">
        <w:t xml:space="preserve"> S (next generation device) are </w:t>
      </w:r>
      <w:r w:rsidR="00FE13CB">
        <w:t>Therapeutic Goods Administration (</w:t>
      </w:r>
      <w:r w:rsidRPr="009E2CDE">
        <w:t>TGA</w:t>
      </w:r>
      <w:r w:rsidR="00FE13CB">
        <w:t>)</w:t>
      </w:r>
      <w:r w:rsidRPr="009E2CDE">
        <w:t xml:space="preserve"> approved</w:t>
      </w:r>
      <w:r w:rsidR="00DD51F9">
        <w:t xml:space="preserve"> and included on the Australian Register of Therapeutic Goods</w:t>
      </w:r>
      <w:r w:rsidRPr="009E2CDE">
        <w:t xml:space="preserve"> (ARTG</w:t>
      </w:r>
      <w:r w:rsidR="00DD51F9">
        <w:t>;</w:t>
      </w:r>
      <w:r w:rsidRPr="009E2CDE">
        <w:t xml:space="preserve"> ID 400268)</w:t>
      </w:r>
      <w:r w:rsidR="00AB3B1F">
        <w:t>.</w:t>
      </w:r>
      <w:r w:rsidR="00FD5E39">
        <w:t xml:space="preserve"> </w:t>
      </w:r>
      <w:r w:rsidR="00AB3B1F">
        <w:t>T</w:t>
      </w:r>
      <w:r w:rsidR="00FD5E39">
        <w:t xml:space="preserve">he </w:t>
      </w:r>
      <w:r w:rsidRPr="009E2CDE">
        <w:t xml:space="preserve">effective ARTG listing date for </w:t>
      </w:r>
      <w:proofErr w:type="spellStart"/>
      <w:r w:rsidRPr="009E2CDE">
        <w:t>MINIject</w:t>
      </w:r>
      <w:proofErr w:type="spellEnd"/>
      <w:r w:rsidRPr="00B04E66">
        <w:rPr>
          <w:vertAlign w:val="superscript"/>
        </w:rPr>
        <w:t>®</w:t>
      </w:r>
      <w:r w:rsidRPr="009E2CDE">
        <w:t xml:space="preserve"> </w:t>
      </w:r>
      <w:r w:rsidR="009561EB">
        <w:t>wa</w:t>
      </w:r>
      <w:r w:rsidR="00FD5E39">
        <w:t>s</w:t>
      </w:r>
      <w:r w:rsidRPr="009E2CDE">
        <w:t xml:space="preserve"> 28 November 2022</w:t>
      </w:r>
      <w:r w:rsidR="00FD5E39">
        <w:t xml:space="preserve">, </w:t>
      </w:r>
      <w:r w:rsidRPr="009E2CDE">
        <w:t>and</w:t>
      </w:r>
      <w:r w:rsidR="00FD5E39">
        <w:t xml:space="preserve"> a </w:t>
      </w:r>
      <w:r w:rsidRPr="009E2CDE">
        <w:t xml:space="preserve">9D amendment notice to include </w:t>
      </w:r>
      <w:proofErr w:type="spellStart"/>
      <w:r w:rsidRPr="009E2CDE">
        <w:t>MINIject</w:t>
      </w:r>
      <w:proofErr w:type="spellEnd"/>
      <w:r w:rsidRPr="00B04E66">
        <w:rPr>
          <w:vertAlign w:val="superscript"/>
        </w:rPr>
        <w:t>®</w:t>
      </w:r>
      <w:r w:rsidRPr="009E2CDE">
        <w:t xml:space="preserve"> S </w:t>
      </w:r>
      <w:r w:rsidR="009561EB">
        <w:t>wa</w:t>
      </w:r>
      <w:r w:rsidR="00FD5E39">
        <w:t xml:space="preserve">s </w:t>
      </w:r>
      <w:r w:rsidRPr="009E2CDE">
        <w:t>dated 12 September 2023.</w:t>
      </w:r>
      <w:r w:rsidR="00FD5E39">
        <w:t xml:space="preserve"> </w:t>
      </w:r>
      <w:proofErr w:type="spellStart"/>
      <w:r w:rsidRPr="009E2CDE">
        <w:t>MINIject</w:t>
      </w:r>
      <w:proofErr w:type="spellEnd"/>
      <w:r w:rsidRPr="009E2CDE">
        <w:t xml:space="preserve"> is an ARTG medical device included in Class IIb.</w:t>
      </w:r>
      <w:r w:rsidR="00FD5E39">
        <w:t xml:space="preserve"> </w:t>
      </w:r>
      <w:r w:rsidRPr="009E2CDE">
        <w:t xml:space="preserve">The intended purpose of the </w:t>
      </w:r>
      <w:proofErr w:type="spellStart"/>
      <w:r w:rsidRPr="009E2CDE">
        <w:t>MINIject</w:t>
      </w:r>
      <w:proofErr w:type="spellEnd"/>
      <w:r w:rsidRPr="009E2CDE">
        <w:t xml:space="preserve"> device listed in ARTG ID 400268 is as an integrated system for MIGS. The only difference between </w:t>
      </w:r>
      <w:proofErr w:type="spellStart"/>
      <w:r w:rsidRPr="009E2CDE">
        <w:t>MINIject</w:t>
      </w:r>
      <w:proofErr w:type="spellEnd"/>
      <w:r w:rsidRPr="00B04E66">
        <w:rPr>
          <w:vertAlign w:val="superscript"/>
        </w:rPr>
        <w:t>®</w:t>
      </w:r>
      <w:r w:rsidRPr="009E2CDE">
        <w:t xml:space="preserve"> and the </w:t>
      </w:r>
      <w:proofErr w:type="spellStart"/>
      <w:r w:rsidRPr="009E2CDE">
        <w:t>MINIject</w:t>
      </w:r>
      <w:proofErr w:type="spellEnd"/>
      <w:r w:rsidRPr="00B04E66">
        <w:rPr>
          <w:vertAlign w:val="superscript"/>
        </w:rPr>
        <w:t>®</w:t>
      </w:r>
      <w:r w:rsidRPr="009E2CDE">
        <w:t xml:space="preserve"> S is the material of the sheath of the delivery tool. The implants of both devices are identical, as are the procedures.</w:t>
      </w:r>
    </w:p>
    <w:p w14:paraId="2C25D0C3" w14:textId="1508608F" w:rsidR="00EF0036" w:rsidRPr="002759A3" w:rsidRDefault="00637A71" w:rsidP="00637A71">
      <w:pPr>
        <w:pStyle w:val="Heading2"/>
      </w:pPr>
      <w:r>
        <w:t>6.</w:t>
      </w:r>
      <w:r>
        <w:tab/>
      </w:r>
      <w:r w:rsidR="00EF0036" w:rsidRPr="002759A3">
        <w:t>Proposal for public funding</w:t>
      </w:r>
      <w:bookmarkEnd w:id="6"/>
    </w:p>
    <w:p w14:paraId="763E684C" w14:textId="70D0055D" w:rsidR="00416DEF" w:rsidRPr="00416DEF" w:rsidRDefault="00416DEF" w:rsidP="00416DEF">
      <w:pPr>
        <w:spacing w:before="0"/>
        <w:rPr>
          <w:b/>
          <w:bCs/>
          <w:sz w:val="24"/>
          <w:szCs w:val="24"/>
        </w:rPr>
      </w:pPr>
      <w:bookmarkStart w:id="7" w:name="_Ref46132829"/>
      <w:r w:rsidRPr="00416DEF">
        <w:rPr>
          <w:bCs/>
        </w:rPr>
        <w:t xml:space="preserve">This </w:t>
      </w:r>
      <w:r>
        <w:t>applicant developed assessment report (</w:t>
      </w:r>
      <w:r w:rsidRPr="00416DEF">
        <w:rPr>
          <w:bCs/>
        </w:rPr>
        <w:t>ADAR</w:t>
      </w:r>
      <w:r>
        <w:t>) submission</w:t>
      </w:r>
      <w:r w:rsidRPr="00416DEF">
        <w:rPr>
          <w:bCs/>
        </w:rPr>
        <w:t xml:space="preserve"> seeks to support the </w:t>
      </w:r>
      <w:proofErr w:type="spellStart"/>
      <w:r w:rsidRPr="00416DEF">
        <w:rPr>
          <w:bCs/>
        </w:rPr>
        <w:t>MINIject</w:t>
      </w:r>
      <w:proofErr w:type="spellEnd"/>
      <w:r w:rsidRPr="00416DEF">
        <w:rPr>
          <w:bCs/>
        </w:rPr>
        <w:t xml:space="preserve"> delivery system for use in MBGS device implantation into the suprachoroidal space as a standalone procedure in patients with OAG, for whom conservative therapies have failed, are likely to fail or are contraindicated.</w:t>
      </w:r>
    </w:p>
    <w:p w14:paraId="24DA6B8D" w14:textId="321EFFD6" w:rsidR="00E92E58" w:rsidRPr="009E2CDE" w:rsidRDefault="00E92E58" w:rsidP="00BF6F82">
      <w:r w:rsidRPr="009E2CDE">
        <w:t>The proposed funding arrangement is via the MBS,</w:t>
      </w:r>
      <w:r w:rsidR="00AB3B1F">
        <w:t xml:space="preserve"> by</w:t>
      </w:r>
      <w:r w:rsidRPr="009E2CDE">
        <w:t xml:space="preserve"> extending the existing item 42504 to include ph</w:t>
      </w:r>
      <w:r w:rsidR="00983D54">
        <w:t>r</w:t>
      </w:r>
      <w:r w:rsidRPr="009E2CDE">
        <w:t xml:space="preserve">asing regarding the implantation of the MBGS device into the suprachoroidal space </w:t>
      </w:r>
      <w:r w:rsidRPr="009E2CDE">
        <w:lastRenderedPageBreak/>
        <w:t>(</w:t>
      </w:r>
      <w:r w:rsidRPr="009E2CDE">
        <w:fldChar w:fldCharType="begin"/>
      </w:r>
      <w:r w:rsidRPr="009E2CDE">
        <w:instrText xml:space="preserve"> REF _Ref150940284 \h  \* MERGEFORMAT </w:instrText>
      </w:r>
      <w:r w:rsidRPr="009E2CDE">
        <w:fldChar w:fldCharType="separate"/>
      </w:r>
      <w:r w:rsidR="003C61D8" w:rsidRPr="0001290C">
        <w:t>Table </w:t>
      </w:r>
      <w:r w:rsidR="003C61D8">
        <w:t>3</w:t>
      </w:r>
      <w:r w:rsidRPr="009E2CDE">
        <w:fldChar w:fldCharType="end"/>
      </w:r>
      <w:r w:rsidRPr="009E2CDE">
        <w:t xml:space="preserve">). The proposed fee is the same as the existing 42504 fee, given the similar cost associated with the insertion of </w:t>
      </w:r>
      <w:proofErr w:type="spellStart"/>
      <w:r w:rsidRPr="009E2CDE">
        <w:t>MINIject</w:t>
      </w:r>
      <w:proofErr w:type="spellEnd"/>
      <w:r w:rsidRPr="009E2CDE">
        <w:t xml:space="preserve"> compared with the comparator during MBGS standalone surgery. </w:t>
      </w:r>
    </w:p>
    <w:p w14:paraId="53547D88" w14:textId="15BCF442" w:rsidR="00EF0036" w:rsidRPr="0001290C" w:rsidRDefault="00EF0036" w:rsidP="00EF0036">
      <w:pPr>
        <w:pStyle w:val="Caption"/>
      </w:pPr>
      <w:bookmarkStart w:id="8" w:name="_Ref150940284"/>
      <w:r w:rsidRPr="0001290C">
        <w:t>Table </w:t>
      </w:r>
      <w:r>
        <w:fldChar w:fldCharType="begin"/>
      </w:r>
      <w:r>
        <w:instrText>SEQ Table \* ARABIC</w:instrText>
      </w:r>
      <w:r>
        <w:fldChar w:fldCharType="separate"/>
      </w:r>
      <w:r w:rsidR="003C61D8">
        <w:rPr>
          <w:noProof/>
        </w:rPr>
        <w:t>3</w:t>
      </w:r>
      <w:r>
        <w:fldChar w:fldCharType="end"/>
      </w:r>
      <w:bookmarkEnd w:id="7"/>
      <w:bookmarkEnd w:id="8"/>
      <w:r w:rsidR="00CE5FC4">
        <w:rPr>
          <w:noProof/>
        </w:rPr>
        <w:tab/>
      </w:r>
      <w:r w:rsidRPr="0001290C">
        <w:t xml:space="preserve">Proposed item descriptor for </w:t>
      </w:r>
      <w:r>
        <w:t xml:space="preserve">implantation of </w:t>
      </w:r>
      <w:proofErr w:type="spellStart"/>
      <w:r>
        <w:t>MINIject</w:t>
      </w:r>
      <w:proofErr w:type="spellEnd"/>
      <w:r>
        <w:t xml:space="preserve"> (or other relevant </w:t>
      </w:r>
      <w:r w:rsidR="657EC25E">
        <w:t xml:space="preserve">MBGS </w:t>
      </w:r>
      <w:r>
        <w:t xml:space="preserve">devices) via the suprachoroidal space or trabecular meshwork during standalone </w:t>
      </w:r>
      <w:r w:rsidR="00CE5FC4">
        <w:t xml:space="preserve">micro-bypass glaucoma </w:t>
      </w:r>
      <w:proofErr w:type="gramStart"/>
      <w:r w:rsidR="00CE5FC4">
        <w:t>surgery</w:t>
      </w:r>
      <w:proofErr w:type="gramEnd"/>
    </w:p>
    <w:tbl>
      <w:tblPr>
        <w:tblStyle w:val="TableGrid"/>
        <w:tblW w:w="0" w:type="auto"/>
        <w:tblLook w:val="04A0" w:firstRow="1" w:lastRow="0" w:firstColumn="1" w:lastColumn="0" w:noHBand="0" w:noVBand="1"/>
      </w:tblPr>
      <w:tblGrid>
        <w:gridCol w:w="9016"/>
      </w:tblGrid>
      <w:tr w:rsidR="00EF0036" w:rsidRPr="0001290C" w14:paraId="760850DE" w14:textId="77777777">
        <w:trPr>
          <w:cantSplit/>
          <w:trHeight w:val="350"/>
          <w:tblHeader/>
        </w:trPr>
        <w:tc>
          <w:tcPr>
            <w:tcW w:w="9016" w:type="dxa"/>
          </w:tcPr>
          <w:p w14:paraId="6B60A78A" w14:textId="77777777" w:rsidR="00EF0036" w:rsidRPr="0001290C" w:rsidRDefault="00EF0036" w:rsidP="001175E9">
            <w:pPr>
              <w:pStyle w:val="Tablecontent"/>
              <w:jc w:val="right"/>
            </w:pPr>
            <w:r w:rsidRPr="0001290C">
              <w:t xml:space="preserve">Category </w:t>
            </w:r>
            <w:r>
              <w:t>3</w:t>
            </w:r>
            <w:r w:rsidRPr="0001290C">
              <w:t xml:space="preserve"> – </w:t>
            </w:r>
            <w:r w:rsidRPr="00022B0B">
              <w:t>Therapeutic procedures</w:t>
            </w:r>
          </w:p>
        </w:tc>
      </w:tr>
      <w:tr w:rsidR="00EF0036" w:rsidRPr="0001290C" w14:paraId="6E904822" w14:textId="77777777">
        <w:trPr>
          <w:cantSplit/>
          <w:tblHeader/>
        </w:trPr>
        <w:tc>
          <w:tcPr>
            <w:tcW w:w="9016" w:type="dxa"/>
          </w:tcPr>
          <w:p w14:paraId="381338AE" w14:textId="1C1E72EF" w:rsidR="00EF0036" w:rsidRPr="0001290C" w:rsidRDefault="00EF0036">
            <w:pPr>
              <w:pStyle w:val="Tablecontent"/>
              <w:rPr>
                <w:szCs w:val="20"/>
                <w:lang w:val="en-US" w:eastAsia="ja-JP"/>
              </w:rPr>
            </w:pPr>
            <w:r w:rsidRPr="0001290C">
              <w:rPr>
                <w:szCs w:val="20"/>
                <w:lang w:val="en-US" w:eastAsia="ja-JP"/>
              </w:rPr>
              <w:t xml:space="preserve">MBS item </w:t>
            </w:r>
            <w:r w:rsidRPr="004F231D">
              <w:rPr>
                <w:szCs w:val="20"/>
                <w:lang w:val="en-US" w:eastAsia="ja-JP"/>
              </w:rPr>
              <w:t>42504</w:t>
            </w:r>
          </w:p>
          <w:p w14:paraId="54723191" w14:textId="77777777" w:rsidR="00EF0036" w:rsidRPr="004F231D" w:rsidRDefault="00EF0036">
            <w:pPr>
              <w:pStyle w:val="Tablecontent"/>
              <w:rPr>
                <w:szCs w:val="20"/>
                <w:lang w:val="en-US" w:eastAsia="ja-JP"/>
              </w:rPr>
            </w:pPr>
            <w:r w:rsidRPr="004F231D">
              <w:rPr>
                <w:szCs w:val="20"/>
                <w:lang w:val="en-US" w:eastAsia="ja-JP"/>
              </w:rPr>
              <w:t>Glaucoma, implantation of a micro-bypass surgery stent system into</w:t>
            </w:r>
            <w:r w:rsidRPr="00106367">
              <w:rPr>
                <w:szCs w:val="20"/>
                <w:lang w:val="en-US" w:eastAsia="ja-JP"/>
              </w:rPr>
              <w:t xml:space="preserve"> the</w:t>
            </w:r>
            <w:r w:rsidRPr="00CF2BF0">
              <w:rPr>
                <w:szCs w:val="20"/>
                <w:lang w:val="en-US" w:eastAsia="ja-JP"/>
              </w:rPr>
              <w:t xml:space="preserve"> </w:t>
            </w:r>
            <w:r w:rsidRPr="00617190">
              <w:rPr>
                <w:szCs w:val="20"/>
                <w:u w:val="single"/>
                <w:lang w:val="en-US" w:eastAsia="ja-JP"/>
              </w:rPr>
              <w:t>suprachoroidal space</w:t>
            </w:r>
            <w:r w:rsidRPr="00CF2BF0">
              <w:rPr>
                <w:szCs w:val="20"/>
                <w:u w:val="single"/>
                <w:lang w:val="en-US" w:eastAsia="ja-JP"/>
              </w:rPr>
              <w:t xml:space="preserve"> or</w:t>
            </w:r>
            <w:r>
              <w:rPr>
                <w:szCs w:val="20"/>
                <w:lang w:val="en-US" w:eastAsia="ja-JP"/>
              </w:rPr>
              <w:t xml:space="preserve"> </w:t>
            </w:r>
            <w:r w:rsidRPr="004F231D">
              <w:rPr>
                <w:szCs w:val="20"/>
                <w:lang w:val="en-US" w:eastAsia="ja-JP"/>
              </w:rPr>
              <w:t>trabecular meshwork, if:</w:t>
            </w:r>
          </w:p>
          <w:p w14:paraId="3BE47705" w14:textId="77777777" w:rsidR="00EF0036" w:rsidRPr="004F231D" w:rsidRDefault="00EF0036">
            <w:pPr>
              <w:pStyle w:val="Tablecontent"/>
              <w:rPr>
                <w:szCs w:val="20"/>
                <w:lang w:val="en-US" w:eastAsia="ja-JP"/>
              </w:rPr>
            </w:pPr>
            <w:r w:rsidRPr="004F231D">
              <w:rPr>
                <w:szCs w:val="20"/>
                <w:lang w:val="en-US" w:eastAsia="ja-JP"/>
              </w:rPr>
              <w:t>(a) conservative therapies have failed, are likely to fail, or are contraindicated; and</w:t>
            </w:r>
          </w:p>
          <w:p w14:paraId="46B6D182" w14:textId="77777777" w:rsidR="00EF0036" w:rsidRPr="0001290C" w:rsidRDefault="00EF0036">
            <w:pPr>
              <w:pStyle w:val="Tablecontent"/>
              <w:rPr>
                <w:szCs w:val="20"/>
              </w:rPr>
            </w:pPr>
            <w:r w:rsidRPr="004F231D">
              <w:rPr>
                <w:szCs w:val="20"/>
                <w:lang w:val="en-US" w:eastAsia="ja-JP"/>
              </w:rPr>
              <w:t xml:space="preserve">(b) the service is performed by a specialist with training that is </w:t>
            </w:r>
            <w:proofErr w:type="spellStart"/>
            <w:r w:rsidRPr="004F231D">
              <w:rPr>
                <w:szCs w:val="20"/>
                <w:lang w:val="en-US" w:eastAsia="ja-JP"/>
              </w:rPr>
              <w:t>recognised</w:t>
            </w:r>
            <w:proofErr w:type="spellEnd"/>
            <w:r w:rsidRPr="004F231D">
              <w:rPr>
                <w:szCs w:val="20"/>
                <w:lang w:val="en-US" w:eastAsia="ja-JP"/>
              </w:rPr>
              <w:t xml:space="preserve"> by the Conjoint Committee for the Recognition of Training in Micro-Bypass Glaucoma Surgery</w:t>
            </w:r>
          </w:p>
        </w:tc>
      </w:tr>
      <w:tr w:rsidR="00EF0036" w:rsidRPr="0001290C" w14:paraId="29D57A71" w14:textId="77777777">
        <w:trPr>
          <w:cantSplit/>
          <w:trHeight w:val="223"/>
          <w:tblHeader/>
        </w:trPr>
        <w:tc>
          <w:tcPr>
            <w:tcW w:w="9016" w:type="dxa"/>
          </w:tcPr>
          <w:p w14:paraId="302C2D60" w14:textId="385C882E" w:rsidR="00EF0036" w:rsidRPr="0001290C" w:rsidRDefault="00EF0036">
            <w:pPr>
              <w:pStyle w:val="Tablecontent"/>
              <w:rPr>
                <w:snapToGrid w:val="0"/>
              </w:rPr>
            </w:pPr>
            <w:r>
              <w:t xml:space="preserve">Fee: </w:t>
            </w:r>
            <w:r w:rsidRPr="00CF2BF0">
              <w:rPr>
                <w:strike/>
              </w:rPr>
              <w:t>$329.40</w:t>
            </w:r>
            <w:r w:rsidR="001D67C3">
              <w:t xml:space="preserve"> </w:t>
            </w:r>
            <w:r w:rsidR="001D67C3" w:rsidRPr="00CF2BF0">
              <w:rPr>
                <w:u w:val="single"/>
              </w:rPr>
              <w:t>$331.05</w:t>
            </w:r>
            <w:r w:rsidR="00773B55" w:rsidRPr="007B4945">
              <w:t xml:space="preserve">     </w:t>
            </w:r>
            <w:r w:rsidR="00773B55" w:rsidRPr="00CF2BF0">
              <w:rPr>
                <w:u w:val="single"/>
              </w:rPr>
              <w:t>75% benefit: $248.30</w:t>
            </w:r>
            <w:r w:rsidR="007B4945" w:rsidRPr="007B4945">
              <w:t xml:space="preserve">     </w:t>
            </w:r>
            <w:r w:rsidR="00773B55" w:rsidRPr="00CF2BF0">
              <w:rPr>
                <w:u w:val="single"/>
              </w:rPr>
              <w:t>85% benefit: $281.40</w:t>
            </w:r>
          </w:p>
        </w:tc>
      </w:tr>
    </w:tbl>
    <w:p w14:paraId="67E6B61C" w14:textId="20E1320C" w:rsidR="00922E22" w:rsidRDefault="00922E22" w:rsidP="00CF3E4C">
      <w:pPr>
        <w:pStyle w:val="Tablenotes0"/>
        <w:spacing w:after="120"/>
        <w:contextualSpacing w:val="0"/>
      </w:pPr>
      <w:r w:rsidRPr="00922E22">
        <w:rPr>
          <w:u w:val="single"/>
        </w:rPr>
        <w:t>Source</w:t>
      </w:r>
      <w:r>
        <w:t xml:space="preserve">: </w:t>
      </w:r>
      <w:r w:rsidR="00306107">
        <w:t>Table 3 of ADAR submission</w:t>
      </w:r>
      <w:r w:rsidR="000F3826">
        <w:t xml:space="preserve">. Underline font indicates the </w:t>
      </w:r>
      <w:r w:rsidR="00C628C1">
        <w:t xml:space="preserve">ADAR’s </w:t>
      </w:r>
      <w:r w:rsidR="000F3826">
        <w:t>proposed</w:t>
      </w:r>
      <w:r w:rsidR="00C10D9F">
        <w:t xml:space="preserve"> addition</w:t>
      </w:r>
      <w:r w:rsidR="000F3826">
        <w:t xml:space="preserve"> </w:t>
      </w:r>
      <w:r w:rsidR="00C10D9F">
        <w:t>to existing MBS item 42504.</w:t>
      </w:r>
    </w:p>
    <w:p w14:paraId="3052EDBD" w14:textId="43B347E6" w:rsidR="00B873B6" w:rsidRDefault="00B873B6" w:rsidP="00CF2BF0">
      <w:pPr>
        <w:pStyle w:val="Tablenotes0"/>
        <w:spacing w:after="120"/>
        <w:contextualSpacing w:val="0"/>
        <w:jc w:val="left"/>
      </w:pPr>
      <w:r>
        <w:t xml:space="preserve">Note: </w:t>
      </w:r>
      <w:r w:rsidR="00B8263E">
        <w:t xml:space="preserve">The </w:t>
      </w:r>
      <w:r w:rsidR="00640724">
        <w:t xml:space="preserve">proposed </w:t>
      </w:r>
      <w:r w:rsidR="00B8263E">
        <w:t xml:space="preserve">fee </w:t>
      </w:r>
      <w:r w:rsidR="00773B55">
        <w:t xml:space="preserve">was </w:t>
      </w:r>
      <w:r w:rsidR="002D648D">
        <w:t>amended</w:t>
      </w:r>
      <w:r w:rsidR="00B8263E">
        <w:t xml:space="preserve"> </w:t>
      </w:r>
      <w:r w:rsidR="002D648D">
        <w:t>during the evaluation to reflect</w:t>
      </w:r>
      <w:r w:rsidR="00B8263E">
        <w:t xml:space="preserve"> November 2023 indexation</w:t>
      </w:r>
      <w:r w:rsidR="00F05F59">
        <w:t>, although</w:t>
      </w:r>
      <w:r w:rsidR="002D648D">
        <w:t xml:space="preserve"> </w:t>
      </w:r>
      <w:r w:rsidR="00F05F59">
        <w:t xml:space="preserve">the </w:t>
      </w:r>
      <w:r w:rsidR="001D67C3">
        <w:t xml:space="preserve">economic and financial analyses </w:t>
      </w:r>
      <w:r w:rsidR="00773B55">
        <w:t xml:space="preserve">presented </w:t>
      </w:r>
      <w:r w:rsidR="001D67C3">
        <w:t>use the October 2023 fee ($329.40).</w:t>
      </w:r>
    </w:p>
    <w:p w14:paraId="34E0B08F" w14:textId="542CD8DD" w:rsidR="00772829" w:rsidRPr="002759A3" w:rsidRDefault="00637A71" w:rsidP="00637A71">
      <w:pPr>
        <w:pStyle w:val="Heading2"/>
      </w:pPr>
      <w:r>
        <w:t>7.</w:t>
      </w:r>
      <w:r>
        <w:tab/>
      </w:r>
      <w:r w:rsidR="0005742C">
        <w:t>Population</w:t>
      </w:r>
    </w:p>
    <w:p w14:paraId="3F7964F7" w14:textId="6D9C6978" w:rsidR="00EB4649" w:rsidRDefault="007D2EF5" w:rsidP="00F52423">
      <w:r>
        <w:fldChar w:fldCharType="begin"/>
      </w:r>
      <w:r>
        <w:instrText xml:space="preserve"> REF _Ref155535562 \h </w:instrText>
      </w:r>
      <w:r>
        <w:fldChar w:fldCharType="separate"/>
      </w:r>
      <w:r w:rsidR="003C61D8">
        <w:t>Table</w:t>
      </w:r>
      <w:r w:rsidR="003C61D8" w:rsidRPr="0001290C">
        <w:t> </w:t>
      </w:r>
      <w:r w:rsidR="003C61D8">
        <w:rPr>
          <w:noProof/>
        </w:rPr>
        <w:t>4</w:t>
      </w:r>
      <w:r>
        <w:fldChar w:fldCharType="end"/>
      </w:r>
      <w:r>
        <w:t xml:space="preserve"> </w:t>
      </w:r>
      <w:r w:rsidR="001C53DC" w:rsidRPr="00272B34">
        <w:t xml:space="preserve">summarises the </w:t>
      </w:r>
      <w:r w:rsidR="00A44103">
        <w:t xml:space="preserve">population, intervention, </w:t>
      </w:r>
      <w:proofErr w:type="gramStart"/>
      <w:r w:rsidR="00A44103">
        <w:t>comparator</w:t>
      </w:r>
      <w:proofErr w:type="gramEnd"/>
      <w:r w:rsidR="00A44103">
        <w:t xml:space="preserve"> and outcome</w:t>
      </w:r>
      <w:r w:rsidR="00EC0DD6">
        <w:t xml:space="preserve"> (PICO)</w:t>
      </w:r>
      <w:r w:rsidR="00A44103">
        <w:t xml:space="preserve"> criteria</w:t>
      </w:r>
      <w:r w:rsidR="001C53DC" w:rsidRPr="00272B34">
        <w:t xml:space="preserve"> presented in the </w:t>
      </w:r>
      <w:r w:rsidR="00AE1588">
        <w:t xml:space="preserve">current </w:t>
      </w:r>
      <w:r w:rsidR="001C53DC" w:rsidRPr="00272B34">
        <w:t>ADAR</w:t>
      </w:r>
      <w:r w:rsidR="00A44103">
        <w:t xml:space="preserve"> submission</w:t>
      </w:r>
      <w:r w:rsidR="001C53DC" w:rsidRPr="00272B34">
        <w:t xml:space="preserve">. </w:t>
      </w:r>
      <w:r w:rsidR="002051CB">
        <w:t>T</w:t>
      </w:r>
      <w:r w:rsidR="00E048A3" w:rsidRPr="00272B34">
        <w:t>he</w:t>
      </w:r>
      <w:r w:rsidR="00A75B96" w:rsidRPr="00272B34">
        <w:t xml:space="preserve"> target population </w:t>
      </w:r>
      <w:r w:rsidR="00E048A3">
        <w:t>was</w:t>
      </w:r>
      <w:r w:rsidR="00A75B96" w:rsidRPr="00272B34">
        <w:t xml:space="preserve"> </w:t>
      </w:r>
      <w:r w:rsidR="00AB31AE">
        <w:t xml:space="preserve">defined as </w:t>
      </w:r>
      <w:r w:rsidR="002B450D">
        <w:t>‘</w:t>
      </w:r>
      <w:r w:rsidR="00A75B96" w:rsidRPr="00272B34">
        <w:t xml:space="preserve">patients with glaucoma requiring implantation of a </w:t>
      </w:r>
      <w:r w:rsidR="001B17F3">
        <w:t>MBGS</w:t>
      </w:r>
      <w:r w:rsidR="00A75B96" w:rsidRPr="00272B34">
        <w:t xml:space="preserve"> stent system into the suprachoroidal space, if:</w:t>
      </w:r>
      <w:r w:rsidR="00F52423">
        <w:t xml:space="preserve"> </w:t>
      </w:r>
      <w:r w:rsidR="00A75B96" w:rsidRPr="00272B34">
        <w:t>(a) conservative therapies have failed, are likely to fail, or are contraindicated; and</w:t>
      </w:r>
      <w:r w:rsidR="00F52423">
        <w:t xml:space="preserve"> </w:t>
      </w:r>
      <w:r w:rsidR="00A75B96" w:rsidRPr="00272B34">
        <w:t>(b) the service is performed by a specialist with training that is recognised by the Conjoint Committee for the Recognition of Training in Micro-Bypass Glaucoma Surgery</w:t>
      </w:r>
      <w:r w:rsidR="00076658">
        <w:t>.</w:t>
      </w:r>
    </w:p>
    <w:p w14:paraId="2B6720D6" w14:textId="645BB1A6" w:rsidR="00AE420F" w:rsidRDefault="008D5803" w:rsidP="00B15347">
      <w:pPr>
        <w:pStyle w:val="ADARbodytext"/>
        <w:rPr>
          <w:rFonts w:ascii="Franklin Gothic Book" w:hAnsi="Franklin Gothic Book" w:cstheme="minorBidi"/>
        </w:rPr>
      </w:pPr>
      <w:r>
        <w:rPr>
          <w:rFonts w:ascii="Franklin Gothic Book" w:hAnsi="Franklin Gothic Book" w:cstheme="minorBidi"/>
        </w:rPr>
        <w:t>T</w:t>
      </w:r>
      <w:r w:rsidR="00AE420F" w:rsidRPr="00AE420F">
        <w:rPr>
          <w:rFonts w:ascii="Franklin Gothic Book" w:hAnsi="Franklin Gothic Book" w:cstheme="minorBidi"/>
        </w:rPr>
        <w:t>he population specified is identical to existing item 42504, with the addition of suprachoroidal MBGS as a standalone procedure for patients with OAG where conservative therapies (</w:t>
      </w:r>
      <w:proofErr w:type="gramStart"/>
      <w:r w:rsidR="00AE420F" w:rsidRPr="00AE420F">
        <w:rPr>
          <w:rFonts w:ascii="Franklin Gothic Book" w:hAnsi="Franklin Gothic Book" w:cstheme="minorBidi"/>
        </w:rPr>
        <w:t>e.g.</w:t>
      </w:r>
      <w:proofErr w:type="gramEnd"/>
      <w:r w:rsidR="00AE420F" w:rsidRPr="00AE420F">
        <w:rPr>
          <w:rFonts w:ascii="Franklin Gothic Book" w:hAnsi="Franklin Gothic Book" w:cstheme="minorBidi"/>
        </w:rPr>
        <w:t xml:space="preserve"> antihypertensive medication, laser therapy) have failed. </w:t>
      </w:r>
      <w:r w:rsidR="00701151" w:rsidRPr="00701151">
        <w:rPr>
          <w:rFonts w:ascii="Franklin Gothic Book" w:hAnsi="Franklin Gothic Book" w:cstheme="minorBidi"/>
        </w:rPr>
        <w:t xml:space="preserve">Regarding unmet need, the </w:t>
      </w:r>
      <w:r w:rsidR="00E5060B">
        <w:rPr>
          <w:rFonts w:ascii="Franklin Gothic Book" w:hAnsi="Franklin Gothic Book" w:cstheme="minorBidi"/>
        </w:rPr>
        <w:t>applicant</w:t>
      </w:r>
      <w:r w:rsidR="00701151" w:rsidRPr="00701151">
        <w:rPr>
          <w:rFonts w:ascii="Franklin Gothic Book" w:hAnsi="Franklin Gothic Book" w:cstheme="minorBidi"/>
        </w:rPr>
        <w:t xml:space="preserve"> </w:t>
      </w:r>
      <w:r w:rsidR="00F56B89">
        <w:rPr>
          <w:rFonts w:ascii="Franklin Gothic Book" w:hAnsi="Franklin Gothic Book" w:cstheme="minorBidi"/>
        </w:rPr>
        <w:t>argued</w:t>
      </w:r>
      <w:r w:rsidR="00701151" w:rsidRPr="00701151">
        <w:rPr>
          <w:rFonts w:ascii="Franklin Gothic Book" w:hAnsi="Franklin Gothic Book" w:cstheme="minorBidi"/>
        </w:rPr>
        <w:t xml:space="preserve"> that the extension of current guidelines to include suprachoroidal implantation of MBGS devices would </w:t>
      </w:r>
      <w:r w:rsidR="00926233">
        <w:rPr>
          <w:rFonts w:ascii="Franklin Gothic Book" w:hAnsi="Franklin Gothic Book" w:cstheme="minorBidi"/>
        </w:rPr>
        <w:t>better allow</w:t>
      </w:r>
      <w:r w:rsidR="00701151" w:rsidRPr="00701151">
        <w:rPr>
          <w:rFonts w:ascii="Franklin Gothic Book" w:hAnsi="Franklin Gothic Book" w:cstheme="minorBidi"/>
        </w:rPr>
        <w:t xml:space="preserve"> surgeons to select the most appropriate procedure according to their preferences and their patients’ needs</w:t>
      </w:r>
      <w:r w:rsidR="0049382C">
        <w:rPr>
          <w:rFonts w:ascii="Franklin Gothic Book" w:hAnsi="Franklin Gothic Book" w:cstheme="minorBidi"/>
        </w:rPr>
        <w:t>;</w:t>
      </w:r>
      <w:r w:rsidR="00701151" w:rsidRPr="00701151">
        <w:rPr>
          <w:rFonts w:ascii="Franklin Gothic Book" w:hAnsi="Franklin Gothic Book" w:cstheme="minorBidi"/>
        </w:rPr>
        <w:t xml:space="preserve"> </w:t>
      </w:r>
      <w:r w:rsidR="0049382C">
        <w:rPr>
          <w:rFonts w:ascii="Franklin Gothic Book" w:hAnsi="Franklin Gothic Book" w:cstheme="minorBidi"/>
        </w:rPr>
        <w:t>h</w:t>
      </w:r>
      <w:r w:rsidR="00701151" w:rsidRPr="00701151">
        <w:rPr>
          <w:rFonts w:ascii="Franklin Gothic Book" w:hAnsi="Franklin Gothic Book" w:cstheme="minorBidi"/>
        </w:rPr>
        <w:t xml:space="preserve">owever, </w:t>
      </w:r>
      <w:r w:rsidR="00D95010">
        <w:rPr>
          <w:rFonts w:ascii="Franklin Gothic Book" w:hAnsi="Franklin Gothic Book" w:cstheme="minorBidi"/>
        </w:rPr>
        <w:t xml:space="preserve">the </w:t>
      </w:r>
      <w:r w:rsidR="00E5060B">
        <w:rPr>
          <w:rFonts w:ascii="Franklin Gothic Book" w:hAnsi="Franklin Gothic Book" w:cstheme="minorBidi"/>
        </w:rPr>
        <w:t>applicant</w:t>
      </w:r>
      <w:r w:rsidR="00D95010">
        <w:rPr>
          <w:rFonts w:ascii="Franklin Gothic Book" w:hAnsi="Franklin Gothic Book" w:cstheme="minorBidi"/>
        </w:rPr>
        <w:t xml:space="preserve"> failed to</w:t>
      </w:r>
      <w:r w:rsidR="00380F40">
        <w:rPr>
          <w:rFonts w:ascii="Franklin Gothic Book" w:hAnsi="Franklin Gothic Book" w:cstheme="minorBidi"/>
        </w:rPr>
        <w:t xml:space="preserve"> establish </w:t>
      </w:r>
      <w:r w:rsidR="00FF3B59">
        <w:rPr>
          <w:rFonts w:ascii="Franklin Gothic Book" w:hAnsi="Franklin Gothic Book" w:cstheme="minorBidi"/>
        </w:rPr>
        <w:t>whether the current clinical management pathway</w:t>
      </w:r>
      <w:r w:rsidR="00B83171">
        <w:rPr>
          <w:rFonts w:ascii="Franklin Gothic Book" w:hAnsi="Franklin Gothic Book" w:cstheme="minorBidi"/>
        </w:rPr>
        <w:t xml:space="preserve"> </w:t>
      </w:r>
      <w:r w:rsidR="003521CA">
        <w:rPr>
          <w:rFonts w:ascii="Franklin Gothic Book" w:hAnsi="Franklin Gothic Book" w:cstheme="minorBidi"/>
        </w:rPr>
        <w:t>(</w:t>
      </w:r>
      <w:proofErr w:type="gramStart"/>
      <w:r w:rsidR="00B83171">
        <w:rPr>
          <w:rFonts w:ascii="Franklin Gothic Book" w:hAnsi="Franklin Gothic Book" w:cstheme="minorBidi"/>
        </w:rPr>
        <w:t>i.e.</w:t>
      </w:r>
      <w:proofErr w:type="gramEnd"/>
      <w:r w:rsidR="00B83171">
        <w:rPr>
          <w:rFonts w:ascii="Franklin Gothic Book" w:hAnsi="Franklin Gothic Book" w:cstheme="minorBidi"/>
        </w:rPr>
        <w:t xml:space="preserve"> </w:t>
      </w:r>
      <w:r w:rsidR="0026540A" w:rsidRPr="0026540A">
        <w:rPr>
          <w:rFonts w:ascii="Franklin Gothic Book" w:hAnsi="Franklin Gothic Book" w:cstheme="minorBidi"/>
        </w:rPr>
        <w:t>trabecular</w:t>
      </w:r>
      <w:r w:rsidR="00B83171">
        <w:rPr>
          <w:rFonts w:ascii="Franklin Gothic Book" w:hAnsi="Franklin Gothic Book" w:cstheme="minorBidi"/>
        </w:rPr>
        <w:t xml:space="preserve"> MBGS</w:t>
      </w:r>
      <w:r w:rsidR="003521CA">
        <w:rPr>
          <w:rFonts w:ascii="Franklin Gothic Book" w:hAnsi="Franklin Gothic Book" w:cstheme="minorBidi"/>
        </w:rPr>
        <w:t>)</w:t>
      </w:r>
      <w:r w:rsidR="00B83171">
        <w:rPr>
          <w:rFonts w:ascii="Franklin Gothic Book" w:hAnsi="Franklin Gothic Book" w:cstheme="minorBidi"/>
        </w:rPr>
        <w:t xml:space="preserve"> </w:t>
      </w:r>
      <w:r w:rsidR="00FF3B59">
        <w:rPr>
          <w:rFonts w:ascii="Franklin Gothic Book" w:hAnsi="Franklin Gothic Book" w:cstheme="minorBidi"/>
        </w:rPr>
        <w:t xml:space="preserve">was </w:t>
      </w:r>
      <w:r w:rsidR="00B83171">
        <w:rPr>
          <w:rFonts w:ascii="Franklin Gothic Book" w:hAnsi="Franklin Gothic Book" w:cstheme="minorBidi"/>
        </w:rPr>
        <w:t>insuffici</w:t>
      </w:r>
      <w:r w:rsidR="001D7C78">
        <w:rPr>
          <w:rFonts w:ascii="Franklin Gothic Book" w:hAnsi="Franklin Gothic Book" w:cstheme="minorBidi"/>
        </w:rPr>
        <w:t xml:space="preserve">ent and </w:t>
      </w:r>
      <w:r w:rsidR="002A2B1B">
        <w:rPr>
          <w:rFonts w:ascii="Franklin Gothic Book" w:hAnsi="Franklin Gothic Book" w:cstheme="minorBidi"/>
        </w:rPr>
        <w:t>did not</w:t>
      </w:r>
      <w:r w:rsidR="001D7C78">
        <w:rPr>
          <w:rFonts w:ascii="Franklin Gothic Book" w:hAnsi="Franklin Gothic Book" w:cstheme="minorBidi"/>
        </w:rPr>
        <w:t xml:space="preserve"> </w:t>
      </w:r>
      <w:r w:rsidR="0074123C">
        <w:rPr>
          <w:rFonts w:ascii="Franklin Gothic Book" w:hAnsi="Franklin Gothic Book" w:cstheme="minorBidi"/>
        </w:rPr>
        <w:t xml:space="preserve">provide clinal expert opinion regarding the need for </w:t>
      </w:r>
      <w:r w:rsidR="0026540A" w:rsidRPr="0026540A">
        <w:rPr>
          <w:rFonts w:ascii="Franklin Gothic Book" w:hAnsi="Franklin Gothic Book" w:cstheme="minorBidi"/>
        </w:rPr>
        <w:t>suprachoroidal</w:t>
      </w:r>
      <w:r w:rsidR="0074123C">
        <w:rPr>
          <w:rFonts w:ascii="Franklin Gothic Book" w:hAnsi="Franklin Gothic Book" w:cstheme="minorBidi"/>
        </w:rPr>
        <w:t xml:space="preserve"> MBGS</w:t>
      </w:r>
      <w:r w:rsidR="00A31511">
        <w:rPr>
          <w:rFonts w:ascii="Franklin Gothic Book" w:hAnsi="Franklin Gothic Book" w:cstheme="minorBidi"/>
        </w:rPr>
        <w:t>.</w:t>
      </w:r>
      <w:r w:rsidR="0074497F">
        <w:rPr>
          <w:rFonts w:ascii="Franklin Gothic Book" w:hAnsi="Franklin Gothic Book" w:cstheme="minorBidi"/>
        </w:rPr>
        <w:t xml:space="preserve"> </w:t>
      </w:r>
    </w:p>
    <w:p w14:paraId="23BC2899" w14:textId="45324185" w:rsidR="0094191E" w:rsidRDefault="008D5803" w:rsidP="00B15347">
      <w:pPr>
        <w:pStyle w:val="ADARbodytext"/>
        <w:rPr>
          <w:rFonts w:ascii="Franklin Gothic Book" w:hAnsi="Franklin Gothic Book" w:cstheme="minorBidi"/>
        </w:rPr>
      </w:pPr>
      <w:r>
        <w:rPr>
          <w:rFonts w:ascii="Franklin Gothic Book" w:hAnsi="Franklin Gothic Book" w:cstheme="minorBidi"/>
        </w:rPr>
        <w:t>Th</w:t>
      </w:r>
      <w:r w:rsidR="00E026D2">
        <w:rPr>
          <w:rFonts w:ascii="Franklin Gothic Book" w:hAnsi="Franklin Gothic Book" w:cstheme="minorBidi"/>
        </w:rPr>
        <w:t>e assessment group note that there remains some</w:t>
      </w:r>
      <w:r w:rsidR="00BB1970" w:rsidRPr="007C775C">
        <w:rPr>
          <w:rFonts w:ascii="Franklin Gothic Book" w:hAnsi="Franklin Gothic Book" w:cstheme="minorBidi"/>
        </w:rPr>
        <w:t xml:space="preserve"> </w:t>
      </w:r>
      <w:r w:rsidR="00EB0724">
        <w:rPr>
          <w:rFonts w:ascii="Franklin Gothic Book" w:hAnsi="Franklin Gothic Book" w:cstheme="minorBidi"/>
        </w:rPr>
        <w:t>uncertainty</w:t>
      </w:r>
      <w:r w:rsidR="00BB1970" w:rsidRPr="007C775C">
        <w:rPr>
          <w:rFonts w:ascii="Franklin Gothic Book" w:hAnsi="Franklin Gothic Book" w:cstheme="minorBidi"/>
        </w:rPr>
        <w:t xml:space="preserve"> as to whether the </w:t>
      </w:r>
      <w:r w:rsidR="00D86FD4">
        <w:rPr>
          <w:rFonts w:ascii="Franklin Gothic Book" w:hAnsi="Franklin Gothic Book" w:cstheme="minorBidi"/>
        </w:rPr>
        <w:t xml:space="preserve">defined </w:t>
      </w:r>
      <w:r w:rsidR="00BB1970" w:rsidRPr="007C775C">
        <w:rPr>
          <w:rFonts w:ascii="Franklin Gothic Book" w:hAnsi="Franklin Gothic Book" w:cstheme="minorBidi"/>
        </w:rPr>
        <w:t xml:space="preserve">population may include </w:t>
      </w:r>
      <w:r w:rsidR="00E7757F">
        <w:rPr>
          <w:rFonts w:ascii="Franklin Gothic Book" w:hAnsi="Franklin Gothic Book" w:cstheme="minorBidi"/>
        </w:rPr>
        <w:t>patients</w:t>
      </w:r>
      <w:r w:rsidR="00E7757F" w:rsidRPr="007C775C">
        <w:rPr>
          <w:rFonts w:ascii="Franklin Gothic Book" w:hAnsi="Franklin Gothic Book" w:cstheme="minorBidi"/>
        </w:rPr>
        <w:t xml:space="preserve"> </w:t>
      </w:r>
      <w:r w:rsidR="00BB1970" w:rsidRPr="007C775C">
        <w:rPr>
          <w:rFonts w:ascii="Franklin Gothic Book" w:hAnsi="Franklin Gothic Book" w:cstheme="minorBidi"/>
        </w:rPr>
        <w:t>that have been unable to access a trabecular stent (</w:t>
      </w:r>
      <w:proofErr w:type="gramStart"/>
      <w:r w:rsidR="00BB1970" w:rsidRPr="007C775C">
        <w:rPr>
          <w:rFonts w:ascii="Franklin Gothic Book" w:hAnsi="Franklin Gothic Book" w:cstheme="minorBidi"/>
        </w:rPr>
        <w:t>e.g.</w:t>
      </w:r>
      <w:proofErr w:type="gramEnd"/>
      <w:r w:rsidR="00BB1970" w:rsidRPr="007C775C">
        <w:rPr>
          <w:rFonts w:ascii="Franklin Gothic Book" w:hAnsi="Franklin Gothic Book" w:cstheme="minorBidi"/>
        </w:rPr>
        <w:t xml:space="preserve"> </w:t>
      </w:r>
      <w:proofErr w:type="spellStart"/>
      <w:r w:rsidR="006A0400">
        <w:rPr>
          <w:rFonts w:ascii="Franklin Gothic Book" w:hAnsi="Franklin Gothic Book" w:cstheme="minorBidi"/>
        </w:rPr>
        <w:t>i</w:t>
      </w:r>
      <w:r w:rsidR="00BB1970" w:rsidRPr="007C775C">
        <w:rPr>
          <w:rFonts w:ascii="Franklin Gothic Book" w:hAnsi="Franklin Gothic Book" w:cstheme="minorBidi"/>
        </w:rPr>
        <w:t>Stent</w:t>
      </w:r>
      <w:proofErr w:type="spellEnd"/>
      <w:r w:rsidR="00BB1970" w:rsidRPr="007C775C">
        <w:rPr>
          <w:rFonts w:ascii="Franklin Gothic Book" w:hAnsi="Franklin Gothic Book" w:cstheme="minorBidi"/>
        </w:rPr>
        <w:t>) and/or whether a patient could potentially receive both a trabecular stent and a suprachoroidal stent</w:t>
      </w:r>
      <w:r w:rsidR="00E7757F">
        <w:rPr>
          <w:rFonts w:ascii="Franklin Gothic Book" w:hAnsi="Franklin Gothic Book" w:cstheme="minorBidi"/>
        </w:rPr>
        <w:t>.</w:t>
      </w:r>
      <w:r w:rsidR="007C775C">
        <w:rPr>
          <w:rFonts w:ascii="Franklin Gothic Book" w:hAnsi="Franklin Gothic Book" w:cstheme="minorBidi"/>
        </w:rPr>
        <w:t xml:space="preserve"> </w:t>
      </w:r>
      <w:r w:rsidR="00332664">
        <w:rPr>
          <w:rFonts w:ascii="Franklin Gothic Book" w:hAnsi="Franklin Gothic Book" w:cstheme="minorBidi"/>
        </w:rPr>
        <w:t>Additionally</w:t>
      </w:r>
      <w:r w:rsidR="007C775C">
        <w:rPr>
          <w:rFonts w:ascii="Franklin Gothic Book" w:hAnsi="Franklin Gothic Book" w:cstheme="minorBidi"/>
        </w:rPr>
        <w:t xml:space="preserve">, in cases where </w:t>
      </w:r>
      <w:r w:rsidR="00A60AA6">
        <w:rPr>
          <w:rFonts w:ascii="Franklin Gothic Book" w:hAnsi="Franklin Gothic Book" w:cstheme="minorBidi"/>
        </w:rPr>
        <w:t>a</w:t>
      </w:r>
      <w:r w:rsidR="007C775C">
        <w:rPr>
          <w:rFonts w:ascii="Franklin Gothic Book" w:hAnsi="Franklin Gothic Book" w:cstheme="minorBidi"/>
        </w:rPr>
        <w:t xml:space="preserve"> stent fails to produce</w:t>
      </w:r>
      <w:r w:rsidR="00A60AA6">
        <w:rPr>
          <w:rFonts w:ascii="Franklin Gothic Book" w:hAnsi="Franklin Gothic Book" w:cstheme="minorBidi"/>
        </w:rPr>
        <w:t xml:space="preserve"> a satisfactory patient outcome,</w:t>
      </w:r>
      <w:r w:rsidR="00BB1970" w:rsidRPr="007C775C">
        <w:rPr>
          <w:rFonts w:ascii="Franklin Gothic Book" w:hAnsi="Franklin Gothic Book" w:cstheme="minorBidi"/>
        </w:rPr>
        <w:t xml:space="preserve"> whether it would be removed and </w:t>
      </w:r>
      <w:r w:rsidR="2A1EE457" w:rsidRPr="7F5BD140">
        <w:rPr>
          <w:rFonts w:ascii="Franklin Gothic Book" w:hAnsi="Franklin Gothic Book" w:cstheme="minorBidi"/>
        </w:rPr>
        <w:t>either</w:t>
      </w:r>
      <w:r w:rsidR="00BB1970" w:rsidRPr="7F5BD140">
        <w:rPr>
          <w:rFonts w:ascii="Franklin Gothic Book" w:hAnsi="Franklin Gothic Book" w:cstheme="minorBidi"/>
        </w:rPr>
        <w:t xml:space="preserve"> replaced by another stent</w:t>
      </w:r>
      <w:r w:rsidR="31A4410F" w:rsidRPr="7F5BD140">
        <w:rPr>
          <w:rFonts w:ascii="Franklin Gothic Book" w:hAnsi="Franklin Gothic Book" w:cstheme="minorBidi"/>
        </w:rPr>
        <w:t xml:space="preserve"> or</w:t>
      </w:r>
      <w:r w:rsidR="217F1A1A" w:rsidRPr="7F5BD140">
        <w:rPr>
          <w:rFonts w:ascii="Franklin Gothic Book" w:hAnsi="Franklin Gothic Book" w:cstheme="minorBidi"/>
        </w:rPr>
        <w:t xml:space="preserve"> requiring the patient to undergo a more invasive therapy (</w:t>
      </w:r>
      <w:proofErr w:type="gramStart"/>
      <w:r w:rsidR="217F1A1A" w:rsidRPr="7F5BD140">
        <w:rPr>
          <w:rFonts w:ascii="Franklin Gothic Book" w:hAnsi="Franklin Gothic Book" w:cstheme="minorBidi"/>
        </w:rPr>
        <w:t>e.g.</w:t>
      </w:r>
      <w:proofErr w:type="gramEnd"/>
      <w:r w:rsidR="217F1A1A" w:rsidRPr="7F5BD140">
        <w:rPr>
          <w:rFonts w:ascii="Franklin Gothic Book" w:hAnsi="Franklin Gothic Book" w:cstheme="minorBidi"/>
        </w:rPr>
        <w:t xml:space="preserve"> trabeculectomy)</w:t>
      </w:r>
      <w:r w:rsidR="00BB1970" w:rsidRPr="7F5BD140">
        <w:rPr>
          <w:rFonts w:ascii="Franklin Gothic Book" w:hAnsi="Franklin Gothic Book" w:cstheme="minorBidi"/>
        </w:rPr>
        <w:t>.</w:t>
      </w:r>
      <w:r w:rsidR="00BB1970" w:rsidRPr="007C775C">
        <w:rPr>
          <w:rFonts w:ascii="Franklin Gothic Book" w:hAnsi="Franklin Gothic Book" w:cstheme="minorBidi"/>
        </w:rPr>
        <w:t xml:space="preserve"> </w:t>
      </w:r>
      <w:r w:rsidR="00332664">
        <w:rPr>
          <w:rFonts w:ascii="Franklin Gothic Book" w:hAnsi="Franklin Gothic Book" w:cstheme="minorBidi"/>
        </w:rPr>
        <w:t xml:space="preserve">If </w:t>
      </w:r>
      <w:r w:rsidR="006B1CAB">
        <w:rPr>
          <w:rFonts w:ascii="Franklin Gothic Book" w:hAnsi="Franklin Gothic Book" w:cstheme="minorBidi"/>
        </w:rPr>
        <w:t xml:space="preserve">any of </w:t>
      </w:r>
      <w:r w:rsidR="00491375">
        <w:rPr>
          <w:rFonts w:ascii="Franklin Gothic Book" w:hAnsi="Franklin Gothic Book" w:cstheme="minorBidi"/>
        </w:rPr>
        <w:t xml:space="preserve">the above scenarios are realistic, </w:t>
      </w:r>
      <w:r w:rsidR="006C21A4">
        <w:rPr>
          <w:rFonts w:ascii="Franklin Gothic Book" w:hAnsi="Franklin Gothic Book" w:cstheme="minorBidi"/>
        </w:rPr>
        <w:t xml:space="preserve">the MBS may </w:t>
      </w:r>
      <w:r w:rsidR="00C968AA">
        <w:rPr>
          <w:rFonts w:ascii="Franklin Gothic Book" w:hAnsi="Franklin Gothic Book" w:cstheme="minorBidi"/>
        </w:rPr>
        <w:t>incur greater net costs</w:t>
      </w:r>
      <w:r w:rsidR="00E04C70">
        <w:rPr>
          <w:rFonts w:ascii="Franklin Gothic Book" w:hAnsi="Franklin Gothic Book" w:cstheme="minorBidi"/>
        </w:rPr>
        <w:t xml:space="preserve"> due to a potentially larger</w:t>
      </w:r>
      <w:r w:rsidR="00C968AA" w:rsidRPr="007C775C">
        <w:rPr>
          <w:rFonts w:ascii="Franklin Gothic Book" w:hAnsi="Franklin Gothic Book" w:cstheme="minorBidi"/>
        </w:rPr>
        <w:t xml:space="preserve"> population than currently catered for under the existing device</w:t>
      </w:r>
      <w:r w:rsidR="00C968AA">
        <w:rPr>
          <w:rFonts w:ascii="Franklin Gothic Book" w:hAnsi="Franklin Gothic Book" w:cstheme="minorBidi"/>
        </w:rPr>
        <w:t>.</w:t>
      </w:r>
    </w:p>
    <w:p w14:paraId="0CF04872" w14:textId="41F56FCC" w:rsidR="005B13D7" w:rsidRDefault="00380C40" w:rsidP="00B15347">
      <w:pPr>
        <w:pStyle w:val="ADARbodytext"/>
        <w:rPr>
          <w:rFonts w:ascii="Franklin Gothic Book" w:hAnsi="Franklin Gothic Book" w:cstheme="minorBidi"/>
        </w:rPr>
      </w:pPr>
      <w:r>
        <w:rPr>
          <w:rFonts w:ascii="Franklin Gothic Book" w:hAnsi="Franklin Gothic Book" w:cstheme="minorBidi"/>
        </w:rPr>
        <w:t>Further</w:t>
      </w:r>
      <w:r w:rsidR="007B27E8">
        <w:rPr>
          <w:rFonts w:ascii="Franklin Gothic Book" w:hAnsi="Franklin Gothic Book" w:cstheme="minorBidi"/>
        </w:rPr>
        <w:t xml:space="preserve"> clarity is also required regarding the positioning of the </w:t>
      </w:r>
      <w:r>
        <w:rPr>
          <w:rFonts w:ascii="Franklin Gothic Book" w:hAnsi="Franklin Gothic Book" w:cstheme="minorBidi"/>
        </w:rPr>
        <w:t>device with</w:t>
      </w:r>
      <w:r w:rsidR="007B27E8">
        <w:rPr>
          <w:rFonts w:ascii="Franklin Gothic Book" w:hAnsi="Franklin Gothic Book" w:cstheme="minorBidi"/>
        </w:rPr>
        <w:t>i</w:t>
      </w:r>
      <w:r>
        <w:rPr>
          <w:rFonts w:ascii="Franklin Gothic Book" w:hAnsi="Franklin Gothic Book" w:cstheme="minorBidi"/>
        </w:rPr>
        <w:t xml:space="preserve">n the clinical management pathway. </w:t>
      </w:r>
      <w:r w:rsidRPr="0040085F">
        <w:rPr>
          <w:rFonts w:ascii="Franklin Gothic Book" w:hAnsi="Franklin Gothic Book" w:cstheme="minorBidi"/>
        </w:rPr>
        <w:t xml:space="preserve">The ADAR </w:t>
      </w:r>
      <w:r w:rsidR="00A959FD" w:rsidRPr="0040085F">
        <w:rPr>
          <w:rFonts w:ascii="Franklin Gothic Book" w:hAnsi="Franklin Gothic Book" w:cstheme="minorBidi"/>
        </w:rPr>
        <w:t xml:space="preserve">suggests </w:t>
      </w:r>
      <w:r w:rsidR="004B679C" w:rsidRPr="0040085F">
        <w:rPr>
          <w:rFonts w:ascii="Franklin Gothic Book" w:hAnsi="Franklin Gothic Book" w:cstheme="minorBidi"/>
        </w:rPr>
        <w:t xml:space="preserve">that </w:t>
      </w:r>
      <w:proofErr w:type="spellStart"/>
      <w:r w:rsidR="00A959FD" w:rsidRPr="0040085F">
        <w:rPr>
          <w:rFonts w:ascii="Franklin Gothic Book" w:hAnsi="Franklin Gothic Book" w:cstheme="minorBidi"/>
        </w:rPr>
        <w:t>MI</w:t>
      </w:r>
      <w:r w:rsidR="00ED3407" w:rsidRPr="0040085F">
        <w:rPr>
          <w:rFonts w:ascii="Franklin Gothic Book" w:hAnsi="Franklin Gothic Book" w:cstheme="minorBidi"/>
        </w:rPr>
        <w:t>NIject</w:t>
      </w:r>
      <w:proofErr w:type="spellEnd"/>
      <w:r w:rsidR="00ED3407" w:rsidRPr="0040085F">
        <w:rPr>
          <w:rFonts w:ascii="Franklin Gothic Book" w:hAnsi="Franklin Gothic Book" w:cstheme="minorBidi"/>
        </w:rPr>
        <w:t xml:space="preserve"> </w:t>
      </w:r>
      <w:r w:rsidR="00965405" w:rsidRPr="0040085F">
        <w:rPr>
          <w:rFonts w:ascii="Franklin Gothic Book" w:hAnsi="Franklin Gothic Book" w:cstheme="minorBidi"/>
        </w:rPr>
        <w:t xml:space="preserve">will </w:t>
      </w:r>
      <w:r w:rsidR="00CE3B7F" w:rsidRPr="0040085F">
        <w:rPr>
          <w:rFonts w:ascii="Franklin Gothic Book" w:hAnsi="Franklin Gothic Book" w:cstheme="minorBidi"/>
        </w:rPr>
        <w:t>meet clinical needs not currently covered by the</w:t>
      </w:r>
      <w:r w:rsidRPr="0040085F">
        <w:rPr>
          <w:rFonts w:ascii="Franklin Gothic Book" w:hAnsi="Franklin Gothic Book" w:cstheme="minorBidi"/>
        </w:rPr>
        <w:t xml:space="preserve"> trabecular stent</w:t>
      </w:r>
      <w:r w:rsidR="0040085F">
        <w:rPr>
          <w:rFonts w:ascii="Franklin Gothic Book" w:hAnsi="Franklin Gothic Book" w:cstheme="minorBidi"/>
        </w:rPr>
        <w:t xml:space="preserve">. This raises the question of whether </w:t>
      </w:r>
      <w:r w:rsidRPr="0040085F">
        <w:rPr>
          <w:rFonts w:ascii="Franklin Gothic Book" w:hAnsi="Franklin Gothic Book" w:cstheme="minorBidi"/>
        </w:rPr>
        <w:t>there would overall be a shift to the suprachoroidal delivery because of superiority or whether it just provides an equivalent but alternative option to the trabecular delivery.</w:t>
      </w:r>
    </w:p>
    <w:p w14:paraId="23C99BE3" w14:textId="6E376636" w:rsidR="00B26F7C" w:rsidRDefault="00B26F7C" w:rsidP="00B26F7C">
      <w:pPr>
        <w:pStyle w:val="Caption"/>
      </w:pPr>
      <w:bookmarkStart w:id="9" w:name="_Ref155535562"/>
      <w:r>
        <w:lastRenderedPageBreak/>
        <w:t>Table</w:t>
      </w:r>
      <w:r w:rsidRPr="0001290C">
        <w:t> </w:t>
      </w:r>
      <w:r>
        <w:fldChar w:fldCharType="begin"/>
      </w:r>
      <w:r>
        <w:instrText>SEQ Table \* ARABIC</w:instrText>
      </w:r>
      <w:r>
        <w:fldChar w:fldCharType="separate"/>
      </w:r>
      <w:r w:rsidR="003C61D8">
        <w:rPr>
          <w:noProof/>
        </w:rPr>
        <w:t>4</w:t>
      </w:r>
      <w:r>
        <w:fldChar w:fldCharType="end"/>
      </w:r>
      <w:bookmarkEnd w:id="9"/>
      <w:r>
        <w:tab/>
      </w:r>
      <w:r w:rsidRPr="00973978">
        <w:t xml:space="preserve">PICO criteria for assessing </w:t>
      </w:r>
      <w:proofErr w:type="spellStart"/>
      <w:r w:rsidRPr="00973978">
        <w:t>MINIject</w:t>
      </w:r>
      <w:proofErr w:type="spellEnd"/>
      <w:r w:rsidRPr="00973978">
        <w:t xml:space="preserve"> versus </w:t>
      </w:r>
      <w:proofErr w:type="spellStart"/>
      <w:r w:rsidRPr="00973978">
        <w:t>iStent</w:t>
      </w:r>
      <w:proofErr w:type="spellEnd"/>
      <w:r w:rsidRPr="00973978">
        <w:t xml:space="preserve"> for use in standalone </w:t>
      </w:r>
      <w:r>
        <w:t xml:space="preserve">micro-bypass glaucoma </w:t>
      </w:r>
      <w:proofErr w:type="gramStart"/>
      <w:r>
        <w:t>surgery</w:t>
      </w:r>
      <w:proofErr w:type="gramEnd"/>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7070"/>
      </w:tblGrid>
      <w:tr w:rsidR="00B26F7C" w:rsidRPr="00CE40EE" w14:paraId="7D8D8A11" w14:textId="77777777">
        <w:trPr>
          <w:cantSplit/>
          <w:tblHeader/>
        </w:trPr>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tcPr>
          <w:p w14:paraId="086E2B49" w14:textId="77777777" w:rsidR="00B26F7C" w:rsidRPr="00CE40EE" w:rsidRDefault="00B26F7C">
            <w:pPr>
              <w:spacing w:after="60" w:line="240" w:lineRule="auto"/>
              <w:rPr>
                <w:rFonts w:ascii="Arial Narrow" w:hAnsi="Arial Narrow"/>
                <w:b/>
                <w:sz w:val="20"/>
              </w:rPr>
            </w:pPr>
            <w:r w:rsidRPr="00CE40EE">
              <w:rPr>
                <w:rFonts w:ascii="Arial Narrow" w:hAnsi="Arial Narrow"/>
                <w:b/>
                <w:sz w:val="20"/>
              </w:rPr>
              <w:t>Component</w:t>
            </w:r>
          </w:p>
        </w:tc>
        <w:tc>
          <w:tcPr>
            <w:tcW w:w="7070" w:type="dxa"/>
            <w:tcBorders>
              <w:top w:val="single" w:sz="4" w:space="0" w:color="auto"/>
              <w:left w:val="single" w:sz="4" w:space="0" w:color="auto"/>
              <w:bottom w:val="single" w:sz="4" w:space="0" w:color="auto"/>
              <w:right w:val="single" w:sz="4" w:space="0" w:color="auto"/>
            </w:tcBorders>
            <w:shd w:val="clear" w:color="auto" w:fill="FFFFFF" w:themeFill="background1"/>
          </w:tcPr>
          <w:p w14:paraId="057F3E81" w14:textId="77777777" w:rsidR="00B26F7C" w:rsidRPr="00CE40EE" w:rsidRDefault="00B26F7C">
            <w:pPr>
              <w:spacing w:after="60" w:line="240" w:lineRule="auto"/>
              <w:rPr>
                <w:rFonts w:ascii="Arial Narrow" w:hAnsi="Arial Narrow"/>
                <w:b/>
                <w:sz w:val="20"/>
              </w:rPr>
            </w:pPr>
            <w:r w:rsidRPr="00CE40EE">
              <w:rPr>
                <w:rFonts w:ascii="Arial Narrow" w:hAnsi="Arial Narrow"/>
                <w:b/>
                <w:sz w:val="20"/>
              </w:rPr>
              <w:t>Description</w:t>
            </w:r>
          </w:p>
        </w:tc>
      </w:tr>
      <w:tr w:rsidR="00B26F7C" w:rsidRPr="00CE40EE" w14:paraId="489A0A15" w14:textId="77777777">
        <w:trPr>
          <w:cantSplit/>
        </w:trPr>
        <w:tc>
          <w:tcPr>
            <w:tcW w:w="2002" w:type="dxa"/>
            <w:tcBorders>
              <w:top w:val="single" w:sz="4" w:space="0" w:color="auto"/>
            </w:tcBorders>
            <w:shd w:val="clear" w:color="auto" w:fill="auto"/>
          </w:tcPr>
          <w:p w14:paraId="39F698A6"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Population</w:t>
            </w:r>
          </w:p>
        </w:tc>
        <w:tc>
          <w:tcPr>
            <w:tcW w:w="7070" w:type="dxa"/>
            <w:tcBorders>
              <w:top w:val="single" w:sz="4" w:space="0" w:color="auto"/>
            </w:tcBorders>
            <w:shd w:val="clear" w:color="auto" w:fill="auto"/>
          </w:tcPr>
          <w:p w14:paraId="444AF67D"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 xml:space="preserve">Patients with glaucoma requiring implantation of a </w:t>
            </w:r>
            <w:r>
              <w:rPr>
                <w:rFonts w:ascii="Arial Narrow" w:eastAsia="Times New Roman" w:hAnsi="Arial Narrow" w:cs="Times New Roman"/>
                <w:sz w:val="20"/>
                <w:szCs w:val="18"/>
                <w:lang w:eastAsia="en-AU"/>
              </w:rPr>
              <w:t>MBGS</w:t>
            </w:r>
            <w:r w:rsidRPr="00CE40EE">
              <w:rPr>
                <w:rFonts w:ascii="Arial Narrow" w:eastAsia="Times New Roman" w:hAnsi="Arial Narrow" w:cs="Times New Roman"/>
                <w:sz w:val="20"/>
                <w:szCs w:val="18"/>
                <w:lang w:eastAsia="en-AU"/>
              </w:rPr>
              <w:t xml:space="preserve"> stent system into the suprachoroidal space, if:</w:t>
            </w:r>
          </w:p>
          <w:p w14:paraId="0ADEFF9E"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(a) conservative therapies have failed, are likely to fail or are contraindicated; and</w:t>
            </w:r>
          </w:p>
          <w:p w14:paraId="2800FA96"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(b) the service is performed by a specialist with training that is recognised by the Conjoint Committee for the Recognition of Training in Micro-Bypass Glaucoma Surgery</w:t>
            </w:r>
          </w:p>
        </w:tc>
      </w:tr>
      <w:tr w:rsidR="00B26F7C" w:rsidRPr="00CE40EE" w14:paraId="67CF46D1" w14:textId="77777777">
        <w:tc>
          <w:tcPr>
            <w:tcW w:w="2002" w:type="dxa"/>
            <w:shd w:val="clear" w:color="auto" w:fill="auto"/>
          </w:tcPr>
          <w:p w14:paraId="5881AD4E"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Intervention</w:t>
            </w:r>
          </w:p>
        </w:tc>
        <w:tc>
          <w:tcPr>
            <w:tcW w:w="7070" w:type="dxa"/>
            <w:shd w:val="clear" w:color="auto" w:fill="auto"/>
          </w:tcPr>
          <w:p w14:paraId="01E275D6" w14:textId="77777777" w:rsidR="00B26F7C" w:rsidRPr="00CE40EE" w:rsidRDefault="00B26F7C">
            <w:pPr>
              <w:spacing w:before="40" w:after="40" w:line="240" w:lineRule="auto"/>
              <w:rPr>
                <w:rFonts w:ascii="Arial Narrow" w:eastAsia="Times New Roman" w:hAnsi="Arial Narrow" w:cs="Times New Roman"/>
                <w:sz w:val="20"/>
                <w:szCs w:val="18"/>
                <w:lang w:eastAsia="en-AU"/>
              </w:rPr>
            </w:pPr>
            <w:proofErr w:type="spellStart"/>
            <w:r w:rsidRPr="00CE40EE">
              <w:rPr>
                <w:rFonts w:ascii="Arial Narrow" w:eastAsia="Times New Roman" w:hAnsi="Arial Narrow" w:cs="Times New Roman"/>
                <w:sz w:val="20"/>
                <w:szCs w:val="18"/>
                <w:lang w:eastAsia="en-AU"/>
              </w:rPr>
              <w:t>MINIject</w:t>
            </w:r>
            <w:proofErr w:type="spellEnd"/>
            <w:r w:rsidRPr="00CE40EE">
              <w:rPr>
                <w:rFonts w:ascii="Symbol" w:eastAsia="Symbol" w:hAnsi="Symbol" w:cs="Symbol"/>
                <w:sz w:val="20"/>
                <w:szCs w:val="18"/>
                <w:lang w:eastAsia="en-AU"/>
              </w:rPr>
              <w:t>Ò</w:t>
            </w:r>
            <w:r w:rsidRPr="00CE40EE">
              <w:rPr>
                <w:rFonts w:ascii="Arial Narrow" w:eastAsia="Times New Roman" w:hAnsi="Arial Narrow" w:cs="Times New Roman"/>
                <w:sz w:val="20"/>
                <w:szCs w:val="18"/>
                <w:lang w:eastAsia="en-AU"/>
              </w:rPr>
              <w:t xml:space="preserve"> micro-bypass surgery device, which is inserted into the suprachoroidal space during MBGS.</w:t>
            </w:r>
          </w:p>
        </w:tc>
      </w:tr>
      <w:tr w:rsidR="00B26F7C" w:rsidRPr="00CE40EE" w14:paraId="6A12549C" w14:textId="77777777">
        <w:tc>
          <w:tcPr>
            <w:tcW w:w="2002" w:type="dxa"/>
            <w:shd w:val="clear" w:color="auto" w:fill="auto"/>
          </w:tcPr>
          <w:p w14:paraId="15DCA2FC"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Comparator</w:t>
            </w:r>
          </w:p>
        </w:tc>
        <w:tc>
          <w:tcPr>
            <w:tcW w:w="7070" w:type="dxa"/>
            <w:shd w:val="clear" w:color="auto" w:fill="auto"/>
          </w:tcPr>
          <w:p w14:paraId="4C656CF8" w14:textId="77777777" w:rsidR="00B26F7C" w:rsidRPr="00CE40EE" w:rsidRDefault="00B26F7C">
            <w:pPr>
              <w:spacing w:before="40" w:after="40" w:line="240" w:lineRule="auto"/>
              <w:rPr>
                <w:rFonts w:ascii="Arial Narrow" w:eastAsia="Times New Roman" w:hAnsi="Arial Narrow" w:cs="Times New Roman"/>
                <w:sz w:val="20"/>
                <w:szCs w:val="18"/>
                <w:lang w:eastAsia="en-AU"/>
              </w:rPr>
            </w:pPr>
            <w:proofErr w:type="spellStart"/>
            <w:r w:rsidRPr="00CE40EE">
              <w:rPr>
                <w:rFonts w:ascii="Arial Narrow" w:eastAsia="Times New Roman" w:hAnsi="Arial Narrow" w:cs="Times New Roman"/>
                <w:sz w:val="20"/>
                <w:szCs w:val="18"/>
                <w:lang w:eastAsia="en-AU"/>
              </w:rPr>
              <w:t>iStent</w:t>
            </w:r>
            <w:proofErr w:type="spellEnd"/>
            <w:r w:rsidRPr="00CE40EE">
              <w:rPr>
                <w:rFonts w:ascii="Symbol" w:eastAsia="Symbol" w:hAnsi="Symbol" w:cs="Symbol"/>
                <w:sz w:val="20"/>
                <w:szCs w:val="18"/>
                <w:vertAlign w:val="superscript"/>
                <w:lang w:eastAsia="en-AU"/>
              </w:rPr>
              <w:t>Ò</w:t>
            </w:r>
            <w:r w:rsidRPr="00CE40EE">
              <w:rPr>
                <w:rFonts w:ascii="Arial Narrow" w:eastAsia="Times New Roman" w:hAnsi="Arial Narrow" w:cs="Times New Roman"/>
                <w:sz w:val="20"/>
                <w:szCs w:val="18"/>
                <w:lang w:eastAsia="en-AU"/>
              </w:rPr>
              <w:t xml:space="preserve"> (</w:t>
            </w:r>
            <w:proofErr w:type="spellStart"/>
            <w:r w:rsidRPr="00CE40EE">
              <w:rPr>
                <w:rFonts w:ascii="Arial Narrow" w:eastAsia="Times New Roman" w:hAnsi="Arial Narrow" w:cs="Times New Roman"/>
                <w:sz w:val="20"/>
                <w:szCs w:val="18"/>
                <w:lang w:eastAsia="en-AU"/>
              </w:rPr>
              <w:t>Glaukos</w:t>
            </w:r>
            <w:proofErr w:type="spellEnd"/>
            <w:r w:rsidRPr="00CE40EE">
              <w:rPr>
                <w:rFonts w:ascii="Arial Narrow" w:eastAsia="Times New Roman" w:hAnsi="Arial Narrow" w:cs="Times New Roman"/>
                <w:sz w:val="20"/>
                <w:szCs w:val="18"/>
                <w:lang w:eastAsia="en-AU"/>
              </w:rPr>
              <w:t>) MBGS stent system (inserted via the trabecular meshwork)</w:t>
            </w:r>
          </w:p>
        </w:tc>
      </w:tr>
      <w:tr w:rsidR="00B26F7C" w:rsidRPr="00CE40EE" w14:paraId="617AE796" w14:textId="77777777">
        <w:tc>
          <w:tcPr>
            <w:tcW w:w="2002" w:type="dxa"/>
            <w:shd w:val="clear" w:color="auto" w:fill="auto"/>
          </w:tcPr>
          <w:p w14:paraId="5C44E1CD"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Outcomes</w:t>
            </w:r>
          </w:p>
        </w:tc>
        <w:tc>
          <w:tcPr>
            <w:tcW w:w="7070" w:type="dxa"/>
            <w:shd w:val="clear" w:color="auto" w:fill="auto"/>
          </w:tcPr>
          <w:p w14:paraId="59975C59"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b/>
                <w:sz w:val="20"/>
                <w:szCs w:val="18"/>
                <w:lang w:eastAsia="en-AU"/>
              </w:rPr>
              <w:t>Safety:</w:t>
            </w:r>
            <w:r w:rsidRPr="00CE40EE">
              <w:rPr>
                <w:rFonts w:ascii="Arial Narrow" w:eastAsia="Times New Roman" w:hAnsi="Arial Narrow" w:cs="Times New Roman"/>
                <w:sz w:val="20"/>
                <w:szCs w:val="18"/>
                <w:lang w:eastAsia="en-AU"/>
              </w:rPr>
              <w:t xml:space="preserve"> </w:t>
            </w:r>
          </w:p>
          <w:p w14:paraId="1EBEAB3C" w14:textId="77777777" w:rsidR="00B26F7C" w:rsidRPr="00CE40EE" w:rsidRDefault="00B26F7C">
            <w:pPr>
              <w:spacing w:before="40" w:after="40" w:line="240" w:lineRule="auto"/>
              <w:rPr>
                <w:rFonts w:ascii="Arial Narrow" w:hAnsi="Arial Narrow" w:cs="Times New Roman"/>
                <w:sz w:val="20"/>
              </w:rPr>
            </w:pPr>
            <w:r w:rsidRPr="00CE40EE">
              <w:rPr>
                <w:rFonts w:ascii="Arial Narrow" w:hAnsi="Arial Narrow" w:cs="Times New Roman"/>
                <w:sz w:val="20"/>
              </w:rPr>
              <w:t xml:space="preserve">AE, including ocular </w:t>
            </w:r>
            <w:r>
              <w:rPr>
                <w:rFonts w:ascii="Arial Narrow" w:hAnsi="Arial Narrow" w:cs="Times New Roman"/>
                <w:sz w:val="20"/>
              </w:rPr>
              <w:t>S</w:t>
            </w:r>
            <w:r w:rsidRPr="00CE40EE">
              <w:rPr>
                <w:rFonts w:ascii="Arial Narrow" w:hAnsi="Arial Narrow" w:cs="Times New Roman"/>
                <w:sz w:val="20"/>
              </w:rPr>
              <w:t>A</w:t>
            </w:r>
            <w:r>
              <w:rPr>
                <w:rFonts w:ascii="Arial Narrow" w:hAnsi="Arial Narrow" w:cs="Times New Roman"/>
                <w:sz w:val="20"/>
              </w:rPr>
              <w:t>E</w:t>
            </w:r>
            <w:r w:rsidRPr="00CE40EE">
              <w:rPr>
                <w:rFonts w:ascii="Arial Narrow" w:hAnsi="Arial Narrow" w:cs="Times New Roman"/>
                <w:sz w:val="20"/>
              </w:rPr>
              <w:t xml:space="preserve">s (number, % of patients) related to the device or surgical </w:t>
            </w:r>
            <w:proofErr w:type="gramStart"/>
            <w:r w:rsidRPr="00CE40EE">
              <w:rPr>
                <w:rFonts w:ascii="Arial Narrow" w:hAnsi="Arial Narrow" w:cs="Times New Roman"/>
                <w:sz w:val="20"/>
              </w:rPr>
              <w:t>procedure</w:t>
            </w:r>
            <w:proofErr w:type="gramEnd"/>
          </w:p>
          <w:p w14:paraId="13BBDBAA" w14:textId="77777777" w:rsidR="00B26F7C" w:rsidRPr="00CE40EE" w:rsidRDefault="00B26F7C">
            <w:pPr>
              <w:spacing w:before="40" w:after="40" w:line="240" w:lineRule="auto"/>
              <w:rPr>
                <w:rFonts w:ascii="Arial Narrow" w:eastAsia="Times New Roman" w:hAnsi="Arial Narrow" w:cs="Times New Roman"/>
                <w:b/>
                <w:sz w:val="20"/>
                <w:szCs w:val="18"/>
                <w:lang w:eastAsia="en-AU"/>
              </w:rPr>
            </w:pPr>
            <w:r w:rsidRPr="00CE40EE">
              <w:rPr>
                <w:rFonts w:ascii="Arial Narrow" w:eastAsia="Times New Roman" w:hAnsi="Arial Narrow" w:cs="Times New Roman"/>
                <w:b/>
                <w:sz w:val="20"/>
                <w:szCs w:val="18"/>
                <w:lang w:eastAsia="en-AU"/>
              </w:rPr>
              <w:t>Effectiveness:</w:t>
            </w:r>
          </w:p>
          <w:p w14:paraId="28E6CB72" w14:textId="77777777" w:rsidR="00B26F7C" w:rsidRPr="00CE40EE" w:rsidRDefault="00B26F7C">
            <w:pPr>
              <w:spacing w:before="40" w:after="40" w:line="240" w:lineRule="auto"/>
              <w:rPr>
                <w:rFonts w:ascii="Arial Narrow" w:eastAsia="Times New Roman" w:hAnsi="Arial Narrow" w:cs="Times New Roman"/>
                <w:bCs/>
                <w:sz w:val="20"/>
                <w:szCs w:val="18"/>
                <w:lang w:eastAsia="en-AU"/>
              </w:rPr>
            </w:pPr>
            <w:r w:rsidRPr="00CE40EE">
              <w:rPr>
                <w:rFonts w:ascii="Arial Narrow" w:eastAsia="Times New Roman" w:hAnsi="Arial Narrow" w:cs="Times New Roman"/>
                <w:bCs/>
                <w:sz w:val="20"/>
                <w:szCs w:val="18"/>
                <w:lang w:eastAsia="en-AU"/>
              </w:rPr>
              <w:t>Change from baseline in IOP (mm Hg, % reduction)</w:t>
            </w:r>
          </w:p>
          <w:p w14:paraId="3917A137" w14:textId="77777777" w:rsidR="00B26F7C" w:rsidRPr="00CE40EE" w:rsidRDefault="00B26F7C">
            <w:pPr>
              <w:spacing w:before="40" w:after="40" w:line="240" w:lineRule="auto"/>
              <w:rPr>
                <w:rFonts w:ascii="Arial Narrow" w:eastAsia="Times New Roman" w:hAnsi="Arial Narrow" w:cs="Times New Roman"/>
                <w:bCs/>
                <w:sz w:val="20"/>
                <w:szCs w:val="18"/>
                <w:lang w:eastAsia="en-AU"/>
              </w:rPr>
            </w:pPr>
            <w:r w:rsidRPr="00CE40EE">
              <w:rPr>
                <w:rFonts w:ascii="Arial Narrow" w:eastAsia="Times New Roman" w:hAnsi="Arial Narrow" w:cs="Times New Roman"/>
                <w:bCs/>
                <w:sz w:val="20"/>
                <w:szCs w:val="18"/>
                <w:lang w:eastAsia="en-AU"/>
              </w:rPr>
              <w:t xml:space="preserve">Change from baseline in the mean number of IOP-reducing medications </w:t>
            </w:r>
            <w:proofErr w:type="gramStart"/>
            <w:r w:rsidRPr="00CE40EE">
              <w:rPr>
                <w:rFonts w:ascii="Arial Narrow" w:eastAsia="Times New Roman" w:hAnsi="Arial Narrow" w:cs="Times New Roman"/>
                <w:bCs/>
                <w:sz w:val="20"/>
                <w:szCs w:val="18"/>
                <w:lang w:eastAsia="en-AU"/>
              </w:rPr>
              <w:t>used</w:t>
            </w:r>
            <w:proofErr w:type="gramEnd"/>
          </w:p>
          <w:p w14:paraId="5A909BC9" w14:textId="77777777" w:rsidR="00B26F7C" w:rsidRPr="00CE40EE" w:rsidRDefault="00B26F7C">
            <w:pPr>
              <w:spacing w:before="40" w:after="40" w:line="240" w:lineRule="auto"/>
              <w:rPr>
                <w:rFonts w:ascii="Arial Narrow" w:eastAsia="Times New Roman" w:hAnsi="Arial Narrow" w:cs="Times New Roman"/>
                <w:b/>
                <w:sz w:val="20"/>
                <w:szCs w:val="18"/>
                <w:lang w:eastAsia="en-AU"/>
              </w:rPr>
            </w:pPr>
            <w:r w:rsidRPr="00CE40EE">
              <w:rPr>
                <w:rFonts w:ascii="Arial Narrow" w:eastAsia="Times New Roman" w:hAnsi="Arial Narrow" w:cs="Times New Roman"/>
                <w:b/>
                <w:sz w:val="20"/>
                <w:szCs w:val="18"/>
                <w:lang w:eastAsia="en-AU"/>
              </w:rPr>
              <w:t xml:space="preserve">Healthcare system outcomes: </w:t>
            </w:r>
          </w:p>
          <w:p w14:paraId="78B561EE" w14:textId="77777777" w:rsidR="00B26F7C" w:rsidRPr="00CE40EE" w:rsidRDefault="00B26F7C">
            <w:pPr>
              <w:spacing w:before="40" w:after="40" w:line="240" w:lineRule="auto"/>
              <w:rPr>
                <w:rFonts w:ascii="Arial Narrow" w:eastAsia="Times New Roman" w:hAnsi="Arial Narrow" w:cs="Times New Roman"/>
                <w:bCs/>
                <w:sz w:val="20"/>
                <w:szCs w:val="18"/>
                <w:lang w:eastAsia="en-AU"/>
              </w:rPr>
            </w:pPr>
            <w:r w:rsidRPr="00CE40EE">
              <w:rPr>
                <w:rFonts w:ascii="Arial Narrow" w:eastAsia="Times New Roman" w:hAnsi="Arial Narrow" w:cs="Times New Roman"/>
                <w:bCs/>
                <w:sz w:val="20"/>
                <w:szCs w:val="18"/>
                <w:lang w:eastAsia="en-AU"/>
              </w:rPr>
              <w:t>Resource used to implant the stent system (</w:t>
            </w:r>
            <w:proofErr w:type="gramStart"/>
            <w:r w:rsidRPr="00CE40EE">
              <w:rPr>
                <w:rFonts w:ascii="Arial Narrow" w:eastAsia="Times New Roman" w:hAnsi="Arial Narrow" w:cs="Times New Roman"/>
                <w:bCs/>
                <w:sz w:val="20"/>
                <w:szCs w:val="18"/>
                <w:lang w:eastAsia="en-AU"/>
              </w:rPr>
              <w:t>e.g.</w:t>
            </w:r>
            <w:proofErr w:type="gramEnd"/>
            <w:r w:rsidRPr="00CE40EE">
              <w:rPr>
                <w:rFonts w:ascii="Arial Narrow" w:eastAsia="Times New Roman" w:hAnsi="Arial Narrow" w:cs="Times New Roman"/>
                <w:bCs/>
                <w:sz w:val="20"/>
                <w:szCs w:val="18"/>
                <w:lang w:eastAsia="en-AU"/>
              </w:rPr>
              <w:t xml:space="preserve"> professional services, prostheses, post-operative consultations, </w:t>
            </w:r>
            <w:r>
              <w:rPr>
                <w:rFonts w:ascii="Arial Narrow" w:eastAsia="Times New Roman" w:hAnsi="Arial Narrow" w:cs="Times New Roman"/>
                <w:bCs/>
                <w:sz w:val="20"/>
                <w:szCs w:val="18"/>
                <w:lang w:eastAsia="en-AU"/>
              </w:rPr>
              <w:t>AE</w:t>
            </w:r>
            <w:r w:rsidRPr="00CE40EE">
              <w:rPr>
                <w:rFonts w:ascii="Arial Narrow" w:eastAsia="Times New Roman" w:hAnsi="Arial Narrow" w:cs="Times New Roman"/>
                <w:bCs/>
                <w:sz w:val="20"/>
                <w:szCs w:val="18"/>
                <w:lang w:eastAsia="en-AU"/>
              </w:rPr>
              <w:t>s)</w:t>
            </w:r>
          </w:p>
        </w:tc>
      </w:tr>
      <w:tr w:rsidR="00B26F7C" w:rsidRPr="00CE40EE" w14:paraId="04EF1581" w14:textId="77777777">
        <w:trPr>
          <w:trHeight w:val="854"/>
        </w:trPr>
        <w:tc>
          <w:tcPr>
            <w:tcW w:w="9072" w:type="dxa"/>
            <w:gridSpan w:val="2"/>
            <w:shd w:val="clear" w:color="auto" w:fill="auto"/>
          </w:tcPr>
          <w:p w14:paraId="431356B5"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Systematic review questions:</w:t>
            </w:r>
          </w:p>
          <w:p w14:paraId="57F24933" w14:textId="77777777" w:rsidR="00B26F7C" w:rsidRPr="00CE40EE" w:rsidRDefault="00B26F7C">
            <w:pPr>
              <w:spacing w:before="40" w:after="40" w:line="240" w:lineRule="auto"/>
              <w:rPr>
                <w:rFonts w:ascii="Arial Narrow" w:eastAsia="Times New Roman" w:hAnsi="Arial Narrow" w:cs="Times New Roman"/>
                <w:sz w:val="20"/>
                <w:szCs w:val="18"/>
                <w:lang w:eastAsia="en-AU"/>
              </w:rPr>
            </w:pPr>
            <w:r w:rsidRPr="00CE40EE">
              <w:rPr>
                <w:rFonts w:ascii="Arial Narrow" w:eastAsia="Times New Roman" w:hAnsi="Arial Narrow" w:cs="Times New Roman"/>
                <w:sz w:val="20"/>
                <w:szCs w:val="18"/>
                <w:lang w:eastAsia="en-AU"/>
              </w:rPr>
              <w:t xml:space="preserve">What is the safety, </w:t>
            </w:r>
            <w:proofErr w:type="gramStart"/>
            <w:r w:rsidRPr="00CE40EE">
              <w:rPr>
                <w:rFonts w:ascii="Arial Narrow" w:eastAsia="Times New Roman" w:hAnsi="Arial Narrow" w:cs="Times New Roman"/>
                <w:sz w:val="20"/>
                <w:szCs w:val="18"/>
                <w:lang w:eastAsia="en-AU"/>
              </w:rPr>
              <w:t>effectiveness</w:t>
            </w:r>
            <w:proofErr w:type="gramEnd"/>
            <w:r w:rsidRPr="00CE40EE">
              <w:rPr>
                <w:rFonts w:ascii="Arial Narrow" w:eastAsia="Times New Roman" w:hAnsi="Arial Narrow" w:cs="Times New Roman"/>
                <w:sz w:val="20"/>
                <w:szCs w:val="18"/>
                <w:lang w:eastAsia="en-AU"/>
              </w:rPr>
              <w:t xml:space="preserve"> and cost-effectiveness of </w:t>
            </w:r>
            <w:proofErr w:type="spellStart"/>
            <w:r w:rsidRPr="00CE40EE">
              <w:rPr>
                <w:rFonts w:ascii="Arial Narrow" w:eastAsia="Times New Roman" w:hAnsi="Arial Narrow" w:cs="Times New Roman"/>
                <w:sz w:val="20"/>
                <w:szCs w:val="18"/>
                <w:lang w:eastAsia="en-AU"/>
              </w:rPr>
              <w:t>MINIject</w:t>
            </w:r>
            <w:proofErr w:type="spellEnd"/>
            <w:r w:rsidRPr="00CE40EE">
              <w:rPr>
                <w:rFonts w:ascii="Arial Narrow" w:eastAsia="Times New Roman" w:hAnsi="Arial Narrow" w:cs="Times New Roman"/>
                <w:sz w:val="20"/>
                <w:szCs w:val="18"/>
                <w:lang w:eastAsia="en-AU"/>
              </w:rPr>
              <w:t xml:space="preserve"> compared to </w:t>
            </w:r>
            <w:proofErr w:type="spellStart"/>
            <w:r w:rsidRPr="00CE40EE">
              <w:rPr>
                <w:rFonts w:ascii="Arial Narrow" w:eastAsia="Times New Roman" w:hAnsi="Arial Narrow" w:cs="Times New Roman"/>
                <w:sz w:val="20"/>
                <w:szCs w:val="18"/>
                <w:lang w:eastAsia="en-AU"/>
              </w:rPr>
              <w:t>iStent</w:t>
            </w:r>
            <w:proofErr w:type="spellEnd"/>
            <w:r w:rsidRPr="00CE40EE">
              <w:rPr>
                <w:rFonts w:ascii="Arial Narrow" w:eastAsia="Times New Roman" w:hAnsi="Arial Narrow" w:cs="Times New Roman"/>
                <w:sz w:val="20"/>
                <w:szCs w:val="18"/>
                <w:lang w:eastAsia="en-AU"/>
              </w:rPr>
              <w:t xml:space="preserve"> in standalone MBGS (also called </w:t>
            </w:r>
            <w:r>
              <w:rPr>
                <w:rFonts w:ascii="Arial Narrow" w:eastAsia="Times New Roman" w:hAnsi="Arial Narrow" w:cs="Times New Roman"/>
                <w:sz w:val="20"/>
                <w:szCs w:val="18"/>
                <w:lang w:eastAsia="en-AU"/>
              </w:rPr>
              <w:t>MIGS</w:t>
            </w:r>
            <w:r w:rsidRPr="00CE40EE">
              <w:rPr>
                <w:rFonts w:ascii="Arial Narrow" w:eastAsia="Times New Roman" w:hAnsi="Arial Narrow" w:cs="Times New Roman"/>
                <w:sz w:val="20"/>
                <w:szCs w:val="18"/>
                <w:lang w:eastAsia="en-AU"/>
              </w:rPr>
              <w:t>)?</w:t>
            </w:r>
          </w:p>
        </w:tc>
      </w:tr>
    </w:tbl>
    <w:p w14:paraId="63189F86" w14:textId="77777777" w:rsidR="00B26F7C" w:rsidRPr="00AD31F1" w:rsidRDefault="00B26F7C" w:rsidP="00B26F7C">
      <w:pPr>
        <w:pStyle w:val="Tablenotes0"/>
      </w:pPr>
      <w:r w:rsidRPr="00AD31F1">
        <w:rPr>
          <w:u w:val="single"/>
        </w:rPr>
        <w:t>Abbreviations</w:t>
      </w:r>
      <w:r w:rsidRPr="00AD31F1">
        <w:t>:</w:t>
      </w:r>
      <w:r>
        <w:t xml:space="preserve"> AE = adverse event;</w:t>
      </w:r>
      <w:r w:rsidRPr="00AD31F1">
        <w:t xml:space="preserve"> IOP = intraocular pressure, mm Hg = millimetres of mercury, MBGS = micro-bypass glaucoma surgery</w:t>
      </w:r>
      <w:r>
        <w:t>; SAE = serious adverse event</w:t>
      </w:r>
    </w:p>
    <w:p w14:paraId="544D5625" w14:textId="422D512E" w:rsidR="00B26F7C" w:rsidRDefault="00B26F7C" w:rsidP="00617190">
      <w:pPr>
        <w:pStyle w:val="Tablenotes0"/>
      </w:pPr>
      <w:r w:rsidRPr="00AD31F1">
        <w:rPr>
          <w:u w:val="single"/>
        </w:rPr>
        <w:t>Source</w:t>
      </w:r>
      <w:r w:rsidRPr="00AD31F1">
        <w:t xml:space="preserve">: Table 2 of ADAR submission </w:t>
      </w:r>
    </w:p>
    <w:p w14:paraId="1B4F2EB3" w14:textId="0AA34E6D" w:rsidR="0005742C" w:rsidRDefault="00637A71" w:rsidP="00637A71">
      <w:pPr>
        <w:pStyle w:val="Heading2"/>
      </w:pPr>
      <w:r>
        <w:t>8.</w:t>
      </w:r>
      <w:r>
        <w:tab/>
      </w:r>
      <w:r w:rsidR="0005742C">
        <w:t>Comparator</w:t>
      </w:r>
    </w:p>
    <w:p w14:paraId="4500FCF9" w14:textId="31123B9A" w:rsidR="00DD1C2F" w:rsidRDefault="00223CEB" w:rsidP="0039201D">
      <w:pPr>
        <w:pStyle w:val="Bullet"/>
        <w:numPr>
          <w:ilvl w:val="0"/>
          <w:numId w:val="0"/>
        </w:numPr>
        <w:rPr>
          <w:rFonts w:ascii="Franklin Gothic Book" w:hAnsi="Franklin Gothic Book"/>
        </w:rPr>
      </w:pPr>
      <w:r>
        <w:rPr>
          <w:rFonts w:ascii="Franklin Gothic Book" w:hAnsi="Franklin Gothic Book"/>
        </w:rPr>
        <w:t xml:space="preserve">The comparator selected for assessment in the ADAR submission was </w:t>
      </w:r>
      <w:proofErr w:type="spellStart"/>
      <w:r w:rsidRPr="00272B34">
        <w:rPr>
          <w:rFonts w:ascii="Franklin Gothic Book" w:hAnsi="Franklin Gothic Book"/>
        </w:rPr>
        <w:t>iStent</w:t>
      </w:r>
      <w:proofErr w:type="spellEnd"/>
      <w:r w:rsidR="00982FC4" w:rsidRPr="004269A3">
        <w:rPr>
          <w:rFonts w:ascii="Franklin Gothic Book" w:hAnsi="Franklin Gothic Book"/>
          <w:vertAlign w:val="superscript"/>
        </w:rPr>
        <w:t>®</w:t>
      </w:r>
      <w:r w:rsidRPr="00272B34">
        <w:rPr>
          <w:rFonts w:ascii="Franklin Gothic Book" w:hAnsi="Franklin Gothic Book"/>
        </w:rPr>
        <w:t xml:space="preserve"> (</w:t>
      </w:r>
      <w:proofErr w:type="spellStart"/>
      <w:r w:rsidRPr="00272B34">
        <w:rPr>
          <w:rFonts w:ascii="Franklin Gothic Book" w:hAnsi="Franklin Gothic Book"/>
        </w:rPr>
        <w:t>Glaukos</w:t>
      </w:r>
      <w:proofErr w:type="spellEnd"/>
      <w:r w:rsidR="001606D4" w:rsidRPr="00272B34">
        <w:rPr>
          <w:rFonts w:ascii="Franklin Gothic Book" w:hAnsi="Franklin Gothic Book"/>
        </w:rPr>
        <w:t>)</w:t>
      </w:r>
      <w:r w:rsidR="001606D4">
        <w:rPr>
          <w:rFonts w:ascii="Franklin Gothic Book" w:hAnsi="Franklin Gothic Book"/>
        </w:rPr>
        <w:t xml:space="preserve">, </w:t>
      </w:r>
      <w:r w:rsidR="00EB4649" w:rsidRPr="00272B34">
        <w:rPr>
          <w:rFonts w:ascii="Franklin Gothic Book" w:hAnsi="Franklin Gothic Book"/>
        </w:rPr>
        <w:t xml:space="preserve">an alternative micro-bypass surgery stent system </w:t>
      </w:r>
      <w:r w:rsidR="001606D4">
        <w:rPr>
          <w:rFonts w:ascii="Franklin Gothic Book" w:hAnsi="Franklin Gothic Book"/>
        </w:rPr>
        <w:t>impl</w:t>
      </w:r>
      <w:r w:rsidR="0080139E">
        <w:rPr>
          <w:rFonts w:ascii="Franklin Gothic Book" w:hAnsi="Franklin Gothic Book"/>
        </w:rPr>
        <w:t>anted via</w:t>
      </w:r>
      <w:r w:rsidR="00EB4649" w:rsidRPr="00272B34">
        <w:rPr>
          <w:rFonts w:ascii="Franklin Gothic Book" w:hAnsi="Franklin Gothic Book"/>
        </w:rPr>
        <w:t xml:space="preserve"> the trabecular meshwork</w:t>
      </w:r>
      <w:r w:rsidR="001606D4">
        <w:rPr>
          <w:rFonts w:ascii="Franklin Gothic Book" w:hAnsi="Franklin Gothic Book"/>
        </w:rPr>
        <w:t>.</w:t>
      </w:r>
      <w:r w:rsidR="005F2D8B">
        <w:rPr>
          <w:rFonts w:ascii="Franklin Gothic Book" w:hAnsi="Franklin Gothic Book"/>
        </w:rPr>
        <w:t xml:space="preserve"> The </w:t>
      </w:r>
      <w:r w:rsidR="00E5060B">
        <w:rPr>
          <w:rFonts w:ascii="Franklin Gothic Book" w:hAnsi="Franklin Gothic Book"/>
        </w:rPr>
        <w:t>applicant</w:t>
      </w:r>
      <w:r w:rsidR="005F2D8B">
        <w:rPr>
          <w:rFonts w:ascii="Franklin Gothic Book" w:hAnsi="Franklin Gothic Book"/>
        </w:rPr>
        <w:t xml:space="preserve"> reasoned that t</w:t>
      </w:r>
      <w:r w:rsidR="005F2D8B" w:rsidRPr="005F2D8B">
        <w:rPr>
          <w:rFonts w:ascii="Franklin Gothic Book" w:hAnsi="Franklin Gothic Book"/>
        </w:rPr>
        <w:t xml:space="preserve">he </w:t>
      </w:r>
      <w:proofErr w:type="spellStart"/>
      <w:r w:rsidR="005F2D8B" w:rsidRPr="005F2D8B">
        <w:rPr>
          <w:rFonts w:ascii="Franklin Gothic Book" w:hAnsi="Franklin Gothic Book"/>
        </w:rPr>
        <w:t>iStent</w:t>
      </w:r>
      <w:proofErr w:type="spellEnd"/>
      <w:r w:rsidR="005F2D8B" w:rsidRPr="005F2D8B">
        <w:rPr>
          <w:rFonts w:ascii="Franklin Gothic Book" w:hAnsi="Franklin Gothic Book"/>
        </w:rPr>
        <w:t xml:space="preserve"> device</w:t>
      </w:r>
      <w:r w:rsidR="005F2D8B">
        <w:rPr>
          <w:rFonts w:ascii="Franklin Gothic Book" w:hAnsi="Franklin Gothic Book"/>
        </w:rPr>
        <w:t>,</w:t>
      </w:r>
      <w:r w:rsidR="005F2D8B" w:rsidRPr="005F2D8B">
        <w:rPr>
          <w:rFonts w:ascii="Franklin Gothic Book" w:hAnsi="Franklin Gothic Book"/>
        </w:rPr>
        <w:t xml:space="preserve"> used within the same 42504 standalone code</w:t>
      </w:r>
      <w:r w:rsidR="005F2D8B">
        <w:rPr>
          <w:rFonts w:ascii="Franklin Gothic Book" w:hAnsi="Franklin Gothic Book"/>
        </w:rPr>
        <w:t>,</w:t>
      </w:r>
      <w:r w:rsidR="005F2D8B" w:rsidRPr="005F2D8B">
        <w:rPr>
          <w:rFonts w:ascii="Franklin Gothic Book" w:hAnsi="Franklin Gothic Book"/>
        </w:rPr>
        <w:t xml:space="preserve"> is the most appropriate comparator to </w:t>
      </w:r>
      <w:proofErr w:type="spellStart"/>
      <w:r w:rsidR="005F2D8B" w:rsidRPr="005F2D8B">
        <w:rPr>
          <w:rFonts w:ascii="Franklin Gothic Book" w:hAnsi="Franklin Gothic Book"/>
        </w:rPr>
        <w:t>MINIject</w:t>
      </w:r>
      <w:proofErr w:type="spellEnd"/>
      <w:r w:rsidR="005F2D8B" w:rsidRPr="005F2D8B">
        <w:rPr>
          <w:rFonts w:ascii="Franklin Gothic Book" w:hAnsi="Franklin Gothic Book"/>
        </w:rPr>
        <w:t xml:space="preserve"> compared with other procedures such as</w:t>
      </w:r>
      <w:r w:rsidR="00A17DF9">
        <w:rPr>
          <w:rFonts w:ascii="Franklin Gothic Book" w:hAnsi="Franklin Gothic Book"/>
        </w:rPr>
        <w:t xml:space="preserve"> </w:t>
      </w:r>
      <w:r w:rsidR="00CE38A3">
        <w:rPr>
          <w:rFonts w:ascii="Franklin Gothic Book" w:hAnsi="Franklin Gothic Book"/>
        </w:rPr>
        <w:t>s</w:t>
      </w:r>
      <w:r w:rsidR="00A17DF9" w:rsidRPr="00A17DF9">
        <w:rPr>
          <w:rFonts w:ascii="Franklin Gothic Book" w:hAnsi="Franklin Gothic Book"/>
        </w:rPr>
        <w:t xml:space="preserve">elective </w:t>
      </w:r>
      <w:r w:rsidR="00CE38A3">
        <w:rPr>
          <w:rFonts w:ascii="Franklin Gothic Book" w:hAnsi="Franklin Gothic Book"/>
        </w:rPr>
        <w:t>l</w:t>
      </w:r>
      <w:r w:rsidR="00A17DF9" w:rsidRPr="00A17DF9">
        <w:rPr>
          <w:rFonts w:ascii="Franklin Gothic Book" w:hAnsi="Franklin Gothic Book"/>
        </w:rPr>
        <w:t xml:space="preserve">aser </w:t>
      </w:r>
      <w:r w:rsidR="00CE38A3">
        <w:rPr>
          <w:rFonts w:ascii="Franklin Gothic Book" w:hAnsi="Franklin Gothic Book"/>
        </w:rPr>
        <w:t>t</w:t>
      </w:r>
      <w:r w:rsidR="00A17DF9" w:rsidRPr="00A17DF9">
        <w:rPr>
          <w:rFonts w:ascii="Franklin Gothic Book" w:hAnsi="Franklin Gothic Book"/>
        </w:rPr>
        <w:t>rabeculoplasty</w:t>
      </w:r>
      <w:r w:rsidR="005F2D8B" w:rsidRPr="005F2D8B">
        <w:rPr>
          <w:rFonts w:ascii="Franklin Gothic Book" w:hAnsi="Franklin Gothic Book"/>
        </w:rPr>
        <w:t xml:space="preserve"> and trabeculectomy, as the </w:t>
      </w:r>
      <w:proofErr w:type="spellStart"/>
      <w:r w:rsidR="005F2D8B" w:rsidRPr="005F2D8B">
        <w:rPr>
          <w:rFonts w:ascii="Franklin Gothic Book" w:hAnsi="Franklin Gothic Book"/>
        </w:rPr>
        <w:t>iStent</w:t>
      </w:r>
      <w:proofErr w:type="spellEnd"/>
      <w:r w:rsidR="005F2D8B" w:rsidRPr="005F2D8B">
        <w:rPr>
          <w:rFonts w:ascii="Franklin Gothic Book" w:hAnsi="Franklin Gothic Book"/>
        </w:rPr>
        <w:t xml:space="preserve"> belongs to the same </w:t>
      </w:r>
      <w:r w:rsidR="007A65F5">
        <w:rPr>
          <w:rFonts w:ascii="Franklin Gothic Book" w:hAnsi="Franklin Gothic Book"/>
        </w:rPr>
        <w:t>‘</w:t>
      </w:r>
      <w:r w:rsidR="005F2D8B" w:rsidRPr="005F2D8B">
        <w:rPr>
          <w:rFonts w:ascii="Franklin Gothic Book" w:hAnsi="Franklin Gothic Book"/>
        </w:rPr>
        <w:t>MBGS</w:t>
      </w:r>
      <w:r w:rsidR="007A65F5">
        <w:rPr>
          <w:rFonts w:ascii="Franklin Gothic Book" w:hAnsi="Franklin Gothic Book"/>
        </w:rPr>
        <w:t>’</w:t>
      </w:r>
      <w:r w:rsidR="005F2D8B" w:rsidRPr="005F2D8B">
        <w:rPr>
          <w:rFonts w:ascii="Franklin Gothic Book" w:hAnsi="Franklin Gothic Book"/>
        </w:rPr>
        <w:t xml:space="preserve"> class as </w:t>
      </w:r>
      <w:proofErr w:type="spellStart"/>
      <w:r w:rsidR="005F2D8B" w:rsidRPr="005F2D8B">
        <w:rPr>
          <w:rFonts w:ascii="Franklin Gothic Book" w:hAnsi="Franklin Gothic Book"/>
        </w:rPr>
        <w:t>MINIject</w:t>
      </w:r>
      <w:proofErr w:type="spellEnd"/>
      <w:r w:rsidR="007A65F5">
        <w:rPr>
          <w:rFonts w:ascii="Franklin Gothic Book" w:hAnsi="Franklin Gothic Book"/>
        </w:rPr>
        <w:t xml:space="preserve"> and has</w:t>
      </w:r>
      <w:r w:rsidR="005F2D8B" w:rsidRPr="005F2D8B">
        <w:rPr>
          <w:rFonts w:ascii="Franklin Gothic Book" w:hAnsi="Franklin Gothic Book"/>
        </w:rPr>
        <w:t xml:space="preserve"> a similar class level of safety and efficacy.</w:t>
      </w:r>
      <w:r w:rsidR="004C393B">
        <w:rPr>
          <w:rFonts w:ascii="Franklin Gothic Book" w:hAnsi="Franklin Gothic Book"/>
        </w:rPr>
        <w:t xml:space="preserve"> Furthermore, </w:t>
      </w:r>
      <w:proofErr w:type="spellStart"/>
      <w:r w:rsidR="00505F9D">
        <w:rPr>
          <w:rFonts w:ascii="Franklin Gothic Book" w:hAnsi="Franklin Gothic Book"/>
        </w:rPr>
        <w:t>iStent</w:t>
      </w:r>
      <w:proofErr w:type="spellEnd"/>
      <w:r w:rsidR="00505F9D">
        <w:rPr>
          <w:rFonts w:ascii="Franklin Gothic Book" w:hAnsi="Franklin Gothic Book"/>
        </w:rPr>
        <w:t xml:space="preserve"> </w:t>
      </w:r>
      <w:r w:rsidR="00AB6E1C">
        <w:rPr>
          <w:rFonts w:ascii="Franklin Gothic Book" w:hAnsi="Franklin Gothic Book"/>
        </w:rPr>
        <w:t xml:space="preserve">currently </w:t>
      </w:r>
      <w:r w:rsidR="00EC5E39">
        <w:rPr>
          <w:rFonts w:ascii="Franklin Gothic Book" w:hAnsi="Franklin Gothic Book"/>
        </w:rPr>
        <w:t>represent</w:t>
      </w:r>
      <w:r w:rsidR="00EE2925">
        <w:rPr>
          <w:rFonts w:ascii="Franklin Gothic Book" w:hAnsi="Franklin Gothic Book"/>
        </w:rPr>
        <w:t xml:space="preserve">s </w:t>
      </w:r>
      <w:r w:rsidR="00EC5E39">
        <w:rPr>
          <w:rFonts w:ascii="Franklin Gothic Book" w:hAnsi="Franklin Gothic Book"/>
        </w:rPr>
        <w:t>the</w:t>
      </w:r>
      <w:r w:rsidR="00505F9D">
        <w:rPr>
          <w:rFonts w:ascii="Franklin Gothic Book" w:hAnsi="Franklin Gothic Book"/>
        </w:rPr>
        <w:t xml:space="preserve"> most</w:t>
      </w:r>
      <w:r w:rsidR="00AF07BE">
        <w:rPr>
          <w:rFonts w:ascii="Franklin Gothic Book" w:hAnsi="Franklin Gothic Book"/>
        </w:rPr>
        <w:t>-</w:t>
      </w:r>
      <w:r w:rsidR="00505F9D">
        <w:rPr>
          <w:rFonts w:ascii="Franklin Gothic Book" w:hAnsi="Franklin Gothic Book"/>
        </w:rPr>
        <w:t xml:space="preserve">used </w:t>
      </w:r>
      <w:r w:rsidR="004A3C6F">
        <w:rPr>
          <w:rFonts w:ascii="Franklin Gothic Book" w:hAnsi="Franklin Gothic Book"/>
        </w:rPr>
        <w:t xml:space="preserve">MBGS </w:t>
      </w:r>
      <w:r w:rsidR="002E7C98">
        <w:rPr>
          <w:rFonts w:ascii="Franklin Gothic Book" w:hAnsi="Franklin Gothic Book"/>
        </w:rPr>
        <w:t>device</w:t>
      </w:r>
      <w:r w:rsidR="00AB6E1C">
        <w:rPr>
          <w:rFonts w:ascii="Franklin Gothic Book" w:hAnsi="Franklin Gothic Book"/>
        </w:rPr>
        <w:t xml:space="preserve"> in Australia</w:t>
      </w:r>
      <w:r w:rsidR="00FD2FA2">
        <w:rPr>
          <w:rFonts w:ascii="Franklin Gothic Book" w:hAnsi="Franklin Gothic Book"/>
        </w:rPr>
        <w:t xml:space="preserve">. </w:t>
      </w:r>
      <w:r w:rsidR="00DA0842" w:rsidRPr="00DA0842">
        <w:rPr>
          <w:rFonts w:ascii="Franklin Gothic Book" w:hAnsi="Franklin Gothic Book"/>
        </w:rPr>
        <w:t xml:space="preserve">Despite the </w:t>
      </w:r>
      <w:r w:rsidR="00E5060B">
        <w:rPr>
          <w:rFonts w:ascii="Franklin Gothic Book" w:hAnsi="Franklin Gothic Book"/>
        </w:rPr>
        <w:t>applicant</w:t>
      </w:r>
      <w:r w:rsidR="00DA0842" w:rsidRPr="00DA0842">
        <w:rPr>
          <w:rFonts w:ascii="Franklin Gothic Book" w:hAnsi="Franklin Gothic Book"/>
        </w:rPr>
        <w:t xml:space="preserve">'s assertion that a clinical expert survey was </w:t>
      </w:r>
      <w:r w:rsidR="00416424">
        <w:rPr>
          <w:rFonts w:ascii="Franklin Gothic Book" w:hAnsi="Franklin Gothic Book"/>
        </w:rPr>
        <w:t>conducted</w:t>
      </w:r>
      <w:r w:rsidR="00416424" w:rsidRPr="00DA0842">
        <w:rPr>
          <w:rFonts w:ascii="Franklin Gothic Book" w:hAnsi="Franklin Gothic Book"/>
        </w:rPr>
        <w:t xml:space="preserve"> </w:t>
      </w:r>
      <w:r w:rsidR="00DA0842" w:rsidRPr="00DA0842">
        <w:rPr>
          <w:rFonts w:ascii="Franklin Gothic Book" w:hAnsi="Franklin Gothic Book"/>
        </w:rPr>
        <w:t xml:space="preserve">to corroborate the choice of comparator, </w:t>
      </w:r>
      <w:r w:rsidR="00DA0842">
        <w:rPr>
          <w:rFonts w:ascii="Franklin Gothic Book" w:hAnsi="Franklin Gothic Book"/>
        </w:rPr>
        <w:t>details regarding</w:t>
      </w:r>
      <w:r w:rsidR="00DA0842" w:rsidRPr="00DA0842">
        <w:rPr>
          <w:rFonts w:ascii="Franklin Gothic Book" w:hAnsi="Franklin Gothic Book"/>
        </w:rPr>
        <w:t xml:space="preserve"> the survey's design and findings were not provided, </w:t>
      </w:r>
      <w:r w:rsidR="006A5391">
        <w:rPr>
          <w:rFonts w:ascii="Franklin Gothic Book" w:hAnsi="Franklin Gothic Book"/>
        </w:rPr>
        <w:t>meaning</w:t>
      </w:r>
      <w:r w:rsidR="00DA0842" w:rsidRPr="00DA0842">
        <w:rPr>
          <w:rFonts w:ascii="Franklin Gothic Book" w:hAnsi="Franklin Gothic Book"/>
        </w:rPr>
        <w:t xml:space="preserve"> the </w:t>
      </w:r>
      <w:r w:rsidR="00FC0CDE">
        <w:rPr>
          <w:rFonts w:ascii="Franklin Gothic Book" w:hAnsi="Franklin Gothic Book"/>
        </w:rPr>
        <w:t>a</w:t>
      </w:r>
      <w:r w:rsidR="00DA0842" w:rsidRPr="00DA0842">
        <w:rPr>
          <w:rFonts w:ascii="Franklin Gothic Book" w:hAnsi="Franklin Gothic Book"/>
        </w:rPr>
        <w:t xml:space="preserve">ssessment </w:t>
      </w:r>
      <w:r w:rsidR="00FC0CDE">
        <w:rPr>
          <w:rFonts w:ascii="Franklin Gothic Book" w:hAnsi="Franklin Gothic Book"/>
        </w:rPr>
        <w:t>g</w:t>
      </w:r>
      <w:r w:rsidR="00DA0842" w:rsidRPr="00DA0842">
        <w:rPr>
          <w:rFonts w:ascii="Franklin Gothic Book" w:hAnsi="Franklin Gothic Book"/>
        </w:rPr>
        <w:t>roup could not validate</w:t>
      </w:r>
      <w:r w:rsidR="00637520">
        <w:rPr>
          <w:rFonts w:ascii="Franklin Gothic Book" w:hAnsi="Franklin Gothic Book"/>
        </w:rPr>
        <w:t xml:space="preserve"> the </w:t>
      </w:r>
      <w:r w:rsidR="00E5060B">
        <w:rPr>
          <w:rFonts w:ascii="Franklin Gothic Book" w:hAnsi="Franklin Gothic Book"/>
        </w:rPr>
        <w:t>applicant</w:t>
      </w:r>
      <w:r w:rsidR="00637520">
        <w:rPr>
          <w:rFonts w:ascii="Franklin Gothic Book" w:hAnsi="Franklin Gothic Book"/>
        </w:rPr>
        <w:t>’s conclusions</w:t>
      </w:r>
      <w:r w:rsidR="00DA0842" w:rsidRPr="00DA0842">
        <w:rPr>
          <w:rFonts w:ascii="Franklin Gothic Book" w:hAnsi="Franklin Gothic Book"/>
        </w:rPr>
        <w:t xml:space="preserve">. </w:t>
      </w:r>
      <w:r w:rsidR="00416424">
        <w:rPr>
          <w:rFonts w:ascii="Franklin Gothic Book" w:hAnsi="Franklin Gothic Book"/>
        </w:rPr>
        <w:t xml:space="preserve">As such, there </w:t>
      </w:r>
      <w:r w:rsidR="00334040">
        <w:rPr>
          <w:rFonts w:ascii="Franklin Gothic Book" w:hAnsi="Franklin Gothic Book"/>
        </w:rPr>
        <w:t xml:space="preserve">remains some uncertainty as to whether </w:t>
      </w:r>
      <w:proofErr w:type="spellStart"/>
      <w:r w:rsidR="00334040">
        <w:rPr>
          <w:rFonts w:ascii="Franklin Gothic Book" w:hAnsi="Franklin Gothic Book"/>
        </w:rPr>
        <w:t>iStent</w:t>
      </w:r>
      <w:proofErr w:type="spellEnd"/>
      <w:r w:rsidR="00334040">
        <w:rPr>
          <w:rFonts w:ascii="Franklin Gothic Book" w:hAnsi="Franklin Gothic Book"/>
        </w:rPr>
        <w:t xml:space="preserve"> </w:t>
      </w:r>
      <w:r w:rsidR="00AB5BD3">
        <w:rPr>
          <w:rFonts w:ascii="Franklin Gothic Book" w:hAnsi="Franklin Gothic Book"/>
        </w:rPr>
        <w:t xml:space="preserve">should have been selected as the sole comparator in the ADAR submission. </w:t>
      </w:r>
      <w:r w:rsidR="00044092">
        <w:rPr>
          <w:rFonts w:ascii="Franklin Gothic Book" w:hAnsi="Franklin Gothic Book"/>
        </w:rPr>
        <w:t xml:space="preserve">The </w:t>
      </w:r>
      <w:r w:rsidR="00A32A26">
        <w:rPr>
          <w:rFonts w:ascii="Franklin Gothic Book" w:hAnsi="Franklin Gothic Book"/>
        </w:rPr>
        <w:t xml:space="preserve">exclusion </w:t>
      </w:r>
      <w:r w:rsidR="00AB5BD3">
        <w:rPr>
          <w:rFonts w:ascii="Franklin Gothic Book" w:hAnsi="Franklin Gothic Book"/>
        </w:rPr>
        <w:t>of</w:t>
      </w:r>
      <w:r w:rsidR="00044092">
        <w:rPr>
          <w:rFonts w:ascii="Franklin Gothic Book" w:hAnsi="Franklin Gothic Book"/>
        </w:rPr>
        <w:t xml:space="preserve"> any</w:t>
      </w:r>
      <w:r w:rsidR="00AB5BD3">
        <w:rPr>
          <w:rFonts w:ascii="Franklin Gothic Book" w:hAnsi="Franklin Gothic Book"/>
        </w:rPr>
        <w:t xml:space="preserve"> additional </w:t>
      </w:r>
      <w:r w:rsidR="005A2488">
        <w:rPr>
          <w:rFonts w:ascii="Franklin Gothic Book" w:hAnsi="Franklin Gothic Book"/>
        </w:rPr>
        <w:t xml:space="preserve">relevant </w:t>
      </w:r>
      <w:r w:rsidR="00AB5BD3">
        <w:rPr>
          <w:rFonts w:ascii="Franklin Gothic Book" w:hAnsi="Franklin Gothic Book"/>
        </w:rPr>
        <w:t xml:space="preserve">comparators </w:t>
      </w:r>
      <w:r w:rsidR="006C0E2B">
        <w:rPr>
          <w:rFonts w:ascii="Franklin Gothic Book" w:hAnsi="Franklin Gothic Book"/>
        </w:rPr>
        <w:t xml:space="preserve">may have reduced the </w:t>
      </w:r>
      <w:r w:rsidR="00A1504D">
        <w:rPr>
          <w:rFonts w:ascii="Franklin Gothic Book" w:hAnsi="Franklin Gothic Book"/>
        </w:rPr>
        <w:t>amount of direct evidence available to</w:t>
      </w:r>
      <w:r w:rsidR="0085181E">
        <w:rPr>
          <w:rFonts w:ascii="Franklin Gothic Book" w:hAnsi="Franklin Gothic Book"/>
        </w:rPr>
        <w:t xml:space="preserve"> comprehensively</w:t>
      </w:r>
      <w:r w:rsidR="00A1504D">
        <w:rPr>
          <w:rFonts w:ascii="Franklin Gothic Book" w:hAnsi="Franklin Gothic Book"/>
        </w:rPr>
        <w:t xml:space="preserve"> assess the </w:t>
      </w:r>
      <w:r w:rsidR="0085181E">
        <w:rPr>
          <w:rFonts w:ascii="Franklin Gothic Book" w:hAnsi="Franklin Gothic Book"/>
        </w:rPr>
        <w:t>intervention.</w:t>
      </w:r>
    </w:p>
    <w:p w14:paraId="5902433F" w14:textId="77777777" w:rsidR="00637A71" w:rsidRDefault="00637A71" w:rsidP="00637A71">
      <w:pPr>
        <w:pStyle w:val="Heading2"/>
      </w:pPr>
      <w:r>
        <w:t>9.</w:t>
      </w:r>
      <w:r>
        <w:tab/>
      </w:r>
      <w:r w:rsidRPr="00CE28E3">
        <w:t xml:space="preserve">Summary of public consultation </w:t>
      </w:r>
      <w:r>
        <w:t>input</w:t>
      </w:r>
    </w:p>
    <w:p w14:paraId="3A4879DD" w14:textId="77777777" w:rsidR="00637A71" w:rsidRPr="00637A71" w:rsidRDefault="00637A71" w:rsidP="00637A71">
      <w:pPr>
        <w:pStyle w:val="paragraph"/>
        <w:spacing w:before="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Consultation input was welcomed from four (4) professional organisations, and eight (8) individuals, seven of whom were medical specialists and one a researcher. </w:t>
      </w:r>
      <w:r w:rsidRPr="00637A71">
        <w:rPr>
          <w:rStyle w:val="eop"/>
          <w:rFonts w:ascii="Franklin Gothic Book" w:hAnsi="Franklin Gothic Book" w:cs="Calibri"/>
          <w:sz w:val="22"/>
          <w:szCs w:val="22"/>
        </w:rPr>
        <w:t> </w:t>
      </w:r>
    </w:p>
    <w:p w14:paraId="0977E6D5" w14:textId="77777777" w:rsidR="00637A71" w:rsidRPr="00637A71" w:rsidRDefault="00637A71" w:rsidP="00637A71">
      <w:pPr>
        <w:pStyle w:val="paragraph"/>
        <w:spacing w:before="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The organisations who submitted input were: </w:t>
      </w:r>
      <w:r w:rsidRPr="00637A71">
        <w:rPr>
          <w:rStyle w:val="eop"/>
          <w:rFonts w:ascii="Franklin Gothic Book" w:hAnsi="Franklin Gothic Book" w:cs="Calibri"/>
          <w:sz w:val="22"/>
          <w:szCs w:val="22"/>
        </w:rPr>
        <w:t> </w:t>
      </w:r>
    </w:p>
    <w:p w14:paraId="57DF4129" w14:textId="77777777" w:rsidR="00637A71" w:rsidRPr="00637A71" w:rsidRDefault="00637A71" w:rsidP="00637A71">
      <w:pPr>
        <w:pStyle w:val="paragraph"/>
        <w:numPr>
          <w:ilvl w:val="0"/>
          <w:numId w:val="34"/>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Private Healthcare Australia</w:t>
      </w:r>
      <w:r w:rsidRPr="00637A71">
        <w:rPr>
          <w:rStyle w:val="eop"/>
          <w:rFonts w:ascii="Franklin Gothic Book" w:hAnsi="Franklin Gothic Book" w:cs="Calibri"/>
          <w:sz w:val="22"/>
          <w:szCs w:val="22"/>
        </w:rPr>
        <w:t> </w:t>
      </w:r>
    </w:p>
    <w:p w14:paraId="2AD39C2F" w14:textId="77777777" w:rsidR="00637A71" w:rsidRPr="00637A71" w:rsidRDefault="00637A71" w:rsidP="00637A71">
      <w:pPr>
        <w:pStyle w:val="paragraph"/>
        <w:numPr>
          <w:ilvl w:val="0"/>
          <w:numId w:val="34"/>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Australian Society of Ophthalmologists Ltd (ASO)</w:t>
      </w:r>
      <w:r w:rsidRPr="00637A71">
        <w:rPr>
          <w:rStyle w:val="eop"/>
          <w:rFonts w:ascii="Franklin Gothic Book" w:hAnsi="Franklin Gothic Book" w:cs="Calibri"/>
          <w:sz w:val="22"/>
          <w:szCs w:val="22"/>
        </w:rPr>
        <w:t> </w:t>
      </w:r>
    </w:p>
    <w:p w14:paraId="131B8C32" w14:textId="77777777" w:rsidR="00637A71" w:rsidRPr="00637A71" w:rsidRDefault="00637A71" w:rsidP="00637A71">
      <w:pPr>
        <w:pStyle w:val="paragraph"/>
        <w:numPr>
          <w:ilvl w:val="0"/>
          <w:numId w:val="34"/>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Medical Devices and Human Tissue Advisory Committee (MDHTAC) Ophthalmic Expert Clinical Advisory Group (ECAG) </w:t>
      </w:r>
      <w:r w:rsidRPr="00637A71">
        <w:rPr>
          <w:rStyle w:val="normaltextrun"/>
          <w:rFonts w:ascii="Franklin Gothic Book" w:hAnsi="Franklin Gothic Book" w:cs="Calibri"/>
          <w:i/>
          <w:iCs/>
          <w:sz w:val="22"/>
          <w:szCs w:val="22"/>
        </w:rPr>
        <w:t>(Targeted)</w:t>
      </w:r>
      <w:r w:rsidRPr="00637A71">
        <w:rPr>
          <w:rStyle w:val="normaltextrun"/>
          <w:rFonts w:ascii="Franklin Gothic Book" w:hAnsi="Franklin Gothic Book" w:cs="Calibri"/>
          <w:sz w:val="22"/>
          <w:szCs w:val="22"/>
        </w:rPr>
        <w:t> </w:t>
      </w:r>
      <w:r w:rsidRPr="00637A71">
        <w:rPr>
          <w:rStyle w:val="eop"/>
          <w:rFonts w:ascii="Franklin Gothic Book" w:hAnsi="Franklin Gothic Book" w:cs="Calibri"/>
          <w:sz w:val="22"/>
          <w:szCs w:val="22"/>
        </w:rPr>
        <w:t> </w:t>
      </w:r>
    </w:p>
    <w:p w14:paraId="22DE1AD4" w14:textId="77378590" w:rsidR="00637A71" w:rsidRPr="00637A71" w:rsidRDefault="00637A71" w:rsidP="00637A71">
      <w:pPr>
        <w:pStyle w:val="paragraph"/>
        <w:numPr>
          <w:ilvl w:val="0"/>
          <w:numId w:val="34"/>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lastRenderedPageBreak/>
        <w:t xml:space="preserve">Royal Australian and New Zealand College of Ophthalmologists (RANZCO) </w:t>
      </w:r>
      <w:r w:rsidRPr="00637A71">
        <w:rPr>
          <w:rStyle w:val="normaltextrun"/>
          <w:rFonts w:ascii="Franklin Gothic Book" w:hAnsi="Franklin Gothic Book" w:cs="Calibri"/>
          <w:i/>
          <w:iCs/>
          <w:sz w:val="22"/>
          <w:szCs w:val="22"/>
        </w:rPr>
        <w:t>(Targeted) </w:t>
      </w:r>
      <w:r w:rsidRPr="00637A71">
        <w:rPr>
          <w:rStyle w:val="eop"/>
          <w:rFonts w:ascii="Franklin Gothic Book" w:hAnsi="Franklin Gothic Book" w:cs="Calibri"/>
          <w:sz w:val="22"/>
          <w:szCs w:val="22"/>
        </w:rPr>
        <w:t> </w:t>
      </w:r>
    </w:p>
    <w:p w14:paraId="3DB8077D" w14:textId="77777777"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All feedback received was supportive of the application. </w:t>
      </w:r>
      <w:r w:rsidRPr="00637A71">
        <w:rPr>
          <w:rStyle w:val="eop"/>
          <w:rFonts w:ascii="Franklin Gothic Book" w:hAnsi="Franklin Gothic Book" w:cs="Calibri"/>
          <w:sz w:val="22"/>
          <w:szCs w:val="22"/>
        </w:rPr>
        <w:t> </w:t>
      </w:r>
    </w:p>
    <w:p w14:paraId="58042365" w14:textId="77777777"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b/>
          <w:bCs/>
          <w:sz w:val="22"/>
          <w:szCs w:val="22"/>
        </w:rPr>
        <w:t>Benefits </w:t>
      </w:r>
      <w:r w:rsidRPr="00637A71">
        <w:rPr>
          <w:rStyle w:val="eop"/>
          <w:rFonts w:ascii="Franklin Gothic Book" w:hAnsi="Franklin Gothic Book" w:cs="Calibri"/>
          <w:sz w:val="22"/>
          <w:szCs w:val="22"/>
        </w:rPr>
        <w:t> </w:t>
      </w:r>
    </w:p>
    <w:p w14:paraId="31CEC37E" w14:textId="4C645A32" w:rsidR="00637A71" w:rsidRPr="00637A71" w:rsidRDefault="00637A71" w:rsidP="00637A71">
      <w:pPr>
        <w:pStyle w:val="paragraph"/>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Traditional glaucoma treatments often involve medications with potential side effects or invasive surgical </w:t>
      </w:r>
      <w:r w:rsidR="005470F4" w:rsidRPr="00637A71">
        <w:rPr>
          <w:rStyle w:val="normaltextrun"/>
          <w:rFonts w:ascii="Franklin Gothic Book" w:hAnsi="Franklin Gothic Book" w:cs="Calibri"/>
          <w:sz w:val="22"/>
          <w:szCs w:val="22"/>
        </w:rPr>
        <w:t>procedures.</w:t>
      </w:r>
      <w:r w:rsidRPr="00637A71">
        <w:rPr>
          <w:rStyle w:val="normaltextrun"/>
          <w:rFonts w:ascii="Franklin Gothic Book" w:hAnsi="Franklin Gothic Book" w:cs="Calibri"/>
          <w:sz w:val="22"/>
          <w:szCs w:val="22"/>
        </w:rPr>
        <w:t> </w:t>
      </w:r>
      <w:r w:rsidRPr="00637A71">
        <w:rPr>
          <w:rStyle w:val="eop"/>
          <w:rFonts w:ascii="Franklin Gothic Book" w:hAnsi="Franklin Gothic Book" w:cs="Calibri"/>
          <w:sz w:val="22"/>
          <w:szCs w:val="22"/>
        </w:rPr>
        <w:t> </w:t>
      </w:r>
    </w:p>
    <w:p w14:paraId="642E7E88"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The </w:t>
      </w: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implant is inserted into the supraciliary space of the eye and gives surgeons another option where trabecular meshwork devices are not appropriate, rather than resorting to more invasive filtering surgeries. </w:t>
      </w:r>
      <w:r w:rsidRPr="00637A71">
        <w:rPr>
          <w:rStyle w:val="eop"/>
          <w:rFonts w:ascii="Franklin Gothic Book" w:hAnsi="Franklin Gothic Book" w:cs="Calibri"/>
          <w:sz w:val="22"/>
          <w:szCs w:val="22"/>
        </w:rPr>
        <w:t> </w:t>
      </w:r>
    </w:p>
    <w:p w14:paraId="66B9055D"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There are no other supraciliary devices currently available in Australia. </w:t>
      </w:r>
      <w:r w:rsidRPr="00637A71">
        <w:rPr>
          <w:rStyle w:val="eop"/>
          <w:rFonts w:ascii="Franklin Gothic Book" w:hAnsi="Franklin Gothic Book" w:cs="Calibri"/>
          <w:sz w:val="22"/>
          <w:szCs w:val="22"/>
        </w:rPr>
        <w:t> </w:t>
      </w:r>
    </w:p>
    <w:p w14:paraId="630FB872"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has proven efficacy far superior to the comparator for glaucoma surgery, with a similar safety profile. It has the safety advantage of being bleb-free, unlike devices that target the subconjunctival space which create a filtering bleb. </w:t>
      </w:r>
      <w:r w:rsidRPr="00637A71">
        <w:rPr>
          <w:rStyle w:val="eop"/>
          <w:rFonts w:ascii="Franklin Gothic Book" w:hAnsi="Franklin Gothic Book" w:cs="Calibri"/>
          <w:sz w:val="22"/>
          <w:szCs w:val="22"/>
        </w:rPr>
        <w:t> </w:t>
      </w:r>
    </w:p>
    <w:p w14:paraId="6D23CA53" w14:textId="77777777" w:rsidR="00637A71" w:rsidRDefault="00637A71" w:rsidP="00637A71">
      <w:pPr>
        <w:pStyle w:val="paragraph"/>
        <w:numPr>
          <w:ilvl w:val="0"/>
          <w:numId w:val="35"/>
        </w:numPr>
        <w:spacing w:before="0" w:beforeAutospacing="0" w:after="0" w:afterAutospacing="0"/>
        <w:textAlignment w:val="baseline"/>
        <w:rPr>
          <w:rStyle w:val="eop"/>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The </w:t>
      </w: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stent minimises the need for extensive surgery while effectively addressing intraocular pressure, with a short procedure time, fast patient recovery time, minimal follow-ups, and fewer complications in comparison with a more invasive glaucoma filtering procedure.</w:t>
      </w:r>
      <w:r w:rsidRPr="00637A71">
        <w:rPr>
          <w:rStyle w:val="eop"/>
          <w:rFonts w:ascii="Franklin Gothic Book" w:hAnsi="Franklin Gothic Book" w:cs="Calibri"/>
          <w:sz w:val="22"/>
          <w:szCs w:val="22"/>
        </w:rPr>
        <w:t> </w:t>
      </w:r>
    </w:p>
    <w:p w14:paraId="62C4B347" w14:textId="7493A24A" w:rsidR="00DF5CEB" w:rsidRPr="00637A71" w:rsidRDefault="00DF5CEB"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Pr>
          <w:rStyle w:val="eop"/>
          <w:rFonts w:ascii="Franklin Gothic Book" w:hAnsi="Franklin Gothic Book" w:cs="Calibri"/>
          <w:sz w:val="22"/>
          <w:szCs w:val="22"/>
        </w:rPr>
        <w:t>Given they address different physiological pathways, failure of one type of MBGS stent may result in a second procedure utilising the alternative (supraciliary) pathway.</w:t>
      </w:r>
      <w:r w:rsidR="009E4868">
        <w:rPr>
          <w:rStyle w:val="eop"/>
          <w:rFonts w:ascii="Franklin Gothic Book" w:hAnsi="Franklin Gothic Book" w:cs="Calibri"/>
          <w:sz w:val="22"/>
          <w:szCs w:val="22"/>
        </w:rPr>
        <w:t xml:space="preserve"> Trabecular stents are most likely to remain the initial MBGS procedure.</w:t>
      </w:r>
    </w:p>
    <w:p w14:paraId="1115B4FC"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The minimally invasive nature of the stent procedure may lead to shorter hospital stays and quicker rehabilitation promoting a more efficient healthcare system.</w:t>
      </w:r>
      <w:r w:rsidRPr="00637A71">
        <w:rPr>
          <w:rStyle w:val="eop"/>
          <w:rFonts w:ascii="Franklin Gothic Book" w:hAnsi="Franklin Gothic Book" w:cs="Calibri"/>
          <w:sz w:val="22"/>
          <w:szCs w:val="22"/>
        </w:rPr>
        <w:t> </w:t>
      </w:r>
    </w:p>
    <w:p w14:paraId="08CCF181"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The procedure is more </w:t>
      </w:r>
      <w:proofErr w:type="gramStart"/>
      <w:r w:rsidRPr="00637A71">
        <w:rPr>
          <w:rStyle w:val="normaltextrun"/>
          <w:rFonts w:ascii="Franklin Gothic Book" w:hAnsi="Franklin Gothic Book" w:cs="Calibri"/>
          <w:sz w:val="22"/>
          <w:szCs w:val="22"/>
        </w:rPr>
        <w:t>cost effective</w:t>
      </w:r>
      <w:proofErr w:type="gramEnd"/>
      <w:r w:rsidRPr="00637A71">
        <w:rPr>
          <w:rStyle w:val="normaltextrun"/>
          <w:rFonts w:ascii="Franklin Gothic Book" w:hAnsi="Franklin Gothic Book" w:cs="Calibri"/>
          <w:sz w:val="22"/>
          <w:szCs w:val="22"/>
        </w:rPr>
        <w:t xml:space="preserve"> long term than trabeculectomy.</w:t>
      </w:r>
      <w:r w:rsidRPr="00637A71">
        <w:rPr>
          <w:rStyle w:val="eop"/>
          <w:rFonts w:ascii="Franklin Gothic Book" w:hAnsi="Franklin Gothic Book" w:cs="Calibri"/>
          <w:sz w:val="22"/>
          <w:szCs w:val="22"/>
        </w:rPr>
        <w:t> </w:t>
      </w:r>
    </w:p>
    <w:p w14:paraId="3959A00E" w14:textId="77777777"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By allocating public funds to cover the costs of glaucoma stent surgery, access to treatment is expanded and provides greater equity of access.</w:t>
      </w:r>
      <w:r w:rsidRPr="00637A71">
        <w:rPr>
          <w:rStyle w:val="eop"/>
          <w:rFonts w:ascii="Franklin Gothic Book" w:hAnsi="Franklin Gothic Book" w:cs="Calibri"/>
          <w:sz w:val="22"/>
          <w:szCs w:val="22"/>
        </w:rPr>
        <w:t> </w:t>
      </w:r>
    </w:p>
    <w:p w14:paraId="38AA2F8C" w14:textId="53EC4D48" w:rsidR="00637A71" w:rsidRPr="00637A71" w:rsidRDefault="00637A71" w:rsidP="00637A71">
      <w:pPr>
        <w:pStyle w:val="paragraph"/>
        <w:numPr>
          <w:ilvl w:val="0"/>
          <w:numId w:val="35"/>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 xml:space="preserve">Reduced burden from eye drops and need for carers to </w:t>
      </w:r>
      <w:proofErr w:type="gramStart"/>
      <w:r w:rsidRPr="00637A71">
        <w:rPr>
          <w:rStyle w:val="normaltextrun"/>
          <w:rFonts w:ascii="Franklin Gothic Book" w:hAnsi="Franklin Gothic Book" w:cs="Calibri"/>
          <w:sz w:val="22"/>
          <w:szCs w:val="22"/>
        </w:rPr>
        <w:t>administer</w:t>
      </w:r>
      <w:proofErr w:type="gramEnd"/>
      <w:r w:rsidRPr="00637A71">
        <w:rPr>
          <w:rStyle w:val="eop"/>
          <w:rFonts w:ascii="Franklin Gothic Book" w:hAnsi="Franklin Gothic Book" w:cs="Calibri"/>
          <w:sz w:val="22"/>
          <w:szCs w:val="22"/>
        </w:rPr>
        <w:t> </w:t>
      </w:r>
    </w:p>
    <w:p w14:paraId="73EEEB4B" w14:textId="77777777"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b/>
          <w:bCs/>
          <w:sz w:val="22"/>
          <w:szCs w:val="22"/>
        </w:rPr>
        <w:t>Disadvantages /Implementation Issues</w:t>
      </w:r>
      <w:r w:rsidRPr="00637A71">
        <w:rPr>
          <w:rStyle w:val="eop"/>
          <w:rFonts w:ascii="Franklin Gothic Book" w:hAnsi="Franklin Gothic Book" w:cs="Calibri"/>
          <w:sz w:val="22"/>
          <w:szCs w:val="22"/>
        </w:rPr>
        <w:t> </w:t>
      </w:r>
    </w:p>
    <w:p w14:paraId="2FC5897E" w14:textId="77777777" w:rsidR="00637A71" w:rsidRPr="00637A71" w:rsidRDefault="00637A71" w:rsidP="00637A71">
      <w:pPr>
        <w:pStyle w:val="paragraph"/>
        <w:numPr>
          <w:ilvl w:val="0"/>
          <w:numId w:val="36"/>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Cost of procedure.</w:t>
      </w:r>
      <w:r w:rsidRPr="00637A71">
        <w:rPr>
          <w:rStyle w:val="eop"/>
          <w:rFonts w:ascii="Franklin Gothic Book" w:hAnsi="Franklin Gothic Book" w:cs="Calibri"/>
          <w:sz w:val="22"/>
          <w:szCs w:val="22"/>
        </w:rPr>
        <w:t> </w:t>
      </w:r>
    </w:p>
    <w:p w14:paraId="48387A51" w14:textId="77777777" w:rsidR="00637A71" w:rsidRPr="00637A71" w:rsidRDefault="00637A71" w:rsidP="00637A71">
      <w:pPr>
        <w:pStyle w:val="paragraph"/>
        <w:numPr>
          <w:ilvl w:val="0"/>
          <w:numId w:val="36"/>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As with all glaucoma operations, risks of surgical failure, hypotony, infection, scarring and bleeding.</w:t>
      </w:r>
      <w:r w:rsidRPr="00637A71">
        <w:rPr>
          <w:rStyle w:val="eop"/>
          <w:rFonts w:ascii="Franklin Gothic Book" w:hAnsi="Franklin Gothic Book" w:cs="Calibri"/>
          <w:sz w:val="22"/>
          <w:szCs w:val="22"/>
        </w:rPr>
        <w:t> </w:t>
      </w:r>
    </w:p>
    <w:p w14:paraId="39B96392" w14:textId="77777777" w:rsidR="00637A71" w:rsidRPr="00637A71" w:rsidRDefault="00637A71" w:rsidP="00637A71">
      <w:pPr>
        <w:pStyle w:val="paragraph"/>
        <w:numPr>
          <w:ilvl w:val="0"/>
          <w:numId w:val="36"/>
        </w:numPr>
        <w:spacing w:before="0" w:beforeAutospacing="0" w:after="0" w:afterAutospacing="0"/>
        <w:textAlignment w:val="baseline"/>
        <w:rPr>
          <w:rFonts w:ascii="Franklin Gothic Book" w:hAnsi="Franklin Gothic Book" w:cs="Calibri"/>
          <w:sz w:val="22"/>
          <w:szCs w:val="22"/>
        </w:rPr>
      </w:pPr>
      <w:r w:rsidRPr="00637A71">
        <w:rPr>
          <w:rStyle w:val="normaltextrun"/>
          <w:rFonts w:ascii="Franklin Gothic Book" w:hAnsi="Franklin Gothic Book" w:cs="Calibri"/>
          <w:sz w:val="22"/>
          <w:szCs w:val="22"/>
        </w:rPr>
        <w:t>Longer term outcomes are not yet known as this procedure is relatively new. </w:t>
      </w:r>
      <w:r w:rsidRPr="00637A71">
        <w:rPr>
          <w:rStyle w:val="eop"/>
          <w:rFonts w:ascii="Franklin Gothic Book" w:hAnsi="Franklin Gothic Book" w:cs="Calibri"/>
          <w:sz w:val="22"/>
          <w:szCs w:val="22"/>
        </w:rPr>
        <w:t> </w:t>
      </w:r>
    </w:p>
    <w:p w14:paraId="182DB255" w14:textId="77777777" w:rsidR="00637A71" w:rsidRPr="00637A71" w:rsidRDefault="00637A71" w:rsidP="00637A71">
      <w:pPr>
        <w:pStyle w:val="paragraph"/>
        <w:spacing w:before="0" w:beforeAutospacing="0" w:after="0" w:afterAutospacing="0"/>
        <w:ind w:left="720"/>
        <w:textAlignment w:val="baseline"/>
        <w:rPr>
          <w:rFonts w:ascii="Franklin Gothic Book" w:hAnsi="Franklin Gothic Book" w:cs="Segoe UI"/>
          <w:sz w:val="18"/>
          <w:szCs w:val="18"/>
        </w:rPr>
      </w:pPr>
      <w:r w:rsidRPr="00637A71">
        <w:rPr>
          <w:rStyle w:val="eop"/>
          <w:rFonts w:ascii="Franklin Gothic Book" w:hAnsi="Franklin Gothic Book" w:cs="Calibri"/>
          <w:sz w:val="22"/>
          <w:szCs w:val="22"/>
        </w:rPr>
        <w:t> </w:t>
      </w:r>
    </w:p>
    <w:p w14:paraId="2C1F15A3" w14:textId="77777777" w:rsidR="00637A71" w:rsidRPr="00637A71" w:rsidRDefault="00637A71" w:rsidP="00637A71">
      <w:pPr>
        <w:pStyle w:val="paragraph"/>
        <w:spacing w:before="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b/>
          <w:bCs/>
          <w:sz w:val="22"/>
          <w:szCs w:val="22"/>
        </w:rPr>
        <w:t>Other Feedback</w:t>
      </w:r>
      <w:r w:rsidRPr="00637A71">
        <w:rPr>
          <w:rStyle w:val="eop"/>
          <w:rFonts w:ascii="Franklin Gothic Book" w:hAnsi="Franklin Gothic Book" w:cs="Calibri"/>
          <w:sz w:val="22"/>
          <w:szCs w:val="22"/>
        </w:rPr>
        <w:t> </w:t>
      </w:r>
    </w:p>
    <w:p w14:paraId="3E465E36" w14:textId="3EA5CBF5" w:rsidR="00637A71" w:rsidRPr="00637A71" w:rsidRDefault="00637A71" w:rsidP="00637A71">
      <w:pPr>
        <w:pStyle w:val="paragraph"/>
        <w:spacing w:before="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Suprachoroidal stents are very different to trans-trabecular stents, in that in that they create an entirely new pathway for intraocular fluid drainage and lowering of intraocular pressure. </w:t>
      </w:r>
      <w:r w:rsidRPr="00637A71">
        <w:rPr>
          <w:rStyle w:val="eop"/>
          <w:rFonts w:ascii="Franklin Gothic Book" w:hAnsi="Franklin Gothic Book" w:cs="Calibri"/>
          <w:sz w:val="22"/>
          <w:szCs w:val="22"/>
        </w:rPr>
        <w:t> </w:t>
      </w:r>
    </w:p>
    <w:p w14:paraId="089E6FBF" w14:textId="351008AD"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 xml:space="preserve">Feedback was mixed regarding adding suprachoroidal stents to the current MBS descriptor for trabecular stents. On one hand it was noted that adding "suprachoroidal space" to the current descriptor would bring additional clarity to surgeons seeking to use the MBS 42504 code for standalone </w:t>
      </w: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implantation, and on the other it was noted that suprachoroidal stents could warrant their own MBS item number because they are used differently and have different complication profiles compared with trabecular stents.</w:t>
      </w:r>
      <w:r w:rsidRPr="00637A71">
        <w:rPr>
          <w:rStyle w:val="eop"/>
          <w:rFonts w:ascii="Franklin Gothic Book" w:hAnsi="Franklin Gothic Book" w:cs="Calibri"/>
          <w:sz w:val="22"/>
          <w:szCs w:val="22"/>
        </w:rPr>
        <w:t> </w:t>
      </w:r>
    </w:p>
    <w:p w14:paraId="4131B825" w14:textId="77777777"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 xml:space="preserve">The number of procedures using suprachoroidal stent techniques is not expected to be </w:t>
      </w:r>
      <w:proofErr w:type="gramStart"/>
      <w:r w:rsidRPr="00637A71">
        <w:rPr>
          <w:rStyle w:val="normaltextrun"/>
          <w:rFonts w:ascii="Franklin Gothic Book" w:hAnsi="Franklin Gothic Book" w:cs="Calibri"/>
          <w:sz w:val="22"/>
          <w:szCs w:val="22"/>
        </w:rPr>
        <w:t>high, and</w:t>
      </w:r>
      <w:proofErr w:type="gramEnd"/>
      <w:r w:rsidRPr="00637A71">
        <w:rPr>
          <w:rStyle w:val="normaltextrun"/>
          <w:rFonts w:ascii="Franklin Gothic Book" w:hAnsi="Franklin Gothic Book" w:cs="Calibri"/>
          <w:sz w:val="22"/>
          <w:szCs w:val="22"/>
        </w:rPr>
        <w:t xml:space="preserve"> would be limited to very experienced glaucoma sub-specialists who will use the stents for indications where other more predictable techniques are contra-indicated.</w:t>
      </w:r>
      <w:r w:rsidRPr="00637A71">
        <w:rPr>
          <w:rStyle w:val="eop"/>
          <w:rFonts w:ascii="Franklin Gothic Book" w:hAnsi="Franklin Gothic Book" w:cs="Calibri"/>
          <w:sz w:val="22"/>
          <w:szCs w:val="22"/>
        </w:rPr>
        <w:t> </w:t>
      </w:r>
    </w:p>
    <w:p w14:paraId="1B9D9265" w14:textId="2E60337C"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t xml:space="preserve">There would be no difference to standard of care before or after using the </w:t>
      </w: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implant in a standalone procedure under MBS code 42504 compared with other MIGS implants such as </w:t>
      </w:r>
      <w:proofErr w:type="spellStart"/>
      <w:r w:rsidRPr="00637A71">
        <w:rPr>
          <w:rStyle w:val="normaltextrun"/>
          <w:rFonts w:ascii="Franklin Gothic Book" w:hAnsi="Franklin Gothic Book" w:cs="Calibri"/>
          <w:sz w:val="22"/>
          <w:szCs w:val="22"/>
        </w:rPr>
        <w:t>iStent</w:t>
      </w:r>
      <w:proofErr w:type="spellEnd"/>
      <w:r w:rsidRPr="00637A71">
        <w:rPr>
          <w:rStyle w:val="normaltextrun"/>
          <w:rFonts w:ascii="Franklin Gothic Book" w:hAnsi="Franklin Gothic Book" w:cs="Calibri"/>
          <w:sz w:val="22"/>
          <w:szCs w:val="22"/>
        </w:rPr>
        <w:t xml:space="preserve"> or Hydrus currently claimed under this code.</w:t>
      </w:r>
      <w:r w:rsidRPr="00637A71">
        <w:rPr>
          <w:rStyle w:val="eop"/>
          <w:rFonts w:ascii="Franklin Gothic Book" w:hAnsi="Franklin Gothic Book" w:cs="Calibri"/>
          <w:sz w:val="22"/>
          <w:szCs w:val="22"/>
        </w:rPr>
        <w:t> </w:t>
      </w:r>
    </w:p>
    <w:p w14:paraId="5B2296DB" w14:textId="7FA816A9" w:rsidR="00637A71" w:rsidRPr="00637A71" w:rsidRDefault="00637A71" w:rsidP="00637A71">
      <w:pPr>
        <w:pStyle w:val="paragraph"/>
        <w:spacing w:before="240" w:beforeAutospacing="0" w:after="0" w:afterAutospacing="0"/>
        <w:textAlignment w:val="baseline"/>
        <w:rPr>
          <w:rFonts w:ascii="Franklin Gothic Book" w:hAnsi="Franklin Gothic Book" w:cs="Segoe UI"/>
          <w:sz w:val="18"/>
          <w:szCs w:val="18"/>
        </w:rPr>
      </w:pPr>
      <w:r w:rsidRPr="00637A71">
        <w:rPr>
          <w:rStyle w:val="normaltextrun"/>
          <w:rFonts w:ascii="Franklin Gothic Book" w:hAnsi="Franklin Gothic Book" w:cs="Calibri"/>
          <w:sz w:val="22"/>
          <w:szCs w:val="22"/>
        </w:rPr>
        <w:lastRenderedPageBreak/>
        <w:t xml:space="preserve">In terms of associated consumables during surgery, procedure duration and number of follow-up appointments, </w:t>
      </w:r>
      <w:proofErr w:type="spellStart"/>
      <w:r w:rsidRPr="00637A71">
        <w:rPr>
          <w:rStyle w:val="normaltextrun"/>
          <w:rFonts w:ascii="Franklin Gothic Book" w:hAnsi="Franklin Gothic Book" w:cs="Calibri"/>
          <w:sz w:val="22"/>
          <w:szCs w:val="22"/>
        </w:rPr>
        <w:t>MINIject</w:t>
      </w:r>
      <w:proofErr w:type="spellEnd"/>
      <w:r w:rsidRPr="00637A71">
        <w:rPr>
          <w:rStyle w:val="normaltextrun"/>
          <w:rFonts w:ascii="Franklin Gothic Book" w:hAnsi="Franklin Gothic Book" w:cs="Calibri"/>
          <w:sz w:val="22"/>
          <w:szCs w:val="22"/>
        </w:rPr>
        <w:t xml:space="preserve"> has a similar resource intensity as the other MBGS devices who</w:t>
      </w:r>
      <w:r w:rsidR="00CA0A26">
        <w:rPr>
          <w:rStyle w:val="normaltextrun"/>
          <w:rFonts w:ascii="Franklin Gothic Book" w:hAnsi="Franklin Gothic Book" w:cs="Calibri"/>
          <w:sz w:val="22"/>
          <w:szCs w:val="22"/>
        </w:rPr>
        <w:t>se</w:t>
      </w:r>
      <w:r w:rsidRPr="00637A71">
        <w:rPr>
          <w:rStyle w:val="normaltextrun"/>
          <w:rFonts w:ascii="Franklin Gothic Book" w:hAnsi="Franklin Gothic Book" w:cs="Calibri"/>
          <w:sz w:val="22"/>
          <w:szCs w:val="22"/>
        </w:rPr>
        <w:t xml:space="preserve"> insertion is already funded.</w:t>
      </w:r>
      <w:r w:rsidRPr="00637A71">
        <w:rPr>
          <w:rStyle w:val="eop"/>
          <w:rFonts w:ascii="Franklin Gothic Book" w:hAnsi="Franklin Gothic Book" w:cs="Calibri"/>
          <w:sz w:val="22"/>
          <w:szCs w:val="22"/>
        </w:rPr>
        <w:t> </w:t>
      </w:r>
    </w:p>
    <w:p w14:paraId="3F62E3C3" w14:textId="4E4F539E" w:rsidR="0081140E" w:rsidRDefault="00637A71" w:rsidP="00637A71">
      <w:pPr>
        <w:pStyle w:val="Heading2"/>
      </w:pPr>
      <w:bookmarkStart w:id="10" w:name="_Toc147507259"/>
      <w:bookmarkStart w:id="11" w:name="_Toc69491422"/>
      <w:r>
        <w:t>10.</w:t>
      </w:r>
      <w:r>
        <w:tab/>
      </w:r>
      <w:r w:rsidR="00830134" w:rsidRPr="0081140E">
        <w:t xml:space="preserve">Characteristics of the evidence base </w:t>
      </w:r>
      <w:bookmarkEnd w:id="10"/>
    </w:p>
    <w:p w14:paraId="6609C842" w14:textId="7229D910" w:rsidR="00106CC5" w:rsidRPr="00617190" w:rsidRDefault="00106CC5" w:rsidP="00E57726">
      <w:pPr>
        <w:pStyle w:val="Heading3"/>
        <w:rPr>
          <w:bCs/>
          <w:iCs/>
        </w:rPr>
      </w:pPr>
      <w:r w:rsidRPr="00617190">
        <w:t xml:space="preserve">Identification of </w:t>
      </w:r>
      <w:r w:rsidR="00E57726">
        <w:t xml:space="preserve">the </w:t>
      </w:r>
      <w:r w:rsidRPr="00617190">
        <w:t>evidence base</w:t>
      </w:r>
      <w:r w:rsidRPr="00617190">
        <w:rPr>
          <w:bCs/>
          <w:iCs/>
        </w:rPr>
        <w:t xml:space="preserve"> </w:t>
      </w:r>
    </w:p>
    <w:p w14:paraId="0F9F89D2" w14:textId="2D93E023" w:rsidR="00E57386" w:rsidRDefault="00106CC5" w:rsidP="001F0A2F">
      <w:r>
        <w:t>T</w:t>
      </w:r>
      <w:r w:rsidR="00AB5357">
        <w:t xml:space="preserve">o </w:t>
      </w:r>
      <w:r w:rsidR="007377F4">
        <w:t xml:space="preserve">support </w:t>
      </w:r>
      <w:r w:rsidR="00AB5357">
        <w:t xml:space="preserve">clinical evaluation of the relative effectiveness and safety of </w:t>
      </w:r>
      <w:proofErr w:type="spellStart"/>
      <w:r w:rsidR="00AB5357">
        <w:t>MINIject</w:t>
      </w:r>
      <w:proofErr w:type="spellEnd"/>
      <w:r w:rsidR="00AB5357">
        <w:t xml:space="preserve"> and the comparator </w:t>
      </w:r>
      <w:proofErr w:type="spellStart"/>
      <w:r w:rsidR="00AB5357">
        <w:t>iStent</w:t>
      </w:r>
      <w:proofErr w:type="spellEnd"/>
      <w:r w:rsidR="00AB5357">
        <w:t xml:space="preserve"> when used in standalone MBGS</w:t>
      </w:r>
      <w:r w:rsidR="009D3DA1">
        <w:t xml:space="preserve">, </w:t>
      </w:r>
      <w:r w:rsidR="007973E6">
        <w:t xml:space="preserve">a </w:t>
      </w:r>
      <w:r w:rsidR="007377F4">
        <w:t xml:space="preserve">systematic literature review (SLR) </w:t>
      </w:r>
      <w:r w:rsidR="007973E6">
        <w:t xml:space="preserve">was undertaken to identify relevant studies for </w:t>
      </w:r>
      <w:proofErr w:type="spellStart"/>
      <w:r w:rsidR="007973E6">
        <w:t>MINIject</w:t>
      </w:r>
      <w:proofErr w:type="spellEnd"/>
      <w:r w:rsidR="007973E6">
        <w:t xml:space="preserve"> or </w:t>
      </w:r>
      <w:proofErr w:type="spellStart"/>
      <w:r w:rsidR="007973E6">
        <w:t>iStent</w:t>
      </w:r>
      <w:proofErr w:type="spellEnd"/>
      <w:r w:rsidR="007973E6">
        <w:t xml:space="preserve"> used for standalone MBGS</w:t>
      </w:r>
      <w:r w:rsidR="007377F4">
        <w:t>.</w:t>
      </w:r>
      <w:r w:rsidR="00F66560">
        <w:t xml:space="preserve"> </w:t>
      </w:r>
      <w:r w:rsidR="007973E6">
        <w:t xml:space="preserve">The search included key databases (EMBASE, Medline, Cochrane Library, Science Direct, ClinicalTrials.gov) as well as the </w:t>
      </w:r>
      <w:r w:rsidR="00E5060B">
        <w:t>applicant</w:t>
      </w:r>
      <w:r w:rsidR="007973E6">
        <w:t>’s databases.</w:t>
      </w:r>
      <w:r w:rsidR="00F44136">
        <w:t xml:space="preserve"> </w:t>
      </w:r>
    </w:p>
    <w:p w14:paraId="419D70D4" w14:textId="1EBF94AE" w:rsidR="00740047" w:rsidRDefault="00740047" w:rsidP="001F0A2F">
      <w:r>
        <w:t xml:space="preserve">A </w:t>
      </w:r>
      <w:r w:rsidRPr="002F14C6">
        <w:t xml:space="preserve">summary of relevant trials identified in the literature for </w:t>
      </w:r>
      <w:proofErr w:type="spellStart"/>
      <w:r w:rsidRPr="002F14C6">
        <w:t>MINIject</w:t>
      </w:r>
      <w:proofErr w:type="spellEnd"/>
      <w:r w:rsidRPr="002F14C6">
        <w:t xml:space="preserve"> and </w:t>
      </w:r>
      <w:proofErr w:type="spellStart"/>
      <w:r w:rsidRPr="002F14C6">
        <w:t>iStent</w:t>
      </w:r>
      <w:proofErr w:type="spellEnd"/>
      <w:r w:rsidRPr="002F14C6">
        <w:t xml:space="preserve"> </w:t>
      </w:r>
      <w:r w:rsidR="00910089">
        <w:t>is</w:t>
      </w:r>
      <w:r w:rsidR="00910089" w:rsidRPr="002F14C6">
        <w:t xml:space="preserve"> </w:t>
      </w:r>
      <w:r w:rsidRPr="002F14C6">
        <w:t xml:space="preserve">provided in </w:t>
      </w:r>
      <w:r w:rsidR="00DE6A3C">
        <w:fldChar w:fldCharType="begin"/>
      </w:r>
      <w:r w:rsidR="00DE6A3C">
        <w:instrText xml:space="preserve"> REF _Ref150417492 \h </w:instrText>
      </w:r>
      <w:r w:rsidR="00DE6A3C">
        <w:fldChar w:fldCharType="separate"/>
      </w:r>
      <w:r w:rsidR="003C61D8">
        <w:t>Table</w:t>
      </w:r>
      <w:r w:rsidR="003C61D8" w:rsidRPr="0001290C">
        <w:t> </w:t>
      </w:r>
      <w:r w:rsidR="003C61D8">
        <w:rPr>
          <w:noProof/>
        </w:rPr>
        <w:t>5</w:t>
      </w:r>
      <w:r w:rsidR="00DE6A3C">
        <w:fldChar w:fldCharType="end"/>
      </w:r>
      <w:r w:rsidRPr="00A71E61">
        <w:t xml:space="preserve">. A total of 4 </w:t>
      </w:r>
      <w:proofErr w:type="spellStart"/>
      <w:r w:rsidRPr="00A71E61">
        <w:t>MINIject</w:t>
      </w:r>
      <w:proofErr w:type="spellEnd"/>
      <w:r w:rsidRPr="00A71E61">
        <w:t xml:space="preserve"> and 7 </w:t>
      </w:r>
      <w:proofErr w:type="spellStart"/>
      <w:r w:rsidRPr="00A71E61">
        <w:t>iStent</w:t>
      </w:r>
      <w:proofErr w:type="spellEnd"/>
      <w:r w:rsidRPr="00A71E61">
        <w:t xml:space="preserve"> studies were identified. </w:t>
      </w:r>
      <w:r w:rsidR="00546B70" w:rsidRPr="00A71E61">
        <w:t xml:space="preserve">The </w:t>
      </w:r>
      <w:proofErr w:type="spellStart"/>
      <w:r w:rsidR="00546B70" w:rsidRPr="00A71E61">
        <w:t>MINIject</w:t>
      </w:r>
      <w:proofErr w:type="spellEnd"/>
      <w:r w:rsidR="00546B70" w:rsidRPr="00A71E61">
        <w:t xml:space="preserve"> trials </w:t>
      </w:r>
      <w:r w:rsidR="00881A2B" w:rsidRPr="00A71E61">
        <w:t xml:space="preserve">consisted of </w:t>
      </w:r>
      <w:r w:rsidR="00666426" w:rsidRPr="00A71E61">
        <w:t xml:space="preserve">4 </w:t>
      </w:r>
      <w:r w:rsidR="001C2924">
        <w:t>identically</w:t>
      </w:r>
      <w:r w:rsidR="00666426" w:rsidRPr="00A71E61">
        <w:t xml:space="preserve"> designed, prospective, </w:t>
      </w:r>
      <w:r w:rsidR="001C2924">
        <w:t>single-arm</w:t>
      </w:r>
      <w:r w:rsidR="00666426" w:rsidRPr="00A71E61">
        <w:t xml:space="preserve"> trials</w:t>
      </w:r>
      <w:r w:rsidR="00C85E83" w:rsidRPr="00A71E61">
        <w:t xml:space="preserve"> (</w:t>
      </w:r>
      <w:r w:rsidR="002C4A01" w:rsidRPr="00A71E61">
        <w:t>labelled STAR</w:t>
      </w:r>
      <w:r w:rsidR="00067858">
        <w:t>-</w:t>
      </w:r>
      <w:r w:rsidR="002C4A01" w:rsidRPr="00A71E61">
        <w:t>I</w:t>
      </w:r>
      <w:r w:rsidR="00067858">
        <w:t xml:space="preserve"> to STAR</w:t>
      </w:r>
      <w:r w:rsidR="007B2AD2">
        <w:t>-</w:t>
      </w:r>
      <w:r w:rsidR="002C4A01" w:rsidRPr="00A71E61">
        <w:t>IV</w:t>
      </w:r>
      <w:r w:rsidR="00C85E83" w:rsidRPr="00A71E61">
        <w:t>)</w:t>
      </w:r>
      <w:r w:rsidR="00A3035C">
        <w:t xml:space="preserve">, each </w:t>
      </w:r>
      <w:r w:rsidR="002C4A01" w:rsidRPr="00A71E61">
        <w:t>enroll</w:t>
      </w:r>
      <w:r w:rsidR="00C85E83" w:rsidRPr="00A71E61">
        <w:t>ing</w:t>
      </w:r>
      <w:r w:rsidR="002C4A01" w:rsidRPr="00A71E61">
        <w:t xml:space="preserve"> between 21</w:t>
      </w:r>
      <w:r w:rsidR="00B31A8A">
        <w:t xml:space="preserve"> and </w:t>
      </w:r>
      <w:r w:rsidR="002C4A01" w:rsidRPr="00A71E61">
        <w:t xml:space="preserve">31 patients. </w:t>
      </w:r>
      <w:r w:rsidR="00BC53D9" w:rsidRPr="00A71E61">
        <w:t>In contrast, the</w:t>
      </w:r>
      <w:r w:rsidR="00C85E83" w:rsidRPr="00A71E61">
        <w:t xml:space="preserve"> </w:t>
      </w:r>
      <w:proofErr w:type="spellStart"/>
      <w:r w:rsidR="00C85E83" w:rsidRPr="00A71E61">
        <w:t>iStent</w:t>
      </w:r>
      <w:proofErr w:type="spellEnd"/>
      <w:r w:rsidR="00C85E83" w:rsidRPr="00A71E61">
        <w:t xml:space="preserve"> trials </w:t>
      </w:r>
      <w:r w:rsidR="00BC53D9" w:rsidRPr="00A71E61">
        <w:t xml:space="preserve">were a </w:t>
      </w:r>
      <w:r w:rsidR="00DE6A3C" w:rsidRPr="00DE6A3C">
        <w:t>collection of single-arm trials and a single case series study</w:t>
      </w:r>
      <w:r w:rsidR="002F14C6" w:rsidRPr="00A71E61">
        <w:t>, enrolling between 10 and 100 patients</w:t>
      </w:r>
      <w:r w:rsidR="00662206" w:rsidRPr="00A71E61">
        <w:t>.</w:t>
      </w:r>
      <w:r w:rsidR="00E47409" w:rsidRPr="00A71E61">
        <w:t xml:space="preserve"> All trials </w:t>
      </w:r>
      <w:r w:rsidR="00EC2786" w:rsidRPr="00A71E61">
        <w:t xml:space="preserve">monitored and reported </w:t>
      </w:r>
      <w:r w:rsidR="00A71E61">
        <w:t xml:space="preserve">the </w:t>
      </w:r>
      <w:r w:rsidR="00A71E61" w:rsidRPr="00A71E61">
        <w:t>key efficacy outcomes</w:t>
      </w:r>
      <w:r w:rsidR="00B31A8A">
        <w:t xml:space="preserve"> </w:t>
      </w:r>
      <w:r w:rsidR="003F13E1">
        <w:t>(</w:t>
      </w:r>
      <w:r w:rsidR="00A71E61">
        <w:t>change from baseline in IOP and usage of IOP-lowering medications</w:t>
      </w:r>
      <w:r w:rsidR="00B31A8A">
        <w:t xml:space="preserve"> </w:t>
      </w:r>
      <w:r w:rsidR="00A71E61" w:rsidRPr="00A71E61">
        <w:t>between 6 and 24 month</w:t>
      </w:r>
      <w:r w:rsidR="00354355">
        <w:t>s</w:t>
      </w:r>
      <w:r w:rsidR="003F13E1">
        <w:t>)</w:t>
      </w:r>
      <w:r w:rsidR="00354355">
        <w:t xml:space="preserve"> a</w:t>
      </w:r>
      <w:r w:rsidR="00B31A8A">
        <w:t>s well as</w:t>
      </w:r>
      <w:r w:rsidR="00354355">
        <w:t xml:space="preserve"> safety outcomes. </w:t>
      </w:r>
    </w:p>
    <w:p w14:paraId="28ADB342" w14:textId="52816ABB" w:rsidR="00C36C6A" w:rsidRPr="00A63391" w:rsidRDefault="00DE6A3C" w:rsidP="00C36C6A">
      <w:pPr>
        <w:pStyle w:val="ADARbodytext"/>
        <w:rPr>
          <w:rFonts w:ascii="Franklin Gothic Book" w:hAnsi="Franklin Gothic Book" w:cstheme="minorBidi"/>
        </w:rPr>
      </w:pPr>
      <w:r>
        <w:rPr>
          <w:rFonts w:ascii="Franklin Gothic Book" w:hAnsi="Franklin Gothic Book" w:cstheme="minorBidi"/>
        </w:rPr>
        <w:t>T</w:t>
      </w:r>
      <w:r w:rsidR="00C36C6A">
        <w:rPr>
          <w:rFonts w:ascii="Franklin Gothic Book" w:hAnsi="Franklin Gothic Book" w:cstheme="minorBidi"/>
        </w:rPr>
        <w:t xml:space="preserve">he </w:t>
      </w:r>
      <w:r w:rsidR="00FC0CDE">
        <w:rPr>
          <w:rFonts w:ascii="Franklin Gothic Book" w:hAnsi="Franklin Gothic Book" w:cstheme="minorBidi"/>
        </w:rPr>
        <w:t>a</w:t>
      </w:r>
      <w:r w:rsidR="00C36C6A">
        <w:rPr>
          <w:rFonts w:ascii="Franklin Gothic Book" w:hAnsi="Franklin Gothic Book" w:cstheme="minorBidi"/>
        </w:rPr>
        <w:t xml:space="preserve">ssessment </w:t>
      </w:r>
      <w:r w:rsidR="00FC0CDE">
        <w:rPr>
          <w:rFonts w:ascii="Franklin Gothic Book" w:hAnsi="Franklin Gothic Book" w:cstheme="minorBidi"/>
        </w:rPr>
        <w:t>g</w:t>
      </w:r>
      <w:r w:rsidR="00C36C6A">
        <w:rPr>
          <w:rFonts w:ascii="Franklin Gothic Book" w:hAnsi="Franklin Gothic Book" w:cstheme="minorBidi"/>
        </w:rPr>
        <w:t xml:space="preserve">roup </w:t>
      </w:r>
      <w:r w:rsidR="004B7B45">
        <w:rPr>
          <w:rFonts w:ascii="Franklin Gothic Book" w:hAnsi="Franklin Gothic Book" w:cstheme="minorBidi"/>
        </w:rPr>
        <w:t>noted</w:t>
      </w:r>
      <w:r w:rsidR="00C36C6A">
        <w:rPr>
          <w:rFonts w:ascii="Franklin Gothic Book" w:hAnsi="Franklin Gothic Book" w:cstheme="minorBidi"/>
        </w:rPr>
        <w:t xml:space="preserve"> that </w:t>
      </w:r>
      <w:r>
        <w:rPr>
          <w:rFonts w:ascii="Franklin Gothic Book" w:hAnsi="Franklin Gothic Book" w:cstheme="minorBidi"/>
        </w:rPr>
        <w:t xml:space="preserve">the SLR </w:t>
      </w:r>
      <w:r w:rsidR="00C36C6A">
        <w:rPr>
          <w:rFonts w:ascii="Franklin Gothic Book" w:hAnsi="Franklin Gothic Book" w:cstheme="minorBidi"/>
        </w:rPr>
        <w:t>s</w:t>
      </w:r>
      <w:r w:rsidR="00C36C6A" w:rsidRPr="00644B58">
        <w:rPr>
          <w:rFonts w:ascii="Franklin Gothic Book" w:hAnsi="Franklin Gothic Book" w:cstheme="minorBidi"/>
        </w:rPr>
        <w:t>earches cover</w:t>
      </w:r>
      <w:r w:rsidR="00C36C6A">
        <w:rPr>
          <w:rFonts w:ascii="Franklin Gothic Book" w:hAnsi="Franklin Gothic Book" w:cstheme="minorBidi"/>
        </w:rPr>
        <w:t>ed</w:t>
      </w:r>
      <w:r w:rsidR="00C36C6A" w:rsidRPr="00644B58">
        <w:rPr>
          <w:rFonts w:ascii="Franklin Gothic Book" w:hAnsi="Franklin Gothic Book" w:cstheme="minorBidi"/>
        </w:rPr>
        <w:t xml:space="preserve"> a range of resources</w:t>
      </w:r>
      <w:r w:rsidR="00B31A8A">
        <w:rPr>
          <w:rFonts w:ascii="Franklin Gothic Book" w:hAnsi="Franklin Gothic Book" w:cstheme="minorBidi"/>
        </w:rPr>
        <w:t>,</w:t>
      </w:r>
      <w:r w:rsidR="00C36C6A" w:rsidRPr="00644B58">
        <w:rPr>
          <w:rFonts w:ascii="Franklin Gothic Book" w:hAnsi="Franklin Gothic Book" w:cstheme="minorBidi"/>
        </w:rPr>
        <w:t xml:space="preserve"> including online databases, the </w:t>
      </w:r>
      <w:r w:rsidR="00E5060B">
        <w:rPr>
          <w:rFonts w:ascii="Franklin Gothic Book" w:hAnsi="Franklin Gothic Book" w:cstheme="minorBidi"/>
        </w:rPr>
        <w:t>applicant</w:t>
      </w:r>
      <w:r w:rsidR="00C36C6A" w:rsidRPr="00644B58">
        <w:rPr>
          <w:rFonts w:ascii="Franklin Gothic Book" w:hAnsi="Franklin Gothic Book" w:cstheme="minorBidi"/>
        </w:rPr>
        <w:t xml:space="preserve">’s databases, and clinical trial registries. The </w:t>
      </w:r>
      <w:r w:rsidR="00E5060B">
        <w:rPr>
          <w:rFonts w:ascii="Franklin Gothic Book" w:hAnsi="Franklin Gothic Book" w:cstheme="minorBidi"/>
        </w:rPr>
        <w:t>applicant</w:t>
      </w:r>
      <w:r w:rsidR="00C36C6A" w:rsidRPr="00644B58">
        <w:rPr>
          <w:rFonts w:ascii="Franklin Gothic Book" w:hAnsi="Franklin Gothic Book" w:cstheme="minorBidi"/>
        </w:rPr>
        <w:t xml:space="preserve"> mention</w:t>
      </w:r>
      <w:r w:rsidR="00C36C6A">
        <w:rPr>
          <w:rFonts w:ascii="Franklin Gothic Book" w:hAnsi="Franklin Gothic Book" w:cstheme="minorBidi"/>
        </w:rPr>
        <w:t xml:space="preserve">ed </w:t>
      </w:r>
      <w:r w:rsidR="00C36C6A" w:rsidRPr="00644B58">
        <w:rPr>
          <w:rFonts w:ascii="Franklin Gothic Book" w:hAnsi="Franklin Gothic Book" w:cstheme="minorBidi"/>
        </w:rPr>
        <w:t>that ‘</w:t>
      </w:r>
      <w:r w:rsidR="00106B03">
        <w:rPr>
          <w:rFonts w:ascii="Franklin Gothic Book" w:hAnsi="Franklin Gothic Book" w:cstheme="minorBidi"/>
        </w:rPr>
        <w:t>a</w:t>
      </w:r>
      <w:r w:rsidR="00C36C6A" w:rsidRPr="00644B58">
        <w:rPr>
          <w:rFonts w:ascii="Franklin Gothic Book" w:hAnsi="Franklin Gothic Book" w:cstheme="minorBidi"/>
        </w:rPr>
        <w:t>ttempts were also made to source unpublished or grey literature from internet searches and review of articles’</w:t>
      </w:r>
      <w:r w:rsidR="0049382C">
        <w:rPr>
          <w:rFonts w:ascii="Franklin Gothic Book" w:hAnsi="Franklin Gothic Book" w:cstheme="minorBidi"/>
        </w:rPr>
        <w:t>;</w:t>
      </w:r>
      <w:r w:rsidR="00C36C6A" w:rsidRPr="00644B58">
        <w:rPr>
          <w:rFonts w:ascii="Franklin Gothic Book" w:hAnsi="Franklin Gothic Book" w:cstheme="minorBidi"/>
        </w:rPr>
        <w:t xml:space="preserve"> </w:t>
      </w:r>
      <w:r w:rsidR="0049382C">
        <w:rPr>
          <w:rFonts w:ascii="Franklin Gothic Book" w:hAnsi="Franklin Gothic Book" w:cstheme="minorBidi"/>
        </w:rPr>
        <w:t>h</w:t>
      </w:r>
      <w:r w:rsidR="00C36C6A" w:rsidRPr="00644B58">
        <w:rPr>
          <w:rFonts w:ascii="Franklin Gothic Book" w:hAnsi="Franklin Gothic Book" w:cstheme="minorBidi"/>
        </w:rPr>
        <w:t>owever</w:t>
      </w:r>
      <w:r w:rsidR="00106B03">
        <w:rPr>
          <w:rFonts w:ascii="Franklin Gothic Book" w:hAnsi="Franklin Gothic Book" w:cstheme="minorBidi"/>
        </w:rPr>
        <w:t>,</w:t>
      </w:r>
      <w:r w:rsidR="00C36C6A" w:rsidRPr="00644B58">
        <w:rPr>
          <w:rFonts w:ascii="Franklin Gothic Book" w:hAnsi="Franklin Gothic Book" w:cstheme="minorBidi"/>
        </w:rPr>
        <w:t xml:space="preserve"> no further details of the results of these efforts </w:t>
      </w:r>
      <w:r w:rsidR="00CA4665">
        <w:rPr>
          <w:rFonts w:ascii="Franklin Gothic Book" w:hAnsi="Franklin Gothic Book" w:cstheme="minorBidi"/>
        </w:rPr>
        <w:t>were</w:t>
      </w:r>
      <w:r w:rsidR="00C36C6A" w:rsidRPr="00644B58">
        <w:rPr>
          <w:rFonts w:ascii="Franklin Gothic Book" w:hAnsi="Franklin Gothic Book" w:cstheme="minorBidi"/>
        </w:rPr>
        <w:t xml:space="preserve"> described, and a grey literature search </w:t>
      </w:r>
      <w:r w:rsidR="007750D5">
        <w:rPr>
          <w:rFonts w:ascii="Franklin Gothic Book" w:hAnsi="Franklin Gothic Book" w:cstheme="minorBidi"/>
        </w:rPr>
        <w:t>was</w:t>
      </w:r>
      <w:r w:rsidR="00C36C6A" w:rsidRPr="00644B58">
        <w:rPr>
          <w:rFonts w:ascii="Franklin Gothic Book" w:hAnsi="Franklin Gothic Book" w:cstheme="minorBidi"/>
        </w:rPr>
        <w:t xml:space="preserve"> </w:t>
      </w:r>
      <w:r w:rsidR="00106B03">
        <w:rPr>
          <w:rFonts w:ascii="Franklin Gothic Book" w:hAnsi="Franklin Gothic Book" w:cstheme="minorBidi"/>
        </w:rPr>
        <w:t>not stated as part of the</w:t>
      </w:r>
      <w:r w:rsidR="00C36C6A" w:rsidRPr="00644B58">
        <w:rPr>
          <w:rFonts w:ascii="Franklin Gothic Book" w:hAnsi="Franklin Gothic Book" w:cstheme="minorBidi"/>
        </w:rPr>
        <w:t xml:space="preserve"> </w:t>
      </w:r>
      <w:r w:rsidR="00DA3D90" w:rsidRPr="00DA3D90">
        <w:rPr>
          <w:rFonts w:ascii="Franklin Gothic Book" w:hAnsi="Franklin Gothic Book" w:cstheme="minorBidi"/>
        </w:rPr>
        <w:t>Preferred Reporting Items for Systematic Reviews and Meta-Analys</w:t>
      </w:r>
      <w:r w:rsidR="00ED526F">
        <w:rPr>
          <w:rFonts w:ascii="Franklin Gothic Book" w:hAnsi="Franklin Gothic Book" w:cstheme="minorBidi"/>
        </w:rPr>
        <w:t>e</w:t>
      </w:r>
      <w:r w:rsidR="00DA3D90" w:rsidRPr="00DA3D90">
        <w:rPr>
          <w:rFonts w:ascii="Franklin Gothic Book" w:hAnsi="Franklin Gothic Book" w:cstheme="minorBidi"/>
        </w:rPr>
        <w:t xml:space="preserve">s </w:t>
      </w:r>
      <w:r w:rsidR="00DA3D90">
        <w:rPr>
          <w:rFonts w:ascii="Franklin Gothic Book" w:hAnsi="Franklin Gothic Book" w:cstheme="minorBidi"/>
        </w:rPr>
        <w:t>(</w:t>
      </w:r>
      <w:r w:rsidR="00C36C6A" w:rsidRPr="00644B58">
        <w:rPr>
          <w:rFonts w:ascii="Franklin Gothic Book" w:hAnsi="Franklin Gothic Book" w:cstheme="minorBidi"/>
        </w:rPr>
        <w:t>PRISMA</w:t>
      </w:r>
      <w:r w:rsidR="00DA3D90">
        <w:rPr>
          <w:rFonts w:ascii="Franklin Gothic Book" w:hAnsi="Franklin Gothic Book" w:cstheme="minorBidi"/>
        </w:rPr>
        <w:t>)</w:t>
      </w:r>
      <w:r w:rsidR="00C36C6A" w:rsidRPr="00644B58">
        <w:rPr>
          <w:rFonts w:ascii="Franklin Gothic Book" w:hAnsi="Franklin Gothic Book" w:cstheme="minorBidi"/>
        </w:rPr>
        <w:t xml:space="preserve"> diagram </w:t>
      </w:r>
      <w:r w:rsidR="00E45D84">
        <w:rPr>
          <w:rFonts w:ascii="Franklin Gothic Book" w:hAnsi="Franklin Gothic Book" w:cstheme="minorBidi"/>
        </w:rPr>
        <w:t>(</w:t>
      </w:r>
      <w:r w:rsidR="004F3788">
        <w:rPr>
          <w:rFonts w:ascii="Franklin Gothic Book" w:hAnsi="Franklin Gothic Book" w:cstheme="minorBidi"/>
        </w:rPr>
        <w:t>Figure 10</w:t>
      </w:r>
      <w:r w:rsidR="00E45D84">
        <w:rPr>
          <w:rFonts w:ascii="Franklin Gothic Book" w:hAnsi="Franklin Gothic Book" w:cstheme="minorBidi"/>
        </w:rPr>
        <w:t xml:space="preserve"> of the ADAR)</w:t>
      </w:r>
      <w:r w:rsidR="004F3788">
        <w:rPr>
          <w:rFonts w:ascii="Franklin Gothic Book" w:hAnsi="Franklin Gothic Book" w:cstheme="minorBidi"/>
        </w:rPr>
        <w:t xml:space="preserve">. </w:t>
      </w:r>
      <w:r w:rsidR="00F20D90">
        <w:rPr>
          <w:rFonts w:ascii="Franklin Gothic Book" w:hAnsi="Franklin Gothic Book" w:cstheme="minorBidi"/>
        </w:rPr>
        <w:t xml:space="preserve">Also, </w:t>
      </w:r>
      <w:r w:rsidR="00571421">
        <w:rPr>
          <w:rFonts w:ascii="Franklin Gothic Book" w:hAnsi="Franklin Gothic Book" w:cstheme="minorBidi"/>
        </w:rPr>
        <w:t>c</w:t>
      </w:r>
      <w:r w:rsidR="00571421" w:rsidRPr="00644B58">
        <w:rPr>
          <w:rFonts w:ascii="Franklin Gothic Book" w:hAnsi="Franklin Gothic Book" w:cstheme="minorBidi"/>
        </w:rPr>
        <w:t>onference</w:t>
      </w:r>
      <w:r w:rsidR="00C36C6A" w:rsidRPr="00644B58">
        <w:rPr>
          <w:rFonts w:ascii="Franklin Gothic Book" w:hAnsi="Franklin Gothic Book" w:cstheme="minorBidi"/>
        </w:rPr>
        <w:t xml:space="preserve"> proceedings </w:t>
      </w:r>
      <w:r w:rsidR="00C36C6A">
        <w:rPr>
          <w:rFonts w:ascii="Franklin Gothic Book" w:hAnsi="Franklin Gothic Book" w:cstheme="minorBidi"/>
        </w:rPr>
        <w:t>did</w:t>
      </w:r>
      <w:r w:rsidR="00C36C6A" w:rsidRPr="00644B58">
        <w:rPr>
          <w:rFonts w:ascii="Franklin Gothic Book" w:hAnsi="Franklin Gothic Book" w:cstheme="minorBidi"/>
        </w:rPr>
        <w:t xml:space="preserve"> not appear to have been examined. </w:t>
      </w:r>
    </w:p>
    <w:p w14:paraId="2AC2AE0A" w14:textId="7DEA6B0A" w:rsidR="00C36C6A" w:rsidRPr="00644B58" w:rsidRDefault="00C36C6A" w:rsidP="00F9768E">
      <w:r w:rsidRPr="00644B58">
        <w:t>The eligibility criteria appear</w:t>
      </w:r>
      <w:r w:rsidR="00F9768E">
        <w:t xml:space="preserve">ed </w:t>
      </w:r>
      <w:r w:rsidRPr="00644B58">
        <w:t>to mirror the submission PICO</w:t>
      </w:r>
      <w:r w:rsidR="00DE6A3C">
        <w:t xml:space="preserve"> (see</w:t>
      </w:r>
      <w:r w:rsidR="007D2EF5">
        <w:t xml:space="preserve"> </w:t>
      </w:r>
      <w:r w:rsidR="007D2EF5">
        <w:fldChar w:fldCharType="begin"/>
      </w:r>
      <w:r w:rsidR="007D2EF5">
        <w:instrText xml:space="preserve"> REF _Ref155535562 \h </w:instrText>
      </w:r>
      <w:r w:rsidR="007D2EF5">
        <w:fldChar w:fldCharType="separate"/>
      </w:r>
      <w:r w:rsidR="003C61D8">
        <w:t>Table</w:t>
      </w:r>
      <w:r w:rsidR="003C61D8" w:rsidRPr="0001290C">
        <w:t> </w:t>
      </w:r>
      <w:r w:rsidR="003C61D8">
        <w:rPr>
          <w:noProof/>
        </w:rPr>
        <w:t>4</w:t>
      </w:r>
      <w:r w:rsidR="007D2EF5">
        <w:fldChar w:fldCharType="end"/>
      </w:r>
      <w:r w:rsidR="00DE6A3C">
        <w:t>)</w:t>
      </w:r>
      <w:r w:rsidR="0049382C">
        <w:t>;</w:t>
      </w:r>
      <w:r w:rsidR="00F9768E">
        <w:t xml:space="preserve"> </w:t>
      </w:r>
      <w:r w:rsidR="0049382C">
        <w:t>h</w:t>
      </w:r>
      <w:r w:rsidRPr="00644B58">
        <w:t xml:space="preserve">owever, several limits appear to have been placed during the study selection process including </w:t>
      </w:r>
      <w:proofErr w:type="spellStart"/>
      <w:r w:rsidRPr="00644B58">
        <w:t>i</w:t>
      </w:r>
      <w:proofErr w:type="spellEnd"/>
      <w:r w:rsidRPr="00644B58">
        <w:t xml:space="preserve">) </w:t>
      </w:r>
      <w:r w:rsidR="005A4A0A">
        <w:t>l</w:t>
      </w:r>
      <w:r w:rsidRPr="00644B58">
        <w:t xml:space="preserve">anguage limit of articles published only in the English </w:t>
      </w:r>
      <w:r w:rsidR="00EA5710">
        <w:t>l</w:t>
      </w:r>
      <w:r w:rsidRPr="00644B58">
        <w:t>anguage</w:t>
      </w:r>
      <w:r w:rsidR="00B774E7">
        <w:t>,</w:t>
      </w:r>
      <w:r w:rsidRPr="00644B58">
        <w:t xml:space="preserve"> ii) </w:t>
      </w:r>
      <w:r w:rsidR="005A4A0A">
        <w:t>p</w:t>
      </w:r>
      <w:r w:rsidRPr="00644B58">
        <w:t xml:space="preserve">ublication source limit of articles published only by peer-reviewed journals </w:t>
      </w:r>
      <w:r w:rsidR="00BF7E97">
        <w:t xml:space="preserve">and </w:t>
      </w:r>
      <w:r w:rsidRPr="00644B58">
        <w:t xml:space="preserve">iii) </w:t>
      </w:r>
      <w:r w:rsidR="005A4A0A">
        <w:t>p</w:t>
      </w:r>
      <w:r w:rsidRPr="00644B58">
        <w:t xml:space="preserve">ublication type limit of clinical trials only. It is unclear </w:t>
      </w:r>
      <w:r w:rsidR="00BF7E97">
        <w:t>whether</w:t>
      </w:r>
      <w:r w:rsidR="00BF7E97" w:rsidRPr="00644B58">
        <w:t xml:space="preserve"> </w:t>
      </w:r>
      <w:r w:rsidRPr="00644B58">
        <w:t>these limits may have resulted in relevant studies being missed from the SLR.</w:t>
      </w:r>
    </w:p>
    <w:p w14:paraId="1BEE95B1" w14:textId="0A90B4AE" w:rsidR="006C5B7E" w:rsidRDefault="00C36C6A" w:rsidP="00E57386">
      <w:r w:rsidRPr="00E57386">
        <w:t xml:space="preserve">Full database search strategies supporting the </w:t>
      </w:r>
      <w:proofErr w:type="spellStart"/>
      <w:r w:rsidRPr="00E57386">
        <w:t>MINIject</w:t>
      </w:r>
      <w:proofErr w:type="spellEnd"/>
      <w:r w:rsidRPr="00E57386">
        <w:t xml:space="preserve"> search and </w:t>
      </w:r>
      <w:proofErr w:type="spellStart"/>
      <w:r w:rsidRPr="00E57386">
        <w:t>iStent</w:t>
      </w:r>
      <w:proofErr w:type="spellEnd"/>
      <w:r w:rsidRPr="00E57386">
        <w:t xml:space="preserve"> search for the original SLR and its subsequent update </w:t>
      </w:r>
      <w:r w:rsidR="007750D5">
        <w:t>were not</w:t>
      </w:r>
      <w:r w:rsidRPr="00E57386">
        <w:t xml:space="preserve"> provided in this submission.</w:t>
      </w:r>
      <w:r>
        <w:t xml:space="preserve"> </w:t>
      </w:r>
      <w:r w:rsidRPr="00F45984">
        <w:t xml:space="preserve">The </w:t>
      </w:r>
      <w:r w:rsidR="00E5060B">
        <w:t>applicant</w:t>
      </w:r>
      <w:r w:rsidRPr="00F45984">
        <w:t xml:space="preserve"> did not provide any information on the SLR data extraction process. The </w:t>
      </w:r>
      <w:r w:rsidR="00FC0CDE">
        <w:t>a</w:t>
      </w:r>
      <w:r w:rsidRPr="00F45984">
        <w:t xml:space="preserve">ssessment </w:t>
      </w:r>
      <w:r w:rsidR="00FC0CDE">
        <w:t>g</w:t>
      </w:r>
      <w:r w:rsidRPr="00F45984">
        <w:t xml:space="preserve">roup </w:t>
      </w:r>
      <w:r>
        <w:t xml:space="preserve">was </w:t>
      </w:r>
      <w:r w:rsidRPr="00F45984">
        <w:t xml:space="preserve">thus unable to </w:t>
      </w:r>
      <w:r w:rsidR="00EA5710">
        <w:t xml:space="preserve">judge whether </w:t>
      </w:r>
      <w:r w:rsidRPr="00F45984">
        <w:t>the process had been optimal in reducing bias and error.</w:t>
      </w:r>
    </w:p>
    <w:p w14:paraId="716F7826" w14:textId="431D2ECF" w:rsidR="00A611A6" w:rsidRDefault="00A611A6" w:rsidP="005A081D">
      <w:pPr>
        <w:pStyle w:val="Caption"/>
        <w:spacing w:before="240"/>
      </w:pPr>
      <w:bookmarkStart w:id="12" w:name="_Ref150417492"/>
      <w:r>
        <w:t>Table</w:t>
      </w:r>
      <w:r w:rsidR="00CE5FC4" w:rsidRPr="0001290C">
        <w:t> </w:t>
      </w:r>
      <w:r>
        <w:fldChar w:fldCharType="begin"/>
      </w:r>
      <w:r>
        <w:instrText>SEQ Table \* ARABIC</w:instrText>
      </w:r>
      <w:r>
        <w:fldChar w:fldCharType="separate"/>
      </w:r>
      <w:r w:rsidR="003C61D8">
        <w:rPr>
          <w:noProof/>
        </w:rPr>
        <w:t>5</w:t>
      </w:r>
      <w:r>
        <w:fldChar w:fldCharType="end"/>
      </w:r>
      <w:bookmarkEnd w:id="12"/>
      <w:r w:rsidR="00D40723">
        <w:tab/>
      </w:r>
      <w:r w:rsidRPr="00F25A41">
        <w:t xml:space="preserve">Summary of studies identified for ADAR </w:t>
      </w:r>
      <w:proofErr w:type="gramStart"/>
      <w:r w:rsidRPr="00F25A41">
        <w:t>submission</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2"/>
        <w:gridCol w:w="1226"/>
        <w:gridCol w:w="1105"/>
        <w:gridCol w:w="1138"/>
        <w:gridCol w:w="1132"/>
        <w:gridCol w:w="992"/>
        <w:gridCol w:w="2501"/>
      </w:tblGrid>
      <w:tr w:rsidR="00C52F6A" w:rsidRPr="00BA2281" w14:paraId="2D8B4FE4" w14:textId="77777777" w:rsidTr="00CF2BF0">
        <w:trPr>
          <w:trHeight w:val="463"/>
          <w:tblHeader/>
        </w:trPr>
        <w:tc>
          <w:tcPr>
            <w:tcW w:w="511" w:type="pct"/>
            <w:shd w:val="clear" w:color="auto" w:fill="FFFFFF" w:themeFill="background1"/>
          </w:tcPr>
          <w:p w14:paraId="2216B92E" w14:textId="0181E8AF" w:rsidR="00205E9F" w:rsidRPr="0001290C" w:rsidRDefault="00205E9F" w:rsidP="005A081D">
            <w:pPr>
              <w:pStyle w:val="Tableheading1"/>
            </w:pPr>
            <w:r w:rsidRPr="0001290C">
              <w:t>Trial/</w:t>
            </w:r>
            <w:r w:rsidR="00EA5710">
              <w:t>s</w:t>
            </w:r>
            <w:r w:rsidRPr="0001290C">
              <w:t>tudy</w:t>
            </w:r>
          </w:p>
        </w:tc>
        <w:tc>
          <w:tcPr>
            <w:tcW w:w="680" w:type="pct"/>
            <w:shd w:val="clear" w:color="auto" w:fill="FFFFFF" w:themeFill="background1"/>
          </w:tcPr>
          <w:p w14:paraId="5CCADBA5" w14:textId="77777777" w:rsidR="00205E9F" w:rsidRPr="0001290C" w:rsidRDefault="00205E9F" w:rsidP="005A081D">
            <w:pPr>
              <w:pStyle w:val="Tableheading1"/>
            </w:pPr>
            <w:r w:rsidRPr="0001290C">
              <w:t>N</w:t>
            </w:r>
          </w:p>
        </w:tc>
        <w:tc>
          <w:tcPr>
            <w:tcW w:w="613" w:type="pct"/>
            <w:shd w:val="clear" w:color="auto" w:fill="FFFFFF" w:themeFill="background1"/>
          </w:tcPr>
          <w:p w14:paraId="6D594326" w14:textId="77777777" w:rsidR="00205E9F" w:rsidRPr="0001290C" w:rsidRDefault="00205E9F" w:rsidP="005A081D">
            <w:pPr>
              <w:pStyle w:val="Tableheading1"/>
            </w:pPr>
            <w:r w:rsidRPr="0001290C">
              <w:t>Study design</w:t>
            </w:r>
          </w:p>
        </w:tc>
        <w:tc>
          <w:tcPr>
            <w:tcW w:w="631" w:type="pct"/>
            <w:shd w:val="clear" w:color="auto" w:fill="FFFFFF" w:themeFill="background1"/>
          </w:tcPr>
          <w:p w14:paraId="655B7244" w14:textId="48F1E9B2" w:rsidR="00205E9F" w:rsidRPr="0001290C" w:rsidRDefault="00205E9F" w:rsidP="005A081D">
            <w:pPr>
              <w:pStyle w:val="Tableheading1"/>
            </w:pPr>
            <w:r w:rsidRPr="00562191">
              <w:t>Population</w:t>
            </w:r>
            <w:r>
              <w:t xml:space="preserve"> </w:t>
            </w:r>
          </w:p>
        </w:tc>
        <w:tc>
          <w:tcPr>
            <w:tcW w:w="628" w:type="pct"/>
            <w:shd w:val="clear" w:color="auto" w:fill="FFFFFF" w:themeFill="background1"/>
          </w:tcPr>
          <w:p w14:paraId="718934D2" w14:textId="2FFF0479" w:rsidR="00205E9F" w:rsidRPr="0001290C" w:rsidRDefault="00205E9F" w:rsidP="005A081D">
            <w:pPr>
              <w:pStyle w:val="Tableheading1"/>
            </w:pPr>
            <w:r w:rsidRPr="0001290C">
              <w:t>Intervention</w:t>
            </w:r>
          </w:p>
        </w:tc>
        <w:tc>
          <w:tcPr>
            <w:tcW w:w="550" w:type="pct"/>
            <w:shd w:val="clear" w:color="auto" w:fill="FFFFFF" w:themeFill="background1"/>
          </w:tcPr>
          <w:p w14:paraId="37BC40D8" w14:textId="77777777" w:rsidR="00205E9F" w:rsidRPr="0001290C" w:rsidRDefault="00205E9F" w:rsidP="005A081D">
            <w:pPr>
              <w:pStyle w:val="Tableheading1"/>
            </w:pPr>
            <w:r w:rsidRPr="0001290C">
              <w:t>Comparator</w:t>
            </w:r>
          </w:p>
        </w:tc>
        <w:tc>
          <w:tcPr>
            <w:tcW w:w="1387" w:type="pct"/>
            <w:shd w:val="clear" w:color="auto" w:fill="FFFFFF" w:themeFill="background1"/>
          </w:tcPr>
          <w:p w14:paraId="4C106F51" w14:textId="77777777" w:rsidR="00205E9F" w:rsidRPr="0001290C" w:rsidRDefault="00205E9F" w:rsidP="005A081D">
            <w:pPr>
              <w:pStyle w:val="Tableheading1"/>
            </w:pPr>
            <w:r w:rsidRPr="0001290C">
              <w:t>Key outcome(s)</w:t>
            </w:r>
          </w:p>
        </w:tc>
      </w:tr>
      <w:tr w:rsidR="002F14C6" w:rsidRPr="00640D54" w14:paraId="696C465B" w14:textId="77777777" w:rsidTr="00CF2BF0">
        <w:trPr>
          <w:trHeight w:val="78"/>
        </w:trPr>
        <w:tc>
          <w:tcPr>
            <w:tcW w:w="5000" w:type="pct"/>
            <w:gridSpan w:val="7"/>
            <w:shd w:val="clear" w:color="auto" w:fill="FFFFFF" w:themeFill="background1"/>
          </w:tcPr>
          <w:p w14:paraId="60BA62C7" w14:textId="62482147" w:rsidR="002F14C6" w:rsidRPr="00640D54" w:rsidRDefault="002F14C6" w:rsidP="005A081D">
            <w:pPr>
              <w:pStyle w:val="Tablecontent"/>
              <w:spacing w:before="0" w:after="0"/>
              <w:rPr>
                <w:b/>
                <w:bCs/>
              </w:rPr>
            </w:pPr>
            <w:proofErr w:type="spellStart"/>
            <w:r w:rsidRPr="00640D54">
              <w:rPr>
                <w:b/>
                <w:bCs/>
              </w:rPr>
              <w:t>MINIject</w:t>
            </w:r>
            <w:proofErr w:type="spellEnd"/>
            <w:r w:rsidRPr="00640D54">
              <w:rPr>
                <w:b/>
                <w:bCs/>
              </w:rPr>
              <w:t xml:space="preserve"> </w:t>
            </w:r>
          </w:p>
        </w:tc>
      </w:tr>
      <w:tr w:rsidR="0091786A" w:rsidRPr="0001290C" w14:paraId="322149E9" w14:textId="77777777" w:rsidTr="00CF2BF0">
        <w:trPr>
          <w:trHeight w:val="78"/>
        </w:trPr>
        <w:tc>
          <w:tcPr>
            <w:tcW w:w="511" w:type="pct"/>
            <w:shd w:val="clear" w:color="auto" w:fill="auto"/>
          </w:tcPr>
          <w:p w14:paraId="58295BEA" w14:textId="7E0CB692" w:rsidR="0091786A" w:rsidRPr="00A91904" w:rsidRDefault="0091786A" w:rsidP="005A081D">
            <w:pPr>
              <w:pStyle w:val="Tablecontent"/>
              <w:spacing w:before="0" w:after="0"/>
            </w:pPr>
            <w:r w:rsidRPr="00A91904">
              <w:t>STAR-I</w:t>
            </w:r>
          </w:p>
        </w:tc>
        <w:tc>
          <w:tcPr>
            <w:tcW w:w="680" w:type="pct"/>
            <w:shd w:val="clear" w:color="auto" w:fill="auto"/>
          </w:tcPr>
          <w:p w14:paraId="45B7FD5F" w14:textId="77777777" w:rsidR="0091786A" w:rsidRPr="00AD6EA8" w:rsidRDefault="0091786A" w:rsidP="005A081D">
            <w:pPr>
              <w:pStyle w:val="Tablecontent"/>
              <w:spacing w:before="0" w:after="0"/>
              <w:rPr>
                <w:bCs/>
              </w:rPr>
            </w:pPr>
            <w:r>
              <w:rPr>
                <w:bCs/>
              </w:rPr>
              <w:t>26</w:t>
            </w:r>
          </w:p>
        </w:tc>
        <w:tc>
          <w:tcPr>
            <w:tcW w:w="613" w:type="pct"/>
            <w:vMerge w:val="restart"/>
            <w:shd w:val="clear" w:color="auto" w:fill="auto"/>
          </w:tcPr>
          <w:p w14:paraId="3E7FFC6E" w14:textId="77777777" w:rsidR="0091786A" w:rsidRPr="00AD6EA8" w:rsidRDefault="0091786A" w:rsidP="005A081D">
            <w:pPr>
              <w:pStyle w:val="Tablecontent"/>
              <w:spacing w:before="0" w:after="0"/>
              <w:rPr>
                <w:bCs/>
              </w:rPr>
            </w:pPr>
            <w:r>
              <w:rPr>
                <w:bCs/>
              </w:rPr>
              <w:t>Prospective, single arm</w:t>
            </w:r>
          </w:p>
        </w:tc>
        <w:tc>
          <w:tcPr>
            <w:tcW w:w="631" w:type="pct"/>
            <w:vMerge w:val="restart"/>
          </w:tcPr>
          <w:p w14:paraId="2F5C60A4" w14:textId="17963A01" w:rsidR="0091786A" w:rsidRPr="00AD6EA8" w:rsidRDefault="0091786A" w:rsidP="005A081D">
            <w:pPr>
              <w:pStyle w:val="Tablecontent"/>
              <w:spacing w:before="0" w:after="0"/>
              <w:rPr>
                <w:bCs/>
              </w:rPr>
            </w:pPr>
            <w:r w:rsidRPr="00934506">
              <w:rPr>
                <w:bCs/>
              </w:rPr>
              <w:t>Adults with POAG, SOAG</w:t>
            </w:r>
            <w:r w:rsidR="00B37A6D">
              <w:rPr>
                <w:bCs/>
              </w:rPr>
              <w:t xml:space="preserve"> </w:t>
            </w:r>
            <w:r w:rsidRPr="00934506">
              <w:rPr>
                <w:bCs/>
              </w:rPr>
              <w:t>with ≥1 IOP-lowering medications</w:t>
            </w:r>
          </w:p>
        </w:tc>
        <w:tc>
          <w:tcPr>
            <w:tcW w:w="628" w:type="pct"/>
            <w:vMerge w:val="restart"/>
          </w:tcPr>
          <w:p w14:paraId="3CB95073" w14:textId="206DCCF4" w:rsidR="0091786A" w:rsidRPr="00AD6EA8" w:rsidRDefault="0091786A" w:rsidP="005A081D">
            <w:pPr>
              <w:pStyle w:val="Tablecontent"/>
              <w:spacing w:before="0" w:after="0"/>
              <w:rPr>
                <w:bCs/>
              </w:rPr>
            </w:pPr>
            <w:proofErr w:type="spellStart"/>
            <w:r w:rsidRPr="00AD6EA8">
              <w:rPr>
                <w:bCs/>
              </w:rPr>
              <w:t>MINIject</w:t>
            </w:r>
            <w:proofErr w:type="spellEnd"/>
          </w:p>
        </w:tc>
        <w:tc>
          <w:tcPr>
            <w:tcW w:w="550" w:type="pct"/>
            <w:vMerge w:val="restart"/>
            <w:shd w:val="clear" w:color="auto" w:fill="auto"/>
          </w:tcPr>
          <w:p w14:paraId="2C502DC9" w14:textId="77777777" w:rsidR="0091786A" w:rsidRPr="00AD6EA8" w:rsidRDefault="0091786A" w:rsidP="005A081D">
            <w:pPr>
              <w:pStyle w:val="Tablecontent"/>
              <w:spacing w:before="0" w:after="0"/>
              <w:rPr>
                <w:bCs/>
              </w:rPr>
            </w:pPr>
            <w:r>
              <w:rPr>
                <w:bCs/>
              </w:rPr>
              <w:t>NA</w:t>
            </w:r>
          </w:p>
        </w:tc>
        <w:tc>
          <w:tcPr>
            <w:tcW w:w="1387" w:type="pct"/>
            <w:vMerge w:val="restart"/>
            <w:shd w:val="clear" w:color="auto" w:fill="auto"/>
          </w:tcPr>
          <w:p w14:paraId="1AF941FA" w14:textId="732B8E1B" w:rsidR="0091786A" w:rsidRPr="00FF7BB0" w:rsidRDefault="0091786A" w:rsidP="005A081D">
            <w:pPr>
              <w:pStyle w:val="Tablecontent"/>
              <w:spacing w:before="0" w:after="0"/>
            </w:pPr>
            <w:r w:rsidRPr="00FF7BB0">
              <w:t>Mean change from baseline in IOP (mm</w:t>
            </w:r>
            <w:r w:rsidR="00BF4580">
              <w:t> </w:t>
            </w:r>
            <w:r w:rsidRPr="00FF7BB0">
              <w:t>Hg) at 6, 12, 24 months</w:t>
            </w:r>
          </w:p>
          <w:p w14:paraId="6764D202" w14:textId="77777777" w:rsidR="0091786A" w:rsidRPr="00FF7BB0" w:rsidRDefault="0091786A" w:rsidP="005A081D">
            <w:pPr>
              <w:pStyle w:val="Tablecontent"/>
              <w:spacing w:before="0" w:after="0"/>
            </w:pPr>
            <w:r w:rsidRPr="00FF7BB0">
              <w:t xml:space="preserve">Change from baseline in mean number of medications, n at 6, 12, 24 </w:t>
            </w:r>
            <w:proofErr w:type="gramStart"/>
            <w:r w:rsidRPr="00FF7BB0">
              <w:t>months</w:t>
            </w:r>
            <w:proofErr w:type="gramEnd"/>
          </w:p>
          <w:p w14:paraId="21D98DCA" w14:textId="77777777" w:rsidR="0091786A" w:rsidRPr="00FF7BB0" w:rsidRDefault="0091786A" w:rsidP="005A081D">
            <w:pPr>
              <w:pStyle w:val="Tablecontent"/>
              <w:spacing w:before="0" w:after="0"/>
            </w:pPr>
            <w:r w:rsidRPr="00FF7BB0">
              <w:t>Adverse events, n</w:t>
            </w:r>
          </w:p>
        </w:tc>
      </w:tr>
      <w:tr w:rsidR="0091786A" w:rsidRPr="0001290C" w14:paraId="0708348E" w14:textId="77777777" w:rsidTr="00CF2BF0">
        <w:trPr>
          <w:trHeight w:val="82"/>
        </w:trPr>
        <w:tc>
          <w:tcPr>
            <w:tcW w:w="511" w:type="pct"/>
            <w:shd w:val="clear" w:color="auto" w:fill="auto"/>
          </w:tcPr>
          <w:p w14:paraId="421D4D15" w14:textId="77777777" w:rsidR="0091786A" w:rsidRPr="00A91904" w:rsidRDefault="0091786A" w:rsidP="005A081D">
            <w:pPr>
              <w:pStyle w:val="Tablecontent"/>
              <w:spacing w:before="0" w:after="0"/>
            </w:pPr>
            <w:r w:rsidRPr="00A91904">
              <w:t>STAR-II</w:t>
            </w:r>
          </w:p>
        </w:tc>
        <w:tc>
          <w:tcPr>
            <w:tcW w:w="680" w:type="pct"/>
            <w:shd w:val="clear" w:color="auto" w:fill="auto"/>
          </w:tcPr>
          <w:p w14:paraId="7922E582" w14:textId="77777777" w:rsidR="0091786A" w:rsidRPr="00AD6EA8" w:rsidRDefault="0091786A" w:rsidP="005A081D">
            <w:pPr>
              <w:pStyle w:val="Tablecontent"/>
              <w:spacing w:before="0" w:after="0"/>
              <w:rPr>
                <w:bCs/>
              </w:rPr>
            </w:pPr>
            <w:r>
              <w:rPr>
                <w:bCs/>
              </w:rPr>
              <w:t>31</w:t>
            </w:r>
          </w:p>
        </w:tc>
        <w:tc>
          <w:tcPr>
            <w:tcW w:w="613" w:type="pct"/>
            <w:vMerge/>
            <w:shd w:val="clear" w:color="auto" w:fill="auto"/>
          </w:tcPr>
          <w:p w14:paraId="4ACBA5FC" w14:textId="77777777" w:rsidR="0091786A" w:rsidRPr="00AD6EA8" w:rsidRDefault="0091786A" w:rsidP="005A081D">
            <w:pPr>
              <w:pStyle w:val="Tablecontent"/>
              <w:spacing w:before="0" w:after="0"/>
              <w:rPr>
                <w:bCs/>
              </w:rPr>
            </w:pPr>
          </w:p>
        </w:tc>
        <w:tc>
          <w:tcPr>
            <w:tcW w:w="631" w:type="pct"/>
            <w:vMerge/>
          </w:tcPr>
          <w:p w14:paraId="0690BCC7" w14:textId="77777777" w:rsidR="0091786A" w:rsidRPr="00AD6EA8" w:rsidRDefault="0091786A" w:rsidP="005A081D">
            <w:pPr>
              <w:pStyle w:val="Tablecontent"/>
              <w:spacing w:before="0" w:after="0"/>
              <w:rPr>
                <w:bCs/>
              </w:rPr>
            </w:pPr>
          </w:p>
        </w:tc>
        <w:tc>
          <w:tcPr>
            <w:tcW w:w="628" w:type="pct"/>
            <w:vMerge/>
          </w:tcPr>
          <w:p w14:paraId="2E797284" w14:textId="25E2BD9B" w:rsidR="0091786A" w:rsidRPr="00AD6EA8" w:rsidRDefault="0091786A" w:rsidP="005A081D">
            <w:pPr>
              <w:pStyle w:val="Tablecontent"/>
              <w:spacing w:before="0" w:after="0"/>
              <w:rPr>
                <w:bCs/>
              </w:rPr>
            </w:pPr>
          </w:p>
        </w:tc>
        <w:tc>
          <w:tcPr>
            <w:tcW w:w="550" w:type="pct"/>
            <w:vMerge/>
            <w:shd w:val="clear" w:color="auto" w:fill="auto"/>
          </w:tcPr>
          <w:p w14:paraId="042B0235" w14:textId="77777777" w:rsidR="0091786A" w:rsidRPr="00AD6EA8" w:rsidRDefault="0091786A" w:rsidP="005A081D">
            <w:pPr>
              <w:pStyle w:val="Tablecontent"/>
              <w:spacing w:before="0" w:after="0"/>
              <w:rPr>
                <w:bCs/>
              </w:rPr>
            </w:pPr>
          </w:p>
        </w:tc>
        <w:tc>
          <w:tcPr>
            <w:tcW w:w="1387" w:type="pct"/>
            <w:vMerge/>
            <w:shd w:val="clear" w:color="auto" w:fill="auto"/>
          </w:tcPr>
          <w:p w14:paraId="010063FB" w14:textId="77777777" w:rsidR="0091786A" w:rsidRPr="00AD6EA8" w:rsidRDefault="0091786A" w:rsidP="005A081D">
            <w:pPr>
              <w:pStyle w:val="Tablecontent"/>
              <w:spacing w:before="0" w:after="0"/>
              <w:rPr>
                <w:bCs/>
              </w:rPr>
            </w:pPr>
          </w:p>
        </w:tc>
      </w:tr>
      <w:tr w:rsidR="0091786A" w:rsidRPr="0001290C" w14:paraId="1BAF7D64" w14:textId="77777777" w:rsidTr="00CF2BF0">
        <w:trPr>
          <w:trHeight w:val="78"/>
        </w:trPr>
        <w:tc>
          <w:tcPr>
            <w:tcW w:w="511" w:type="pct"/>
            <w:shd w:val="clear" w:color="auto" w:fill="auto"/>
          </w:tcPr>
          <w:p w14:paraId="60D4F10B" w14:textId="77777777" w:rsidR="0091786A" w:rsidRPr="00A91904" w:rsidRDefault="0091786A" w:rsidP="005A081D">
            <w:pPr>
              <w:pStyle w:val="Tablecontent"/>
              <w:spacing w:before="0" w:after="0"/>
            </w:pPr>
            <w:r w:rsidRPr="00A91904">
              <w:t>STAR-III</w:t>
            </w:r>
          </w:p>
        </w:tc>
        <w:tc>
          <w:tcPr>
            <w:tcW w:w="680" w:type="pct"/>
            <w:shd w:val="clear" w:color="auto" w:fill="auto"/>
          </w:tcPr>
          <w:p w14:paraId="643026F2" w14:textId="77777777" w:rsidR="0091786A" w:rsidRPr="00AD6EA8" w:rsidRDefault="0091786A" w:rsidP="005A081D">
            <w:pPr>
              <w:pStyle w:val="Tablecontent"/>
              <w:spacing w:before="0" w:after="0"/>
              <w:rPr>
                <w:bCs/>
              </w:rPr>
            </w:pPr>
            <w:r>
              <w:rPr>
                <w:bCs/>
              </w:rPr>
              <w:t>25</w:t>
            </w:r>
          </w:p>
        </w:tc>
        <w:tc>
          <w:tcPr>
            <w:tcW w:w="613" w:type="pct"/>
            <w:vMerge/>
            <w:shd w:val="clear" w:color="auto" w:fill="auto"/>
          </w:tcPr>
          <w:p w14:paraId="2653024F" w14:textId="77777777" w:rsidR="0091786A" w:rsidRPr="00AD6EA8" w:rsidRDefault="0091786A" w:rsidP="005A081D">
            <w:pPr>
              <w:pStyle w:val="Tablecontent"/>
              <w:spacing w:before="0" w:after="0"/>
              <w:rPr>
                <w:bCs/>
              </w:rPr>
            </w:pPr>
          </w:p>
        </w:tc>
        <w:tc>
          <w:tcPr>
            <w:tcW w:w="631" w:type="pct"/>
            <w:vMerge/>
          </w:tcPr>
          <w:p w14:paraId="5F34CFE0" w14:textId="77777777" w:rsidR="0091786A" w:rsidRPr="00AD6EA8" w:rsidRDefault="0091786A" w:rsidP="005A081D">
            <w:pPr>
              <w:pStyle w:val="Tablecontent"/>
              <w:spacing w:before="0" w:after="0"/>
              <w:rPr>
                <w:bCs/>
              </w:rPr>
            </w:pPr>
          </w:p>
        </w:tc>
        <w:tc>
          <w:tcPr>
            <w:tcW w:w="628" w:type="pct"/>
            <w:vMerge/>
          </w:tcPr>
          <w:p w14:paraId="77C6A57F" w14:textId="289B0C55" w:rsidR="0091786A" w:rsidRPr="00AD6EA8" w:rsidRDefault="0091786A" w:rsidP="005A081D">
            <w:pPr>
              <w:pStyle w:val="Tablecontent"/>
              <w:spacing w:before="0" w:after="0"/>
              <w:rPr>
                <w:bCs/>
              </w:rPr>
            </w:pPr>
          </w:p>
        </w:tc>
        <w:tc>
          <w:tcPr>
            <w:tcW w:w="550" w:type="pct"/>
            <w:vMerge/>
            <w:shd w:val="clear" w:color="auto" w:fill="auto"/>
          </w:tcPr>
          <w:p w14:paraId="1AC7EB68" w14:textId="77777777" w:rsidR="0091786A" w:rsidRPr="00AD6EA8" w:rsidRDefault="0091786A" w:rsidP="005A081D">
            <w:pPr>
              <w:pStyle w:val="Tablecontent"/>
              <w:spacing w:before="0" w:after="0"/>
              <w:rPr>
                <w:bCs/>
              </w:rPr>
            </w:pPr>
          </w:p>
        </w:tc>
        <w:tc>
          <w:tcPr>
            <w:tcW w:w="1387" w:type="pct"/>
            <w:vMerge/>
            <w:shd w:val="clear" w:color="auto" w:fill="auto"/>
          </w:tcPr>
          <w:p w14:paraId="029EA869" w14:textId="77777777" w:rsidR="0091786A" w:rsidRPr="00AD6EA8" w:rsidRDefault="0091786A" w:rsidP="005A081D">
            <w:pPr>
              <w:pStyle w:val="Tablecontent"/>
              <w:spacing w:before="0" w:after="0"/>
              <w:rPr>
                <w:bCs/>
              </w:rPr>
            </w:pPr>
          </w:p>
        </w:tc>
      </w:tr>
      <w:tr w:rsidR="00C52F6A" w:rsidRPr="0001290C" w14:paraId="296DB546" w14:textId="77777777" w:rsidTr="00CF2BF0">
        <w:trPr>
          <w:trHeight w:val="87"/>
        </w:trPr>
        <w:tc>
          <w:tcPr>
            <w:tcW w:w="511" w:type="pct"/>
            <w:tcBorders>
              <w:bottom w:val="single" w:sz="4" w:space="0" w:color="auto"/>
            </w:tcBorders>
            <w:shd w:val="clear" w:color="auto" w:fill="auto"/>
          </w:tcPr>
          <w:p w14:paraId="405591D9" w14:textId="77777777" w:rsidR="0091786A" w:rsidRDefault="0091786A" w:rsidP="005A081D">
            <w:pPr>
              <w:pStyle w:val="Tablecontent"/>
              <w:spacing w:before="0" w:after="0"/>
            </w:pPr>
            <w:r w:rsidRPr="00A91904">
              <w:t>STAR-IV</w:t>
            </w:r>
          </w:p>
          <w:p w14:paraId="5AA1EBD7" w14:textId="77777777" w:rsidR="005A081D" w:rsidRDefault="005A081D" w:rsidP="005A081D">
            <w:pPr>
              <w:pStyle w:val="Tablecontent"/>
              <w:spacing w:before="0" w:after="0"/>
            </w:pPr>
          </w:p>
          <w:p w14:paraId="366A367B" w14:textId="77777777" w:rsidR="005A081D" w:rsidRPr="00A91904" w:rsidRDefault="005A081D" w:rsidP="005A081D">
            <w:pPr>
              <w:pStyle w:val="Tablecontent"/>
              <w:spacing w:before="0" w:after="0"/>
            </w:pPr>
          </w:p>
        </w:tc>
        <w:tc>
          <w:tcPr>
            <w:tcW w:w="680" w:type="pct"/>
            <w:tcBorders>
              <w:bottom w:val="single" w:sz="4" w:space="0" w:color="auto"/>
            </w:tcBorders>
            <w:shd w:val="clear" w:color="auto" w:fill="auto"/>
          </w:tcPr>
          <w:p w14:paraId="23B8CC4D" w14:textId="77777777" w:rsidR="0091786A" w:rsidRPr="00AD6EA8" w:rsidRDefault="0091786A" w:rsidP="005A081D">
            <w:pPr>
              <w:pStyle w:val="Tablecontent"/>
              <w:spacing w:before="0" w:after="0"/>
              <w:rPr>
                <w:bCs/>
              </w:rPr>
            </w:pPr>
            <w:r>
              <w:rPr>
                <w:bCs/>
              </w:rPr>
              <w:t>21</w:t>
            </w:r>
          </w:p>
        </w:tc>
        <w:tc>
          <w:tcPr>
            <w:tcW w:w="613" w:type="pct"/>
            <w:vMerge/>
            <w:tcBorders>
              <w:bottom w:val="single" w:sz="4" w:space="0" w:color="auto"/>
            </w:tcBorders>
            <w:shd w:val="clear" w:color="auto" w:fill="auto"/>
          </w:tcPr>
          <w:p w14:paraId="0382619F" w14:textId="77777777" w:rsidR="0091786A" w:rsidRPr="00AD6EA8" w:rsidRDefault="0091786A" w:rsidP="005A081D">
            <w:pPr>
              <w:pStyle w:val="Tablecontent"/>
              <w:spacing w:before="0" w:after="0"/>
              <w:rPr>
                <w:bCs/>
              </w:rPr>
            </w:pPr>
          </w:p>
        </w:tc>
        <w:tc>
          <w:tcPr>
            <w:tcW w:w="3196" w:type="pct"/>
            <w:gridSpan w:val="4"/>
            <w:tcBorders>
              <w:bottom w:val="single" w:sz="4" w:space="0" w:color="auto"/>
            </w:tcBorders>
          </w:tcPr>
          <w:p w14:paraId="72184DCD" w14:textId="77777777" w:rsidR="0091786A" w:rsidRPr="00AD6EA8" w:rsidRDefault="0091786A" w:rsidP="005A081D">
            <w:pPr>
              <w:pStyle w:val="Tablecontent"/>
              <w:spacing w:before="0" w:after="0"/>
              <w:rPr>
                <w:bCs/>
              </w:rPr>
            </w:pPr>
          </w:p>
        </w:tc>
      </w:tr>
      <w:tr w:rsidR="002F14C6" w:rsidRPr="00640D54" w14:paraId="5EFD7B07" w14:textId="77777777" w:rsidTr="00CF2BF0">
        <w:trPr>
          <w:trHeight w:val="87"/>
        </w:trPr>
        <w:tc>
          <w:tcPr>
            <w:tcW w:w="5000" w:type="pct"/>
            <w:gridSpan w:val="7"/>
            <w:shd w:val="clear" w:color="auto" w:fill="FFFFFF" w:themeFill="background1"/>
          </w:tcPr>
          <w:p w14:paraId="447BDDEC" w14:textId="7CB5C541" w:rsidR="002F14C6" w:rsidRPr="00640D54" w:rsidRDefault="002F14C6" w:rsidP="005A081D">
            <w:pPr>
              <w:pStyle w:val="Tablecontent"/>
              <w:spacing w:before="0" w:after="0"/>
              <w:rPr>
                <w:b/>
              </w:rPr>
            </w:pPr>
            <w:proofErr w:type="spellStart"/>
            <w:r w:rsidRPr="00640D54">
              <w:rPr>
                <w:b/>
              </w:rPr>
              <w:lastRenderedPageBreak/>
              <w:t>iStent</w:t>
            </w:r>
            <w:proofErr w:type="spellEnd"/>
            <w:r w:rsidRPr="00640D54">
              <w:rPr>
                <w:b/>
              </w:rPr>
              <w:t xml:space="preserve"> </w:t>
            </w:r>
          </w:p>
        </w:tc>
      </w:tr>
      <w:tr w:rsidR="00205E9F" w:rsidRPr="0001290C" w14:paraId="396A7EEE" w14:textId="77777777" w:rsidTr="00CF2BF0">
        <w:trPr>
          <w:trHeight w:val="389"/>
        </w:trPr>
        <w:tc>
          <w:tcPr>
            <w:tcW w:w="511" w:type="pct"/>
            <w:shd w:val="clear" w:color="auto" w:fill="auto"/>
          </w:tcPr>
          <w:p w14:paraId="724D4FC0" w14:textId="5833AA9F" w:rsidR="0050132E" w:rsidRPr="0050132E" w:rsidRDefault="0050132E" w:rsidP="005A081D">
            <w:pPr>
              <w:pStyle w:val="Tablecontent"/>
              <w:spacing w:before="0" w:after="0"/>
              <w:rPr>
                <w:bCs/>
              </w:rPr>
            </w:pPr>
            <w:proofErr w:type="spellStart"/>
            <w:r>
              <w:rPr>
                <w:bCs/>
              </w:rPr>
              <w:t>Voskanyan</w:t>
            </w:r>
            <w:proofErr w:type="spellEnd"/>
            <w:r w:rsidR="00266026">
              <w:rPr>
                <w:bCs/>
              </w:rPr>
              <w:t xml:space="preserve"> 2014</w:t>
            </w:r>
            <w:r w:rsidR="000B6F59">
              <w:rPr>
                <w:rStyle w:val="FootnoteReference"/>
                <w:bCs/>
              </w:rPr>
              <w:footnoteReference w:id="2"/>
            </w:r>
          </w:p>
        </w:tc>
        <w:tc>
          <w:tcPr>
            <w:tcW w:w="680" w:type="pct"/>
            <w:shd w:val="clear" w:color="auto" w:fill="auto"/>
          </w:tcPr>
          <w:p w14:paraId="1AF969AB" w14:textId="77777777" w:rsidR="00205E9F" w:rsidRPr="00AD6EA8" w:rsidRDefault="00205E9F" w:rsidP="005A081D">
            <w:pPr>
              <w:pStyle w:val="Tablecontent"/>
              <w:spacing w:before="0" w:after="0"/>
              <w:rPr>
                <w:bCs/>
              </w:rPr>
            </w:pPr>
            <w:r>
              <w:rPr>
                <w:bCs/>
              </w:rPr>
              <w:t>99</w:t>
            </w:r>
          </w:p>
        </w:tc>
        <w:tc>
          <w:tcPr>
            <w:tcW w:w="613" w:type="pct"/>
            <w:shd w:val="clear" w:color="auto" w:fill="auto"/>
          </w:tcPr>
          <w:p w14:paraId="6D5794C4" w14:textId="0B647885" w:rsidR="00205E9F" w:rsidRPr="00AD6EA8" w:rsidRDefault="00D50605" w:rsidP="005A081D">
            <w:pPr>
              <w:pStyle w:val="Tablecontent"/>
              <w:spacing w:before="0" w:after="0"/>
              <w:rPr>
                <w:bCs/>
              </w:rPr>
            </w:pPr>
            <w:r>
              <w:t>P</w:t>
            </w:r>
            <w:r w:rsidR="00205E9F" w:rsidRPr="0060086F">
              <w:t>rospective, post</w:t>
            </w:r>
            <w:r w:rsidR="00836AFE">
              <w:t xml:space="preserve"> </w:t>
            </w:r>
            <w:r w:rsidR="00205E9F" w:rsidRPr="0060086F">
              <w:t>market, unmasked</w:t>
            </w:r>
          </w:p>
        </w:tc>
        <w:tc>
          <w:tcPr>
            <w:tcW w:w="631" w:type="pct"/>
          </w:tcPr>
          <w:p w14:paraId="1C423160" w14:textId="75212F2F" w:rsidR="00205E9F" w:rsidRPr="00347E5C" w:rsidRDefault="002F6F22" w:rsidP="005A081D">
            <w:pPr>
              <w:pStyle w:val="Tablecontent"/>
              <w:spacing w:before="0" w:after="0"/>
              <w:rPr>
                <w:bCs/>
              </w:rPr>
            </w:pPr>
            <w:r w:rsidRPr="002F6F22">
              <w:rPr>
                <w:bCs/>
              </w:rPr>
              <w:t>Adults with POAG or SOAG with ≥</w:t>
            </w:r>
            <w:r w:rsidRPr="00B37A6D">
              <w:rPr>
                <w:bCs/>
              </w:rPr>
              <w:t>2</w:t>
            </w:r>
            <w:r w:rsidRPr="002F6F22">
              <w:rPr>
                <w:bCs/>
              </w:rPr>
              <w:t xml:space="preserve"> IOP-lowering medications</w:t>
            </w:r>
          </w:p>
        </w:tc>
        <w:tc>
          <w:tcPr>
            <w:tcW w:w="628" w:type="pct"/>
            <w:vMerge w:val="restart"/>
          </w:tcPr>
          <w:p w14:paraId="3950AA92" w14:textId="2301EF33" w:rsidR="00205E9F" w:rsidRPr="00AD6EA8" w:rsidRDefault="00205E9F" w:rsidP="005A081D">
            <w:pPr>
              <w:pStyle w:val="Tablecontent"/>
              <w:spacing w:before="0" w:after="0"/>
              <w:rPr>
                <w:bCs/>
              </w:rPr>
            </w:pPr>
            <w:proofErr w:type="spellStart"/>
            <w:r w:rsidRPr="00347E5C">
              <w:rPr>
                <w:bCs/>
              </w:rPr>
              <w:t>iStent</w:t>
            </w:r>
            <w:proofErr w:type="spellEnd"/>
          </w:p>
        </w:tc>
        <w:tc>
          <w:tcPr>
            <w:tcW w:w="550" w:type="pct"/>
            <w:vMerge w:val="restart"/>
            <w:shd w:val="clear" w:color="auto" w:fill="auto"/>
          </w:tcPr>
          <w:p w14:paraId="66AC7921" w14:textId="77777777" w:rsidR="00205E9F" w:rsidRPr="00AD6EA8" w:rsidRDefault="00205E9F" w:rsidP="005A081D">
            <w:pPr>
              <w:pStyle w:val="Tablecontent"/>
              <w:spacing w:before="0" w:after="0"/>
              <w:rPr>
                <w:bCs/>
              </w:rPr>
            </w:pPr>
            <w:r>
              <w:rPr>
                <w:bCs/>
              </w:rPr>
              <w:t>NA</w:t>
            </w:r>
          </w:p>
        </w:tc>
        <w:tc>
          <w:tcPr>
            <w:tcW w:w="1387" w:type="pct"/>
            <w:vMerge w:val="restart"/>
            <w:shd w:val="clear" w:color="auto" w:fill="auto"/>
          </w:tcPr>
          <w:p w14:paraId="01AFDBE1" w14:textId="36770F94" w:rsidR="00205E9F" w:rsidRDefault="00205E9F" w:rsidP="005A081D">
            <w:pPr>
              <w:pStyle w:val="Tablecontent"/>
              <w:spacing w:before="0" w:after="0"/>
            </w:pPr>
            <w:r w:rsidRPr="00FF7BB0">
              <w:t>Mean change from baseline in IOP (mm</w:t>
            </w:r>
            <w:r w:rsidR="006C38C8">
              <w:t> </w:t>
            </w:r>
            <w:r w:rsidRPr="00FF7BB0">
              <w:t>Hg) at 6, 12, 24 months</w:t>
            </w:r>
          </w:p>
          <w:p w14:paraId="52930800" w14:textId="77777777" w:rsidR="00205E9F" w:rsidRPr="00FF7BB0" w:rsidRDefault="00205E9F" w:rsidP="005A081D">
            <w:pPr>
              <w:pStyle w:val="Tablecontent"/>
              <w:spacing w:before="0" w:after="0"/>
            </w:pPr>
          </w:p>
          <w:p w14:paraId="6DA6C9DB" w14:textId="77777777" w:rsidR="00205E9F" w:rsidRDefault="00205E9F" w:rsidP="005A081D">
            <w:pPr>
              <w:pStyle w:val="Tablecontent"/>
              <w:spacing w:before="0" w:after="0"/>
            </w:pPr>
            <w:r w:rsidRPr="00FF7BB0">
              <w:t xml:space="preserve">Change from baseline in mean number of medications, n at 6, 12, 24 </w:t>
            </w:r>
            <w:proofErr w:type="gramStart"/>
            <w:r w:rsidRPr="00FF7BB0">
              <w:t>months</w:t>
            </w:r>
            <w:proofErr w:type="gramEnd"/>
          </w:p>
          <w:p w14:paraId="329ACFF2" w14:textId="77777777" w:rsidR="00205E9F" w:rsidRPr="00FF7BB0" w:rsidRDefault="00205E9F" w:rsidP="005A081D">
            <w:pPr>
              <w:pStyle w:val="Tablecontent"/>
              <w:spacing w:before="0" w:after="0"/>
            </w:pPr>
          </w:p>
          <w:p w14:paraId="78283447" w14:textId="77777777" w:rsidR="00205E9F" w:rsidRPr="00AD6EA8" w:rsidRDefault="00205E9F" w:rsidP="005A081D">
            <w:pPr>
              <w:pStyle w:val="Tablecontent"/>
              <w:spacing w:before="0" w:after="0"/>
              <w:rPr>
                <w:bCs/>
              </w:rPr>
            </w:pPr>
            <w:r w:rsidRPr="00FF7BB0">
              <w:t>Adverse events, n</w:t>
            </w:r>
          </w:p>
        </w:tc>
      </w:tr>
      <w:tr w:rsidR="00205E9F" w:rsidRPr="0001290C" w14:paraId="27A7301B" w14:textId="77777777" w:rsidTr="00CF2BF0">
        <w:trPr>
          <w:trHeight w:val="590"/>
        </w:trPr>
        <w:tc>
          <w:tcPr>
            <w:tcW w:w="511" w:type="pct"/>
            <w:shd w:val="clear" w:color="auto" w:fill="auto"/>
          </w:tcPr>
          <w:p w14:paraId="4594431B" w14:textId="38BD4E89" w:rsidR="00266026" w:rsidRPr="00266026" w:rsidRDefault="00266026" w:rsidP="005A081D">
            <w:pPr>
              <w:pStyle w:val="Tablecontent"/>
              <w:spacing w:before="0" w:after="0"/>
              <w:rPr>
                <w:bCs/>
              </w:rPr>
            </w:pPr>
            <w:proofErr w:type="spellStart"/>
            <w:r>
              <w:rPr>
                <w:bCs/>
              </w:rPr>
              <w:t>Hengerer</w:t>
            </w:r>
            <w:proofErr w:type="spellEnd"/>
            <w:r>
              <w:rPr>
                <w:bCs/>
              </w:rPr>
              <w:t xml:space="preserve"> 2019</w:t>
            </w:r>
            <w:r w:rsidR="00CA64B4">
              <w:rPr>
                <w:rStyle w:val="FootnoteReference"/>
                <w:bCs/>
              </w:rPr>
              <w:footnoteReference w:id="3"/>
            </w:r>
            <w:r w:rsidR="00CA64B4">
              <w:t>;</w:t>
            </w:r>
            <w:r>
              <w:rPr>
                <w:bCs/>
              </w:rPr>
              <w:t xml:space="preserve"> </w:t>
            </w:r>
            <w:proofErr w:type="spellStart"/>
            <w:r>
              <w:rPr>
                <w:bCs/>
              </w:rPr>
              <w:t>Hengerer</w:t>
            </w:r>
            <w:proofErr w:type="spellEnd"/>
            <w:r>
              <w:rPr>
                <w:bCs/>
              </w:rPr>
              <w:t xml:space="preserve"> 2022</w:t>
            </w:r>
            <w:r w:rsidR="00CA64B4">
              <w:rPr>
                <w:rStyle w:val="FootnoteReference"/>
                <w:bCs/>
              </w:rPr>
              <w:footnoteReference w:id="4"/>
            </w:r>
          </w:p>
        </w:tc>
        <w:tc>
          <w:tcPr>
            <w:tcW w:w="680" w:type="pct"/>
            <w:shd w:val="clear" w:color="auto" w:fill="auto"/>
          </w:tcPr>
          <w:p w14:paraId="63DF4A0F" w14:textId="67D72559" w:rsidR="00205E9F" w:rsidRPr="00AD6EA8" w:rsidRDefault="00AE4F39" w:rsidP="005A081D">
            <w:pPr>
              <w:pStyle w:val="Tablecontent"/>
              <w:spacing w:before="0" w:after="0"/>
              <w:rPr>
                <w:bCs/>
              </w:rPr>
            </w:pPr>
            <w:r>
              <w:rPr>
                <w:bCs/>
              </w:rPr>
              <w:t xml:space="preserve">31 patients/ </w:t>
            </w:r>
            <w:r w:rsidR="00205E9F">
              <w:rPr>
                <w:bCs/>
              </w:rPr>
              <w:t>44</w:t>
            </w:r>
            <w:r>
              <w:rPr>
                <w:bCs/>
              </w:rPr>
              <w:t xml:space="preserve"> eyes</w:t>
            </w:r>
          </w:p>
        </w:tc>
        <w:tc>
          <w:tcPr>
            <w:tcW w:w="613" w:type="pct"/>
            <w:shd w:val="clear" w:color="auto" w:fill="auto"/>
          </w:tcPr>
          <w:p w14:paraId="082906D5" w14:textId="17AE1BAA" w:rsidR="00205E9F" w:rsidRPr="00AD6EA8" w:rsidRDefault="00D50605" w:rsidP="005A081D">
            <w:pPr>
              <w:pStyle w:val="Tablecontent"/>
              <w:spacing w:before="0" w:after="0"/>
              <w:rPr>
                <w:bCs/>
              </w:rPr>
            </w:pPr>
            <w:r>
              <w:t>P</w:t>
            </w:r>
            <w:r w:rsidR="00205E9F" w:rsidRPr="0060086F">
              <w:t>rospective, consecutive case series</w:t>
            </w:r>
          </w:p>
        </w:tc>
        <w:tc>
          <w:tcPr>
            <w:tcW w:w="631" w:type="pct"/>
          </w:tcPr>
          <w:p w14:paraId="53E248FA" w14:textId="358214A3" w:rsidR="00D711E2" w:rsidRDefault="00A225BA" w:rsidP="005A081D">
            <w:pPr>
              <w:pStyle w:val="Tablecontent"/>
              <w:spacing w:before="0" w:after="0"/>
              <w:rPr>
                <w:bCs/>
              </w:rPr>
            </w:pPr>
            <w:r w:rsidRPr="00A225BA">
              <w:rPr>
                <w:bCs/>
              </w:rPr>
              <w:t>Adults with POAG, NAG</w:t>
            </w:r>
            <w:r w:rsidR="00475CED">
              <w:rPr>
                <w:bCs/>
              </w:rPr>
              <w:t xml:space="preserve"> or</w:t>
            </w:r>
            <w:r w:rsidRPr="00A225BA">
              <w:rPr>
                <w:bCs/>
              </w:rPr>
              <w:t xml:space="preserve"> secondary glaucoma</w:t>
            </w:r>
          </w:p>
          <w:p w14:paraId="7DAE53E0" w14:textId="5A5E73E6" w:rsidR="00205E9F" w:rsidRPr="00AD6EA8" w:rsidRDefault="00A225BA" w:rsidP="005A081D">
            <w:pPr>
              <w:pStyle w:val="Tablecontent"/>
              <w:spacing w:before="0" w:after="0"/>
              <w:rPr>
                <w:bCs/>
              </w:rPr>
            </w:pPr>
            <w:r w:rsidRPr="00A225BA">
              <w:rPr>
                <w:bCs/>
              </w:rPr>
              <w:t>Inadequate response to IOP-lowering medication</w:t>
            </w:r>
          </w:p>
        </w:tc>
        <w:tc>
          <w:tcPr>
            <w:tcW w:w="628" w:type="pct"/>
            <w:vMerge/>
          </w:tcPr>
          <w:p w14:paraId="44192F23" w14:textId="2B3A7BDB" w:rsidR="00205E9F" w:rsidRPr="00AD6EA8" w:rsidRDefault="00205E9F" w:rsidP="005A081D">
            <w:pPr>
              <w:pStyle w:val="Tablecontent"/>
              <w:spacing w:before="0" w:after="0"/>
              <w:rPr>
                <w:bCs/>
              </w:rPr>
            </w:pPr>
          </w:p>
        </w:tc>
        <w:tc>
          <w:tcPr>
            <w:tcW w:w="550" w:type="pct"/>
            <w:vMerge/>
            <w:shd w:val="clear" w:color="auto" w:fill="auto"/>
          </w:tcPr>
          <w:p w14:paraId="15323346" w14:textId="77777777" w:rsidR="00205E9F" w:rsidRPr="00AD6EA8" w:rsidRDefault="00205E9F" w:rsidP="005A081D">
            <w:pPr>
              <w:pStyle w:val="Tablecontent"/>
              <w:spacing w:before="0" w:after="0"/>
              <w:rPr>
                <w:bCs/>
              </w:rPr>
            </w:pPr>
          </w:p>
        </w:tc>
        <w:tc>
          <w:tcPr>
            <w:tcW w:w="1387" w:type="pct"/>
            <w:vMerge/>
            <w:shd w:val="clear" w:color="auto" w:fill="auto"/>
          </w:tcPr>
          <w:p w14:paraId="41E5CAF0" w14:textId="77777777" w:rsidR="00205E9F" w:rsidRPr="00AD6EA8" w:rsidRDefault="00205E9F" w:rsidP="005A081D">
            <w:pPr>
              <w:pStyle w:val="Tablecontent"/>
              <w:spacing w:before="0" w:after="0"/>
              <w:rPr>
                <w:bCs/>
              </w:rPr>
            </w:pPr>
          </w:p>
        </w:tc>
      </w:tr>
      <w:tr w:rsidR="00205E9F" w:rsidRPr="0001290C" w14:paraId="601F408D" w14:textId="77777777" w:rsidTr="00CF2BF0">
        <w:trPr>
          <w:trHeight w:val="328"/>
        </w:trPr>
        <w:tc>
          <w:tcPr>
            <w:tcW w:w="511" w:type="pct"/>
            <w:shd w:val="clear" w:color="auto" w:fill="auto"/>
          </w:tcPr>
          <w:p w14:paraId="53ED4A42" w14:textId="4CCA0CD6" w:rsidR="00266026" w:rsidRPr="00266026" w:rsidRDefault="00266026" w:rsidP="005A081D">
            <w:pPr>
              <w:pStyle w:val="Tablecontent"/>
              <w:spacing w:before="0" w:after="0"/>
              <w:rPr>
                <w:bCs/>
              </w:rPr>
            </w:pPr>
            <w:r>
              <w:rPr>
                <w:bCs/>
              </w:rPr>
              <w:t>Lindstrom 2020</w:t>
            </w:r>
            <w:r w:rsidR="00CA64B4">
              <w:rPr>
                <w:rStyle w:val="FootnoteReference"/>
                <w:bCs/>
              </w:rPr>
              <w:footnoteReference w:id="5"/>
            </w:r>
          </w:p>
        </w:tc>
        <w:tc>
          <w:tcPr>
            <w:tcW w:w="680" w:type="pct"/>
            <w:shd w:val="clear" w:color="auto" w:fill="auto"/>
          </w:tcPr>
          <w:p w14:paraId="5146A6A2" w14:textId="77777777" w:rsidR="00205E9F" w:rsidRPr="00AD6EA8" w:rsidRDefault="00205E9F" w:rsidP="005A081D">
            <w:pPr>
              <w:pStyle w:val="Tablecontent"/>
              <w:spacing w:before="0" w:after="0"/>
              <w:rPr>
                <w:bCs/>
              </w:rPr>
            </w:pPr>
            <w:r>
              <w:rPr>
                <w:bCs/>
              </w:rPr>
              <w:t>57</w:t>
            </w:r>
          </w:p>
        </w:tc>
        <w:tc>
          <w:tcPr>
            <w:tcW w:w="613" w:type="pct"/>
            <w:shd w:val="clear" w:color="auto" w:fill="auto"/>
          </w:tcPr>
          <w:p w14:paraId="1E737AD5" w14:textId="4E9FD95F" w:rsidR="00205E9F" w:rsidRPr="00AD6EA8" w:rsidRDefault="00D50605" w:rsidP="005A081D">
            <w:pPr>
              <w:pStyle w:val="Tablecontent"/>
              <w:spacing w:before="0" w:after="0"/>
              <w:rPr>
                <w:bCs/>
              </w:rPr>
            </w:pPr>
            <w:r>
              <w:t>P</w:t>
            </w:r>
            <w:r w:rsidR="00205E9F" w:rsidRPr="0060086F">
              <w:t>rospective, single</w:t>
            </w:r>
            <w:r w:rsidR="009312B5">
              <w:t xml:space="preserve"> </w:t>
            </w:r>
            <w:r w:rsidR="00205E9F" w:rsidRPr="0060086F">
              <w:t>arm</w:t>
            </w:r>
            <w:r w:rsidR="00205E9F">
              <w:t>, single</w:t>
            </w:r>
            <w:r w:rsidR="009312B5">
              <w:t xml:space="preserve"> </w:t>
            </w:r>
            <w:r w:rsidR="00205E9F">
              <w:t>surgeon</w:t>
            </w:r>
          </w:p>
        </w:tc>
        <w:tc>
          <w:tcPr>
            <w:tcW w:w="631" w:type="pct"/>
          </w:tcPr>
          <w:p w14:paraId="1F685EC3" w14:textId="01B6278F" w:rsidR="00205E9F" w:rsidRPr="00AD6EA8" w:rsidRDefault="00E84C72" w:rsidP="005A081D">
            <w:pPr>
              <w:pStyle w:val="Tablecontent"/>
              <w:spacing w:before="0" w:after="0"/>
              <w:rPr>
                <w:bCs/>
              </w:rPr>
            </w:pPr>
            <w:r w:rsidRPr="00E84C72">
              <w:rPr>
                <w:bCs/>
              </w:rPr>
              <w:t>Adults with POAG with 1 IOP-lowering medication</w:t>
            </w:r>
          </w:p>
        </w:tc>
        <w:tc>
          <w:tcPr>
            <w:tcW w:w="628" w:type="pct"/>
            <w:vMerge/>
          </w:tcPr>
          <w:p w14:paraId="3B166DE8" w14:textId="2C5A4DD3" w:rsidR="00205E9F" w:rsidRPr="00AD6EA8" w:rsidRDefault="00205E9F" w:rsidP="005A081D">
            <w:pPr>
              <w:pStyle w:val="Tablecontent"/>
              <w:spacing w:before="0" w:after="0"/>
              <w:rPr>
                <w:bCs/>
              </w:rPr>
            </w:pPr>
          </w:p>
        </w:tc>
        <w:tc>
          <w:tcPr>
            <w:tcW w:w="550" w:type="pct"/>
            <w:vMerge/>
            <w:shd w:val="clear" w:color="auto" w:fill="auto"/>
          </w:tcPr>
          <w:p w14:paraId="66832DFA" w14:textId="77777777" w:rsidR="00205E9F" w:rsidRPr="00AD6EA8" w:rsidRDefault="00205E9F" w:rsidP="005A081D">
            <w:pPr>
              <w:pStyle w:val="Tablecontent"/>
              <w:spacing w:before="0" w:after="0"/>
              <w:rPr>
                <w:bCs/>
              </w:rPr>
            </w:pPr>
          </w:p>
        </w:tc>
        <w:tc>
          <w:tcPr>
            <w:tcW w:w="1387" w:type="pct"/>
            <w:vMerge/>
            <w:shd w:val="clear" w:color="auto" w:fill="auto"/>
          </w:tcPr>
          <w:p w14:paraId="5187C1B6" w14:textId="77777777" w:rsidR="00205E9F" w:rsidRPr="00AD6EA8" w:rsidRDefault="00205E9F" w:rsidP="005A081D">
            <w:pPr>
              <w:pStyle w:val="Tablecontent"/>
              <w:spacing w:before="0" w:after="0"/>
              <w:rPr>
                <w:bCs/>
              </w:rPr>
            </w:pPr>
          </w:p>
        </w:tc>
      </w:tr>
      <w:tr w:rsidR="00205E9F" w:rsidRPr="0001290C" w14:paraId="537066DD" w14:textId="77777777" w:rsidTr="00CF2BF0">
        <w:trPr>
          <w:trHeight w:val="271"/>
        </w:trPr>
        <w:tc>
          <w:tcPr>
            <w:tcW w:w="511" w:type="pct"/>
            <w:shd w:val="clear" w:color="auto" w:fill="auto"/>
          </w:tcPr>
          <w:p w14:paraId="29FC4E78" w14:textId="2A6487D3" w:rsidR="00266026" w:rsidRPr="00266026" w:rsidRDefault="00266026" w:rsidP="005A081D">
            <w:pPr>
              <w:pStyle w:val="Tablecontent"/>
              <w:spacing w:before="0" w:after="0"/>
              <w:rPr>
                <w:bCs/>
              </w:rPr>
            </w:pPr>
            <w:proofErr w:type="spellStart"/>
            <w:r>
              <w:rPr>
                <w:bCs/>
              </w:rPr>
              <w:t>Arnlijots</w:t>
            </w:r>
            <w:proofErr w:type="spellEnd"/>
            <w:r>
              <w:rPr>
                <w:bCs/>
              </w:rPr>
              <w:t xml:space="preserve"> 2021</w:t>
            </w:r>
            <w:r w:rsidR="00CA64B4">
              <w:rPr>
                <w:rStyle w:val="FootnoteReference"/>
                <w:bCs/>
              </w:rPr>
              <w:footnoteReference w:id="6"/>
            </w:r>
          </w:p>
        </w:tc>
        <w:tc>
          <w:tcPr>
            <w:tcW w:w="680" w:type="pct"/>
            <w:shd w:val="clear" w:color="auto" w:fill="auto"/>
          </w:tcPr>
          <w:p w14:paraId="4F5B24FD" w14:textId="77777777" w:rsidR="00205E9F" w:rsidRPr="00AD6EA8" w:rsidRDefault="00205E9F" w:rsidP="005A081D">
            <w:pPr>
              <w:pStyle w:val="Tablecontent"/>
              <w:spacing w:before="0" w:after="0"/>
              <w:rPr>
                <w:bCs/>
              </w:rPr>
            </w:pPr>
            <w:r>
              <w:rPr>
                <w:bCs/>
              </w:rPr>
              <w:t>14 eyes</w:t>
            </w:r>
          </w:p>
        </w:tc>
        <w:tc>
          <w:tcPr>
            <w:tcW w:w="613" w:type="pct"/>
            <w:shd w:val="clear" w:color="auto" w:fill="auto"/>
          </w:tcPr>
          <w:p w14:paraId="76A6DE1D" w14:textId="77777777" w:rsidR="00205E9F" w:rsidRPr="00AD6EA8" w:rsidRDefault="00205E9F" w:rsidP="005A081D">
            <w:pPr>
              <w:pStyle w:val="Tablecontent"/>
              <w:spacing w:before="0" w:after="0"/>
              <w:rPr>
                <w:bCs/>
              </w:rPr>
            </w:pPr>
            <w:proofErr w:type="gramStart"/>
            <w:r w:rsidRPr="0060086F">
              <w:t>Retrospective,  interventional</w:t>
            </w:r>
            <w:proofErr w:type="gramEnd"/>
            <w:r w:rsidRPr="0060086F">
              <w:t xml:space="preserve"> case series</w:t>
            </w:r>
          </w:p>
        </w:tc>
        <w:tc>
          <w:tcPr>
            <w:tcW w:w="631" w:type="pct"/>
          </w:tcPr>
          <w:p w14:paraId="0FF06D50" w14:textId="4C400DAB" w:rsidR="00205E9F" w:rsidRPr="00AD6EA8" w:rsidRDefault="0070619F" w:rsidP="005A081D">
            <w:pPr>
              <w:pStyle w:val="Tablecontent"/>
              <w:spacing w:before="0" w:after="0"/>
              <w:rPr>
                <w:bCs/>
              </w:rPr>
            </w:pPr>
            <w:r w:rsidRPr="0070619F">
              <w:rPr>
                <w:bCs/>
              </w:rPr>
              <w:t>Adult with mild to moderate OAG</w:t>
            </w:r>
          </w:p>
        </w:tc>
        <w:tc>
          <w:tcPr>
            <w:tcW w:w="628" w:type="pct"/>
            <w:vMerge/>
          </w:tcPr>
          <w:p w14:paraId="6B96F387" w14:textId="4635905F" w:rsidR="00205E9F" w:rsidRPr="00AD6EA8" w:rsidRDefault="00205E9F" w:rsidP="005A081D">
            <w:pPr>
              <w:pStyle w:val="Tablecontent"/>
              <w:spacing w:before="0" w:after="0"/>
              <w:rPr>
                <w:bCs/>
              </w:rPr>
            </w:pPr>
          </w:p>
        </w:tc>
        <w:tc>
          <w:tcPr>
            <w:tcW w:w="550" w:type="pct"/>
            <w:vMerge/>
            <w:shd w:val="clear" w:color="auto" w:fill="auto"/>
          </w:tcPr>
          <w:p w14:paraId="19097E94" w14:textId="77777777" w:rsidR="00205E9F" w:rsidRPr="00AD6EA8" w:rsidRDefault="00205E9F" w:rsidP="005A081D">
            <w:pPr>
              <w:pStyle w:val="Tablecontent"/>
              <w:spacing w:before="0" w:after="0"/>
              <w:rPr>
                <w:bCs/>
              </w:rPr>
            </w:pPr>
          </w:p>
        </w:tc>
        <w:tc>
          <w:tcPr>
            <w:tcW w:w="1387" w:type="pct"/>
            <w:vMerge/>
            <w:shd w:val="clear" w:color="auto" w:fill="auto"/>
          </w:tcPr>
          <w:p w14:paraId="1C49B9FA" w14:textId="77777777" w:rsidR="00205E9F" w:rsidRPr="00AD6EA8" w:rsidRDefault="00205E9F" w:rsidP="005A081D">
            <w:pPr>
              <w:pStyle w:val="Tablecontent"/>
              <w:spacing w:before="0" w:after="0"/>
              <w:rPr>
                <w:bCs/>
              </w:rPr>
            </w:pPr>
          </w:p>
        </w:tc>
      </w:tr>
      <w:tr w:rsidR="00205E9F" w:rsidRPr="0001290C" w14:paraId="2091A2A2" w14:textId="77777777" w:rsidTr="00CF2BF0">
        <w:trPr>
          <w:trHeight w:val="398"/>
        </w:trPr>
        <w:tc>
          <w:tcPr>
            <w:tcW w:w="511" w:type="pct"/>
            <w:shd w:val="clear" w:color="auto" w:fill="auto"/>
          </w:tcPr>
          <w:p w14:paraId="1A270B39" w14:textId="290D9CC5" w:rsidR="00266026" w:rsidRPr="00266026" w:rsidRDefault="00266026" w:rsidP="005A081D">
            <w:pPr>
              <w:pStyle w:val="Tablecontent"/>
              <w:spacing w:before="0" w:after="0"/>
              <w:rPr>
                <w:bCs/>
              </w:rPr>
            </w:pPr>
            <w:proofErr w:type="spellStart"/>
            <w:r>
              <w:rPr>
                <w:bCs/>
              </w:rPr>
              <w:t>Pahlitzsch</w:t>
            </w:r>
            <w:proofErr w:type="spellEnd"/>
            <w:r>
              <w:rPr>
                <w:bCs/>
              </w:rPr>
              <w:t xml:space="preserve"> 2021</w:t>
            </w:r>
            <w:r w:rsidR="00242C11">
              <w:rPr>
                <w:rStyle w:val="FootnoteReference"/>
                <w:bCs/>
              </w:rPr>
              <w:footnoteReference w:id="7"/>
            </w:r>
          </w:p>
        </w:tc>
        <w:tc>
          <w:tcPr>
            <w:tcW w:w="680" w:type="pct"/>
            <w:shd w:val="clear" w:color="auto" w:fill="auto"/>
          </w:tcPr>
          <w:p w14:paraId="66E64280" w14:textId="77777777" w:rsidR="00205E9F" w:rsidRPr="00AD6EA8" w:rsidRDefault="00205E9F" w:rsidP="005A081D">
            <w:pPr>
              <w:pStyle w:val="Tablecontent"/>
              <w:spacing w:before="0" w:after="0"/>
              <w:rPr>
                <w:bCs/>
              </w:rPr>
            </w:pPr>
            <w:r>
              <w:rPr>
                <w:bCs/>
              </w:rPr>
              <w:t>66</w:t>
            </w:r>
          </w:p>
        </w:tc>
        <w:tc>
          <w:tcPr>
            <w:tcW w:w="613" w:type="pct"/>
            <w:shd w:val="clear" w:color="auto" w:fill="auto"/>
          </w:tcPr>
          <w:p w14:paraId="2A921C91" w14:textId="5E8FC669" w:rsidR="00205E9F" w:rsidRPr="00AD6EA8" w:rsidRDefault="00205E9F" w:rsidP="005A081D">
            <w:pPr>
              <w:pStyle w:val="Tablecontent"/>
              <w:spacing w:before="0" w:after="0"/>
              <w:rPr>
                <w:bCs/>
              </w:rPr>
            </w:pPr>
            <w:r>
              <w:t>R</w:t>
            </w:r>
            <w:r w:rsidRPr="0060086F">
              <w:t>etrospective, single</w:t>
            </w:r>
            <w:r w:rsidR="009312B5">
              <w:t xml:space="preserve"> </w:t>
            </w:r>
            <w:r w:rsidRPr="0060086F">
              <w:t xml:space="preserve">centre </w:t>
            </w:r>
          </w:p>
        </w:tc>
        <w:tc>
          <w:tcPr>
            <w:tcW w:w="631" w:type="pct"/>
          </w:tcPr>
          <w:p w14:paraId="5B639891" w14:textId="3D19C071" w:rsidR="00205E9F" w:rsidRPr="00AD6EA8" w:rsidRDefault="00957138" w:rsidP="005A081D">
            <w:pPr>
              <w:pStyle w:val="Tablecontent"/>
              <w:spacing w:before="0" w:after="0"/>
              <w:rPr>
                <w:bCs/>
              </w:rPr>
            </w:pPr>
            <w:r w:rsidRPr="00957138">
              <w:rPr>
                <w:bCs/>
              </w:rPr>
              <w:t xml:space="preserve">Adults with POAG which had received </w:t>
            </w:r>
            <w:proofErr w:type="spellStart"/>
            <w:r w:rsidRPr="00957138">
              <w:rPr>
                <w:bCs/>
              </w:rPr>
              <w:t>iStent</w:t>
            </w:r>
            <w:proofErr w:type="spellEnd"/>
          </w:p>
        </w:tc>
        <w:tc>
          <w:tcPr>
            <w:tcW w:w="628" w:type="pct"/>
            <w:vMerge/>
          </w:tcPr>
          <w:p w14:paraId="4EBFABE0" w14:textId="42F8BC7B" w:rsidR="00205E9F" w:rsidRPr="00AD6EA8" w:rsidRDefault="00205E9F" w:rsidP="005A081D">
            <w:pPr>
              <w:pStyle w:val="Tablecontent"/>
              <w:spacing w:before="0" w:after="0"/>
              <w:rPr>
                <w:bCs/>
              </w:rPr>
            </w:pPr>
          </w:p>
        </w:tc>
        <w:tc>
          <w:tcPr>
            <w:tcW w:w="550" w:type="pct"/>
            <w:vMerge/>
            <w:shd w:val="clear" w:color="auto" w:fill="auto"/>
          </w:tcPr>
          <w:p w14:paraId="2A317CCE" w14:textId="77777777" w:rsidR="00205E9F" w:rsidRPr="00AD6EA8" w:rsidRDefault="00205E9F" w:rsidP="005A081D">
            <w:pPr>
              <w:pStyle w:val="Tablecontent"/>
              <w:spacing w:before="0" w:after="0"/>
              <w:rPr>
                <w:bCs/>
              </w:rPr>
            </w:pPr>
          </w:p>
        </w:tc>
        <w:tc>
          <w:tcPr>
            <w:tcW w:w="1387" w:type="pct"/>
            <w:vMerge/>
            <w:shd w:val="clear" w:color="auto" w:fill="auto"/>
          </w:tcPr>
          <w:p w14:paraId="478DA8CD" w14:textId="77777777" w:rsidR="00205E9F" w:rsidRPr="00AD6EA8" w:rsidRDefault="00205E9F" w:rsidP="005A081D">
            <w:pPr>
              <w:pStyle w:val="Tablecontent"/>
              <w:spacing w:before="0" w:after="0"/>
              <w:rPr>
                <w:bCs/>
              </w:rPr>
            </w:pPr>
          </w:p>
        </w:tc>
      </w:tr>
      <w:tr w:rsidR="00205E9F" w:rsidRPr="0001290C" w14:paraId="29E7F45F" w14:textId="77777777" w:rsidTr="00CF2BF0">
        <w:trPr>
          <w:trHeight w:val="258"/>
        </w:trPr>
        <w:tc>
          <w:tcPr>
            <w:tcW w:w="511" w:type="pct"/>
            <w:shd w:val="clear" w:color="auto" w:fill="auto"/>
          </w:tcPr>
          <w:p w14:paraId="0E18D262" w14:textId="4710E93C" w:rsidR="00266026" w:rsidRPr="00266026" w:rsidRDefault="00266026" w:rsidP="005A081D">
            <w:pPr>
              <w:pStyle w:val="Tablecontent"/>
              <w:spacing w:before="0" w:after="0"/>
            </w:pPr>
            <w:r>
              <w:rPr>
                <w:bCs/>
              </w:rPr>
              <w:t>Katz 2018</w:t>
            </w:r>
            <w:r w:rsidR="00242C11">
              <w:rPr>
                <w:rStyle w:val="FootnoteReference"/>
                <w:bCs/>
              </w:rPr>
              <w:footnoteReference w:id="8"/>
            </w:r>
          </w:p>
        </w:tc>
        <w:tc>
          <w:tcPr>
            <w:tcW w:w="680" w:type="pct"/>
            <w:shd w:val="clear" w:color="auto" w:fill="auto"/>
          </w:tcPr>
          <w:p w14:paraId="694BAF8C" w14:textId="77777777" w:rsidR="00205E9F" w:rsidRPr="00AD6EA8" w:rsidRDefault="00205E9F" w:rsidP="005A081D">
            <w:pPr>
              <w:pStyle w:val="Tablecontent"/>
              <w:spacing w:before="0" w:after="0"/>
              <w:rPr>
                <w:bCs/>
              </w:rPr>
            </w:pPr>
            <w:r>
              <w:rPr>
                <w:bCs/>
              </w:rPr>
              <w:t>41</w:t>
            </w:r>
          </w:p>
        </w:tc>
        <w:tc>
          <w:tcPr>
            <w:tcW w:w="613" w:type="pct"/>
            <w:shd w:val="clear" w:color="auto" w:fill="auto"/>
          </w:tcPr>
          <w:p w14:paraId="179A85AC" w14:textId="259790D8" w:rsidR="00205E9F" w:rsidRPr="003F7BA0" w:rsidRDefault="00205E9F" w:rsidP="005A081D">
            <w:pPr>
              <w:pStyle w:val="Tablecontent"/>
              <w:spacing w:before="0" w:after="0"/>
            </w:pPr>
            <w:r w:rsidRPr="003F7BA0">
              <w:t>Prospective, randomi</w:t>
            </w:r>
            <w:r w:rsidR="00D34875" w:rsidRPr="003F7BA0">
              <w:t>s</w:t>
            </w:r>
            <w:r w:rsidRPr="003F7BA0">
              <w:t>ed, open</w:t>
            </w:r>
            <w:r w:rsidR="009312B5" w:rsidRPr="003F7BA0">
              <w:t xml:space="preserve"> </w:t>
            </w:r>
            <w:r w:rsidRPr="003F7BA0">
              <w:t>label*</w:t>
            </w:r>
          </w:p>
        </w:tc>
        <w:tc>
          <w:tcPr>
            <w:tcW w:w="631" w:type="pct"/>
          </w:tcPr>
          <w:p w14:paraId="170FE806" w14:textId="6D3D0053" w:rsidR="00205E9F" w:rsidRPr="003F7BA0" w:rsidRDefault="00535F01" w:rsidP="005A081D">
            <w:pPr>
              <w:pStyle w:val="Tablecontent"/>
              <w:spacing w:before="0" w:after="0"/>
            </w:pPr>
            <w:r w:rsidRPr="003F7BA0">
              <w:t>Adults with OAG on 1</w:t>
            </w:r>
            <w:r w:rsidR="00214543" w:rsidRPr="003F7BA0">
              <w:t>–</w:t>
            </w:r>
            <w:r w:rsidRPr="003F7BA0">
              <w:t>3 IOP-lowering medication</w:t>
            </w:r>
          </w:p>
        </w:tc>
        <w:tc>
          <w:tcPr>
            <w:tcW w:w="628" w:type="pct"/>
            <w:vMerge/>
          </w:tcPr>
          <w:p w14:paraId="083193B0" w14:textId="4FB2BD2B" w:rsidR="00205E9F" w:rsidRPr="00AD6EA8" w:rsidRDefault="00205E9F" w:rsidP="005A081D">
            <w:pPr>
              <w:pStyle w:val="Tablecontent"/>
              <w:spacing w:before="0" w:after="0"/>
              <w:rPr>
                <w:bCs/>
              </w:rPr>
            </w:pPr>
          </w:p>
        </w:tc>
        <w:tc>
          <w:tcPr>
            <w:tcW w:w="550" w:type="pct"/>
            <w:vMerge/>
            <w:shd w:val="clear" w:color="auto" w:fill="auto"/>
          </w:tcPr>
          <w:p w14:paraId="70FB6B33" w14:textId="77777777" w:rsidR="00205E9F" w:rsidRPr="00AD6EA8" w:rsidRDefault="00205E9F" w:rsidP="005A081D">
            <w:pPr>
              <w:pStyle w:val="Tablecontent"/>
              <w:spacing w:before="0" w:after="0"/>
              <w:rPr>
                <w:bCs/>
              </w:rPr>
            </w:pPr>
          </w:p>
        </w:tc>
        <w:tc>
          <w:tcPr>
            <w:tcW w:w="1387" w:type="pct"/>
            <w:vMerge/>
            <w:shd w:val="clear" w:color="auto" w:fill="auto"/>
          </w:tcPr>
          <w:p w14:paraId="784C806E" w14:textId="77777777" w:rsidR="00205E9F" w:rsidRPr="00AD6EA8" w:rsidRDefault="00205E9F" w:rsidP="005A081D">
            <w:pPr>
              <w:pStyle w:val="Tablecontent"/>
              <w:spacing w:before="0" w:after="0"/>
              <w:rPr>
                <w:bCs/>
              </w:rPr>
            </w:pPr>
          </w:p>
        </w:tc>
      </w:tr>
      <w:tr w:rsidR="00205E9F" w:rsidRPr="0001290C" w14:paraId="387D508B" w14:textId="77777777" w:rsidTr="00CF2BF0">
        <w:trPr>
          <w:trHeight w:val="319"/>
        </w:trPr>
        <w:tc>
          <w:tcPr>
            <w:tcW w:w="511" w:type="pct"/>
            <w:shd w:val="clear" w:color="auto" w:fill="auto"/>
          </w:tcPr>
          <w:p w14:paraId="4296B674" w14:textId="10C62A60" w:rsidR="00266026" w:rsidRPr="00266026" w:rsidRDefault="00266026" w:rsidP="005A081D">
            <w:pPr>
              <w:pStyle w:val="Tablecontent"/>
              <w:spacing w:before="0" w:after="0"/>
              <w:rPr>
                <w:bCs/>
              </w:rPr>
            </w:pPr>
            <w:r>
              <w:rPr>
                <w:bCs/>
              </w:rPr>
              <w:t>Ahme</w:t>
            </w:r>
            <w:r w:rsidR="00162296">
              <w:rPr>
                <w:bCs/>
              </w:rPr>
              <w:t>d 2020</w:t>
            </w:r>
            <w:r w:rsidR="00242C11">
              <w:rPr>
                <w:rStyle w:val="FootnoteReference"/>
                <w:bCs/>
              </w:rPr>
              <w:footnoteReference w:id="9"/>
            </w:r>
          </w:p>
        </w:tc>
        <w:tc>
          <w:tcPr>
            <w:tcW w:w="680" w:type="pct"/>
            <w:shd w:val="clear" w:color="auto" w:fill="auto"/>
          </w:tcPr>
          <w:p w14:paraId="2AE26718" w14:textId="53DF3562" w:rsidR="00205E9F" w:rsidRPr="00AD6EA8" w:rsidRDefault="00205E9F" w:rsidP="005A081D">
            <w:pPr>
              <w:pStyle w:val="Tablecontent"/>
              <w:spacing w:before="0" w:after="0"/>
              <w:rPr>
                <w:bCs/>
              </w:rPr>
            </w:pPr>
            <w:r>
              <w:rPr>
                <w:bCs/>
              </w:rPr>
              <w:t>77 (</w:t>
            </w:r>
            <w:proofErr w:type="spellStart"/>
            <w:r w:rsidRPr="00FF624D">
              <w:rPr>
                <w:bCs/>
              </w:rPr>
              <w:t>iStent</w:t>
            </w:r>
            <w:proofErr w:type="spellEnd"/>
            <w:r w:rsidRPr="00FF624D">
              <w:rPr>
                <w:bCs/>
              </w:rPr>
              <w:t xml:space="preserve"> ar</w:t>
            </w:r>
            <w:r w:rsidR="00012319">
              <w:rPr>
                <w:bCs/>
              </w:rPr>
              <w:t>m</w:t>
            </w:r>
            <w:r>
              <w:rPr>
                <w:bCs/>
              </w:rPr>
              <w:t>)</w:t>
            </w:r>
          </w:p>
        </w:tc>
        <w:tc>
          <w:tcPr>
            <w:tcW w:w="613" w:type="pct"/>
            <w:shd w:val="clear" w:color="auto" w:fill="auto"/>
          </w:tcPr>
          <w:p w14:paraId="4A99CD39" w14:textId="6A9AD2FC" w:rsidR="00205E9F" w:rsidRPr="00995E2D" w:rsidRDefault="00205E9F" w:rsidP="005A081D">
            <w:pPr>
              <w:pStyle w:val="Tablecontent"/>
              <w:spacing w:before="0" w:after="0"/>
            </w:pPr>
            <w:r>
              <w:t>Prospective, multicentre, randomised, single masked*</w:t>
            </w:r>
            <w:r w:rsidR="002F4EB4">
              <w:t>*</w:t>
            </w:r>
          </w:p>
        </w:tc>
        <w:tc>
          <w:tcPr>
            <w:tcW w:w="631" w:type="pct"/>
          </w:tcPr>
          <w:p w14:paraId="6D2AB5C7" w14:textId="33E9BB21" w:rsidR="00205E9F" w:rsidRPr="00AD6EA8" w:rsidRDefault="00E91B78" w:rsidP="005A081D">
            <w:pPr>
              <w:pStyle w:val="Tablecontent"/>
              <w:spacing w:before="0" w:after="0"/>
              <w:rPr>
                <w:bCs/>
              </w:rPr>
            </w:pPr>
            <w:r w:rsidRPr="00E91B78">
              <w:rPr>
                <w:bCs/>
              </w:rPr>
              <w:t>Adults with OAG</w:t>
            </w:r>
          </w:p>
        </w:tc>
        <w:tc>
          <w:tcPr>
            <w:tcW w:w="628" w:type="pct"/>
            <w:vMerge/>
          </w:tcPr>
          <w:p w14:paraId="0226FB32" w14:textId="223F303F" w:rsidR="00205E9F" w:rsidRPr="00AD6EA8" w:rsidRDefault="00205E9F" w:rsidP="005A081D">
            <w:pPr>
              <w:pStyle w:val="Tablecontent"/>
              <w:spacing w:before="0" w:after="0"/>
              <w:rPr>
                <w:bCs/>
              </w:rPr>
            </w:pPr>
          </w:p>
        </w:tc>
        <w:tc>
          <w:tcPr>
            <w:tcW w:w="550" w:type="pct"/>
            <w:vMerge/>
            <w:shd w:val="clear" w:color="auto" w:fill="auto"/>
          </w:tcPr>
          <w:p w14:paraId="2C7F5301" w14:textId="77777777" w:rsidR="00205E9F" w:rsidRPr="00AD6EA8" w:rsidRDefault="00205E9F" w:rsidP="005A081D">
            <w:pPr>
              <w:pStyle w:val="Tablecontent"/>
              <w:spacing w:before="0" w:after="0"/>
              <w:rPr>
                <w:bCs/>
              </w:rPr>
            </w:pPr>
          </w:p>
        </w:tc>
        <w:tc>
          <w:tcPr>
            <w:tcW w:w="1387" w:type="pct"/>
            <w:vMerge/>
            <w:shd w:val="clear" w:color="auto" w:fill="auto"/>
          </w:tcPr>
          <w:p w14:paraId="2BA01CCB" w14:textId="77777777" w:rsidR="00205E9F" w:rsidRPr="00AD6EA8" w:rsidRDefault="00205E9F" w:rsidP="005A081D">
            <w:pPr>
              <w:pStyle w:val="Tablecontent"/>
              <w:spacing w:before="0" w:after="0"/>
              <w:rPr>
                <w:bCs/>
              </w:rPr>
            </w:pPr>
          </w:p>
        </w:tc>
      </w:tr>
    </w:tbl>
    <w:bookmarkEnd w:id="11"/>
    <w:p w14:paraId="4DD3F639" w14:textId="4ADAECB9" w:rsidR="006F0CE5" w:rsidRPr="00AD31F1" w:rsidRDefault="001D3FB6" w:rsidP="005A081D">
      <w:pPr>
        <w:pStyle w:val="Tablenotes0"/>
        <w:spacing w:before="0"/>
      </w:pPr>
      <w:r w:rsidRPr="00AD31F1">
        <w:rPr>
          <w:u w:val="single"/>
        </w:rPr>
        <w:t>Abbreviations</w:t>
      </w:r>
      <w:r w:rsidRPr="00AD31F1">
        <w:t>: IOP = intraocular pressure, mm Hg = millimetres of mercury, OAP = open</w:t>
      </w:r>
      <w:r w:rsidR="00580781" w:rsidRPr="00AD31F1">
        <w:t xml:space="preserve"> </w:t>
      </w:r>
      <w:r w:rsidRPr="00AD31F1">
        <w:t>angle glaucoma, POAG = primary open</w:t>
      </w:r>
      <w:r w:rsidR="00580781" w:rsidRPr="00AD31F1">
        <w:t xml:space="preserve"> </w:t>
      </w:r>
      <w:r w:rsidRPr="00AD31F1">
        <w:t>angle glaucoma, SOAG = secondary open</w:t>
      </w:r>
      <w:r w:rsidR="00580781" w:rsidRPr="00AD31F1">
        <w:t xml:space="preserve"> </w:t>
      </w:r>
      <w:r w:rsidRPr="00AD31F1">
        <w:t>angle glaucoma</w:t>
      </w:r>
    </w:p>
    <w:p w14:paraId="6DC0B083" w14:textId="144075B2" w:rsidR="009E3B02" w:rsidRDefault="009E3B02" w:rsidP="005A081D">
      <w:pPr>
        <w:pStyle w:val="Tablenotes0"/>
        <w:spacing w:after="0"/>
        <w:contextualSpacing w:val="0"/>
      </w:pPr>
      <w:r w:rsidRPr="00AD31F1">
        <w:rPr>
          <w:u w:val="single"/>
        </w:rPr>
        <w:t>Source:</w:t>
      </w:r>
      <w:r w:rsidRPr="00AD31F1">
        <w:t xml:space="preserve"> Table 6 of ADAR submission</w:t>
      </w:r>
    </w:p>
    <w:p w14:paraId="1D3588D0" w14:textId="77777777" w:rsidR="00CF3E4C" w:rsidRPr="00AD31F1" w:rsidRDefault="00CF3E4C" w:rsidP="005A081D">
      <w:pPr>
        <w:pStyle w:val="Tablenotes0"/>
        <w:spacing w:before="0"/>
      </w:pPr>
      <w:r w:rsidRPr="00AD31F1">
        <w:t xml:space="preserve">* Only the 2 (n=41) </w:t>
      </w:r>
      <w:proofErr w:type="spellStart"/>
      <w:r w:rsidRPr="00AD31F1">
        <w:t>iStent</w:t>
      </w:r>
      <w:proofErr w:type="spellEnd"/>
      <w:r w:rsidRPr="00AD31F1">
        <w:t xml:space="preserve"> arm was included in this analysis.</w:t>
      </w:r>
    </w:p>
    <w:p w14:paraId="423598D9" w14:textId="09F7E1DC" w:rsidR="00CF3E4C" w:rsidRPr="00AD31F1" w:rsidRDefault="00CF3E4C" w:rsidP="001D3FB6">
      <w:pPr>
        <w:pStyle w:val="Tablenotes0"/>
      </w:pPr>
      <w:r w:rsidRPr="00AD31F1">
        <w:lastRenderedPageBreak/>
        <w:t xml:space="preserve">** Only the </w:t>
      </w:r>
      <w:proofErr w:type="spellStart"/>
      <w:r w:rsidRPr="00AD31F1">
        <w:t>iStent</w:t>
      </w:r>
      <w:proofErr w:type="spellEnd"/>
      <w:r w:rsidRPr="00AD31F1">
        <w:t xml:space="preserve"> arm was included in this analysis.</w:t>
      </w:r>
    </w:p>
    <w:p w14:paraId="346B3CF9" w14:textId="18A0B6F4" w:rsidR="00AD7ACD" w:rsidRPr="00A63391" w:rsidRDefault="00D213D2" w:rsidP="003A749F">
      <w:pPr>
        <w:pStyle w:val="Heading3"/>
      </w:pPr>
      <w:r w:rsidRPr="00D632A8">
        <w:t>Statistical</w:t>
      </w:r>
      <w:r>
        <w:t xml:space="preserve"> analysis </w:t>
      </w:r>
    </w:p>
    <w:p w14:paraId="0A7D6FDD" w14:textId="3A0791ED" w:rsidR="00C71B36" w:rsidRDefault="00063505" w:rsidP="00CF3A89">
      <w:pPr>
        <w:pStyle w:val="ADARbodytext"/>
        <w:spacing w:after="120" w:line="240" w:lineRule="auto"/>
        <w:rPr>
          <w:rFonts w:ascii="Franklin Gothic Book" w:hAnsi="Franklin Gothic Book" w:cstheme="minorBidi"/>
        </w:rPr>
      </w:pPr>
      <w:r w:rsidRPr="00CF3A89">
        <w:rPr>
          <w:rFonts w:ascii="Franklin Gothic Book" w:hAnsi="Franklin Gothic Book" w:cstheme="minorBidi"/>
        </w:rPr>
        <w:t xml:space="preserve">Given none of the identified trials directly compared </w:t>
      </w:r>
      <w:proofErr w:type="spellStart"/>
      <w:r w:rsidR="00AD7ACD" w:rsidRPr="00CF3A89">
        <w:rPr>
          <w:rFonts w:ascii="Franklin Gothic Book" w:hAnsi="Franklin Gothic Book" w:cstheme="minorBidi"/>
        </w:rPr>
        <w:t>MINIject</w:t>
      </w:r>
      <w:proofErr w:type="spellEnd"/>
      <w:r w:rsidR="00AD7ACD" w:rsidRPr="00CF3A89">
        <w:rPr>
          <w:rFonts w:ascii="Franklin Gothic Book" w:hAnsi="Franklin Gothic Book" w:cstheme="minorBidi"/>
        </w:rPr>
        <w:t xml:space="preserve"> </w:t>
      </w:r>
      <w:r w:rsidR="009F5ECD">
        <w:rPr>
          <w:rFonts w:ascii="Franklin Gothic Book" w:hAnsi="Franklin Gothic Book" w:cstheme="minorBidi"/>
        </w:rPr>
        <w:t>with</w:t>
      </w:r>
      <w:r w:rsidR="009F5ECD" w:rsidRPr="00CF3A89">
        <w:rPr>
          <w:rFonts w:ascii="Franklin Gothic Book" w:hAnsi="Franklin Gothic Book" w:cstheme="minorBidi"/>
        </w:rPr>
        <w:t xml:space="preserve"> </w:t>
      </w:r>
      <w:proofErr w:type="spellStart"/>
      <w:r w:rsidR="00AD7ACD" w:rsidRPr="00CF3A89">
        <w:rPr>
          <w:rFonts w:ascii="Franklin Gothic Book" w:hAnsi="Franklin Gothic Book" w:cstheme="minorBidi"/>
        </w:rPr>
        <w:t>iStent</w:t>
      </w:r>
      <w:proofErr w:type="spellEnd"/>
      <w:r w:rsidR="00AD7ACD" w:rsidRPr="00CF3A89">
        <w:rPr>
          <w:rFonts w:ascii="Franklin Gothic Book" w:hAnsi="Franklin Gothic Book" w:cstheme="minorBidi"/>
        </w:rPr>
        <w:t>, a</w:t>
      </w:r>
      <w:r w:rsidR="00F80025" w:rsidRPr="00CF3A89">
        <w:rPr>
          <w:rFonts w:ascii="Franklin Gothic Book" w:hAnsi="Franklin Gothic Book" w:cstheme="minorBidi"/>
        </w:rPr>
        <w:t xml:space="preserve">n </w:t>
      </w:r>
      <w:r w:rsidR="006E458B" w:rsidRPr="00CF3A89">
        <w:rPr>
          <w:rFonts w:ascii="Franklin Gothic Book" w:hAnsi="Franklin Gothic Book" w:cstheme="minorBidi"/>
        </w:rPr>
        <w:t>indirect treatment comparison (ITC)</w:t>
      </w:r>
      <w:r w:rsidR="00AD7ACD" w:rsidRPr="00CF3A89">
        <w:rPr>
          <w:rFonts w:ascii="Franklin Gothic Book" w:hAnsi="Franklin Gothic Book" w:cstheme="minorBidi"/>
        </w:rPr>
        <w:t xml:space="preserve"> </w:t>
      </w:r>
      <w:r w:rsidR="00F80025" w:rsidRPr="00CF3A89">
        <w:rPr>
          <w:rFonts w:ascii="Franklin Gothic Book" w:hAnsi="Franklin Gothic Book" w:cstheme="minorBidi"/>
        </w:rPr>
        <w:t>was</w:t>
      </w:r>
      <w:r w:rsidR="00AD7ACD" w:rsidRPr="00CF3A89">
        <w:rPr>
          <w:rFonts w:ascii="Franklin Gothic Book" w:hAnsi="Franklin Gothic Book" w:cstheme="minorBidi"/>
        </w:rPr>
        <w:t xml:space="preserve"> undertaken to </w:t>
      </w:r>
      <w:r w:rsidRPr="00CF3A89">
        <w:rPr>
          <w:rFonts w:ascii="Franklin Gothic Book" w:hAnsi="Franklin Gothic Book" w:cstheme="minorBidi"/>
        </w:rPr>
        <w:t>generate</w:t>
      </w:r>
      <w:r w:rsidR="00AD7ACD" w:rsidRPr="00CF3A89">
        <w:rPr>
          <w:rFonts w:ascii="Franklin Gothic Book" w:hAnsi="Franklin Gothic Book" w:cstheme="minorBidi"/>
        </w:rPr>
        <w:t xml:space="preserve"> </w:t>
      </w:r>
      <w:r w:rsidR="00F80025" w:rsidRPr="00CF3A89">
        <w:rPr>
          <w:rFonts w:ascii="Franklin Gothic Book" w:hAnsi="Franklin Gothic Book" w:cstheme="minorBidi"/>
        </w:rPr>
        <w:t xml:space="preserve">estimates </w:t>
      </w:r>
      <w:r w:rsidR="00CF17D6" w:rsidRPr="00CF3A89">
        <w:rPr>
          <w:rFonts w:ascii="Franklin Gothic Book" w:hAnsi="Franklin Gothic Book" w:cstheme="minorBidi"/>
        </w:rPr>
        <w:t>of relative</w:t>
      </w:r>
      <w:r w:rsidR="00AD7ACD" w:rsidRPr="00CF3A89">
        <w:rPr>
          <w:rFonts w:ascii="Franklin Gothic Book" w:hAnsi="Franklin Gothic Book" w:cstheme="minorBidi"/>
        </w:rPr>
        <w:t xml:space="preserve"> </w:t>
      </w:r>
      <w:r w:rsidR="00BC4A40" w:rsidRPr="00CF3A89">
        <w:rPr>
          <w:rFonts w:ascii="Franklin Gothic Book" w:hAnsi="Franklin Gothic Book" w:cstheme="minorBidi"/>
        </w:rPr>
        <w:t>effectiveness</w:t>
      </w:r>
      <w:r w:rsidR="00AD7ACD" w:rsidRPr="00CF3A89">
        <w:rPr>
          <w:rFonts w:ascii="Franklin Gothic Book" w:hAnsi="Franklin Gothic Book" w:cstheme="minorBidi"/>
        </w:rPr>
        <w:t>.</w:t>
      </w:r>
      <w:r w:rsidR="0068642A" w:rsidRPr="00CF3A89">
        <w:rPr>
          <w:rFonts w:ascii="Franklin Gothic Book" w:hAnsi="Franklin Gothic Book" w:cstheme="minorBidi"/>
        </w:rPr>
        <w:t xml:space="preserve"> </w:t>
      </w:r>
    </w:p>
    <w:p w14:paraId="7E6E55B8" w14:textId="2439162F" w:rsidR="00C71B36" w:rsidRDefault="00C71B36" w:rsidP="00617190">
      <w:pPr>
        <w:pStyle w:val="Bullet"/>
        <w:numPr>
          <w:ilvl w:val="0"/>
          <w:numId w:val="0"/>
        </w:numPr>
        <w:rPr>
          <w:rFonts w:ascii="Franklin Gothic Book" w:hAnsi="Franklin Gothic Book"/>
        </w:rPr>
      </w:pPr>
      <w:r w:rsidRPr="003C5016">
        <w:rPr>
          <w:rFonts w:ascii="Franklin Gothic Book" w:hAnsi="Franklin Gothic Book"/>
        </w:rPr>
        <w:t xml:space="preserve">Outcomes selected to evaluate the relative effectiveness of </w:t>
      </w:r>
      <w:proofErr w:type="spellStart"/>
      <w:r w:rsidRPr="003C5016">
        <w:rPr>
          <w:rFonts w:ascii="Franklin Gothic Book" w:hAnsi="Franklin Gothic Book"/>
        </w:rPr>
        <w:t>MINIject</w:t>
      </w:r>
      <w:proofErr w:type="spellEnd"/>
      <w:r w:rsidRPr="003C5016">
        <w:rPr>
          <w:rFonts w:ascii="Franklin Gothic Book" w:hAnsi="Franklin Gothic Book"/>
        </w:rPr>
        <w:t xml:space="preserve"> and </w:t>
      </w:r>
      <w:proofErr w:type="spellStart"/>
      <w:r w:rsidRPr="003C5016">
        <w:rPr>
          <w:rFonts w:ascii="Franklin Gothic Book" w:hAnsi="Franklin Gothic Book"/>
        </w:rPr>
        <w:t>iStent</w:t>
      </w:r>
      <w:proofErr w:type="spellEnd"/>
      <w:r w:rsidRPr="003C5016">
        <w:rPr>
          <w:rFonts w:ascii="Franklin Gothic Book" w:hAnsi="Franklin Gothic Book"/>
        </w:rPr>
        <w:t xml:space="preserve"> included change from baseline in IOP and change from baseline in </w:t>
      </w:r>
      <w:r>
        <w:rPr>
          <w:rFonts w:ascii="Franklin Gothic Book" w:hAnsi="Franklin Gothic Book"/>
        </w:rPr>
        <w:t xml:space="preserve">the </w:t>
      </w:r>
      <w:r w:rsidRPr="003C5016">
        <w:rPr>
          <w:rFonts w:ascii="Franklin Gothic Book" w:hAnsi="Franklin Gothic Book"/>
        </w:rPr>
        <w:t xml:space="preserve">mean number of IOP-reducing medications. </w:t>
      </w:r>
      <w:r>
        <w:rPr>
          <w:rFonts w:ascii="Franklin Gothic Book" w:hAnsi="Franklin Gothic Book"/>
        </w:rPr>
        <w:t>Reductions in</w:t>
      </w:r>
      <w:r w:rsidRPr="003C5016">
        <w:rPr>
          <w:rFonts w:ascii="Franklin Gothic Book" w:hAnsi="Franklin Gothic Book"/>
        </w:rPr>
        <w:t xml:space="preserve"> IOP influences both the risk of developing glaucoma and the progression of existing </w:t>
      </w:r>
      <w:r>
        <w:rPr>
          <w:rFonts w:ascii="Franklin Gothic Book" w:hAnsi="Franklin Gothic Book"/>
        </w:rPr>
        <w:t xml:space="preserve">disease; reductions in the usage of IOP-lowering medications indicates better disease management, </w:t>
      </w:r>
      <w:r w:rsidRPr="0039201D">
        <w:rPr>
          <w:rFonts w:ascii="Franklin Gothic Book" w:hAnsi="Franklin Gothic Book"/>
        </w:rPr>
        <w:t>with quality</w:t>
      </w:r>
      <w:r>
        <w:rPr>
          <w:rFonts w:ascii="Franklin Gothic Book" w:hAnsi="Franklin Gothic Book"/>
        </w:rPr>
        <w:t xml:space="preserve"> </w:t>
      </w:r>
      <w:r w:rsidRPr="0039201D">
        <w:rPr>
          <w:rFonts w:ascii="Franklin Gothic Book" w:hAnsi="Franklin Gothic Book"/>
        </w:rPr>
        <w:t>of</w:t>
      </w:r>
      <w:r>
        <w:rPr>
          <w:rFonts w:ascii="Franklin Gothic Book" w:hAnsi="Franklin Gothic Book"/>
        </w:rPr>
        <w:t xml:space="preserve"> </w:t>
      </w:r>
      <w:r w:rsidRPr="0039201D">
        <w:rPr>
          <w:rFonts w:ascii="Franklin Gothic Book" w:hAnsi="Franklin Gothic Book"/>
        </w:rPr>
        <w:t xml:space="preserve">life and resource-use benefits. </w:t>
      </w:r>
      <w:r>
        <w:rPr>
          <w:rFonts w:ascii="Franklin Gothic Book" w:hAnsi="Franklin Gothic Book"/>
        </w:rPr>
        <w:t>Both endpoints</w:t>
      </w:r>
      <w:r w:rsidRPr="003C5016">
        <w:rPr>
          <w:rFonts w:ascii="Franklin Gothic Book" w:hAnsi="Franklin Gothic Book"/>
        </w:rPr>
        <w:t xml:space="preserve"> represent</w:t>
      </w:r>
      <w:r>
        <w:rPr>
          <w:rFonts w:ascii="Franklin Gothic Book" w:hAnsi="Franklin Gothic Book"/>
        </w:rPr>
        <w:t xml:space="preserve"> </w:t>
      </w:r>
      <w:r w:rsidRPr="003C5016">
        <w:rPr>
          <w:rFonts w:ascii="Franklin Gothic Book" w:hAnsi="Franklin Gothic Book"/>
        </w:rPr>
        <w:t>objective and consistently reported metric</w:t>
      </w:r>
      <w:r>
        <w:rPr>
          <w:rFonts w:ascii="Franklin Gothic Book" w:hAnsi="Franklin Gothic Book"/>
        </w:rPr>
        <w:t>s</w:t>
      </w:r>
      <w:r w:rsidRPr="003C5016">
        <w:rPr>
          <w:rFonts w:ascii="Franklin Gothic Book" w:hAnsi="Franklin Gothic Book"/>
        </w:rPr>
        <w:t xml:space="preserve"> on whic</w:t>
      </w:r>
      <w:r>
        <w:rPr>
          <w:rFonts w:ascii="Franklin Gothic Book" w:hAnsi="Franklin Gothic Book"/>
        </w:rPr>
        <w:t>h to assess comparative effectiveness; however, the assessment group noted that</w:t>
      </w:r>
      <w:r w:rsidRPr="00D47C99">
        <w:rPr>
          <w:rFonts w:ascii="Franklin Gothic Book" w:hAnsi="Franklin Gothic Book"/>
        </w:rPr>
        <w:t xml:space="preserve"> </w:t>
      </w:r>
      <w:r>
        <w:rPr>
          <w:rFonts w:ascii="Franklin Gothic Book" w:hAnsi="Franklin Gothic Book"/>
        </w:rPr>
        <w:t xml:space="preserve">cross-trial </w:t>
      </w:r>
      <w:r w:rsidRPr="00D47C99">
        <w:rPr>
          <w:rFonts w:ascii="Franklin Gothic Book" w:hAnsi="Franklin Gothic Book"/>
        </w:rPr>
        <w:t>differences in baseline</w:t>
      </w:r>
      <w:r>
        <w:rPr>
          <w:rFonts w:ascii="Franklin Gothic Book" w:hAnsi="Franklin Gothic Book"/>
        </w:rPr>
        <w:t xml:space="preserve"> IOP and medication usage</w:t>
      </w:r>
      <w:r w:rsidRPr="00D47C99">
        <w:rPr>
          <w:rFonts w:ascii="Franklin Gothic Book" w:hAnsi="Franklin Gothic Book"/>
        </w:rPr>
        <w:t xml:space="preserve"> </w:t>
      </w:r>
      <w:r>
        <w:rPr>
          <w:rFonts w:ascii="Franklin Gothic Book" w:hAnsi="Franklin Gothic Book"/>
        </w:rPr>
        <w:t xml:space="preserve">will bias relative effect estimates, likely </w:t>
      </w:r>
      <w:r w:rsidRPr="00D47C99">
        <w:rPr>
          <w:rFonts w:ascii="Franklin Gothic Book" w:hAnsi="Franklin Gothic Book"/>
        </w:rPr>
        <w:t>in favour of trials with higher</w:t>
      </w:r>
      <w:r>
        <w:rPr>
          <w:rFonts w:ascii="Franklin Gothic Book" w:hAnsi="Franklin Gothic Book"/>
        </w:rPr>
        <w:t xml:space="preserve"> average</w:t>
      </w:r>
      <w:r w:rsidRPr="00D47C99">
        <w:rPr>
          <w:rFonts w:ascii="Franklin Gothic Book" w:hAnsi="Franklin Gothic Book"/>
        </w:rPr>
        <w:t xml:space="preserve"> baseline values, due to there being greater </w:t>
      </w:r>
      <w:r>
        <w:rPr>
          <w:rFonts w:ascii="Franklin Gothic Book" w:hAnsi="Franklin Gothic Book"/>
        </w:rPr>
        <w:t>possibility</w:t>
      </w:r>
      <w:r w:rsidRPr="00D47C99">
        <w:rPr>
          <w:rFonts w:ascii="Franklin Gothic Book" w:hAnsi="Franklin Gothic Book"/>
        </w:rPr>
        <w:t xml:space="preserve"> for improvement. </w:t>
      </w:r>
      <w:r>
        <w:rPr>
          <w:rFonts w:ascii="Franklin Gothic Book" w:hAnsi="Franklin Gothic Book"/>
        </w:rPr>
        <w:t>S</w:t>
      </w:r>
      <w:r w:rsidRPr="003C5016">
        <w:rPr>
          <w:rFonts w:ascii="Franklin Gothic Book" w:hAnsi="Franklin Gothic Book"/>
        </w:rPr>
        <w:t>afety outcomes</w:t>
      </w:r>
      <w:r>
        <w:rPr>
          <w:rFonts w:ascii="Franklin Gothic Book" w:hAnsi="Franklin Gothic Book"/>
        </w:rPr>
        <w:t>,</w:t>
      </w:r>
      <w:r w:rsidRPr="003C5016">
        <w:rPr>
          <w:rFonts w:ascii="Franklin Gothic Book" w:hAnsi="Franklin Gothic Book"/>
        </w:rPr>
        <w:t xml:space="preserve"> including adverse events</w:t>
      </w:r>
      <w:r>
        <w:rPr>
          <w:rFonts w:ascii="Franklin Gothic Book" w:hAnsi="Franklin Gothic Book"/>
        </w:rPr>
        <w:t>,</w:t>
      </w:r>
      <w:r w:rsidRPr="003C5016">
        <w:rPr>
          <w:rFonts w:ascii="Franklin Gothic Book" w:hAnsi="Franklin Gothic Book"/>
        </w:rPr>
        <w:t xml:space="preserve"> </w:t>
      </w:r>
      <w:r>
        <w:rPr>
          <w:rFonts w:ascii="Franklin Gothic Book" w:hAnsi="Franklin Gothic Book"/>
        </w:rPr>
        <w:t>were</w:t>
      </w:r>
      <w:r w:rsidRPr="003C5016">
        <w:rPr>
          <w:rFonts w:ascii="Franklin Gothic Book" w:hAnsi="Franklin Gothic Book"/>
        </w:rPr>
        <w:t xml:space="preserve"> </w:t>
      </w:r>
      <w:r>
        <w:rPr>
          <w:rFonts w:ascii="Franklin Gothic Book" w:hAnsi="Franklin Gothic Book"/>
        </w:rPr>
        <w:t xml:space="preserve">also considered. </w:t>
      </w:r>
    </w:p>
    <w:p w14:paraId="74FB645B" w14:textId="0C31DB20" w:rsidR="009B2910" w:rsidRPr="00CF3A89" w:rsidRDefault="00F80025" w:rsidP="00CF3A89">
      <w:pPr>
        <w:pStyle w:val="ADARbodytext"/>
        <w:spacing w:after="120" w:line="240" w:lineRule="auto"/>
        <w:rPr>
          <w:rFonts w:ascii="Franklin Gothic Book" w:hAnsi="Franklin Gothic Book" w:cstheme="minorBidi"/>
        </w:rPr>
      </w:pPr>
      <w:r w:rsidRPr="00CF3A89">
        <w:rPr>
          <w:rFonts w:ascii="Franklin Gothic Book" w:hAnsi="Franklin Gothic Book" w:cstheme="minorBidi"/>
        </w:rPr>
        <w:t xml:space="preserve">The applicant </w:t>
      </w:r>
      <w:r w:rsidR="00CF17D6" w:rsidRPr="00CF3A89">
        <w:rPr>
          <w:rFonts w:ascii="Franklin Gothic Book" w:hAnsi="Franklin Gothic Book" w:cstheme="minorBidi"/>
        </w:rPr>
        <w:t>opted</w:t>
      </w:r>
      <w:r w:rsidRPr="00CF3A89">
        <w:rPr>
          <w:rFonts w:ascii="Franklin Gothic Book" w:hAnsi="Franklin Gothic Book" w:cstheme="minorBidi"/>
        </w:rPr>
        <w:t xml:space="preserve"> for a n</w:t>
      </w:r>
      <w:r w:rsidR="0068642A" w:rsidRPr="00CF3A89">
        <w:rPr>
          <w:rFonts w:ascii="Franklin Gothic Book" w:hAnsi="Franklin Gothic Book" w:cstheme="minorBidi"/>
        </w:rPr>
        <w:t>aïve</w:t>
      </w:r>
      <w:r w:rsidR="00EA0ECD" w:rsidRPr="00CF3A89">
        <w:rPr>
          <w:rFonts w:ascii="Franklin Gothic Book" w:hAnsi="Franklin Gothic Book" w:cstheme="minorBidi"/>
        </w:rPr>
        <w:t>, unanchored ITC</w:t>
      </w:r>
      <w:r w:rsidR="00CF7CC1" w:rsidRPr="00CF3A89">
        <w:rPr>
          <w:rFonts w:ascii="Franklin Gothic Book" w:hAnsi="Franklin Gothic Book" w:cstheme="minorBidi"/>
        </w:rPr>
        <w:t xml:space="preserve">. </w:t>
      </w:r>
      <w:r w:rsidR="005969AD">
        <w:rPr>
          <w:rFonts w:ascii="Franklin Gothic Book" w:hAnsi="Franklin Gothic Book" w:cstheme="minorBidi"/>
        </w:rPr>
        <w:t xml:space="preserve">Reported </w:t>
      </w:r>
      <w:r w:rsidR="00BC4A40" w:rsidRPr="00CF3A89">
        <w:rPr>
          <w:rFonts w:ascii="Franklin Gothic Book" w:hAnsi="Franklin Gothic Book" w:cstheme="minorBidi"/>
        </w:rPr>
        <w:t xml:space="preserve">efficacy outcomes from </w:t>
      </w:r>
      <w:r w:rsidR="005969AD">
        <w:rPr>
          <w:rFonts w:ascii="Franklin Gothic Book" w:hAnsi="Franklin Gothic Book" w:cstheme="minorBidi"/>
        </w:rPr>
        <w:t xml:space="preserve">each of </w:t>
      </w:r>
      <w:r w:rsidR="00BC4A40" w:rsidRPr="00CF3A89">
        <w:rPr>
          <w:rFonts w:ascii="Franklin Gothic Book" w:hAnsi="Franklin Gothic Book" w:cstheme="minorBidi"/>
        </w:rPr>
        <w:t xml:space="preserve">the </w:t>
      </w:r>
      <w:r w:rsidR="00A71E61" w:rsidRPr="00CF3A89">
        <w:rPr>
          <w:rFonts w:ascii="Franklin Gothic Book" w:hAnsi="Franklin Gothic Book" w:cstheme="minorBidi"/>
        </w:rPr>
        <w:t xml:space="preserve">identified </w:t>
      </w:r>
      <w:r w:rsidR="00BC4A40" w:rsidRPr="00CF3A89">
        <w:rPr>
          <w:rFonts w:ascii="Franklin Gothic Book" w:hAnsi="Franklin Gothic Book" w:cstheme="minorBidi"/>
        </w:rPr>
        <w:t xml:space="preserve">trials were meta-analysed using random effects methodology </w:t>
      </w:r>
      <w:r w:rsidR="00AA2CE4" w:rsidRPr="00CF3A89">
        <w:rPr>
          <w:rFonts w:ascii="Franklin Gothic Book" w:hAnsi="Franklin Gothic Book" w:cstheme="minorBidi"/>
        </w:rPr>
        <w:t xml:space="preserve">into a single estimate of efficacy for each </w:t>
      </w:r>
      <w:r w:rsidR="00205E9F" w:rsidRPr="00CF3A89">
        <w:rPr>
          <w:rFonts w:ascii="Franklin Gothic Book" w:hAnsi="Franklin Gothic Book" w:cstheme="minorBidi"/>
        </w:rPr>
        <w:t>technology</w:t>
      </w:r>
      <w:r w:rsidR="00A41000">
        <w:rPr>
          <w:rFonts w:ascii="Franklin Gothic Book" w:hAnsi="Franklin Gothic Book" w:cstheme="minorBidi"/>
        </w:rPr>
        <w:t>,</w:t>
      </w:r>
      <w:r w:rsidR="00AA2CE4" w:rsidRPr="00CF3A89">
        <w:rPr>
          <w:rFonts w:ascii="Franklin Gothic Book" w:hAnsi="Franklin Gothic Book" w:cstheme="minorBidi"/>
        </w:rPr>
        <w:t xml:space="preserve"> </w:t>
      </w:r>
      <w:r w:rsidR="009B2910" w:rsidRPr="00CF3A89">
        <w:rPr>
          <w:rFonts w:ascii="Franklin Gothic Book" w:hAnsi="Franklin Gothic Book" w:cstheme="minorBidi"/>
        </w:rPr>
        <w:t xml:space="preserve">and indirectly compared </w:t>
      </w:r>
      <w:r w:rsidR="00AA2CE4" w:rsidRPr="00CF3A89">
        <w:rPr>
          <w:rFonts w:ascii="Franklin Gothic Book" w:hAnsi="Franklin Gothic Book" w:cstheme="minorBidi"/>
        </w:rPr>
        <w:t xml:space="preserve">via </w:t>
      </w:r>
      <w:r w:rsidR="0099409E" w:rsidRPr="00CF3A89">
        <w:rPr>
          <w:rFonts w:ascii="Franklin Gothic Book" w:hAnsi="Franklin Gothic Book" w:cstheme="minorBidi"/>
        </w:rPr>
        <w:t xml:space="preserve">a </w:t>
      </w:r>
      <w:r w:rsidR="00AA2CE4" w:rsidRPr="00CF3A89">
        <w:rPr>
          <w:rFonts w:ascii="Franklin Gothic Book" w:hAnsi="Franklin Gothic Book" w:cstheme="minorBidi"/>
        </w:rPr>
        <w:t xml:space="preserve">simple subtraction </w:t>
      </w:r>
      <w:r w:rsidR="0099409E" w:rsidRPr="00CF3A89">
        <w:rPr>
          <w:rFonts w:ascii="Franklin Gothic Book" w:hAnsi="Franklin Gothic Book" w:cstheme="minorBidi"/>
        </w:rPr>
        <w:t xml:space="preserve">method </w:t>
      </w:r>
      <w:r w:rsidR="00AA2CE4" w:rsidRPr="00CF3A89">
        <w:rPr>
          <w:rFonts w:ascii="Franklin Gothic Book" w:hAnsi="Franklin Gothic Book" w:cstheme="minorBidi"/>
        </w:rPr>
        <w:t>(</w:t>
      </w:r>
      <w:r w:rsidR="009B2910" w:rsidRPr="00CF3A89">
        <w:rPr>
          <w:rFonts w:ascii="Franklin Gothic Book" w:hAnsi="Franklin Gothic Book" w:cstheme="minorBidi"/>
        </w:rPr>
        <w:t xml:space="preserve">analogous to the </w:t>
      </w:r>
      <w:r w:rsidR="00A307BE" w:rsidRPr="00CF3A89">
        <w:rPr>
          <w:rFonts w:ascii="Franklin Gothic Book" w:hAnsi="Franklin Gothic Book" w:cstheme="minorBidi"/>
        </w:rPr>
        <w:t>Bucher method</w:t>
      </w:r>
      <w:r w:rsidR="00AA2CE4" w:rsidRPr="00CF3A89">
        <w:rPr>
          <w:rFonts w:ascii="Franklin Gothic Book" w:hAnsi="Franklin Gothic Book" w:cstheme="minorBidi"/>
        </w:rPr>
        <w:t>)</w:t>
      </w:r>
      <w:r w:rsidR="00CF17D6" w:rsidRPr="00CF3A89">
        <w:rPr>
          <w:rFonts w:ascii="Franklin Gothic Book" w:hAnsi="Franklin Gothic Book" w:cstheme="minorBidi"/>
        </w:rPr>
        <w:t xml:space="preserve">. </w:t>
      </w:r>
      <w:r w:rsidR="00286499" w:rsidRPr="00CF3A89">
        <w:rPr>
          <w:rFonts w:ascii="Franklin Gothic Book" w:hAnsi="Franklin Gothic Book" w:cstheme="minorBidi"/>
        </w:rPr>
        <w:t xml:space="preserve">Safety outcomes were compared across the </w:t>
      </w:r>
      <w:r w:rsidR="00714749">
        <w:rPr>
          <w:rFonts w:ascii="Franklin Gothic Book" w:hAnsi="Franklin Gothic Book" w:cstheme="minorBidi"/>
        </w:rPr>
        <w:t>2</w:t>
      </w:r>
      <w:r w:rsidR="00714749" w:rsidRPr="00CF3A89">
        <w:rPr>
          <w:rFonts w:ascii="Franklin Gothic Book" w:hAnsi="Franklin Gothic Book" w:cstheme="minorBidi"/>
        </w:rPr>
        <w:t xml:space="preserve"> </w:t>
      </w:r>
      <w:r w:rsidR="00286499" w:rsidRPr="00CF3A89">
        <w:rPr>
          <w:rFonts w:ascii="Franklin Gothic Book" w:hAnsi="Franklin Gothic Book" w:cstheme="minorBidi"/>
        </w:rPr>
        <w:t xml:space="preserve">sets of studies. Due to the small number of events usually seen with safety outcomes, no statistical comparisons </w:t>
      </w:r>
      <w:r w:rsidR="00C07214">
        <w:rPr>
          <w:rFonts w:ascii="Franklin Gothic Book" w:hAnsi="Franklin Gothic Book" w:cstheme="minorBidi"/>
        </w:rPr>
        <w:t>were</w:t>
      </w:r>
      <w:r w:rsidR="00286499" w:rsidRPr="00CF3A89">
        <w:rPr>
          <w:rFonts w:ascii="Franklin Gothic Book" w:hAnsi="Franklin Gothic Book" w:cstheme="minorBidi"/>
        </w:rPr>
        <w:t xml:space="preserve"> conducted. </w:t>
      </w:r>
    </w:p>
    <w:p w14:paraId="583B1593" w14:textId="0492F415" w:rsidR="00F1373F" w:rsidRPr="0039201D" w:rsidRDefault="00A600D0" w:rsidP="00CF3A89">
      <w:pPr>
        <w:pStyle w:val="Bullet"/>
        <w:numPr>
          <w:ilvl w:val="0"/>
          <w:numId w:val="0"/>
        </w:numPr>
        <w:rPr>
          <w:rFonts w:ascii="Franklin Gothic Book" w:hAnsi="Franklin Gothic Book"/>
        </w:rPr>
      </w:pPr>
      <w:r>
        <w:rPr>
          <w:rFonts w:ascii="Franklin Gothic Book" w:hAnsi="Franklin Gothic Book"/>
        </w:rPr>
        <w:t>Typically,</w:t>
      </w:r>
      <w:r w:rsidR="00031C2C">
        <w:rPr>
          <w:rFonts w:ascii="Franklin Gothic Book" w:hAnsi="Franklin Gothic Book"/>
        </w:rPr>
        <w:t xml:space="preserve"> </w:t>
      </w:r>
      <w:r w:rsidR="00B77A7D">
        <w:rPr>
          <w:rFonts w:ascii="Franklin Gothic Book" w:hAnsi="Franklin Gothic Book"/>
        </w:rPr>
        <w:t>unanchored</w:t>
      </w:r>
      <w:r w:rsidR="00223515">
        <w:rPr>
          <w:rFonts w:ascii="Franklin Gothic Book" w:hAnsi="Franklin Gothic Book"/>
        </w:rPr>
        <w:t>-</w:t>
      </w:r>
      <w:r w:rsidR="00031C2C">
        <w:rPr>
          <w:rFonts w:ascii="Franklin Gothic Book" w:hAnsi="Franklin Gothic Book"/>
        </w:rPr>
        <w:t xml:space="preserve">naïve treatment comparisons are </w:t>
      </w:r>
      <w:r w:rsidR="00031C2C" w:rsidRPr="00DE6A3C">
        <w:rPr>
          <w:rFonts w:ascii="Franklin Gothic Book" w:hAnsi="Franklin Gothic Book"/>
        </w:rPr>
        <w:t xml:space="preserve">associated with a high degree of </w:t>
      </w:r>
      <w:r w:rsidRPr="00DE6A3C">
        <w:rPr>
          <w:rFonts w:ascii="Franklin Gothic Book" w:hAnsi="Franklin Gothic Book"/>
        </w:rPr>
        <w:t>uncertainty</w:t>
      </w:r>
      <w:r w:rsidR="00667262">
        <w:rPr>
          <w:rFonts w:ascii="Franklin Gothic Book" w:hAnsi="Franklin Gothic Book"/>
        </w:rPr>
        <w:t xml:space="preserve"> and outcomes presented from such analyses should be interpreted with caution due to the </w:t>
      </w:r>
      <w:r w:rsidR="00667262" w:rsidRPr="00DE3EE9">
        <w:rPr>
          <w:rFonts w:ascii="Franklin Gothic Book" w:hAnsi="Franklin Gothic Book"/>
        </w:rPr>
        <w:t>high potential for the comparison to be influenced by factors other than the treatments being compared</w:t>
      </w:r>
      <w:r w:rsidR="00DE3EE9">
        <w:rPr>
          <w:rFonts w:ascii="Franklin Gothic Book" w:hAnsi="Franklin Gothic Book"/>
        </w:rPr>
        <w:t>.</w:t>
      </w:r>
      <w:r w:rsidR="00031C2C" w:rsidRPr="00DE6A3C">
        <w:rPr>
          <w:rFonts w:ascii="Franklin Gothic Book" w:hAnsi="Franklin Gothic Book"/>
        </w:rPr>
        <w:t xml:space="preserve"> </w:t>
      </w:r>
      <w:r w:rsidR="00F23249" w:rsidRPr="00DE6A3C">
        <w:rPr>
          <w:rFonts w:ascii="Franklin Gothic Book" w:hAnsi="Franklin Gothic Book"/>
        </w:rPr>
        <w:t>For outcomes of the unanchored ITC to be vali</w:t>
      </w:r>
      <w:r w:rsidR="00310678">
        <w:rPr>
          <w:rFonts w:ascii="Franklin Gothic Book" w:hAnsi="Franklin Gothic Book"/>
        </w:rPr>
        <w:t>d,</w:t>
      </w:r>
      <w:r w:rsidR="00F23249" w:rsidRPr="00DE6A3C">
        <w:rPr>
          <w:rFonts w:ascii="Franklin Gothic Book" w:hAnsi="Franklin Gothic Book"/>
        </w:rPr>
        <w:t xml:space="preserve"> a</w:t>
      </w:r>
      <w:r w:rsidR="00D12912" w:rsidRPr="00DE6A3C">
        <w:rPr>
          <w:rFonts w:ascii="Franklin Gothic Book" w:hAnsi="Franklin Gothic Book"/>
        </w:rPr>
        <w:t xml:space="preserve">ll trials included must be </w:t>
      </w:r>
      <w:r w:rsidR="00A3035C">
        <w:rPr>
          <w:rFonts w:ascii="Franklin Gothic Book" w:hAnsi="Franklin Gothic Book"/>
        </w:rPr>
        <w:t>balanced</w:t>
      </w:r>
      <w:r w:rsidR="00D12912" w:rsidRPr="00DE6A3C">
        <w:rPr>
          <w:rFonts w:ascii="Franklin Gothic Book" w:hAnsi="Franklin Gothic Book"/>
        </w:rPr>
        <w:t xml:space="preserve"> in terms of potential effect</w:t>
      </w:r>
      <w:r w:rsidR="00E463AC">
        <w:rPr>
          <w:rFonts w:ascii="Franklin Gothic Book" w:hAnsi="Franklin Gothic Book"/>
        </w:rPr>
        <w:t>-</w:t>
      </w:r>
      <w:r w:rsidR="00F23249" w:rsidRPr="00DE6A3C">
        <w:rPr>
          <w:rFonts w:ascii="Franklin Gothic Book" w:hAnsi="Franklin Gothic Book"/>
        </w:rPr>
        <w:t>modifying and prognostic factors</w:t>
      </w:r>
      <w:r w:rsidR="00D12912" w:rsidRPr="00DE6A3C">
        <w:rPr>
          <w:rFonts w:ascii="Franklin Gothic Book" w:hAnsi="Franklin Gothic Book"/>
        </w:rPr>
        <w:t xml:space="preserve"> (assumption of similarity)</w:t>
      </w:r>
      <w:r w:rsidR="00901FCE">
        <w:rPr>
          <w:rFonts w:ascii="Franklin Gothic Book" w:hAnsi="Franklin Gothic Book"/>
        </w:rPr>
        <w:t>,</w:t>
      </w:r>
      <w:r w:rsidR="00F23249" w:rsidRPr="00DE6A3C">
        <w:rPr>
          <w:rFonts w:ascii="Franklin Gothic Book" w:hAnsi="Franklin Gothic Book"/>
        </w:rPr>
        <w:t xml:space="preserve"> and t</w:t>
      </w:r>
      <w:r w:rsidR="00D12912" w:rsidRPr="00DE6A3C">
        <w:rPr>
          <w:rFonts w:ascii="Franklin Gothic Book" w:hAnsi="Franklin Gothic Book"/>
        </w:rPr>
        <w:t>here must be no relevant heterogeneity between trial results in pairwise comparisons (assumption of homogeneity</w:t>
      </w:r>
      <w:r w:rsidR="00F23249" w:rsidRPr="00DE6A3C">
        <w:rPr>
          <w:rFonts w:ascii="Franklin Gothic Book" w:hAnsi="Franklin Gothic Book"/>
        </w:rPr>
        <w:t xml:space="preserve">). </w:t>
      </w:r>
      <w:r w:rsidR="00051D81" w:rsidRPr="00DE6A3C">
        <w:rPr>
          <w:rFonts w:ascii="Franklin Gothic Book" w:hAnsi="Franklin Gothic Book"/>
        </w:rPr>
        <w:t>Violation of either assumption will compromise the validity of the analysis.</w:t>
      </w:r>
      <w:r w:rsidR="00051D81" w:rsidRPr="0039201D">
        <w:rPr>
          <w:rFonts w:ascii="Franklin Gothic Book" w:hAnsi="Franklin Gothic Book"/>
        </w:rPr>
        <w:t xml:space="preserve"> </w:t>
      </w:r>
    </w:p>
    <w:p w14:paraId="3D9AACE7" w14:textId="77777777" w:rsidR="00E448F0" w:rsidRDefault="00AF71C5" w:rsidP="00617190">
      <w:pPr>
        <w:pStyle w:val="Bullet"/>
        <w:numPr>
          <w:ilvl w:val="0"/>
          <w:numId w:val="0"/>
        </w:numPr>
        <w:rPr>
          <w:rFonts w:ascii="Franklin Gothic Book" w:hAnsi="Franklin Gothic Book"/>
        </w:rPr>
      </w:pPr>
      <w:r w:rsidRPr="0039201D">
        <w:rPr>
          <w:rFonts w:ascii="Franklin Gothic Book" w:hAnsi="Franklin Gothic Book"/>
        </w:rPr>
        <w:t>In an effort to</w:t>
      </w:r>
      <w:r w:rsidR="005E2264" w:rsidRPr="0039201D">
        <w:rPr>
          <w:rFonts w:ascii="Franklin Gothic Book" w:hAnsi="Franklin Gothic Book"/>
        </w:rPr>
        <w:t xml:space="preserve"> </w:t>
      </w:r>
      <w:r w:rsidR="00026257" w:rsidRPr="0039201D">
        <w:rPr>
          <w:rFonts w:ascii="Franklin Gothic Book" w:hAnsi="Franklin Gothic Book"/>
        </w:rPr>
        <w:t xml:space="preserve">support the comparability of the </w:t>
      </w:r>
      <w:proofErr w:type="spellStart"/>
      <w:r w:rsidR="00026257" w:rsidRPr="0039201D">
        <w:rPr>
          <w:rFonts w:ascii="Franklin Gothic Book" w:hAnsi="Franklin Gothic Book"/>
        </w:rPr>
        <w:t>MINIject</w:t>
      </w:r>
      <w:proofErr w:type="spellEnd"/>
      <w:r w:rsidR="00026257" w:rsidRPr="0039201D">
        <w:rPr>
          <w:rFonts w:ascii="Franklin Gothic Book" w:hAnsi="Franklin Gothic Book"/>
        </w:rPr>
        <w:t xml:space="preserve"> and </w:t>
      </w:r>
      <w:proofErr w:type="spellStart"/>
      <w:r w:rsidR="00026257" w:rsidRPr="0039201D">
        <w:rPr>
          <w:rFonts w:ascii="Franklin Gothic Book" w:hAnsi="Franklin Gothic Book"/>
        </w:rPr>
        <w:t>iStent</w:t>
      </w:r>
      <w:proofErr w:type="spellEnd"/>
      <w:r w:rsidR="00026257" w:rsidRPr="0039201D">
        <w:rPr>
          <w:rFonts w:ascii="Franklin Gothic Book" w:hAnsi="Franklin Gothic Book"/>
        </w:rPr>
        <w:t xml:space="preserve"> studies for use in an ITC, the </w:t>
      </w:r>
      <w:r w:rsidR="00B77A7D">
        <w:rPr>
          <w:rFonts w:ascii="Franklin Gothic Book" w:hAnsi="Franklin Gothic Book"/>
        </w:rPr>
        <w:t>applicant</w:t>
      </w:r>
      <w:r w:rsidR="00026257" w:rsidRPr="0039201D">
        <w:rPr>
          <w:rFonts w:ascii="Franklin Gothic Book" w:hAnsi="Franklin Gothic Book"/>
        </w:rPr>
        <w:t xml:space="preserve"> undertook a</w:t>
      </w:r>
      <w:r w:rsidR="00543D53">
        <w:rPr>
          <w:rFonts w:ascii="Franklin Gothic Book" w:hAnsi="Franklin Gothic Book"/>
        </w:rPr>
        <w:t xml:space="preserve"> ‘risk of </w:t>
      </w:r>
      <w:proofErr w:type="spellStart"/>
      <w:r w:rsidR="00543D53">
        <w:rPr>
          <w:rFonts w:ascii="Franklin Gothic Book" w:hAnsi="Franklin Gothic Book"/>
        </w:rPr>
        <w:t>bias’</w:t>
      </w:r>
      <w:proofErr w:type="spellEnd"/>
      <w:r w:rsidR="00543D53">
        <w:rPr>
          <w:rFonts w:ascii="Franklin Gothic Book" w:hAnsi="Franklin Gothic Book"/>
        </w:rPr>
        <w:t xml:space="preserve"> </w:t>
      </w:r>
      <w:r w:rsidR="00026257" w:rsidRPr="0039201D">
        <w:rPr>
          <w:rFonts w:ascii="Franklin Gothic Book" w:hAnsi="Franklin Gothic Book"/>
        </w:rPr>
        <w:t>assessment of each of the studies (using the ROBINS-1 non-randomised study assessment tool preferred for Cochrane Reviews)</w:t>
      </w:r>
      <w:r w:rsidR="0039201D" w:rsidRPr="0039201D">
        <w:rPr>
          <w:rFonts w:ascii="Franklin Gothic Book" w:hAnsi="Franklin Gothic Book"/>
        </w:rPr>
        <w:t xml:space="preserve">. Furthermore, </w:t>
      </w:r>
      <w:r w:rsidR="00717CEB" w:rsidRPr="0039201D">
        <w:rPr>
          <w:rFonts w:ascii="Franklin Gothic Book" w:hAnsi="Franklin Gothic Book"/>
        </w:rPr>
        <w:t xml:space="preserve">a qualitative comparison of trial eligibility criteria and a quantitative </w:t>
      </w:r>
      <w:r w:rsidR="0039201D" w:rsidRPr="0039201D">
        <w:rPr>
          <w:rFonts w:ascii="Franklin Gothic Book" w:hAnsi="Franklin Gothic Book"/>
        </w:rPr>
        <w:t>comparison</w:t>
      </w:r>
      <w:r w:rsidR="00717CEB" w:rsidRPr="0039201D">
        <w:rPr>
          <w:rFonts w:ascii="Franklin Gothic Book" w:hAnsi="Franklin Gothic Book"/>
        </w:rPr>
        <w:t xml:space="preserve"> of baseline characteristics</w:t>
      </w:r>
      <w:r w:rsidR="0039201D" w:rsidRPr="0039201D">
        <w:rPr>
          <w:rFonts w:ascii="Franklin Gothic Book" w:hAnsi="Franklin Gothic Book"/>
        </w:rPr>
        <w:t xml:space="preserve"> was undertaken. </w:t>
      </w:r>
      <w:r w:rsidR="00717CEB" w:rsidRPr="0039201D">
        <w:rPr>
          <w:rFonts w:ascii="Franklin Gothic Book" w:hAnsi="Franklin Gothic Book"/>
        </w:rPr>
        <w:t xml:space="preserve">The </w:t>
      </w:r>
      <w:r w:rsidR="00E5060B">
        <w:rPr>
          <w:rFonts w:ascii="Franklin Gothic Book" w:hAnsi="Franklin Gothic Book"/>
        </w:rPr>
        <w:t>applicant</w:t>
      </w:r>
      <w:r w:rsidR="00717CEB" w:rsidRPr="0039201D">
        <w:rPr>
          <w:rFonts w:ascii="Franklin Gothic Book" w:hAnsi="Franklin Gothic Book"/>
        </w:rPr>
        <w:t xml:space="preserve"> also stated that an </w:t>
      </w:r>
      <w:r w:rsidR="00026257" w:rsidRPr="0039201D">
        <w:rPr>
          <w:rFonts w:ascii="Franklin Gothic Book" w:hAnsi="Franklin Gothic Book"/>
        </w:rPr>
        <w:t xml:space="preserve">investigation of </w:t>
      </w:r>
      <w:r w:rsidR="00717CEB" w:rsidRPr="0039201D">
        <w:rPr>
          <w:rFonts w:ascii="Franklin Gothic Book" w:hAnsi="Franklin Gothic Book"/>
        </w:rPr>
        <w:t xml:space="preserve">the </w:t>
      </w:r>
      <w:r w:rsidR="00026257" w:rsidRPr="0039201D">
        <w:rPr>
          <w:rFonts w:ascii="Franklin Gothic Book" w:hAnsi="Franklin Gothic Book"/>
        </w:rPr>
        <w:t>potential impact of characteristics that are known treatment</w:t>
      </w:r>
      <w:r w:rsidR="00611984">
        <w:rPr>
          <w:rFonts w:ascii="Franklin Gothic Book" w:hAnsi="Franklin Gothic Book"/>
        </w:rPr>
        <w:t>-</w:t>
      </w:r>
      <w:r w:rsidR="00026257" w:rsidRPr="0039201D">
        <w:rPr>
          <w:rFonts w:ascii="Franklin Gothic Book" w:hAnsi="Franklin Gothic Book"/>
        </w:rPr>
        <w:t>effect modifiers</w:t>
      </w:r>
      <w:r w:rsidR="00717CEB" w:rsidRPr="0039201D">
        <w:rPr>
          <w:rFonts w:ascii="Franklin Gothic Book" w:hAnsi="Franklin Gothic Book"/>
        </w:rPr>
        <w:t xml:space="preserve"> was </w:t>
      </w:r>
      <w:r w:rsidR="0039201D">
        <w:rPr>
          <w:rFonts w:ascii="Franklin Gothic Book" w:hAnsi="Franklin Gothic Book"/>
        </w:rPr>
        <w:t>conducted</w:t>
      </w:r>
      <w:r w:rsidR="00717CEB" w:rsidRPr="0039201D">
        <w:rPr>
          <w:rFonts w:ascii="Franklin Gothic Book" w:hAnsi="Franklin Gothic Book"/>
        </w:rPr>
        <w:t xml:space="preserve">; however, this was not evident </w:t>
      </w:r>
      <w:r w:rsidR="0039201D">
        <w:rPr>
          <w:rFonts w:ascii="Franklin Gothic Book" w:hAnsi="Franklin Gothic Book"/>
        </w:rPr>
        <w:t>from</w:t>
      </w:r>
      <w:r w:rsidR="00717CEB" w:rsidRPr="0039201D">
        <w:rPr>
          <w:rFonts w:ascii="Franklin Gothic Book" w:hAnsi="Franklin Gothic Book"/>
        </w:rPr>
        <w:t xml:space="preserve"> the submission. </w:t>
      </w:r>
    </w:p>
    <w:p w14:paraId="6B27CC2C" w14:textId="142A80C4" w:rsidR="00A05165" w:rsidRPr="00617190" w:rsidRDefault="00F45984" w:rsidP="00DC272B">
      <w:pPr>
        <w:pStyle w:val="Heading3"/>
      </w:pPr>
      <w:r w:rsidRPr="00617190">
        <w:t xml:space="preserve">Assessment of evidence base </w:t>
      </w:r>
    </w:p>
    <w:p w14:paraId="6174B6A7" w14:textId="0F00151B" w:rsidR="00596A25" w:rsidRDefault="00A05165" w:rsidP="00DC272B">
      <w:pPr>
        <w:pStyle w:val="Heading4"/>
        <w:rPr>
          <w:bCs/>
          <w:iCs/>
        </w:rPr>
      </w:pPr>
      <w:r w:rsidRPr="002759A3">
        <w:t>Risk of bias assessment</w:t>
      </w:r>
      <w:r w:rsidRPr="00A05165">
        <w:rPr>
          <w:bCs/>
          <w:iCs/>
        </w:rPr>
        <w:t xml:space="preserve"> </w:t>
      </w:r>
    </w:p>
    <w:p w14:paraId="6B91037D" w14:textId="1933C56A" w:rsidR="00A63391" w:rsidRPr="00B9310B" w:rsidRDefault="0011349C" w:rsidP="00A05165">
      <w:r>
        <w:t xml:space="preserve">Based on </w:t>
      </w:r>
      <w:r w:rsidR="00E4128F">
        <w:t xml:space="preserve">the </w:t>
      </w:r>
      <w:r w:rsidR="00E5060B">
        <w:t>applicant</w:t>
      </w:r>
      <w:r w:rsidR="00E4128F">
        <w:t>’s assessment</w:t>
      </w:r>
      <w:r w:rsidR="00A3035C">
        <w:t>,</w:t>
      </w:r>
      <w:r w:rsidR="00E4128F">
        <w:t xml:space="preserve"> </w:t>
      </w:r>
      <w:r w:rsidR="0018390E">
        <w:t xml:space="preserve">all </w:t>
      </w:r>
      <w:r w:rsidR="0056002E">
        <w:t xml:space="preserve">4 </w:t>
      </w:r>
      <w:proofErr w:type="spellStart"/>
      <w:r w:rsidR="0018390E">
        <w:t>MINIject</w:t>
      </w:r>
      <w:proofErr w:type="spellEnd"/>
      <w:r w:rsidR="0018390E">
        <w:t xml:space="preserve"> </w:t>
      </w:r>
      <w:r w:rsidR="0056002E">
        <w:t xml:space="preserve">and 6 of 7 </w:t>
      </w:r>
      <w:proofErr w:type="spellStart"/>
      <w:r w:rsidR="0056002E" w:rsidRPr="00A35A1F">
        <w:t>iStent</w:t>
      </w:r>
      <w:proofErr w:type="spellEnd"/>
      <w:r w:rsidR="0056002E" w:rsidRPr="00A35A1F">
        <w:t xml:space="preserve"> trial</w:t>
      </w:r>
      <w:r w:rsidR="0056002E">
        <w:t xml:space="preserve">s were </w:t>
      </w:r>
      <w:r>
        <w:t xml:space="preserve">considered </w:t>
      </w:r>
      <w:r w:rsidR="007F72DA">
        <w:t xml:space="preserve">to </w:t>
      </w:r>
      <w:r w:rsidR="00BD2916">
        <w:t>have a</w:t>
      </w:r>
      <w:r w:rsidR="007F72DA">
        <w:t xml:space="preserve"> </w:t>
      </w:r>
      <w:r w:rsidR="0056002E">
        <w:t>low risk of bias</w:t>
      </w:r>
      <w:r w:rsidR="0049382C">
        <w:t>;</w:t>
      </w:r>
      <w:r w:rsidR="00BD2916">
        <w:t xml:space="preserve"> </w:t>
      </w:r>
      <w:r w:rsidR="0049382C">
        <w:t>h</w:t>
      </w:r>
      <w:r>
        <w:t>owever,</w:t>
      </w:r>
      <w:r w:rsidR="00015F09">
        <w:t xml:space="preserve"> the </w:t>
      </w:r>
      <w:r w:rsidR="00FC0CDE">
        <w:t>a</w:t>
      </w:r>
      <w:r w:rsidR="00015F09">
        <w:t xml:space="preserve">ssessment </w:t>
      </w:r>
      <w:r w:rsidR="00FC0CDE">
        <w:t>g</w:t>
      </w:r>
      <w:r w:rsidR="00015F09">
        <w:t xml:space="preserve">roup’s reappraisal of </w:t>
      </w:r>
      <w:r w:rsidR="00FB31FF">
        <w:t>these studies</w:t>
      </w:r>
      <w:r w:rsidR="00F87144">
        <w:t xml:space="preserve"> found that</w:t>
      </w:r>
      <w:r w:rsidR="00FB31FF">
        <w:t xml:space="preserve"> </w:t>
      </w:r>
      <w:r w:rsidR="00174FBC">
        <w:t>3</w:t>
      </w:r>
      <w:r w:rsidR="00AD4345">
        <w:t xml:space="preserve"> </w:t>
      </w:r>
      <w:r w:rsidR="008A715C">
        <w:t>out of 4</w:t>
      </w:r>
      <w:r w:rsidR="00AD4345">
        <w:t xml:space="preserve"> </w:t>
      </w:r>
      <w:proofErr w:type="spellStart"/>
      <w:r w:rsidR="00174FBC" w:rsidRPr="00174FBC">
        <w:t>MINIject</w:t>
      </w:r>
      <w:proofErr w:type="spellEnd"/>
      <w:r w:rsidR="00174FBC">
        <w:t xml:space="preserve"> trials and</w:t>
      </w:r>
      <w:r w:rsidR="00AD4345">
        <w:t xml:space="preserve"> </w:t>
      </w:r>
      <w:r w:rsidR="00A35A1F">
        <w:t xml:space="preserve">5 </w:t>
      </w:r>
      <w:r w:rsidR="008A715C">
        <w:t xml:space="preserve">out of 7 </w:t>
      </w:r>
      <w:proofErr w:type="spellStart"/>
      <w:r w:rsidR="00A35A1F" w:rsidRPr="00A35A1F">
        <w:t>iStent</w:t>
      </w:r>
      <w:proofErr w:type="spellEnd"/>
      <w:r w:rsidR="00A35A1F" w:rsidRPr="00A35A1F">
        <w:t xml:space="preserve"> trials</w:t>
      </w:r>
      <w:r w:rsidR="00A35A1F">
        <w:t xml:space="preserve"> were of a low risk of bias</w:t>
      </w:r>
      <w:r w:rsidR="00DE6A3C">
        <w:t xml:space="preserve"> (see </w:t>
      </w:r>
      <w:r w:rsidR="00DE6A3C">
        <w:fldChar w:fldCharType="begin"/>
      </w:r>
      <w:r w:rsidR="00DE6A3C">
        <w:instrText xml:space="preserve"> REF _Ref150943542 \h </w:instrText>
      </w:r>
      <w:r w:rsidR="00DE6A3C">
        <w:fldChar w:fldCharType="separate"/>
      </w:r>
      <w:r w:rsidR="003C61D8">
        <w:t>Table</w:t>
      </w:r>
      <w:r w:rsidR="003C61D8" w:rsidRPr="0001290C">
        <w:t> </w:t>
      </w:r>
      <w:r w:rsidR="003C61D8">
        <w:rPr>
          <w:noProof/>
        </w:rPr>
        <w:t>6</w:t>
      </w:r>
      <w:r w:rsidR="00DE6A3C">
        <w:fldChar w:fldCharType="end"/>
      </w:r>
      <w:r w:rsidR="00DE6A3C">
        <w:t>)</w:t>
      </w:r>
      <w:r w:rsidR="007F72DA">
        <w:t>.</w:t>
      </w:r>
      <w:r w:rsidR="00703E7B">
        <w:t xml:space="preserve"> </w:t>
      </w:r>
      <w:r w:rsidR="00A7240B">
        <w:t xml:space="preserve">The </w:t>
      </w:r>
      <w:r w:rsidR="00FC0CDE">
        <w:t>a</w:t>
      </w:r>
      <w:r w:rsidR="00A7240B">
        <w:t xml:space="preserve">ssessment </w:t>
      </w:r>
      <w:r w:rsidR="00FC0CDE">
        <w:t>g</w:t>
      </w:r>
      <w:r w:rsidR="00A7240B">
        <w:t xml:space="preserve">roup marked down </w:t>
      </w:r>
      <w:r w:rsidR="002225E5">
        <w:t xml:space="preserve">1 </w:t>
      </w:r>
      <w:proofErr w:type="spellStart"/>
      <w:r w:rsidR="002225E5" w:rsidRPr="00174FBC">
        <w:t>MINIject</w:t>
      </w:r>
      <w:proofErr w:type="spellEnd"/>
      <w:r w:rsidR="002225E5">
        <w:t xml:space="preserve"> trial and 1 </w:t>
      </w:r>
      <w:proofErr w:type="spellStart"/>
      <w:r w:rsidR="002225E5" w:rsidRPr="00A35A1F">
        <w:t>iStent</w:t>
      </w:r>
      <w:proofErr w:type="spellEnd"/>
      <w:r w:rsidR="002225E5" w:rsidRPr="00A35A1F">
        <w:t xml:space="preserve"> trial</w:t>
      </w:r>
      <w:r w:rsidR="002225E5">
        <w:t xml:space="preserve"> as being of moderate risk of bias</w:t>
      </w:r>
      <w:r w:rsidR="007A030D">
        <w:t>,</w:t>
      </w:r>
      <w:r w:rsidR="002225E5">
        <w:t xml:space="preserve"> and 1 </w:t>
      </w:r>
      <w:proofErr w:type="spellStart"/>
      <w:r w:rsidR="002225E5" w:rsidRPr="00A35A1F">
        <w:t>iStent</w:t>
      </w:r>
      <w:proofErr w:type="spellEnd"/>
      <w:r w:rsidR="002225E5" w:rsidRPr="00A35A1F">
        <w:t xml:space="preserve"> trial</w:t>
      </w:r>
      <w:r w:rsidR="002225E5">
        <w:t xml:space="preserve"> was judged to be of a high risk of bias.</w:t>
      </w:r>
    </w:p>
    <w:p w14:paraId="566A1CA4" w14:textId="1EA5A92F" w:rsidR="00A330D2" w:rsidRPr="007E591D" w:rsidRDefault="00DD5464" w:rsidP="00A05165">
      <w:r>
        <w:t xml:space="preserve">GRADE criteria </w:t>
      </w:r>
      <w:r w:rsidR="00873348">
        <w:t>were</w:t>
      </w:r>
      <w:r>
        <w:t xml:space="preserve"> employed in </w:t>
      </w:r>
      <w:r w:rsidR="004D6DC6">
        <w:t xml:space="preserve">assessing </w:t>
      </w:r>
      <w:r>
        <w:t xml:space="preserve">the </w:t>
      </w:r>
      <w:r w:rsidR="006148BA">
        <w:t xml:space="preserve">evidence </w:t>
      </w:r>
      <w:r w:rsidR="00553EF3">
        <w:t xml:space="preserve">used to support the </w:t>
      </w:r>
      <w:proofErr w:type="spellStart"/>
      <w:r w:rsidR="009C34AB" w:rsidRPr="002C344A">
        <w:t>MINIject</w:t>
      </w:r>
      <w:proofErr w:type="spellEnd"/>
      <w:r w:rsidR="009C34AB" w:rsidRPr="002C344A">
        <w:t xml:space="preserve"> vs </w:t>
      </w:r>
      <w:proofErr w:type="spellStart"/>
      <w:r w:rsidR="009C34AB" w:rsidRPr="002C344A">
        <w:t>iStent</w:t>
      </w:r>
      <w:proofErr w:type="spellEnd"/>
      <w:r w:rsidR="009C34AB">
        <w:t xml:space="preserve"> ITC</w:t>
      </w:r>
      <w:r w:rsidR="00B71B66">
        <w:t>.</w:t>
      </w:r>
      <w:r w:rsidR="006148BA">
        <w:t xml:space="preserve"> </w:t>
      </w:r>
      <w:r w:rsidR="00103872">
        <w:t xml:space="preserve">Although the </w:t>
      </w:r>
      <w:r w:rsidR="00E5060B">
        <w:t>applicant</w:t>
      </w:r>
      <w:r w:rsidR="00E24741">
        <w:t>’s</w:t>
      </w:r>
      <w:r w:rsidR="00103872">
        <w:t xml:space="preserve"> original assessment </w:t>
      </w:r>
      <w:r w:rsidR="00E24741">
        <w:t xml:space="preserve">concluded </w:t>
      </w:r>
      <w:r w:rsidR="00022958">
        <w:t xml:space="preserve">that the evidence base </w:t>
      </w:r>
      <w:r w:rsidR="00103872">
        <w:t xml:space="preserve">was </w:t>
      </w:r>
      <w:r w:rsidR="00022958">
        <w:t xml:space="preserve">of </w:t>
      </w:r>
      <w:r w:rsidR="0024747F" w:rsidRPr="0024747F">
        <w:t>moderate (</w:t>
      </w:r>
      <w:r w:rsidR="0024747F" w:rsidRPr="0024747F">
        <w:rPr>
          <w:rFonts w:ascii="Cambria Math" w:hAnsi="Cambria Math" w:cs="Cambria Math"/>
          <w:color w:val="00B050"/>
        </w:rPr>
        <w:t>⨁⨁⨁</w:t>
      </w:r>
      <w:r w:rsidR="0024747F" w:rsidRPr="0024747F">
        <w:rPr>
          <w:rFonts w:ascii="Cambria Math" w:hAnsi="Cambria Math" w:cs="Cambria Math"/>
          <w:color w:val="C00000"/>
        </w:rPr>
        <w:t>⨀</w:t>
      </w:r>
      <w:r w:rsidR="0024747F" w:rsidRPr="0024747F">
        <w:rPr>
          <w:rFonts w:cs="Cambria Math"/>
          <w:color w:val="C00000"/>
        </w:rPr>
        <w:t xml:space="preserve">) </w:t>
      </w:r>
      <w:r w:rsidR="0024747F" w:rsidRPr="0024747F">
        <w:t>to high (</w:t>
      </w:r>
      <w:r w:rsidR="0024747F" w:rsidRPr="0024747F">
        <w:rPr>
          <w:rFonts w:ascii="Cambria Math" w:hAnsi="Cambria Math" w:cs="Cambria Math"/>
          <w:color w:val="00B050"/>
        </w:rPr>
        <w:t>⨁⨁⨁⨁</w:t>
      </w:r>
      <w:r w:rsidR="0024747F" w:rsidRPr="0024747F">
        <w:t>)</w:t>
      </w:r>
      <w:r w:rsidR="0021357E">
        <w:t xml:space="preserve"> </w:t>
      </w:r>
      <w:r w:rsidR="00022958">
        <w:t xml:space="preserve">quality, the </w:t>
      </w:r>
      <w:r w:rsidR="00FC0CDE">
        <w:t>a</w:t>
      </w:r>
      <w:r w:rsidR="00022958">
        <w:t xml:space="preserve">ssessment </w:t>
      </w:r>
      <w:r w:rsidR="00FC0CDE">
        <w:t>g</w:t>
      </w:r>
      <w:r w:rsidR="00022958">
        <w:t>roup reached</w:t>
      </w:r>
      <w:r w:rsidR="00DF75E1">
        <w:t xml:space="preserve"> the conclusion that </w:t>
      </w:r>
      <w:r w:rsidR="00E74811">
        <w:lastRenderedPageBreak/>
        <w:t>there is</w:t>
      </w:r>
      <w:r w:rsidR="00E74811" w:rsidRPr="00C74B6C">
        <w:rPr>
          <w:i/>
        </w:rPr>
        <w:t xml:space="preserve"> </w:t>
      </w:r>
      <w:r w:rsidR="00C74B6C" w:rsidRPr="00C74B6C">
        <w:rPr>
          <w:rStyle w:val="IntenseEmphasis"/>
          <w:rFonts w:ascii="Franklin Gothic Book" w:hAnsi="Franklin Gothic Book"/>
          <w:i w:val="0"/>
          <w:iCs w:val="0"/>
          <w:color w:val="auto"/>
        </w:rPr>
        <w:t>low</w:t>
      </w:r>
      <w:r w:rsidR="00C74B6C" w:rsidRPr="00C74B6C">
        <w:rPr>
          <w:rStyle w:val="IntenseEmphasis"/>
          <w:rFonts w:ascii="Franklin Gothic Book" w:hAnsi="Franklin Gothic Book"/>
          <w:color w:val="auto"/>
        </w:rPr>
        <w:t xml:space="preserve"> </w:t>
      </w:r>
      <w:r w:rsidR="00C74B6C" w:rsidRPr="00C74B6C">
        <w:rPr>
          <w:rStyle w:val="IntenseEmphasis"/>
          <w:rFonts w:ascii="Franklin Gothic Book" w:hAnsi="Franklin Gothic Book"/>
          <w:i w:val="0"/>
          <w:iCs w:val="0"/>
          <w:color w:val="auto"/>
        </w:rPr>
        <w:t>(</w:t>
      </w:r>
      <w:r w:rsidR="00C74B6C" w:rsidRPr="00C74B6C">
        <w:rPr>
          <w:rFonts w:ascii="Cambria Math" w:hAnsi="Cambria Math" w:cs="Cambria Math"/>
          <w:bCs/>
          <w:color w:val="00B050"/>
        </w:rPr>
        <w:t>⨁⨁</w:t>
      </w:r>
      <w:r w:rsidR="00C74B6C" w:rsidRPr="00C74B6C">
        <w:rPr>
          <w:rFonts w:ascii="Cambria Math" w:hAnsi="Cambria Math" w:cs="Cambria Math"/>
          <w:bCs/>
          <w:color w:val="C00000"/>
        </w:rPr>
        <w:t>⨀⨀</w:t>
      </w:r>
      <w:r w:rsidR="00C74B6C" w:rsidRPr="00C74B6C">
        <w:rPr>
          <w:bCs/>
        </w:rPr>
        <w:t>) to high (</w:t>
      </w:r>
      <w:r w:rsidR="00C74B6C" w:rsidRPr="00C74B6C">
        <w:rPr>
          <w:rFonts w:ascii="Cambria Math" w:hAnsi="Cambria Math" w:cs="Cambria Math"/>
          <w:bCs/>
          <w:color w:val="00B050"/>
        </w:rPr>
        <w:t>⨁⨁⨁⨁</w:t>
      </w:r>
      <w:r w:rsidR="00C74B6C" w:rsidRPr="00C74B6C">
        <w:rPr>
          <w:bCs/>
        </w:rPr>
        <w:t>)</w:t>
      </w:r>
      <w:r w:rsidR="00C74B6C" w:rsidRPr="00C74B6C">
        <w:rPr>
          <w:bCs/>
          <w:i/>
          <w:color w:val="0070C0"/>
        </w:rPr>
        <w:t xml:space="preserve"> </w:t>
      </w:r>
      <w:r w:rsidR="00C74B6C" w:rsidRPr="00C74B6C">
        <w:rPr>
          <w:bCs/>
          <w:iCs/>
        </w:rPr>
        <w:t>confidence in the quality of evidence</w:t>
      </w:r>
      <w:r w:rsidR="004D6DC6">
        <w:rPr>
          <w:bCs/>
          <w:iCs/>
        </w:rPr>
        <w:t xml:space="preserve"> base used to </w:t>
      </w:r>
      <w:r w:rsidR="004D6DC6">
        <w:t xml:space="preserve">support the </w:t>
      </w:r>
      <w:r w:rsidR="007E591D" w:rsidRPr="007E591D">
        <w:t xml:space="preserve">relative efficacy and safety of </w:t>
      </w:r>
      <w:proofErr w:type="spellStart"/>
      <w:r w:rsidR="007E591D" w:rsidRPr="007E591D">
        <w:t>MINIject</w:t>
      </w:r>
      <w:proofErr w:type="spellEnd"/>
      <w:r w:rsidR="007E591D" w:rsidRPr="007E591D">
        <w:t xml:space="preserve"> vs </w:t>
      </w:r>
      <w:proofErr w:type="spellStart"/>
      <w:r w:rsidR="007E591D" w:rsidRPr="007E591D">
        <w:t>iStent</w:t>
      </w:r>
      <w:proofErr w:type="spellEnd"/>
      <w:r w:rsidR="007E591D" w:rsidRPr="007E591D">
        <w:t xml:space="preserve"> in standalone MBGS procedures.</w:t>
      </w:r>
    </w:p>
    <w:p w14:paraId="77A35605" w14:textId="1E76EA83" w:rsidR="00A611A6" w:rsidRDefault="00A611A6" w:rsidP="00A611A6">
      <w:pPr>
        <w:pStyle w:val="Caption"/>
      </w:pPr>
      <w:bookmarkStart w:id="13" w:name="_Ref150943542"/>
      <w:r>
        <w:t>Table</w:t>
      </w:r>
      <w:r w:rsidR="00D40723" w:rsidRPr="0001290C">
        <w:t> </w:t>
      </w:r>
      <w:r>
        <w:fldChar w:fldCharType="begin"/>
      </w:r>
      <w:r>
        <w:instrText>SEQ Table \* ARABIC</w:instrText>
      </w:r>
      <w:r>
        <w:fldChar w:fldCharType="separate"/>
      </w:r>
      <w:r w:rsidR="003C61D8">
        <w:rPr>
          <w:noProof/>
        </w:rPr>
        <w:t>6</w:t>
      </w:r>
      <w:r>
        <w:fldChar w:fldCharType="end"/>
      </w:r>
      <w:bookmarkEnd w:id="13"/>
      <w:r w:rsidR="00D40723">
        <w:tab/>
      </w:r>
      <w:r w:rsidRPr="00AC60FE">
        <w:t>GRADE reassessment of study domains</w:t>
      </w:r>
    </w:p>
    <w:tbl>
      <w:tblPr>
        <w:tblStyle w:val="TableGrid"/>
        <w:tblW w:w="5000" w:type="pct"/>
        <w:tblLook w:val="04A0" w:firstRow="1" w:lastRow="0" w:firstColumn="1" w:lastColumn="0" w:noHBand="0" w:noVBand="1"/>
      </w:tblPr>
      <w:tblGrid>
        <w:gridCol w:w="1477"/>
        <w:gridCol w:w="2063"/>
        <w:gridCol w:w="2656"/>
        <w:gridCol w:w="1482"/>
        <w:gridCol w:w="1338"/>
      </w:tblGrid>
      <w:tr w:rsidR="00342628" w:rsidRPr="00203981" w14:paraId="0755799A" w14:textId="77777777" w:rsidTr="00617190">
        <w:trPr>
          <w:tblHeader/>
        </w:trPr>
        <w:tc>
          <w:tcPr>
            <w:tcW w:w="819" w:type="pct"/>
            <w:vMerge w:val="restart"/>
            <w:shd w:val="clear" w:color="auto" w:fill="FFFFFF" w:themeFill="background1"/>
          </w:tcPr>
          <w:p w14:paraId="51EE9FF9" w14:textId="56DBE171" w:rsidR="00342628" w:rsidRPr="00203981" w:rsidRDefault="00342628" w:rsidP="00203981">
            <w:pPr>
              <w:pStyle w:val="Tabletext0"/>
              <w:rPr>
                <w:b/>
                <w:bCs/>
              </w:rPr>
            </w:pPr>
            <w:r w:rsidRPr="00203981">
              <w:rPr>
                <w:b/>
                <w:bCs/>
              </w:rPr>
              <w:t>Assessment criteria</w:t>
            </w:r>
          </w:p>
        </w:tc>
        <w:tc>
          <w:tcPr>
            <w:tcW w:w="1144" w:type="pct"/>
            <w:vMerge w:val="restart"/>
            <w:shd w:val="clear" w:color="auto" w:fill="FFFFFF" w:themeFill="background1"/>
          </w:tcPr>
          <w:p w14:paraId="4A7BF563" w14:textId="70DB782D" w:rsidR="00342628" w:rsidRPr="00203981" w:rsidRDefault="00342628" w:rsidP="00203981">
            <w:pPr>
              <w:pStyle w:val="Tabletext0"/>
              <w:rPr>
                <w:b/>
                <w:bCs/>
              </w:rPr>
            </w:pPr>
            <w:proofErr w:type="spellStart"/>
            <w:r w:rsidRPr="00203981">
              <w:rPr>
                <w:b/>
                <w:bCs/>
              </w:rPr>
              <w:t>MINIject</w:t>
            </w:r>
            <w:proofErr w:type="spellEnd"/>
          </w:p>
        </w:tc>
        <w:tc>
          <w:tcPr>
            <w:tcW w:w="1473" w:type="pct"/>
            <w:vMerge w:val="restart"/>
            <w:shd w:val="clear" w:color="auto" w:fill="FFFFFF" w:themeFill="background1"/>
          </w:tcPr>
          <w:p w14:paraId="1081C051" w14:textId="32158AFE" w:rsidR="00342628" w:rsidRPr="00203981" w:rsidRDefault="00342628" w:rsidP="00203981">
            <w:pPr>
              <w:pStyle w:val="Tabletext0"/>
              <w:rPr>
                <w:b/>
                <w:bCs/>
              </w:rPr>
            </w:pPr>
            <w:proofErr w:type="spellStart"/>
            <w:r w:rsidRPr="00203981">
              <w:rPr>
                <w:b/>
                <w:bCs/>
              </w:rPr>
              <w:t>iStent</w:t>
            </w:r>
            <w:proofErr w:type="spellEnd"/>
          </w:p>
        </w:tc>
        <w:tc>
          <w:tcPr>
            <w:tcW w:w="1564" w:type="pct"/>
            <w:gridSpan w:val="2"/>
            <w:shd w:val="clear" w:color="auto" w:fill="FFFFFF" w:themeFill="background1"/>
          </w:tcPr>
          <w:p w14:paraId="25D213FC" w14:textId="5BB0F195" w:rsidR="00342628" w:rsidRPr="00203981" w:rsidRDefault="00342628" w:rsidP="00203981">
            <w:pPr>
              <w:pStyle w:val="Tabletext0"/>
              <w:rPr>
                <w:b/>
                <w:bCs/>
              </w:rPr>
            </w:pPr>
            <w:r w:rsidRPr="00203981">
              <w:rPr>
                <w:b/>
                <w:bCs/>
              </w:rPr>
              <w:t xml:space="preserve">GRADE </w:t>
            </w:r>
            <w:r w:rsidR="007879AD" w:rsidRPr="00203981">
              <w:rPr>
                <w:b/>
                <w:bCs/>
              </w:rPr>
              <w:t>a</w:t>
            </w:r>
            <w:r w:rsidRPr="00203981">
              <w:rPr>
                <w:b/>
                <w:bCs/>
              </w:rPr>
              <w:t>ssessment</w:t>
            </w:r>
          </w:p>
        </w:tc>
      </w:tr>
      <w:tr w:rsidR="00D03CC1" w:rsidRPr="00203981" w14:paraId="3658616B" w14:textId="77777777" w:rsidTr="00617190">
        <w:trPr>
          <w:tblHeader/>
        </w:trPr>
        <w:tc>
          <w:tcPr>
            <w:tcW w:w="819" w:type="pct"/>
            <w:vMerge/>
            <w:shd w:val="clear" w:color="auto" w:fill="FFFFFF" w:themeFill="background1"/>
          </w:tcPr>
          <w:p w14:paraId="7815B8AE" w14:textId="3832E3EF" w:rsidR="00342628" w:rsidRPr="00203981" w:rsidRDefault="00342628" w:rsidP="00203981">
            <w:pPr>
              <w:pStyle w:val="Tabletext0"/>
              <w:rPr>
                <w:b/>
                <w:bCs/>
              </w:rPr>
            </w:pPr>
          </w:p>
        </w:tc>
        <w:tc>
          <w:tcPr>
            <w:tcW w:w="1144" w:type="pct"/>
            <w:vMerge/>
            <w:shd w:val="clear" w:color="auto" w:fill="FFFFFF" w:themeFill="background1"/>
          </w:tcPr>
          <w:p w14:paraId="745ADAC7" w14:textId="35C7AD72" w:rsidR="00342628" w:rsidRPr="00203981" w:rsidRDefault="00342628" w:rsidP="00203981">
            <w:pPr>
              <w:pStyle w:val="Tabletext0"/>
              <w:rPr>
                <w:b/>
                <w:bCs/>
              </w:rPr>
            </w:pPr>
          </w:p>
        </w:tc>
        <w:tc>
          <w:tcPr>
            <w:tcW w:w="1473" w:type="pct"/>
            <w:vMerge/>
            <w:shd w:val="clear" w:color="auto" w:fill="FFFFFF" w:themeFill="background1"/>
          </w:tcPr>
          <w:p w14:paraId="5C87EFF7" w14:textId="5D48F2BE" w:rsidR="00342628" w:rsidRPr="00203981" w:rsidRDefault="00342628" w:rsidP="00203981">
            <w:pPr>
              <w:pStyle w:val="Tabletext0"/>
              <w:rPr>
                <w:b/>
                <w:bCs/>
              </w:rPr>
            </w:pPr>
          </w:p>
        </w:tc>
        <w:tc>
          <w:tcPr>
            <w:tcW w:w="822" w:type="pct"/>
            <w:shd w:val="clear" w:color="auto" w:fill="FFFFFF" w:themeFill="background1"/>
          </w:tcPr>
          <w:p w14:paraId="274D76AD" w14:textId="0ABC91D8" w:rsidR="00342628" w:rsidRPr="00203981" w:rsidRDefault="00E5060B" w:rsidP="00203981">
            <w:pPr>
              <w:pStyle w:val="Tabletext0"/>
              <w:rPr>
                <w:b/>
                <w:bCs/>
              </w:rPr>
            </w:pPr>
            <w:r w:rsidRPr="00203981">
              <w:rPr>
                <w:b/>
                <w:bCs/>
              </w:rPr>
              <w:t>Applicant</w:t>
            </w:r>
          </w:p>
        </w:tc>
        <w:tc>
          <w:tcPr>
            <w:tcW w:w="742" w:type="pct"/>
            <w:shd w:val="clear" w:color="auto" w:fill="FFFFFF" w:themeFill="background1"/>
          </w:tcPr>
          <w:p w14:paraId="660DB151" w14:textId="3708E373" w:rsidR="00342628" w:rsidRPr="00203981" w:rsidRDefault="00342628" w:rsidP="00203981">
            <w:pPr>
              <w:pStyle w:val="Tabletext0"/>
              <w:rPr>
                <w:b/>
                <w:bCs/>
              </w:rPr>
            </w:pPr>
            <w:r w:rsidRPr="00203981">
              <w:rPr>
                <w:b/>
                <w:bCs/>
              </w:rPr>
              <w:t xml:space="preserve">Assessment </w:t>
            </w:r>
            <w:r w:rsidR="009C3056" w:rsidRPr="00203981">
              <w:rPr>
                <w:b/>
                <w:bCs/>
              </w:rPr>
              <w:t>g</w:t>
            </w:r>
            <w:r w:rsidRPr="00203981">
              <w:rPr>
                <w:b/>
                <w:bCs/>
              </w:rPr>
              <w:t xml:space="preserve">roup </w:t>
            </w:r>
          </w:p>
        </w:tc>
      </w:tr>
      <w:tr w:rsidR="00D03CC1" w:rsidRPr="003006AD" w14:paraId="12C21906" w14:textId="77777777" w:rsidTr="00337257">
        <w:tc>
          <w:tcPr>
            <w:tcW w:w="819" w:type="pct"/>
          </w:tcPr>
          <w:p w14:paraId="779E1C69" w14:textId="77777777" w:rsidR="00EF3B73" w:rsidRPr="003006AD" w:rsidRDefault="00EF3B73" w:rsidP="00617190">
            <w:pPr>
              <w:pStyle w:val="Tabletext0"/>
              <w:jc w:val="left"/>
            </w:pPr>
            <w:r w:rsidRPr="003006AD">
              <w:t>Study design</w:t>
            </w:r>
          </w:p>
        </w:tc>
        <w:tc>
          <w:tcPr>
            <w:tcW w:w="1144" w:type="pct"/>
          </w:tcPr>
          <w:p w14:paraId="07B4E07C" w14:textId="308650B5" w:rsidR="00EF3B73" w:rsidRPr="003006AD" w:rsidRDefault="00EF3B73" w:rsidP="003D187A">
            <w:pPr>
              <w:pStyle w:val="Tabletext0"/>
              <w:jc w:val="left"/>
            </w:pPr>
            <w:r w:rsidRPr="003006AD">
              <w:t>Single arm, prospective, no special strengths or important limitations</w:t>
            </w:r>
          </w:p>
        </w:tc>
        <w:tc>
          <w:tcPr>
            <w:tcW w:w="1473" w:type="pct"/>
          </w:tcPr>
          <w:p w14:paraId="279813AF" w14:textId="77777777" w:rsidR="00B13394" w:rsidRDefault="00EF3B73" w:rsidP="003D187A">
            <w:pPr>
              <w:pStyle w:val="Tabletext0"/>
              <w:jc w:val="left"/>
            </w:pPr>
            <w:r w:rsidRPr="003006AD">
              <w:t>Single arm, 5/7 (71%) prospective, 2/7 (29%) retrospective</w:t>
            </w:r>
          </w:p>
          <w:p w14:paraId="4EF400F9" w14:textId="67E8761A" w:rsidR="00EF3B73" w:rsidRPr="003006AD" w:rsidRDefault="00EF3B73" w:rsidP="003D187A">
            <w:pPr>
              <w:pStyle w:val="Tabletext0"/>
              <w:jc w:val="left"/>
            </w:pPr>
            <w:r w:rsidRPr="003006AD">
              <w:t>No special strengths or important limitations</w:t>
            </w:r>
          </w:p>
        </w:tc>
        <w:tc>
          <w:tcPr>
            <w:tcW w:w="822" w:type="pct"/>
          </w:tcPr>
          <w:p w14:paraId="3937355C" w14:textId="5B1CD35B" w:rsidR="00EF3B73" w:rsidRPr="003006AD" w:rsidRDefault="00B80B9E" w:rsidP="00203981">
            <w:pPr>
              <w:pStyle w:val="Tabletext0"/>
              <w:rPr>
                <w:rFonts w:ascii="Cambria Math" w:hAnsi="Cambria Math" w:cs="Cambria Math"/>
                <w:bCs/>
                <w:color w:val="00B050"/>
              </w:rPr>
            </w:pPr>
            <w:r w:rsidRPr="003006AD">
              <w:rPr>
                <w:rFonts w:ascii="Cambria Math" w:hAnsi="Cambria Math" w:cs="Cambria Math"/>
                <w:bCs/>
                <w:color w:val="00B050"/>
              </w:rPr>
              <w:t>⨁⨁</w:t>
            </w:r>
            <w:r w:rsidRPr="003006AD">
              <w:rPr>
                <w:rFonts w:ascii="Cambria Math" w:hAnsi="Cambria Math" w:cs="Cambria Math"/>
                <w:bCs/>
                <w:color w:val="C00000"/>
              </w:rPr>
              <w:t>⨀⨀</w:t>
            </w:r>
          </w:p>
        </w:tc>
        <w:tc>
          <w:tcPr>
            <w:tcW w:w="742" w:type="pct"/>
          </w:tcPr>
          <w:p w14:paraId="01D63BD5" w14:textId="7CE6B192" w:rsidR="00EF3B73" w:rsidRPr="003006AD" w:rsidRDefault="00EF3B73" w:rsidP="00203981">
            <w:pPr>
              <w:pStyle w:val="Tabletext0"/>
            </w:pPr>
            <w:r w:rsidRPr="003006AD">
              <w:rPr>
                <w:rFonts w:ascii="Cambria Math" w:hAnsi="Cambria Math" w:cs="Cambria Math"/>
                <w:bCs/>
                <w:color w:val="00B050"/>
              </w:rPr>
              <w:t>⨁⨁</w:t>
            </w:r>
            <w:r w:rsidRPr="003006AD">
              <w:rPr>
                <w:rFonts w:ascii="Cambria Math" w:hAnsi="Cambria Math" w:cs="Cambria Math"/>
                <w:bCs/>
                <w:color w:val="C00000"/>
              </w:rPr>
              <w:t>⨀⨀</w:t>
            </w:r>
          </w:p>
        </w:tc>
      </w:tr>
      <w:tr w:rsidR="002A141D" w:rsidRPr="003006AD" w14:paraId="5B12BC22" w14:textId="77777777" w:rsidTr="00337257">
        <w:tc>
          <w:tcPr>
            <w:tcW w:w="819" w:type="pct"/>
          </w:tcPr>
          <w:p w14:paraId="3B46A8F7" w14:textId="56DE45AC" w:rsidR="002A141D" w:rsidRPr="003006AD" w:rsidRDefault="002A141D" w:rsidP="00617190">
            <w:pPr>
              <w:pStyle w:val="Tabletext0"/>
              <w:jc w:val="left"/>
            </w:pPr>
            <w:r w:rsidRPr="003006AD">
              <w:t>Study limitations (risk of bias)</w:t>
            </w:r>
          </w:p>
        </w:tc>
        <w:tc>
          <w:tcPr>
            <w:tcW w:w="2617" w:type="pct"/>
            <w:gridSpan w:val="2"/>
          </w:tcPr>
          <w:p w14:paraId="6D28BF62" w14:textId="0DACE893" w:rsidR="002A141D" w:rsidRPr="003006AD" w:rsidRDefault="002A141D" w:rsidP="00203981">
            <w:pPr>
              <w:pStyle w:val="Tabletext0"/>
            </w:pPr>
            <w:r w:rsidRPr="003006AD">
              <w:t>Potential limitations addressed in ‘study design’ domain</w:t>
            </w:r>
          </w:p>
        </w:tc>
        <w:tc>
          <w:tcPr>
            <w:tcW w:w="822" w:type="pct"/>
          </w:tcPr>
          <w:p w14:paraId="3D048DC7" w14:textId="208610C9" w:rsidR="002A141D" w:rsidRPr="003006AD" w:rsidRDefault="002A141D" w:rsidP="00203981">
            <w:pPr>
              <w:pStyle w:val="Tabletext0"/>
              <w:rPr>
                <w:rFonts w:ascii="Cambria Math" w:hAnsi="Cambria Math" w:cs="Cambria Math"/>
                <w:bCs/>
                <w:color w:val="00B050"/>
              </w:rPr>
            </w:pPr>
            <w:r w:rsidRPr="003006AD">
              <w:rPr>
                <w:rFonts w:ascii="Cambria Math" w:hAnsi="Cambria Math"/>
                <w:color w:val="00B050"/>
              </w:rPr>
              <w:t>⨁⨁⨁⨁</w:t>
            </w:r>
          </w:p>
        </w:tc>
        <w:tc>
          <w:tcPr>
            <w:tcW w:w="742" w:type="pct"/>
          </w:tcPr>
          <w:p w14:paraId="4F4311E7" w14:textId="2B5A29DB" w:rsidR="002A141D" w:rsidRPr="003006AD" w:rsidRDefault="002A141D" w:rsidP="00203981">
            <w:pPr>
              <w:pStyle w:val="Tabletext0"/>
            </w:pPr>
            <w:r w:rsidRPr="003006AD">
              <w:rPr>
                <w:rFonts w:ascii="Cambria Math" w:hAnsi="Cambria Math" w:cs="Cambria Math"/>
                <w:bCs/>
                <w:color w:val="00B050"/>
              </w:rPr>
              <w:t>⨁⨁⨁⨁</w:t>
            </w:r>
          </w:p>
        </w:tc>
      </w:tr>
      <w:tr w:rsidR="00D03CC1" w:rsidRPr="003006AD" w14:paraId="6BE33F95" w14:textId="77777777" w:rsidTr="00337257">
        <w:tc>
          <w:tcPr>
            <w:tcW w:w="819" w:type="pct"/>
          </w:tcPr>
          <w:p w14:paraId="37AA3115" w14:textId="6EFEEF61" w:rsidR="00EF3B73" w:rsidRPr="003006AD" w:rsidRDefault="00EF3B73" w:rsidP="00617190">
            <w:pPr>
              <w:pStyle w:val="Tabletext0"/>
              <w:jc w:val="left"/>
            </w:pPr>
            <w:r w:rsidRPr="003006AD">
              <w:t>Inconsistency of results</w:t>
            </w:r>
          </w:p>
        </w:tc>
        <w:tc>
          <w:tcPr>
            <w:tcW w:w="1144" w:type="pct"/>
          </w:tcPr>
          <w:p w14:paraId="1729C2BB" w14:textId="26374461" w:rsidR="00EF3B73" w:rsidRPr="003006AD" w:rsidRDefault="00EF3B73" w:rsidP="003D187A">
            <w:pPr>
              <w:pStyle w:val="Tabletext0"/>
              <w:jc w:val="left"/>
            </w:pPr>
            <w:r w:rsidRPr="003006AD">
              <w:t>Figure 11</w:t>
            </w:r>
            <w:r w:rsidR="00BD4E99">
              <w:t xml:space="preserve"> of ADAR submission</w:t>
            </w:r>
            <w:r w:rsidR="006355F1">
              <w:t xml:space="preserve"> (</w:t>
            </w:r>
            <w:r w:rsidR="006355F1">
              <w:fldChar w:fldCharType="begin"/>
            </w:r>
            <w:r w:rsidR="006355F1">
              <w:instrText xml:space="preserve"> REF _Ref152146217 \h </w:instrText>
            </w:r>
            <w:r w:rsidR="00897A4F">
              <w:instrText xml:space="preserve"> \* MERGEFORMAT </w:instrText>
            </w:r>
            <w:r w:rsidR="006355F1">
              <w:fldChar w:fldCharType="separate"/>
            </w:r>
            <w:r w:rsidR="003C61D8">
              <w:t>Figure</w:t>
            </w:r>
            <w:r w:rsidR="003C61D8" w:rsidRPr="0001290C">
              <w:t> </w:t>
            </w:r>
            <w:r w:rsidR="003C61D8">
              <w:t>1</w:t>
            </w:r>
            <w:r w:rsidR="006355F1">
              <w:fldChar w:fldCharType="end"/>
            </w:r>
            <w:r w:rsidR="006355F1">
              <w:t>)</w:t>
            </w:r>
            <w:r w:rsidRPr="003006AD">
              <w:t>: broadly consistent effect sizes</w:t>
            </w:r>
          </w:p>
        </w:tc>
        <w:tc>
          <w:tcPr>
            <w:tcW w:w="1473" w:type="pct"/>
          </w:tcPr>
          <w:p w14:paraId="38203A14" w14:textId="0AE411EE" w:rsidR="00EF3B73" w:rsidRPr="003006AD" w:rsidRDefault="00EF3B73" w:rsidP="003D187A">
            <w:pPr>
              <w:pStyle w:val="Tabletext0"/>
              <w:jc w:val="left"/>
            </w:pPr>
            <w:r w:rsidRPr="003006AD">
              <w:t>Figure 11</w:t>
            </w:r>
            <w:r w:rsidR="00BD4E99">
              <w:t xml:space="preserve"> of ADAR </w:t>
            </w:r>
            <w:r w:rsidR="006355F1">
              <w:t>submission (</w:t>
            </w:r>
            <w:r w:rsidR="006355F1">
              <w:fldChar w:fldCharType="begin"/>
            </w:r>
            <w:r w:rsidR="006355F1">
              <w:instrText xml:space="preserve"> REF _Ref152146217 \h </w:instrText>
            </w:r>
            <w:r w:rsidR="00897A4F">
              <w:instrText xml:space="preserve"> \* MERGEFORMAT </w:instrText>
            </w:r>
            <w:r w:rsidR="006355F1">
              <w:fldChar w:fldCharType="separate"/>
            </w:r>
            <w:r w:rsidR="003C61D8">
              <w:t>Figure</w:t>
            </w:r>
            <w:r w:rsidR="003C61D8" w:rsidRPr="0001290C">
              <w:t> </w:t>
            </w:r>
            <w:r w:rsidR="003C61D8">
              <w:t>1</w:t>
            </w:r>
            <w:r w:rsidR="006355F1">
              <w:fldChar w:fldCharType="end"/>
            </w:r>
            <w:r w:rsidR="006355F1">
              <w:t>)</w:t>
            </w:r>
            <w:r w:rsidR="006355F1" w:rsidRPr="003006AD">
              <w:t>:</w:t>
            </w:r>
            <w:r w:rsidR="006355F1">
              <w:t xml:space="preserve"> </w:t>
            </w:r>
            <w:r w:rsidRPr="003006AD">
              <w:t>considerable variation in effect estimates, large I</w:t>
            </w:r>
            <w:r w:rsidRPr="003006AD">
              <w:rPr>
                <w:vertAlign w:val="superscript"/>
              </w:rPr>
              <w:t>2</w:t>
            </w:r>
            <w:r w:rsidRPr="003006AD">
              <w:t xml:space="preserve"> statistic (n=5): 93.69%</w:t>
            </w:r>
          </w:p>
        </w:tc>
        <w:tc>
          <w:tcPr>
            <w:tcW w:w="822" w:type="pct"/>
          </w:tcPr>
          <w:p w14:paraId="2EEF89CD" w14:textId="6E402370" w:rsidR="00EF3B73" w:rsidRPr="003006AD" w:rsidRDefault="00A84457" w:rsidP="00203981">
            <w:pPr>
              <w:pStyle w:val="Tabletext0"/>
              <w:rPr>
                <w:rFonts w:ascii="Cambria Math" w:hAnsi="Cambria Math" w:cs="Cambria Math"/>
                <w:bCs/>
                <w:color w:val="00B050"/>
              </w:rPr>
            </w:pPr>
            <w:r w:rsidRPr="003006AD">
              <w:rPr>
                <w:rFonts w:ascii="Cambria Math" w:hAnsi="Cambria Math"/>
                <w:color w:val="00B050"/>
              </w:rPr>
              <w:t>⨁⨁⨁⨁</w:t>
            </w:r>
          </w:p>
        </w:tc>
        <w:tc>
          <w:tcPr>
            <w:tcW w:w="742" w:type="pct"/>
          </w:tcPr>
          <w:p w14:paraId="4760E94E" w14:textId="70B6C6A5" w:rsidR="00EF3B73" w:rsidRPr="003006AD" w:rsidRDefault="00EF3B73" w:rsidP="00203981">
            <w:pPr>
              <w:pStyle w:val="Tabletext0"/>
            </w:pPr>
            <w:r w:rsidRPr="003006AD">
              <w:rPr>
                <w:rFonts w:ascii="Cambria Math" w:hAnsi="Cambria Math" w:cs="Cambria Math"/>
                <w:bCs/>
                <w:color w:val="00B050"/>
              </w:rPr>
              <w:t>⨁⨁</w:t>
            </w:r>
            <w:r w:rsidRPr="003006AD">
              <w:rPr>
                <w:rFonts w:ascii="Cambria Math" w:hAnsi="Cambria Math" w:cs="Cambria Math"/>
                <w:bCs/>
                <w:color w:val="C00000"/>
              </w:rPr>
              <w:t>⨀⨀</w:t>
            </w:r>
          </w:p>
        </w:tc>
      </w:tr>
      <w:tr w:rsidR="00B61D63" w:rsidRPr="003006AD" w14:paraId="7B196CFB" w14:textId="77777777" w:rsidTr="00337257">
        <w:tc>
          <w:tcPr>
            <w:tcW w:w="819" w:type="pct"/>
          </w:tcPr>
          <w:p w14:paraId="2ED86656" w14:textId="649B8AF6" w:rsidR="00B61D63" w:rsidRPr="003006AD" w:rsidRDefault="00B61D63" w:rsidP="00617190">
            <w:pPr>
              <w:pStyle w:val="Tabletext0"/>
              <w:jc w:val="left"/>
            </w:pPr>
            <w:r w:rsidRPr="003006AD">
              <w:t>Indirectness of evidence</w:t>
            </w:r>
          </w:p>
        </w:tc>
        <w:tc>
          <w:tcPr>
            <w:tcW w:w="2617" w:type="pct"/>
            <w:gridSpan w:val="2"/>
          </w:tcPr>
          <w:p w14:paraId="6AC79522" w14:textId="3B16B871" w:rsidR="00B61D63" w:rsidRPr="003006AD" w:rsidRDefault="00B61D63" w:rsidP="003D187A">
            <w:pPr>
              <w:pStyle w:val="Tabletext0"/>
              <w:jc w:val="left"/>
            </w:pPr>
            <w:r w:rsidRPr="003006AD">
              <w:t xml:space="preserve">Notable differences between </w:t>
            </w:r>
            <w:proofErr w:type="spellStart"/>
            <w:r w:rsidRPr="003006AD">
              <w:t>MINIject</w:t>
            </w:r>
            <w:proofErr w:type="spellEnd"/>
            <w:r w:rsidRPr="003006AD">
              <w:t xml:space="preserve"> and </w:t>
            </w:r>
            <w:proofErr w:type="spellStart"/>
            <w:r w:rsidRPr="003006AD">
              <w:t>iStent</w:t>
            </w:r>
            <w:proofErr w:type="spellEnd"/>
            <w:r w:rsidRPr="003006AD">
              <w:t xml:space="preserve"> trials</w:t>
            </w:r>
          </w:p>
        </w:tc>
        <w:tc>
          <w:tcPr>
            <w:tcW w:w="822" w:type="pct"/>
          </w:tcPr>
          <w:p w14:paraId="77E75FDD" w14:textId="230D2B06" w:rsidR="00B61D63" w:rsidRPr="003006AD" w:rsidRDefault="00B61D63" w:rsidP="00203981">
            <w:pPr>
              <w:pStyle w:val="Tabletext0"/>
              <w:rPr>
                <w:rFonts w:ascii="Cambria Math" w:hAnsi="Cambria Math" w:cs="Cambria Math"/>
                <w:bCs/>
                <w:color w:val="00B050"/>
              </w:rPr>
            </w:pPr>
            <w:r w:rsidRPr="003006AD">
              <w:rPr>
                <w:rFonts w:ascii="Cambria Math" w:hAnsi="Cambria Math"/>
                <w:color w:val="00B050"/>
              </w:rPr>
              <w:t>⨁⨁⨁</w:t>
            </w:r>
            <w:r w:rsidRPr="003006AD">
              <w:rPr>
                <w:rFonts w:ascii="Cambria Math" w:hAnsi="Cambria Math" w:cs="Cambria Math"/>
                <w:color w:val="C00000"/>
              </w:rPr>
              <w:t>⨀</w:t>
            </w:r>
          </w:p>
        </w:tc>
        <w:tc>
          <w:tcPr>
            <w:tcW w:w="742" w:type="pct"/>
          </w:tcPr>
          <w:p w14:paraId="05B13A62" w14:textId="73895DFB" w:rsidR="00B61D63" w:rsidRPr="003006AD" w:rsidRDefault="00B61D63" w:rsidP="00203981">
            <w:pPr>
              <w:pStyle w:val="Tabletext0"/>
            </w:pPr>
            <w:r w:rsidRPr="003006AD">
              <w:rPr>
                <w:rFonts w:ascii="Cambria Math" w:hAnsi="Cambria Math" w:cs="Cambria Math"/>
                <w:bCs/>
                <w:color w:val="00B050"/>
              </w:rPr>
              <w:t>⨁⨁</w:t>
            </w:r>
            <w:r w:rsidRPr="003006AD">
              <w:rPr>
                <w:rFonts w:ascii="Cambria Math" w:hAnsi="Cambria Math" w:cs="Cambria Math"/>
                <w:bCs/>
                <w:color w:val="C00000"/>
              </w:rPr>
              <w:t>⨀⨀</w:t>
            </w:r>
          </w:p>
        </w:tc>
      </w:tr>
      <w:tr w:rsidR="00B61D63" w:rsidRPr="003006AD" w14:paraId="28F47A89" w14:textId="77777777" w:rsidTr="00337257">
        <w:tc>
          <w:tcPr>
            <w:tcW w:w="819" w:type="pct"/>
          </w:tcPr>
          <w:p w14:paraId="1976DFE8" w14:textId="446AA32A" w:rsidR="00B61D63" w:rsidRPr="003006AD" w:rsidRDefault="00B61D63" w:rsidP="00617190">
            <w:pPr>
              <w:pStyle w:val="Tabletext0"/>
              <w:jc w:val="left"/>
            </w:pPr>
            <w:r w:rsidRPr="003006AD">
              <w:t>Imprecision</w:t>
            </w:r>
          </w:p>
        </w:tc>
        <w:tc>
          <w:tcPr>
            <w:tcW w:w="2617" w:type="pct"/>
            <w:gridSpan w:val="2"/>
          </w:tcPr>
          <w:p w14:paraId="2C740ED6" w14:textId="097FCEDF" w:rsidR="00B61D63" w:rsidRPr="003006AD" w:rsidRDefault="00B61D63" w:rsidP="003D187A">
            <w:pPr>
              <w:pStyle w:val="Tabletext0"/>
              <w:jc w:val="left"/>
            </w:pPr>
            <w:r w:rsidRPr="003006AD">
              <w:t>Considerable limitations</w:t>
            </w:r>
          </w:p>
        </w:tc>
        <w:tc>
          <w:tcPr>
            <w:tcW w:w="822" w:type="pct"/>
          </w:tcPr>
          <w:p w14:paraId="11EE0A51" w14:textId="70068CA7" w:rsidR="00B61D63" w:rsidRPr="003006AD" w:rsidRDefault="00B61D63" w:rsidP="00203981">
            <w:pPr>
              <w:pStyle w:val="Tabletext0"/>
              <w:rPr>
                <w:rFonts w:ascii="Cambria Math" w:hAnsi="Cambria Math" w:cs="Cambria Math"/>
                <w:bCs/>
                <w:color w:val="00B050"/>
              </w:rPr>
            </w:pPr>
            <w:r w:rsidRPr="003006AD">
              <w:rPr>
                <w:rFonts w:ascii="Cambria Math" w:hAnsi="Cambria Math"/>
                <w:color w:val="00B050"/>
              </w:rPr>
              <w:t>⨁⨁⨁</w:t>
            </w:r>
            <w:r w:rsidRPr="003006AD">
              <w:rPr>
                <w:rFonts w:ascii="Cambria Math" w:hAnsi="Cambria Math" w:cs="Cambria Math"/>
                <w:color w:val="C00000"/>
              </w:rPr>
              <w:t>⨀</w:t>
            </w:r>
          </w:p>
        </w:tc>
        <w:tc>
          <w:tcPr>
            <w:tcW w:w="742" w:type="pct"/>
          </w:tcPr>
          <w:p w14:paraId="7B69E7F4" w14:textId="5E5C31C4" w:rsidR="00B61D63" w:rsidRPr="003006AD" w:rsidRDefault="00B61D63" w:rsidP="00203981">
            <w:pPr>
              <w:pStyle w:val="Tabletext0"/>
            </w:pPr>
            <w:r w:rsidRPr="003006AD">
              <w:rPr>
                <w:rFonts w:ascii="Cambria Math" w:hAnsi="Cambria Math" w:cs="Cambria Math"/>
                <w:bCs/>
                <w:color w:val="00B050"/>
              </w:rPr>
              <w:t>⨁⨁⨁</w:t>
            </w:r>
            <w:r w:rsidRPr="003006AD">
              <w:rPr>
                <w:rFonts w:ascii="Cambria Math" w:hAnsi="Cambria Math" w:cs="Cambria Math"/>
                <w:bCs/>
                <w:color w:val="C00000"/>
              </w:rPr>
              <w:t>⨀</w:t>
            </w:r>
          </w:p>
        </w:tc>
      </w:tr>
      <w:tr w:rsidR="002A141D" w:rsidRPr="003006AD" w14:paraId="67C814CB" w14:textId="77777777" w:rsidTr="00337257">
        <w:tc>
          <w:tcPr>
            <w:tcW w:w="819" w:type="pct"/>
          </w:tcPr>
          <w:p w14:paraId="460D9171" w14:textId="65D133B7" w:rsidR="002A141D" w:rsidRPr="003006AD" w:rsidRDefault="002A141D" w:rsidP="00617190">
            <w:pPr>
              <w:pStyle w:val="Tabletext0"/>
              <w:jc w:val="left"/>
            </w:pPr>
            <w:r w:rsidRPr="003006AD">
              <w:t>Publication bias</w:t>
            </w:r>
          </w:p>
        </w:tc>
        <w:tc>
          <w:tcPr>
            <w:tcW w:w="2617" w:type="pct"/>
            <w:gridSpan w:val="2"/>
          </w:tcPr>
          <w:p w14:paraId="14282038" w14:textId="6FA0D902" w:rsidR="002A141D" w:rsidRPr="003006AD" w:rsidRDefault="002A141D" w:rsidP="003D187A">
            <w:pPr>
              <w:pStyle w:val="Tabletext0"/>
              <w:jc w:val="left"/>
            </w:pPr>
            <w:r w:rsidRPr="003006AD">
              <w:t>Unclear reporting of review process</w:t>
            </w:r>
          </w:p>
        </w:tc>
        <w:tc>
          <w:tcPr>
            <w:tcW w:w="822" w:type="pct"/>
          </w:tcPr>
          <w:p w14:paraId="65F4D949" w14:textId="7D40A2A7" w:rsidR="002A141D" w:rsidRPr="003006AD" w:rsidRDefault="002A141D" w:rsidP="00203981">
            <w:pPr>
              <w:pStyle w:val="Tabletext0"/>
              <w:rPr>
                <w:rFonts w:ascii="Cambria Math" w:hAnsi="Cambria Math" w:cs="Cambria Math"/>
                <w:bCs/>
                <w:color w:val="00B050"/>
              </w:rPr>
            </w:pPr>
            <w:r w:rsidRPr="003006AD">
              <w:rPr>
                <w:rFonts w:ascii="Cambria Math" w:hAnsi="Cambria Math"/>
                <w:color w:val="00B050"/>
              </w:rPr>
              <w:t>⨁⨁⨁</w:t>
            </w:r>
            <w:r w:rsidRPr="003006AD">
              <w:rPr>
                <w:rFonts w:ascii="Cambria Math" w:hAnsi="Cambria Math" w:cs="Cambria Math"/>
                <w:color w:val="C00000"/>
              </w:rPr>
              <w:t>⨀</w:t>
            </w:r>
          </w:p>
          <w:p w14:paraId="50CB5E87" w14:textId="77777777" w:rsidR="002A141D" w:rsidRPr="003006AD" w:rsidRDefault="002A141D" w:rsidP="00203981">
            <w:pPr>
              <w:pStyle w:val="Tabletext0"/>
              <w:rPr>
                <w:rFonts w:ascii="Cambria Math" w:hAnsi="Cambria Math" w:cs="Cambria Math"/>
              </w:rPr>
            </w:pPr>
          </w:p>
        </w:tc>
        <w:tc>
          <w:tcPr>
            <w:tcW w:w="742" w:type="pct"/>
          </w:tcPr>
          <w:p w14:paraId="6268C12F" w14:textId="486E949A" w:rsidR="002A141D" w:rsidRPr="003006AD" w:rsidRDefault="00D745EF" w:rsidP="00203981">
            <w:pPr>
              <w:pStyle w:val="Tabletext0"/>
            </w:pPr>
            <w:r w:rsidRPr="003006AD">
              <w:rPr>
                <w:rFonts w:ascii="Cambria Math" w:hAnsi="Cambria Math" w:cs="Cambria Math"/>
                <w:bCs/>
                <w:color w:val="00B050"/>
              </w:rPr>
              <w:t>⨁⨁⨁</w:t>
            </w:r>
            <w:r w:rsidRPr="003006AD">
              <w:rPr>
                <w:rFonts w:ascii="Cambria Math" w:hAnsi="Cambria Math" w:cs="Cambria Math"/>
                <w:bCs/>
                <w:color w:val="C00000"/>
              </w:rPr>
              <w:t>⨀</w:t>
            </w:r>
          </w:p>
        </w:tc>
      </w:tr>
    </w:tbl>
    <w:p w14:paraId="2F80A1A5" w14:textId="1CCC7B25" w:rsidR="00273FC3" w:rsidRPr="00AD31F1" w:rsidRDefault="00203981" w:rsidP="00203981">
      <w:pPr>
        <w:pStyle w:val="Tablenotes0"/>
      </w:pPr>
      <w:r w:rsidRPr="00AD31F1">
        <w:rPr>
          <w:u w:val="single"/>
        </w:rPr>
        <w:t>Source</w:t>
      </w:r>
      <w:r w:rsidRPr="00AD31F1">
        <w:t>: Adapted from Appendix D, Table 47 of ADAR submission</w:t>
      </w:r>
    </w:p>
    <w:p w14:paraId="5E6C9683" w14:textId="080B46E1" w:rsidR="00864290" w:rsidRPr="00DC272B" w:rsidRDefault="00864290" w:rsidP="00DC272B">
      <w:pPr>
        <w:pStyle w:val="Heading4"/>
      </w:pPr>
      <w:r w:rsidRPr="00DC272B">
        <w:t xml:space="preserve">Comparison of </w:t>
      </w:r>
      <w:r w:rsidR="00724286" w:rsidRPr="00DC272B">
        <w:t xml:space="preserve">trial </w:t>
      </w:r>
      <w:r w:rsidR="00825782" w:rsidRPr="00DC272B">
        <w:t>eligibility criteria</w:t>
      </w:r>
    </w:p>
    <w:p w14:paraId="0E06D1FB" w14:textId="7B22874F" w:rsidR="0011349C" w:rsidRDefault="00184004" w:rsidP="006355F1">
      <w:pPr>
        <w:rPr>
          <w:b/>
          <w:bCs/>
        </w:rPr>
      </w:pPr>
      <w:bookmarkStart w:id="14" w:name="_Ref150418113"/>
      <w:r w:rsidRPr="000A37ED">
        <w:t>The e</w:t>
      </w:r>
      <w:r w:rsidR="005F5836" w:rsidRPr="000A37ED">
        <w:t xml:space="preserve">ligibility criteria of the included trials </w:t>
      </w:r>
      <w:r w:rsidRPr="000A37ED">
        <w:t>are</w:t>
      </w:r>
      <w:r w:rsidR="005F5836" w:rsidRPr="000A37ED">
        <w:t xml:space="preserve"> summarised in</w:t>
      </w:r>
      <w:r w:rsidR="004555BA" w:rsidRPr="000A37ED">
        <w:t xml:space="preserve"> </w:t>
      </w:r>
      <w:r w:rsidR="004555BA" w:rsidRPr="000A37ED">
        <w:fldChar w:fldCharType="begin"/>
      </w:r>
      <w:r w:rsidR="004555BA" w:rsidRPr="000A37ED">
        <w:instrText xml:space="preserve"> REF _Ref150944228 \h </w:instrText>
      </w:r>
      <w:r w:rsidR="00AD64B3" w:rsidRPr="000A37ED">
        <w:instrText xml:space="preserve"> \* MERGEFORMAT </w:instrText>
      </w:r>
      <w:r w:rsidR="004555BA" w:rsidRPr="000A37ED">
        <w:fldChar w:fldCharType="separate"/>
      </w:r>
      <w:r w:rsidR="003C61D8" w:rsidRPr="001679EE">
        <w:t>Table</w:t>
      </w:r>
      <w:r w:rsidR="003C61D8" w:rsidRPr="0001290C">
        <w:t> </w:t>
      </w:r>
      <w:r w:rsidR="003C61D8">
        <w:t>7</w:t>
      </w:r>
      <w:r w:rsidR="004555BA" w:rsidRPr="000A37ED">
        <w:fldChar w:fldCharType="end"/>
      </w:r>
      <w:r w:rsidR="005F5836" w:rsidRPr="000A37ED">
        <w:t xml:space="preserve">. The </w:t>
      </w:r>
      <w:proofErr w:type="spellStart"/>
      <w:r w:rsidR="005F5836" w:rsidRPr="000A37ED">
        <w:t>MINIject</w:t>
      </w:r>
      <w:proofErr w:type="spellEnd"/>
      <w:r w:rsidR="005F5836" w:rsidRPr="000A37ED">
        <w:t xml:space="preserve"> and </w:t>
      </w:r>
      <w:proofErr w:type="spellStart"/>
      <w:r w:rsidR="005F5836" w:rsidRPr="000A37ED">
        <w:t>iStent</w:t>
      </w:r>
      <w:proofErr w:type="spellEnd"/>
      <w:r w:rsidR="005F5836" w:rsidRPr="005F5836">
        <w:t xml:space="preserve"> trials enrolled comparable patient groups, including adults </w:t>
      </w:r>
      <w:r w:rsidR="003F5392">
        <w:t>who mainly had</w:t>
      </w:r>
      <w:r w:rsidR="005F5836" w:rsidRPr="005F5836">
        <w:t xml:space="preserve"> primary </w:t>
      </w:r>
      <w:r w:rsidR="00FE13CB">
        <w:t>open</w:t>
      </w:r>
      <w:r w:rsidR="00580781">
        <w:rPr>
          <w:b/>
          <w:bCs/>
        </w:rPr>
        <w:t xml:space="preserve"> </w:t>
      </w:r>
      <w:r w:rsidR="00FE13CB">
        <w:t>angle glaucoma</w:t>
      </w:r>
      <w:r w:rsidR="005F5836" w:rsidRPr="005F5836">
        <w:t xml:space="preserve"> (POAG) or secondary open</w:t>
      </w:r>
      <w:r w:rsidR="00580781">
        <w:rPr>
          <w:b/>
          <w:bCs/>
        </w:rPr>
        <w:t xml:space="preserve"> </w:t>
      </w:r>
      <w:r w:rsidR="005F5836" w:rsidRPr="005F5836">
        <w:t xml:space="preserve">angle glaucoma (SOAG) (including </w:t>
      </w:r>
      <w:proofErr w:type="spellStart"/>
      <w:r w:rsidR="005F5836" w:rsidRPr="005F5836">
        <w:t>pseudoexfoliative</w:t>
      </w:r>
      <w:proofErr w:type="spellEnd"/>
      <w:r w:rsidR="005F5836" w:rsidRPr="005F5836">
        <w:t xml:space="preserve"> glaucoma </w:t>
      </w:r>
      <w:r w:rsidR="00E440DC">
        <w:t>[</w:t>
      </w:r>
      <w:r w:rsidR="005F5836" w:rsidRPr="005F5836">
        <w:t>PXG</w:t>
      </w:r>
      <w:r w:rsidR="00E440DC">
        <w:t>]</w:t>
      </w:r>
      <w:r w:rsidR="005F5836" w:rsidRPr="005F5836">
        <w:t xml:space="preserve"> or pigmentary glaucoma), with inadequate response to prior medical glaucoma therapy (</w:t>
      </w:r>
      <w:proofErr w:type="gramStart"/>
      <w:r w:rsidR="005F5836" w:rsidRPr="005F5836">
        <w:t>e.g.</w:t>
      </w:r>
      <w:proofErr w:type="gramEnd"/>
      <w:r w:rsidR="005F5836" w:rsidRPr="005F5836">
        <w:t xml:space="preserve"> uncontrol</w:t>
      </w:r>
      <w:r w:rsidR="000A37ED">
        <w:t>led</w:t>
      </w:r>
      <w:r w:rsidR="005F5836" w:rsidRPr="005F5836">
        <w:t xml:space="preserve"> despite treatment with IOP-lowering medication)</w:t>
      </w:r>
      <w:r w:rsidR="0011349C">
        <w:t xml:space="preserve">. </w:t>
      </w:r>
    </w:p>
    <w:p w14:paraId="6948A907" w14:textId="07EE293A" w:rsidR="004555BA" w:rsidRDefault="0011349C" w:rsidP="006355F1">
      <w:pPr>
        <w:rPr>
          <w:b/>
          <w:bCs/>
        </w:rPr>
      </w:pPr>
      <w:r>
        <w:t>There were, however,</w:t>
      </w:r>
      <w:r w:rsidR="005F5836" w:rsidRPr="005F5836">
        <w:t xml:space="preserve"> </w:t>
      </w:r>
      <w:r w:rsidR="009B537F">
        <w:t xml:space="preserve">cross-trial </w:t>
      </w:r>
      <w:r w:rsidR="005F5836" w:rsidRPr="005F5836">
        <w:t xml:space="preserve">differences regarding specific baseline IOP levels and medication requirements. The </w:t>
      </w:r>
      <w:proofErr w:type="spellStart"/>
      <w:r w:rsidR="005F5836" w:rsidRPr="005F5836">
        <w:t>MINIject</w:t>
      </w:r>
      <w:proofErr w:type="spellEnd"/>
      <w:r w:rsidR="005F5836" w:rsidRPr="005F5836">
        <w:t xml:space="preserve"> trials specified IOP levels between 21</w:t>
      </w:r>
      <w:r w:rsidR="00712485">
        <w:t xml:space="preserve"> mm Hg and </w:t>
      </w:r>
      <w:r w:rsidR="005F5836" w:rsidRPr="005F5836">
        <w:t>35</w:t>
      </w:r>
      <w:r w:rsidR="00712485">
        <w:t> </w:t>
      </w:r>
      <w:r w:rsidR="005F5836" w:rsidRPr="005F5836">
        <w:t>mm</w:t>
      </w:r>
      <w:r w:rsidR="00712485">
        <w:t> </w:t>
      </w:r>
      <w:r w:rsidR="005F5836" w:rsidRPr="005F5836">
        <w:t xml:space="preserve">Hg, with prior usage of </w:t>
      </w:r>
      <w:r w:rsidR="002759A3">
        <w:t xml:space="preserve">between </w:t>
      </w:r>
      <w:r w:rsidR="005F5836" w:rsidRPr="005F5836">
        <w:t>1</w:t>
      </w:r>
      <w:r w:rsidR="00C63F4D">
        <w:t xml:space="preserve"> and </w:t>
      </w:r>
      <w:r w:rsidR="005F5836" w:rsidRPr="005F5836">
        <w:t>4 IOP-lowering med</w:t>
      </w:r>
      <w:r w:rsidR="00C63F4D">
        <w:t>ication</w:t>
      </w:r>
      <w:r w:rsidR="005F5836" w:rsidRPr="005F5836">
        <w:t xml:space="preserve">s. In contrast, post-washout IOP level requirements in the </w:t>
      </w:r>
      <w:proofErr w:type="spellStart"/>
      <w:r w:rsidR="005F5836" w:rsidRPr="005F5836">
        <w:t>iStent</w:t>
      </w:r>
      <w:proofErr w:type="spellEnd"/>
      <w:r w:rsidR="005F5836" w:rsidRPr="005F5836">
        <w:t xml:space="preserve"> trials ranged from 22</w:t>
      </w:r>
      <w:r w:rsidR="00BE7AAC">
        <w:t xml:space="preserve"> mm Hg to </w:t>
      </w:r>
      <w:r w:rsidR="005F5836" w:rsidRPr="005F5836">
        <w:t>39</w:t>
      </w:r>
      <w:r w:rsidR="00BE7AAC">
        <w:t> </w:t>
      </w:r>
      <w:r w:rsidR="005F5836" w:rsidRPr="006C70D1">
        <w:t>mm</w:t>
      </w:r>
      <w:r w:rsidR="00BE7AAC" w:rsidRPr="006C70D1">
        <w:t> </w:t>
      </w:r>
      <w:r w:rsidR="005F5836" w:rsidRPr="006C70D1">
        <w:t xml:space="preserve">Hg. </w:t>
      </w:r>
      <w:r w:rsidR="004A3298" w:rsidRPr="006C70D1">
        <w:t xml:space="preserve">Medication limits were not specified in </w:t>
      </w:r>
      <w:r w:rsidR="00C9303D" w:rsidRPr="006C70D1">
        <w:t>3 out of 7</w:t>
      </w:r>
      <w:r w:rsidR="005F5836" w:rsidRPr="006C70D1">
        <w:t xml:space="preserve"> </w:t>
      </w:r>
      <w:proofErr w:type="spellStart"/>
      <w:r w:rsidR="005F5836" w:rsidRPr="006C70D1">
        <w:t>iStent</w:t>
      </w:r>
      <w:proofErr w:type="spellEnd"/>
      <w:r w:rsidR="005F5836" w:rsidRPr="006C70D1">
        <w:t xml:space="preserve"> trials, while </w:t>
      </w:r>
      <w:r w:rsidR="004125D4" w:rsidRPr="006C70D1">
        <w:t xml:space="preserve">1 </w:t>
      </w:r>
      <w:r w:rsidR="005F5836" w:rsidRPr="006C70D1">
        <w:t>trial only enrolled patients who used a single IOP-lower medication (</w:t>
      </w:r>
      <w:r w:rsidR="00C346A2">
        <w:t xml:space="preserve">see </w:t>
      </w:r>
      <w:r w:rsidR="00C346A2">
        <w:fldChar w:fldCharType="begin"/>
      </w:r>
      <w:r w:rsidR="00C346A2">
        <w:instrText xml:space="preserve"> REF _Ref150944228 \h </w:instrText>
      </w:r>
      <w:r w:rsidR="00C346A2">
        <w:fldChar w:fldCharType="separate"/>
      </w:r>
      <w:r w:rsidR="003C61D8" w:rsidRPr="001679EE">
        <w:t>Table</w:t>
      </w:r>
      <w:r w:rsidR="003C61D8" w:rsidRPr="0001290C">
        <w:t> </w:t>
      </w:r>
      <w:r w:rsidR="003C61D8">
        <w:rPr>
          <w:noProof/>
        </w:rPr>
        <w:t>7</w:t>
      </w:r>
      <w:r w:rsidR="00C346A2">
        <w:fldChar w:fldCharType="end"/>
      </w:r>
      <w:r w:rsidR="005F5836" w:rsidRPr="006C70D1">
        <w:t>).</w:t>
      </w:r>
      <w:r w:rsidR="005F5836" w:rsidRPr="005F5836">
        <w:t xml:space="preserve"> </w:t>
      </w:r>
    </w:p>
    <w:p w14:paraId="511984A2" w14:textId="2E59E2EF" w:rsidR="00A611A6" w:rsidRDefault="00A611A6" w:rsidP="005F5836">
      <w:pPr>
        <w:pStyle w:val="Caption"/>
      </w:pPr>
      <w:bookmarkStart w:id="15" w:name="_Ref150944228"/>
      <w:r w:rsidRPr="001679EE">
        <w:t>Table</w:t>
      </w:r>
      <w:r w:rsidR="00D40723" w:rsidRPr="0001290C">
        <w:t> </w:t>
      </w:r>
      <w:r>
        <w:fldChar w:fldCharType="begin"/>
      </w:r>
      <w:r>
        <w:instrText>SEQ Table \* ARABIC</w:instrText>
      </w:r>
      <w:r>
        <w:fldChar w:fldCharType="separate"/>
      </w:r>
      <w:r w:rsidR="003C61D8">
        <w:rPr>
          <w:noProof/>
        </w:rPr>
        <w:t>7</w:t>
      </w:r>
      <w:r>
        <w:fldChar w:fldCharType="end"/>
      </w:r>
      <w:bookmarkEnd w:id="14"/>
      <w:bookmarkEnd w:id="15"/>
      <w:r w:rsidR="00D40723">
        <w:tab/>
      </w:r>
      <w:r w:rsidRPr="001679EE">
        <w:t>Eligibility cri</w:t>
      </w:r>
      <w:r w:rsidRPr="00994DEE">
        <w:t xml:space="preserve">teria of trials included in ADAR </w:t>
      </w:r>
      <w:proofErr w:type="gramStart"/>
      <w:r w:rsidRPr="00994DEE">
        <w:t>submission</w:t>
      </w:r>
      <w:proofErr w:type="gramEnd"/>
    </w:p>
    <w:tbl>
      <w:tblPr>
        <w:tblStyle w:val="TableGrid"/>
        <w:tblW w:w="5000" w:type="pct"/>
        <w:tblLook w:val="04A0" w:firstRow="1" w:lastRow="0" w:firstColumn="1" w:lastColumn="0" w:noHBand="0" w:noVBand="1"/>
      </w:tblPr>
      <w:tblGrid>
        <w:gridCol w:w="1370"/>
        <w:gridCol w:w="2790"/>
        <w:gridCol w:w="2802"/>
        <w:gridCol w:w="2054"/>
      </w:tblGrid>
      <w:tr w:rsidR="00F5331D" w:rsidRPr="00D93211" w14:paraId="0F47D474" w14:textId="77777777" w:rsidTr="00D423CA">
        <w:trPr>
          <w:cantSplit/>
          <w:trHeight w:val="5"/>
          <w:tblHeader/>
        </w:trPr>
        <w:tc>
          <w:tcPr>
            <w:tcW w:w="760" w:type="pct"/>
            <w:shd w:val="clear" w:color="auto" w:fill="FFFFFF" w:themeFill="background1"/>
          </w:tcPr>
          <w:p w14:paraId="7CB1ABF7" w14:textId="5312211C" w:rsidR="00F5331D" w:rsidRPr="00CF6E54" w:rsidRDefault="00B864A3" w:rsidP="00812A68">
            <w:pPr>
              <w:pStyle w:val="Tabletext0"/>
              <w:jc w:val="left"/>
              <w:rPr>
                <w:b/>
                <w:bCs/>
              </w:rPr>
            </w:pPr>
            <w:r w:rsidRPr="00CF6E54">
              <w:rPr>
                <w:b/>
                <w:bCs/>
              </w:rPr>
              <w:t xml:space="preserve">Trial ID </w:t>
            </w:r>
            <w:r w:rsidR="009244BA">
              <w:rPr>
                <w:b/>
                <w:bCs/>
              </w:rPr>
              <w:br/>
            </w:r>
            <w:r w:rsidRPr="00CF6E54">
              <w:rPr>
                <w:b/>
                <w:bCs/>
              </w:rPr>
              <w:t>(data source)</w:t>
            </w:r>
          </w:p>
        </w:tc>
        <w:tc>
          <w:tcPr>
            <w:tcW w:w="1547" w:type="pct"/>
            <w:shd w:val="clear" w:color="auto" w:fill="FFFFFF" w:themeFill="background1"/>
          </w:tcPr>
          <w:p w14:paraId="22454856" w14:textId="19F6A4E2" w:rsidR="00F5331D" w:rsidRPr="00F5331D" w:rsidRDefault="00F5331D" w:rsidP="00870EB8">
            <w:pPr>
              <w:pStyle w:val="Tabletext0"/>
              <w:jc w:val="left"/>
              <w:rPr>
                <w:b/>
                <w:bCs/>
              </w:rPr>
            </w:pPr>
            <w:r w:rsidRPr="00F5331D">
              <w:rPr>
                <w:b/>
                <w:bCs/>
              </w:rPr>
              <w:t xml:space="preserve">Glaucoma diagnosis requirements </w:t>
            </w:r>
          </w:p>
        </w:tc>
        <w:tc>
          <w:tcPr>
            <w:tcW w:w="1554" w:type="pct"/>
            <w:shd w:val="clear" w:color="auto" w:fill="FFFFFF" w:themeFill="background1"/>
          </w:tcPr>
          <w:p w14:paraId="471F0DA7" w14:textId="3E176332" w:rsidR="00F5331D" w:rsidRPr="00F5331D" w:rsidRDefault="00F5331D">
            <w:pPr>
              <w:pStyle w:val="Tabletext0"/>
              <w:rPr>
                <w:b/>
                <w:bCs/>
              </w:rPr>
            </w:pPr>
            <w:r w:rsidRPr="00F5331D">
              <w:rPr>
                <w:b/>
                <w:bCs/>
              </w:rPr>
              <w:t xml:space="preserve">Baseline IOP requirements </w:t>
            </w:r>
          </w:p>
        </w:tc>
        <w:tc>
          <w:tcPr>
            <w:tcW w:w="1139" w:type="pct"/>
            <w:shd w:val="clear" w:color="auto" w:fill="FFFFFF" w:themeFill="background1"/>
          </w:tcPr>
          <w:p w14:paraId="0D5BA14E" w14:textId="77777777" w:rsidR="00F5331D" w:rsidRPr="00F5331D" w:rsidRDefault="00F5331D" w:rsidP="00870EB8">
            <w:pPr>
              <w:pStyle w:val="Tabletext0"/>
              <w:jc w:val="left"/>
              <w:rPr>
                <w:b/>
                <w:bCs/>
              </w:rPr>
            </w:pPr>
            <w:r w:rsidRPr="00F5331D">
              <w:rPr>
                <w:b/>
                <w:bCs/>
              </w:rPr>
              <w:t xml:space="preserve">Prior medication requirements </w:t>
            </w:r>
          </w:p>
        </w:tc>
      </w:tr>
      <w:tr w:rsidR="00F5331D" w:rsidRPr="00431365" w14:paraId="1E0B603B" w14:textId="77777777" w:rsidTr="00D423CA">
        <w:trPr>
          <w:cantSplit/>
          <w:trHeight w:val="5"/>
        </w:trPr>
        <w:tc>
          <w:tcPr>
            <w:tcW w:w="5000" w:type="pct"/>
            <w:gridSpan w:val="4"/>
            <w:shd w:val="clear" w:color="auto" w:fill="FFFFFF" w:themeFill="background1"/>
          </w:tcPr>
          <w:p w14:paraId="51AE1293" w14:textId="2B8BAC93" w:rsidR="00F5331D" w:rsidRPr="00431365" w:rsidRDefault="00F5331D">
            <w:pPr>
              <w:pStyle w:val="Tabletext0"/>
              <w:rPr>
                <w:b/>
                <w:bCs/>
              </w:rPr>
            </w:pPr>
            <w:proofErr w:type="spellStart"/>
            <w:r w:rsidRPr="00431365">
              <w:rPr>
                <w:b/>
                <w:bCs/>
              </w:rPr>
              <w:t>MINIject</w:t>
            </w:r>
            <w:proofErr w:type="spellEnd"/>
            <w:r w:rsidRPr="00431365">
              <w:rPr>
                <w:b/>
                <w:bCs/>
              </w:rPr>
              <w:t xml:space="preserve"> </w:t>
            </w:r>
          </w:p>
        </w:tc>
      </w:tr>
      <w:tr w:rsidR="00DA485C" w:rsidRPr="00D93211" w14:paraId="201B5A29" w14:textId="77777777" w:rsidTr="00D423CA">
        <w:trPr>
          <w:cantSplit/>
          <w:trHeight w:val="133"/>
        </w:trPr>
        <w:tc>
          <w:tcPr>
            <w:tcW w:w="760" w:type="pct"/>
          </w:tcPr>
          <w:p w14:paraId="35776E35" w14:textId="0C1A45BF" w:rsidR="00DA485C" w:rsidRPr="00F5331D" w:rsidRDefault="00DA485C" w:rsidP="00DA485C">
            <w:pPr>
              <w:pStyle w:val="Tabletext0"/>
            </w:pPr>
            <w:r>
              <w:t>STAR-I</w:t>
            </w:r>
          </w:p>
        </w:tc>
        <w:tc>
          <w:tcPr>
            <w:tcW w:w="1547" w:type="pct"/>
            <w:vMerge w:val="restart"/>
          </w:tcPr>
          <w:p w14:paraId="1457680D" w14:textId="6AB74B04" w:rsidR="00DA485C" w:rsidRPr="00F5331D" w:rsidRDefault="00DA485C" w:rsidP="00DA485C">
            <w:pPr>
              <w:pStyle w:val="Tablecontent"/>
            </w:pPr>
            <w:r>
              <w:t>Adults with POAG or SOAG, uncontrolled with ≥1 IOP-lowering medications undergoing a standalone procedure</w:t>
            </w:r>
          </w:p>
        </w:tc>
        <w:tc>
          <w:tcPr>
            <w:tcW w:w="1554" w:type="pct"/>
            <w:vMerge w:val="restart"/>
          </w:tcPr>
          <w:p w14:paraId="3F76B601" w14:textId="023C9168" w:rsidR="00DA485C" w:rsidRPr="00F5331D" w:rsidRDefault="00DA485C" w:rsidP="00DA485C">
            <w:pPr>
              <w:pStyle w:val="Tabletext0"/>
              <w:jc w:val="left"/>
            </w:pPr>
            <w:r w:rsidRPr="00F5331D">
              <w:t>21</w:t>
            </w:r>
            <w:r w:rsidR="004125D4">
              <w:t> </w:t>
            </w:r>
            <w:r w:rsidRPr="00F5331D">
              <w:t>mm</w:t>
            </w:r>
            <w:r w:rsidR="004125D4">
              <w:t> </w:t>
            </w:r>
            <w:r w:rsidRPr="00F5331D">
              <w:t>Hg &lt; IOP &lt;35</w:t>
            </w:r>
            <w:r w:rsidR="00CF32C3">
              <w:t> </w:t>
            </w:r>
            <w:r w:rsidRPr="00F5331D">
              <w:t>mm</w:t>
            </w:r>
            <w:r w:rsidR="00CF32C3">
              <w:t> </w:t>
            </w:r>
            <w:r w:rsidRPr="00F5331D">
              <w:t>Hg in the study eye</w:t>
            </w:r>
          </w:p>
        </w:tc>
        <w:tc>
          <w:tcPr>
            <w:tcW w:w="1139" w:type="pct"/>
            <w:vMerge w:val="restart"/>
          </w:tcPr>
          <w:p w14:paraId="48312313" w14:textId="695A7F7F" w:rsidR="00DA485C" w:rsidRPr="00F5331D" w:rsidRDefault="00DA485C" w:rsidP="00DA485C">
            <w:pPr>
              <w:pStyle w:val="Tabletext0"/>
              <w:jc w:val="left"/>
            </w:pPr>
            <w:r w:rsidRPr="00F5331D">
              <w:t>Usage of 1</w:t>
            </w:r>
            <w:r w:rsidR="00CF32C3">
              <w:t>–</w:t>
            </w:r>
            <w:r w:rsidRPr="00F5331D">
              <w:t>4 different topical hypotensive medication(s)</w:t>
            </w:r>
          </w:p>
        </w:tc>
      </w:tr>
      <w:tr w:rsidR="00DA485C" w:rsidRPr="00D93211" w14:paraId="388D3467" w14:textId="77777777" w:rsidTr="00D423CA">
        <w:trPr>
          <w:cantSplit/>
          <w:trHeight w:val="132"/>
        </w:trPr>
        <w:tc>
          <w:tcPr>
            <w:tcW w:w="760" w:type="pct"/>
          </w:tcPr>
          <w:p w14:paraId="66EF9F72" w14:textId="66F270E6" w:rsidR="00DA485C" w:rsidRPr="00F5331D" w:rsidRDefault="00DA485C" w:rsidP="00DA485C">
            <w:pPr>
              <w:pStyle w:val="Tabletext0"/>
            </w:pPr>
            <w:r>
              <w:t>STAR-II</w:t>
            </w:r>
          </w:p>
        </w:tc>
        <w:tc>
          <w:tcPr>
            <w:tcW w:w="1547" w:type="pct"/>
            <w:vMerge/>
          </w:tcPr>
          <w:p w14:paraId="11C4C60A" w14:textId="77777777" w:rsidR="00DA485C" w:rsidRDefault="00DA485C" w:rsidP="00DA485C">
            <w:pPr>
              <w:pStyle w:val="Tablecontent"/>
            </w:pPr>
          </w:p>
        </w:tc>
        <w:tc>
          <w:tcPr>
            <w:tcW w:w="1554" w:type="pct"/>
            <w:vMerge/>
          </w:tcPr>
          <w:p w14:paraId="44EE1725" w14:textId="77777777" w:rsidR="00DA485C" w:rsidRPr="00F5331D" w:rsidRDefault="00DA485C" w:rsidP="00DA485C">
            <w:pPr>
              <w:pStyle w:val="Tabletext0"/>
              <w:jc w:val="left"/>
            </w:pPr>
          </w:p>
        </w:tc>
        <w:tc>
          <w:tcPr>
            <w:tcW w:w="1139" w:type="pct"/>
            <w:vMerge/>
          </w:tcPr>
          <w:p w14:paraId="7CFAB20A" w14:textId="77777777" w:rsidR="00DA485C" w:rsidRPr="00F5331D" w:rsidRDefault="00DA485C" w:rsidP="00DA485C">
            <w:pPr>
              <w:pStyle w:val="Tabletext0"/>
              <w:jc w:val="left"/>
            </w:pPr>
          </w:p>
        </w:tc>
      </w:tr>
      <w:tr w:rsidR="00DA485C" w:rsidRPr="00D93211" w14:paraId="088BB1EF" w14:textId="77777777" w:rsidTr="00D423CA">
        <w:trPr>
          <w:cantSplit/>
          <w:trHeight w:val="132"/>
        </w:trPr>
        <w:tc>
          <w:tcPr>
            <w:tcW w:w="760" w:type="pct"/>
          </w:tcPr>
          <w:p w14:paraId="1C20162E" w14:textId="7DE21073" w:rsidR="00DA485C" w:rsidRPr="00F5331D" w:rsidRDefault="00DA485C" w:rsidP="00DA485C">
            <w:pPr>
              <w:pStyle w:val="Tabletext0"/>
            </w:pPr>
            <w:r w:rsidRPr="00C37C34">
              <w:t>STAR-III</w:t>
            </w:r>
          </w:p>
        </w:tc>
        <w:tc>
          <w:tcPr>
            <w:tcW w:w="1547" w:type="pct"/>
            <w:vMerge/>
          </w:tcPr>
          <w:p w14:paraId="15FFB67C" w14:textId="77777777" w:rsidR="00DA485C" w:rsidRDefault="00DA485C" w:rsidP="00DA485C">
            <w:pPr>
              <w:pStyle w:val="Tablecontent"/>
            </w:pPr>
          </w:p>
        </w:tc>
        <w:tc>
          <w:tcPr>
            <w:tcW w:w="1554" w:type="pct"/>
            <w:vMerge/>
          </w:tcPr>
          <w:p w14:paraId="0E086960" w14:textId="77777777" w:rsidR="00DA485C" w:rsidRPr="00F5331D" w:rsidRDefault="00DA485C" w:rsidP="00DA485C">
            <w:pPr>
              <w:pStyle w:val="Tabletext0"/>
              <w:jc w:val="left"/>
            </w:pPr>
          </w:p>
        </w:tc>
        <w:tc>
          <w:tcPr>
            <w:tcW w:w="1139" w:type="pct"/>
            <w:vMerge/>
          </w:tcPr>
          <w:p w14:paraId="73BF2F6F" w14:textId="77777777" w:rsidR="00DA485C" w:rsidRPr="00F5331D" w:rsidRDefault="00DA485C" w:rsidP="00DA485C">
            <w:pPr>
              <w:pStyle w:val="Tabletext0"/>
              <w:jc w:val="left"/>
            </w:pPr>
          </w:p>
        </w:tc>
      </w:tr>
      <w:tr w:rsidR="00DA485C" w:rsidRPr="00D93211" w14:paraId="58C546A0" w14:textId="77777777" w:rsidTr="00D423CA">
        <w:trPr>
          <w:cantSplit/>
          <w:trHeight w:val="132"/>
        </w:trPr>
        <w:tc>
          <w:tcPr>
            <w:tcW w:w="760" w:type="pct"/>
            <w:tcBorders>
              <w:bottom w:val="single" w:sz="4" w:space="0" w:color="auto"/>
            </w:tcBorders>
          </w:tcPr>
          <w:p w14:paraId="7235D3FF" w14:textId="649E175E" w:rsidR="00DA485C" w:rsidRPr="00F5331D" w:rsidRDefault="00DA485C" w:rsidP="00DA485C">
            <w:pPr>
              <w:pStyle w:val="Tabletext0"/>
            </w:pPr>
            <w:r>
              <w:t>STAR-IV</w:t>
            </w:r>
          </w:p>
        </w:tc>
        <w:tc>
          <w:tcPr>
            <w:tcW w:w="1547" w:type="pct"/>
            <w:vMerge/>
            <w:tcBorders>
              <w:bottom w:val="single" w:sz="4" w:space="0" w:color="auto"/>
            </w:tcBorders>
          </w:tcPr>
          <w:p w14:paraId="1612C3FE" w14:textId="77777777" w:rsidR="00DA485C" w:rsidRDefault="00DA485C" w:rsidP="00DA485C">
            <w:pPr>
              <w:pStyle w:val="Tablecontent"/>
            </w:pPr>
          </w:p>
        </w:tc>
        <w:tc>
          <w:tcPr>
            <w:tcW w:w="1554" w:type="pct"/>
            <w:vMerge/>
            <w:tcBorders>
              <w:bottom w:val="single" w:sz="4" w:space="0" w:color="auto"/>
            </w:tcBorders>
          </w:tcPr>
          <w:p w14:paraId="68F59F8B" w14:textId="77777777" w:rsidR="00DA485C" w:rsidRPr="00F5331D" w:rsidRDefault="00DA485C" w:rsidP="00DA485C">
            <w:pPr>
              <w:pStyle w:val="Tabletext0"/>
              <w:jc w:val="left"/>
            </w:pPr>
          </w:p>
        </w:tc>
        <w:tc>
          <w:tcPr>
            <w:tcW w:w="1139" w:type="pct"/>
            <w:vMerge/>
            <w:tcBorders>
              <w:bottom w:val="single" w:sz="4" w:space="0" w:color="auto"/>
            </w:tcBorders>
          </w:tcPr>
          <w:p w14:paraId="31F68125" w14:textId="77777777" w:rsidR="00DA485C" w:rsidRPr="00F5331D" w:rsidRDefault="00DA485C" w:rsidP="00DA485C">
            <w:pPr>
              <w:pStyle w:val="Tabletext0"/>
              <w:jc w:val="left"/>
            </w:pPr>
          </w:p>
        </w:tc>
      </w:tr>
      <w:tr w:rsidR="00F5331D" w:rsidRPr="00431365" w14:paraId="49F7CFCC" w14:textId="77777777" w:rsidTr="00D423CA">
        <w:trPr>
          <w:cantSplit/>
          <w:trHeight w:val="5"/>
        </w:trPr>
        <w:tc>
          <w:tcPr>
            <w:tcW w:w="5000" w:type="pct"/>
            <w:gridSpan w:val="4"/>
            <w:shd w:val="clear" w:color="auto" w:fill="FFFFFF" w:themeFill="background1"/>
          </w:tcPr>
          <w:p w14:paraId="545E8A98" w14:textId="4F16BC42" w:rsidR="00F5331D" w:rsidRPr="00431365" w:rsidRDefault="00F5331D">
            <w:pPr>
              <w:pStyle w:val="Tabletext0"/>
              <w:jc w:val="left"/>
              <w:rPr>
                <w:b/>
                <w:bCs/>
              </w:rPr>
            </w:pPr>
            <w:proofErr w:type="spellStart"/>
            <w:r w:rsidRPr="00431365">
              <w:rPr>
                <w:b/>
                <w:bCs/>
              </w:rPr>
              <w:t>iStent</w:t>
            </w:r>
            <w:proofErr w:type="spellEnd"/>
            <w:r w:rsidRPr="00431365">
              <w:rPr>
                <w:b/>
                <w:bCs/>
              </w:rPr>
              <w:t xml:space="preserve"> </w:t>
            </w:r>
          </w:p>
        </w:tc>
      </w:tr>
      <w:tr w:rsidR="00F5331D" w:rsidRPr="00D93211" w14:paraId="4214FBFD" w14:textId="77777777" w:rsidTr="00D423CA">
        <w:trPr>
          <w:cantSplit/>
          <w:trHeight w:val="5"/>
        </w:trPr>
        <w:tc>
          <w:tcPr>
            <w:tcW w:w="760" w:type="pct"/>
          </w:tcPr>
          <w:p w14:paraId="42EB9223" w14:textId="70C89FE8" w:rsidR="00F5331D" w:rsidRPr="00F5331D" w:rsidRDefault="00162296">
            <w:pPr>
              <w:pStyle w:val="Tabletext0"/>
            </w:pPr>
            <w:proofErr w:type="spellStart"/>
            <w:r>
              <w:rPr>
                <w:bCs/>
              </w:rPr>
              <w:lastRenderedPageBreak/>
              <w:t>Voskanyan</w:t>
            </w:r>
            <w:proofErr w:type="spellEnd"/>
            <w:r>
              <w:rPr>
                <w:bCs/>
              </w:rPr>
              <w:t xml:space="preserve"> 2014</w:t>
            </w:r>
          </w:p>
        </w:tc>
        <w:tc>
          <w:tcPr>
            <w:tcW w:w="1547" w:type="pct"/>
          </w:tcPr>
          <w:p w14:paraId="7EB4A4E0" w14:textId="460B6CDD" w:rsidR="00C271D3" w:rsidRDefault="00C271D3" w:rsidP="00C271D3">
            <w:pPr>
              <w:pStyle w:val="Tablecontent"/>
            </w:pPr>
            <w:r>
              <w:t>Adults with POAG or SOAG (</w:t>
            </w:r>
            <w:proofErr w:type="spellStart"/>
            <w:r>
              <w:t>pseudoexfoliative</w:t>
            </w:r>
            <w:proofErr w:type="spellEnd"/>
            <w:r>
              <w:t>, pigmentary), uncontrolled (IOP ≥22</w:t>
            </w:r>
            <w:r w:rsidR="005B2BE8">
              <w:t> </w:t>
            </w:r>
            <w:r>
              <w:t>mm</w:t>
            </w:r>
            <w:r w:rsidR="005B2BE8">
              <w:t> </w:t>
            </w:r>
            <w:r>
              <w:t>Hg and &lt;38</w:t>
            </w:r>
            <w:r w:rsidR="00F02DD6">
              <w:t> </w:t>
            </w:r>
            <w:r>
              <w:t>mm</w:t>
            </w:r>
            <w:r w:rsidR="00F02DD6">
              <w:t> </w:t>
            </w:r>
            <w:r>
              <w:t>Hg after washout of med</w:t>
            </w:r>
            <w:r w:rsidR="00F47189">
              <w:t>ication</w:t>
            </w:r>
            <w:r>
              <w:t xml:space="preserve">s) with ≥2 IOP-lowering medications undergoing a standalone </w:t>
            </w:r>
            <w:proofErr w:type="gramStart"/>
            <w:r>
              <w:t>procedure</w:t>
            </w:r>
            <w:proofErr w:type="gramEnd"/>
          </w:p>
          <w:p w14:paraId="0D18C70E" w14:textId="3F5C340D" w:rsidR="00F5331D" w:rsidRPr="00F5331D" w:rsidRDefault="00C271D3" w:rsidP="00C271D3">
            <w:pPr>
              <w:pStyle w:val="Tabletext0"/>
              <w:jc w:val="left"/>
            </w:pPr>
            <w:r>
              <w:t>Baseline IOP (post washout): 22</w:t>
            </w:r>
            <w:r w:rsidR="00F02DD6">
              <w:t> mm Hg</w:t>
            </w:r>
            <w:r>
              <w:t xml:space="preserve"> to 38</w:t>
            </w:r>
            <w:r w:rsidR="00F02DD6">
              <w:t> </w:t>
            </w:r>
            <w:r>
              <w:t>mm</w:t>
            </w:r>
            <w:r w:rsidR="00F02DD6">
              <w:t> </w:t>
            </w:r>
            <w:r>
              <w:t>Hg</w:t>
            </w:r>
          </w:p>
        </w:tc>
        <w:tc>
          <w:tcPr>
            <w:tcW w:w="1554" w:type="pct"/>
          </w:tcPr>
          <w:p w14:paraId="62521810" w14:textId="0BAE1F95" w:rsidR="00F5331D" w:rsidRPr="00F5331D" w:rsidRDefault="00F5331D">
            <w:pPr>
              <w:pStyle w:val="Tabletext0"/>
              <w:jc w:val="left"/>
            </w:pPr>
            <w:r w:rsidRPr="00F5331D">
              <w:t>Untreated mean IOP ≥22</w:t>
            </w:r>
            <w:r w:rsidR="00F02DD6">
              <w:t> </w:t>
            </w:r>
            <w:r w:rsidRPr="00F5331D">
              <w:t>mm</w:t>
            </w:r>
            <w:r w:rsidR="00F02DD6">
              <w:t> </w:t>
            </w:r>
            <w:r w:rsidRPr="00F5331D">
              <w:t>Hg and &lt;38</w:t>
            </w:r>
            <w:r w:rsidR="00F02DD6">
              <w:t> </w:t>
            </w:r>
            <w:r w:rsidRPr="00F5331D">
              <w:t>mm</w:t>
            </w:r>
            <w:r w:rsidR="00F02DD6">
              <w:t> </w:t>
            </w:r>
            <w:r w:rsidRPr="00F5331D">
              <w:t>Hg after washout of medication</w:t>
            </w:r>
            <w:r w:rsidR="00C440DA">
              <w:t>s</w:t>
            </w:r>
          </w:p>
        </w:tc>
        <w:tc>
          <w:tcPr>
            <w:tcW w:w="1139" w:type="pct"/>
          </w:tcPr>
          <w:p w14:paraId="0272055E" w14:textId="3B599A52" w:rsidR="00F5331D" w:rsidRPr="00F5331D" w:rsidRDefault="00F5331D">
            <w:pPr>
              <w:pStyle w:val="Tabletext0"/>
              <w:jc w:val="left"/>
            </w:pPr>
            <w:r w:rsidRPr="00F5331D">
              <w:t>Usage of at least 2 med</w:t>
            </w:r>
            <w:r w:rsidR="00BD240D">
              <w:t>ication</w:t>
            </w:r>
            <w:r w:rsidRPr="00F5331D">
              <w:t xml:space="preserve">s </w:t>
            </w:r>
          </w:p>
          <w:p w14:paraId="6B449BAC" w14:textId="77777777" w:rsidR="00F5331D" w:rsidRPr="00F5331D" w:rsidRDefault="00F5331D">
            <w:pPr>
              <w:pStyle w:val="Tabletext0"/>
              <w:jc w:val="left"/>
            </w:pPr>
          </w:p>
        </w:tc>
      </w:tr>
      <w:tr w:rsidR="00162296" w:rsidRPr="00D93211" w14:paraId="3394C246" w14:textId="77777777" w:rsidTr="00D423CA">
        <w:trPr>
          <w:cantSplit/>
          <w:trHeight w:val="5"/>
        </w:trPr>
        <w:tc>
          <w:tcPr>
            <w:tcW w:w="760" w:type="pct"/>
          </w:tcPr>
          <w:p w14:paraId="2AD2FBBC" w14:textId="5C06CDFC" w:rsidR="00162296" w:rsidRPr="00F5331D" w:rsidRDefault="00162296" w:rsidP="00162296">
            <w:pPr>
              <w:pStyle w:val="Tabletext0"/>
            </w:pPr>
            <w:proofErr w:type="spellStart"/>
            <w:r>
              <w:rPr>
                <w:bCs/>
              </w:rPr>
              <w:t>Hengerer</w:t>
            </w:r>
            <w:proofErr w:type="spellEnd"/>
            <w:r>
              <w:rPr>
                <w:bCs/>
              </w:rPr>
              <w:t xml:space="preserve"> 2019; </w:t>
            </w:r>
            <w:proofErr w:type="spellStart"/>
            <w:r>
              <w:rPr>
                <w:bCs/>
              </w:rPr>
              <w:t>Hengerer</w:t>
            </w:r>
            <w:proofErr w:type="spellEnd"/>
            <w:r>
              <w:rPr>
                <w:bCs/>
              </w:rPr>
              <w:t xml:space="preserve"> 2022</w:t>
            </w:r>
          </w:p>
        </w:tc>
        <w:tc>
          <w:tcPr>
            <w:tcW w:w="1547" w:type="pct"/>
          </w:tcPr>
          <w:p w14:paraId="0CCC0DBB" w14:textId="0C7ADE80" w:rsidR="00162296" w:rsidRPr="00F5331D" w:rsidRDefault="00162296" w:rsidP="00162296">
            <w:pPr>
              <w:pStyle w:val="Tabletext0"/>
              <w:jc w:val="left"/>
            </w:pPr>
            <w:r>
              <w:t>Adults with POAG, NAG or secondary glaucoma</w:t>
            </w:r>
          </w:p>
        </w:tc>
        <w:tc>
          <w:tcPr>
            <w:tcW w:w="2693" w:type="pct"/>
            <w:gridSpan w:val="2"/>
          </w:tcPr>
          <w:p w14:paraId="7B1018CF" w14:textId="0D963696" w:rsidR="00162296" w:rsidRPr="00F5331D" w:rsidRDefault="00162296" w:rsidP="00162296">
            <w:pPr>
              <w:pStyle w:val="Tabletext0"/>
              <w:jc w:val="left"/>
            </w:pPr>
            <w:r w:rsidRPr="00F5331D">
              <w:t>History of inadequate response to prior surgical and medical glaucoma therapy</w:t>
            </w:r>
          </w:p>
        </w:tc>
      </w:tr>
      <w:tr w:rsidR="00162296" w:rsidRPr="00D93211" w14:paraId="7AAFA1ED" w14:textId="77777777" w:rsidTr="00D423CA">
        <w:trPr>
          <w:cantSplit/>
          <w:trHeight w:val="5"/>
        </w:trPr>
        <w:tc>
          <w:tcPr>
            <w:tcW w:w="760" w:type="pct"/>
          </w:tcPr>
          <w:p w14:paraId="6CEDC1AE" w14:textId="0C192CF1" w:rsidR="00162296" w:rsidRPr="00F5331D" w:rsidRDefault="00162296" w:rsidP="00162296">
            <w:pPr>
              <w:pStyle w:val="Tabletext0"/>
            </w:pPr>
            <w:r>
              <w:rPr>
                <w:bCs/>
              </w:rPr>
              <w:t>Lindstrom 2020</w:t>
            </w:r>
          </w:p>
        </w:tc>
        <w:tc>
          <w:tcPr>
            <w:tcW w:w="1547" w:type="pct"/>
          </w:tcPr>
          <w:p w14:paraId="05C30E22" w14:textId="6053001C" w:rsidR="00162296" w:rsidRDefault="00162296" w:rsidP="00162296">
            <w:pPr>
              <w:pStyle w:val="Tablecontent"/>
            </w:pPr>
            <w:r>
              <w:t>Adults with POAG with 1 IOP-lowering medication</w:t>
            </w:r>
          </w:p>
          <w:p w14:paraId="33FDA9C1" w14:textId="7A8E0C30" w:rsidR="00162296" w:rsidRPr="00F5331D" w:rsidRDefault="00162296" w:rsidP="00162296">
            <w:pPr>
              <w:pStyle w:val="Tabletext0"/>
              <w:jc w:val="left"/>
            </w:pPr>
            <w:r>
              <w:t>Baseline IOP (post washout): 22 mm Hg to 38 mm Hg</w:t>
            </w:r>
          </w:p>
        </w:tc>
        <w:tc>
          <w:tcPr>
            <w:tcW w:w="1554" w:type="pct"/>
          </w:tcPr>
          <w:p w14:paraId="782C30A3" w14:textId="32CB23EF" w:rsidR="00162296" w:rsidRPr="00F5331D" w:rsidRDefault="00162296" w:rsidP="00162296">
            <w:pPr>
              <w:pStyle w:val="Tabletext0"/>
              <w:jc w:val="left"/>
            </w:pPr>
            <w:r w:rsidRPr="00F5331D">
              <w:t>Medicated IOP at screening of 18</w:t>
            </w:r>
            <w:r>
              <w:t xml:space="preserve"> mm Hg to </w:t>
            </w:r>
            <w:r w:rsidRPr="00F5331D">
              <w:t>30</w:t>
            </w:r>
            <w:r>
              <w:t> </w:t>
            </w:r>
            <w:r w:rsidRPr="00F5331D">
              <w:t>mm</w:t>
            </w:r>
            <w:r>
              <w:t> </w:t>
            </w:r>
            <w:r w:rsidRPr="00F5331D">
              <w:t>Hg. Unmedicated (post</w:t>
            </w:r>
            <w:r>
              <w:t xml:space="preserve"> </w:t>
            </w:r>
            <w:r w:rsidRPr="00F5331D">
              <w:t>washout) IOP of 22</w:t>
            </w:r>
            <w:r>
              <w:t xml:space="preserve"> mm Hg to </w:t>
            </w:r>
            <w:r w:rsidRPr="00F5331D">
              <w:t>38</w:t>
            </w:r>
            <w:r>
              <w:t> </w:t>
            </w:r>
            <w:r w:rsidRPr="00F5331D">
              <w:t>mm</w:t>
            </w:r>
            <w:r>
              <w:t> </w:t>
            </w:r>
            <w:r w:rsidRPr="00F5331D">
              <w:t>Hg</w:t>
            </w:r>
          </w:p>
        </w:tc>
        <w:tc>
          <w:tcPr>
            <w:tcW w:w="1139" w:type="pct"/>
          </w:tcPr>
          <w:p w14:paraId="5252C3F1" w14:textId="77777777" w:rsidR="00162296" w:rsidRPr="00F5331D" w:rsidRDefault="00162296" w:rsidP="00162296">
            <w:pPr>
              <w:pStyle w:val="Tabletext0"/>
              <w:jc w:val="left"/>
            </w:pPr>
            <w:r w:rsidRPr="00F5331D">
              <w:t>Usage of 1 topical ocular hypotensive medication</w:t>
            </w:r>
          </w:p>
          <w:p w14:paraId="4C33CF97" w14:textId="77777777" w:rsidR="00162296" w:rsidRPr="00F5331D" w:rsidRDefault="00162296" w:rsidP="00162296">
            <w:pPr>
              <w:pStyle w:val="Tabletext0"/>
              <w:jc w:val="left"/>
            </w:pPr>
          </w:p>
        </w:tc>
      </w:tr>
      <w:tr w:rsidR="00162296" w:rsidRPr="00D93211" w14:paraId="15860FFB" w14:textId="77777777" w:rsidTr="00D423CA">
        <w:trPr>
          <w:cantSplit/>
          <w:trHeight w:val="5"/>
        </w:trPr>
        <w:tc>
          <w:tcPr>
            <w:tcW w:w="760" w:type="pct"/>
          </w:tcPr>
          <w:p w14:paraId="3EE40BA4" w14:textId="3CDDDEB6" w:rsidR="00162296" w:rsidRPr="00F5331D" w:rsidRDefault="00162296" w:rsidP="00162296">
            <w:pPr>
              <w:pStyle w:val="Tabletext0"/>
            </w:pPr>
            <w:proofErr w:type="spellStart"/>
            <w:r>
              <w:rPr>
                <w:bCs/>
              </w:rPr>
              <w:t>Arnlijots</w:t>
            </w:r>
            <w:proofErr w:type="spellEnd"/>
            <w:r>
              <w:rPr>
                <w:bCs/>
              </w:rPr>
              <w:t xml:space="preserve"> 2021</w:t>
            </w:r>
          </w:p>
        </w:tc>
        <w:tc>
          <w:tcPr>
            <w:tcW w:w="1547" w:type="pct"/>
          </w:tcPr>
          <w:p w14:paraId="0CEE22F4" w14:textId="46B6901A" w:rsidR="00162296" w:rsidRDefault="00162296" w:rsidP="00162296">
            <w:pPr>
              <w:pStyle w:val="Tablecontent"/>
            </w:pPr>
            <w:r>
              <w:t>Adult with mild to moderate OAG undergoing a standalone procedure or combined cataract surgery (or goniotomy, this arm not included)</w:t>
            </w:r>
          </w:p>
          <w:p w14:paraId="3CAE0353" w14:textId="10440507" w:rsidR="00162296" w:rsidRPr="00F5331D" w:rsidRDefault="00162296" w:rsidP="00162296">
            <w:pPr>
              <w:pStyle w:val="Tabletext0"/>
              <w:jc w:val="left"/>
            </w:pPr>
            <w:r>
              <w:t>Baseline IOP (without washout): 15 mm Hg to 35 mm Hg</w:t>
            </w:r>
          </w:p>
        </w:tc>
        <w:tc>
          <w:tcPr>
            <w:tcW w:w="1554" w:type="pct"/>
          </w:tcPr>
          <w:p w14:paraId="4D9F66DF" w14:textId="4CBDE049" w:rsidR="00162296" w:rsidRPr="00F5331D" w:rsidRDefault="00162296" w:rsidP="00162296">
            <w:pPr>
              <w:pStyle w:val="Tabletext0"/>
              <w:jc w:val="left"/>
            </w:pPr>
            <w:r w:rsidRPr="00F5331D">
              <w:t>Preoperative IOP (without washout) between 15</w:t>
            </w:r>
            <w:r>
              <w:t> mm Hg</w:t>
            </w:r>
            <w:r w:rsidRPr="00F5331D">
              <w:t xml:space="preserve"> and 35</w:t>
            </w:r>
            <w:r>
              <w:t> </w:t>
            </w:r>
            <w:r w:rsidRPr="00F5331D">
              <w:t>mm</w:t>
            </w:r>
            <w:r>
              <w:t> </w:t>
            </w:r>
            <w:r w:rsidRPr="00F5331D">
              <w:t>Hg</w:t>
            </w:r>
          </w:p>
        </w:tc>
        <w:tc>
          <w:tcPr>
            <w:tcW w:w="1139" w:type="pct"/>
          </w:tcPr>
          <w:p w14:paraId="773A601C" w14:textId="77777777" w:rsidR="00162296" w:rsidRPr="00F5331D" w:rsidRDefault="00162296" w:rsidP="00162296">
            <w:pPr>
              <w:pStyle w:val="Tabletext0"/>
              <w:jc w:val="left"/>
            </w:pPr>
            <w:r w:rsidRPr="00F5331D">
              <w:t xml:space="preserve">NR </w:t>
            </w:r>
          </w:p>
        </w:tc>
      </w:tr>
      <w:tr w:rsidR="00162296" w:rsidRPr="00D93211" w14:paraId="4F5F5378" w14:textId="77777777" w:rsidTr="00D423CA">
        <w:trPr>
          <w:cantSplit/>
          <w:trHeight w:val="5"/>
        </w:trPr>
        <w:tc>
          <w:tcPr>
            <w:tcW w:w="760" w:type="pct"/>
          </w:tcPr>
          <w:p w14:paraId="531FC2C2" w14:textId="26B5B8B2" w:rsidR="00162296" w:rsidRPr="00F5331D" w:rsidRDefault="00162296" w:rsidP="00162296">
            <w:pPr>
              <w:pStyle w:val="Tabletext0"/>
            </w:pPr>
            <w:proofErr w:type="spellStart"/>
            <w:r>
              <w:rPr>
                <w:bCs/>
              </w:rPr>
              <w:t>Pahlitzsch</w:t>
            </w:r>
            <w:proofErr w:type="spellEnd"/>
            <w:r>
              <w:rPr>
                <w:bCs/>
              </w:rPr>
              <w:t xml:space="preserve"> 2021</w:t>
            </w:r>
          </w:p>
        </w:tc>
        <w:tc>
          <w:tcPr>
            <w:tcW w:w="1547" w:type="pct"/>
          </w:tcPr>
          <w:p w14:paraId="62767267" w14:textId="49396310" w:rsidR="00162296" w:rsidRPr="00F5331D" w:rsidRDefault="00162296" w:rsidP="00162296">
            <w:pPr>
              <w:pStyle w:val="Tabletext0"/>
              <w:jc w:val="left"/>
            </w:pPr>
            <w:r>
              <w:t xml:space="preserve">Adults with POAG which had received </w:t>
            </w:r>
            <w:proofErr w:type="spellStart"/>
            <w:r>
              <w:t>iStent</w:t>
            </w:r>
            <w:proofErr w:type="spellEnd"/>
            <w:r>
              <w:t xml:space="preserve"> (or selective laser trabeculoplasty or trabeculectomy, these arms not included)</w:t>
            </w:r>
          </w:p>
        </w:tc>
        <w:tc>
          <w:tcPr>
            <w:tcW w:w="1554" w:type="pct"/>
          </w:tcPr>
          <w:p w14:paraId="047F7D9F" w14:textId="0D612288" w:rsidR="00162296" w:rsidRPr="00F5331D" w:rsidRDefault="00162296" w:rsidP="00162296">
            <w:pPr>
              <w:pStyle w:val="Tabletext0"/>
              <w:jc w:val="left"/>
            </w:pPr>
            <w:r w:rsidRPr="00F5331D">
              <w:t xml:space="preserve">NR </w:t>
            </w:r>
          </w:p>
        </w:tc>
        <w:tc>
          <w:tcPr>
            <w:tcW w:w="1139" w:type="pct"/>
          </w:tcPr>
          <w:p w14:paraId="2A02FAE1" w14:textId="77777777" w:rsidR="00162296" w:rsidRPr="00F5331D" w:rsidRDefault="00162296" w:rsidP="00162296">
            <w:pPr>
              <w:pStyle w:val="Tabletext0"/>
              <w:jc w:val="left"/>
            </w:pPr>
            <w:r w:rsidRPr="00F5331D">
              <w:t>NR</w:t>
            </w:r>
          </w:p>
        </w:tc>
      </w:tr>
      <w:tr w:rsidR="00162296" w:rsidRPr="00D93211" w14:paraId="5A81A422" w14:textId="77777777" w:rsidTr="00D423CA">
        <w:trPr>
          <w:cantSplit/>
          <w:trHeight w:val="5"/>
        </w:trPr>
        <w:tc>
          <w:tcPr>
            <w:tcW w:w="760" w:type="pct"/>
          </w:tcPr>
          <w:p w14:paraId="1711F23F" w14:textId="247B5092" w:rsidR="00162296" w:rsidRPr="00F5331D" w:rsidRDefault="00162296" w:rsidP="00162296">
            <w:pPr>
              <w:pStyle w:val="Tabletext0"/>
            </w:pPr>
            <w:r>
              <w:rPr>
                <w:bCs/>
              </w:rPr>
              <w:t>Katz 2018</w:t>
            </w:r>
          </w:p>
        </w:tc>
        <w:tc>
          <w:tcPr>
            <w:tcW w:w="1547" w:type="pct"/>
          </w:tcPr>
          <w:p w14:paraId="3116B33C" w14:textId="674373CE" w:rsidR="00162296" w:rsidRDefault="00162296" w:rsidP="00162296">
            <w:pPr>
              <w:pStyle w:val="Tablecontent"/>
            </w:pPr>
            <w:r>
              <w:t xml:space="preserve">Adults with OAG (POAG, </w:t>
            </w:r>
            <w:proofErr w:type="spellStart"/>
            <w:r>
              <w:t>pseudoexfoliative</w:t>
            </w:r>
            <w:proofErr w:type="spellEnd"/>
            <w:r>
              <w:t xml:space="preserve"> or pigmentary glaucoma</w:t>
            </w:r>
            <w:r w:rsidR="00B1321E">
              <w:t>)</w:t>
            </w:r>
          </w:p>
          <w:p w14:paraId="5E694D9F" w14:textId="19FB7691" w:rsidR="00162296" w:rsidRPr="00F5331D" w:rsidRDefault="00162296" w:rsidP="00162296">
            <w:pPr>
              <w:pStyle w:val="Tabletext0"/>
              <w:jc w:val="left"/>
            </w:pPr>
            <w:r>
              <w:t>Baseline IOP (post washout): 22 mm Hg to 38 mm Hg</w:t>
            </w:r>
          </w:p>
        </w:tc>
        <w:tc>
          <w:tcPr>
            <w:tcW w:w="1554" w:type="pct"/>
          </w:tcPr>
          <w:p w14:paraId="26871196" w14:textId="5E94CEDE" w:rsidR="00162296" w:rsidRPr="00F5331D" w:rsidRDefault="00162296" w:rsidP="00162296">
            <w:pPr>
              <w:pStyle w:val="Tabletext0"/>
              <w:jc w:val="left"/>
            </w:pPr>
            <w:r w:rsidRPr="00F5331D">
              <w:t>Preoperative IOP 18</w:t>
            </w:r>
            <w:r>
              <w:t xml:space="preserve"> mm Hg to </w:t>
            </w:r>
            <w:r w:rsidRPr="00F5331D">
              <w:t>30</w:t>
            </w:r>
            <w:r>
              <w:t> </w:t>
            </w:r>
            <w:r w:rsidRPr="00F5331D">
              <w:t>mm</w:t>
            </w:r>
            <w:r>
              <w:t> </w:t>
            </w:r>
            <w:r w:rsidRPr="00F5331D">
              <w:t>Hg and unmedicated (post</w:t>
            </w:r>
            <w:r>
              <w:t xml:space="preserve"> </w:t>
            </w:r>
            <w:r w:rsidRPr="00F5331D">
              <w:t>washout) IOP 22</w:t>
            </w:r>
            <w:r>
              <w:t xml:space="preserve"> mm Hg to </w:t>
            </w:r>
            <w:r w:rsidRPr="00F5331D">
              <w:t>38</w:t>
            </w:r>
            <w:r>
              <w:t> </w:t>
            </w:r>
            <w:r w:rsidRPr="00F5331D">
              <w:t>mm</w:t>
            </w:r>
            <w:r>
              <w:t> </w:t>
            </w:r>
            <w:r w:rsidRPr="00F5331D">
              <w:t>Hg</w:t>
            </w:r>
          </w:p>
        </w:tc>
        <w:tc>
          <w:tcPr>
            <w:tcW w:w="1139" w:type="pct"/>
          </w:tcPr>
          <w:p w14:paraId="26BA71E6" w14:textId="2C1EF508" w:rsidR="00162296" w:rsidRPr="00F5331D" w:rsidRDefault="00162296" w:rsidP="00162296">
            <w:pPr>
              <w:pStyle w:val="Tabletext0"/>
              <w:jc w:val="left"/>
            </w:pPr>
            <w:r w:rsidRPr="00F5331D">
              <w:t>Usage of 1</w:t>
            </w:r>
            <w:r>
              <w:t>–</w:t>
            </w:r>
            <w:r w:rsidRPr="00F5331D">
              <w:t>3 glaucoma medications</w:t>
            </w:r>
          </w:p>
          <w:p w14:paraId="59B04631" w14:textId="77777777" w:rsidR="00162296" w:rsidRPr="00F5331D" w:rsidRDefault="00162296" w:rsidP="00162296">
            <w:pPr>
              <w:pStyle w:val="Tabletext0"/>
              <w:jc w:val="left"/>
            </w:pPr>
          </w:p>
        </w:tc>
      </w:tr>
      <w:tr w:rsidR="00162296" w:rsidRPr="00D93211" w14:paraId="5F9519BA" w14:textId="77777777" w:rsidTr="00D423CA">
        <w:trPr>
          <w:cantSplit/>
          <w:trHeight w:val="5"/>
        </w:trPr>
        <w:tc>
          <w:tcPr>
            <w:tcW w:w="760" w:type="pct"/>
          </w:tcPr>
          <w:p w14:paraId="3A82A07E" w14:textId="29CEA497" w:rsidR="00162296" w:rsidRPr="00F5331D" w:rsidRDefault="00162296" w:rsidP="00162296">
            <w:pPr>
              <w:pStyle w:val="Tabletext0"/>
            </w:pPr>
            <w:r>
              <w:rPr>
                <w:bCs/>
              </w:rPr>
              <w:t>Ahmed 2020</w:t>
            </w:r>
          </w:p>
        </w:tc>
        <w:tc>
          <w:tcPr>
            <w:tcW w:w="1547" w:type="pct"/>
          </w:tcPr>
          <w:p w14:paraId="0A11C3BA" w14:textId="77777777" w:rsidR="00162296" w:rsidRDefault="00162296" w:rsidP="00162296">
            <w:pPr>
              <w:pStyle w:val="Tablecontent"/>
            </w:pPr>
            <w:r>
              <w:t>Adults with OAG</w:t>
            </w:r>
          </w:p>
          <w:p w14:paraId="3256386D" w14:textId="6AE5ABA6" w:rsidR="00162296" w:rsidRPr="00F5331D" w:rsidRDefault="00162296" w:rsidP="00162296">
            <w:pPr>
              <w:pStyle w:val="Tabletext0"/>
              <w:jc w:val="left"/>
            </w:pPr>
            <w:r>
              <w:t>Baseline IOP (post washout): 23 mm Hg to 39 mm Hg</w:t>
            </w:r>
          </w:p>
        </w:tc>
        <w:tc>
          <w:tcPr>
            <w:tcW w:w="1554" w:type="pct"/>
          </w:tcPr>
          <w:p w14:paraId="4053CA14" w14:textId="1DCC4360" w:rsidR="00162296" w:rsidRPr="00F5331D" w:rsidRDefault="00162296" w:rsidP="00162296">
            <w:pPr>
              <w:pStyle w:val="Tabletext0"/>
              <w:jc w:val="left"/>
            </w:pPr>
            <w:r w:rsidRPr="00F5331D">
              <w:t>Baseline IOP (post washout): 23</w:t>
            </w:r>
            <w:r>
              <w:t> mm Hg</w:t>
            </w:r>
            <w:r w:rsidRPr="00F5331D">
              <w:t xml:space="preserve"> to 39</w:t>
            </w:r>
            <w:r>
              <w:t> </w:t>
            </w:r>
            <w:r w:rsidRPr="00F5331D">
              <w:t>mm</w:t>
            </w:r>
            <w:r>
              <w:t> </w:t>
            </w:r>
            <w:r w:rsidRPr="00F5331D">
              <w:t>Hg</w:t>
            </w:r>
          </w:p>
        </w:tc>
        <w:tc>
          <w:tcPr>
            <w:tcW w:w="1139" w:type="pct"/>
          </w:tcPr>
          <w:p w14:paraId="697C45F8" w14:textId="77777777" w:rsidR="00162296" w:rsidRPr="00F5331D" w:rsidRDefault="00162296" w:rsidP="00162296">
            <w:pPr>
              <w:pStyle w:val="Tabletext0"/>
            </w:pPr>
            <w:r w:rsidRPr="00F5331D">
              <w:t>NR</w:t>
            </w:r>
          </w:p>
        </w:tc>
      </w:tr>
    </w:tbl>
    <w:p w14:paraId="497CE238" w14:textId="4B69A472" w:rsidR="00214C41" w:rsidRPr="00AD31F1" w:rsidRDefault="00812A68" w:rsidP="00812A68">
      <w:pPr>
        <w:pStyle w:val="Tablenotes0"/>
      </w:pPr>
      <w:r w:rsidRPr="00AD31F1">
        <w:rPr>
          <w:u w:val="single"/>
        </w:rPr>
        <w:t>Abbreviations</w:t>
      </w:r>
      <w:r w:rsidRPr="00AD31F1">
        <w:t xml:space="preserve">: IOP = intraocular pressure, mm Hg = millimetres of mercury, </w:t>
      </w:r>
      <w:r w:rsidR="00D11F5C">
        <w:t>NAG =</w:t>
      </w:r>
      <w:r w:rsidR="00CC1A13">
        <w:t xml:space="preserve"> </w:t>
      </w:r>
      <w:r w:rsidR="00E613D7" w:rsidRPr="00E613D7">
        <w:t>Narrow Angle Glaucoma</w:t>
      </w:r>
      <w:r w:rsidR="00E613D7">
        <w:t>,</w:t>
      </w:r>
      <w:r w:rsidR="00D11F5C">
        <w:t xml:space="preserve"> </w:t>
      </w:r>
      <w:r w:rsidRPr="00AD31F1">
        <w:t>NR = not reported</w:t>
      </w:r>
      <w:r w:rsidR="00596DA9">
        <w:t>, OAG =</w:t>
      </w:r>
      <w:r w:rsidR="00E21900">
        <w:t xml:space="preserve"> </w:t>
      </w:r>
      <w:r w:rsidR="00E21900" w:rsidRPr="00E21900">
        <w:t>Open-angle glaucoma</w:t>
      </w:r>
      <w:r w:rsidR="00E21900">
        <w:t>,</w:t>
      </w:r>
      <w:r w:rsidR="00B1321E">
        <w:t xml:space="preserve"> </w:t>
      </w:r>
      <w:r w:rsidR="00B1321E" w:rsidRPr="00B1321E">
        <w:t xml:space="preserve">POAG, </w:t>
      </w:r>
      <w:proofErr w:type="spellStart"/>
      <w:r w:rsidR="00B1321E" w:rsidRPr="00B1321E">
        <w:t>pseudoexfoliative</w:t>
      </w:r>
      <w:proofErr w:type="spellEnd"/>
      <w:r w:rsidR="00B1321E" w:rsidRPr="00B1321E">
        <w:t xml:space="preserve"> or pigmentary glaucoma)</w:t>
      </w:r>
      <w:r w:rsidR="002D26A6">
        <w:t>, SOAG</w:t>
      </w:r>
      <w:r w:rsidR="006526E9">
        <w:t xml:space="preserve"> = secondary open angle glaucoma</w:t>
      </w:r>
    </w:p>
    <w:p w14:paraId="0EB55C63" w14:textId="09B0D06F" w:rsidR="00431365" w:rsidRPr="00AD31F1" w:rsidRDefault="00431365" w:rsidP="00812A68">
      <w:pPr>
        <w:pStyle w:val="Tablenotes0"/>
      </w:pPr>
      <w:r w:rsidRPr="00AD31F1">
        <w:rPr>
          <w:u w:val="single"/>
        </w:rPr>
        <w:t>Source</w:t>
      </w:r>
      <w:r w:rsidRPr="00AD31F1">
        <w:t xml:space="preserve">: Adapted from Appendix B, Table 44-46 of ADAR submission </w:t>
      </w:r>
    </w:p>
    <w:p w14:paraId="56979AEC" w14:textId="6D12D92D" w:rsidR="00724286" w:rsidRPr="00DC272B" w:rsidRDefault="00724286" w:rsidP="00DC272B">
      <w:pPr>
        <w:pStyle w:val="Heading4"/>
      </w:pPr>
      <w:r w:rsidRPr="00DC272B">
        <w:t xml:space="preserve">Comparison of trial baseline characteristics </w:t>
      </w:r>
    </w:p>
    <w:p w14:paraId="12164EB5" w14:textId="12FE9381" w:rsidR="003C4201" w:rsidRPr="003C4201" w:rsidRDefault="003C4201" w:rsidP="003C4201">
      <w:pPr>
        <w:pStyle w:val="Caption"/>
        <w:rPr>
          <w:rFonts w:ascii="Franklin Gothic Book" w:eastAsiaTheme="minorHAnsi" w:hAnsi="Franklin Gothic Book" w:cstheme="minorBidi"/>
          <w:b w:val="0"/>
          <w:bCs w:val="0"/>
          <w:sz w:val="22"/>
          <w:szCs w:val="22"/>
        </w:rPr>
      </w:pPr>
      <w:bookmarkStart w:id="16" w:name="_Ref150418243"/>
      <w:r w:rsidRPr="003C4201">
        <w:rPr>
          <w:rFonts w:ascii="Franklin Gothic Book" w:eastAsiaTheme="minorHAnsi" w:hAnsi="Franklin Gothic Book" w:cstheme="minorBidi"/>
          <w:b w:val="0"/>
          <w:bCs w:val="0"/>
          <w:sz w:val="22"/>
          <w:szCs w:val="22"/>
        </w:rPr>
        <w:t>Baseline characteristics of the identified trials are summarised in</w:t>
      </w:r>
      <w:r>
        <w:rPr>
          <w:rFonts w:ascii="Franklin Gothic Book" w:eastAsiaTheme="minorHAnsi" w:hAnsi="Franklin Gothic Book" w:cstheme="minorBidi"/>
          <w:b w:val="0"/>
          <w:bCs w:val="0"/>
          <w:sz w:val="22"/>
          <w:szCs w:val="22"/>
        </w:rPr>
        <w:t xml:space="preserve"> </w:t>
      </w:r>
      <w:r>
        <w:rPr>
          <w:rFonts w:ascii="Franklin Gothic Book" w:eastAsiaTheme="minorHAnsi" w:hAnsi="Franklin Gothic Book" w:cstheme="minorBidi"/>
          <w:b w:val="0"/>
          <w:bCs w:val="0"/>
          <w:sz w:val="22"/>
          <w:szCs w:val="22"/>
        </w:rPr>
        <w:fldChar w:fldCharType="begin"/>
      </w:r>
      <w:r>
        <w:rPr>
          <w:rFonts w:ascii="Franklin Gothic Book" w:eastAsiaTheme="minorHAnsi" w:hAnsi="Franklin Gothic Book" w:cstheme="minorBidi"/>
          <w:b w:val="0"/>
          <w:bCs w:val="0"/>
          <w:sz w:val="22"/>
          <w:szCs w:val="22"/>
        </w:rPr>
        <w:instrText xml:space="preserve"> REF _Ref150944917 \h  \* MERGEFORMAT </w:instrText>
      </w:r>
      <w:r>
        <w:rPr>
          <w:rFonts w:ascii="Franklin Gothic Book" w:eastAsiaTheme="minorHAnsi" w:hAnsi="Franklin Gothic Book" w:cstheme="minorBidi"/>
          <w:b w:val="0"/>
          <w:bCs w:val="0"/>
          <w:sz w:val="22"/>
          <w:szCs w:val="22"/>
        </w:rPr>
      </w:r>
      <w:r>
        <w:rPr>
          <w:rFonts w:ascii="Franklin Gothic Book" w:eastAsiaTheme="minorHAnsi" w:hAnsi="Franklin Gothic Book" w:cstheme="minorBidi"/>
          <w:b w:val="0"/>
          <w:bCs w:val="0"/>
          <w:sz w:val="22"/>
          <w:szCs w:val="22"/>
        </w:rPr>
        <w:fldChar w:fldCharType="separate"/>
      </w:r>
      <w:r w:rsidR="003C61D8" w:rsidRPr="003C61D8">
        <w:rPr>
          <w:rFonts w:ascii="Franklin Gothic Book" w:eastAsiaTheme="minorHAnsi" w:hAnsi="Franklin Gothic Book" w:cstheme="minorBidi"/>
          <w:b w:val="0"/>
          <w:bCs w:val="0"/>
          <w:sz w:val="22"/>
          <w:szCs w:val="22"/>
        </w:rPr>
        <w:t>Table 8</w:t>
      </w:r>
      <w:r>
        <w:rPr>
          <w:rFonts w:ascii="Franklin Gothic Book" w:eastAsiaTheme="minorHAnsi" w:hAnsi="Franklin Gothic Book" w:cstheme="minorBidi"/>
          <w:b w:val="0"/>
          <w:bCs w:val="0"/>
          <w:sz w:val="22"/>
          <w:szCs w:val="22"/>
        </w:rPr>
        <w:fldChar w:fldCharType="end"/>
      </w:r>
      <w:r w:rsidRPr="003C4201">
        <w:rPr>
          <w:rFonts w:ascii="Franklin Gothic Book" w:eastAsiaTheme="minorHAnsi" w:hAnsi="Franklin Gothic Book" w:cstheme="minorBidi"/>
          <w:b w:val="0"/>
          <w:bCs w:val="0"/>
          <w:sz w:val="22"/>
          <w:szCs w:val="22"/>
        </w:rPr>
        <w:t xml:space="preserve">. </w:t>
      </w:r>
      <w:r w:rsidR="00B86F8C">
        <w:rPr>
          <w:rFonts w:ascii="Franklin Gothic Book" w:eastAsiaTheme="minorHAnsi" w:hAnsi="Franklin Gothic Book" w:cstheme="minorBidi"/>
          <w:b w:val="0"/>
          <w:bCs w:val="0"/>
          <w:sz w:val="22"/>
          <w:szCs w:val="22"/>
        </w:rPr>
        <w:t>T</w:t>
      </w:r>
      <w:r w:rsidRPr="003C4201">
        <w:rPr>
          <w:rFonts w:ascii="Franklin Gothic Book" w:eastAsiaTheme="minorHAnsi" w:hAnsi="Franklin Gothic Book" w:cstheme="minorBidi"/>
          <w:b w:val="0"/>
          <w:bCs w:val="0"/>
          <w:sz w:val="22"/>
          <w:szCs w:val="22"/>
        </w:rPr>
        <w:t xml:space="preserve">he </w:t>
      </w:r>
      <w:r w:rsidR="00E5060B">
        <w:rPr>
          <w:rFonts w:ascii="Franklin Gothic Book" w:eastAsiaTheme="minorHAnsi" w:hAnsi="Franklin Gothic Book" w:cstheme="minorBidi"/>
          <w:b w:val="0"/>
          <w:bCs w:val="0"/>
          <w:sz w:val="22"/>
          <w:szCs w:val="22"/>
        </w:rPr>
        <w:t>applicant</w:t>
      </w:r>
      <w:r w:rsidRPr="003C4201">
        <w:rPr>
          <w:rFonts w:ascii="Franklin Gothic Book" w:eastAsiaTheme="minorHAnsi" w:hAnsi="Franklin Gothic Book" w:cstheme="minorBidi"/>
          <w:b w:val="0"/>
          <w:bCs w:val="0"/>
          <w:sz w:val="22"/>
          <w:szCs w:val="22"/>
        </w:rPr>
        <w:t xml:space="preserve"> conclud</w:t>
      </w:r>
      <w:r w:rsidR="00B86F8C">
        <w:rPr>
          <w:rFonts w:ascii="Franklin Gothic Book" w:eastAsiaTheme="minorHAnsi" w:hAnsi="Franklin Gothic Book" w:cstheme="minorBidi"/>
          <w:b w:val="0"/>
          <w:bCs w:val="0"/>
          <w:sz w:val="22"/>
          <w:szCs w:val="22"/>
        </w:rPr>
        <w:t>ed</w:t>
      </w:r>
      <w:r w:rsidRPr="003C4201">
        <w:rPr>
          <w:rFonts w:ascii="Franklin Gothic Book" w:eastAsiaTheme="minorHAnsi" w:hAnsi="Franklin Gothic Book" w:cstheme="minorBidi"/>
          <w:b w:val="0"/>
          <w:bCs w:val="0"/>
          <w:sz w:val="22"/>
          <w:szCs w:val="22"/>
        </w:rPr>
        <w:t xml:space="preserve"> broad similarity of the trials, </w:t>
      </w:r>
      <w:r w:rsidR="00B86F8C">
        <w:rPr>
          <w:rFonts w:ascii="Franklin Gothic Book" w:eastAsiaTheme="minorHAnsi" w:hAnsi="Franklin Gothic Book" w:cstheme="minorBidi"/>
          <w:b w:val="0"/>
          <w:bCs w:val="0"/>
          <w:sz w:val="22"/>
          <w:szCs w:val="22"/>
        </w:rPr>
        <w:t xml:space="preserve">although </w:t>
      </w:r>
      <w:r w:rsidRPr="003C4201">
        <w:rPr>
          <w:rFonts w:ascii="Franklin Gothic Book" w:eastAsiaTheme="minorHAnsi" w:hAnsi="Franklin Gothic Book" w:cstheme="minorBidi"/>
          <w:b w:val="0"/>
          <w:bCs w:val="0"/>
          <w:sz w:val="22"/>
          <w:szCs w:val="22"/>
        </w:rPr>
        <w:t xml:space="preserve">there were several </w:t>
      </w:r>
      <w:r w:rsidR="009B537F">
        <w:rPr>
          <w:rFonts w:ascii="Franklin Gothic Book" w:eastAsiaTheme="minorHAnsi" w:hAnsi="Franklin Gothic Book" w:cstheme="minorBidi"/>
          <w:b w:val="0"/>
          <w:bCs w:val="0"/>
          <w:sz w:val="22"/>
          <w:szCs w:val="22"/>
        </w:rPr>
        <w:t xml:space="preserve">important </w:t>
      </w:r>
      <w:r w:rsidRPr="003C4201">
        <w:rPr>
          <w:rFonts w:ascii="Franklin Gothic Book" w:eastAsiaTheme="minorHAnsi" w:hAnsi="Franklin Gothic Book" w:cstheme="minorBidi"/>
          <w:b w:val="0"/>
          <w:bCs w:val="0"/>
          <w:sz w:val="22"/>
          <w:szCs w:val="22"/>
        </w:rPr>
        <w:t>differences to not</w:t>
      </w:r>
      <w:r w:rsidR="00354C18">
        <w:rPr>
          <w:rFonts w:ascii="Franklin Gothic Book" w:eastAsiaTheme="minorHAnsi" w:hAnsi="Franklin Gothic Book" w:cstheme="minorBidi"/>
          <w:b w:val="0"/>
          <w:bCs w:val="0"/>
          <w:sz w:val="22"/>
          <w:szCs w:val="22"/>
        </w:rPr>
        <w:t>e:</w:t>
      </w:r>
      <w:r w:rsidRPr="003C4201">
        <w:rPr>
          <w:rFonts w:ascii="Franklin Gothic Book" w:eastAsiaTheme="minorHAnsi" w:hAnsi="Franklin Gothic Book" w:cstheme="minorBidi"/>
          <w:b w:val="0"/>
          <w:bCs w:val="0"/>
          <w:sz w:val="22"/>
          <w:szCs w:val="22"/>
        </w:rPr>
        <w:t xml:space="preserve"> </w:t>
      </w:r>
    </w:p>
    <w:p w14:paraId="66BB7B4A" w14:textId="5A44A743" w:rsidR="003C4201" w:rsidRPr="003C4201" w:rsidRDefault="003C4201" w:rsidP="003C4201">
      <w:pPr>
        <w:pStyle w:val="Bullet"/>
        <w:rPr>
          <w:rFonts w:ascii="Franklin Gothic Book" w:hAnsi="Franklin Gothic Book"/>
        </w:rPr>
      </w:pPr>
      <w:r w:rsidRPr="003C4201">
        <w:rPr>
          <w:rFonts w:ascii="Franklin Gothic Book" w:hAnsi="Franklin Gothic Book"/>
        </w:rPr>
        <w:t>Mean medicated IOP in the 4 STAR studies was above the normal range for adults (12</w:t>
      </w:r>
      <w:r w:rsidR="00DF1DDE">
        <w:rPr>
          <w:rFonts w:ascii="Franklin Gothic Book" w:hAnsi="Franklin Gothic Book"/>
        </w:rPr>
        <w:t>–</w:t>
      </w:r>
      <w:r w:rsidRPr="003C4201">
        <w:rPr>
          <w:rFonts w:ascii="Franklin Gothic Book" w:hAnsi="Franklin Gothic Book"/>
        </w:rPr>
        <w:t>21</w:t>
      </w:r>
      <w:r w:rsidR="007B61F7">
        <w:rPr>
          <w:rFonts w:ascii="Franklin Gothic Book" w:hAnsi="Franklin Gothic Book"/>
        </w:rPr>
        <w:t> </w:t>
      </w:r>
      <w:r w:rsidRPr="003C4201">
        <w:rPr>
          <w:rFonts w:ascii="Franklin Gothic Book" w:hAnsi="Franklin Gothic Book"/>
        </w:rPr>
        <w:t>mm</w:t>
      </w:r>
      <w:r w:rsidR="007B61F7">
        <w:rPr>
          <w:rFonts w:ascii="Franklin Gothic Book" w:hAnsi="Franklin Gothic Book"/>
        </w:rPr>
        <w:t> </w:t>
      </w:r>
      <w:r w:rsidRPr="003C4201">
        <w:rPr>
          <w:rFonts w:ascii="Franklin Gothic Book" w:hAnsi="Franklin Gothic Book"/>
        </w:rPr>
        <w:t xml:space="preserve">Hg), whereas this was only the case for 2 of the 7 </w:t>
      </w:r>
      <w:proofErr w:type="spellStart"/>
      <w:r w:rsidRPr="003C4201">
        <w:rPr>
          <w:rFonts w:ascii="Franklin Gothic Book" w:hAnsi="Franklin Gothic Book"/>
        </w:rPr>
        <w:t>iStent</w:t>
      </w:r>
      <w:proofErr w:type="spellEnd"/>
      <w:r w:rsidRPr="003C4201">
        <w:rPr>
          <w:rFonts w:ascii="Franklin Gothic Book" w:hAnsi="Franklin Gothic Book"/>
        </w:rPr>
        <w:t xml:space="preserve"> studies (</w:t>
      </w:r>
      <w:proofErr w:type="spellStart"/>
      <w:r w:rsidRPr="003C4201">
        <w:rPr>
          <w:rFonts w:ascii="Franklin Gothic Book" w:hAnsi="Franklin Gothic Book"/>
        </w:rPr>
        <w:t>Voskanyan</w:t>
      </w:r>
      <w:proofErr w:type="spellEnd"/>
      <w:r w:rsidR="00812A68">
        <w:rPr>
          <w:rFonts w:ascii="Franklin Gothic Book" w:hAnsi="Franklin Gothic Book"/>
        </w:rPr>
        <w:t xml:space="preserve"> 2014</w:t>
      </w:r>
      <w:r w:rsidRPr="003C4201">
        <w:rPr>
          <w:rFonts w:ascii="Franklin Gothic Book" w:hAnsi="Franklin Gothic Book"/>
        </w:rPr>
        <w:t xml:space="preserve"> and </w:t>
      </w:r>
      <w:proofErr w:type="spellStart"/>
      <w:r w:rsidRPr="003C4201">
        <w:rPr>
          <w:rFonts w:ascii="Franklin Gothic Book" w:hAnsi="Franklin Gothic Book"/>
        </w:rPr>
        <w:t>Hengerer</w:t>
      </w:r>
      <w:proofErr w:type="spellEnd"/>
      <w:r w:rsidR="00812A68">
        <w:rPr>
          <w:rFonts w:ascii="Franklin Gothic Book" w:hAnsi="Franklin Gothic Book"/>
        </w:rPr>
        <w:t xml:space="preserve"> 2019/</w:t>
      </w:r>
      <w:proofErr w:type="spellStart"/>
      <w:r w:rsidR="00812A68">
        <w:rPr>
          <w:rFonts w:ascii="Franklin Gothic Book" w:hAnsi="Franklin Gothic Book"/>
        </w:rPr>
        <w:t>Hengerer</w:t>
      </w:r>
      <w:proofErr w:type="spellEnd"/>
      <w:r w:rsidR="00812A68">
        <w:rPr>
          <w:rFonts w:ascii="Franklin Gothic Book" w:hAnsi="Franklin Gothic Book"/>
        </w:rPr>
        <w:t xml:space="preserve"> 2022</w:t>
      </w:r>
      <w:r w:rsidRPr="003C4201">
        <w:rPr>
          <w:rFonts w:ascii="Franklin Gothic Book" w:hAnsi="Franklin Gothic Book"/>
        </w:rPr>
        <w:t xml:space="preserve">). Differences in baseline IOP levels </w:t>
      </w:r>
      <w:r w:rsidR="00B86F8C">
        <w:rPr>
          <w:rFonts w:ascii="Franklin Gothic Book" w:hAnsi="Franklin Gothic Book"/>
        </w:rPr>
        <w:t>we</w:t>
      </w:r>
      <w:r w:rsidRPr="003C4201">
        <w:rPr>
          <w:rFonts w:ascii="Franklin Gothic Book" w:hAnsi="Franklin Gothic Book"/>
        </w:rPr>
        <w:t xml:space="preserve">re likely to introduce ceiling effects, with greater room for IOP improvements in studies with higher average IOP levels and, therefore, a greater likelihood of observing more preferential treatment effects. </w:t>
      </w:r>
    </w:p>
    <w:p w14:paraId="2BC7A0F9" w14:textId="44BF53FA" w:rsidR="003C4201" w:rsidRPr="003C4201" w:rsidRDefault="00D213D2" w:rsidP="003C4201">
      <w:pPr>
        <w:pStyle w:val="Bullet"/>
        <w:rPr>
          <w:rFonts w:ascii="Franklin Gothic Book" w:hAnsi="Franklin Gothic Book"/>
        </w:rPr>
      </w:pPr>
      <w:r>
        <w:rPr>
          <w:rFonts w:ascii="Franklin Gothic Book" w:hAnsi="Franklin Gothic Book"/>
        </w:rPr>
        <w:lastRenderedPageBreak/>
        <w:t>M</w:t>
      </w:r>
      <w:r w:rsidR="003C4201" w:rsidRPr="003C4201">
        <w:rPr>
          <w:rFonts w:ascii="Franklin Gothic Book" w:hAnsi="Franklin Gothic Book"/>
        </w:rPr>
        <w:t>ean age in the STAR trials ranged from 61</w:t>
      </w:r>
      <w:r w:rsidR="007B61F7">
        <w:rPr>
          <w:rFonts w:ascii="Franklin Gothic Book" w:hAnsi="Franklin Gothic Book"/>
        </w:rPr>
        <w:t xml:space="preserve"> to </w:t>
      </w:r>
      <w:r w:rsidR="003C4201" w:rsidRPr="003C4201">
        <w:rPr>
          <w:rFonts w:ascii="Franklin Gothic Book" w:hAnsi="Franklin Gothic Book"/>
        </w:rPr>
        <w:t>69 years</w:t>
      </w:r>
      <w:r w:rsidR="00634617">
        <w:rPr>
          <w:rFonts w:ascii="Franklin Gothic Book" w:hAnsi="Franklin Gothic Book"/>
        </w:rPr>
        <w:t>, compared to</w:t>
      </w:r>
      <w:r w:rsidR="003C4201" w:rsidRPr="003C4201">
        <w:rPr>
          <w:rFonts w:ascii="Franklin Gothic Book" w:hAnsi="Franklin Gothic Book"/>
        </w:rPr>
        <w:t xml:space="preserve"> 65</w:t>
      </w:r>
      <w:r w:rsidR="00493A06">
        <w:rPr>
          <w:rFonts w:ascii="Franklin Gothic Book" w:hAnsi="Franklin Gothic Book"/>
        </w:rPr>
        <w:t xml:space="preserve"> to </w:t>
      </w:r>
      <w:r w:rsidR="003C4201" w:rsidRPr="003C4201">
        <w:rPr>
          <w:rFonts w:ascii="Franklin Gothic Book" w:hAnsi="Franklin Gothic Book"/>
        </w:rPr>
        <w:t xml:space="preserve">76 years in the </w:t>
      </w:r>
      <w:proofErr w:type="spellStart"/>
      <w:r w:rsidR="003C4201" w:rsidRPr="003C4201">
        <w:rPr>
          <w:rFonts w:ascii="Franklin Gothic Book" w:hAnsi="Franklin Gothic Book"/>
        </w:rPr>
        <w:t>iStent</w:t>
      </w:r>
      <w:proofErr w:type="spellEnd"/>
      <w:r w:rsidR="003C4201" w:rsidRPr="003C4201">
        <w:rPr>
          <w:rFonts w:ascii="Franklin Gothic Book" w:hAnsi="Franklin Gothic Book"/>
        </w:rPr>
        <w:t xml:space="preserve"> trials. </w:t>
      </w:r>
    </w:p>
    <w:p w14:paraId="1FEBD700" w14:textId="68DC8F57" w:rsidR="003C4201" w:rsidRPr="003C4201" w:rsidRDefault="003C4201" w:rsidP="003C4201">
      <w:pPr>
        <w:pStyle w:val="Bullet"/>
        <w:rPr>
          <w:rFonts w:ascii="Franklin Gothic Book" w:hAnsi="Franklin Gothic Book"/>
        </w:rPr>
      </w:pPr>
      <w:r w:rsidRPr="003C4201">
        <w:rPr>
          <w:rFonts w:ascii="Franklin Gothic Book" w:hAnsi="Franklin Gothic Book"/>
        </w:rPr>
        <w:t>STAR trials were mainly conducted in non-white populations (except for STAR-II)</w:t>
      </w:r>
      <w:r w:rsidR="00634617">
        <w:rPr>
          <w:rFonts w:ascii="Franklin Gothic Book" w:hAnsi="Franklin Gothic Book"/>
        </w:rPr>
        <w:t>, whereas</w:t>
      </w:r>
      <w:r w:rsidRPr="003C4201">
        <w:rPr>
          <w:rFonts w:ascii="Franklin Gothic Book" w:hAnsi="Franklin Gothic Book"/>
        </w:rPr>
        <w:t xml:space="preserve"> </w:t>
      </w:r>
      <w:proofErr w:type="spellStart"/>
      <w:r w:rsidRPr="003C4201">
        <w:rPr>
          <w:rFonts w:ascii="Franklin Gothic Book" w:hAnsi="Franklin Gothic Book"/>
        </w:rPr>
        <w:t>iStent</w:t>
      </w:r>
      <w:proofErr w:type="spellEnd"/>
      <w:r w:rsidR="00634617">
        <w:rPr>
          <w:rFonts w:ascii="Franklin Gothic Book" w:hAnsi="Franklin Gothic Book"/>
        </w:rPr>
        <w:t xml:space="preserve"> trials were conducted</w:t>
      </w:r>
      <w:r w:rsidRPr="003C4201">
        <w:rPr>
          <w:rFonts w:ascii="Franklin Gothic Book" w:hAnsi="Franklin Gothic Book"/>
        </w:rPr>
        <w:t xml:space="preserve"> in majority white populations. </w:t>
      </w:r>
    </w:p>
    <w:p w14:paraId="067F6775" w14:textId="70522828" w:rsidR="003C4201" w:rsidRDefault="003C4201" w:rsidP="003C4201">
      <w:pPr>
        <w:pStyle w:val="Bullet"/>
        <w:numPr>
          <w:ilvl w:val="0"/>
          <w:numId w:val="0"/>
        </w:numPr>
        <w:rPr>
          <w:rFonts w:ascii="Franklin Gothic Book" w:hAnsi="Franklin Gothic Book"/>
        </w:rPr>
      </w:pPr>
      <w:r w:rsidRPr="003C4201">
        <w:rPr>
          <w:rFonts w:ascii="Franklin Gothic Book" w:hAnsi="Franklin Gothic Book"/>
        </w:rPr>
        <w:t xml:space="preserve">Given that unanchored ITCs </w:t>
      </w:r>
      <w:r w:rsidR="00786145">
        <w:rPr>
          <w:rFonts w:ascii="Franklin Gothic Book" w:hAnsi="Franklin Gothic Book"/>
        </w:rPr>
        <w:t>require there to be no heterogeneity in</w:t>
      </w:r>
      <w:r w:rsidRPr="003C4201">
        <w:rPr>
          <w:rFonts w:ascii="Franklin Gothic Book" w:hAnsi="Franklin Gothic Book"/>
        </w:rPr>
        <w:t xml:space="preserve"> any effect</w:t>
      </w:r>
      <w:r w:rsidR="00AE2A3C">
        <w:rPr>
          <w:rFonts w:ascii="Franklin Gothic Book" w:hAnsi="Franklin Gothic Book"/>
        </w:rPr>
        <w:t>-</w:t>
      </w:r>
      <w:r w:rsidRPr="003C4201">
        <w:rPr>
          <w:rFonts w:ascii="Franklin Gothic Book" w:hAnsi="Franklin Gothic Book"/>
        </w:rPr>
        <w:t xml:space="preserve">modifying or prognostic factors between trials, the imbalances listed above are likely to have compromised the validity of </w:t>
      </w:r>
      <w:r w:rsidR="00786145">
        <w:rPr>
          <w:rFonts w:ascii="Franklin Gothic Book" w:hAnsi="Franklin Gothic Book"/>
        </w:rPr>
        <w:t>the</w:t>
      </w:r>
      <w:r w:rsidRPr="003C4201">
        <w:rPr>
          <w:rFonts w:ascii="Franklin Gothic Book" w:hAnsi="Franklin Gothic Book"/>
        </w:rPr>
        <w:t xml:space="preserve"> ITC</w:t>
      </w:r>
      <w:r w:rsidR="00354C18">
        <w:rPr>
          <w:rFonts w:ascii="Franklin Gothic Book" w:hAnsi="Franklin Gothic Book"/>
        </w:rPr>
        <w:t xml:space="preserve"> analysis</w:t>
      </w:r>
      <w:r w:rsidRPr="003C4201">
        <w:rPr>
          <w:rFonts w:ascii="Franklin Gothic Book" w:hAnsi="Franklin Gothic Book"/>
        </w:rPr>
        <w:t>.</w:t>
      </w:r>
    </w:p>
    <w:p w14:paraId="439D3771" w14:textId="71230EA3" w:rsidR="00A611A6" w:rsidRPr="003C4201" w:rsidRDefault="00A611A6" w:rsidP="002328D3">
      <w:pPr>
        <w:pStyle w:val="Bullet"/>
        <w:keepNext/>
        <w:numPr>
          <w:ilvl w:val="0"/>
          <w:numId w:val="0"/>
        </w:numPr>
        <w:spacing w:before="240"/>
        <w:rPr>
          <w:rFonts w:ascii="Arial Narrow" w:eastAsia="Times New Roman" w:hAnsi="Arial Narrow" w:cs="Times New Roman"/>
          <w:b/>
          <w:bCs/>
          <w:sz w:val="20"/>
          <w:szCs w:val="20"/>
        </w:rPr>
      </w:pPr>
      <w:bookmarkStart w:id="17" w:name="_Ref150944917"/>
      <w:r w:rsidRPr="003C4201">
        <w:rPr>
          <w:rFonts w:ascii="Arial Narrow" w:eastAsia="Times New Roman" w:hAnsi="Arial Narrow" w:cs="Times New Roman"/>
          <w:b/>
          <w:bCs/>
          <w:sz w:val="20"/>
          <w:szCs w:val="20"/>
        </w:rPr>
        <w:t>Table</w:t>
      </w:r>
      <w:r w:rsidR="00D40723" w:rsidRPr="0001290C">
        <w:t> </w:t>
      </w:r>
      <w:r w:rsidR="000F56E3" w:rsidRPr="003C4201">
        <w:rPr>
          <w:rFonts w:ascii="Arial Narrow" w:eastAsia="Times New Roman" w:hAnsi="Arial Narrow" w:cs="Times New Roman"/>
          <w:b/>
          <w:bCs/>
          <w:sz w:val="20"/>
          <w:szCs w:val="20"/>
        </w:rPr>
        <w:fldChar w:fldCharType="begin"/>
      </w:r>
      <w:r w:rsidR="000F56E3" w:rsidRPr="003C4201">
        <w:rPr>
          <w:rFonts w:ascii="Arial Narrow" w:eastAsia="Times New Roman" w:hAnsi="Arial Narrow" w:cs="Times New Roman"/>
          <w:b/>
          <w:bCs/>
          <w:sz w:val="20"/>
          <w:szCs w:val="20"/>
        </w:rPr>
        <w:instrText xml:space="preserve"> SEQ Table \* ARABIC </w:instrText>
      </w:r>
      <w:r w:rsidR="000F56E3" w:rsidRPr="003C4201">
        <w:rPr>
          <w:rFonts w:ascii="Arial Narrow" w:eastAsia="Times New Roman" w:hAnsi="Arial Narrow" w:cs="Times New Roman"/>
          <w:b/>
          <w:bCs/>
          <w:sz w:val="20"/>
          <w:szCs w:val="20"/>
        </w:rPr>
        <w:fldChar w:fldCharType="separate"/>
      </w:r>
      <w:r w:rsidR="003C61D8">
        <w:rPr>
          <w:rFonts w:ascii="Arial Narrow" w:eastAsia="Times New Roman" w:hAnsi="Arial Narrow" w:cs="Times New Roman"/>
          <w:b/>
          <w:bCs/>
          <w:noProof/>
          <w:sz w:val="20"/>
          <w:szCs w:val="20"/>
        </w:rPr>
        <w:t>8</w:t>
      </w:r>
      <w:r w:rsidR="000F56E3" w:rsidRPr="003C4201">
        <w:rPr>
          <w:rFonts w:ascii="Arial Narrow" w:eastAsia="Times New Roman" w:hAnsi="Arial Narrow" w:cs="Times New Roman"/>
          <w:b/>
          <w:bCs/>
          <w:sz w:val="20"/>
          <w:szCs w:val="20"/>
        </w:rPr>
        <w:fldChar w:fldCharType="end"/>
      </w:r>
      <w:bookmarkEnd w:id="16"/>
      <w:bookmarkEnd w:id="17"/>
      <w:r w:rsidR="00D40723">
        <w:rPr>
          <w:rFonts w:ascii="Arial Narrow" w:eastAsia="Times New Roman" w:hAnsi="Arial Narrow" w:cs="Times New Roman"/>
          <w:b/>
          <w:bCs/>
          <w:sz w:val="20"/>
          <w:szCs w:val="20"/>
        </w:rPr>
        <w:tab/>
      </w:r>
      <w:r w:rsidRPr="003C4201">
        <w:rPr>
          <w:rFonts w:ascii="Arial Narrow" w:eastAsia="Times New Roman" w:hAnsi="Arial Narrow" w:cs="Times New Roman"/>
          <w:b/>
          <w:bCs/>
          <w:sz w:val="20"/>
          <w:szCs w:val="20"/>
        </w:rPr>
        <w:t xml:space="preserve">Baseline characteristics of trials included in ADAR </w:t>
      </w:r>
      <w:proofErr w:type="gramStart"/>
      <w:r w:rsidRPr="003C4201">
        <w:rPr>
          <w:rFonts w:ascii="Arial Narrow" w:eastAsia="Times New Roman" w:hAnsi="Arial Narrow" w:cs="Times New Roman"/>
          <w:b/>
          <w:bCs/>
          <w:sz w:val="20"/>
          <w:szCs w:val="20"/>
        </w:rPr>
        <w:t>submission</w:t>
      </w:r>
      <w:proofErr w:type="gramEnd"/>
    </w:p>
    <w:tbl>
      <w:tblPr>
        <w:tblStyle w:val="TableGrid"/>
        <w:tblW w:w="5000" w:type="pct"/>
        <w:tblLook w:val="04A0" w:firstRow="1" w:lastRow="0" w:firstColumn="1" w:lastColumn="0" w:noHBand="0" w:noVBand="1"/>
      </w:tblPr>
      <w:tblGrid>
        <w:gridCol w:w="942"/>
        <w:gridCol w:w="1498"/>
        <w:gridCol w:w="941"/>
        <w:gridCol w:w="1080"/>
        <w:gridCol w:w="1080"/>
        <w:gridCol w:w="943"/>
        <w:gridCol w:w="1174"/>
        <w:gridCol w:w="1358"/>
      </w:tblGrid>
      <w:tr w:rsidR="006305F1" w14:paraId="5C26EAE1" w14:textId="77777777" w:rsidTr="00617190">
        <w:trPr>
          <w:trHeight w:val="1101"/>
          <w:tblHeader/>
        </w:trPr>
        <w:tc>
          <w:tcPr>
            <w:tcW w:w="1353" w:type="pct"/>
            <w:gridSpan w:val="2"/>
            <w:tcBorders>
              <w:bottom w:val="single" w:sz="4" w:space="0" w:color="auto"/>
            </w:tcBorders>
            <w:shd w:val="clear" w:color="auto" w:fill="FFFFFF" w:themeFill="background1"/>
          </w:tcPr>
          <w:p w14:paraId="2494B1A5" w14:textId="77777777" w:rsidR="006305F1" w:rsidRDefault="006305F1" w:rsidP="00AE2A3C">
            <w:pPr>
              <w:pStyle w:val="TableHeading0"/>
            </w:pPr>
            <w:r>
              <w:t>Trial ID (data source)</w:t>
            </w:r>
          </w:p>
        </w:tc>
        <w:tc>
          <w:tcPr>
            <w:tcW w:w="522" w:type="pct"/>
            <w:tcBorders>
              <w:bottom w:val="single" w:sz="4" w:space="0" w:color="auto"/>
            </w:tcBorders>
            <w:shd w:val="clear" w:color="auto" w:fill="FFFFFF" w:themeFill="background1"/>
          </w:tcPr>
          <w:p w14:paraId="141479A2" w14:textId="40CB8269" w:rsidR="006305F1" w:rsidRDefault="00E963E9" w:rsidP="000665A5">
            <w:pPr>
              <w:pStyle w:val="TableHeading0"/>
            </w:pPr>
            <w:r>
              <w:t>n</w:t>
            </w:r>
            <w:r w:rsidR="006305F1">
              <w:t xml:space="preserve"> patients</w:t>
            </w:r>
          </w:p>
          <w:p w14:paraId="776FC1E8" w14:textId="6EFA08BC" w:rsidR="00D213D2" w:rsidRDefault="00D213D2" w:rsidP="000665A5">
            <w:pPr>
              <w:pStyle w:val="TableHeading0"/>
            </w:pPr>
            <w:r>
              <w:t>(eyes)</w:t>
            </w:r>
          </w:p>
        </w:tc>
        <w:tc>
          <w:tcPr>
            <w:tcW w:w="599" w:type="pct"/>
            <w:tcBorders>
              <w:bottom w:val="single" w:sz="4" w:space="0" w:color="auto"/>
            </w:tcBorders>
            <w:shd w:val="clear" w:color="auto" w:fill="FFFFFF" w:themeFill="background1"/>
          </w:tcPr>
          <w:p w14:paraId="156EDF9D" w14:textId="77777777" w:rsidR="006305F1" w:rsidRDefault="006305F1" w:rsidP="000665A5">
            <w:pPr>
              <w:pStyle w:val="TableHeading0"/>
            </w:pPr>
            <w:r>
              <w:t>Ethnicity, % white</w:t>
            </w:r>
          </w:p>
        </w:tc>
        <w:tc>
          <w:tcPr>
            <w:tcW w:w="599" w:type="pct"/>
            <w:tcBorders>
              <w:bottom w:val="single" w:sz="4" w:space="0" w:color="auto"/>
            </w:tcBorders>
            <w:shd w:val="clear" w:color="auto" w:fill="FFFFFF" w:themeFill="background1"/>
          </w:tcPr>
          <w:p w14:paraId="5985471A" w14:textId="4EBCA66C" w:rsidR="006305F1" w:rsidRDefault="006305F1" w:rsidP="000665A5">
            <w:pPr>
              <w:pStyle w:val="TableHeading0"/>
            </w:pPr>
            <w:r>
              <w:t>Mean age (years)</w:t>
            </w:r>
          </w:p>
        </w:tc>
        <w:tc>
          <w:tcPr>
            <w:tcW w:w="523" w:type="pct"/>
            <w:tcBorders>
              <w:bottom w:val="single" w:sz="4" w:space="0" w:color="auto"/>
            </w:tcBorders>
            <w:shd w:val="clear" w:color="auto" w:fill="FFFFFF" w:themeFill="background1"/>
          </w:tcPr>
          <w:p w14:paraId="69058BB5" w14:textId="77777777" w:rsidR="006305F1" w:rsidRDefault="006305F1" w:rsidP="000665A5">
            <w:pPr>
              <w:pStyle w:val="TableHeading0"/>
            </w:pPr>
            <w:r>
              <w:t>% Male</w:t>
            </w:r>
          </w:p>
        </w:tc>
        <w:tc>
          <w:tcPr>
            <w:tcW w:w="651" w:type="pct"/>
            <w:tcBorders>
              <w:bottom w:val="single" w:sz="4" w:space="0" w:color="auto"/>
            </w:tcBorders>
            <w:shd w:val="clear" w:color="auto" w:fill="FFFFFF" w:themeFill="background1"/>
          </w:tcPr>
          <w:p w14:paraId="14CD81BD" w14:textId="1096968B" w:rsidR="006305F1" w:rsidRDefault="006305F1" w:rsidP="000665A5">
            <w:pPr>
              <w:pStyle w:val="TableHeading0"/>
            </w:pPr>
            <w:r>
              <w:t>Mean (SD) no. medications</w:t>
            </w:r>
          </w:p>
        </w:tc>
        <w:tc>
          <w:tcPr>
            <w:tcW w:w="753" w:type="pct"/>
            <w:tcBorders>
              <w:bottom w:val="single" w:sz="4" w:space="0" w:color="auto"/>
            </w:tcBorders>
            <w:shd w:val="clear" w:color="auto" w:fill="FFFFFF" w:themeFill="background1"/>
          </w:tcPr>
          <w:p w14:paraId="2AF6E11D" w14:textId="77777777" w:rsidR="006305F1" w:rsidRDefault="006305F1" w:rsidP="000665A5">
            <w:pPr>
              <w:pStyle w:val="TableHeading0"/>
            </w:pPr>
            <w:r>
              <w:t>Mean (SD) medicated baseline IOP, mm Hg</w:t>
            </w:r>
          </w:p>
        </w:tc>
      </w:tr>
      <w:tr w:rsidR="00214C41" w:rsidRPr="009244FF" w14:paraId="14DE4A07" w14:textId="77777777" w:rsidTr="00617190">
        <w:trPr>
          <w:trHeight w:val="304"/>
        </w:trPr>
        <w:tc>
          <w:tcPr>
            <w:tcW w:w="5000" w:type="pct"/>
            <w:gridSpan w:val="8"/>
            <w:shd w:val="clear" w:color="auto" w:fill="FFFFFF" w:themeFill="background1"/>
            <w:vAlign w:val="center"/>
          </w:tcPr>
          <w:p w14:paraId="5F1A73EE" w14:textId="55F52152" w:rsidR="00214C41" w:rsidRPr="009244FF" w:rsidRDefault="00214C41" w:rsidP="00214C41">
            <w:pPr>
              <w:pStyle w:val="Tablecontent"/>
              <w:rPr>
                <w:b/>
                <w:bCs/>
              </w:rPr>
            </w:pPr>
            <w:proofErr w:type="spellStart"/>
            <w:r w:rsidRPr="009244FF">
              <w:rPr>
                <w:b/>
                <w:bCs/>
              </w:rPr>
              <w:t>MINIject</w:t>
            </w:r>
            <w:proofErr w:type="spellEnd"/>
          </w:p>
        </w:tc>
      </w:tr>
      <w:tr w:rsidR="006305F1" w14:paraId="58218D65" w14:textId="77777777" w:rsidTr="00617190">
        <w:trPr>
          <w:trHeight w:val="542"/>
        </w:trPr>
        <w:tc>
          <w:tcPr>
            <w:tcW w:w="522" w:type="pct"/>
          </w:tcPr>
          <w:p w14:paraId="2ECABCD8" w14:textId="77777777" w:rsidR="006305F1" w:rsidRDefault="006305F1">
            <w:pPr>
              <w:pStyle w:val="Tablecontent"/>
            </w:pPr>
            <w:r>
              <w:t>STAR-I</w:t>
            </w:r>
          </w:p>
        </w:tc>
        <w:tc>
          <w:tcPr>
            <w:tcW w:w="831" w:type="pct"/>
          </w:tcPr>
          <w:p w14:paraId="32BB7D31" w14:textId="75E6726B" w:rsidR="00162296" w:rsidRDefault="00162296">
            <w:pPr>
              <w:pStyle w:val="Tablecontent"/>
            </w:pPr>
            <w:r>
              <w:t>(Denis 2019</w:t>
            </w:r>
            <w:r w:rsidR="008755C1">
              <w:rPr>
                <w:rStyle w:val="FootnoteReference"/>
              </w:rPr>
              <w:footnoteReference w:id="10"/>
            </w:r>
            <w:r w:rsidR="009E305D">
              <w:t>;</w:t>
            </w:r>
            <w:r>
              <w:t xml:space="preserve"> Denis 2022</w:t>
            </w:r>
            <w:r w:rsidR="005912A9">
              <w:rPr>
                <w:rStyle w:val="FootnoteReference"/>
              </w:rPr>
              <w:footnoteReference w:id="11"/>
            </w:r>
            <w:r w:rsidR="009E305D">
              <w:t>)</w:t>
            </w:r>
          </w:p>
        </w:tc>
        <w:tc>
          <w:tcPr>
            <w:tcW w:w="522" w:type="pct"/>
          </w:tcPr>
          <w:p w14:paraId="5DBE88A8" w14:textId="77777777" w:rsidR="006305F1" w:rsidRDefault="006305F1">
            <w:pPr>
              <w:pStyle w:val="Tablecontent"/>
              <w:jc w:val="center"/>
            </w:pPr>
            <w:r>
              <w:t>26</w:t>
            </w:r>
          </w:p>
        </w:tc>
        <w:tc>
          <w:tcPr>
            <w:tcW w:w="599" w:type="pct"/>
          </w:tcPr>
          <w:p w14:paraId="718D7649" w14:textId="77777777" w:rsidR="006305F1" w:rsidRDefault="006305F1">
            <w:pPr>
              <w:pStyle w:val="Tablecontent"/>
              <w:jc w:val="center"/>
            </w:pPr>
            <w:r>
              <w:t>0%</w:t>
            </w:r>
          </w:p>
        </w:tc>
        <w:tc>
          <w:tcPr>
            <w:tcW w:w="599" w:type="pct"/>
          </w:tcPr>
          <w:p w14:paraId="5AFFC5E1" w14:textId="77777777" w:rsidR="006305F1" w:rsidRDefault="006305F1">
            <w:pPr>
              <w:pStyle w:val="Tablecontent"/>
              <w:jc w:val="center"/>
            </w:pPr>
            <w:r>
              <w:t>69.4 (11.1)</w:t>
            </w:r>
          </w:p>
        </w:tc>
        <w:tc>
          <w:tcPr>
            <w:tcW w:w="523" w:type="pct"/>
          </w:tcPr>
          <w:p w14:paraId="21573037" w14:textId="77777777" w:rsidR="006305F1" w:rsidRDefault="006305F1">
            <w:pPr>
              <w:pStyle w:val="Tablecontent"/>
              <w:jc w:val="center"/>
            </w:pPr>
            <w:r>
              <w:t>54%</w:t>
            </w:r>
          </w:p>
        </w:tc>
        <w:tc>
          <w:tcPr>
            <w:tcW w:w="651" w:type="pct"/>
          </w:tcPr>
          <w:p w14:paraId="28E181E7" w14:textId="77777777" w:rsidR="006305F1" w:rsidRDefault="006305F1">
            <w:pPr>
              <w:pStyle w:val="Tablecontent"/>
              <w:jc w:val="center"/>
            </w:pPr>
            <w:r>
              <w:t>2.0 (1.1)</w:t>
            </w:r>
          </w:p>
        </w:tc>
        <w:tc>
          <w:tcPr>
            <w:tcW w:w="753" w:type="pct"/>
          </w:tcPr>
          <w:p w14:paraId="6E413F2D" w14:textId="77777777" w:rsidR="006305F1" w:rsidRDefault="006305F1">
            <w:pPr>
              <w:pStyle w:val="Tablecontent"/>
              <w:jc w:val="center"/>
            </w:pPr>
            <w:r>
              <w:t>23.2 (3.3)</w:t>
            </w:r>
          </w:p>
        </w:tc>
      </w:tr>
      <w:tr w:rsidR="006305F1" w14:paraId="3108DE3C" w14:textId="77777777" w:rsidTr="00617190">
        <w:trPr>
          <w:trHeight w:val="304"/>
        </w:trPr>
        <w:tc>
          <w:tcPr>
            <w:tcW w:w="522" w:type="pct"/>
          </w:tcPr>
          <w:p w14:paraId="1A3A32D6" w14:textId="77777777" w:rsidR="006305F1" w:rsidRDefault="006305F1">
            <w:pPr>
              <w:pStyle w:val="Tablecontent"/>
            </w:pPr>
            <w:r>
              <w:t>STAR-II</w:t>
            </w:r>
          </w:p>
        </w:tc>
        <w:tc>
          <w:tcPr>
            <w:tcW w:w="831" w:type="pct"/>
          </w:tcPr>
          <w:p w14:paraId="45BCF8BC" w14:textId="3BD99059" w:rsidR="00162296" w:rsidRDefault="00162296">
            <w:pPr>
              <w:pStyle w:val="Tablecontent"/>
            </w:pPr>
            <w:r>
              <w:t>Garc</w:t>
            </w:r>
            <w:r w:rsidRPr="00162296">
              <w:t>í</w:t>
            </w:r>
            <w:r>
              <w:t>a-</w:t>
            </w:r>
            <w:proofErr w:type="spellStart"/>
            <w:r>
              <w:t>Feijo</w:t>
            </w:r>
            <w:r w:rsidRPr="00162296">
              <w:t>ó</w:t>
            </w:r>
            <w:proofErr w:type="spellEnd"/>
            <w:r>
              <w:t xml:space="preserve"> 2020</w:t>
            </w:r>
            <w:r w:rsidR="005912A9">
              <w:rPr>
                <w:rStyle w:val="FootnoteReference"/>
              </w:rPr>
              <w:footnoteReference w:id="12"/>
            </w:r>
            <w:r w:rsidR="009E305D">
              <w:t>)</w:t>
            </w:r>
          </w:p>
        </w:tc>
        <w:tc>
          <w:tcPr>
            <w:tcW w:w="522" w:type="pct"/>
          </w:tcPr>
          <w:p w14:paraId="7D9F1896" w14:textId="77777777" w:rsidR="006305F1" w:rsidRDefault="006305F1">
            <w:pPr>
              <w:pStyle w:val="Tablecontent"/>
              <w:jc w:val="center"/>
            </w:pPr>
            <w:r>
              <w:t>31</w:t>
            </w:r>
          </w:p>
        </w:tc>
        <w:tc>
          <w:tcPr>
            <w:tcW w:w="599" w:type="pct"/>
          </w:tcPr>
          <w:p w14:paraId="5B7F3FF5" w14:textId="77777777" w:rsidR="006305F1" w:rsidRDefault="006305F1">
            <w:pPr>
              <w:pStyle w:val="Tablecontent"/>
              <w:jc w:val="center"/>
            </w:pPr>
            <w:r>
              <w:t>81%</w:t>
            </w:r>
          </w:p>
        </w:tc>
        <w:tc>
          <w:tcPr>
            <w:tcW w:w="599" w:type="pct"/>
          </w:tcPr>
          <w:p w14:paraId="3BC57172" w14:textId="77777777" w:rsidR="006305F1" w:rsidRDefault="006305F1">
            <w:pPr>
              <w:pStyle w:val="Tablecontent"/>
              <w:jc w:val="center"/>
            </w:pPr>
            <w:r>
              <w:t>69.5 (10.9)</w:t>
            </w:r>
          </w:p>
        </w:tc>
        <w:tc>
          <w:tcPr>
            <w:tcW w:w="523" w:type="pct"/>
          </w:tcPr>
          <w:p w14:paraId="209DFB48" w14:textId="77777777" w:rsidR="006305F1" w:rsidRDefault="006305F1">
            <w:pPr>
              <w:pStyle w:val="Tablecontent"/>
              <w:jc w:val="center"/>
            </w:pPr>
            <w:r>
              <w:t>29%</w:t>
            </w:r>
          </w:p>
        </w:tc>
        <w:tc>
          <w:tcPr>
            <w:tcW w:w="651" w:type="pct"/>
          </w:tcPr>
          <w:p w14:paraId="67BDBCF7" w14:textId="77777777" w:rsidR="006305F1" w:rsidRDefault="006305F1">
            <w:pPr>
              <w:pStyle w:val="Tablecontent"/>
              <w:jc w:val="center"/>
            </w:pPr>
            <w:r>
              <w:t>3.0 (1.2)</w:t>
            </w:r>
          </w:p>
        </w:tc>
        <w:tc>
          <w:tcPr>
            <w:tcW w:w="753" w:type="pct"/>
          </w:tcPr>
          <w:p w14:paraId="75073854" w14:textId="77777777" w:rsidR="006305F1" w:rsidRDefault="006305F1">
            <w:pPr>
              <w:pStyle w:val="Tablecontent"/>
              <w:jc w:val="center"/>
            </w:pPr>
            <w:r>
              <w:t>24.6 (3.7)</w:t>
            </w:r>
          </w:p>
        </w:tc>
      </w:tr>
      <w:tr w:rsidR="006305F1" w14:paraId="789951B9" w14:textId="77777777" w:rsidTr="00617190">
        <w:trPr>
          <w:trHeight w:val="304"/>
        </w:trPr>
        <w:tc>
          <w:tcPr>
            <w:tcW w:w="522" w:type="pct"/>
          </w:tcPr>
          <w:p w14:paraId="3C42770B" w14:textId="77777777" w:rsidR="006305F1" w:rsidRPr="00C37C34" w:rsidRDefault="006305F1">
            <w:pPr>
              <w:pStyle w:val="Tablecontent"/>
            </w:pPr>
            <w:r w:rsidRPr="00C37C34">
              <w:t>STAR-III</w:t>
            </w:r>
          </w:p>
        </w:tc>
        <w:tc>
          <w:tcPr>
            <w:tcW w:w="831" w:type="pct"/>
          </w:tcPr>
          <w:p w14:paraId="5CDDB344" w14:textId="77777777" w:rsidR="006305F1" w:rsidRPr="00C37C34" w:rsidRDefault="006305F1">
            <w:pPr>
              <w:pStyle w:val="Tablecontent"/>
            </w:pPr>
            <w:r w:rsidRPr="00C37C34">
              <w:t>(Data on file)</w:t>
            </w:r>
          </w:p>
        </w:tc>
        <w:tc>
          <w:tcPr>
            <w:tcW w:w="522" w:type="pct"/>
          </w:tcPr>
          <w:p w14:paraId="4033227A" w14:textId="77777777" w:rsidR="006305F1" w:rsidRPr="00C37C34" w:rsidRDefault="006305F1">
            <w:pPr>
              <w:pStyle w:val="Tablecontent"/>
              <w:jc w:val="center"/>
            </w:pPr>
            <w:r w:rsidRPr="00C37C34">
              <w:t>24</w:t>
            </w:r>
          </w:p>
        </w:tc>
        <w:tc>
          <w:tcPr>
            <w:tcW w:w="599" w:type="pct"/>
          </w:tcPr>
          <w:p w14:paraId="04BE75F2" w14:textId="77777777" w:rsidR="006305F1" w:rsidRPr="00C37C34" w:rsidRDefault="006305F1">
            <w:pPr>
              <w:pStyle w:val="Tablecontent"/>
              <w:jc w:val="center"/>
            </w:pPr>
            <w:r w:rsidRPr="00C37C34">
              <w:t>0%</w:t>
            </w:r>
          </w:p>
        </w:tc>
        <w:tc>
          <w:tcPr>
            <w:tcW w:w="599" w:type="pct"/>
          </w:tcPr>
          <w:p w14:paraId="19BF6D4E" w14:textId="77777777" w:rsidR="006305F1" w:rsidRPr="00C37C34" w:rsidRDefault="006305F1">
            <w:pPr>
              <w:pStyle w:val="Tablecontent"/>
              <w:jc w:val="center"/>
            </w:pPr>
            <w:r w:rsidRPr="00C37C34">
              <w:t>66.5 (6.0)</w:t>
            </w:r>
          </w:p>
        </w:tc>
        <w:tc>
          <w:tcPr>
            <w:tcW w:w="523" w:type="pct"/>
          </w:tcPr>
          <w:p w14:paraId="5FD0F923" w14:textId="77777777" w:rsidR="006305F1" w:rsidRPr="00C37C34" w:rsidRDefault="006305F1">
            <w:pPr>
              <w:pStyle w:val="Tablecontent"/>
              <w:jc w:val="center"/>
            </w:pPr>
            <w:r w:rsidRPr="00C37C34">
              <w:t>64%</w:t>
            </w:r>
          </w:p>
        </w:tc>
        <w:tc>
          <w:tcPr>
            <w:tcW w:w="651" w:type="pct"/>
          </w:tcPr>
          <w:p w14:paraId="6EF2AF92" w14:textId="77777777" w:rsidR="006305F1" w:rsidRPr="00C37C34" w:rsidRDefault="006305F1">
            <w:pPr>
              <w:pStyle w:val="Tablecontent"/>
              <w:jc w:val="center"/>
            </w:pPr>
            <w:r w:rsidRPr="00C37C34">
              <w:t>2.2 (0.9)</w:t>
            </w:r>
          </w:p>
        </w:tc>
        <w:tc>
          <w:tcPr>
            <w:tcW w:w="753" w:type="pct"/>
          </w:tcPr>
          <w:p w14:paraId="6F46578B" w14:textId="77777777" w:rsidR="006305F1" w:rsidRDefault="006305F1">
            <w:pPr>
              <w:pStyle w:val="Tablecontent"/>
              <w:jc w:val="center"/>
            </w:pPr>
            <w:r w:rsidRPr="00C37C34">
              <w:t>23.6 (3.1)</w:t>
            </w:r>
          </w:p>
        </w:tc>
      </w:tr>
      <w:tr w:rsidR="006305F1" w14:paraId="6390A586" w14:textId="77777777" w:rsidTr="00617190">
        <w:trPr>
          <w:trHeight w:val="542"/>
        </w:trPr>
        <w:tc>
          <w:tcPr>
            <w:tcW w:w="522" w:type="pct"/>
            <w:tcBorders>
              <w:bottom w:val="single" w:sz="4" w:space="0" w:color="auto"/>
            </w:tcBorders>
          </w:tcPr>
          <w:p w14:paraId="2CE12B82" w14:textId="77777777" w:rsidR="006305F1" w:rsidRDefault="006305F1">
            <w:pPr>
              <w:pStyle w:val="Tablecontent"/>
            </w:pPr>
            <w:r>
              <w:t>STAR-IV</w:t>
            </w:r>
          </w:p>
        </w:tc>
        <w:tc>
          <w:tcPr>
            <w:tcW w:w="831" w:type="pct"/>
            <w:tcBorders>
              <w:bottom w:val="single" w:sz="4" w:space="0" w:color="auto"/>
            </w:tcBorders>
          </w:tcPr>
          <w:p w14:paraId="554ED319" w14:textId="77777777" w:rsidR="006305F1" w:rsidRDefault="006305F1">
            <w:pPr>
              <w:pStyle w:val="Tablecontent"/>
            </w:pPr>
            <w:r>
              <w:t>(Data on file)</w:t>
            </w:r>
          </w:p>
        </w:tc>
        <w:tc>
          <w:tcPr>
            <w:tcW w:w="522" w:type="pct"/>
            <w:tcBorders>
              <w:bottom w:val="single" w:sz="4" w:space="0" w:color="auto"/>
            </w:tcBorders>
          </w:tcPr>
          <w:p w14:paraId="4C053AC0" w14:textId="77777777" w:rsidR="006305F1" w:rsidRDefault="006305F1">
            <w:pPr>
              <w:pStyle w:val="Tablecontent"/>
              <w:jc w:val="center"/>
            </w:pPr>
            <w:r>
              <w:t>21</w:t>
            </w:r>
          </w:p>
        </w:tc>
        <w:tc>
          <w:tcPr>
            <w:tcW w:w="599" w:type="pct"/>
            <w:tcBorders>
              <w:bottom w:val="single" w:sz="4" w:space="0" w:color="auto"/>
            </w:tcBorders>
          </w:tcPr>
          <w:p w14:paraId="7FABBB53" w14:textId="77777777" w:rsidR="006305F1" w:rsidRDefault="006305F1">
            <w:pPr>
              <w:pStyle w:val="Tablecontent"/>
              <w:jc w:val="center"/>
            </w:pPr>
            <w:r>
              <w:t>0%</w:t>
            </w:r>
          </w:p>
        </w:tc>
        <w:tc>
          <w:tcPr>
            <w:tcW w:w="599" w:type="pct"/>
            <w:tcBorders>
              <w:bottom w:val="single" w:sz="4" w:space="0" w:color="auto"/>
            </w:tcBorders>
          </w:tcPr>
          <w:p w14:paraId="7A3E6EB6" w14:textId="77777777" w:rsidR="006305F1" w:rsidRDefault="006305F1">
            <w:pPr>
              <w:pStyle w:val="Tablecontent"/>
              <w:jc w:val="center"/>
            </w:pPr>
            <w:r>
              <w:t>61.3</w:t>
            </w:r>
          </w:p>
        </w:tc>
        <w:tc>
          <w:tcPr>
            <w:tcW w:w="523" w:type="pct"/>
            <w:tcBorders>
              <w:bottom w:val="single" w:sz="4" w:space="0" w:color="auto"/>
            </w:tcBorders>
          </w:tcPr>
          <w:p w14:paraId="482A3D38" w14:textId="77777777" w:rsidR="006305F1" w:rsidRDefault="006305F1">
            <w:pPr>
              <w:pStyle w:val="Tablecontent"/>
              <w:jc w:val="center"/>
            </w:pPr>
            <w:r>
              <w:t>57%</w:t>
            </w:r>
          </w:p>
        </w:tc>
        <w:tc>
          <w:tcPr>
            <w:tcW w:w="651" w:type="pct"/>
            <w:tcBorders>
              <w:bottom w:val="single" w:sz="4" w:space="0" w:color="auto"/>
            </w:tcBorders>
          </w:tcPr>
          <w:p w14:paraId="177B65FD" w14:textId="77777777" w:rsidR="006305F1" w:rsidRDefault="006305F1">
            <w:pPr>
              <w:pStyle w:val="Tablecontent"/>
              <w:jc w:val="center"/>
            </w:pPr>
            <w:r>
              <w:t>2.5 (1.1)</w:t>
            </w:r>
          </w:p>
        </w:tc>
        <w:tc>
          <w:tcPr>
            <w:tcW w:w="753" w:type="pct"/>
            <w:tcBorders>
              <w:bottom w:val="single" w:sz="4" w:space="0" w:color="auto"/>
            </w:tcBorders>
          </w:tcPr>
          <w:p w14:paraId="740449D0" w14:textId="77777777" w:rsidR="006305F1" w:rsidRDefault="006305F1">
            <w:pPr>
              <w:pStyle w:val="Tablecontent"/>
              <w:jc w:val="center"/>
            </w:pPr>
            <w:r>
              <w:t>24.3 (3.2)</w:t>
            </w:r>
          </w:p>
        </w:tc>
      </w:tr>
      <w:tr w:rsidR="00214C41" w:rsidRPr="009244FF" w14:paraId="621E5DD8" w14:textId="77777777" w:rsidTr="00617190">
        <w:trPr>
          <w:trHeight w:val="304"/>
        </w:trPr>
        <w:tc>
          <w:tcPr>
            <w:tcW w:w="5000" w:type="pct"/>
            <w:gridSpan w:val="8"/>
            <w:shd w:val="clear" w:color="auto" w:fill="FFFFFF" w:themeFill="background1"/>
            <w:vAlign w:val="center"/>
          </w:tcPr>
          <w:p w14:paraId="5C952E4E" w14:textId="055E8884" w:rsidR="00214C41" w:rsidRPr="009244FF" w:rsidRDefault="00214C41" w:rsidP="00214C41">
            <w:pPr>
              <w:pStyle w:val="Tablecontent"/>
              <w:rPr>
                <w:b/>
                <w:bCs/>
              </w:rPr>
            </w:pPr>
            <w:proofErr w:type="spellStart"/>
            <w:r w:rsidRPr="009244FF">
              <w:rPr>
                <w:b/>
                <w:bCs/>
              </w:rPr>
              <w:t>iStent</w:t>
            </w:r>
            <w:proofErr w:type="spellEnd"/>
          </w:p>
        </w:tc>
      </w:tr>
      <w:tr w:rsidR="006305F1" w14:paraId="65E4203E" w14:textId="77777777" w:rsidTr="00617190">
        <w:trPr>
          <w:trHeight w:val="304"/>
        </w:trPr>
        <w:tc>
          <w:tcPr>
            <w:tcW w:w="522" w:type="pct"/>
          </w:tcPr>
          <w:p w14:paraId="42031CCF" w14:textId="77777777" w:rsidR="006305F1" w:rsidRDefault="006305F1">
            <w:pPr>
              <w:pStyle w:val="Tablecontent"/>
            </w:pPr>
            <w:r w:rsidRPr="006846FE">
              <w:t>1</w:t>
            </w:r>
          </w:p>
        </w:tc>
        <w:tc>
          <w:tcPr>
            <w:tcW w:w="831" w:type="pct"/>
          </w:tcPr>
          <w:p w14:paraId="0C74F5E9" w14:textId="60339443" w:rsidR="006305F1" w:rsidRDefault="00162296">
            <w:pPr>
              <w:pStyle w:val="Tablecontent"/>
            </w:pPr>
            <w:proofErr w:type="spellStart"/>
            <w:r>
              <w:rPr>
                <w:bCs/>
              </w:rPr>
              <w:t>Voskanyan</w:t>
            </w:r>
            <w:proofErr w:type="spellEnd"/>
            <w:r>
              <w:rPr>
                <w:bCs/>
              </w:rPr>
              <w:t xml:space="preserve"> 2014</w:t>
            </w:r>
          </w:p>
        </w:tc>
        <w:tc>
          <w:tcPr>
            <w:tcW w:w="522" w:type="pct"/>
          </w:tcPr>
          <w:p w14:paraId="7E0AB4C5" w14:textId="77777777" w:rsidR="006305F1" w:rsidRDefault="006305F1">
            <w:pPr>
              <w:pStyle w:val="Tablecontent"/>
              <w:jc w:val="center"/>
            </w:pPr>
            <w:r>
              <w:t>99</w:t>
            </w:r>
          </w:p>
        </w:tc>
        <w:tc>
          <w:tcPr>
            <w:tcW w:w="599" w:type="pct"/>
          </w:tcPr>
          <w:p w14:paraId="7BC5F48E" w14:textId="77777777" w:rsidR="006305F1" w:rsidRDefault="006305F1">
            <w:pPr>
              <w:pStyle w:val="Tablecontent"/>
              <w:jc w:val="center"/>
            </w:pPr>
            <w:r>
              <w:t>96%</w:t>
            </w:r>
          </w:p>
        </w:tc>
        <w:tc>
          <w:tcPr>
            <w:tcW w:w="599" w:type="pct"/>
          </w:tcPr>
          <w:p w14:paraId="7443E9B0" w14:textId="77777777" w:rsidR="006305F1" w:rsidRDefault="006305F1">
            <w:pPr>
              <w:pStyle w:val="Tablecontent"/>
              <w:jc w:val="center"/>
            </w:pPr>
            <w:r>
              <w:t>66.4 (10.9)</w:t>
            </w:r>
          </w:p>
        </w:tc>
        <w:tc>
          <w:tcPr>
            <w:tcW w:w="523" w:type="pct"/>
          </w:tcPr>
          <w:p w14:paraId="6C68F9C0" w14:textId="77777777" w:rsidR="006305F1" w:rsidRDefault="006305F1">
            <w:pPr>
              <w:pStyle w:val="Tablecontent"/>
              <w:jc w:val="center"/>
            </w:pPr>
            <w:r>
              <w:t>43%</w:t>
            </w:r>
          </w:p>
        </w:tc>
        <w:tc>
          <w:tcPr>
            <w:tcW w:w="651" w:type="pct"/>
          </w:tcPr>
          <w:p w14:paraId="12421B7C" w14:textId="77777777" w:rsidR="006305F1" w:rsidRDefault="006305F1">
            <w:pPr>
              <w:pStyle w:val="Tablecontent"/>
              <w:jc w:val="center"/>
            </w:pPr>
            <w:r>
              <w:t>2.21 (0.44)</w:t>
            </w:r>
          </w:p>
        </w:tc>
        <w:tc>
          <w:tcPr>
            <w:tcW w:w="753" w:type="pct"/>
          </w:tcPr>
          <w:p w14:paraId="0D252AB5" w14:textId="77777777" w:rsidR="006305F1" w:rsidRPr="00314523" w:rsidRDefault="006305F1">
            <w:pPr>
              <w:pStyle w:val="Tablecontent"/>
              <w:jc w:val="center"/>
            </w:pPr>
            <w:r w:rsidRPr="00314523">
              <w:t>22.1 (3.3)</w:t>
            </w:r>
          </w:p>
        </w:tc>
      </w:tr>
      <w:tr w:rsidR="00162296" w14:paraId="6B17245E" w14:textId="77777777" w:rsidTr="00617190">
        <w:trPr>
          <w:trHeight w:val="542"/>
        </w:trPr>
        <w:tc>
          <w:tcPr>
            <w:tcW w:w="522" w:type="pct"/>
          </w:tcPr>
          <w:p w14:paraId="7BB5D717" w14:textId="77777777" w:rsidR="00162296" w:rsidRDefault="00162296" w:rsidP="00162296">
            <w:pPr>
              <w:pStyle w:val="Tablecontent"/>
            </w:pPr>
            <w:r w:rsidRPr="006846FE">
              <w:t>2</w:t>
            </w:r>
          </w:p>
        </w:tc>
        <w:tc>
          <w:tcPr>
            <w:tcW w:w="831" w:type="pct"/>
          </w:tcPr>
          <w:p w14:paraId="0A099521" w14:textId="65218ECA" w:rsidR="00162296" w:rsidRDefault="00162296" w:rsidP="00162296">
            <w:pPr>
              <w:pStyle w:val="Tablecontent"/>
            </w:pPr>
            <w:proofErr w:type="spellStart"/>
            <w:r>
              <w:rPr>
                <w:bCs/>
              </w:rPr>
              <w:t>Hengerer</w:t>
            </w:r>
            <w:proofErr w:type="spellEnd"/>
            <w:r>
              <w:rPr>
                <w:bCs/>
              </w:rPr>
              <w:t xml:space="preserve"> 2019; </w:t>
            </w:r>
            <w:proofErr w:type="spellStart"/>
            <w:r>
              <w:rPr>
                <w:bCs/>
              </w:rPr>
              <w:t>Hengerer</w:t>
            </w:r>
            <w:proofErr w:type="spellEnd"/>
            <w:r>
              <w:rPr>
                <w:bCs/>
              </w:rPr>
              <w:t xml:space="preserve"> 2022</w:t>
            </w:r>
          </w:p>
        </w:tc>
        <w:tc>
          <w:tcPr>
            <w:tcW w:w="522" w:type="pct"/>
          </w:tcPr>
          <w:p w14:paraId="2CAACB90" w14:textId="468D92FD" w:rsidR="00162296" w:rsidRDefault="00162296" w:rsidP="00162296">
            <w:pPr>
              <w:pStyle w:val="Tablecontent"/>
              <w:jc w:val="center"/>
            </w:pPr>
            <w:r>
              <w:t>(44)</w:t>
            </w:r>
          </w:p>
        </w:tc>
        <w:tc>
          <w:tcPr>
            <w:tcW w:w="599" w:type="pct"/>
          </w:tcPr>
          <w:p w14:paraId="2F500C1C" w14:textId="77777777" w:rsidR="00162296" w:rsidRDefault="00162296" w:rsidP="00162296">
            <w:pPr>
              <w:pStyle w:val="Tablecontent"/>
              <w:jc w:val="center"/>
            </w:pPr>
            <w:r>
              <w:t>100%</w:t>
            </w:r>
          </w:p>
        </w:tc>
        <w:tc>
          <w:tcPr>
            <w:tcW w:w="599" w:type="pct"/>
          </w:tcPr>
          <w:p w14:paraId="2CED5BE0" w14:textId="77777777" w:rsidR="00162296" w:rsidRDefault="00162296" w:rsidP="00162296">
            <w:pPr>
              <w:pStyle w:val="Tablecontent"/>
              <w:jc w:val="center"/>
            </w:pPr>
            <w:r>
              <w:t>71.3 (10.5)</w:t>
            </w:r>
          </w:p>
        </w:tc>
        <w:tc>
          <w:tcPr>
            <w:tcW w:w="523" w:type="pct"/>
          </w:tcPr>
          <w:p w14:paraId="28EA61B7" w14:textId="77777777" w:rsidR="00162296" w:rsidRDefault="00162296" w:rsidP="00162296">
            <w:pPr>
              <w:pStyle w:val="Tablecontent"/>
              <w:jc w:val="center"/>
            </w:pPr>
            <w:r>
              <w:t>52%</w:t>
            </w:r>
          </w:p>
        </w:tc>
        <w:tc>
          <w:tcPr>
            <w:tcW w:w="651" w:type="pct"/>
          </w:tcPr>
          <w:p w14:paraId="42B36BF1" w14:textId="77777777" w:rsidR="00162296" w:rsidRDefault="00162296" w:rsidP="00162296">
            <w:pPr>
              <w:pStyle w:val="Tablecontent"/>
              <w:jc w:val="center"/>
            </w:pPr>
            <w:r>
              <w:t>2.98 (0.88)</w:t>
            </w:r>
          </w:p>
        </w:tc>
        <w:tc>
          <w:tcPr>
            <w:tcW w:w="753" w:type="pct"/>
          </w:tcPr>
          <w:p w14:paraId="7840DACF" w14:textId="77777777" w:rsidR="00162296" w:rsidRPr="00314523" w:rsidRDefault="00162296" w:rsidP="00162296">
            <w:pPr>
              <w:pStyle w:val="Tablecontent"/>
              <w:jc w:val="center"/>
            </w:pPr>
            <w:r w:rsidRPr="00314523">
              <w:t>25.3 (6.0)</w:t>
            </w:r>
          </w:p>
        </w:tc>
      </w:tr>
      <w:tr w:rsidR="00162296" w14:paraId="3401262B" w14:textId="77777777" w:rsidTr="00617190">
        <w:trPr>
          <w:trHeight w:val="304"/>
        </w:trPr>
        <w:tc>
          <w:tcPr>
            <w:tcW w:w="522" w:type="pct"/>
          </w:tcPr>
          <w:p w14:paraId="71DB1D03" w14:textId="77777777" w:rsidR="00162296" w:rsidRDefault="00162296" w:rsidP="00162296">
            <w:pPr>
              <w:pStyle w:val="Tablecontent"/>
            </w:pPr>
            <w:r w:rsidRPr="006846FE">
              <w:t>3</w:t>
            </w:r>
          </w:p>
        </w:tc>
        <w:tc>
          <w:tcPr>
            <w:tcW w:w="831" w:type="pct"/>
          </w:tcPr>
          <w:p w14:paraId="7DF4E775" w14:textId="536FC6C1" w:rsidR="00162296" w:rsidRDefault="00162296" w:rsidP="00162296">
            <w:pPr>
              <w:pStyle w:val="Tablecontent"/>
            </w:pPr>
            <w:r>
              <w:rPr>
                <w:bCs/>
              </w:rPr>
              <w:t>Lindstrom 2020</w:t>
            </w:r>
          </w:p>
        </w:tc>
        <w:tc>
          <w:tcPr>
            <w:tcW w:w="522" w:type="pct"/>
          </w:tcPr>
          <w:p w14:paraId="37607EF2" w14:textId="77777777" w:rsidR="00162296" w:rsidRDefault="00162296" w:rsidP="00162296">
            <w:pPr>
              <w:pStyle w:val="Tablecontent"/>
              <w:jc w:val="center"/>
            </w:pPr>
            <w:r>
              <w:t>57</w:t>
            </w:r>
          </w:p>
        </w:tc>
        <w:tc>
          <w:tcPr>
            <w:tcW w:w="599" w:type="pct"/>
          </w:tcPr>
          <w:p w14:paraId="0BF2E51B" w14:textId="77777777" w:rsidR="00162296" w:rsidRDefault="00162296" w:rsidP="00162296">
            <w:pPr>
              <w:pStyle w:val="Tablecontent"/>
              <w:jc w:val="center"/>
            </w:pPr>
            <w:r>
              <w:t>100%</w:t>
            </w:r>
          </w:p>
        </w:tc>
        <w:tc>
          <w:tcPr>
            <w:tcW w:w="599" w:type="pct"/>
          </w:tcPr>
          <w:p w14:paraId="004BF276" w14:textId="77777777" w:rsidR="00162296" w:rsidRDefault="00162296" w:rsidP="00162296">
            <w:pPr>
              <w:pStyle w:val="Tablecontent"/>
              <w:jc w:val="center"/>
            </w:pPr>
            <w:r>
              <w:t>65.3 (9.0)</w:t>
            </w:r>
          </w:p>
        </w:tc>
        <w:tc>
          <w:tcPr>
            <w:tcW w:w="523" w:type="pct"/>
          </w:tcPr>
          <w:p w14:paraId="7CA14E70" w14:textId="77777777" w:rsidR="00162296" w:rsidRDefault="00162296" w:rsidP="00162296">
            <w:pPr>
              <w:pStyle w:val="Tablecontent"/>
              <w:jc w:val="center"/>
            </w:pPr>
            <w:r>
              <w:t>53%</w:t>
            </w:r>
          </w:p>
        </w:tc>
        <w:tc>
          <w:tcPr>
            <w:tcW w:w="651" w:type="pct"/>
          </w:tcPr>
          <w:p w14:paraId="534B1A05" w14:textId="77777777" w:rsidR="00162296" w:rsidRDefault="00162296" w:rsidP="00162296">
            <w:pPr>
              <w:pStyle w:val="Tablecontent"/>
              <w:jc w:val="center"/>
            </w:pPr>
            <w:r>
              <w:t>1 (0)</w:t>
            </w:r>
          </w:p>
        </w:tc>
        <w:tc>
          <w:tcPr>
            <w:tcW w:w="753" w:type="pct"/>
          </w:tcPr>
          <w:p w14:paraId="0332194C" w14:textId="77777777" w:rsidR="00162296" w:rsidRDefault="00162296" w:rsidP="00162296">
            <w:pPr>
              <w:pStyle w:val="Tablecontent"/>
              <w:jc w:val="center"/>
            </w:pPr>
            <w:r>
              <w:t>19.5 (1.5)</w:t>
            </w:r>
          </w:p>
        </w:tc>
      </w:tr>
      <w:tr w:rsidR="00162296" w14:paraId="13483142" w14:textId="77777777" w:rsidTr="00617190">
        <w:trPr>
          <w:trHeight w:val="542"/>
        </w:trPr>
        <w:tc>
          <w:tcPr>
            <w:tcW w:w="522" w:type="pct"/>
          </w:tcPr>
          <w:p w14:paraId="2B2203E2" w14:textId="77777777" w:rsidR="00162296" w:rsidRDefault="00162296" w:rsidP="00162296">
            <w:pPr>
              <w:pStyle w:val="Tablecontent"/>
            </w:pPr>
            <w:r w:rsidRPr="006846FE">
              <w:t>4</w:t>
            </w:r>
          </w:p>
        </w:tc>
        <w:tc>
          <w:tcPr>
            <w:tcW w:w="831" w:type="pct"/>
          </w:tcPr>
          <w:p w14:paraId="52FBD1C9" w14:textId="0228BF1F" w:rsidR="00162296" w:rsidRDefault="00162296" w:rsidP="00162296">
            <w:pPr>
              <w:pStyle w:val="Tablecontent"/>
            </w:pPr>
            <w:proofErr w:type="spellStart"/>
            <w:r>
              <w:rPr>
                <w:bCs/>
              </w:rPr>
              <w:t>Arnlijots</w:t>
            </w:r>
            <w:proofErr w:type="spellEnd"/>
            <w:r>
              <w:rPr>
                <w:bCs/>
              </w:rPr>
              <w:t xml:space="preserve"> 2021</w:t>
            </w:r>
          </w:p>
        </w:tc>
        <w:tc>
          <w:tcPr>
            <w:tcW w:w="522" w:type="pct"/>
          </w:tcPr>
          <w:p w14:paraId="21AC004F" w14:textId="77777777" w:rsidR="00162296" w:rsidRDefault="00162296" w:rsidP="00162296">
            <w:pPr>
              <w:pStyle w:val="Tablecontent"/>
              <w:jc w:val="center"/>
            </w:pPr>
            <w:r>
              <w:t>14</w:t>
            </w:r>
          </w:p>
        </w:tc>
        <w:tc>
          <w:tcPr>
            <w:tcW w:w="599" w:type="pct"/>
          </w:tcPr>
          <w:p w14:paraId="5E94ACF1" w14:textId="77777777" w:rsidR="00162296" w:rsidRDefault="00162296" w:rsidP="00162296">
            <w:pPr>
              <w:pStyle w:val="Tablecontent"/>
              <w:jc w:val="center"/>
            </w:pPr>
            <w:r>
              <w:t>NR (conducted in Sweden)</w:t>
            </w:r>
          </w:p>
        </w:tc>
        <w:tc>
          <w:tcPr>
            <w:tcW w:w="599" w:type="pct"/>
          </w:tcPr>
          <w:p w14:paraId="08BB7604" w14:textId="77777777" w:rsidR="00162296" w:rsidRDefault="00162296" w:rsidP="00162296">
            <w:pPr>
              <w:pStyle w:val="Tablecontent"/>
              <w:jc w:val="center"/>
            </w:pPr>
            <w:r>
              <w:t>72.0 (12.1)</w:t>
            </w:r>
          </w:p>
        </w:tc>
        <w:tc>
          <w:tcPr>
            <w:tcW w:w="523" w:type="pct"/>
          </w:tcPr>
          <w:p w14:paraId="1AAB307A" w14:textId="77777777" w:rsidR="00162296" w:rsidRDefault="00162296" w:rsidP="00162296">
            <w:pPr>
              <w:pStyle w:val="Tablecontent"/>
              <w:jc w:val="center"/>
            </w:pPr>
            <w:r>
              <w:t>46%</w:t>
            </w:r>
          </w:p>
        </w:tc>
        <w:tc>
          <w:tcPr>
            <w:tcW w:w="651" w:type="pct"/>
          </w:tcPr>
          <w:p w14:paraId="346F7490" w14:textId="77777777" w:rsidR="00162296" w:rsidRDefault="00162296" w:rsidP="00162296">
            <w:pPr>
              <w:pStyle w:val="Tablecontent"/>
              <w:jc w:val="center"/>
            </w:pPr>
            <w:r>
              <w:t>3.0 (1.1)</w:t>
            </w:r>
          </w:p>
        </w:tc>
        <w:tc>
          <w:tcPr>
            <w:tcW w:w="753" w:type="pct"/>
          </w:tcPr>
          <w:p w14:paraId="32D793A7" w14:textId="77777777" w:rsidR="00162296" w:rsidRDefault="00162296" w:rsidP="00162296">
            <w:pPr>
              <w:pStyle w:val="Tablecontent"/>
              <w:jc w:val="center"/>
            </w:pPr>
            <w:r>
              <w:t>20.6 (6.4)</w:t>
            </w:r>
          </w:p>
        </w:tc>
      </w:tr>
      <w:tr w:rsidR="00162296" w14:paraId="0EF435F5" w14:textId="77777777" w:rsidTr="00617190">
        <w:trPr>
          <w:trHeight w:val="542"/>
        </w:trPr>
        <w:tc>
          <w:tcPr>
            <w:tcW w:w="522" w:type="pct"/>
          </w:tcPr>
          <w:p w14:paraId="53965E4F" w14:textId="77777777" w:rsidR="00162296" w:rsidRDefault="00162296" w:rsidP="00162296">
            <w:pPr>
              <w:pStyle w:val="Tablecontent"/>
            </w:pPr>
            <w:r w:rsidRPr="006846FE">
              <w:t>5</w:t>
            </w:r>
          </w:p>
        </w:tc>
        <w:tc>
          <w:tcPr>
            <w:tcW w:w="831" w:type="pct"/>
          </w:tcPr>
          <w:p w14:paraId="4AACD26B" w14:textId="7038B60A" w:rsidR="00162296" w:rsidRDefault="00162296" w:rsidP="00162296">
            <w:pPr>
              <w:pStyle w:val="Tablecontent"/>
            </w:pPr>
            <w:proofErr w:type="spellStart"/>
            <w:r>
              <w:rPr>
                <w:bCs/>
              </w:rPr>
              <w:t>Pahlitzsch</w:t>
            </w:r>
            <w:proofErr w:type="spellEnd"/>
            <w:r>
              <w:rPr>
                <w:bCs/>
              </w:rPr>
              <w:t xml:space="preserve"> 2021</w:t>
            </w:r>
          </w:p>
        </w:tc>
        <w:tc>
          <w:tcPr>
            <w:tcW w:w="522" w:type="pct"/>
          </w:tcPr>
          <w:p w14:paraId="631124EA" w14:textId="77777777" w:rsidR="00162296" w:rsidRDefault="00162296" w:rsidP="00162296">
            <w:pPr>
              <w:pStyle w:val="Tablecontent"/>
              <w:jc w:val="center"/>
            </w:pPr>
            <w:r>
              <w:t>66</w:t>
            </w:r>
          </w:p>
        </w:tc>
        <w:tc>
          <w:tcPr>
            <w:tcW w:w="599" w:type="pct"/>
          </w:tcPr>
          <w:p w14:paraId="23C2213E" w14:textId="77777777" w:rsidR="00162296" w:rsidRDefault="00162296" w:rsidP="00162296">
            <w:pPr>
              <w:pStyle w:val="Tablecontent"/>
              <w:jc w:val="center"/>
            </w:pPr>
            <w:r>
              <w:t>NR (conducted in Germany)</w:t>
            </w:r>
          </w:p>
        </w:tc>
        <w:tc>
          <w:tcPr>
            <w:tcW w:w="599" w:type="pct"/>
          </w:tcPr>
          <w:p w14:paraId="69820124" w14:textId="77777777" w:rsidR="00162296" w:rsidRDefault="00162296" w:rsidP="00162296">
            <w:pPr>
              <w:pStyle w:val="Tablecontent"/>
              <w:jc w:val="center"/>
            </w:pPr>
            <w:r>
              <w:t>76.0 (8.9)</w:t>
            </w:r>
          </w:p>
        </w:tc>
        <w:tc>
          <w:tcPr>
            <w:tcW w:w="523" w:type="pct"/>
          </w:tcPr>
          <w:p w14:paraId="3B72B611" w14:textId="77777777" w:rsidR="00162296" w:rsidRDefault="00162296" w:rsidP="00162296">
            <w:pPr>
              <w:pStyle w:val="Tablecontent"/>
              <w:jc w:val="center"/>
            </w:pPr>
            <w:r>
              <w:t>47%</w:t>
            </w:r>
          </w:p>
        </w:tc>
        <w:tc>
          <w:tcPr>
            <w:tcW w:w="651" w:type="pct"/>
          </w:tcPr>
          <w:p w14:paraId="3ABF8AE9" w14:textId="77777777" w:rsidR="00162296" w:rsidRDefault="00162296" w:rsidP="00162296">
            <w:pPr>
              <w:pStyle w:val="Tablecontent"/>
              <w:jc w:val="center"/>
            </w:pPr>
            <w:r>
              <w:t>2.2 (1.2)</w:t>
            </w:r>
          </w:p>
        </w:tc>
        <w:tc>
          <w:tcPr>
            <w:tcW w:w="753" w:type="pct"/>
          </w:tcPr>
          <w:p w14:paraId="6140D33A" w14:textId="77777777" w:rsidR="00162296" w:rsidRDefault="00162296" w:rsidP="00162296">
            <w:pPr>
              <w:pStyle w:val="Tablecontent"/>
              <w:jc w:val="center"/>
            </w:pPr>
            <w:r>
              <w:t>19.5 (2.0)</w:t>
            </w:r>
          </w:p>
        </w:tc>
      </w:tr>
      <w:tr w:rsidR="00162296" w14:paraId="7E1D2D1D" w14:textId="77777777" w:rsidTr="00617190">
        <w:trPr>
          <w:trHeight w:val="762"/>
        </w:trPr>
        <w:tc>
          <w:tcPr>
            <w:tcW w:w="522" w:type="pct"/>
          </w:tcPr>
          <w:p w14:paraId="49C6C255" w14:textId="77777777" w:rsidR="00162296" w:rsidRDefault="00162296" w:rsidP="00162296">
            <w:pPr>
              <w:pStyle w:val="Tablecontent"/>
            </w:pPr>
            <w:r w:rsidRPr="006846FE">
              <w:t>6</w:t>
            </w:r>
          </w:p>
        </w:tc>
        <w:tc>
          <w:tcPr>
            <w:tcW w:w="831" w:type="pct"/>
          </w:tcPr>
          <w:p w14:paraId="691A17E9" w14:textId="4AAC9D2A" w:rsidR="00162296" w:rsidRDefault="00162296" w:rsidP="00162296">
            <w:pPr>
              <w:pStyle w:val="Tablecontent"/>
            </w:pPr>
            <w:r>
              <w:rPr>
                <w:bCs/>
              </w:rPr>
              <w:t>Katz 2018</w:t>
            </w:r>
          </w:p>
        </w:tc>
        <w:tc>
          <w:tcPr>
            <w:tcW w:w="522" w:type="pct"/>
          </w:tcPr>
          <w:p w14:paraId="2914281A" w14:textId="77777777" w:rsidR="00162296" w:rsidRDefault="00162296" w:rsidP="00162296">
            <w:pPr>
              <w:pStyle w:val="Tablecontent"/>
              <w:jc w:val="center"/>
            </w:pPr>
            <w:r>
              <w:t>41</w:t>
            </w:r>
          </w:p>
        </w:tc>
        <w:tc>
          <w:tcPr>
            <w:tcW w:w="599" w:type="pct"/>
          </w:tcPr>
          <w:p w14:paraId="05533ADA" w14:textId="77777777" w:rsidR="00162296" w:rsidRDefault="00162296" w:rsidP="00162296">
            <w:pPr>
              <w:pStyle w:val="Tablecontent"/>
              <w:jc w:val="center"/>
            </w:pPr>
            <w:r>
              <w:t>NR (conducted in US, Italy, Germany, Spain)</w:t>
            </w:r>
          </w:p>
        </w:tc>
        <w:tc>
          <w:tcPr>
            <w:tcW w:w="599" w:type="pct"/>
          </w:tcPr>
          <w:p w14:paraId="650562A8" w14:textId="77777777" w:rsidR="00162296" w:rsidRDefault="00162296" w:rsidP="00162296">
            <w:pPr>
              <w:pStyle w:val="Tablecontent"/>
              <w:jc w:val="center"/>
            </w:pPr>
            <w:r>
              <w:t>NR</w:t>
            </w:r>
          </w:p>
        </w:tc>
        <w:tc>
          <w:tcPr>
            <w:tcW w:w="523" w:type="pct"/>
          </w:tcPr>
          <w:p w14:paraId="1AA6C058" w14:textId="77777777" w:rsidR="00162296" w:rsidRDefault="00162296" w:rsidP="00162296">
            <w:pPr>
              <w:pStyle w:val="Tablecontent"/>
              <w:jc w:val="center"/>
            </w:pPr>
            <w:r>
              <w:t>NR</w:t>
            </w:r>
          </w:p>
        </w:tc>
        <w:tc>
          <w:tcPr>
            <w:tcW w:w="651" w:type="pct"/>
          </w:tcPr>
          <w:p w14:paraId="0A2DA65F" w14:textId="77777777" w:rsidR="00162296" w:rsidRDefault="00162296" w:rsidP="00162296">
            <w:pPr>
              <w:pStyle w:val="Tablecontent"/>
              <w:jc w:val="center"/>
            </w:pPr>
            <w:r>
              <w:t>1.76 (NR)</w:t>
            </w:r>
          </w:p>
        </w:tc>
        <w:tc>
          <w:tcPr>
            <w:tcW w:w="753" w:type="pct"/>
          </w:tcPr>
          <w:p w14:paraId="1454390C" w14:textId="77777777" w:rsidR="00162296" w:rsidRDefault="00162296" w:rsidP="00162296">
            <w:pPr>
              <w:pStyle w:val="Tablecontent"/>
              <w:jc w:val="center"/>
            </w:pPr>
            <w:r>
              <w:t>20.1 (1.6)</w:t>
            </w:r>
          </w:p>
        </w:tc>
      </w:tr>
      <w:tr w:rsidR="00162296" w14:paraId="03129934" w14:textId="77777777" w:rsidTr="00617190">
        <w:trPr>
          <w:trHeight w:val="70"/>
        </w:trPr>
        <w:tc>
          <w:tcPr>
            <w:tcW w:w="522" w:type="pct"/>
          </w:tcPr>
          <w:p w14:paraId="4058B4BC" w14:textId="77777777" w:rsidR="00162296" w:rsidRDefault="00162296" w:rsidP="00162296">
            <w:pPr>
              <w:pStyle w:val="Tablecontent"/>
            </w:pPr>
            <w:r w:rsidRPr="006846FE">
              <w:t>7</w:t>
            </w:r>
          </w:p>
        </w:tc>
        <w:tc>
          <w:tcPr>
            <w:tcW w:w="831" w:type="pct"/>
          </w:tcPr>
          <w:p w14:paraId="261A6C3C" w14:textId="5B1624A8" w:rsidR="00162296" w:rsidRDefault="00162296" w:rsidP="00162296">
            <w:pPr>
              <w:pStyle w:val="Tablecontent"/>
            </w:pPr>
            <w:r>
              <w:rPr>
                <w:bCs/>
              </w:rPr>
              <w:t>Ahmed 2020</w:t>
            </w:r>
          </w:p>
        </w:tc>
        <w:tc>
          <w:tcPr>
            <w:tcW w:w="522" w:type="pct"/>
          </w:tcPr>
          <w:p w14:paraId="5EB70EC4" w14:textId="77777777" w:rsidR="00162296" w:rsidRDefault="00162296" w:rsidP="00162296">
            <w:pPr>
              <w:pStyle w:val="Tablecontent"/>
              <w:jc w:val="center"/>
            </w:pPr>
            <w:r>
              <w:t>77</w:t>
            </w:r>
          </w:p>
        </w:tc>
        <w:tc>
          <w:tcPr>
            <w:tcW w:w="599" w:type="pct"/>
          </w:tcPr>
          <w:p w14:paraId="2FBE4E4B" w14:textId="77777777" w:rsidR="00162296" w:rsidRDefault="00162296" w:rsidP="00162296">
            <w:pPr>
              <w:pStyle w:val="Tablecontent"/>
              <w:jc w:val="center"/>
            </w:pPr>
            <w:r>
              <w:t>64% European</w:t>
            </w:r>
          </w:p>
        </w:tc>
        <w:tc>
          <w:tcPr>
            <w:tcW w:w="599" w:type="pct"/>
          </w:tcPr>
          <w:p w14:paraId="32CE6BF6" w14:textId="77777777" w:rsidR="00162296" w:rsidRDefault="00162296" w:rsidP="00162296">
            <w:pPr>
              <w:pStyle w:val="Tablecontent"/>
              <w:jc w:val="center"/>
            </w:pPr>
            <w:r>
              <w:t>66.5 (9.5)</w:t>
            </w:r>
          </w:p>
        </w:tc>
        <w:tc>
          <w:tcPr>
            <w:tcW w:w="523" w:type="pct"/>
          </w:tcPr>
          <w:p w14:paraId="3410989B" w14:textId="77777777" w:rsidR="00162296" w:rsidRDefault="00162296" w:rsidP="00162296">
            <w:pPr>
              <w:pStyle w:val="Tablecontent"/>
              <w:jc w:val="center"/>
            </w:pPr>
            <w:r>
              <w:t>42%</w:t>
            </w:r>
          </w:p>
        </w:tc>
        <w:tc>
          <w:tcPr>
            <w:tcW w:w="651" w:type="pct"/>
          </w:tcPr>
          <w:p w14:paraId="7BBB3CC9" w14:textId="77777777" w:rsidR="00162296" w:rsidRDefault="00162296" w:rsidP="00162296">
            <w:pPr>
              <w:pStyle w:val="Tablecontent"/>
              <w:jc w:val="center"/>
            </w:pPr>
            <w:r>
              <w:t>2.7 (0.8)</w:t>
            </w:r>
          </w:p>
        </w:tc>
        <w:tc>
          <w:tcPr>
            <w:tcW w:w="753" w:type="pct"/>
          </w:tcPr>
          <w:p w14:paraId="5917D9FD" w14:textId="77777777" w:rsidR="00162296" w:rsidRDefault="00162296" w:rsidP="00162296">
            <w:pPr>
              <w:pStyle w:val="Tablecontent"/>
              <w:jc w:val="center"/>
            </w:pPr>
            <w:r>
              <w:t>19.1 (3.6)</w:t>
            </w:r>
          </w:p>
        </w:tc>
      </w:tr>
    </w:tbl>
    <w:p w14:paraId="50F955BB" w14:textId="7D35E39E" w:rsidR="000C40DB" w:rsidRPr="00AD31F1" w:rsidRDefault="000C40DB" w:rsidP="00CF3E4C">
      <w:pPr>
        <w:pStyle w:val="Tablenotes0"/>
      </w:pPr>
      <w:bookmarkStart w:id="18" w:name="_Toc69491424"/>
      <w:r w:rsidRPr="00AD31F1">
        <w:rPr>
          <w:u w:val="single"/>
        </w:rPr>
        <w:t>Abbreviations</w:t>
      </w:r>
      <w:r w:rsidRPr="00AD31F1">
        <w:t>: IOP = intraocular pressure, mm Hg = millimetres of mercury, NR = not reported, SD = standard deviation</w:t>
      </w:r>
    </w:p>
    <w:p w14:paraId="41B1A6E0" w14:textId="1A6AE525" w:rsidR="00431365" w:rsidRPr="00AD31F1" w:rsidRDefault="00431365" w:rsidP="00CF3E4C">
      <w:pPr>
        <w:pStyle w:val="Tablenotes0"/>
      </w:pPr>
      <w:r w:rsidRPr="00AD31F1">
        <w:rPr>
          <w:u w:val="single"/>
        </w:rPr>
        <w:t>Source</w:t>
      </w:r>
      <w:r w:rsidRPr="00AD31F1">
        <w:t>: Table 10 of ADAR submission</w:t>
      </w:r>
    </w:p>
    <w:p w14:paraId="7DE1BB1B" w14:textId="0798F359" w:rsidR="00993FD1" w:rsidRPr="002759A3" w:rsidRDefault="00637A71" w:rsidP="00637A71">
      <w:pPr>
        <w:pStyle w:val="Heading2"/>
      </w:pPr>
      <w:r>
        <w:lastRenderedPageBreak/>
        <w:t>11.</w:t>
      </w:r>
      <w:r>
        <w:tab/>
      </w:r>
      <w:r w:rsidR="005262CE">
        <w:t>C</w:t>
      </w:r>
      <w:r w:rsidR="00993FD1" w:rsidRPr="002759A3">
        <w:t>omparative safety</w:t>
      </w:r>
    </w:p>
    <w:p w14:paraId="25E08AA5" w14:textId="7B89170C" w:rsidR="00C932FF" w:rsidRPr="00082D73" w:rsidRDefault="00993FD1" w:rsidP="00993FD1">
      <w:pPr>
        <w:pStyle w:val="ADARbullet"/>
        <w:numPr>
          <w:ilvl w:val="0"/>
          <w:numId w:val="0"/>
        </w:numPr>
        <w:rPr>
          <w:rFonts w:ascii="Franklin Gothic Book" w:hAnsi="Franklin Gothic Book" w:cstheme="minorBidi"/>
        </w:rPr>
      </w:pPr>
      <w:r>
        <w:rPr>
          <w:rFonts w:ascii="Franklin Gothic Book" w:hAnsi="Franklin Gothic Book" w:cstheme="minorBidi"/>
        </w:rPr>
        <w:t>Adverse events</w:t>
      </w:r>
      <w:r w:rsidR="00F23F82">
        <w:rPr>
          <w:rFonts w:ascii="Franklin Gothic Book" w:hAnsi="Franklin Gothic Book" w:cstheme="minorBidi"/>
        </w:rPr>
        <w:t xml:space="preserve"> (AEs)</w:t>
      </w:r>
      <w:r>
        <w:rPr>
          <w:rFonts w:ascii="Franklin Gothic Book" w:hAnsi="Franklin Gothic Book" w:cstheme="minorBidi"/>
        </w:rPr>
        <w:t xml:space="preserve"> for </w:t>
      </w:r>
      <w:proofErr w:type="spellStart"/>
      <w:r>
        <w:rPr>
          <w:rFonts w:ascii="Franklin Gothic Book" w:hAnsi="Franklin Gothic Book" w:cstheme="minorBidi"/>
        </w:rPr>
        <w:t>MINIject</w:t>
      </w:r>
      <w:proofErr w:type="spellEnd"/>
      <w:r>
        <w:rPr>
          <w:rFonts w:ascii="Franklin Gothic Book" w:hAnsi="Franklin Gothic Book" w:cstheme="minorBidi"/>
        </w:rPr>
        <w:t xml:space="preserve"> were infrequent and generally not serious. A</w:t>
      </w:r>
      <w:r w:rsidRPr="008A7353">
        <w:rPr>
          <w:rFonts w:ascii="Franklin Gothic Book" w:hAnsi="Franklin Gothic Book" w:cstheme="minorBidi"/>
        </w:rPr>
        <w:t>nterior chamber inflammation was the most reported AE</w:t>
      </w:r>
      <w:r>
        <w:rPr>
          <w:rFonts w:ascii="Franklin Gothic Book" w:hAnsi="Franklin Gothic Book" w:cstheme="minorBidi"/>
        </w:rPr>
        <w:t xml:space="preserve"> (mainly associated with surgery)</w:t>
      </w:r>
      <w:r w:rsidRPr="008A7353">
        <w:rPr>
          <w:rFonts w:ascii="Franklin Gothic Book" w:hAnsi="Franklin Gothic Book" w:cstheme="minorBidi"/>
        </w:rPr>
        <w:t xml:space="preserve">. </w:t>
      </w:r>
      <w:r>
        <w:rPr>
          <w:rFonts w:ascii="Franklin Gothic Book" w:hAnsi="Franklin Gothic Book" w:cstheme="minorBidi"/>
        </w:rPr>
        <w:t xml:space="preserve">Visual acuity reductions were reported by </w:t>
      </w:r>
      <w:r w:rsidRPr="008A7353">
        <w:rPr>
          <w:rFonts w:ascii="Franklin Gothic Book" w:hAnsi="Franklin Gothic Book" w:cstheme="minorBidi"/>
        </w:rPr>
        <w:t>17% of patients</w:t>
      </w:r>
      <w:r>
        <w:rPr>
          <w:rFonts w:ascii="Franklin Gothic Book" w:hAnsi="Franklin Gothic Book" w:cstheme="minorBidi"/>
        </w:rPr>
        <w:t>,</w:t>
      </w:r>
      <w:r w:rsidRPr="008A7353">
        <w:rPr>
          <w:rFonts w:ascii="Franklin Gothic Book" w:hAnsi="Franklin Gothic Book" w:cstheme="minorBidi"/>
        </w:rPr>
        <w:t xml:space="preserve"> and 11% </w:t>
      </w:r>
      <w:r>
        <w:rPr>
          <w:rFonts w:ascii="Franklin Gothic Book" w:hAnsi="Franklin Gothic Book" w:cstheme="minorBidi"/>
        </w:rPr>
        <w:t xml:space="preserve">reported </w:t>
      </w:r>
      <w:proofErr w:type="spellStart"/>
      <w:r>
        <w:rPr>
          <w:rFonts w:ascii="Franklin Gothic Book" w:hAnsi="Franklin Gothic Book" w:cstheme="minorBidi"/>
        </w:rPr>
        <w:t>hy</w:t>
      </w:r>
      <w:r w:rsidRPr="008A7353">
        <w:rPr>
          <w:rFonts w:ascii="Franklin Gothic Book" w:hAnsi="Franklin Gothic Book" w:cstheme="minorBidi"/>
        </w:rPr>
        <w:t>ph</w:t>
      </w:r>
      <w:r>
        <w:rPr>
          <w:rFonts w:ascii="Franklin Gothic Book" w:hAnsi="Franklin Gothic Book" w:cstheme="minorBidi"/>
        </w:rPr>
        <w:t>a</w:t>
      </w:r>
      <w:r w:rsidRPr="008A7353">
        <w:rPr>
          <w:rFonts w:ascii="Franklin Gothic Book" w:hAnsi="Franklin Gothic Book" w:cstheme="minorBidi"/>
        </w:rPr>
        <w:t>ema</w:t>
      </w:r>
      <w:proofErr w:type="spellEnd"/>
      <w:r w:rsidRPr="008A7353">
        <w:rPr>
          <w:rFonts w:ascii="Franklin Gothic Book" w:hAnsi="Franklin Gothic Book" w:cstheme="minorBidi"/>
        </w:rPr>
        <w:t xml:space="preserve">. Other AEs, such as conjunctival </w:t>
      </w:r>
      <w:r w:rsidRPr="003B154D">
        <w:rPr>
          <w:rFonts w:ascii="Franklin Gothic Book" w:hAnsi="Franklin Gothic Book" w:cstheme="minorBidi"/>
        </w:rPr>
        <w:t>haemorrhage</w:t>
      </w:r>
      <w:r w:rsidRPr="008A7353">
        <w:rPr>
          <w:rFonts w:ascii="Franklin Gothic Book" w:hAnsi="Franklin Gothic Book" w:cstheme="minorBidi"/>
        </w:rPr>
        <w:t>, vision blurring</w:t>
      </w:r>
      <w:r>
        <w:rPr>
          <w:rFonts w:ascii="Franklin Gothic Book" w:hAnsi="Franklin Gothic Book" w:cstheme="minorBidi"/>
        </w:rPr>
        <w:t>,</w:t>
      </w:r>
      <w:r w:rsidRPr="008A7353">
        <w:rPr>
          <w:rFonts w:ascii="Franklin Gothic Book" w:hAnsi="Franklin Gothic Book" w:cstheme="minorBidi"/>
        </w:rPr>
        <w:t xml:space="preserve"> and cataract progression</w:t>
      </w:r>
      <w:r>
        <w:rPr>
          <w:rFonts w:ascii="Franklin Gothic Book" w:hAnsi="Franklin Gothic Book" w:cstheme="minorBidi"/>
        </w:rPr>
        <w:t>,</w:t>
      </w:r>
      <w:r w:rsidRPr="008A7353">
        <w:rPr>
          <w:rFonts w:ascii="Franklin Gothic Book" w:hAnsi="Franklin Gothic Book" w:cstheme="minorBidi"/>
        </w:rPr>
        <w:t xml:space="preserve"> occurred in less than 10% of patients. </w:t>
      </w:r>
      <w:r>
        <w:rPr>
          <w:rFonts w:ascii="Franklin Gothic Book" w:hAnsi="Franklin Gothic Book" w:cstheme="minorBidi"/>
        </w:rPr>
        <w:t xml:space="preserve">The assessment group </w:t>
      </w:r>
      <w:r w:rsidRPr="00BC0DD7">
        <w:rPr>
          <w:rFonts w:ascii="Franklin Gothic Book" w:hAnsi="Franklin Gothic Book" w:cstheme="minorBidi"/>
        </w:rPr>
        <w:t>quer</w:t>
      </w:r>
      <w:r>
        <w:rPr>
          <w:rFonts w:ascii="Franklin Gothic Book" w:hAnsi="Franklin Gothic Book" w:cstheme="minorBidi"/>
        </w:rPr>
        <w:t>ies</w:t>
      </w:r>
      <w:r w:rsidRPr="00BC0DD7">
        <w:rPr>
          <w:rFonts w:ascii="Franklin Gothic Book" w:hAnsi="Franklin Gothic Book" w:cstheme="minorBidi"/>
        </w:rPr>
        <w:t xml:space="preserve"> </w:t>
      </w:r>
      <w:r>
        <w:rPr>
          <w:rFonts w:ascii="Franklin Gothic Book" w:hAnsi="Franklin Gothic Book" w:cstheme="minorBidi"/>
        </w:rPr>
        <w:t xml:space="preserve">whether the data presented are a comprehensive picture of the </w:t>
      </w:r>
      <w:r w:rsidRPr="00BC0DD7">
        <w:rPr>
          <w:rFonts w:ascii="Franklin Gothic Book" w:hAnsi="Franklin Gothic Book" w:cstheme="minorBidi"/>
        </w:rPr>
        <w:t xml:space="preserve">safety profile for </w:t>
      </w:r>
      <w:proofErr w:type="spellStart"/>
      <w:r w:rsidRPr="00BC0DD7">
        <w:rPr>
          <w:rFonts w:ascii="Franklin Gothic Book" w:hAnsi="Franklin Gothic Book" w:cstheme="minorBidi"/>
        </w:rPr>
        <w:t>MINIject</w:t>
      </w:r>
      <w:proofErr w:type="spellEnd"/>
      <w:r>
        <w:rPr>
          <w:rFonts w:ascii="Franklin Gothic Book" w:hAnsi="Franklin Gothic Book" w:cstheme="minorBidi"/>
        </w:rPr>
        <w:t xml:space="preserve">, given there is </w:t>
      </w:r>
      <w:r w:rsidRPr="00BC0DD7">
        <w:rPr>
          <w:rFonts w:ascii="Franklin Gothic Book" w:hAnsi="Franklin Gothic Book" w:cstheme="minorBidi"/>
        </w:rPr>
        <w:t>no mention of serious A</w:t>
      </w:r>
      <w:r>
        <w:rPr>
          <w:rFonts w:ascii="Franklin Gothic Book" w:hAnsi="Franklin Gothic Book" w:cstheme="minorBidi"/>
        </w:rPr>
        <w:t>E</w:t>
      </w:r>
      <w:r w:rsidRPr="00BC0DD7">
        <w:rPr>
          <w:rFonts w:ascii="Franklin Gothic Book" w:hAnsi="Franklin Gothic Book" w:cstheme="minorBidi"/>
        </w:rPr>
        <w:t xml:space="preserve">s </w:t>
      </w:r>
      <w:r>
        <w:rPr>
          <w:rFonts w:ascii="Franklin Gothic Book" w:hAnsi="Franklin Gothic Book" w:cstheme="minorBidi"/>
        </w:rPr>
        <w:t>that</w:t>
      </w:r>
      <w:r w:rsidRPr="00BC0DD7">
        <w:rPr>
          <w:rFonts w:ascii="Franklin Gothic Book" w:hAnsi="Franklin Gothic Book" w:cstheme="minorBidi"/>
        </w:rPr>
        <w:t xml:space="preserve"> are commonly associated with stent implantation</w:t>
      </w:r>
      <w:r w:rsidR="000D3E8C">
        <w:rPr>
          <w:rFonts w:ascii="Franklin Gothic Book" w:hAnsi="Franklin Gothic Book" w:cstheme="minorBidi"/>
        </w:rPr>
        <w:t xml:space="preserve"> (</w:t>
      </w:r>
      <w:proofErr w:type="gramStart"/>
      <w:r w:rsidR="0022065F">
        <w:rPr>
          <w:rFonts w:ascii="Franklin Gothic Book" w:hAnsi="Franklin Gothic Book" w:cstheme="minorBidi"/>
        </w:rPr>
        <w:t>i.e.</w:t>
      </w:r>
      <w:proofErr w:type="gramEnd"/>
      <w:r w:rsidRPr="00BC0DD7">
        <w:rPr>
          <w:rFonts w:ascii="Franklin Gothic Book" w:hAnsi="Franklin Gothic Book" w:cstheme="minorBidi"/>
        </w:rPr>
        <w:t xml:space="preserve"> IOP elevation, stent blockage or obstruction, stent </w:t>
      </w:r>
      <w:r w:rsidRPr="00082D73">
        <w:rPr>
          <w:rFonts w:ascii="Franklin Gothic Book" w:hAnsi="Franklin Gothic Book" w:cstheme="minorBidi"/>
        </w:rPr>
        <w:t>malposition</w:t>
      </w:r>
      <w:r>
        <w:rPr>
          <w:rFonts w:ascii="Franklin Gothic Book" w:hAnsi="Franklin Gothic Book" w:cstheme="minorBidi"/>
        </w:rPr>
        <w:t>, and</w:t>
      </w:r>
      <w:r w:rsidRPr="00082D73">
        <w:rPr>
          <w:rFonts w:ascii="Franklin Gothic Book" w:hAnsi="Franklin Gothic Book" w:cstheme="minorBidi"/>
        </w:rPr>
        <w:t xml:space="preserve"> hypotony</w:t>
      </w:r>
      <w:r w:rsidR="000D3E8C">
        <w:rPr>
          <w:rFonts w:ascii="Franklin Gothic Book" w:hAnsi="Franklin Gothic Book" w:cstheme="minorBidi"/>
        </w:rPr>
        <w:t>)</w:t>
      </w:r>
      <w:r w:rsidRPr="00082D73">
        <w:rPr>
          <w:rFonts w:ascii="Franklin Gothic Book" w:hAnsi="Franklin Gothic Book" w:cstheme="minorBidi"/>
        </w:rPr>
        <w:t>.</w:t>
      </w:r>
      <w:r w:rsidR="00980252">
        <w:rPr>
          <w:rFonts w:ascii="Franklin Gothic Book" w:hAnsi="Franklin Gothic Book" w:cstheme="minorBidi"/>
        </w:rPr>
        <w:t xml:space="preserve"> Furthermore,</w:t>
      </w:r>
      <w:r w:rsidR="005D247B">
        <w:rPr>
          <w:rFonts w:ascii="Franklin Gothic Book" w:hAnsi="Franklin Gothic Book" w:cstheme="minorBidi"/>
        </w:rPr>
        <w:t xml:space="preserve"> the assessment </w:t>
      </w:r>
      <w:r w:rsidR="00077810">
        <w:rPr>
          <w:rFonts w:ascii="Franklin Gothic Book" w:hAnsi="Franklin Gothic Book" w:cstheme="minorBidi"/>
        </w:rPr>
        <w:t xml:space="preserve">group note a lack of long-term safety </w:t>
      </w:r>
      <w:r w:rsidR="002C2B14">
        <w:rPr>
          <w:rFonts w:ascii="Franklin Gothic Book" w:hAnsi="Franklin Gothic Book" w:cstheme="minorBidi"/>
        </w:rPr>
        <w:t>data, with current evidence based on 24 months</w:t>
      </w:r>
      <w:r w:rsidR="00F92EB2">
        <w:rPr>
          <w:rFonts w:ascii="Franklin Gothic Book" w:hAnsi="Franklin Gothic Book" w:cstheme="minorBidi"/>
        </w:rPr>
        <w:t xml:space="preserve"> of follow-up.</w:t>
      </w:r>
      <w:r w:rsidR="002C2B14">
        <w:rPr>
          <w:rFonts w:ascii="Franklin Gothic Book" w:hAnsi="Franklin Gothic Book" w:cstheme="minorBidi"/>
        </w:rPr>
        <w:t xml:space="preserve"> This is particularly concerning in the context of the removal of the </w:t>
      </w:r>
      <w:proofErr w:type="spellStart"/>
      <w:r w:rsidR="002C2B14">
        <w:rPr>
          <w:rFonts w:ascii="Franklin Gothic Book" w:hAnsi="Franklin Gothic Book" w:cstheme="minorBidi"/>
        </w:rPr>
        <w:t>Cypass</w:t>
      </w:r>
      <w:proofErr w:type="spellEnd"/>
      <w:r w:rsidR="002C2B14">
        <w:rPr>
          <w:rFonts w:ascii="Franklin Gothic Book" w:hAnsi="Franklin Gothic Book" w:cstheme="minorBidi"/>
        </w:rPr>
        <w:t xml:space="preserve"> device at the </w:t>
      </w:r>
      <w:r w:rsidR="00F92EB2">
        <w:rPr>
          <w:rFonts w:ascii="Franklin Gothic Book" w:hAnsi="Franklin Gothic Book" w:cstheme="minorBidi"/>
        </w:rPr>
        <w:t>5-year</w:t>
      </w:r>
      <w:r w:rsidR="002C2B14">
        <w:rPr>
          <w:rFonts w:ascii="Franklin Gothic Book" w:hAnsi="Franklin Gothic Book" w:cstheme="minorBidi"/>
        </w:rPr>
        <w:t xml:space="preserve"> mark due to safety concerns. </w:t>
      </w:r>
      <w:r w:rsidR="00980252">
        <w:rPr>
          <w:rFonts w:ascii="Franklin Gothic Book" w:hAnsi="Franklin Gothic Book" w:cstheme="minorBidi"/>
        </w:rPr>
        <w:t xml:space="preserve"> </w:t>
      </w:r>
    </w:p>
    <w:p w14:paraId="2AB1AC73" w14:textId="01A84986" w:rsidR="00C932FF" w:rsidRPr="00082D73" w:rsidRDefault="00993FD1" w:rsidP="00993FD1">
      <w:pPr>
        <w:pStyle w:val="ADARbullet"/>
        <w:numPr>
          <w:ilvl w:val="0"/>
          <w:numId w:val="0"/>
        </w:numPr>
        <w:rPr>
          <w:rFonts w:ascii="Franklin Gothic Book" w:hAnsi="Franklin Gothic Book" w:cstheme="minorBidi"/>
        </w:rPr>
      </w:pPr>
      <w:r>
        <w:rPr>
          <w:rFonts w:ascii="Franklin Gothic Book" w:hAnsi="Franklin Gothic Book" w:cstheme="minorBidi"/>
        </w:rPr>
        <w:t>S</w:t>
      </w:r>
      <w:r w:rsidRPr="00082D73">
        <w:rPr>
          <w:rFonts w:ascii="Franklin Gothic Book" w:hAnsi="Franklin Gothic Book" w:cstheme="minorBidi"/>
        </w:rPr>
        <w:t>imilarly low numbers of A</w:t>
      </w:r>
      <w:r w:rsidR="009449DE">
        <w:rPr>
          <w:rFonts w:ascii="Franklin Gothic Book" w:hAnsi="Franklin Gothic Book" w:cstheme="minorBidi"/>
        </w:rPr>
        <w:t>E</w:t>
      </w:r>
      <w:r w:rsidRPr="00082D73">
        <w:rPr>
          <w:rFonts w:ascii="Franklin Gothic Book" w:hAnsi="Franklin Gothic Book" w:cstheme="minorBidi"/>
        </w:rPr>
        <w:t>s</w:t>
      </w:r>
      <w:r>
        <w:rPr>
          <w:rFonts w:ascii="Franklin Gothic Book" w:hAnsi="Franklin Gothic Book" w:cstheme="minorBidi"/>
        </w:rPr>
        <w:t xml:space="preserve"> were</w:t>
      </w:r>
      <w:r w:rsidRPr="00082D73">
        <w:rPr>
          <w:rFonts w:ascii="Franklin Gothic Book" w:hAnsi="Franklin Gothic Book" w:cstheme="minorBidi"/>
        </w:rPr>
        <w:t xml:space="preserve"> reported</w:t>
      </w:r>
      <w:r>
        <w:rPr>
          <w:rFonts w:ascii="Franklin Gothic Book" w:hAnsi="Franklin Gothic Book" w:cstheme="minorBidi"/>
        </w:rPr>
        <w:t xml:space="preserve"> across the </w:t>
      </w:r>
      <w:proofErr w:type="spellStart"/>
      <w:r>
        <w:rPr>
          <w:rFonts w:ascii="Franklin Gothic Book" w:hAnsi="Franklin Gothic Book" w:cstheme="minorBidi"/>
        </w:rPr>
        <w:t>iStent</w:t>
      </w:r>
      <w:proofErr w:type="spellEnd"/>
      <w:r>
        <w:rPr>
          <w:rFonts w:ascii="Franklin Gothic Book" w:hAnsi="Franklin Gothic Book" w:cstheme="minorBidi"/>
        </w:rPr>
        <w:t xml:space="preserve"> trials</w:t>
      </w:r>
      <w:r w:rsidRPr="00082D73">
        <w:rPr>
          <w:rFonts w:ascii="Franklin Gothic Book" w:hAnsi="Franklin Gothic Book" w:cstheme="minorBidi"/>
        </w:rPr>
        <w:t xml:space="preserve">, </w:t>
      </w:r>
      <w:r>
        <w:rPr>
          <w:rFonts w:ascii="Franklin Gothic Book" w:hAnsi="Franklin Gothic Book" w:cstheme="minorBidi"/>
        </w:rPr>
        <w:t xml:space="preserve">with most </w:t>
      </w:r>
      <w:r w:rsidRPr="00082D73">
        <w:rPr>
          <w:rFonts w:ascii="Franklin Gothic Book" w:hAnsi="Franklin Gothic Book" w:cstheme="minorBidi"/>
        </w:rPr>
        <w:t xml:space="preserve">occurring in less than 10% of patients. </w:t>
      </w:r>
      <w:r>
        <w:rPr>
          <w:rFonts w:ascii="Franklin Gothic Book" w:hAnsi="Franklin Gothic Book" w:cstheme="minorBidi"/>
        </w:rPr>
        <w:t>Notably, in a</w:t>
      </w:r>
      <w:r w:rsidRPr="00082D73">
        <w:rPr>
          <w:rFonts w:ascii="Franklin Gothic Book" w:hAnsi="Franklin Gothic Book" w:cstheme="minorBidi"/>
        </w:rPr>
        <w:t xml:space="preserve"> trial of 41 patients (Katz 2018), loss in </w:t>
      </w:r>
      <w:r>
        <w:rPr>
          <w:rFonts w:ascii="Franklin Gothic Book" w:hAnsi="Franklin Gothic Book" w:cstheme="minorBidi"/>
        </w:rPr>
        <w:t>best-corrected visual acuity (</w:t>
      </w:r>
      <w:r w:rsidRPr="00082D73">
        <w:rPr>
          <w:rFonts w:ascii="Franklin Gothic Book" w:hAnsi="Franklin Gothic Book" w:cstheme="minorBidi"/>
        </w:rPr>
        <w:t>BCVA</w:t>
      </w:r>
      <w:r>
        <w:rPr>
          <w:rFonts w:ascii="Franklin Gothic Book" w:hAnsi="Franklin Gothic Book" w:cstheme="minorBidi"/>
        </w:rPr>
        <w:t>)</w:t>
      </w:r>
      <w:r w:rsidRPr="00082D73">
        <w:rPr>
          <w:rFonts w:ascii="Franklin Gothic Book" w:hAnsi="Franklin Gothic Book" w:cstheme="minorBidi"/>
        </w:rPr>
        <w:t xml:space="preserve"> ≥1 line occurred at a rate of 21.1%</w:t>
      </w:r>
      <w:r>
        <w:rPr>
          <w:rFonts w:ascii="Franklin Gothic Book" w:hAnsi="Franklin Gothic Book" w:cstheme="minorBidi"/>
        </w:rPr>
        <w:t>,</w:t>
      </w:r>
      <w:r w:rsidRPr="00082D73">
        <w:rPr>
          <w:rFonts w:ascii="Franklin Gothic Book" w:hAnsi="Franklin Gothic Book" w:cstheme="minorBidi"/>
        </w:rPr>
        <w:t xml:space="preserve"> and cataract surgery at a rate of 13.2%. In a further clinical trial with 14 patients, 6 eyes needed additional glaucoma treatment due to inadequate IOP control (~43%) (</w:t>
      </w:r>
      <w:proofErr w:type="spellStart"/>
      <w:r w:rsidRPr="00E22BD5">
        <w:rPr>
          <w:rFonts w:ascii="Franklin Gothic Book" w:hAnsi="Franklin Gothic Book" w:cstheme="minorBidi"/>
        </w:rPr>
        <w:t>Arnljots</w:t>
      </w:r>
      <w:proofErr w:type="spellEnd"/>
      <w:r w:rsidRPr="00082D73">
        <w:rPr>
          <w:rFonts w:ascii="Franklin Gothic Book" w:hAnsi="Franklin Gothic Book" w:cstheme="minorBidi"/>
        </w:rPr>
        <w:t xml:space="preserve"> 2021). </w:t>
      </w:r>
    </w:p>
    <w:p w14:paraId="652C839F" w14:textId="5B43F92A" w:rsidR="00993FD1" w:rsidRDefault="00993FD1" w:rsidP="007134B7">
      <w:r w:rsidRPr="00E61FB3">
        <w:t xml:space="preserve">A comparison of adverse event rates for </w:t>
      </w:r>
      <w:proofErr w:type="spellStart"/>
      <w:r w:rsidRPr="00E61FB3">
        <w:t>MINIje</w:t>
      </w:r>
      <w:r>
        <w:t>c</w:t>
      </w:r>
      <w:r w:rsidRPr="00E61FB3">
        <w:t>t</w:t>
      </w:r>
      <w:proofErr w:type="spellEnd"/>
      <w:r w:rsidRPr="00E61FB3">
        <w:t xml:space="preserve"> and </w:t>
      </w:r>
      <w:proofErr w:type="spellStart"/>
      <w:r w:rsidRPr="00E61FB3">
        <w:t>iStent</w:t>
      </w:r>
      <w:proofErr w:type="spellEnd"/>
      <w:r w:rsidRPr="00E61FB3">
        <w:t xml:space="preserve"> is presented in</w:t>
      </w:r>
      <w:r w:rsidR="002C7F6F">
        <w:t xml:space="preserve"> </w:t>
      </w:r>
      <w:r w:rsidR="002C7F6F">
        <w:fldChar w:fldCharType="begin"/>
      </w:r>
      <w:r w:rsidR="002C7F6F">
        <w:instrText xml:space="preserve"> REF _Ref155800061 \h </w:instrText>
      </w:r>
      <w:r w:rsidR="002C7F6F">
        <w:fldChar w:fldCharType="separate"/>
      </w:r>
      <w:r w:rsidR="003C61D8">
        <w:t>Table</w:t>
      </w:r>
      <w:r w:rsidR="003C61D8" w:rsidRPr="0001290C">
        <w:t> </w:t>
      </w:r>
      <w:r w:rsidR="003C61D8">
        <w:rPr>
          <w:noProof/>
        </w:rPr>
        <w:t>9</w:t>
      </w:r>
      <w:r w:rsidR="002C7F6F">
        <w:fldChar w:fldCharType="end"/>
      </w:r>
      <w:r w:rsidRPr="00E61FB3">
        <w:t xml:space="preserve">. </w:t>
      </w:r>
      <w:r>
        <w:t>Overall, t</w:t>
      </w:r>
      <w:r w:rsidRPr="00E61FB3">
        <w:t xml:space="preserve">here </w:t>
      </w:r>
      <w:r>
        <w:t>were</w:t>
      </w:r>
      <w:r w:rsidRPr="00E61FB3">
        <w:t xml:space="preserve"> </w:t>
      </w:r>
      <w:r>
        <w:t>insufficient</w:t>
      </w:r>
      <w:r w:rsidRPr="00E61FB3">
        <w:t xml:space="preserve"> data to draw any meaningful conclusion regarding the relative safety of </w:t>
      </w:r>
      <w:proofErr w:type="spellStart"/>
      <w:r w:rsidRPr="00E61FB3">
        <w:t>MINIject</w:t>
      </w:r>
      <w:proofErr w:type="spellEnd"/>
      <w:r w:rsidRPr="00E61FB3">
        <w:t xml:space="preserve"> and </w:t>
      </w:r>
      <w:proofErr w:type="spellStart"/>
      <w:r w:rsidRPr="00E61FB3">
        <w:t>iStent</w:t>
      </w:r>
      <w:proofErr w:type="spellEnd"/>
      <w:r w:rsidRPr="00E61FB3">
        <w:t xml:space="preserve">. </w:t>
      </w:r>
      <w:r>
        <w:t>Furthermore,</w:t>
      </w:r>
      <w:r w:rsidRPr="00E61FB3">
        <w:t xml:space="preserve"> data presented </w:t>
      </w:r>
      <w:r>
        <w:t xml:space="preserve">comparing the AE rates of the 2 devices (as shown in </w:t>
      </w:r>
      <w:r w:rsidR="001808F8">
        <w:fldChar w:fldCharType="begin"/>
      </w:r>
      <w:r w:rsidR="001808F8">
        <w:instrText xml:space="preserve"> REF _Ref155800061 \h </w:instrText>
      </w:r>
      <w:r w:rsidR="001808F8">
        <w:fldChar w:fldCharType="separate"/>
      </w:r>
      <w:r w:rsidR="003C61D8">
        <w:t>Table</w:t>
      </w:r>
      <w:r w:rsidR="003C61D8" w:rsidRPr="0001290C">
        <w:t> </w:t>
      </w:r>
      <w:r w:rsidR="003C61D8">
        <w:rPr>
          <w:noProof/>
        </w:rPr>
        <w:t>9</w:t>
      </w:r>
      <w:r w:rsidR="001808F8">
        <w:fldChar w:fldCharType="end"/>
      </w:r>
      <w:r>
        <w:t xml:space="preserve">) were considered potentially </w:t>
      </w:r>
      <w:r w:rsidRPr="00E61FB3">
        <w:t xml:space="preserve">misleading, </w:t>
      </w:r>
      <w:r>
        <w:t>given the applicant used</w:t>
      </w:r>
      <w:r w:rsidRPr="00E61FB3">
        <w:t xml:space="preserve"> hyphens to represent </w:t>
      </w:r>
      <w:r>
        <w:t xml:space="preserve">both </w:t>
      </w:r>
      <w:r w:rsidRPr="00E61FB3">
        <w:t>missing data and instances where events did not occur in n&gt;2 patients.</w:t>
      </w:r>
    </w:p>
    <w:p w14:paraId="77C25AC7" w14:textId="77777777" w:rsidR="000D3E8C" w:rsidRDefault="000D3E8C" w:rsidP="00993FD1">
      <w:pPr>
        <w:sectPr w:rsidR="000D3E8C" w:rsidSect="00AD3210">
          <w:footerReference w:type="even" r:id="rId9"/>
          <w:footerReference w:type="default" r:id="rId10"/>
          <w:pgSz w:w="11906" w:h="16838"/>
          <w:pgMar w:top="1440" w:right="1440" w:bottom="1440" w:left="1440" w:header="709" w:footer="709" w:gutter="0"/>
          <w:cols w:space="708"/>
          <w:docGrid w:linePitch="360"/>
        </w:sectPr>
      </w:pPr>
    </w:p>
    <w:p w14:paraId="76217355" w14:textId="66C08B4D" w:rsidR="00993FD1" w:rsidRDefault="00993FD1" w:rsidP="00993FD1">
      <w:pPr>
        <w:pStyle w:val="Caption"/>
      </w:pPr>
      <w:bookmarkStart w:id="19" w:name="_Ref155800061"/>
      <w:r>
        <w:lastRenderedPageBreak/>
        <w:t>Table</w:t>
      </w:r>
      <w:r w:rsidRPr="0001290C">
        <w:t> </w:t>
      </w:r>
      <w:r>
        <w:fldChar w:fldCharType="begin"/>
      </w:r>
      <w:r>
        <w:instrText>SEQ Table \* ARABIC</w:instrText>
      </w:r>
      <w:r>
        <w:fldChar w:fldCharType="separate"/>
      </w:r>
      <w:r w:rsidR="003C61D8">
        <w:rPr>
          <w:noProof/>
        </w:rPr>
        <w:t>9</w:t>
      </w:r>
      <w:r>
        <w:fldChar w:fldCharType="end"/>
      </w:r>
      <w:bookmarkEnd w:id="19"/>
      <w:r>
        <w:tab/>
      </w:r>
      <w:r w:rsidRPr="003F0BDE">
        <w:t>Adverse events comparison (reported as number (%) of patients in &gt;2 patients in each study)</w:t>
      </w:r>
      <w:r>
        <w:t xml:space="preserve"> </w:t>
      </w:r>
    </w:p>
    <w:tbl>
      <w:tblPr>
        <w:tblStyle w:val="TableGrid"/>
        <w:tblW w:w="5000" w:type="pct"/>
        <w:tblLayout w:type="fixed"/>
        <w:tblLook w:val="04A0" w:firstRow="1" w:lastRow="0" w:firstColumn="1" w:lastColumn="0" w:noHBand="0" w:noVBand="1"/>
      </w:tblPr>
      <w:tblGrid>
        <w:gridCol w:w="2690"/>
        <w:gridCol w:w="1418"/>
        <w:gridCol w:w="1230"/>
        <w:gridCol w:w="1177"/>
        <w:gridCol w:w="1417"/>
        <w:gridCol w:w="1096"/>
        <w:gridCol w:w="1230"/>
        <w:gridCol w:w="1230"/>
        <w:gridCol w:w="1230"/>
        <w:gridCol w:w="1230"/>
      </w:tblGrid>
      <w:tr w:rsidR="00993FD1" w:rsidRPr="00B61CC0" w14:paraId="4C61D60C" w14:textId="77777777">
        <w:trPr>
          <w:trHeight w:val="350"/>
        </w:trPr>
        <w:tc>
          <w:tcPr>
            <w:tcW w:w="964" w:type="pct"/>
            <w:shd w:val="clear" w:color="auto" w:fill="FFFFFF" w:themeFill="background1"/>
            <w:noWrap/>
          </w:tcPr>
          <w:p w14:paraId="7C528B92" w14:textId="77777777" w:rsidR="00993FD1" w:rsidRDefault="00993FD1">
            <w:pPr>
              <w:pStyle w:val="TableHeading0"/>
            </w:pPr>
          </w:p>
        </w:tc>
        <w:tc>
          <w:tcPr>
            <w:tcW w:w="508" w:type="pct"/>
            <w:shd w:val="clear" w:color="auto" w:fill="FFFFFF" w:themeFill="background1"/>
            <w:vAlign w:val="center"/>
          </w:tcPr>
          <w:p w14:paraId="05C15E72" w14:textId="77777777" w:rsidR="00993FD1" w:rsidRPr="00B61CC0" w:rsidRDefault="00993FD1">
            <w:pPr>
              <w:pStyle w:val="TableHeading0"/>
              <w:jc w:val="center"/>
            </w:pPr>
            <w:proofErr w:type="spellStart"/>
            <w:r>
              <w:t>MINIject</w:t>
            </w:r>
            <w:proofErr w:type="spellEnd"/>
          </w:p>
        </w:tc>
        <w:tc>
          <w:tcPr>
            <w:tcW w:w="3527" w:type="pct"/>
            <w:gridSpan w:val="8"/>
            <w:shd w:val="clear" w:color="auto" w:fill="FFFFFF" w:themeFill="background1"/>
            <w:vAlign w:val="center"/>
          </w:tcPr>
          <w:p w14:paraId="6650FF5F" w14:textId="77777777" w:rsidR="00993FD1" w:rsidRDefault="00993FD1">
            <w:pPr>
              <w:pStyle w:val="TableHeading0"/>
              <w:jc w:val="center"/>
            </w:pPr>
            <w:proofErr w:type="spellStart"/>
            <w:r>
              <w:t>iStent</w:t>
            </w:r>
            <w:proofErr w:type="spellEnd"/>
          </w:p>
        </w:tc>
      </w:tr>
      <w:tr w:rsidR="00993FD1" w:rsidRPr="00B61CC0" w14:paraId="294926FE" w14:textId="77777777">
        <w:trPr>
          <w:trHeight w:val="883"/>
        </w:trPr>
        <w:tc>
          <w:tcPr>
            <w:tcW w:w="964" w:type="pct"/>
            <w:shd w:val="clear" w:color="auto" w:fill="FFFFFF" w:themeFill="background1"/>
            <w:noWrap/>
            <w:hideMark/>
          </w:tcPr>
          <w:p w14:paraId="605D71D5" w14:textId="77777777" w:rsidR="00993FD1" w:rsidRPr="00B61CC0" w:rsidRDefault="00993FD1">
            <w:pPr>
              <w:pStyle w:val="TableHeading0"/>
            </w:pPr>
            <w:r>
              <w:t>AE</w:t>
            </w:r>
          </w:p>
        </w:tc>
        <w:tc>
          <w:tcPr>
            <w:tcW w:w="508" w:type="pct"/>
            <w:shd w:val="clear" w:color="auto" w:fill="FFFFFF" w:themeFill="background1"/>
            <w:hideMark/>
          </w:tcPr>
          <w:p w14:paraId="7BE4F2A9" w14:textId="77777777" w:rsidR="00993FD1" w:rsidRPr="00C42915" w:rsidRDefault="00993FD1">
            <w:pPr>
              <w:pStyle w:val="TableHeading0"/>
            </w:pPr>
            <w:r w:rsidRPr="00C42915">
              <w:t>Pooled (STAR</w:t>
            </w:r>
            <w:r>
              <w:t>-</w:t>
            </w:r>
            <w:r w:rsidRPr="00C42915">
              <w:t xml:space="preserve">I to </w:t>
            </w:r>
            <w:r>
              <w:t>STAR-</w:t>
            </w:r>
            <w:r w:rsidRPr="00C42915">
              <w:t xml:space="preserve">IV) </w:t>
            </w:r>
          </w:p>
        </w:tc>
        <w:tc>
          <w:tcPr>
            <w:tcW w:w="441" w:type="pct"/>
            <w:shd w:val="clear" w:color="auto" w:fill="FFFFFF" w:themeFill="background1"/>
          </w:tcPr>
          <w:p w14:paraId="193E2805" w14:textId="77777777" w:rsidR="00993FD1" w:rsidRPr="00C42915" w:rsidRDefault="00993FD1">
            <w:pPr>
              <w:pStyle w:val="TableHeading0"/>
            </w:pPr>
            <w:r w:rsidRPr="00C42915">
              <w:t xml:space="preserve">Pooled </w:t>
            </w:r>
          </w:p>
        </w:tc>
        <w:tc>
          <w:tcPr>
            <w:tcW w:w="422" w:type="pct"/>
            <w:shd w:val="clear" w:color="auto" w:fill="FFFFFF" w:themeFill="background1"/>
            <w:hideMark/>
          </w:tcPr>
          <w:p w14:paraId="00920D94" w14:textId="77777777" w:rsidR="00993FD1" w:rsidRPr="00C42915" w:rsidRDefault="00993FD1">
            <w:pPr>
              <w:pStyle w:val="TableHeading0"/>
            </w:pPr>
            <w:proofErr w:type="spellStart"/>
            <w:r>
              <w:t>Voskanyan</w:t>
            </w:r>
            <w:proofErr w:type="spellEnd"/>
            <w:r>
              <w:t xml:space="preserve"> 2014</w:t>
            </w:r>
          </w:p>
        </w:tc>
        <w:tc>
          <w:tcPr>
            <w:tcW w:w="508" w:type="pct"/>
            <w:shd w:val="clear" w:color="auto" w:fill="FFFFFF" w:themeFill="background1"/>
            <w:hideMark/>
          </w:tcPr>
          <w:p w14:paraId="7E1F9E5C" w14:textId="77777777" w:rsidR="00993FD1" w:rsidRPr="004D1D95" w:rsidRDefault="00993FD1">
            <w:pPr>
              <w:pStyle w:val="TableHeading0"/>
            </w:pPr>
            <w:proofErr w:type="spellStart"/>
            <w:r>
              <w:t>Hengerer</w:t>
            </w:r>
            <w:proofErr w:type="spellEnd"/>
            <w:r>
              <w:t xml:space="preserve"> 2019; </w:t>
            </w:r>
            <w:proofErr w:type="spellStart"/>
            <w:r>
              <w:t>Hengerer</w:t>
            </w:r>
            <w:proofErr w:type="spellEnd"/>
            <w:r>
              <w:t xml:space="preserve"> 2022</w:t>
            </w:r>
          </w:p>
        </w:tc>
        <w:tc>
          <w:tcPr>
            <w:tcW w:w="393" w:type="pct"/>
            <w:shd w:val="clear" w:color="auto" w:fill="FFFFFF" w:themeFill="background1"/>
            <w:hideMark/>
          </w:tcPr>
          <w:p w14:paraId="1E0B2716" w14:textId="77777777" w:rsidR="00993FD1" w:rsidRPr="004D1D95" w:rsidRDefault="00993FD1">
            <w:pPr>
              <w:pStyle w:val="TableHeading0"/>
            </w:pPr>
            <w:r w:rsidRPr="006514DC">
              <w:t>Lindstrom 2020</w:t>
            </w:r>
          </w:p>
        </w:tc>
        <w:tc>
          <w:tcPr>
            <w:tcW w:w="441" w:type="pct"/>
            <w:shd w:val="clear" w:color="auto" w:fill="FFFFFF" w:themeFill="background1"/>
            <w:hideMark/>
          </w:tcPr>
          <w:p w14:paraId="2CE73928" w14:textId="77777777" w:rsidR="00993FD1" w:rsidRPr="004D1D95" w:rsidRDefault="00993FD1">
            <w:pPr>
              <w:pStyle w:val="TableHeading0"/>
            </w:pPr>
            <w:proofErr w:type="spellStart"/>
            <w:r>
              <w:t>Arnlijots</w:t>
            </w:r>
            <w:proofErr w:type="spellEnd"/>
            <w:r>
              <w:t xml:space="preserve"> 2021</w:t>
            </w:r>
          </w:p>
        </w:tc>
        <w:tc>
          <w:tcPr>
            <w:tcW w:w="441" w:type="pct"/>
            <w:shd w:val="clear" w:color="auto" w:fill="FFFFFF" w:themeFill="background1"/>
            <w:hideMark/>
          </w:tcPr>
          <w:p w14:paraId="3D8875EB" w14:textId="77777777" w:rsidR="00993FD1" w:rsidRPr="004D1D95" w:rsidRDefault="00993FD1">
            <w:pPr>
              <w:pStyle w:val="TableHeading0"/>
            </w:pPr>
            <w:proofErr w:type="spellStart"/>
            <w:r w:rsidRPr="00042ACD">
              <w:t>Pahlitzsch</w:t>
            </w:r>
            <w:proofErr w:type="spellEnd"/>
            <w:r w:rsidRPr="00042ACD">
              <w:t xml:space="preserve"> 2021</w:t>
            </w:r>
          </w:p>
        </w:tc>
        <w:tc>
          <w:tcPr>
            <w:tcW w:w="441" w:type="pct"/>
            <w:shd w:val="clear" w:color="auto" w:fill="FFFFFF" w:themeFill="background1"/>
            <w:hideMark/>
          </w:tcPr>
          <w:p w14:paraId="37208FAA" w14:textId="77777777" w:rsidR="00993FD1" w:rsidRPr="004D1D95" w:rsidRDefault="00993FD1">
            <w:pPr>
              <w:pStyle w:val="TableHeading0"/>
            </w:pPr>
            <w:r w:rsidRPr="00042ACD">
              <w:t>Katz 2018</w:t>
            </w:r>
          </w:p>
        </w:tc>
        <w:tc>
          <w:tcPr>
            <w:tcW w:w="441" w:type="pct"/>
            <w:shd w:val="clear" w:color="auto" w:fill="FFFFFF" w:themeFill="background1"/>
            <w:hideMark/>
          </w:tcPr>
          <w:p w14:paraId="773437AF" w14:textId="77777777" w:rsidR="00993FD1" w:rsidRPr="004D1D95" w:rsidRDefault="00993FD1">
            <w:pPr>
              <w:pStyle w:val="TableHeading0"/>
            </w:pPr>
            <w:r>
              <w:t>Ahmed 2020</w:t>
            </w:r>
          </w:p>
        </w:tc>
      </w:tr>
      <w:tr w:rsidR="00993FD1" w:rsidRPr="00B61CC0" w14:paraId="67BB5B35" w14:textId="77777777">
        <w:trPr>
          <w:trHeight w:val="314"/>
        </w:trPr>
        <w:tc>
          <w:tcPr>
            <w:tcW w:w="964" w:type="pct"/>
            <w:noWrap/>
            <w:hideMark/>
          </w:tcPr>
          <w:p w14:paraId="76699FD5" w14:textId="58942B97" w:rsidR="00993FD1" w:rsidRPr="00B61CC0" w:rsidRDefault="00E95776">
            <w:pPr>
              <w:pStyle w:val="tablenotes1"/>
              <w:rPr>
                <w:b/>
                <w:bCs/>
              </w:rPr>
            </w:pPr>
            <w:r>
              <w:rPr>
                <w:b/>
                <w:bCs/>
              </w:rPr>
              <w:t>N</w:t>
            </w:r>
          </w:p>
        </w:tc>
        <w:tc>
          <w:tcPr>
            <w:tcW w:w="508" w:type="pct"/>
            <w:hideMark/>
          </w:tcPr>
          <w:p w14:paraId="4D25AC1C" w14:textId="77777777" w:rsidR="00993FD1" w:rsidRPr="00B61CC0" w:rsidRDefault="00993FD1">
            <w:pPr>
              <w:pStyle w:val="tablenotes1"/>
              <w:rPr>
                <w:b/>
                <w:bCs/>
              </w:rPr>
            </w:pPr>
            <w:r w:rsidRPr="00B61CC0">
              <w:rPr>
                <w:b/>
                <w:bCs/>
              </w:rPr>
              <w:t>102</w:t>
            </w:r>
          </w:p>
        </w:tc>
        <w:tc>
          <w:tcPr>
            <w:tcW w:w="441" w:type="pct"/>
          </w:tcPr>
          <w:p w14:paraId="39488038" w14:textId="77777777" w:rsidR="00993FD1" w:rsidRPr="00B61CC0" w:rsidRDefault="00993FD1">
            <w:pPr>
              <w:pStyle w:val="tablenotes1"/>
              <w:rPr>
                <w:b/>
                <w:bCs/>
              </w:rPr>
            </w:pPr>
            <w:r>
              <w:rPr>
                <w:b/>
                <w:bCs/>
              </w:rPr>
              <w:t>398</w:t>
            </w:r>
          </w:p>
        </w:tc>
        <w:tc>
          <w:tcPr>
            <w:tcW w:w="422" w:type="pct"/>
            <w:hideMark/>
          </w:tcPr>
          <w:p w14:paraId="2D6BBA37" w14:textId="77777777" w:rsidR="00993FD1" w:rsidRPr="00B61CC0" w:rsidRDefault="00993FD1">
            <w:pPr>
              <w:pStyle w:val="tablenotes1"/>
              <w:rPr>
                <w:b/>
                <w:bCs/>
              </w:rPr>
            </w:pPr>
            <w:r w:rsidRPr="00B61CC0">
              <w:rPr>
                <w:b/>
                <w:bCs/>
              </w:rPr>
              <w:t>99</w:t>
            </w:r>
          </w:p>
        </w:tc>
        <w:tc>
          <w:tcPr>
            <w:tcW w:w="508" w:type="pct"/>
            <w:hideMark/>
          </w:tcPr>
          <w:p w14:paraId="18D3899A" w14:textId="77777777" w:rsidR="00993FD1" w:rsidRPr="00B61CC0" w:rsidRDefault="00993FD1">
            <w:pPr>
              <w:pStyle w:val="tablenotes1"/>
              <w:rPr>
                <w:b/>
                <w:bCs/>
              </w:rPr>
            </w:pPr>
            <w:r w:rsidRPr="00B61CC0">
              <w:rPr>
                <w:b/>
                <w:bCs/>
              </w:rPr>
              <w:t>44</w:t>
            </w:r>
          </w:p>
        </w:tc>
        <w:tc>
          <w:tcPr>
            <w:tcW w:w="393" w:type="pct"/>
            <w:hideMark/>
          </w:tcPr>
          <w:p w14:paraId="0652A693" w14:textId="77777777" w:rsidR="00993FD1" w:rsidRPr="00B61CC0" w:rsidRDefault="00993FD1">
            <w:pPr>
              <w:pStyle w:val="tablenotes1"/>
              <w:rPr>
                <w:b/>
                <w:bCs/>
              </w:rPr>
            </w:pPr>
            <w:r w:rsidRPr="00B61CC0">
              <w:rPr>
                <w:b/>
                <w:bCs/>
              </w:rPr>
              <w:t>57</w:t>
            </w:r>
          </w:p>
        </w:tc>
        <w:tc>
          <w:tcPr>
            <w:tcW w:w="441" w:type="pct"/>
            <w:hideMark/>
          </w:tcPr>
          <w:p w14:paraId="2BCD0FC6" w14:textId="77777777" w:rsidR="00993FD1" w:rsidRPr="00B61CC0" w:rsidRDefault="00993FD1">
            <w:pPr>
              <w:pStyle w:val="tablenotes1"/>
              <w:rPr>
                <w:b/>
                <w:bCs/>
              </w:rPr>
            </w:pPr>
            <w:r w:rsidRPr="00B61CC0">
              <w:rPr>
                <w:b/>
                <w:bCs/>
              </w:rPr>
              <w:t>14</w:t>
            </w:r>
          </w:p>
        </w:tc>
        <w:tc>
          <w:tcPr>
            <w:tcW w:w="441" w:type="pct"/>
            <w:hideMark/>
          </w:tcPr>
          <w:p w14:paraId="74E2E582" w14:textId="77777777" w:rsidR="00993FD1" w:rsidRPr="00B61CC0" w:rsidRDefault="00993FD1">
            <w:pPr>
              <w:pStyle w:val="tablenotes1"/>
              <w:rPr>
                <w:b/>
                <w:bCs/>
              </w:rPr>
            </w:pPr>
            <w:r w:rsidRPr="00B61CC0">
              <w:rPr>
                <w:b/>
                <w:bCs/>
              </w:rPr>
              <w:t>66</w:t>
            </w:r>
          </w:p>
        </w:tc>
        <w:tc>
          <w:tcPr>
            <w:tcW w:w="441" w:type="pct"/>
            <w:hideMark/>
          </w:tcPr>
          <w:p w14:paraId="3F8BB07A" w14:textId="77777777" w:rsidR="00993FD1" w:rsidRPr="00B61CC0" w:rsidRDefault="00993FD1">
            <w:pPr>
              <w:pStyle w:val="tablenotes1"/>
              <w:rPr>
                <w:b/>
                <w:bCs/>
              </w:rPr>
            </w:pPr>
            <w:r w:rsidRPr="00B61CC0">
              <w:rPr>
                <w:b/>
                <w:bCs/>
              </w:rPr>
              <w:t>41</w:t>
            </w:r>
          </w:p>
        </w:tc>
        <w:tc>
          <w:tcPr>
            <w:tcW w:w="441" w:type="pct"/>
            <w:hideMark/>
          </w:tcPr>
          <w:p w14:paraId="6CFE02B9" w14:textId="77777777" w:rsidR="00993FD1" w:rsidRPr="00B61CC0" w:rsidRDefault="00993FD1">
            <w:pPr>
              <w:pStyle w:val="tablenotes1"/>
              <w:rPr>
                <w:b/>
                <w:bCs/>
              </w:rPr>
            </w:pPr>
            <w:r w:rsidRPr="00B61CC0">
              <w:rPr>
                <w:b/>
                <w:bCs/>
              </w:rPr>
              <w:t>77</w:t>
            </w:r>
          </w:p>
        </w:tc>
      </w:tr>
      <w:tr w:rsidR="00993FD1" w:rsidRPr="00B61CC0" w14:paraId="1CACB341" w14:textId="77777777">
        <w:trPr>
          <w:trHeight w:val="407"/>
        </w:trPr>
        <w:tc>
          <w:tcPr>
            <w:tcW w:w="964" w:type="pct"/>
            <w:hideMark/>
          </w:tcPr>
          <w:p w14:paraId="19A6DE97" w14:textId="77777777" w:rsidR="00993FD1" w:rsidRPr="00B61CC0" w:rsidRDefault="00993FD1">
            <w:pPr>
              <w:pStyle w:val="tablenotes1"/>
              <w:jc w:val="left"/>
            </w:pPr>
            <w:r w:rsidRPr="00B61CC0">
              <w:t xml:space="preserve">Anterior </w:t>
            </w:r>
            <w:r>
              <w:t>c</w:t>
            </w:r>
            <w:r w:rsidRPr="00B61CC0">
              <w:t xml:space="preserve">hamber </w:t>
            </w:r>
            <w:r>
              <w:t>i</w:t>
            </w:r>
            <w:r w:rsidRPr="00B61CC0">
              <w:t>nflammation</w:t>
            </w:r>
          </w:p>
        </w:tc>
        <w:tc>
          <w:tcPr>
            <w:tcW w:w="508" w:type="pct"/>
            <w:hideMark/>
          </w:tcPr>
          <w:p w14:paraId="31B614A2" w14:textId="77777777" w:rsidR="00993FD1" w:rsidRPr="00B61CC0" w:rsidRDefault="00993FD1">
            <w:pPr>
              <w:pStyle w:val="tablenotes1"/>
            </w:pPr>
            <w:r w:rsidRPr="00B61CC0">
              <w:t>31 (30)</w:t>
            </w:r>
          </w:p>
        </w:tc>
        <w:tc>
          <w:tcPr>
            <w:tcW w:w="441" w:type="pct"/>
          </w:tcPr>
          <w:p w14:paraId="31425329" w14:textId="77777777" w:rsidR="00993FD1" w:rsidRDefault="00993FD1">
            <w:pPr>
              <w:pStyle w:val="tablenotes1"/>
            </w:pPr>
            <w:r>
              <w:t>-</w:t>
            </w:r>
          </w:p>
        </w:tc>
        <w:tc>
          <w:tcPr>
            <w:tcW w:w="422" w:type="pct"/>
            <w:noWrap/>
            <w:hideMark/>
          </w:tcPr>
          <w:p w14:paraId="587D0A3C" w14:textId="77777777" w:rsidR="00993FD1" w:rsidRPr="00B61CC0" w:rsidRDefault="00993FD1">
            <w:pPr>
              <w:pStyle w:val="tablenotes1"/>
            </w:pPr>
            <w:r>
              <w:t>-</w:t>
            </w:r>
          </w:p>
        </w:tc>
        <w:tc>
          <w:tcPr>
            <w:tcW w:w="508" w:type="pct"/>
            <w:noWrap/>
            <w:hideMark/>
          </w:tcPr>
          <w:p w14:paraId="4FFE7E6E" w14:textId="77777777" w:rsidR="00993FD1" w:rsidRPr="00B61CC0" w:rsidRDefault="00993FD1">
            <w:pPr>
              <w:pStyle w:val="tablenotes1"/>
            </w:pPr>
            <w:r>
              <w:t>-</w:t>
            </w:r>
          </w:p>
        </w:tc>
        <w:tc>
          <w:tcPr>
            <w:tcW w:w="393" w:type="pct"/>
            <w:noWrap/>
            <w:hideMark/>
          </w:tcPr>
          <w:p w14:paraId="71452B9B" w14:textId="77777777" w:rsidR="00993FD1" w:rsidRPr="00B61CC0" w:rsidRDefault="00993FD1">
            <w:pPr>
              <w:pStyle w:val="tablenotes1"/>
            </w:pPr>
            <w:r>
              <w:t>-</w:t>
            </w:r>
          </w:p>
        </w:tc>
        <w:tc>
          <w:tcPr>
            <w:tcW w:w="441" w:type="pct"/>
            <w:noWrap/>
            <w:hideMark/>
          </w:tcPr>
          <w:p w14:paraId="05A6DDDC" w14:textId="77777777" w:rsidR="00993FD1" w:rsidRPr="00B61CC0" w:rsidRDefault="00993FD1">
            <w:pPr>
              <w:pStyle w:val="tablenotes1"/>
            </w:pPr>
            <w:r>
              <w:t>-</w:t>
            </w:r>
          </w:p>
        </w:tc>
        <w:tc>
          <w:tcPr>
            <w:tcW w:w="441" w:type="pct"/>
            <w:noWrap/>
            <w:hideMark/>
          </w:tcPr>
          <w:p w14:paraId="6D9A00D5" w14:textId="77777777" w:rsidR="00993FD1" w:rsidRPr="00B61CC0" w:rsidRDefault="00993FD1">
            <w:pPr>
              <w:pStyle w:val="tablenotes1"/>
            </w:pPr>
            <w:r>
              <w:t>-</w:t>
            </w:r>
          </w:p>
        </w:tc>
        <w:tc>
          <w:tcPr>
            <w:tcW w:w="441" w:type="pct"/>
            <w:noWrap/>
            <w:hideMark/>
          </w:tcPr>
          <w:p w14:paraId="481EE942" w14:textId="77777777" w:rsidR="00993FD1" w:rsidRPr="00B61CC0" w:rsidRDefault="00993FD1">
            <w:pPr>
              <w:pStyle w:val="tablenotes1"/>
            </w:pPr>
            <w:r>
              <w:t>-</w:t>
            </w:r>
          </w:p>
        </w:tc>
        <w:tc>
          <w:tcPr>
            <w:tcW w:w="441" w:type="pct"/>
            <w:noWrap/>
            <w:hideMark/>
          </w:tcPr>
          <w:p w14:paraId="64E768CF" w14:textId="77777777" w:rsidR="00993FD1" w:rsidRPr="00B61CC0" w:rsidRDefault="00993FD1">
            <w:pPr>
              <w:pStyle w:val="tablenotes1"/>
            </w:pPr>
            <w:r>
              <w:t>-</w:t>
            </w:r>
          </w:p>
        </w:tc>
      </w:tr>
      <w:tr w:rsidR="00993FD1" w:rsidRPr="00B61CC0" w14:paraId="65A687A7" w14:textId="77777777">
        <w:trPr>
          <w:trHeight w:val="455"/>
        </w:trPr>
        <w:tc>
          <w:tcPr>
            <w:tcW w:w="964" w:type="pct"/>
            <w:hideMark/>
          </w:tcPr>
          <w:p w14:paraId="2865873A" w14:textId="77777777" w:rsidR="00993FD1" w:rsidRDefault="00993FD1">
            <w:pPr>
              <w:pStyle w:val="tablenotes1"/>
              <w:jc w:val="left"/>
            </w:pPr>
            <w:r w:rsidRPr="00B61CC0">
              <w:t>Visual</w:t>
            </w:r>
          </w:p>
          <w:p w14:paraId="5A0181E7" w14:textId="77777777" w:rsidR="00993FD1" w:rsidRPr="00B61CC0" w:rsidRDefault="00993FD1">
            <w:pPr>
              <w:pStyle w:val="tablenotes1"/>
              <w:jc w:val="left"/>
            </w:pPr>
            <w:r>
              <w:t>a</w:t>
            </w:r>
            <w:r w:rsidRPr="00B61CC0">
              <w:t xml:space="preserve">cuity </w:t>
            </w:r>
            <w:r>
              <w:t>r</w:t>
            </w:r>
            <w:r w:rsidRPr="00B61CC0">
              <w:t>educed</w:t>
            </w:r>
          </w:p>
        </w:tc>
        <w:tc>
          <w:tcPr>
            <w:tcW w:w="508" w:type="pct"/>
            <w:hideMark/>
          </w:tcPr>
          <w:p w14:paraId="06E15FDA" w14:textId="77777777" w:rsidR="00993FD1" w:rsidRPr="00B61CC0" w:rsidRDefault="00993FD1">
            <w:pPr>
              <w:pStyle w:val="tablenotes1"/>
            </w:pPr>
            <w:r w:rsidRPr="00B61CC0">
              <w:t>17 (17)</w:t>
            </w:r>
          </w:p>
        </w:tc>
        <w:tc>
          <w:tcPr>
            <w:tcW w:w="441" w:type="pct"/>
          </w:tcPr>
          <w:p w14:paraId="0F26D503" w14:textId="77777777" w:rsidR="00993FD1" w:rsidRDefault="00993FD1">
            <w:pPr>
              <w:pStyle w:val="tablenotes1"/>
            </w:pPr>
            <w:r>
              <w:t>-</w:t>
            </w:r>
          </w:p>
        </w:tc>
        <w:tc>
          <w:tcPr>
            <w:tcW w:w="422" w:type="pct"/>
            <w:noWrap/>
            <w:hideMark/>
          </w:tcPr>
          <w:p w14:paraId="5FC68B03" w14:textId="77777777" w:rsidR="00993FD1" w:rsidRPr="00B61CC0" w:rsidRDefault="00993FD1">
            <w:pPr>
              <w:pStyle w:val="tablenotes1"/>
            </w:pPr>
            <w:r>
              <w:t>-</w:t>
            </w:r>
          </w:p>
        </w:tc>
        <w:tc>
          <w:tcPr>
            <w:tcW w:w="508" w:type="pct"/>
            <w:noWrap/>
            <w:hideMark/>
          </w:tcPr>
          <w:p w14:paraId="5ECFD166" w14:textId="77777777" w:rsidR="00993FD1" w:rsidRPr="00B61CC0" w:rsidRDefault="00993FD1">
            <w:pPr>
              <w:pStyle w:val="tablenotes1"/>
            </w:pPr>
            <w:r>
              <w:t>-</w:t>
            </w:r>
          </w:p>
        </w:tc>
        <w:tc>
          <w:tcPr>
            <w:tcW w:w="393" w:type="pct"/>
            <w:noWrap/>
            <w:hideMark/>
          </w:tcPr>
          <w:p w14:paraId="65A111B1" w14:textId="77777777" w:rsidR="00993FD1" w:rsidRPr="00B61CC0" w:rsidRDefault="00993FD1">
            <w:pPr>
              <w:pStyle w:val="tablenotes1"/>
            </w:pPr>
            <w:r>
              <w:t>-</w:t>
            </w:r>
          </w:p>
        </w:tc>
        <w:tc>
          <w:tcPr>
            <w:tcW w:w="441" w:type="pct"/>
            <w:noWrap/>
            <w:hideMark/>
          </w:tcPr>
          <w:p w14:paraId="6F3092C2" w14:textId="77777777" w:rsidR="00993FD1" w:rsidRPr="00B61CC0" w:rsidRDefault="00993FD1">
            <w:pPr>
              <w:pStyle w:val="tablenotes1"/>
            </w:pPr>
            <w:r>
              <w:t>-</w:t>
            </w:r>
          </w:p>
        </w:tc>
        <w:tc>
          <w:tcPr>
            <w:tcW w:w="441" w:type="pct"/>
            <w:noWrap/>
            <w:hideMark/>
          </w:tcPr>
          <w:p w14:paraId="357B060D" w14:textId="77777777" w:rsidR="00993FD1" w:rsidRPr="00B61CC0" w:rsidRDefault="00993FD1">
            <w:pPr>
              <w:pStyle w:val="tablenotes1"/>
            </w:pPr>
            <w:r>
              <w:t>-</w:t>
            </w:r>
          </w:p>
        </w:tc>
        <w:tc>
          <w:tcPr>
            <w:tcW w:w="441" w:type="pct"/>
            <w:noWrap/>
            <w:hideMark/>
          </w:tcPr>
          <w:p w14:paraId="4BA3F804" w14:textId="77777777" w:rsidR="00993FD1" w:rsidRPr="00B61CC0" w:rsidRDefault="00993FD1">
            <w:pPr>
              <w:pStyle w:val="tablenotes1"/>
            </w:pPr>
            <w:r>
              <w:t>-</w:t>
            </w:r>
          </w:p>
        </w:tc>
        <w:tc>
          <w:tcPr>
            <w:tcW w:w="441" w:type="pct"/>
            <w:noWrap/>
            <w:hideMark/>
          </w:tcPr>
          <w:p w14:paraId="6C6E7C61" w14:textId="77777777" w:rsidR="00993FD1" w:rsidRPr="00B61CC0" w:rsidRDefault="00993FD1">
            <w:pPr>
              <w:pStyle w:val="tablenotes1"/>
            </w:pPr>
            <w:r>
              <w:t>-</w:t>
            </w:r>
          </w:p>
        </w:tc>
      </w:tr>
      <w:tr w:rsidR="00993FD1" w:rsidRPr="00B61CC0" w14:paraId="6C666067" w14:textId="77777777">
        <w:trPr>
          <w:trHeight w:val="314"/>
        </w:trPr>
        <w:tc>
          <w:tcPr>
            <w:tcW w:w="964" w:type="pct"/>
            <w:hideMark/>
          </w:tcPr>
          <w:p w14:paraId="40AEF998" w14:textId="77777777" w:rsidR="00993FD1" w:rsidRPr="00B61CC0" w:rsidRDefault="00993FD1">
            <w:pPr>
              <w:pStyle w:val="tablenotes1"/>
              <w:jc w:val="left"/>
            </w:pPr>
            <w:proofErr w:type="spellStart"/>
            <w:r w:rsidRPr="00B61CC0">
              <w:t>Hyph</w:t>
            </w:r>
            <w:r>
              <w:t>a</w:t>
            </w:r>
            <w:r w:rsidRPr="00B61CC0">
              <w:t>ema</w:t>
            </w:r>
            <w:proofErr w:type="spellEnd"/>
          </w:p>
        </w:tc>
        <w:tc>
          <w:tcPr>
            <w:tcW w:w="508" w:type="pct"/>
            <w:hideMark/>
          </w:tcPr>
          <w:p w14:paraId="13AA1397" w14:textId="77777777" w:rsidR="00993FD1" w:rsidRPr="00B61CC0" w:rsidRDefault="00993FD1">
            <w:pPr>
              <w:pStyle w:val="tablenotes1"/>
            </w:pPr>
            <w:r w:rsidRPr="00B61CC0">
              <w:t>11 (11)</w:t>
            </w:r>
          </w:p>
        </w:tc>
        <w:tc>
          <w:tcPr>
            <w:tcW w:w="441" w:type="pct"/>
          </w:tcPr>
          <w:p w14:paraId="7EBE3363" w14:textId="77777777" w:rsidR="00993FD1" w:rsidRDefault="00993FD1">
            <w:pPr>
              <w:pStyle w:val="tablenotes1"/>
            </w:pPr>
            <w:r>
              <w:t>-</w:t>
            </w:r>
          </w:p>
        </w:tc>
        <w:tc>
          <w:tcPr>
            <w:tcW w:w="422" w:type="pct"/>
            <w:noWrap/>
            <w:hideMark/>
          </w:tcPr>
          <w:p w14:paraId="61C64B42" w14:textId="77777777" w:rsidR="00993FD1" w:rsidRPr="00B61CC0" w:rsidRDefault="00993FD1">
            <w:pPr>
              <w:pStyle w:val="tablenotes1"/>
            </w:pPr>
            <w:r>
              <w:t>-</w:t>
            </w:r>
          </w:p>
        </w:tc>
        <w:tc>
          <w:tcPr>
            <w:tcW w:w="508" w:type="pct"/>
            <w:noWrap/>
            <w:hideMark/>
          </w:tcPr>
          <w:p w14:paraId="0F420B35" w14:textId="77777777" w:rsidR="00993FD1" w:rsidRPr="00B61CC0" w:rsidRDefault="00993FD1">
            <w:pPr>
              <w:pStyle w:val="tablenotes1"/>
            </w:pPr>
            <w:r>
              <w:t>-</w:t>
            </w:r>
          </w:p>
        </w:tc>
        <w:tc>
          <w:tcPr>
            <w:tcW w:w="393" w:type="pct"/>
            <w:noWrap/>
            <w:hideMark/>
          </w:tcPr>
          <w:p w14:paraId="73B496C4" w14:textId="77777777" w:rsidR="00993FD1" w:rsidRPr="00B61CC0" w:rsidRDefault="00993FD1">
            <w:pPr>
              <w:pStyle w:val="tablenotes1"/>
            </w:pPr>
            <w:r>
              <w:t>-</w:t>
            </w:r>
          </w:p>
        </w:tc>
        <w:tc>
          <w:tcPr>
            <w:tcW w:w="441" w:type="pct"/>
            <w:noWrap/>
            <w:hideMark/>
          </w:tcPr>
          <w:p w14:paraId="7208C4FA" w14:textId="77777777" w:rsidR="00993FD1" w:rsidRPr="00B61CC0" w:rsidRDefault="00993FD1">
            <w:pPr>
              <w:pStyle w:val="tablenotes1"/>
            </w:pPr>
            <w:r>
              <w:t>-</w:t>
            </w:r>
          </w:p>
        </w:tc>
        <w:tc>
          <w:tcPr>
            <w:tcW w:w="441" w:type="pct"/>
            <w:noWrap/>
            <w:hideMark/>
          </w:tcPr>
          <w:p w14:paraId="55799AB0" w14:textId="77777777" w:rsidR="00993FD1" w:rsidRPr="00B61CC0" w:rsidRDefault="00993FD1">
            <w:pPr>
              <w:pStyle w:val="tablenotes1"/>
            </w:pPr>
            <w:r>
              <w:t>-</w:t>
            </w:r>
          </w:p>
        </w:tc>
        <w:tc>
          <w:tcPr>
            <w:tcW w:w="441" w:type="pct"/>
            <w:noWrap/>
            <w:hideMark/>
          </w:tcPr>
          <w:p w14:paraId="3530331F" w14:textId="77777777" w:rsidR="00993FD1" w:rsidRPr="00B61CC0" w:rsidRDefault="00993FD1">
            <w:pPr>
              <w:pStyle w:val="tablenotes1"/>
            </w:pPr>
            <w:r>
              <w:t>-</w:t>
            </w:r>
          </w:p>
        </w:tc>
        <w:tc>
          <w:tcPr>
            <w:tcW w:w="441" w:type="pct"/>
            <w:noWrap/>
            <w:hideMark/>
          </w:tcPr>
          <w:p w14:paraId="1525F64B" w14:textId="77777777" w:rsidR="00993FD1" w:rsidRPr="00B61CC0" w:rsidRDefault="00993FD1">
            <w:pPr>
              <w:pStyle w:val="tablenotes1"/>
            </w:pPr>
            <w:r>
              <w:t>-</w:t>
            </w:r>
          </w:p>
        </w:tc>
      </w:tr>
      <w:tr w:rsidR="00993FD1" w:rsidRPr="00B61CC0" w14:paraId="450008EA" w14:textId="77777777">
        <w:trPr>
          <w:trHeight w:val="314"/>
        </w:trPr>
        <w:tc>
          <w:tcPr>
            <w:tcW w:w="964" w:type="pct"/>
            <w:hideMark/>
          </w:tcPr>
          <w:p w14:paraId="2E8D425C" w14:textId="77777777" w:rsidR="00993FD1" w:rsidRPr="00B61CC0" w:rsidRDefault="00993FD1">
            <w:pPr>
              <w:pStyle w:val="tablenotes1"/>
              <w:jc w:val="left"/>
            </w:pPr>
            <w:r w:rsidRPr="00B61CC0">
              <w:t xml:space="preserve">Conjunctival </w:t>
            </w:r>
            <w:r>
              <w:t>h</w:t>
            </w:r>
            <w:r w:rsidRPr="00B61CC0">
              <w:t>aemorrhage</w:t>
            </w:r>
          </w:p>
        </w:tc>
        <w:tc>
          <w:tcPr>
            <w:tcW w:w="508" w:type="pct"/>
            <w:hideMark/>
          </w:tcPr>
          <w:p w14:paraId="7C378F79" w14:textId="77777777" w:rsidR="00993FD1" w:rsidRPr="00B61CC0" w:rsidRDefault="00993FD1">
            <w:pPr>
              <w:pStyle w:val="tablenotes1"/>
            </w:pPr>
            <w:r w:rsidRPr="00B61CC0">
              <w:t>5 (5)</w:t>
            </w:r>
          </w:p>
        </w:tc>
        <w:tc>
          <w:tcPr>
            <w:tcW w:w="441" w:type="pct"/>
          </w:tcPr>
          <w:p w14:paraId="7A87FCCE" w14:textId="77777777" w:rsidR="00993FD1" w:rsidRDefault="00993FD1">
            <w:pPr>
              <w:pStyle w:val="tablenotes1"/>
            </w:pPr>
            <w:r>
              <w:t>-</w:t>
            </w:r>
          </w:p>
        </w:tc>
        <w:tc>
          <w:tcPr>
            <w:tcW w:w="422" w:type="pct"/>
            <w:noWrap/>
            <w:hideMark/>
          </w:tcPr>
          <w:p w14:paraId="4DFA61BF" w14:textId="77777777" w:rsidR="00993FD1" w:rsidRPr="00B61CC0" w:rsidRDefault="00993FD1">
            <w:pPr>
              <w:pStyle w:val="tablenotes1"/>
            </w:pPr>
            <w:r>
              <w:t>-</w:t>
            </w:r>
          </w:p>
        </w:tc>
        <w:tc>
          <w:tcPr>
            <w:tcW w:w="508" w:type="pct"/>
            <w:noWrap/>
            <w:hideMark/>
          </w:tcPr>
          <w:p w14:paraId="1984C06B" w14:textId="77777777" w:rsidR="00993FD1" w:rsidRPr="00B61CC0" w:rsidRDefault="00993FD1">
            <w:pPr>
              <w:pStyle w:val="tablenotes1"/>
            </w:pPr>
            <w:r>
              <w:t>-</w:t>
            </w:r>
          </w:p>
        </w:tc>
        <w:tc>
          <w:tcPr>
            <w:tcW w:w="393" w:type="pct"/>
            <w:noWrap/>
            <w:hideMark/>
          </w:tcPr>
          <w:p w14:paraId="14D68F28" w14:textId="77777777" w:rsidR="00993FD1" w:rsidRPr="00B61CC0" w:rsidRDefault="00993FD1">
            <w:pPr>
              <w:pStyle w:val="tablenotes1"/>
            </w:pPr>
            <w:r>
              <w:t>-</w:t>
            </w:r>
          </w:p>
        </w:tc>
        <w:tc>
          <w:tcPr>
            <w:tcW w:w="441" w:type="pct"/>
            <w:noWrap/>
            <w:hideMark/>
          </w:tcPr>
          <w:p w14:paraId="063EB38C" w14:textId="77777777" w:rsidR="00993FD1" w:rsidRPr="00B61CC0" w:rsidRDefault="00993FD1">
            <w:pPr>
              <w:pStyle w:val="tablenotes1"/>
            </w:pPr>
            <w:r>
              <w:t>-</w:t>
            </w:r>
          </w:p>
        </w:tc>
        <w:tc>
          <w:tcPr>
            <w:tcW w:w="441" w:type="pct"/>
            <w:noWrap/>
            <w:hideMark/>
          </w:tcPr>
          <w:p w14:paraId="2E7AB650" w14:textId="77777777" w:rsidR="00993FD1" w:rsidRPr="00B61CC0" w:rsidRDefault="00993FD1">
            <w:pPr>
              <w:pStyle w:val="tablenotes1"/>
            </w:pPr>
            <w:r>
              <w:t>-</w:t>
            </w:r>
          </w:p>
        </w:tc>
        <w:tc>
          <w:tcPr>
            <w:tcW w:w="441" w:type="pct"/>
            <w:noWrap/>
            <w:hideMark/>
          </w:tcPr>
          <w:p w14:paraId="34B0D43C" w14:textId="77777777" w:rsidR="00993FD1" w:rsidRPr="00B61CC0" w:rsidRDefault="00993FD1">
            <w:pPr>
              <w:pStyle w:val="tablenotes1"/>
            </w:pPr>
            <w:r>
              <w:t>-</w:t>
            </w:r>
          </w:p>
        </w:tc>
        <w:tc>
          <w:tcPr>
            <w:tcW w:w="441" w:type="pct"/>
            <w:noWrap/>
            <w:hideMark/>
          </w:tcPr>
          <w:p w14:paraId="7ECACBF9" w14:textId="77777777" w:rsidR="00993FD1" w:rsidRPr="00B61CC0" w:rsidRDefault="00993FD1">
            <w:pPr>
              <w:pStyle w:val="tablenotes1"/>
            </w:pPr>
            <w:r>
              <w:t>-</w:t>
            </w:r>
          </w:p>
        </w:tc>
      </w:tr>
      <w:tr w:rsidR="00993FD1" w:rsidRPr="00B61CC0" w14:paraId="337C543B" w14:textId="77777777">
        <w:trPr>
          <w:trHeight w:val="314"/>
        </w:trPr>
        <w:tc>
          <w:tcPr>
            <w:tcW w:w="964" w:type="pct"/>
            <w:hideMark/>
          </w:tcPr>
          <w:p w14:paraId="2D62E3C8" w14:textId="77777777" w:rsidR="00993FD1" w:rsidRPr="00B61CC0" w:rsidRDefault="00993FD1">
            <w:pPr>
              <w:pStyle w:val="tablenotes1"/>
              <w:jc w:val="left"/>
            </w:pPr>
            <w:r w:rsidRPr="00B61CC0">
              <w:t xml:space="preserve">Vision </w:t>
            </w:r>
            <w:r>
              <w:t>b</w:t>
            </w:r>
            <w:r w:rsidRPr="00B61CC0">
              <w:t>lurred</w:t>
            </w:r>
          </w:p>
        </w:tc>
        <w:tc>
          <w:tcPr>
            <w:tcW w:w="508" w:type="pct"/>
            <w:hideMark/>
          </w:tcPr>
          <w:p w14:paraId="45C94347" w14:textId="77777777" w:rsidR="00993FD1" w:rsidRPr="00B61CC0" w:rsidRDefault="00993FD1">
            <w:pPr>
              <w:pStyle w:val="tablenotes1"/>
            </w:pPr>
            <w:r w:rsidRPr="00B61CC0">
              <w:t>8 (8)</w:t>
            </w:r>
          </w:p>
        </w:tc>
        <w:tc>
          <w:tcPr>
            <w:tcW w:w="441" w:type="pct"/>
          </w:tcPr>
          <w:p w14:paraId="5526C98B" w14:textId="77777777" w:rsidR="00993FD1" w:rsidRDefault="00993FD1">
            <w:pPr>
              <w:pStyle w:val="tablenotes1"/>
            </w:pPr>
            <w:r>
              <w:t>-</w:t>
            </w:r>
          </w:p>
        </w:tc>
        <w:tc>
          <w:tcPr>
            <w:tcW w:w="422" w:type="pct"/>
            <w:noWrap/>
            <w:hideMark/>
          </w:tcPr>
          <w:p w14:paraId="4C0EAFAA" w14:textId="77777777" w:rsidR="00993FD1" w:rsidRPr="00B61CC0" w:rsidRDefault="00993FD1">
            <w:pPr>
              <w:pStyle w:val="tablenotes1"/>
            </w:pPr>
            <w:r>
              <w:t>-</w:t>
            </w:r>
          </w:p>
        </w:tc>
        <w:tc>
          <w:tcPr>
            <w:tcW w:w="508" w:type="pct"/>
            <w:noWrap/>
            <w:hideMark/>
          </w:tcPr>
          <w:p w14:paraId="6A75E240" w14:textId="77777777" w:rsidR="00993FD1" w:rsidRPr="00B61CC0" w:rsidRDefault="00993FD1">
            <w:pPr>
              <w:pStyle w:val="tablenotes1"/>
            </w:pPr>
            <w:r>
              <w:t>-</w:t>
            </w:r>
          </w:p>
        </w:tc>
        <w:tc>
          <w:tcPr>
            <w:tcW w:w="393" w:type="pct"/>
            <w:noWrap/>
            <w:hideMark/>
          </w:tcPr>
          <w:p w14:paraId="477594C1" w14:textId="77777777" w:rsidR="00993FD1" w:rsidRPr="00B61CC0" w:rsidRDefault="00993FD1">
            <w:pPr>
              <w:pStyle w:val="tablenotes1"/>
            </w:pPr>
            <w:r>
              <w:t>-</w:t>
            </w:r>
          </w:p>
        </w:tc>
        <w:tc>
          <w:tcPr>
            <w:tcW w:w="441" w:type="pct"/>
            <w:noWrap/>
            <w:hideMark/>
          </w:tcPr>
          <w:p w14:paraId="04D89259" w14:textId="77777777" w:rsidR="00993FD1" w:rsidRPr="00B61CC0" w:rsidRDefault="00993FD1">
            <w:pPr>
              <w:pStyle w:val="tablenotes1"/>
            </w:pPr>
            <w:r>
              <w:t>-</w:t>
            </w:r>
          </w:p>
        </w:tc>
        <w:tc>
          <w:tcPr>
            <w:tcW w:w="441" w:type="pct"/>
            <w:noWrap/>
            <w:hideMark/>
          </w:tcPr>
          <w:p w14:paraId="037318D5" w14:textId="77777777" w:rsidR="00993FD1" w:rsidRPr="00B61CC0" w:rsidRDefault="00993FD1">
            <w:pPr>
              <w:pStyle w:val="tablenotes1"/>
            </w:pPr>
            <w:r>
              <w:t>-</w:t>
            </w:r>
          </w:p>
        </w:tc>
        <w:tc>
          <w:tcPr>
            <w:tcW w:w="441" w:type="pct"/>
            <w:noWrap/>
            <w:hideMark/>
          </w:tcPr>
          <w:p w14:paraId="718C5534" w14:textId="77777777" w:rsidR="00993FD1" w:rsidRPr="00B61CC0" w:rsidRDefault="00993FD1">
            <w:pPr>
              <w:pStyle w:val="tablenotes1"/>
            </w:pPr>
            <w:r>
              <w:t>-</w:t>
            </w:r>
          </w:p>
        </w:tc>
        <w:tc>
          <w:tcPr>
            <w:tcW w:w="441" w:type="pct"/>
            <w:noWrap/>
            <w:hideMark/>
          </w:tcPr>
          <w:p w14:paraId="2FADA414" w14:textId="77777777" w:rsidR="00993FD1" w:rsidRPr="00B61CC0" w:rsidRDefault="00993FD1">
            <w:pPr>
              <w:pStyle w:val="tablenotes1"/>
            </w:pPr>
            <w:r>
              <w:t>-</w:t>
            </w:r>
          </w:p>
        </w:tc>
      </w:tr>
      <w:tr w:rsidR="00993FD1" w:rsidRPr="00B61CC0" w14:paraId="10403414" w14:textId="77777777">
        <w:trPr>
          <w:trHeight w:val="314"/>
        </w:trPr>
        <w:tc>
          <w:tcPr>
            <w:tcW w:w="964" w:type="pct"/>
            <w:hideMark/>
          </w:tcPr>
          <w:p w14:paraId="43B8216B" w14:textId="77777777" w:rsidR="00993FD1" w:rsidRPr="00B61CC0" w:rsidRDefault="00993FD1">
            <w:pPr>
              <w:pStyle w:val="tablenotes1"/>
              <w:jc w:val="left"/>
            </w:pPr>
            <w:r w:rsidRPr="00B61CC0">
              <w:t xml:space="preserve">Pupillary </w:t>
            </w:r>
            <w:r>
              <w:t>d</w:t>
            </w:r>
            <w:r w:rsidRPr="00B61CC0">
              <w:t>eformity</w:t>
            </w:r>
          </w:p>
        </w:tc>
        <w:tc>
          <w:tcPr>
            <w:tcW w:w="508" w:type="pct"/>
            <w:hideMark/>
          </w:tcPr>
          <w:p w14:paraId="09E6D260" w14:textId="77777777" w:rsidR="00993FD1" w:rsidRPr="00B61CC0" w:rsidRDefault="00993FD1">
            <w:pPr>
              <w:pStyle w:val="tablenotes1"/>
            </w:pPr>
            <w:r w:rsidRPr="00B61CC0">
              <w:t>8 (8)</w:t>
            </w:r>
          </w:p>
        </w:tc>
        <w:tc>
          <w:tcPr>
            <w:tcW w:w="441" w:type="pct"/>
          </w:tcPr>
          <w:p w14:paraId="772171CE" w14:textId="77777777" w:rsidR="00993FD1" w:rsidRDefault="00993FD1">
            <w:pPr>
              <w:pStyle w:val="tablenotes1"/>
            </w:pPr>
            <w:r>
              <w:t>-</w:t>
            </w:r>
          </w:p>
        </w:tc>
        <w:tc>
          <w:tcPr>
            <w:tcW w:w="422" w:type="pct"/>
            <w:noWrap/>
            <w:hideMark/>
          </w:tcPr>
          <w:p w14:paraId="5917F03C" w14:textId="77777777" w:rsidR="00993FD1" w:rsidRPr="00B61CC0" w:rsidRDefault="00993FD1">
            <w:pPr>
              <w:pStyle w:val="tablenotes1"/>
            </w:pPr>
            <w:r>
              <w:t>-</w:t>
            </w:r>
          </w:p>
        </w:tc>
        <w:tc>
          <w:tcPr>
            <w:tcW w:w="508" w:type="pct"/>
            <w:noWrap/>
            <w:hideMark/>
          </w:tcPr>
          <w:p w14:paraId="06680624" w14:textId="77777777" w:rsidR="00993FD1" w:rsidRPr="00B61CC0" w:rsidRDefault="00993FD1">
            <w:pPr>
              <w:pStyle w:val="tablenotes1"/>
            </w:pPr>
            <w:r>
              <w:t>-</w:t>
            </w:r>
          </w:p>
        </w:tc>
        <w:tc>
          <w:tcPr>
            <w:tcW w:w="393" w:type="pct"/>
            <w:noWrap/>
            <w:hideMark/>
          </w:tcPr>
          <w:p w14:paraId="5FC04C79" w14:textId="77777777" w:rsidR="00993FD1" w:rsidRPr="00B61CC0" w:rsidRDefault="00993FD1">
            <w:pPr>
              <w:pStyle w:val="tablenotes1"/>
            </w:pPr>
            <w:r>
              <w:t>-</w:t>
            </w:r>
          </w:p>
        </w:tc>
        <w:tc>
          <w:tcPr>
            <w:tcW w:w="441" w:type="pct"/>
            <w:noWrap/>
            <w:hideMark/>
          </w:tcPr>
          <w:p w14:paraId="6F429D0A" w14:textId="77777777" w:rsidR="00993FD1" w:rsidRPr="00B61CC0" w:rsidRDefault="00993FD1">
            <w:pPr>
              <w:pStyle w:val="tablenotes1"/>
            </w:pPr>
            <w:r>
              <w:t>-</w:t>
            </w:r>
          </w:p>
        </w:tc>
        <w:tc>
          <w:tcPr>
            <w:tcW w:w="441" w:type="pct"/>
            <w:noWrap/>
            <w:hideMark/>
          </w:tcPr>
          <w:p w14:paraId="698F75BA" w14:textId="77777777" w:rsidR="00993FD1" w:rsidRPr="00B61CC0" w:rsidRDefault="00993FD1">
            <w:pPr>
              <w:pStyle w:val="tablenotes1"/>
            </w:pPr>
            <w:r>
              <w:t>-</w:t>
            </w:r>
          </w:p>
        </w:tc>
        <w:tc>
          <w:tcPr>
            <w:tcW w:w="441" w:type="pct"/>
            <w:noWrap/>
            <w:hideMark/>
          </w:tcPr>
          <w:p w14:paraId="3FA44C64" w14:textId="77777777" w:rsidR="00993FD1" w:rsidRPr="00B61CC0" w:rsidRDefault="00993FD1">
            <w:pPr>
              <w:pStyle w:val="tablenotes1"/>
            </w:pPr>
            <w:r>
              <w:t>-</w:t>
            </w:r>
          </w:p>
        </w:tc>
        <w:tc>
          <w:tcPr>
            <w:tcW w:w="441" w:type="pct"/>
            <w:noWrap/>
            <w:hideMark/>
          </w:tcPr>
          <w:p w14:paraId="1D1380C8" w14:textId="77777777" w:rsidR="00993FD1" w:rsidRPr="00B61CC0" w:rsidRDefault="00993FD1">
            <w:pPr>
              <w:pStyle w:val="tablenotes1"/>
            </w:pPr>
            <w:r>
              <w:t>-</w:t>
            </w:r>
          </w:p>
        </w:tc>
      </w:tr>
      <w:tr w:rsidR="00993FD1" w:rsidRPr="00B61CC0" w14:paraId="48A7C5E5" w14:textId="77777777">
        <w:trPr>
          <w:trHeight w:val="314"/>
        </w:trPr>
        <w:tc>
          <w:tcPr>
            <w:tcW w:w="964" w:type="pct"/>
            <w:hideMark/>
          </w:tcPr>
          <w:p w14:paraId="0A1A9852" w14:textId="77777777" w:rsidR="00993FD1" w:rsidRPr="00B61CC0" w:rsidRDefault="00993FD1">
            <w:pPr>
              <w:pStyle w:val="tablenotes1"/>
              <w:jc w:val="left"/>
            </w:pPr>
            <w:r w:rsidRPr="00B61CC0">
              <w:t>Cataract/</w:t>
            </w:r>
            <w:r>
              <w:br/>
            </w:r>
            <w:r w:rsidRPr="00B61CC0">
              <w:t>progression</w:t>
            </w:r>
          </w:p>
        </w:tc>
        <w:tc>
          <w:tcPr>
            <w:tcW w:w="508" w:type="pct"/>
            <w:hideMark/>
          </w:tcPr>
          <w:p w14:paraId="395225FB" w14:textId="77777777" w:rsidR="00993FD1" w:rsidRPr="00B61CC0" w:rsidRDefault="00993FD1">
            <w:pPr>
              <w:pStyle w:val="tablenotes1"/>
            </w:pPr>
            <w:r w:rsidRPr="00B61CC0">
              <w:t>3 (3)</w:t>
            </w:r>
          </w:p>
        </w:tc>
        <w:tc>
          <w:tcPr>
            <w:tcW w:w="441" w:type="pct"/>
          </w:tcPr>
          <w:p w14:paraId="1F87DDC2" w14:textId="77777777" w:rsidR="00993FD1" w:rsidRDefault="00993FD1">
            <w:pPr>
              <w:pStyle w:val="tablenotes1"/>
            </w:pPr>
            <w:r>
              <w:t>15 (4)</w:t>
            </w:r>
          </w:p>
        </w:tc>
        <w:tc>
          <w:tcPr>
            <w:tcW w:w="422" w:type="pct"/>
            <w:noWrap/>
            <w:hideMark/>
          </w:tcPr>
          <w:p w14:paraId="3A533192" w14:textId="77777777" w:rsidR="00993FD1" w:rsidRPr="00B61CC0" w:rsidRDefault="00993FD1">
            <w:pPr>
              <w:pStyle w:val="tablenotes1"/>
            </w:pPr>
            <w:r>
              <w:t>-</w:t>
            </w:r>
          </w:p>
        </w:tc>
        <w:tc>
          <w:tcPr>
            <w:tcW w:w="508" w:type="pct"/>
            <w:noWrap/>
            <w:hideMark/>
          </w:tcPr>
          <w:p w14:paraId="24A17C91" w14:textId="77777777" w:rsidR="00993FD1" w:rsidRPr="00B61CC0" w:rsidRDefault="00993FD1">
            <w:pPr>
              <w:pStyle w:val="tablenotes1"/>
            </w:pPr>
            <w:r>
              <w:t>-</w:t>
            </w:r>
          </w:p>
        </w:tc>
        <w:tc>
          <w:tcPr>
            <w:tcW w:w="393" w:type="pct"/>
            <w:noWrap/>
            <w:hideMark/>
          </w:tcPr>
          <w:p w14:paraId="623487F0" w14:textId="77777777" w:rsidR="00993FD1" w:rsidRPr="00B61CC0" w:rsidRDefault="00993FD1">
            <w:pPr>
              <w:pStyle w:val="tablenotes1"/>
            </w:pPr>
            <w:r w:rsidRPr="00B61CC0">
              <w:t>2 (4)</w:t>
            </w:r>
          </w:p>
        </w:tc>
        <w:tc>
          <w:tcPr>
            <w:tcW w:w="441" w:type="pct"/>
            <w:noWrap/>
            <w:hideMark/>
          </w:tcPr>
          <w:p w14:paraId="144FE40C" w14:textId="77777777" w:rsidR="00993FD1" w:rsidRPr="00B61CC0" w:rsidRDefault="00993FD1">
            <w:pPr>
              <w:pStyle w:val="tablenotes1"/>
            </w:pPr>
            <w:r w:rsidRPr="00B61CC0">
              <w:t>4 (7)</w:t>
            </w:r>
          </w:p>
        </w:tc>
        <w:tc>
          <w:tcPr>
            <w:tcW w:w="441" w:type="pct"/>
            <w:noWrap/>
            <w:hideMark/>
          </w:tcPr>
          <w:p w14:paraId="57EC5C60" w14:textId="77777777" w:rsidR="00993FD1" w:rsidRPr="00B61CC0" w:rsidRDefault="00993FD1">
            <w:pPr>
              <w:pStyle w:val="tablenotes1"/>
            </w:pPr>
            <w:r>
              <w:t>-</w:t>
            </w:r>
          </w:p>
        </w:tc>
        <w:tc>
          <w:tcPr>
            <w:tcW w:w="441" w:type="pct"/>
            <w:noWrap/>
            <w:hideMark/>
          </w:tcPr>
          <w:p w14:paraId="21A0BBAC" w14:textId="77777777" w:rsidR="00993FD1" w:rsidRPr="00B61CC0" w:rsidRDefault="00993FD1">
            <w:pPr>
              <w:pStyle w:val="tablenotes1"/>
            </w:pPr>
            <w:r w:rsidRPr="00B61CC0">
              <w:t>5 (12)</w:t>
            </w:r>
          </w:p>
        </w:tc>
        <w:tc>
          <w:tcPr>
            <w:tcW w:w="441" w:type="pct"/>
            <w:hideMark/>
          </w:tcPr>
          <w:p w14:paraId="2E4C856F" w14:textId="77777777" w:rsidR="00993FD1" w:rsidRPr="00B61CC0" w:rsidRDefault="00993FD1">
            <w:pPr>
              <w:pStyle w:val="tablenotes1"/>
            </w:pPr>
            <w:r w:rsidRPr="00B61CC0">
              <w:t>4 (5)</w:t>
            </w:r>
          </w:p>
        </w:tc>
      </w:tr>
      <w:tr w:rsidR="00993FD1" w:rsidRPr="00B61CC0" w14:paraId="06EFBC6E" w14:textId="77777777">
        <w:trPr>
          <w:trHeight w:val="330"/>
        </w:trPr>
        <w:tc>
          <w:tcPr>
            <w:tcW w:w="964" w:type="pct"/>
            <w:noWrap/>
            <w:hideMark/>
          </w:tcPr>
          <w:p w14:paraId="675FC279" w14:textId="77777777" w:rsidR="00993FD1" w:rsidRPr="00B61CC0" w:rsidRDefault="00993FD1">
            <w:pPr>
              <w:pStyle w:val="tablenotes1"/>
              <w:jc w:val="left"/>
            </w:pPr>
            <w:r w:rsidRPr="00B61CC0">
              <w:t>Device not visible</w:t>
            </w:r>
            <w:r>
              <w:rPr>
                <w:vertAlign w:val="superscript"/>
              </w:rPr>
              <w:t>*</w:t>
            </w:r>
          </w:p>
        </w:tc>
        <w:tc>
          <w:tcPr>
            <w:tcW w:w="508" w:type="pct"/>
            <w:noWrap/>
            <w:hideMark/>
          </w:tcPr>
          <w:p w14:paraId="5FB48574" w14:textId="77777777" w:rsidR="00993FD1" w:rsidRPr="00B61CC0" w:rsidRDefault="00993FD1">
            <w:pPr>
              <w:pStyle w:val="tablenotes1"/>
            </w:pPr>
            <w:r>
              <w:t>-</w:t>
            </w:r>
          </w:p>
        </w:tc>
        <w:tc>
          <w:tcPr>
            <w:tcW w:w="441" w:type="pct"/>
          </w:tcPr>
          <w:p w14:paraId="2B70A9C1" w14:textId="77777777" w:rsidR="00993FD1" w:rsidRPr="00B61CC0" w:rsidRDefault="00993FD1">
            <w:pPr>
              <w:pStyle w:val="tablenotes1"/>
            </w:pPr>
            <w:r>
              <w:t>13 (3)</w:t>
            </w:r>
          </w:p>
        </w:tc>
        <w:tc>
          <w:tcPr>
            <w:tcW w:w="422" w:type="pct"/>
            <w:noWrap/>
            <w:hideMark/>
          </w:tcPr>
          <w:p w14:paraId="1C2D1932" w14:textId="77777777" w:rsidR="00993FD1" w:rsidRPr="00B61CC0" w:rsidRDefault="00993FD1">
            <w:pPr>
              <w:pStyle w:val="tablenotes1"/>
            </w:pPr>
            <w:r w:rsidRPr="00B61CC0">
              <w:t>13 (13)</w:t>
            </w:r>
          </w:p>
        </w:tc>
        <w:tc>
          <w:tcPr>
            <w:tcW w:w="508" w:type="pct"/>
            <w:noWrap/>
            <w:hideMark/>
          </w:tcPr>
          <w:p w14:paraId="092C62F7" w14:textId="77777777" w:rsidR="00993FD1" w:rsidRPr="00B61CC0" w:rsidRDefault="00993FD1">
            <w:pPr>
              <w:pStyle w:val="tablenotes1"/>
            </w:pPr>
            <w:r>
              <w:t>-</w:t>
            </w:r>
          </w:p>
        </w:tc>
        <w:tc>
          <w:tcPr>
            <w:tcW w:w="393" w:type="pct"/>
            <w:noWrap/>
            <w:hideMark/>
          </w:tcPr>
          <w:p w14:paraId="06DD625E" w14:textId="77777777" w:rsidR="00993FD1" w:rsidRPr="00B61CC0" w:rsidRDefault="00993FD1">
            <w:pPr>
              <w:pStyle w:val="tablenotes1"/>
            </w:pPr>
            <w:r>
              <w:t>-</w:t>
            </w:r>
          </w:p>
        </w:tc>
        <w:tc>
          <w:tcPr>
            <w:tcW w:w="441" w:type="pct"/>
            <w:noWrap/>
            <w:hideMark/>
          </w:tcPr>
          <w:p w14:paraId="7613724F" w14:textId="77777777" w:rsidR="00993FD1" w:rsidRPr="00B61CC0" w:rsidRDefault="00993FD1">
            <w:pPr>
              <w:pStyle w:val="tablenotes1"/>
            </w:pPr>
            <w:r>
              <w:t>-</w:t>
            </w:r>
          </w:p>
        </w:tc>
        <w:tc>
          <w:tcPr>
            <w:tcW w:w="441" w:type="pct"/>
            <w:noWrap/>
            <w:hideMark/>
          </w:tcPr>
          <w:p w14:paraId="63152972" w14:textId="77777777" w:rsidR="00993FD1" w:rsidRPr="00B61CC0" w:rsidRDefault="00993FD1">
            <w:pPr>
              <w:pStyle w:val="tablenotes1"/>
            </w:pPr>
            <w:r>
              <w:t>-</w:t>
            </w:r>
          </w:p>
        </w:tc>
        <w:tc>
          <w:tcPr>
            <w:tcW w:w="441" w:type="pct"/>
            <w:noWrap/>
            <w:hideMark/>
          </w:tcPr>
          <w:p w14:paraId="3DE3F838" w14:textId="77777777" w:rsidR="00993FD1" w:rsidRPr="00B61CC0" w:rsidRDefault="00993FD1">
            <w:pPr>
              <w:pStyle w:val="tablenotes1"/>
            </w:pPr>
            <w:r>
              <w:t>-</w:t>
            </w:r>
          </w:p>
        </w:tc>
        <w:tc>
          <w:tcPr>
            <w:tcW w:w="441" w:type="pct"/>
            <w:noWrap/>
            <w:hideMark/>
          </w:tcPr>
          <w:p w14:paraId="6DB65535" w14:textId="77777777" w:rsidR="00993FD1" w:rsidRPr="00B61CC0" w:rsidRDefault="00993FD1">
            <w:pPr>
              <w:pStyle w:val="tablenotes1"/>
            </w:pPr>
            <w:r>
              <w:t>-</w:t>
            </w:r>
          </w:p>
        </w:tc>
      </w:tr>
      <w:tr w:rsidR="00993FD1" w:rsidRPr="00B61CC0" w14:paraId="09D88012" w14:textId="77777777">
        <w:trPr>
          <w:trHeight w:val="314"/>
        </w:trPr>
        <w:tc>
          <w:tcPr>
            <w:tcW w:w="964" w:type="pct"/>
            <w:noWrap/>
            <w:hideMark/>
          </w:tcPr>
          <w:p w14:paraId="361C8A46" w14:textId="77777777" w:rsidR="00993FD1" w:rsidRPr="00B61CC0" w:rsidRDefault="00993FD1">
            <w:pPr>
              <w:pStyle w:val="tablenotes1"/>
              <w:jc w:val="left"/>
            </w:pPr>
            <w:r w:rsidRPr="00B61CC0">
              <w:t>Device obstruction</w:t>
            </w:r>
          </w:p>
        </w:tc>
        <w:tc>
          <w:tcPr>
            <w:tcW w:w="508" w:type="pct"/>
            <w:noWrap/>
            <w:hideMark/>
          </w:tcPr>
          <w:p w14:paraId="7FF16FC0" w14:textId="77777777" w:rsidR="00993FD1" w:rsidRPr="00B61CC0" w:rsidRDefault="00993FD1">
            <w:pPr>
              <w:pStyle w:val="tablenotes1"/>
            </w:pPr>
            <w:r>
              <w:t>-</w:t>
            </w:r>
          </w:p>
        </w:tc>
        <w:tc>
          <w:tcPr>
            <w:tcW w:w="441" w:type="pct"/>
          </w:tcPr>
          <w:p w14:paraId="6C590E29" w14:textId="77777777" w:rsidR="00993FD1" w:rsidRPr="00B61CC0" w:rsidRDefault="00993FD1">
            <w:pPr>
              <w:pStyle w:val="tablenotes1"/>
            </w:pPr>
            <w:r>
              <w:t>13 (3)</w:t>
            </w:r>
          </w:p>
        </w:tc>
        <w:tc>
          <w:tcPr>
            <w:tcW w:w="422" w:type="pct"/>
            <w:noWrap/>
            <w:hideMark/>
          </w:tcPr>
          <w:p w14:paraId="2F812D03" w14:textId="77777777" w:rsidR="00993FD1" w:rsidRPr="00B61CC0" w:rsidRDefault="00993FD1">
            <w:pPr>
              <w:pStyle w:val="tablenotes1"/>
            </w:pPr>
            <w:r w:rsidRPr="00B61CC0">
              <w:t>3 (3)</w:t>
            </w:r>
          </w:p>
        </w:tc>
        <w:tc>
          <w:tcPr>
            <w:tcW w:w="508" w:type="pct"/>
            <w:noWrap/>
            <w:hideMark/>
          </w:tcPr>
          <w:p w14:paraId="09A89825" w14:textId="77777777" w:rsidR="00993FD1" w:rsidRPr="00B61CC0" w:rsidRDefault="00993FD1">
            <w:pPr>
              <w:pStyle w:val="tablenotes1"/>
            </w:pPr>
            <w:r>
              <w:t>-</w:t>
            </w:r>
          </w:p>
        </w:tc>
        <w:tc>
          <w:tcPr>
            <w:tcW w:w="393" w:type="pct"/>
            <w:noWrap/>
            <w:hideMark/>
          </w:tcPr>
          <w:p w14:paraId="23E184EE" w14:textId="77777777" w:rsidR="00993FD1" w:rsidRPr="00B61CC0" w:rsidRDefault="00993FD1">
            <w:pPr>
              <w:pStyle w:val="tablenotes1"/>
            </w:pPr>
            <w:r>
              <w:t>-</w:t>
            </w:r>
          </w:p>
        </w:tc>
        <w:tc>
          <w:tcPr>
            <w:tcW w:w="441" w:type="pct"/>
            <w:noWrap/>
            <w:hideMark/>
          </w:tcPr>
          <w:p w14:paraId="1DB56EDD" w14:textId="77777777" w:rsidR="00993FD1" w:rsidRPr="00B61CC0" w:rsidRDefault="00993FD1">
            <w:pPr>
              <w:pStyle w:val="tablenotes1"/>
            </w:pPr>
            <w:r>
              <w:t>-</w:t>
            </w:r>
          </w:p>
        </w:tc>
        <w:tc>
          <w:tcPr>
            <w:tcW w:w="441" w:type="pct"/>
            <w:noWrap/>
            <w:hideMark/>
          </w:tcPr>
          <w:p w14:paraId="546AC3F0" w14:textId="77777777" w:rsidR="00993FD1" w:rsidRPr="00B61CC0" w:rsidRDefault="00993FD1">
            <w:pPr>
              <w:pStyle w:val="tablenotes1"/>
            </w:pPr>
            <w:r>
              <w:t>-</w:t>
            </w:r>
          </w:p>
        </w:tc>
        <w:tc>
          <w:tcPr>
            <w:tcW w:w="441" w:type="pct"/>
            <w:noWrap/>
            <w:hideMark/>
          </w:tcPr>
          <w:p w14:paraId="1EEBBC1C" w14:textId="77777777" w:rsidR="00993FD1" w:rsidRPr="00B61CC0" w:rsidRDefault="00993FD1">
            <w:pPr>
              <w:pStyle w:val="tablenotes1"/>
            </w:pPr>
            <w:r>
              <w:t>-</w:t>
            </w:r>
          </w:p>
        </w:tc>
        <w:tc>
          <w:tcPr>
            <w:tcW w:w="441" w:type="pct"/>
            <w:noWrap/>
            <w:hideMark/>
          </w:tcPr>
          <w:p w14:paraId="549C438E" w14:textId="77777777" w:rsidR="00993FD1" w:rsidRPr="00B61CC0" w:rsidRDefault="00993FD1">
            <w:pPr>
              <w:pStyle w:val="tablenotes1"/>
            </w:pPr>
            <w:r w:rsidRPr="00B61CC0">
              <w:t>10 (13)</w:t>
            </w:r>
          </w:p>
        </w:tc>
      </w:tr>
      <w:tr w:rsidR="00993FD1" w:rsidRPr="00B61CC0" w14:paraId="25D808E0" w14:textId="77777777">
        <w:trPr>
          <w:trHeight w:val="314"/>
        </w:trPr>
        <w:tc>
          <w:tcPr>
            <w:tcW w:w="964" w:type="pct"/>
            <w:noWrap/>
            <w:hideMark/>
          </w:tcPr>
          <w:p w14:paraId="51B5F214" w14:textId="77777777" w:rsidR="00993FD1" w:rsidRPr="00B61CC0" w:rsidRDefault="00993FD1">
            <w:pPr>
              <w:pStyle w:val="tablenotes1"/>
              <w:jc w:val="left"/>
            </w:pPr>
            <w:r w:rsidRPr="00B61CC0">
              <w:t>Posterior capsular opacification</w:t>
            </w:r>
          </w:p>
        </w:tc>
        <w:tc>
          <w:tcPr>
            <w:tcW w:w="508" w:type="pct"/>
            <w:noWrap/>
            <w:hideMark/>
          </w:tcPr>
          <w:p w14:paraId="4C14C44E" w14:textId="77777777" w:rsidR="00993FD1" w:rsidRPr="00B61CC0" w:rsidRDefault="00993FD1">
            <w:pPr>
              <w:pStyle w:val="tablenotes1"/>
            </w:pPr>
            <w:r>
              <w:t>-</w:t>
            </w:r>
          </w:p>
        </w:tc>
        <w:tc>
          <w:tcPr>
            <w:tcW w:w="441" w:type="pct"/>
          </w:tcPr>
          <w:p w14:paraId="53BBB269" w14:textId="77777777" w:rsidR="00993FD1" w:rsidRPr="00B61CC0" w:rsidRDefault="00993FD1">
            <w:pPr>
              <w:pStyle w:val="tablenotes1"/>
            </w:pPr>
            <w:r>
              <w:t>2 (0)</w:t>
            </w:r>
          </w:p>
        </w:tc>
        <w:tc>
          <w:tcPr>
            <w:tcW w:w="422" w:type="pct"/>
            <w:noWrap/>
            <w:hideMark/>
          </w:tcPr>
          <w:p w14:paraId="62B84A52" w14:textId="77777777" w:rsidR="00993FD1" w:rsidRPr="00B61CC0" w:rsidRDefault="00993FD1">
            <w:pPr>
              <w:pStyle w:val="tablenotes1"/>
            </w:pPr>
            <w:r w:rsidRPr="00B61CC0">
              <w:t>2 (2)</w:t>
            </w:r>
          </w:p>
        </w:tc>
        <w:tc>
          <w:tcPr>
            <w:tcW w:w="508" w:type="pct"/>
            <w:noWrap/>
            <w:hideMark/>
          </w:tcPr>
          <w:p w14:paraId="5308265F" w14:textId="77777777" w:rsidR="00993FD1" w:rsidRPr="00B61CC0" w:rsidRDefault="00993FD1">
            <w:pPr>
              <w:pStyle w:val="tablenotes1"/>
            </w:pPr>
            <w:r>
              <w:t>-</w:t>
            </w:r>
          </w:p>
        </w:tc>
        <w:tc>
          <w:tcPr>
            <w:tcW w:w="393" w:type="pct"/>
            <w:noWrap/>
            <w:hideMark/>
          </w:tcPr>
          <w:p w14:paraId="7AB4EAA4" w14:textId="77777777" w:rsidR="00993FD1" w:rsidRPr="00B61CC0" w:rsidRDefault="00993FD1">
            <w:pPr>
              <w:pStyle w:val="tablenotes1"/>
            </w:pPr>
            <w:r>
              <w:t>-</w:t>
            </w:r>
          </w:p>
        </w:tc>
        <w:tc>
          <w:tcPr>
            <w:tcW w:w="441" w:type="pct"/>
            <w:noWrap/>
            <w:hideMark/>
          </w:tcPr>
          <w:p w14:paraId="099A9782" w14:textId="77777777" w:rsidR="00993FD1" w:rsidRPr="00B61CC0" w:rsidRDefault="00993FD1">
            <w:pPr>
              <w:pStyle w:val="tablenotes1"/>
            </w:pPr>
            <w:r>
              <w:t>-</w:t>
            </w:r>
          </w:p>
        </w:tc>
        <w:tc>
          <w:tcPr>
            <w:tcW w:w="441" w:type="pct"/>
            <w:noWrap/>
            <w:hideMark/>
          </w:tcPr>
          <w:p w14:paraId="0AB30882" w14:textId="77777777" w:rsidR="00993FD1" w:rsidRPr="00B61CC0" w:rsidRDefault="00993FD1">
            <w:pPr>
              <w:pStyle w:val="tablenotes1"/>
            </w:pPr>
            <w:r>
              <w:t>-</w:t>
            </w:r>
          </w:p>
        </w:tc>
        <w:tc>
          <w:tcPr>
            <w:tcW w:w="441" w:type="pct"/>
            <w:noWrap/>
            <w:hideMark/>
          </w:tcPr>
          <w:p w14:paraId="115A1223" w14:textId="77777777" w:rsidR="00993FD1" w:rsidRPr="00B61CC0" w:rsidRDefault="00993FD1">
            <w:pPr>
              <w:pStyle w:val="tablenotes1"/>
            </w:pPr>
            <w:r>
              <w:t>-</w:t>
            </w:r>
          </w:p>
        </w:tc>
        <w:tc>
          <w:tcPr>
            <w:tcW w:w="441" w:type="pct"/>
            <w:noWrap/>
            <w:hideMark/>
          </w:tcPr>
          <w:p w14:paraId="477670F4" w14:textId="77777777" w:rsidR="00993FD1" w:rsidRPr="00B61CC0" w:rsidRDefault="00993FD1">
            <w:pPr>
              <w:pStyle w:val="tablenotes1"/>
            </w:pPr>
            <w:r>
              <w:t>-</w:t>
            </w:r>
          </w:p>
        </w:tc>
      </w:tr>
      <w:tr w:rsidR="00993FD1" w:rsidRPr="00B61CC0" w14:paraId="1B714175" w14:textId="77777777">
        <w:trPr>
          <w:trHeight w:val="552"/>
        </w:trPr>
        <w:tc>
          <w:tcPr>
            <w:tcW w:w="964" w:type="pct"/>
            <w:noWrap/>
            <w:hideMark/>
          </w:tcPr>
          <w:p w14:paraId="6BD930BF" w14:textId="77777777" w:rsidR="00993FD1" w:rsidRPr="00B61CC0" w:rsidRDefault="00993FD1">
            <w:pPr>
              <w:pStyle w:val="tablenotes1"/>
              <w:jc w:val="left"/>
            </w:pPr>
            <w:r w:rsidRPr="00B61CC0">
              <w:t>BCVA &gt;1 to 2 lines</w:t>
            </w:r>
          </w:p>
        </w:tc>
        <w:tc>
          <w:tcPr>
            <w:tcW w:w="508" w:type="pct"/>
            <w:noWrap/>
            <w:hideMark/>
          </w:tcPr>
          <w:p w14:paraId="062FF225" w14:textId="77777777" w:rsidR="00993FD1" w:rsidRPr="00B61CC0" w:rsidRDefault="00993FD1">
            <w:pPr>
              <w:pStyle w:val="tablenotes1"/>
            </w:pPr>
            <w:r>
              <w:t>-</w:t>
            </w:r>
          </w:p>
        </w:tc>
        <w:tc>
          <w:tcPr>
            <w:tcW w:w="441" w:type="pct"/>
          </w:tcPr>
          <w:p w14:paraId="78693880" w14:textId="77777777" w:rsidR="00993FD1" w:rsidRDefault="00993FD1">
            <w:pPr>
              <w:pStyle w:val="tablenotes1"/>
            </w:pPr>
            <w:r>
              <w:t>11 (3)</w:t>
            </w:r>
          </w:p>
        </w:tc>
        <w:tc>
          <w:tcPr>
            <w:tcW w:w="422" w:type="pct"/>
            <w:noWrap/>
            <w:hideMark/>
          </w:tcPr>
          <w:p w14:paraId="77A97624" w14:textId="77777777" w:rsidR="00993FD1" w:rsidRPr="00B61CC0" w:rsidRDefault="00993FD1">
            <w:pPr>
              <w:pStyle w:val="tablenotes1"/>
            </w:pPr>
            <w:r>
              <w:t>-</w:t>
            </w:r>
          </w:p>
        </w:tc>
        <w:tc>
          <w:tcPr>
            <w:tcW w:w="508" w:type="pct"/>
            <w:noWrap/>
            <w:hideMark/>
          </w:tcPr>
          <w:p w14:paraId="3B2635CB" w14:textId="77777777" w:rsidR="00993FD1" w:rsidRPr="00B61CC0" w:rsidRDefault="00993FD1">
            <w:pPr>
              <w:pStyle w:val="tablenotes1"/>
            </w:pPr>
            <w:r>
              <w:t>-</w:t>
            </w:r>
          </w:p>
        </w:tc>
        <w:tc>
          <w:tcPr>
            <w:tcW w:w="393" w:type="pct"/>
            <w:hideMark/>
          </w:tcPr>
          <w:p w14:paraId="43EA8A2F" w14:textId="77777777" w:rsidR="00993FD1" w:rsidRPr="00B61CC0" w:rsidRDefault="00993FD1">
            <w:pPr>
              <w:pStyle w:val="tablenotes1"/>
              <w:jc w:val="left"/>
            </w:pPr>
            <w:r w:rsidRPr="00B61CC0">
              <w:t xml:space="preserve">3 (5) </w:t>
            </w:r>
            <w:r>
              <w:br/>
            </w:r>
            <w:r w:rsidRPr="00B61CC0">
              <w:t>(&gt;1 line)</w:t>
            </w:r>
          </w:p>
        </w:tc>
        <w:tc>
          <w:tcPr>
            <w:tcW w:w="441" w:type="pct"/>
            <w:noWrap/>
            <w:hideMark/>
          </w:tcPr>
          <w:p w14:paraId="17C3F3F6" w14:textId="77777777" w:rsidR="00993FD1" w:rsidRPr="00B61CC0" w:rsidRDefault="00993FD1">
            <w:pPr>
              <w:pStyle w:val="tablenotes1"/>
            </w:pPr>
            <w:r>
              <w:t>-</w:t>
            </w:r>
          </w:p>
        </w:tc>
        <w:tc>
          <w:tcPr>
            <w:tcW w:w="441" w:type="pct"/>
            <w:noWrap/>
            <w:hideMark/>
          </w:tcPr>
          <w:p w14:paraId="5372D166" w14:textId="77777777" w:rsidR="00993FD1" w:rsidRPr="00B61CC0" w:rsidRDefault="00993FD1">
            <w:pPr>
              <w:pStyle w:val="tablenotes1"/>
            </w:pPr>
            <w:r>
              <w:t>-</w:t>
            </w:r>
          </w:p>
        </w:tc>
        <w:tc>
          <w:tcPr>
            <w:tcW w:w="441" w:type="pct"/>
            <w:hideMark/>
          </w:tcPr>
          <w:p w14:paraId="76D81642" w14:textId="77777777" w:rsidR="00993FD1" w:rsidRPr="00B61CC0" w:rsidRDefault="00993FD1">
            <w:pPr>
              <w:pStyle w:val="tablenotes1"/>
              <w:jc w:val="left"/>
            </w:pPr>
            <w:r w:rsidRPr="00B61CC0">
              <w:t>8/38 (21) (≥1 line)</w:t>
            </w:r>
          </w:p>
        </w:tc>
        <w:tc>
          <w:tcPr>
            <w:tcW w:w="441" w:type="pct"/>
            <w:noWrap/>
            <w:hideMark/>
          </w:tcPr>
          <w:p w14:paraId="5ADAEADF" w14:textId="77777777" w:rsidR="00993FD1" w:rsidRPr="00B61CC0" w:rsidRDefault="00993FD1">
            <w:pPr>
              <w:pStyle w:val="tablenotes1"/>
            </w:pPr>
            <w:r>
              <w:t>-</w:t>
            </w:r>
          </w:p>
        </w:tc>
      </w:tr>
      <w:tr w:rsidR="00993FD1" w:rsidRPr="00B61CC0" w14:paraId="5CBE45D4" w14:textId="77777777">
        <w:trPr>
          <w:trHeight w:val="330"/>
        </w:trPr>
        <w:tc>
          <w:tcPr>
            <w:tcW w:w="964" w:type="pct"/>
            <w:noWrap/>
            <w:hideMark/>
          </w:tcPr>
          <w:p w14:paraId="62E8F42D" w14:textId="77777777" w:rsidR="00993FD1" w:rsidRPr="00B61CC0" w:rsidRDefault="00993FD1">
            <w:pPr>
              <w:pStyle w:val="tablenotes1"/>
              <w:jc w:val="left"/>
            </w:pPr>
            <w:r w:rsidRPr="00B61CC0">
              <w:t>VF defect</w:t>
            </w:r>
          </w:p>
        </w:tc>
        <w:tc>
          <w:tcPr>
            <w:tcW w:w="508" w:type="pct"/>
            <w:noWrap/>
            <w:hideMark/>
          </w:tcPr>
          <w:p w14:paraId="1DEC57EA" w14:textId="77777777" w:rsidR="00993FD1" w:rsidRPr="00B61CC0" w:rsidRDefault="00993FD1">
            <w:pPr>
              <w:pStyle w:val="tablenotes1"/>
            </w:pPr>
            <w:r>
              <w:t>-</w:t>
            </w:r>
          </w:p>
        </w:tc>
        <w:tc>
          <w:tcPr>
            <w:tcW w:w="441" w:type="pct"/>
          </w:tcPr>
          <w:p w14:paraId="0EF55F43" w14:textId="77777777" w:rsidR="00993FD1" w:rsidRDefault="00993FD1">
            <w:pPr>
              <w:pStyle w:val="tablenotes1"/>
            </w:pPr>
            <w:r>
              <w:t>4 (1)</w:t>
            </w:r>
          </w:p>
        </w:tc>
        <w:tc>
          <w:tcPr>
            <w:tcW w:w="422" w:type="pct"/>
            <w:noWrap/>
            <w:hideMark/>
          </w:tcPr>
          <w:p w14:paraId="76544A1B" w14:textId="77777777" w:rsidR="00993FD1" w:rsidRPr="00B61CC0" w:rsidRDefault="00993FD1">
            <w:pPr>
              <w:pStyle w:val="tablenotes1"/>
            </w:pPr>
            <w:r>
              <w:t>-</w:t>
            </w:r>
          </w:p>
        </w:tc>
        <w:tc>
          <w:tcPr>
            <w:tcW w:w="508" w:type="pct"/>
            <w:noWrap/>
            <w:hideMark/>
          </w:tcPr>
          <w:p w14:paraId="1AABD390" w14:textId="77777777" w:rsidR="00993FD1" w:rsidRPr="00B61CC0" w:rsidRDefault="00993FD1">
            <w:pPr>
              <w:pStyle w:val="tablenotes1"/>
            </w:pPr>
            <w:r w:rsidRPr="00B61CC0">
              <w:t>4</w:t>
            </w:r>
            <w:r>
              <w:rPr>
                <w:vertAlign w:val="superscript"/>
              </w:rPr>
              <w:t xml:space="preserve"> </w:t>
            </w:r>
            <w:r>
              <w:t>**</w:t>
            </w:r>
            <w:r w:rsidRPr="00B61CC0">
              <w:t xml:space="preserve"> (9)</w:t>
            </w:r>
          </w:p>
        </w:tc>
        <w:tc>
          <w:tcPr>
            <w:tcW w:w="393" w:type="pct"/>
            <w:noWrap/>
            <w:hideMark/>
          </w:tcPr>
          <w:p w14:paraId="4CE00890" w14:textId="77777777" w:rsidR="00993FD1" w:rsidRPr="00B61CC0" w:rsidRDefault="00993FD1">
            <w:pPr>
              <w:pStyle w:val="tablenotes1"/>
            </w:pPr>
            <w:r>
              <w:t>-</w:t>
            </w:r>
          </w:p>
        </w:tc>
        <w:tc>
          <w:tcPr>
            <w:tcW w:w="441" w:type="pct"/>
            <w:noWrap/>
            <w:hideMark/>
          </w:tcPr>
          <w:p w14:paraId="49B56091" w14:textId="77777777" w:rsidR="00993FD1" w:rsidRPr="00B61CC0" w:rsidRDefault="00993FD1">
            <w:pPr>
              <w:pStyle w:val="tablenotes1"/>
            </w:pPr>
            <w:r>
              <w:t>-</w:t>
            </w:r>
          </w:p>
        </w:tc>
        <w:tc>
          <w:tcPr>
            <w:tcW w:w="441" w:type="pct"/>
            <w:noWrap/>
            <w:hideMark/>
          </w:tcPr>
          <w:p w14:paraId="4E4675DD" w14:textId="77777777" w:rsidR="00993FD1" w:rsidRPr="00B61CC0" w:rsidRDefault="00993FD1">
            <w:pPr>
              <w:pStyle w:val="tablenotes1"/>
            </w:pPr>
            <w:r>
              <w:t>-</w:t>
            </w:r>
          </w:p>
        </w:tc>
        <w:tc>
          <w:tcPr>
            <w:tcW w:w="441" w:type="pct"/>
            <w:noWrap/>
            <w:hideMark/>
          </w:tcPr>
          <w:p w14:paraId="00247B4D" w14:textId="77777777" w:rsidR="00993FD1" w:rsidRPr="00B61CC0" w:rsidRDefault="00993FD1">
            <w:pPr>
              <w:pStyle w:val="tablenotes1"/>
            </w:pPr>
            <w:r>
              <w:t>-</w:t>
            </w:r>
          </w:p>
        </w:tc>
        <w:tc>
          <w:tcPr>
            <w:tcW w:w="441" w:type="pct"/>
            <w:noWrap/>
            <w:hideMark/>
          </w:tcPr>
          <w:p w14:paraId="129AEE8D" w14:textId="77777777" w:rsidR="00993FD1" w:rsidRPr="00B61CC0" w:rsidRDefault="00993FD1">
            <w:pPr>
              <w:pStyle w:val="tablenotes1"/>
            </w:pPr>
            <w:r>
              <w:t>-</w:t>
            </w:r>
          </w:p>
        </w:tc>
      </w:tr>
      <w:tr w:rsidR="00993FD1" w:rsidRPr="00B61CC0" w14:paraId="55BCB0A5" w14:textId="77777777">
        <w:trPr>
          <w:trHeight w:val="314"/>
        </w:trPr>
        <w:tc>
          <w:tcPr>
            <w:tcW w:w="964" w:type="pct"/>
            <w:noWrap/>
            <w:hideMark/>
          </w:tcPr>
          <w:p w14:paraId="0A89BD7A" w14:textId="77777777" w:rsidR="00993FD1" w:rsidRPr="00B61CC0" w:rsidRDefault="00993FD1">
            <w:pPr>
              <w:pStyle w:val="tablenotes1"/>
              <w:jc w:val="left"/>
            </w:pPr>
            <w:r w:rsidRPr="00B61CC0">
              <w:t>Additional glaucoma procedure</w:t>
            </w:r>
          </w:p>
        </w:tc>
        <w:tc>
          <w:tcPr>
            <w:tcW w:w="508" w:type="pct"/>
            <w:noWrap/>
            <w:hideMark/>
          </w:tcPr>
          <w:p w14:paraId="6136A6BE" w14:textId="77777777" w:rsidR="00993FD1" w:rsidRPr="00B61CC0" w:rsidRDefault="00993FD1">
            <w:pPr>
              <w:pStyle w:val="tablenotes1"/>
            </w:pPr>
            <w:r>
              <w:t>-</w:t>
            </w:r>
          </w:p>
        </w:tc>
        <w:tc>
          <w:tcPr>
            <w:tcW w:w="441" w:type="pct"/>
          </w:tcPr>
          <w:p w14:paraId="08A7B46C" w14:textId="77777777" w:rsidR="00993FD1" w:rsidRDefault="00993FD1">
            <w:pPr>
              <w:pStyle w:val="tablenotes1"/>
            </w:pPr>
            <w:r>
              <w:t>18 (5)</w:t>
            </w:r>
          </w:p>
        </w:tc>
        <w:tc>
          <w:tcPr>
            <w:tcW w:w="422" w:type="pct"/>
            <w:noWrap/>
            <w:hideMark/>
          </w:tcPr>
          <w:p w14:paraId="24C14E34" w14:textId="77777777" w:rsidR="00993FD1" w:rsidRPr="00B61CC0" w:rsidRDefault="00993FD1">
            <w:pPr>
              <w:pStyle w:val="tablenotes1"/>
            </w:pPr>
            <w:r>
              <w:t>-</w:t>
            </w:r>
          </w:p>
        </w:tc>
        <w:tc>
          <w:tcPr>
            <w:tcW w:w="508" w:type="pct"/>
            <w:noWrap/>
            <w:hideMark/>
          </w:tcPr>
          <w:p w14:paraId="26E1F8DC" w14:textId="77777777" w:rsidR="00993FD1" w:rsidRPr="00B61CC0" w:rsidRDefault="00993FD1">
            <w:pPr>
              <w:pStyle w:val="tablenotes1"/>
            </w:pPr>
            <w:r w:rsidRPr="00B61CC0">
              <w:t>2 (5)</w:t>
            </w:r>
          </w:p>
        </w:tc>
        <w:tc>
          <w:tcPr>
            <w:tcW w:w="393" w:type="pct"/>
            <w:noWrap/>
            <w:hideMark/>
          </w:tcPr>
          <w:p w14:paraId="4614CCD7" w14:textId="77777777" w:rsidR="00993FD1" w:rsidRPr="00B61CC0" w:rsidRDefault="00993FD1">
            <w:pPr>
              <w:pStyle w:val="tablenotes1"/>
            </w:pPr>
            <w:r>
              <w:t>-</w:t>
            </w:r>
          </w:p>
        </w:tc>
        <w:tc>
          <w:tcPr>
            <w:tcW w:w="441" w:type="pct"/>
            <w:noWrap/>
            <w:hideMark/>
          </w:tcPr>
          <w:p w14:paraId="2703216F" w14:textId="77777777" w:rsidR="00993FD1" w:rsidRPr="00B61CC0" w:rsidRDefault="00993FD1">
            <w:pPr>
              <w:pStyle w:val="tablenotes1"/>
            </w:pPr>
            <w:r w:rsidRPr="00B61CC0">
              <w:t>6 (43)</w:t>
            </w:r>
          </w:p>
        </w:tc>
        <w:tc>
          <w:tcPr>
            <w:tcW w:w="441" w:type="pct"/>
            <w:noWrap/>
            <w:hideMark/>
          </w:tcPr>
          <w:p w14:paraId="3E26642F" w14:textId="77777777" w:rsidR="00993FD1" w:rsidRPr="00B61CC0" w:rsidRDefault="00993FD1">
            <w:pPr>
              <w:pStyle w:val="tablenotes1"/>
            </w:pPr>
            <w:r w:rsidRPr="00B61CC0">
              <w:t>5</w:t>
            </w:r>
          </w:p>
        </w:tc>
        <w:tc>
          <w:tcPr>
            <w:tcW w:w="441" w:type="pct"/>
            <w:noWrap/>
            <w:hideMark/>
          </w:tcPr>
          <w:p w14:paraId="61DE3624" w14:textId="77777777" w:rsidR="00993FD1" w:rsidRPr="00B61CC0" w:rsidRDefault="00993FD1">
            <w:pPr>
              <w:pStyle w:val="tablenotes1"/>
            </w:pPr>
            <w:r w:rsidRPr="00B61CC0">
              <w:t>3 (</w:t>
            </w:r>
            <w:r>
              <w:t>7</w:t>
            </w:r>
            <w:r w:rsidRPr="00B61CC0">
              <w:t>)</w:t>
            </w:r>
          </w:p>
        </w:tc>
        <w:tc>
          <w:tcPr>
            <w:tcW w:w="441" w:type="pct"/>
            <w:noWrap/>
            <w:hideMark/>
          </w:tcPr>
          <w:p w14:paraId="24CFDF77" w14:textId="77777777" w:rsidR="00993FD1" w:rsidRPr="00B61CC0" w:rsidRDefault="00993FD1">
            <w:pPr>
              <w:pStyle w:val="tablenotes1"/>
            </w:pPr>
            <w:r w:rsidRPr="00B61CC0">
              <w:t>2 (3)</w:t>
            </w:r>
          </w:p>
        </w:tc>
      </w:tr>
      <w:tr w:rsidR="00993FD1" w:rsidRPr="00B61CC0" w14:paraId="3B69A648" w14:textId="77777777">
        <w:trPr>
          <w:trHeight w:val="314"/>
        </w:trPr>
        <w:tc>
          <w:tcPr>
            <w:tcW w:w="964" w:type="pct"/>
            <w:noWrap/>
            <w:hideMark/>
          </w:tcPr>
          <w:p w14:paraId="42D190AB" w14:textId="77777777" w:rsidR="00993FD1" w:rsidRPr="00B61CC0" w:rsidRDefault="00993FD1">
            <w:pPr>
              <w:pStyle w:val="tablenotes1"/>
              <w:jc w:val="left"/>
            </w:pPr>
            <w:r w:rsidRPr="00B61CC0">
              <w:t>Corneal oedema (transient)</w:t>
            </w:r>
          </w:p>
        </w:tc>
        <w:tc>
          <w:tcPr>
            <w:tcW w:w="508" w:type="pct"/>
            <w:noWrap/>
            <w:hideMark/>
          </w:tcPr>
          <w:p w14:paraId="7CA7CB15" w14:textId="77777777" w:rsidR="00993FD1" w:rsidRPr="00B61CC0" w:rsidRDefault="00993FD1">
            <w:pPr>
              <w:pStyle w:val="tablenotes1"/>
            </w:pPr>
            <w:r>
              <w:t>-</w:t>
            </w:r>
          </w:p>
        </w:tc>
        <w:tc>
          <w:tcPr>
            <w:tcW w:w="441" w:type="pct"/>
          </w:tcPr>
          <w:p w14:paraId="4C26D219" w14:textId="77777777" w:rsidR="00993FD1" w:rsidRDefault="00993FD1">
            <w:pPr>
              <w:pStyle w:val="tablenotes1"/>
            </w:pPr>
            <w:r>
              <w:t>2(0)</w:t>
            </w:r>
          </w:p>
        </w:tc>
        <w:tc>
          <w:tcPr>
            <w:tcW w:w="422" w:type="pct"/>
            <w:noWrap/>
            <w:hideMark/>
          </w:tcPr>
          <w:p w14:paraId="0856F176" w14:textId="77777777" w:rsidR="00993FD1" w:rsidRPr="00B61CC0" w:rsidRDefault="00993FD1">
            <w:pPr>
              <w:pStyle w:val="tablenotes1"/>
            </w:pPr>
            <w:r>
              <w:t>-</w:t>
            </w:r>
          </w:p>
        </w:tc>
        <w:tc>
          <w:tcPr>
            <w:tcW w:w="508" w:type="pct"/>
            <w:noWrap/>
            <w:hideMark/>
          </w:tcPr>
          <w:p w14:paraId="0A79F052" w14:textId="77777777" w:rsidR="00993FD1" w:rsidRPr="00B61CC0" w:rsidRDefault="00993FD1">
            <w:pPr>
              <w:pStyle w:val="tablenotes1"/>
            </w:pPr>
            <w:r>
              <w:t>-</w:t>
            </w:r>
          </w:p>
        </w:tc>
        <w:tc>
          <w:tcPr>
            <w:tcW w:w="393" w:type="pct"/>
            <w:noWrap/>
            <w:hideMark/>
          </w:tcPr>
          <w:p w14:paraId="030532F7" w14:textId="77777777" w:rsidR="00993FD1" w:rsidRPr="00B61CC0" w:rsidRDefault="00993FD1">
            <w:pPr>
              <w:pStyle w:val="tablenotes1"/>
            </w:pPr>
            <w:r>
              <w:t>-</w:t>
            </w:r>
          </w:p>
        </w:tc>
        <w:tc>
          <w:tcPr>
            <w:tcW w:w="441" w:type="pct"/>
            <w:noWrap/>
            <w:hideMark/>
          </w:tcPr>
          <w:p w14:paraId="7980D18B" w14:textId="77777777" w:rsidR="00993FD1" w:rsidRPr="00B61CC0" w:rsidRDefault="00993FD1">
            <w:pPr>
              <w:pStyle w:val="tablenotes1"/>
            </w:pPr>
            <w:r w:rsidRPr="00B61CC0">
              <w:t>2 (14)</w:t>
            </w:r>
          </w:p>
        </w:tc>
        <w:tc>
          <w:tcPr>
            <w:tcW w:w="441" w:type="pct"/>
            <w:noWrap/>
            <w:hideMark/>
          </w:tcPr>
          <w:p w14:paraId="5DF3BAF5" w14:textId="77777777" w:rsidR="00993FD1" w:rsidRPr="00B61CC0" w:rsidRDefault="00993FD1">
            <w:pPr>
              <w:pStyle w:val="tablenotes1"/>
            </w:pPr>
            <w:r>
              <w:t>-</w:t>
            </w:r>
          </w:p>
        </w:tc>
        <w:tc>
          <w:tcPr>
            <w:tcW w:w="441" w:type="pct"/>
            <w:noWrap/>
            <w:hideMark/>
          </w:tcPr>
          <w:p w14:paraId="6A582457" w14:textId="77777777" w:rsidR="00993FD1" w:rsidRPr="00B61CC0" w:rsidRDefault="00993FD1">
            <w:pPr>
              <w:pStyle w:val="tablenotes1"/>
            </w:pPr>
            <w:r>
              <w:t>-</w:t>
            </w:r>
          </w:p>
        </w:tc>
        <w:tc>
          <w:tcPr>
            <w:tcW w:w="441" w:type="pct"/>
            <w:noWrap/>
            <w:hideMark/>
          </w:tcPr>
          <w:p w14:paraId="5277078E" w14:textId="77777777" w:rsidR="00993FD1" w:rsidRPr="00B61CC0" w:rsidRDefault="00993FD1">
            <w:pPr>
              <w:pStyle w:val="tablenotes1"/>
            </w:pPr>
            <w:r>
              <w:t>-</w:t>
            </w:r>
          </w:p>
        </w:tc>
      </w:tr>
    </w:tbl>
    <w:p w14:paraId="5F1CEDDF" w14:textId="77777777" w:rsidR="00993FD1" w:rsidRPr="008323A3" w:rsidRDefault="00993FD1" w:rsidP="00993FD1">
      <w:pPr>
        <w:pStyle w:val="Tablenotes0"/>
      </w:pPr>
      <w:r w:rsidRPr="008323A3">
        <w:rPr>
          <w:u w:val="single"/>
        </w:rPr>
        <w:t>Abbreviations</w:t>
      </w:r>
      <w:r w:rsidRPr="008323A3">
        <w:t xml:space="preserve">: AE = adverse event, BCVA = best-corrected visual acuity, BL = baseline, IOP = intraocular pressure, SAE = serious adverse events, VF= visual field </w:t>
      </w:r>
    </w:p>
    <w:p w14:paraId="73DE7C6B" w14:textId="77777777" w:rsidR="00993FD1" w:rsidRDefault="00993FD1" w:rsidP="00993FD1">
      <w:pPr>
        <w:pStyle w:val="Tablenotes0"/>
        <w:spacing w:after="120"/>
        <w:contextualSpacing w:val="0"/>
      </w:pPr>
      <w:r w:rsidRPr="008323A3">
        <w:rPr>
          <w:u w:val="single"/>
        </w:rPr>
        <w:t>Source</w:t>
      </w:r>
      <w:r w:rsidRPr="008323A3">
        <w:t xml:space="preserve">: </w:t>
      </w:r>
      <w:r>
        <w:t xml:space="preserve">Based on </w:t>
      </w:r>
      <w:r w:rsidRPr="008323A3">
        <w:t xml:space="preserve">Table 21 of ADAR submission, </w:t>
      </w:r>
      <w:r>
        <w:t xml:space="preserve">with </w:t>
      </w:r>
      <w:r w:rsidRPr="008323A3">
        <w:t>correct</w:t>
      </w:r>
      <w:r>
        <w:t>ion of</w:t>
      </w:r>
      <w:r w:rsidRPr="008323A3">
        <w:t xml:space="preserve"> data for Katz 2018 included in the ADAR.</w:t>
      </w:r>
    </w:p>
    <w:p w14:paraId="3958111A" w14:textId="77777777" w:rsidR="00993FD1" w:rsidRPr="008323A3" w:rsidRDefault="00993FD1" w:rsidP="00993FD1">
      <w:pPr>
        <w:pStyle w:val="Tablenotes0"/>
      </w:pPr>
      <w:r>
        <w:t xml:space="preserve">* </w:t>
      </w:r>
      <w:r w:rsidRPr="008323A3">
        <w:t>Upon gonioscopy</w:t>
      </w:r>
    </w:p>
    <w:p w14:paraId="0294F295" w14:textId="77777777" w:rsidR="00993FD1" w:rsidRDefault="00993FD1" w:rsidP="00993FD1">
      <w:pPr>
        <w:pStyle w:val="Tablenotes0"/>
        <w:spacing w:after="120"/>
        <w:contextualSpacing w:val="0"/>
      </w:pPr>
      <w:r>
        <w:t xml:space="preserve">** </w:t>
      </w:r>
      <w:r w:rsidRPr="00CE1DCE">
        <w:t xml:space="preserve">Corrected Distance Visual Acuity </w:t>
      </w:r>
      <w:r>
        <w:t>(</w:t>
      </w:r>
      <w:r w:rsidRPr="008323A3">
        <w:t>CDVA</w:t>
      </w:r>
      <w:r>
        <w:t>)</w:t>
      </w:r>
      <w:r w:rsidRPr="008323A3">
        <w:t xml:space="preserve"> of worse than 20/50</w:t>
      </w:r>
    </w:p>
    <w:p w14:paraId="272AF354" w14:textId="77777777" w:rsidR="00993FD1" w:rsidRDefault="00993FD1" w:rsidP="00993FD1">
      <w:pPr>
        <w:pStyle w:val="Tablenotes0"/>
      </w:pPr>
      <w:r w:rsidRPr="008323A3">
        <w:t>Hyphens indicate that data were not reported (or did not occur in n&gt;2 patients in that study)</w:t>
      </w:r>
    </w:p>
    <w:p w14:paraId="35C5B602" w14:textId="77777777" w:rsidR="00993FD1" w:rsidRDefault="00993FD1" w:rsidP="00993FD1">
      <w:pPr>
        <w:pStyle w:val="Tablenotes0"/>
        <w:sectPr w:rsidR="00993FD1" w:rsidSect="00AD3210">
          <w:pgSz w:w="16838" w:h="11906" w:orient="landscape"/>
          <w:pgMar w:top="1440" w:right="1440" w:bottom="1440" w:left="1440" w:header="709" w:footer="709" w:gutter="0"/>
          <w:cols w:space="708"/>
          <w:docGrid w:linePitch="360"/>
        </w:sectPr>
      </w:pPr>
    </w:p>
    <w:p w14:paraId="4F8D0D36" w14:textId="74E3BCC3" w:rsidR="009B260B" w:rsidRPr="002759A3" w:rsidRDefault="00637A71" w:rsidP="00637A71">
      <w:pPr>
        <w:pStyle w:val="Heading2"/>
      </w:pPr>
      <w:r>
        <w:lastRenderedPageBreak/>
        <w:t>12.</w:t>
      </w:r>
      <w:r>
        <w:tab/>
      </w:r>
      <w:r w:rsidR="00B2362A">
        <w:t>C</w:t>
      </w:r>
      <w:r w:rsidR="00772829" w:rsidRPr="002759A3">
        <w:t>omparative effectiveness</w:t>
      </w:r>
      <w:bookmarkStart w:id="20" w:name="_Toc69491425"/>
      <w:bookmarkEnd w:id="18"/>
    </w:p>
    <w:p w14:paraId="2AC20456" w14:textId="1E4AFA1C" w:rsidR="002C3EEC" w:rsidRPr="00881715" w:rsidRDefault="00B069AD" w:rsidP="00881715">
      <w:pPr>
        <w:pStyle w:val="Heading3"/>
      </w:pPr>
      <w:bookmarkStart w:id="21" w:name="_Ref146478549"/>
      <w:bookmarkStart w:id="22" w:name="_Toc147507274"/>
      <w:r w:rsidRPr="00881715">
        <w:t>Meta-analys</w:t>
      </w:r>
      <w:r w:rsidR="00763C7D" w:rsidRPr="00881715">
        <w:t>is</w:t>
      </w:r>
      <w:r w:rsidRPr="00881715">
        <w:t xml:space="preserve"> </w:t>
      </w:r>
      <w:r w:rsidR="00D827C5" w:rsidRPr="00881715">
        <w:t>results:</w:t>
      </w:r>
      <w:r w:rsidR="002C3EEC" w:rsidRPr="00881715">
        <w:t xml:space="preserve"> Change from baseline in mean IOP (mm Hg)</w:t>
      </w:r>
      <w:bookmarkEnd w:id="21"/>
      <w:bookmarkEnd w:id="22"/>
    </w:p>
    <w:p w14:paraId="0E9158D6" w14:textId="3ABDAF30" w:rsidR="00B739CC" w:rsidRPr="00B739CC" w:rsidRDefault="000A1E81" w:rsidP="169485E1">
      <w:pPr>
        <w:pStyle w:val="ADARbodytext"/>
        <w:rPr>
          <w:rFonts w:ascii="Franklin Gothic Book" w:hAnsi="Franklin Gothic Book" w:cstheme="minorBidi"/>
        </w:rPr>
      </w:pPr>
      <w:r w:rsidRPr="169485E1">
        <w:rPr>
          <w:rFonts w:ascii="Franklin Gothic Book" w:hAnsi="Franklin Gothic Book" w:cstheme="minorBidi"/>
        </w:rPr>
        <w:t xml:space="preserve">Based on the meta-analysis of </w:t>
      </w:r>
      <w:r w:rsidR="00B739CC" w:rsidRPr="169485E1">
        <w:rPr>
          <w:rFonts w:ascii="Franklin Gothic Book" w:hAnsi="Franklin Gothic Book" w:cstheme="minorBidi"/>
        </w:rPr>
        <w:t xml:space="preserve">estimates from the STAR trials, </w:t>
      </w:r>
      <w:proofErr w:type="spellStart"/>
      <w:r w:rsidR="00B739CC" w:rsidRPr="169485E1">
        <w:rPr>
          <w:rFonts w:ascii="Franklin Gothic Book" w:hAnsi="Franklin Gothic Book" w:cstheme="minorBidi"/>
        </w:rPr>
        <w:t>MINIject</w:t>
      </w:r>
      <w:proofErr w:type="spellEnd"/>
      <w:r w:rsidR="00B739CC" w:rsidRPr="169485E1">
        <w:rPr>
          <w:rFonts w:ascii="Franklin Gothic Book" w:hAnsi="Franklin Gothic Book" w:cstheme="minorBidi"/>
        </w:rPr>
        <w:t xml:space="preserve"> was found to be associated with a -9.46</w:t>
      </w:r>
      <w:r w:rsidR="004326D8" w:rsidRPr="169485E1">
        <w:rPr>
          <w:rFonts w:ascii="Franklin Gothic Book" w:hAnsi="Franklin Gothic Book" w:cstheme="minorBidi"/>
        </w:rPr>
        <w:t> mm Hg</w:t>
      </w:r>
      <w:r w:rsidR="00B739CC" w:rsidRPr="169485E1">
        <w:rPr>
          <w:rFonts w:ascii="Franklin Gothic Book" w:hAnsi="Franklin Gothic Book" w:cstheme="minorBidi"/>
        </w:rPr>
        <w:t xml:space="preserve"> </w:t>
      </w:r>
      <w:r w:rsidR="004326D8" w:rsidRPr="169485E1">
        <w:rPr>
          <w:rFonts w:ascii="Franklin Gothic Book" w:hAnsi="Franklin Gothic Book" w:cstheme="minorBidi"/>
        </w:rPr>
        <w:t xml:space="preserve">reduction </w:t>
      </w:r>
      <w:r w:rsidR="00B739CC" w:rsidRPr="169485E1">
        <w:rPr>
          <w:rFonts w:ascii="Franklin Gothic Book" w:hAnsi="Franklin Gothic Book" w:cstheme="minorBidi"/>
        </w:rPr>
        <w:t xml:space="preserve">(95% </w:t>
      </w:r>
      <w:r w:rsidR="00A932A5" w:rsidRPr="169485E1">
        <w:rPr>
          <w:rFonts w:ascii="Franklin Gothic Book" w:hAnsi="Franklin Gothic Book" w:cstheme="minorBidi"/>
        </w:rPr>
        <w:t>confidence interval (</w:t>
      </w:r>
      <w:r w:rsidR="00B739CC" w:rsidRPr="169485E1">
        <w:rPr>
          <w:rFonts w:ascii="Franklin Gothic Book" w:hAnsi="Franklin Gothic Book" w:cstheme="minorBidi"/>
        </w:rPr>
        <w:t>CI</w:t>
      </w:r>
      <w:r w:rsidR="00A932A5" w:rsidRPr="169485E1">
        <w:rPr>
          <w:rFonts w:ascii="Franklin Gothic Book" w:hAnsi="Franklin Gothic Book" w:cstheme="minorBidi"/>
        </w:rPr>
        <w:t>):</w:t>
      </w:r>
      <w:r w:rsidR="00B739CC" w:rsidRPr="169485E1">
        <w:rPr>
          <w:rFonts w:ascii="Franklin Gothic Book" w:hAnsi="Franklin Gothic Book" w:cstheme="minorBidi"/>
        </w:rPr>
        <w:t xml:space="preserve"> -10.59, -8.34) in IOP </w:t>
      </w:r>
      <w:r w:rsidR="00A932A5" w:rsidRPr="169485E1">
        <w:rPr>
          <w:rFonts w:ascii="Franklin Gothic Book" w:hAnsi="Franklin Gothic Book" w:cstheme="minorBidi"/>
        </w:rPr>
        <w:t>at</w:t>
      </w:r>
      <w:r w:rsidR="00B739CC" w:rsidRPr="169485E1">
        <w:rPr>
          <w:rFonts w:ascii="Franklin Gothic Book" w:hAnsi="Franklin Gothic Book" w:cstheme="minorBidi"/>
        </w:rPr>
        <w:t xml:space="preserve"> 6</w:t>
      </w:r>
      <w:r w:rsidR="00EB65C5">
        <w:rPr>
          <w:rFonts w:ascii="Franklin Gothic Book" w:hAnsi="Franklin Gothic Book" w:cstheme="minorBidi"/>
        </w:rPr>
        <w:t> </w:t>
      </w:r>
      <w:r w:rsidR="00B739CC" w:rsidRPr="169485E1">
        <w:rPr>
          <w:rFonts w:ascii="Franklin Gothic Book" w:hAnsi="Franklin Gothic Book" w:cstheme="minorBidi"/>
        </w:rPr>
        <w:t xml:space="preserve">months </w:t>
      </w:r>
      <w:r w:rsidR="00B64F02" w:rsidRPr="169485E1">
        <w:rPr>
          <w:rFonts w:ascii="Franklin Gothic Book" w:hAnsi="Franklin Gothic Book" w:cstheme="minorBidi"/>
        </w:rPr>
        <w:t>(</w:t>
      </w:r>
      <w:r w:rsidR="00B64F02" w:rsidRPr="169485E1">
        <w:rPr>
          <w:rFonts w:ascii="Franklin Gothic Book" w:hAnsi="Franklin Gothic Book" w:cstheme="minorBidi"/>
        </w:rPr>
        <w:fldChar w:fldCharType="begin"/>
      </w:r>
      <w:r w:rsidR="00B64F02" w:rsidRPr="169485E1">
        <w:rPr>
          <w:rFonts w:ascii="Franklin Gothic Book" w:hAnsi="Franklin Gothic Book" w:cstheme="minorBidi"/>
        </w:rPr>
        <w:instrText xml:space="preserve"> REF _Ref152146217 \h  \* MERGEFORMAT </w:instrText>
      </w:r>
      <w:r w:rsidR="00B64F02" w:rsidRPr="169485E1">
        <w:rPr>
          <w:rFonts w:ascii="Franklin Gothic Book" w:hAnsi="Franklin Gothic Book" w:cstheme="minorBidi"/>
        </w:rPr>
      </w:r>
      <w:r w:rsidR="00B64F02" w:rsidRPr="169485E1">
        <w:rPr>
          <w:rFonts w:ascii="Franklin Gothic Book" w:hAnsi="Franklin Gothic Book" w:cstheme="minorBidi"/>
        </w:rPr>
        <w:fldChar w:fldCharType="separate"/>
      </w:r>
      <w:r w:rsidR="003C61D8" w:rsidRPr="169485E1">
        <w:rPr>
          <w:rFonts w:ascii="Franklin Gothic Book" w:hAnsi="Franklin Gothic Book" w:cstheme="minorBidi"/>
        </w:rPr>
        <w:t>Figure 1</w:t>
      </w:r>
      <w:r w:rsidR="00B64F02" w:rsidRPr="169485E1">
        <w:rPr>
          <w:rFonts w:ascii="Franklin Gothic Book" w:hAnsi="Franklin Gothic Book" w:cstheme="minorBidi"/>
        </w:rPr>
        <w:fldChar w:fldCharType="end"/>
      </w:r>
      <w:r w:rsidR="00B739CC" w:rsidRPr="169485E1">
        <w:rPr>
          <w:rFonts w:ascii="Franklin Gothic Book" w:hAnsi="Franklin Gothic Book" w:cstheme="minorBidi"/>
        </w:rPr>
        <w:t xml:space="preserve">), </w:t>
      </w:r>
      <w:r w:rsidR="00634617" w:rsidRPr="169485E1">
        <w:rPr>
          <w:rFonts w:ascii="Franklin Gothic Book" w:hAnsi="Franklin Gothic Book" w:cstheme="minorBidi"/>
        </w:rPr>
        <w:t>-</w:t>
      </w:r>
      <w:r w:rsidR="00B739CC" w:rsidRPr="169485E1">
        <w:rPr>
          <w:rFonts w:ascii="Franklin Gothic Book" w:hAnsi="Franklin Gothic Book" w:cstheme="minorBidi"/>
        </w:rPr>
        <w:t>8.38 (95% CI</w:t>
      </w:r>
      <w:r w:rsidR="00A932A5" w:rsidRPr="169485E1">
        <w:rPr>
          <w:rFonts w:ascii="Franklin Gothic Book" w:hAnsi="Franklin Gothic Book" w:cstheme="minorBidi"/>
        </w:rPr>
        <w:t>:</w:t>
      </w:r>
      <w:r w:rsidR="00B739CC" w:rsidRPr="169485E1">
        <w:rPr>
          <w:rFonts w:ascii="Franklin Gothic Book" w:hAnsi="Franklin Gothic Book" w:cstheme="minorBidi"/>
        </w:rPr>
        <w:t xml:space="preserve"> </w:t>
      </w:r>
      <w:r w:rsidR="00A932A5" w:rsidRPr="169485E1">
        <w:rPr>
          <w:rFonts w:ascii="Franklin Gothic Book" w:hAnsi="Franklin Gothic Book" w:cstheme="minorBidi"/>
        </w:rPr>
        <w:t>-</w:t>
      </w:r>
      <w:r w:rsidR="00B739CC" w:rsidRPr="169485E1">
        <w:rPr>
          <w:rFonts w:ascii="Franklin Gothic Book" w:hAnsi="Franklin Gothic Book" w:cstheme="minorBidi"/>
        </w:rPr>
        <w:t xml:space="preserve">9.51, -7.24) at 12 months, and </w:t>
      </w:r>
      <w:r w:rsidRPr="566BA068">
        <w:rPr>
          <w:rFonts w:ascii="Franklin Gothic Book" w:hAnsi="Franklin Gothic Book" w:cstheme="minorBidi"/>
        </w:rPr>
        <w:t>-9.57 (95% CIL -10.73, -8.41)</w:t>
      </w:r>
      <w:r w:rsidR="00B739CC" w:rsidRPr="169485E1">
        <w:rPr>
          <w:rFonts w:ascii="Franklin Gothic Book" w:hAnsi="Franklin Gothic Book" w:cstheme="minorBidi"/>
        </w:rPr>
        <w:t xml:space="preserve"> at 24 months</w:t>
      </w:r>
      <w:r w:rsidR="002C41A6" w:rsidRPr="169485E1">
        <w:rPr>
          <w:rFonts w:ascii="Franklin Gothic Book" w:hAnsi="Franklin Gothic Book" w:cstheme="minorBidi"/>
        </w:rPr>
        <w:t>.</w:t>
      </w:r>
      <w:r w:rsidR="001259D5" w:rsidRPr="169485E1">
        <w:rPr>
          <w:rFonts w:ascii="Franklin Gothic Book" w:hAnsi="Franklin Gothic Book" w:cstheme="minorBidi"/>
        </w:rPr>
        <w:t xml:space="preserve"> </w:t>
      </w:r>
      <w:r w:rsidR="00B739CC" w:rsidRPr="169485E1">
        <w:rPr>
          <w:rFonts w:ascii="Franklin Gothic Book" w:hAnsi="Franklin Gothic Book" w:cstheme="minorBidi"/>
        </w:rPr>
        <w:t>Between-study heterogeneity was minimal, as measured by the I</w:t>
      </w:r>
      <w:r w:rsidR="00B739CC" w:rsidRPr="169485E1">
        <w:rPr>
          <w:rFonts w:ascii="Franklin Gothic Book" w:hAnsi="Franklin Gothic Book" w:cstheme="minorBidi"/>
          <w:vertAlign w:val="superscript"/>
        </w:rPr>
        <w:t>2</w:t>
      </w:r>
      <w:r w:rsidR="00B739CC" w:rsidRPr="169485E1">
        <w:rPr>
          <w:rFonts w:ascii="Franklin Gothic Book" w:hAnsi="Franklin Gothic Book" w:cstheme="minorBidi"/>
        </w:rPr>
        <w:t xml:space="preserve"> statistic, with zero values reported across all time points. </w:t>
      </w:r>
    </w:p>
    <w:p w14:paraId="120F687A" w14:textId="6CDFCB2C" w:rsidR="006D09C4" w:rsidRDefault="00B739CC" w:rsidP="006D09C4">
      <w:pPr>
        <w:pStyle w:val="ADARbodytext"/>
        <w:rPr>
          <w:rFonts w:ascii="Franklin Gothic Book" w:hAnsi="Franklin Gothic Book" w:cstheme="minorBidi"/>
        </w:rPr>
      </w:pPr>
      <w:r w:rsidRPr="00B739CC">
        <w:rPr>
          <w:rFonts w:ascii="Franklin Gothic Book" w:hAnsi="Franklin Gothic Book" w:cstheme="minorBidi"/>
        </w:rPr>
        <w:t xml:space="preserve">For </w:t>
      </w:r>
      <w:proofErr w:type="spellStart"/>
      <w:r w:rsidRPr="00B739CC">
        <w:rPr>
          <w:rFonts w:ascii="Franklin Gothic Book" w:hAnsi="Franklin Gothic Book" w:cstheme="minorBidi"/>
        </w:rPr>
        <w:t>iStent</w:t>
      </w:r>
      <w:proofErr w:type="spellEnd"/>
      <w:r w:rsidRPr="00B739CC">
        <w:rPr>
          <w:rFonts w:ascii="Franklin Gothic Book" w:hAnsi="Franklin Gothic Book" w:cstheme="minorBidi"/>
        </w:rPr>
        <w:t>, meta-</w:t>
      </w:r>
      <w:r w:rsidR="000A1E81" w:rsidRPr="00B739CC">
        <w:rPr>
          <w:rFonts w:ascii="Franklin Gothic Book" w:hAnsi="Franklin Gothic Book" w:cstheme="minorBidi"/>
        </w:rPr>
        <w:t>analysed</w:t>
      </w:r>
      <w:r w:rsidRPr="00B739CC">
        <w:rPr>
          <w:rFonts w:ascii="Franklin Gothic Book" w:hAnsi="Franklin Gothic Book" w:cstheme="minorBidi"/>
        </w:rPr>
        <w:t xml:space="preserve"> IOP change from baseline estimates w</w:t>
      </w:r>
      <w:r w:rsidR="00CC7DC5">
        <w:rPr>
          <w:rFonts w:ascii="Franklin Gothic Book" w:hAnsi="Franklin Gothic Book" w:cstheme="minorBidi"/>
        </w:rPr>
        <w:t>as</w:t>
      </w:r>
      <w:r w:rsidRPr="00B739CC">
        <w:rPr>
          <w:rFonts w:ascii="Franklin Gothic Book" w:hAnsi="Franklin Gothic Book" w:cstheme="minorBidi"/>
        </w:rPr>
        <w:t xml:space="preserve"> -4.26</w:t>
      </w:r>
      <w:r w:rsidR="00375333">
        <w:rPr>
          <w:rFonts w:ascii="Franklin Gothic Book" w:hAnsi="Franklin Gothic Book" w:cstheme="minorBidi"/>
        </w:rPr>
        <w:t> mm Hg</w:t>
      </w:r>
      <w:r w:rsidRPr="00B739CC">
        <w:rPr>
          <w:rFonts w:ascii="Franklin Gothic Book" w:hAnsi="Franklin Gothic Book" w:cstheme="minorBidi"/>
        </w:rPr>
        <w:t xml:space="preserve"> (95% CI</w:t>
      </w:r>
      <w:r w:rsidR="00CC7DC5">
        <w:rPr>
          <w:rFonts w:ascii="Franklin Gothic Book" w:hAnsi="Franklin Gothic Book" w:cstheme="minorBidi"/>
        </w:rPr>
        <w:t>:</w:t>
      </w:r>
      <w:r w:rsidRPr="00B739CC">
        <w:rPr>
          <w:rFonts w:ascii="Franklin Gothic Book" w:hAnsi="Franklin Gothic Book" w:cstheme="minorBidi"/>
        </w:rPr>
        <w:t xml:space="preserve"> </w:t>
      </w:r>
      <w:r w:rsidR="00747522">
        <w:rPr>
          <w:rFonts w:ascii="Franklin Gothic Book" w:hAnsi="Franklin Gothic Book" w:cstheme="minorBidi"/>
        </w:rPr>
        <w:noBreakHyphen/>
      </w:r>
      <w:r w:rsidRPr="00B739CC">
        <w:rPr>
          <w:rFonts w:ascii="Franklin Gothic Book" w:hAnsi="Franklin Gothic Book" w:cstheme="minorBidi"/>
        </w:rPr>
        <w:t xml:space="preserve">6.27, </w:t>
      </w:r>
      <w:r w:rsidR="00386575">
        <w:rPr>
          <w:rFonts w:ascii="Franklin Gothic Book" w:hAnsi="Franklin Gothic Book" w:cstheme="minorBidi"/>
        </w:rPr>
        <w:noBreakHyphen/>
      </w:r>
      <w:r w:rsidRPr="00B739CC">
        <w:rPr>
          <w:rFonts w:ascii="Franklin Gothic Book" w:hAnsi="Franklin Gothic Book" w:cstheme="minorBidi"/>
        </w:rPr>
        <w:t>2.25) at 6</w:t>
      </w:r>
      <w:r w:rsidR="00CC7DC5">
        <w:rPr>
          <w:rFonts w:ascii="Franklin Gothic Book" w:hAnsi="Franklin Gothic Book" w:cstheme="minorBidi"/>
        </w:rPr>
        <w:t xml:space="preserve"> </w:t>
      </w:r>
      <w:r w:rsidRPr="00B739CC">
        <w:rPr>
          <w:rFonts w:ascii="Franklin Gothic Book" w:hAnsi="Franklin Gothic Book" w:cstheme="minorBidi"/>
        </w:rPr>
        <w:t>months, -5.39 (95% CI</w:t>
      </w:r>
      <w:r w:rsidR="00CC7DC5">
        <w:rPr>
          <w:rFonts w:ascii="Franklin Gothic Book" w:hAnsi="Franklin Gothic Book" w:cstheme="minorBidi"/>
        </w:rPr>
        <w:t xml:space="preserve">: </w:t>
      </w:r>
      <w:r w:rsidRPr="00B739CC">
        <w:rPr>
          <w:rFonts w:ascii="Franklin Gothic Book" w:hAnsi="Franklin Gothic Book" w:cstheme="minorBidi"/>
        </w:rPr>
        <w:t xml:space="preserve">-8.02, -2.76) at 12 months, and -4.92 (95% CI -8.86, -0.98) at 24 months, indicating less preferential treatment outcomes relative to </w:t>
      </w:r>
      <w:proofErr w:type="spellStart"/>
      <w:r w:rsidRPr="00B739CC">
        <w:rPr>
          <w:rFonts w:ascii="Franklin Gothic Book" w:hAnsi="Franklin Gothic Book" w:cstheme="minorBidi"/>
        </w:rPr>
        <w:t>MINIject</w:t>
      </w:r>
      <w:proofErr w:type="spellEnd"/>
      <w:r w:rsidRPr="00B739CC">
        <w:rPr>
          <w:rFonts w:ascii="Franklin Gothic Book" w:hAnsi="Franklin Gothic Book" w:cstheme="minorBidi"/>
        </w:rPr>
        <w:t xml:space="preserve">. Statistical heterogeneity was high across the </w:t>
      </w:r>
      <w:proofErr w:type="spellStart"/>
      <w:r w:rsidRPr="00B739CC">
        <w:rPr>
          <w:rFonts w:ascii="Franklin Gothic Book" w:hAnsi="Franklin Gothic Book" w:cstheme="minorBidi"/>
        </w:rPr>
        <w:t>iStent</w:t>
      </w:r>
      <w:proofErr w:type="spellEnd"/>
      <w:r w:rsidRPr="00B739CC">
        <w:rPr>
          <w:rFonts w:ascii="Franklin Gothic Book" w:hAnsi="Franklin Gothic Book" w:cstheme="minorBidi"/>
        </w:rPr>
        <w:t xml:space="preserve"> trials, with I</w:t>
      </w:r>
      <w:r w:rsidRPr="00AD29E4">
        <w:rPr>
          <w:rFonts w:ascii="Franklin Gothic Book" w:hAnsi="Franklin Gothic Book" w:cstheme="minorBidi"/>
          <w:vertAlign w:val="superscript"/>
        </w:rPr>
        <w:t>2</w:t>
      </w:r>
      <w:r w:rsidRPr="00B739CC">
        <w:rPr>
          <w:rFonts w:ascii="Franklin Gothic Book" w:hAnsi="Franklin Gothic Book" w:cstheme="minorBidi"/>
        </w:rPr>
        <w:t xml:space="preserve">&gt;90% at each time point. </w:t>
      </w:r>
      <w:bookmarkStart w:id="23" w:name="_Ref146395532"/>
      <w:bookmarkStart w:id="24" w:name="_Ref150953610"/>
    </w:p>
    <w:p w14:paraId="34E44C53" w14:textId="5C6BDBCA" w:rsidR="006D09C4" w:rsidRPr="006D09C4" w:rsidRDefault="006D09C4" w:rsidP="006D09C4">
      <w:pPr>
        <w:pStyle w:val="ADARbodytext"/>
        <w:rPr>
          <w:rFonts w:ascii="Franklin Gothic Book" w:hAnsi="Franklin Gothic Book" w:cstheme="minorBidi"/>
        </w:rPr>
      </w:pPr>
      <w:r w:rsidRPr="006D09C4">
        <w:rPr>
          <w:rFonts w:ascii="Franklin Gothic Book" w:hAnsi="Franklin Gothic Book" w:cstheme="minorBidi"/>
        </w:rPr>
        <w:t xml:space="preserve">The </w:t>
      </w:r>
      <w:r w:rsidR="00E5060B">
        <w:rPr>
          <w:rFonts w:ascii="Franklin Gothic Book" w:hAnsi="Franklin Gothic Book" w:cstheme="minorBidi"/>
        </w:rPr>
        <w:t>applicant</w:t>
      </w:r>
      <w:r w:rsidRPr="006D09C4">
        <w:rPr>
          <w:rFonts w:ascii="Franklin Gothic Book" w:hAnsi="Franklin Gothic Book" w:cstheme="minorBidi"/>
        </w:rPr>
        <w:t xml:space="preserve"> claimed that the lower inter-study variability in mean IOP reduction observed for </w:t>
      </w:r>
      <w:proofErr w:type="spellStart"/>
      <w:r w:rsidRPr="006D09C4">
        <w:rPr>
          <w:rFonts w:ascii="Franklin Gothic Book" w:hAnsi="Franklin Gothic Book" w:cstheme="minorBidi"/>
        </w:rPr>
        <w:t>MINIject</w:t>
      </w:r>
      <w:proofErr w:type="spellEnd"/>
      <w:r w:rsidRPr="006D09C4">
        <w:rPr>
          <w:rFonts w:ascii="Franklin Gothic Book" w:hAnsi="Franklin Gothic Book" w:cstheme="minorBidi"/>
        </w:rPr>
        <w:t xml:space="preserve"> versus </w:t>
      </w:r>
      <w:proofErr w:type="spellStart"/>
      <w:r w:rsidRPr="006D09C4">
        <w:rPr>
          <w:rFonts w:ascii="Franklin Gothic Book" w:hAnsi="Franklin Gothic Book" w:cstheme="minorBidi"/>
        </w:rPr>
        <w:t>iStent</w:t>
      </w:r>
      <w:proofErr w:type="spellEnd"/>
      <w:r w:rsidRPr="006D09C4">
        <w:rPr>
          <w:rFonts w:ascii="Franklin Gothic Book" w:hAnsi="Franklin Gothic Book" w:cstheme="minorBidi"/>
        </w:rPr>
        <w:t xml:space="preserve"> was indicative of more reliable treatment efficacy. While the </w:t>
      </w:r>
      <w:r w:rsidR="00FC0CDE">
        <w:rPr>
          <w:rFonts w:ascii="Franklin Gothic Book" w:hAnsi="Franklin Gothic Book" w:cstheme="minorBidi"/>
        </w:rPr>
        <w:t>a</w:t>
      </w:r>
      <w:r w:rsidRPr="006D09C4">
        <w:rPr>
          <w:rFonts w:ascii="Franklin Gothic Book" w:hAnsi="Franklin Gothic Book" w:cstheme="minorBidi"/>
        </w:rPr>
        <w:t xml:space="preserve">ssessment </w:t>
      </w:r>
      <w:r w:rsidR="00FC0CDE">
        <w:rPr>
          <w:rFonts w:ascii="Franklin Gothic Book" w:hAnsi="Franklin Gothic Book" w:cstheme="minorBidi"/>
        </w:rPr>
        <w:t>g</w:t>
      </w:r>
      <w:r w:rsidRPr="006D09C4">
        <w:rPr>
          <w:rFonts w:ascii="Franklin Gothic Book" w:hAnsi="Franklin Gothic Book" w:cstheme="minorBidi"/>
        </w:rPr>
        <w:t xml:space="preserve">roup acknowledges the high degree of consistency in the performance of the </w:t>
      </w:r>
      <w:proofErr w:type="spellStart"/>
      <w:r w:rsidRPr="006D09C4">
        <w:rPr>
          <w:rFonts w:ascii="Franklin Gothic Book" w:hAnsi="Franklin Gothic Book" w:cstheme="minorBidi"/>
        </w:rPr>
        <w:t>M</w:t>
      </w:r>
      <w:r w:rsidR="00076EC8">
        <w:rPr>
          <w:rFonts w:ascii="Franklin Gothic Book" w:hAnsi="Franklin Gothic Book" w:cstheme="minorBidi"/>
        </w:rPr>
        <w:t>I</w:t>
      </w:r>
      <w:r w:rsidRPr="006D09C4">
        <w:rPr>
          <w:rFonts w:ascii="Franklin Gothic Book" w:hAnsi="Franklin Gothic Book" w:cstheme="minorBidi"/>
        </w:rPr>
        <w:t>NIject</w:t>
      </w:r>
      <w:proofErr w:type="spellEnd"/>
      <w:r w:rsidRPr="006D09C4">
        <w:rPr>
          <w:rFonts w:ascii="Franklin Gothic Book" w:hAnsi="Franklin Gothic Book" w:cstheme="minorBidi"/>
        </w:rPr>
        <w:t xml:space="preserve">, particularly in the context of </w:t>
      </w:r>
      <w:r w:rsidR="00AE020C">
        <w:rPr>
          <w:rFonts w:ascii="Franklin Gothic Book" w:hAnsi="Franklin Gothic Book" w:cstheme="minorBidi"/>
        </w:rPr>
        <w:t>demographic</w:t>
      </w:r>
      <w:r w:rsidRPr="006D09C4">
        <w:rPr>
          <w:rFonts w:ascii="Franklin Gothic Book" w:hAnsi="Franklin Gothic Book" w:cstheme="minorBidi"/>
        </w:rPr>
        <w:t xml:space="preserve"> differences across the STAR trials (STAR-I, -III, -IV </w:t>
      </w:r>
      <w:r w:rsidR="00EF2058">
        <w:rPr>
          <w:rFonts w:ascii="Franklin Gothic Book" w:hAnsi="Franklin Gothic Book" w:cstheme="minorBidi"/>
        </w:rPr>
        <w:t>[</w:t>
      </w:r>
      <w:r w:rsidRPr="006D09C4">
        <w:rPr>
          <w:rFonts w:ascii="Franklin Gothic Book" w:hAnsi="Franklin Gothic Book" w:cstheme="minorBidi"/>
        </w:rPr>
        <w:t>Latin American and Indian</w:t>
      </w:r>
      <w:r w:rsidR="00EF2058">
        <w:rPr>
          <w:rFonts w:ascii="Franklin Gothic Book" w:hAnsi="Franklin Gothic Book" w:cstheme="minorBidi"/>
        </w:rPr>
        <w:t>]</w:t>
      </w:r>
      <w:r w:rsidRPr="006D09C4">
        <w:rPr>
          <w:rFonts w:ascii="Franklin Gothic Book" w:hAnsi="Franklin Gothic Book" w:cstheme="minorBidi"/>
        </w:rPr>
        <w:t xml:space="preserve"> and STAR-II </w:t>
      </w:r>
      <w:r w:rsidR="00EF2058">
        <w:rPr>
          <w:rFonts w:ascii="Franklin Gothic Book" w:hAnsi="Franklin Gothic Book" w:cstheme="minorBidi"/>
        </w:rPr>
        <w:t>[</w:t>
      </w:r>
      <w:r w:rsidRPr="006D09C4">
        <w:rPr>
          <w:rFonts w:ascii="Franklin Gothic Book" w:hAnsi="Franklin Gothic Book" w:cstheme="minorBidi"/>
        </w:rPr>
        <w:t>European</w:t>
      </w:r>
      <w:r w:rsidR="00EF2058">
        <w:rPr>
          <w:rFonts w:ascii="Franklin Gothic Book" w:hAnsi="Franklin Gothic Book" w:cstheme="minorBidi"/>
        </w:rPr>
        <w:t>]</w:t>
      </w:r>
      <w:r w:rsidRPr="006D09C4">
        <w:rPr>
          <w:rFonts w:ascii="Franklin Gothic Book" w:hAnsi="Franklin Gothic Book" w:cstheme="minorBidi"/>
        </w:rPr>
        <w:t xml:space="preserve">), it is important to note that the </w:t>
      </w:r>
      <w:proofErr w:type="spellStart"/>
      <w:r w:rsidRPr="006D09C4">
        <w:rPr>
          <w:rFonts w:ascii="Franklin Gothic Book" w:hAnsi="Franklin Gothic Book" w:cstheme="minorBidi"/>
        </w:rPr>
        <w:t>MINIject</w:t>
      </w:r>
      <w:proofErr w:type="spellEnd"/>
      <w:r w:rsidRPr="006D09C4">
        <w:rPr>
          <w:rFonts w:ascii="Franklin Gothic Book" w:hAnsi="Franklin Gothic Book" w:cstheme="minorBidi"/>
        </w:rPr>
        <w:t xml:space="preserve"> trials were identically designed, with consistent eligibility criteria. As a result, patient populations of the STAR trials are likely to be homogenous and thus treatment outcomes more consistent. In contrast, the </w:t>
      </w:r>
      <w:proofErr w:type="spellStart"/>
      <w:r w:rsidRPr="006D09C4">
        <w:rPr>
          <w:rFonts w:ascii="Franklin Gothic Book" w:hAnsi="Franklin Gothic Book" w:cstheme="minorBidi"/>
        </w:rPr>
        <w:t>iStent</w:t>
      </w:r>
      <w:proofErr w:type="spellEnd"/>
      <w:r w:rsidRPr="006D09C4">
        <w:rPr>
          <w:rFonts w:ascii="Franklin Gothic Book" w:hAnsi="Franklin Gothic Book" w:cstheme="minorBidi"/>
        </w:rPr>
        <w:t xml:space="preserve"> trials varied in design, with differences in patient eligibility criteria and baseline characteristics. As such, a higher degree of statistical heterogeneity </w:t>
      </w:r>
      <w:r w:rsidR="00E95003">
        <w:rPr>
          <w:rFonts w:ascii="Franklin Gothic Book" w:hAnsi="Franklin Gothic Book" w:cstheme="minorBidi"/>
        </w:rPr>
        <w:t>wa</w:t>
      </w:r>
      <w:r w:rsidRPr="006D09C4">
        <w:rPr>
          <w:rFonts w:ascii="Franklin Gothic Book" w:hAnsi="Franklin Gothic Book" w:cstheme="minorBidi"/>
        </w:rPr>
        <w:t>s anticipated.</w:t>
      </w:r>
    </w:p>
    <w:p w14:paraId="1B1AA09A" w14:textId="5CEA70A4" w:rsidR="00B069AD" w:rsidRDefault="00B069AD" w:rsidP="00B069AD">
      <w:pPr>
        <w:pStyle w:val="Caption"/>
      </w:pPr>
      <w:bookmarkStart w:id="25" w:name="_Ref152146217"/>
      <w:r>
        <w:lastRenderedPageBreak/>
        <w:t>Figure</w:t>
      </w:r>
      <w:r w:rsidR="00D40723" w:rsidRPr="0001290C">
        <w:t> </w:t>
      </w:r>
      <w:r>
        <w:fldChar w:fldCharType="begin"/>
      </w:r>
      <w:r>
        <w:instrText>SEQ Figure \* ARABIC</w:instrText>
      </w:r>
      <w:r>
        <w:fldChar w:fldCharType="separate"/>
      </w:r>
      <w:r w:rsidR="003C61D8">
        <w:rPr>
          <w:noProof/>
        </w:rPr>
        <w:t>1</w:t>
      </w:r>
      <w:r>
        <w:fldChar w:fldCharType="end"/>
      </w:r>
      <w:bookmarkEnd w:id="23"/>
      <w:bookmarkEnd w:id="25"/>
      <w:r w:rsidR="00D40723">
        <w:tab/>
      </w:r>
      <w:r>
        <w:t xml:space="preserve">Mean change from baseline in </w:t>
      </w:r>
      <w:r w:rsidR="0064531B">
        <w:t>intraocular pressure</w:t>
      </w:r>
      <w:r>
        <w:t xml:space="preserve"> at 6 months (mmHg)</w:t>
      </w:r>
      <w:bookmarkEnd w:id="24"/>
    </w:p>
    <w:p w14:paraId="678FE59F" w14:textId="77777777" w:rsidR="00B069AD" w:rsidRDefault="00B069AD" w:rsidP="00B069AD">
      <w:pPr>
        <w:pStyle w:val="PBSnormal"/>
      </w:pPr>
      <w:r>
        <w:rPr>
          <w:noProof/>
        </w:rPr>
        <w:drawing>
          <wp:inline distT="0" distB="0" distL="0" distR="0" wp14:anchorId="52A60F4B" wp14:editId="67FD4E6B">
            <wp:extent cx="5731510" cy="4517390"/>
            <wp:effectExtent l="0" t="0" r="2540" b="0"/>
            <wp:docPr id="1408369663" name="Picture 1408369663" descr="A screenshot of a graph showing the mean change from baseline in intraocular pressure at 6 months (mm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369663"/>
                    <pic:cNvPicPr/>
                  </pic:nvPicPr>
                  <pic:blipFill>
                    <a:blip r:embed="rId11">
                      <a:extLst>
                        <a:ext uri="{28A0092B-C50C-407E-A947-70E740481C1C}">
                          <a14:useLocalDpi xmlns:a14="http://schemas.microsoft.com/office/drawing/2010/main" val="0"/>
                        </a:ext>
                      </a:extLst>
                    </a:blip>
                    <a:stretch>
                      <a:fillRect/>
                    </a:stretch>
                  </pic:blipFill>
                  <pic:spPr>
                    <a:xfrm>
                      <a:off x="0" y="0"/>
                      <a:ext cx="5731510" cy="4517390"/>
                    </a:xfrm>
                    <a:prstGeom prst="rect">
                      <a:avLst/>
                    </a:prstGeom>
                  </pic:spPr>
                </pic:pic>
              </a:graphicData>
            </a:graphic>
          </wp:inline>
        </w:drawing>
      </w:r>
    </w:p>
    <w:p w14:paraId="3B63EE36" w14:textId="7BA71720" w:rsidR="00D22780" w:rsidRPr="00AD31F1" w:rsidRDefault="005D4666" w:rsidP="00617190">
      <w:pPr>
        <w:pStyle w:val="tablenotes1"/>
        <w:spacing w:before="0"/>
        <w:jc w:val="left"/>
        <w:rPr>
          <w:u w:val="single"/>
        </w:rPr>
      </w:pPr>
      <w:r w:rsidRPr="00AD31F1">
        <w:rPr>
          <w:u w:val="single"/>
        </w:rPr>
        <w:t>Abbreviation</w:t>
      </w:r>
      <w:r w:rsidRPr="00AD31F1">
        <w:t>:</w:t>
      </w:r>
      <w:r w:rsidR="00B64F02">
        <w:t xml:space="preserve"> CI = confidence interval; SD = standard deviation;</w:t>
      </w:r>
      <w:r w:rsidRPr="00AD31F1">
        <w:t xml:space="preserve"> </w:t>
      </w:r>
      <w:r w:rsidR="00B069AD" w:rsidRPr="00AD31F1">
        <w:t>IOP</w:t>
      </w:r>
      <w:r w:rsidRPr="00AD31F1">
        <w:t xml:space="preserve"> =</w:t>
      </w:r>
      <w:r w:rsidR="00B069AD" w:rsidRPr="00AD31F1">
        <w:t xml:space="preserve"> intraocular pressure </w:t>
      </w:r>
    </w:p>
    <w:p w14:paraId="357AF02D" w14:textId="3D9FA257" w:rsidR="006D09C4" w:rsidRDefault="00D22780" w:rsidP="00617190">
      <w:pPr>
        <w:pStyle w:val="tablenotes1"/>
        <w:spacing w:before="0"/>
        <w:jc w:val="left"/>
      </w:pPr>
      <w:r w:rsidRPr="00AD31F1">
        <w:rPr>
          <w:u w:val="single"/>
        </w:rPr>
        <w:t>Source</w:t>
      </w:r>
      <w:r w:rsidRPr="00AD31F1">
        <w:t xml:space="preserve">: Figure </w:t>
      </w:r>
      <w:r w:rsidR="00507C0C">
        <w:t>3</w:t>
      </w:r>
      <w:r w:rsidRPr="00AD31F1">
        <w:t xml:space="preserve"> of ADAR submission</w:t>
      </w:r>
    </w:p>
    <w:p w14:paraId="3B3D4BC3" w14:textId="71917DC4" w:rsidR="00CF3E4C" w:rsidRDefault="00CF3E4C" w:rsidP="00617190">
      <w:pPr>
        <w:pStyle w:val="tablenotes1"/>
        <w:spacing w:before="0"/>
        <w:jc w:val="left"/>
      </w:pPr>
      <w:r w:rsidRPr="00AD31F1">
        <w:t>‘Test of group differences’ p value provides the meta-regression p value for the indirect treatment comparison analyses presented in Table 15 of the ADAR submission</w:t>
      </w:r>
      <w:r>
        <w:t xml:space="preserve"> (reproduced in </w:t>
      </w:r>
      <w:r>
        <w:fldChar w:fldCharType="begin"/>
      </w:r>
      <w:r>
        <w:instrText xml:space="preserve"> REF _Ref146392737 \h </w:instrText>
      </w:r>
      <w:r>
        <w:fldChar w:fldCharType="separate"/>
      </w:r>
      <w:r w:rsidR="003C61D8" w:rsidRPr="00AC6B55">
        <w:t>Table</w:t>
      </w:r>
      <w:r w:rsidR="003C61D8" w:rsidRPr="0001290C">
        <w:t> </w:t>
      </w:r>
      <w:r w:rsidR="003C61D8">
        <w:rPr>
          <w:noProof/>
        </w:rPr>
        <w:t>11</w:t>
      </w:r>
      <w:r>
        <w:fldChar w:fldCharType="end"/>
      </w:r>
      <w:r>
        <w:t>)</w:t>
      </w:r>
    </w:p>
    <w:p w14:paraId="5933E1A0" w14:textId="2165D732" w:rsidR="003E5D8A" w:rsidRDefault="003E5D8A" w:rsidP="002328D3">
      <w:pPr>
        <w:pStyle w:val="ADARbullet"/>
        <w:numPr>
          <w:ilvl w:val="0"/>
          <w:numId w:val="0"/>
        </w:numPr>
        <w:spacing w:before="240"/>
        <w:rPr>
          <w:rFonts w:ascii="Franklin Gothic Book" w:hAnsi="Franklin Gothic Book" w:cstheme="minorBidi"/>
        </w:rPr>
      </w:pPr>
      <w:r w:rsidRPr="003E5D8A">
        <w:rPr>
          <w:rFonts w:ascii="Franklin Gothic Book" w:hAnsi="Franklin Gothic Book" w:cstheme="minorBidi"/>
        </w:rPr>
        <w:t xml:space="preserve">To better understand the heterogeneity observed between the </w:t>
      </w:r>
      <w:proofErr w:type="spellStart"/>
      <w:r w:rsidRPr="003E5D8A">
        <w:rPr>
          <w:rFonts w:ascii="Franklin Gothic Book" w:hAnsi="Franklin Gothic Book" w:cstheme="minorBidi"/>
        </w:rPr>
        <w:t>iStent</w:t>
      </w:r>
      <w:proofErr w:type="spellEnd"/>
      <w:r w:rsidRPr="003E5D8A">
        <w:rPr>
          <w:rFonts w:ascii="Franklin Gothic Book" w:hAnsi="Franklin Gothic Book" w:cstheme="minorBidi"/>
        </w:rPr>
        <w:t xml:space="preserve"> trials, the </w:t>
      </w:r>
      <w:r w:rsidR="00FC0CDE">
        <w:rPr>
          <w:rFonts w:ascii="Franklin Gothic Book" w:hAnsi="Franklin Gothic Book" w:cstheme="minorBidi"/>
        </w:rPr>
        <w:t>a</w:t>
      </w:r>
      <w:r w:rsidRPr="003E5D8A">
        <w:rPr>
          <w:rFonts w:ascii="Franklin Gothic Book" w:hAnsi="Franklin Gothic Book" w:cstheme="minorBidi"/>
        </w:rPr>
        <w:t xml:space="preserve">ssessment </w:t>
      </w:r>
      <w:r w:rsidR="00FC0CDE">
        <w:rPr>
          <w:rFonts w:ascii="Franklin Gothic Book" w:hAnsi="Franklin Gothic Book" w:cstheme="minorBidi"/>
        </w:rPr>
        <w:t>g</w:t>
      </w:r>
      <w:r w:rsidRPr="003E5D8A">
        <w:rPr>
          <w:rFonts w:ascii="Franklin Gothic Book" w:hAnsi="Franklin Gothic Book" w:cstheme="minorBidi"/>
        </w:rPr>
        <w:t>roup performed a correlation analysis, evaluating the relationship between baseline IOP levels and mean IOP differences at 6, 12 and 24 months (see</w:t>
      </w:r>
      <w:r w:rsidR="00F77DD5">
        <w:rPr>
          <w:rFonts w:ascii="Franklin Gothic Book" w:hAnsi="Franklin Gothic Book" w:cstheme="minorBidi"/>
        </w:rPr>
        <w:t xml:space="preserve"> </w:t>
      </w:r>
      <w:r w:rsidR="00F77DD5">
        <w:rPr>
          <w:rFonts w:ascii="Franklin Gothic Book" w:hAnsi="Franklin Gothic Book" w:cstheme="minorBidi"/>
        </w:rPr>
        <w:fldChar w:fldCharType="begin"/>
      </w:r>
      <w:r w:rsidR="00F77DD5">
        <w:rPr>
          <w:rFonts w:ascii="Franklin Gothic Book" w:hAnsi="Franklin Gothic Book" w:cstheme="minorBidi"/>
        </w:rPr>
        <w:instrText xml:space="preserve"> REF _Ref150418509 \h </w:instrText>
      </w:r>
      <w:r w:rsidR="00AE020C">
        <w:rPr>
          <w:rFonts w:ascii="Franklin Gothic Book" w:hAnsi="Franklin Gothic Book" w:cstheme="minorBidi"/>
        </w:rPr>
        <w:instrText xml:space="preserve"> \* MERGEFORMAT </w:instrText>
      </w:r>
      <w:r w:rsidR="00F77DD5">
        <w:rPr>
          <w:rFonts w:ascii="Franklin Gothic Book" w:hAnsi="Franklin Gothic Book" w:cstheme="minorBidi"/>
        </w:rPr>
      </w:r>
      <w:r w:rsidR="00F77DD5">
        <w:rPr>
          <w:rFonts w:ascii="Franklin Gothic Book" w:hAnsi="Franklin Gothic Book" w:cstheme="minorBidi"/>
        </w:rPr>
        <w:fldChar w:fldCharType="separate"/>
      </w:r>
      <w:r w:rsidR="003C61D8" w:rsidRPr="003C61D8">
        <w:rPr>
          <w:rFonts w:ascii="Franklin Gothic Book" w:hAnsi="Franklin Gothic Book" w:cstheme="minorBidi"/>
        </w:rPr>
        <w:t>Table 10</w:t>
      </w:r>
      <w:r w:rsidR="00F77DD5">
        <w:rPr>
          <w:rFonts w:ascii="Franklin Gothic Book" w:hAnsi="Franklin Gothic Book" w:cstheme="minorBidi"/>
        </w:rPr>
        <w:fldChar w:fldCharType="end"/>
      </w:r>
      <w:r w:rsidRPr="003E5D8A">
        <w:rPr>
          <w:rFonts w:ascii="Franklin Gothic Book" w:hAnsi="Franklin Gothic Book" w:cstheme="minorBidi"/>
        </w:rPr>
        <w:t xml:space="preserve">). Negative correlations were observed, indicating </w:t>
      </w:r>
      <w:r w:rsidR="00AB4647">
        <w:rPr>
          <w:rFonts w:ascii="Franklin Gothic Book" w:hAnsi="Franklin Gothic Book" w:cstheme="minorBidi"/>
        </w:rPr>
        <w:t xml:space="preserve">that </w:t>
      </w:r>
      <w:r w:rsidRPr="003E5D8A">
        <w:rPr>
          <w:rFonts w:ascii="Franklin Gothic Book" w:hAnsi="Franklin Gothic Book" w:cstheme="minorBidi"/>
        </w:rPr>
        <w:t xml:space="preserve">studies with higher baseline IOP levels were associated with greater mean IOP reductions (Pearsons’s correlation coefficient </w:t>
      </w:r>
      <w:r w:rsidR="00D27A49">
        <w:rPr>
          <w:rFonts w:ascii="Franklin Gothic Book" w:hAnsi="Franklin Gothic Book" w:cstheme="minorBidi"/>
        </w:rPr>
        <w:t>[</w:t>
      </w:r>
      <w:r w:rsidRPr="003E5D8A">
        <w:rPr>
          <w:rFonts w:ascii="Franklin Gothic Book" w:hAnsi="Franklin Gothic Book" w:cstheme="minorBidi"/>
        </w:rPr>
        <w:t>rho</w:t>
      </w:r>
      <w:r w:rsidR="00CF5738">
        <w:rPr>
          <w:rFonts w:ascii="Franklin Gothic Book" w:hAnsi="Franklin Gothic Book" w:cstheme="minorBidi"/>
        </w:rPr>
        <w:t>]</w:t>
      </w:r>
      <w:r w:rsidRPr="003E5D8A">
        <w:rPr>
          <w:rFonts w:ascii="Franklin Gothic Book" w:hAnsi="Franklin Gothic Book" w:cstheme="minorBidi"/>
        </w:rPr>
        <w:t xml:space="preserve"> = -0.35 at 6 months, rho = -0.77 at 12 months, and rho = -0.96 at 24 months). </w:t>
      </w:r>
      <w:r w:rsidR="00AB4647">
        <w:rPr>
          <w:rFonts w:ascii="Franklin Gothic Book" w:hAnsi="Franklin Gothic Book" w:cstheme="minorBidi"/>
        </w:rPr>
        <w:t>The</w:t>
      </w:r>
      <w:r w:rsidRPr="003E5D8A">
        <w:rPr>
          <w:rFonts w:ascii="Franklin Gothic Book" w:hAnsi="Franklin Gothic Book" w:cstheme="minorBidi"/>
        </w:rPr>
        <w:t xml:space="preserve"> </w:t>
      </w:r>
      <w:r w:rsidR="00FC0CDE">
        <w:rPr>
          <w:rFonts w:ascii="Franklin Gothic Book" w:hAnsi="Franklin Gothic Book" w:cstheme="minorBidi"/>
        </w:rPr>
        <w:t>a</w:t>
      </w:r>
      <w:r w:rsidRPr="003E5D8A">
        <w:rPr>
          <w:rFonts w:ascii="Franklin Gothic Book" w:hAnsi="Franklin Gothic Book" w:cstheme="minorBidi"/>
        </w:rPr>
        <w:t xml:space="preserve">ssessment </w:t>
      </w:r>
      <w:r w:rsidR="00FC0CDE">
        <w:rPr>
          <w:rFonts w:ascii="Franklin Gothic Book" w:hAnsi="Franklin Gothic Book" w:cstheme="minorBidi"/>
        </w:rPr>
        <w:t>g</w:t>
      </w:r>
      <w:r w:rsidRPr="003E5D8A">
        <w:rPr>
          <w:rFonts w:ascii="Franklin Gothic Book" w:hAnsi="Franklin Gothic Book" w:cstheme="minorBidi"/>
        </w:rPr>
        <w:t>roup acknowledge</w:t>
      </w:r>
      <w:r w:rsidR="00161EE4">
        <w:rPr>
          <w:rFonts w:ascii="Franklin Gothic Book" w:hAnsi="Franklin Gothic Book" w:cstheme="minorBidi"/>
        </w:rPr>
        <w:t>d</w:t>
      </w:r>
      <w:r w:rsidRPr="003E5D8A">
        <w:rPr>
          <w:rFonts w:ascii="Franklin Gothic Book" w:hAnsi="Franklin Gothic Book" w:cstheme="minorBidi"/>
        </w:rPr>
        <w:t xml:space="preserve"> this analysis </w:t>
      </w:r>
      <w:r w:rsidR="00161EE4">
        <w:rPr>
          <w:rFonts w:ascii="Franklin Gothic Book" w:hAnsi="Franklin Gothic Book" w:cstheme="minorBidi"/>
        </w:rPr>
        <w:t>wa</w:t>
      </w:r>
      <w:r w:rsidRPr="003E5D8A">
        <w:rPr>
          <w:rFonts w:ascii="Franklin Gothic Book" w:hAnsi="Franklin Gothic Book" w:cstheme="minorBidi"/>
        </w:rPr>
        <w:t>s limited due to small sample size</w:t>
      </w:r>
      <w:r w:rsidR="00161EE4">
        <w:rPr>
          <w:rFonts w:ascii="Franklin Gothic Book" w:hAnsi="Franklin Gothic Book" w:cstheme="minorBidi"/>
        </w:rPr>
        <w:t>,</w:t>
      </w:r>
      <w:r w:rsidR="00AB4647">
        <w:rPr>
          <w:rFonts w:ascii="Franklin Gothic Book" w:hAnsi="Franklin Gothic Book" w:cstheme="minorBidi"/>
        </w:rPr>
        <w:t xml:space="preserve"> </w:t>
      </w:r>
      <w:r w:rsidR="00161EE4">
        <w:rPr>
          <w:rFonts w:ascii="Franklin Gothic Book" w:hAnsi="Franklin Gothic Book" w:cstheme="minorBidi"/>
        </w:rPr>
        <w:t>n</w:t>
      </w:r>
      <w:r w:rsidR="00AB4647">
        <w:rPr>
          <w:rFonts w:ascii="Franklin Gothic Book" w:hAnsi="Franklin Gothic Book" w:cstheme="minorBidi"/>
        </w:rPr>
        <w:t xml:space="preserve">evertheless, the </w:t>
      </w:r>
      <w:r w:rsidRPr="003E5D8A">
        <w:rPr>
          <w:rFonts w:ascii="Franklin Gothic Book" w:hAnsi="Franklin Gothic Book" w:cstheme="minorBidi"/>
        </w:rPr>
        <w:t xml:space="preserve">outcomes </w:t>
      </w:r>
      <w:r w:rsidR="00161EE4">
        <w:rPr>
          <w:rFonts w:ascii="Franklin Gothic Book" w:hAnsi="Franklin Gothic Book" w:cstheme="minorBidi"/>
        </w:rPr>
        <w:t>supported</w:t>
      </w:r>
      <w:r w:rsidR="00161EE4" w:rsidRPr="003E5D8A">
        <w:rPr>
          <w:rFonts w:ascii="Franklin Gothic Book" w:hAnsi="Franklin Gothic Book" w:cstheme="minorBidi"/>
        </w:rPr>
        <w:t xml:space="preserve"> </w:t>
      </w:r>
      <w:r w:rsidRPr="003E5D8A">
        <w:rPr>
          <w:rFonts w:ascii="Franklin Gothic Book" w:hAnsi="Franklin Gothic Book" w:cstheme="minorBidi"/>
        </w:rPr>
        <w:t xml:space="preserve">a possible ceiling effect, whereby </w:t>
      </w:r>
      <w:r w:rsidR="00AE020C">
        <w:rPr>
          <w:rFonts w:ascii="Franklin Gothic Book" w:hAnsi="Franklin Gothic Book" w:cstheme="minorBidi"/>
        </w:rPr>
        <w:t>stronger</w:t>
      </w:r>
      <w:r w:rsidRPr="003E5D8A">
        <w:rPr>
          <w:rFonts w:ascii="Franklin Gothic Book" w:hAnsi="Franklin Gothic Book" w:cstheme="minorBidi"/>
        </w:rPr>
        <w:t xml:space="preserve"> treatment effects are observed in studies with higher baseline IOP levels </w:t>
      </w:r>
      <w:r w:rsidR="00531919">
        <w:rPr>
          <w:rFonts w:ascii="Franklin Gothic Book" w:hAnsi="Franklin Gothic Book" w:cstheme="minorBidi"/>
        </w:rPr>
        <w:t>because</w:t>
      </w:r>
      <w:r w:rsidRPr="003E5D8A">
        <w:rPr>
          <w:rFonts w:ascii="Franklin Gothic Book" w:hAnsi="Franklin Gothic Book" w:cstheme="minorBidi"/>
        </w:rPr>
        <w:t xml:space="preserve"> there is </w:t>
      </w:r>
      <w:r w:rsidR="00AE020C">
        <w:rPr>
          <w:rFonts w:ascii="Franklin Gothic Book" w:hAnsi="Franklin Gothic Book" w:cstheme="minorBidi"/>
        </w:rPr>
        <w:t>greater</w:t>
      </w:r>
      <w:r w:rsidRPr="003E5D8A">
        <w:rPr>
          <w:rFonts w:ascii="Franklin Gothic Book" w:hAnsi="Franklin Gothic Book" w:cstheme="minorBidi"/>
        </w:rPr>
        <w:t xml:space="preserve"> </w:t>
      </w:r>
      <w:r w:rsidR="00AE020C">
        <w:rPr>
          <w:rFonts w:ascii="Franklin Gothic Book" w:hAnsi="Franklin Gothic Book" w:cstheme="minorBidi"/>
        </w:rPr>
        <w:t>possibility</w:t>
      </w:r>
      <w:r w:rsidRPr="003E5D8A">
        <w:rPr>
          <w:rFonts w:ascii="Franklin Gothic Book" w:hAnsi="Franklin Gothic Book" w:cstheme="minorBidi"/>
        </w:rPr>
        <w:t xml:space="preserve"> for improvement. </w:t>
      </w:r>
    </w:p>
    <w:p w14:paraId="11C738D9" w14:textId="2865749B" w:rsidR="00B54A93" w:rsidRPr="009E3BDE" w:rsidRDefault="00F77DD5" w:rsidP="009E3BDE">
      <w:r w:rsidRPr="00F77DD5">
        <w:t>A</w:t>
      </w:r>
      <w:r w:rsidR="000A1E81">
        <w:t xml:space="preserve">n additional </w:t>
      </w:r>
      <w:r w:rsidRPr="00F77DD5">
        <w:t xml:space="preserve">correlation analysis was performed, incorporating values for baseline IOP and mean IOP differences for the </w:t>
      </w:r>
      <w:proofErr w:type="spellStart"/>
      <w:r w:rsidRPr="00F77DD5">
        <w:t>MINIject</w:t>
      </w:r>
      <w:proofErr w:type="spellEnd"/>
      <w:r w:rsidRPr="00F77DD5">
        <w:t xml:space="preserve"> studies. Here, stronger negative correlations were </w:t>
      </w:r>
      <w:r w:rsidR="001340E3">
        <w:t>observed</w:t>
      </w:r>
      <w:r w:rsidR="00D62F12">
        <w:t xml:space="preserve"> than before</w:t>
      </w:r>
      <w:r w:rsidRPr="00F77DD5">
        <w:t xml:space="preserve"> (rho</w:t>
      </w:r>
      <w:r w:rsidR="009E3BDE">
        <w:t xml:space="preserve"> =</w:t>
      </w:r>
      <w:r w:rsidRPr="00F77DD5">
        <w:t xml:space="preserve"> -0.87 at 6</w:t>
      </w:r>
      <w:r w:rsidR="000467FE">
        <w:t xml:space="preserve"> </w:t>
      </w:r>
      <w:r w:rsidRPr="00F77DD5">
        <w:t>months, -0.85 at 12 months</w:t>
      </w:r>
      <w:r w:rsidR="00B35ADF">
        <w:t>,</w:t>
      </w:r>
      <w:r w:rsidRPr="00F77DD5">
        <w:t xml:space="preserve"> and -0.95 at 24 months). These findings suggest</w:t>
      </w:r>
      <w:r w:rsidR="00C32E72">
        <w:t>ed</w:t>
      </w:r>
      <w:r w:rsidRPr="00F77DD5">
        <w:t xml:space="preserve"> that higher IOP reductions observed for the </w:t>
      </w:r>
      <w:proofErr w:type="spellStart"/>
      <w:r w:rsidRPr="00F77DD5">
        <w:t>MINIject</w:t>
      </w:r>
      <w:proofErr w:type="spellEnd"/>
      <w:r w:rsidRPr="00F77DD5">
        <w:t xml:space="preserve"> studies versus </w:t>
      </w:r>
      <w:proofErr w:type="spellStart"/>
      <w:r w:rsidRPr="00F77DD5">
        <w:t>iStent</w:t>
      </w:r>
      <w:proofErr w:type="spellEnd"/>
      <w:r w:rsidRPr="00F77DD5">
        <w:t xml:space="preserve"> studies may be attributable at least in </w:t>
      </w:r>
      <w:r w:rsidRPr="009E3BDE">
        <w:t>part to cross-trial differences in baseline IOP levels, as opposed to poor</w:t>
      </w:r>
      <w:r w:rsidR="00AE020C" w:rsidRPr="009E3BDE">
        <w:t>er</w:t>
      </w:r>
      <w:r w:rsidRPr="009E3BDE">
        <w:t xml:space="preserve"> performance of the </w:t>
      </w:r>
      <w:proofErr w:type="spellStart"/>
      <w:r w:rsidRPr="009E3BDE">
        <w:t>iStent</w:t>
      </w:r>
      <w:proofErr w:type="spellEnd"/>
      <w:r w:rsidRPr="009E3BDE">
        <w:t xml:space="preserve"> device.</w:t>
      </w:r>
    </w:p>
    <w:p w14:paraId="7A714DA1" w14:textId="7CE1D301" w:rsidR="00A611A6" w:rsidRDefault="00A611A6" w:rsidP="00A611A6">
      <w:pPr>
        <w:pStyle w:val="Caption"/>
      </w:pPr>
      <w:bookmarkStart w:id="26" w:name="_Ref150418509"/>
      <w:bookmarkStart w:id="27" w:name="_Ref150954251"/>
      <w:r>
        <w:lastRenderedPageBreak/>
        <w:t>Table</w:t>
      </w:r>
      <w:r w:rsidR="0064531B" w:rsidRPr="0001290C">
        <w:t> </w:t>
      </w:r>
      <w:r>
        <w:fldChar w:fldCharType="begin"/>
      </w:r>
      <w:r>
        <w:instrText>SEQ Table \* ARABIC</w:instrText>
      </w:r>
      <w:r>
        <w:fldChar w:fldCharType="separate"/>
      </w:r>
      <w:r w:rsidR="003C61D8">
        <w:rPr>
          <w:noProof/>
        </w:rPr>
        <w:t>10</w:t>
      </w:r>
      <w:r>
        <w:fldChar w:fldCharType="end"/>
      </w:r>
      <w:bookmarkEnd w:id="26"/>
      <w:r w:rsidR="0064531B">
        <w:tab/>
      </w:r>
      <w:r w:rsidRPr="00F1111C">
        <w:t xml:space="preserve">Relationship between baseline </w:t>
      </w:r>
      <w:r w:rsidR="0064531B">
        <w:t xml:space="preserve">intraocular pressure </w:t>
      </w:r>
      <w:r w:rsidRPr="00F1111C">
        <w:t xml:space="preserve">and </w:t>
      </w:r>
      <w:r w:rsidR="0064531B">
        <w:t>m</w:t>
      </w:r>
      <w:r w:rsidRPr="00F1111C">
        <w:t xml:space="preserve">ean </w:t>
      </w:r>
      <w:r w:rsidR="000935EE">
        <w:t>intraocular pressure</w:t>
      </w:r>
      <w:r w:rsidRPr="00F1111C">
        <w:t xml:space="preserve"> difference for </w:t>
      </w:r>
      <w:proofErr w:type="spellStart"/>
      <w:r w:rsidRPr="00F1111C">
        <w:t>MINIject</w:t>
      </w:r>
      <w:proofErr w:type="spellEnd"/>
      <w:r w:rsidRPr="00F1111C">
        <w:t xml:space="preserve"> and </w:t>
      </w:r>
      <w:proofErr w:type="spellStart"/>
      <w:r w:rsidRPr="00F1111C">
        <w:t>iStent</w:t>
      </w:r>
      <w:proofErr w:type="spellEnd"/>
      <w:r w:rsidRPr="00F1111C">
        <w:t xml:space="preserve"> </w:t>
      </w:r>
      <w:proofErr w:type="gramStart"/>
      <w:r w:rsidRPr="00F1111C">
        <w:t>trials</w:t>
      </w:r>
      <w:bookmarkEnd w:id="27"/>
      <w:proofErr w:type="gramEnd"/>
    </w:p>
    <w:tbl>
      <w:tblPr>
        <w:tblStyle w:val="TableGrid"/>
        <w:tblW w:w="9255" w:type="dxa"/>
        <w:tblLook w:val="04A0" w:firstRow="1" w:lastRow="0" w:firstColumn="1" w:lastColumn="0" w:noHBand="0" w:noVBand="1"/>
      </w:tblPr>
      <w:tblGrid>
        <w:gridCol w:w="2038"/>
        <w:gridCol w:w="1601"/>
        <w:gridCol w:w="1601"/>
        <w:gridCol w:w="1746"/>
        <w:gridCol w:w="2269"/>
      </w:tblGrid>
      <w:tr w:rsidR="00112681" w:rsidRPr="00112681" w14:paraId="15CB75CB" w14:textId="77777777" w:rsidTr="00617190">
        <w:trPr>
          <w:trHeight w:val="197"/>
          <w:tblHeader/>
        </w:trPr>
        <w:tc>
          <w:tcPr>
            <w:tcW w:w="2038" w:type="dxa"/>
            <w:vMerge w:val="restart"/>
            <w:shd w:val="clear" w:color="auto" w:fill="FFFFFF" w:themeFill="background1"/>
          </w:tcPr>
          <w:p w14:paraId="22DC89E7" w14:textId="77777777" w:rsidR="00B54A93" w:rsidRPr="00112681" w:rsidRDefault="00B54A93" w:rsidP="00EB65C5">
            <w:pPr>
              <w:pStyle w:val="Tablecontent"/>
              <w:spacing w:before="20" w:after="20"/>
              <w:rPr>
                <w:b/>
                <w:bCs/>
              </w:rPr>
            </w:pPr>
            <w:r w:rsidRPr="00112681">
              <w:rPr>
                <w:b/>
                <w:bCs/>
              </w:rPr>
              <w:t xml:space="preserve">Study </w:t>
            </w:r>
          </w:p>
        </w:tc>
        <w:tc>
          <w:tcPr>
            <w:tcW w:w="1601" w:type="dxa"/>
            <w:vMerge w:val="restart"/>
            <w:shd w:val="clear" w:color="auto" w:fill="FFFFFF" w:themeFill="background1"/>
          </w:tcPr>
          <w:p w14:paraId="6CF8D03F" w14:textId="77777777" w:rsidR="00B54A93" w:rsidRPr="00112681" w:rsidRDefault="00B54A93" w:rsidP="00EB65C5">
            <w:pPr>
              <w:pStyle w:val="Tablecontent"/>
              <w:spacing w:before="20" w:after="20"/>
              <w:rPr>
                <w:b/>
                <w:bCs/>
              </w:rPr>
            </w:pPr>
            <w:r w:rsidRPr="00112681">
              <w:rPr>
                <w:b/>
                <w:bCs/>
              </w:rPr>
              <w:t xml:space="preserve">Baseline IOP </w:t>
            </w:r>
          </w:p>
        </w:tc>
        <w:tc>
          <w:tcPr>
            <w:tcW w:w="5616" w:type="dxa"/>
            <w:gridSpan w:val="3"/>
            <w:shd w:val="clear" w:color="auto" w:fill="FFFFFF" w:themeFill="background1"/>
            <w:vAlign w:val="center"/>
          </w:tcPr>
          <w:p w14:paraId="371E05A6" w14:textId="24AB6385" w:rsidR="00B54A93" w:rsidRPr="00112681" w:rsidRDefault="00B54A93" w:rsidP="00EB65C5">
            <w:pPr>
              <w:pStyle w:val="Tablecontent"/>
              <w:spacing w:before="20" w:after="20"/>
              <w:jc w:val="center"/>
              <w:rPr>
                <w:b/>
                <w:bCs/>
              </w:rPr>
            </w:pPr>
            <w:r w:rsidRPr="00112681">
              <w:rPr>
                <w:b/>
                <w:bCs/>
              </w:rPr>
              <w:t>Mean IOP difference</w:t>
            </w:r>
          </w:p>
        </w:tc>
      </w:tr>
      <w:tr w:rsidR="00112681" w:rsidRPr="00112681" w14:paraId="5C272CBA" w14:textId="77777777" w:rsidTr="00617190">
        <w:trPr>
          <w:trHeight w:val="197"/>
          <w:tblHeader/>
        </w:trPr>
        <w:tc>
          <w:tcPr>
            <w:tcW w:w="2038" w:type="dxa"/>
            <w:vMerge/>
            <w:tcBorders>
              <w:bottom w:val="single" w:sz="4" w:space="0" w:color="auto"/>
            </w:tcBorders>
            <w:shd w:val="clear" w:color="auto" w:fill="FFFFFF" w:themeFill="background1"/>
          </w:tcPr>
          <w:p w14:paraId="3972A0F9" w14:textId="77777777" w:rsidR="00B54A93" w:rsidRPr="00112681" w:rsidRDefault="00B54A93" w:rsidP="00EB65C5">
            <w:pPr>
              <w:pStyle w:val="Tablecontent"/>
              <w:spacing w:before="20" w:after="20"/>
              <w:rPr>
                <w:b/>
                <w:bCs/>
              </w:rPr>
            </w:pPr>
          </w:p>
        </w:tc>
        <w:tc>
          <w:tcPr>
            <w:tcW w:w="1601" w:type="dxa"/>
            <w:vMerge/>
            <w:tcBorders>
              <w:bottom w:val="single" w:sz="4" w:space="0" w:color="auto"/>
            </w:tcBorders>
            <w:shd w:val="clear" w:color="auto" w:fill="FFFFFF" w:themeFill="background1"/>
          </w:tcPr>
          <w:p w14:paraId="7D963B15" w14:textId="77777777" w:rsidR="00B54A93" w:rsidRPr="00112681" w:rsidRDefault="00B54A93" w:rsidP="00EB65C5">
            <w:pPr>
              <w:pStyle w:val="Tablecontent"/>
              <w:spacing w:before="20" w:after="20"/>
              <w:rPr>
                <w:b/>
                <w:bCs/>
              </w:rPr>
            </w:pPr>
          </w:p>
        </w:tc>
        <w:tc>
          <w:tcPr>
            <w:tcW w:w="1601" w:type="dxa"/>
            <w:tcBorders>
              <w:bottom w:val="single" w:sz="4" w:space="0" w:color="auto"/>
            </w:tcBorders>
            <w:shd w:val="clear" w:color="auto" w:fill="FFFFFF" w:themeFill="background1"/>
          </w:tcPr>
          <w:p w14:paraId="0765918A" w14:textId="77777777" w:rsidR="00B54A93" w:rsidRPr="00112681" w:rsidRDefault="00B54A93" w:rsidP="00EB65C5">
            <w:pPr>
              <w:pStyle w:val="Tablecontent"/>
              <w:spacing w:before="20" w:after="20"/>
              <w:rPr>
                <w:b/>
                <w:bCs/>
              </w:rPr>
            </w:pPr>
            <w:r w:rsidRPr="00112681">
              <w:rPr>
                <w:b/>
                <w:bCs/>
              </w:rPr>
              <w:t xml:space="preserve">6 months </w:t>
            </w:r>
          </w:p>
        </w:tc>
        <w:tc>
          <w:tcPr>
            <w:tcW w:w="1746" w:type="dxa"/>
            <w:tcBorders>
              <w:bottom w:val="single" w:sz="4" w:space="0" w:color="auto"/>
            </w:tcBorders>
            <w:shd w:val="clear" w:color="auto" w:fill="FFFFFF" w:themeFill="background1"/>
          </w:tcPr>
          <w:p w14:paraId="5E8D06D1" w14:textId="77777777" w:rsidR="00B54A93" w:rsidRPr="00112681" w:rsidRDefault="00B54A93" w:rsidP="00EB65C5">
            <w:pPr>
              <w:pStyle w:val="Tablecontent"/>
              <w:spacing w:before="20" w:after="20"/>
              <w:rPr>
                <w:b/>
                <w:bCs/>
              </w:rPr>
            </w:pPr>
            <w:r w:rsidRPr="00112681">
              <w:rPr>
                <w:b/>
                <w:bCs/>
              </w:rPr>
              <w:t xml:space="preserve">12 months </w:t>
            </w:r>
          </w:p>
        </w:tc>
        <w:tc>
          <w:tcPr>
            <w:tcW w:w="2269" w:type="dxa"/>
            <w:tcBorders>
              <w:bottom w:val="single" w:sz="4" w:space="0" w:color="auto"/>
            </w:tcBorders>
            <w:shd w:val="clear" w:color="auto" w:fill="FFFFFF" w:themeFill="background1"/>
          </w:tcPr>
          <w:p w14:paraId="634B55CB" w14:textId="77777777" w:rsidR="00B54A93" w:rsidRPr="00112681" w:rsidRDefault="00B54A93" w:rsidP="00EB65C5">
            <w:pPr>
              <w:pStyle w:val="Tablecontent"/>
              <w:spacing w:before="20" w:after="20"/>
              <w:rPr>
                <w:b/>
                <w:bCs/>
              </w:rPr>
            </w:pPr>
            <w:r w:rsidRPr="00112681">
              <w:rPr>
                <w:b/>
                <w:bCs/>
              </w:rPr>
              <w:t xml:space="preserve">24 months </w:t>
            </w:r>
          </w:p>
        </w:tc>
      </w:tr>
      <w:tr w:rsidR="00112681" w:rsidRPr="00112681" w14:paraId="228681AF" w14:textId="77777777" w:rsidTr="00617190">
        <w:trPr>
          <w:trHeight w:val="106"/>
        </w:trPr>
        <w:tc>
          <w:tcPr>
            <w:tcW w:w="9255" w:type="dxa"/>
            <w:gridSpan w:val="5"/>
            <w:shd w:val="clear" w:color="auto" w:fill="FFFFFF" w:themeFill="background1"/>
          </w:tcPr>
          <w:p w14:paraId="65EBCF8F" w14:textId="0A74D103" w:rsidR="00B54A93" w:rsidRPr="0017623C" w:rsidRDefault="004B0CD9" w:rsidP="00EB65C5">
            <w:pPr>
              <w:pStyle w:val="Tablecontent"/>
              <w:spacing w:before="20" w:after="20"/>
              <w:rPr>
                <w:b/>
                <w:bCs/>
              </w:rPr>
            </w:pPr>
            <w:proofErr w:type="spellStart"/>
            <w:r w:rsidRPr="0017623C">
              <w:rPr>
                <w:b/>
                <w:bCs/>
              </w:rPr>
              <w:t>MINIject</w:t>
            </w:r>
            <w:proofErr w:type="spellEnd"/>
            <w:r w:rsidRPr="0017623C">
              <w:rPr>
                <w:b/>
                <w:bCs/>
              </w:rPr>
              <w:t xml:space="preserve"> </w:t>
            </w:r>
          </w:p>
        </w:tc>
      </w:tr>
      <w:tr w:rsidR="00112681" w:rsidRPr="00112681" w14:paraId="4D231421" w14:textId="77777777" w:rsidTr="00617190">
        <w:trPr>
          <w:trHeight w:val="106"/>
        </w:trPr>
        <w:tc>
          <w:tcPr>
            <w:tcW w:w="2038" w:type="dxa"/>
          </w:tcPr>
          <w:p w14:paraId="1D29DD29" w14:textId="57901D46" w:rsidR="00B54A93" w:rsidRPr="00112681" w:rsidRDefault="00B54A93" w:rsidP="00EB65C5">
            <w:pPr>
              <w:pStyle w:val="Tablecontent"/>
              <w:spacing w:before="20" w:after="20"/>
            </w:pPr>
            <w:r w:rsidRPr="00112681">
              <w:t>STAR-</w:t>
            </w:r>
            <w:r w:rsidR="002D6381">
              <w:t>I</w:t>
            </w:r>
            <w:r w:rsidRPr="00112681">
              <w:t xml:space="preserve"> </w:t>
            </w:r>
          </w:p>
        </w:tc>
        <w:tc>
          <w:tcPr>
            <w:tcW w:w="1601" w:type="dxa"/>
          </w:tcPr>
          <w:p w14:paraId="6A16256A" w14:textId="77777777" w:rsidR="00B54A93" w:rsidRPr="00112681" w:rsidRDefault="00B54A93" w:rsidP="00EB65C5">
            <w:pPr>
              <w:pStyle w:val="Tablecontent"/>
              <w:spacing w:before="20" w:after="20"/>
            </w:pPr>
            <w:r w:rsidRPr="00112681">
              <w:t>23.2</w:t>
            </w:r>
          </w:p>
        </w:tc>
        <w:tc>
          <w:tcPr>
            <w:tcW w:w="1601" w:type="dxa"/>
          </w:tcPr>
          <w:p w14:paraId="6EA64433" w14:textId="77777777" w:rsidR="00B54A93" w:rsidRPr="00112681" w:rsidRDefault="00B54A93" w:rsidP="00EB65C5">
            <w:pPr>
              <w:pStyle w:val="Tablecontent"/>
              <w:spacing w:before="20" w:after="20"/>
            </w:pPr>
            <w:r w:rsidRPr="00112681">
              <w:t>-9.0</w:t>
            </w:r>
          </w:p>
        </w:tc>
        <w:tc>
          <w:tcPr>
            <w:tcW w:w="1746" w:type="dxa"/>
          </w:tcPr>
          <w:p w14:paraId="7B93398E" w14:textId="77777777" w:rsidR="00B54A93" w:rsidRPr="00112681" w:rsidRDefault="00B54A93" w:rsidP="00EB65C5">
            <w:pPr>
              <w:pStyle w:val="Tablecontent"/>
              <w:spacing w:before="20" w:after="20"/>
            </w:pPr>
            <w:r w:rsidRPr="00112681">
              <w:t>-7.20</w:t>
            </w:r>
          </w:p>
        </w:tc>
        <w:tc>
          <w:tcPr>
            <w:tcW w:w="2269" w:type="dxa"/>
          </w:tcPr>
          <w:p w14:paraId="5A14057B" w14:textId="77777777" w:rsidR="00B54A93" w:rsidRPr="00112681" w:rsidRDefault="00B54A93" w:rsidP="00EB65C5">
            <w:pPr>
              <w:pStyle w:val="Tablecontent"/>
              <w:spacing w:before="20" w:after="20"/>
            </w:pPr>
            <w:r w:rsidRPr="00112681">
              <w:t>-9.40</w:t>
            </w:r>
          </w:p>
        </w:tc>
      </w:tr>
      <w:tr w:rsidR="00112681" w:rsidRPr="00112681" w14:paraId="25C55B36" w14:textId="77777777" w:rsidTr="00617190">
        <w:trPr>
          <w:trHeight w:val="106"/>
        </w:trPr>
        <w:tc>
          <w:tcPr>
            <w:tcW w:w="2038" w:type="dxa"/>
          </w:tcPr>
          <w:p w14:paraId="55C804A9" w14:textId="4EBFFA0B" w:rsidR="00B54A93" w:rsidRPr="00112681" w:rsidRDefault="00B54A93" w:rsidP="00EB65C5">
            <w:pPr>
              <w:pStyle w:val="Tablecontent"/>
              <w:spacing w:before="20" w:after="20"/>
            </w:pPr>
            <w:r w:rsidRPr="00112681">
              <w:t>STAR-</w:t>
            </w:r>
            <w:r w:rsidR="002D6381">
              <w:t>II</w:t>
            </w:r>
          </w:p>
        </w:tc>
        <w:tc>
          <w:tcPr>
            <w:tcW w:w="1601" w:type="dxa"/>
          </w:tcPr>
          <w:p w14:paraId="7567BCF4" w14:textId="77777777" w:rsidR="00B54A93" w:rsidRPr="00112681" w:rsidRDefault="00B54A93" w:rsidP="00EB65C5">
            <w:pPr>
              <w:pStyle w:val="Tablecontent"/>
              <w:spacing w:before="20" w:after="20"/>
            </w:pPr>
            <w:r w:rsidRPr="00112681">
              <w:t>24.6</w:t>
            </w:r>
          </w:p>
        </w:tc>
        <w:tc>
          <w:tcPr>
            <w:tcW w:w="1601" w:type="dxa"/>
          </w:tcPr>
          <w:p w14:paraId="27C8DC9F" w14:textId="77777777" w:rsidR="00B54A93" w:rsidRPr="00112681" w:rsidRDefault="00B54A93" w:rsidP="00EB65C5">
            <w:pPr>
              <w:pStyle w:val="Tablecontent"/>
              <w:spacing w:before="20" w:after="20"/>
            </w:pPr>
            <w:r w:rsidRPr="00112681">
              <w:t>-9.9</w:t>
            </w:r>
          </w:p>
        </w:tc>
        <w:tc>
          <w:tcPr>
            <w:tcW w:w="1746" w:type="dxa"/>
          </w:tcPr>
          <w:p w14:paraId="5FC47C87" w14:textId="77777777" w:rsidR="00B54A93" w:rsidRPr="00112681" w:rsidRDefault="00B54A93" w:rsidP="00EB65C5">
            <w:pPr>
              <w:pStyle w:val="Tablecontent"/>
              <w:spacing w:before="20" w:after="20"/>
            </w:pPr>
            <w:r w:rsidRPr="00112681">
              <w:t>-9.50</w:t>
            </w:r>
          </w:p>
        </w:tc>
        <w:tc>
          <w:tcPr>
            <w:tcW w:w="2269" w:type="dxa"/>
          </w:tcPr>
          <w:p w14:paraId="0FEA2CCD" w14:textId="77777777" w:rsidR="00B54A93" w:rsidRPr="00112681" w:rsidRDefault="00B54A93" w:rsidP="00EB65C5">
            <w:pPr>
              <w:pStyle w:val="Tablecontent"/>
              <w:spacing w:before="20" w:after="20"/>
            </w:pPr>
            <w:r w:rsidRPr="00112681">
              <w:t>-9.10</w:t>
            </w:r>
          </w:p>
        </w:tc>
      </w:tr>
      <w:tr w:rsidR="00112681" w:rsidRPr="00112681" w14:paraId="2A0704B8" w14:textId="77777777" w:rsidTr="00617190">
        <w:trPr>
          <w:trHeight w:val="106"/>
        </w:trPr>
        <w:tc>
          <w:tcPr>
            <w:tcW w:w="2038" w:type="dxa"/>
          </w:tcPr>
          <w:p w14:paraId="1F48FCF0" w14:textId="35E85C40" w:rsidR="00B54A93" w:rsidRPr="00112681" w:rsidRDefault="00B54A93" w:rsidP="00EB65C5">
            <w:pPr>
              <w:pStyle w:val="Tablecontent"/>
              <w:spacing w:before="20" w:after="20"/>
            </w:pPr>
            <w:r w:rsidRPr="00112681">
              <w:t>STAR-</w:t>
            </w:r>
            <w:r w:rsidR="002D6381">
              <w:t>III</w:t>
            </w:r>
          </w:p>
        </w:tc>
        <w:tc>
          <w:tcPr>
            <w:tcW w:w="1601" w:type="dxa"/>
          </w:tcPr>
          <w:p w14:paraId="4E1C4041" w14:textId="77777777" w:rsidR="00B54A93" w:rsidRPr="00112681" w:rsidRDefault="00B54A93" w:rsidP="00EB65C5">
            <w:pPr>
              <w:pStyle w:val="Tablecontent"/>
              <w:spacing w:before="20" w:after="20"/>
            </w:pPr>
            <w:r w:rsidRPr="00112681">
              <w:t>23.6</w:t>
            </w:r>
          </w:p>
        </w:tc>
        <w:tc>
          <w:tcPr>
            <w:tcW w:w="1601" w:type="dxa"/>
          </w:tcPr>
          <w:p w14:paraId="2CD9D8E1" w14:textId="77777777" w:rsidR="00B54A93" w:rsidRPr="00112681" w:rsidRDefault="00B54A93" w:rsidP="00EB65C5">
            <w:pPr>
              <w:pStyle w:val="Tablecontent"/>
              <w:spacing w:before="20" w:after="20"/>
            </w:pPr>
            <w:r w:rsidRPr="00112681">
              <w:t>-9.2</w:t>
            </w:r>
          </w:p>
        </w:tc>
        <w:tc>
          <w:tcPr>
            <w:tcW w:w="1746" w:type="dxa"/>
          </w:tcPr>
          <w:p w14:paraId="3C61EC5B" w14:textId="77777777" w:rsidR="00B54A93" w:rsidRPr="00112681" w:rsidRDefault="00B54A93" w:rsidP="00EB65C5">
            <w:pPr>
              <w:pStyle w:val="Tablecontent"/>
              <w:spacing w:before="20" w:after="20"/>
            </w:pPr>
            <w:r w:rsidRPr="00112681">
              <w:t>-8.00</w:t>
            </w:r>
          </w:p>
        </w:tc>
        <w:tc>
          <w:tcPr>
            <w:tcW w:w="2269" w:type="dxa"/>
          </w:tcPr>
          <w:p w14:paraId="13B536E1" w14:textId="77777777" w:rsidR="00B54A93" w:rsidRPr="00112681" w:rsidRDefault="00B54A93" w:rsidP="00EB65C5">
            <w:pPr>
              <w:pStyle w:val="Tablecontent"/>
              <w:spacing w:before="20" w:after="20"/>
            </w:pPr>
            <w:r w:rsidRPr="00112681">
              <w:t>-10.00</w:t>
            </w:r>
          </w:p>
        </w:tc>
      </w:tr>
      <w:tr w:rsidR="00112681" w:rsidRPr="00112681" w14:paraId="42B59559" w14:textId="77777777" w:rsidTr="00617190">
        <w:trPr>
          <w:trHeight w:val="106"/>
        </w:trPr>
        <w:tc>
          <w:tcPr>
            <w:tcW w:w="2038" w:type="dxa"/>
            <w:tcBorders>
              <w:bottom w:val="single" w:sz="4" w:space="0" w:color="auto"/>
            </w:tcBorders>
          </w:tcPr>
          <w:p w14:paraId="6A4CDC69" w14:textId="2E27DE70" w:rsidR="00B54A93" w:rsidRPr="00112681" w:rsidRDefault="00B54A93" w:rsidP="00EB65C5">
            <w:pPr>
              <w:pStyle w:val="Tablecontent"/>
              <w:spacing w:before="20" w:after="20"/>
            </w:pPr>
            <w:r w:rsidRPr="00112681">
              <w:t>STAR-</w:t>
            </w:r>
            <w:r w:rsidR="002D6381">
              <w:t>IV</w:t>
            </w:r>
          </w:p>
        </w:tc>
        <w:tc>
          <w:tcPr>
            <w:tcW w:w="1601" w:type="dxa"/>
            <w:tcBorders>
              <w:bottom w:val="single" w:sz="4" w:space="0" w:color="auto"/>
            </w:tcBorders>
          </w:tcPr>
          <w:p w14:paraId="21B0929F" w14:textId="77777777" w:rsidR="00B54A93" w:rsidRPr="00112681" w:rsidRDefault="00B54A93" w:rsidP="00EB65C5">
            <w:pPr>
              <w:pStyle w:val="Tablecontent"/>
              <w:spacing w:before="20" w:after="20"/>
            </w:pPr>
            <w:r w:rsidRPr="00112681">
              <w:t>24.3</w:t>
            </w:r>
          </w:p>
        </w:tc>
        <w:tc>
          <w:tcPr>
            <w:tcW w:w="1601" w:type="dxa"/>
            <w:tcBorders>
              <w:bottom w:val="single" w:sz="4" w:space="0" w:color="auto"/>
            </w:tcBorders>
          </w:tcPr>
          <w:p w14:paraId="0DF59583" w14:textId="77777777" w:rsidR="00B54A93" w:rsidRPr="00112681" w:rsidRDefault="00B54A93" w:rsidP="00EB65C5">
            <w:pPr>
              <w:pStyle w:val="Tablecontent"/>
              <w:spacing w:before="20" w:after="20"/>
            </w:pPr>
            <w:r w:rsidRPr="00112681">
              <w:t>-10.1</w:t>
            </w:r>
          </w:p>
        </w:tc>
        <w:tc>
          <w:tcPr>
            <w:tcW w:w="1746" w:type="dxa"/>
            <w:tcBorders>
              <w:bottom w:val="single" w:sz="4" w:space="0" w:color="auto"/>
            </w:tcBorders>
          </w:tcPr>
          <w:p w14:paraId="21757B76" w14:textId="77777777" w:rsidR="00B54A93" w:rsidRPr="00112681" w:rsidRDefault="00B54A93" w:rsidP="00EB65C5">
            <w:pPr>
              <w:pStyle w:val="Tablecontent"/>
              <w:spacing w:before="20" w:after="20"/>
            </w:pPr>
            <w:r w:rsidRPr="00112681">
              <w:t>-9.00</w:t>
            </w:r>
          </w:p>
        </w:tc>
        <w:tc>
          <w:tcPr>
            <w:tcW w:w="2269" w:type="dxa"/>
            <w:tcBorders>
              <w:bottom w:val="single" w:sz="4" w:space="0" w:color="auto"/>
            </w:tcBorders>
          </w:tcPr>
          <w:p w14:paraId="330E328A" w14:textId="77777777" w:rsidR="00B54A93" w:rsidRPr="00112681" w:rsidRDefault="00B54A93" w:rsidP="00EB65C5">
            <w:pPr>
              <w:pStyle w:val="Tablecontent"/>
              <w:spacing w:before="20" w:after="20"/>
            </w:pPr>
            <w:r w:rsidRPr="00112681">
              <w:t>NR</w:t>
            </w:r>
          </w:p>
        </w:tc>
      </w:tr>
      <w:tr w:rsidR="00112681" w:rsidRPr="00112681" w14:paraId="73971C24" w14:textId="77777777" w:rsidTr="00617190">
        <w:trPr>
          <w:trHeight w:val="106"/>
        </w:trPr>
        <w:tc>
          <w:tcPr>
            <w:tcW w:w="9255" w:type="dxa"/>
            <w:gridSpan w:val="5"/>
            <w:shd w:val="clear" w:color="auto" w:fill="FFFFFF" w:themeFill="background1"/>
          </w:tcPr>
          <w:p w14:paraId="4B2F6088" w14:textId="77777777" w:rsidR="00B54A93" w:rsidRPr="0017623C" w:rsidRDefault="00B54A93" w:rsidP="00EB65C5">
            <w:pPr>
              <w:pStyle w:val="Tablecontent"/>
              <w:spacing w:before="20" w:after="20"/>
              <w:rPr>
                <w:b/>
                <w:bCs/>
              </w:rPr>
            </w:pPr>
            <w:proofErr w:type="spellStart"/>
            <w:r w:rsidRPr="0017623C">
              <w:rPr>
                <w:b/>
                <w:bCs/>
              </w:rPr>
              <w:t>iStent</w:t>
            </w:r>
            <w:proofErr w:type="spellEnd"/>
            <w:r w:rsidRPr="0017623C">
              <w:rPr>
                <w:b/>
                <w:bCs/>
              </w:rPr>
              <w:t xml:space="preserve"> </w:t>
            </w:r>
          </w:p>
        </w:tc>
      </w:tr>
      <w:tr w:rsidR="00112681" w:rsidRPr="00112681" w14:paraId="69AD91FD" w14:textId="77777777" w:rsidTr="00617190">
        <w:trPr>
          <w:trHeight w:val="106"/>
        </w:trPr>
        <w:tc>
          <w:tcPr>
            <w:tcW w:w="2038" w:type="dxa"/>
          </w:tcPr>
          <w:p w14:paraId="071F9003" w14:textId="1B84F276" w:rsidR="00B54A93" w:rsidRPr="00112681" w:rsidRDefault="00B54A93" w:rsidP="00EB65C5">
            <w:pPr>
              <w:pStyle w:val="Tablecontent"/>
              <w:spacing w:before="20" w:after="20"/>
            </w:pPr>
            <w:proofErr w:type="spellStart"/>
            <w:r w:rsidRPr="00112681">
              <w:t>Voskanyan</w:t>
            </w:r>
            <w:proofErr w:type="spellEnd"/>
            <w:r w:rsidRPr="00112681">
              <w:t xml:space="preserve"> </w:t>
            </w:r>
            <w:r w:rsidR="009E3BDE">
              <w:t>2014</w:t>
            </w:r>
          </w:p>
        </w:tc>
        <w:tc>
          <w:tcPr>
            <w:tcW w:w="1601" w:type="dxa"/>
          </w:tcPr>
          <w:p w14:paraId="60E46B2D" w14:textId="77777777" w:rsidR="00B54A93" w:rsidRPr="00112681" w:rsidRDefault="00B54A93" w:rsidP="00EB65C5">
            <w:pPr>
              <w:pStyle w:val="Tablecontent"/>
              <w:spacing w:before="20" w:after="20"/>
            </w:pPr>
            <w:r w:rsidRPr="00112681">
              <w:t>22.1</w:t>
            </w:r>
          </w:p>
        </w:tc>
        <w:tc>
          <w:tcPr>
            <w:tcW w:w="1601" w:type="dxa"/>
          </w:tcPr>
          <w:p w14:paraId="35F07E02" w14:textId="77777777" w:rsidR="00B54A93" w:rsidRPr="00112681" w:rsidRDefault="00B54A93" w:rsidP="00EB65C5">
            <w:pPr>
              <w:pStyle w:val="Tablecontent"/>
              <w:spacing w:before="20" w:after="20"/>
            </w:pPr>
            <w:r w:rsidRPr="00112681">
              <w:t>-5.30</w:t>
            </w:r>
          </w:p>
        </w:tc>
        <w:tc>
          <w:tcPr>
            <w:tcW w:w="1746" w:type="dxa"/>
          </w:tcPr>
          <w:p w14:paraId="661ED257" w14:textId="77777777" w:rsidR="00B54A93" w:rsidRPr="00112681" w:rsidRDefault="00B54A93" w:rsidP="00EB65C5">
            <w:pPr>
              <w:pStyle w:val="Tablecontent"/>
              <w:spacing w:before="20" w:after="20"/>
            </w:pPr>
            <w:r w:rsidRPr="00112681">
              <w:t>-6.40</w:t>
            </w:r>
          </w:p>
        </w:tc>
        <w:tc>
          <w:tcPr>
            <w:tcW w:w="2269" w:type="dxa"/>
          </w:tcPr>
          <w:p w14:paraId="4778359D" w14:textId="77777777" w:rsidR="00B54A93" w:rsidRPr="00112681" w:rsidRDefault="00B54A93" w:rsidP="00EB65C5">
            <w:pPr>
              <w:pStyle w:val="Tablecontent"/>
              <w:spacing w:before="20" w:after="20"/>
            </w:pPr>
            <w:r w:rsidRPr="00112681">
              <w:t>NR</w:t>
            </w:r>
          </w:p>
        </w:tc>
      </w:tr>
      <w:tr w:rsidR="00112681" w:rsidRPr="00112681" w14:paraId="3D7EB687" w14:textId="77777777" w:rsidTr="00617190">
        <w:trPr>
          <w:trHeight w:val="106"/>
        </w:trPr>
        <w:tc>
          <w:tcPr>
            <w:tcW w:w="2038" w:type="dxa"/>
          </w:tcPr>
          <w:p w14:paraId="42C67B77" w14:textId="494E0B89" w:rsidR="00B54A93" w:rsidRPr="00112681" w:rsidRDefault="00B54A93" w:rsidP="00EB65C5">
            <w:pPr>
              <w:pStyle w:val="Tablecontent"/>
              <w:spacing w:before="20" w:after="20"/>
            </w:pPr>
            <w:proofErr w:type="spellStart"/>
            <w:r w:rsidRPr="00112681">
              <w:t>Hengerer</w:t>
            </w:r>
            <w:proofErr w:type="spellEnd"/>
            <w:r w:rsidR="009E3BDE">
              <w:t xml:space="preserve"> 2019</w:t>
            </w:r>
            <w:r w:rsidR="00162296">
              <w:t>;</w:t>
            </w:r>
            <w:r w:rsidR="007549E7">
              <w:t xml:space="preserve"> </w:t>
            </w:r>
            <w:proofErr w:type="spellStart"/>
            <w:r w:rsidR="009E3BDE">
              <w:t>Hengere</w:t>
            </w:r>
            <w:r w:rsidR="007549E7">
              <w:t>r</w:t>
            </w:r>
            <w:proofErr w:type="spellEnd"/>
            <w:r w:rsidR="007549E7">
              <w:t xml:space="preserve"> 2022</w:t>
            </w:r>
          </w:p>
        </w:tc>
        <w:tc>
          <w:tcPr>
            <w:tcW w:w="1601" w:type="dxa"/>
          </w:tcPr>
          <w:p w14:paraId="537B54ED" w14:textId="77777777" w:rsidR="00B54A93" w:rsidRPr="00112681" w:rsidRDefault="00B54A93" w:rsidP="00EB65C5">
            <w:pPr>
              <w:pStyle w:val="Tablecontent"/>
              <w:spacing w:before="20" w:after="20"/>
            </w:pPr>
            <w:r w:rsidRPr="00112681">
              <w:t>25.3</w:t>
            </w:r>
          </w:p>
        </w:tc>
        <w:tc>
          <w:tcPr>
            <w:tcW w:w="1601" w:type="dxa"/>
          </w:tcPr>
          <w:p w14:paraId="3D75F9FD" w14:textId="77777777" w:rsidR="00B54A93" w:rsidRPr="00112681" w:rsidRDefault="00B54A93" w:rsidP="00EB65C5">
            <w:pPr>
              <w:pStyle w:val="Tablecontent"/>
              <w:spacing w:before="20" w:after="20"/>
            </w:pPr>
            <w:r w:rsidRPr="00112681">
              <w:t>NR</w:t>
            </w:r>
          </w:p>
        </w:tc>
        <w:tc>
          <w:tcPr>
            <w:tcW w:w="1746" w:type="dxa"/>
          </w:tcPr>
          <w:p w14:paraId="72043C58" w14:textId="77777777" w:rsidR="00B54A93" w:rsidRPr="00112681" w:rsidRDefault="00B54A93" w:rsidP="00EB65C5">
            <w:pPr>
              <w:pStyle w:val="Tablecontent"/>
              <w:spacing w:before="20" w:after="20"/>
            </w:pPr>
            <w:r w:rsidRPr="00112681">
              <w:t>-10.10</w:t>
            </w:r>
          </w:p>
        </w:tc>
        <w:tc>
          <w:tcPr>
            <w:tcW w:w="2269" w:type="dxa"/>
          </w:tcPr>
          <w:p w14:paraId="278BE937" w14:textId="77777777" w:rsidR="00B54A93" w:rsidRPr="00112681" w:rsidRDefault="00B54A93" w:rsidP="00EB65C5">
            <w:pPr>
              <w:pStyle w:val="Tablecontent"/>
              <w:spacing w:before="20" w:after="20"/>
            </w:pPr>
            <w:r w:rsidRPr="00112681">
              <w:t>-10.30</w:t>
            </w:r>
          </w:p>
        </w:tc>
      </w:tr>
      <w:tr w:rsidR="00112681" w:rsidRPr="00112681" w14:paraId="34EBEBA7" w14:textId="77777777" w:rsidTr="00617190">
        <w:trPr>
          <w:trHeight w:val="106"/>
        </w:trPr>
        <w:tc>
          <w:tcPr>
            <w:tcW w:w="2038" w:type="dxa"/>
          </w:tcPr>
          <w:p w14:paraId="412D20D3" w14:textId="521D5EA9" w:rsidR="00B54A93" w:rsidRPr="00112681" w:rsidRDefault="00B54A93" w:rsidP="00EB65C5">
            <w:pPr>
              <w:pStyle w:val="Tablecontent"/>
              <w:spacing w:before="20" w:after="20"/>
            </w:pPr>
            <w:proofErr w:type="spellStart"/>
            <w:r w:rsidRPr="00112681">
              <w:t>Arn</w:t>
            </w:r>
            <w:r w:rsidR="009F15D5">
              <w:t>l</w:t>
            </w:r>
            <w:r w:rsidRPr="00112681">
              <w:t>jots</w:t>
            </w:r>
            <w:proofErr w:type="spellEnd"/>
            <w:r w:rsidRPr="00112681">
              <w:t xml:space="preserve"> </w:t>
            </w:r>
            <w:r w:rsidR="007549E7">
              <w:t>2021</w:t>
            </w:r>
          </w:p>
        </w:tc>
        <w:tc>
          <w:tcPr>
            <w:tcW w:w="1601" w:type="dxa"/>
          </w:tcPr>
          <w:p w14:paraId="7B5118F0" w14:textId="77777777" w:rsidR="00B54A93" w:rsidRPr="00112681" w:rsidRDefault="00B54A93" w:rsidP="00EB65C5">
            <w:pPr>
              <w:pStyle w:val="Tablecontent"/>
              <w:spacing w:before="20" w:after="20"/>
            </w:pPr>
            <w:r w:rsidRPr="00112681">
              <w:t>20.6</w:t>
            </w:r>
          </w:p>
        </w:tc>
        <w:tc>
          <w:tcPr>
            <w:tcW w:w="1601" w:type="dxa"/>
          </w:tcPr>
          <w:p w14:paraId="7136AAAB" w14:textId="77777777" w:rsidR="00B54A93" w:rsidRPr="00112681" w:rsidRDefault="00B54A93" w:rsidP="00EB65C5">
            <w:pPr>
              <w:pStyle w:val="Tablecontent"/>
              <w:spacing w:before="20" w:after="20"/>
            </w:pPr>
            <w:r w:rsidRPr="00112681">
              <w:t>-2.30</w:t>
            </w:r>
          </w:p>
        </w:tc>
        <w:tc>
          <w:tcPr>
            <w:tcW w:w="1746" w:type="dxa"/>
          </w:tcPr>
          <w:p w14:paraId="593E4925" w14:textId="77777777" w:rsidR="00B54A93" w:rsidRPr="00112681" w:rsidRDefault="00B54A93" w:rsidP="00EB65C5">
            <w:pPr>
              <w:pStyle w:val="Tablecontent"/>
              <w:spacing w:before="20" w:after="20"/>
            </w:pPr>
            <w:r w:rsidRPr="00112681">
              <w:t>-2.20</w:t>
            </w:r>
          </w:p>
        </w:tc>
        <w:tc>
          <w:tcPr>
            <w:tcW w:w="2269" w:type="dxa"/>
          </w:tcPr>
          <w:p w14:paraId="4589075A" w14:textId="77777777" w:rsidR="00B54A93" w:rsidRPr="00112681" w:rsidRDefault="00B54A93" w:rsidP="00EB65C5">
            <w:pPr>
              <w:pStyle w:val="Tablecontent"/>
              <w:spacing w:before="20" w:after="20"/>
            </w:pPr>
            <w:r w:rsidRPr="00112681">
              <w:t>-4.60</w:t>
            </w:r>
          </w:p>
        </w:tc>
      </w:tr>
      <w:tr w:rsidR="00112681" w:rsidRPr="00112681" w14:paraId="3E39B37A" w14:textId="77777777" w:rsidTr="00617190">
        <w:trPr>
          <w:trHeight w:val="106"/>
        </w:trPr>
        <w:tc>
          <w:tcPr>
            <w:tcW w:w="2038" w:type="dxa"/>
          </w:tcPr>
          <w:p w14:paraId="59BC24FB" w14:textId="4BC555B5" w:rsidR="00B54A93" w:rsidRPr="00112681" w:rsidRDefault="00B54A93" w:rsidP="00EB65C5">
            <w:pPr>
              <w:pStyle w:val="Tablecontent"/>
              <w:spacing w:before="20" w:after="20"/>
            </w:pPr>
            <w:proofErr w:type="spellStart"/>
            <w:r w:rsidRPr="00112681">
              <w:t>Pahlitzsch</w:t>
            </w:r>
            <w:proofErr w:type="spellEnd"/>
            <w:r w:rsidR="007549E7">
              <w:t xml:space="preserve"> 2021</w:t>
            </w:r>
          </w:p>
        </w:tc>
        <w:tc>
          <w:tcPr>
            <w:tcW w:w="1601" w:type="dxa"/>
          </w:tcPr>
          <w:p w14:paraId="21E39DAF" w14:textId="77777777" w:rsidR="00B54A93" w:rsidRPr="00112681" w:rsidRDefault="00B54A93" w:rsidP="00EB65C5">
            <w:pPr>
              <w:pStyle w:val="Tablecontent"/>
              <w:spacing w:before="20" w:after="20"/>
            </w:pPr>
            <w:r w:rsidRPr="00112681">
              <w:t>19.5</w:t>
            </w:r>
          </w:p>
        </w:tc>
        <w:tc>
          <w:tcPr>
            <w:tcW w:w="1601" w:type="dxa"/>
          </w:tcPr>
          <w:p w14:paraId="3424F6A7" w14:textId="77777777" w:rsidR="00B54A93" w:rsidRPr="00112681" w:rsidRDefault="00B54A93" w:rsidP="00EB65C5">
            <w:pPr>
              <w:pStyle w:val="Tablecontent"/>
              <w:spacing w:before="20" w:after="20"/>
            </w:pPr>
            <w:r w:rsidRPr="00112681">
              <w:t>-5.20</w:t>
            </w:r>
          </w:p>
        </w:tc>
        <w:tc>
          <w:tcPr>
            <w:tcW w:w="1746" w:type="dxa"/>
          </w:tcPr>
          <w:p w14:paraId="0917215D" w14:textId="77777777" w:rsidR="00B54A93" w:rsidRPr="00112681" w:rsidRDefault="00B54A93" w:rsidP="00EB65C5">
            <w:pPr>
              <w:pStyle w:val="Tablecontent"/>
              <w:spacing w:before="20" w:after="20"/>
            </w:pPr>
            <w:r w:rsidRPr="00112681">
              <w:t>-5.00</w:t>
            </w:r>
          </w:p>
        </w:tc>
        <w:tc>
          <w:tcPr>
            <w:tcW w:w="2269" w:type="dxa"/>
          </w:tcPr>
          <w:p w14:paraId="5767A534" w14:textId="77777777" w:rsidR="00B54A93" w:rsidRPr="00112681" w:rsidRDefault="00B54A93" w:rsidP="00EB65C5">
            <w:pPr>
              <w:pStyle w:val="Tablecontent"/>
              <w:spacing w:before="20" w:after="20"/>
            </w:pPr>
            <w:r w:rsidRPr="00112681">
              <w:t>-4.00</w:t>
            </w:r>
          </w:p>
        </w:tc>
      </w:tr>
      <w:tr w:rsidR="00112681" w:rsidRPr="00112681" w14:paraId="366F94E7" w14:textId="77777777" w:rsidTr="00617190">
        <w:trPr>
          <w:trHeight w:val="106"/>
        </w:trPr>
        <w:tc>
          <w:tcPr>
            <w:tcW w:w="2038" w:type="dxa"/>
          </w:tcPr>
          <w:p w14:paraId="46A72543" w14:textId="6C75D233" w:rsidR="00B54A93" w:rsidRPr="00112681" w:rsidRDefault="00B54A93" w:rsidP="00EB65C5">
            <w:pPr>
              <w:pStyle w:val="Tablecontent"/>
              <w:spacing w:before="20" w:after="20"/>
            </w:pPr>
            <w:r w:rsidRPr="00112681">
              <w:t xml:space="preserve">Katz </w:t>
            </w:r>
            <w:r w:rsidR="007549E7">
              <w:t>2018</w:t>
            </w:r>
          </w:p>
        </w:tc>
        <w:tc>
          <w:tcPr>
            <w:tcW w:w="1601" w:type="dxa"/>
          </w:tcPr>
          <w:p w14:paraId="154D624B" w14:textId="77777777" w:rsidR="00B54A93" w:rsidRPr="00112681" w:rsidRDefault="00B54A93" w:rsidP="00EB65C5">
            <w:pPr>
              <w:pStyle w:val="Tablecontent"/>
              <w:spacing w:before="20" w:after="20"/>
            </w:pPr>
            <w:r w:rsidRPr="00112681">
              <w:t>20.1</w:t>
            </w:r>
          </w:p>
        </w:tc>
        <w:tc>
          <w:tcPr>
            <w:tcW w:w="1601" w:type="dxa"/>
          </w:tcPr>
          <w:p w14:paraId="54C0A0C0" w14:textId="77777777" w:rsidR="00B54A93" w:rsidRPr="00112681" w:rsidRDefault="00B54A93" w:rsidP="00EB65C5">
            <w:pPr>
              <w:pStyle w:val="Tablecontent"/>
              <w:spacing w:before="20" w:after="20"/>
            </w:pPr>
            <w:r w:rsidRPr="00112681">
              <w:t>-6.60</w:t>
            </w:r>
          </w:p>
        </w:tc>
        <w:tc>
          <w:tcPr>
            <w:tcW w:w="1746" w:type="dxa"/>
          </w:tcPr>
          <w:p w14:paraId="7CE3C6DB" w14:textId="77777777" w:rsidR="00B54A93" w:rsidRPr="00112681" w:rsidRDefault="00B54A93" w:rsidP="00EB65C5">
            <w:pPr>
              <w:pStyle w:val="Tablecontent"/>
              <w:spacing w:before="20" w:after="20"/>
            </w:pPr>
            <w:r w:rsidRPr="00112681">
              <w:t>-7.30</w:t>
            </w:r>
          </w:p>
        </w:tc>
        <w:tc>
          <w:tcPr>
            <w:tcW w:w="2269" w:type="dxa"/>
          </w:tcPr>
          <w:p w14:paraId="4950A8FC" w14:textId="77777777" w:rsidR="00B54A93" w:rsidRPr="00112681" w:rsidRDefault="00B54A93" w:rsidP="00EB65C5">
            <w:pPr>
              <w:pStyle w:val="Tablecontent"/>
              <w:spacing w:before="20" w:after="20"/>
            </w:pPr>
            <w:r w:rsidRPr="00112681">
              <w:t>NR</w:t>
            </w:r>
          </w:p>
        </w:tc>
      </w:tr>
      <w:tr w:rsidR="00112681" w:rsidRPr="00112681" w14:paraId="4100CD36" w14:textId="77777777" w:rsidTr="00617190">
        <w:trPr>
          <w:trHeight w:val="100"/>
        </w:trPr>
        <w:tc>
          <w:tcPr>
            <w:tcW w:w="2038" w:type="dxa"/>
            <w:tcBorders>
              <w:bottom w:val="single" w:sz="4" w:space="0" w:color="auto"/>
            </w:tcBorders>
          </w:tcPr>
          <w:p w14:paraId="71B03516" w14:textId="7F0DD95F" w:rsidR="00B54A93" w:rsidRPr="00112681" w:rsidRDefault="00B54A93" w:rsidP="00EB65C5">
            <w:pPr>
              <w:pStyle w:val="Tablecontent"/>
              <w:spacing w:before="20" w:after="20"/>
            </w:pPr>
            <w:r w:rsidRPr="00112681">
              <w:t xml:space="preserve">Ahmed </w:t>
            </w:r>
            <w:r w:rsidR="007549E7">
              <w:t>2020</w:t>
            </w:r>
          </w:p>
        </w:tc>
        <w:tc>
          <w:tcPr>
            <w:tcW w:w="1601" w:type="dxa"/>
            <w:tcBorders>
              <w:bottom w:val="single" w:sz="4" w:space="0" w:color="auto"/>
            </w:tcBorders>
          </w:tcPr>
          <w:p w14:paraId="0FF17EA9" w14:textId="77777777" w:rsidR="00B54A93" w:rsidRPr="00112681" w:rsidRDefault="00B54A93" w:rsidP="00EB65C5">
            <w:pPr>
              <w:pStyle w:val="Tablecontent"/>
              <w:spacing w:before="20" w:after="20"/>
            </w:pPr>
            <w:r w:rsidRPr="00112681">
              <w:t>19.1</w:t>
            </w:r>
          </w:p>
        </w:tc>
        <w:tc>
          <w:tcPr>
            <w:tcW w:w="1601" w:type="dxa"/>
            <w:tcBorders>
              <w:bottom w:val="single" w:sz="4" w:space="0" w:color="auto"/>
            </w:tcBorders>
          </w:tcPr>
          <w:p w14:paraId="3E94E200" w14:textId="77777777" w:rsidR="00B54A93" w:rsidRPr="00112681" w:rsidRDefault="00B54A93" w:rsidP="00EB65C5">
            <w:pPr>
              <w:pStyle w:val="Tablecontent"/>
              <w:spacing w:before="20" w:after="20"/>
            </w:pPr>
            <w:r w:rsidRPr="00112681">
              <w:t>-1.20</w:t>
            </w:r>
          </w:p>
        </w:tc>
        <w:tc>
          <w:tcPr>
            <w:tcW w:w="1746" w:type="dxa"/>
            <w:tcBorders>
              <w:bottom w:val="single" w:sz="4" w:space="0" w:color="auto"/>
            </w:tcBorders>
          </w:tcPr>
          <w:p w14:paraId="70AEF436" w14:textId="77777777" w:rsidR="00B54A93" w:rsidRPr="00112681" w:rsidRDefault="00B54A93" w:rsidP="00EB65C5">
            <w:pPr>
              <w:pStyle w:val="Tablecontent"/>
              <w:spacing w:before="20" w:after="20"/>
            </w:pPr>
            <w:r w:rsidRPr="00112681">
              <w:t>-1.00</w:t>
            </w:r>
          </w:p>
        </w:tc>
        <w:tc>
          <w:tcPr>
            <w:tcW w:w="2269" w:type="dxa"/>
            <w:tcBorders>
              <w:bottom w:val="single" w:sz="4" w:space="0" w:color="auto"/>
            </w:tcBorders>
          </w:tcPr>
          <w:p w14:paraId="02DBB022" w14:textId="77777777" w:rsidR="00B54A93" w:rsidRPr="00112681" w:rsidRDefault="00B54A93" w:rsidP="00EB65C5">
            <w:pPr>
              <w:pStyle w:val="Tablecontent"/>
              <w:spacing w:before="20" w:after="20"/>
            </w:pPr>
            <w:r w:rsidRPr="00112681">
              <w:t>-1.00</w:t>
            </w:r>
          </w:p>
        </w:tc>
      </w:tr>
      <w:tr w:rsidR="00112681" w:rsidRPr="009E3BDE" w14:paraId="210F97F7" w14:textId="77777777" w:rsidTr="00617190">
        <w:trPr>
          <w:trHeight w:val="100"/>
        </w:trPr>
        <w:tc>
          <w:tcPr>
            <w:tcW w:w="9255" w:type="dxa"/>
            <w:gridSpan w:val="5"/>
            <w:shd w:val="clear" w:color="auto" w:fill="FFFFFF" w:themeFill="background1"/>
          </w:tcPr>
          <w:p w14:paraId="56CD67AF" w14:textId="59C3059D" w:rsidR="00B54A93" w:rsidRPr="009E3BDE" w:rsidRDefault="00B54A93" w:rsidP="00EB65C5">
            <w:pPr>
              <w:pStyle w:val="Tablecontent"/>
              <w:spacing w:before="20" w:after="20"/>
              <w:rPr>
                <w:b/>
                <w:bCs/>
              </w:rPr>
            </w:pPr>
            <w:r w:rsidRPr="009E3BDE">
              <w:rPr>
                <w:b/>
                <w:bCs/>
              </w:rPr>
              <w:t>Correlation analysis (</w:t>
            </w:r>
            <w:r w:rsidR="00913B19" w:rsidRPr="009E3BDE">
              <w:rPr>
                <w:b/>
                <w:bCs/>
              </w:rPr>
              <w:t>b</w:t>
            </w:r>
            <w:r w:rsidRPr="009E3BDE">
              <w:rPr>
                <w:b/>
                <w:bCs/>
              </w:rPr>
              <w:t>aseline IOP vs mean IOP difference) *</w:t>
            </w:r>
          </w:p>
        </w:tc>
      </w:tr>
      <w:tr w:rsidR="00112681" w:rsidRPr="00112681" w14:paraId="1ECD8DF9" w14:textId="77777777" w:rsidTr="00617190">
        <w:trPr>
          <w:trHeight w:val="100"/>
        </w:trPr>
        <w:tc>
          <w:tcPr>
            <w:tcW w:w="2038" w:type="dxa"/>
          </w:tcPr>
          <w:p w14:paraId="6E45AE14" w14:textId="77777777" w:rsidR="00B54A93" w:rsidRPr="00112681" w:rsidRDefault="00B54A93" w:rsidP="00EB65C5">
            <w:pPr>
              <w:pStyle w:val="Tablecontent"/>
              <w:spacing w:before="20" w:after="20"/>
            </w:pPr>
            <w:proofErr w:type="spellStart"/>
            <w:r w:rsidRPr="00112681">
              <w:t>iStent</w:t>
            </w:r>
            <w:proofErr w:type="spellEnd"/>
            <w:r w:rsidRPr="00112681">
              <w:t xml:space="preserve"> studies only </w:t>
            </w:r>
          </w:p>
        </w:tc>
        <w:tc>
          <w:tcPr>
            <w:tcW w:w="1601" w:type="dxa"/>
          </w:tcPr>
          <w:p w14:paraId="02341CD2" w14:textId="77777777" w:rsidR="00B54A93" w:rsidRPr="00112681" w:rsidRDefault="00B54A93" w:rsidP="00EB65C5">
            <w:pPr>
              <w:pStyle w:val="Tablecontent"/>
              <w:spacing w:before="20" w:after="20"/>
            </w:pPr>
            <w:r w:rsidRPr="00112681">
              <w:t>-</w:t>
            </w:r>
          </w:p>
        </w:tc>
        <w:tc>
          <w:tcPr>
            <w:tcW w:w="1601" w:type="dxa"/>
          </w:tcPr>
          <w:p w14:paraId="244258F7" w14:textId="77777777" w:rsidR="00B54A93" w:rsidRPr="00112681" w:rsidRDefault="00B54A93" w:rsidP="00EB65C5">
            <w:pPr>
              <w:pStyle w:val="Tablecontent"/>
              <w:spacing w:before="20" w:after="20"/>
            </w:pPr>
            <w:r w:rsidRPr="00112681">
              <w:t>-0.35</w:t>
            </w:r>
          </w:p>
        </w:tc>
        <w:tc>
          <w:tcPr>
            <w:tcW w:w="1746" w:type="dxa"/>
          </w:tcPr>
          <w:p w14:paraId="205BC9CF" w14:textId="77777777" w:rsidR="00B54A93" w:rsidRPr="00112681" w:rsidRDefault="00B54A93" w:rsidP="00EB65C5">
            <w:pPr>
              <w:pStyle w:val="Tablecontent"/>
              <w:spacing w:before="20" w:after="20"/>
            </w:pPr>
            <w:r w:rsidRPr="00112681">
              <w:t>-0.77</w:t>
            </w:r>
          </w:p>
        </w:tc>
        <w:tc>
          <w:tcPr>
            <w:tcW w:w="2269" w:type="dxa"/>
          </w:tcPr>
          <w:p w14:paraId="7C59DF04" w14:textId="77777777" w:rsidR="00B54A93" w:rsidRPr="00112681" w:rsidRDefault="00B54A93" w:rsidP="00EB65C5">
            <w:pPr>
              <w:pStyle w:val="Tablecontent"/>
              <w:spacing w:before="20" w:after="20"/>
            </w:pPr>
            <w:r w:rsidRPr="00112681">
              <w:t>-0.96</w:t>
            </w:r>
          </w:p>
        </w:tc>
      </w:tr>
      <w:tr w:rsidR="00112681" w:rsidRPr="00112681" w14:paraId="0CFAF94A" w14:textId="77777777" w:rsidTr="00617190">
        <w:trPr>
          <w:trHeight w:val="100"/>
        </w:trPr>
        <w:tc>
          <w:tcPr>
            <w:tcW w:w="2038" w:type="dxa"/>
          </w:tcPr>
          <w:p w14:paraId="4ECC4420" w14:textId="77777777" w:rsidR="00B54A93" w:rsidRPr="00112681" w:rsidRDefault="00B54A93" w:rsidP="00EB65C5">
            <w:pPr>
              <w:pStyle w:val="Tablecontent"/>
              <w:spacing w:before="20" w:after="20"/>
            </w:pPr>
            <w:r w:rsidRPr="00112681">
              <w:t xml:space="preserve">All studies </w:t>
            </w:r>
          </w:p>
        </w:tc>
        <w:tc>
          <w:tcPr>
            <w:tcW w:w="1601" w:type="dxa"/>
          </w:tcPr>
          <w:p w14:paraId="0D5E6216" w14:textId="77777777" w:rsidR="00B54A93" w:rsidRPr="00112681" w:rsidRDefault="00B54A93" w:rsidP="00EB65C5">
            <w:pPr>
              <w:pStyle w:val="Tablecontent"/>
              <w:spacing w:before="20" w:after="20"/>
            </w:pPr>
            <w:r w:rsidRPr="00112681">
              <w:t>-</w:t>
            </w:r>
          </w:p>
        </w:tc>
        <w:tc>
          <w:tcPr>
            <w:tcW w:w="1601" w:type="dxa"/>
          </w:tcPr>
          <w:p w14:paraId="78E58D07" w14:textId="77777777" w:rsidR="00B54A93" w:rsidRPr="00112681" w:rsidRDefault="00B54A93" w:rsidP="00EB65C5">
            <w:pPr>
              <w:pStyle w:val="Tablecontent"/>
              <w:spacing w:before="20" w:after="20"/>
            </w:pPr>
            <w:r w:rsidRPr="00112681">
              <w:t>-0.87</w:t>
            </w:r>
          </w:p>
        </w:tc>
        <w:tc>
          <w:tcPr>
            <w:tcW w:w="1746" w:type="dxa"/>
          </w:tcPr>
          <w:p w14:paraId="196037BD" w14:textId="77777777" w:rsidR="00B54A93" w:rsidRPr="00112681" w:rsidRDefault="00B54A93" w:rsidP="00EB65C5">
            <w:pPr>
              <w:pStyle w:val="Tablecontent"/>
              <w:spacing w:before="20" w:after="20"/>
            </w:pPr>
            <w:r w:rsidRPr="00112681">
              <w:t>-0.85</w:t>
            </w:r>
          </w:p>
        </w:tc>
        <w:tc>
          <w:tcPr>
            <w:tcW w:w="2269" w:type="dxa"/>
          </w:tcPr>
          <w:p w14:paraId="1B46FA3F" w14:textId="77777777" w:rsidR="00B54A93" w:rsidRPr="00112681" w:rsidRDefault="00B54A93" w:rsidP="00EB65C5">
            <w:pPr>
              <w:pStyle w:val="Tablecontent"/>
              <w:spacing w:before="20" w:after="20"/>
            </w:pPr>
            <w:r w:rsidRPr="00112681">
              <w:t>-0.95</w:t>
            </w:r>
          </w:p>
        </w:tc>
      </w:tr>
    </w:tbl>
    <w:p w14:paraId="44234C6D" w14:textId="0EC2CECB" w:rsidR="007549E7" w:rsidRPr="00793BAF" w:rsidRDefault="007549E7" w:rsidP="00617190">
      <w:pPr>
        <w:pStyle w:val="Tablenotes0"/>
        <w:spacing w:before="0" w:after="0" w:line="240" w:lineRule="auto"/>
        <w:contextualSpacing w:val="0"/>
        <w:jc w:val="left"/>
      </w:pPr>
      <w:r w:rsidRPr="00AD31F1">
        <w:rPr>
          <w:u w:val="single"/>
        </w:rPr>
        <w:t>Abbreviation</w:t>
      </w:r>
      <w:r w:rsidRPr="00793BAF">
        <w:t>: IOP = intraocular pressure</w:t>
      </w:r>
    </w:p>
    <w:p w14:paraId="24419486" w14:textId="41759057" w:rsidR="007549E7" w:rsidRDefault="007549E7" w:rsidP="00617190">
      <w:pPr>
        <w:pStyle w:val="Tablenotes0"/>
        <w:spacing w:before="0" w:after="0" w:line="240" w:lineRule="auto"/>
        <w:contextualSpacing w:val="0"/>
        <w:jc w:val="left"/>
      </w:pPr>
      <w:r w:rsidRPr="00AD31F1">
        <w:rPr>
          <w:u w:val="single"/>
        </w:rPr>
        <w:t>Source</w:t>
      </w:r>
      <w:r w:rsidRPr="00793BAF">
        <w:t>: adapted from values presented in Figures 3-5 of ADAR</w:t>
      </w:r>
    </w:p>
    <w:p w14:paraId="0211D6B4" w14:textId="0B2BA2D5" w:rsidR="00CF3E4C" w:rsidRPr="00793BAF" w:rsidRDefault="00CF3E4C" w:rsidP="00617190">
      <w:pPr>
        <w:pStyle w:val="Tablenotes0"/>
        <w:spacing w:before="0" w:after="0" w:line="240" w:lineRule="auto"/>
        <w:contextualSpacing w:val="0"/>
        <w:jc w:val="left"/>
      </w:pPr>
      <w:r w:rsidRPr="00793BAF">
        <w:t>*Values presented are Pearsons’s correlation coefficients.</w:t>
      </w:r>
    </w:p>
    <w:p w14:paraId="4C6D1411" w14:textId="05183003" w:rsidR="00201AE2" w:rsidRDefault="000A1E81" w:rsidP="00740735">
      <w:pPr>
        <w:pStyle w:val="ADARbodytext"/>
        <w:rPr>
          <w:rFonts w:ascii="Franklin Gothic Book" w:hAnsi="Franklin Gothic Book" w:cstheme="minorBidi"/>
        </w:rPr>
      </w:pPr>
      <w:r w:rsidRPr="566BA068">
        <w:rPr>
          <w:rFonts w:ascii="Franklin Gothic Book" w:hAnsi="Franklin Gothic Book" w:cstheme="minorBidi"/>
        </w:rPr>
        <w:t>The</w:t>
      </w:r>
      <w:r w:rsidR="00080A47" w:rsidRPr="566BA068">
        <w:rPr>
          <w:rFonts w:ascii="Franklin Gothic Book" w:hAnsi="Franklin Gothic Book" w:cstheme="minorBidi"/>
        </w:rPr>
        <w:t xml:space="preserve"> </w:t>
      </w:r>
      <w:r w:rsidR="00E5060B" w:rsidRPr="566BA068">
        <w:rPr>
          <w:rFonts w:ascii="Franklin Gothic Book" w:hAnsi="Franklin Gothic Book" w:cstheme="minorBidi"/>
        </w:rPr>
        <w:t>applicant</w:t>
      </w:r>
      <w:r w:rsidR="00080A47" w:rsidRPr="566BA068">
        <w:rPr>
          <w:rFonts w:ascii="Franklin Gothic Book" w:hAnsi="Franklin Gothic Book" w:cstheme="minorBidi"/>
        </w:rPr>
        <w:t xml:space="preserve"> </w:t>
      </w:r>
      <w:r w:rsidRPr="566BA068">
        <w:rPr>
          <w:rFonts w:ascii="Franklin Gothic Book" w:hAnsi="Franklin Gothic Book" w:cstheme="minorBidi"/>
        </w:rPr>
        <w:t xml:space="preserve">further </w:t>
      </w:r>
      <w:r w:rsidR="0063069A" w:rsidRPr="566BA068">
        <w:rPr>
          <w:rFonts w:ascii="Franklin Gothic Book" w:hAnsi="Franklin Gothic Book" w:cstheme="minorBidi"/>
        </w:rPr>
        <w:t>suggested</w:t>
      </w:r>
      <w:r w:rsidR="00322708" w:rsidRPr="566BA068">
        <w:rPr>
          <w:rFonts w:ascii="Franklin Gothic Book" w:hAnsi="Franklin Gothic Book" w:cstheme="minorBidi"/>
        </w:rPr>
        <w:t xml:space="preserve"> </w:t>
      </w:r>
      <w:r w:rsidR="006C0D09" w:rsidRPr="566BA068">
        <w:rPr>
          <w:rFonts w:ascii="Franklin Gothic Book" w:hAnsi="Franklin Gothic Book" w:cstheme="minorBidi"/>
        </w:rPr>
        <w:t xml:space="preserve">that </w:t>
      </w:r>
      <w:r w:rsidR="00FF21D7" w:rsidRPr="566BA068">
        <w:rPr>
          <w:rFonts w:ascii="Franklin Gothic Book" w:hAnsi="Franklin Gothic Book" w:cstheme="minorBidi"/>
        </w:rPr>
        <w:t xml:space="preserve">lower IOP reductions observed </w:t>
      </w:r>
      <w:r w:rsidR="0063069A" w:rsidRPr="566BA068">
        <w:rPr>
          <w:rFonts w:ascii="Franklin Gothic Book" w:hAnsi="Franklin Gothic Book" w:cstheme="minorBidi"/>
        </w:rPr>
        <w:t>in the</w:t>
      </w:r>
      <w:r w:rsidR="00FF21D7" w:rsidRPr="566BA068">
        <w:rPr>
          <w:rFonts w:ascii="Franklin Gothic Book" w:hAnsi="Franklin Gothic Book" w:cstheme="minorBidi"/>
        </w:rPr>
        <w:t xml:space="preserve"> </w:t>
      </w:r>
      <w:proofErr w:type="spellStart"/>
      <w:r w:rsidR="00FF21D7" w:rsidRPr="566BA068">
        <w:rPr>
          <w:rFonts w:ascii="Franklin Gothic Book" w:hAnsi="Franklin Gothic Book" w:cstheme="minorBidi"/>
        </w:rPr>
        <w:t>iStent</w:t>
      </w:r>
      <w:proofErr w:type="spellEnd"/>
      <w:r w:rsidR="00FF21D7" w:rsidRPr="566BA068">
        <w:rPr>
          <w:rFonts w:ascii="Franklin Gothic Book" w:hAnsi="Franklin Gothic Book" w:cstheme="minorBidi"/>
        </w:rPr>
        <w:t xml:space="preserve"> </w:t>
      </w:r>
      <w:r w:rsidR="00AE020C" w:rsidRPr="566BA068">
        <w:rPr>
          <w:rFonts w:ascii="Franklin Gothic Book" w:hAnsi="Franklin Gothic Book" w:cstheme="minorBidi"/>
        </w:rPr>
        <w:t>trials</w:t>
      </w:r>
      <w:r w:rsidR="0063069A" w:rsidRPr="566BA068">
        <w:rPr>
          <w:rFonts w:ascii="Franklin Gothic Book" w:hAnsi="Franklin Gothic Book" w:cstheme="minorBidi"/>
        </w:rPr>
        <w:t xml:space="preserve"> </w:t>
      </w:r>
      <w:r w:rsidR="005A4484" w:rsidRPr="566BA068">
        <w:rPr>
          <w:rFonts w:ascii="Franklin Gothic Book" w:hAnsi="Franklin Gothic Book" w:cstheme="minorBidi"/>
        </w:rPr>
        <w:t xml:space="preserve">may be </w:t>
      </w:r>
      <w:r w:rsidR="00EC44B2" w:rsidRPr="566BA068">
        <w:rPr>
          <w:rFonts w:ascii="Franklin Gothic Book" w:hAnsi="Franklin Gothic Book" w:cstheme="minorBidi"/>
        </w:rPr>
        <w:t>reflective</w:t>
      </w:r>
      <w:r w:rsidR="00FF21D7" w:rsidRPr="566BA068">
        <w:rPr>
          <w:rFonts w:ascii="Franklin Gothic Book" w:hAnsi="Franklin Gothic Book" w:cstheme="minorBidi"/>
        </w:rPr>
        <w:t xml:space="preserve"> of</w:t>
      </w:r>
      <w:r w:rsidR="005A4484" w:rsidRPr="566BA068">
        <w:rPr>
          <w:rFonts w:ascii="Franklin Gothic Book" w:hAnsi="Franklin Gothic Book" w:cstheme="minorBidi"/>
        </w:rPr>
        <w:t xml:space="preserve"> insertion location</w:t>
      </w:r>
      <w:r w:rsidR="007A300C" w:rsidRPr="566BA068">
        <w:rPr>
          <w:rFonts w:ascii="Franklin Gothic Book" w:hAnsi="Franklin Gothic Book" w:cstheme="minorBidi"/>
        </w:rPr>
        <w:t>,</w:t>
      </w:r>
      <w:r w:rsidR="00EA4FBE" w:rsidRPr="566BA068">
        <w:rPr>
          <w:rFonts w:ascii="Franklin Gothic Book" w:hAnsi="Franklin Gothic Book" w:cstheme="minorBidi"/>
        </w:rPr>
        <w:t xml:space="preserve"> </w:t>
      </w:r>
      <w:r w:rsidR="008C09EC" w:rsidRPr="566BA068">
        <w:rPr>
          <w:rFonts w:ascii="Franklin Gothic Book" w:hAnsi="Franklin Gothic Book" w:cstheme="minorBidi"/>
        </w:rPr>
        <w:t>stating that</w:t>
      </w:r>
      <w:r w:rsidR="006C0D09" w:rsidRPr="566BA068">
        <w:rPr>
          <w:rFonts w:ascii="Franklin Gothic Book" w:hAnsi="Franklin Gothic Book" w:cstheme="minorBidi"/>
        </w:rPr>
        <w:t xml:space="preserve"> </w:t>
      </w:r>
      <w:r w:rsidR="00153FFB" w:rsidRPr="566BA068">
        <w:rPr>
          <w:rFonts w:ascii="Franklin Gothic Book" w:hAnsi="Franklin Gothic Book" w:cstheme="minorBidi"/>
        </w:rPr>
        <w:t xml:space="preserve">devices </w:t>
      </w:r>
      <w:r w:rsidR="006C0D09" w:rsidRPr="566BA068">
        <w:rPr>
          <w:rFonts w:ascii="Franklin Gothic Book" w:hAnsi="Franklin Gothic Book" w:cstheme="minorBidi"/>
        </w:rPr>
        <w:t xml:space="preserve">inserted into </w:t>
      </w:r>
      <w:r w:rsidR="009C504A" w:rsidRPr="566BA068">
        <w:rPr>
          <w:rFonts w:ascii="Franklin Gothic Book" w:hAnsi="Franklin Gothic Book" w:cstheme="minorBidi"/>
        </w:rPr>
        <w:t xml:space="preserve">Schlemm’s canal are </w:t>
      </w:r>
      <w:r w:rsidR="006C0D09" w:rsidRPr="566BA068">
        <w:rPr>
          <w:rFonts w:ascii="Franklin Gothic Book" w:hAnsi="Franklin Gothic Book" w:cstheme="minorBidi"/>
        </w:rPr>
        <w:t>constrained</w:t>
      </w:r>
      <w:r w:rsidR="009C504A" w:rsidRPr="566BA068">
        <w:rPr>
          <w:rFonts w:ascii="Franklin Gothic Book" w:hAnsi="Franklin Gothic Book" w:cstheme="minorBidi"/>
        </w:rPr>
        <w:t xml:space="preserve"> by episcleral venous pressure, which </w:t>
      </w:r>
      <w:r w:rsidR="00C41A44" w:rsidRPr="566BA068">
        <w:rPr>
          <w:rFonts w:ascii="Franklin Gothic Book" w:hAnsi="Franklin Gothic Book" w:cstheme="minorBidi"/>
        </w:rPr>
        <w:t>limits</w:t>
      </w:r>
      <w:r w:rsidR="009C504A" w:rsidRPr="566BA068">
        <w:rPr>
          <w:rFonts w:ascii="Franklin Gothic Book" w:hAnsi="Franklin Gothic Book" w:cstheme="minorBidi"/>
        </w:rPr>
        <w:t xml:space="preserve"> the extent to which trabecular meshwork bypass devices can achieve low IOPs</w:t>
      </w:r>
      <w:r w:rsidR="0049382C" w:rsidRPr="566BA068">
        <w:rPr>
          <w:rFonts w:ascii="Franklin Gothic Book" w:hAnsi="Franklin Gothic Book" w:cstheme="minorBidi"/>
        </w:rPr>
        <w:t>;</w:t>
      </w:r>
      <w:r w:rsidRPr="566BA068">
        <w:rPr>
          <w:rFonts w:ascii="Franklin Gothic Book" w:hAnsi="Franklin Gothic Book" w:cstheme="minorBidi"/>
        </w:rPr>
        <w:t xml:space="preserve"> however, contradictory data were presented in the ADAR, showing similarly high proportions of patients achieving IOP normalisation (≤18 mm Hg) in both the </w:t>
      </w:r>
      <w:proofErr w:type="spellStart"/>
      <w:r w:rsidRPr="566BA068">
        <w:rPr>
          <w:rFonts w:ascii="Franklin Gothic Book" w:hAnsi="Franklin Gothic Book" w:cstheme="minorBidi"/>
        </w:rPr>
        <w:t>MINIject</w:t>
      </w:r>
      <w:proofErr w:type="spellEnd"/>
      <w:r w:rsidRPr="566BA068">
        <w:rPr>
          <w:rFonts w:ascii="Franklin Gothic Book" w:hAnsi="Franklin Gothic Book" w:cstheme="minorBidi"/>
        </w:rPr>
        <w:t xml:space="preserve"> and </w:t>
      </w:r>
      <w:proofErr w:type="spellStart"/>
      <w:r w:rsidRPr="566BA068">
        <w:rPr>
          <w:rFonts w:ascii="Franklin Gothic Book" w:hAnsi="Franklin Gothic Book" w:cstheme="minorBidi"/>
        </w:rPr>
        <w:t>iStent</w:t>
      </w:r>
      <w:proofErr w:type="spellEnd"/>
      <w:r w:rsidRPr="566BA068">
        <w:rPr>
          <w:rFonts w:ascii="Franklin Gothic Book" w:hAnsi="Franklin Gothic Book" w:cstheme="minorBidi"/>
        </w:rPr>
        <w:t xml:space="preserve"> trials</w:t>
      </w:r>
      <w:r w:rsidR="00201AE2" w:rsidRPr="566BA068">
        <w:rPr>
          <w:rFonts w:ascii="Franklin Gothic Book" w:hAnsi="Franklin Gothic Book" w:cstheme="minorBidi"/>
        </w:rPr>
        <w:t>.</w:t>
      </w:r>
    </w:p>
    <w:p w14:paraId="22331372" w14:textId="583CD6C3" w:rsidR="00B51FD7" w:rsidRPr="00881715" w:rsidRDefault="00813D27" w:rsidP="00881715">
      <w:pPr>
        <w:pStyle w:val="Heading3"/>
      </w:pPr>
      <w:r w:rsidRPr="00881715">
        <w:t>ITC results</w:t>
      </w:r>
      <w:r w:rsidR="00B51FD7" w:rsidRPr="00881715">
        <w:t>: Change from baseline in mean IOP (mm Hg)</w:t>
      </w:r>
    </w:p>
    <w:p w14:paraId="22B407BA" w14:textId="1E8E75BF" w:rsidR="00AD31F1" w:rsidRPr="00AD31F1" w:rsidRDefault="008B3E54" w:rsidP="00AD31F1">
      <w:pPr>
        <w:pStyle w:val="ADARbodytext"/>
        <w:rPr>
          <w:rFonts w:ascii="Franklin Gothic Book" w:hAnsi="Franklin Gothic Book" w:cstheme="minorBidi"/>
        </w:rPr>
      </w:pPr>
      <w:r>
        <w:rPr>
          <w:rFonts w:ascii="Franklin Gothic Book" w:hAnsi="Franklin Gothic Book" w:cstheme="minorBidi"/>
        </w:rPr>
        <w:t>The</w:t>
      </w:r>
      <w:r w:rsidR="009F27E8" w:rsidRPr="00C66738">
        <w:rPr>
          <w:rFonts w:ascii="Franklin Gothic Book" w:hAnsi="Franklin Gothic Book" w:cstheme="minorBidi"/>
        </w:rPr>
        <w:t xml:space="preserve"> </w:t>
      </w:r>
      <w:r w:rsidR="00813D27" w:rsidRPr="00C66738">
        <w:rPr>
          <w:rFonts w:ascii="Franklin Gothic Book" w:hAnsi="Franklin Gothic Book" w:cstheme="minorBidi"/>
        </w:rPr>
        <w:t xml:space="preserve">ITC </w:t>
      </w:r>
      <w:r w:rsidR="00CC2958" w:rsidRPr="00C66738">
        <w:rPr>
          <w:rFonts w:ascii="Franklin Gothic Book" w:hAnsi="Franklin Gothic Book" w:cstheme="minorBidi"/>
        </w:rPr>
        <w:t xml:space="preserve">analysis for change from baseline in mean IOP </w:t>
      </w:r>
      <w:r w:rsidR="009F27E8" w:rsidRPr="00C66738">
        <w:rPr>
          <w:rFonts w:ascii="Franklin Gothic Book" w:hAnsi="Franklin Gothic Book" w:cstheme="minorBidi"/>
        </w:rPr>
        <w:t>demonstrated</w:t>
      </w:r>
      <w:r w:rsidR="00813D27" w:rsidRPr="00C66738">
        <w:rPr>
          <w:rFonts w:ascii="Franklin Gothic Book" w:hAnsi="Franklin Gothic Book" w:cstheme="minorBidi"/>
        </w:rPr>
        <w:t xml:space="preserve"> </w:t>
      </w:r>
      <w:r w:rsidR="00CC2958" w:rsidRPr="00C66738">
        <w:rPr>
          <w:rFonts w:ascii="Franklin Gothic Book" w:hAnsi="Franklin Gothic Book" w:cstheme="minorBidi"/>
        </w:rPr>
        <w:t xml:space="preserve">statistically </w:t>
      </w:r>
      <w:r w:rsidR="00CC2958" w:rsidRPr="00D050B6">
        <w:rPr>
          <w:rFonts w:ascii="Franklin Gothic Book" w:hAnsi="Franklin Gothic Book" w:cstheme="minorBidi"/>
        </w:rPr>
        <w:t>significant superiority of</w:t>
      </w:r>
      <w:r w:rsidR="00271336" w:rsidRPr="00D050B6">
        <w:rPr>
          <w:rFonts w:ascii="Franklin Gothic Book" w:hAnsi="Franklin Gothic Book" w:cstheme="minorBidi"/>
        </w:rPr>
        <w:t xml:space="preserve"> </w:t>
      </w:r>
      <w:proofErr w:type="spellStart"/>
      <w:r w:rsidR="00271336" w:rsidRPr="00D050B6">
        <w:rPr>
          <w:rFonts w:ascii="Franklin Gothic Book" w:hAnsi="Franklin Gothic Book" w:cstheme="minorBidi"/>
        </w:rPr>
        <w:t>MINIje</w:t>
      </w:r>
      <w:r w:rsidR="007347DC" w:rsidRPr="00D050B6">
        <w:rPr>
          <w:rFonts w:ascii="Franklin Gothic Book" w:hAnsi="Franklin Gothic Book" w:cstheme="minorBidi"/>
        </w:rPr>
        <w:t>ct</w:t>
      </w:r>
      <w:proofErr w:type="spellEnd"/>
      <w:r w:rsidR="007347DC" w:rsidRPr="00D050B6">
        <w:rPr>
          <w:rFonts w:ascii="Franklin Gothic Book" w:hAnsi="Franklin Gothic Book" w:cstheme="minorBidi"/>
        </w:rPr>
        <w:t xml:space="preserve"> </w:t>
      </w:r>
      <w:r w:rsidR="005C02E3" w:rsidRPr="00D050B6">
        <w:rPr>
          <w:rFonts w:ascii="Franklin Gothic Book" w:hAnsi="Franklin Gothic Book" w:cstheme="minorBidi"/>
        </w:rPr>
        <w:t xml:space="preserve">over </w:t>
      </w:r>
      <w:proofErr w:type="spellStart"/>
      <w:r w:rsidR="005C02E3" w:rsidRPr="00D050B6">
        <w:rPr>
          <w:rFonts w:ascii="Franklin Gothic Book" w:hAnsi="Franklin Gothic Book" w:cstheme="minorBidi"/>
        </w:rPr>
        <w:t>iStent</w:t>
      </w:r>
      <w:proofErr w:type="spellEnd"/>
      <w:r w:rsidR="005C02E3" w:rsidRPr="00D050B6">
        <w:rPr>
          <w:rFonts w:ascii="Franklin Gothic Book" w:hAnsi="Franklin Gothic Book" w:cstheme="minorBidi"/>
        </w:rPr>
        <w:t xml:space="preserve"> at </w:t>
      </w:r>
      <w:r w:rsidR="002451DE" w:rsidRPr="00D050B6">
        <w:rPr>
          <w:rFonts w:ascii="Franklin Gothic Book" w:hAnsi="Franklin Gothic Book" w:cstheme="minorBidi"/>
        </w:rPr>
        <w:t>6</w:t>
      </w:r>
      <w:r w:rsidR="005C02E3" w:rsidRPr="00D050B6">
        <w:rPr>
          <w:rFonts w:ascii="Franklin Gothic Book" w:hAnsi="Franklin Gothic Book" w:cstheme="minorBidi"/>
        </w:rPr>
        <w:t>, 12</w:t>
      </w:r>
      <w:r w:rsidR="00092E94">
        <w:rPr>
          <w:rFonts w:ascii="Franklin Gothic Book" w:hAnsi="Franklin Gothic Book" w:cstheme="minorBidi"/>
        </w:rPr>
        <w:t>,</w:t>
      </w:r>
      <w:r w:rsidR="005C02E3" w:rsidRPr="00D050B6">
        <w:rPr>
          <w:rFonts w:ascii="Franklin Gothic Book" w:hAnsi="Franklin Gothic Book" w:cstheme="minorBidi"/>
        </w:rPr>
        <w:t xml:space="preserve"> and</w:t>
      </w:r>
      <w:r w:rsidR="002451DE" w:rsidRPr="00D050B6">
        <w:rPr>
          <w:rFonts w:ascii="Franklin Gothic Book" w:hAnsi="Franklin Gothic Book" w:cstheme="minorBidi"/>
        </w:rPr>
        <w:t xml:space="preserve"> 24 months </w:t>
      </w:r>
      <w:r w:rsidR="00B64F02">
        <w:rPr>
          <w:rFonts w:ascii="Franklin Gothic Book" w:hAnsi="Franklin Gothic Book" w:cstheme="minorBidi"/>
        </w:rPr>
        <w:t>(</w:t>
      </w:r>
      <w:r w:rsidR="00B64F02">
        <w:rPr>
          <w:rFonts w:ascii="Franklin Gothic Book" w:hAnsi="Franklin Gothic Book" w:cstheme="minorBidi"/>
        </w:rPr>
        <w:fldChar w:fldCharType="begin"/>
      </w:r>
      <w:r w:rsidR="00B64F02">
        <w:rPr>
          <w:rFonts w:ascii="Franklin Gothic Book" w:hAnsi="Franklin Gothic Book" w:cstheme="minorBidi"/>
        </w:rPr>
        <w:instrText xml:space="preserve"> REF _Ref146392737 \h  \* MERGEFORMAT </w:instrText>
      </w:r>
      <w:r w:rsidR="00B64F02">
        <w:rPr>
          <w:rFonts w:ascii="Franklin Gothic Book" w:hAnsi="Franklin Gothic Book" w:cstheme="minorBidi"/>
        </w:rPr>
      </w:r>
      <w:r w:rsidR="00B64F02">
        <w:rPr>
          <w:rFonts w:ascii="Franklin Gothic Book" w:hAnsi="Franklin Gothic Book" w:cstheme="minorBidi"/>
        </w:rPr>
        <w:fldChar w:fldCharType="separate"/>
      </w:r>
      <w:r w:rsidR="003C61D8" w:rsidRPr="003C61D8">
        <w:rPr>
          <w:rFonts w:ascii="Franklin Gothic Book" w:hAnsi="Franklin Gothic Book" w:cstheme="minorBidi"/>
        </w:rPr>
        <w:t>Table 11</w:t>
      </w:r>
      <w:r w:rsidR="00B64F02">
        <w:rPr>
          <w:rFonts w:ascii="Franklin Gothic Book" w:hAnsi="Franklin Gothic Book" w:cstheme="minorBidi"/>
        </w:rPr>
        <w:fldChar w:fldCharType="end"/>
      </w:r>
      <w:r w:rsidR="002451DE" w:rsidRPr="00D050B6">
        <w:rPr>
          <w:rFonts w:ascii="Franklin Gothic Book" w:hAnsi="Franklin Gothic Book" w:cstheme="minorBidi"/>
        </w:rPr>
        <w:t>).</w:t>
      </w:r>
      <w:r w:rsidR="00914EFF" w:rsidRPr="00D050B6">
        <w:rPr>
          <w:rFonts w:ascii="Franklin Gothic Book" w:hAnsi="Franklin Gothic Book" w:cstheme="minorBidi"/>
        </w:rPr>
        <w:t xml:space="preserve"> More specifically,</w:t>
      </w:r>
      <w:r w:rsidR="00690688" w:rsidRPr="00D050B6">
        <w:rPr>
          <w:rFonts w:ascii="Franklin Gothic Book" w:hAnsi="Franklin Gothic Book" w:cstheme="minorBidi"/>
        </w:rPr>
        <w:t xml:space="preserve"> </w:t>
      </w:r>
      <w:proofErr w:type="spellStart"/>
      <w:r w:rsidR="00813D27" w:rsidRPr="00D050B6">
        <w:rPr>
          <w:rFonts w:ascii="Franklin Gothic Book" w:hAnsi="Franklin Gothic Book" w:cstheme="minorBidi"/>
        </w:rPr>
        <w:t>MINIject</w:t>
      </w:r>
      <w:proofErr w:type="spellEnd"/>
      <w:r w:rsidR="00813D27" w:rsidRPr="00D050B6">
        <w:rPr>
          <w:rFonts w:ascii="Franklin Gothic Book" w:hAnsi="Franklin Gothic Book" w:cstheme="minorBidi"/>
        </w:rPr>
        <w:t xml:space="preserve"> </w:t>
      </w:r>
      <w:r w:rsidR="005C02E3" w:rsidRPr="00D050B6">
        <w:rPr>
          <w:rFonts w:ascii="Franklin Gothic Book" w:hAnsi="Franklin Gothic Book" w:cstheme="minorBidi"/>
        </w:rPr>
        <w:t>was shown to reduce</w:t>
      </w:r>
      <w:r w:rsidR="00813D27" w:rsidRPr="00D050B6">
        <w:rPr>
          <w:rFonts w:ascii="Franklin Gothic Book" w:hAnsi="Franklin Gothic Book" w:cstheme="minorBidi"/>
        </w:rPr>
        <w:t xml:space="preserve"> IOP</w:t>
      </w:r>
      <w:r w:rsidR="00690688" w:rsidRPr="00D050B6">
        <w:rPr>
          <w:rFonts w:ascii="Franklin Gothic Book" w:hAnsi="Franklin Gothic Book" w:cstheme="minorBidi"/>
        </w:rPr>
        <w:t xml:space="preserve"> </w:t>
      </w:r>
      <w:r w:rsidR="005C02E3" w:rsidRPr="00D050B6">
        <w:rPr>
          <w:rFonts w:ascii="Franklin Gothic Book" w:hAnsi="Franklin Gothic Book" w:cstheme="minorBidi"/>
        </w:rPr>
        <w:t xml:space="preserve">by an </w:t>
      </w:r>
      <w:r w:rsidR="00FB5D15" w:rsidRPr="00D050B6">
        <w:rPr>
          <w:rFonts w:ascii="Franklin Gothic Book" w:hAnsi="Franklin Gothic Book" w:cstheme="minorBidi"/>
        </w:rPr>
        <w:t>additional 5.20</w:t>
      </w:r>
      <w:r w:rsidR="00AD12DD">
        <w:rPr>
          <w:rFonts w:ascii="Franklin Gothic Book" w:hAnsi="Franklin Gothic Book" w:cstheme="minorBidi"/>
        </w:rPr>
        <w:t> </w:t>
      </w:r>
      <w:r w:rsidR="00813D27" w:rsidRPr="00D050B6">
        <w:rPr>
          <w:rFonts w:ascii="Franklin Gothic Book" w:hAnsi="Franklin Gothic Book" w:cstheme="minorBidi"/>
        </w:rPr>
        <w:t>mm</w:t>
      </w:r>
      <w:r w:rsidR="00AD12DD">
        <w:rPr>
          <w:rFonts w:ascii="Franklin Gothic Book" w:hAnsi="Franklin Gothic Book" w:cstheme="minorBidi"/>
        </w:rPr>
        <w:t> </w:t>
      </w:r>
      <w:r w:rsidR="00813D27" w:rsidRPr="00D050B6">
        <w:rPr>
          <w:rFonts w:ascii="Franklin Gothic Book" w:hAnsi="Franklin Gothic Book" w:cstheme="minorBidi"/>
        </w:rPr>
        <w:t xml:space="preserve">Hg (95% CI 2.62, 7.78; </w:t>
      </w:r>
      <w:r w:rsidR="00C366AB">
        <w:rPr>
          <w:rFonts w:ascii="Franklin Gothic Book" w:hAnsi="Franklin Gothic Book" w:cstheme="minorBidi"/>
        </w:rPr>
        <w:t>p</w:t>
      </w:r>
      <w:r w:rsidR="00813D27" w:rsidRPr="00D050B6">
        <w:rPr>
          <w:rFonts w:ascii="Franklin Gothic Book" w:hAnsi="Franklin Gothic Book" w:cstheme="minorBidi"/>
        </w:rPr>
        <w:t>=0.00) at 6 months</w:t>
      </w:r>
      <w:r w:rsidR="00763C7D" w:rsidRPr="00D050B6">
        <w:rPr>
          <w:rFonts w:ascii="Franklin Gothic Book" w:hAnsi="Franklin Gothic Book" w:cstheme="minorBidi"/>
        </w:rPr>
        <w:t xml:space="preserve">, </w:t>
      </w:r>
      <w:r w:rsidR="007B2E45" w:rsidRPr="00D050B6">
        <w:rPr>
          <w:rFonts w:ascii="Franklin Gothic Book" w:hAnsi="Franklin Gothic Book" w:cstheme="minorBidi"/>
        </w:rPr>
        <w:t>3.01</w:t>
      </w:r>
      <w:r w:rsidR="00586767">
        <w:rPr>
          <w:rFonts w:ascii="Franklin Gothic Book" w:hAnsi="Franklin Gothic Book" w:cstheme="minorBidi"/>
        </w:rPr>
        <w:t> </w:t>
      </w:r>
      <w:r w:rsidR="007B2E45" w:rsidRPr="00D050B6">
        <w:rPr>
          <w:rFonts w:ascii="Franklin Gothic Book" w:hAnsi="Franklin Gothic Book" w:cstheme="minorBidi"/>
        </w:rPr>
        <w:t>mm</w:t>
      </w:r>
      <w:r w:rsidR="00586767">
        <w:rPr>
          <w:rFonts w:ascii="Franklin Gothic Book" w:hAnsi="Franklin Gothic Book" w:cstheme="minorBidi"/>
        </w:rPr>
        <w:t> </w:t>
      </w:r>
      <w:r w:rsidR="007B2E45" w:rsidRPr="00D050B6">
        <w:rPr>
          <w:rFonts w:ascii="Franklin Gothic Book" w:hAnsi="Franklin Gothic Book" w:cstheme="minorBidi"/>
        </w:rPr>
        <w:t>Hg (95% CI</w:t>
      </w:r>
      <w:r w:rsidR="00FC2D16">
        <w:rPr>
          <w:rFonts w:ascii="Franklin Gothic Book" w:hAnsi="Franklin Gothic Book" w:cstheme="minorBidi"/>
        </w:rPr>
        <w:t>:</w:t>
      </w:r>
      <w:r w:rsidR="007B2E45" w:rsidRPr="00D050B6">
        <w:rPr>
          <w:rFonts w:ascii="Franklin Gothic Book" w:hAnsi="Franklin Gothic Book" w:cstheme="minorBidi"/>
        </w:rPr>
        <w:t xml:space="preserve"> </w:t>
      </w:r>
      <w:r w:rsidR="008E652A" w:rsidRPr="00D050B6">
        <w:rPr>
          <w:rFonts w:ascii="Franklin Gothic Book" w:hAnsi="Franklin Gothic Book" w:cstheme="minorBidi"/>
        </w:rPr>
        <w:t>-</w:t>
      </w:r>
      <w:r w:rsidR="001D7020" w:rsidRPr="00D050B6">
        <w:rPr>
          <w:rFonts w:ascii="Franklin Gothic Book" w:hAnsi="Franklin Gothic Book" w:cstheme="minorBidi"/>
        </w:rPr>
        <w:t>0.47</w:t>
      </w:r>
      <w:r w:rsidR="00D050B6" w:rsidRPr="00D050B6">
        <w:rPr>
          <w:rFonts w:ascii="Franklin Gothic Book" w:hAnsi="Franklin Gothic Book" w:cstheme="minorBidi"/>
        </w:rPr>
        <w:t>, 6.48</w:t>
      </w:r>
      <w:r w:rsidR="007B2E45" w:rsidRPr="00D050B6">
        <w:rPr>
          <w:rFonts w:ascii="Franklin Gothic Book" w:hAnsi="Franklin Gothic Book" w:cstheme="minorBidi"/>
        </w:rPr>
        <w:t xml:space="preserve">; </w:t>
      </w:r>
      <w:r w:rsidR="004C0109">
        <w:rPr>
          <w:rFonts w:ascii="Franklin Gothic Book" w:hAnsi="Franklin Gothic Book" w:cstheme="minorBidi"/>
        </w:rPr>
        <w:t>p</w:t>
      </w:r>
      <w:r w:rsidR="007B2E45" w:rsidRPr="00D050B6">
        <w:rPr>
          <w:rFonts w:ascii="Franklin Gothic Book" w:hAnsi="Franklin Gothic Book" w:cstheme="minorBidi"/>
        </w:rPr>
        <w:t>=0.0</w:t>
      </w:r>
      <w:r w:rsidR="00D050B6" w:rsidRPr="00D050B6">
        <w:rPr>
          <w:rFonts w:ascii="Franklin Gothic Book" w:hAnsi="Franklin Gothic Book" w:cstheme="minorBidi"/>
        </w:rPr>
        <w:t>4</w:t>
      </w:r>
      <w:r w:rsidR="007B2E45" w:rsidRPr="00D050B6">
        <w:rPr>
          <w:rFonts w:ascii="Franklin Gothic Book" w:hAnsi="Franklin Gothic Book" w:cstheme="minorBidi"/>
        </w:rPr>
        <w:t xml:space="preserve">) </w:t>
      </w:r>
      <w:r w:rsidR="00763C7D" w:rsidRPr="00D050B6">
        <w:rPr>
          <w:rFonts w:ascii="Franklin Gothic Book" w:hAnsi="Franklin Gothic Book" w:cstheme="minorBidi"/>
        </w:rPr>
        <w:t xml:space="preserve">at 12 </w:t>
      </w:r>
      <w:r w:rsidR="006D1BE6" w:rsidRPr="00D050B6">
        <w:rPr>
          <w:rFonts w:ascii="Franklin Gothic Book" w:hAnsi="Franklin Gothic Book" w:cstheme="minorBidi"/>
        </w:rPr>
        <w:t>months</w:t>
      </w:r>
      <w:r w:rsidR="00763C7D" w:rsidRPr="00D050B6">
        <w:rPr>
          <w:rFonts w:ascii="Franklin Gothic Book" w:hAnsi="Franklin Gothic Book" w:cstheme="minorBidi"/>
        </w:rPr>
        <w:t xml:space="preserve"> and </w:t>
      </w:r>
      <w:r w:rsidR="00813D27" w:rsidRPr="00D050B6">
        <w:rPr>
          <w:rFonts w:ascii="Franklin Gothic Book" w:hAnsi="Franklin Gothic Book" w:cstheme="minorBidi"/>
        </w:rPr>
        <w:t>4.63</w:t>
      </w:r>
      <w:r w:rsidR="00586767">
        <w:rPr>
          <w:rFonts w:ascii="Franklin Gothic Book" w:hAnsi="Franklin Gothic Book" w:cstheme="minorBidi"/>
        </w:rPr>
        <w:t> </w:t>
      </w:r>
      <w:r w:rsidR="00813D27" w:rsidRPr="00D050B6">
        <w:rPr>
          <w:rFonts w:ascii="Franklin Gothic Book" w:hAnsi="Franklin Gothic Book" w:cstheme="minorBidi"/>
        </w:rPr>
        <w:t>mm</w:t>
      </w:r>
      <w:r w:rsidR="00586767">
        <w:rPr>
          <w:rFonts w:ascii="Franklin Gothic Book" w:hAnsi="Franklin Gothic Book" w:cstheme="minorBidi"/>
        </w:rPr>
        <w:t> </w:t>
      </w:r>
      <w:r w:rsidR="00813D27" w:rsidRPr="00D050B6">
        <w:rPr>
          <w:rFonts w:ascii="Franklin Gothic Book" w:hAnsi="Franklin Gothic Book" w:cstheme="minorBidi"/>
        </w:rPr>
        <w:t>Hg (95% CI</w:t>
      </w:r>
      <w:r w:rsidR="00FC2D16">
        <w:rPr>
          <w:rFonts w:ascii="Franklin Gothic Book" w:hAnsi="Franklin Gothic Book" w:cstheme="minorBidi"/>
        </w:rPr>
        <w:t>:</w:t>
      </w:r>
      <w:r w:rsidR="00813D27" w:rsidRPr="00D050B6">
        <w:rPr>
          <w:rFonts w:ascii="Franklin Gothic Book" w:hAnsi="Franklin Gothic Book" w:cstheme="minorBidi"/>
        </w:rPr>
        <w:t xml:space="preserve"> -0.07, 9.33; p=0.03) at 24 months</w:t>
      </w:r>
      <w:r w:rsidR="00BB6A2E">
        <w:rPr>
          <w:rFonts w:ascii="Franklin Gothic Book" w:hAnsi="Franklin Gothic Book" w:cstheme="minorBidi"/>
        </w:rPr>
        <w:t>.</w:t>
      </w:r>
      <w:r w:rsidR="00763C7D" w:rsidRPr="00C66738">
        <w:rPr>
          <w:rFonts w:ascii="Franklin Gothic Book" w:hAnsi="Franklin Gothic Book" w:cstheme="minorBidi"/>
        </w:rPr>
        <w:t xml:space="preserve"> </w:t>
      </w:r>
    </w:p>
    <w:p w14:paraId="54D5E538" w14:textId="20830D93" w:rsidR="00813D27" w:rsidRDefault="00813D27" w:rsidP="00EB65C5">
      <w:pPr>
        <w:pStyle w:val="Caption"/>
        <w:spacing w:before="240"/>
      </w:pPr>
      <w:bookmarkStart w:id="28" w:name="_Ref146392737"/>
      <w:r w:rsidRPr="00AC6B55">
        <w:t>Table</w:t>
      </w:r>
      <w:r w:rsidR="000935EE" w:rsidRPr="0001290C">
        <w:t> </w:t>
      </w:r>
      <w:r>
        <w:fldChar w:fldCharType="begin"/>
      </w:r>
      <w:r>
        <w:instrText>SEQ Table \* ARABIC</w:instrText>
      </w:r>
      <w:r>
        <w:fldChar w:fldCharType="separate"/>
      </w:r>
      <w:r w:rsidR="003C61D8">
        <w:rPr>
          <w:noProof/>
        </w:rPr>
        <w:t>11</w:t>
      </w:r>
      <w:r>
        <w:fldChar w:fldCharType="end"/>
      </w:r>
      <w:bookmarkEnd w:id="28"/>
      <w:r w:rsidR="000935EE">
        <w:tab/>
      </w:r>
      <w:r w:rsidRPr="00AC6B55">
        <w:t>Primary outco</w:t>
      </w:r>
      <w:r>
        <w:t xml:space="preserve">me </w:t>
      </w:r>
      <w:r w:rsidR="003A6646">
        <w:t>indirect treatment comparison</w:t>
      </w:r>
      <w:r>
        <w:t xml:space="preserve"> results</w:t>
      </w:r>
      <w:r w:rsidR="00AF1C3D">
        <w:t>: M</w:t>
      </w:r>
      <w:r>
        <w:t xml:space="preserve">ean change from baseline in </w:t>
      </w:r>
      <w:r w:rsidR="003A6646">
        <w:t>intraocular pressure</w:t>
      </w:r>
    </w:p>
    <w:tbl>
      <w:tblPr>
        <w:tblStyle w:val="TableGrid"/>
        <w:tblW w:w="0" w:type="auto"/>
        <w:tblLook w:val="04A0" w:firstRow="1" w:lastRow="0" w:firstColumn="1" w:lastColumn="0" w:noHBand="0" w:noVBand="1"/>
      </w:tblPr>
      <w:tblGrid>
        <w:gridCol w:w="2547"/>
        <w:gridCol w:w="3463"/>
        <w:gridCol w:w="3006"/>
      </w:tblGrid>
      <w:tr w:rsidR="00813D27" w14:paraId="470196BA" w14:textId="77777777" w:rsidTr="00617190">
        <w:trPr>
          <w:tblHeader/>
        </w:trPr>
        <w:tc>
          <w:tcPr>
            <w:tcW w:w="2547" w:type="dxa"/>
            <w:shd w:val="clear" w:color="auto" w:fill="FFFFFF" w:themeFill="background1"/>
          </w:tcPr>
          <w:p w14:paraId="2CC765F8" w14:textId="77777777" w:rsidR="00813D27" w:rsidRDefault="00813D27" w:rsidP="005848DD">
            <w:pPr>
              <w:pStyle w:val="TableHeading0"/>
            </w:pPr>
            <w:r>
              <w:t>Timepoint (post procedure)</w:t>
            </w:r>
          </w:p>
        </w:tc>
        <w:tc>
          <w:tcPr>
            <w:tcW w:w="3463" w:type="dxa"/>
            <w:shd w:val="clear" w:color="auto" w:fill="FFFFFF" w:themeFill="background1"/>
          </w:tcPr>
          <w:p w14:paraId="789F9FA6" w14:textId="60381DE1" w:rsidR="00813D27" w:rsidRDefault="00813D27" w:rsidP="005848DD">
            <w:pPr>
              <w:pStyle w:val="TableHeading0"/>
            </w:pPr>
            <w:r>
              <w:t>Mean treatment difference, mm</w:t>
            </w:r>
            <w:r w:rsidR="00586767">
              <w:t> </w:t>
            </w:r>
            <w:r>
              <w:t>Hg (95% CIs): (</w:t>
            </w:r>
            <w:proofErr w:type="spellStart"/>
            <w:r>
              <w:t>MINIject</w:t>
            </w:r>
            <w:proofErr w:type="spellEnd"/>
            <w:r>
              <w:t xml:space="preserve"> – </w:t>
            </w:r>
            <w:proofErr w:type="spellStart"/>
            <w:r>
              <w:t>iStent</w:t>
            </w:r>
            <w:proofErr w:type="spellEnd"/>
            <w:r>
              <w:t>)</w:t>
            </w:r>
          </w:p>
        </w:tc>
        <w:tc>
          <w:tcPr>
            <w:tcW w:w="3006" w:type="dxa"/>
            <w:shd w:val="clear" w:color="auto" w:fill="FFFFFF" w:themeFill="background1"/>
          </w:tcPr>
          <w:p w14:paraId="1EBCAB3A" w14:textId="16A185BE" w:rsidR="00813D27" w:rsidRDefault="00F858F7" w:rsidP="005848DD">
            <w:pPr>
              <w:pStyle w:val="TableHeading0"/>
            </w:pPr>
            <w:r>
              <w:t>p</w:t>
            </w:r>
            <w:r w:rsidR="00A20233">
              <w:t xml:space="preserve"> </w:t>
            </w:r>
            <w:r w:rsidR="00813D27">
              <w:t>value for difference</w:t>
            </w:r>
            <w:r w:rsidR="00813D27">
              <w:br/>
              <w:t>(meta-regression)</w:t>
            </w:r>
          </w:p>
        </w:tc>
      </w:tr>
      <w:tr w:rsidR="00813D27" w14:paraId="2CD56676" w14:textId="77777777" w:rsidTr="00BC0DD7">
        <w:tc>
          <w:tcPr>
            <w:tcW w:w="2547" w:type="dxa"/>
          </w:tcPr>
          <w:p w14:paraId="2300426D" w14:textId="77777777" w:rsidR="00813D27" w:rsidRDefault="00813D27" w:rsidP="005848DD">
            <w:pPr>
              <w:pStyle w:val="Tablecontent"/>
            </w:pPr>
            <w:r>
              <w:t>6 months</w:t>
            </w:r>
          </w:p>
        </w:tc>
        <w:tc>
          <w:tcPr>
            <w:tcW w:w="3463" w:type="dxa"/>
          </w:tcPr>
          <w:p w14:paraId="5C0115CE" w14:textId="77777777" w:rsidR="00813D27" w:rsidRDefault="00813D27" w:rsidP="005848DD">
            <w:pPr>
              <w:pStyle w:val="Tablecontent"/>
            </w:pPr>
            <w:r w:rsidRPr="007D6D54">
              <w:t>-5.20 (-7.78, -2.62)</w:t>
            </w:r>
          </w:p>
        </w:tc>
        <w:tc>
          <w:tcPr>
            <w:tcW w:w="3006" w:type="dxa"/>
          </w:tcPr>
          <w:p w14:paraId="30AE613E" w14:textId="77777777" w:rsidR="00813D27" w:rsidRPr="00B30CB4" w:rsidRDefault="00813D27" w:rsidP="005848DD">
            <w:pPr>
              <w:pStyle w:val="Tablecontent"/>
              <w:rPr>
                <w:b/>
                <w:bCs/>
              </w:rPr>
            </w:pPr>
            <w:r w:rsidRPr="00B30CB4">
              <w:rPr>
                <w:b/>
                <w:bCs/>
              </w:rPr>
              <w:t>0.00</w:t>
            </w:r>
          </w:p>
        </w:tc>
      </w:tr>
      <w:tr w:rsidR="00813D27" w14:paraId="698E6BB7" w14:textId="77777777" w:rsidTr="00BC0DD7">
        <w:tc>
          <w:tcPr>
            <w:tcW w:w="2547" w:type="dxa"/>
          </w:tcPr>
          <w:p w14:paraId="11C875AA" w14:textId="77777777" w:rsidR="00813D27" w:rsidRDefault="00813D27" w:rsidP="005848DD">
            <w:pPr>
              <w:pStyle w:val="Tablecontent"/>
            </w:pPr>
            <w:r>
              <w:t>12 months</w:t>
            </w:r>
          </w:p>
        </w:tc>
        <w:tc>
          <w:tcPr>
            <w:tcW w:w="3463" w:type="dxa"/>
          </w:tcPr>
          <w:p w14:paraId="5256C875" w14:textId="77777777" w:rsidR="00813D27" w:rsidRDefault="00813D27" w:rsidP="005848DD">
            <w:pPr>
              <w:pStyle w:val="Tablecontent"/>
            </w:pPr>
            <w:r w:rsidRPr="00BE7F51">
              <w:t>-3.01 (-6.48, 0.47)</w:t>
            </w:r>
          </w:p>
        </w:tc>
        <w:tc>
          <w:tcPr>
            <w:tcW w:w="3006" w:type="dxa"/>
          </w:tcPr>
          <w:p w14:paraId="66551834" w14:textId="77777777" w:rsidR="00813D27" w:rsidRPr="00B30CB4" w:rsidRDefault="00813D27" w:rsidP="005848DD">
            <w:pPr>
              <w:pStyle w:val="Tablecontent"/>
              <w:rPr>
                <w:b/>
                <w:bCs/>
              </w:rPr>
            </w:pPr>
            <w:r w:rsidRPr="00B30CB4">
              <w:rPr>
                <w:b/>
                <w:bCs/>
              </w:rPr>
              <w:t>0.04</w:t>
            </w:r>
          </w:p>
        </w:tc>
      </w:tr>
      <w:tr w:rsidR="00813D27" w14:paraId="3F65822A" w14:textId="77777777" w:rsidTr="00BC0DD7">
        <w:tc>
          <w:tcPr>
            <w:tcW w:w="2547" w:type="dxa"/>
          </w:tcPr>
          <w:p w14:paraId="17C729BE" w14:textId="77777777" w:rsidR="00813D27" w:rsidRDefault="00813D27" w:rsidP="005848DD">
            <w:pPr>
              <w:pStyle w:val="Tablecontent"/>
            </w:pPr>
            <w:r>
              <w:t>24 months</w:t>
            </w:r>
          </w:p>
        </w:tc>
        <w:tc>
          <w:tcPr>
            <w:tcW w:w="3463" w:type="dxa"/>
          </w:tcPr>
          <w:p w14:paraId="4E9924D5" w14:textId="6E5DA77C" w:rsidR="00813D27" w:rsidRDefault="00813D27" w:rsidP="005848DD">
            <w:pPr>
              <w:pStyle w:val="Tablecontent"/>
            </w:pPr>
            <w:r w:rsidRPr="007D6D54">
              <w:t>-4.63 (-9.33, 0.07),</w:t>
            </w:r>
          </w:p>
        </w:tc>
        <w:tc>
          <w:tcPr>
            <w:tcW w:w="3006" w:type="dxa"/>
          </w:tcPr>
          <w:p w14:paraId="6426CBCE" w14:textId="7C51EF7E" w:rsidR="00813D27" w:rsidRPr="00B30CB4" w:rsidRDefault="00813D27" w:rsidP="005848DD">
            <w:pPr>
              <w:pStyle w:val="Tablecontent"/>
              <w:rPr>
                <w:b/>
                <w:bCs/>
              </w:rPr>
            </w:pPr>
            <w:r w:rsidRPr="00B30CB4">
              <w:rPr>
                <w:b/>
                <w:bCs/>
              </w:rPr>
              <w:t>0.03</w:t>
            </w:r>
          </w:p>
        </w:tc>
      </w:tr>
    </w:tbl>
    <w:p w14:paraId="6F519830" w14:textId="77777777" w:rsidR="00AF4575" w:rsidRPr="00793BAF" w:rsidRDefault="00AF4575" w:rsidP="00AF4575">
      <w:pPr>
        <w:pStyle w:val="Tablenotes0"/>
      </w:pPr>
      <w:r w:rsidRPr="00AD31F1">
        <w:rPr>
          <w:u w:val="single"/>
        </w:rPr>
        <w:t>Abbreviations</w:t>
      </w:r>
      <w:r w:rsidRPr="00793BAF">
        <w:t>: CI = confidence interval; IOP = intraocular pressure</w:t>
      </w:r>
    </w:p>
    <w:p w14:paraId="50C7D744" w14:textId="77777777" w:rsidR="00793BAF" w:rsidRDefault="00793BAF" w:rsidP="00CF3E4C">
      <w:pPr>
        <w:pStyle w:val="Tablenotes0"/>
        <w:spacing w:after="120"/>
        <w:contextualSpacing w:val="0"/>
      </w:pPr>
      <w:r w:rsidRPr="00AD31F1">
        <w:rPr>
          <w:u w:val="single"/>
        </w:rPr>
        <w:t>Source</w:t>
      </w:r>
      <w:r w:rsidRPr="00793BAF">
        <w:t>: Table 15 of ADAR submission</w:t>
      </w:r>
    </w:p>
    <w:p w14:paraId="10C03DFF" w14:textId="04696884" w:rsidR="00CF3E4C" w:rsidRPr="00CF3E4C" w:rsidRDefault="00CF3E4C" w:rsidP="00CF3E4C">
      <w:pPr>
        <w:pStyle w:val="Tablenotes0"/>
        <w:rPr>
          <w:b/>
          <w:bCs/>
          <w:u w:val="single"/>
        </w:rPr>
      </w:pPr>
      <w:r>
        <w:lastRenderedPageBreak/>
        <w:t xml:space="preserve">The mean difference and 95% CI are calculated as a mean difference using t-test. The p value is calculated from the meta-analyses using meta-regression. Meta-analyses were conducted from data sourced from the STAR-I to -IV study data and from the </w:t>
      </w:r>
      <w:proofErr w:type="spellStart"/>
      <w:r>
        <w:t>iStent</w:t>
      </w:r>
      <w:proofErr w:type="spellEnd"/>
      <w:r>
        <w:t xml:space="preserve"> study publications cited as Trial IDs.</w:t>
      </w:r>
    </w:p>
    <w:p w14:paraId="5A42293A" w14:textId="08F5F31E" w:rsidR="00EA0B58" w:rsidRDefault="00EA0B58" w:rsidP="00AF1C3D">
      <w:r w:rsidRPr="00EA0B58">
        <w:t xml:space="preserve">While the </w:t>
      </w:r>
      <w:r w:rsidR="001E68F5">
        <w:t>a</w:t>
      </w:r>
      <w:r w:rsidRPr="00EA0B58">
        <w:t xml:space="preserve">ssessment </w:t>
      </w:r>
      <w:r w:rsidR="001E68F5">
        <w:t>g</w:t>
      </w:r>
      <w:r w:rsidRPr="00EA0B58">
        <w:t>roup acknowledge</w:t>
      </w:r>
      <w:r w:rsidR="00FE5352">
        <w:t>d</w:t>
      </w:r>
      <w:r w:rsidRPr="00EA0B58">
        <w:t xml:space="preserve"> the consistency of the treatment benefit presented for </w:t>
      </w:r>
      <w:proofErr w:type="spellStart"/>
      <w:r w:rsidR="00453ADC" w:rsidRPr="00453ADC">
        <w:t>MINIject</w:t>
      </w:r>
      <w:proofErr w:type="spellEnd"/>
      <w:r w:rsidR="00BC2C01">
        <w:t xml:space="preserve"> versus the </w:t>
      </w:r>
      <w:proofErr w:type="spellStart"/>
      <w:r w:rsidR="00BC2C01">
        <w:t>iStent</w:t>
      </w:r>
      <w:proofErr w:type="spellEnd"/>
      <w:r w:rsidR="00BC2C01">
        <w:t xml:space="preserve"> device</w:t>
      </w:r>
      <w:r w:rsidRPr="00EA0B58">
        <w:t xml:space="preserve">, the outcomes of the ITC analysis </w:t>
      </w:r>
      <w:r w:rsidR="00887CE9">
        <w:t>we</w:t>
      </w:r>
      <w:r w:rsidRPr="00EA0B58">
        <w:t xml:space="preserve">re fundamentally biased, given the relationship between baseline IOP levels and mean IOP differences at 6, 12 and 24 months </w:t>
      </w:r>
      <w:r w:rsidR="007C6407">
        <w:t>(</w:t>
      </w:r>
      <w:r w:rsidR="007C6407">
        <w:fldChar w:fldCharType="begin"/>
      </w:r>
      <w:r w:rsidR="007C6407">
        <w:instrText xml:space="preserve"> REF _Ref150418509 \h </w:instrText>
      </w:r>
      <w:r w:rsidR="007C6407">
        <w:fldChar w:fldCharType="separate"/>
      </w:r>
      <w:r w:rsidR="003C61D8">
        <w:t>Table</w:t>
      </w:r>
      <w:r w:rsidR="003C61D8" w:rsidRPr="0001290C">
        <w:t> </w:t>
      </w:r>
      <w:r w:rsidR="003C61D8">
        <w:rPr>
          <w:noProof/>
        </w:rPr>
        <w:t>10</w:t>
      </w:r>
      <w:r w:rsidR="007C6407">
        <w:fldChar w:fldCharType="end"/>
      </w:r>
      <w:r w:rsidRPr="00EA0B58">
        <w:t xml:space="preserve">). Population-adjusted methods (e.g. a matching adjusted </w:t>
      </w:r>
      <w:r w:rsidR="00FE13CB">
        <w:t>ITC</w:t>
      </w:r>
      <w:r w:rsidRPr="00EA0B58">
        <w:t xml:space="preserve">) would provide a more robust estimation of the relative effects of </w:t>
      </w:r>
      <w:proofErr w:type="spellStart"/>
      <w:r w:rsidRPr="00EA0B58">
        <w:t>MINIject</w:t>
      </w:r>
      <w:proofErr w:type="spellEnd"/>
      <w:r w:rsidRPr="00EA0B58">
        <w:t xml:space="preserve"> and </w:t>
      </w:r>
      <w:proofErr w:type="spellStart"/>
      <w:r w:rsidRPr="00EA0B58">
        <w:t>iStent</w:t>
      </w:r>
      <w:proofErr w:type="spellEnd"/>
      <w:r w:rsidR="0049382C">
        <w:t>;</w:t>
      </w:r>
      <w:r w:rsidRPr="00EA0B58">
        <w:t xml:space="preserve"> </w:t>
      </w:r>
      <w:r w:rsidR="0049382C">
        <w:t>h</w:t>
      </w:r>
      <w:r w:rsidRPr="00EA0B58">
        <w:t xml:space="preserve">owever, in place of a population-adjusted ITC, a more conservative estimate of relative effectiveness can be computed by restricting the analyses to include </w:t>
      </w:r>
      <w:proofErr w:type="spellStart"/>
      <w:r w:rsidRPr="00EA0B58">
        <w:t>iStent</w:t>
      </w:r>
      <w:proofErr w:type="spellEnd"/>
      <w:r w:rsidRPr="00EA0B58">
        <w:t xml:space="preserve"> studies </w:t>
      </w:r>
      <w:r w:rsidR="008C0A48">
        <w:t>with</w:t>
      </w:r>
      <w:r w:rsidRPr="00EA0B58">
        <w:t xml:space="preserve"> similar baseline IOP levels to the STAR studies (e.g. those with baseline IOP levels greater than the normal range </w:t>
      </w:r>
      <w:r w:rsidR="0091036E">
        <w:t>[</w:t>
      </w:r>
      <w:r w:rsidRPr="00EA0B58">
        <w:t>12</w:t>
      </w:r>
      <w:r w:rsidR="00171C84">
        <w:t>–</w:t>
      </w:r>
      <w:r w:rsidRPr="00EA0B58">
        <w:t>21</w:t>
      </w:r>
      <w:r w:rsidR="00171C84">
        <w:t> </w:t>
      </w:r>
      <w:r w:rsidRPr="00EA0B58">
        <w:t>mm</w:t>
      </w:r>
      <w:r w:rsidR="00171C84">
        <w:t> </w:t>
      </w:r>
      <w:r w:rsidRPr="00EA0B58">
        <w:t>Hg</w:t>
      </w:r>
      <w:r w:rsidR="0091036E">
        <w:t>]</w:t>
      </w:r>
      <w:r w:rsidRPr="00EA0B58">
        <w:t xml:space="preserve">: </w:t>
      </w:r>
      <w:proofErr w:type="spellStart"/>
      <w:r w:rsidRPr="00EA0B58">
        <w:t>Hengerer</w:t>
      </w:r>
      <w:proofErr w:type="spellEnd"/>
      <w:r w:rsidRPr="00EA0B58">
        <w:t xml:space="preserve"> </w:t>
      </w:r>
      <w:r w:rsidR="0091036E">
        <w:t>[</w:t>
      </w:r>
      <w:r w:rsidRPr="00EA0B58">
        <w:t>2019</w:t>
      </w:r>
      <w:r w:rsidR="0091036E">
        <w:t>]</w:t>
      </w:r>
      <w:r w:rsidRPr="00EA0B58">
        <w:t xml:space="preserve"> and </w:t>
      </w:r>
      <w:proofErr w:type="spellStart"/>
      <w:r w:rsidRPr="00EA0B58">
        <w:t>Voskanyan</w:t>
      </w:r>
      <w:proofErr w:type="spellEnd"/>
      <w:r w:rsidRPr="00EA0B58">
        <w:t xml:space="preserve"> </w:t>
      </w:r>
      <w:r w:rsidR="0091036E">
        <w:t>[</w:t>
      </w:r>
      <w:r w:rsidRPr="00EA0B58">
        <w:t>2014</w:t>
      </w:r>
      <w:r w:rsidR="0091036E">
        <w:t>]</w:t>
      </w:r>
      <w:r w:rsidRPr="00EA0B58">
        <w:t>).</w:t>
      </w:r>
    </w:p>
    <w:bookmarkStart w:id="29" w:name="_Ref150419178"/>
    <w:p w14:paraId="5B5D3B2C" w14:textId="58F543B9" w:rsidR="00E943A9" w:rsidRDefault="0047131E" w:rsidP="00AF1C3D">
      <w:pPr>
        <w:rPr>
          <w:b/>
          <w:bCs/>
        </w:rPr>
      </w:pPr>
      <w:r>
        <w:fldChar w:fldCharType="begin"/>
      </w:r>
      <w:r>
        <w:instrText xml:space="preserve"> REF _Ref155800089 \h </w:instrText>
      </w:r>
      <w:r>
        <w:fldChar w:fldCharType="separate"/>
      </w:r>
      <w:r w:rsidR="003C61D8">
        <w:t>Table</w:t>
      </w:r>
      <w:r w:rsidR="003C61D8" w:rsidRPr="0001290C">
        <w:t> </w:t>
      </w:r>
      <w:r w:rsidR="003C61D8">
        <w:rPr>
          <w:noProof/>
        </w:rPr>
        <w:t>12</w:t>
      </w:r>
      <w:r>
        <w:fldChar w:fldCharType="end"/>
      </w:r>
      <w:r>
        <w:t xml:space="preserve"> </w:t>
      </w:r>
      <w:r w:rsidR="00E943A9" w:rsidRPr="00E943A9">
        <w:t>provides estimates based on an alternative ITC analysis</w:t>
      </w:r>
      <w:r w:rsidR="00887CE9">
        <w:t xml:space="preserve"> conducted by the commentary</w:t>
      </w:r>
      <w:r w:rsidR="00E943A9" w:rsidRPr="00E943A9">
        <w:t xml:space="preserve"> comparing the efficacy of </w:t>
      </w:r>
      <w:proofErr w:type="spellStart"/>
      <w:r w:rsidR="00E943A9" w:rsidRPr="00E943A9">
        <w:t>MINIject</w:t>
      </w:r>
      <w:proofErr w:type="spellEnd"/>
      <w:r w:rsidR="00E943A9" w:rsidRPr="00E943A9">
        <w:t xml:space="preserve"> and </w:t>
      </w:r>
      <w:proofErr w:type="spellStart"/>
      <w:r w:rsidR="00E943A9" w:rsidRPr="00E943A9">
        <w:t>iStent</w:t>
      </w:r>
      <w:proofErr w:type="spellEnd"/>
      <w:r w:rsidR="00E943A9" w:rsidRPr="00E943A9">
        <w:t xml:space="preserve"> using only studies with similar IOP at baseline. At 6</w:t>
      </w:r>
      <w:r w:rsidR="00F56F83">
        <w:t> </w:t>
      </w:r>
      <w:r w:rsidR="00E943A9" w:rsidRPr="00E943A9">
        <w:t xml:space="preserve">months, </w:t>
      </w:r>
      <w:proofErr w:type="spellStart"/>
      <w:r w:rsidR="00E943A9" w:rsidRPr="00E943A9">
        <w:t>MINIject</w:t>
      </w:r>
      <w:proofErr w:type="spellEnd"/>
      <w:r w:rsidR="00E943A9" w:rsidRPr="00E943A9">
        <w:t xml:space="preserve"> was associated with a statistically significant improvement in IOP versus </w:t>
      </w:r>
      <w:proofErr w:type="spellStart"/>
      <w:r w:rsidR="00E943A9" w:rsidRPr="00E943A9">
        <w:t>iStent</w:t>
      </w:r>
      <w:proofErr w:type="spellEnd"/>
      <w:r w:rsidR="00E943A9" w:rsidRPr="00E943A9">
        <w:t>, with a mean treatment difference of -4.16</w:t>
      </w:r>
      <w:r w:rsidR="007D5E45">
        <w:t> </w:t>
      </w:r>
      <w:r w:rsidR="007D5E45" w:rsidRPr="00D050B6">
        <w:t>mm</w:t>
      </w:r>
      <w:r w:rsidR="007D5E45">
        <w:t> </w:t>
      </w:r>
      <w:r w:rsidR="007D5E45" w:rsidRPr="00D050B6">
        <w:t>Hg</w:t>
      </w:r>
      <w:r w:rsidR="00E943A9" w:rsidRPr="00E943A9">
        <w:t xml:space="preserve"> (95% CI: -5.17, -2.61; </w:t>
      </w:r>
      <w:r w:rsidR="00AF1C3D">
        <w:t>p</w:t>
      </w:r>
      <w:r w:rsidR="00E943A9" w:rsidRPr="00E943A9">
        <w:t xml:space="preserve">=0.00). No significant differences were observed between </w:t>
      </w:r>
      <w:proofErr w:type="spellStart"/>
      <w:r w:rsidR="00E943A9" w:rsidRPr="00E943A9">
        <w:t>MINIject</w:t>
      </w:r>
      <w:proofErr w:type="spellEnd"/>
      <w:r w:rsidR="00E943A9" w:rsidRPr="00E943A9">
        <w:t xml:space="preserve"> and </w:t>
      </w:r>
      <w:proofErr w:type="spellStart"/>
      <w:r w:rsidR="00E943A9" w:rsidRPr="00E943A9">
        <w:t>iStent</w:t>
      </w:r>
      <w:proofErr w:type="spellEnd"/>
      <w:r w:rsidR="00E943A9" w:rsidRPr="00E943A9">
        <w:t xml:space="preserve"> at 12 and 24 months.</w:t>
      </w:r>
    </w:p>
    <w:p w14:paraId="38F9F667" w14:textId="17E98499" w:rsidR="00D87192" w:rsidRDefault="00D87192" w:rsidP="00D87192">
      <w:pPr>
        <w:pStyle w:val="Caption"/>
      </w:pPr>
      <w:bookmarkStart w:id="30" w:name="_Ref155800089"/>
      <w:r>
        <w:t>Table</w:t>
      </w:r>
      <w:r w:rsidR="003A6646" w:rsidRPr="0001290C">
        <w:t> </w:t>
      </w:r>
      <w:r>
        <w:fldChar w:fldCharType="begin"/>
      </w:r>
      <w:r>
        <w:instrText>SEQ Table \* ARABIC</w:instrText>
      </w:r>
      <w:r>
        <w:fldChar w:fldCharType="separate"/>
      </w:r>
      <w:r w:rsidR="003C61D8">
        <w:rPr>
          <w:noProof/>
        </w:rPr>
        <w:t>12</w:t>
      </w:r>
      <w:r>
        <w:fldChar w:fldCharType="end"/>
      </w:r>
      <w:bookmarkEnd w:id="29"/>
      <w:bookmarkEnd w:id="30"/>
      <w:r w:rsidR="003A6646">
        <w:tab/>
      </w:r>
      <w:r w:rsidRPr="00366B60">
        <w:t xml:space="preserve">Re-estimated primary outcome </w:t>
      </w:r>
      <w:r w:rsidR="003A6646">
        <w:t>indirect treatment comparison</w:t>
      </w:r>
      <w:r w:rsidRPr="00366B60">
        <w:t xml:space="preserve"> results</w:t>
      </w:r>
      <w:r w:rsidR="00AF1C3D">
        <w:t>: M</w:t>
      </w:r>
      <w:r w:rsidRPr="00366B60">
        <w:t xml:space="preserve">ean change from baseline in </w:t>
      </w:r>
      <w:r w:rsidR="003A6646">
        <w:t>intraocular pressure</w:t>
      </w:r>
    </w:p>
    <w:tbl>
      <w:tblPr>
        <w:tblStyle w:val="TableGrid"/>
        <w:tblW w:w="9123" w:type="dxa"/>
        <w:tblLook w:val="04A0" w:firstRow="1" w:lastRow="0" w:firstColumn="1" w:lastColumn="0" w:noHBand="0" w:noVBand="1"/>
      </w:tblPr>
      <w:tblGrid>
        <w:gridCol w:w="1665"/>
        <w:gridCol w:w="1774"/>
        <w:gridCol w:w="1957"/>
        <w:gridCol w:w="2007"/>
        <w:gridCol w:w="1720"/>
      </w:tblGrid>
      <w:tr w:rsidR="00112681" w:rsidRPr="007D5E45" w14:paraId="78D0DE31" w14:textId="77777777" w:rsidTr="00617190">
        <w:trPr>
          <w:trHeight w:val="992"/>
        </w:trPr>
        <w:tc>
          <w:tcPr>
            <w:tcW w:w="1665" w:type="dxa"/>
            <w:shd w:val="clear" w:color="auto" w:fill="FFFFFF" w:themeFill="background1"/>
          </w:tcPr>
          <w:p w14:paraId="10A1D08A" w14:textId="77777777" w:rsidR="00B54A93" w:rsidRPr="007D5E45" w:rsidRDefault="00B54A93" w:rsidP="005848DD">
            <w:pPr>
              <w:pStyle w:val="Tablecontent"/>
              <w:rPr>
                <w:b/>
                <w:bCs/>
              </w:rPr>
            </w:pPr>
            <w:r w:rsidRPr="007D5E45">
              <w:rPr>
                <w:b/>
                <w:bCs/>
              </w:rPr>
              <w:t>Timepoint (post procedure)</w:t>
            </w:r>
          </w:p>
        </w:tc>
        <w:tc>
          <w:tcPr>
            <w:tcW w:w="1774" w:type="dxa"/>
            <w:shd w:val="clear" w:color="auto" w:fill="FFFFFF" w:themeFill="background1"/>
          </w:tcPr>
          <w:p w14:paraId="2AC9E938" w14:textId="77777777" w:rsidR="00B54A93" w:rsidRPr="007D5E45" w:rsidRDefault="00B54A93" w:rsidP="005848DD">
            <w:pPr>
              <w:pStyle w:val="Tablecontent"/>
              <w:rPr>
                <w:b/>
                <w:bCs/>
              </w:rPr>
            </w:pPr>
            <w:r w:rsidRPr="007D5E45">
              <w:rPr>
                <w:b/>
                <w:bCs/>
              </w:rPr>
              <w:t>Mean IOP difference (SD)</w:t>
            </w:r>
          </w:p>
          <w:p w14:paraId="1F04CDD5" w14:textId="29C88F89" w:rsidR="00B54A93" w:rsidRPr="007D5E45" w:rsidRDefault="00B54A93" w:rsidP="005848DD">
            <w:pPr>
              <w:pStyle w:val="Tablecontent"/>
              <w:rPr>
                <w:b/>
                <w:bCs/>
              </w:rPr>
            </w:pPr>
            <w:proofErr w:type="spellStart"/>
            <w:r w:rsidRPr="007D5E45">
              <w:rPr>
                <w:b/>
                <w:bCs/>
              </w:rPr>
              <w:t>M</w:t>
            </w:r>
            <w:r w:rsidR="00BB72CD" w:rsidRPr="007D5E45">
              <w:rPr>
                <w:b/>
                <w:bCs/>
              </w:rPr>
              <w:t>INI</w:t>
            </w:r>
            <w:r w:rsidRPr="007D5E45">
              <w:rPr>
                <w:b/>
                <w:bCs/>
              </w:rPr>
              <w:t>ject</w:t>
            </w:r>
            <w:proofErr w:type="spellEnd"/>
          </w:p>
          <w:p w14:paraId="1659189B" w14:textId="77777777" w:rsidR="00B54A93" w:rsidRPr="007D5E45" w:rsidRDefault="00B54A93" w:rsidP="005848DD">
            <w:pPr>
              <w:pStyle w:val="Tablecontent"/>
              <w:rPr>
                <w:b/>
                <w:bCs/>
              </w:rPr>
            </w:pPr>
          </w:p>
        </w:tc>
        <w:tc>
          <w:tcPr>
            <w:tcW w:w="1957" w:type="dxa"/>
            <w:shd w:val="clear" w:color="auto" w:fill="FFFFFF" w:themeFill="background1"/>
          </w:tcPr>
          <w:p w14:paraId="7311BCEF" w14:textId="77777777" w:rsidR="00B54A93" w:rsidRPr="007D5E45" w:rsidRDefault="00B54A93" w:rsidP="005848DD">
            <w:pPr>
              <w:pStyle w:val="Tablecontent"/>
              <w:rPr>
                <w:b/>
                <w:bCs/>
              </w:rPr>
            </w:pPr>
            <w:r w:rsidRPr="007D5E45">
              <w:rPr>
                <w:b/>
                <w:bCs/>
              </w:rPr>
              <w:t>Mean IOP difference (SD)</w:t>
            </w:r>
          </w:p>
          <w:p w14:paraId="0A8A19BC" w14:textId="49C48A90" w:rsidR="00B54A93" w:rsidRPr="007D5E45" w:rsidRDefault="00453ADC" w:rsidP="005848DD">
            <w:pPr>
              <w:pStyle w:val="Tablecontent"/>
              <w:rPr>
                <w:b/>
                <w:bCs/>
              </w:rPr>
            </w:pPr>
            <w:proofErr w:type="spellStart"/>
            <w:r w:rsidRPr="007D5E45">
              <w:rPr>
                <w:b/>
                <w:bCs/>
              </w:rPr>
              <w:t>iStent</w:t>
            </w:r>
            <w:proofErr w:type="spellEnd"/>
            <w:r w:rsidR="00B54A93" w:rsidRPr="007D5E45">
              <w:rPr>
                <w:b/>
                <w:bCs/>
              </w:rPr>
              <w:t>*</w:t>
            </w:r>
          </w:p>
        </w:tc>
        <w:tc>
          <w:tcPr>
            <w:tcW w:w="2007" w:type="dxa"/>
            <w:shd w:val="clear" w:color="auto" w:fill="FFFFFF" w:themeFill="background1"/>
          </w:tcPr>
          <w:p w14:paraId="6F09ECFA" w14:textId="229CA9DF" w:rsidR="00B54A93" w:rsidRPr="007D5E45" w:rsidRDefault="00B54A93" w:rsidP="005848DD">
            <w:pPr>
              <w:pStyle w:val="Tablecontent"/>
              <w:rPr>
                <w:b/>
                <w:bCs/>
              </w:rPr>
            </w:pPr>
            <w:r w:rsidRPr="007D5E45">
              <w:rPr>
                <w:b/>
                <w:bCs/>
              </w:rPr>
              <w:t>Mean treatment difference, mm</w:t>
            </w:r>
            <w:r w:rsidR="00D34E5E" w:rsidRPr="007D5E45">
              <w:rPr>
                <w:b/>
                <w:bCs/>
              </w:rPr>
              <w:t> </w:t>
            </w:r>
            <w:r w:rsidRPr="007D5E45">
              <w:rPr>
                <w:b/>
                <w:bCs/>
              </w:rPr>
              <w:t xml:space="preserve">Hg </w:t>
            </w:r>
          </w:p>
          <w:p w14:paraId="6AD52F0D" w14:textId="664707DE" w:rsidR="00B54A93" w:rsidRPr="007D5E45" w:rsidRDefault="00B54A93" w:rsidP="005848DD">
            <w:pPr>
              <w:pStyle w:val="Tablecontent"/>
              <w:rPr>
                <w:b/>
                <w:bCs/>
              </w:rPr>
            </w:pPr>
            <w:r w:rsidRPr="007D5E45">
              <w:rPr>
                <w:b/>
                <w:bCs/>
              </w:rPr>
              <w:t>(95% C</w:t>
            </w:r>
            <w:r w:rsidR="007D5E45">
              <w:rPr>
                <w:b/>
                <w:bCs/>
              </w:rPr>
              <w:t>I</w:t>
            </w:r>
            <w:r w:rsidR="00FD2F00">
              <w:rPr>
                <w:b/>
                <w:bCs/>
              </w:rPr>
              <w:t>s</w:t>
            </w:r>
            <w:r w:rsidRPr="007D5E45">
              <w:rPr>
                <w:b/>
                <w:bCs/>
              </w:rPr>
              <w:t>): (</w:t>
            </w:r>
            <w:proofErr w:type="spellStart"/>
            <w:r w:rsidRPr="007D5E45">
              <w:rPr>
                <w:b/>
                <w:bCs/>
              </w:rPr>
              <w:t>MINIject</w:t>
            </w:r>
            <w:proofErr w:type="spellEnd"/>
            <w:r w:rsidRPr="007D5E45">
              <w:rPr>
                <w:b/>
                <w:bCs/>
              </w:rPr>
              <w:t xml:space="preserve"> – </w:t>
            </w:r>
            <w:proofErr w:type="spellStart"/>
            <w:r w:rsidRPr="007D5E45">
              <w:rPr>
                <w:b/>
                <w:bCs/>
              </w:rPr>
              <w:t>iStent</w:t>
            </w:r>
            <w:proofErr w:type="spellEnd"/>
            <w:r w:rsidRPr="007D5E45">
              <w:rPr>
                <w:b/>
                <w:bCs/>
              </w:rPr>
              <w:t>) **</w:t>
            </w:r>
          </w:p>
        </w:tc>
        <w:tc>
          <w:tcPr>
            <w:tcW w:w="1720" w:type="dxa"/>
            <w:shd w:val="clear" w:color="auto" w:fill="FFFFFF" w:themeFill="background1"/>
          </w:tcPr>
          <w:p w14:paraId="0F7AE5DC" w14:textId="380C2A60" w:rsidR="00B54A93" w:rsidRPr="007D5E45" w:rsidRDefault="00AF1C3D" w:rsidP="005848DD">
            <w:pPr>
              <w:pStyle w:val="Tablecontent"/>
              <w:rPr>
                <w:b/>
                <w:bCs/>
              </w:rPr>
            </w:pPr>
            <w:r w:rsidRPr="007D5E45">
              <w:rPr>
                <w:b/>
                <w:bCs/>
              </w:rPr>
              <w:t>p</w:t>
            </w:r>
            <w:r w:rsidR="00A20233" w:rsidRPr="007D5E45">
              <w:rPr>
                <w:b/>
                <w:bCs/>
              </w:rPr>
              <w:t xml:space="preserve"> </w:t>
            </w:r>
            <w:r w:rsidR="00B54A93" w:rsidRPr="007D5E45">
              <w:rPr>
                <w:b/>
                <w:bCs/>
              </w:rPr>
              <w:t>value (2-sided)</w:t>
            </w:r>
          </w:p>
        </w:tc>
      </w:tr>
      <w:tr w:rsidR="00112681" w:rsidRPr="00112681" w14:paraId="0EC970DC" w14:textId="77777777" w:rsidTr="00D87192">
        <w:trPr>
          <w:trHeight w:val="288"/>
        </w:trPr>
        <w:tc>
          <w:tcPr>
            <w:tcW w:w="1665" w:type="dxa"/>
          </w:tcPr>
          <w:p w14:paraId="7FE9039F" w14:textId="77777777" w:rsidR="00B54A93" w:rsidRPr="00112681" w:rsidRDefault="00B54A93" w:rsidP="005848DD">
            <w:pPr>
              <w:pStyle w:val="Tablecontent"/>
            </w:pPr>
            <w:r w:rsidRPr="00112681">
              <w:t>6 months</w:t>
            </w:r>
          </w:p>
        </w:tc>
        <w:tc>
          <w:tcPr>
            <w:tcW w:w="1774" w:type="dxa"/>
          </w:tcPr>
          <w:p w14:paraId="293CD47D" w14:textId="77777777" w:rsidR="00B54A93" w:rsidRPr="00112681" w:rsidRDefault="00B54A93" w:rsidP="00617190">
            <w:pPr>
              <w:pStyle w:val="Tablecontent"/>
            </w:pPr>
            <w:r w:rsidRPr="00112681">
              <w:t>-9.46 (0.58)</w:t>
            </w:r>
          </w:p>
        </w:tc>
        <w:tc>
          <w:tcPr>
            <w:tcW w:w="1957" w:type="dxa"/>
          </w:tcPr>
          <w:p w14:paraId="1DB07E47" w14:textId="77777777" w:rsidR="00B54A93" w:rsidRPr="00112681" w:rsidRDefault="00B54A93" w:rsidP="00617190">
            <w:pPr>
              <w:pStyle w:val="Tablecontent"/>
            </w:pPr>
            <w:r w:rsidRPr="00112681">
              <w:t>-5.30 (0.54)</w:t>
            </w:r>
          </w:p>
        </w:tc>
        <w:tc>
          <w:tcPr>
            <w:tcW w:w="2007" w:type="dxa"/>
          </w:tcPr>
          <w:p w14:paraId="16E92C7B" w14:textId="77777777" w:rsidR="00B54A93" w:rsidRPr="00112681" w:rsidRDefault="00B54A93" w:rsidP="00617190">
            <w:pPr>
              <w:pStyle w:val="Tablecontent"/>
            </w:pPr>
            <w:r w:rsidRPr="00112681">
              <w:t>-4.16 (-5.71, -2.61)</w:t>
            </w:r>
          </w:p>
        </w:tc>
        <w:tc>
          <w:tcPr>
            <w:tcW w:w="1720" w:type="dxa"/>
          </w:tcPr>
          <w:p w14:paraId="0A5C377D" w14:textId="77777777" w:rsidR="00B54A93" w:rsidRPr="00112681" w:rsidRDefault="00B54A93" w:rsidP="00617190">
            <w:pPr>
              <w:pStyle w:val="Tablecontent"/>
            </w:pPr>
            <w:r w:rsidRPr="00112681">
              <w:t>0.00</w:t>
            </w:r>
          </w:p>
        </w:tc>
      </w:tr>
      <w:tr w:rsidR="00112681" w:rsidRPr="00112681" w14:paraId="60FF9DC7" w14:textId="77777777" w:rsidTr="00D87192">
        <w:trPr>
          <w:trHeight w:val="276"/>
        </w:trPr>
        <w:tc>
          <w:tcPr>
            <w:tcW w:w="1665" w:type="dxa"/>
          </w:tcPr>
          <w:p w14:paraId="60FB4F1C" w14:textId="77777777" w:rsidR="00B54A93" w:rsidRPr="00112681" w:rsidRDefault="00B54A93" w:rsidP="005848DD">
            <w:pPr>
              <w:pStyle w:val="Tablecontent"/>
            </w:pPr>
            <w:r w:rsidRPr="00112681">
              <w:t>12 months</w:t>
            </w:r>
          </w:p>
        </w:tc>
        <w:tc>
          <w:tcPr>
            <w:tcW w:w="1774" w:type="dxa"/>
          </w:tcPr>
          <w:p w14:paraId="2416BEF0" w14:textId="77777777" w:rsidR="00B54A93" w:rsidRPr="00112681" w:rsidRDefault="00B54A93" w:rsidP="00617190">
            <w:pPr>
              <w:pStyle w:val="Tablecontent"/>
            </w:pPr>
            <w:r w:rsidRPr="00112681">
              <w:t>-8.36 (0.58)</w:t>
            </w:r>
          </w:p>
        </w:tc>
        <w:tc>
          <w:tcPr>
            <w:tcW w:w="1957" w:type="dxa"/>
          </w:tcPr>
          <w:p w14:paraId="17A7C7E5" w14:textId="77777777" w:rsidR="00B54A93" w:rsidRPr="00112681" w:rsidRDefault="00B54A93" w:rsidP="00617190">
            <w:pPr>
              <w:pStyle w:val="Tablecontent"/>
            </w:pPr>
            <w:r w:rsidRPr="00112681">
              <w:t>-8.13 (1.84)</w:t>
            </w:r>
          </w:p>
        </w:tc>
        <w:tc>
          <w:tcPr>
            <w:tcW w:w="2007" w:type="dxa"/>
          </w:tcPr>
          <w:p w14:paraId="1AAC5357" w14:textId="305345DB" w:rsidR="00B54A93" w:rsidRPr="00112681" w:rsidRDefault="00B54A93" w:rsidP="00617190">
            <w:pPr>
              <w:pStyle w:val="Tablecontent"/>
            </w:pPr>
            <w:r w:rsidRPr="00112681">
              <w:t>-0.23 (-4.01, 3.55)</w:t>
            </w:r>
          </w:p>
        </w:tc>
        <w:tc>
          <w:tcPr>
            <w:tcW w:w="1720" w:type="dxa"/>
          </w:tcPr>
          <w:p w14:paraId="6005FE74" w14:textId="77777777" w:rsidR="00B54A93" w:rsidRPr="00112681" w:rsidRDefault="00B54A93" w:rsidP="00617190">
            <w:pPr>
              <w:pStyle w:val="Tablecontent"/>
            </w:pPr>
            <w:r w:rsidRPr="00112681">
              <w:t>0.91</w:t>
            </w:r>
          </w:p>
        </w:tc>
      </w:tr>
      <w:tr w:rsidR="00112681" w:rsidRPr="00112681" w14:paraId="28DC2323" w14:textId="77777777" w:rsidTr="00D87192">
        <w:trPr>
          <w:trHeight w:val="288"/>
        </w:trPr>
        <w:tc>
          <w:tcPr>
            <w:tcW w:w="1665" w:type="dxa"/>
          </w:tcPr>
          <w:p w14:paraId="4954BBE0" w14:textId="77777777" w:rsidR="00B54A93" w:rsidRPr="00112681" w:rsidRDefault="00B54A93" w:rsidP="005848DD">
            <w:pPr>
              <w:pStyle w:val="Tablecontent"/>
            </w:pPr>
            <w:r w:rsidRPr="00112681">
              <w:t>24 months</w:t>
            </w:r>
          </w:p>
        </w:tc>
        <w:tc>
          <w:tcPr>
            <w:tcW w:w="1774" w:type="dxa"/>
          </w:tcPr>
          <w:p w14:paraId="52B85F62" w14:textId="77777777" w:rsidR="00B54A93" w:rsidRPr="00112681" w:rsidRDefault="00B54A93" w:rsidP="00617190">
            <w:pPr>
              <w:pStyle w:val="Tablecontent"/>
            </w:pPr>
            <w:r w:rsidRPr="00112681">
              <w:t>-9.57 (0.59)</w:t>
            </w:r>
          </w:p>
        </w:tc>
        <w:tc>
          <w:tcPr>
            <w:tcW w:w="1957" w:type="dxa"/>
          </w:tcPr>
          <w:p w14:paraId="063018BC" w14:textId="77777777" w:rsidR="00B54A93" w:rsidRPr="00112681" w:rsidRDefault="00B54A93" w:rsidP="00617190">
            <w:pPr>
              <w:pStyle w:val="Tablecontent"/>
            </w:pPr>
            <w:r w:rsidRPr="00112681">
              <w:t>-10.30 (1.08)</w:t>
            </w:r>
          </w:p>
        </w:tc>
        <w:tc>
          <w:tcPr>
            <w:tcW w:w="2007" w:type="dxa"/>
          </w:tcPr>
          <w:p w14:paraId="7E318782" w14:textId="77777777" w:rsidR="00B54A93" w:rsidRPr="00112681" w:rsidRDefault="00B54A93" w:rsidP="00617190">
            <w:pPr>
              <w:pStyle w:val="Tablecontent"/>
            </w:pPr>
            <w:r w:rsidRPr="00112681">
              <w:t>0.73 (-1.68, 3.14)</w:t>
            </w:r>
          </w:p>
        </w:tc>
        <w:tc>
          <w:tcPr>
            <w:tcW w:w="1720" w:type="dxa"/>
          </w:tcPr>
          <w:p w14:paraId="4D2894AA" w14:textId="77777777" w:rsidR="00B54A93" w:rsidRPr="00112681" w:rsidRDefault="00B54A93" w:rsidP="00617190">
            <w:pPr>
              <w:pStyle w:val="Tablecontent"/>
            </w:pPr>
            <w:r w:rsidRPr="00112681">
              <w:t>0.55</w:t>
            </w:r>
          </w:p>
        </w:tc>
      </w:tr>
    </w:tbl>
    <w:p w14:paraId="0688222F" w14:textId="66765305" w:rsidR="007D5E45" w:rsidRDefault="007D5E45" w:rsidP="007D5E45">
      <w:pPr>
        <w:pStyle w:val="Tablenotes0"/>
      </w:pPr>
      <w:bookmarkStart w:id="31" w:name="_Ref146393183"/>
      <w:bookmarkStart w:id="32" w:name="_Toc147507275"/>
      <w:r w:rsidRPr="00AD31F1">
        <w:rPr>
          <w:u w:val="single"/>
        </w:rPr>
        <w:t>Abbreviations</w:t>
      </w:r>
      <w:r w:rsidRPr="00AD31F1">
        <w:t>: IOP = intraocular pressure, SD = standard deviation, CI = confidence interval</w:t>
      </w:r>
    </w:p>
    <w:p w14:paraId="724F77C3" w14:textId="18C007AA" w:rsidR="00CA32E7" w:rsidRDefault="00CA32E7" w:rsidP="00CF3E4C">
      <w:pPr>
        <w:pStyle w:val="Tablenotes0"/>
        <w:spacing w:after="120"/>
        <w:contextualSpacing w:val="0"/>
      </w:pPr>
      <w:r w:rsidRPr="00CA32E7">
        <w:rPr>
          <w:u w:val="single"/>
        </w:rPr>
        <w:t>Source:</w:t>
      </w:r>
      <w:r w:rsidR="00306107">
        <w:t xml:space="preserve"> Compiled for the commentary</w:t>
      </w:r>
    </w:p>
    <w:p w14:paraId="4382AF54" w14:textId="77777777" w:rsidR="00CF3E4C" w:rsidRPr="00112681" w:rsidRDefault="00CF3E4C" w:rsidP="00CF3E4C">
      <w:pPr>
        <w:pStyle w:val="Tablenotes0"/>
      </w:pPr>
      <w:r w:rsidRPr="00112681">
        <w:t>*Mean IOP difference</w:t>
      </w:r>
      <w:r>
        <w:t>s</w:t>
      </w:r>
      <w:r w:rsidRPr="00112681">
        <w:t xml:space="preserve"> for </w:t>
      </w:r>
      <w:proofErr w:type="spellStart"/>
      <w:r w:rsidRPr="00112681">
        <w:t>iStent</w:t>
      </w:r>
      <w:proofErr w:type="spellEnd"/>
      <w:r w:rsidRPr="00112681">
        <w:t xml:space="preserve"> were computed by meta-analysing results of the </w:t>
      </w:r>
      <w:proofErr w:type="spellStart"/>
      <w:r w:rsidRPr="00112681">
        <w:t>Voskanyan</w:t>
      </w:r>
      <w:proofErr w:type="spellEnd"/>
      <w:r w:rsidRPr="00112681">
        <w:t xml:space="preserve"> and </w:t>
      </w:r>
      <w:proofErr w:type="spellStart"/>
      <w:r w:rsidRPr="00112681">
        <w:t>Hengerer</w:t>
      </w:r>
      <w:proofErr w:type="spellEnd"/>
      <w:r w:rsidRPr="00112681">
        <w:t xml:space="preserve"> trials where available. </w:t>
      </w:r>
    </w:p>
    <w:p w14:paraId="0AC1AFD2" w14:textId="1DE59AB4" w:rsidR="00CF3E4C" w:rsidRPr="00CF3E4C" w:rsidRDefault="00CF3E4C" w:rsidP="007D5E45">
      <w:pPr>
        <w:pStyle w:val="Tablenotes0"/>
      </w:pPr>
      <w:r w:rsidRPr="00112681">
        <w:t xml:space="preserve">**Mean treatment differences between </w:t>
      </w:r>
      <w:proofErr w:type="spellStart"/>
      <w:r w:rsidRPr="00112681">
        <w:t>MINIject</w:t>
      </w:r>
      <w:proofErr w:type="spellEnd"/>
      <w:r w:rsidRPr="00112681">
        <w:t xml:space="preserve"> and </w:t>
      </w:r>
      <w:proofErr w:type="spellStart"/>
      <w:r w:rsidRPr="00112681">
        <w:t>iStent</w:t>
      </w:r>
      <w:proofErr w:type="spellEnd"/>
      <w:r w:rsidRPr="00112681">
        <w:t xml:space="preserve"> were calculated using the Bucher method (simple subtraction). 95% confidence intervals were constructed based on combined variance estimates of the two treatments. </w:t>
      </w:r>
    </w:p>
    <w:p w14:paraId="1F211C98" w14:textId="0DEE3587" w:rsidR="00A55A75" w:rsidRPr="00881715" w:rsidRDefault="00621D55" w:rsidP="00881715">
      <w:pPr>
        <w:pStyle w:val="Heading3"/>
      </w:pPr>
      <w:r w:rsidRPr="00881715">
        <w:t>Meta-analysis results</w:t>
      </w:r>
      <w:r w:rsidR="00813D27" w:rsidRPr="00881715">
        <w:t xml:space="preserve">: </w:t>
      </w:r>
      <w:r w:rsidR="00463128" w:rsidRPr="00881715">
        <w:t>Mean change from baseline in the number of IOP-lowering medications</w:t>
      </w:r>
      <w:bookmarkStart w:id="33" w:name="_Ref146395773"/>
      <w:bookmarkEnd w:id="31"/>
      <w:bookmarkEnd w:id="32"/>
    </w:p>
    <w:p w14:paraId="055863BB" w14:textId="63599BDA" w:rsidR="00A55A75" w:rsidRPr="00A55A75" w:rsidRDefault="00A55A75" w:rsidP="00617190">
      <w:r w:rsidRPr="003A7D16">
        <w:t>Meta-analysed es</w:t>
      </w:r>
      <w:r w:rsidRPr="00A55A75">
        <w:t xml:space="preserve">timates for mean change from baseline in the number of IOP-lowering medications for </w:t>
      </w:r>
      <w:proofErr w:type="spellStart"/>
      <w:r w:rsidRPr="00A55A75">
        <w:t>MINIject</w:t>
      </w:r>
      <w:proofErr w:type="spellEnd"/>
      <w:r w:rsidRPr="00A55A75">
        <w:t xml:space="preserve"> were -1.50 (95% CI</w:t>
      </w:r>
      <w:r w:rsidR="001D3DDF">
        <w:t>:</w:t>
      </w:r>
      <w:r w:rsidRPr="00A55A75">
        <w:t xml:space="preserve"> -2.04, -0.97) at 6 months (</w:t>
      </w:r>
      <w:r>
        <w:fldChar w:fldCharType="begin"/>
      </w:r>
      <w:r>
        <w:instrText xml:space="preserve"> REF _Ref150957812 \h  \* MERGEFORMAT </w:instrText>
      </w:r>
      <w:r>
        <w:fldChar w:fldCharType="separate"/>
      </w:r>
      <w:r w:rsidR="003C61D8">
        <w:t>Figure</w:t>
      </w:r>
      <w:r w:rsidR="003C61D8" w:rsidRPr="0001290C">
        <w:t> </w:t>
      </w:r>
      <w:r w:rsidR="003C61D8">
        <w:t>2</w:t>
      </w:r>
      <w:r>
        <w:fldChar w:fldCharType="end"/>
      </w:r>
      <w:r w:rsidRPr="00A55A75">
        <w:t>), -1.27 (</w:t>
      </w:r>
      <w:r w:rsidR="001D3DDF">
        <w:t xml:space="preserve">95% CI: </w:t>
      </w:r>
      <w:r w:rsidRPr="00A55A75">
        <w:t>-1.73, -0.82) at 12 months and -1.0 (95% CI -1.67, -0.32) at 24 months</w:t>
      </w:r>
      <w:r w:rsidR="002C41A6">
        <w:t>.</w:t>
      </w:r>
      <w:r w:rsidRPr="00A55A75">
        <w:t xml:space="preserve">  Between-study heterogeneity varied across the different time intervals, with the I</w:t>
      </w:r>
      <w:r w:rsidRPr="00B76EED">
        <w:rPr>
          <w:vertAlign w:val="superscript"/>
        </w:rPr>
        <w:t>2</w:t>
      </w:r>
      <w:r w:rsidRPr="00A55A75">
        <w:t xml:space="preserve"> value ranging from 48% to 64%.</w:t>
      </w:r>
    </w:p>
    <w:p w14:paraId="5BEB3F68" w14:textId="7AF3EA94" w:rsidR="00A55A75" w:rsidRPr="00A55A75" w:rsidRDefault="00453ADC" w:rsidP="00BF6F82">
      <w:pPr>
        <w:rPr>
          <w:i/>
          <w:iCs/>
        </w:rPr>
      </w:pPr>
      <w:r w:rsidRPr="00356ABE">
        <w:t>Smaller</w:t>
      </w:r>
      <w:r w:rsidR="00A55A75" w:rsidRPr="00356ABE">
        <w:t xml:space="preserve"> reductio</w:t>
      </w:r>
      <w:r w:rsidR="00A55A75" w:rsidRPr="00A55A75">
        <w:t xml:space="preserve">ns in medication usage were observed for </w:t>
      </w:r>
      <w:proofErr w:type="spellStart"/>
      <w:r w:rsidR="00A55A75" w:rsidRPr="00A55A75">
        <w:t>iStent</w:t>
      </w:r>
      <w:proofErr w:type="spellEnd"/>
      <w:r w:rsidR="00A55A75" w:rsidRPr="00A55A75">
        <w:t xml:space="preserve">, with meta-analysed treatment effects of -0.98 (95% CI -1.49, -0.47) at 6 months, -0.96 (95% CI -1.23, -0.69) at 12 months and -0.56 (95% CI -0.89, -0.23) at 24 months. Statistical heterogeneity was apparent between the </w:t>
      </w:r>
      <w:proofErr w:type="spellStart"/>
      <w:r w:rsidR="00A55A75" w:rsidRPr="00A55A75">
        <w:t>iStent</w:t>
      </w:r>
      <w:proofErr w:type="spellEnd"/>
      <w:r w:rsidR="00A55A75" w:rsidRPr="00A55A75">
        <w:t xml:space="preserve"> trials, with I</w:t>
      </w:r>
      <w:r w:rsidR="00A55A75" w:rsidRPr="001D3DDF">
        <w:rPr>
          <w:vertAlign w:val="superscript"/>
        </w:rPr>
        <w:t>2</w:t>
      </w:r>
      <w:r w:rsidR="00A55A75" w:rsidRPr="00A55A75">
        <w:t xml:space="preserve"> values of 72% and 35% at 6 and 24 months, respectively. </w:t>
      </w:r>
    </w:p>
    <w:p w14:paraId="44049CB8" w14:textId="67E70DDD" w:rsidR="000B18FB" w:rsidRDefault="000B18FB" w:rsidP="00A55A75">
      <w:pPr>
        <w:pStyle w:val="Caption"/>
      </w:pPr>
      <w:bookmarkStart w:id="34" w:name="_Ref150957812"/>
      <w:r>
        <w:lastRenderedPageBreak/>
        <w:t>Figure</w:t>
      </w:r>
      <w:r w:rsidR="003A6646" w:rsidRPr="0001290C">
        <w:t> </w:t>
      </w:r>
      <w:r>
        <w:fldChar w:fldCharType="begin"/>
      </w:r>
      <w:r>
        <w:instrText>SEQ Figure \* ARABIC</w:instrText>
      </w:r>
      <w:r>
        <w:fldChar w:fldCharType="separate"/>
      </w:r>
      <w:r w:rsidR="003C61D8">
        <w:rPr>
          <w:noProof/>
        </w:rPr>
        <w:t>2</w:t>
      </w:r>
      <w:r>
        <w:fldChar w:fldCharType="end"/>
      </w:r>
      <w:bookmarkEnd w:id="33"/>
      <w:bookmarkEnd w:id="34"/>
      <w:r w:rsidR="007C6407">
        <w:tab/>
      </w:r>
      <w:r>
        <w:t xml:space="preserve">Mean change from baseline to </w:t>
      </w:r>
      <w:r w:rsidR="003A6646">
        <w:t>m</w:t>
      </w:r>
      <w:r>
        <w:t xml:space="preserve">onth 6 in number of </w:t>
      </w:r>
      <w:r w:rsidR="003A6646">
        <w:t>intraocular pressure</w:t>
      </w:r>
      <w:r>
        <w:t xml:space="preserve">-lowering </w:t>
      </w:r>
      <w:proofErr w:type="gramStart"/>
      <w:r>
        <w:t>medications</w:t>
      </w:r>
      <w:proofErr w:type="gramEnd"/>
      <w:r>
        <w:t xml:space="preserve"> </w:t>
      </w:r>
    </w:p>
    <w:p w14:paraId="7FFD233E" w14:textId="77777777" w:rsidR="000B18FB" w:rsidRDefault="000B18FB" w:rsidP="000B18FB">
      <w:pPr>
        <w:pStyle w:val="PBSnormal"/>
      </w:pPr>
      <w:r>
        <w:rPr>
          <w:noProof/>
        </w:rPr>
        <w:drawing>
          <wp:inline distT="0" distB="0" distL="0" distR="0" wp14:anchorId="411F73EF" wp14:editId="15B4D502">
            <wp:extent cx="5731510" cy="3790950"/>
            <wp:effectExtent l="0" t="0" r="2540" b="0"/>
            <wp:docPr id="29302064" name="Picture 29302064" descr="A forest plot showing mean change from baseline to month 6 in number of intraocular pressure-lowering med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2064" name="Picture 29302064" descr="A forest plot showing mean change from baseline to month 6 in number of intraocular pressure-lowering medication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0950"/>
                    </a:xfrm>
                    <a:prstGeom prst="rect">
                      <a:avLst/>
                    </a:prstGeom>
                    <a:noFill/>
                    <a:ln>
                      <a:noFill/>
                    </a:ln>
                  </pic:spPr>
                </pic:pic>
              </a:graphicData>
            </a:graphic>
          </wp:inline>
        </w:drawing>
      </w:r>
    </w:p>
    <w:p w14:paraId="4A3EE0EF" w14:textId="236588E6" w:rsidR="005625C8" w:rsidRPr="005625C8" w:rsidRDefault="005625C8" w:rsidP="005625C8">
      <w:pPr>
        <w:pStyle w:val="tablenotes1"/>
      </w:pPr>
      <w:r>
        <w:rPr>
          <w:u w:val="single"/>
        </w:rPr>
        <w:t>Abbreviations</w:t>
      </w:r>
      <w:r>
        <w:t xml:space="preserve">: </w:t>
      </w:r>
      <w:r w:rsidR="005D69A8">
        <w:t xml:space="preserve">CI = confidence interval; </w:t>
      </w:r>
      <w:r>
        <w:t>SD = standard deviation</w:t>
      </w:r>
    </w:p>
    <w:p w14:paraId="599ECCA3" w14:textId="0C1CDC5F" w:rsidR="005625C8" w:rsidRDefault="007C6407" w:rsidP="00CF3E4C">
      <w:pPr>
        <w:pStyle w:val="tablenotes1"/>
        <w:spacing w:after="120"/>
      </w:pPr>
      <w:r w:rsidRPr="005625C8">
        <w:rPr>
          <w:u w:val="single"/>
        </w:rPr>
        <w:t>Source</w:t>
      </w:r>
      <w:r>
        <w:t xml:space="preserve">: </w:t>
      </w:r>
      <w:r w:rsidR="005625C8">
        <w:t>Figure 6 of ADAR submission</w:t>
      </w:r>
    </w:p>
    <w:p w14:paraId="6832A652" w14:textId="73176104" w:rsidR="00CF3E4C" w:rsidRPr="005625C8" w:rsidRDefault="00CF3E4C" w:rsidP="005625C8">
      <w:pPr>
        <w:pStyle w:val="tablenotes1"/>
      </w:pPr>
      <w:r>
        <w:t>The mean difference and 95% CI are calculated as a mean difference using t-test. The p value is calculated from the meta-analyses using meta-regression.</w:t>
      </w:r>
    </w:p>
    <w:p w14:paraId="7E01D208" w14:textId="5FE6237A" w:rsidR="000B18FB" w:rsidRPr="00881715" w:rsidRDefault="00ED1EC4" w:rsidP="00881715">
      <w:pPr>
        <w:pStyle w:val="Heading3"/>
      </w:pPr>
      <w:r w:rsidRPr="00881715">
        <w:t>ITC results: Mean change from baseline in the number of IOP-lowering medications</w:t>
      </w:r>
    </w:p>
    <w:p w14:paraId="4DCB7FB6" w14:textId="04DAB757" w:rsidR="00722868" w:rsidRPr="00AD62DA" w:rsidRDefault="00722868" w:rsidP="00617190">
      <w:bookmarkStart w:id="35" w:name="_Ref146395689"/>
      <w:r w:rsidRPr="00722868">
        <w:t>The ITC analysis for change from baseline in the number of IOP</w:t>
      </w:r>
      <w:r w:rsidR="00C51BB8">
        <w:t>-</w:t>
      </w:r>
      <w:r w:rsidRPr="00722868">
        <w:t xml:space="preserve">lowering medications demonstrated broad equivalence of </w:t>
      </w:r>
      <w:proofErr w:type="spellStart"/>
      <w:r w:rsidRPr="00722868">
        <w:t>MINIject</w:t>
      </w:r>
      <w:proofErr w:type="spellEnd"/>
      <w:r w:rsidRPr="00722868">
        <w:t xml:space="preserve"> and </w:t>
      </w:r>
      <w:proofErr w:type="spellStart"/>
      <w:r w:rsidRPr="00722868">
        <w:t>iStent</w:t>
      </w:r>
      <w:proofErr w:type="spellEnd"/>
      <w:r w:rsidRPr="00722868">
        <w:t xml:space="preserve"> (</w:t>
      </w:r>
      <w:r w:rsidRPr="00AD62DA">
        <w:fldChar w:fldCharType="begin"/>
      </w:r>
      <w:r>
        <w:instrText xml:space="preserve"> REF _Ref150958148 \h </w:instrText>
      </w:r>
      <w:r w:rsidR="00453ADC">
        <w:instrText xml:space="preserve"> \* MERGEFORMAT </w:instrText>
      </w:r>
      <w:r w:rsidRPr="00AD62DA">
        <w:fldChar w:fldCharType="separate"/>
      </w:r>
      <w:r w:rsidR="003C61D8">
        <w:t>Table</w:t>
      </w:r>
      <w:r w:rsidR="003C61D8" w:rsidRPr="0001290C">
        <w:t> </w:t>
      </w:r>
      <w:r w:rsidR="003C61D8">
        <w:t>13</w:t>
      </w:r>
      <w:r w:rsidRPr="00AD62DA">
        <w:fldChar w:fldCharType="end"/>
      </w:r>
      <w:r w:rsidRPr="00722868">
        <w:t xml:space="preserve">). Nominal differences were observed, slightly </w:t>
      </w:r>
      <w:r w:rsidR="006D6A39" w:rsidRPr="00722868">
        <w:t>favouring</w:t>
      </w:r>
      <w:r w:rsidRPr="00722868">
        <w:t xml:space="preserve"> </w:t>
      </w:r>
      <w:proofErr w:type="spellStart"/>
      <w:r w:rsidRPr="00722868">
        <w:t>MINIject</w:t>
      </w:r>
      <w:proofErr w:type="spellEnd"/>
      <w:r w:rsidRPr="00722868">
        <w:t xml:space="preserve">; however, these results </w:t>
      </w:r>
      <w:r w:rsidR="001D3DDF">
        <w:t>were</w:t>
      </w:r>
      <w:r w:rsidRPr="00722868">
        <w:t xml:space="preserve"> not statistically significant. </w:t>
      </w:r>
    </w:p>
    <w:p w14:paraId="72A4F865" w14:textId="23C0137C" w:rsidR="00722868" w:rsidRPr="00AD62DA" w:rsidRDefault="00722868" w:rsidP="00617190">
      <w:r w:rsidRPr="00722868">
        <w:t xml:space="preserve">Although baseline IOP-lowering medication usage was comparable across the </w:t>
      </w:r>
      <w:proofErr w:type="spellStart"/>
      <w:r w:rsidRPr="00722868">
        <w:t>MINIject</w:t>
      </w:r>
      <w:proofErr w:type="spellEnd"/>
      <w:r w:rsidRPr="00722868">
        <w:t xml:space="preserve"> and </w:t>
      </w:r>
      <w:proofErr w:type="spellStart"/>
      <w:r w:rsidRPr="00722868">
        <w:t>iStent</w:t>
      </w:r>
      <w:proofErr w:type="spellEnd"/>
      <w:r w:rsidRPr="00722868">
        <w:t xml:space="preserve"> trials, the </w:t>
      </w:r>
      <w:r w:rsidR="001E68F5">
        <w:t>a</w:t>
      </w:r>
      <w:r w:rsidRPr="00722868">
        <w:t xml:space="preserve">ssessment </w:t>
      </w:r>
      <w:r w:rsidR="001E68F5">
        <w:t>g</w:t>
      </w:r>
      <w:r w:rsidRPr="00722868">
        <w:t>roup maintain</w:t>
      </w:r>
      <w:r w:rsidR="00B526FE">
        <w:t>ed</w:t>
      </w:r>
      <w:r w:rsidRPr="00722868">
        <w:t xml:space="preserve"> that a population-adjusted approach would produce more robust results, given imbalances in other baseline characteristics.</w:t>
      </w:r>
    </w:p>
    <w:p w14:paraId="20F54591" w14:textId="71706DBF" w:rsidR="00ED1EC4" w:rsidRDefault="00ED1EC4" w:rsidP="00722868">
      <w:pPr>
        <w:pStyle w:val="Caption"/>
      </w:pPr>
      <w:bookmarkStart w:id="36" w:name="_Ref150958148"/>
      <w:r>
        <w:t>Table</w:t>
      </w:r>
      <w:r w:rsidR="003A6646" w:rsidRPr="0001290C">
        <w:t> </w:t>
      </w:r>
      <w:r>
        <w:fldChar w:fldCharType="begin"/>
      </w:r>
      <w:r>
        <w:instrText>SEQ Table \* ARABIC</w:instrText>
      </w:r>
      <w:r>
        <w:fldChar w:fldCharType="separate"/>
      </w:r>
      <w:r w:rsidR="003C61D8">
        <w:rPr>
          <w:noProof/>
        </w:rPr>
        <w:t>13</w:t>
      </w:r>
      <w:r>
        <w:fldChar w:fldCharType="end"/>
      </w:r>
      <w:bookmarkEnd w:id="35"/>
      <w:bookmarkEnd w:id="36"/>
      <w:r w:rsidR="003A6646">
        <w:tab/>
        <w:t>Indirect treatment comparison</w:t>
      </w:r>
      <w:r w:rsidRPr="00A24E35">
        <w:t xml:space="preserve"> key outcome results: Im</w:t>
      </w:r>
      <w:r>
        <w:t xml:space="preserve">pact on </w:t>
      </w:r>
      <w:r w:rsidR="003C47E2">
        <w:t>intraocular pressure</w:t>
      </w:r>
      <w:r>
        <w:t>-lowering medication use</w:t>
      </w:r>
    </w:p>
    <w:tbl>
      <w:tblPr>
        <w:tblStyle w:val="TableGrid"/>
        <w:tblW w:w="0" w:type="auto"/>
        <w:tblLook w:val="04A0" w:firstRow="1" w:lastRow="0" w:firstColumn="1" w:lastColumn="0" w:noHBand="0" w:noVBand="1"/>
      </w:tblPr>
      <w:tblGrid>
        <w:gridCol w:w="1821"/>
        <w:gridCol w:w="1718"/>
        <w:gridCol w:w="3063"/>
        <w:gridCol w:w="2414"/>
      </w:tblGrid>
      <w:tr w:rsidR="00ED1EC4" w14:paraId="5AC59897" w14:textId="77777777" w:rsidTr="00617190">
        <w:tc>
          <w:tcPr>
            <w:tcW w:w="1821" w:type="dxa"/>
            <w:shd w:val="clear" w:color="auto" w:fill="FFFFFF" w:themeFill="background1"/>
          </w:tcPr>
          <w:p w14:paraId="7C7A8298" w14:textId="77777777" w:rsidR="00ED1EC4" w:rsidRDefault="00ED1EC4" w:rsidP="005848DD">
            <w:pPr>
              <w:pStyle w:val="TableHeading0"/>
            </w:pPr>
            <w:r>
              <w:t>Endpoint</w:t>
            </w:r>
          </w:p>
        </w:tc>
        <w:tc>
          <w:tcPr>
            <w:tcW w:w="1718" w:type="dxa"/>
            <w:shd w:val="clear" w:color="auto" w:fill="FFFFFF" w:themeFill="background1"/>
          </w:tcPr>
          <w:p w14:paraId="02F106E5" w14:textId="77777777" w:rsidR="00ED1EC4" w:rsidRDefault="00ED1EC4" w:rsidP="005848DD">
            <w:pPr>
              <w:pStyle w:val="TableHeading0"/>
            </w:pPr>
            <w:r>
              <w:t>Timepoint (post procedure)</w:t>
            </w:r>
          </w:p>
        </w:tc>
        <w:tc>
          <w:tcPr>
            <w:tcW w:w="3063" w:type="dxa"/>
            <w:shd w:val="clear" w:color="auto" w:fill="FFFFFF" w:themeFill="background1"/>
          </w:tcPr>
          <w:p w14:paraId="73A23476" w14:textId="77777777" w:rsidR="00ED1EC4" w:rsidRDefault="00ED1EC4" w:rsidP="005848DD">
            <w:pPr>
              <w:pStyle w:val="TableHeading0"/>
            </w:pPr>
            <w:r>
              <w:t>Mean treatment difference (95% CIs) (</w:t>
            </w:r>
            <w:proofErr w:type="spellStart"/>
            <w:r>
              <w:t>MINIject</w:t>
            </w:r>
            <w:proofErr w:type="spellEnd"/>
            <w:r>
              <w:t xml:space="preserve"> – </w:t>
            </w:r>
            <w:proofErr w:type="spellStart"/>
            <w:r>
              <w:t>iStent</w:t>
            </w:r>
            <w:proofErr w:type="spellEnd"/>
            <w:r>
              <w:t>)</w:t>
            </w:r>
          </w:p>
        </w:tc>
        <w:tc>
          <w:tcPr>
            <w:tcW w:w="2414" w:type="dxa"/>
            <w:shd w:val="clear" w:color="auto" w:fill="FFFFFF" w:themeFill="background1"/>
          </w:tcPr>
          <w:p w14:paraId="30C398B1" w14:textId="1BB78634" w:rsidR="00ED1EC4" w:rsidRDefault="00103241" w:rsidP="005848DD">
            <w:pPr>
              <w:pStyle w:val="TableHeading0"/>
            </w:pPr>
            <w:r>
              <w:t>p</w:t>
            </w:r>
            <w:r w:rsidR="002D614A">
              <w:t xml:space="preserve"> </w:t>
            </w:r>
            <w:r w:rsidR="00ED1EC4">
              <w:t>value for difference</w:t>
            </w:r>
            <w:r w:rsidR="00ED1EC4">
              <w:br/>
              <w:t>(meta-regression)</w:t>
            </w:r>
          </w:p>
        </w:tc>
      </w:tr>
      <w:tr w:rsidR="00ED1EC4" w14:paraId="40E1CFC6" w14:textId="77777777" w:rsidTr="00617190">
        <w:trPr>
          <w:trHeight w:val="330"/>
        </w:trPr>
        <w:tc>
          <w:tcPr>
            <w:tcW w:w="1821" w:type="dxa"/>
            <w:vMerge w:val="restart"/>
          </w:tcPr>
          <w:p w14:paraId="697BADF9" w14:textId="77777777" w:rsidR="00ED1EC4" w:rsidRDefault="00ED1EC4" w:rsidP="005848DD">
            <w:pPr>
              <w:pStyle w:val="Tablecontent"/>
            </w:pPr>
            <w:r>
              <w:t>Change from baseline in the mean number of medications, n</w:t>
            </w:r>
          </w:p>
        </w:tc>
        <w:tc>
          <w:tcPr>
            <w:tcW w:w="1718" w:type="dxa"/>
          </w:tcPr>
          <w:p w14:paraId="48CE107C" w14:textId="77777777" w:rsidR="00ED1EC4" w:rsidRDefault="00ED1EC4" w:rsidP="005848DD">
            <w:pPr>
              <w:pStyle w:val="Tablecontent"/>
            </w:pPr>
            <w:r>
              <w:t>6 months</w:t>
            </w:r>
          </w:p>
        </w:tc>
        <w:tc>
          <w:tcPr>
            <w:tcW w:w="3063" w:type="dxa"/>
          </w:tcPr>
          <w:p w14:paraId="245B3586" w14:textId="77777777" w:rsidR="00ED1EC4" w:rsidRDefault="00ED1EC4" w:rsidP="005848DD">
            <w:pPr>
              <w:pStyle w:val="Tablecontent"/>
            </w:pPr>
            <w:r>
              <w:t>-0.54 (-1.32, 0.25)</w:t>
            </w:r>
          </w:p>
        </w:tc>
        <w:tc>
          <w:tcPr>
            <w:tcW w:w="2414" w:type="dxa"/>
          </w:tcPr>
          <w:p w14:paraId="5A210C4D" w14:textId="77777777" w:rsidR="00ED1EC4" w:rsidRDefault="00ED1EC4" w:rsidP="005848DD">
            <w:pPr>
              <w:pStyle w:val="Tablecontent"/>
            </w:pPr>
            <w:r>
              <w:t>0.16</w:t>
            </w:r>
          </w:p>
        </w:tc>
      </w:tr>
      <w:tr w:rsidR="00ED1EC4" w14:paraId="23ACF3A4" w14:textId="77777777" w:rsidTr="56A64367">
        <w:tc>
          <w:tcPr>
            <w:tcW w:w="1821" w:type="dxa"/>
            <w:vMerge/>
          </w:tcPr>
          <w:p w14:paraId="31ECA4B0" w14:textId="77777777" w:rsidR="00ED1EC4" w:rsidRDefault="00ED1EC4" w:rsidP="005848DD">
            <w:pPr>
              <w:pStyle w:val="Tablecontent"/>
            </w:pPr>
          </w:p>
        </w:tc>
        <w:tc>
          <w:tcPr>
            <w:tcW w:w="1718" w:type="dxa"/>
          </w:tcPr>
          <w:p w14:paraId="5E76D1E5" w14:textId="77777777" w:rsidR="00ED1EC4" w:rsidRDefault="00ED1EC4" w:rsidP="005848DD">
            <w:pPr>
              <w:pStyle w:val="Tablecontent"/>
            </w:pPr>
            <w:r>
              <w:t>12 months</w:t>
            </w:r>
          </w:p>
        </w:tc>
        <w:tc>
          <w:tcPr>
            <w:tcW w:w="3063" w:type="dxa"/>
          </w:tcPr>
          <w:p w14:paraId="0F5F35DB" w14:textId="77777777" w:rsidR="00ED1EC4" w:rsidRDefault="00ED1EC4" w:rsidP="005848DD">
            <w:pPr>
              <w:pStyle w:val="Tablecontent"/>
            </w:pPr>
            <w:r>
              <w:t>-0.33 (-0.79, 0.12)</w:t>
            </w:r>
          </w:p>
        </w:tc>
        <w:tc>
          <w:tcPr>
            <w:tcW w:w="2414" w:type="dxa"/>
          </w:tcPr>
          <w:p w14:paraId="52A1C91B" w14:textId="77777777" w:rsidR="00ED1EC4" w:rsidRDefault="00ED1EC4" w:rsidP="005848DD">
            <w:pPr>
              <w:pStyle w:val="Tablecontent"/>
            </w:pPr>
            <w:r>
              <w:t>0.25</w:t>
            </w:r>
          </w:p>
        </w:tc>
      </w:tr>
      <w:tr w:rsidR="00ED1EC4" w14:paraId="73868C75" w14:textId="77777777" w:rsidTr="56A64367">
        <w:tc>
          <w:tcPr>
            <w:tcW w:w="1821" w:type="dxa"/>
            <w:vMerge/>
          </w:tcPr>
          <w:p w14:paraId="3D0BA475" w14:textId="77777777" w:rsidR="00ED1EC4" w:rsidRDefault="00ED1EC4" w:rsidP="005848DD">
            <w:pPr>
              <w:pStyle w:val="Tablecontent"/>
            </w:pPr>
          </w:p>
        </w:tc>
        <w:tc>
          <w:tcPr>
            <w:tcW w:w="1718" w:type="dxa"/>
          </w:tcPr>
          <w:p w14:paraId="02B0FA18" w14:textId="77777777" w:rsidR="00ED1EC4" w:rsidRDefault="00ED1EC4" w:rsidP="005848DD">
            <w:pPr>
              <w:pStyle w:val="Tablecontent"/>
            </w:pPr>
            <w:r>
              <w:t>24 months</w:t>
            </w:r>
          </w:p>
        </w:tc>
        <w:tc>
          <w:tcPr>
            <w:tcW w:w="3063" w:type="dxa"/>
          </w:tcPr>
          <w:p w14:paraId="5A77192C" w14:textId="6729EAD3" w:rsidR="00ED1EC4" w:rsidRDefault="00ED1EC4" w:rsidP="005848DD">
            <w:pPr>
              <w:pStyle w:val="Tablecontent"/>
            </w:pPr>
            <w:r>
              <w:t>-0.48 (-1.21, 0.25)</w:t>
            </w:r>
          </w:p>
        </w:tc>
        <w:tc>
          <w:tcPr>
            <w:tcW w:w="2414" w:type="dxa"/>
          </w:tcPr>
          <w:p w14:paraId="260D9E81" w14:textId="706B8067" w:rsidR="00ED1EC4" w:rsidRDefault="00ED1EC4" w:rsidP="005848DD">
            <w:pPr>
              <w:pStyle w:val="Tablecontent"/>
            </w:pPr>
            <w:r>
              <w:t>0.26</w:t>
            </w:r>
          </w:p>
        </w:tc>
      </w:tr>
    </w:tbl>
    <w:p w14:paraId="2D9DFE96" w14:textId="1ECC8C8C" w:rsidR="00EE6E85" w:rsidRPr="00EE6E85" w:rsidRDefault="00EE6E85" w:rsidP="00EE6E85">
      <w:pPr>
        <w:pStyle w:val="Tablenotes0"/>
      </w:pPr>
      <w:r w:rsidRPr="00EE6E85">
        <w:rPr>
          <w:u w:val="single"/>
        </w:rPr>
        <w:t>Abbreviations</w:t>
      </w:r>
      <w:r w:rsidRPr="00EE6E85">
        <w:t>: CI = confidence interval, IOP = intraocular pressure</w:t>
      </w:r>
    </w:p>
    <w:p w14:paraId="2BEA9D5A" w14:textId="7D3976F4" w:rsidR="00EE6E85" w:rsidRDefault="00EE6E85" w:rsidP="00CF3E4C">
      <w:pPr>
        <w:pStyle w:val="Tablenotes0"/>
        <w:spacing w:after="120"/>
        <w:contextualSpacing w:val="0"/>
      </w:pPr>
      <w:r w:rsidRPr="00EE6E85">
        <w:rPr>
          <w:u w:val="single"/>
        </w:rPr>
        <w:t>Source</w:t>
      </w:r>
      <w:r w:rsidRPr="00EE6E85">
        <w:t xml:space="preserve">: Table 16 of ADAR submission </w:t>
      </w:r>
    </w:p>
    <w:p w14:paraId="4F33B8C1" w14:textId="48AAC110" w:rsidR="00465A8E" w:rsidRPr="005912A9" w:rsidRDefault="00CF3E4C" w:rsidP="005912A9">
      <w:pPr>
        <w:pStyle w:val="Tablenotes0"/>
      </w:pPr>
      <w:r>
        <w:lastRenderedPageBreak/>
        <w:t xml:space="preserve">The mean difference and 95% CI </w:t>
      </w:r>
      <w:r w:rsidR="00B526FE">
        <w:t>we</w:t>
      </w:r>
      <w:r>
        <w:t xml:space="preserve">re calculated as a mean difference using t-test. The p value </w:t>
      </w:r>
      <w:r w:rsidR="00B526FE">
        <w:t>wa</w:t>
      </w:r>
      <w:r>
        <w:t>s calculated from the meta-analyses using meta-regression.</w:t>
      </w:r>
      <w:bookmarkStart w:id="37" w:name="_Toc147507279"/>
    </w:p>
    <w:p w14:paraId="76E7FD00" w14:textId="688847B4" w:rsidR="00FF51B6" w:rsidRPr="002C7C3F" w:rsidRDefault="004125EC" w:rsidP="00881715">
      <w:pPr>
        <w:pStyle w:val="Heading3"/>
      </w:pPr>
      <w:r w:rsidRPr="002C7C3F">
        <w:t>Summary of</w:t>
      </w:r>
      <w:r w:rsidR="008E7506" w:rsidRPr="002C7C3F">
        <w:t xml:space="preserve"> c</w:t>
      </w:r>
      <w:r w:rsidR="00FF51B6" w:rsidRPr="002C7C3F">
        <w:t xml:space="preserve">linical </w:t>
      </w:r>
      <w:bookmarkEnd w:id="37"/>
      <w:r w:rsidR="003A6CF7" w:rsidRPr="002C7C3F">
        <w:t>claim</w:t>
      </w:r>
      <w:r w:rsidRPr="002C7C3F">
        <w:t xml:space="preserve"> </w:t>
      </w:r>
    </w:p>
    <w:p w14:paraId="51A52118" w14:textId="01EF50E7" w:rsidR="000D25F4" w:rsidRDefault="00565066" w:rsidP="00910129">
      <w:r w:rsidRPr="00552CD5">
        <w:t xml:space="preserve">The </w:t>
      </w:r>
      <w:r w:rsidR="00CC1C5C">
        <w:t>applicant</w:t>
      </w:r>
      <w:r w:rsidRPr="00552CD5">
        <w:t xml:space="preserve"> </w:t>
      </w:r>
      <w:r w:rsidR="008E298D" w:rsidRPr="00552CD5">
        <w:t>claimed</w:t>
      </w:r>
      <w:r w:rsidRPr="00552CD5">
        <w:t xml:space="preserve"> use of </w:t>
      </w:r>
      <w:proofErr w:type="spellStart"/>
      <w:r w:rsidRPr="00552CD5">
        <w:t>MINIject</w:t>
      </w:r>
      <w:proofErr w:type="spellEnd"/>
      <w:r w:rsidRPr="00552CD5">
        <w:t xml:space="preserve"> results in superior effectiveness </w:t>
      </w:r>
      <w:r w:rsidR="00982A17" w:rsidRPr="00552CD5">
        <w:t>and non</w:t>
      </w:r>
      <w:r w:rsidR="00733A09">
        <w:t>inferior</w:t>
      </w:r>
      <w:r w:rsidR="00982A17" w:rsidRPr="00552CD5">
        <w:t xml:space="preserve"> safety </w:t>
      </w:r>
      <w:r w:rsidRPr="00552CD5">
        <w:t xml:space="preserve">compared with </w:t>
      </w:r>
      <w:proofErr w:type="spellStart"/>
      <w:r w:rsidRPr="00552CD5">
        <w:t>iStent</w:t>
      </w:r>
      <w:proofErr w:type="spellEnd"/>
      <w:r w:rsidRPr="00552CD5">
        <w:t>.</w:t>
      </w:r>
      <w:r w:rsidR="00982A17" w:rsidRPr="00552CD5">
        <w:t xml:space="preserve"> </w:t>
      </w:r>
      <w:r w:rsidRPr="00552CD5">
        <w:t>Based on the evidence presented</w:t>
      </w:r>
      <w:r w:rsidR="00CE1941">
        <w:t xml:space="preserve"> in the ADAR submission</w:t>
      </w:r>
      <w:r w:rsidRPr="00552CD5">
        <w:t>, t</w:t>
      </w:r>
      <w:r w:rsidR="00193AB4">
        <w:t xml:space="preserve">he </w:t>
      </w:r>
      <w:r w:rsidR="002E0807">
        <w:t xml:space="preserve">assessment group do not feel that this </w:t>
      </w:r>
      <w:r w:rsidR="0067617C">
        <w:t>claim has been adequately defended</w:t>
      </w:r>
      <w:r w:rsidR="008E528E">
        <w:t xml:space="preserve">. </w:t>
      </w:r>
      <w:r w:rsidR="00927915">
        <w:t>Concerns were raised regarding the validity of the comparative effectiveness analyses and further the lack of data presented to</w:t>
      </w:r>
      <w:r w:rsidR="009503F2">
        <w:t xml:space="preserve"> draw any informative conclusions regarding the comparative </w:t>
      </w:r>
      <w:r w:rsidR="009503F2" w:rsidRPr="00D9648B">
        <w:t>safety of the proposed technology</w:t>
      </w:r>
      <w:r w:rsidR="00CE63AC">
        <w:t xml:space="preserve"> </w:t>
      </w:r>
      <w:r w:rsidR="00202F14">
        <w:t>compared to</w:t>
      </w:r>
      <w:r w:rsidR="009503F2">
        <w:t xml:space="preserve"> </w:t>
      </w:r>
      <w:proofErr w:type="spellStart"/>
      <w:r w:rsidR="00345F17">
        <w:t>iStent</w:t>
      </w:r>
      <w:proofErr w:type="spellEnd"/>
      <w:r w:rsidR="009503F2" w:rsidRPr="00D9648B">
        <w:t xml:space="preserve"> in the proposed population</w:t>
      </w:r>
      <w:r w:rsidR="009503F2">
        <w:t>.</w:t>
      </w:r>
      <w:r w:rsidR="003C0CFD">
        <w:t xml:space="preserve"> </w:t>
      </w:r>
    </w:p>
    <w:p w14:paraId="17F2EA88" w14:textId="45640D6C" w:rsidR="0064178C" w:rsidRPr="00617190" w:rsidRDefault="0064178C" w:rsidP="00881715">
      <w:pPr>
        <w:pStyle w:val="Heading3"/>
      </w:pPr>
      <w:r w:rsidRPr="00617190">
        <w:t xml:space="preserve">Applicability to the Australian setting </w:t>
      </w:r>
    </w:p>
    <w:p w14:paraId="64E1098B" w14:textId="2B1251A2" w:rsidR="00195DAC" w:rsidRDefault="000F56E3" w:rsidP="00617190">
      <w:r>
        <w:t>There remain</w:t>
      </w:r>
      <w:r w:rsidR="004E1B9D">
        <w:t>ed</w:t>
      </w:r>
      <w:r>
        <w:t xml:space="preserve"> a high degree of uncertainty regarding </w:t>
      </w:r>
      <w:r w:rsidR="000066C4" w:rsidRPr="00137901">
        <w:t xml:space="preserve">the external validity of the clinical trials included in this submission. </w:t>
      </w:r>
      <w:r>
        <w:t>Specifically,</w:t>
      </w:r>
      <w:r w:rsidR="000066C4" w:rsidRPr="00137901">
        <w:t xml:space="preserve"> </w:t>
      </w:r>
      <w:r w:rsidR="00320200">
        <w:t>whether</w:t>
      </w:r>
      <w:r w:rsidR="000066C4" w:rsidRPr="00137901">
        <w:t xml:space="preserve"> the clinical trial </w:t>
      </w:r>
      <w:r w:rsidR="00C91A61">
        <w:t>population</w:t>
      </w:r>
      <w:r w:rsidR="00B20047">
        <w:t>s</w:t>
      </w:r>
      <w:r w:rsidR="000066C4" w:rsidRPr="00137901">
        <w:t xml:space="preserve"> of glaucoma patients who have failed or are contra</w:t>
      </w:r>
      <w:r w:rsidR="00733A09">
        <w:t>indicated</w:t>
      </w:r>
      <w:r w:rsidR="000066C4" w:rsidRPr="00137901">
        <w:t xml:space="preserve"> to conventional therapies including IOP-lowering medications, and assessed as suitable for MBGS, align with and are reflective of glaucoma patients seen in clinical practice in Australia. </w:t>
      </w:r>
    </w:p>
    <w:p w14:paraId="1BEB94C3" w14:textId="356178F2" w:rsidR="00BE7950" w:rsidRPr="009B33EE" w:rsidRDefault="00D35F27" w:rsidP="009B33EE">
      <w:pPr>
        <w:pStyle w:val="ADARbodytext"/>
        <w:rPr>
          <w:rFonts w:ascii="Franklin Gothic Book" w:hAnsi="Franklin Gothic Book" w:cstheme="minorBidi"/>
        </w:rPr>
      </w:pPr>
      <w:r>
        <w:rPr>
          <w:rFonts w:ascii="Franklin Gothic Book" w:hAnsi="Franklin Gothic Book" w:cstheme="minorBidi"/>
        </w:rPr>
        <w:t>Furthermore, t</w:t>
      </w:r>
      <w:r w:rsidR="00195DAC">
        <w:rPr>
          <w:rFonts w:ascii="Franklin Gothic Book" w:hAnsi="Franklin Gothic Book" w:cstheme="minorBidi"/>
        </w:rPr>
        <w:t xml:space="preserve">he pivotal trials used to demonstrate the efficacy and safety of </w:t>
      </w:r>
      <w:proofErr w:type="spellStart"/>
      <w:r w:rsidR="00195DAC">
        <w:rPr>
          <w:rFonts w:ascii="Franklin Gothic Book" w:hAnsi="Franklin Gothic Book" w:cstheme="minorBidi"/>
        </w:rPr>
        <w:t>MINIject</w:t>
      </w:r>
      <w:proofErr w:type="spellEnd"/>
      <w:r>
        <w:rPr>
          <w:rFonts w:ascii="Franklin Gothic Book" w:hAnsi="Franklin Gothic Book" w:cstheme="minorBidi"/>
        </w:rPr>
        <w:t xml:space="preserve"> </w:t>
      </w:r>
      <w:r w:rsidR="00195DAC">
        <w:rPr>
          <w:rFonts w:ascii="Franklin Gothic Book" w:hAnsi="Franklin Gothic Book" w:cstheme="minorBidi"/>
        </w:rPr>
        <w:t xml:space="preserve">in the ADAR submission were </w:t>
      </w:r>
      <w:r w:rsidR="000066C4" w:rsidRPr="00137901">
        <w:rPr>
          <w:rFonts w:ascii="Franklin Gothic Book" w:hAnsi="Franklin Gothic Book" w:cstheme="minorBidi"/>
        </w:rPr>
        <w:t xml:space="preserve">conducted </w:t>
      </w:r>
      <w:r w:rsidR="00195DAC">
        <w:rPr>
          <w:rFonts w:ascii="Franklin Gothic Book" w:hAnsi="Franklin Gothic Book" w:cstheme="minorBidi"/>
        </w:rPr>
        <w:t xml:space="preserve">mainly in </w:t>
      </w:r>
      <w:r w:rsidR="00195DAC" w:rsidRPr="00D1066C">
        <w:rPr>
          <w:rFonts w:ascii="Franklin Gothic Book" w:hAnsi="Franklin Gothic Book" w:cstheme="minorBidi"/>
        </w:rPr>
        <w:t>Latin American and Indian</w:t>
      </w:r>
      <w:r w:rsidR="001B577D">
        <w:rPr>
          <w:rFonts w:ascii="Franklin Gothic Book" w:hAnsi="Franklin Gothic Book" w:cstheme="minorBidi"/>
        </w:rPr>
        <w:t xml:space="preserve"> populations</w:t>
      </w:r>
      <w:r w:rsidR="00195DAC">
        <w:rPr>
          <w:rFonts w:ascii="Franklin Gothic Book" w:hAnsi="Franklin Gothic Book" w:cstheme="minorBidi"/>
        </w:rPr>
        <w:t xml:space="preserve">. </w:t>
      </w:r>
      <w:r w:rsidR="00F274ED">
        <w:rPr>
          <w:rFonts w:ascii="Franklin Gothic Book" w:hAnsi="Franklin Gothic Book" w:cstheme="minorBidi"/>
        </w:rPr>
        <w:t xml:space="preserve">The generalisability of the results of these trials to the Australian population remains uncertain, </w:t>
      </w:r>
      <w:r w:rsidR="00CC1C5C">
        <w:rPr>
          <w:rFonts w:ascii="Franklin Gothic Book" w:hAnsi="Franklin Gothic Book" w:cstheme="minorBidi"/>
        </w:rPr>
        <w:t>with</w:t>
      </w:r>
      <w:r w:rsidR="00957230">
        <w:rPr>
          <w:rFonts w:ascii="Franklin Gothic Book" w:hAnsi="Franklin Gothic Book" w:cstheme="minorBidi"/>
        </w:rPr>
        <w:t xml:space="preserve"> </w:t>
      </w:r>
      <w:r w:rsidR="00F274ED">
        <w:rPr>
          <w:rFonts w:ascii="Franklin Gothic Book" w:hAnsi="Franklin Gothic Book" w:cstheme="minorBidi"/>
        </w:rPr>
        <w:t xml:space="preserve">no </w:t>
      </w:r>
      <w:r w:rsidR="00CC1C5C">
        <w:rPr>
          <w:rFonts w:ascii="Franklin Gothic Book" w:hAnsi="Franklin Gothic Book" w:cstheme="minorBidi"/>
        </w:rPr>
        <w:t>evidence presented</w:t>
      </w:r>
      <w:r w:rsidR="00F274ED">
        <w:rPr>
          <w:rFonts w:ascii="Franklin Gothic Book" w:hAnsi="Franklin Gothic Book" w:cstheme="minorBidi"/>
        </w:rPr>
        <w:t xml:space="preserve"> by the </w:t>
      </w:r>
      <w:r w:rsidR="00CC1C5C">
        <w:rPr>
          <w:rFonts w:ascii="Franklin Gothic Book" w:hAnsi="Franklin Gothic Book" w:cstheme="minorBidi"/>
        </w:rPr>
        <w:t>applicant</w:t>
      </w:r>
      <w:r w:rsidR="00F274ED">
        <w:rPr>
          <w:rFonts w:ascii="Franklin Gothic Book" w:hAnsi="Franklin Gothic Book" w:cstheme="minorBidi"/>
        </w:rPr>
        <w:t xml:space="preserve"> to </w:t>
      </w:r>
      <w:r w:rsidR="00F274ED" w:rsidRPr="00137901">
        <w:rPr>
          <w:rFonts w:ascii="Franklin Gothic Book" w:hAnsi="Franklin Gothic Book" w:cstheme="minorBidi"/>
        </w:rPr>
        <w:t>compar</w:t>
      </w:r>
      <w:r w:rsidR="00F274ED">
        <w:rPr>
          <w:rFonts w:ascii="Franklin Gothic Book" w:hAnsi="Franklin Gothic Book" w:cstheme="minorBidi"/>
        </w:rPr>
        <w:t>e</w:t>
      </w:r>
      <w:r w:rsidR="00F274ED" w:rsidRPr="00137901">
        <w:rPr>
          <w:rFonts w:ascii="Franklin Gothic Book" w:hAnsi="Franklin Gothic Book" w:cstheme="minorBidi"/>
        </w:rPr>
        <w:t xml:space="preserve"> the demographic characteristics of patients in the analysis to those in the Australian </w:t>
      </w:r>
      <w:r w:rsidR="00076317">
        <w:rPr>
          <w:rFonts w:ascii="Franklin Gothic Book" w:hAnsi="Franklin Gothic Book" w:cstheme="minorBidi"/>
        </w:rPr>
        <w:t>and New Zealand Registry of Advanced Glaucoma</w:t>
      </w:r>
      <w:r w:rsidR="00F274ED">
        <w:rPr>
          <w:rFonts w:ascii="Franklin Gothic Book" w:hAnsi="Franklin Gothic Book" w:cstheme="minorBidi"/>
        </w:rPr>
        <w:t>,</w:t>
      </w:r>
      <w:r w:rsidR="005248D6">
        <w:rPr>
          <w:rStyle w:val="FootnoteReference"/>
          <w:rFonts w:ascii="Franklin Gothic Book" w:hAnsi="Franklin Gothic Book" w:cstheme="minorBidi"/>
        </w:rPr>
        <w:footnoteReference w:id="13"/>
      </w:r>
      <w:r w:rsidR="00F274ED">
        <w:rPr>
          <w:rFonts w:ascii="Franklin Gothic Book" w:hAnsi="Franklin Gothic Book" w:cstheme="minorBidi"/>
        </w:rPr>
        <w:t xml:space="preserve"> or </w:t>
      </w:r>
      <w:r w:rsidR="00C43112">
        <w:rPr>
          <w:rFonts w:ascii="Franklin Gothic Book" w:hAnsi="Franklin Gothic Book" w:cstheme="minorBidi"/>
        </w:rPr>
        <w:t xml:space="preserve">to consult </w:t>
      </w:r>
      <w:r w:rsidR="000066C4" w:rsidRPr="00137901">
        <w:rPr>
          <w:rFonts w:ascii="Franklin Gothic Book" w:hAnsi="Franklin Gothic Book" w:cstheme="minorBidi"/>
        </w:rPr>
        <w:t xml:space="preserve">clinical experts </w:t>
      </w:r>
      <w:r w:rsidR="006101D4">
        <w:rPr>
          <w:rFonts w:ascii="Franklin Gothic Book" w:hAnsi="Franklin Gothic Book" w:cstheme="minorBidi"/>
        </w:rPr>
        <w:t>who would confirm</w:t>
      </w:r>
      <w:r w:rsidR="000066C4" w:rsidRPr="00137901">
        <w:rPr>
          <w:rFonts w:ascii="Franklin Gothic Book" w:hAnsi="Franklin Gothic Book" w:cstheme="minorBidi"/>
        </w:rPr>
        <w:t xml:space="preserve"> the generalisability of the </w:t>
      </w:r>
      <w:proofErr w:type="spellStart"/>
      <w:r w:rsidR="000066C4" w:rsidRPr="00137901">
        <w:rPr>
          <w:rFonts w:ascii="Franklin Gothic Book" w:hAnsi="Franklin Gothic Book" w:cstheme="minorBidi"/>
        </w:rPr>
        <w:t>MINIject</w:t>
      </w:r>
      <w:proofErr w:type="spellEnd"/>
      <w:r w:rsidR="000066C4" w:rsidRPr="00137901">
        <w:rPr>
          <w:rFonts w:ascii="Franklin Gothic Book" w:hAnsi="Franklin Gothic Book" w:cstheme="minorBidi"/>
        </w:rPr>
        <w:t xml:space="preserve"> trials to clinical practice in Australia.</w:t>
      </w:r>
      <w:r w:rsidR="003C0CFD">
        <w:rPr>
          <w:rFonts w:ascii="Franklin Gothic Book" w:hAnsi="Franklin Gothic Book" w:cstheme="minorBidi"/>
        </w:rPr>
        <w:t xml:space="preserve"> </w:t>
      </w:r>
    </w:p>
    <w:p w14:paraId="2519EFE3" w14:textId="2BC16ED3" w:rsidR="00D86E13" w:rsidRPr="002759A3" w:rsidRDefault="001A15FE" w:rsidP="001A15FE">
      <w:pPr>
        <w:pStyle w:val="Heading2"/>
      </w:pPr>
      <w:r>
        <w:t>13.</w:t>
      </w:r>
      <w:r>
        <w:tab/>
      </w:r>
      <w:r w:rsidR="00772829" w:rsidRPr="002759A3">
        <w:t>Economic evaluation</w:t>
      </w:r>
      <w:bookmarkEnd w:id="20"/>
    </w:p>
    <w:p w14:paraId="29493BC6" w14:textId="19CA73AA" w:rsidR="00817D97" w:rsidRDefault="00691BFC" w:rsidP="00817D97">
      <w:r w:rsidRPr="00691BFC">
        <w:t xml:space="preserve">The </w:t>
      </w:r>
      <w:r w:rsidR="004E1B9D">
        <w:t xml:space="preserve">ADAR </w:t>
      </w:r>
      <w:r w:rsidR="002C12E9">
        <w:t>present</w:t>
      </w:r>
      <w:r w:rsidR="004E1B9D">
        <w:t>ed</w:t>
      </w:r>
      <w:r w:rsidR="002C12E9">
        <w:t xml:space="preserve"> a cost-minimisation approach </w:t>
      </w:r>
      <w:r w:rsidR="00B4768D">
        <w:t xml:space="preserve">to </w:t>
      </w:r>
      <w:r w:rsidR="00251CD2">
        <w:t xml:space="preserve">support the </w:t>
      </w:r>
      <w:r w:rsidR="00E5060B">
        <w:t>applicant’</w:t>
      </w:r>
      <w:r w:rsidR="007E1C47">
        <w:t>s position for an equivalent MBS fee of</w:t>
      </w:r>
      <w:r w:rsidR="00CD64F7">
        <w:t xml:space="preserve"> $329.40 (Item 42504) for </w:t>
      </w:r>
      <w:proofErr w:type="spellStart"/>
      <w:r w:rsidR="00CD64F7">
        <w:t>MINIject</w:t>
      </w:r>
      <w:proofErr w:type="spellEnd"/>
      <w:r w:rsidR="00CD64F7">
        <w:t xml:space="preserve"> in line with the comparator product, </w:t>
      </w:r>
      <w:proofErr w:type="spellStart"/>
      <w:r w:rsidR="00CD64F7">
        <w:t>iStent</w:t>
      </w:r>
      <w:proofErr w:type="spellEnd"/>
      <w:r w:rsidR="00CD64F7">
        <w:t>.</w:t>
      </w:r>
      <w:r w:rsidR="00817D97" w:rsidRPr="00817D97">
        <w:t xml:space="preserve"> </w:t>
      </w:r>
      <w:r w:rsidR="00817D97">
        <w:t xml:space="preserve">The key modelling components are summarised in </w:t>
      </w:r>
      <w:r w:rsidR="00817D97">
        <w:fldChar w:fldCharType="begin"/>
      </w:r>
      <w:r w:rsidR="00817D97">
        <w:instrText xml:space="preserve"> REF _Ref156214030 \h </w:instrText>
      </w:r>
      <w:r w:rsidR="00817D97">
        <w:fldChar w:fldCharType="separate"/>
      </w:r>
      <w:r w:rsidR="003C61D8">
        <w:t>Table</w:t>
      </w:r>
      <w:r w:rsidR="003C61D8" w:rsidRPr="0001290C">
        <w:t> </w:t>
      </w:r>
      <w:r w:rsidR="003C61D8">
        <w:rPr>
          <w:noProof/>
        </w:rPr>
        <w:t>14</w:t>
      </w:r>
      <w:r w:rsidR="00817D97">
        <w:fldChar w:fldCharType="end"/>
      </w:r>
      <w:r w:rsidR="00817D97">
        <w:t>.</w:t>
      </w:r>
    </w:p>
    <w:p w14:paraId="7986F703" w14:textId="40A8DA5A" w:rsidR="00817D97" w:rsidRDefault="00817D97" w:rsidP="00817D97">
      <w:pPr>
        <w:pStyle w:val="Caption"/>
      </w:pPr>
      <w:bookmarkStart w:id="38" w:name="_Ref156214030"/>
      <w:r>
        <w:lastRenderedPageBreak/>
        <w:t>Table</w:t>
      </w:r>
      <w:r w:rsidR="000E46FF" w:rsidRPr="0001290C">
        <w:t> </w:t>
      </w:r>
      <w:r>
        <w:fldChar w:fldCharType="begin"/>
      </w:r>
      <w:r>
        <w:instrText>SEQ Table \* ARABIC</w:instrText>
      </w:r>
      <w:r>
        <w:fldChar w:fldCharType="separate"/>
      </w:r>
      <w:r w:rsidR="003C61D8">
        <w:rPr>
          <w:noProof/>
        </w:rPr>
        <w:t>14</w:t>
      </w:r>
      <w:r>
        <w:fldChar w:fldCharType="end"/>
      </w:r>
      <w:bookmarkEnd w:id="38"/>
      <w:r>
        <w:tab/>
        <w:t>Summary of the economic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817D97" w14:paraId="025A5189"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49BF375C" w14:textId="77777777" w:rsidR="00817D97" w:rsidRDefault="00817D97" w:rsidP="000E46FF">
            <w:pPr>
              <w:pStyle w:val="TableHeading0"/>
            </w:pPr>
            <w:bookmarkStart w:id="39" w:name="Title_Table37" w:colFirst="0" w:colLast="0"/>
            <w:r>
              <w:t>Component</w:t>
            </w:r>
          </w:p>
        </w:tc>
        <w:tc>
          <w:tcPr>
            <w:tcW w:w="6611" w:type="dxa"/>
            <w:tcBorders>
              <w:top w:val="single" w:sz="4" w:space="0" w:color="auto"/>
              <w:left w:val="single" w:sz="4" w:space="0" w:color="auto"/>
              <w:bottom w:val="single" w:sz="4" w:space="0" w:color="auto"/>
              <w:right w:val="single" w:sz="4" w:space="0" w:color="auto"/>
            </w:tcBorders>
            <w:hideMark/>
          </w:tcPr>
          <w:p w14:paraId="47BB9545" w14:textId="77777777" w:rsidR="00817D97" w:rsidRDefault="00817D97" w:rsidP="000E46FF">
            <w:pPr>
              <w:pStyle w:val="TableHeading0"/>
            </w:pPr>
            <w:r>
              <w:t>Description</w:t>
            </w:r>
          </w:p>
        </w:tc>
      </w:tr>
      <w:tr w:rsidR="00817D97" w14:paraId="43A89B1F"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5DF6A399" w14:textId="77777777" w:rsidR="00817D97" w:rsidRDefault="00817D97" w:rsidP="000E46FF">
            <w:pPr>
              <w:pStyle w:val="Tablecontent"/>
            </w:pPr>
            <w:r>
              <w:t>Perspective</w:t>
            </w:r>
          </w:p>
        </w:tc>
        <w:tc>
          <w:tcPr>
            <w:tcW w:w="6611" w:type="dxa"/>
            <w:tcBorders>
              <w:top w:val="single" w:sz="4" w:space="0" w:color="auto"/>
              <w:left w:val="single" w:sz="4" w:space="0" w:color="auto"/>
              <w:bottom w:val="single" w:sz="4" w:space="0" w:color="auto"/>
              <w:right w:val="single" w:sz="4" w:space="0" w:color="auto"/>
            </w:tcBorders>
            <w:hideMark/>
          </w:tcPr>
          <w:p w14:paraId="59EF1294" w14:textId="77777777" w:rsidR="00817D97" w:rsidRDefault="00817D97" w:rsidP="000E46FF">
            <w:pPr>
              <w:pStyle w:val="Tablecontent"/>
            </w:pPr>
            <w:r>
              <w:t>Health system perspective</w:t>
            </w:r>
          </w:p>
        </w:tc>
      </w:tr>
      <w:tr w:rsidR="00817D97" w14:paraId="086DC69F"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3653C88F" w14:textId="77777777" w:rsidR="00817D97" w:rsidRDefault="00817D97" w:rsidP="000E46FF">
            <w:pPr>
              <w:pStyle w:val="Tablecontent"/>
            </w:pPr>
            <w:r>
              <w:t>Population</w:t>
            </w:r>
          </w:p>
        </w:tc>
        <w:tc>
          <w:tcPr>
            <w:tcW w:w="6611" w:type="dxa"/>
            <w:tcBorders>
              <w:top w:val="single" w:sz="4" w:space="0" w:color="auto"/>
              <w:left w:val="single" w:sz="4" w:space="0" w:color="auto"/>
              <w:bottom w:val="single" w:sz="4" w:space="0" w:color="auto"/>
              <w:right w:val="single" w:sz="4" w:space="0" w:color="auto"/>
            </w:tcBorders>
            <w:hideMark/>
          </w:tcPr>
          <w:p w14:paraId="4741D6B0" w14:textId="77777777" w:rsidR="00817D97" w:rsidRDefault="00817D97" w:rsidP="000E46FF">
            <w:pPr>
              <w:spacing w:before="40" w:after="40" w:line="240" w:lineRule="auto"/>
              <w:rPr>
                <w:rFonts w:ascii="Arial Narrow" w:eastAsia="Times New Roman" w:hAnsi="Arial Narrow" w:cs="Times New Roman"/>
                <w:sz w:val="20"/>
                <w:szCs w:val="18"/>
                <w:lang w:eastAsia="en-AU"/>
              </w:rPr>
            </w:pPr>
            <w:r>
              <w:rPr>
                <w:rFonts w:ascii="Arial Narrow" w:eastAsia="Times New Roman" w:hAnsi="Arial Narrow" w:cs="Times New Roman"/>
                <w:sz w:val="20"/>
                <w:szCs w:val="18"/>
                <w:lang w:eastAsia="en-AU"/>
              </w:rPr>
              <w:t>Patients with glaucoma requiring implantation of a MBGS stent system into the suprachoroidal space, if:</w:t>
            </w:r>
          </w:p>
          <w:p w14:paraId="43D5F561" w14:textId="77777777" w:rsidR="00817D97" w:rsidRDefault="00817D97" w:rsidP="000E46FF">
            <w:pPr>
              <w:spacing w:before="40" w:after="40" w:line="240" w:lineRule="auto"/>
              <w:rPr>
                <w:rFonts w:ascii="Arial Narrow" w:eastAsia="Times New Roman" w:hAnsi="Arial Narrow" w:cs="Times New Roman"/>
                <w:sz w:val="20"/>
                <w:szCs w:val="18"/>
                <w:lang w:eastAsia="en-AU"/>
              </w:rPr>
            </w:pPr>
            <w:r>
              <w:rPr>
                <w:rFonts w:ascii="Arial Narrow" w:eastAsia="Times New Roman" w:hAnsi="Arial Narrow" w:cs="Times New Roman"/>
                <w:sz w:val="20"/>
                <w:szCs w:val="18"/>
                <w:lang w:eastAsia="en-AU"/>
              </w:rPr>
              <w:t>(a) conservative therapies have failed, are likely to fail or are contraindicated; and</w:t>
            </w:r>
          </w:p>
          <w:p w14:paraId="0233631B" w14:textId="77777777" w:rsidR="00817D97" w:rsidRDefault="00817D97" w:rsidP="000E46FF">
            <w:pPr>
              <w:pStyle w:val="Tablecontent"/>
            </w:pPr>
            <w:r>
              <w:t>(b) the service is performed by a specialist with training that is recognised by the Conjoint Committee for the Recognition of Training in Micro-Bypass Glaucoma Surgery</w:t>
            </w:r>
          </w:p>
        </w:tc>
      </w:tr>
      <w:tr w:rsidR="00817D97" w14:paraId="33543BAA"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766983FF" w14:textId="77777777" w:rsidR="00817D97" w:rsidRDefault="00817D97" w:rsidP="000E46FF">
            <w:pPr>
              <w:pStyle w:val="Tablecontent"/>
            </w:pPr>
            <w:r>
              <w:t>Prior testing</w:t>
            </w:r>
          </w:p>
        </w:tc>
        <w:tc>
          <w:tcPr>
            <w:tcW w:w="6611" w:type="dxa"/>
            <w:tcBorders>
              <w:top w:val="single" w:sz="4" w:space="0" w:color="auto"/>
              <w:left w:val="single" w:sz="4" w:space="0" w:color="auto"/>
              <w:bottom w:val="single" w:sz="4" w:space="0" w:color="auto"/>
              <w:right w:val="single" w:sz="4" w:space="0" w:color="auto"/>
            </w:tcBorders>
            <w:hideMark/>
          </w:tcPr>
          <w:p w14:paraId="48F9D459" w14:textId="2E49A74C" w:rsidR="00817D97" w:rsidRDefault="00EC047B" w:rsidP="000E46FF">
            <w:pPr>
              <w:pStyle w:val="Tablecontent"/>
            </w:pPr>
            <w:r>
              <w:t>None</w:t>
            </w:r>
          </w:p>
        </w:tc>
      </w:tr>
      <w:bookmarkEnd w:id="39"/>
      <w:tr w:rsidR="00817D97" w14:paraId="79A7F4BC"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4181C0B9" w14:textId="77777777" w:rsidR="00817D97" w:rsidRDefault="00817D97" w:rsidP="000E46FF">
            <w:pPr>
              <w:pStyle w:val="Tablecontent"/>
            </w:pPr>
            <w:r>
              <w:t>Comparator</w:t>
            </w:r>
          </w:p>
        </w:tc>
        <w:tc>
          <w:tcPr>
            <w:tcW w:w="6611" w:type="dxa"/>
            <w:tcBorders>
              <w:top w:val="single" w:sz="4" w:space="0" w:color="auto"/>
              <w:left w:val="single" w:sz="4" w:space="0" w:color="auto"/>
              <w:bottom w:val="single" w:sz="4" w:space="0" w:color="auto"/>
              <w:right w:val="single" w:sz="4" w:space="0" w:color="auto"/>
            </w:tcBorders>
            <w:hideMark/>
          </w:tcPr>
          <w:p w14:paraId="29CB5C7D" w14:textId="563EEFE0" w:rsidR="00817D97" w:rsidRDefault="00817D97" w:rsidP="000E46FF">
            <w:pPr>
              <w:pStyle w:val="Tablecontent"/>
            </w:pPr>
            <w:proofErr w:type="spellStart"/>
            <w:r>
              <w:t>iStent</w:t>
            </w:r>
            <w:proofErr w:type="spellEnd"/>
            <w:r>
              <w:t xml:space="preserve"> (</w:t>
            </w:r>
            <w:proofErr w:type="spellStart"/>
            <w:r>
              <w:t>Glaukos</w:t>
            </w:r>
            <w:proofErr w:type="spellEnd"/>
            <w:r>
              <w:t>) MBGS stent system (inserted via the trabecular meshwork)</w:t>
            </w:r>
          </w:p>
        </w:tc>
      </w:tr>
      <w:tr w:rsidR="00817D97" w14:paraId="5869CFDC"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3B64BB85" w14:textId="77777777" w:rsidR="00817D97" w:rsidRDefault="00817D97" w:rsidP="000E46FF">
            <w:pPr>
              <w:pStyle w:val="Tablecontent"/>
            </w:pPr>
            <w:r>
              <w:t>Type of analysis</w:t>
            </w:r>
          </w:p>
        </w:tc>
        <w:tc>
          <w:tcPr>
            <w:tcW w:w="6611" w:type="dxa"/>
            <w:tcBorders>
              <w:top w:val="single" w:sz="4" w:space="0" w:color="auto"/>
              <w:left w:val="single" w:sz="4" w:space="0" w:color="auto"/>
              <w:bottom w:val="single" w:sz="4" w:space="0" w:color="auto"/>
              <w:right w:val="single" w:sz="4" w:space="0" w:color="auto"/>
            </w:tcBorders>
            <w:hideMark/>
          </w:tcPr>
          <w:p w14:paraId="227AB476" w14:textId="77777777" w:rsidR="00817D97" w:rsidRDefault="00817D97" w:rsidP="000E46FF">
            <w:pPr>
              <w:pStyle w:val="Tablecontent"/>
            </w:pPr>
            <w:r>
              <w:t>Cost-minimisation analysis</w:t>
            </w:r>
          </w:p>
        </w:tc>
      </w:tr>
      <w:tr w:rsidR="00817D97" w14:paraId="7096A511"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6E57FF37" w14:textId="77777777" w:rsidR="00817D97" w:rsidRDefault="00817D97" w:rsidP="000E46FF">
            <w:pPr>
              <w:pStyle w:val="Tablecontent"/>
            </w:pPr>
            <w:r>
              <w:t>Outcomes</w:t>
            </w:r>
          </w:p>
        </w:tc>
        <w:tc>
          <w:tcPr>
            <w:tcW w:w="6611" w:type="dxa"/>
            <w:tcBorders>
              <w:top w:val="single" w:sz="4" w:space="0" w:color="auto"/>
              <w:left w:val="single" w:sz="4" w:space="0" w:color="auto"/>
              <w:bottom w:val="single" w:sz="4" w:space="0" w:color="auto"/>
              <w:right w:val="single" w:sz="4" w:space="0" w:color="auto"/>
            </w:tcBorders>
            <w:hideMark/>
          </w:tcPr>
          <w:p w14:paraId="40E6C815" w14:textId="0D87F0C8" w:rsidR="00817D97" w:rsidRDefault="00817D97" w:rsidP="000E46FF">
            <w:pPr>
              <w:pStyle w:val="Tablecontent"/>
            </w:pPr>
            <w:r>
              <w:t>Comparative clinical evidence demonstrate</w:t>
            </w:r>
            <w:r w:rsidR="001D48DD">
              <w:t>d</w:t>
            </w:r>
            <w:r>
              <w:t xml:space="preserve"> that use of </w:t>
            </w:r>
            <w:proofErr w:type="spellStart"/>
            <w:r>
              <w:t>MINIject</w:t>
            </w:r>
            <w:proofErr w:type="spellEnd"/>
            <w:r>
              <w:t xml:space="preserve"> rather than the comparator </w:t>
            </w:r>
            <w:proofErr w:type="spellStart"/>
            <w:r>
              <w:t>iStent</w:t>
            </w:r>
            <w:proofErr w:type="spellEnd"/>
            <w:r>
              <w:t xml:space="preserve"> result</w:t>
            </w:r>
            <w:r w:rsidR="009A4E17">
              <w:t>ed</w:t>
            </w:r>
            <w:r>
              <w:t xml:space="preserve"> in greater IOP reductions post-surgery and reduced requirement for IOP-lowering medication. Based on </w:t>
            </w:r>
            <w:r w:rsidR="006718D1">
              <w:t xml:space="preserve">the </w:t>
            </w:r>
            <w:r>
              <w:t xml:space="preserve">evidence presented, safety </w:t>
            </w:r>
            <w:r w:rsidR="001D696D">
              <w:t>wa</w:t>
            </w:r>
            <w:r>
              <w:t>s assumed to be noninferior</w:t>
            </w:r>
          </w:p>
        </w:tc>
      </w:tr>
      <w:tr w:rsidR="00817D97" w14:paraId="7A57FA32"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5E477C67" w14:textId="77777777" w:rsidR="00817D97" w:rsidRDefault="00817D97" w:rsidP="000E46FF">
            <w:pPr>
              <w:pStyle w:val="Tablecontent"/>
            </w:pPr>
            <w:r>
              <w:t>Time horizon</w:t>
            </w:r>
          </w:p>
        </w:tc>
        <w:tc>
          <w:tcPr>
            <w:tcW w:w="6611" w:type="dxa"/>
            <w:vMerge w:val="restart"/>
            <w:tcBorders>
              <w:top w:val="single" w:sz="4" w:space="0" w:color="auto"/>
              <w:left w:val="single" w:sz="4" w:space="0" w:color="auto"/>
              <w:bottom w:val="single" w:sz="4" w:space="0" w:color="auto"/>
              <w:right w:val="single" w:sz="4" w:space="0" w:color="auto"/>
            </w:tcBorders>
            <w:vAlign w:val="center"/>
            <w:hideMark/>
          </w:tcPr>
          <w:p w14:paraId="777C65BD" w14:textId="77777777" w:rsidR="00817D97" w:rsidRDefault="00817D97" w:rsidP="000E46FF">
            <w:pPr>
              <w:pStyle w:val="Tablecontent"/>
            </w:pPr>
            <w:r>
              <w:t xml:space="preserve">Not applicable as the economic evaluation did not use a model-based approach. The cost-minimisation analysis was undertaken where only the proposed MBS item was included. </w:t>
            </w:r>
          </w:p>
        </w:tc>
      </w:tr>
      <w:tr w:rsidR="00817D97" w14:paraId="3B2C406A"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1C2637CB" w14:textId="77777777" w:rsidR="00817D97" w:rsidRDefault="00817D97" w:rsidP="000E46FF">
            <w:pPr>
              <w:pStyle w:val="Tablecontent"/>
            </w:pPr>
            <w:r>
              <w:t>Computational method</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01372251" w14:textId="77777777" w:rsidR="00817D97" w:rsidRDefault="00817D97">
            <w:pPr>
              <w:spacing w:before="0" w:after="0"/>
              <w:rPr>
                <w:rFonts w:ascii="Arial Narrow" w:eastAsia="Times New Roman" w:hAnsi="Arial Narrow" w:cs="Times New Roman"/>
                <w:sz w:val="20"/>
                <w:szCs w:val="18"/>
              </w:rPr>
            </w:pPr>
          </w:p>
        </w:tc>
      </w:tr>
      <w:tr w:rsidR="00817D97" w14:paraId="53104E4C"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2BAFE4D2" w14:textId="77777777" w:rsidR="00817D97" w:rsidRDefault="00817D97" w:rsidP="000E46FF">
            <w:pPr>
              <w:pStyle w:val="Tablecontent"/>
            </w:pPr>
            <w:r>
              <w:t>Generation of the base case</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15EA2814" w14:textId="77777777" w:rsidR="00817D97" w:rsidRDefault="00817D97">
            <w:pPr>
              <w:spacing w:before="0" w:after="0"/>
              <w:rPr>
                <w:rFonts w:ascii="Arial Narrow" w:eastAsia="Times New Roman" w:hAnsi="Arial Narrow" w:cs="Times New Roman"/>
                <w:sz w:val="20"/>
                <w:szCs w:val="18"/>
              </w:rPr>
            </w:pPr>
          </w:p>
        </w:tc>
      </w:tr>
      <w:tr w:rsidR="00817D97" w14:paraId="52CA963B"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33989AF1" w14:textId="77777777" w:rsidR="00817D97" w:rsidRDefault="00817D97" w:rsidP="000E46FF">
            <w:pPr>
              <w:pStyle w:val="Tablecontent"/>
            </w:pPr>
            <w:r>
              <w:t>Health status</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007CE785" w14:textId="77777777" w:rsidR="00817D97" w:rsidRDefault="00817D97">
            <w:pPr>
              <w:spacing w:before="0" w:after="0"/>
              <w:rPr>
                <w:rFonts w:ascii="Arial Narrow" w:eastAsia="Times New Roman" w:hAnsi="Arial Narrow" w:cs="Times New Roman"/>
                <w:sz w:val="20"/>
                <w:szCs w:val="18"/>
              </w:rPr>
            </w:pPr>
          </w:p>
        </w:tc>
      </w:tr>
      <w:tr w:rsidR="00817D97" w14:paraId="62B8D953"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40F24920" w14:textId="77777777" w:rsidR="00817D97" w:rsidRDefault="00817D97" w:rsidP="000E46FF">
            <w:pPr>
              <w:pStyle w:val="Tablecontent"/>
            </w:pPr>
            <w:r>
              <w:t>Cycle length</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29EC20F3" w14:textId="77777777" w:rsidR="00817D97" w:rsidRDefault="00817D97">
            <w:pPr>
              <w:spacing w:before="0" w:after="0"/>
              <w:rPr>
                <w:rFonts w:ascii="Arial Narrow" w:eastAsia="Times New Roman" w:hAnsi="Arial Narrow" w:cs="Times New Roman"/>
                <w:sz w:val="20"/>
                <w:szCs w:val="18"/>
              </w:rPr>
            </w:pPr>
          </w:p>
        </w:tc>
      </w:tr>
      <w:tr w:rsidR="00817D97" w14:paraId="47CE02FD"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68763731" w14:textId="77777777" w:rsidR="00817D97" w:rsidRDefault="00817D97" w:rsidP="000E46FF">
            <w:pPr>
              <w:pStyle w:val="Tablecontent"/>
            </w:pPr>
            <w:r>
              <w:t>Transition probabilities</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1A303E2D" w14:textId="77777777" w:rsidR="00817D97" w:rsidRDefault="00817D97">
            <w:pPr>
              <w:spacing w:before="0" w:after="0"/>
              <w:rPr>
                <w:rFonts w:ascii="Arial Narrow" w:eastAsia="Times New Roman" w:hAnsi="Arial Narrow" w:cs="Times New Roman"/>
                <w:sz w:val="20"/>
                <w:szCs w:val="18"/>
              </w:rPr>
            </w:pPr>
          </w:p>
        </w:tc>
      </w:tr>
      <w:tr w:rsidR="00817D97" w14:paraId="392398EF" w14:textId="77777777" w:rsidTr="00CF2BF0">
        <w:trPr>
          <w:tblHeader/>
        </w:trPr>
        <w:tc>
          <w:tcPr>
            <w:tcW w:w="2405" w:type="dxa"/>
            <w:tcBorders>
              <w:top w:val="single" w:sz="4" w:space="0" w:color="auto"/>
              <w:left w:val="single" w:sz="4" w:space="0" w:color="auto"/>
              <w:bottom w:val="single" w:sz="4" w:space="0" w:color="auto"/>
              <w:right w:val="single" w:sz="4" w:space="0" w:color="auto"/>
            </w:tcBorders>
            <w:hideMark/>
          </w:tcPr>
          <w:p w14:paraId="4555780E" w14:textId="77777777" w:rsidR="00817D97" w:rsidRDefault="00817D97" w:rsidP="000E46FF">
            <w:pPr>
              <w:pStyle w:val="Tablecontent"/>
            </w:pPr>
            <w:r>
              <w:t>Software</w:t>
            </w:r>
          </w:p>
        </w:tc>
        <w:tc>
          <w:tcPr>
            <w:tcW w:w="6611" w:type="dxa"/>
            <w:vMerge/>
            <w:tcBorders>
              <w:top w:val="single" w:sz="4" w:space="0" w:color="auto"/>
              <w:left w:val="single" w:sz="4" w:space="0" w:color="auto"/>
              <w:bottom w:val="single" w:sz="4" w:space="0" w:color="auto"/>
              <w:right w:val="single" w:sz="4" w:space="0" w:color="auto"/>
            </w:tcBorders>
            <w:vAlign w:val="center"/>
            <w:hideMark/>
          </w:tcPr>
          <w:p w14:paraId="7AEB8A3F" w14:textId="77777777" w:rsidR="00817D97" w:rsidRDefault="00817D97">
            <w:pPr>
              <w:spacing w:before="0" w:after="0"/>
              <w:rPr>
                <w:rFonts w:ascii="Arial Narrow" w:eastAsia="Times New Roman" w:hAnsi="Arial Narrow" w:cs="Times New Roman"/>
                <w:sz w:val="20"/>
                <w:szCs w:val="18"/>
              </w:rPr>
            </w:pPr>
          </w:p>
        </w:tc>
      </w:tr>
    </w:tbl>
    <w:p w14:paraId="25AEE104" w14:textId="7BD1F190" w:rsidR="00817D97" w:rsidRDefault="00817D97" w:rsidP="00817D97">
      <w:pPr>
        <w:pStyle w:val="Tablenotes0"/>
      </w:pPr>
      <w:r>
        <w:rPr>
          <w:u w:val="single"/>
        </w:rPr>
        <w:t>Abbreviations</w:t>
      </w:r>
      <w:r>
        <w:t xml:space="preserve">: </w:t>
      </w:r>
      <w:r w:rsidR="002E1E6E">
        <w:t xml:space="preserve">IOP = intraocular pressure; </w:t>
      </w:r>
      <w:r>
        <w:t>OVD = Ophthalmic viscoelastic device</w:t>
      </w:r>
      <w:r w:rsidR="002E1E6E">
        <w:t>; MBGS = micro-bypass glaucoma surgery</w:t>
      </w:r>
    </w:p>
    <w:p w14:paraId="40FB2846" w14:textId="61D57D90" w:rsidR="00817D97" w:rsidRDefault="00817D97" w:rsidP="00817D97">
      <w:pPr>
        <w:pStyle w:val="Tablenotes0"/>
      </w:pPr>
      <w:r>
        <w:rPr>
          <w:u w:val="single"/>
        </w:rPr>
        <w:t>Source</w:t>
      </w:r>
      <w:r>
        <w:t xml:space="preserve">: </w:t>
      </w:r>
      <w:r w:rsidR="000E46FF">
        <w:t>B</w:t>
      </w:r>
      <w:r>
        <w:t xml:space="preserve">ased on Table 22 of </w:t>
      </w:r>
      <w:r w:rsidR="000E46FF">
        <w:t xml:space="preserve">the </w:t>
      </w:r>
      <w:r>
        <w:t>ADAR submission</w:t>
      </w:r>
    </w:p>
    <w:p w14:paraId="73A932FB" w14:textId="4697DDBF" w:rsidR="007B683D" w:rsidRDefault="00781409" w:rsidP="00552CD5">
      <w:r>
        <w:t xml:space="preserve">In the primary analysis, the </w:t>
      </w:r>
      <w:r w:rsidR="00E5060B">
        <w:t>applicant</w:t>
      </w:r>
      <w:r>
        <w:t xml:space="preserve"> </w:t>
      </w:r>
      <w:r w:rsidR="00137FD6">
        <w:t>provide</w:t>
      </w:r>
      <w:r w:rsidR="0083103D">
        <w:t>d</w:t>
      </w:r>
      <w:r w:rsidR="00137FD6">
        <w:t xml:space="preserve"> evidence supporting the comparability of the surgical </w:t>
      </w:r>
      <w:r w:rsidR="008D26B7">
        <w:t>procedures</w:t>
      </w:r>
      <w:r w:rsidR="00137FD6">
        <w:t xml:space="preserve"> for the </w:t>
      </w:r>
      <w:proofErr w:type="spellStart"/>
      <w:r w:rsidR="00137FD6">
        <w:t>MINIject</w:t>
      </w:r>
      <w:proofErr w:type="spellEnd"/>
      <w:r w:rsidR="00137FD6">
        <w:t xml:space="preserve"> and </w:t>
      </w:r>
      <w:proofErr w:type="spellStart"/>
      <w:r w:rsidR="00137FD6">
        <w:t>iStent</w:t>
      </w:r>
      <w:proofErr w:type="spellEnd"/>
      <w:r w:rsidR="00137FD6">
        <w:t xml:space="preserve"> MBGS</w:t>
      </w:r>
      <w:r w:rsidR="007B683D">
        <w:t xml:space="preserve"> </w:t>
      </w:r>
      <w:r w:rsidR="0083103D">
        <w:t>(</w:t>
      </w:r>
      <w:r w:rsidR="000258CE">
        <w:fldChar w:fldCharType="begin"/>
      </w:r>
      <w:r w:rsidR="000258CE">
        <w:instrText xml:space="preserve"> REF _Ref151045095 \h </w:instrText>
      </w:r>
      <w:r w:rsidR="000258CE">
        <w:fldChar w:fldCharType="separate"/>
      </w:r>
      <w:r w:rsidR="003C61D8">
        <w:t>Table</w:t>
      </w:r>
      <w:r w:rsidR="003C61D8" w:rsidRPr="0001290C">
        <w:t> </w:t>
      </w:r>
      <w:r w:rsidR="003C61D8">
        <w:rPr>
          <w:noProof/>
        </w:rPr>
        <w:t>15</w:t>
      </w:r>
      <w:r w:rsidR="000258CE">
        <w:fldChar w:fldCharType="end"/>
      </w:r>
      <w:r w:rsidR="0083103D">
        <w:t>)</w:t>
      </w:r>
      <w:r w:rsidR="007B683D">
        <w:t xml:space="preserve">. </w:t>
      </w:r>
    </w:p>
    <w:p w14:paraId="2F77042D" w14:textId="09C3D90D" w:rsidR="000258CE" w:rsidRDefault="000258CE" w:rsidP="000258CE">
      <w:pPr>
        <w:pStyle w:val="Caption"/>
      </w:pPr>
      <w:bookmarkStart w:id="40" w:name="_Ref151045095"/>
      <w:r>
        <w:t>Table</w:t>
      </w:r>
      <w:r w:rsidR="003C47E2" w:rsidRPr="0001290C">
        <w:t> </w:t>
      </w:r>
      <w:r>
        <w:fldChar w:fldCharType="begin"/>
      </w:r>
      <w:r>
        <w:instrText>SEQ Table \* ARABIC</w:instrText>
      </w:r>
      <w:r>
        <w:fldChar w:fldCharType="separate"/>
      </w:r>
      <w:r w:rsidR="003C61D8">
        <w:rPr>
          <w:noProof/>
        </w:rPr>
        <w:t>15</w:t>
      </w:r>
      <w:r>
        <w:fldChar w:fldCharType="end"/>
      </w:r>
      <w:bookmarkEnd w:id="40"/>
      <w:r w:rsidR="003C47E2">
        <w:tab/>
      </w:r>
      <w:r>
        <w:t xml:space="preserve">Detail of </w:t>
      </w:r>
      <w:proofErr w:type="spellStart"/>
      <w:r>
        <w:t>MINIject</w:t>
      </w:r>
      <w:proofErr w:type="spellEnd"/>
      <w:r>
        <w:t xml:space="preserve"> and </w:t>
      </w:r>
      <w:proofErr w:type="spellStart"/>
      <w:r>
        <w:t>iStent</w:t>
      </w:r>
      <w:proofErr w:type="spellEnd"/>
      <w:r>
        <w:t xml:space="preserve"> </w:t>
      </w:r>
      <w:r w:rsidR="00E02D9E">
        <w:t xml:space="preserve">standalone procedure </w:t>
      </w:r>
      <w:r>
        <w:t xml:space="preserve">steps </w:t>
      </w:r>
    </w:p>
    <w:tbl>
      <w:tblPr>
        <w:tblStyle w:val="TableGrid"/>
        <w:tblW w:w="5000" w:type="pct"/>
        <w:tblLook w:val="04A0" w:firstRow="1" w:lastRow="0" w:firstColumn="1" w:lastColumn="0" w:noHBand="0" w:noVBand="1"/>
      </w:tblPr>
      <w:tblGrid>
        <w:gridCol w:w="1046"/>
        <w:gridCol w:w="3705"/>
        <w:gridCol w:w="4265"/>
      </w:tblGrid>
      <w:tr w:rsidR="000258CE" w:rsidRPr="00C77AFE" w14:paraId="3351644C" w14:textId="77777777" w:rsidTr="00617190">
        <w:trPr>
          <w:tblHeader/>
        </w:trPr>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11A6CC34" w14:textId="77777777" w:rsidR="000258CE" w:rsidRPr="00C77AFE" w:rsidRDefault="000258CE" w:rsidP="00C77AFE">
            <w:pPr>
              <w:pStyle w:val="TableHeading0"/>
            </w:pPr>
            <w:r w:rsidRPr="00C77AFE">
              <w:t>Step</w:t>
            </w:r>
          </w:p>
        </w:tc>
        <w:tc>
          <w:tcPr>
            <w:tcW w:w="20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4AB13" w14:textId="77777777" w:rsidR="000258CE" w:rsidRPr="00C77AFE" w:rsidRDefault="000258CE" w:rsidP="00C77AFE">
            <w:pPr>
              <w:pStyle w:val="TableHeading0"/>
            </w:pPr>
            <w:proofErr w:type="spellStart"/>
            <w:r w:rsidRPr="00C77AFE">
              <w:t>MINIject</w:t>
            </w:r>
            <w:proofErr w:type="spellEnd"/>
            <w:r w:rsidRPr="00C77AFE">
              <w:t>®</w:t>
            </w:r>
          </w:p>
        </w:tc>
        <w:tc>
          <w:tcPr>
            <w:tcW w:w="23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3DCFB" w14:textId="698ADD7B" w:rsidR="000258CE" w:rsidRPr="00C77AFE" w:rsidRDefault="000258CE" w:rsidP="00C77AFE">
            <w:pPr>
              <w:pStyle w:val="TableHeading0"/>
            </w:pPr>
            <w:proofErr w:type="spellStart"/>
            <w:r w:rsidRPr="00C77AFE">
              <w:t>iStent</w:t>
            </w:r>
            <w:proofErr w:type="spellEnd"/>
            <w:r w:rsidRPr="00C77AFE">
              <w:t xml:space="preserve"> Inject®</w:t>
            </w:r>
          </w:p>
        </w:tc>
      </w:tr>
      <w:tr w:rsidR="000258CE" w:rsidRPr="009E49CE" w14:paraId="290BDDDF" w14:textId="77777777" w:rsidTr="006C70D1">
        <w:tc>
          <w:tcPr>
            <w:tcW w:w="520" w:type="pct"/>
            <w:tcBorders>
              <w:top w:val="single" w:sz="4" w:space="0" w:color="auto"/>
              <w:left w:val="single" w:sz="4" w:space="0" w:color="auto"/>
              <w:bottom w:val="single" w:sz="4" w:space="0" w:color="auto"/>
              <w:right w:val="single" w:sz="4" w:space="0" w:color="auto"/>
            </w:tcBorders>
            <w:hideMark/>
          </w:tcPr>
          <w:p w14:paraId="54818CA7" w14:textId="77777777" w:rsidR="000258CE" w:rsidRPr="009E49CE" w:rsidRDefault="000258CE">
            <w:pPr>
              <w:pStyle w:val="Tablecontent"/>
              <w:rPr>
                <w:lang w:val="en-US"/>
              </w:rPr>
            </w:pPr>
            <w:r w:rsidRPr="009E49CE">
              <w:rPr>
                <w:lang w:val="en-US"/>
              </w:rPr>
              <w:t>Pre-procedure</w:t>
            </w: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8FDC2BB" w14:textId="77777777" w:rsidR="000258CE" w:rsidRPr="009E49CE" w:rsidRDefault="000258CE">
            <w:pPr>
              <w:pStyle w:val="Tablecontent"/>
              <w:rPr>
                <w:lang w:val="en-US"/>
              </w:rPr>
            </w:pPr>
            <w:proofErr w:type="spellStart"/>
            <w:r w:rsidRPr="009E49CE">
              <w:rPr>
                <w:lang w:val="en-US"/>
              </w:rPr>
              <w:t>Anaesthesia</w:t>
            </w:r>
            <w:proofErr w:type="spellEnd"/>
            <w:r w:rsidRPr="009E49CE">
              <w:rPr>
                <w:lang w:val="en-US"/>
              </w:rPr>
              <w:t xml:space="preserve"> for the eye </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0A242E2B" w14:textId="77777777" w:rsidR="000258CE" w:rsidRPr="009E49CE" w:rsidRDefault="000258CE">
            <w:pPr>
              <w:pStyle w:val="Tablecontent"/>
              <w:rPr>
                <w:lang w:val="en-US"/>
              </w:rPr>
            </w:pPr>
            <w:proofErr w:type="spellStart"/>
            <w:r w:rsidRPr="009E49CE">
              <w:rPr>
                <w:lang w:val="en-US"/>
              </w:rPr>
              <w:t>Anaesthesia</w:t>
            </w:r>
            <w:proofErr w:type="spellEnd"/>
            <w:r w:rsidRPr="009E49CE">
              <w:rPr>
                <w:lang w:val="en-US"/>
              </w:rPr>
              <w:t xml:space="preserve"> for the eye</w:t>
            </w:r>
          </w:p>
        </w:tc>
      </w:tr>
      <w:tr w:rsidR="000258CE" w:rsidRPr="009E49CE" w14:paraId="25085DC3" w14:textId="77777777" w:rsidTr="006C70D1">
        <w:tc>
          <w:tcPr>
            <w:tcW w:w="520" w:type="pct"/>
            <w:vMerge w:val="restart"/>
            <w:tcBorders>
              <w:top w:val="single" w:sz="4" w:space="0" w:color="auto"/>
              <w:left w:val="single" w:sz="4" w:space="0" w:color="auto"/>
              <w:right w:val="single" w:sz="4" w:space="0" w:color="auto"/>
            </w:tcBorders>
            <w:hideMark/>
          </w:tcPr>
          <w:p w14:paraId="474B7AF8" w14:textId="77777777" w:rsidR="000258CE" w:rsidRPr="009E49CE" w:rsidRDefault="000258CE">
            <w:pPr>
              <w:pStyle w:val="Tablecontent"/>
              <w:rPr>
                <w:lang w:val="en-US"/>
              </w:rPr>
            </w:pPr>
            <w:r w:rsidRPr="009E49CE">
              <w:rPr>
                <w:lang w:val="en-US"/>
              </w:rPr>
              <w:t>Eye preparation</w:t>
            </w: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35B95675" w14:textId="77777777" w:rsidR="000258CE" w:rsidRPr="009E49CE" w:rsidRDefault="000258CE">
            <w:pPr>
              <w:pStyle w:val="Tablecontent"/>
              <w:rPr>
                <w:lang w:val="en-US"/>
              </w:rPr>
            </w:pPr>
            <w:r w:rsidRPr="009E49CE">
              <w:rPr>
                <w:lang w:val="en-US"/>
              </w:rPr>
              <w:t>Antiseptic applied to eye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2236A298" w14:textId="77777777" w:rsidR="000258CE" w:rsidRPr="009E49CE" w:rsidRDefault="000258CE">
            <w:pPr>
              <w:pStyle w:val="Tablecontent"/>
              <w:rPr>
                <w:lang w:val="en-US"/>
              </w:rPr>
            </w:pPr>
            <w:r w:rsidRPr="009E49CE">
              <w:rPr>
                <w:lang w:val="en-US"/>
              </w:rPr>
              <w:t>Antiseptic applied to eye</w:t>
            </w:r>
          </w:p>
        </w:tc>
      </w:tr>
      <w:tr w:rsidR="000258CE" w:rsidRPr="009E49CE" w14:paraId="777ADDAA" w14:textId="77777777" w:rsidTr="006C70D1">
        <w:tc>
          <w:tcPr>
            <w:tcW w:w="520" w:type="pct"/>
            <w:vMerge/>
            <w:tcBorders>
              <w:left w:val="single" w:sz="4" w:space="0" w:color="auto"/>
              <w:right w:val="single" w:sz="4" w:space="0" w:color="auto"/>
            </w:tcBorders>
          </w:tcPr>
          <w:p w14:paraId="4D01D2B0"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59FC8367" w14:textId="77777777" w:rsidR="000258CE" w:rsidRPr="009E49CE" w:rsidRDefault="000258CE">
            <w:pPr>
              <w:pStyle w:val="Tablecontent"/>
              <w:rPr>
                <w:lang w:val="en-US"/>
              </w:rPr>
            </w:pPr>
            <w:r w:rsidRPr="009E49CE">
              <w:rPr>
                <w:lang w:val="en-US"/>
              </w:rPr>
              <w:t>Eye opened with eyelid speculum</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4749DB9C" w14:textId="77777777" w:rsidR="000258CE" w:rsidRPr="009E49CE" w:rsidRDefault="000258CE">
            <w:pPr>
              <w:pStyle w:val="Tablecontent"/>
              <w:rPr>
                <w:lang w:val="en-US"/>
              </w:rPr>
            </w:pPr>
            <w:r w:rsidRPr="009E49CE">
              <w:rPr>
                <w:lang w:val="en-US"/>
              </w:rPr>
              <w:t>Eye opened with eyelid speculum</w:t>
            </w:r>
          </w:p>
        </w:tc>
      </w:tr>
      <w:tr w:rsidR="000258CE" w:rsidRPr="009E49CE" w14:paraId="31CF3FCC" w14:textId="77777777" w:rsidTr="006C70D1">
        <w:tc>
          <w:tcPr>
            <w:tcW w:w="520" w:type="pct"/>
            <w:vMerge/>
            <w:tcBorders>
              <w:left w:val="single" w:sz="4" w:space="0" w:color="auto"/>
              <w:bottom w:val="single" w:sz="4" w:space="0" w:color="auto"/>
              <w:right w:val="single" w:sz="4" w:space="0" w:color="auto"/>
            </w:tcBorders>
          </w:tcPr>
          <w:p w14:paraId="3F96B579"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13BCC065" w14:textId="77777777" w:rsidR="000258CE" w:rsidRPr="009E49CE" w:rsidRDefault="000258CE">
            <w:pPr>
              <w:pStyle w:val="Tablecontent"/>
              <w:rPr>
                <w:lang w:val="en-US"/>
              </w:rPr>
            </w:pPr>
            <w:r w:rsidRPr="009E49CE">
              <w:rPr>
                <w:lang w:val="en-US"/>
              </w:rPr>
              <w:t>Head rotated, microscope rotated and positioned above the eye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4B2DA993" w14:textId="77777777" w:rsidR="000258CE" w:rsidRPr="009E49CE" w:rsidRDefault="000258CE">
            <w:pPr>
              <w:pStyle w:val="Tablecontent"/>
              <w:rPr>
                <w:lang w:val="en-US"/>
              </w:rPr>
            </w:pPr>
            <w:r w:rsidRPr="009E49CE">
              <w:rPr>
                <w:lang w:val="en-US"/>
              </w:rPr>
              <w:t>Head rotated, microscope rotated and positioned above the eye</w:t>
            </w:r>
          </w:p>
        </w:tc>
      </w:tr>
      <w:tr w:rsidR="000258CE" w:rsidRPr="009E49CE" w14:paraId="2C8A1F74" w14:textId="77777777" w:rsidTr="006C70D1">
        <w:tc>
          <w:tcPr>
            <w:tcW w:w="520" w:type="pct"/>
            <w:vMerge w:val="restart"/>
            <w:tcBorders>
              <w:top w:val="single" w:sz="4" w:space="0" w:color="auto"/>
              <w:left w:val="single" w:sz="4" w:space="0" w:color="auto"/>
              <w:right w:val="single" w:sz="4" w:space="0" w:color="auto"/>
            </w:tcBorders>
            <w:hideMark/>
          </w:tcPr>
          <w:p w14:paraId="76CF5550" w14:textId="77777777" w:rsidR="000258CE" w:rsidRPr="009E49CE" w:rsidRDefault="000258CE">
            <w:pPr>
              <w:pStyle w:val="Tablecontent"/>
              <w:rPr>
                <w:lang w:val="en-US"/>
              </w:rPr>
            </w:pPr>
            <w:r w:rsidRPr="009E49CE">
              <w:rPr>
                <w:lang w:val="en-US"/>
              </w:rPr>
              <w:t>Procedure</w:t>
            </w: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B08E6F6" w14:textId="5121897F" w:rsidR="000258CE" w:rsidRPr="009E49CE" w:rsidRDefault="000258CE">
            <w:pPr>
              <w:pStyle w:val="Tablecontent"/>
              <w:rPr>
                <w:lang w:val="en-US"/>
              </w:rPr>
            </w:pPr>
            <w:r w:rsidRPr="009E49CE">
              <w:rPr>
                <w:lang w:val="en-US"/>
              </w:rPr>
              <w:t>Incision made to cornea with 2.0</w:t>
            </w:r>
            <w:r w:rsidR="00F079C0">
              <w:rPr>
                <w:lang w:val="en-US"/>
              </w:rPr>
              <w:t>–</w:t>
            </w:r>
            <w:r w:rsidRPr="009E49CE">
              <w:rPr>
                <w:lang w:val="en-US"/>
              </w:rPr>
              <w:t>2.2</w:t>
            </w:r>
            <w:r w:rsidR="00F079C0">
              <w:rPr>
                <w:lang w:val="en-US"/>
              </w:rPr>
              <w:t> </w:t>
            </w:r>
            <w:r w:rsidRPr="009E49CE">
              <w:rPr>
                <w:lang w:val="en-US"/>
              </w:rPr>
              <w:t>mm knife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6F911972" w14:textId="6D710BE1" w:rsidR="000258CE" w:rsidRPr="009E49CE" w:rsidRDefault="000258CE">
            <w:pPr>
              <w:pStyle w:val="Tablecontent"/>
              <w:rPr>
                <w:lang w:val="en-US"/>
              </w:rPr>
            </w:pPr>
            <w:r w:rsidRPr="009E49CE">
              <w:rPr>
                <w:lang w:val="en-US"/>
              </w:rPr>
              <w:t>Incision made to cornea with 2.0</w:t>
            </w:r>
            <w:r w:rsidR="007A7125">
              <w:rPr>
                <w:lang w:val="en-US"/>
              </w:rPr>
              <w:t> </w:t>
            </w:r>
            <w:r w:rsidRPr="009E49CE">
              <w:rPr>
                <w:lang w:val="en-US"/>
              </w:rPr>
              <w:t>mm knife</w:t>
            </w:r>
          </w:p>
        </w:tc>
      </w:tr>
      <w:tr w:rsidR="000258CE" w:rsidRPr="009E49CE" w14:paraId="3201F21E" w14:textId="77777777" w:rsidTr="006C70D1">
        <w:tc>
          <w:tcPr>
            <w:tcW w:w="520" w:type="pct"/>
            <w:vMerge/>
            <w:tcBorders>
              <w:left w:val="single" w:sz="4" w:space="0" w:color="auto"/>
              <w:right w:val="single" w:sz="4" w:space="0" w:color="auto"/>
            </w:tcBorders>
          </w:tcPr>
          <w:p w14:paraId="49E5747D"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2B2C6F7" w14:textId="044F690D" w:rsidR="000258CE" w:rsidRPr="009E49CE" w:rsidRDefault="000258CE">
            <w:pPr>
              <w:pStyle w:val="Tablecontent"/>
              <w:rPr>
                <w:lang w:val="en-US"/>
              </w:rPr>
            </w:pPr>
            <w:r w:rsidRPr="009E49CE">
              <w:rPr>
                <w:lang w:val="en-US"/>
              </w:rPr>
              <w:t xml:space="preserve">Ophthalmic </w:t>
            </w:r>
            <w:r w:rsidR="00BE214D">
              <w:rPr>
                <w:lang w:val="en-US"/>
              </w:rPr>
              <w:t>v</w:t>
            </w:r>
            <w:r w:rsidRPr="009E49CE">
              <w:rPr>
                <w:lang w:val="en-US"/>
              </w:rPr>
              <w:t xml:space="preserve">iscoelastic </w:t>
            </w:r>
            <w:r w:rsidR="00BE214D">
              <w:rPr>
                <w:lang w:val="en-US"/>
              </w:rPr>
              <w:t>d</w:t>
            </w:r>
            <w:r w:rsidRPr="009E49CE">
              <w:rPr>
                <w:lang w:val="en-US"/>
              </w:rPr>
              <w:t>evice (OVD) inserted into anterior chamber and on top of cornea</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1F87A642" w14:textId="4D767D89" w:rsidR="000258CE" w:rsidRPr="009E49CE" w:rsidRDefault="000258CE" w:rsidP="003D187A">
            <w:pPr>
              <w:pStyle w:val="Tablecontent"/>
              <w:rPr>
                <w:lang w:val="en-US"/>
              </w:rPr>
            </w:pPr>
            <w:r w:rsidRPr="009E49CE">
              <w:rPr>
                <w:lang w:val="en-US"/>
              </w:rPr>
              <w:t>O</w:t>
            </w:r>
            <w:r w:rsidR="006E2789">
              <w:rPr>
                <w:lang w:val="en-US"/>
              </w:rPr>
              <w:t xml:space="preserve">phthalmic </w:t>
            </w:r>
            <w:r w:rsidR="007A7125">
              <w:rPr>
                <w:lang w:val="en-US"/>
              </w:rPr>
              <w:t>v</w:t>
            </w:r>
            <w:r w:rsidR="006E2789">
              <w:rPr>
                <w:lang w:val="en-US"/>
              </w:rPr>
              <w:t xml:space="preserve">iscoelastic </w:t>
            </w:r>
            <w:r w:rsidR="007A7125">
              <w:rPr>
                <w:lang w:val="en-US"/>
              </w:rPr>
              <w:t>d</w:t>
            </w:r>
            <w:r w:rsidR="006E2789">
              <w:rPr>
                <w:lang w:val="en-US"/>
              </w:rPr>
              <w:t>evice (OVD)</w:t>
            </w:r>
            <w:r w:rsidRPr="009E49CE">
              <w:rPr>
                <w:lang w:val="en-US"/>
              </w:rPr>
              <w:t xml:space="preserve"> inserted into anterior chamber and on top of cornea</w:t>
            </w:r>
          </w:p>
        </w:tc>
      </w:tr>
      <w:tr w:rsidR="000258CE" w:rsidRPr="009E49CE" w14:paraId="5464AA02" w14:textId="77777777" w:rsidTr="006C70D1">
        <w:tc>
          <w:tcPr>
            <w:tcW w:w="520" w:type="pct"/>
            <w:vMerge/>
            <w:tcBorders>
              <w:left w:val="single" w:sz="4" w:space="0" w:color="auto"/>
              <w:right w:val="single" w:sz="4" w:space="0" w:color="auto"/>
            </w:tcBorders>
          </w:tcPr>
          <w:p w14:paraId="0FB245F6"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4532B8C5" w14:textId="77777777" w:rsidR="000258CE" w:rsidRPr="009E49CE" w:rsidRDefault="000258CE">
            <w:pPr>
              <w:pStyle w:val="Tablecontent"/>
              <w:rPr>
                <w:lang w:val="en-US"/>
              </w:rPr>
            </w:pPr>
            <w:r w:rsidRPr="009E49CE">
              <w:rPr>
                <w:lang w:val="en-US"/>
              </w:rPr>
              <w:t>Gonioprism used to view the angle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45E74591" w14:textId="77777777" w:rsidR="000258CE" w:rsidRPr="009E49CE" w:rsidRDefault="000258CE">
            <w:pPr>
              <w:pStyle w:val="Tablecontent"/>
              <w:rPr>
                <w:lang w:val="en-US"/>
              </w:rPr>
            </w:pPr>
            <w:r w:rsidRPr="009E49CE">
              <w:rPr>
                <w:lang w:val="en-US"/>
              </w:rPr>
              <w:t>Gonioprism used to view the angle</w:t>
            </w:r>
          </w:p>
        </w:tc>
      </w:tr>
      <w:tr w:rsidR="000258CE" w:rsidRPr="009E49CE" w14:paraId="654A059A" w14:textId="77777777" w:rsidTr="006C70D1">
        <w:tc>
          <w:tcPr>
            <w:tcW w:w="520" w:type="pct"/>
            <w:vMerge/>
            <w:tcBorders>
              <w:left w:val="single" w:sz="4" w:space="0" w:color="auto"/>
              <w:right w:val="single" w:sz="4" w:space="0" w:color="auto"/>
            </w:tcBorders>
          </w:tcPr>
          <w:p w14:paraId="34DB02DE"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5109C6F4" w14:textId="77777777" w:rsidR="000258CE" w:rsidRPr="009E49CE" w:rsidRDefault="000258CE">
            <w:pPr>
              <w:pStyle w:val="Tablecontent"/>
              <w:rPr>
                <w:lang w:val="en-US"/>
              </w:rPr>
            </w:pPr>
            <w:proofErr w:type="spellStart"/>
            <w:r w:rsidRPr="009E49CE">
              <w:rPr>
                <w:lang w:val="en-US"/>
              </w:rPr>
              <w:t>MINIject</w:t>
            </w:r>
            <w:proofErr w:type="spellEnd"/>
            <w:r w:rsidRPr="009E49CE">
              <w:rPr>
                <w:lang w:val="en-US"/>
              </w:rPr>
              <w:t xml:space="preserve"> device inserted through the incision and viewed under the gonioprism as it approaches the angle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7F226357" w14:textId="0F5FA3BC" w:rsidR="000258CE" w:rsidRPr="009E49CE" w:rsidRDefault="000258CE">
            <w:pPr>
              <w:pStyle w:val="Tablecontent"/>
              <w:rPr>
                <w:lang w:val="en-US"/>
              </w:rPr>
            </w:pPr>
            <w:proofErr w:type="spellStart"/>
            <w:r w:rsidRPr="009E49CE">
              <w:rPr>
                <w:lang w:val="en-US"/>
              </w:rPr>
              <w:t>iStent</w:t>
            </w:r>
            <w:proofErr w:type="spellEnd"/>
            <w:r w:rsidRPr="009E49CE">
              <w:rPr>
                <w:lang w:val="en-US"/>
              </w:rPr>
              <w:t xml:space="preserve"> Inject device inserted through the incision and viewed under the gonioprism as it approaches the angle</w:t>
            </w:r>
          </w:p>
        </w:tc>
      </w:tr>
      <w:tr w:rsidR="000258CE" w:rsidRPr="009E49CE" w14:paraId="2CF46884" w14:textId="77777777" w:rsidTr="006C70D1">
        <w:tc>
          <w:tcPr>
            <w:tcW w:w="520" w:type="pct"/>
            <w:vMerge/>
            <w:tcBorders>
              <w:left w:val="single" w:sz="4" w:space="0" w:color="auto"/>
              <w:right w:val="single" w:sz="4" w:space="0" w:color="auto"/>
            </w:tcBorders>
          </w:tcPr>
          <w:p w14:paraId="63C5CEAB"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FFFFCC"/>
            <w:hideMark/>
          </w:tcPr>
          <w:p w14:paraId="36965B46" w14:textId="77777777" w:rsidR="000258CE" w:rsidRPr="009E49CE" w:rsidRDefault="000258CE">
            <w:pPr>
              <w:pStyle w:val="Tablecontent"/>
              <w:rPr>
                <w:lang w:val="en-US"/>
              </w:rPr>
            </w:pPr>
            <w:proofErr w:type="spellStart"/>
            <w:r w:rsidRPr="009E49CE">
              <w:rPr>
                <w:lang w:val="en-US"/>
              </w:rPr>
              <w:t>MINIject</w:t>
            </w:r>
            <w:proofErr w:type="spellEnd"/>
            <w:r w:rsidRPr="009E49CE">
              <w:rPr>
                <w:lang w:val="en-US"/>
              </w:rPr>
              <w:t xml:space="preserve"> device sheath inserted into the supraciliary space into desired implantation location</w:t>
            </w:r>
          </w:p>
        </w:tc>
        <w:tc>
          <w:tcPr>
            <w:tcW w:w="2395" w:type="pct"/>
            <w:tcBorders>
              <w:top w:val="single" w:sz="4" w:space="0" w:color="auto"/>
              <w:left w:val="single" w:sz="4" w:space="0" w:color="auto"/>
              <w:bottom w:val="single" w:sz="4" w:space="0" w:color="auto"/>
              <w:right w:val="single" w:sz="4" w:space="0" w:color="auto"/>
            </w:tcBorders>
            <w:shd w:val="clear" w:color="auto" w:fill="FFFFCC"/>
            <w:hideMark/>
          </w:tcPr>
          <w:p w14:paraId="41386E83" w14:textId="757DD0BD" w:rsidR="000258CE" w:rsidRPr="009E49CE" w:rsidRDefault="000258CE">
            <w:pPr>
              <w:pStyle w:val="Tablecontent"/>
              <w:rPr>
                <w:lang w:val="en-US"/>
              </w:rPr>
            </w:pPr>
            <w:r w:rsidRPr="009E49CE">
              <w:rPr>
                <w:lang w:val="en-US"/>
              </w:rPr>
              <w:t xml:space="preserve">Slide retraction button to draw back insertion sleeve and advance trocar tip to the </w:t>
            </w:r>
            <w:proofErr w:type="spellStart"/>
            <w:r w:rsidRPr="009E49CE">
              <w:rPr>
                <w:lang w:val="en-US"/>
              </w:rPr>
              <w:t>centre</w:t>
            </w:r>
            <w:proofErr w:type="spellEnd"/>
            <w:r w:rsidRPr="009E49CE">
              <w:rPr>
                <w:lang w:val="en-US"/>
              </w:rPr>
              <w:t xml:space="preserve"> of the trabecular meshwork at implantation location</w:t>
            </w:r>
          </w:p>
        </w:tc>
      </w:tr>
      <w:tr w:rsidR="000258CE" w:rsidRPr="009E49CE" w14:paraId="4D840E97" w14:textId="77777777" w:rsidTr="006C70D1">
        <w:tc>
          <w:tcPr>
            <w:tcW w:w="520" w:type="pct"/>
            <w:vMerge/>
            <w:tcBorders>
              <w:left w:val="single" w:sz="4" w:space="0" w:color="auto"/>
              <w:right w:val="single" w:sz="4" w:space="0" w:color="auto"/>
            </w:tcBorders>
          </w:tcPr>
          <w:p w14:paraId="375A4A06"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FFFFCC"/>
            <w:hideMark/>
          </w:tcPr>
          <w:p w14:paraId="1DD69941" w14:textId="2EAD837E" w:rsidR="000258CE" w:rsidRPr="009E49CE" w:rsidRDefault="000258CE">
            <w:pPr>
              <w:pStyle w:val="Tablecontent"/>
              <w:rPr>
                <w:lang w:val="en-US"/>
              </w:rPr>
            </w:pPr>
            <w:r w:rsidRPr="009E49CE">
              <w:rPr>
                <w:lang w:val="en-US"/>
              </w:rPr>
              <w:t xml:space="preserve">Wheel of </w:t>
            </w:r>
            <w:proofErr w:type="spellStart"/>
            <w:r w:rsidRPr="009E49CE">
              <w:rPr>
                <w:lang w:val="en-US"/>
              </w:rPr>
              <w:t>MINIject</w:t>
            </w:r>
            <w:proofErr w:type="spellEnd"/>
            <w:r w:rsidRPr="009E49CE">
              <w:rPr>
                <w:lang w:val="en-US"/>
              </w:rPr>
              <w:t xml:space="preserve"> device rolled back slowly to withdraw the sheath to lay the implant in place</w:t>
            </w:r>
          </w:p>
        </w:tc>
        <w:tc>
          <w:tcPr>
            <w:tcW w:w="2395" w:type="pct"/>
            <w:tcBorders>
              <w:top w:val="single" w:sz="4" w:space="0" w:color="auto"/>
              <w:left w:val="single" w:sz="4" w:space="0" w:color="auto"/>
              <w:bottom w:val="single" w:sz="4" w:space="0" w:color="auto"/>
              <w:right w:val="single" w:sz="4" w:space="0" w:color="auto"/>
            </w:tcBorders>
            <w:shd w:val="clear" w:color="auto" w:fill="FFFFCC"/>
            <w:hideMark/>
          </w:tcPr>
          <w:p w14:paraId="4CC21A9E" w14:textId="37C0C7E9" w:rsidR="000258CE" w:rsidRPr="009E49CE" w:rsidRDefault="000258CE">
            <w:pPr>
              <w:pStyle w:val="Tablecontent"/>
              <w:rPr>
                <w:lang w:val="en-US"/>
              </w:rPr>
            </w:pPr>
            <w:r w:rsidRPr="00FA5333">
              <w:rPr>
                <w:lang w:val="en-US"/>
              </w:rPr>
              <w:t>Press</w:t>
            </w:r>
            <w:r w:rsidRPr="009E49CE">
              <w:rPr>
                <w:lang w:val="en-US"/>
              </w:rPr>
              <w:t xml:space="preserve"> trigger to inject stent through trabecular meshwork and into Schlemm’s Canal</w:t>
            </w:r>
            <w:r w:rsidR="00887201">
              <w:rPr>
                <w:lang w:val="en-US"/>
              </w:rPr>
              <w:t>; r</w:t>
            </w:r>
            <w:r w:rsidRPr="009E49CE">
              <w:rPr>
                <w:lang w:val="en-US"/>
              </w:rPr>
              <w:t xml:space="preserve">epeat for </w:t>
            </w:r>
            <w:r w:rsidR="00AF597F">
              <w:rPr>
                <w:lang w:val="en-US"/>
              </w:rPr>
              <w:t>second</w:t>
            </w:r>
            <w:r w:rsidR="00AF597F" w:rsidRPr="009E49CE">
              <w:rPr>
                <w:lang w:val="en-US"/>
              </w:rPr>
              <w:t xml:space="preserve"> </w:t>
            </w:r>
            <w:r w:rsidRPr="009E49CE">
              <w:rPr>
                <w:lang w:val="en-US"/>
              </w:rPr>
              <w:t>stent</w:t>
            </w:r>
          </w:p>
        </w:tc>
      </w:tr>
      <w:tr w:rsidR="000258CE" w:rsidRPr="009E49CE" w14:paraId="618A18A9" w14:textId="77777777" w:rsidTr="006C70D1">
        <w:tc>
          <w:tcPr>
            <w:tcW w:w="520" w:type="pct"/>
            <w:vMerge/>
            <w:tcBorders>
              <w:left w:val="single" w:sz="4" w:space="0" w:color="auto"/>
              <w:right w:val="single" w:sz="4" w:space="0" w:color="auto"/>
            </w:tcBorders>
          </w:tcPr>
          <w:p w14:paraId="5E30A5F9"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B5C299C" w14:textId="79C2091D" w:rsidR="000258CE" w:rsidRPr="009E49CE" w:rsidRDefault="000258CE">
            <w:pPr>
              <w:pStyle w:val="Tablecontent"/>
              <w:rPr>
                <w:lang w:val="en-US"/>
              </w:rPr>
            </w:pPr>
            <w:proofErr w:type="spellStart"/>
            <w:r w:rsidRPr="009E49CE">
              <w:rPr>
                <w:lang w:val="en-US"/>
              </w:rPr>
              <w:t>MINIject</w:t>
            </w:r>
            <w:proofErr w:type="spellEnd"/>
            <w:r w:rsidRPr="009E49CE">
              <w:rPr>
                <w:lang w:val="en-US"/>
              </w:rPr>
              <w:t xml:space="preserve"> device removed from the eye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69B50B94" w14:textId="4DF0A7A8" w:rsidR="000258CE" w:rsidRPr="009E49CE" w:rsidRDefault="000258CE">
            <w:pPr>
              <w:pStyle w:val="Tablecontent"/>
              <w:rPr>
                <w:lang w:val="en-US"/>
              </w:rPr>
            </w:pPr>
            <w:proofErr w:type="spellStart"/>
            <w:r w:rsidRPr="009E49CE">
              <w:rPr>
                <w:lang w:val="en-US"/>
              </w:rPr>
              <w:t>iStent</w:t>
            </w:r>
            <w:proofErr w:type="spellEnd"/>
            <w:r w:rsidRPr="009E49CE">
              <w:rPr>
                <w:lang w:val="en-US"/>
              </w:rPr>
              <w:t xml:space="preserve"> injector removed from the eye</w:t>
            </w:r>
          </w:p>
        </w:tc>
      </w:tr>
      <w:tr w:rsidR="000258CE" w:rsidRPr="009E49CE" w14:paraId="30F6D02C" w14:textId="77777777" w:rsidTr="006C70D1">
        <w:tc>
          <w:tcPr>
            <w:tcW w:w="520" w:type="pct"/>
            <w:vMerge/>
            <w:tcBorders>
              <w:left w:val="single" w:sz="4" w:space="0" w:color="auto"/>
              <w:right w:val="single" w:sz="4" w:space="0" w:color="auto"/>
            </w:tcBorders>
          </w:tcPr>
          <w:p w14:paraId="09E0FAD1"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1702DB3A" w14:textId="245CBE76" w:rsidR="000258CE" w:rsidRPr="009E49CE" w:rsidRDefault="000258CE">
            <w:pPr>
              <w:pStyle w:val="Tablecontent"/>
              <w:rPr>
                <w:lang w:val="en-US"/>
              </w:rPr>
            </w:pPr>
            <w:r w:rsidRPr="009E49CE">
              <w:rPr>
                <w:lang w:val="en-US"/>
              </w:rPr>
              <w:t>Irrigation and aspiration performed to flush out OVD from the eye</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63A0F57E" w14:textId="150373F6" w:rsidR="000258CE" w:rsidRPr="009E49CE" w:rsidRDefault="000258CE">
            <w:pPr>
              <w:pStyle w:val="Tablecontent"/>
              <w:rPr>
                <w:lang w:val="en-US"/>
              </w:rPr>
            </w:pPr>
            <w:r w:rsidRPr="009E49CE">
              <w:rPr>
                <w:lang w:val="en-US"/>
              </w:rPr>
              <w:t>Irrigation and aspiration performed to flush out OVD from the eye</w:t>
            </w:r>
          </w:p>
        </w:tc>
      </w:tr>
      <w:tr w:rsidR="000258CE" w:rsidRPr="009E49CE" w14:paraId="3BC3092F" w14:textId="77777777" w:rsidTr="006C70D1">
        <w:tc>
          <w:tcPr>
            <w:tcW w:w="520" w:type="pct"/>
            <w:vMerge/>
            <w:tcBorders>
              <w:left w:val="single" w:sz="4" w:space="0" w:color="auto"/>
              <w:right w:val="single" w:sz="4" w:space="0" w:color="auto"/>
            </w:tcBorders>
          </w:tcPr>
          <w:p w14:paraId="079CE2F5"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28BB829C" w14:textId="02995556" w:rsidR="000258CE" w:rsidRPr="009E49CE" w:rsidRDefault="000258CE">
            <w:pPr>
              <w:pStyle w:val="Tablecontent"/>
              <w:rPr>
                <w:lang w:val="en-US"/>
              </w:rPr>
            </w:pPr>
            <w:r w:rsidRPr="009E49CE">
              <w:rPr>
                <w:lang w:val="en-US"/>
              </w:rPr>
              <w:t>Incision hydrated</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3C8E5797" w14:textId="21DC1D0E" w:rsidR="000258CE" w:rsidRPr="009E49CE" w:rsidRDefault="000258CE">
            <w:pPr>
              <w:pStyle w:val="Tablecontent"/>
              <w:rPr>
                <w:lang w:val="en-US"/>
              </w:rPr>
            </w:pPr>
            <w:r w:rsidRPr="009E49CE">
              <w:rPr>
                <w:lang w:val="en-US"/>
              </w:rPr>
              <w:t>Incision hydrated</w:t>
            </w:r>
          </w:p>
        </w:tc>
      </w:tr>
      <w:tr w:rsidR="000258CE" w:rsidRPr="009E49CE" w14:paraId="54A72466" w14:textId="77777777" w:rsidTr="006C70D1">
        <w:tc>
          <w:tcPr>
            <w:tcW w:w="520" w:type="pct"/>
            <w:vMerge/>
            <w:tcBorders>
              <w:left w:val="single" w:sz="4" w:space="0" w:color="auto"/>
              <w:right w:val="single" w:sz="4" w:space="0" w:color="auto"/>
            </w:tcBorders>
          </w:tcPr>
          <w:p w14:paraId="444414EF"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2E3EBE5" w14:textId="5E86EAB0" w:rsidR="000258CE" w:rsidRPr="009E49CE" w:rsidRDefault="000258CE">
            <w:pPr>
              <w:pStyle w:val="Tablecontent"/>
              <w:rPr>
                <w:lang w:val="en-US"/>
              </w:rPr>
            </w:pPr>
            <w:r w:rsidRPr="009E49CE">
              <w:rPr>
                <w:lang w:val="en-US"/>
              </w:rPr>
              <w:t>Eyelid speculum removed</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7CDD6636" w14:textId="78E6399A" w:rsidR="000258CE" w:rsidRPr="009E49CE" w:rsidRDefault="000258CE">
            <w:pPr>
              <w:pStyle w:val="Tablecontent"/>
              <w:rPr>
                <w:lang w:val="en-US"/>
              </w:rPr>
            </w:pPr>
            <w:r w:rsidRPr="009E49CE">
              <w:rPr>
                <w:lang w:val="en-US"/>
              </w:rPr>
              <w:t>Eyelid speculum removed</w:t>
            </w:r>
          </w:p>
        </w:tc>
      </w:tr>
      <w:tr w:rsidR="000258CE" w:rsidRPr="009E49CE" w14:paraId="4A222F95" w14:textId="77777777" w:rsidTr="006C70D1">
        <w:tc>
          <w:tcPr>
            <w:tcW w:w="520" w:type="pct"/>
            <w:vMerge/>
            <w:tcBorders>
              <w:left w:val="single" w:sz="4" w:space="0" w:color="auto"/>
              <w:right w:val="single" w:sz="4" w:space="0" w:color="auto"/>
            </w:tcBorders>
          </w:tcPr>
          <w:p w14:paraId="2B2C347F"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59E6C500" w14:textId="77777777" w:rsidR="000258CE" w:rsidRPr="009E49CE" w:rsidRDefault="000258CE">
            <w:pPr>
              <w:pStyle w:val="Tablecontent"/>
              <w:rPr>
                <w:lang w:val="en-US"/>
              </w:rPr>
            </w:pPr>
            <w:r w:rsidRPr="009E49CE">
              <w:rPr>
                <w:lang w:val="en-US"/>
              </w:rPr>
              <w:t>Anti-inflammatory and steroidal drops applied</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05207B2D" w14:textId="77777777" w:rsidR="000258CE" w:rsidRPr="009E49CE" w:rsidRDefault="000258CE">
            <w:pPr>
              <w:pStyle w:val="Tablecontent"/>
              <w:rPr>
                <w:lang w:val="en-US"/>
              </w:rPr>
            </w:pPr>
            <w:r w:rsidRPr="009E49CE">
              <w:rPr>
                <w:lang w:val="en-US"/>
              </w:rPr>
              <w:t>Anti-inflammatory and steroidal drops applied</w:t>
            </w:r>
          </w:p>
        </w:tc>
      </w:tr>
      <w:tr w:rsidR="000258CE" w:rsidRPr="009E49CE" w14:paraId="470BBBA7" w14:textId="77777777" w:rsidTr="006C70D1">
        <w:tc>
          <w:tcPr>
            <w:tcW w:w="520" w:type="pct"/>
            <w:vMerge/>
            <w:tcBorders>
              <w:left w:val="single" w:sz="4" w:space="0" w:color="auto"/>
              <w:bottom w:val="single" w:sz="4" w:space="0" w:color="auto"/>
              <w:right w:val="single" w:sz="4" w:space="0" w:color="auto"/>
            </w:tcBorders>
          </w:tcPr>
          <w:p w14:paraId="1C8856D9"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35789601" w14:textId="77777777" w:rsidR="000258CE" w:rsidRPr="009E49CE" w:rsidRDefault="000258CE">
            <w:pPr>
              <w:pStyle w:val="Tablecontent"/>
              <w:rPr>
                <w:lang w:val="en-US"/>
              </w:rPr>
            </w:pPr>
            <w:r w:rsidRPr="009E49CE">
              <w:rPr>
                <w:lang w:val="en-US"/>
              </w:rPr>
              <w:t>Eye patch applied</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6E1F6FAA" w14:textId="77777777" w:rsidR="000258CE" w:rsidRPr="009E49CE" w:rsidRDefault="000258CE">
            <w:pPr>
              <w:pStyle w:val="Tablecontent"/>
              <w:rPr>
                <w:lang w:val="en-US"/>
              </w:rPr>
            </w:pPr>
            <w:r w:rsidRPr="009E49CE">
              <w:rPr>
                <w:lang w:val="en-US"/>
              </w:rPr>
              <w:t>Eye patch applied</w:t>
            </w:r>
          </w:p>
        </w:tc>
      </w:tr>
      <w:tr w:rsidR="000258CE" w:rsidRPr="009E49CE" w14:paraId="0F0B474D" w14:textId="77777777" w:rsidTr="006C70D1">
        <w:tc>
          <w:tcPr>
            <w:tcW w:w="520" w:type="pct"/>
            <w:vMerge w:val="restart"/>
            <w:tcBorders>
              <w:top w:val="single" w:sz="4" w:space="0" w:color="auto"/>
              <w:left w:val="single" w:sz="4" w:space="0" w:color="auto"/>
              <w:right w:val="single" w:sz="4" w:space="0" w:color="auto"/>
            </w:tcBorders>
            <w:hideMark/>
          </w:tcPr>
          <w:p w14:paraId="282AC8EA" w14:textId="5AFE2FFB" w:rsidR="000258CE" w:rsidRPr="009E49CE" w:rsidRDefault="000258CE">
            <w:pPr>
              <w:pStyle w:val="Tablecontent"/>
              <w:rPr>
                <w:lang w:val="en-US"/>
              </w:rPr>
            </w:pPr>
            <w:r w:rsidRPr="009E49CE">
              <w:rPr>
                <w:lang w:val="en-US"/>
              </w:rPr>
              <w:t>Post</w:t>
            </w:r>
            <w:r w:rsidR="00EF597D">
              <w:rPr>
                <w:lang w:val="en-US"/>
              </w:rPr>
              <w:t xml:space="preserve"> </w:t>
            </w:r>
            <w:r w:rsidRPr="009E49CE">
              <w:rPr>
                <w:lang w:val="en-US"/>
              </w:rPr>
              <w:t xml:space="preserve">procedure </w:t>
            </w: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0C6A8B48" w14:textId="77777777" w:rsidR="000258CE" w:rsidRPr="009E49CE" w:rsidRDefault="000258CE">
            <w:pPr>
              <w:pStyle w:val="Tablecontent"/>
              <w:rPr>
                <w:lang w:val="en-US"/>
              </w:rPr>
            </w:pPr>
            <w:r w:rsidRPr="009E49CE">
              <w:rPr>
                <w:lang w:val="en-US"/>
              </w:rPr>
              <w:t>Anti-inflammatory and steroidal drops prescribed to patient for several weeks</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6E6E0D90" w14:textId="77777777" w:rsidR="000258CE" w:rsidRPr="009E49CE" w:rsidRDefault="000258CE">
            <w:pPr>
              <w:pStyle w:val="Tablecontent"/>
              <w:rPr>
                <w:lang w:val="en-US"/>
              </w:rPr>
            </w:pPr>
            <w:r w:rsidRPr="009E49CE">
              <w:rPr>
                <w:lang w:val="en-US"/>
              </w:rPr>
              <w:t>Anti-inflammatory and steroidal drops prescribed to patient for several weeks</w:t>
            </w:r>
          </w:p>
        </w:tc>
      </w:tr>
      <w:tr w:rsidR="000258CE" w:rsidRPr="009E49CE" w14:paraId="2118DFD7" w14:textId="77777777" w:rsidTr="006C70D1">
        <w:tc>
          <w:tcPr>
            <w:tcW w:w="520" w:type="pct"/>
            <w:vMerge/>
            <w:tcBorders>
              <w:left w:val="single" w:sz="4" w:space="0" w:color="auto"/>
              <w:bottom w:val="single" w:sz="4" w:space="0" w:color="auto"/>
              <w:right w:val="single" w:sz="4" w:space="0" w:color="auto"/>
            </w:tcBorders>
          </w:tcPr>
          <w:p w14:paraId="3EBAFD5C" w14:textId="77777777" w:rsidR="000258CE" w:rsidRPr="009E49CE" w:rsidRDefault="000258CE">
            <w:pPr>
              <w:pStyle w:val="Tablecontent"/>
              <w:rPr>
                <w:lang w:val="en-US"/>
              </w:rPr>
            </w:pPr>
          </w:p>
        </w:tc>
        <w:tc>
          <w:tcPr>
            <w:tcW w:w="2085" w:type="pct"/>
            <w:tcBorders>
              <w:top w:val="single" w:sz="4" w:space="0" w:color="auto"/>
              <w:left w:val="single" w:sz="4" w:space="0" w:color="auto"/>
              <w:bottom w:val="single" w:sz="4" w:space="0" w:color="auto"/>
              <w:right w:val="single" w:sz="4" w:space="0" w:color="auto"/>
            </w:tcBorders>
            <w:shd w:val="clear" w:color="auto" w:fill="BDFFBD"/>
            <w:hideMark/>
          </w:tcPr>
          <w:p w14:paraId="26968897" w14:textId="77777777" w:rsidR="000258CE" w:rsidRPr="009E49CE" w:rsidRDefault="000258CE">
            <w:pPr>
              <w:pStyle w:val="Tablecontent"/>
              <w:rPr>
                <w:lang w:val="en-US"/>
              </w:rPr>
            </w:pPr>
            <w:r w:rsidRPr="009E49CE">
              <w:rPr>
                <w:lang w:val="en-US"/>
              </w:rPr>
              <w:t>All glaucoma medication stopped</w:t>
            </w:r>
          </w:p>
        </w:tc>
        <w:tc>
          <w:tcPr>
            <w:tcW w:w="2395" w:type="pct"/>
            <w:tcBorders>
              <w:top w:val="single" w:sz="4" w:space="0" w:color="auto"/>
              <w:left w:val="single" w:sz="4" w:space="0" w:color="auto"/>
              <w:bottom w:val="single" w:sz="4" w:space="0" w:color="auto"/>
              <w:right w:val="single" w:sz="4" w:space="0" w:color="auto"/>
            </w:tcBorders>
            <w:shd w:val="clear" w:color="auto" w:fill="BDFFBD"/>
            <w:hideMark/>
          </w:tcPr>
          <w:p w14:paraId="7802DE58" w14:textId="77777777" w:rsidR="000258CE" w:rsidRPr="009E49CE" w:rsidRDefault="000258CE">
            <w:pPr>
              <w:pStyle w:val="Tablecontent"/>
              <w:rPr>
                <w:lang w:val="en-US"/>
              </w:rPr>
            </w:pPr>
            <w:r w:rsidRPr="009E49CE">
              <w:rPr>
                <w:lang w:val="en-US"/>
              </w:rPr>
              <w:t>All glaucoma medication stopped</w:t>
            </w:r>
          </w:p>
        </w:tc>
      </w:tr>
    </w:tbl>
    <w:p w14:paraId="4D101378" w14:textId="72D09832" w:rsidR="003929BC" w:rsidRPr="00617190" w:rsidRDefault="003929BC" w:rsidP="005A5194">
      <w:pPr>
        <w:pStyle w:val="Tablenotes0"/>
      </w:pPr>
      <w:r w:rsidRPr="003929BC">
        <w:rPr>
          <w:u w:val="single"/>
        </w:rPr>
        <w:t>Abbreviations</w:t>
      </w:r>
      <w:r w:rsidRPr="00617190">
        <w:t xml:space="preserve">: </w:t>
      </w:r>
      <w:r>
        <w:t xml:space="preserve">OVD = </w:t>
      </w:r>
      <w:r w:rsidRPr="003929BC">
        <w:t>Ophthalmic viscoelastic device</w:t>
      </w:r>
    </w:p>
    <w:p w14:paraId="4807F382" w14:textId="5E9D2137" w:rsidR="005A5194" w:rsidRDefault="005A5194" w:rsidP="005A5194">
      <w:pPr>
        <w:pStyle w:val="Tablenotes0"/>
      </w:pPr>
      <w:r w:rsidRPr="003929BC">
        <w:rPr>
          <w:u w:val="single"/>
        </w:rPr>
        <w:t>Source</w:t>
      </w:r>
      <w:r>
        <w:t>: Table 23 of ADAR submission</w:t>
      </w:r>
    </w:p>
    <w:p w14:paraId="58CFFBE4" w14:textId="7FE8C0A9" w:rsidR="000D03C1" w:rsidRDefault="000D03C1" w:rsidP="005A5194">
      <w:pPr>
        <w:pStyle w:val="Tablenotes0"/>
      </w:pPr>
      <w:r>
        <w:t xml:space="preserve">Green colouring represents similarities, yellow </w:t>
      </w:r>
      <w:r w:rsidR="00036AE7">
        <w:t xml:space="preserve">represents </w:t>
      </w:r>
      <w:proofErr w:type="gramStart"/>
      <w:r>
        <w:t>differences</w:t>
      </w:r>
      <w:proofErr w:type="gramEnd"/>
      <w:r>
        <w:t xml:space="preserve"> </w:t>
      </w:r>
    </w:p>
    <w:p w14:paraId="37AC3A65" w14:textId="279DE47E" w:rsidR="004415F4" w:rsidRDefault="005D1684" w:rsidP="004415F4">
      <w:r>
        <w:t>According to</w:t>
      </w:r>
      <w:r w:rsidR="004415F4">
        <w:t xml:space="preserve"> Section 3 of the MSAC</w:t>
      </w:r>
      <w:r w:rsidR="00FA7058">
        <w:t xml:space="preserve"> Guidelines</w:t>
      </w:r>
      <w:r w:rsidR="004415F4">
        <w:t>, a cost-minimisation approach should only be used when the proposed service has been demonstrated to be non</w:t>
      </w:r>
      <w:r w:rsidR="00733A09">
        <w:t>inferior</w:t>
      </w:r>
      <w:r w:rsidR="004415F4">
        <w:t xml:space="preserve"> to its main comparator(s) in terms of both effectiveness and safety. As noted </w:t>
      </w:r>
      <w:r w:rsidR="00D05163">
        <w:t>above</w:t>
      </w:r>
      <w:r w:rsidR="004415F4">
        <w:t xml:space="preserve">, the </w:t>
      </w:r>
      <w:r w:rsidR="001E68F5">
        <w:t>a</w:t>
      </w:r>
      <w:r w:rsidR="004415F4">
        <w:t xml:space="preserve">ssessment </w:t>
      </w:r>
      <w:r w:rsidR="001E68F5">
        <w:t>g</w:t>
      </w:r>
      <w:r w:rsidR="004415F4">
        <w:t>roup consider</w:t>
      </w:r>
      <w:r w:rsidR="00D05163">
        <w:t>ed</w:t>
      </w:r>
      <w:r w:rsidR="004415F4">
        <w:t xml:space="preserve"> there to be material uncertainty associated with the relative safety of </w:t>
      </w:r>
      <w:proofErr w:type="spellStart"/>
      <w:r w:rsidR="004415F4">
        <w:t>MINIject</w:t>
      </w:r>
      <w:proofErr w:type="spellEnd"/>
      <w:r w:rsidR="004415F4">
        <w:t xml:space="preserve"> compared with </w:t>
      </w:r>
      <w:proofErr w:type="spellStart"/>
      <w:r w:rsidR="004415F4">
        <w:t>iStent</w:t>
      </w:r>
      <w:proofErr w:type="spellEnd"/>
      <w:r w:rsidR="004415F4">
        <w:t xml:space="preserve"> (comparator).  </w:t>
      </w:r>
    </w:p>
    <w:p w14:paraId="7064B490" w14:textId="7384E7C2" w:rsidR="00844878" w:rsidRDefault="00A22FD4" w:rsidP="004415F4">
      <w:r>
        <w:t xml:space="preserve">While </w:t>
      </w:r>
      <w:r w:rsidR="004415F4">
        <w:t xml:space="preserve">the </w:t>
      </w:r>
      <w:r w:rsidR="001E68F5">
        <w:t>a</w:t>
      </w:r>
      <w:r w:rsidR="004415F4">
        <w:t xml:space="preserve">ssessment </w:t>
      </w:r>
      <w:r w:rsidR="001E68F5">
        <w:t>g</w:t>
      </w:r>
      <w:r w:rsidR="004415F4">
        <w:t>roup agree</w:t>
      </w:r>
      <w:r w:rsidR="001E68F5">
        <w:t>s</w:t>
      </w:r>
      <w:r w:rsidR="004415F4">
        <w:t xml:space="preserve"> that a cost-minimisation approach may be reasonable</w:t>
      </w:r>
      <w:r w:rsidR="00EB74B8">
        <w:t xml:space="preserve"> given the similarity in the </w:t>
      </w:r>
      <w:r w:rsidR="00C50DF1">
        <w:t>delivery and implementation</w:t>
      </w:r>
      <w:r w:rsidR="000C3756">
        <w:t xml:space="preserve"> of the two </w:t>
      </w:r>
      <w:r w:rsidR="00C50DF1">
        <w:t>devices</w:t>
      </w:r>
      <w:r w:rsidR="00A741BA">
        <w:t xml:space="preserve"> (see </w:t>
      </w:r>
      <w:r w:rsidR="00A741BA">
        <w:fldChar w:fldCharType="begin"/>
      </w:r>
      <w:r w:rsidR="00A741BA">
        <w:instrText xml:space="preserve"> REF _Ref151045095 \h </w:instrText>
      </w:r>
      <w:r w:rsidR="00A741BA">
        <w:fldChar w:fldCharType="separate"/>
      </w:r>
      <w:r w:rsidR="003C61D8">
        <w:t>Table</w:t>
      </w:r>
      <w:r w:rsidR="003C61D8" w:rsidRPr="0001290C">
        <w:t> </w:t>
      </w:r>
      <w:r w:rsidR="003C61D8">
        <w:rPr>
          <w:noProof/>
        </w:rPr>
        <w:t>15</w:t>
      </w:r>
      <w:r w:rsidR="00A741BA">
        <w:fldChar w:fldCharType="end"/>
      </w:r>
      <w:r w:rsidR="00A741BA">
        <w:t>)</w:t>
      </w:r>
      <w:r w:rsidR="004415F4">
        <w:t xml:space="preserve">, further analysis of the relative safety of </w:t>
      </w:r>
      <w:proofErr w:type="spellStart"/>
      <w:r w:rsidR="004415F4">
        <w:t>MINIject</w:t>
      </w:r>
      <w:proofErr w:type="spellEnd"/>
      <w:r w:rsidR="004415F4">
        <w:t xml:space="preserve"> compared with </w:t>
      </w:r>
      <w:proofErr w:type="spellStart"/>
      <w:r w:rsidR="004415F4">
        <w:t>iStent</w:t>
      </w:r>
      <w:proofErr w:type="spellEnd"/>
      <w:r w:rsidR="004415F4">
        <w:t xml:space="preserve"> is required to ensure that the assumption of noninferiority, with respect to both effectiveness and safety, is met.</w:t>
      </w:r>
      <w:r w:rsidR="009A1130">
        <w:t xml:space="preserve"> Furthermore, t</w:t>
      </w:r>
      <w:r w:rsidR="004415F4">
        <w:t>he applicant has provided little to no discussion on the cost of managing</w:t>
      </w:r>
      <w:r w:rsidR="00F75A73">
        <w:t xml:space="preserve"> AEs</w:t>
      </w:r>
      <w:r w:rsidR="004415F4">
        <w:t xml:space="preserve">, or </w:t>
      </w:r>
      <w:r w:rsidR="00F75A73">
        <w:t xml:space="preserve">the </w:t>
      </w:r>
      <w:r w:rsidR="004415F4">
        <w:t>reduced health-related quality of life associated with</w:t>
      </w:r>
      <w:r w:rsidR="00F75A73">
        <w:t xml:space="preserve"> these</w:t>
      </w:r>
      <w:r w:rsidR="004415F4">
        <w:t xml:space="preserve">. Understanding these impacts may aid in the quantification of the uncertainty associated with the comparative safety profile of </w:t>
      </w:r>
      <w:proofErr w:type="spellStart"/>
      <w:r w:rsidR="004415F4">
        <w:t>MINIject</w:t>
      </w:r>
      <w:proofErr w:type="spellEnd"/>
      <w:r w:rsidR="004415F4">
        <w:t>.</w:t>
      </w:r>
    </w:p>
    <w:p w14:paraId="2274266B" w14:textId="1BE41091" w:rsidR="00CE56AC" w:rsidRDefault="00A22FD4" w:rsidP="004415F4">
      <w:r>
        <w:t>While</w:t>
      </w:r>
      <w:r w:rsidRPr="00B0046D">
        <w:t xml:space="preserve"> </w:t>
      </w:r>
      <w:r w:rsidR="009A1130" w:rsidRPr="00B0046D">
        <w:t xml:space="preserve">the </w:t>
      </w:r>
      <w:r w:rsidR="00CF75C8">
        <w:t>a</w:t>
      </w:r>
      <w:r w:rsidR="009A1130" w:rsidRPr="00B0046D">
        <w:t xml:space="preserve">ssessment </w:t>
      </w:r>
      <w:r w:rsidR="00CF75C8">
        <w:t>g</w:t>
      </w:r>
      <w:r w:rsidR="009A1130" w:rsidRPr="00B0046D">
        <w:t>roup accept</w:t>
      </w:r>
      <w:r w:rsidR="000C7D92">
        <w:t>ed</w:t>
      </w:r>
      <w:r w:rsidR="009A1130" w:rsidRPr="00B0046D">
        <w:t xml:space="preserve"> the conclusions of the applicant regarding the comparability of the surgical procedures for the </w:t>
      </w:r>
      <w:proofErr w:type="spellStart"/>
      <w:r w:rsidR="009A1130" w:rsidRPr="00B0046D">
        <w:t>MINIject</w:t>
      </w:r>
      <w:proofErr w:type="spellEnd"/>
      <w:r w:rsidR="009A1130" w:rsidRPr="00B0046D">
        <w:t xml:space="preserve"> and </w:t>
      </w:r>
      <w:proofErr w:type="spellStart"/>
      <w:r w:rsidR="009A1130" w:rsidRPr="00B0046D">
        <w:t>iStent</w:t>
      </w:r>
      <w:proofErr w:type="spellEnd"/>
      <w:r w:rsidR="009A1130" w:rsidRPr="00B0046D">
        <w:t xml:space="preserve"> MBGS device, </w:t>
      </w:r>
      <w:r w:rsidR="00B0046D" w:rsidRPr="00B0046D">
        <w:t xml:space="preserve">the </w:t>
      </w:r>
      <w:r w:rsidR="00CF75C8">
        <w:t>a</w:t>
      </w:r>
      <w:r w:rsidR="00B0046D" w:rsidRPr="00B0046D">
        <w:t xml:space="preserve">ssessment </w:t>
      </w:r>
      <w:r w:rsidR="00CF75C8">
        <w:t>g</w:t>
      </w:r>
      <w:r w:rsidR="00B0046D" w:rsidRPr="00B0046D">
        <w:t>roup c</w:t>
      </w:r>
      <w:r w:rsidR="000C7D92">
        <w:t xml:space="preserve">ould </w:t>
      </w:r>
      <w:r w:rsidR="00B0046D" w:rsidRPr="00B0046D">
        <w:t xml:space="preserve">not conclude with confidence that an equivalent MBS fee of $329.40 (consistent with MBS item 42504) </w:t>
      </w:r>
      <w:r w:rsidR="00CF548B">
        <w:t>wa</w:t>
      </w:r>
      <w:r w:rsidR="00B0046D" w:rsidRPr="00B0046D">
        <w:t xml:space="preserve">s </w:t>
      </w:r>
      <w:r w:rsidR="00287CD4">
        <w:t>justified</w:t>
      </w:r>
      <w:r w:rsidR="00B0046D" w:rsidRPr="00B0046D">
        <w:t xml:space="preserve"> given </w:t>
      </w:r>
      <w:r w:rsidR="009A1130" w:rsidRPr="00B0046D">
        <w:t xml:space="preserve">the </w:t>
      </w:r>
      <w:r w:rsidR="00B0046D" w:rsidRPr="00B0046D">
        <w:t xml:space="preserve">uncertainty of the comparative safety profile of </w:t>
      </w:r>
      <w:proofErr w:type="spellStart"/>
      <w:r w:rsidR="00B0046D" w:rsidRPr="00B0046D">
        <w:t>MINIject</w:t>
      </w:r>
      <w:proofErr w:type="spellEnd"/>
      <w:r w:rsidR="00B0046D" w:rsidRPr="00B0046D">
        <w:t>.</w:t>
      </w:r>
    </w:p>
    <w:p w14:paraId="5EFB0E30" w14:textId="0815FBEC" w:rsidR="00296395" w:rsidRPr="00275407" w:rsidRDefault="003F3827" w:rsidP="00CF2BF0">
      <w:pPr>
        <w:pStyle w:val="Tablenotes0"/>
        <w:jc w:val="left"/>
        <w:rPr>
          <w:rFonts w:ascii="Franklin Gothic Book" w:hAnsi="Franklin Gothic Book" w:cstheme="minorBidi"/>
          <w:sz w:val="22"/>
        </w:rPr>
      </w:pPr>
      <w:r w:rsidRPr="00275407">
        <w:rPr>
          <w:rFonts w:ascii="Franklin Gothic Book" w:hAnsi="Franklin Gothic Book" w:cstheme="minorBidi"/>
          <w:sz w:val="22"/>
        </w:rPr>
        <w:t xml:space="preserve">In the secondary analysis, </w:t>
      </w:r>
      <w:r w:rsidR="0050578C" w:rsidRPr="00275407">
        <w:rPr>
          <w:rFonts w:ascii="Franklin Gothic Book" w:hAnsi="Franklin Gothic Book" w:cstheme="minorBidi"/>
          <w:sz w:val="22"/>
        </w:rPr>
        <w:t xml:space="preserve">the </w:t>
      </w:r>
      <w:r w:rsidR="00E5060B" w:rsidRPr="00275407">
        <w:rPr>
          <w:rFonts w:ascii="Franklin Gothic Book" w:hAnsi="Franklin Gothic Book" w:cstheme="minorBidi"/>
          <w:sz w:val="22"/>
        </w:rPr>
        <w:t>applicant</w:t>
      </w:r>
      <w:r w:rsidRPr="00275407">
        <w:rPr>
          <w:rFonts w:ascii="Franklin Gothic Book" w:hAnsi="Franklin Gothic Book" w:cstheme="minorBidi"/>
          <w:sz w:val="22"/>
        </w:rPr>
        <w:t xml:space="preserve"> has estimated </w:t>
      </w:r>
      <w:r w:rsidR="00CA06D7" w:rsidRPr="00275407">
        <w:rPr>
          <w:rFonts w:ascii="Franklin Gothic Book" w:hAnsi="Franklin Gothic Book" w:cstheme="minorBidi"/>
          <w:sz w:val="22"/>
        </w:rPr>
        <w:t xml:space="preserve">an </w:t>
      </w:r>
      <w:r w:rsidRPr="00275407">
        <w:rPr>
          <w:rFonts w:ascii="Franklin Gothic Book" w:hAnsi="Franklin Gothic Book" w:cstheme="minorBidi"/>
          <w:sz w:val="22"/>
        </w:rPr>
        <w:t>additional cost saving</w:t>
      </w:r>
      <w:r w:rsidR="00CA06D7" w:rsidRPr="00275407">
        <w:rPr>
          <w:rFonts w:ascii="Franklin Gothic Book" w:hAnsi="Franklin Gothic Book" w:cstheme="minorBidi"/>
          <w:sz w:val="22"/>
        </w:rPr>
        <w:t xml:space="preserve"> </w:t>
      </w:r>
      <w:r w:rsidR="0050578C" w:rsidRPr="00275407">
        <w:rPr>
          <w:rFonts w:ascii="Franklin Gothic Book" w:hAnsi="Franklin Gothic Book" w:cstheme="minorBidi"/>
          <w:sz w:val="22"/>
        </w:rPr>
        <w:t xml:space="preserve">of $585.84 per patient in the first 2 years </w:t>
      </w:r>
      <w:r w:rsidR="006A6292" w:rsidRPr="00275407">
        <w:rPr>
          <w:rFonts w:ascii="Franklin Gothic Book" w:hAnsi="Franklin Gothic Book" w:cstheme="minorBidi"/>
          <w:sz w:val="22"/>
        </w:rPr>
        <w:t>after</w:t>
      </w:r>
      <w:r w:rsidR="0050578C" w:rsidRPr="00275407">
        <w:rPr>
          <w:rFonts w:ascii="Franklin Gothic Book" w:hAnsi="Franklin Gothic Book" w:cstheme="minorBidi"/>
          <w:sz w:val="22"/>
        </w:rPr>
        <w:t xml:space="preserve"> standalone MBGS, as</w:t>
      </w:r>
      <w:r w:rsidR="00E36CF7" w:rsidRPr="00275407">
        <w:rPr>
          <w:rFonts w:ascii="Franklin Gothic Book" w:hAnsi="Franklin Gothic Book" w:cstheme="minorBidi"/>
          <w:sz w:val="22"/>
        </w:rPr>
        <w:t xml:space="preserve"> a result of </w:t>
      </w:r>
      <w:r w:rsidR="0050578C" w:rsidRPr="00275407">
        <w:rPr>
          <w:rFonts w:ascii="Franklin Gothic Book" w:hAnsi="Franklin Gothic Book" w:cstheme="minorBidi"/>
          <w:sz w:val="22"/>
        </w:rPr>
        <w:t>reductions in IOP-lowering medication and</w:t>
      </w:r>
      <w:r w:rsidR="00651F26">
        <w:rPr>
          <w:rFonts w:ascii="Franklin Gothic Book" w:hAnsi="Franklin Gothic Book" w:cstheme="minorBidi"/>
          <w:sz w:val="22"/>
        </w:rPr>
        <w:t xml:space="preserve"> ocular surface disease</w:t>
      </w:r>
      <w:r w:rsidR="0050578C" w:rsidRPr="00275407">
        <w:rPr>
          <w:rFonts w:ascii="Franklin Gothic Book" w:hAnsi="Franklin Gothic Book" w:cstheme="minorBidi"/>
          <w:sz w:val="22"/>
        </w:rPr>
        <w:t xml:space="preserve"> </w:t>
      </w:r>
      <w:r w:rsidR="00651F26">
        <w:rPr>
          <w:rFonts w:ascii="Franklin Gothic Book" w:hAnsi="Franklin Gothic Book" w:cstheme="minorBidi"/>
          <w:sz w:val="22"/>
        </w:rPr>
        <w:t>(</w:t>
      </w:r>
      <w:r w:rsidR="0050578C" w:rsidRPr="00275407">
        <w:rPr>
          <w:rFonts w:ascii="Franklin Gothic Book" w:hAnsi="Franklin Gothic Book" w:cstheme="minorBidi"/>
          <w:sz w:val="22"/>
        </w:rPr>
        <w:t>OSD</w:t>
      </w:r>
      <w:r w:rsidR="00651F26">
        <w:rPr>
          <w:rFonts w:ascii="Franklin Gothic Book" w:hAnsi="Franklin Gothic Book" w:cstheme="minorBidi"/>
          <w:sz w:val="22"/>
        </w:rPr>
        <w:t>)</w:t>
      </w:r>
      <w:r w:rsidR="0050578C" w:rsidRPr="00275407">
        <w:rPr>
          <w:rFonts w:ascii="Franklin Gothic Book" w:hAnsi="Franklin Gothic Book" w:cstheme="minorBidi"/>
          <w:sz w:val="22"/>
        </w:rPr>
        <w:t xml:space="preserve"> treatment costs</w:t>
      </w:r>
      <w:r w:rsidR="00735DE4" w:rsidRPr="00275407">
        <w:rPr>
          <w:rFonts w:ascii="Franklin Gothic Book" w:hAnsi="Franklin Gothic Book" w:cstheme="minorBidi"/>
          <w:sz w:val="22"/>
        </w:rPr>
        <w:t xml:space="preserve"> of </w:t>
      </w:r>
      <w:proofErr w:type="spellStart"/>
      <w:r w:rsidR="00922B14" w:rsidRPr="00275407">
        <w:rPr>
          <w:rFonts w:ascii="Franklin Gothic Book" w:hAnsi="Franklin Gothic Book" w:cstheme="minorBidi"/>
          <w:sz w:val="22"/>
        </w:rPr>
        <w:t>MINIject</w:t>
      </w:r>
      <w:proofErr w:type="spellEnd"/>
      <w:r w:rsidR="00922B14" w:rsidRPr="00275407">
        <w:rPr>
          <w:rFonts w:ascii="Franklin Gothic Book" w:hAnsi="Franklin Gothic Book" w:cstheme="minorBidi"/>
          <w:sz w:val="22"/>
        </w:rPr>
        <w:t xml:space="preserve"> </w:t>
      </w:r>
      <w:r w:rsidR="00735DE4" w:rsidRPr="00275407">
        <w:rPr>
          <w:rFonts w:ascii="Franklin Gothic Book" w:hAnsi="Franklin Gothic Book" w:cstheme="minorBidi"/>
          <w:sz w:val="22"/>
        </w:rPr>
        <w:t xml:space="preserve">versus </w:t>
      </w:r>
      <w:proofErr w:type="spellStart"/>
      <w:r w:rsidR="00735DE4" w:rsidRPr="00275407">
        <w:rPr>
          <w:rFonts w:ascii="Franklin Gothic Book" w:hAnsi="Franklin Gothic Book" w:cstheme="minorBidi"/>
          <w:sz w:val="22"/>
        </w:rPr>
        <w:t>iStent</w:t>
      </w:r>
      <w:proofErr w:type="spellEnd"/>
      <w:r w:rsidR="0050578C" w:rsidRPr="00275407">
        <w:rPr>
          <w:rFonts w:ascii="Franklin Gothic Book" w:hAnsi="Franklin Gothic Book" w:cstheme="minorBidi"/>
          <w:sz w:val="22"/>
        </w:rPr>
        <w:t xml:space="preserve">. </w:t>
      </w:r>
      <w:r w:rsidR="00296395" w:rsidRPr="00275407">
        <w:rPr>
          <w:rFonts w:ascii="Franklin Gothic Book" w:hAnsi="Franklin Gothic Book" w:cstheme="minorBidi"/>
          <w:sz w:val="22"/>
        </w:rPr>
        <w:t xml:space="preserve">This cost saving comprised </w:t>
      </w:r>
      <w:r w:rsidR="00D82DB9" w:rsidRPr="00275407">
        <w:rPr>
          <w:rFonts w:ascii="Franklin Gothic Book" w:hAnsi="Franklin Gothic Book" w:cstheme="minorBidi"/>
          <w:sz w:val="22"/>
        </w:rPr>
        <w:t>a</w:t>
      </w:r>
      <w:r w:rsidR="00296395" w:rsidRPr="00275407">
        <w:rPr>
          <w:rFonts w:ascii="Franklin Gothic Book" w:hAnsi="Franklin Gothic Book" w:cstheme="minorBidi"/>
          <w:sz w:val="22"/>
        </w:rPr>
        <w:t xml:space="preserve"> </w:t>
      </w:r>
      <w:r w:rsidR="004B54AC" w:rsidRPr="00275407">
        <w:rPr>
          <w:rFonts w:ascii="Franklin Gothic Book" w:hAnsi="Franklin Gothic Book" w:cstheme="minorBidi"/>
          <w:sz w:val="22"/>
        </w:rPr>
        <w:t xml:space="preserve">reduction of </w:t>
      </w:r>
      <w:r w:rsidR="00296395" w:rsidRPr="00275407">
        <w:rPr>
          <w:rFonts w:ascii="Franklin Gothic Book" w:hAnsi="Franklin Gothic Book" w:cstheme="minorBidi"/>
          <w:sz w:val="22"/>
        </w:rPr>
        <w:t>$</w:t>
      </w:r>
      <w:r w:rsidR="00481878" w:rsidRPr="00275407">
        <w:rPr>
          <w:rFonts w:ascii="Franklin Gothic Book" w:hAnsi="Franklin Gothic Book" w:cstheme="minorBidi"/>
          <w:sz w:val="22"/>
        </w:rPr>
        <w:t>345.26</w:t>
      </w:r>
      <w:r w:rsidR="00FE4B07" w:rsidRPr="00275407">
        <w:rPr>
          <w:rFonts w:ascii="Franklin Gothic Book" w:hAnsi="Franklin Gothic Book" w:cstheme="minorBidi"/>
          <w:sz w:val="22"/>
        </w:rPr>
        <w:t xml:space="preserve"> resulting from</w:t>
      </w:r>
      <w:r w:rsidR="002627B3" w:rsidRPr="00275407">
        <w:rPr>
          <w:rFonts w:ascii="Franklin Gothic Book" w:hAnsi="Franklin Gothic Book" w:cstheme="minorBidi"/>
          <w:sz w:val="22"/>
        </w:rPr>
        <w:t xml:space="preserve"> </w:t>
      </w:r>
      <w:r w:rsidR="00481878" w:rsidRPr="00275407">
        <w:rPr>
          <w:rFonts w:ascii="Franklin Gothic Book" w:hAnsi="Franklin Gothic Book" w:cstheme="minorBidi"/>
          <w:sz w:val="22"/>
        </w:rPr>
        <w:t xml:space="preserve">a mean change in the number of IOP-lowering medications </w:t>
      </w:r>
      <w:r w:rsidR="00FE4B07" w:rsidRPr="00275407">
        <w:rPr>
          <w:rFonts w:ascii="Franklin Gothic Book" w:hAnsi="Franklin Gothic Book" w:cstheme="minorBidi"/>
          <w:sz w:val="22"/>
        </w:rPr>
        <w:t>of</w:t>
      </w:r>
      <w:r w:rsidR="00481878" w:rsidRPr="00275407">
        <w:rPr>
          <w:rFonts w:ascii="Franklin Gothic Book" w:hAnsi="Franklin Gothic Book" w:cstheme="minorBidi"/>
          <w:sz w:val="22"/>
        </w:rPr>
        <w:t xml:space="preserve"> -0.48 (95% CI -1.21, 0.25) at 24 months, and a further $240.58 from reduced OSD </w:t>
      </w:r>
      <w:r w:rsidR="000B4A33" w:rsidRPr="00275407">
        <w:rPr>
          <w:rFonts w:ascii="Franklin Gothic Book" w:hAnsi="Franklin Gothic Book" w:cstheme="minorBidi"/>
          <w:sz w:val="22"/>
        </w:rPr>
        <w:t>treatment costs</w:t>
      </w:r>
      <w:r w:rsidR="006251EE" w:rsidRPr="00275407">
        <w:rPr>
          <w:rFonts w:ascii="Franklin Gothic Book" w:hAnsi="Franklin Gothic Book" w:cstheme="minorBidi"/>
          <w:sz w:val="22"/>
        </w:rPr>
        <w:t xml:space="preserve"> </w:t>
      </w:r>
      <w:r w:rsidR="000E3435">
        <w:rPr>
          <w:rFonts w:ascii="Franklin Gothic Book" w:hAnsi="Franklin Gothic Book" w:cstheme="minorBidi"/>
          <w:sz w:val="22"/>
        </w:rPr>
        <w:t>(</w:t>
      </w:r>
      <w:r w:rsidR="008F790C" w:rsidRPr="00275407">
        <w:rPr>
          <w:rFonts w:ascii="Franklin Gothic Book" w:hAnsi="Franklin Gothic Book" w:cstheme="minorBidi"/>
          <w:sz w:val="22"/>
        </w:rPr>
        <w:fldChar w:fldCharType="begin"/>
      </w:r>
      <w:r w:rsidR="008F790C" w:rsidRPr="00275407">
        <w:rPr>
          <w:rFonts w:ascii="Franklin Gothic Book" w:hAnsi="Franklin Gothic Book" w:cstheme="minorBidi"/>
          <w:sz w:val="22"/>
        </w:rPr>
        <w:instrText xml:space="preserve"> REF _Ref155342837 \h </w:instrText>
      </w:r>
      <w:r w:rsidR="00275407">
        <w:rPr>
          <w:rFonts w:ascii="Franklin Gothic Book" w:hAnsi="Franklin Gothic Book" w:cstheme="minorBidi"/>
          <w:sz w:val="22"/>
        </w:rPr>
        <w:instrText xml:space="preserve"> \* MERGEFORMAT </w:instrText>
      </w:r>
      <w:r w:rsidR="008F790C" w:rsidRPr="00275407">
        <w:rPr>
          <w:rFonts w:ascii="Franklin Gothic Book" w:hAnsi="Franklin Gothic Book" w:cstheme="minorBidi"/>
          <w:sz w:val="22"/>
        </w:rPr>
      </w:r>
      <w:r w:rsidR="008F790C" w:rsidRPr="00275407">
        <w:rPr>
          <w:rFonts w:ascii="Franklin Gothic Book" w:hAnsi="Franklin Gothic Book" w:cstheme="minorBidi"/>
          <w:sz w:val="22"/>
        </w:rPr>
        <w:fldChar w:fldCharType="separate"/>
      </w:r>
      <w:r w:rsidR="003C61D8" w:rsidRPr="003C61D8">
        <w:rPr>
          <w:rFonts w:ascii="Franklin Gothic Book" w:hAnsi="Franklin Gothic Book" w:cstheme="minorBidi"/>
          <w:sz w:val="22"/>
        </w:rPr>
        <w:t>Table 16</w:t>
      </w:r>
      <w:r w:rsidR="008F790C" w:rsidRPr="00275407">
        <w:rPr>
          <w:rFonts w:ascii="Franklin Gothic Book" w:hAnsi="Franklin Gothic Book" w:cstheme="minorBidi"/>
          <w:sz w:val="22"/>
        </w:rPr>
        <w:fldChar w:fldCharType="end"/>
      </w:r>
      <w:r w:rsidR="006251EE" w:rsidRPr="00275407">
        <w:rPr>
          <w:rFonts w:ascii="Franklin Gothic Book" w:hAnsi="Franklin Gothic Book" w:cstheme="minorBidi"/>
          <w:sz w:val="22"/>
        </w:rPr>
        <w:t xml:space="preserve"> and</w:t>
      </w:r>
      <w:r w:rsidR="005B3E67" w:rsidRPr="00275407">
        <w:rPr>
          <w:rFonts w:ascii="Franklin Gothic Book" w:hAnsi="Franklin Gothic Book" w:cstheme="minorBidi"/>
          <w:sz w:val="22"/>
        </w:rPr>
        <w:t xml:space="preserve"> </w:t>
      </w:r>
      <w:r w:rsidR="00275407" w:rsidRPr="00275407">
        <w:rPr>
          <w:rFonts w:ascii="Franklin Gothic Book" w:hAnsi="Franklin Gothic Book" w:cstheme="minorBidi"/>
          <w:sz w:val="22"/>
        </w:rPr>
        <w:fldChar w:fldCharType="begin"/>
      </w:r>
      <w:r w:rsidR="00275407" w:rsidRPr="00275407">
        <w:rPr>
          <w:rFonts w:ascii="Franklin Gothic Book" w:hAnsi="Franklin Gothic Book" w:cstheme="minorBidi"/>
          <w:sz w:val="22"/>
        </w:rPr>
        <w:instrText xml:space="preserve"> REF _Ref155535414 \h </w:instrText>
      </w:r>
      <w:r w:rsidR="00275407">
        <w:rPr>
          <w:rFonts w:ascii="Franklin Gothic Book" w:hAnsi="Franklin Gothic Book" w:cstheme="minorBidi"/>
          <w:sz w:val="22"/>
        </w:rPr>
        <w:instrText xml:space="preserve"> \* MERGEFORMAT </w:instrText>
      </w:r>
      <w:r w:rsidR="00275407" w:rsidRPr="00275407">
        <w:rPr>
          <w:rFonts w:ascii="Franklin Gothic Book" w:hAnsi="Franklin Gothic Book" w:cstheme="minorBidi"/>
          <w:sz w:val="22"/>
        </w:rPr>
      </w:r>
      <w:r w:rsidR="00275407" w:rsidRPr="00275407">
        <w:rPr>
          <w:rFonts w:ascii="Franklin Gothic Book" w:hAnsi="Franklin Gothic Book" w:cstheme="minorBidi"/>
          <w:sz w:val="22"/>
        </w:rPr>
        <w:fldChar w:fldCharType="separate"/>
      </w:r>
      <w:r w:rsidR="003C61D8" w:rsidRPr="003C61D8">
        <w:rPr>
          <w:rFonts w:ascii="Franklin Gothic Book" w:hAnsi="Franklin Gothic Book" w:cstheme="minorBidi"/>
          <w:sz w:val="22"/>
        </w:rPr>
        <w:t>Table 17</w:t>
      </w:r>
      <w:r w:rsidR="00275407" w:rsidRPr="00275407">
        <w:rPr>
          <w:rFonts w:ascii="Franklin Gothic Book" w:hAnsi="Franklin Gothic Book" w:cstheme="minorBidi"/>
          <w:sz w:val="22"/>
        </w:rPr>
        <w:fldChar w:fldCharType="end"/>
      </w:r>
      <w:r w:rsidR="000E3435">
        <w:rPr>
          <w:rFonts w:ascii="Franklin Gothic Book" w:hAnsi="Franklin Gothic Book" w:cstheme="minorBidi"/>
          <w:sz w:val="22"/>
        </w:rPr>
        <w:t>)</w:t>
      </w:r>
      <w:r w:rsidR="00275407">
        <w:rPr>
          <w:rFonts w:ascii="Franklin Gothic Book" w:hAnsi="Franklin Gothic Book" w:cstheme="minorBidi"/>
          <w:sz w:val="22"/>
        </w:rPr>
        <w:t>.</w:t>
      </w:r>
    </w:p>
    <w:p w14:paraId="32640F1E" w14:textId="21962C13" w:rsidR="00AA6F00" w:rsidRDefault="00AA6F00" w:rsidP="00A96F25">
      <w:pPr>
        <w:pStyle w:val="Caption"/>
        <w:keepLines/>
      </w:pPr>
      <w:bookmarkStart w:id="41" w:name="_Ref155342837"/>
      <w:r>
        <w:t>Table</w:t>
      </w:r>
      <w:r w:rsidR="000A052E" w:rsidRPr="0001290C">
        <w:t> </w:t>
      </w:r>
      <w:r>
        <w:fldChar w:fldCharType="begin"/>
      </w:r>
      <w:r>
        <w:instrText>SEQ Table \* ARABIC</w:instrText>
      </w:r>
      <w:r>
        <w:fldChar w:fldCharType="separate"/>
      </w:r>
      <w:r w:rsidR="003C61D8">
        <w:rPr>
          <w:noProof/>
        </w:rPr>
        <w:t>16</w:t>
      </w:r>
      <w:r>
        <w:fldChar w:fldCharType="end"/>
      </w:r>
      <w:bookmarkEnd w:id="41"/>
      <w:r w:rsidR="000A052E">
        <w:tab/>
      </w:r>
      <w:r>
        <w:t xml:space="preserve">Cost savings associated with reductions in </w:t>
      </w:r>
      <w:r w:rsidR="0099460B">
        <w:t>intraocular pressure</w:t>
      </w:r>
      <w:r>
        <w:t xml:space="preserve">-lowering medication as presented in ADAR </w:t>
      </w:r>
      <w:proofErr w:type="gramStart"/>
      <w:r>
        <w:t>submission</w:t>
      </w:r>
      <w:proofErr w:type="gramEnd"/>
    </w:p>
    <w:tbl>
      <w:tblPr>
        <w:tblStyle w:val="TableGrid"/>
        <w:tblW w:w="0" w:type="auto"/>
        <w:tblLook w:val="04A0" w:firstRow="1" w:lastRow="0" w:firstColumn="1" w:lastColumn="0" w:noHBand="0" w:noVBand="1"/>
      </w:tblPr>
      <w:tblGrid>
        <w:gridCol w:w="704"/>
        <w:gridCol w:w="3470"/>
        <w:gridCol w:w="1005"/>
        <w:gridCol w:w="3837"/>
      </w:tblGrid>
      <w:tr w:rsidR="00AA6F00" w:rsidRPr="008C2A01" w14:paraId="38039AE1" w14:textId="77777777" w:rsidTr="00617190">
        <w:trPr>
          <w:trHeight w:val="300"/>
        </w:trPr>
        <w:tc>
          <w:tcPr>
            <w:tcW w:w="704" w:type="dxa"/>
          </w:tcPr>
          <w:p w14:paraId="25B1A126" w14:textId="77777777" w:rsidR="00AA6F00" w:rsidRDefault="00AA6F00" w:rsidP="00A96F25">
            <w:pPr>
              <w:pStyle w:val="TableHeading0"/>
              <w:keepNext/>
              <w:keepLines/>
            </w:pPr>
            <w:r>
              <w:t>Step</w:t>
            </w:r>
          </w:p>
        </w:tc>
        <w:tc>
          <w:tcPr>
            <w:tcW w:w="3470" w:type="dxa"/>
            <w:noWrap/>
            <w:hideMark/>
          </w:tcPr>
          <w:p w14:paraId="2A7FE9A0" w14:textId="77777777" w:rsidR="00AA6F00" w:rsidRPr="008C2A01" w:rsidRDefault="00AA6F00" w:rsidP="00A96F25">
            <w:pPr>
              <w:pStyle w:val="TableHeading0"/>
              <w:keepNext/>
              <w:keepLines/>
            </w:pPr>
            <w:r>
              <w:t>Input</w:t>
            </w:r>
          </w:p>
        </w:tc>
        <w:tc>
          <w:tcPr>
            <w:tcW w:w="1005" w:type="dxa"/>
            <w:noWrap/>
            <w:hideMark/>
          </w:tcPr>
          <w:p w14:paraId="08326928" w14:textId="77777777" w:rsidR="00AA6F00" w:rsidRPr="008C2A01" w:rsidRDefault="00AA6F00" w:rsidP="00A96F25">
            <w:pPr>
              <w:pStyle w:val="TableHeading0"/>
              <w:keepNext/>
              <w:keepLines/>
            </w:pPr>
            <w:r>
              <w:t>Value</w:t>
            </w:r>
          </w:p>
        </w:tc>
        <w:tc>
          <w:tcPr>
            <w:tcW w:w="3837" w:type="dxa"/>
            <w:noWrap/>
            <w:hideMark/>
          </w:tcPr>
          <w:p w14:paraId="10F8E8B1" w14:textId="77777777" w:rsidR="00AA6F00" w:rsidRPr="008C2A01" w:rsidRDefault="00AA6F00" w:rsidP="00A96F25">
            <w:pPr>
              <w:pStyle w:val="TableHeading0"/>
              <w:keepNext/>
              <w:keepLines/>
            </w:pPr>
            <w:r>
              <w:t>Source</w:t>
            </w:r>
          </w:p>
        </w:tc>
      </w:tr>
      <w:tr w:rsidR="00AA6F00" w:rsidRPr="0091517D" w14:paraId="45FFABC3" w14:textId="77777777" w:rsidTr="00617190">
        <w:trPr>
          <w:trHeight w:val="300"/>
        </w:trPr>
        <w:tc>
          <w:tcPr>
            <w:tcW w:w="704" w:type="dxa"/>
          </w:tcPr>
          <w:p w14:paraId="7D5975A3" w14:textId="77777777" w:rsidR="00AA6F00" w:rsidRDefault="00AA6F00" w:rsidP="00A96F25">
            <w:pPr>
              <w:pStyle w:val="KMC16-Tablecontent"/>
              <w:keepNext/>
              <w:keepLines/>
            </w:pPr>
            <w:r>
              <w:t>a</w:t>
            </w:r>
          </w:p>
        </w:tc>
        <w:tc>
          <w:tcPr>
            <w:tcW w:w="3470" w:type="dxa"/>
            <w:noWrap/>
            <w:hideMark/>
          </w:tcPr>
          <w:p w14:paraId="6C02EE7D" w14:textId="77777777" w:rsidR="00AA6F00" w:rsidRPr="008C2A01" w:rsidRDefault="00AA6F00" w:rsidP="00A96F25">
            <w:pPr>
              <w:pStyle w:val="KMC16-Tablecontent"/>
              <w:keepNext/>
              <w:keepLines/>
            </w:pPr>
            <w:r>
              <w:t xml:space="preserve">Lumigan </w:t>
            </w:r>
            <w:r w:rsidRPr="008C2A01">
              <w:t>DPMQ (</w:t>
            </w:r>
            <w:r>
              <w:t>Sep</w:t>
            </w:r>
            <w:r w:rsidRPr="008C2A01">
              <w:t xml:space="preserve"> 23)</w:t>
            </w:r>
          </w:p>
        </w:tc>
        <w:tc>
          <w:tcPr>
            <w:tcW w:w="1005" w:type="dxa"/>
            <w:noWrap/>
            <w:hideMark/>
          </w:tcPr>
          <w:p w14:paraId="4784306A" w14:textId="77777777" w:rsidR="00AA6F00" w:rsidRPr="008C2A01" w:rsidRDefault="00AA6F00" w:rsidP="00A96F25">
            <w:pPr>
              <w:pStyle w:val="KMC16-Tablecontent"/>
              <w:keepNext/>
              <w:keepLines/>
            </w:pPr>
            <w:r w:rsidRPr="008C2A01">
              <w:t>$2</w:t>
            </w:r>
            <w:r>
              <w:t>9</w:t>
            </w:r>
            <w:r w:rsidRPr="008C2A01">
              <w:t>.</w:t>
            </w:r>
            <w:r>
              <w:t>56</w:t>
            </w:r>
          </w:p>
        </w:tc>
        <w:tc>
          <w:tcPr>
            <w:tcW w:w="3837" w:type="dxa"/>
            <w:noWrap/>
            <w:hideMark/>
          </w:tcPr>
          <w:p w14:paraId="354227DA" w14:textId="77777777" w:rsidR="00AA6F00" w:rsidRPr="0091517D" w:rsidRDefault="00AA6F00" w:rsidP="00A96F25">
            <w:pPr>
              <w:pStyle w:val="KMC16-Tablecontent"/>
              <w:keepNext/>
              <w:keepLines/>
              <w:rPr>
                <w:lang w:val="fr-BE"/>
              </w:rPr>
            </w:pPr>
            <w:proofErr w:type="spellStart"/>
            <w:r w:rsidRPr="0091517D">
              <w:rPr>
                <w:lang w:val="fr-BE"/>
              </w:rPr>
              <w:t>Lumigan</w:t>
            </w:r>
            <w:proofErr w:type="spellEnd"/>
            <w:r w:rsidRPr="0091517D">
              <w:rPr>
                <w:lang w:val="fr-BE"/>
              </w:rPr>
              <w:t xml:space="preserve"> PF PBS DPMQ (Sep 23)</w:t>
            </w:r>
          </w:p>
        </w:tc>
      </w:tr>
      <w:tr w:rsidR="00AA6F00" w:rsidRPr="008C2A01" w14:paraId="40B1A3AB" w14:textId="77777777" w:rsidTr="00617190">
        <w:trPr>
          <w:trHeight w:val="300"/>
        </w:trPr>
        <w:tc>
          <w:tcPr>
            <w:tcW w:w="704" w:type="dxa"/>
          </w:tcPr>
          <w:p w14:paraId="7C6D424F" w14:textId="77777777" w:rsidR="00AA6F00" w:rsidRPr="008C2A01" w:rsidRDefault="00AA6F00" w:rsidP="00A96F25">
            <w:pPr>
              <w:pStyle w:val="KMC16-Tablecontent"/>
              <w:keepNext/>
              <w:keepLines/>
            </w:pPr>
            <w:r>
              <w:t>b</w:t>
            </w:r>
          </w:p>
        </w:tc>
        <w:tc>
          <w:tcPr>
            <w:tcW w:w="3470" w:type="dxa"/>
            <w:noWrap/>
            <w:hideMark/>
          </w:tcPr>
          <w:p w14:paraId="0695D52D" w14:textId="77777777" w:rsidR="00AA6F00" w:rsidRPr="008C2A01" w:rsidRDefault="00AA6F00" w:rsidP="00A96F25">
            <w:pPr>
              <w:pStyle w:val="KMC16-Tablecontent"/>
              <w:keepNext/>
              <w:keepLines/>
            </w:pPr>
            <w:r w:rsidRPr="008C2A01">
              <w:t>Annual cost</w:t>
            </w:r>
          </w:p>
        </w:tc>
        <w:tc>
          <w:tcPr>
            <w:tcW w:w="1005" w:type="dxa"/>
            <w:noWrap/>
            <w:hideMark/>
          </w:tcPr>
          <w:p w14:paraId="3D1FD838" w14:textId="77777777" w:rsidR="00AA6F00" w:rsidRPr="008C2A01" w:rsidRDefault="00AA6F00" w:rsidP="00A96F25">
            <w:pPr>
              <w:pStyle w:val="KMC16-Tablecontent"/>
              <w:keepNext/>
              <w:keepLines/>
            </w:pPr>
            <w:r w:rsidRPr="008C2A01">
              <w:t>$349.31</w:t>
            </w:r>
          </w:p>
        </w:tc>
        <w:tc>
          <w:tcPr>
            <w:tcW w:w="3837" w:type="dxa"/>
            <w:noWrap/>
            <w:hideMark/>
          </w:tcPr>
          <w:p w14:paraId="09B6B104" w14:textId="77777777" w:rsidR="00AA6F00" w:rsidRPr="008C2A01" w:rsidRDefault="00AA6F00" w:rsidP="00A96F25">
            <w:pPr>
              <w:pStyle w:val="KMC16-Tablecontent"/>
              <w:keepNext/>
              <w:keepLines/>
            </w:pPr>
            <w:r w:rsidRPr="008C2A01">
              <w:t>365 days/</w:t>
            </w:r>
            <w:proofErr w:type="gramStart"/>
            <w:r w:rsidRPr="008C2A01">
              <w:t>30 unit</w:t>
            </w:r>
            <w:proofErr w:type="gramEnd"/>
            <w:r w:rsidRPr="008C2A01">
              <w:t xml:space="preserve"> doses</w:t>
            </w:r>
          </w:p>
        </w:tc>
      </w:tr>
      <w:tr w:rsidR="00AA6F00" w:rsidRPr="008C2A01" w14:paraId="6EB854C4" w14:textId="77777777" w:rsidTr="00617190">
        <w:trPr>
          <w:trHeight w:val="300"/>
        </w:trPr>
        <w:tc>
          <w:tcPr>
            <w:tcW w:w="704" w:type="dxa"/>
          </w:tcPr>
          <w:p w14:paraId="79E0C051" w14:textId="77777777" w:rsidR="00AA6F00" w:rsidRPr="008C2A01" w:rsidRDefault="00AA6F00" w:rsidP="00A96F25">
            <w:pPr>
              <w:pStyle w:val="KMC16-Tablecontent"/>
              <w:keepNext/>
              <w:keepLines/>
            </w:pPr>
            <w:r>
              <w:lastRenderedPageBreak/>
              <w:t>c</w:t>
            </w:r>
          </w:p>
        </w:tc>
        <w:tc>
          <w:tcPr>
            <w:tcW w:w="3470" w:type="dxa"/>
            <w:noWrap/>
            <w:hideMark/>
          </w:tcPr>
          <w:p w14:paraId="3E3EE487" w14:textId="77777777" w:rsidR="00AA6F00" w:rsidRPr="008C2A01" w:rsidRDefault="00AA6F00" w:rsidP="00A96F25">
            <w:pPr>
              <w:pStyle w:val="KMC16-Tablecontent"/>
              <w:keepNext/>
              <w:keepLines/>
            </w:pPr>
            <w:r>
              <w:t>Additional m</w:t>
            </w:r>
            <w:r w:rsidRPr="008C2A01">
              <w:t>ean</w:t>
            </w:r>
            <w:r>
              <w:t>-</w:t>
            </w:r>
            <w:r w:rsidRPr="008C2A01">
              <w:t>IOP lowering medication reduction</w:t>
            </w:r>
            <w:r>
              <w:t xml:space="preserve"> over comparator</w:t>
            </w:r>
          </w:p>
        </w:tc>
        <w:tc>
          <w:tcPr>
            <w:tcW w:w="1005" w:type="dxa"/>
            <w:noWrap/>
            <w:hideMark/>
          </w:tcPr>
          <w:p w14:paraId="0DD1E7B0" w14:textId="47FFE6E1" w:rsidR="00AA6F00" w:rsidRPr="008C2A01" w:rsidRDefault="00AA6F00" w:rsidP="00A96F25">
            <w:pPr>
              <w:pStyle w:val="KMC16-Tablecontent"/>
              <w:keepNext/>
              <w:keepLines/>
            </w:pPr>
            <w:r>
              <w:t>0.48</w:t>
            </w:r>
          </w:p>
        </w:tc>
        <w:tc>
          <w:tcPr>
            <w:tcW w:w="3837" w:type="dxa"/>
            <w:noWrap/>
            <w:hideMark/>
          </w:tcPr>
          <w:p w14:paraId="48B1F9D8" w14:textId="77777777" w:rsidR="00AA6F00" w:rsidRDefault="00AA6F00" w:rsidP="00A96F25">
            <w:pPr>
              <w:pStyle w:val="KMC16-Tablecontent"/>
              <w:keepNext/>
              <w:keepLines/>
            </w:pPr>
            <w:r w:rsidRPr="008C2A01">
              <w:t>Meta-analysis result</w:t>
            </w:r>
            <w:r>
              <w:t xml:space="preserve"> at 24 months</w:t>
            </w:r>
          </w:p>
          <w:p w14:paraId="6ECAA211" w14:textId="77777777" w:rsidR="00AA6F00" w:rsidRPr="008C2A01" w:rsidRDefault="00AA6F00" w:rsidP="00A96F25">
            <w:pPr>
              <w:pStyle w:val="KMC16-Tablecontent"/>
              <w:keepNext/>
              <w:keepLines/>
            </w:pPr>
            <w:r w:rsidRPr="008C2A01">
              <w:t>From ITC (</w:t>
            </w:r>
            <w:r>
              <w:t xml:space="preserve">incremental </w:t>
            </w:r>
            <w:r w:rsidRPr="008C2A01">
              <w:t xml:space="preserve">mean </w:t>
            </w:r>
            <w:r>
              <w:t>reduction in number of I</w:t>
            </w:r>
            <w:r w:rsidRPr="008C2A01">
              <w:t>OP</w:t>
            </w:r>
            <w:r>
              <w:t>-lowering</w:t>
            </w:r>
            <w:r w:rsidRPr="008C2A01">
              <w:t xml:space="preserve"> medication</w:t>
            </w:r>
            <w:r>
              <w:t>s</w:t>
            </w:r>
            <w:r w:rsidRPr="008C2A01">
              <w:t xml:space="preserve"> at </w:t>
            </w:r>
            <w:r>
              <w:t>24</w:t>
            </w:r>
            <w:r w:rsidRPr="008C2A01">
              <w:t xml:space="preserve"> months)</w:t>
            </w:r>
          </w:p>
        </w:tc>
      </w:tr>
      <w:tr w:rsidR="00AA6F00" w:rsidRPr="008C2A01" w14:paraId="0DA29DD0" w14:textId="77777777" w:rsidTr="00617190">
        <w:trPr>
          <w:trHeight w:val="300"/>
        </w:trPr>
        <w:tc>
          <w:tcPr>
            <w:tcW w:w="704" w:type="dxa"/>
          </w:tcPr>
          <w:p w14:paraId="3098E74E" w14:textId="77777777" w:rsidR="00AA6F00" w:rsidRPr="008C2A01" w:rsidRDefault="00AA6F00" w:rsidP="00A96F25">
            <w:pPr>
              <w:pStyle w:val="KMC16-Tablecontent"/>
              <w:keepNext/>
              <w:keepLines/>
            </w:pPr>
            <w:r>
              <w:t>d</w:t>
            </w:r>
          </w:p>
        </w:tc>
        <w:tc>
          <w:tcPr>
            <w:tcW w:w="3470" w:type="dxa"/>
            <w:noWrap/>
            <w:hideMark/>
          </w:tcPr>
          <w:p w14:paraId="74EE57CD" w14:textId="77777777" w:rsidR="00AA6F00" w:rsidRPr="008C2A01" w:rsidRDefault="00AA6F00" w:rsidP="00A96F25">
            <w:pPr>
              <w:pStyle w:val="KMC16-Tablecontent"/>
              <w:keepNext/>
              <w:keepLines/>
            </w:pPr>
            <w:r w:rsidRPr="008C2A01">
              <w:t>Annual cost saving</w:t>
            </w:r>
          </w:p>
        </w:tc>
        <w:tc>
          <w:tcPr>
            <w:tcW w:w="1005" w:type="dxa"/>
            <w:noWrap/>
            <w:hideMark/>
          </w:tcPr>
          <w:p w14:paraId="76AB43B6" w14:textId="77777777" w:rsidR="00AA6F00" w:rsidRPr="008C2A01" w:rsidRDefault="00AA6F00" w:rsidP="00A96F25">
            <w:pPr>
              <w:pStyle w:val="KMC16-Tablecontent"/>
              <w:keepNext/>
              <w:keepLines/>
            </w:pPr>
            <w:r w:rsidRPr="008C2A01">
              <w:t>$</w:t>
            </w:r>
            <w:r>
              <w:t>172.63</w:t>
            </w:r>
          </w:p>
        </w:tc>
        <w:tc>
          <w:tcPr>
            <w:tcW w:w="3837" w:type="dxa"/>
            <w:noWrap/>
            <w:hideMark/>
          </w:tcPr>
          <w:p w14:paraId="2351A138" w14:textId="77777777" w:rsidR="00AA6F00" w:rsidRPr="008C2A01" w:rsidRDefault="00AA6F00" w:rsidP="00A96F25">
            <w:pPr>
              <w:pStyle w:val="KMC16-Tablecontent"/>
              <w:keepNext/>
              <w:keepLines/>
            </w:pPr>
            <w:r>
              <w:t>(</w:t>
            </w:r>
            <w:r w:rsidRPr="008C2A01">
              <w:t xml:space="preserve">b x </w:t>
            </w:r>
            <w:r>
              <w:t>c)</w:t>
            </w:r>
          </w:p>
        </w:tc>
      </w:tr>
      <w:tr w:rsidR="00AA6F00" w:rsidRPr="00C7536A" w14:paraId="4AD55031" w14:textId="77777777" w:rsidTr="00617190">
        <w:trPr>
          <w:trHeight w:val="855"/>
        </w:trPr>
        <w:tc>
          <w:tcPr>
            <w:tcW w:w="704" w:type="dxa"/>
          </w:tcPr>
          <w:p w14:paraId="328CFE71" w14:textId="77777777" w:rsidR="00AA6F00" w:rsidRPr="00617190" w:rsidRDefault="00AA6F00" w:rsidP="00A96F25">
            <w:pPr>
              <w:pStyle w:val="KMC16-Tablecontent"/>
              <w:keepNext/>
              <w:keepLines/>
            </w:pPr>
            <w:r w:rsidRPr="00617190">
              <w:t>d</w:t>
            </w:r>
          </w:p>
        </w:tc>
        <w:tc>
          <w:tcPr>
            <w:tcW w:w="3470" w:type="dxa"/>
            <w:hideMark/>
          </w:tcPr>
          <w:p w14:paraId="660A12A2" w14:textId="77777777" w:rsidR="00AA6F00" w:rsidRPr="00617190" w:rsidRDefault="00AA6F00" w:rsidP="00A96F25">
            <w:pPr>
              <w:pStyle w:val="KMC16-Tablecontent"/>
              <w:keepNext/>
              <w:keepLines/>
            </w:pPr>
            <w:r w:rsidRPr="00617190">
              <w:t xml:space="preserve">Expected cost saving per </w:t>
            </w:r>
            <w:proofErr w:type="spellStart"/>
            <w:r w:rsidRPr="00617190">
              <w:t>MINIject</w:t>
            </w:r>
            <w:proofErr w:type="spellEnd"/>
            <w:r w:rsidRPr="00617190">
              <w:t xml:space="preserve"> MBGS procedure (per patient over 2 years)</w:t>
            </w:r>
          </w:p>
        </w:tc>
        <w:tc>
          <w:tcPr>
            <w:tcW w:w="1005" w:type="dxa"/>
            <w:noWrap/>
            <w:hideMark/>
          </w:tcPr>
          <w:p w14:paraId="2B79CC09" w14:textId="77777777" w:rsidR="00AA6F00" w:rsidRPr="00617190" w:rsidRDefault="00AA6F00" w:rsidP="00A96F25">
            <w:pPr>
              <w:pStyle w:val="KMC16-Tablecontent"/>
              <w:keepNext/>
              <w:keepLines/>
            </w:pPr>
            <w:r w:rsidRPr="00617190">
              <w:t>$345.26</w:t>
            </w:r>
          </w:p>
        </w:tc>
        <w:tc>
          <w:tcPr>
            <w:tcW w:w="3837" w:type="dxa"/>
            <w:hideMark/>
          </w:tcPr>
          <w:p w14:paraId="7A95406B" w14:textId="77777777" w:rsidR="00AA6F00" w:rsidRPr="00617190" w:rsidRDefault="00AA6F00" w:rsidP="00A96F25">
            <w:pPr>
              <w:pStyle w:val="KMC16-Tablecontent"/>
              <w:keepNext/>
              <w:keepLines/>
            </w:pPr>
            <w:r w:rsidRPr="00617190">
              <w:t>(d x 2)</w:t>
            </w:r>
          </w:p>
        </w:tc>
      </w:tr>
    </w:tbl>
    <w:p w14:paraId="0604D011" w14:textId="1F19CF49" w:rsidR="003E33C7" w:rsidRDefault="003E33C7" w:rsidP="00A96F25">
      <w:pPr>
        <w:pStyle w:val="Tablenotes0"/>
        <w:keepNext/>
        <w:keepLines/>
      </w:pPr>
      <w:bookmarkStart w:id="42" w:name="_Ref155342840"/>
      <w:r w:rsidRPr="003929BC">
        <w:rPr>
          <w:u w:val="single"/>
        </w:rPr>
        <w:t>Abbreviations</w:t>
      </w:r>
      <w:r w:rsidRPr="003F62A0">
        <w:t xml:space="preserve">: </w:t>
      </w:r>
      <w:r w:rsidR="002C3CA4" w:rsidRPr="002C3CA4">
        <w:t>DPMQ</w:t>
      </w:r>
      <w:r w:rsidR="002C3CA4">
        <w:t xml:space="preserve"> = </w:t>
      </w:r>
      <w:r w:rsidR="002C3CA4" w:rsidRPr="002C3CA4">
        <w:t>Dispensed Price for Maximum Quantity</w:t>
      </w:r>
      <w:r w:rsidR="002C3CA4">
        <w:t>,</w:t>
      </w:r>
      <w:r w:rsidR="00DC04C8">
        <w:t xml:space="preserve"> </w:t>
      </w:r>
      <w:r w:rsidR="009F6DF6">
        <w:t xml:space="preserve">IOP = </w:t>
      </w:r>
      <w:r w:rsidR="009F6DF6" w:rsidRPr="009F6DF6">
        <w:t>intraocular pressure</w:t>
      </w:r>
      <w:r w:rsidR="009F6DF6">
        <w:t xml:space="preserve">, </w:t>
      </w:r>
      <w:r w:rsidR="00DC04C8">
        <w:t xml:space="preserve">ITC = </w:t>
      </w:r>
      <w:r w:rsidR="00DC04C8" w:rsidRPr="00DC04C8">
        <w:t>indirect treatment comparison</w:t>
      </w:r>
      <w:r w:rsidR="00DC04C8">
        <w:t>,</w:t>
      </w:r>
      <w:r w:rsidR="002C3CA4" w:rsidRPr="002C3CA4">
        <w:t xml:space="preserve"> </w:t>
      </w:r>
      <w:bookmarkStart w:id="43" w:name="_Hlk155356420"/>
      <w:r w:rsidR="001D1952">
        <w:t xml:space="preserve">MBGS = </w:t>
      </w:r>
      <w:r w:rsidR="001D1952" w:rsidRPr="001D1952">
        <w:t>Micro-Bypass Glaucoma Surgery</w:t>
      </w:r>
      <w:bookmarkEnd w:id="43"/>
      <w:r w:rsidR="001D1952">
        <w:t>,</w:t>
      </w:r>
      <w:r w:rsidR="001D1952" w:rsidRPr="001D1952">
        <w:t xml:space="preserve"> </w:t>
      </w:r>
      <w:r w:rsidR="00843C03" w:rsidRPr="00843C03">
        <w:t>OVD = Ophthalmic viscoelastic device</w:t>
      </w:r>
      <w:r w:rsidR="00843C03">
        <w:t xml:space="preserve">, </w:t>
      </w:r>
      <w:r w:rsidR="002C3CA4" w:rsidRPr="002C3CA4">
        <w:t>PBS</w:t>
      </w:r>
      <w:r w:rsidR="00843C03">
        <w:t xml:space="preserve"> = </w:t>
      </w:r>
      <w:r w:rsidR="002C3CA4" w:rsidRPr="002C3CA4">
        <w:t>Pharmaceutical Benefits Scheme</w:t>
      </w:r>
      <w:r w:rsidR="00843C03">
        <w:t xml:space="preserve">, </w:t>
      </w:r>
      <w:r w:rsidR="007210FE">
        <w:t>PF = P</w:t>
      </w:r>
      <w:r w:rsidR="007210FE" w:rsidRPr="007210FE">
        <w:t>reservative</w:t>
      </w:r>
      <w:r w:rsidR="007210FE">
        <w:t xml:space="preserve"> f</w:t>
      </w:r>
      <w:r w:rsidR="007210FE" w:rsidRPr="007210FE">
        <w:t>ree</w:t>
      </w:r>
    </w:p>
    <w:p w14:paraId="0A020326" w14:textId="24617294" w:rsidR="0047131E" w:rsidRPr="0047131E" w:rsidRDefault="00B51A90" w:rsidP="00A96F25">
      <w:pPr>
        <w:pStyle w:val="Tablenotes0"/>
        <w:keepNext/>
        <w:keepLines/>
        <w:rPr>
          <w:u w:val="single"/>
        </w:rPr>
      </w:pPr>
      <w:r w:rsidRPr="003F62A0">
        <w:rPr>
          <w:u w:val="single"/>
        </w:rPr>
        <w:t xml:space="preserve">Source: </w:t>
      </w:r>
      <w:r w:rsidRPr="00617190">
        <w:t>Table 26 of ADAR submission</w:t>
      </w:r>
    </w:p>
    <w:p w14:paraId="5A28AA17" w14:textId="6A00360E" w:rsidR="00183A69" w:rsidRDefault="00183A69" w:rsidP="00617190">
      <w:pPr>
        <w:pStyle w:val="Caption"/>
      </w:pPr>
      <w:bookmarkStart w:id="44" w:name="_Ref155535414"/>
      <w:r>
        <w:t>Table</w:t>
      </w:r>
      <w:r w:rsidR="0099460B" w:rsidRPr="0001290C">
        <w:t> </w:t>
      </w:r>
      <w:r>
        <w:fldChar w:fldCharType="begin"/>
      </w:r>
      <w:r>
        <w:instrText>SEQ Table \* ARABIC</w:instrText>
      </w:r>
      <w:r>
        <w:fldChar w:fldCharType="separate"/>
      </w:r>
      <w:r w:rsidR="003C61D8">
        <w:rPr>
          <w:noProof/>
        </w:rPr>
        <w:t>17</w:t>
      </w:r>
      <w:r>
        <w:fldChar w:fldCharType="end"/>
      </w:r>
      <w:bookmarkEnd w:id="42"/>
      <w:bookmarkEnd w:id="44"/>
      <w:r w:rsidR="0099460B">
        <w:tab/>
      </w:r>
      <w:r>
        <w:t>Cost savings</w:t>
      </w:r>
      <w:r w:rsidRPr="00183A69">
        <w:t xml:space="preserve"> </w:t>
      </w:r>
      <w:r>
        <w:t xml:space="preserve">associated with reductions in </w:t>
      </w:r>
      <w:r w:rsidR="0099460B">
        <w:t>ocular surface disease</w:t>
      </w:r>
      <w:r w:rsidR="00194A70">
        <w:t xml:space="preserve"> treatment costs</w:t>
      </w:r>
      <w:r>
        <w:t xml:space="preserve"> as presented in ADAR </w:t>
      </w:r>
      <w:proofErr w:type="gramStart"/>
      <w:r>
        <w:t>submission</w:t>
      </w:r>
      <w:proofErr w:type="gramEnd"/>
    </w:p>
    <w:tbl>
      <w:tblPr>
        <w:tblStyle w:val="TableGrid"/>
        <w:tblW w:w="0" w:type="auto"/>
        <w:tblLook w:val="04A0" w:firstRow="1" w:lastRow="0" w:firstColumn="1" w:lastColumn="0" w:noHBand="0" w:noVBand="1"/>
      </w:tblPr>
      <w:tblGrid>
        <w:gridCol w:w="704"/>
        <w:gridCol w:w="3218"/>
        <w:gridCol w:w="1505"/>
        <w:gridCol w:w="3589"/>
      </w:tblGrid>
      <w:tr w:rsidR="00183A69" w:rsidRPr="008C2A01" w14:paraId="0939E2B0" w14:textId="77777777" w:rsidTr="00DF4F91">
        <w:trPr>
          <w:cantSplit/>
          <w:trHeight w:val="300"/>
          <w:tblHeader/>
        </w:trPr>
        <w:tc>
          <w:tcPr>
            <w:tcW w:w="704" w:type="dxa"/>
          </w:tcPr>
          <w:p w14:paraId="7B1F9309" w14:textId="77777777" w:rsidR="00183A69" w:rsidRDefault="00183A69">
            <w:pPr>
              <w:pStyle w:val="TableHeading0"/>
            </w:pPr>
            <w:r>
              <w:t>Step</w:t>
            </w:r>
          </w:p>
        </w:tc>
        <w:tc>
          <w:tcPr>
            <w:tcW w:w="3218" w:type="dxa"/>
            <w:noWrap/>
            <w:hideMark/>
          </w:tcPr>
          <w:p w14:paraId="0558C9B1" w14:textId="77777777" w:rsidR="00183A69" w:rsidRPr="008C2A01" w:rsidRDefault="00183A69">
            <w:pPr>
              <w:pStyle w:val="TableHeading0"/>
            </w:pPr>
            <w:r>
              <w:t>Input</w:t>
            </w:r>
          </w:p>
        </w:tc>
        <w:tc>
          <w:tcPr>
            <w:tcW w:w="1505" w:type="dxa"/>
            <w:noWrap/>
            <w:hideMark/>
          </w:tcPr>
          <w:p w14:paraId="3A3E43DF" w14:textId="77777777" w:rsidR="00183A69" w:rsidRPr="008C2A01" w:rsidRDefault="00183A69">
            <w:pPr>
              <w:pStyle w:val="TableHeading0"/>
            </w:pPr>
            <w:r>
              <w:t>Value</w:t>
            </w:r>
          </w:p>
        </w:tc>
        <w:tc>
          <w:tcPr>
            <w:tcW w:w="3589" w:type="dxa"/>
            <w:noWrap/>
            <w:hideMark/>
          </w:tcPr>
          <w:p w14:paraId="01BEA12D" w14:textId="77777777" w:rsidR="00183A69" w:rsidRPr="008C2A01" w:rsidRDefault="00183A69">
            <w:pPr>
              <w:pStyle w:val="TableHeading0"/>
            </w:pPr>
            <w:r>
              <w:t>Source</w:t>
            </w:r>
          </w:p>
        </w:tc>
      </w:tr>
      <w:tr w:rsidR="00183A69" w:rsidRPr="008C2A01" w14:paraId="2D2FABC9" w14:textId="77777777" w:rsidTr="00DF4F91">
        <w:trPr>
          <w:cantSplit/>
          <w:trHeight w:val="353"/>
        </w:trPr>
        <w:tc>
          <w:tcPr>
            <w:tcW w:w="704" w:type="dxa"/>
          </w:tcPr>
          <w:p w14:paraId="0CBA3B48" w14:textId="77777777" w:rsidR="00183A69" w:rsidRDefault="00183A69">
            <w:pPr>
              <w:pStyle w:val="Tablecontent"/>
            </w:pPr>
            <w:r>
              <w:t>a</w:t>
            </w:r>
          </w:p>
        </w:tc>
        <w:tc>
          <w:tcPr>
            <w:tcW w:w="3218" w:type="dxa"/>
          </w:tcPr>
          <w:p w14:paraId="5F80EC3F" w14:textId="77777777" w:rsidR="00183A69" w:rsidRPr="008C2A01" w:rsidRDefault="00183A69">
            <w:pPr>
              <w:pStyle w:val="Tablecontent"/>
            </w:pPr>
            <w:r>
              <w:t>Prevalence of significant OSD in Australian glaucoma patients</w:t>
            </w:r>
          </w:p>
        </w:tc>
        <w:tc>
          <w:tcPr>
            <w:tcW w:w="1505" w:type="dxa"/>
            <w:noWrap/>
          </w:tcPr>
          <w:p w14:paraId="6FF4192F" w14:textId="77777777" w:rsidR="00183A69" w:rsidRPr="008C2A01" w:rsidRDefault="00183A69">
            <w:pPr>
              <w:pStyle w:val="Tablecontent"/>
            </w:pPr>
            <w:r>
              <w:t>39%</w:t>
            </w:r>
          </w:p>
        </w:tc>
        <w:tc>
          <w:tcPr>
            <w:tcW w:w="3589" w:type="dxa"/>
          </w:tcPr>
          <w:p w14:paraId="02771365" w14:textId="2702AD5E" w:rsidR="00183A69" w:rsidRPr="008C2A01" w:rsidRDefault="00DF4F91">
            <w:pPr>
              <w:pStyle w:val="Tablecontent"/>
            </w:pPr>
            <w:r>
              <w:t>Chan 2013</w:t>
            </w:r>
            <w:r>
              <w:rPr>
                <w:rStyle w:val="FootnoteReference"/>
              </w:rPr>
              <w:footnoteReference w:id="14"/>
            </w:r>
          </w:p>
        </w:tc>
      </w:tr>
      <w:tr w:rsidR="00183A69" w:rsidRPr="008C2A01" w14:paraId="52A053A2" w14:textId="77777777" w:rsidTr="00DF4F91">
        <w:trPr>
          <w:cantSplit/>
          <w:trHeight w:val="353"/>
        </w:trPr>
        <w:tc>
          <w:tcPr>
            <w:tcW w:w="704" w:type="dxa"/>
          </w:tcPr>
          <w:p w14:paraId="18DE0A4D" w14:textId="77777777" w:rsidR="00183A69" w:rsidRDefault="00183A69">
            <w:pPr>
              <w:pStyle w:val="Tablecontent"/>
            </w:pPr>
            <w:r>
              <w:t>b</w:t>
            </w:r>
          </w:p>
        </w:tc>
        <w:tc>
          <w:tcPr>
            <w:tcW w:w="3218" w:type="dxa"/>
          </w:tcPr>
          <w:p w14:paraId="193DF302" w14:textId="77777777" w:rsidR="00183A69" w:rsidRPr="008C2A01" w:rsidRDefault="00183A69">
            <w:pPr>
              <w:pStyle w:val="Tablecontent"/>
            </w:pPr>
            <w:r>
              <w:t>Additional reduction of IOP-lowering medication over comparator (</w:t>
            </w:r>
            <w:proofErr w:type="spellStart"/>
            <w:r>
              <w:t>MINIject</w:t>
            </w:r>
            <w:proofErr w:type="spellEnd"/>
            <w:r>
              <w:t xml:space="preserve"> vs. </w:t>
            </w:r>
            <w:proofErr w:type="spellStart"/>
            <w:r>
              <w:t>iStent</w:t>
            </w:r>
            <w:proofErr w:type="spellEnd"/>
            <w:r>
              <w:t>)</w:t>
            </w:r>
          </w:p>
        </w:tc>
        <w:tc>
          <w:tcPr>
            <w:tcW w:w="1505" w:type="dxa"/>
            <w:noWrap/>
          </w:tcPr>
          <w:p w14:paraId="78A04EB1" w14:textId="0589AE11" w:rsidR="00183A69" w:rsidRPr="008C2A01" w:rsidRDefault="00183A69">
            <w:pPr>
              <w:pStyle w:val="Tablecontent"/>
            </w:pPr>
            <w:r>
              <w:t>0.48</w:t>
            </w:r>
          </w:p>
        </w:tc>
        <w:tc>
          <w:tcPr>
            <w:tcW w:w="3589" w:type="dxa"/>
          </w:tcPr>
          <w:p w14:paraId="38F7DAA1" w14:textId="77777777" w:rsidR="00183A69" w:rsidRDefault="00183A69">
            <w:pPr>
              <w:pStyle w:val="KMC16-Tablecontent"/>
            </w:pPr>
            <w:r w:rsidRPr="008C2A01">
              <w:t>Meta-analysis result</w:t>
            </w:r>
            <w:r>
              <w:t xml:space="preserve"> at 24 months</w:t>
            </w:r>
          </w:p>
          <w:p w14:paraId="178B35EC" w14:textId="77777777" w:rsidR="00183A69" w:rsidRPr="008C2A01" w:rsidRDefault="00183A69">
            <w:pPr>
              <w:pStyle w:val="Tablecontent"/>
            </w:pPr>
            <w:r w:rsidRPr="008C2A01">
              <w:t>From ITC (</w:t>
            </w:r>
            <w:r>
              <w:t xml:space="preserve">incremental </w:t>
            </w:r>
            <w:r w:rsidRPr="008C2A01">
              <w:t xml:space="preserve">mean </w:t>
            </w:r>
            <w:r>
              <w:t>reduction in number of I</w:t>
            </w:r>
            <w:r w:rsidRPr="008C2A01">
              <w:t>OP</w:t>
            </w:r>
            <w:r>
              <w:t>-lowering</w:t>
            </w:r>
            <w:r w:rsidRPr="008C2A01">
              <w:t xml:space="preserve"> medication</w:t>
            </w:r>
            <w:r>
              <w:t>s</w:t>
            </w:r>
            <w:r w:rsidRPr="008C2A01">
              <w:t xml:space="preserve"> at </w:t>
            </w:r>
            <w:r>
              <w:t>24</w:t>
            </w:r>
            <w:r w:rsidRPr="008C2A01">
              <w:t xml:space="preserve"> months)</w:t>
            </w:r>
          </w:p>
        </w:tc>
      </w:tr>
      <w:tr w:rsidR="00183A69" w:rsidRPr="008C2A01" w14:paraId="0E72B039" w14:textId="77777777" w:rsidTr="00DF4F91">
        <w:trPr>
          <w:cantSplit/>
          <w:trHeight w:val="353"/>
        </w:trPr>
        <w:tc>
          <w:tcPr>
            <w:tcW w:w="704" w:type="dxa"/>
          </w:tcPr>
          <w:p w14:paraId="6BB550D4" w14:textId="77777777" w:rsidR="00183A69" w:rsidRDefault="00183A69">
            <w:pPr>
              <w:pStyle w:val="Tablecontent"/>
            </w:pPr>
            <w:r>
              <w:t>c</w:t>
            </w:r>
          </w:p>
        </w:tc>
        <w:tc>
          <w:tcPr>
            <w:tcW w:w="3218" w:type="dxa"/>
          </w:tcPr>
          <w:p w14:paraId="25EAD332" w14:textId="77777777" w:rsidR="00183A69" w:rsidRDefault="00183A69">
            <w:pPr>
              <w:pStyle w:val="Tablecontent"/>
            </w:pPr>
            <w:r>
              <w:t>Reduction factor</w:t>
            </w:r>
          </w:p>
        </w:tc>
        <w:tc>
          <w:tcPr>
            <w:tcW w:w="1505" w:type="dxa"/>
            <w:noWrap/>
          </w:tcPr>
          <w:p w14:paraId="3CB4FA82" w14:textId="77777777" w:rsidR="00183A69" w:rsidRDefault="00183A69">
            <w:pPr>
              <w:pStyle w:val="Tablecontent"/>
            </w:pPr>
            <w:r>
              <w:t>50%</w:t>
            </w:r>
          </w:p>
        </w:tc>
        <w:tc>
          <w:tcPr>
            <w:tcW w:w="3589" w:type="dxa"/>
          </w:tcPr>
          <w:p w14:paraId="05FB22CC" w14:textId="6993A93D" w:rsidR="00183A69" w:rsidRPr="008C2A01" w:rsidRDefault="00183A69">
            <w:pPr>
              <w:pStyle w:val="Tablecontent"/>
            </w:pPr>
            <w:r>
              <w:t xml:space="preserve">Conservative reduction of 50% impact on costs factored </w:t>
            </w:r>
            <w:proofErr w:type="gramStart"/>
            <w:r>
              <w:t>in, since</w:t>
            </w:r>
            <w:proofErr w:type="gramEnd"/>
            <w:r>
              <w:t xml:space="preserve"> the magnitude of the relationship between reduction in glaucoma medication use and reduction in </w:t>
            </w:r>
            <w:r w:rsidR="00CD6653">
              <w:t>OSD is</w:t>
            </w:r>
            <w:r>
              <w:t xml:space="preserve"> not established. See supportive data from</w:t>
            </w:r>
            <w:r w:rsidR="005B3E67">
              <w:t xml:space="preserve"> Denis 2022</w:t>
            </w:r>
            <w:r>
              <w:t xml:space="preserve"> below table.</w:t>
            </w:r>
          </w:p>
        </w:tc>
      </w:tr>
      <w:tr w:rsidR="00183A69" w:rsidRPr="008C2A01" w14:paraId="41539FD8" w14:textId="77777777" w:rsidTr="00DF4F91">
        <w:trPr>
          <w:cantSplit/>
          <w:trHeight w:val="353"/>
        </w:trPr>
        <w:tc>
          <w:tcPr>
            <w:tcW w:w="704" w:type="dxa"/>
          </w:tcPr>
          <w:p w14:paraId="60DF3274" w14:textId="77777777" w:rsidR="00183A69" w:rsidRDefault="00183A69">
            <w:pPr>
              <w:pStyle w:val="Tablecontent"/>
            </w:pPr>
            <w:r>
              <w:t>d</w:t>
            </w:r>
          </w:p>
        </w:tc>
        <w:tc>
          <w:tcPr>
            <w:tcW w:w="3218" w:type="dxa"/>
          </w:tcPr>
          <w:p w14:paraId="6D9F6B5F" w14:textId="1050F712" w:rsidR="00183A69" w:rsidRPr="008C2A01" w:rsidRDefault="00A21DCC">
            <w:pPr>
              <w:pStyle w:val="Tablecontent"/>
            </w:pPr>
            <w:r>
              <w:t>OSD direct health care a</w:t>
            </w:r>
            <w:r w:rsidR="00183A69">
              <w:t>nnual cost (2012)</w:t>
            </w:r>
          </w:p>
        </w:tc>
        <w:tc>
          <w:tcPr>
            <w:tcW w:w="1505" w:type="dxa"/>
            <w:noWrap/>
          </w:tcPr>
          <w:p w14:paraId="17E7168C" w14:textId="77777777" w:rsidR="00183A69" w:rsidRPr="008C2A01" w:rsidRDefault="00183A69">
            <w:pPr>
              <w:pStyle w:val="Tablecontent"/>
            </w:pPr>
            <w:r>
              <w:t>$1,061.25</w:t>
            </w:r>
          </w:p>
        </w:tc>
        <w:tc>
          <w:tcPr>
            <w:tcW w:w="3589" w:type="dxa"/>
          </w:tcPr>
          <w:p w14:paraId="1758B63A" w14:textId="5FC86DCC" w:rsidR="00183A69" w:rsidRPr="008C2A01" w:rsidRDefault="005B3E67">
            <w:pPr>
              <w:pStyle w:val="Tablecontent"/>
            </w:pPr>
            <w:r>
              <w:t>Chan 2013</w:t>
            </w:r>
            <w:r w:rsidR="00183A69">
              <w:t xml:space="preserve"> (2012 costs)</w:t>
            </w:r>
          </w:p>
        </w:tc>
      </w:tr>
      <w:tr w:rsidR="00183A69" w:rsidRPr="008C2A01" w14:paraId="467A044F" w14:textId="77777777" w:rsidTr="00DF4F91">
        <w:trPr>
          <w:cantSplit/>
          <w:trHeight w:val="353"/>
        </w:trPr>
        <w:tc>
          <w:tcPr>
            <w:tcW w:w="704" w:type="dxa"/>
          </w:tcPr>
          <w:p w14:paraId="4027F3F7" w14:textId="77777777" w:rsidR="00183A69" w:rsidRDefault="00183A69">
            <w:pPr>
              <w:pStyle w:val="Tablecontent"/>
            </w:pPr>
            <w:r>
              <w:t>e</w:t>
            </w:r>
          </w:p>
        </w:tc>
        <w:tc>
          <w:tcPr>
            <w:tcW w:w="3218" w:type="dxa"/>
          </w:tcPr>
          <w:p w14:paraId="57C7240B" w14:textId="477C9BB8" w:rsidR="00183A69" w:rsidRPr="008C2A01" w:rsidRDefault="00A21DCC">
            <w:pPr>
              <w:pStyle w:val="Tablecontent"/>
            </w:pPr>
            <w:r>
              <w:t xml:space="preserve">OSD direct health care annual cost </w:t>
            </w:r>
            <w:r w:rsidR="00183A69">
              <w:t>(2022-23)</w:t>
            </w:r>
          </w:p>
        </w:tc>
        <w:tc>
          <w:tcPr>
            <w:tcW w:w="1505" w:type="dxa"/>
            <w:noWrap/>
          </w:tcPr>
          <w:p w14:paraId="0DBEA79F" w14:textId="77777777" w:rsidR="00183A69" w:rsidRPr="00E76C7E" w:rsidRDefault="00183A69">
            <w:pPr>
              <w:pStyle w:val="Tablecontent"/>
            </w:pPr>
            <w:r w:rsidRPr="00E76C7E">
              <w:t>$1,285.16</w:t>
            </w:r>
          </w:p>
        </w:tc>
        <w:tc>
          <w:tcPr>
            <w:tcW w:w="3589" w:type="dxa"/>
          </w:tcPr>
          <w:p w14:paraId="66312845" w14:textId="5DCE4D44" w:rsidR="00183A69" w:rsidRPr="00E76C7E" w:rsidRDefault="005B3E67">
            <w:pPr>
              <w:pStyle w:val="Tablecontent"/>
            </w:pPr>
            <w:r>
              <w:t>Chan 2013</w:t>
            </w:r>
          </w:p>
          <w:p w14:paraId="06E2D109" w14:textId="6774752A" w:rsidR="00183A69" w:rsidRPr="00E76C7E" w:rsidRDefault="00183A69">
            <w:pPr>
              <w:pStyle w:val="Tablecontent"/>
            </w:pPr>
            <w:r w:rsidRPr="00E76C7E">
              <w:t xml:space="preserve">Inflated using health inflator from 2012-13 to 2022-23 </w:t>
            </w:r>
            <w:hyperlink r:id="rId13" w:history="1">
              <w:r w:rsidRPr="00E76C7E">
                <w:rPr>
                  <w:rStyle w:val="Hyperlink"/>
                </w:rPr>
                <w:t xml:space="preserve">AIHW - health inflator </w:t>
              </w:r>
              <w:proofErr w:type="spellStart"/>
              <w:r w:rsidRPr="00E76C7E">
                <w:rPr>
                  <w:rStyle w:val="Hyperlink"/>
                </w:rPr>
                <w:t>index</w:t>
              </w:r>
            </w:hyperlink>
            <w:r w:rsidRPr="00E76C7E">
              <w:t>.</w:t>
            </w:r>
            <w:r w:rsidRPr="00E76C7E">
              <w:rPr>
                <w:vertAlign w:val="superscript"/>
              </w:rPr>
              <w:t>a</w:t>
            </w:r>
            <w:proofErr w:type="spellEnd"/>
          </w:p>
        </w:tc>
      </w:tr>
      <w:tr w:rsidR="00183A69" w:rsidRPr="00C7536A" w14:paraId="4ED548A3" w14:textId="77777777" w:rsidTr="00DF4F91">
        <w:trPr>
          <w:cantSplit/>
          <w:trHeight w:val="353"/>
        </w:trPr>
        <w:tc>
          <w:tcPr>
            <w:tcW w:w="704" w:type="dxa"/>
          </w:tcPr>
          <w:p w14:paraId="520433D3" w14:textId="77777777" w:rsidR="00183A69" w:rsidRPr="00617190" w:rsidRDefault="00183A69">
            <w:pPr>
              <w:pStyle w:val="Tablecontent"/>
            </w:pPr>
            <w:r w:rsidRPr="00617190">
              <w:t>Total</w:t>
            </w:r>
          </w:p>
        </w:tc>
        <w:tc>
          <w:tcPr>
            <w:tcW w:w="3218" w:type="dxa"/>
          </w:tcPr>
          <w:p w14:paraId="0644F96D" w14:textId="77777777" w:rsidR="00183A69" w:rsidRPr="00617190" w:rsidRDefault="00183A69">
            <w:pPr>
              <w:pStyle w:val="Tablecontent"/>
            </w:pPr>
            <w:r w:rsidRPr="00617190">
              <w:t xml:space="preserve">Expected cost savings per </w:t>
            </w:r>
            <w:proofErr w:type="spellStart"/>
            <w:r w:rsidRPr="00617190">
              <w:t>MINIject</w:t>
            </w:r>
            <w:proofErr w:type="spellEnd"/>
            <w:r w:rsidRPr="00617190">
              <w:t xml:space="preserve"> MBGS procedure (per patient, over 2 years)</w:t>
            </w:r>
          </w:p>
        </w:tc>
        <w:tc>
          <w:tcPr>
            <w:tcW w:w="1505" w:type="dxa"/>
            <w:noWrap/>
          </w:tcPr>
          <w:p w14:paraId="1F2180EC" w14:textId="77777777" w:rsidR="00183A69" w:rsidRPr="00617190" w:rsidRDefault="00183A69">
            <w:pPr>
              <w:pStyle w:val="Tablecontent"/>
            </w:pPr>
            <w:r w:rsidRPr="00617190">
              <w:t>$240.58</w:t>
            </w:r>
          </w:p>
        </w:tc>
        <w:tc>
          <w:tcPr>
            <w:tcW w:w="3589" w:type="dxa"/>
          </w:tcPr>
          <w:p w14:paraId="635BABA8" w14:textId="77777777" w:rsidR="00183A69" w:rsidRPr="00617190" w:rsidRDefault="00183A69">
            <w:pPr>
              <w:pStyle w:val="Tablecontent"/>
            </w:pPr>
            <w:r w:rsidRPr="00617190">
              <w:t>(a x b x c x e x 2)</w:t>
            </w:r>
          </w:p>
        </w:tc>
      </w:tr>
    </w:tbl>
    <w:p w14:paraId="0239913E" w14:textId="66CD3AAA" w:rsidR="005D5C24" w:rsidRDefault="005D5C24" w:rsidP="005D5C24">
      <w:pPr>
        <w:pStyle w:val="Tablenotes0"/>
      </w:pPr>
      <w:r w:rsidRPr="003929BC">
        <w:rPr>
          <w:u w:val="single"/>
        </w:rPr>
        <w:t>Abbreviations</w:t>
      </w:r>
      <w:r w:rsidRPr="003F62A0">
        <w:t>:</w:t>
      </w:r>
      <w:r w:rsidR="00244A9C">
        <w:t xml:space="preserve"> AIHW = </w:t>
      </w:r>
      <w:r w:rsidR="00244A9C" w:rsidRPr="00244A9C">
        <w:t>Australian Institute of Health and Welfare</w:t>
      </w:r>
      <w:r w:rsidR="00244A9C">
        <w:t>,</w:t>
      </w:r>
      <w:r w:rsidRPr="003F62A0">
        <w:t xml:space="preserve"> </w:t>
      </w:r>
      <w:r>
        <w:t xml:space="preserve">IOP = </w:t>
      </w:r>
      <w:r w:rsidRPr="009F6DF6">
        <w:t>intraocular pressure</w:t>
      </w:r>
      <w:r>
        <w:t xml:space="preserve">, ITC = </w:t>
      </w:r>
      <w:r w:rsidRPr="00DC04C8">
        <w:t>indirect treatment comparison</w:t>
      </w:r>
      <w:r w:rsidR="00CD6653">
        <w:t xml:space="preserve">, </w:t>
      </w:r>
      <w:r w:rsidR="001D1952">
        <w:t xml:space="preserve">MBGS = </w:t>
      </w:r>
      <w:r w:rsidR="001D1952" w:rsidRPr="001D1952">
        <w:t>Micro-Bypass Glaucoma Surgery</w:t>
      </w:r>
      <w:r w:rsidR="001D1952">
        <w:t xml:space="preserve">, </w:t>
      </w:r>
      <w:r w:rsidR="00CD6653">
        <w:t xml:space="preserve">OSD = </w:t>
      </w:r>
      <w:r w:rsidR="00CD6653" w:rsidRPr="00CD6653">
        <w:t>ocular surface disease</w:t>
      </w:r>
    </w:p>
    <w:p w14:paraId="52CAE51A" w14:textId="726905F3" w:rsidR="003A500B" w:rsidRDefault="003A500B" w:rsidP="005D5C24">
      <w:pPr>
        <w:pStyle w:val="Tablenotes0"/>
      </w:pPr>
      <w:r w:rsidRPr="00617190">
        <w:rPr>
          <w:u w:val="single"/>
        </w:rPr>
        <w:t>Source</w:t>
      </w:r>
      <w:r w:rsidR="002D0686" w:rsidRPr="00617190">
        <w:rPr>
          <w:u w:val="single"/>
        </w:rPr>
        <w:t xml:space="preserve">: </w:t>
      </w:r>
      <w:r w:rsidR="002D0686" w:rsidRPr="00617190">
        <w:t>Table 27 of ADAR submission</w:t>
      </w:r>
    </w:p>
    <w:p w14:paraId="52D9C236" w14:textId="44C51F41" w:rsidR="000D5AF8" w:rsidRPr="00617190" w:rsidRDefault="000D5AF8" w:rsidP="005D5C24">
      <w:pPr>
        <w:pStyle w:val="Tablenotes0"/>
        <w:rPr>
          <w:u w:val="single"/>
        </w:rPr>
      </w:pPr>
      <w:proofErr w:type="spellStart"/>
      <w:r w:rsidRPr="00617190">
        <w:rPr>
          <w:vertAlign w:val="superscript"/>
        </w:rPr>
        <w:t>a</w:t>
      </w:r>
      <w:proofErr w:type="spellEnd"/>
      <w:r>
        <w:t xml:space="preserve"> </w:t>
      </w:r>
      <w:proofErr w:type="gramStart"/>
      <w:r w:rsidRPr="000D5AF8">
        <w:t>For</w:t>
      </w:r>
      <w:proofErr w:type="gramEnd"/>
      <w:r w:rsidRPr="000D5AF8">
        <w:t xml:space="preserve"> 2021-22 and 2022-23 health inflation reported in 2020-21 of 1.96 is also assumed.</w:t>
      </w:r>
    </w:p>
    <w:p w14:paraId="4B372359" w14:textId="50A43529" w:rsidR="00781409" w:rsidRPr="00137901" w:rsidRDefault="00287CD4" w:rsidP="00EE1F2E">
      <w:pPr>
        <w:rPr>
          <w:highlight w:val="yellow"/>
          <w:shd w:val="clear" w:color="auto" w:fill="FFFFFF"/>
        </w:rPr>
      </w:pPr>
      <w:r>
        <w:t>Insufficient</w:t>
      </w:r>
      <w:r w:rsidR="00EE1F2E">
        <w:t xml:space="preserve"> detail </w:t>
      </w:r>
      <w:r w:rsidR="00785AB8">
        <w:t>regarding</w:t>
      </w:r>
      <w:r w:rsidR="00EE1F2E">
        <w:t xml:space="preserve"> the management of OAG </w:t>
      </w:r>
      <w:r w:rsidR="00785AB8">
        <w:t>with</w:t>
      </w:r>
      <w:r w:rsidR="00EE1F2E">
        <w:t xml:space="preserve"> IOP-lowering medication</w:t>
      </w:r>
      <w:r>
        <w:t xml:space="preserve"> was provided by the applicant</w:t>
      </w:r>
      <w:r w:rsidR="00EE1F2E">
        <w:t>, with particular reference to the use of medication in the target population</w:t>
      </w:r>
      <w:r w:rsidR="00785AB8">
        <w:t>:</w:t>
      </w:r>
      <w:r w:rsidR="00EE1F2E">
        <w:t xml:space="preserve"> patients for whom conservative therapies have failed, are likely to fail</w:t>
      </w:r>
      <w:r w:rsidR="00E71EC8">
        <w:t>,</w:t>
      </w:r>
      <w:r w:rsidR="00EE1F2E">
        <w:t xml:space="preserve"> or are contraindicated. </w:t>
      </w:r>
      <w:r w:rsidR="00785AB8">
        <w:t>The</w:t>
      </w:r>
      <w:r w:rsidR="00EE1F2E">
        <w:t xml:space="preserve"> </w:t>
      </w:r>
      <w:r w:rsidR="00CF75C8">
        <w:t>a</w:t>
      </w:r>
      <w:r w:rsidR="00EE1F2E">
        <w:t xml:space="preserve">ssessment </w:t>
      </w:r>
      <w:r w:rsidR="00CF75C8">
        <w:t>g</w:t>
      </w:r>
      <w:r w:rsidR="00EE1F2E">
        <w:t>roup accept</w:t>
      </w:r>
      <w:r w:rsidR="000C7D92">
        <w:t>ed</w:t>
      </w:r>
      <w:r w:rsidR="00EE1F2E">
        <w:t xml:space="preserve"> that there may be some cost </w:t>
      </w:r>
      <w:r>
        <w:t>offsets</w:t>
      </w:r>
      <w:r w:rsidR="00EE1F2E">
        <w:t xml:space="preserve"> associated with reductions in IOP-lowering medication </w:t>
      </w:r>
      <w:r w:rsidR="00785AB8">
        <w:t>but</w:t>
      </w:r>
      <w:r w:rsidR="00EE1F2E">
        <w:t xml:space="preserve"> consider</w:t>
      </w:r>
      <w:r w:rsidR="000C7D92">
        <w:t>ed</w:t>
      </w:r>
      <w:r w:rsidR="00EE1F2E">
        <w:t xml:space="preserve"> the savings estimated by the </w:t>
      </w:r>
      <w:r>
        <w:t>applicant</w:t>
      </w:r>
      <w:r w:rsidR="00EE1F2E">
        <w:t xml:space="preserve"> to be uncertain and likely an overestimate of the true savings. Furthermore, the </w:t>
      </w:r>
      <w:r w:rsidR="00CF75C8">
        <w:t>a</w:t>
      </w:r>
      <w:r w:rsidR="00EE1F2E">
        <w:t xml:space="preserve">ssessment </w:t>
      </w:r>
      <w:r w:rsidR="00CF75C8">
        <w:t>g</w:t>
      </w:r>
      <w:r w:rsidR="00EE1F2E">
        <w:t xml:space="preserve">roup </w:t>
      </w:r>
      <w:r w:rsidR="00B84074">
        <w:t xml:space="preserve">did </w:t>
      </w:r>
      <w:r w:rsidR="00EE1F2E">
        <w:t>not consider there to be sufficient</w:t>
      </w:r>
      <w:r w:rsidR="00785AB8">
        <w:t>ly</w:t>
      </w:r>
      <w:r w:rsidR="00EE1F2E">
        <w:t xml:space="preserve"> robust evidence to suggest an incremental saving from a reduction in OSD treatment associated with </w:t>
      </w:r>
      <w:proofErr w:type="spellStart"/>
      <w:r w:rsidR="00EE1F2E">
        <w:t>MINIject</w:t>
      </w:r>
      <w:proofErr w:type="spellEnd"/>
      <w:r w:rsidR="00EE1F2E">
        <w:t xml:space="preserve"> compared with </w:t>
      </w:r>
      <w:proofErr w:type="spellStart"/>
      <w:r w:rsidR="00EE1F2E">
        <w:t>iStent</w:t>
      </w:r>
      <w:proofErr w:type="spellEnd"/>
      <w:r w:rsidR="00EE1F2E">
        <w:t>.</w:t>
      </w:r>
      <w:r w:rsidR="00BF174A" w:rsidRPr="00BF174A">
        <w:t xml:space="preserve"> As stated by the </w:t>
      </w:r>
      <w:r w:rsidR="00E5060B">
        <w:t>applicant</w:t>
      </w:r>
      <w:r w:rsidR="00BF174A" w:rsidRPr="00BF174A">
        <w:t xml:space="preserve">, the relationship between reduction in glaucoma medication use and reduction in OSD </w:t>
      </w:r>
      <w:r w:rsidR="00BF174A" w:rsidRPr="00BF174A">
        <w:lastRenderedPageBreak/>
        <w:t>is not established.</w:t>
      </w:r>
      <w:r w:rsidR="004C701D">
        <w:t xml:space="preserve"> Additionally, </w:t>
      </w:r>
      <w:r w:rsidR="00BB2BDB">
        <w:t xml:space="preserve">as noted previously, </w:t>
      </w:r>
      <w:r w:rsidR="00B635D8" w:rsidRPr="00B635D8">
        <w:t xml:space="preserve">the data on quality of life as collected in STAR-1 </w:t>
      </w:r>
      <w:r w:rsidR="000D6437">
        <w:t>were</w:t>
      </w:r>
      <w:r w:rsidR="000D6437" w:rsidRPr="00B635D8">
        <w:t xml:space="preserve"> </w:t>
      </w:r>
      <w:r w:rsidR="00B635D8" w:rsidRPr="00B635D8">
        <w:t>based on a small sample size, and the results (presented in Table 20</w:t>
      </w:r>
      <w:r w:rsidR="00334302">
        <w:t xml:space="preserve"> of the ADAR submission</w:t>
      </w:r>
      <w:r w:rsidR="00B635D8" w:rsidRPr="00B635D8">
        <w:t xml:space="preserve">) </w:t>
      </w:r>
      <w:r w:rsidR="001E4FF9">
        <w:t>we</w:t>
      </w:r>
      <w:r w:rsidR="00B635D8" w:rsidRPr="00B635D8">
        <w:t>re potentially misleading.</w:t>
      </w:r>
    </w:p>
    <w:p w14:paraId="48CFE5FE" w14:textId="65776851" w:rsidR="00AE279F" w:rsidRPr="002759A3" w:rsidRDefault="001A15FE" w:rsidP="001A15FE">
      <w:pPr>
        <w:pStyle w:val="Heading2"/>
      </w:pPr>
      <w:r>
        <w:t>14.</w:t>
      </w:r>
      <w:r>
        <w:tab/>
      </w:r>
      <w:r w:rsidR="00AE279F" w:rsidRPr="002759A3">
        <w:t>Financial/budgetary impacts</w:t>
      </w:r>
    </w:p>
    <w:p w14:paraId="2DFEA58A" w14:textId="74544306" w:rsidR="005B3E67" w:rsidRDefault="002853CC" w:rsidP="00431120">
      <w:pPr>
        <w:pStyle w:val="ADARbodytext"/>
        <w:rPr>
          <w:rFonts w:ascii="Franklin Gothic Book" w:hAnsi="Franklin Gothic Book" w:cstheme="minorBidi"/>
        </w:rPr>
      </w:pPr>
      <w:r w:rsidRPr="00431120">
        <w:rPr>
          <w:rFonts w:ascii="Franklin Gothic Book" w:hAnsi="Franklin Gothic Book" w:cstheme="minorBidi"/>
        </w:rPr>
        <w:t xml:space="preserve">The </w:t>
      </w:r>
      <w:r w:rsidR="00E5060B">
        <w:rPr>
          <w:rFonts w:ascii="Franklin Gothic Book" w:hAnsi="Franklin Gothic Book" w:cstheme="minorBidi"/>
        </w:rPr>
        <w:t>applicant</w:t>
      </w:r>
      <w:r w:rsidRPr="00431120">
        <w:rPr>
          <w:rFonts w:ascii="Franklin Gothic Book" w:hAnsi="Franklin Gothic Book" w:cstheme="minorBidi"/>
        </w:rPr>
        <w:t xml:space="preserve"> adopted</w:t>
      </w:r>
      <w:r w:rsidR="00431120" w:rsidRPr="00431120">
        <w:rPr>
          <w:rFonts w:ascii="Franklin Gothic Book" w:hAnsi="Franklin Gothic Book" w:cstheme="minorBidi"/>
        </w:rPr>
        <w:t xml:space="preserve"> a</w:t>
      </w:r>
      <w:r w:rsidRPr="00431120">
        <w:rPr>
          <w:rFonts w:ascii="Franklin Gothic Book" w:hAnsi="Franklin Gothic Book" w:cstheme="minorBidi"/>
        </w:rPr>
        <w:t xml:space="preserve"> </w:t>
      </w:r>
      <w:r w:rsidR="00431120" w:rsidRPr="00431120">
        <w:rPr>
          <w:rFonts w:ascii="Franklin Gothic Book" w:hAnsi="Franklin Gothic Book" w:cstheme="minorBidi"/>
        </w:rPr>
        <w:t xml:space="preserve">market-share approach </w:t>
      </w:r>
      <w:r w:rsidR="00431120">
        <w:rPr>
          <w:rFonts w:ascii="Franklin Gothic Book" w:hAnsi="Franklin Gothic Book" w:cstheme="minorBidi"/>
        </w:rPr>
        <w:t>t</w:t>
      </w:r>
      <w:r w:rsidR="00431120" w:rsidRPr="00431120">
        <w:rPr>
          <w:rFonts w:ascii="Franklin Gothic Book" w:hAnsi="Franklin Gothic Book" w:cstheme="minorBidi"/>
        </w:rPr>
        <w:t>o estimate financial implications, based on MBS statistics for the use of standalone procedure 42504</w:t>
      </w:r>
      <w:r w:rsidR="00785AB8">
        <w:rPr>
          <w:rFonts w:ascii="Franklin Gothic Book" w:hAnsi="Franklin Gothic Book" w:cstheme="minorBidi"/>
        </w:rPr>
        <w:t>,</w:t>
      </w:r>
      <w:r w:rsidR="00431120" w:rsidRPr="00431120">
        <w:rPr>
          <w:rFonts w:ascii="Franklin Gothic Book" w:hAnsi="Franklin Gothic Book" w:cstheme="minorBidi"/>
        </w:rPr>
        <w:t xml:space="preserve"> </w:t>
      </w:r>
      <w:r w:rsidR="00785AB8">
        <w:rPr>
          <w:rFonts w:ascii="Franklin Gothic Book" w:hAnsi="Franklin Gothic Book" w:cstheme="minorBidi"/>
        </w:rPr>
        <w:t>which</w:t>
      </w:r>
      <w:r w:rsidR="00431120" w:rsidRPr="00431120">
        <w:rPr>
          <w:rFonts w:ascii="Franklin Gothic Book" w:hAnsi="Franklin Gothic Book" w:cstheme="minorBidi"/>
        </w:rPr>
        <w:t xml:space="preserve"> covers insertion of the comparator </w:t>
      </w:r>
      <w:proofErr w:type="spellStart"/>
      <w:r w:rsidR="00431120" w:rsidRPr="00431120">
        <w:rPr>
          <w:rFonts w:ascii="Franklin Gothic Book" w:hAnsi="Franklin Gothic Book" w:cstheme="minorBidi"/>
        </w:rPr>
        <w:t>iStent</w:t>
      </w:r>
      <w:proofErr w:type="spellEnd"/>
      <w:r w:rsidR="00431120" w:rsidRPr="00431120">
        <w:rPr>
          <w:rFonts w:ascii="Franklin Gothic Book" w:hAnsi="Franklin Gothic Book" w:cstheme="minorBidi"/>
        </w:rPr>
        <w:t>.</w:t>
      </w:r>
      <w:r w:rsidR="00AA0743">
        <w:rPr>
          <w:rFonts w:ascii="Franklin Gothic Book" w:hAnsi="Franklin Gothic Book" w:cstheme="minorBidi"/>
        </w:rPr>
        <w:t xml:space="preserve"> </w:t>
      </w:r>
      <w:r w:rsidR="00181C7F">
        <w:rPr>
          <w:rFonts w:ascii="Franklin Gothic Book" w:hAnsi="Franklin Gothic Book" w:cstheme="minorBidi"/>
        </w:rPr>
        <w:t xml:space="preserve">The anticipated </w:t>
      </w:r>
      <w:r w:rsidR="00957230">
        <w:rPr>
          <w:rFonts w:ascii="Franklin Gothic Book" w:hAnsi="Franklin Gothic Book" w:cstheme="minorBidi"/>
        </w:rPr>
        <w:t>uptake</w:t>
      </w:r>
      <w:r w:rsidR="00181C7F">
        <w:rPr>
          <w:rFonts w:ascii="Franklin Gothic Book" w:hAnsi="Franklin Gothic Book" w:cstheme="minorBidi"/>
        </w:rPr>
        <w:t xml:space="preserve"> of MBGS using </w:t>
      </w:r>
      <w:proofErr w:type="spellStart"/>
      <w:r w:rsidR="00181C7F">
        <w:rPr>
          <w:rFonts w:ascii="Franklin Gothic Book" w:hAnsi="Franklin Gothic Book" w:cstheme="minorBidi"/>
        </w:rPr>
        <w:t>MINIject</w:t>
      </w:r>
      <w:proofErr w:type="spellEnd"/>
      <w:r w:rsidR="00181C7F">
        <w:rPr>
          <w:rFonts w:ascii="Franklin Gothic Book" w:hAnsi="Franklin Gothic Book" w:cstheme="minorBidi"/>
        </w:rPr>
        <w:t xml:space="preserve"> is</w:t>
      </w:r>
      <w:r w:rsidR="00244B28">
        <w:rPr>
          <w:rFonts w:ascii="Franklin Gothic Book" w:hAnsi="Franklin Gothic Book" w:cstheme="minorBidi"/>
        </w:rPr>
        <w:t xml:space="preserve"> </w:t>
      </w:r>
      <w:r w:rsidR="00244B28" w:rsidRPr="003F480E">
        <w:rPr>
          <w:rFonts w:ascii="Franklin Gothic Book" w:hAnsi="Franklin Gothic Book" w:cstheme="minorBidi"/>
          <w:b/>
          <w:bCs/>
        </w:rPr>
        <w:t>Redacted</w:t>
      </w:r>
      <w:r w:rsidR="00181C7F" w:rsidRPr="003F480E">
        <w:rPr>
          <w:rFonts w:ascii="Franklin Gothic Book" w:hAnsi="Franklin Gothic Book" w:cstheme="minorBidi"/>
          <w:b/>
          <w:bCs/>
        </w:rPr>
        <w:t>%</w:t>
      </w:r>
      <w:r w:rsidR="00181C7F">
        <w:rPr>
          <w:rFonts w:ascii="Franklin Gothic Book" w:hAnsi="Franklin Gothic Book" w:cstheme="minorBidi"/>
        </w:rPr>
        <w:t xml:space="preserve"> </w:t>
      </w:r>
      <w:r w:rsidR="005D1BAD" w:rsidRPr="005D1BAD">
        <w:rPr>
          <w:rFonts w:ascii="Franklin Gothic Book" w:hAnsi="Franklin Gothic Book" w:cstheme="minorBidi"/>
        </w:rPr>
        <w:t xml:space="preserve">of </w:t>
      </w:r>
      <w:r w:rsidR="005D1BAD">
        <w:rPr>
          <w:rFonts w:ascii="Franklin Gothic Book" w:hAnsi="Franklin Gothic Book" w:cstheme="minorBidi"/>
        </w:rPr>
        <w:t xml:space="preserve">the </w:t>
      </w:r>
      <w:r w:rsidR="005D1BAD" w:rsidRPr="005D1BAD">
        <w:rPr>
          <w:rFonts w:ascii="Franklin Gothic Book" w:hAnsi="Franklin Gothic Book" w:cstheme="minorBidi"/>
        </w:rPr>
        <w:t xml:space="preserve">current MBS item 42504 procedures in </w:t>
      </w:r>
      <w:r w:rsidR="00785AB8">
        <w:rPr>
          <w:rFonts w:ascii="Franklin Gothic Book" w:hAnsi="Franklin Gothic Book" w:cstheme="minorBidi"/>
        </w:rPr>
        <w:t>Y</w:t>
      </w:r>
      <w:r w:rsidR="005D1BAD" w:rsidRPr="005D1BAD">
        <w:rPr>
          <w:rFonts w:ascii="Franklin Gothic Book" w:hAnsi="Franklin Gothic Book" w:cstheme="minorBidi"/>
        </w:rPr>
        <w:t>ear 1</w:t>
      </w:r>
      <w:r w:rsidR="00595449">
        <w:rPr>
          <w:rFonts w:ascii="Franklin Gothic Book" w:hAnsi="Franklin Gothic Book" w:cstheme="minorBidi"/>
        </w:rPr>
        <w:t xml:space="preserve"> (20</w:t>
      </w:r>
      <w:r w:rsidR="006C16AF">
        <w:rPr>
          <w:rFonts w:ascii="Franklin Gothic Book" w:hAnsi="Franklin Gothic Book" w:cstheme="minorBidi"/>
        </w:rPr>
        <w:t>24/25)</w:t>
      </w:r>
      <w:r w:rsidR="005D1BAD" w:rsidRPr="005D1BAD">
        <w:rPr>
          <w:rFonts w:ascii="Franklin Gothic Book" w:hAnsi="Franklin Gothic Book" w:cstheme="minorBidi"/>
        </w:rPr>
        <w:t xml:space="preserve">, increasing gradually by </w:t>
      </w:r>
      <w:r w:rsidR="00244B28" w:rsidRPr="00CD59ED">
        <w:rPr>
          <w:rFonts w:ascii="Franklin Gothic Book" w:hAnsi="Franklin Gothic Book" w:cstheme="minorBidi"/>
          <w:b/>
          <w:bCs/>
        </w:rPr>
        <w:t>Redacted</w:t>
      </w:r>
      <w:r w:rsidR="005D1BAD" w:rsidRPr="005D1BAD">
        <w:rPr>
          <w:rFonts w:ascii="Franklin Gothic Book" w:hAnsi="Franklin Gothic Book" w:cstheme="minorBidi"/>
        </w:rPr>
        <w:t>% per year</w:t>
      </w:r>
      <w:r w:rsidR="008F790C">
        <w:rPr>
          <w:rFonts w:ascii="Franklin Gothic Book" w:hAnsi="Franklin Gothic Book" w:cstheme="minorBidi"/>
        </w:rPr>
        <w:t xml:space="preserve">, see </w:t>
      </w:r>
      <w:r w:rsidR="00671E98">
        <w:fldChar w:fldCharType="begin"/>
      </w:r>
      <w:r w:rsidR="00671E98">
        <w:rPr>
          <w:rFonts w:ascii="Franklin Gothic Book" w:hAnsi="Franklin Gothic Book" w:cstheme="minorBidi"/>
        </w:rPr>
        <w:instrText xml:space="preserve"> REF _Ref155342908 \h </w:instrText>
      </w:r>
      <w:r w:rsidR="0047131E">
        <w:rPr>
          <w:rFonts w:ascii="Franklin Gothic Book" w:hAnsi="Franklin Gothic Book" w:cstheme="minorBidi"/>
        </w:rPr>
        <w:instrText xml:space="preserve"> \* MERGEFORMAT </w:instrText>
      </w:r>
      <w:r w:rsidR="00671E98">
        <w:fldChar w:fldCharType="separate"/>
      </w:r>
      <w:r w:rsidR="003C61D8" w:rsidRPr="003C61D8">
        <w:rPr>
          <w:rFonts w:ascii="Franklin Gothic Book" w:hAnsi="Franklin Gothic Book" w:cstheme="minorBidi"/>
        </w:rPr>
        <w:t>Table 18</w:t>
      </w:r>
      <w:r w:rsidR="00671E98">
        <w:fldChar w:fldCharType="end"/>
      </w:r>
      <w:r w:rsidR="005D1BAD" w:rsidRPr="005D1BAD">
        <w:rPr>
          <w:rFonts w:ascii="Franklin Gothic Book" w:hAnsi="Franklin Gothic Book" w:cstheme="minorBidi"/>
        </w:rPr>
        <w:t>. The estimate assume</w:t>
      </w:r>
      <w:r w:rsidR="00793B46">
        <w:rPr>
          <w:rFonts w:ascii="Franklin Gothic Book" w:hAnsi="Franklin Gothic Book" w:cstheme="minorBidi"/>
        </w:rPr>
        <w:t>d</w:t>
      </w:r>
      <w:r w:rsidR="005D1BAD" w:rsidRPr="005D1BAD">
        <w:rPr>
          <w:rFonts w:ascii="Franklin Gothic Book" w:hAnsi="Franklin Gothic Book" w:cstheme="minorBidi"/>
        </w:rPr>
        <w:t xml:space="preserve"> a gradual uptake as more surgeons are trained to insert </w:t>
      </w:r>
      <w:proofErr w:type="spellStart"/>
      <w:r w:rsidR="005D1BAD" w:rsidRPr="005D1BAD">
        <w:rPr>
          <w:rFonts w:ascii="Franklin Gothic Book" w:hAnsi="Franklin Gothic Book" w:cstheme="minorBidi"/>
        </w:rPr>
        <w:t>MINIject</w:t>
      </w:r>
      <w:proofErr w:type="spellEnd"/>
      <w:r w:rsidR="005D1BAD" w:rsidRPr="005D1BAD">
        <w:rPr>
          <w:rFonts w:ascii="Franklin Gothic Book" w:hAnsi="Franklin Gothic Book" w:cstheme="minorBidi"/>
        </w:rPr>
        <w:t xml:space="preserve"> and are convinced of its positive outcomes, with this growth constrained by the iSTAR resources available to undertake training, as well as the preference of many surgeons to continue to use the comparator </w:t>
      </w:r>
      <w:proofErr w:type="spellStart"/>
      <w:r w:rsidR="005D1BAD" w:rsidRPr="005D1BAD">
        <w:rPr>
          <w:rFonts w:ascii="Franklin Gothic Book" w:hAnsi="Franklin Gothic Book" w:cstheme="minorBidi"/>
        </w:rPr>
        <w:t>iStent</w:t>
      </w:r>
      <w:proofErr w:type="spellEnd"/>
      <w:r w:rsidR="005D1BAD" w:rsidRPr="005D1BAD">
        <w:rPr>
          <w:rFonts w:ascii="Franklin Gothic Book" w:hAnsi="Franklin Gothic Book" w:cstheme="minorBidi"/>
        </w:rPr>
        <w:t>.</w:t>
      </w:r>
    </w:p>
    <w:p w14:paraId="1EB1E033" w14:textId="29216A75" w:rsidR="00671E98" w:rsidRDefault="00671E98" w:rsidP="00617190">
      <w:pPr>
        <w:pStyle w:val="Caption"/>
      </w:pPr>
      <w:bookmarkStart w:id="45" w:name="_Ref155342908"/>
      <w:r>
        <w:t>Table</w:t>
      </w:r>
      <w:r w:rsidR="0099460B" w:rsidRPr="0001290C">
        <w:t> </w:t>
      </w:r>
      <w:r>
        <w:fldChar w:fldCharType="begin"/>
      </w:r>
      <w:r>
        <w:instrText>SEQ Table \* ARABIC</w:instrText>
      </w:r>
      <w:r>
        <w:fldChar w:fldCharType="separate"/>
      </w:r>
      <w:r w:rsidR="003C61D8">
        <w:rPr>
          <w:noProof/>
        </w:rPr>
        <w:t>18</w:t>
      </w:r>
      <w:r>
        <w:fldChar w:fldCharType="end"/>
      </w:r>
      <w:bookmarkEnd w:id="45"/>
      <w:r w:rsidR="0099460B">
        <w:tab/>
      </w:r>
      <w:r>
        <w:t xml:space="preserve">Proposed uptake of </w:t>
      </w:r>
      <w:proofErr w:type="spellStart"/>
      <w:r>
        <w:t>MINIject</w:t>
      </w:r>
      <w:proofErr w:type="spellEnd"/>
      <w:r>
        <w:t xml:space="preserve"> as presented in ADAR </w:t>
      </w:r>
      <w:proofErr w:type="gramStart"/>
      <w:r>
        <w:t>submission</w:t>
      </w:r>
      <w:proofErr w:type="gramEnd"/>
    </w:p>
    <w:tbl>
      <w:tblPr>
        <w:tblStyle w:val="TableGrid"/>
        <w:tblW w:w="0" w:type="auto"/>
        <w:tblLayout w:type="fixed"/>
        <w:tblLook w:val="04A0" w:firstRow="1" w:lastRow="0" w:firstColumn="1" w:lastColumn="0" w:noHBand="0" w:noVBand="1"/>
      </w:tblPr>
      <w:tblGrid>
        <w:gridCol w:w="2199"/>
        <w:gridCol w:w="973"/>
        <w:gridCol w:w="974"/>
        <w:gridCol w:w="974"/>
        <w:gridCol w:w="974"/>
        <w:gridCol w:w="974"/>
        <w:gridCol w:w="974"/>
        <w:gridCol w:w="974"/>
      </w:tblGrid>
      <w:tr w:rsidR="00480A53" w:rsidRPr="00F2724B" w14:paraId="2B65577D" w14:textId="77777777" w:rsidTr="00185E15">
        <w:trPr>
          <w:trHeight w:val="450"/>
        </w:trPr>
        <w:tc>
          <w:tcPr>
            <w:tcW w:w="2199" w:type="dxa"/>
            <w:hideMark/>
          </w:tcPr>
          <w:p w14:paraId="7F39E1D6" w14:textId="77777777" w:rsidR="00671E98" w:rsidRPr="00F2724B" w:rsidRDefault="00671E98">
            <w:pPr>
              <w:pStyle w:val="Tablecontent"/>
              <w:rPr>
                <w:b/>
                <w:bCs/>
              </w:rPr>
            </w:pPr>
            <w:r w:rsidRPr="00F2724B">
              <w:rPr>
                <w:b/>
                <w:bCs/>
              </w:rPr>
              <w:t>Item 42504 services in 2022</w:t>
            </w:r>
            <w:r>
              <w:rPr>
                <w:b/>
                <w:bCs/>
              </w:rPr>
              <w:t>/23:</w:t>
            </w:r>
          </w:p>
        </w:tc>
        <w:tc>
          <w:tcPr>
            <w:tcW w:w="6817" w:type="dxa"/>
            <w:gridSpan w:val="7"/>
            <w:hideMark/>
          </w:tcPr>
          <w:p w14:paraId="6A99DAA2" w14:textId="77777777" w:rsidR="00671E98" w:rsidRPr="00F2724B" w:rsidRDefault="00671E98">
            <w:pPr>
              <w:pStyle w:val="Tableheading1"/>
              <w:jc w:val="center"/>
            </w:pPr>
            <w:r w:rsidRPr="00F2724B">
              <w:t>Services by MBS item (</w:t>
            </w:r>
            <w:r>
              <w:t>financial year</w:t>
            </w:r>
            <w:r w:rsidRPr="00F2724B">
              <w:t>)</w:t>
            </w:r>
          </w:p>
        </w:tc>
      </w:tr>
      <w:tr w:rsidR="00F51C6A" w:rsidRPr="00F2724B" w14:paraId="79FF0287" w14:textId="77777777" w:rsidTr="00185E15">
        <w:trPr>
          <w:trHeight w:val="450"/>
        </w:trPr>
        <w:tc>
          <w:tcPr>
            <w:tcW w:w="2199" w:type="dxa"/>
            <w:hideMark/>
          </w:tcPr>
          <w:p w14:paraId="69DA19B2" w14:textId="77777777" w:rsidR="00671E98" w:rsidRPr="00F2724B" w:rsidRDefault="00671E98">
            <w:pPr>
              <w:pStyle w:val="Tablecontent"/>
              <w:rPr>
                <w:b/>
                <w:bCs/>
              </w:rPr>
            </w:pPr>
            <w:r w:rsidRPr="00F2724B">
              <w:rPr>
                <w:b/>
                <w:bCs/>
              </w:rPr>
              <w:t>39</w:t>
            </w:r>
            <w:r>
              <w:rPr>
                <w:b/>
                <w:bCs/>
              </w:rPr>
              <w:t>0</w:t>
            </w:r>
          </w:p>
        </w:tc>
        <w:tc>
          <w:tcPr>
            <w:tcW w:w="973" w:type="dxa"/>
            <w:hideMark/>
          </w:tcPr>
          <w:p w14:paraId="6F189FD9" w14:textId="77777777" w:rsidR="00671E98" w:rsidRPr="00F2724B" w:rsidRDefault="00671E98">
            <w:pPr>
              <w:pStyle w:val="Tablecontent"/>
              <w:rPr>
                <w:b/>
                <w:bCs/>
              </w:rPr>
            </w:pPr>
            <w:r>
              <w:rPr>
                <w:rFonts w:cs="Calibri"/>
                <w:b/>
                <w:bCs/>
                <w:color w:val="000000"/>
                <w:szCs w:val="20"/>
              </w:rPr>
              <w:t>2022/23</w:t>
            </w:r>
          </w:p>
        </w:tc>
        <w:tc>
          <w:tcPr>
            <w:tcW w:w="974" w:type="dxa"/>
            <w:hideMark/>
          </w:tcPr>
          <w:p w14:paraId="1EB92E09" w14:textId="77777777" w:rsidR="00671E98" w:rsidRPr="00F2724B" w:rsidRDefault="00671E98">
            <w:pPr>
              <w:pStyle w:val="Tablecontent"/>
              <w:rPr>
                <w:b/>
                <w:bCs/>
              </w:rPr>
            </w:pPr>
            <w:r>
              <w:rPr>
                <w:rFonts w:cs="Calibri"/>
                <w:b/>
                <w:bCs/>
                <w:color w:val="000000"/>
                <w:szCs w:val="20"/>
              </w:rPr>
              <w:t>2023/24</w:t>
            </w:r>
          </w:p>
        </w:tc>
        <w:tc>
          <w:tcPr>
            <w:tcW w:w="974" w:type="dxa"/>
            <w:hideMark/>
          </w:tcPr>
          <w:p w14:paraId="4127DFD1" w14:textId="77777777" w:rsidR="00671E98" w:rsidRPr="00F2724B" w:rsidRDefault="00671E98">
            <w:pPr>
              <w:pStyle w:val="Tablecontent"/>
              <w:rPr>
                <w:b/>
                <w:bCs/>
              </w:rPr>
            </w:pPr>
            <w:r>
              <w:rPr>
                <w:rFonts w:cs="Calibri"/>
                <w:b/>
                <w:bCs/>
                <w:color w:val="000000"/>
                <w:szCs w:val="20"/>
              </w:rPr>
              <w:t>2024/25</w:t>
            </w:r>
          </w:p>
        </w:tc>
        <w:tc>
          <w:tcPr>
            <w:tcW w:w="974" w:type="dxa"/>
            <w:hideMark/>
          </w:tcPr>
          <w:p w14:paraId="31C238E2" w14:textId="77777777" w:rsidR="00671E98" w:rsidRPr="00F2724B" w:rsidRDefault="00671E98">
            <w:pPr>
              <w:pStyle w:val="Tablecontent"/>
              <w:rPr>
                <w:b/>
                <w:bCs/>
              </w:rPr>
            </w:pPr>
            <w:r>
              <w:rPr>
                <w:rFonts w:cs="Calibri"/>
                <w:b/>
                <w:bCs/>
                <w:color w:val="000000"/>
                <w:szCs w:val="20"/>
              </w:rPr>
              <w:t>2025/26</w:t>
            </w:r>
          </w:p>
        </w:tc>
        <w:tc>
          <w:tcPr>
            <w:tcW w:w="974" w:type="dxa"/>
            <w:hideMark/>
          </w:tcPr>
          <w:p w14:paraId="030CF56C" w14:textId="77777777" w:rsidR="00671E98" w:rsidRPr="00F2724B" w:rsidRDefault="00671E98">
            <w:pPr>
              <w:pStyle w:val="Tablecontent"/>
              <w:rPr>
                <w:b/>
                <w:bCs/>
              </w:rPr>
            </w:pPr>
            <w:r>
              <w:rPr>
                <w:rFonts w:cs="Calibri"/>
                <w:b/>
                <w:bCs/>
                <w:color w:val="000000"/>
                <w:szCs w:val="20"/>
              </w:rPr>
              <w:t>2026/27</w:t>
            </w:r>
          </w:p>
        </w:tc>
        <w:tc>
          <w:tcPr>
            <w:tcW w:w="974" w:type="dxa"/>
            <w:hideMark/>
          </w:tcPr>
          <w:p w14:paraId="232FD002" w14:textId="77777777" w:rsidR="00671E98" w:rsidRPr="00F2724B" w:rsidRDefault="00671E98">
            <w:pPr>
              <w:pStyle w:val="Tablecontent"/>
              <w:rPr>
                <w:b/>
                <w:bCs/>
              </w:rPr>
            </w:pPr>
            <w:r>
              <w:rPr>
                <w:rFonts w:cs="Calibri"/>
                <w:b/>
                <w:bCs/>
                <w:color w:val="000000"/>
                <w:szCs w:val="20"/>
              </w:rPr>
              <w:t>2027/28</w:t>
            </w:r>
          </w:p>
        </w:tc>
        <w:tc>
          <w:tcPr>
            <w:tcW w:w="974" w:type="dxa"/>
            <w:hideMark/>
          </w:tcPr>
          <w:p w14:paraId="7C4B90CD" w14:textId="77777777" w:rsidR="00671E98" w:rsidRPr="00F2724B" w:rsidRDefault="00671E98">
            <w:pPr>
              <w:pStyle w:val="Tablecontent"/>
              <w:rPr>
                <w:b/>
                <w:bCs/>
              </w:rPr>
            </w:pPr>
            <w:r>
              <w:rPr>
                <w:rFonts w:cs="Calibri"/>
                <w:b/>
                <w:bCs/>
                <w:color w:val="000000"/>
                <w:szCs w:val="20"/>
              </w:rPr>
              <w:t>2028/29</w:t>
            </w:r>
          </w:p>
        </w:tc>
      </w:tr>
      <w:tr w:rsidR="00F51C6A" w:rsidRPr="00F2724B" w14:paraId="7A005CE2" w14:textId="77777777" w:rsidTr="00185E15">
        <w:trPr>
          <w:trHeight w:val="300"/>
        </w:trPr>
        <w:tc>
          <w:tcPr>
            <w:tcW w:w="2199" w:type="dxa"/>
            <w:hideMark/>
          </w:tcPr>
          <w:p w14:paraId="4710F133" w14:textId="49FB0E98" w:rsidR="00671E98" w:rsidRPr="00F2724B" w:rsidRDefault="00671E98">
            <w:pPr>
              <w:pStyle w:val="Tablecontent"/>
            </w:pPr>
            <w:r w:rsidRPr="00F2724B">
              <w:t>Assumed</w:t>
            </w:r>
            <w:r>
              <w:t xml:space="preserve"> market</w:t>
            </w:r>
            <w:r w:rsidRPr="00F2724B">
              <w:t xml:space="preserve"> growth</w:t>
            </w:r>
            <w:r w:rsidR="00F51C6A">
              <w:t xml:space="preserve"> (%)</w:t>
            </w:r>
          </w:p>
        </w:tc>
        <w:tc>
          <w:tcPr>
            <w:tcW w:w="973" w:type="dxa"/>
          </w:tcPr>
          <w:p w14:paraId="70020A9D" w14:textId="2E79DC14" w:rsidR="00703A40" w:rsidRPr="003C0D1F" w:rsidRDefault="006F434D">
            <w:pPr>
              <w:pStyle w:val="Tablecontent"/>
              <w:rPr>
                <w:rFonts w:cs="Calibri"/>
                <w:color w:val="000000"/>
                <w:szCs w:val="20"/>
              </w:rPr>
            </w:pPr>
            <w:r w:rsidRPr="003C0D1F">
              <w:rPr>
                <w:rFonts w:cs="Calibri"/>
                <w:color w:val="000000"/>
                <w:szCs w:val="20"/>
              </w:rPr>
              <w:t>Redacted</w:t>
            </w:r>
          </w:p>
        </w:tc>
        <w:tc>
          <w:tcPr>
            <w:tcW w:w="974" w:type="dxa"/>
          </w:tcPr>
          <w:p w14:paraId="195E281E" w14:textId="4694426E" w:rsidR="00671E98" w:rsidRPr="003C0D1F" w:rsidRDefault="006F434D">
            <w:pPr>
              <w:pStyle w:val="Tablecontent"/>
              <w:rPr>
                <w:szCs w:val="20"/>
              </w:rPr>
            </w:pPr>
            <w:r w:rsidRPr="003C0D1F">
              <w:rPr>
                <w:rFonts w:cs="Calibri"/>
                <w:color w:val="000000"/>
                <w:szCs w:val="20"/>
              </w:rPr>
              <w:t>Redacted</w:t>
            </w:r>
          </w:p>
        </w:tc>
        <w:tc>
          <w:tcPr>
            <w:tcW w:w="974" w:type="dxa"/>
          </w:tcPr>
          <w:p w14:paraId="4C35BCC5" w14:textId="5A9CCCE8" w:rsidR="00671E98" w:rsidRPr="003C0D1F" w:rsidRDefault="006F434D">
            <w:pPr>
              <w:pStyle w:val="Tablecontent"/>
              <w:rPr>
                <w:szCs w:val="20"/>
              </w:rPr>
            </w:pPr>
            <w:r w:rsidRPr="003C0D1F">
              <w:rPr>
                <w:rFonts w:cs="Calibri"/>
                <w:color w:val="000000"/>
                <w:szCs w:val="20"/>
              </w:rPr>
              <w:t>Redacted</w:t>
            </w:r>
          </w:p>
        </w:tc>
        <w:tc>
          <w:tcPr>
            <w:tcW w:w="974" w:type="dxa"/>
          </w:tcPr>
          <w:p w14:paraId="4497C269" w14:textId="4AA72F9C" w:rsidR="00671E98" w:rsidRPr="003C0D1F" w:rsidRDefault="006F434D">
            <w:pPr>
              <w:pStyle w:val="Tablecontent"/>
              <w:rPr>
                <w:szCs w:val="20"/>
              </w:rPr>
            </w:pPr>
            <w:r w:rsidRPr="003C0D1F">
              <w:rPr>
                <w:rFonts w:cs="Calibri"/>
                <w:color w:val="000000"/>
                <w:szCs w:val="20"/>
              </w:rPr>
              <w:t>Redacted</w:t>
            </w:r>
          </w:p>
        </w:tc>
        <w:tc>
          <w:tcPr>
            <w:tcW w:w="974" w:type="dxa"/>
          </w:tcPr>
          <w:p w14:paraId="0D09FEC1" w14:textId="337BC328" w:rsidR="00671E98" w:rsidRPr="003C0D1F" w:rsidRDefault="006F434D">
            <w:pPr>
              <w:pStyle w:val="Tablecontent"/>
              <w:rPr>
                <w:szCs w:val="20"/>
              </w:rPr>
            </w:pPr>
            <w:r w:rsidRPr="003C0D1F">
              <w:rPr>
                <w:rFonts w:cs="Calibri"/>
                <w:color w:val="000000"/>
                <w:szCs w:val="20"/>
              </w:rPr>
              <w:t>Redacted</w:t>
            </w:r>
          </w:p>
        </w:tc>
        <w:tc>
          <w:tcPr>
            <w:tcW w:w="974" w:type="dxa"/>
          </w:tcPr>
          <w:p w14:paraId="537EE5F6" w14:textId="6CEBF6A4" w:rsidR="00671E98" w:rsidRPr="003C0D1F" w:rsidRDefault="006F434D">
            <w:pPr>
              <w:pStyle w:val="Tablecontent"/>
              <w:rPr>
                <w:szCs w:val="20"/>
              </w:rPr>
            </w:pPr>
            <w:r w:rsidRPr="003C0D1F">
              <w:rPr>
                <w:rFonts w:cs="Calibri"/>
                <w:color w:val="000000"/>
                <w:szCs w:val="20"/>
              </w:rPr>
              <w:t>Redacted</w:t>
            </w:r>
            <w:r w:rsidRPr="003C0D1F" w:rsidDel="00914F8E">
              <w:rPr>
                <w:rFonts w:cs="Calibri"/>
                <w:color w:val="000000"/>
                <w:szCs w:val="20"/>
              </w:rPr>
              <w:t xml:space="preserve"> </w:t>
            </w:r>
          </w:p>
        </w:tc>
        <w:tc>
          <w:tcPr>
            <w:tcW w:w="974" w:type="dxa"/>
          </w:tcPr>
          <w:p w14:paraId="464902E1" w14:textId="3361E951" w:rsidR="00671E98" w:rsidRPr="003C0D1F" w:rsidRDefault="006F434D">
            <w:pPr>
              <w:pStyle w:val="Tablecontent"/>
              <w:rPr>
                <w:szCs w:val="20"/>
              </w:rPr>
            </w:pPr>
            <w:r w:rsidRPr="003C0D1F">
              <w:rPr>
                <w:rFonts w:cs="Calibri"/>
                <w:color w:val="000000"/>
                <w:szCs w:val="20"/>
              </w:rPr>
              <w:t>Redacted</w:t>
            </w:r>
          </w:p>
        </w:tc>
      </w:tr>
      <w:tr w:rsidR="00F51C6A" w:rsidRPr="00F2724B" w14:paraId="70F90AD6" w14:textId="77777777" w:rsidTr="00185E15">
        <w:trPr>
          <w:trHeight w:val="300"/>
        </w:trPr>
        <w:tc>
          <w:tcPr>
            <w:tcW w:w="2199" w:type="dxa"/>
            <w:hideMark/>
          </w:tcPr>
          <w:p w14:paraId="7AF8408F" w14:textId="77777777" w:rsidR="00671E98" w:rsidRPr="00F2724B" w:rsidRDefault="00671E98">
            <w:pPr>
              <w:pStyle w:val="Tablecontent"/>
            </w:pPr>
            <w:r w:rsidRPr="00F2724B">
              <w:t>Market size</w:t>
            </w:r>
          </w:p>
        </w:tc>
        <w:tc>
          <w:tcPr>
            <w:tcW w:w="973" w:type="dxa"/>
          </w:tcPr>
          <w:p w14:paraId="20D1B4E6" w14:textId="4E408617" w:rsidR="00671E98" w:rsidRPr="003C0D1F" w:rsidRDefault="006F434D">
            <w:pPr>
              <w:pStyle w:val="Tablecontent"/>
              <w:rPr>
                <w:szCs w:val="20"/>
              </w:rPr>
            </w:pPr>
            <w:r w:rsidRPr="003C0D1F">
              <w:rPr>
                <w:rFonts w:cs="Calibri"/>
                <w:color w:val="000000"/>
                <w:szCs w:val="20"/>
              </w:rPr>
              <w:t>Redacted</w:t>
            </w:r>
          </w:p>
        </w:tc>
        <w:tc>
          <w:tcPr>
            <w:tcW w:w="974" w:type="dxa"/>
          </w:tcPr>
          <w:p w14:paraId="28159447" w14:textId="0AD6C6AF" w:rsidR="00671E98" w:rsidRPr="003C0D1F" w:rsidRDefault="006F434D">
            <w:pPr>
              <w:pStyle w:val="Tablecontent"/>
              <w:rPr>
                <w:szCs w:val="20"/>
              </w:rPr>
            </w:pPr>
            <w:r w:rsidRPr="003C0D1F">
              <w:rPr>
                <w:rFonts w:cs="Calibri"/>
                <w:color w:val="000000"/>
                <w:szCs w:val="20"/>
              </w:rPr>
              <w:t>Redacted</w:t>
            </w:r>
          </w:p>
        </w:tc>
        <w:tc>
          <w:tcPr>
            <w:tcW w:w="974" w:type="dxa"/>
          </w:tcPr>
          <w:p w14:paraId="5EE62E86" w14:textId="6C90E7EF" w:rsidR="00671E98" w:rsidRPr="003C0D1F" w:rsidRDefault="006F434D">
            <w:pPr>
              <w:pStyle w:val="Tablecontent"/>
              <w:rPr>
                <w:szCs w:val="20"/>
              </w:rPr>
            </w:pPr>
            <w:r w:rsidRPr="003C0D1F">
              <w:rPr>
                <w:rFonts w:cs="Calibri"/>
                <w:color w:val="000000"/>
                <w:szCs w:val="20"/>
              </w:rPr>
              <w:t>Redacted</w:t>
            </w:r>
          </w:p>
        </w:tc>
        <w:tc>
          <w:tcPr>
            <w:tcW w:w="974" w:type="dxa"/>
          </w:tcPr>
          <w:p w14:paraId="3F93B680" w14:textId="0E1EBD27" w:rsidR="00671E98" w:rsidRPr="003C0D1F" w:rsidRDefault="006F434D">
            <w:pPr>
              <w:pStyle w:val="Tablecontent"/>
              <w:rPr>
                <w:szCs w:val="20"/>
              </w:rPr>
            </w:pPr>
            <w:r w:rsidRPr="003C0D1F">
              <w:rPr>
                <w:rFonts w:cs="Calibri"/>
                <w:color w:val="000000"/>
                <w:szCs w:val="20"/>
              </w:rPr>
              <w:t>Redacted</w:t>
            </w:r>
          </w:p>
        </w:tc>
        <w:tc>
          <w:tcPr>
            <w:tcW w:w="974" w:type="dxa"/>
          </w:tcPr>
          <w:p w14:paraId="20CD34F4" w14:textId="4C4B486D" w:rsidR="00671E98" w:rsidRPr="003C0D1F" w:rsidRDefault="006F434D">
            <w:pPr>
              <w:pStyle w:val="Tablecontent"/>
              <w:rPr>
                <w:szCs w:val="20"/>
              </w:rPr>
            </w:pPr>
            <w:r w:rsidRPr="003C0D1F">
              <w:rPr>
                <w:rFonts w:cs="Calibri"/>
                <w:color w:val="000000"/>
                <w:szCs w:val="20"/>
              </w:rPr>
              <w:t>Redacted</w:t>
            </w:r>
          </w:p>
        </w:tc>
        <w:tc>
          <w:tcPr>
            <w:tcW w:w="974" w:type="dxa"/>
          </w:tcPr>
          <w:p w14:paraId="7B75300E" w14:textId="7F264D78" w:rsidR="00671E98" w:rsidRPr="003C0D1F" w:rsidRDefault="006F434D">
            <w:pPr>
              <w:pStyle w:val="Tablecontent"/>
              <w:rPr>
                <w:szCs w:val="20"/>
              </w:rPr>
            </w:pPr>
            <w:r w:rsidRPr="003C0D1F">
              <w:rPr>
                <w:rFonts w:cs="Calibri"/>
                <w:color w:val="000000"/>
                <w:szCs w:val="20"/>
              </w:rPr>
              <w:t>Redacted</w:t>
            </w:r>
          </w:p>
        </w:tc>
        <w:tc>
          <w:tcPr>
            <w:tcW w:w="974" w:type="dxa"/>
          </w:tcPr>
          <w:p w14:paraId="59C18ADC" w14:textId="7B76E68E" w:rsidR="00671E98" w:rsidRPr="003C0D1F" w:rsidRDefault="006F434D">
            <w:pPr>
              <w:pStyle w:val="Tablecontent"/>
              <w:rPr>
                <w:szCs w:val="20"/>
              </w:rPr>
            </w:pPr>
            <w:r w:rsidRPr="003C0D1F">
              <w:rPr>
                <w:rFonts w:cs="Calibri"/>
                <w:color w:val="000000"/>
                <w:szCs w:val="20"/>
              </w:rPr>
              <w:t>Redacted</w:t>
            </w:r>
          </w:p>
        </w:tc>
      </w:tr>
      <w:tr w:rsidR="00F51C6A" w:rsidRPr="00F2724B" w14:paraId="199B7F3E" w14:textId="77777777" w:rsidTr="00185E15">
        <w:trPr>
          <w:trHeight w:val="300"/>
        </w:trPr>
        <w:tc>
          <w:tcPr>
            <w:tcW w:w="2199" w:type="dxa"/>
            <w:noWrap/>
            <w:hideMark/>
          </w:tcPr>
          <w:p w14:paraId="1D21A9AF" w14:textId="77777777" w:rsidR="00671E98" w:rsidRPr="00F2724B" w:rsidRDefault="00671E98">
            <w:pPr>
              <w:pStyle w:val="Tablecontent"/>
            </w:pPr>
            <w:r w:rsidRPr="00F2724B">
              <w:t>% replacement of existing item 42504</w:t>
            </w:r>
          </w:p>
        </w:tc>
        <w:tc>
          <w:tcPr>
            <w:tcW w:w="973" w:type="dxa"/>
            <w:noWrap/>
          </w:tcPr>
          <w:p w14:paraId="2F774E74" w14:textId="524DAE2F" w:rsidR="00671E98" w:rsidRPr="003C0D1F" w:rsidRDefault="003C0D1F">
            <w:pPr>
              <w:pStyle w:val="Tablecontent"/>
              <w:rPr>
                <w:szCs w:val="20"/>
              </w:rPr>
            </w:pPr>
            <w:r w:rsidRPr="003C0D1F">
              <w:rPr>
                <w:szCs w:val="20"/>
              </w:rPr>
              <w:t>-</w:t>
            </w:r>
          </w:p>
        </w:tc>
        <w:tc>
          <w:tcPr>
            <w:tcW w:w="974" w:type="dxa"/>
            <w:noWrap/>
          </w:tcPr>
          <w:p w14:paraId="0F09949B" w14:textId="60E9A5C3" w:rsidR="00671E98" w:rsidRPr="003C0D1F" w:rsidRDefault="006F434D">
            <w:pPr>
              <w:pStyle w:val="Tablecontent"/>
              <w:rPr>
                <w:szCs w:val="20"/>
              </w:rPr>
            </w:pPr>
            <w:r w:rsidRPr="003C0D1F">
              <w:rPr>
                <w:rFonts w:cs="Calibri"/>
                <w:color w:val="000000"/>
                <w:szCs w:val="20"/>
              </w:rPr>
              <w:t>Redacted</w:t>
            </w:r>
          </w:p>
        </w:tc>
        <w:tc>
          <w:tcPr>
            <w:tcW w:w="974" w:type="dxa"/>
            <w:noWrap/>
          </w:tcPr>
          <w:p w14:paraId="7D96B753" w14:textId="7E8926D1" w:rsidR="00671E98" w:rsidRPr="003C0D1F" w:rsidRDefault="006F434D">
            <w:pPr>
              <w:pStyle w:val="Tablecontent"/>
              <w:rPr>
                <w:szCs w:val="20"/>
              </w:rPr>
            </w:pPr>
            <w:r w:rsidRPr="003C0D1F">
              <w:rPr>
                <w:rFonts w:cs="Calibri"/>
                <w:color w:val="000000"/>
                <w:szCs w:val="20"/>
              </w:rPr>
              <w:t>Redacted</w:t>
            </w:r>
          </w:p>
        </w:tc>
        <w:tc>
          <w:tcPr>
            <w:tcW w:w="974" w:type="dxa"/>
            <w:noWrap/>
          </w:tcPr>
          <w:p w14:paraId="1A03F420" w14:textId="6EA31F3A" w:rsidR="00671E98" w:rsidRPr="003C0D1F" w:rsidRDefault="006F434D">
            <w:pPr>
              <w:pStyle w:val="Tablecontent"/>
              <w:rPr>
                <w:szCs w:val="20"/>
              </w:rPr>
            </w:pPr>
            <w:r w:rsidRPr="003C0D1F">
              <w:rPr>
                <w:rFonts w:cs="Calibri"/>
                <w:color w:val="000000"/>
                <w:szCs w:val="20"/>
              </w:rPr>
              <w:t>Redacted</w:t>
            </w:r>
          </w:p>
        </w:tc>
        <w:tc>
          <w:tcPr>
            <w:tcW w:w="974" w:type="dxa"/>
            <w:noWrap/>
          </w:tcPr>
          <w:p w14:paraId="24B9249A" w14:textId="02F1E54B" w:rsidR="00671E98" w:rsidRPr="003C0D1F" w:rsidRDefault="006F434D">
            <w:pPr>
              <w:pStyle w:val="Tablecontent"/>
              <w:rPr>
                <w:szCs w:val="20"/>
              </w:rPr>
            </w:pPr>
            <w:r w:rsidRPr="003C0D1F">
              <w:rPr>
                <w:rFonts w:cs="Calibri"/>
                <w:color w:val="000000"/>
                <w:szCs w:val="20"/>
              </w:rPr>
              <w:t>Redacted</w:t>
            </w:r>
          </w:p>
        </w:tc>
        <w:tc>
          <w:tcPr>
            <w:tcW w:w="974" w:type="dxa"/>
            <w:noWrap/>
          </w:tcPr>
          <w:p w14:paraId="6DBDEB87" w14:textId="14F60D0B" w:rsidR="00671E98" w:rsidRPr="003C0D1F" w:rsidRDefault="006F434D">
            <w:pPr>
              <w:pStyle w:val="Tablecontent"/>
              <w:rPr>
                <w:szCs w:val="20"/>
              </w:rPr>
            </w:pPr>
            <w:r w:rsidRPr="003C0D1F">
              <w:rPr>
                <w:rFonts w:cs="Calibri"/>
                <w:color w:val="000000"/>
                <w:szCs w:val="20"/>
              </w:rPr>
              <w:t>Redacted</w:t>
            </w:r>
          </w:p>
        </w:tc>
        <w:tc>
          <w:tcPr>
            <w:tcW w:w="974" w:type="dxa"/>
            <w:noWrap/>
          </w:tcPr>
          <w:p w14:paraId="2A01941A" w14:textId="3E5F2B93" w:rsidR="00671E98" w:rsidRPr="003C0D1F" w:rsidRDefault="006F434D">
            <w:pPr>
              <w:pStyle w:val="Tablecontent"/>
              <w:rPr>
                <w:szCs w:val="20"/>
              </w:rPr>
            </w:pPr>
            <w:r w:rsidRPr="003C0D1F">
              <w:rPr>
                <w:rFonts w:cs="Calibri"/>
                <w:color w:val="000000"/>
                <w:szCs w:val="20"/>
              </w:rPr>
              <w:t>Redacted</w:t>
            </w:r>
          </w:p>
        </w:tc>
      </w:tr>
      <w:tr w:rsidR="00F51C6A" w:rsidRPr="0073132D" w14:paraId="4B9E45BF" w14:textId="77777777" w:rsidTr="00185E15">
        <w:trPr>
          <w:trHeight w:val="300"/>
        </w:trPr>
        <w:tc>
          <w:tcPr>
            <w:tcW w:w="2199" w:type="dxa"/>
            <w:noWrap/>
            <w:hideMark/>
          </w:tcPr>
          <w:p w14:paraId="7D6D202C" w14:textId="77777777" w:rsidR="00671E98" w:rsidRPr="00617190" w:rsidRDefault="00671E98">
            <w:pPr>
              <w:pStyle w:val="Tablecontent"/>
            </w:pPr>
            <w:r w:rsidRPr="00617190">
              <w:t xml:space="preserve">Estimated </w:t>
            </w:r>
            <w:proofErr w:type="spellStart"/>
            <w:r w:rsidRPr="00617190">
              <w:t>MINIject</w:t>
            </w:r>
            <w:proofErr w:type="spellEnd"/>
            <w:r w:rsidRPr="00617190">
              <w:t xml:space="preserve"> services</w:t>
            </w:r>
          </w:p>
        </w:tc>
        <w:tc>
          <w:tcPr>
            <w:tcW w:w="973" w:type="dxa"/>
            <w:noWrap/>
          </w:tcPr>
          <w:p w14:paraId="5E783018" w14:textId="007096DF" w:rsidR="00671E98" w:rsidRPr="003C0D1F" w:rsidRDefault="003C0D1F">
            <w:pPr>
              <w:pStyle w:val="Tablecontent"/>
              <w:rPr>
                <w:szCs w:val="20"/>
              </w:rPr>
            </w:pPr>
            <w:r w:rsidRPr="003C0D1F">
              <w:rPr>
                <w:szCs w:val="20"/>
              </w:rPr>
              <w:t>-</w:t>
            </w:r>
          </w:p>
        </w:tc>
        <w:tc>
          <w:tcPr>
            <w:tcW w:w="974" w:type="dxa"/>
            <w:noWrap/>
          </w:tcPr>
          <w:p w14:paraId="43D9E927" w14:textId="75FB6C8B" w:rsidR="00671E98" w:rsidRPr="003C0D1F" w:rsidRDefault="006F434D">
            <w:pPr>
              <w:pStyle w:val="Tablecontent"/>
              <w:rPr>
                <w:szCs w:val="20"/>
              </w:rPr>
            </w:pPr>
            <w:r w:rsidRPr="003C0D1F">
              <w:rPr>
                <w:rFonts w:cs="Calibri"/>
                <w:color w:val="000000"/>
                <w:szCs w:val="20"/>
              </w:rPr>
              <w:t>Redacted</w:t>
            </w:r>
          </w:p>
        </w:tc>
        <w:tc>
          <w:tcPr>
            <w:tcW w:w="974" w:type="dxa"/>
            <w:noWrap/>
          </w:tcPr>
          <w:p w14:paraId="19D24E3E" w14:textId="49801053" w:rsidR="00671E98" w:rsidRPr="003C0D1F" w:rsidRDefault="006F434D">
            <w:pPr>
              <w:pStyle w:val="Tablecontent"/>
              <w:rPr>
                <w:szCs w:val="20"/>
              </w:rPr>
            </w:pPr>
            <w:r w:rsidRPr="003C0D1F">
              <w:rPr>
                <w:rFonts w:cs="Calibri"/>
                <w:color w:val="000000"/>
                <w:szCs w:val="20"/>
              </w:rPr>
              <w:t>Redacted</w:t>
            </w:r>
          </w:p>
        </w:tc>
        <w:tc>
          <w:tcPr>
            <w:tcW w:w="974" w:type="dxa"/>
            <w:noWrap/>
          </w:tcPr>
          <w:p w14:paraId="34106888" w14:textId="50FF157F" w:rsidR="00671E98" w:rsidRPr="003C0D1F" w:rsidRDefault="006F434D">
            <w:pPr>
              <w:pStyle w:val="Tablecontent"/>
              <w:rPr>
                <w:szCs w:val="20"/>
              </w:rPr>
            </w:pPr>
            <w:r w:rsidRPr="003C0D1F">
              <w:rPr>
                <w:rFonts w:cs="Calibri"/>
                <w:color w:val="000000"/>
                <w:szCs w:val="20"/>
              </w:rPr>
              <w:t>Redacted</w:t>
            </w:r>
          </w:p>
        </w:tc>
        <w:tc>
          <w:tcPr>
            <w:tcW w:w="974" w:type="dxa"/>
            <w:noWrap/>
          </w:tcPr>
          <w:p w14:paraId="7486F23C" w14:textId="64E87EB4" w:rsidR="00671E98" w:rsidRPr="003C0D1F" w:rsidRDefault="006F434D">
            <w:pPr>
              <w:pStyle w:val="Tablecontent"/>
              <w:rPr>
                <w:szCs w:val="20"/>
              </w:rPr>
            </w:pPr>
            <w:r w:rsidRPr="003C0D1F">
              <w:rPr>
                <w:rFonts w:cs="Calibri"/>
                <w:color w:val="000000"/>
                <w:szCs w:val="20"/>
              </w:rPr>
              <w:t>Redacted</w:t>
            </w:r>
          </w:p>
        </w:tc>
        <w:tc>
          <w:tcPr>
            <w:tcW w:w="974" w:type="dxa"/>
            <w:noWrap/>
          </w:tcPr>
          <w:p w14:paraId="7807D6EA" w14:textId="4651A9DD" w:rsidR="00671E98" w:rsidRPr="003C0D1F" w:rsidRDefault="006F434D">
            <w:pPr>
              <w:pStyle w:val="Tablecontent"/>
              <w:rPr>
                <w:szCs w:val="20"/>
              </w:rPr>
            </w:pPr>
            <w:r w:rsidRPr="003C0D1F">
              <w:rPr>
                <w:rFonts w:cs="Calibri"/>
                <w:color w:val="000000"/>
                <w:szCs w:val="20"/>
              </w:rPr>
              <w:t>Redacted</w:t>
            </w:r>
          </w:p>
        </w:tc>
        <w:tc>
          <w:tcPr>
            <w:tcW w:w="974" w:type="dxa"/>
            <w:noWrap/>
          </w:tcPr>
          <w:p w14:paraId="5FCCB73B" w14:textId="6149DEC4" w:rsidR="00671E98" w:rsidRPr="003C0D1F" w:rsidRDefault="006F434D">
            <w:pPr>
              <w:pStyle w:val="Tablecontent"/>
              <w:rPr>
                <w:szCs w:val="20"/>
              </w:rPr>
            </w:pPr>
            <w:r w:rsidRPr="003C0D1F">
              <w:rPr>
                <w:rFonts w:cs="Calibri"/>
                <w:color w:val="000000"/>
                <w:szCs w:val="20"/>
              </w:rPr>
              <w:t>Redacted</w:t>
            </w:r>
          </w:p>
        </w:tc>
      </w:tr>
    </w:tbl>
    <w:p w14:paraId="3EDDF0AA" w14:textId="6F03B8C4" w:rsidR="00B51A90" w:rsidRDefault="00473AF3" w:rsidP="00B51A90">
      <w:pPr>
        <w:pStyle w:val="Tablenotes0"/>
        <w:rPr>
          <w:u w:val="single"/>
        </w:rPr>
      </w:pPr>
      <w:r w:rsidRPr="00617190">
        <w:rPr>
          <w:u w:val="single"/>
        </w:rPr>
        <w:t>Abbreviations</w:t>
      </w:r>
      <w:r w:rsidRPr="00617190">
        <w:t xml:space="preserve">: </w:t>
      </w:r>
      <w:r w:rsidR="000A37DE">
        <w:t xml:space="preserve">MBS = </w:t>
      </w:r>
      <w:r w:rsidR="000A37DE" w:rsidRPr="000A37DE">
        <w:t>Medicare Benefits Schedule</w:t>
      </w:r>
      <w:r w:rsidR="00B51A90" w:rsidRPr="003F62A0">
        <w:rPr>
          <w:u w:val="single"/>
        </w:rPr>
        <w:t xml:space="preserve"> </w:t>
      </w:r>
    </w:p>
    <w:p w14:paraId="5BD48BE8" w14:textId="4CD45FB3" w:rsidR="00B51A90" w:rsidRPr="003F62A0" w:rsidRDefault="00B51A90" w:rsidP="00B51A90">
      <w:pPr>
        <w:pStyle w:val="Tablenotes0"/>
        <w:rPr>
          <w:u w:val="single"/>
        </w:rPr>
      </w:pPr>
      <w:r>
        <w:rPr>
          <w:u w:val="single"/>
        </w:rPr>
        <w:t xml:space="preserve">Source: </w:t>
      </w:r>
      <w:r w:rsidRPr="00617190">
        <w:t>Table 31 of ADAR submission</w:t>
      </w:r>
    </w:p>
    <w:p w14:paraId="062A4167" w14:textId="5669834C" w:rsidR="0091783F" w:rsidRPr="00431120" w:rsidRDefault="0091783F" w:rsidP="00431120">
      <w:pPr>
        <w:pStyle w:val="ADARbodytext"/>
        <w:rPr>
          <w:rFonts w:ascii="Franklin Gothic Book" w:hAnsi="Franklin Gothic Book" w:cstheme="minorBidi"/>
        </w:rPr>
      </w:pPr>
      <w:r>
        <w:rPr>
          <w:rFonts w:ascii="Franklin Gothic Book" w:hAnsi="Franklin Gothic Book" w:cstheme="minorBidi"/>
        </w:rPr>
        <w:t xml:space="preserve">The </w:t>
      </w:r>
      <w:r w:rsidR="00CF75C8">
        <w:rPr>
          <w:rFonts w:ascii="Franklin Gothic Book" w:hAnsi="Franklin Gothic Book" w:cstheme="minorBidi"/>
        </w:rPr>
        <w:t>a</w:t>
      </w:r>
      <w:r>
        <w:rPr>
          <w:rFonts w:ascii="Franklin Gothic Book" w:hAnsi="Franklin Gothic Book" w:cstheme="minorBidi"/>
        </w:rPr>
        <w:t xml:space="preserve">ssessment </w:t>
      </w:r>
      <w:r w:rsidR="00CF75C8">
        <w:rPr>
          <w:rFonts w:ascii="Franklin Gothic Book" w:hAnsi="Franklin Gothic Book" w:cstheme="minorBidi"/>
        </w:rPr>
        <w:t>g</w:t>
      </w:r>
      <w:r>
        <w:rPr>
          <w:rFonts w:ascii="Franklin Gothic Book" w:hAnsi="Franklin Gothic Book" w:cstheme="minorBidi"/>
        </w:rPr>
        <w:t>roup consider</w:t>
      </w:r>
      <w:r w:rsidR="00FF3F4E">
        <w:rPr>
          <w:rFonts w:ascii="Franklin Gothic Book" w:hAnsi="Franklin Gothic Book" w:cstheme="minorBidi"/>
        </w:rPr>
        <w:t>ed</w:t>
      </w:r>
      <w:r>
        <w:rPr>
          <w:rFonts w:ascii="Franklin Gothic Book" w:hAnsi="Franklin Gothic Book" w:cstheme="minorBidi"/>
        </w:rPr>
        <w:t xml:space="preserve"> the evidence provided on </w:t>
      </w:r>
      <w:r w:rsidR="00AA0743">
        <w:rPr>
          <w:rFonts w:ascii="Franklin Gothic Book" w:hAnsi="Franklin Gothic Book" w:cstheme="minorBidi"/>
        </w:rPr>
        <w:t xml:space="preserve">the prevalence and market uptake of </w:t>
      </w:r>
      <w:proofErr w:type="spellStart"/>
      <w:r w:rsidR="00AA0743">
        <w:rPr>
          <w:rFonts w:ascii="Franklin Gothic Book" w:hAnsi="Franklin Gothic Book" w:cstheme="minorBidi"/>
        </w:rPr>
        <w:t>MINIject</w:t>
      </w:r>
      <w:proofErr w:type="spellEnd"/>
      <w:r w:rsidR="00AA0743">
        <w:rPr>
          <w:rFonts w:ascii="Franklin Gothic Book" w:hAnsi="Franklin Gothic Book" w:cstheme="minorBidi"/>
        </w:rPr>
        <w:t xml:space="preserve"> to be clear and reasonable. </w:t>
      </w:r>
      <w:r w:rsidR="007E7107" w:rsidRPr="007E7107">
        <w:rPr>
          <w:rFonts w:ascii="Franklin Gothic Book" w:hAnsi="Franklin Gothic Book" w:cstheme="minorBidi"/>
        </w:rPr>
        <w:t xml:space="preserve">Under the current assumption that the proposed MBS fee be equal to the comparator, </w:t>
      </w:r>
      <w:r w:rsidR="00317D8D">
        <w:rPr>
          <w:rFonts w:ascii="Franklin Gothic Book" w:hAnsi="Franklin Gothic Book" w:cstheme="minorBidi"/>
        </w:rPr>
        <w:t xml:space="preserve">and </w:t>
      </w:r>
      <w:r w:rsidR="00A13BBC">
        <w:rPr>
          <w:rFonts w:ascii="Franklin Gothic Book" w:hAnsi="Franklin Gothic Book" w:cstheme="minorBidi"/>
        </w:rPr>
        <w:t>excluding</w:t>
      </w:r>
      <w:r w:rsidR="00815C89">
        <w:rPr>
          <w:rFonts w:ascii="Franklin Gothic Book" w:hAnsi="Franklin Gothic Book" w:cstheme="minorBidi"/>
        </w:rPr>
        <w:t xml:space="preserve"> </w:t>
      </w:r>
      <w:r w:rsidR="006F3E9C">
        <w:rPr>
          <w:rFonts w:ascii="Franklin Gothic Book" w:hAnsi="Franklin Gothic Book" w:cstheme="minorBidi"/>
        </w:rPr>
        <w:t xml:space="preserve">uncertain </w:t>
      </w:r>
      <w:r w:rsidR="00815C89">
        <w:rPr>
          <w:rFonts w:ascii="Franklin Gothic Book" w:hAnsi="Franklin Gothic Book" w:cstheme="minorBidi"/>
        </w:rPr>
        <w:t xml:space="preserve">scenarios that could potentially incur </w:t>
      </w:r>
      <w:r w:rsidR="00815C89" w:rsidRPr="7FBE9F64">
        <w:rPr>
          <w:rFonts w:ascii="Franklin Gothic Book" w:hAnsi="Franklin Gothic Book" w:cstheme="minorBidi"/>
        </w:rPr>
        <w:t>a</w:t>
      </w:r>
      <w:r w:rsidR="00815C89">
        <w:rPr>
          <w:rFonts w:ascii="Franklin Gothic Book" w:hAnsi="Franklin Gothic Book" w:cstheme="minorBidi"/>
        </w:rPr>
        <w:t xml:space="preserve"> greater net cost to the MBS</w:t>
      </w:r>
      <w:r w:rsidR="006F3E9C">
        <w:rPr>
          <w:rFonts w:ascii="Franklin Gothic Book" w:hAnsi="Franklin Gothic Book" w:cstheme="minorBidi"/>
        </w:rPr>
        <w:t xml:space="preserve"> (see Population)</w:t>
      </w:r>
      <w:r w:rsidR="00B647BA">
        <w:rPr>
          <w:rFonts w:ascii="Franklin Gothic Book" w:hAnsi="Franklin Gothic Book" w:cstheme="minorBidi"/>
        </w:rPr>
        <w:t xml:space="preserve">, </w:t>
      </w:r>
      <w:r w:rsidR="007E7107" w:rsidRPr="007E7107">
        <w:rPr>
          <w:rFonts w:ascii="Franklin Gothic Book" w:hAnsi="Franklin Gothic Book" w:cstheme="minorBidi"/>
        </w:rPr>
        <w:t xml:space="preserve">the </w:t>
      </w:r>
      <w:r w:rsidR="00CF75C8">
        <w:rPr>
          <w:rFonts w:ascii="Franklin Gothic Book" w:hAnsi="Franklin Gothic Book" w:cstheme="minorBidi"/>
        </w:rPr>
        <w:t>a</w:t>
      </w:r>
      <w:r w:rsidR="007E7107" w:rsidRPr="007E7107">
        <w:rPr>
          <w:rFonts w:ascii="Franklin Gothic Book" w:hAnsi="Franklin Gothic Book" w:cstheme="minorBidi"/>
        </w:rPr>
        <w:t xml:space="preserve">ssessment </w:t>
      </w:r>
      <w:r w:rsidR="00CF75C8">
        <w:rPr>
          <w:rFonts w:ascii="Franklin Gothic Book" w:hAnsi="Franklin Gothic Book" w:cstheme="minorBidi"/>
        </w:rPr>
        <w:t>g</w:t>
      </w:r>
      <w:r w:rsidR="007E7107" w:rsidRPr="007E7107">
        <w:rPr>
          <w:rFonts w:ascii="Franklin Gothic Book" w:hAnsi="Franklin Gothic Book" w:cstheme="minorBidi"/>
        </w:rPr>
        <w:t>roup agree</w:t>
      </w:r>
      <w:r w:rsidR="00FF6939">
        <w:rPr>
          <w:rFonts w:ascii="Franklin Gothic Book" w:hAnsi="Franklin Gothic Book" w:cstheme="minorBidi"/>
        </w:rPr>
        <w:t>d</w:t>
      </w:r>
      <w:r w:rsidR="007E7107" w:rsidRPr="007E7107">
        <w:rPr>
          <w:rFonts w:ascii="Franklin Gothic Book" w:hAnsi="Franklin Gothic Book" w:cstheme="minorBidi"/>
        </w:rPr>
        <w:t xml:space="preserve"> that there would be no net financial impact to the MBS</w:t>
      </w:r>
      <w:r w:rsidR="00E14B62">
        <w:rPr>
          <w:rFonts w:ascii="Franklin Gothic Book" w:hAnsi="Franklin Gothic Book" w:cstheme="minorBidi"/>
        </w:rPr>
        <w:t xml:space="preserve">, see </w:t>
      </w:r>
      <w:r w:rsidR="005B431E">
        <w:rPr>
          <w:rFonts w:ascii="Franklin Gothic Book" w:hAnsi="Franklin Gothic Book" w:cstheme="minorBidi"/>
        </w:rPr>
        <w:fldChar w:fldCharType="begin"/>
      </w:r>
      <w:r w:rsidR="005B431E">
        <w:rPr>
          <w:rFonts w:ascii="Franklin Gothic Book" w:hAnsi="Franklin Gothic Book" w:cstheme="minorBidi"/>
        </w:rPr>
        <w:instrText xml:space="preserve"> REF _Ref155342968 \h </w:instrText>
      </w:r>
      <w:r w:rsidR="0047131E">
        <w:rPr>
          <w:rFonts w:ascii="Franklin Gothic Book" w:hAnsi="Franklin Gothic Book" w:cstheme="minorBidi"/>
        </w:rPr>
        <w:instrText xml:space="preserve"> \* MERGEFORMAT </w:instrText>
      </w:r>
      <w:r w:rsidR="005B431E">
        <w:rPr>
          <w:rFonts w:ascii="Franklin Gothic Book" w:hAnsi="Franklin Gothic Book" w:cstheme="minorBidi"/>
        </w:rPr>
      </w:r>
      <w:r w:rsidR="005B431E">
        <w:rPr>
          <w:rFonts w:ascii="Franklin Gothic Book" w:hAnsi="Franklin Gothic Book" w:cstheme="minorBidi"/>
        </w:rPr>
        <w:fldChar w:fldCharType="separate"/>
      </w:r>
      <w:r w:rsidR="003C61D8" w:rsidRPr="003C61D8">
        <w:rPr>
          <w:rFonts w:ascii="Franklin Gothic Book" w:hAnsi="Franklin Gothic Book" w:cstheme="minorBidi"/>
        </w:rPr>
        <w:t>Table 19</w:t>
      </w:r>
      <w:r w:rsidR="005B431E">
        <w:rPr>
          <w:rFonts w:ascii="Franklin Gothic Book" w:hAnsi="Franklin Gothic Book" w:cstheme="minorBidi"/>
        </w:rPr>
        <w:fldChar w:fldCharType="end"/>
      </w:r>
      <w:r w:rsidR="007E7107" w:rsidRPr="007E7107">
        <w:rPr>
          <w:rFonts w:ascii="Franklin Gothic Book" w:hAnsi="Franklin Gothic Book" w:cstheme="minorBidi"/>
        </w:rPr>
        <w:t>.</w:t>
      </w:r>
    </w:p>
    <w:p w14:paraId="30B49611" w14:textId="518E364A" w:rsidR="005B431E" w:rsidRDefault="005B431E" w:rsidP="00A96F25">
      <w:pPr>
        <w:pStyle w:val="Caption"/>
        <w:keepLines/>
      </w:pPr>
      <w:bookmarkStart w:id="46" w:name="_Ref155342968"/>
      <w:r>
        <w:t>Table</w:t>
      </w:r>
      <w:r w:rsidR="0099460B" w:rsidRPr="0001290C">
        <w:t> </w:t>
      </w:r>
      <w:r>
        <w:fldChar w:fldCharType="begin"/>
      </w:r>
      <w:r>
        <w:instrText>SEQ Table \* ARABIC</w:instrText>
      </w:r>
      <w:r>
        <w:fldChar w:fldCharType="separate"/>
      </w:r>
      <w:r w:rsidR="003C61D8">
        <w:rPr>
          <w:noProof/>
        </w:rPr>
        <w:t>19</w:t>
      </w:r>
      <w:r>
        <w:fldChar w:fldCharType="end"/>
      </w:r>
      <w:bookmarkEnd w:id="46"/>
      <w:r w:rsidR="0099460B">
        <w:tab/>
      </w:r>
      <w:r>
        <w:t xml:space="preserve">Net financial implications of </w:t>
      </w:r>
      <w:proofErr w:type="spellStart"/>
      <w:r>
        <w:t>MINIject</w:t>
      </w:r>
      <w:proofErr w:type="spellEnd"/>
      <w:r>
        <w:t xml:space="preserve"> as presented in ADAR </w:t>
      </w:r>
      <w:proofErr w:type="gramStart"/>
      <w:r>
        <w:t>submission</w:t>
      </w:r>
      <w:proofErr w:type="gramEnd"/>
    </w:p>
    <w:tbl>
      <w:tblPr>
        <w:tblStyle w:val="TableGrid"/>
        <w:tblW w:w="0" w:type="auto"/>
        <w:tblLook w:val="04A0" w:firstRow="1" w:lastRow="0" w:firstColumn="1" w:lastColumn="0" w:noHBand="0" w:noVBand="1"/>
      </w:tblPr>
      <w:tblGrid>
        <w:gridCol w:w="2023"/>
        <w:gridCol w:w="1165"/>
        <w:gridCol w:w="1166"/>
        <w:gridCol w:w="1165"/>
        <w:gridCol w:w="1166"/>
        <w:gridCol w:w="1165"/>
        <w:gridCol w:w="1166"/>
      </w:tblGrid>
      <w:tr w:rsidR="009010E9" w:rsidRPr="0073132D" w14:paraId="1B0039E5" w14:textId="77777777" w:rsidTr="00CF2BF0">
        <w:trPr>
          <w:trHeight w:val="315"/>
          <w:tblHeader/>
        </w:trPr>
        <w:tc>
          <w:tcPr>
            <w:tcW w:w="2023" w:type="dxa"/>
          </w:tcPr>
          <w:p w14:paraId="020B460F" w14:textId="77777777" w:rsidR="009010E9" w:rsidRPr="000D03C1" w:rsidRDefault="009010E9" w:rsidP="00A96F25">
            <w:pPr>
              <w:pStyle w:val="Tableheading1"/>
              <w:keepNext/>
              <w:keepLines/>
            </w:pPr>
          </w:p>
        </w:tc>
        <w:tc>
          <w:tcPr>
            <w:tcW w:w="6993" w:type="dxa"/>
            <w:gridSpan w:val="6"/>
          </w:tcPr>
          <w:p w14:paraId="09EE6E0A" w14:textId="7C3CDD06" w:rsidR="009010E9" w:rsidRPr="00617190" w:rsidRDefault="009010E9" w:rsidP="00A96F25">
            <w:pPr>
              <w:pStyle w:val="Tableheading1"/>
              <w:keepNext/>
              <w:keepLines/>
              <w:jc w:val="center"/>
              <w:rPr>
                <w:rFonts w:cs="Calibri"/>
                <w:color w:val="000000"/>
              </w:rPr>
            </w:pPr>
            <w:r>
              <w:rPr>
                <w:rFonts w:cs="Calibri"/>
                <w:color w:val="000000"/>
              </w:rPr>
              <w:t>Financial year</w:t>
            </w:r>
          </w:p>
        </w:tc>
      </w:tr>
      <w:tr w:rsidR="005B431E" w:rsidRPr="0073132D" w14:paraId="1D713113" w14:textId="77777777" w:rsidTr="00617190">
        <w:trPr>
          <w:trHeight w:val="315"/>
          <w:tblHeader/>
        </w:trPr>
        <w:tc>
          <w:tcPr>
            <w:tcW w:w="2023" w:type="dxa"/>
            <w:hideMark/>
          </w:tcPr>
          <w:p w14:paraId="027F9873" w14:textId="77777777" w:rsidR="005B431E" w:rsidRPr="000D03C1" w:rsidRDefault="005B431E" w:rsidP="00A96F25">
            <w:pPr>
              <w:pStyle w:val="Tableheading1"/>
              <w:keepNext/>
              <w:keepLines/>
            </w:pPr>
            <w:r w:rsidRPr="000D03C1">
              <w:t xml:space="preserve">Parameter </w:t>
            </w:r>
          </w:p>
        </w:tc>
        <w:tc>
          <w:tcPr>
            <w:tcW w:w="1165" w:type="dxa"/>
            <w:hideMark/>
          </w:tcPr>
          <w:p w14:paraId="740831BD" w14:textId="77777777" w:rsidR="005B431E" w:rsidRPr="000D03C1" w:rsidRDefault="005B431E" w:rsidP="00A96F25">
            <w:pPr>
              <w:pStyle w:val="Tableheading1"/>
              <w:keepNext/>
              <w:keepLines/>
            </w:pPr>
            <w:r w:rsidRPr="00617190">
              <w:rPr>
                <w:rFonts w:cs="Calibri"/>
                <w:color w:val="000000"/>
              </w:rPr>
              <w:t>2023/24</w:t>
            </w:r>
          </w:p>
        </w:tc>
        <w:tc>
          <w:tcPr>
            <w:tcW w:w="1166" w:type="dxa"/>
            <w:hideMark/>
          </w:tcPr>
          <w:p w14:paraId="7969282E" w14:textId="77777777" w:rsidR="005B431E" w:rsidRPr="000D03C1" w:rsidRDefault="005B431E" w:rsidP="00A96F25">
            <w:pPr>
              <w:pStyle w:val="Tableheading1"/>
              <w:keepNext/>
              <w:keepLines/>
            </w:pPr>
            <w:r w:rsidRPr="00617190">
              <w:rPr>
                <w:rFonts w:cs="Calibri"/>
                <w:color w:val="000000"/>
              </w:rPr>
              <w:t>2024/25</w:t>
            </w:r>
          </w:p>
        </w:tc>
        <w:tc>
          <w:tcPr>
            <w:tcW w:w="1165" w:type="dxa"/>
            <w:hideMark/>
          </w:tcPr>
          <w:p w14:paraId="52375BAE" w14:textId="77777777" w:rsidR="005B431E" w:rsidRPr="000D03C1" w:rsidRDefault="005B431E" w:rsidP="00A96F25">
            <w:pPr>
              <w:pStyle w:val="Tableheading1"/>
              <w:keepNext/>
              <w:keepLines/>
            </w:pPr>
            <w:r w:rsidRPr="00617190">
              <w:rPr>
                <w:rFonts w:cs="Calibri"/>
                <w:color w:val="000000"/>
              </w:rPr>
              <w:t>2025/26</w:t>
            </w:r>
          </w:p>
        </w:tc>
        <w:tc>
          <w:tcPr>
            <w:tcW w:w="1166" w:type="dxa"/>
            <w:hideMark/>
          </w:tcPr>
          <w:p w14:paraId="30C4FC80" w14:textId="77777777" w:rsidR="005B431E" w:rsidRPr="000D03C1" w:rsidRDefault="005B431E" w:rsidP="00A96F25">
            <w:pPr>
              <w:pStyle w:val="Tableheading1"/>
              <w:keepNext/>
              <w:keepLines/>
            </w:pPr>
            <w:r w:rsidRPr="00617190">
              <w:rPr>
                <w:rFonts w:cs="Calibri"/>
                <w:color w:val="000000"/>
              </w:rPr>
              <w:t>2026/27</w:t>
            </w:r>
          </w:p>
        </w:tc>
        <w:tc>
          <w:tcPr>
            <w:tcW w:w="1165" w:type="dxa"/>
            <w:hideMark/>
          </w:tcPr>
          <w:p w14:paraId="10178F9F" w14:textId="77777777" w:rsidR="005B431E" w:rsidRPr="000D03C1" w:rsidRDefault="005B431E" w:rsidP="00A96F25">
            <w:pPr>
              <w:pStyle w:val="Tableheading1"/>
              <w:keepNext/>
              <w:keepLines/>
            </w:pPr>
            <w:r w:rsidRPr="00617190">
              <w:rPr>
                <w:rFonts w:cs="Calibri"/>
                <w:color w:val="000000"/>
              </w:rPr>
              <w:t>2027/28</w:t>
            </w:r>
          </w:p>
        </w:tc>
        <w:tc>
          <w:tcPr>
            <w:tcW w:w="1166" w:type="dxa"/>
            <w:hideMark/>
          </w:tcPr>
          <w:p w14:paraId="72ED876C" w14:textId="77777777" w:rsidR="005B431E" w:rsidRPr="000D03C1" w:rsidRDefault="005B431E" w:rsidP="00A96F25">
            <w:pPr>
              <w:pStyle w:val="Tableheading1"/>
              <w:keepNext/>
              <w:keepLines/>
            </w:pPr>
            <w:r w:rsidRPr="00617190">
              <w:rPr>
                <w:rFonts w:cs="Calibri"/>
                <w:color w:val="000000"/>
              </w:rPr>
              <w:t>2028/29</w:t>
            </w:r>
          </w:p>
        </w:tc>
      </w:tr>
      <w:tr w:rsidR="005B431E" w:rsidRPr="0073132D" w14:paraId="7D142A37" w14:textId="77777777" w:rsidTr="00617190">
        <w:trPr>
          <w:trHeight w:val="405"/>
        </w:trPr>
        <w:tc>
          <w:tcPr>
            <w:tcW w:w="9016" w:type="dxa"/>
            <w:gridSpan w:val="7"/>
            <w:hideMark/>
          </w:tcPr>
          <w:p w14:paraId="1A745CAD" w14:textId="77777777" w:rsidR="005B431E" w:rsidRPr="0073132D" w:rsidRDefault="005B431E" w:rsidP="00A96F25">
            <w:pPr>
              <w:pStyle w:val="Tablecontent"/>
              <w:keepNext/>
              <w:keepLines/>
              <w:rPr>
                <w:b/>
                <w:bCs/>
              </w:rPr>
            </w:pPr>
            <w:r w:rsidRPr="0073132D">
              <w:rPr>
                <w:b/>
                <w:bCs/>
              </w:rPr>
              <w:t xml:space="preserve">Estimated use and cost of the proposed health technology (standalone MBGS using </w:t>
            </w:r>
            <w:proofErr w:type="spellStart"/>
            <w:r w:rsidRPr="0073132D">
              <w:rPr>
                <w:b/>
                <w:bCs/>
              </w:rPr>
              <w:t>MINIject</w:t>
            </w:r>
            <w:proofErr w:type="spellEnd"/>
            <w:r w:rsidRPr="0073132D">
              <w:rPr>
                <w:b/>
                <w:bCs/>
              </w:rPr>
              <w:t>)</w:t>
            </w:r>
          </w:p>
        </w:tc>
      </w:tr>
      <w:tr w:rsidR="005B431E" w:rsidRPr="0073132D" w14:paraId="4BC6761C" w14:textId="77777777" w:rsidTr="00F466BE">
        <w:trPr>
          <w:trHeight w:val="300"/>
        </w:trPr>
        <w:tc>
          <w:tcPr>
            <w:tcW w:w="2023" w:type="dxa"/>
            <w:hideMark/>
          </w:tcPr>
          <w:p w14:paraId="09A48A3A" w14:textId="77777777" w:rsidR="005B431E" w:rsidRPr="0073132D" w:rsidRDefault="005B431E" w:rsidP="00A96F25">
            <w:pPr>
              <w:pStyle w:val="Tablecontent"/>
              <w:keepNext/>
              <w:keepLines/>
            </w:pPr>
            <w:r w:rsidRPr="0073132D">
              <w:t xml:space="preserve">Number of services of </w:t>
            </w:r>
            <w:proofErr w:type="spellStart"/>
            <w:r w:rsidRPr="0073132D">
              <w:t>MINIject</w:t>
            </w:r>
            <w:proofErr w:type="spellEnd"/>
            <w:r w:rsidRPr="0073132D">
              <w:t xml:space="preserve"> standalone item</w:t>
            </w:r>
          </w:p>
        </w:tc>
        <w:tc>
          <w:tcPr>
            <w:tcW w:w="1165" w:type="dxa"/>
          </w:tcPr>
          <w:p w14:paraId="08578B7F" w14:textId="4D697B4E" w:rsidR="005B431E" w:rsidRPr="000C4E7D" w:rsidRDefault="00040595" w:rsidP="00A96F25">
            <w:pPr>
              <w:pStyle w:val="Tablecontent"/>
              <w:keepNext/>
              <w:keepLines/>
            </w:pPr>
            <w:r w:rsidRPr="000C4E7D">
              <w:rPr>
                <w:rFonts w:cs="Calibri"/>
                <w:color w:val="000000"/>
                <w:szCs w:val="20"/>
              </w:rPr>
              <w:t>Redacted</w:t>
            </w:r>
          </w:p>
        </w:tc>
        <w:tc>
          <w:tcPr>
            <w:tcW w:w="1166" w:type="dxa"/>
          </w:tcPr>
          <w:p w14:paraId="218F31FF" w14:textId="62AC4BC1" w:rsidR="005B431E" w:rsidRPr="000C4E7D" w:rsidRDefault="00040595" w:rsidP="00A96F25">
            <w:pPr>
              <w:pStyle w:val="Tablecontent"/>
              <w:keepNext/>
              <w:keepLines/>
            </w:pPr>
            <w:r w:rsidRPr="000C4E7D">
              <w:rPr>
                <w:rFonts w:cs="Calibri"/>
                <w:color w:val="000000"/>
                <w:szCs w:val="20"/>
              </w:rPr>
              <w:t>Redacted</w:t>
            </w:r>
          </w:p>
        </w:tc>
        <w:tc>
          <w:tcPr>
            <w:tcW w:w="1165" w:type="dxa"/>
          </w:tcPr>
          <w:p w14:paraId="0D7DD995" w14:textId="06E324F3" w:rsidR="005B431E" w:rsidRPr="000C4E7D" w:rsidRDefault="00040595" w:rsidP="00A96F25">
            <w:pPr>
              <w:pStyle w:val="Tablecontent"/>
              <w:keepNext/>
              <w:keepLines/>
            </w:pPr>
            <w:r w:rsidRPr="000C4E7D">
              <w:rPr>
                <w:rFonts w:cs="Calibri"/>
                <w:color w:val="000000"/>
                <w:szCs w:val="20"/>
              </w:rPr>
              <w:t>Redacted</w:t>
            </w:r>
          </w:p>
        </w:tc>
        <w:tc>
          <w:tcPr>
            <w:tcW w:w="1166" w:type="dxa"/>
          </w:tcPr>
          <w:p w14:paraId="3010E9B8" w14:textId="530D3F17" w:rsidR="005B431E" w:rsidRPr="000C4E7D" w:rsidRDefault="00040595" w:rsidP="00A96F25">
            <w:pPr>
              <w:pStyle w:val="Tablecontent"/>
              <w:keepNext/>
              <w:keepLines/>
            </w:pPr>
            <w:r w:rsidRPr="000C4E7D">
              <w:rPr>
                <w:rFonts w:cs="Calibri"/>
                <w:color w:val="000000"/>
                <w:szCs w:val="20"/>
              </w:rPr>
              <w:t>Redacted</w:t>
            </w:r>
          </w:p>
        </w:tc>
        <w:tc>
          <w:tcPr>
            <w:tcW w:w="1165" w:type="dxa"/>
          </w:tcPr>
          <w:p w14:paraId="13E3015A" w14:textId="3E3A33C4" w:rsidR="005B431E" w:rsidRPr="000C4E7D" w:rsidRDefault="00040595" w:rsidP="00A96F25">
            <w:pPr>
              <w:pStyle w:val="Tablecontent"/>
              <w:keepNext/>
              <w:keepLines/>
            </w:pPr>
            <w:r w:rsidRPr="000C4E7D">
              <w:rPr>
                <w:rFonts w:cs="Calibri"/>
                <w:color w:val="000000"/>
                <w:szCs w:val="20"/>
              </w:rPr>
              <w:t>Redacted</w:t>
            </w:r>
          </w:p>
        </w:tc>
        <w:tc>
          <w:tcPr>
            <w:tcW w:w="1166" w:type="dxa"/>
          </w:tcPr>
          <w:p w14:paraId="06B79471" w14:textId="59E0BAF2" w:rsidR="005B431E" w:rsidRPr="000C4E7D" w:rsidRDefault="00040595" w:rsidP="00A96F25">
            <w:pPr>
              <w:pStyle w:val="Tablecontent"/>
              <w:keepNext/>
              <w:keepLines/>
            </w:pPr>
            <w:r w:rsidRPr="000C4E7D">
              <w:rPr>
                <w:rFonts w:cs="Calibri"/>
                <w:color w:val="000000"/>
                <w:szCs w:val="20"/>
              </w:rPr>
              <w:t>Redacted</w:t>
            </w:r>
          </w:p>
        </w:tc>
      </w:tr>
      <w:tr w:rsidR="005B431E" w:rsidRPr="0073132D" w14:paraId="2249BC8F" w14:textId="77777777" w:rsidTr="00617190">
        <w:trPr>
          <w:trHeight w:val="375"/>
        </w:trPr>
        <w:tc>
          <w:tcPr>
            <w:tcW w:w="2023" w:type="dxa"/>
            <w:hideMark/>
          </w:tcPr>
          <w:p w14:paraId="17ADFFD1" w14:textId="77777777" w:rsidR="005B431E" w:rsidRPr="0073132D" w:rsidRDefault="005B431E" w:rsidP="00A96F25">
            <w:pPr>
              <w:pStyle w:val="Tablecontent"/>
              <w:keepNext/>
              <w:keepLines/>
            </w:pPr>
            <w:r w:rsidRPr="0073132D">
              <w:t>Cost per service (85% benefit level)</w:t>
            </w:r>
          </w:p>
        </w:tc>
        <w:tc>
          <w:tcPr>
            <w:tcW w:w="1165" w:type="dxa"/>
            <w:hideMark/>
          </w:tcPr>
          <w:p w14:paraId="093BC122" w14:textId="77777777" w:rsidR="005B431E" w:rsidRPr="00703A40" w:rsidRDefault="005B431E" w:rsidP="00A96F25">
            <w:pPr>
              <w:pStyle w:val="Tablecontent"/>
              <w:keepNext/>
              <w:keepLines/>
              <w:rPr>
                <w:rFonts w:cs="Calibri"/>
                <w:color w:val="000000" w:themeColor="text1"/>
              </w:rPr>
            </w:pPr>
            <w:r w:rsidRPr="00703A40">
              <w:rPr>
                <w:rFonts w:cs="Calibri"/>
                <w:color w:val="000000" w:themeColor="text1"/>
              </w:rPr>
              <w:t>$280.00</w:t>
            </w:r>
          </w:p>
        </w:tc>
        <w:tc>
          <w:tcPr>
            <w:tcW w:w="1166" w:type="dxa"/>
            <w:hideMark/>
          </w:tcPr>
          <w:p w14:paraId="546CDE69" w14:textId="77777777" w:rsidR="005B431E" w:rsidRPr="00703A40" w:rsidRDefault="005B431E" w:rsidP="00A96F25">
            <w:pPr>
              <w:pStyle w:val="Tablecontent"/>
              <w:keepNext/>
              <w:keepLines/>
            </w:pPr>
            <w:r w:rsidRPr="00703A40">
              <w:rPr>
                <w:rFonts w:cs="Calibri"/>
                <w:color w:val="000000"/>
                <w:szCs w:val="20"/>
              </w:rPr>
              <w:t>$280.00</w:t>
            </w:r>
          </w:p>
        </w:tc>
        <w:tc>
          <w:tcPr>
            <w:tcW w:w="1165" w:type="dxa"/>
            <w:hideMark/>
          </w:tcPr>
          <w:p w14:paraId="6F9D50A9" w14:textId="77777777" w:rsidR="005B431E" w:rsidRPr="00703A40" w:rsidRDefault="005B431E" w:rsidP="00A96F25">
            <w:pPr>
              <w:pStyle w:val="Tablecontent"/>
              <w:keepNext/>
              <w:keepLines/>
            </w:pPr>
            <w:r w:rsidRPr="00703A40">
              <w:rPr>
                <w:rFonts w:cs="Calibri"/>
                <w:color w:val="000000"/>
                <w:szCs w:val="20"/>
              </w:rPr>
              <w:t>$280.00</w:t>
            </w:r>
          </w:p>
        </w:tc>
        <w:tc>
          <w:tcPr>
            <w:tcW w:w="1166" w:type="dxa"/>
            <w:hideMark/>
          </w:tcPr>
          <w:p w14:paraId="012C6087" w14:textId="77777777" w:rsidR="005B431E" w:rsidRPr="00703A40" w:rsidRDefault="005B431E" w:rsidP="00A96F25">
            <w:pPr>
              <w:pStyle w:val="Tablecontent"/>
              <w:keepNext/>
              <w:keepLines/>
            </w:pPr>
            <w:r w:rsidRPr="00703A40">
              <w:rPr>
                <w:rFonts w:cs="Calibri"/>
                <w:color w:val="000000"/>
                <w:szCs w:val="20"/>
              </w:rPr>
              <w:t>$280.00</w:t>
            </w:r>
          </w:p>
        </w:tc>
        <w:tc>
          <w:tcPr>
            <w:tcW w:w="1165" w:type="dxa"/>
            <w:hideMark/>
          </w:tcPr>
          <w:p w14:paraId="1E7FDBB5" w14:textId="77777777" w:rsidR="005B431E" w:rsidRPr="00703A40" w:rsidRDefault="005B431E" w:rsidP="00A96F25">
            <w:pPr>
              <w:pStyle w:val="Tablecontent"/>
              <w:keepNext/>
              <w:keepLines/>
            </w:pPr>
            <w:r w:rsidRPr="00703A40">
              <w:rPr>
                <w:rFonts w:cs="Calibri"/>
                <w:color w:val="000000"/>
                <w:szCs w:val="20"/>
              </w:rPr>
              <w:t>$280.00</w:t>
            </w:r>
          </w:p>
        </w:tc>
        <w:tc>
          <w:tcPr>
            <w:tcW w:w="1166" w:type="dxa"/>
            <w:hideMark/>
          </w:tcPr>
          <w:p w14:paraId="2A1C7F3B" w14:textId="77777777" w:rsidR="005B431E" w:rsidRPr="00703A40" w:rsidRDefault="005B431E" w:rsidP="00A96F25">
            <w:pPr>
              <w:pStyle w:val="Tablecontent"/>
              <w:keepNext/>
              <w:keepLines/>
            </w:pPr>
            <w:r w:rsidRPr="00703A40">
              <w:rPr>
                <w:rFonts w:cs="Calibri"/>
                <w:color w:val="000000"/>
                <w:szCs w:val="20"/>
              </w:rPr>
              <w:t>$280.00</w:t>
            </w:r>
          </w:p>
        </w:tc>
      </w:tr>
      <w:tr w:rsidR="005B431E" w:rsidRPr="000C4E7D" w14:paraId="1B15B4AA" w14:textId="77777777" w:rsidTr="000C4E7D">
        <w:trPr>
          <w:trHeight w:val="315"/>
        </w:trPr>
        <w:tc>
          <w:tcPr>
            <w:tcW w:w="2023" w:type="dxa"/>
            <w:hideMark/>
          </w:tcPr>
          <w:p w14:paraId="01D38C0A" w14:textId="5F91910F" w:rsidR="005B431E" w:rsidRPr="000C4E7D" w:rsidRDefault="005B431E" w:rsidP="00A96F25">
            <w:pPr>
              <w:pStyle w:val="Tablecontent"/>
              <w:keepNext/>
              <w:keepLines/>
            </w:pPr>
            <w:r w:rsidRPr="000C4E7D">
              <w:t>Cost to the MBS</w:t>
            </w:r>
          </w:p>
        </w:tc>
        <w:tc>
          <w:tcPr>
            <w:tcW w:w="1165" w:type="dxa"/>
          </w:tcPr>
          <w:p w14:paraId="2BAFFB71" w14:textId="230C71D8" w:rsidR="005B431E" w:rsidRPr="000C4E7D" w:rsidRDefault="00040595" w:rsidP="00A96F25">
            <w:pPr>
              <w:pStyle w:val="Tablecontent"/>
              <w:keepNext/>
              <w:keepLines/>
            </w:pPr>
            <w:r w:rsidRPr="000C4E7D">
              <w:rPr>
                <w:rFonts w:cs="Calibri"/>
                <w:color w:val="000000"/>
                <w:szCs w:val="20"/>
              </w:rPr>
              <w:t xml:space="preserve"> </w:t>
            </w:r>
            <w:r w:rsidR="00306534" w:rsidRPr="000C4E7D">
              <w:rPr>
                <w:rFonts w:cs="Calibri"/>
                <w:color w:val="000000"/>
                <w:szCs w:val="20"/>
              </w:rPr>
              <w:t>$</w:t>
            </w:r>
            <w:r w:rsidRPr="000C4E7D">
              <w:rPr>
                <w:rFonts w:cs="Calibri"/>
                <w:color w:val="000000"/>
                <w:szCs w:val="20"/>
              </w:rPr>
              <w:t>Redacted</w:t>
            </w:r>
          </w:p>
        </w:tc>
        <w:tc>
          <w:tcPr>
            <w:tcW w:w="1166" w:type="dxa"/>
          </w:tcPr>
          <w:p w14:paraId="194DE8CC" w14:textId="2F7828D6" w:rsidR="005B431E" w:rsidRPr="000C4E7D" w:rsidRDefault="00306534" w:rsidP="00A96F25">
            <w:pPr>
              <w:pStyle w:val="Tablecontent"/>
              <w:keepNext/>
              <w:keepLines/>
            </w:pPr>
            <w:r w:rsidRPr="000C4E7D">
              <w:rPr>
                <w:rFonts w:cs="Calibri"/>
                <w:color w:val="000000"/>
                <w:szCs w:val="20"/>
              </w:rPr>
              <w:t>$Redacted</w:t>
            </w:r>
            <w:r w:rsidRPr="000C4E7D" w:rsidDel="00914F8E">
              <w:rPr>
                <w:rFonts w:cs="Calibri"/>
                <w:color w:val="000000"/>
                <w:szCs w:val="20"/>
              </w:rPr>
              <w:t xml:space="preserve"> </w:t>
            </w:r>
          </w:p>
        </w:tc>
        <w:tc>
          <w:tcPr>
            <w:tcW w:w="1165" w:type="dxa"/>
          </w:tcPr>
          <w:p w14:paraId="5CE89890" w14:textId="2FC378E7" w:rsidR="005B431E" w:rsidRPr="000C4E7D" w:rsidRDefault="00306534" w:rsidP="00A96F25">
            <w:pPr>
              <w:pStyle w:val="Tablecontent"/>
              <w:keepNext/>
              <w:keepLines/>
            </w:pPr>
            <w:r w:rsidRPr="000C4E7D">
              <w:rPr>
                <w:rFonts w:cs="Calibri"/>
                <w:color w:val="000000"/>
                <w:szCs w:val="20"/>
              </w:rPr>
              <w:t>$Redacted</w:t>
            </w:r>
            <w:r w:rsidRPr="000C4E7D" w:rsidDel="00914F8E">
              <w:rPr>
                <w:rFonts w:cs="Calibri"/>
                <w:color w:val="000000"/>
                <w:szCs w:val="20"/>
              </w:rPr>
              <w:t xml:space="preserve"> </w:t>
            </w:r>
          </w:p>
        </w:tc>
        <w:tc>
          <w:tcPr>
            <w:tcW w:w="1166" w:type="dxa"/>
          </w:tcPr>
          <w:p w14:paraId="6231A237" w14:textId="7902039E" w:rsidR="005B431E" w:rsidRPr="000C4E7D" w:rsidRDefault="00306534" w:rsidP="00A96F25">
            <w:pPr>
              <w:pStyle w:val="Tablecontent"/>
              <w:keepNext/>
              <w:keepLines/>
            </w:pPr>
            <w:r w:rsidRPr="000C4E7D">
              <w:rPr>
                <w:rFonts w:cs="Calibri"/>
                <w:color w:val="000000"/>
                <w:szCs w:val="20"/>
              </w:rPr>
              <w:t>$Redacted</w:t>
            </w:r>
            <w:r w:rsidRPr="000C4E7D" w:rsidDel="00914F8E">
              <w:rPr>
                <w:rFonts w:cs="Calibri"/>
                <w:color w:val="000000"/>
                <w:szCs w:val="20"/>
              </w:rPr>
              <w:t xml:space="preserve"> </w:t>
            </w:r>
          </w:p>
        </w:tc>
        <w:tc>
          <w:tcPr>
            <w:tcW w:w="1165" w:type="dxa"/>
          </w:tcPr>
          <w:p w14:paraId="25290EAB" w14:textId="5D51AC19" w:rsidR="005B431E" w:rsidRPr="000C4E7D" w:rsidRDefault="00306534" w:rsidP="00A96F25">
            <w:pPr>
              <w:pStyle w:val="Tablecontent"/>
              <w:keepNext/>
              <w:keepLines/>
            </w:pPr>
            <w:r w:rsidRPr="000C4E7D">
              <w:rPr>
                <w:rFonts w:cs="Calibri"/>
                <w:color w:val="000000"/>
                <w:szCs w:val="20"/>
              </w:rPr>
              <w:t>$Redacted</w:t>
            </w:r>
            <w:r w:rsidRPr="000C4E7D" w:rsidDel="00914F8E">
              <w:rPr>
                <w:rFonts w:cs="Calibri"/>
                <w:color w:val="000000"/>
                <w:szCs w:val="20"/>
              </w:rPr>
              <w:t xml:space="preserve"> </w:t>
            </w:r>
          </w:p>
        </w:tc>
        <w:tc>
          <w:tcPr>
            <w:tcW w:w="1166" w:type="dxa"/>
          </w:tcPr>
          <w:p w14:paraId="3324852C" w14:textId="214423E9" w:rsidR="005B431E" w:rsidRPr="000C4E7D" w:rsidRDefault="00306FBE" w:rsidP="00A96F25">
            <w:pPr>
              <w:pStyle w:val="Tablecontent"/>
              <w:keepNext/>
              <w:keepLines/>
            </w:pPr>
            <w:r w:rsidRPr="000C4E7D">
              <w:rPr>
                <w:rFonts w:cs="Calibri"/>
                <w:color w:val="000000"/>
                <w:szCs w:val="20"/>
              </w:rPr>
              <w:t>$Redacted</w:t>
            </w:r>
            <w:r w:rsidRPr="000C4E7D" w:rsidDel="00914F8E">
              <w:rPr>
                <w:rFonts w:cs="Calibri"/>
                <w:color w:val="000000"/>
                <w:szCs w:val="20"/>
              </w:rPr>
              <w:t xml:space="preserve"> </w:t>
            </w:r>
          </w:p>
        </w:tc>
      </w:tr>
      <w:tr w:rsidR="005B431E" w:rsidRPr="0073132D" w14:paraId="3B311E35" w14:textId="77777777" w:rsidTr="00617190">
        <w:trPr>
          <w:trHeight w:val="330"/>
        </w:trPr>
        <w:tc>
          <w:tcPr>
            <w:tcW w:w="9016" w:type="dxa"/>
            <w:gridSpan w:val="7"/>
            <w:hideMark/>
          </w:tcPr>
          <w:p w14:paraId="2AC0A2C5" w14:textId="77777777" w:rsidR="005B431E" w:rsidRPr="00703A40" w:rsidRDefault="005B431E" w:rsidP="00A96F25">
            <w:pPr>
              <w:pStyle w:val="Tablecontent"/>
              <w:keepNext/>
              <w:keepLines/>
              <w:rPr>
                <w:b/>
                <w:bCs/>
              </w:rPr>
            </w:pPr>
            <w:r w:rsidRPr="00703A40">
              <w:rPr>
                <w:b/>
                <w:bCs/>
              </w:rPr>
              <w:t xml:space="preserve">Reductions in use and cost of current item 42504 (standalone MBGS using </w:t>
            </w:r>
            <w:proofErr w:type="spellStart"/>
            <w:r w:rsidRPr="00703A40">
              <w:rPr>
                <w:b/>
                <w:bCs/>
              </w:rPr>
              <w:t>iStent</w:t>
            </w:r>
            <w:proofErr w:type="spellEnd"/>
            <w:r w:rsidRPr="00703A40">
              <w:rPr>
                <w:b/>
                <w:bCs/>
              </w:rPr>
              <w:t>)</w:t>
            </w:r>
          </w:p>
        </w:tc>
      </w:tr>
      <w:tr w:rsidR="005B431E" w:rsidRPr="000C404E" w14:paraId="2024301D" w14:textId="77777777" w:rsidTr="000C404E">
        <w:trPr>
          <w:trHeight w:val="345"/>
        </w:trPr>
        <w:tc>
          <w:tcPr>
            <w:tcW w:w="2023" w:type="dxa"/>
            <w:hideMark/>
          </w:tcPr>
          <w:p w14:paraId="6660AB65" w14:textId="738ED754" w:rsidR="005B431E" w:rsidRPr="000C404E" w:rsidRDefault="005B431E" w:rsidP="00A96F25">
            <w:pPr>
              <w:pStyle w:val="Tablecontent"/>
              <w:keepNext/>
              <w:keepLines/>
            </w:pPr>
            <w:r w:rsidRPr="000C404E">
              <w:t xml:space="preserve">Reduction in use of current item 42504 </w:t>
            </w:r>
            <w:r w:rsidRPr="000C404E">
              <w:lastRenderedPageBreak/>
              <w:t xml:space="preserve">(using comparator </w:t>
            </w:r>
            <w:proofErr w:type="spellStart"/>
            <w:r w:rsidRPr="000C404E">
              <w:t>iStent</w:t>
            </w:r>
            <w:proofErr w:type="spellEnd"/>
            <w:r w:rsidRPr="000C404E">
              <w:t>)</w:t>
            </w:r>
          </w:p>
        </w:tc>
        <w:tc>
          <w:tcPr>
            <w:tcW w:w="1165" w:type="dxa"/>
          </w:tcPr>
          <w:p w14:paraId="259C4139" w14:textId="184532D8" w:rsidR="005B431E" w:rsidRPr="000C404E" w:rsidRDefault="00040595" w:rsidP="00A96F25">
            <w:pPr>
              <w:pStyle w:val="Tablecontent"/>
              <w:keepNext/>
              <w:keepLines/>
            </w:pPr>
            <w:r w:rsidRPr="000C404E">
              <w:rPr>
                <w:rFonts w:cs="Calibri"/>
                <w:color w:val="000000"/>
                <w:szCs w:val="20"/>
              </w:rPr>
              <w:lastRenderedPageBreak/>
              <w:t>Redacted</w:t>
            </w:r>
          </w:p>
        </w:tc>
        <w:tc>
          <w:tcPr>
            <w:tcW w:w="1166" w:type="dxa"/>
          </w:tcPr>
          <w:p w14:paraId="767EE106" w14:textId="31BC471C" w:rsidR="005B431E" w:rsidRPr="000C404E" w:rsidRDefault="00040595" w:rsidP="00A96F25">
            <w:pPr>
              <w:pStyle w:val="Tablecontent"/>
              <w:keepNext/>
              <w:keepLines/>
            </w:pPr>
            <w:r w:rsidRPr="000C404E">
              <w:rPr>
                <w:rFonts w:cs="Calibri"/>
                <w:color w:val="000000"/>
                <w:szCs w:val="20"/>
              </w:rPr>
              <w:t>Redacted</w:t>
            </w:r>
          </w:p>
        </w:tc>
        <w:tc>
          <w:tcPr>
            <w:tcW w:w="1165" w:type="dxa"/>
          </w:tcPr>
          <w:p w14:paraId="7C8BA1A8" w14:textId="1F00D152" w:rsidR="005B431E" w:rsidRPr="000C404E" w:rsidRDefault="00040595" w:rsidP="00A96F25">
            <w:pPr>
              <w:pStyle w:val="Tablecontent"/>
              <w:keepNext/>
              <w:keepLines/>
            </w:pPr>
            <w:r w:rsidRPr="000C404E">
              <w:rPr>
                <w:rFonts w:cs="Calibri"/>
                <w:color w:val="000000"/>
                <w:szCs w:val="20"/>
              </w:rPr>
              <w:t>Redacted</w:t>
            </w:r>
          </w:p>
        </w:tc>
        <w:tc>
          <w:tcPr>
            <w:tcW w:w="1166" w:type="dxa"/>
          </w:tcPr>
          <w:p w14:paraId="13C59B40" w14:textId="7D6AE996" w:rsidR="005B431E" w:rsidRPr="000C404E" w:rsidRDefault="00040595" w:rsidP="00A96F25">
            <w:pPr>
              <w:pStyle w:val="Tablecontent"/>
              <w:keepNext/>
              <w:keepLines/>
            </w:pPr>
            <w:r w:rsidRPr="000C404E">
              <w:rPr>
                <w:rFonts w:cs="Calibri"/>
                <w:color w:val="000000"/>
                <w:szCs w:val="20"/>
              </w:rPr>
              <w:t>Redacted</w:t>
            </w:r>
          </w:p>
        </w:tc>
        <w:tc>
          <w:tcPr>
            <w:tcW w:w="1165" w:type="dxa"/>
          </w:tcPr>
          <w:p w14:paraId="1EE1AB69" w14:textId="0990258B" w:rsidR="005B431E" w:rsidRPr="000C404E" w:rsidRDefault="00040595" w:rsidP="00A96F25">
            <w:pPr>
              <w:pStyle w:val="Tablecontent"/>
              <w:keepNext/>
              <w:keepLines/>
            </w:pPr>
            <w:r w:rsidRPr="000C404E">
              <w:rPr>
                <w:rFonts w:cs="Calibri"/>
                <w:color w:val="000000"/>
                <w:szCs w:val="20"/>
              </w:rPr>
              <w:t>Redacted</w:t>
            </w:r>
          </w:p>
        </w:tc>
        <w:tc>
          <w:tcPr>
            <w:tcW w:w="1166" w:type="dxa"/>
          </w:tcPr>
          <w:p w14:paraId="5279A7B8" w14:textId="79FCF752" w:rsidR="00703A40" w:rsidRPr="000C404E" w:rsidRDefault="00040595" w:rsidP="00A96F25">
            <w:pPr>
              <w:pStyle w:val="Tablecontent"/>
              <w:keepNext/>
              <w:keepLines/>
              <w:rPr>
                <w:rFonts w:cs="Calibri"/>
                <w:color w:val="000000"/>
                <w:szCs w:val="20"/>
              </w:rPr>
            </w:pPr>
            <w:r w:rsidRPr="000C404E">
              <w:rPr>
                <w:rFonts w:cs="Calibri"/>
                <w:color w:val="000000"/>
                <w:szCs w:val="20"/>
              </w:rPr>
              <w:t>Redacted</w:t>
            </w:r>
          </w:p>
        </w:tc>
      </w:tr>
      <w:tr w:rsidR="005B431E" w:rsidRPr="0073132D" w14:paraId="0BDCF394" w14:textId="77777777" w:rsidTr="00617190">
        <w:trPr>
          <w:trHeight w:val="360"/>
        </w:trPr>
        <w:tc>
          <w:tcPr>
            <w:tcW w:w="2023" w:type="dxa"/>
            <w:hideMark/>
          </w:tcPr>
          <w:p w14:paraId="27567C16" w14:textId="77777777" w:rsidR="005B431E" w:rsidRPr="0073132D" w:rsidRDefault="005B431E" w:rsidP="00A96F25">
            <w:pPr>
              <w:pStyle w:val="Tablecontent"/>
              <w:keepNext/>
              <w:keepLines/>
            </w:pPr>
            <w:r w:rsidRPr="0073132D">
              <w:t>Cost per service (85% benefit level)</w:t>
            </w:r>
          </w:p>
        </w:tc>
        <w:tc>
          <w:tcPr>
            <w:tcW w:w="1165" w:type="dxa"/>
            <w:hideMark/>
          </w:tcPr>
          <w:p w14:paraId="3BE330A2" w14:textId="77777777" w:rsidR="005B431E" w:rsidRPr="00703A40" w:rsidRDefault="005B431E" w:rsidP="00A96F25">
            <w:pPr>
              <w:pStyle w:val="Tablecontent"/>
              <w:keepNext/>
              <w:keepLines/>
            </w:pPr>
            <w:r w:rsidRPr="00703A40">
              <w:rPr>
                <w:rFonts w:cs="Calibri"/>
                <w:color w:val="000000"/>
                <w:szCs w:val="20"/>
              </w:rPr>
              <w:t>$280.00</w:t>
            </w:r>
          </w:p>
        </w:tc>
        <w:tc>
          <w:tcPr>
            <w:tcW w:w="1166" w:type="dxa"/>
            <w:hideMark/>
          </w:tcPr>
          <w:p w14:paraId="15CD8C1F" w14:textId="77777777" w:rsidR="005B431E" w:rsidRPr="00703A40" w:rsidRDefault="005B431E" w:rsidP="00A96F25">
            <w:pPr>
              <w:pStyle w:val="Tablecontent"/>
              <w:keepNext/>
              <w:keepLines/>
            </w:pPr>
            <w:r w:rsidRPr="00703A40">
              <w:rPr>
                <w:rFonts w:cs="Calibri"/>
                <w:color w:val="000000"/>
                <w:szCs w:val="20"/>
              </w:rPr>
              <w:t>$280.00</w:t>
            </w:r>
          </w:p>
        </w:tc>
        <w:tc>
          <w:tcPr>
            <w:tcW w:w="1165" w:type="dxa"/>
            <w:hideMark/>
          </w:tcPr>
          <w:p w14:paraId="09854FDD" w14:textId="77777777" w:rsidR="005B431E" w:rsidRPr="00703A40" w:rsidRDefault="005B431E" w:rsidP="00A96F25">
            <w:pPr>
              <w:pStyle w:val="Tablecontent"/>
              <w:keepNext/>
              <w:keepLines/>
            </w:pPr>
            <w:r w:rsidRPr="00703A40">
              <w:rPr>
                <w:rFonts w:cs="Calibri"/>
                <w:color w:val="000000"/>
                <w:szCs w:val="20"/>
              </w:rPr>
              <w:t>$280.00</w:t>
            </w:r>
          </w:p>
        </w:tc>
        <w:tc>
          <w:tcPr>
            <w:tcW w:w="1166" w:type="dxa"/>
            <w:hideMark/>
          </w:tcPr>
          <w:p w14:paraId="5A559984" w14:textId="77777777" w:rsidR="005B431E" w:rsidRPr="00703A40" w:rsidRDefault="005B431E" w:rsidP="00A96F25">
            <w:pPr>
              <w:pStyle w:val="Tablecontent"/>
              <w:keepNext/>
              <w:keepLines/>
            </w:pPr>
            <w:r w:rsidRPr="00703A40">
              <w:rPr>
                <w:rFonts w:cs="Calibri"/>
                <w:color w:val="000000"/>
                <w:szCs w:val="20"/>
              </w:rPr>
              <w:t>$280.00</w:t>
            </w:r>
          </w:p>
        </w:tc>
        <w:tc>
          <w:tcPr>
            <w:tcW w:w="1165" w:type="dxa"/>
            <w:hideMark/>
          </w:tcPr>
          <w:p w14:paraId="20EF3AB1" w14:textId="77777777" w:rsidR="005B431E" w:rsidRPr="00703A40" w:rsidRDefault="005B431E" w:rsidP="00A96F25">
            <w:pPr>
              <w:pStyle w:val="Tablecontent"/>
              <w:keepNext/>
              <w:keepLines/>
            </w:pPr>
            <w:r w:rsidRPr="00703A40">
              <w:rPr>
                <w:rFonts w:cs="Calibri"/>
                <w:color w:val="000000"/>
                <w:szCs w:val="20"/>
              </w:rPr>
              <w:t>$280.00</w:t>
            </w:r>
          </w:p>
        </w:tc>
        <w:tc>
          <w:tcPr>
            <w:tcW w:w="1166" w:type="dxa"/>
            <w:hideMark/>
          </w:tcPr>
          <w:p w14:paraId="14AB54B2" w14:textId="77777777" w:rsidR="005B431E" w:rsidRPr="00703A40" w:rsidRDefault="005B431E" w:rsidP="00A96F25">
            <w:pPr>
              <w:pStyle w:val="Tablecontent"/>
              <w:keepNext/>
              <w:keepLines/>
            </w:pPr>
            <w:r w:rsidRPr="00703A40">
              <w:rPr>
                <w:rFonts w:cs="Calibri"/>
                <w:color w:val="000000"/>
                <w:szCs w:val="20"/>
              </w:rPr>
              <w:t>$280.00</w:t>
            </w:r>
          </w:p>
        </w:tc>
      </w:tr>
      <w:tr w:rsidR="005B431E" w:rsidRPr="00414439" w14:paraId="0BB9896C" w14:textId="77777777" w:rsidTr="00414439">
        <w:trPr>
          <w:trHeight w:val="405"/>
        </w:trPr>
        <w:tc>
          <w:tcPr>
            <w:tcW w:w="2023" w:type="dxa"/>
            <w:hideMark/>
          </w:tcPr>
          <w:p w14:paraId="3679301C" w14:textId="77777777" w:rsidR="005B431E" w:rsidRPr="00414439" w:rsidRDefault="005B431E" w:rsidP="00A96F25">
            <w:pPr>
              <w:pStyle w:val="Tablecontent"/>
              <w:keepNext/>
              <w:keepLines/>
            </w:pPr>
            <w:r w:rsidRPr="00414439">
              <w:t>Net change in costs to the MBS</w:t>
            </w:r>
          </w:p>
        </w:tc>
        <w:tc>
          <w:tcPr>
            <w:tcW w:w="1165" w:type="dxa"/>
          </w:tcPr>
          <w:p w14:paraId="6237769D" w14:textId="72E570B4"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c>
          <w:tcPr>
            <w:tcW w:w="1166" w:type="dxa"/>
          </w:tcPr>
          <w:p w14:paraId="04CE5A14" w14:textId="6721B0EF"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c>
          <w:tcPr>
            <w:tcW w:w="1165" w:type="dxa"/>
          </w:tcPr>
          <w:p w14:paraId="7B625A19" w14:textId="128DB14B"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c>
          <w:tcPr>
            <w:tcW w:w="1166" w:type="dxa"/>
          </w:tcPr>
          <w:p w14:paraId="07277110" w14:textId="60D7565F"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c>
          <w:tcPr>
            <w:tcW w:w="1165" w:type="dxa"/>
          </w:tcPr>
          <w:p w14:paraId="0F292F95" w14:textId="40196955"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c>
          <w:tcPr>
            <w:tcW w:w="1166" w:type="dxa"/>
          </w:tcPr>
          <w:p w14:paraId="3A132685" w14:textId="29EAAE28" w:rsidR="005B431E" w:rsidRPr="00414439" w:rsidRDefault="00703A40" w:rsidP="00A96F25">
            <w:pPr>
              <w:pStyle w:val="Tablecontent"/>
              <w:keepNext/>
              <w:keepLines/>
            </w:pPr>
            <w:r w:rsidRPr="00414439">
              <w:rPr>
                <w:rFonts w:cs="Calibri"/>
                <w:color w:val="000000"/>
                <w:szCs w:val="20"/>
              </w:rPr>
              <w:t>$Redacted</w:t>
            </w:r>
            <w:r w:rsidRPr="00414439" w:rsidDel="00914F8E">
              <w:rPr>
                <w:rFonts w:cs="Calibri"/>
                <w:color w:val="000000"/>
                <w:szCs w:val="20"/>
              </w:rPr>
              <w:t xml:space="preserve"> </w:t>
            </w:r>
          </w:p>
        </w:tc>
      </w:tr>
      <w:tr w:rsidR="005B431E" w:rsidRPr="0073132D" w14:paraId="5BE9E273" w14:textId="77777777" w:rsidTr="00617190">
        <w:trPr>
          <w:trHeight w:val="315"/>
        </w:trPr>
        <w:tc>
          <w:tcPr>
            <w:tcW w:w="2023" w:type="dxa"/>
            <w:hideMark/>
          </w:tcPr>
          <w:p w14:paraId="67D9A430" w14:textId="77777777" w:rsidR="005B431E" w:rsidRPr="0073132D" w:rsidRDefault="005B431E" w:rsidP="00A96F25">
            <w:pPr>
              <w:pStyle w:val="Tablecontent"/>
              <w:keepNext/>
              <w:keepLines/>
            </w:pPr>
            <w:r w:rsidRPr="0073132D">
              <w:t>Net financial impact to the MBS</w:t>
            </w:r>
          </w:p>
        </w:tc>
        <w:tc>
          <w:tcPr>
            <w:tcW w:w="1165" w:type="dxa"/>
            <w:hideMark/>
          </w:tcPr>
          <w:p w14:paraId="237CA8DF" w14:textId="77777777" w:rsidR="005B431E" w:rsidRPr="00703A40" w:rsidRDefault="005B431E" w:rsidP="00A96F25">
            <w:pPr>
              <w:pStyle w:val="Tablecontent"/>
              <w:keepNext/>
              <w:keepLines/>
            </w:pPr>
            <w:r w:rsidRPr="00703A40">
              <w:rPr>
                <w:rFonts w:cs="Calibri"/>
                <w:color w:val="000000"/>
                <w:szCs w:val="20"/>
              </w:rPr>
              <w:t>$0</w:t>
            </w:r>
          </w:p>
        </w:tc>
        <w:tc>
          <w:tcPr>
            <w:tcW w:w="1166" w:type="dxa"/>
            <w:hideMark/>
          </w:tcPr>
          <w:p w14:paraId="006727EA" w14:textId="77777777" w:rsidR="005B431E" w:rsidRPr="00703A40" w:rsidRDefault="005B431E" w:rsidP="00A96F25">
            <w:pPr>
              <w:pStyle w:val="Tablecontent"/>
              <w:keepNext/>
              <w:keepLines/>
            </w:pPr>
            <w:r w:rsidRPr="00703A40">
              <w:rPr>
                <w:rFonts w:cs="Calibri"/>
                <w:color w:val="000000"/>
                <w:szCs w:val="20"/>
              </w:rPr>
              <w:t>$0</w:t>
            </w:r>
          </w:p>
        </w:tc>
        <w:tc>
          <w:tcPr>
            <w:tcW w:w="1165" w:type="dxa"/>
            <w:hideMark/>
          </w:tcPr>
          <w:p w14:paraId="1072F8A1" w14:textId="77777777" w:rsidR="005B431E" w:rsidRPr="00703A40" w:rsidRDefault="005B431E" w:rsidP="00A96F25">
            <w:pPr>
              <w:pStyle w:val="Tablecontent"/>
              <w:keepNext/>
              <w:keepLines/>
            </w:pPr>
            <w:r w:rsidRPr="00703A40">
              <w:rPr>
                <w:rFonts w:cs="Calibri"/>
                <w:color w:val="000000"/>
                <w:szCs w:val="20"/>
              </w:rPr>
              <w:t>$0</w:t>
            </w:r>
          </w:p>
        </w:tc>
        <w:tc>
          <w:tcPr>
            <w:tcW w:w="1166" w:type="dxa"/>
            <w:hideMark/>
          </w:tcPr>
          <w:p w14:paraId="25B8E9F2" w14:textId="77777777" w:rsidR="005B431E" w:rsidRPr="00703A40" w:rsidRDefault="005B431E" w:rsidP="00A96F25">
            <w:pPr>
              <w:pStyle w:val="Tablecontent"/>
              <w:keepNext/>
              <w:keepLines/>
            </w:pPr>
            <w:r w:rsidRPr="00703A40">
              <w:rPr>
                <w:rFonts w:cs="Calibri"/>
                <w:color w:val="000000"/>
                <w:szCs w:val="20"/>
              </w:rPr>
              <w:t>$0</w:t>
            </w:r>
          </w:p>
        </w:tc>
        <w:tc>
          <w:tcPr>
            <w:tcW w:w="1165" w:type="dxa"/>
            <w:hideMark/>
          </w:tcPr>
          <w:p w14:paraId="41F3A643" w14:textId="77777777" w:rsidR="005B431E" w:rsidRPr="00703A40" w:rsidRDefault="005B431E" w:rsidP="00A96F25">
            <w:pPr>
              <w:pStyle w:val="Tablecontent"/>
              <w:keepNext/>
              <w:keepLines/>
            </w:pPr>
            <w:r w:rsidRPr="00703A40">
              <w:rPr>
                <w:rFonts w:cs="Calibri"/>
                <w:color w:val="000000"/>
                <w:szCs w:val="20"/>
              </w:rPr>
              <w:t>$0</w:t>
            </w:r>
          </w:p>
        </w:tc>
        <w:tc>
          <w:tcPr>
            <w:tcW w:w="1166" w:type="dxa"/>
            <w:hideMark/>
          </w:tcPr>
          <w:p w14:paraId="3B3E30FB" w14:textId="77777777" w:rsidR="005B431E" w:rsidRPr="00703A40" w:rsidRDefault="005B431E" w:rsidP="00A96F25">
            <w:pPr>
              <w:pStyle w:val="Tablecontent"/>
              <w:keepNext/>
              <w:keepLines/>
            </w:pPr>
            <w:r w:rsidRPr="00703A40">
              <w:rPr>
                <w:rFonts w:cs="Calibri"/>
                <w:color w:val="000000"/>
                <w:szCs w:val="20"/>
              </w:rPr>
              <w:t>$0</w:t>
            </w:r>
          </w:p>
        </w:tc>
      </w:tr>
    </w:tbl>
    <w:p w14:paraId="3F5457BE" w14:textId="21A09758" w:rsidR="002E1121" w:rsidRDefault="002E1121" w:rsidP="00A96F25">
      <w:pPr>
        <w:pStyle w:val="Tablenotes0"/>
        <w:keepNext/>
        <w:keepLines/>
      </w:pPr>
      <w:r w:rsidRPr="003929BC">
        <w:rPr>
          <w:u w:val="single"/>
        </w:rPr>
        <w:t>Abbreviations</w:t>
      </w:r>
      <w:r w:rsidRPr="003F62A0">
        <w:t xml:space="preserve">: </w:t>
      </w:r>
      <w:r>
        <w:t xml:space="preserve">MBS = </w:t>
      </w:r>
      <w:r w:rsidRPr="000A37DE">
        <w:t>Medicare Benefits Schedule</w:t>
      </w:r>
      <w:r>
        <w:t xml:space="preserve">, MBGS = </w:t>
      </w:r>
      <w:r w:rsidRPr="001D1952">
        <w:t>Micro-Bypass Glaucoma Surgery</w:t>
      </w:r>
    </w:p>
    <w:p w14:paraId="0F760758" w14:textId="63E62560" w:rsidR="00B51A90" w:rsidRPr="00617190" w:rsidRDefault="00B51A90" w:rsidP="00A96F25">
      <w:pPr>
        <w:pStyle w:val="Tablenotes0"/>
        <w:keepNext/>
        <w:keepLines/>
      </w:pPr>
      <w:r w:rsidRPr="003F62A0">
        <w:rPr>
          <w:u w:val="single"/>
        </w:rPr>
        <w:t xml:space="preserve">Source: </w:t>
      </w:r>
      <w:r w:rsidRPr="00617190">
        <w:t>Table 33 of ADAR submission</w:t>
      </w:r>
    </w:p>
    <w:p w14:paraId="61F6FC08" w14:textId="5A844F20" w:rsidR="000123A2" w:rsidRDefault="001A15FE" w:rsidP="001A15FE">
      <w:pPr>
        <w:pStyle w:val="Heading2"/>
      </w:pPr>
      <w:r>
        <w:t>15.</w:t>
      </w:r>
      <w:r>
        <w:tab/>
      </w:r>
      <w:r w:rsidR="007E207F">
        <w:t xml:space="preserve">Other relevant information </w:t>
      </w:r>
    </w:p>
    <w:p w14:paraId="701893E1" w14:textId="583AC727" w:rsidR="00DB2309" w:rsidRPr="00617190" w:rsidRDefault="00D50EEA" w:rsidP="00881715">
      <w:pPr>
        <w:pStyle w:val="Heading3"/>
      </w:pPr>
      <w:r w:rsidRPr="00617190">
        <w:t>Equality</w:t>
      </w:r>
      <w:r w:rsidR="00DB2309" w:rsidRPr="00617190">
        <w:t xml:space="preserve"> considerations</w:t>
      </w:r>
    </w:p>
    <w:p w14:paraId="507B4180" w14:textId="54DBA320" w:rsidR="00E853C0" w:rsidRDefault="00F0405C" w:rsidP="005912A9">
      <w:pPr>
        <w:spacing w:before="0"/>
      </w:pPr>
      <w:r>
        <w:t xml:space="preserve">The procedure can only be performed by trained and specialised ophthalmologists </w:t>
      </w:r>
      <w:r w:rsidR="00C76F9A">
        <w:t>who</w:t>
      </w:r>
      <w:r>
        <w:t xml:space="preserve"> are usually based in major city centres</w:t>
      </w:r>
      <w:r w:rsidR="00785AB8">
        <w:t>. T</w:t>
      </w:r>
      <w:r>
        <w:t xml:space="preserve">his may disadvantage </w:t>
      </w:r>
      <w:r w:rsidR="00785AB8">
        <w:t>patients</w:t>
      </w:r>
      <w:r>
        <w:t xml:space="preserve"> from rural communities.</w:t>
      </w:r>
    </w:p>
    <w:p w14:paraId="4311DE2F" w14:textId="77777777" w:rsidR="001A15FE" w:rsidRDefault="001A15FE" w:rsidP="001A15FE">
      <w:pPr>
        <w:pStyle w:val="Heading2"/>
      </w:pPr>
      <w:r>
        <w:t>16.</w:t>
      </w:r>
      <w:r>
        <w:tab/>
        <w:t>Key issues from ESC to MSAC</w:t>
      </w:r>
    </w:p>
    <w:p w14:paraId="1F7801E5" w14:textId="77777777" w:rsidR="00637A71" w:rsidRDefault="00637A71" w:rsidP="00637A71">
      <w:pPr>
        <w:pStyle w:val="BoxName0"/>
      </w:pPr>
      <w:r w:rsidRPr="00C749CB">
        <w:t>Main issues for MSAC consideration</w:t>
      </w:r>
    </w:p>
    <w:p w14:paraId="59ED8302" w14:textId="77777777" w:rsidR="00637A71" w:rsidRDefault="00637A71" w:rsidP="00637A71">
      <w:pPr>
        <w:pStyle w:val="BoxName0"/>
      </w:pPr>
      <w:r>
        <w:t>Clinical issues:</w:t>
      </w:r>
    </w:p>
    <w:p w14:paraId="07C7D53F" w14:textId="77777777" w:rsidR="00637A71" w:rsidRPr="00A4656B" w:rsidRDefault="00637A71" w:rsidP="00637A71">
      <w:pPr>
        <w:pStyle w:val="BoxBullet"/>
      </w:pPr>
      <w:r>
        <w:rPr>
          <w:lang w:val="en-US"/>
        </w:rPr>
        <w:t xml:space="preserve">The evidence provided did not adequately address the issue of </w:t>
      </w:r>
      <w:r w:rsidRPr="00A4656B">
        <w:rPr>
          <w:lang w:val="en-US"/>
        </w:rPr>
        <w:t>longer</w:t>
      </w:r>
      <w:r>
        <w:rPr>
          <w:lang w:val="en-US"/>
        </w:rPr>
        <w:t>-</w:t>
      </w:r>
      <w:r w:rsidRPr="00A4656B">
        <w:rPr>
          <w:lang w:val="en-US"/>
        </w:rPr>
        <w:t xml:space="preserve">term safety </w:t>
      </w:r>
      <w:r>
        <w:rPr>
          <w:lang w:val="en-US"/>
        </w:rPr>
        <w:t>of</w:t>
      </w:r>
      <w:r w:rsidRPr="00A4656B">
        <w:rPr>
          <w:lang w:val="en-US"/>
        </w:rPr>
        <w:t xml:space="preserve"> </w:t>
      </w:r>
      <w:r>
        <w:rPr>
          <w:lang w:val="en-US"/>
        </w:rPr>
        <w:t xml:space="preserve">the </w:t>
      </w:r>
      <w:proofErr w:type="spellStart"/>
      <w:r>
        <w:rPr>
          <w:lang w:val="en-US"/>
        </w:rPr>
        <w:t>MINIject</w:t>
      </w:r>
      <w:proofErr w:type="spellEnd"/>
      <w:r w:rsidRPr="00A4656B">
        <w:rPr>
          <w:lang w:val="en-US"/>
        </w:rPr>
        <w:t xml:space="preserve"> device</w:t>
      </w:r>
      <w:r>
        <w:rPr>
          <w:lang w:val="en-US"/>
        </w:rPr>
        <w:t>.</w:t>
      </w:r>
    </w:p>
    <w:p w14:paraId="184C8C7C" w14:textId="77777777" w:rsidR="00637A71" w:rsidRDefault="00637A71" w:rsidP="00637A71">
      <w:pPr>
        <w:pStyle w:val="BoxBullet"/>
      </w:pPr>
      <w:r w:rsidRPr="008D5C1F">
        <w:t xml:space="preserve">There </w:t>
      </w:r>
      <w:r>
        <w:t>are</w:t>
      </w:r>
      <w:r w:rsidRPr="008D5C1F">
        <w:t xml:space="preserve"> currently no specific data </w:t>
      </w:r>
      <w:r>
        <w:t>from</w:t>
      </w:r>
      <w:r w:rsidRPr="008D5C1F">
        <w:t xml:space="preserve"> </w:t>
      </w:r>
      <w:r>
        <w:t xml:space="preserve">the </w:t>
      </w:r>
      <w:r w:rsidRPr="008D5C1F">
        <w:t xml:space="preserve">manufacturer or </w:t>
      </w:r>
      <w:r>
        <w:t xml:space="preserve">the </w:t>
      </w:r>
      <w:r w:rsidRPr="008D5C1F">
        <w:t xml:space="preserve">community to be able to </w:t>
      </w:r>
      <w:r>
        <w:t xml:space="preserve">determine the nature of clinical need and clinical place for this device, and it is unclear whether it would be used in some patients who would not use the </w:t>
      </w:r>
      <w:proofErr w:type="spellStart"/>
      <w:r>
        <w:t>iStent</w:t>
      </w:r>
      <w:proofErr w:type="spellEnd"/>
      <w:r>
        <w:t>.</w:t>
      </w:r>
    </w:p>
    <w:p w14:paraId="4BB6262C" w14:textId="77777777" w:rsidR="00637A71" w:rsidRDefault="00637A71" w:rsidP="00637A71">
      <w:pPr>
        <w:pStyle w:val="BoxBullet"/>
      </w:pPr>
      <w:r>
        <w:t>The safety profile of the intervention and the comparator were similar. T</w:t>
      </w:r>
      <w:r w:rsidRPr="00B3416A">
        <w:t>here were insufficient data to draw any meaningful conclusion regarding the relative safety</w:t>
      </w:r>
      <w:r>
        <w:t>,</w:t>
      </w:r>
      <w:r w:rsidRPr="004F47F4">
        <w:t xml:space="preserve"> </w:t>
      </w:r>
      <w:r>
        <w:t>although there was no reason to believe there was a current safety risk.</w:t>
      </w:r>
      <w:r w:rsidRPr="00B3416A" w:rsidDel="00B3416A">
        <w:t xml:space="preserve"> </w:t>
      </w:r>
    </w:p>
    <w:p w14:paraId="25E33782" w14:textId="77777777" w:rsidR="00637A71" w:rsidRPr="008D5C1F" w:rsidRDefault="00637A71" w:rsidP="00637A71">
      <w:pPr>
        <w:pStyle w:val="BoxBullet"/>
      </w:pPr>
      <w:r>
        <w:t>While the clinical data showed a trend towards improved clinical effectiveness,</w:t>
      </w:r>
      <w:r w:rsidRPr="003F6ED3">
        <w:t xml:space="preserve"> a more justifiable position based on the available evidence </w:t>
      </w:r>
      <w:r>
        <w:t>would be</w:t>
      </w:r>
      <w:r w:rsidRPr="003F6ED3">
        <w:t xml:space="preserve"> to assume noninferiority in reducing IOP levels.</w:t>
      </w:r>
      <w:r w:rsidRPr="008D5C1F" w:rsidDel="003F6ED3">
        <w:t xml:space="preserve"> </w:t>
      </w:r>
    </w:p>
    <w:p w14:paraId="18D541AF" w14:textId="77777777" w:rsidR="00637A71" w:rsidRDefault="00637A71" w:rsidP="00637A71">
      <w:pPr>
        <w:pStyle w:val="BoxHeading"/>
      </w:pPr>
      <w:r>
        <w:t>Economic issues:</w:t>
      </w:r>
    </w:p>
    <w:p w14:paraId="484586AE" w14:textId="77777777" w:rsidR="00637A71" w:rsidRDefault="00637A71" w:rsidP="00637A71">
      <w:pPr>
        <w:pStyle w:val="BoxBullet"/>
      </w:pPr>
      <w:r>
        <w:t>The ADAR presented a cost-minimisation analysis. A</w:t>
      </w:r>
      <w:r w:rsidRPr="00E517C1">
        <w:t xml:space="preserve"> clinical claim of superiority </w:t>
      </w:r>
      <w:r>
        <w:t xml:space="preserve">ideally </w:t>
      </w:r>
      <w:r w:rsidRPr="00E517C1">
        <w:t xml:space="preserve">warrants a </w:t>
      </w:r>
      <w:r>
        <w:t xml:space="preserve">cost-effectiveness analysis (CEA) or cost-utility analysis (CUA), however the cost-minimisation approach (CMA) may potentially be acceptable given the applicant is not seeking a price premium, and the clinical evidence may better support non-inferior </w:t>
      </w:r>
      <w:proofErr w:type="gramStart"/>
      <w:r>
        <w:t>than</w:t>
      </w:r>
      <w:proofErr w:type="gramEnd"/>
      <w:r>
        <w:t xml:space="preserve"> superior effectiveness.</w:t>
      </w:r>
    </w:p>
    <w:p w14:paraId="2E4C8C37" w14:textId="77777777" w:rsidR="00637A71" w:rsidRDefault="00637A71" w:rsidP="00637A71">
      <w:pPr>
        <w:pStyle w:val="BoxBullet"/>
      </w:pPr>
      <w:r>
        <w:t xml:space="preserve">There are </w:t>
      </w:r>
      <w:r w:rsidRPr="00E517C1">
        <w:t>sufficient data and existing models</w:t>
      </w:r>
      <w:r>
        <w:t xml:space="preserve"> that</w:t>
      </w:r>
      <w:r w:rsidRPr="00E517C1">
        <w:t xml:space="preserve"> could have</w:t>
      </w:r>
      <w:r>
        <w:t xml:space="preserve"> been used for a </w:t>
      </w:r>
      <w:r w:rsidRPr="00E517C1">
        <w:t xml:space="preserve">more informative </w:t>
      </w:r>
      <w:r>
        <w:t xml:space="preserve">economic </w:t>
      </w:r>
      <w:r w:rsidRPr="00E517C1">
        <w:t>analysis</w:t>
      </w:r>
      <w:r>
        <w:t>.</w:t>
      </w:r>
    </w:p>
    <w:p w14:paraId="49ABED00" w14:textId="77777777" w:rsidR="00637A71" w:rsidRPr="00E5473B" w:rsidRDefault="00637A71" w:rsidP="00637A71">
      <w:pPr>
        <w:pStyle w:val="BoxHeading"/>
        <w:numPr>
          <w:ilvl w:val="0"/>
          <w:numId w:val="29"/>
        </w:numPr>
        <w:rPr>
          <w:b w:val="0"/>
          <w:bCs w:val="0"/>
        </w:rPr>
      </w:pPr>
      <w:r>
        <w:rPr>
          <w:b w:val="0"/>
          <w:bCs w:val="0"/>
        </w:rPr>
        <w:lastRenderedPageBreak/>
        <w:t>It is not clear w</w:t>
      </w:r>
      <w:r w:rsidRPr="00E5473B">
        <w:rPr>
          <w:b w:val="0"/>
          <w:bCs w:val="0"/>
        </w:rPr>
        <w:t xml:space="preserve">hether the </w:t>
      </w:r>
      <w:r w:rsidRPr="00E5473B">
        <w:rPr>
          <w:b w:val="0"/>
          <w:bCs w:val="0"/>
          <w:lang w:val="en-US"/>
        </w:rPr>
        <w:t xml:space="preserve">equivalent cost was justifiable given the uncertainty surrounding the comparative safety profile of </w:t>
      </w:r>
      <w:proofErr w:type="spellStart"/>
      <w:r w:rsidRPr="00E5473B">
        <w:rPr>
          <w:b w:val="0"/>
          <w:bCs w:val="0"/>
          <w:lang w:val="en-US"/>
        </w:rPr>
        <w:t>MINIject</w:t>
      </w:r>
      <w:proofErr w:type="spellEnd"/>
      <w:r w:rsidRPr="00E5473B">
        <w:rPr>
          <w:b w:val="0"/>
          <w:bCs w:val="0"/>
          <w:lang w:val="en-US"/>
        </w:rPr>
        <w:t>.</w:t>
      </w:r>
    </w:p>
    <w:p w14:paraId="63AFFCBA" w14:textId="77777777" w:rsidR="00637A71" w:rsidRDefault="00637A71" w:rsidP="00637A71">
      <w:pPr>
        <w:pStyle w:val="BoxHeading"/>
      </w:pPr>
      <w:r>
        <w:t>Financial issues:</w:t>
      </w:r>
    </w:p>
    <w:p w14:paraId="717F62B4" w14:textId="77777777" w:rsidR="00637A71" w:rsidRDefault="00637A71" w:rsidP="00637A71">
      <w:pPr>
        <w:pStyle w:val="BoxBullet"/>
      </w:pPr>
      <w:r>
        <w:rPr>
          <w:lang w:val="en-US"/>
        </w:rPr>
        <w:t xml:space="preserve">The claimed cost-offsets from reduced ocular surface disease (OSD) medication with </w:t>
      </w:r>
      <w:proofErr w:type="spellStart"/>
      <w:r>
        <w:rPr>
          <w:lang w:val="en-US"/>
        </w:rPr>
        <w:t>MINIject</w:t>
      </w:r>
      <w:proofErr w:type="spellEnd"/>
      <w:r>
        <w:rPr>
          <w:lang w:val="en-US"/>
        </w:rPr>
        <w:t xml:space="preserve"> compared to the </w:t>
      </w:r>
      <w:proofErr w:type="spellStart"/>
      <w:r>
        <w:rPr>
          <w:lang w:val="en-US"/>
        </w:rPr>
        <w:t>iStent</w:t>
      </w:r>
      <w:proofErr w:type="spellEnd"/>
      <w:r>
        <w:rPr>
          <w:lang w:val="en-US"/>
        </w:rPr>
        <w:t xml:space="preserve"> were highly uncertain as they were not supported by evidence that OSD medication was reduced.</w:t>
      </w:r>
    </w:p>
    <w:p w14:paraId="3EFA8C40" w14:textId="77777777" w:rsidR="00637A71" w:rsidRPr="00DC5A27" w:rsidRDefault="00637A71" w:rsidP="00637A71">
      <w:pPr>
        <w:pStyle w:val="BoxBullet"/>
      </w:pPr>
      <w:r>
        <w:t>There may be a small risk of leakage (increased utilisation and cost), because</w:t>
      </w:r>
      <w:r w:rsidRPr="00AE5FBA">
        <w:t xml:space="preserve"> </w:t>
      </w:r>
      <w:r>
        <w:t>the Royal Australian and New Zealand College of Ophthalmologists (</w:t>
      </w:r>
      <w:r w:rsidRPr="00AE5FBA">
        <w:t>RANZCO</w:t>
      </w:r>
      <w:r>
        <w:t>)</w:t>
      </w:r>
      <w:r w:rsidRPr="00AE5FBA">
        <w:t xml:space="preserve"> suggest</w:t>
      </w:r>
      <w:r>
        <w:t>ed</w:t>
      </w:r>
      <w:r w:rsidRPr="00AE5FBA">
        <w:t xml:space="preserve"> that there is a small cohort who would be specifically targeted for </w:t>
      </w:r>
      <w:r>
        <w:t>this stent. No data are available to quantify the likely risk.</w:t>
      </w:r>
    </w:p>
    <w:p w14:paraId="2CE34CA4" w14:textId="77777777" w:rsidR="00637A71" w:rsidRPr="00833871" w:rsidRDefault="00637A71" w:rsidP="00637A71">
      <w:pPr>
        <w:pStyle w:val="Heading3nonumbers"/>
        <w:rPr>
          <w:rStyle w:val="Strong"/>
          <w:rFonts w:cs="Times New Roman"/>
          <w:color w:val="000000"/>
          <w:szCs w:val="20"/>
          <w:lang w:eastAsia="en-AU"/>
        </w:rPr>
      </w:pPr>
      <w:r w:rsidRPr="004269A3">
        <w:rPr>
          <w:rStyle w:val="Strong"/>
          <w:rFonts w:ascii="Franklin Gothic Book" w:hAnsi="Franklin Gothic Book"/>
          <w:sz w:val="22"/>
          <w:szCs w:val="22"/>
        </w:rPr>
        <w:t>ESC discussion</w:t>
      </w:r>
    </w:p>
    <w:p w14:paraId="26FFFDCE" w14:textId="77777777" w:rsidR="00637A71" w:rsidRDefault="00637A71" w:rsidP="00637A71">
      <w:r>
        <w:t>ESC noted that this was a</w:t>
      </w:r>
      <w:r w:rsidRPr="00D51BE1">
        <w:t xml:space="preserve">n application from iSTAR </w:t>
      </w:r>
      <w:proofErr w:type="gramStart"/>
      <w:r w:rsidRPr="00D51BE1">
        <w:t>Medical</w:t>
      </w:r>
      <w:proofErr w:type="gramEnd"/>
      <w:r w:rsidRPr="00D51BE1">
        <w:t xml:space="preserve"> requesting </w:t>
      </w:r>
      <w:r w:rsidRPr="000F0408">
        <w:t xml:space="preserve">Medicare Benefits Schedule (MBS) </w:t>
      </w:r>
      <w:r w:rsidRPr="00D51BE1">
        <w:t xml:space="preserve">funding for micro-bypass glaucoma surgery (MBGS) </w:t>
      </w:r>
      <w:r>
        <w:t>to</w:t>
      </w:r>
      <w:r w:rsidRPr="00D51BE1">
        <w:t xml:space="preserve"> implant</w:t>
      </w:r>
      <w:r>
        <w:t xml:space="preserve"> a device such as the </w:t>
      </w:r>
      <w:proofErr w:type="spellStart"/>
      <w:r>
        <w:t>MINIject</w:t>
      </w:r>
      <w:proofErr w:type="spellEnd"/>
      <w:r w:rsidRPr="00D51BE1">
        <w:t xml:space="preserve"> into the suprachoroidal space</w:t>
      </w:r>
      <w:r>
        <w:t>,</w:t>
      </w:r>
      <w:r w:rsidRPr="00D51BE1">
        <w:t xml:space="preserve"> as a standalone procedure in patients with open angle glaucoma, for whom conservative therapies have failed, are likely to fail or are contraindicated.</w:t>
      </w:r>
    </w:p>
    <w:p w14:paraId="45B89397" w14:textId="77777777" w:rsidR="00637A71" w:rsidRDefault="00637A71" w:rsidP="00637A71">
      <w:r>
        <w:t>ESC noted glaucoma is the most common cause of preventable irreversible blindness in Australia and the rest of the world, due to increased intraocular pressure (IOP). Therapy is based on different methods of lowering IOP, which in Australia currently include conservative management (eyedrops: topically delivered medication), laser trabeculoplasty, MBGS, and conventional surgery.</w:t>
      </w:r>
    </w:p>
    <w:p w14:paraId="5502D3D5" w14:textId="77777777" w:rsidR="00637A71" w:rsidRDefault="00637A71" w:rsidP="00637A71">
      <w:r>
        <w:t>ESC noted previous</w:t>
      </w:r>
      <w:r w:rsidRPr="00567806">
        <w:t xml:space="preserve"> </w:t>
      </w:r>
      <w:r>
        <w:rPr>
          <w:i/>
          <w:iCs/>
        </w:rPr>
        <w:t>A</w:t>
      </w:r>
      <w:r w:rsidRPr="004269A3">
        <w:rPr>
          <w:i/>
          <w:iCs/>
        </w:rPr>
        <w:t>pplication 1541 – Micro-bypass glaucoma surgery device implantation in trabecular meshwork or suprachoroidal space as a standalone procedure in patients with open angle glaucoma</w:t>
      </w:r>
      <w:r>
        <w:t xml:space="preserve"> was considered by MSAC in </w:t>
      </w:r>
      <w:r w:rsidRPr="00584AD7">
        <w:t>November 2018</w:t>
      </w:r>
      <w:r>
        <w:t xml:space="preserve"> and August 2019</w:t>
      </w:r>
      <w:r>
        <w:rPr>
          <w:rStyle w:val="FootnoteReference"/>
        </w:rPr>
        <w:footnoteReference w:id="15"/>
      </w:r>
      <w:r w:rsidRPr="00584AD7">
        <w:t xml:space="preserve">. </w:t>
      </w:r>
      <w:r>
        <w:t>ESC noted application 1541</w:t>
      </w:r>
      <w:r w:rsidRPr="00584AD7">
        <w:t xml:space="preserve"> </w:t>
      </w:r>
      <w:r>
        <w:t>had</w:t>
      </w:r>
      <w:r w:rsidRPr="00584AD7">
        <w:t xml:space="preserve"> not </w:t>
      </w:r>
      <w:r>
        <w:t xml:space="preserve">been </w:t>
      </w:r>
      <w:r w:rsidRPr="00584AD7">
        <w:t>supported</w:t>
      </w:r>
      <w:r>
        <w:t xml:space="preserve"> by MSAC in November 2018 for th</w:t>
      </w:r>
      <w:r w:rsidRPr="00584AD7">
        <w:t xml:space="preserve">e following </w:t>
      </w:r>
      <w:r>
        <w:t>reasons</w:t>
      </w:r>
      <w:r w:rsidRPr="00584AD7">
        <w:t xml:space="preserve">: </w:t>
      </w:r>
      <w:r>
        <w:t xml:space="preserve">unclear </w:t>
      </w:r>
      <w:r w:rsidRPr="00584AD7">
        <w:t xml:space="preserve">eligibility criteria and high leakage risk to other populations, poor comparative safety data, poor comparative </w:t>
      </w:r>
      <w:proofErr w:type="gramStart"/>
      <w:r w:rsidRPr="00584AD7">
        <w:t>efficacy</w:t>
      </w:r>
      <w:proofErr w:type="gramEnd"/>
      <w:r w:rsidRPr="00584AD7">
        <w:t xml:space="preserve"> and unsatisfactory economic assessment. A resubmission </w:t>
      </w:r>
      <w:r>
        <w:t xml:space="preserve">of application 1541 </w:t>
      </w:r>
      <w:r w:rsidRPr="00584AD7">
        <w:t>was later supported by MSAC in August 2019</w:t>
      </w:r>
      <w:r>
        <w:t xml:space="preserve">, resulting in the MBS listing of trabecular MBGS as a standalone procedure (now MBS item 42504) – however the re-application </w:t>
      </w:r>
      <w:r w:rsidRPr="00584AD7">
        <w:t xml:space="preserve">excluded suprachoroidal minimally invasive glaucoma surgery (MIGS)/MBGS due to the withdrawal </w:t>
      </w:r>
      <w:r>
        <w:t xml:space="preserve">at the time </w:t>
      </w:r>
      <w:r w:rsidRPr="00584AD7">
        <w:t xml:space="preserve">of the suprachoroidal MIGS </w:t>
      </w:r>
      <w:proofErr w:type="spellStart"/>
      <w:r w:rsidRPr="00584AD7">
        <w:t>CyPass</w:t>
      </w:r>
      <w:proofErr w:type="spellEnd"/>
      <w:r w:rsidRPr="00584AD7">
        <w:t xml:space="preserve"> stent from the Australian market due to safety concerns.</w:t>
      </w:r>
    </w:p>
    <w:p w14:paraId="68857342" w14:textId="77777777" w:rsidR="00637A71" w:rsidRDefault="00637A71" w:rsidP="00637A71">
      <w:r>
        <w:t>ESC noted that insertion of a stent into the suprachoroidal space is already publicly funded u</w:t>
      </w:r>
      <w:r w:rsidRPr="000F0408">
        <w:t xml:space="preserve">nder </w:t>
      </w:r>
      <w:r>
        <w:t xml:space="preserve">MBS </w:t>
      </w:r>
      <w:r w:rsidRPr="000F0408">
        <w:t xml:space="preserve">item 42705, </w:t>
      </w:r>
      <w:r>
        <w:t xml:space="preserve">for insertion </w:t>
      </w:r>
      <w:r w:rsidRPr="000F0408">
        <w:t>in association with cataract surgery (and removal if required, using</w:t>
      </w:r>
      <w:r>
        <w:t xml:space="preserve"> MBS</w:t>
      </w:r>
      <w:r w:rsidRPr="000F0408">
        <w:t xml:space="preserve"> item 42505).</w:t>
      </w:r>
      <w:r>
        <w:t xml:space="preserve"> The device is therefore already on the Prescribed List (PL).</w:t>
      </w:r>
    </w:p>
    <w:p w14:paraId="62A3A5DB" w14:textId="77777777" w:rsidR="00637A71" w:rsidRDefault="00637A71" w:rsidP="00637A71">
      <w:r>
        <w:t>ESC noted that</w:t>
      </w:r>
      <w:r w:rsidRPr="002012CF">
        <w:t xml:space="preserve"> </w:t>
      </w:r>
      <w:r>
        <w:t xml:space="preserve">the </w:t>
      </w:r>
      <w:proofErr w:type="spellStart"/>
      <w:r w:rsidRPr="002012CF">
        <w:t>MINIject</w:t>
      </w:r>
      <w:proofErr w:type="spellEnd"/>
      <w:r w:rsidRPr="004269A3">
        <w:rPr>
          <w:vertAlign w:val="superscript"/>
        </w:rPr>
        <w:t>®</w:t>
      </w:r>
      <w:r w:rsidRPr="002012CF">
        <w:t xml:space="preserve"> and </w:t>
      </w:r>
      <w:proofErr w:type="spellStart"/>
      <w:r w:rsidRPr="002012CF">
        <w:t>MINIject</w:t>
      </w:r>
      <w:proofErr w:type="spellEnd"/>
      <w:r w:rsidRPr="004269A3">
        <w:rPr>
          <w:vertAlign w:val="superscript"/>
        </w:rPr>
        <w:t>®</w:t>
      </w:r>
      <w:r w:rsidRPr="002012CF">
        <w:t xml:space="preserve"> S (next</w:t>
      </w:r>
      <w:r>
        <w:t>-</w:t>
      </w:r>
      <w:r w:rsidRPr="002012CF">
        <w:t xml:space="preserve">generation device) are </w:t>
      </w:r>
      <w:r>
        <w:t xml:space="preserve">included </w:t>
      </w:r>
      <w:r w:rsidRPr="002012CF">
        <w:t xml:space="preserve">on the Australian Register of Therapeutic Goods (ARTG; </w:t>
      </w:r>
      <w:r>
        <w:t xml:space="preserve">both with ARTG </w:t>
      </w:r>
      <w:r w:rsidRPr="002012CF">
        <w:t>ID 400268)</w:t>
      </w:r>
      <w:r>
        <w:t>, and work by enhancing physiological outflow through the uveoscleral pathway</w:t>
      </w:r>
      <w:r w:rsidRPr="002012CF">
        <w:t xml:space="preserve">. The implants </w:t>
      </w:r>
      <w:r>
        <w:t>for</w:t>
      </w:r>
      <w:r w:rsidRPr="002012CF">
        <w:t xml:space="preserve"> both devices are identical, as are the procedures</w:t>
      </w:r>
      <w:r>
        <w:t xml:space="preserve"> – the difference is only in the sheath of the delivery tool</w:t>
      </w:r>
      <w:r w:rsidRPr="002012CF">
        <w:t>.</w:t>
      </w:r>
      <w:r>
        <w:t xml:space="preserve"> ESC considered the proposed item descriptor would apply to both </w:t>
      </w:r>
      <w:proofErr w:type="spellStart"/>
      <w:r w:rsidRPr="002012CF">
        <w:t>MINIject</w:t>
      </w:r>
      <w:proofErr w:type="spellEnd"/>
      <w:r w:rsidRPr="00687F7B">
        <w:rPr>
          <w:vertAlign w:val="superscript"/>
        </w:rPr>
        <w:t>®</w:t>
      </w:r>
      <w:r w:rsidRPr="002012CF">
        <w:t xml:space="preserve"> and the </w:t>
      </w:r>
      <w:proofErr w:type="spellStart"/>
      <w:r w:rsidRPr="002012CF">
        <w:t>MINIject</w:t>
      </w:r>
      <w:proofErr w:type="spellEnd"/>
      <w:r w:rsidRPr="00687F7B">
        <w:rPr>
          <w:vertAlign w:val="superscript"/>
        </w:rPr>
        <w:t>®</w:t>
      </w:r>
      <w:r w:rsidRPr="002012CF">
        <w:t xml:space="preserve"> S</w:t>
      </w:r>
      <w:r>
        <w:t>.</w:t>
      </w:r>
    </w:p>
    <w:p w14:paraId="3B1EBE91" w14:textId="77777777" w:rsidR="00637A71" w:rsidRDefault="00637A71" w:rsidP="00637A71">
      <w:r>
        <w:lastRenderedPageBreak/>
        <w:t xml:space="preserve">ESC noted that the proposed funding arrangement is to extend existing MBS item 42504 to include implantation of the MBGS device into the suprachoroidal space. The proposed fee was the same as the existing MBS item 42504 fee, given the similar cost associated with the insertion of </w:t>
      </w:r>
      <w:proofErr w:type="spellStart"/>
      <w:r>
        <w:t>MINIject</w:t>
      </w:r>
      <w:proofErr w:type="spellEnd"/>
      <w:r>
        <w:t xml:space="preserve"> compared with the comparator during MBGS standalone surgery. ESC considered this was reasonable.</w:t>
      </w:r>
    </w:p>
    <w:p w14:paraId="25818BC2" w14:textId="1374A100" w:rsidR="00637A71" w:rsidRDefault="00637A71" w:rsidP="00637A71">
      <w:r>
        <w:t xml:space="preserve">ESC noted that within the suprachoroidal space </w:t>
      </w:r>
      <w:proofErr w:type="spellStart"/>
      <w:r w:rsidRPr="00680CC4">
        <w:t>MINIject</w:t>
      </w:r>
      <w:proofErr w:type="spellEnd"/>
      <w:r w:rsidRPr="00680CC4">
        <w:t xml:space="preserve"> targets the supraciliary space</w:t>
      </w:r>
      <w:r>
        <w:t xml:space="preserve"> specifically,</w:t>
      </w:r>
      <w:r w:rsidRPr="00680CC4">
        <w:t xml:space="preserve"> and is the only device on the market to do </w:t>
      </w:r>
      <w:r>
        <w:t>so</w:t>
      </w:r>
      <w:r w:rsidRPr="00680CC4">
        <w:t>.</w:t>
      </w:r>
      <w:r>
        <w:t xml:space="preserve"> ESC recalled MSAC’s previous concerns with the suprachoroidal </w:t>
      </w:r>
      <w:proofErr w:type="spellStart"/>
      <w:r>
        <w:t>CyPass</w:t>
      </w:r>
      <w:proofErr w:type="spellEnd"/>
      <w:r>
        <w:t xml:space="preserve"> stent, but noted clinical expert input from RANZCO that as a supraciliary stent targeting the uveoscleral pathway</w:t>
      </w:r>
      <w:r w:rsidR="00D3727B">
        <w:t>,</w:t>
      </w:r>
      <w:r>
        <w:t xml:space="preserve"> the </w:t>
      </w:r>
      <w:proofErr w:type="spellStart"/>
      <w:r>
        <w:t>MINIject</w:t>
      </w:r>
      <w:proofErr w:type="spellEnd"/>
      <w:r w:rsidR="008D3414">
        <w:t xml:space="preserve"> had a safety advantage over devices </w:t>
      </w:r>
      <w:r w:rsidR="00B7034E">
        <w:t>that</w:t>
      </w:r>
      <w:r w:rsidR="008D3414">
        <w:t xml:space="preserve"> target the subconjunctival space</w:t>
      </w:r>
      <w:r w:rsidR="0059431E">
        <w:t xml:space="preserve"> that create a filtering bleb</w:t>
      </w:r>
      <w:r>
        <w:t xml:space="preserve">. ESC considered the safety implications for a supraciliary stent would not necessarily be the same as for suprachoroidal stents in general, and agreed with RANZCO that the </w:t>
      </w:r>
      <w:proofErr w:type="spellStart"/>
      <w:r>
        <w:t>MINIject</w:t>
      </w:r>
      <w:proofErr w:type="spellEnd"/>
      <w:r>
        <w:t xml:space="preserve"> would be more appropriately described as a supraciliary stent, and so proposed clarifying the terminology in the item descriptor from “suprachoroidal” to “supraciliary” (</w:t>
      </w:r>
      <w:r>
        <w:fldChar w:fldCharType="begin"/>
      </w:r>
      <w:r>
        <w:instrText>REF _Ref159931824</w:instrText>
      </w:r>
      <w:r>
        <w:fldChar w:fldCharType="separate"/>
      </w:r>
      <w:r w:rsidR="003C61D8" w:rsidRPr="0001290C">
        <w:t>Table </w:t>
      </w:r>
      <w:r w:rsidR="003C61D8">
        <w:rPr>
          <w:noProof/>
        </w:rPr>
        <w:t>20</w:t>
      </w:r>
      <w:r>
        <w:fldChar w:fldCharType="end"/>
      </w:r>
      <w:r>
        <w:t>).</w:t>
      </w:r>
    </w:p>
    <w:p w14:paraId="75DB4519" w14:textId="77777777" w:rsidR="00637A71" w:rsidRDefault="00637A71" w:rsidP="00637A71">
      <w:r>
        <w:t xml:space="preserve">ESC noted the item descriptor for MBS item 42504 included the requirement that the specialist performing the service is “recognised by the Conjoint Committee for the Recognition of Training in Micro-Bypass Glaucoma Surgery”, however the Department advised that this committee was never established. ESC noted that RANZCO had recently advised the Department that MBGS training now forms part of the RANZCO training program for all fellows, and the Department proposed removing reference to the Committee from MBS item 42504 (and associated items and explanatory notes). ESC </w:t>
      </w:r>
      <w:r w:rsidRPr="00F76936">
        <w:t xml:space="preserve">considered </w:t>
      </w:r>
      <w:r w:rsidRPr="00D66C98">
        <w:t>this was reasonable, and proposed the qualification requirement be removed</w:t>
      </w:r>
      <w:r w:rsidRPr="00F76936">
        <w:t>.</w:t>
      </w:r>
    </w:p>
    <w:p w14:paraId="77F6D60D" w14:textId="02BEF593" w:rsidR="00637A71" w:rsidRPr="0001290C" w:rsidRDefault="00637A71" w:rsidP="00637A71">
      <w:pPr>
        <w:pStyle w:val="Caption"/>
      </w:pPr>
      <w:bookmarkStart w:id="47" w:name="_Ref159931824"/>
      <w:r w:rsidRPr="0001290C">
        <w:t>Table </w:t>
      </w:r>
      <w:r>
        <w:fldChar w:fldCharType="begin"/>
      </w:r>
      <w:r>
        <w:instrText>SEQ Table \* ARABIC</w:instrText>
      </w:r>
      <w:r>
        <w:fldChar w:fldCharType="separate"/>
      </w:r>
      <w:r w:rsidR="003C61D8">
        <w:rPr>
          <w:noProof/>
        </w:rPr>
        <w:t>20</w:t>
      </w:r>
      <w:r>
        <w:fldChar w:fldCharType="end"/>
      </w:r>
      <w:bookmarkEnd w:id="47"/>
      <w:r>
        <w:rPr>
          <w:noProof/>
        </w:rPr>
        <w:tab/>
      </w:r>
      <w:r>
        <w:t>ESC’s updated</w:t>
      </w:r>
      <w:r w:rsidRPr="0001290C">
        <w:t xml:space="preserve"> </w:t>
      </w:r>
      <w:r>
        <w:t xml:space="preserve">MBS </w:t>
      </w:r>
      <w:r w:rsidRPr="0001290C">
        <w:t>item descriptor</w:t>
      </w:r>
    </w:p>
    <w:tbl>
      <w:tblPr>
        <w:tblStyle w:val="TableGrid"/>
        <w:tblW w:w="0" w:type="auto"/>
        <w:tblLook w:val="04A0" w:firstRow="1" w:lastRow="0" w:firstColumn="1" w:lastColumn="0" w:noHBand="0" w:noVBand="1"/>
      </w:tblPr>
      <w:tblGrid>
        <w:gridCol w:w="9016"/>
      </w:tblGrid>
      <w:tr w:rsidR="00637A71" w:rsidRPr="0001290C" w14:paraId="3D08D4D9" w14:textId="77777777">
        <w:trPr>
          <w:cantSplit/>
          <w:trHeight w:val="350"/>
          <w:tblHeader/>
        </w:trPr>
        <w:tc>
          <w:tcPr>
            <w:tcW w:w="9016" w:type="dxa"/>
          </w:tcPr>
          <w:p w14:paraId="537EA83C" w14:textId="77777777" w:rsidR="00637A71" w:rsidRPr="0001290C" w:rsidRDefault="00637A71">
            <w:pPr>
              <w:pStyle w:val="Tablecontent"/>
              <w:jc w:val="right"/>
            </w:pPr>
            <w:r w:rsidRPr="0001290C">
              <w:t xml:space="preserve">Category </w:t>
            </w:r>
            <w:r>
              <w:t>3</w:t>
            </w:r>
            <w:r w:rsidRPr="0001290C">
              <w:t xml:space="preserve"> – </w:t>
            </w:r>
            <w:r w:rsidRPr="00022B0B">
              <w:t>Therapeutic procedures</w:t>
            </w:r>
          </w:p>
        </w:tc>
      </w:tr>
      <w:tr w:rsidR="00637A71" w:rsidRPr="0001290C" w14:paraId="0D131062" w14:textId="77777777">
        <w:trPr>
          <w:cantSplit/>
          <w:tblHeader/>
        </w:trPr>
        <w:tc>
          <w:tcPr>
            <w:tcW w:w="9016" w:type="dxa"/>
          </w:tcPr>
          <w:p w14:paraId="16DA5483" w14:textId="77777777" w:rsidR="00637A71" w:rsidRPr="0001290C" w:rsidRDefault="00637A71">
            <w:pPr>
              <w:pStyle w:val="Tablecontent"/>
              <w:rPr>
                <w:szCs w:val="20"/>
                <w:lang w:val="en-US" w:eastAsia="ja-JP"/>
              </w:rPr>
            </w:pPr>
            <w:r w:rsidRPr="0001290C">
              <w:rPr>
                <w:szCs w:val="20"/>
                <w:lang w:val="en-US" w:eastAsia="ja-JP"/>
              </w:rPr>
              <w:t xml:space="preserve">MBS item </w:t>
            </w:r>
            <w:r w:rsidRPr="004F231D">
              <w:rPr>
                <w:szCs w:val="20"/>
                <w:lang w:val="en-US" w:eastAsia="ja-JP"/>
              </w:rPr>
              <w:t>42504</w:t>
            </w:r>
          </w:p>
          <w:p w14:paraId="50E8EA99" w14:textId="77777777" w:rsidR="00637A71" w:rsidRPr="004269A3" w:rsidRDefault="00637A71">
            <w:pPr>
              <w:pStyle w:val="Tablecontent"/>
              <w:rPr>
                <w:strike/>
                <w:color w:val="00B050"/>
                <w:szCs w:val="20"/>
                <w:lang w:val="en-US" w:eastAsia="ja-JP"/>
              </w:rPr>
            </w:pPr>
            <w:r w:rsidRPr="004F231D">
              <w:rPr>
                <w:szCs w:val="20"/>
                <w:lang w:val="en-US" w:eastAsia="ja-JP"/>
              </w:rPr>
              <w:t>Glaucoma, implantation of a micro-bypass surgery stent system into</w:t>
            </w:r>
            <w:r w:rsidRPr="00106367">
              <w:rPr>
                <w:szCs w:val="20"/>
                <w:lang w:val="en-US" w:eastAsia="ja-JP"/>
              </w:rPr>
              <w:t xml:space="preserve"> the</w:t>
            </w:r>
            <w:r w:rsidRPr="00CF2BF0">
              <w:rPr>
                <w:szCs w:val="20"/>
                <w:lang w:val="en-US" w:eastAsia="ja-JP"/>
              </w:rPr>
              <w:t xml:space="preserve"> </w:t>
            </w:r>
            <w:r w:rsidRPr="004269A3">
              <w:rPr>
                <w:strike/>
                <w:color w:val="00B050"/>
                <w:szCs w:val="20"/>
                <w:u w:val="single"/>
                <w:lang w:val="en-US" w:eastAsia="ja-JP"/>
              </w:rPr>
              <w:t>suprachoroidal</w:t>
            </w:r>
            <w:r w:rsidRPr="004269A3">
              <w:rPr>
                <w:color w:val="00B050"/>
                <w:szCs w:val="20"/>
                <w:u w:val="single"/>
                <w:lang w:val="en-US" w:eastAsia="ja-JP"/>
              </w:rPr>
              <w:t xml:space="preserve"> supraciliary </w:t>
            </w:r>
            <w:r w:rsidRPr="00617190">
              <w:rPr>
                <w:szCs w:val="20"/>
                <w:u w:val="single"/>
                <w:lang w:val="en-US" w:eastAsia="ja-JP"/>
              </w:rPr>
              <w:t>space</w:t>
            </w:r>
            <w:r w:rsidRPr="00CF2BF0">
              <w:rPr>
                <w:szCs w:val="20"/>
                <w:u w:val="single"/>
                <w:lang w:val="en-US" w:eastAsia="ja-JP"/>
              </w:rPr>
              <w:t xml:space="preserve"> or</w:t>
            </w:r>
            <w:r>
              <w:rPr>
                <w:szCs w:val="20"/>
                <w:lang w:val="en-US" w:eastAsia="ja-JP"/>
              </w:rPr>
              <w:t xml:space="preserve"> </w:t>
            </w:r>
            <w:r w:rsidRPr="004F231D">
              <w:rPr>
                <w:szCs w:val="20"/>
                <w:lang w:val="en-US" w:eastAsia="ja-JP"/>
              </w:rPr>
              <w:t>trabecular meshwork, if</w:t>
            </w:r>
            <w:r w:rsidRPr="004269A3">
              <w:rPr>
                <w:strike/>
                <w:color w:val="00B050"/>
                <w:szCs w:val="20"/>
                <w:lang w:val="en-US" w:eastAsia="ja-JP"/>
              </w:rPr>
              <w:t>:</w:t>
            </w:r>
          </w:p>
          <w:p w14:paraId="127CD497" w14:textId="77777777" w:rsidR="00637A71" w:rsidRPr="004F231D" w:rsidRDefault="00637A71">
            <w:pPr>
              <w:pStyle w:val="Tablecontent"/>
              <w:rPr>
                <w:szCs w:val="20"/>
                <w:lang w:val="en-US" w:eastAsia="ja-JP"/>
              </w:rPr>
            </w:pPr>
            <w:r w:rsidRPr="004269A3">
              <w:rPr>
                <w:strike/>
                <w:color w:val="00B050"/>
                <w:szCs w:val="20"/>
                <w:lang w:val="en-US" w:eastAsia="ja-JP"/>
              </w:rPr>
              <w:t>(a)</w:t>
            </w:r>
            <w:r w:rsidRPr="004269A3">
              <w:rPr>
                <w:color w:val="00B050"/>
                <w:szCs w:val="20"/>
                <w:lang w:val="en-US" w:eastAsia="ja-JP"/>
              </w:rPr>
              <w:t xml:space="preserve"> </w:t>
            </w:r>
            <w:r w:rsidRPr="004F231D">
              <w:rPr>
                <w:szCs w:val="20"/>
                <w:lang w:val="en-US" w:eastAsia="ja-JP"/>
              </w:rPr>
              <w:t>conservative therapies have failed, are likely to fail, or are contraindicated</w:t>
            </w:r>
            <w:r w:rsidRPr="004269A3">
              <w:rPr>
                <w:strike/>
                <w:color w:val="00B050"/>
                <w:szCs w:val="20"/>
                <w:lang w:val="en-US" w:eastAsia="ja-JP"/>
              </w:rPr>
              <w:t>; and</w:t>
            </w:r>
          </w:p>
          <w:p w14:paraId="59F452A3" w14:textId="77777777" w:rsidR="00637A71" w:rsidRPr="004269A3" w:rsidRDefault="00637A71">
            <w:pPr>
              <w:pStyle w:val="Tablecontent"/>
              <w:rPr>
                <w:strike/>
                <w:szCs w:val="20"/>
              </w:rPr>
            </w:pPr>
            <w:r w:rsidRPr="004269A3">
              <w:rPr>
                <w:strike/>
                <w:color w:val="00B050"/>
                <w:szCs w:val="20"/>
                <w:lang w:val="en-US" w:eastAsia="ja-JP"/>
              </w:rPr>
              <w:t xml:space="preserve">(b) the service is performed by a specialist with training that is </w:t>
            </w:r>
            <w:proofErr w:type="spellStart"/>
            <w:r w:rsidRPr="004269A3">
              <w:rPr>
                <w:strike/>
                <w:color w:val="00B050"/>
                <w:szCs w:val="20"/>
                <w:lang w:val="en-US" w:eastAsia="ja-JP"/>
              </w:rPr>
              <w:t>recognised</w:t>
            </w:r>
            <w:proofErr w:type="spellEnd"/>
            <w:r w:rsidRPr="004269A3">
              <w:rPr>
                <w:strike/>
                <w:color w:val="00B050"/>
                <w:szCs w:val="20"/>
                <w:lang w:val="en-US" w:eastAsia="ja-JP"/>
              </w:rPr>
              <w:t xml:space="preserve"> by the Conjoint Committee for the Recognition of Training in Micro-Bypass Glaucoma Surgery</w:t>
            </w:r>
          </w:p>
        </w:tc>
      </w:tr>
      <w:tr w:rsidR="00637A71" w:rsidRPr="0001290C" w14:paraId="4C5C8DDA" w14:textId="77777777">
        <w:trPr>
          <w:cantSplit/>
          <w:trHeight w:val="223"/>
          <w:tblHeader/>
        </w:trPr>
        <w:tc>
          <w:tcPr>
            <w:tcW w:w="9016" w:type="dxa"/>
          </w:tcPr>
          <w:p w14:paraId="2F6838EC" w14:textId="77777777" w:rsidR="00637A71" w:rsidRPr="0001290C" w:rsidRDefault="00637A71">
            <w:pPr>
              <w:pStyle w:val="Tablecontent"/>
              <w:rPr>
                <w:snapToGrid w:val="0"/>
              </w:rPr>
            </w:pPr>
            <w:r>
              <w:t xml:space="preserve">Fee: </w:t>
            </w:r>
            <w:r w:rsidRPr="004269A3">
              <w:t>$331.05</w:t>
            </w:r>
            <w:r w:rsidRPr="00D577C1">
              <w:t xml:space="preserve">     </w:t>
            </w:r>
            <w:r w:rsidRPr="004269A3">
              <w:t>75% benefit: $248.30</w:t>
            </w:r>
            <w:r w:rsidRPr="00D577C1">
              <w:t xml:space="preserve">     </w:t>
            </w:r>
            <w:r w:rsidRPr="004269A3">
              <w:t>85% benefit: $281.40</w:t>
            </w:r>
          </w:p>
        </w:tc>
      </w:tr>
    </w:tbl>
    <w:p w14:paraId="15BAAF0D" w14:textId="77777777" w:rsidR="00637A71" w:rsidRDefault="00637A71" w:rsidP="00637A71">
      <w:pPr>
        <w:pStyle w:val="Tablenotes0"/>
        <w:spacing w:before="0"/>
        <w:contextualSpacing w:val="0"/>
      </w:pPr>
      <w:r>
        <w:t>ESC’s changes to the proposed MBS item descriptor are shown in green font.</w:t>
      </w:r>
    </w:p>
    <w:p w14:paraId="35DA4ACF" w14:textId="77777777" w:rsidR="00637A71" w:rsidRDefault="00637A71" w:rsidP="00637A71">
      <w:r>
        <w:t>ESC noted that n</w:t>
      </w:r>
      <w:r w:rsidRPr="0085251A">
        <w:t xml:space="preserve">o </w:t>
      </w:r>
      <w:r>
        <w:t>ratified</w:t>
      </w:r>
      <w:r w:rsidRPr="0085251A">
        <w:t xml:space="preserve"> PICO confirmation was available for this application as it followed the expedited MSAC pathway, bypassing PASC</w:t>
      </w:r>
      <w:r>
        <w:t xml:space="preserve"> – and the applicant had therefore developed its own PICO as described in the ADAR</w:t>
      </w:r>
      <w:r w:rsidRPr="0085251A">
        <w:t>.</w:t>
      </w:r>
    </w:p>
    <w:p w14:paraId="1274ACD0" w14:textId="79459C4C" w:rsidR="00637A71" w:rsidRDefault="00637A71" w:rsidP="00637A71">
      <w:pPr>
        <w:spacing w:after="0"/>
      </w:pPr>
      <w:r w:rsidRPr="00C66090">
        <w:rPr>
          <w:rFonts w:eastAsia="Calibri" w:cs="Arial"/>
          <w:bCs/>
        </w:rPr>
        <w:t xml:space="preserve">ESC noted and welcomed consultation input from </w:t>
      </w:r>
      <w:r>
        <w:rPr>
          <w:rFonts w:eastAsia="Calibri" w:cs="Arial"/>
          <w:bCs/>
        </w:rPr>
        <w:t>3</w:t>
      </w:r>
      <w:r w:rsidRPr="00C66090">
        <w:rPr>
          <w:rFonts w:eastAsia="Calibri" w:cs="Arial"/>
          <w:bCs/>
        </w:rPr>
        <w:t xml:space="preserve"> professional organisation</w:t>
      </w:r>
      <w:r>
        <w:rPr>
          <w:rFonts w:eastAsia="Calibri" w:cs="Arial"/>
          <w:bCs/>
        </w:rPr>
        <w:t>s</w:t>
      </w:r>
      <w:r w:rsidRPr="00C66090">
        <w:rPr>
          <w:rFonts w:eastAsia="Calibri" w:cs="Arial"/>
          <w:bCs/>
        </w:rPr>
        <w:t>, and 4 individuals, of whom all were medical specialists</w:t>
      </w:r>
      <w:r>
        <w:rPr>
          <w:rFonts w:eastAsia="Calibri" w:cs="Arial"/>
          <w:bCs/>
        </w:rPr>
        <w:t xml:space="preserve">. </w:t>
      </w:r>
      <w:r>
        <w:t>ESC noted consumer concerns with this application included accessibility, as only a small number of clinicians in major city centres</w:t>
      </w:r>
      <w:r w:rsidRPr="00C51D32">
        <w:t xml:space="preserve"> </w:t>
      </w:r>
      <w:r>
        <w:t>can perform this procedure, and the First Nations population has high levels of glaucoma. ESC noted one surgeon said that the procedure is minimally invasive and avoids medication side effects and extensive surgery.</w:t>
      </w:r>
    </w:p>
    <w:p w14:paraId="2116513A" w14:textId="77777777" w:rsidR="00637A71" w:rsidRDefault="00637A71" w:rsidP="00637A71">
      <w:r>
        <w:t>ESC noted that t</w:t>
      </w:r>
      <w:r w:rsidRPr="000D3DA8">
        <w:t xml:space="preserve">he comparator selected </w:t>
      </w:r>
      <w:r>
        <w:t>by</w:t>
      </w:r>
      <w:r w:rsidRPr="000D3DA8">
        <w:t xml:space="preserve"> the </w:t>
      </w:r>
      <w:r>
        <w:t>applicant</w:t>
      </w:r>
      <w:r w:rsidRPr="000D3DA8">
        <w:t xml:space="preserve"> was </w:t>
      </w:r>
      <w:proofErr w:type="spellStart"/>
      <w:r w:rsidRPr="000D3DA8">
        <w:t>iStent</w:t>
      </w:r>
      <w:proofErr w:type="spellEnd"/>
      <w:r w:rsidRPr="004269A3">
        <w:rPr>
          <w:vertAlign w:val="superscript"/>
        </w:rPr>
        <w:t>®</w:t>
      </w:r>
      <w:r w:rsidRPr="000D3DA8">
        <w:t xml:space="preserve"> (</w:t>
      </w:r>
      <w:proofErr w:type="spellStart"/>
      <w:r w:rsidRPr="000D3DA8">
        <w:t>Glaukos</w:t>
      </w:r>
      <w:proofErr w:type="spellEnd"/>
      <w:r w:rsidRPr="000D3DA8">
        <w:t xml:space="preserve">), an alternative </w:t>
      </w:r>
      <w:r>
        <w:t>MBGS</w:t>
      </w:r>
      <w:r w:rsidRPr="000D3DA8">
        <w:t xml:space="preserve"> stent system implanted via the trabecular meshwork. The applicant reasoned that the </w:t>
      </w:r>
      <w:proofErr w:type="spellStart"/>
      <w:r w:rsidRPr="000D3DA8">
        <w:t>iStent</w:t>
      </w:r>
      <w:proofErr w:type="spellEnd"/>
      <w:r w:rsidRPr="000D3DA8">
        <w:t xml:space="preserve"> device, used within the same </w:t>
      </w:r>
      <w:r>
        <w:t>MBS item number (</w:t>
      </w:r>
      <w:r w:rsidRPr="000D3DA8">
        <w:t>42504</w:t>
      </w:r>
      <w:r>
        <w:t>)</w:t>
      </w:r>
      <w:r w:rsidRPr="000D3DA8">
        <w:t xml:space="preserve">, </w:t>
      </w:r>
      <w:r>
        <w:t>wa</w:t>
      </w:r>
      <w:r w:rsidRPr="000D3DA8">
        <w:t xml:space="preserve">s </w:t>
      </w:r>
      <w:r>
        <w:t>a more</w:t>
      </w:r>
      <w:r w:rsidRPr="000D3DA8">
        <w:t xml:space="preserve"> appropriate comparator to </w:t>
      </w:r>
      <w:proofErr w:type="spellStart"/>
      <w:r w:rsidRPr="000D3DA8">
        <w:t>MINIject</w:t>
      </w:r>
      <w:proofErr w:type="spellEnd"/>
      <w:r w:rsidRPr="000D3DA8">
        <w:t xml:space="preserve"> </w:t>
      </w:r>
      <w:r>
        <w:t>than</w:t>
      </w:r>
      <w:r w:rsidRPr="000D3DA8">
        <w:t xml:space="preserve"> other procedures such as selective laser trabeculoplasty and trabeculectomy, </w:t>
      </w:r>
      <w:r>
        <w:t>because</w:t>
      </w:r>
      <w:r w:rsidRPr="000D3DA8">
        <w:t xml:space="preserve"> the </w:t>
      </w:r>
      <w:proofErr w:type="spellStart"/>
      <w:r w:rsidRPr="000D3DA8">
        <w:t>iStent</w:t>
      </w:r>
      <w:proofErr w:type="spellEnd"/>
      <w:r w:rsidRPr="000D3DA8">
        <w:t xml:space="preserve"> belongs to the same MBGS class as </w:t>
      </w:r>
      <w:proofErr w:type="spellStart"/>
      <w:r w:rsidRPr="000D3DA8">
        <w:t>MINIject</w:t>
      </w:r>
      <w:proofErr w:type="spellEnd"/>
      <w:r w:rsidRPr="000D3DA8">
        <w:t xml:space="preserve"> and has a </w:t>
      </w:r>
      <w:r w:rsidRPr="000D3DA8">
        <w:lastRenderedPageBreak/>
        <w:t xml:space="preserve">similar class level of safety and efficacy. </w:t>
      </w:r>
      <w:r>
        <w:t>The applicant also stated that</w:t>
      </w:r>
      <w:r w:rsidRPr="000D3DA8">
        <w:t xml:space="preserve"> </w:t>
      </w:r>
      <w:proofErr w:type="spellStart"/>
      <w:r w:rsidRPr="000D3DA8">
        <w:t>iStent</w:t>
      </w:r>
      <w:proofErr w:type="spellEnd"/>
      <w:r w:rsidRPr="000D3DA8">
        <w:t xml:space="preserve"> currently represents the most-used MBGS device in Australia</w:t>
      </w:r>
      <w:r>
        <w:t>, however</w:t>
      </w:r>
      <w:r w:rsidRPr="000D3DA8">
        <w:t xml:space="preserve"> </w:t>
      </w:r>
      <w:r>
        <w:t>d</w:t>
      </w:r>
      <w:r w:rsidRPr="000D3DA8">
        <w:t xml:space="preserve">etails regarding the </w:t>
      </w:r>
      <w:r>
        <w:t xml:space="preserve">applicant’s </w:t>
      </w:r>
      <w:r w:rsidRPr="000D3DA8">
        <w:t>clinical expert survey</w:t>
      </w:r>
      <w:r>
        <w:t>’</w:t>
      </w:r>
      <w:r w:rsidRPr="000D3DA8">
        <w:t>s design and findings were not provided</w:t>
      </w:r>
      <w:r>
        <w:t>, and the MBS item is brand-agnostic so the insertion of other brands of stent can also be claimed under the existing item.</w:t>
      </w:r>
      <w:r w:rsidRPr="000D3DA8">
        <w:t xml:space="preserve"> </w:t>
      </w:r>
      <w:r>
        <w:t>Overall ESC considered</w:t>
      </w:r>
      <w:r w:rsidRPr="000D3DA8">
        <w:t xml:space="preserve"> there remain</w:t>
      </w:r>
      <w:r>
        <w:t>ed</w:t>
      </w:r>
      <w:r w:rsidRPr="000D3DA8">
        <w:t xml:space="preserve"> some uncertainty as to </w:t>
      </w:r>
      <w:r>
        <w:t xml:space="preserve">whether </w:t>
      </w:r>
      <w:proofErr w:type="spellStart"/>
      <w:r w:rsidRPr="000D3DA8">
        <w:t>iStent</w:t>
      </w:r>
      <w:proofErr w:type="spellEnd"/>
      <w:r w:rsidRPr="000D3DA8">
        <w:t xml:space="preserve"> </w:t>
      </w:r>
      <w:r>
        <w:t>alone was the appropriate</w:t>
      </w:r>
      <w:r w:rsidRPr="000D3DA8">
        <w:t xml:space="preserve"> comparator. </w:t>
      </w:r>
      <w:r>
        <w:t>ESC considered t</w:t>
      </w:r>
      <w:r w:rsidRPr="000D3DA8">
        <w:t xml:space="preserve">he exclusion of any additional relevant comparators may have reduced the amount of direct evidence available to comprehensively assess the intervention. </w:t>
      </w:r>
    </w:p>
    <w:p w14:paraId="7036D13E" w14:textId="77777777" w:rsidR="00637A71" w:rsidRDefault="00637A71" w:rsidP="00637A71">
      <w:r>
        <w:t xml:space="preserve">ESC noted the clinical </w:t>
      </w:r>
      <w:r w:rsidRPr="00DA2DC5">
        <w:t xml:space="preserve">claim </w:t>
      </w:r>
      <w:r>
        <w:t xml:space="preserve">was that </w:t>
      </w:r>
      <w:proofErr w:type="spellStart"/>
      <w:r w:rsidRPr="00DA2DC5">
        <w:t>MINIject</w:t>
      </w:r>
      <w:proofErr w:type="spellEnd"/>
      <w:r w:rsidRPr="00DA2DC5">
        <w:t xml:space="preserve"> </w:t>
      </w:r>
      <w:r>
        <w:t xml:space="preserve">has </w:t>
      </w:r>
      <w:r w:rsidRPr="00DA2DC5">
        <w:t xml:space="preserve">noninferior safety </w:t>
      </w:r>
      <w:r>
        <w:t xml:space="preserve">and </w:t>
      </w:r>
      <w:r w:rsidRPr="00DA2DC5">
        <w:t xml:space="preserve">superior effectiveness compared with </w:t>
      </w:r>
      <w:proofErr w:type="spellStart"/>
      <w:r w:rsidRPr="00DA2DC5">
        <w:t>iStent</w:t>
      </w:r>
      <w:proofErr w:type="spellEnd"/>
      <w:r w:rsidRPr="00DA2DC5">
        <w:t>.</w:t>
      </w:r>
      <w:r w:rsidRPr="00647D41">
        <w:t xml:space="preserve"> </w:t>
      </w:r>
    </w:p>
    <w:p w14:paraId="02063A0D" w14:textId="77777777" w:rsidR="00637A71" w:rsidRDefault="00637A71" w:rsidP="00637A71">
      <w:r>
        <w:t>ESC noted that b</w:t>
      </w:r>
      <w:r w:rsidRPr="00AE7801">
        <w:t xml:space="preserve">ecause there were no head-to-head trials between the </w:t>
      </w:r>
      <w:proofErr w:type="spellStart"/>
      <w:r w:rsidRPr="00AE7801">
        <w:t>MINIject</w:t>
      </w:r>
      <w:proofErr w:type="spellEnd"/>
      <w:r w:rsidRPr="00AE7801">
        <w:t xml:space="preserve"> and </w:t>
      </w:r>
      <w:proofErr w:type="spellStart"/>
      <w:r w:rsidRPr="00AE7801">
        <w:t>iStent</w:t>
      </w:r>
      <w:proofErr w:type="spellEnd"/>
      <w:r w:rsidRPr="00AE7801">
        <w:t xml:space="preserve"> delivery systems, </w:t>
      </w:r>
      <w:r>
        <w:t xml:space="preserve">the ADAR used </w:t>
      </w:r>
      <w:r w:rsidRPr="00AE7801">
        <w:t xml:space="preserve">a naïve unanchored indirect treatment comparison (ITC) to </w:t>
      </w:r>
      <w:r>
        <w:t>estimate</w:t>
      </w:r>
      <w:r w:rsidRPr="00AE7801">
        <w:t xml:space="preserve"> the relative effectiveness of the technologies. </w:t>
      </w:r>
      <w:r>
        <w:t>ESC considered that t</w:t>
      </w:r>
      <w:r w:rsidRPr="00AE7801">
        <w:t>ypically, naïve comparisons are associated with a high degree of uncertainty and there is a high potential for the comparison to be influenced by factors other than the treatments being compared</w:t>
      </w:r>
      <w:r>
        <w:t>. ESC considered</w:t>
      </w:r>
      <w:r w:rsidRPr="00AE7801">
        <w:t xml:space="preserve"> no evidence was provided to mitigate these concerns.</w:t>
      </w:r>
    </w:p>
    <w:p w14:paraId="43EDC862" w14:textId="77777777" w:rsidR="00637A71" w:rsidRDefault="00637A71" w:rsidP="00637A71">
      <w:r>
        <w:t xml:space="preserve">ESC noted that four </w:t>
      </w:r>
      <w:proofErr w:type="spellStart"/>
      <w:r>
        <w:t>MINIject</w:t>
      </w:r>
      <w:proofErr w:type="spellEnd"/>
      <w:r>
        <w:t xml:space="preserve"> and seven </w:t>
      </w:r>
      <w:proofErr w:type="spellStart"/>
      <w:r>
        <w:t>iStent</w:t>
      </w:r>
      <w:proofErr w:type="spellEnd"/>
      <w:r>
        <w:t xml:space="preserve"> studies were identified. The </w:t>
      </w:r>
      <w:proofErr w:type="spellStart"/>
      <w:r>
        <w:t>MINIject</w:t>
      </w:r>
      <w:proofErr w:type="spellEnd"/>
      <w:r>
        <w:t xml:space="preserve"> trials consisted of four identically designed, prospective, single-arm trials (named STAR-I to STAR-IV), each enrolling between 21 and 31 patients. In contrast, the </w:t>
      </w:r>
      <w:proofErr w:type="spellStart"/>
      <w:r>
        <w:t>iStent</w:t>
      </w:r>
      <w:proofErr w:type="spellEnd"/>
      <w:r>
        <w:t xml:space="preserve"> trials were a collection of single-arm trials and a single case series study, enrolling between 10 and 100 patients. All trials monitored and reported the key efficacy outcomes as well as safety outcomes. ESC considered the </w:t>
      </w:r>
      <w:proofErr w:type="spellStart"/>
      <w:r>
        <w:t>iStent</w:t>
      </w:r>
      <w:proofErr w:type="spellEnd"/>
      <w:r>
        <w:t xml:space="preserve"> trials had more diverse patients, including with respect to ethnicity, and varied in design, which made the comparison more difficult.</w:t>
      </w:r>
    </w:p>
    <w:p w14:paraId="142D3245" w14:textId="77777777" w:rsidR="00637A71" w:rsidRDefault="00637A71" w:rsidP="00637A71">
      <w:r>
        <w:t>ESC noted that there remained a high degree of uncertainty regarding the external validity of the clinical trials included in the ADAR. Specifically, whether the clinical trials populations of glaucoma patients who have failed or are contraindicated to conventional therapies, including IOP-lowering medications, and assessed as suitable for MBGS, align with and are reflective of glaucoma patients seen in clinical practice in Australia. ESC considered the applicability of the evidence was reduced due to the differences in ethnicity, as patients of some ancestry are known to be at increased risk of glaucoma due to thinner cornea and larger optic nerve (African and Hispanic ancestry) or angle and anatomy (Asian ancestry).</w:t>
      </w:r>
    </w:p>
    <w:p w14:paraId="24EE434E" w14:textId="77777777" w:rsidR="00637A71" w:rsidRDefault="00637A71" w:rsidP="00637A71">
      <w:r>
        <w:t xml:space="preserve">Furthermore, ESC noted that the pivotal trials used to demonstrate the efficacy and safety of </w:t>
      </w:r>
      <w:proofErr w:type="spellStart"/>
      <w:r>
        <w:t>MINIject</w:t>
      </w:r>
      <w:proofErr w:type="spellEnd"/>
      <w:r>
        <w:t xml:space="preserve"> in the ADAR were conducted mainly in Latin American and Indian populations. ESC considered the generalisability of the results of these trials to the Australian population remained uncertain, with no evidence presented by the applicant to compare the demographic characteristics of patients in the analysis to those in the Australian and New Zealand Registry of Advanced Glaucoma or to clarify with clinical experts their view on the generalisability of the </w:t>
      </w:r>
      <w:proofErr w:type="spellStart"/>
      <w:r>
        <w:t>MINIject</w:t>
      </w:r>
      <w:proofErr w:type="spellEnd"/>
      <w:r>
        <w:t xml:space="preserve"> trials to clinical practice in Australia.</w:t>
      </w:r>
    </w:p>
    <w:p w14:paraId="6398D0B0" w14:textId="77777777" w:rsidR="00637A71" w:rsidRDefault="00637A71" w:rsidP="00637A71">
      <w:r w:rsidRPr="00DD3C82">
        <w:t xml:space="preserve">ESC </w:t>
      </w:r>
      <w:r>
        <w:t xml:space="preserve">noted clinical input had been sought on the level of clinical need for this service, and that the </w:t>
      </w:r>
      <w:r w:rsidRPr="00084C37">
        <w:t xml:space="preserve">Medical Devices and Human Tissue Advisory Committee </w:t>
      </w:r>
      <w:r>
        <w:t xml:space="preserve">(MDHTAC) expert clinical advisory group (ECAG) for Ophthalmology stated that there would be limited but definite support for suprachoroidal stent techniques, and that RANZCO stated it strongly supported supraciliary MBGS. </w:t>
      </w:r>
      <w:r w:rsidRPr="00127FDD">
        <w:t xml:space="preserve">ESC also noted the applicant stated the </w:t>
      </w:r>
      <w:proofErr w:type="spellStart"/>
      <w:r w:rsidRPr="00127FDD">
        <w:t>MINIject</w:t>
      </w:r>
      <w:proofErr w:type="spellEnd"/>
      <w:r w:rsidRPr="00127FDD">
        <w:t xml:space="preserve"> would only be used in patients who already</w:t>
      </w:r>
      <w:r>
        <w:t xml:space="preserve"> have the </w:t>
      </w:r>
      <w:proofErr w:type="spellStart"/>
      <w:r>
        <w:t>iStent</w:t>
      </w:r>
      <w:proofErr w:type="spellEnd"/>
      <w:r>
        <w:t xml:space="preserve"> available (i.e. identical population to that for 42504, and therefore no financial impact), however clinical expert input from RANZCO had stated the uveoscleral drainage pathway used by the </w:t>
      </w:r>
      <w:proofErr w:type="spellStart"/>
      <w:r>
        <w:t>MINIject</w:t>
      </w:r>
      <w:proofErr w:type="spellEnd"/>
      <w:r>
        <w:t xml:space="preserve"> was superior in patients who cannot use the </w:t>
      </w:r>
      <w:proofErr w:type="spellStart"/>
      <w:r>
        <w:t>iStent</w:t>
      </w:r>
      <w:proofErr w:type="spellEnd"/>
      <w:r>
        <w:t xml:space="preserve"> due to scarring in the trabecular space, i.e., there is a clinical need for alternate MBGS devices (which </w:t>
      </w:r>
      <w:proofErr w:type="spellStart"/>
      <w:r>
        <w:t>MINIject</w:t>
      </w:r>
      <w:proofErr w:type="spellEnd"/>
      <w:r>
        <w:t xml:space="preserve"> provides due to its alternate placement), although evidence was not provided to support this </w:t>
      </w:r>
      <w:r>
        <w:lastRenderedPageBreak/>
        <w:t>statement.</w:t>
      </w:r>
      <w:r w:rsidRPr="00D5144C">
        <w:t xml:space="preserve"> </w:t>
      </w:r>
      <w:r>
        <w:t xml:space="preserve">ESC noted the MDHTAC ECAG commented that the proposed stent would see limited use by only very experienced glaucoma sub-specialists in patients where other techniques are contraindicated, however RANZCO foresaw broader utilisation, which ESC considered potentially indicated the </w:t>
      </w:r>
      <w:proofErr w:type="spellStart"/>
      <w:r>
        <w:t>MINIject</w:t>
      </w:r>
      <w:proofErr w:type="spellEnd"/>
      <w:r>
        <w:t xml:space="preserve"> becoming the first-line device with trabecular stents becoming reserved for later lines of therapy. ESC considered that the advice did not align on whether the population in which the </w:t>
      </w:r>
      <w:proofErr w:type="spellStart"/>
      <w:r>
        <w:t>MINIject</w:t>
      </w:r>
      <w:proofErr w:type="spellEnd"/>
      <w:r>
        <w:t xml:space="preserve"> would be used would include additional patients beyond those eligible for the comparator, and so the clinical place was uncertain. ESC considered the nature of clinical need for this service may be uncertain, and the difference in perspective may arise from the terminology around supraciliary stents as a subset of suprachoroidal stents.</w:t>
      </w:r>
      <w:r w:rsidRPr="00407043">
        <w:t xml:space="preserve"> </w:t>
      </w:r>
      <w:r>
        <w:t>ESC considered further expert input would assist MSAC to establish the nature of clinical need for the proposed service, and the clinical place for the proposed service including any financial implications.</w:t>
      </w:r>
    </w:p>
    <w:p w14:paraId="788AE978" w14:textId="07697ECF" w:rsidR="00637A71" w:rsidRDefault="00637A71" w:rsidP="00637A71">
      <w:r>
        <w:t>On safety, ESC noted that a</w:t>
      </w:r>
      <w:r w:rsidRPr="00032A86">
        <w:t xml:space="preserve">dverse events (AEs) for </w:t>
      </w:r>
      <w:proofErr w:type="spellStart"/>
      <w:r w:rsidRPr="00032A86">
        <w:t>MINIject</w:t>
      </w:r>
      <w:proofErr w:type="spellEnd"/>
      <w:r w:rsidRPr="00032A86">
        <w:t xml:space="preserve"> were infrequent and generally not serious.</w:t>
      </w:r>
      <w:r>
        <w:t xml:space="preserve"> ESC noted the main safety risk was inflammation of the anterior chamber, which occurred in 3</w:t>
      </w:r>
      <w:r w:rsidR="00B165A9">
        <w:t>0</w:t>
      </w:r>
      <w:r>
        <w:t xml:space="preserve">% of patients, and that in general the evidence showed the </w:t>
      </w:r>
      <w:proofErr w:type="spellStart"/>
      <w:r>
        <w:t>MINIject</w:t>
      </w:r>
      <w:proofErr w:type="spellEnd"/>
      <w:r>
        <w:t xml:space="preserve"> was well tolerated at 2 years.</w:t>
      </w:r>
      <w:r w:rsidRPr="00032A86">
        <w:t xml:space="preserve"> </w:t>
      </w:r>
      <w:r w:rsidRPr="00D461EF">
        <w:t>Similarly</w:t>
      </w:r>
      <w:r>
        <w:t>,</w:t>
      </w:r>
      <w:r w:rsidRPr="00D461EF">
        <w:t xml:space="preserve"> low numbers of AEs were reported across the </w:t>
      </w:r>
      <w:proofErr w:type="spellStart"/>
      <w:r w:rsidRPr="00D461EF">
        <w:t>iStent</w:t>
      </w:r>
      <w:proofErr w:type="spellEnd"/>
      <w:r w:rsidRPr="00D461EF">
        <w:t xml:space="preserve"> trials, with most occurring in less than 10% of patients.</w:t>
      </w:r>
      <w:r>
        <w:t xml:space="preserve"> However, ESC considered the intervention and comparator studies differed in the baseline IOP and medications.</w:t>
      </w:r>
      <w:r w:rsidRPr="00D461EF">
        <w:t xml:space="preserve"> </w:t>
      </w:r>
    </w:p>
    <w:p w14:paraId="042B9244" w14:textId="77777777" w:rsidR="00637A71" w:rsidRDefault="00637A71" w:rsidP="00637A71">
      <w:r>
        <w:t>ESC noted t</w:t>
      </w:r>
      <w:r w:rsidRPr="00FA1943">
        <w:t xml:space="preserve">here </w:t>
      </w:r>
      <w:r>
        <w:t>wa</w:t>
      </w:r>
      <w:r w:rsidRPr="00FA1943">
        <w:t xml:space="preserve">s a lack of safety data regarding endothelial cell loss </w:t>
      </w:r>
      <w:r>
        <w:t>and considered that this was relevant because of</w:t>
      </w:r>
      <w:r w:rsidRPr="00FA1943">
        <w:t xml:space="preserve"> the withdrawal of</w:t>
      </w:r>
      <w:r>
        <w:t xml:space="preserve"> the</w:t>
      </w:r>
      <w:r w:rsidRPr="00FA1943">
        <w:t xml:space="preserve"> </w:t>
      </w:r>
      <w:proofErr w:type="spellStart"/>
      <w:r w:rsidRPr="00FA1943">
        <w:t>CyPass</w:t>
      </w:r>
      <w:proofErr w:type="spellEnd"/>
      <w:r>
        <w:t xml:space="preserve"> device</w:t>
      </w:r>
      <w:r w:rsidRPr="00FA1943">
        <w:t xml:space="preserve"> in 2019 related to loss of endothelial cells at 5 years when inserted during cataract extraction surgery</w:t>
      </w:r>
      <w:r>
        <w:t>. ESC noted that the ADAR did not provide evidence to address</w:t>
      </w:r>
      <w:r w:rsidRPr="00FA1943">
        <w:t xml:space="preserve"> </w:t>
      </w:r>
      <w:r w:rsidRPr="0051345F">
        <w:t xml:space="preserve">longer-term safety of the </w:t>
      </w:r>
      <w:proofErr w:type="spellStart"/>
      <w:r w:rsidRPr="0051345F">
        <w:t>MINIject</w:t>
      </w:r>
      <w:proofErr w:type="spellEnd"/>
      <w:r w:rsidRPr="0051345F">
        <w:t xml:space="preserve">. However, </w:t>
      </w:r>
      <w:r w:rsidRPr="004269A3">
        <w:t xml:space="preserve">ESC considered that the previous safety concerns with the suprachoroidal </w:t>
      </w:r>
      <w:proofErr w:type="spellStart"/>
      <w:r w:rsidRPr="004269A3">
        <w:t>Cypass</w:t>
      </w:r>
      <w:proofErr w:type="spellEnd"/>
      <w:r w:rsidRPr="004269A3">
        <w:t xml:space="preserve"> stent were because it pressed on the cornea and reduced endothelial thickness</w:t>
      </w:r>
      <w:r>
        <w:t>,</w:t>
      </w:r>
      <w:r w:rsidRPr="004269A3">
        <w:t xml:space="preserve"> where</w:t>
      </w:r>
      <w:r>
        <w:t>as</w:t>
      </w:r>
      <w:r w:rsidRPr="004269A3">
        <w:t xml:space="preserve"> </w:t>
      </w:r>
      <w:r>
        <w:t xml:space="preserve">the supraciliary </w:t>
      </w:r>
      <w:proofErr w:type="spellStart"/>
      <w:r w:rsidRPr="004269A3">
        <w:t>MINIject</w:t>
      </w:r>
      <w:proofErr w:type="spellEnd"/>
      <w:r>
        <w:t xml:space="preserve"> stent</w:t>
      </w:r>
      <w:r w:rsidRPr="004269A3">
        <w:t xml:space="preserve"> is shorter and does not press on the cornea.</w:t>
      </w:r>
      <w:r w:rsidRPr="0051345F">
        <w:t xml:space="preserve"> </w:t>
      </w:r>
      <w:r>
        <w:t xml:space="preserve">ESC noted </w:t>
      </w:r>
      <w:proofErr w:type="spellStart"/>
      <w:r>
        <w:t>CyPass’s</w:t>
      </w:r>
      <w:proofErr w:type="spellEnd"/>
      <w:r>
        <w:t xml:space="preserve"> risks had not emerged until 5 years after insertion, and considered given the lack of long-term safety data there was a potential risk of AEs emerging for the </w:t>
      </w:r>
      <w:proofErr w:type="spellStart"/>
      <w:r>
        <w:t>MINIject</w:t>
      </w:r>
      <w:proofErr w:type="spellEnd"/>
      <w:r>
        <w:t xml:space="preserve"> up to 5 years after insertion. If MSAC opts to fund supraciliary stent implantation, then it could advise safety data </w:t>
      </w:r>
      <w:proofErr w:type="gramStart"/>
      <w:r>
        <w:t>be</w:t>
      </w:r>
      <w:proofErr w:type="gramEnd"/>
      <w:r>
        <w:t xml:space="preserve"> collected and reported to mitigate the risk of long-term AEs emerging. </w:t>
      </w:r>
    </w:p>
    <w:p w14:paraId="1696DCF3" w14:textId="3A5D96A2" w:rsidR="00637A71" w:rsidRDefault="00637A71" w:rsidP="00637A71">
      <w:r>
        <w:t xml:space="preserve">ESC considered that while the safety profiles for the </w:t>
      </w:r>
      <w:proofErr w:type="spellStart"/>
      <w:r>
        <w:t>MINIject</w:t>
      </w:r>
      <w:proofErr w:type="spellEnd"/>
      <w:r>
        <w:t xml:space="preserve"> and </w:t>
      </w:r>
      <w:proofErr w:type="spellStart"/>
      <w:r>
        <w:t>iStent</w:t>
      </w:r>
      <w:proofErr w:type="spellEnd"/>
      <w:r>
        <w:t xml:space="preserve"> appeared similar, </w:t>
      </w:r>
      <w:r w:rsidR="00EC4E6F">
        <w:t>overall,</w:t>
      </w:r>
      <w:r>
        <w:t xml:space="preserve"> </w:t>
      </w:r>
      <w:r w:rsidRPr="0042275F">
        <w:t xml:space="preserve">there were insufficient data to draw any meaningful conclusion regarding the relative safety of </w:t>
      </w:r>
      <w:proofErr w:type="spellStart"/>
      <w:r w:rsidRPr="0042275F">
        <w:t>MINIject</w:t>
      </w:r>
      <w:proofErr w:type="spellEnd"/>
      <w:r w:rsidRPr="0042275F">
        <w:t xml:space="preserve"> and </w:t>
      </w:r>
      <w:proofErr w:type="spellStart"/>
      <w:r w:rsidRPr="0042275F">
        <w:t>iStent</w:t>
      </w:r>
      <w:proofErr w:type="spellEnd"/>
      <w:r>
        <w:t>, although there was no reason to believe there was a current safety risk</w:t>
      </w:r>
      <w:r w:rsidRPr="0042275F">
        <w:t>.</w:t>
      </w:r>
      <w:r w:rsidRPr="00225802">
        <w:t xml:space="preserve"> </w:t>
      </w:r>
      <w:r>
        <w:t xml:space="preserve">ESC also noted that </w:t>
      </w:r>
      <w:r w:rsidRPr="008869C8">
        <w:t xml:space="preserve">the </w:t>
      </w:r>
      <w:r>
        <w:t>ADAR</w:t>
      </w:r>
      <w:r w:rsidRPr="008869C8">
        <w:t xml:space="preserve"> </w:t>
      </w:r>
      <w:r>
        <w:t>included</w:t>
      </w:r>
      <w:r w:rsidRPr="008869C8">
        <w:t xml:space="preserve"> little discussion o</w:t>
      </w:r>
      <w:r>
        <w:t>f</w:t>
      </w:r>
      <w:r w:rsidRPr="008869C8">
        <w:t xml:space="preserve"> the cost of managing AEs or the reduced health-related quality of life associated with the</w:t>
      </w:r>
      <w:r>
        <w:t>m</w:t>
      </w:r>
      <w:r w:rsidRPr="008869C8">
        <w:t xml:space="preserve">. </w:t>
      </w:r>
      <w:r>
        <w:t>ESC considered that u</w:t>
      </w:r>
      <w:r w:rsidRPr="008869C8">
        <w:t xml:space="preserve">nderstanding these impacts may </w:t>
      </w:r>
      <w:r>
        <w:t>help</w:t>
      </w:r>
      <w:r w:rsidRPr="008869C8">
        <w:t xml:space="preserve"> </w:t>
      </w:r>
      <w:r>
        <w:t xml:space="preserve">MSAC to </w:t>
      </w:r>
      <w:r w:rsidRPr="008869C8">
        <w:t>quantif</w:t>
      </w:r>
      <w:r>
        <w:t>y</w:t>
      </w:r>
      <w:r w:rsidRPr="008869C8">
        <w:t xml:space="preserve"> the uncertainty associated with the comparative safety profile of </w:t>
      </w:r>
      <w:proofErr w:type="spellStart"/>
      <w:r w:rsidRPr="008869C8">
        <w:t>MINIject</w:t>
      </w:r>
      <w:proofErr w:type="spellEnd"/>
      <w:r w:rsidRPr="008869C8">
        <w:t>.</w:t>
      </w:r>
    </w:p>
    <w:p w14:paraId="34A70A21" w14:textId="77777777" w:rsidR="00637A71" w:rsidRDefault="00637A71" w:rsidP="00637A71">
      <w:r>
        <w:t>Regarding effectiveness, ESC noted that r</w:t>
      </w:r>
      <w:r w:rsidRPr="00F13C13">
        <w:t>eduction in IOP is the only known modifiable risk factor for glaucoma and hence</w:t>
      </w:r>
      <w:r>
        <w:t xml:space="preserve"> change from baseline IOP</w:t>
      </w:r>
      <w:r w:rsidRPr="00F13C13">
        <w:t xml:space="preserve"> was used as the primary outcome measure</w:t>
      </w:r>
      <w:r>
        <w:t>, along with</w:t>
      </w:r>
      <w:r w:rsidRPr="00F13C13">
        <w:t xml:space="preserve"> </w:t>
      </w:r>
      <w:r>
        <w:t>usage of IOP-lowering medications. ESC noted t</w:t>
      </w:r>
      <w:r w:rsidRPr="00F13C13">
        <w:t>here was a clinical</w:t>
      </w:r>
      <w:r>
        <w:t>ly</w:t>
      </w:r>
      <w:r w:rsidRPr="00F13C13">
        <w:t xml:space="preserve"> significant decrease in IOP at 6</w:t>
      </w:r>
      <w:r>
        <w:t xml:space="preserve">, </w:t>
      </w:r>
      <w:r w:rsidRPr="00F13C13">
        <w:t>1</w:t>
      </w:r>
      <w:r>
        <w:t>2</w:t>
      </w:r>
      <w:r w:rsidRPr="00F13C13">
        <w:t xml:space="preserve"> and 24 months</w:t>
      </w:r>
      <w:r>
        <w:t xml:space="preserve"> in the ADAR’s analyses, and that the Commentary’s analyses aligning baseline IOP still showed decreased IOP at 6 months. ESC noted t</w:t>
      </w:r>
      <w:r w:rsidRPr="00F13C13">
        <w:t xml:space="preserve">here was a consistent pattern of reduction in the mean number of medications used with </w:t>
      </w:r>
      <w:proofErr w:type="spellStart"/>
      <w:r w:rsidRPr="00F13C13">
        <w:t>MINIject</w:t>
      </w:r>
      <w:proofErr w:type="spellEnd"/>
      <w:r>
        <w:t>, and improved quality of life at 2 years</w:t>
      </w:r>
      <w:r w:rsidRPr="00F13C13">
        <w:t>.</w:t>
      </w:r>
      <w:r>
        <w:t xml:space="preserve"> ESC considered a</w:t>
      </w:r>
      <w:r w:rsidRPr="00F13C13">
        <w:t xml:space="preserve">ll </w:t>
      </w:r>
      <w:r>
        <w:t xml:space="preserve">four </w:t>
      </w:r>
      <w:r w:rsidRPr="00F13C13">
        <w:t xml:space="preserve">trial </w:t>
      </w:r>
      <w:proofErr w:type="spellStart"/>
      <w:r w:rsidRPr="00F13C13">
        <w:t>MINIject</w:t>
      </w:r>
      <w:proofErr w:type="spellEnd"/>
      <w:r w:rsidRPr="00F13C13">
        <w:t xml:space="preserve"> trials demonstrated a consistent trend for effect in these two key efficacy outcomes.</w:t>
      </w:r>
    </w:p>
    <w:p w14:paraId="073C6224" w14:textId="77777777" w:rsidR="00637A71" w:rsidRDefault="00637A71" w:rsidP="00637A71">
      <w:pPr>
        <w:rPr>
          <w:highlight w:val="yellow"/>
        </w:rPr>
      </w:pPr>
      <w:r>
        <w:t>ESC noted t</w:t>
      </w:r>
      <w:r w:rsidRPr="00EA3FF4">
        <w:t xml:space="preserve">he applicant claimed that the lower interstudy variability in mean IOP reduction observed for </w:t>
      </w:r>
      <w:proofErr w:type="spellStart"/>
      <w:r w:rsidRPr="00EA3FF4">
        <w:t>MINIject</w:t>
      </w:r>
      <w:proofErr w:type="spellEnd"/>
      <w:r w:rsidRPr="00EA3FF4">
        <w:t xml:space="preserve"> versus </w:t>
      </w:r>
      <w:proofErr w:type="spellStart"/>
      <w:r w:rsidRPr="00EA3FF4">
        <w:t>iStent</w:t>
      </w:r>
      <w:proofErr w:type="spellEnd"/>
      <w:r w:rsidRPr="00EA3FF4">
        <w:t xml:space="preserve"> was indicative of more reliable treatment efficacy. While the </w:t>
      </w:r>
      <w:r>
        <w:t xml:space="preserve">Commentary </w:t>
      </w:r>
      <w:r w:rsidRPr="00EA3FF4">
        <w:t>acknowledge</w:t>
      </w:r>
      <w:r>
        <w:t>d</w:t>
      </w:r>
      <w:r w:rsidRPr="00EA3FF4">
        <w:t xml:space="preserve"> the high degree of consistency in the performance of the </w:t>
      </w:r>
      <w:proofErr w:type="spellStart"/>
      <w:r w:rsidRPr="00EA3FF4">
        <w:t>MINIject</w:t>
      </w:r>
      <w:proofErr w:type="spellEnd"/>
      <w:r w:rsidRPr="00EA3FF4">
        <w:t>, particularly in the context of demographic differences across the STAR trials (STAR-I, -III, -IV [Latin American and Indian] and STAR-II [European]), it note</w:t>
      </w:r>
      <w:r>
        <w:t>d</w:t>
      </w:r>
      <w:r w:rsidRPr="00EA3FF4">
        <w:t xml:space="preserve"> that the </w:t>
      </w:r>
      <w:proofErr w:type="spellStart"/>
      <w:r w:rsidRPr="00EA3FF4">
        <w:t>MINIject</w:t>
      </w:r>
      <w:proofErr w:type="spellEnd"/>
      <w:r w:rsidRPr="00EA3FF4">
        <w:t xml:space="preserve"> trials were identically </w:t>
      </w:r>
      <w:r w:rsidRPr="00EA3FF4">
        <w:lastRenderedPageBreak/>
        <w:t xml:space="preserve">designed, with consistent eligibility criteria. As a result, patient populations of the STAR trials </w:t>
      </w:r>
      <w:r>
        <w:t>we</w:t>
      </w:r>
      <w:r w:rsidRPr="00EA3FF4">
        <w:t xml:space="preserve">re </w:t>
      </w:r>
      <w:r>
        <w:t>more</w:t>
      </w:r>
      <w:r w:rsidRPr="00EA3FF4">
        <w:t xml:space="preserve"> homogenous and thus treatment outcomes more consistent.</w:t>
      </w:r>
      <w:r>
        <w:t xml:space="preserve"> </w:t>
      </w:r>
      <w:r w:rsidRPr="00EA3FF4">
        <w:t xml:space="preserve">In contrast the </w:t>
      </w:r>
      <w:proofErr w:type="spellStart"/>
      <w:r w:rsidRPr="00EA3FF4">
        <w:t>iStent</w:t>
      </w:r>
      <w:proofErr w:type="spellEnd"/>
      <w:r w:rsidRPr="00EA3FF4">
        <w:t xml:space="preserve"> trials varied in design, with differences in patient eligibility criteria and baseline characteristics. As such, a higher degree of statistical heterogeneity was anticipated.</w:t>
      </w:r>
      <w:r>
        <w:t xml:space="preserve"> ESC considered that differences in the mean validity of the cross analysis compromised the comparison and made it hard to justify the conclusion of superior comparative effectiveness.</w:t>
      </w:r>
    </w:p>
    <w:p w14:paraId="328DC3DD" w14:textId="77777777" w:rsidR="00637A71" w:rsidRPr="004269A3" w:rsidRDefault="00637A71" w:rsidP="00637A71">
      <w:r w:rsidRPr="004269A3">
        <w:t>Overall, ESC considered there was</w:t>
      </w:r>
      <w:r>
        <w:t xml:space="preserve"> very</w:t>
      </w:r>
      <w:r w:rsidRPr="004269A3">
        <w:t xml:space="preserve"> little available </w:t>
      </w:r>
      <w:r>
        <w:t xml:space="preserve">clinical </w:t>
      </w:r>
      <w:r w:rsidRPr="004269A3">
        <w:t xml:space="preserve">data (including no comparative data), and the available data were single arm, observational, and of low </w:t>
      </w:r>
      <w:r>
        <w:t>‘</w:t>
      </w:r>
      <w:r w:rsidRPr="004269A3">
        <w:t>GRADE</w:t>
      </w:r>
      <w:r>
        <w:t>’</w:t>
      </w:r>
      <w:r w:rsidRPr="004269A3">
        <w:t xml:space="preserve"> quality.</w:t>
      </w:r>
      <w:r>
        <w:t xml:space="preserve"> There was a lack of long-term safety data regarding endothelial cell loss, which ESC considered was important as it related to the </w:t>
      </w:r>
      <w:proofErr w:type="spellStart"/>
      <w:r>
        <w:t>CyPass</w:t>
      </w:r>
      <w:proofErr w:type="spellEnd"/>
      <w:r>
        <w:t xml:space="preserve"> withdrawal from the market.</w:t>
      </w:r>
      <w:r w:rsidRPr="004269A3">
        <w:t xml:space="preserve"> ESC considered that while the studies overall supported the </w:t>
      </w:r>
      <w:r>
        <w:t xml:space="preserve">non-inferior </w:t>
      </w:r>
      <w:r w:rsidRPr="004269A3">
        <w:t>eff</w:t>
      </w:r>
      <w:r>
        <w:t>ectiveness</w:t>
      </w:r>
      <w:r w:rsidRPr="004269A3">
        <w:t xml:space="preserve"> and safety of </w:t>
      </w:r>
      <w:proofErr w:type="spellStart"/>
      <w:r w:rsidRPr="004269A3">
        <w:t>MINIject</w:t>
      </w:r>
      <w:proofErr w:type="spellEnd"/>
      <w:r w:rsidRPr="004269A3">
        <w:t xml:space="preserve">, the generalisability </w:t>
      </w:r>
      <w:r>
        <w:t xml:space="preserve">to the Australian population </w:t>
      </w:r>
      <w:r w:rsidRPr="004269A3">
        <w:t>was unclear.</w:t>
      </w:r>
    </w:p>
    <w:p w14:paraId="039FC563" w14:textId="77777777" w:rsidR="00637A71" w:rsidRDefault="00637A71" w:rsidP="00637A71">
      <w:r>
        <w:t xml:space="preserve">For the economics, ESC noted that the </w:t>
      </w:r>
      <w:r w:rsidRPr="00451E73">
        <w:t xml:space="preserve">ADAR </w:t>
      </w:r>
      <w:r>
        <w:t>did not present a CEA but instead presented</w:t>
      </w:r>
      <w:r w:rsidRPr="00451E73">
        <w:t xml:space="preserve"> a </w:t>
      </w:r>
      <w:r>
        <w:t>CMA</w:t>
      </w:r>
      <w:r w:rsidRPr="00451E73">
        <w:t xml:space="preserve">. </w:t>
      </w:r>
      <w:r>
        <w:t xml:space="preserve">ESC considered that a CEA or a CUA would have been more appropriate, as it would align with the MSAC Guidelines, which state that </w:t>
      </w:r>
      <w:r w:rsidRPr="007D7375">
        <w:t>“</w:t>
      </w:r>
      <w:r w:rsidRPr="004269A3">
        <w:rPr>
          <w:i/>
          <w:iCs/>
        </w:rPr>
        <w:t>a cost-minimisation approach should only be used when the proposed service has been demonstrated to be noninferior to its main comparator(s) in terms of both effectiveness and safety</w:t>
      </w:r>
      <w:r w:rsidRPr="007D7375">
        <w:t>”</w:t>
      </w:r>
      <w:r>
        <w:t>. ESC noted the applicant’s comments in its pre-ESC response around the choice of economic model, and considered that while a CEA would have been ideal, given the applicant was not seeking a price premium, and ESC had considered non-inferior effectiveness may be a more appropriate conclusion, that a CMA may potentially be acceptable.</w:t>
      </w:r>
    </w:p>
    <w:p w14:paraId="2364211C" w14:textId="2F3D799B" w:rsidR="00637A71" w:rsidRDefault="00637A71" w:rsidP="00637A71">
      <w:r>
        <w:t xml:space="preserve">ESC noted the ADAR reported an expected net saving of $240.58 per </w:t>
      </w:r>
      <w:proofErr w:type="spellStart"/>
      <w:r>
        <w:t>MINIject</w:t>
      </w:r>
      <w:proofErr w:type="spellEnd"/>
      <w:r>
        <w:t xml:space="preserve"> procedure (per patient, over 2 years), and that this was based on reduced costs from lower usage IOP-lowering medication, and from reduced medication for lower </w:t>
      </w:r>
      <w:r w:rsidRPr="008A6E9D">
        <w:rPr>
          <w:lang w:val="en-US"/>
        </w:rPr>
        <w:t xml:space="preserve">ocular surface disease </w:t>
      </w:r>
      <w:r>
        <w:rPr>
          <w:lang w:val="en-US"/>
        </w:rPr>
        <w:t>(</w:t>
      </w:r>
      <w:r>
        <w:t xml:space="preserve">OSD; dry eye disease). ESC considered that the analysis did not discuss adherence rates to IOP-lowering medications, and that the source of the quality-of-life data was uncertain. </w:t>
      </w:r>
      <w:r>
        <w:rPr>
          <w:lang w:val="en-US"/>
        </w:rPr>
        <w:t>ESC also considered that the claimed c</w:t>
      </w:r>
      <w:r w:rsidRPr="008A6E9D">
        <w:rPr>
          <w:lang w:val="en-US"/>
        </w:rPr>
        <w:t>ost</w:t>
      </w:r>
      <w:r>
        <w:rPr>
          <w:lang w:val="en-US"/>
        </w:rPr>
        <w:t>-</w:t>
      </w:r>
      <w:r w:rsidRPr="008A6E9D">
        <w:rPr>
          <w:lang w:val="en-US"/>
        </w:rPr>
        <w:t xml:space="preserve">offsets associated with reductions in </w:t>
      </w:r>
      <w:r>
        <w:rPr>
          <w:lang w:val="en-US"/>
        </w:rPr>
        <w:t>OSD</w:t>
      </w:r>
      <w:r w:rsidRPr="008A6E9D">
        <w:rPr>
          <w:lang w:val="en-US"/>
        </w:rPr>
        <w:t xml:space="preserve"> medication were uncertain</w:t>
      </w:r>
      <w:r>
        <w:rPr>
          <w:lang w:val="en-US"/>
        </w:rPr>
        <w:t>, as t</w:t>
      </w:r>
      <w:r w:rsidRPr="008A6E9D">
        <w:rPr>
          <w:lang w:val="en-US"/>
        </w:rPr>
        <w:t xml:space="preserve">here was insufficient robust evidence to support the claim that </w:t>
      </w:r>
      <w:proofErr w:type="spellStart"/>
      <w:r w:rsidRPr="008A6E9D">
        <w:rPr>
          <w:lang w:val="en-US"/>
        </w:rPr>
        <w:t>MINIject</w:t>
      </w:r>
      <w:proofErr w:type="spellEnd"/>
      <w:r w:rsidRPr="008A6E9D">
        <w:rPr>
          <w:lang w:val="en-US"/>
        </w:rPr>
        <w:t xml:space="preserve"> </w:t>
      </w:r>
      <w:r>
        <w:rPr>
          <w:lang w:val="en-US"/>
        </w:rPr>
        <w:t>reduced</w:t>
      </w:r>
      <w:r w:rsidRPr="008A6E9D">
        <w:rPr>
          <w:lang w:val="en-US"/>
        </w:rPr>
        <w:t xml:space="preserve"> OSD treatment compared with </w:t>
      </w:r>
      <w:proofErr w:type="spellStart"/>
      <w:r w:rsidRPr="008A6E9D">
        <w:rPr>
          <w:lang w:val="en-US"/>
        </w:rPr>
        <w:t>iStent</w:t>
      </w:r>
      <w:proofErr w:type="spellEnd"/>
      <w:r w:rsidRPr="008A6E9D">
        <w:rPr>
          <w:lang w:val="en-US"/>
        </w:rPr>
        <w:t>.</w:t>
      </w:r>
      <w:r>
        <w:rPr>
          <w:lang w:val="en-US"/>
        </w:rPr>
        <w:t xml:space="preserve"> </w:t>
      </w:r>
      <w:r>
        <w:t>ESC noted that the model assumed associated costs (</w:t>
      </w:r>
      <w:r w:rsidR="00F2018B">
        <w:t>e.g.,</w:t>
      </w:r>
      <w:r>
        <w:t xml:space="preserve"> consumables, anaesthesia) would be the same in both arms because </w:t>
      </w:r>
      <w:proofErr w:type="spellStart"/>
      <w:r>
        <w:t>MINIject</w:t>
      </w:r>
      <w:proofErr w:type="spellEnd"/>
      <w:r>
        <w:t xml:space="preserve"> was proposed to replace trabecular MBGS. ESC noted that</w:t>
      </w:r>
      <w:r w:rsidRPr="00555C85">
        <w:t xml:space="preserve"> the expected costs per </w:t>
      </w:r>
      <w:proofErr w:type="spellStart"/>
      <w:r w:rsidRPr="00555C85">
        <w:t>MINIject</w:t>
      </w:r>
      <w:proofErr w:type="spellEnd"/>
      <w:r w:rsidRPr="00555C85">
        <w:t xml:space="preserve"> MBGS procedure </w:t>
      </w:r>
      <w:r>
        <w:t xml:space="preserve">were uncertain due to the use of an </w:t>
      </w:r>
      <w:proofErr w:type="spellStart"/>
      <w:r>
        <w:t>en</w:t>
      </w:r>
      <w:proofErr w:type="spellEnd"/>
      <w:r>
        <w:t>-dash instead of a minus sign, but appeared to range from</w:t>
      </w:r>
      <w:r w:rsidRPr="00555C85">
        <w:t xml:space="preserve"> </w:t>
      </w:r>
      <w:r>
        <w:t xml:space="preserve">an </w:t>
      </w:r>
      <w:r w:rsidRPr="00555C85">
        <w:t xml:space="preserve">$840 </w:t>
      </w:r>
      <w:r>
        <w:t xml:space="preserve">cost-offset </w:t>
      </w:r>
      <w:r w:rsidRPr="00555C85">
        <w:t>to a</w:t>
      </w:r>
      <w:r>
        <w:t xml:space="preserve"> $175</w:t>
      </w:r>
      <w:r w:rsidRPr="00555C85">
        <w:t xml:space="preserve"> cost per patient over 2 years.</w:t>
      </w:r>
      <w:r w:rsidRPr="00F045CD">
        <w:t xml:space="preserve"> </w:t>
      </w:r>
      <w:r>
        <w:t>ESC noted the pre-ESC response stated that t</w:t>
      </w:r>
      <w:r w:rsidRPr="00F045CD">
        <w:t>he analysis of incremental saving from a reduction in OSD treatment was presented as supplementary only, with the insufficiency of robust supportive data noted.</w:t>
      </w:r>
    </w:p>
    <w:p w14:paraId="53570736" w14:textId="77777777" w:rsidR="00637A71" w:rsidRDefault="00637A71" w:rsidP="00637A71">
      <w:r>
        <w:t xml:space="preserve">ESC also noted that no systematic review of cost-effectiveness studies was presented in the ADAR, although several recent studies in Italy, Canada and Germany reported that the stent is cost-effective. ESC also considered that this demonstrated there are sufficient data available on the natural history of glaucoma, health utilities, </w:t>
      </w:r>
      <w:proofErr w:type="gramStart"/>
      <w:r>
        <w:t>costs</w:t>
      </w:r>
      <w:proofErr w:type="gramEnd"/>
      <w:r>
        <w:t xml:space="preserve"> and resources, to construct a CEA or CUA. ESC considered the literature also demonstrated that the intervention was cost-effective in other healthcare systems. ESC noted recent reviews such as Cheema &amp; Cheema 2024</w:t>
      </w:r>
      <w:r>
        <w:rPr>
          <w:rStyle w:val="FootnoteReference"/>
        </w:rPr>
        <w:footnoteReference w:id="16"/>
      </w:r>
      <w:r>
        <w:t xml:space="preserve"> had reported MIGS advances.</w:t>
      </w:r>
    </w:p>
    <w:p w14:paraId="4CBC8CDD" w14:textId="65FA6A3F" w:rsidR="00637A71" w:rsidRDefault="00637A71" w:rsidP="00637A71">
      <w:r>
        <w:t xml:space="preserve">ESC noted the applicant adopted a market-share approach to estimate financial implications, based on MBS statistics for the use of standalone procedure MBS item 42504 for insertion of the comparator </w:t>
      </w:r>
      <w:proofErr w:type="spellStart"/>
      <w:r>
        <w:t>iStent</w:t>
      </w:r>
      <w:proofErr w:type="spellEnd"/>
      <w:r>
        <w:t xml:space="preserve">. The ADAR’s anticipated uptake of MBGS using </w:t>
      </w:r>
      <w:proofErr w:type="spellStart"/>
      <w:r>
        <w:t>MINIject</w:t>
      </w:r>
      <w:proofErr w:type="spellEnd"/>
      <w:r>
        <w:t xml:space="preserve"> was </w:t>
      </w:r>
      <w:r w:rsidR="001F41E2" w:rsidRPr="00CD59ED">
        <w:rPr>
          <w:b/>
          <w:bCs/>
        </w:rPr>
        <w:t>Redacted</w:t>
      </w:r>
      <w:r>
        <w:t xml:space="preserve">% of current MBS item 42504 procedures in year 1, increasing gradually by </w:t>
      </w:r>
      <w:r w:rsidR="001F41E2" w:rsidRPr="00CD59ED">
        <w:rPr>
          <w:b/>
          <w:bCs/>
        </w:rPr>
        <w:t>Redacted</w:t>
      </w:r>
      <w:r>
        <w:t xml:space="preserve">% each year. The </w:t>
      </w:r>
      <w:r>
        <w:lastRenderedPageBreak/>
        <w:t xml:space="preserve">estimate assumed a gradual uptake as more surgeons are trained to insert </w:t>
      </w:r>
      <w:proofErr w:type="spellStart"/>
      <w:r>
        <w:t>MINIject</w:t>
      </w:r>
      <w:proofErr w:type="spellEnd"/>
      <w:r>
        <w:t>.</w:t>
      </w:r>
      <w:r w:rsidRPr="006C7B17">
        <w:t xml:space="preserve"> </w:t>
      </w:r>
      <w:r>
        <w:t>ESC considered this was reasonable. ESC noted the financial analysis was based on the 85% benefit, and considered that as this was an in-hospital procedure the 75% benefit was more appropriate.</w:t>
      </w:r>
    </w:p>
    <w:p w14:paraId="7874E9DA" w14:textId="77777777" w:rsidR="00637A71" w:rsidRDefault="00637A71" w:rsidP="00637A71">
      <w:r>
        <w:t xml:space="preserve">ESC noted that under the current assumptions that the proposed MBS fee was equal to the comparator, and patients who receive </w:t>
      </w:r>
      <w:proofErr w:type="spellStart"/>
      <w:r>
        <w:t>MINIject</w:t>
      </w:r>
      <w:proofErr w:type="spellEnd"/>
      <w:r>
        <w:t xml:space="preserve"> are simply a portion of existing patients eligible to receive a trabecular stent (</w:t>
      </w:r>
      <w:proofErr w:type="gramStart"/>
      <w:r>
        <w:t>i.e.</w:t>
      </w:r>
      <w:proofErr w:type="gramEnd"/>
      <w:r>
        <w:t xml:space="preserve"> patients opt to receive </w:t>
      </w:r>
      <w:proofErr w:type="spellStart"/>
      <w:r>
        <w:t>MINIject</w:t>
      </w:r>
      <w:proofErr w:type="spellEnd"/>
      <w:r>
        <w:t xml:space="preserve"> rather than </w:t>
      </w:r>
      <w:proofErr w:type="spellStart"/>
      <w:r>
        <w:t>iStent</w:t>
      </w:r>
      <w:proofErr w:type="spellEnd"/>
      <w:r>
        <w:t xml:space="preserve"> for example), then there would be no net financial impact to the MBS. However, ESC considered the advice from RANZCO suggested some patients may use the </w:t>
      </w:r>
      <w:proofErr w:type="spellStart"/>
      <w:r>
        <w:t>MINIject</w:t>
      </w:r>
      <w:proofErr w:type="spellEnd"/>
      <w:r>
        <w:t xml:space="preserve"> initially and then  use the </w:t>
      </w:r>
      <w:proofErr w:type="spellStart"/>
      <w:r>
        <w:t>iStent</w:t>
      </w:r>
      <w:proofErr w:type="spellEnd"/>
      <w:r>
        <w:t xml:space="preserve"> as a second-line treatment, in which case there would be a net increase in utilisation and therefore cost to the MBS (from the stenting itself as well as associated costs such as anaesthesia that would be incurred again with the second-line stent), although no data were available to quantify this impact. However as detailed above, ESC noted the conflicting advice and considered the clinical place was uncertain.</w:t>
      </w:r>
    </w:p>
    <w:p w14:paraId="5CF58E8D" w14:textId="77777777" w:rsidR="001A15FE" w:rsidRDefault="001A15FE" w:rsidP="001A15FE">
      <w:pPr>
        <w:pStyle w:val="Heading2"/>
      </w:pPr>
      <w:r>
        <w:t>17.</w:t>
      </w:r>
      <w:r>
        <w:tab/>
        <w:t>Applicant comments on MSAC’s Public Summary Document</w:t>
      </w:r>
    </w:p>
    <w:p w14:paraId="77C632A7" w14:textId="57A08F6C" w:rsidR="00377588" w:rsidRDefault="00E8790C" w:rsidP="00AE6147">
      <w:r>
        <w:t>O</w:t>
      </w:r>
      <w:r w:rsidR="00377588">
        <w:t xml:space="preserve">n behalf of the organisations and </w:t>
      </w:r>
      <w:r w:rsidR="002D6AB2">
        <w:t xml:space="preserve">medical </w:t>
      </w:r>
      <w:r w:rsidR="00DF1FFA">
        <w:t>specialists</w:t>
      </w:r>
      <w:r w:rsidR="002D6AB2">
        <w:t xml:space="preserve"> who have supported this application, and those surgeons who are already using </w:t>
      </w:r>
      <w:proofErr w:type="spellStart"/>
      <w:r w:rsidR="002D6AB2">
        <w:t>MINIject</w:t>
      </w:r>
      <w:proofErr w:type="spellEnd"/>
      <w:r w:rsidR="002D6AB2">
        <w:t xml:space="preserve"> in conjunction with cataract surgery, </w:t>
      </w:r>
      <w:r>
        <w:t xml:space="preserve">iSTAR </w:t>
      </w:r>
      <w:proofErr w:type="gramStart"/>
      <w:r>
        <w:t>Medical</w:t>
      </w:r>
      <w:proofErr w:type="gramEnd"/>
      <w:r>
        <w:t xml:space="preserve"> welcomes this news and </w:t>
      </w:r>
      <w:r w:rsidR="002D6AB2">
        <w:t>express</w:t>
      </w:r>
      <w:r>
        <w:t>es</w:t>
      </w:r>
      <w:r w:rsidR="002D6AB2">
        <w:t xml:space="preserve"> gratitude to </w:t>
      </w:r>
      <w:r w:rsidR="00377588">
        <w:t>MSAC</w:t>
      </w:r>
      <w:r w:rsidR="002D6AB2">
        <w:t xml:space="preserve"> for </w:t>
      </w:r>
      <w:r w:rsidR="00591122">
        <w:t>its</w:t>
      </w:r>
      <w:r w:rsidR="002D6AB2">
        <w:t xml:space="preserve"> positive</w:t>
      </w:r>
      <w:r w:rsidR="004518E1">
        <w:t xml:space="preserve"> recommendation for reimbursement of </w:t>
      </w:r>
      <w:r w:rsidR="00F30A46">
        <w:t xml:space="preserve">inserting </w:t>
      </w:r>
      <w:r w:rsidR="00806BA6">
        <w:t>suprachoroidal/supraciliary implants</w:t>
      </w:r>
      <w:r w:rsidR="004518E1">
        <w:t xml:space="preserve"> in a standalone procedure</w:t>
      </w:r>
      <w:r w:rsidR="00377588">
        <w:t>.</w:t>
      </w:r>
      <w:r w:rsidR="00AE6147">
        <w:t xml:space="preserve"> W</w:t>
      </w:r>
      <w:r w:rsidR="00377588">
        <w:t>e look forward to finalising the arrangements</w:t>
      </w:r>
      <w:r w:rsidR="004468D7">
        <w:t xml:space="preserve"> </w:t>
      </w:r>
      <w:r w:rsidR="00D54264">
        <w:t>so that</w:t>
      </w:r>
      <w:r w:rsidR="004468D7">
        <w:t xml:space="preserve"> </w:t>
      </w:r>
      <w:r w:rsidR="00C75005">
        <w:t>supraciliary</w:t>
      </w:r>
      <w:r w:rsidR="007706A0">
        <w:t>,</w:t>
      </w:r>
      <w:r w:rsidR="00C75005">
        <w:t xml:space="preserve"> </w:t>
      </w:r>
      <w:r w:rsidR="007706A0">
        <w:t xml:space="preserve">standalone </w:t>
      </w:r>
      <w:r w:rsidR="00377588">
        <w:t xml:space="preserve">implantation of micro-bypass glaucoma surgery </w:t>
      </w:r>
      <w:r w:rsidR="00C03A70">
        <w:t xml:space="preserve">(MBGS/MIGS) </w:t>
      </w:r>
      <w:r w:rsidR="00377588">
        <w:t xml:space="preserve">devices </w:t>
      </w:r>
      <w:r w:rsidR="00D54264">
        <w:t xml:space="preserve">may be </w:t>
      </w:r>
      <w:r w:rsidR="007A262D">
        <w:t>reimburse</w:t>
      </w:r>
      <w:r w:rsidR="00D54264">
        <w:t>d</w:t>
      </w:r>
      <w:r w:rsidR="00736261">
        <w:t xml:space="preserve"> </w:t>
      </w:r>
      <w:r w:rsidR="00C327E2">
        <w:t xml:space="preserve">under MBS </w:t>
      </w:r>
      <w:r w:rsidR="00C22214">
        <w:t>item</w:t>
      </w:r>
      <w:r w:rsidR="00C327E2">
        <w:t xml:space="preserve"> 42504</w:t>
      </w:r>
      <w:r w:rsidR="00377588">
        <w:t>.</w:t>
      </w:r>
    </w:p>
    <w:p w14:paraId="3DC41C86" w14:textId="77777777" w:rsidR="001A15FE" w:rsidRDefault="001A15FE" w:rsidP="001A15FE">
      <w:pPr>
        <w:pStyle w:val="Heading2"/>
      </w:pPr>
      <w:r>
        <w:t>18.</w:t>
      </w:r>
      <w:r>
        <w:tab/>
        <w:t>Further information on MSAC</w:t>
      </w:r>
    </w:p>
    <w:p w14:paraId="3F50F29B" w14:textId="10F869BA" w:rsidR="00637A71" w:rsidRPr="001A15FE" w:rsidRDefault="001A15FE" w:rsidP="001A15FE">
      <w:pPr>
        <w:pStyle w:val="BodyText"/>
        <w:rPr>
          <w:b/>
          <w:bCs/>
          <w:i/>
          <w:iCs/>
        </w:rPr>
      </w:pPr>
      <w:r w:rsidRPr="00F309FA">
        <w:rPr>
          <w:bCs/>
          <w:iCs/>
        </w:rPr>
        <w:t xml:space="preserve">MSAC Terms of Reference and other information are available on the MSAC Website: </w:t>
      </w:r>
      <w:hyperlink r:id="rId14" w:tooltip="Link to the MSAC website" w:history="1">
        <w:r w:rsidRPr="00F309FA">
          <w:rPr>
            <w:rStyle w:val="Hyperlink"/>
            <w:bCs/>
            <w:iCs/>
          </w:rPr>
          <w:t>visit the MSAC website</w:t>
        </w:r>
      </w:hyperlink>
    </w:p>
    <w:sectPr w:rsidR="00637A71" w:rsidRPr="001A15FE" w:rsidSect="00AD32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A1149" w14:textId="77777777" w:rsidR="001C7A11" w:rsidRDefault="001C7A11" w:rsidP="00B62DF2">
      <w:pPr>
        <w:spacing w:after="0" w:line="240" w:lineRule="auto"/>
      </w:pPr>
      <w:r>
        <w:separator/>
      </w:r>
    </w:p>
  </w:endnote>
  <w:endnote w:type="continuationSeparator" w:id="0">
    <w:p w14:paraId="51DC5B44" w14:textId="77777777" w:rsidR="001C7A11" w:rsidRDefault="001C7A11" w:rsidP="00B62DF2">
      <w:pPr>
        <w:spacing w:after="0" w:line="240" w:lineRule="auto"/>
      </w:pPr>
      <w:r>
        <w:continuationSeparator/>
      </w:r>
    </w:p>
  </w:endnote>
  <w:endnote w:type="continuationNotice" w:id="1">
    <w:p w14:paraId="39D26849" w14:textId="77777777" w:rsidR="001C7A11" w:rsidRDefault="001C7A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174C" w14:textId="7B0EC770" w:rsidR="00993FD1" w:rsidRDefault="00EC60D3" w:rsidP="002328D3">
    <w:pPr>
      <w:pStyle w:val="Footer"/>
      <w:jc w:val="right"/>
    </w:pPr>
    <w:sdt>
      <w:sdtPr>
        <w:id w:val="1665046091"/>
        <w:docPartObj>
          <w:docPartGallery w:val="Page Numbers (Bottom of Page)"/>
          <w:docPartUnique/>
        </w:docPartObj>
      </w:sdtPr>
      <w:sdtEndPr/>
      <w:sdtContent>
        <w:sdt>
          <w:sdtPr>
            <w:id w:val="307285645"/>
            <w:docPartObj>
              <w:docPartGallery w:val="Page Numbers (Top of Page)"/>
              <w:docPartUnique/>
            </w:docPartObj>
          </w:sdtPr>
          <w:sdtEndPr/>
          <w:sdtContent>
            <w:r w:rsidR="00993FD1" w:rsidRPr="00CF2BF0">
              <w:rPr>
                <w:sz w:val="24"/>
                <w:szCs w:val="24"/>
              </w:rPr>
              <w:fldChar w:fldCharType="begin"/>
            </w:r>
            <w:r w:rsidR="00993FD1" w:rsidRPr="00CF2BF0">
              <w:instrText xml:space="preserve"> PAGE </w:instrText>
            </w:r>
            <w:r w:rsidR="00993FD1" w:rsidRPr="00CF2BF0">
              <w:rPr>
                <w:sz w:val="24"/>
                <w:szCs w:val="24"/>
              </w:rPr>
              <w:fldChar w:fldCharType="separate"/>
            </w:r>
            <w:r w:rsidR="00993FD1" w:rsidRPr="00CF2BF0">
              <w:rPr>
                <w:sz w:val="24"/>
                <w:szCs w:val="24"/>
              </w:rPr>
              <w:t>14</w:t>
            </w:r>
            <w:r w:rsidR="00993FD1" w:rsidRPr="00CF2BF0">
              <w:rPr>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36EF" w14:textId="6E6977C6" w:rsidR="00993FD1" w:rsidRDefault="00EC60D3" w:rsidP="002328D3">
    <w:pPr>
      <w:pStyle w:val="Footer"/>
      <w:jc w:val="right"/>
    </w:pPr>
    <w:sdt>
      <w:sdtPr>
        <w:id w:val="1737902488"/>
        <w:docPartObj>
          <w:docPartGallery w:val="Page Numbers (Bottom of Page)"/>
          <w:docPartUnique/>
        </w:docPartObj>
      </w:sdtPr>
      <w:sdtEndPr/>
      <w:sdtContent>
        <w:sdt>
          <w:sdtPr>
            <w:id w:val="-1345387929"/>
            <w:docPartObj>
              <w:docPartGallery w:val="Page Numbers (Top of Page)"/>
              <w:docPartUnique/>
            </w:docPartObj>
          </w:sdtPr>
          <w:sdtEndPr/>
          <w:sdtContent>
            <w:r w:rsidR="00993FD1" w:rsidRPr="00CF2BF0">
              <w:rPr>
                <w:sz w:val="24"/>
                <w:szCs w:val="24"/>
              </w:rPr>
              <w:fldChar w:fldCharType="begin"/>
            </w:r>
            <w:r w:rsidR="00993FD1" w:rsidRPr="00CF2BF0">
              <w:instrText xml:space="preserve"> PAGE </w:instrText>
            </w:r>
            <w:r w:rsidR="00993FD1" w:rsidRPr="00CF2BF0">
              <w:rPr>
                <w:sz w:val="24"/>
                <w:szCs w:val="24"/>
              </w:rPr>
              <w:fldChar w:fldCharType="separate"/>
            </w:r>
            <w:r w:rsidR="00993FD1" w:rsidRPr="00CF2BF0">
              <w:rPr>
                <w:sz w:val="24"/>
                <w:szCs w:val="24"/>
              </w:rPr>
              <w:t>14</w:t>
            </w:r>
            <w:r w:rsidR="00993FD1" w:rsidRPr="00CF2BF0">
              <w:rPr>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551A2" w14:textId="77777777" w:rsidR="001C7A11" w:rsidRDefault="001C7A11" w:rsidP="00B62DF2">
      <w:pPr>
        <w:spacing w:after="0" w:line="240" w:lineRule="auto"/>
      </w:pPr>
      <w:r>
        <w:separator/>
      </w:r>
    </w:p>
  </w:footnote>
  <w:footnote w:type="continuationSeparator" w:id="0">
    <w:p w14:paraId="0223FEC2" w14:textId="77777777" w:rsidR="001C7A11" w:rsidRDefault="001C7A11" w:rsidP="00B62DF2">
      <w:pPr>
        <w:spacing w:after="0" w:line="240" w:lineRule="auto"/>
      </w:pPr>
      <w:r>
        <w:continuationSeparator/>
      </w:r>
    </w:p>
  </w:footnote>
  <w:footnote w:type="continuationNotice" w:id="1">
    <w:p w14:paraId="6F7B6047" w14:textId="77777777" w:rsidR="001C7A11" w:rsidRDefault="001C7A11">
      <w:pPr>
        <w:spacing w:before="0" w:after="0" w:line="240" w:lineRule="auto"/>
      </w:pPr>
    </w:p>
  </w:footnote>
  <w:footnote w:id="2">
    <w:p w14:paraId="4D0EB127" w14:textId="04E3C66B" w:rsidR="000B6F59" w:rsidRPr="00CA64B4" w:rsidRDefault="000B6F59" w:rsidP="00036AE7">
      <w:pPr>
        <w:pStyle w:val="FootnoteText"/>
        <w:spacing w:before="0"/>
        <w:rPr>
          <w:rFonts w:ascii="Arial Narrow" w:hAnsi="Arial Narrow" w:cs="Arial"/>
          <w:szCs w:val="22"/>
        </w:rPr>
      </w:pPr>
      <w:r w:rsidRPr="00CA64B4">
        <w:rPr>
          <w:rFonts w:ascii="Arial Narrow" w:hAnsi="Arial Narrow" w:cs="Arial"/>
          <w:szCs w:val="22"/>
        </w:rPr>
        <w:footnoteRef/>
      </w:r>
      <w:r w:rsidRPr="0091517D">
        <w:rPr>
          <w:rFonts w:ascii="Arial Narrow" w:hAnsi="Arial Narrow" w:cs="Arial"/>
          <w:szCs w:val="22"/>
          <w:lang w:val="fr-BE"/>
        </w:rPr>
        <w:t xml:space="preserve"> </w:t>
      </w:r>
      <w:proofErr w:type="spellStart"/>
      <w:r w:rsidR="00CA64B4" w:rsidRPr="0091517D">
        <w:rPr>
          <w:rFonts w:ascii="Arial Narrow" w:hAnsi="Arial Narrow" w:cs="Arial"/>
          <w:szCs w:val="22"/>
          <w:lang w:val="fr-BE"/>
        </w:rPr>
        <w:t>Voskanyan</w:t>
      </w:r>
      <w:proofErr w:type="spellEnd"/>
      <w:r w:rsidR="00CA64B4" w:rsidRPr="0091517D">
        <w:rPr>
          <w:rFonts w:ascii="Arial Narrow" w:hAnsi="Arial Narrow" w:cs="Arial"/>
          <w:szCs w:val="22"/>
          <w:lang w:val="fr-BE"/>
        </w:rPr>
        <w:t xml:space="preserve"> L, García-</w:t>
      </w:r>
      <w:proofErr w:type="spellStart"/>
      <w:r w:rsidR="00CA64B4" w:rsidRPr="0091517D">
        <w:rPr>
          <w:rFonts w:ascii="Arial Narrow" w:hAnsi="Arial Narrow" w:cs="Arial"/>
          <w:szCs w:val="22"/>
          <w:lang w:val="fr-BE"/>
        </w:rPr>
        <w:t>Feijoó</w:t>
      </w:r>
      <w:proofErr w:type="spellEnd"/>
      <w:r w:rsidR="00CA64B4" w:rsidRPr="0091517D">
        <w:rPr>
          <w:rFonts w:ascii="Arial Narrow" w:hAnsi="Arial Narrow" w:cs="Arial"/>
          <w:szCs w:val="22"/>
          <w:lang w:val="fr-BE"/>
        </w:rPr>
        <w:t xml:space="preserve"> J, </w:t>
      </w:r>
      <w:proofErr w:type="spellStart"/>
      <w:r w:rsidR="00CA64B4" w:rsidRPr="0091517D">
        <w:rPr>
          <w:rFonts w:ascii="Arial Narrow" w:hAnsi="Arial Narrow" w:cs="Arial"/>
          <w:szCs w:val="22"/>
          <w:lang w:val="fr-BE"/>
        </w:rPr>
        <w:t>Belda</w:t>
      </w:r>
      <w:proofErr w:type="spellEnd"/>
      <w:r w:rsidR="00CA64B4" w:rsidRPr="0091517D">
        <w:rPr>
          <w:rFonts w:ascii="Arial Narrow" w:hAnsi="Arial Narrow" w:cs="Arial"/>
          <w:szCs w:val="22"/>
          <w:lang w:val="fr-BE"/>
        </w:rPr>
        <w:t xml:space="preserve"> JI, et al. </w:t>
      </w:r>
      <w:r w:rsidR="00CA64B4" w:rsidRPr="00CA64B4">
        <w:rPr>
          <w:rFonts w:ascii="Arial Narrow" w:hAnsi="Arial Narrow" w:cs="Arial"/>
          <w:szCs w:val="22"/>
        </w:rPr>
        <w:t xml:space="preserve">Prospective, unmasked evaluation of the </w:t>
      </w:r>
      <w:proofErr w:type="spellStart"/>
      <w:r w:rsidR="00CA64B4" w:rsidRPr="00CA64B4">
        <w:rPr>
          <w:rFonts w:ascii="Arial Narrow" w:hAnsi="Arial Narrow" w:cs="Arial"/>
          <w:szCs w:val="22"/>
        </w:rPr>
        <w:t>iStent</w:t>
      </w:r>
      <w:proofErr w:type="spellEnd"/>
      <w:r w:rsidR="00CA64B4" w:rsidRPr="00CA64B4">
        <w:rPr>
          <w:rFonts w:ascii="Arial Narrow" w:hAnsi="Arial Narrow" w:cs="Arial"/>
          <w:szCs w:val="22"/>
        </w:rPr>
        <w:t xml:space="preserve">® inject system for open-angle glaucoma: synergy trial. Adv </w:t>
      </w:r>
      <w:proofErr w:type="spellStart"/>
      <w:r w:rsidR="00CA64B4" w:rsidRPr="00CA64B4">
        <w:rPr>
          <w:rFonts w:ascii="Arial Narrow" w:hAnsi="Arial Narrow" w:cs="Arial"/>
          <w:szCs w:val="22"/>
        </w:rPr>
        <w:t>Ther</w:t>
      </w:r>
      <w:proofErr w:type="spellEnd"/>
      <w:r w:rsidR="00CA64B4" w:rsidRPr="00CA64B4">
        <w:rPr>
          <w:rFonts w:ascii="Arial Narrow" w:hAnsi="Arial Narrow" w:cs="Arial"/>
          <w:szCs w:val="22"/>
        </w:rPr>
        <w:t xml:space="preserve"> 2014;31(2):189-201.</w:t>
      </w:r>
    </w:p>
  </w:footnote>
  <w:footnote w:id="3">
    <w:p w14:paraId="3DE8086C" w14:textId="3498BE26" w:rsidR="00CA64B4" w:rsidRDefault="00CA64B4" w:rsidP="00036AE7">
      <w:pPr>
        <w:pStyle w:val="Tablenotes0"/>
        <w:spacing w:before="0" w:after="0"/>
      </w:pPr>
      <w:r w:rsidRPr="00CA64B4">
        <w:footnoteRef/>
      </w:r>
      <w:r>
        <w:t xml:space="preserve"> </w:t>
      </w:r>
      <w:proofErr w:type="spellStart"/>
      <w:r w:rsidRPr="008A6895">
        <w:t>Hengerer</w:t>
      </w:r>
      <w:proofErr w:type="spellEnd"/>
      <w:r w:rsidRPr="008A6895">
        <w:t xml:space="preserve"> FH, </w:t>
      </w:r>
      <w:proofErr w:type="spellStart"/>
      <w:r w:rsidRPr="008A6895">
        <w:t>Auffarth</w:t>
      </w:r>
      <w:proofErr w:type="spellEnd"/>
      <w:r w:rsidRPr="008A6895">
        <w:t xml:space="preserve"> GU, </w:t>
      </w:r>
      <w:proofErr w:type="spellStart"/>
      <w:r w:rsidRPr="008A6895">
        <w:t>Riffel</w:t>
      </w:r>
      <w:proofErr w:type="spellEnd"/>
      <w:r w:rsidRPr="008A6895">
        <w:t xml:space="preserve"> C, et al. Second-Generation Trabecular Micro-Bypass Stents as Standalone Treatment for Glaucoma: A 36-Month Prospective Study. Adv </w:t>
      </w:r>
      <w:proofErr w:type="spellStart"/>
      <w:r w:rsidRPr="008A6895">
        <w:t>Ther</w:t>
      </w:r>
      <w:proofErr w:type="spellEnd"/>
      <w:r w:rsidRPr="008A6895">
        <w:t xml:space="preserve"> 2019;36(7):1606-17</w:t>
      </w:r>
      <w:r>
        <w:t>.</w:t>
      </w:r>
    </w:p>
  </w:footnote>
  <w:footnote w:id="4">
    <w:p w14:paraId="6F5B6EFC" w14:textId="2DC1A491" w:rsidR="00CA64B4" w:rsidRPr="00CA64B4" w:rsidRDefault="00CA64B4" w:rsidP="00036AE7">
      <w:pPr>
        <w:pStyle w:val="FootnoteText"/>
        <w:spacing w:before="0"/>
        <w:rPr>
          <w:rFonts w:ascii="Arial Narrow" w:hAnsi="Arial Narrow" w:cs="Arial"/>
          <w:szCs w:val="22"/>
        </w:rPr>
      </w:pPr>
      <w:r w:rsidRPr="00CA64B4">
        <w:rPr>
          <w:rFonts w:ascii="Arial Narrow" w:hAnsi="Arial Narrow" w:cs="Arial"/>
          <w:szCs w:val="22"/>
        </w:rPr>
        <w:footnoteRef/>
      </w:r>
      <w:r w:rsidRPr="00CA64B4">
        <w:rPr>
          <w:rFonts w:ascii="Arial Narrow" w:hAnsi="Arial Narrow" w:cs="Arial"/>
          <w:szCs w:val="22"/>
        </w:rPr>
        <w:t xml:space="preserve"> </w:t>
      </w:r>
      <w:proofErr w:type="spellStart"/>
      <w:r w:rsidRPr="00CA64B4">
        <w:rPr>
          <w:rFonts w:ascii="Arial Narrow" w:hAnsi="Arial Narrow" w:cs="Arial"/>
          <w:szCs w:val="22"/>
        </w:rPr>
        <w:t>Hengerer</w:t>
      </w:r>
      <w:proofErr w:type="spellEnd"/>
      <w:r w:rsidRPr="00CA64B4">
        <w:rPr>
          <w:rFonts w:ascii="Arial Narrow" w:hAnsi="Arial Narrow" w:cs="Arial"/>
          <w:szCs w:val="22"/>
        </w:rPr>
        <w:t xml:space="preserve"> FH, </w:t>
      </w:r>
      <w:proofErr w:type="spellStart"/>
      <w:r w:rsidRPr="00CA64B4">
        <w:rPr>
          <w:rFonts w:ascii="Arial Narrow" w:hAnsi="Arial Narrow" w:cs="Arial"/>
          <w:szCs w:val="22"/>
        </w:rPr>
        <w:t>Auffarth</w:t>
      </w:r>
      <w:proofErr w:type="spellEnd"/>
      <w:r w:rsidRPr="00CA64B4">
        <w:rPr>
          <w:rFonts w:ascii="Arial Narrow" w:hAnsi="Arial Narrow" w:cs="Arial"/>
          <w:szCs w:val="22"/>
        </w:rPr>
        <w:t xml:space="preserve"> GU, Conrad-</w:t>
      </w:r>
      <w:proofErr w:type="spellStart"/>
      <w:r w:rsidRPr="00CA64B4">
        <w:rPr>
          <w:rFonts w:ascii="Arial Narrow" w:hAnsi="Arial Narrow" w:cs="Arial"/>
          <w:szCs w:val="22"/>
        </w:rPr>
        <w:t>Hengerer</w:t>
      </w:r>
      <w:proofErr w:type="spellEnd"/>
      <w:r w:rsidRPr="00CA64B4">
        <w:rPr>
          <w:rFonts w:ascii="Arial Narrow" w:hAnsi="Arial Narrow" w:cs="Arial"/>
          <w:szCs w:val="22"/>
        </w:rPr>
        <w:t xml:space="preserve"> I. </w:t>
      </w:r>
      <w:proofErr w:type="spellStart"/>
      <w:r w:rsidRPr="00CA64B4">
        <w:rPr>
          <w:rFonts w:ascii="Arial Narrow" w:hAnsi="Arial Narrow" w:cs="Arial"/>
          <w:szCs w:val="22"/>
        </w:rPr>
        <w:t>iStent</w:t>
      </w:r>
      <w:proofErr w:type="spellEnd"/>
      <w:r w:rsidRPr="00CA64B4">
        <w:rPr>
          <w:rFonts w:ascii="Arial Narrow" w:hAnsi="Arial Narrow" w:cs="Arial"/>
          <w:szCs w:val="22"/>
        </w:rPr>
        <w:t xml:space="preserve"> inject Trabecular Micro-Bypass with or Without Cataract Surgery Yields Sustained 5-Year Glaucoma Control. Adv </w:t>
      </w:r>
      <w:proofErr w:type="spellStart"/>
      <w:r w:rsidRPr="00CA64B4">
        <w:rPr>
          <w:rFonts w:ascii="Arial Narrow" w:hAnsi="Arial Narrow" w:cs="Arial"/>
          <w:szCs w:val="22"/>
        </w:rPr>
        <w:t>Ther</w:t>
      </w:r>
      <w:proofErr w:type="spellEnd"/>
      <w:r w:rsidRPr="00CA64B4">
        <w:rPr>
          <w:rFonts w:ascii="Arial Narrow" w:hAnsi="Arial Narrow" w:cs="Arial"/>
          <w:szCs w:val="22"/>
        </w:rPr>
        <w:t xml:space="preserve"> 2022;39(3):1417-31.</w:t>
      </w:r>
    </w:p>
  </w:footnote>
  <w:footnote w:id="5">
    <w:p w14:paraId="6A16C209" w14:textId="47DE4D82" w:rsidR="00CA64B4" w:rsidRPr="00CA64B4" w:rsidRDefault="00CA64B4" w:rsidP="00036AE7">
      <w:pPr>
        <w:pStyle w:val="FootnoteText"/>
        <w:spacing w:before="0"/>
        <w:rPr>
          <w:rFonts w:ascii="Arial Narrow" w:hAnsi="Arial Narrow" w:cs="Arial"/>
          <w:szCs w:val="22"/>
        </w:rPr>
      </w:pPr>
      <w:r w:rsidRPr="00CA64B4">
        <w:rPr>
          <w:rFonts w:ascii="Arial Narrow" w:hAnsi="Arial Narrow" w:cs="Arial"/>
          <w:szCs w:val="22"/>
        </w:rPr>
        <w:footnoteRef/>
      </w:r>
      <w:r w:rsidRPr="00CA64B4">
        <w:rPr>
          <w:rFonts w:ascii="Arial Narrow" w:hAnsi="Arial Narrow" w:cs="Arial"/>
          <w:szCs w:val="22"/>
        </w:rPr>
        <w:t xml:space="preserve"> Lindstrom R, Sarkisian SR, Lewis R, et al. Four-Year Outcomes of Two Second-Generation Trabecular Micro-Bypass Stents in Patients with Open-Angle Glaucoma on One Medication. Clin </w:t>
      </w:r>
      <w:proofErr w:type="spellStart"/>
      <w:r w:rsidRPr="00CA64B4">
        <w:rPr>
          <w:rFonts w:ascii="Arial Narrow" w:hAnsi="Arial Narrow" w:cs="Arial"/>
          <w:szCs w:val="22"/>
        </w:rPr>
        <w:t>Ophthalmol</w:t>
      </w:r>
      <w:proofErr w:type="spellEnd"/>
      <w:r w:rsidRPr="00CA64B4">
        <w:rPr>
          <w:rFonts w:ascii="Arial Narrow" w:hAnsi="Arial Narrow" w:cs="Arial"/>
          <w:szCs w:val="22"/>
        </w:rPr>
        <w:t xml:space="preserve"> </w:t>
      </w:r>
      <w:proofErr w:type="gramStart"/>
      <w:r w:rsidRPr="00CA64B4">
        <w:rPr>
          <w:rFonts w:ascii="Arial Narrow" w:hAnsi="Arial Narrow" w:cs="Arial"/>
          <w:szCs w:val="22"/>
        </w:rPr>
        <w:t>2020;14:71</w:t>
      </w:r>
      <w:proofErr w:type="gramEnd"/>
      <w:r w:rsidRPr="00CA64B4">
        <w:rPr>
          <w:rFonts w:ascii="Arial Narrow" w:hAnsi="Arial Narrow" w:cs="Arial"/>
          <w:szCs w:val="22"/>
        </w:rPr>
        <w:t>-80.</w:t>
      </w:r>
    </w:p>
  </w:footnote>
  <w:footnote w:id="6">
    <w:p w14:paraId="712A564C" w14:textId="0221E628" w:rsidR="00CA64B4" w:rsidRPr="00CA64B4" w:rsidRDefault="00CA64B4" w:rsidP="00036AE7">
      <w:pPr>
        <w:pStyle w:val="FootnoteText"/>
        <w:spacing w:before="0"/>
        <w:rPr>
          <w:rFonts w:ascii="Arial Narrow" w:hAnsi="Arial Narrow" w:cs="Arial"/>
          <w:szCs w:val="22"/>
        </w:rPr>
      </w:pPr>
      <w:r w:rsidRPr="00CA64B4">
        <w:rPr>
          <w:rFonts w:ascii="Arial Narrow" w:hAnsi="Arial Narrow" w:cs="Arial"/>
          <w:szCs w:val="22"/>
        </w:rPr>
        <w:footnoteRef/>
      </w:r>
      <w:r w:rsidRPr="00CA64B4">
        <w:rPr>
          <w:rFonts w:ascii="Arial Narrow" w:hAnsi="Arial Narrow" w:cs="Arial"/>
          <w:szCs w:val="22"/>
        </w:rPr>
        <w:t xml:space="preserve"> </w:t>
      </w:r>
      <w:proofErr w:type="spellStart"/>
      <w:r w:rsidRPr="00CA64B4">
        <w:rPr>
          <w:rFonts w:ascii="Arial Narrow" w:hAnsi="Arial Narrow" w:cs="Arial"/>
          <w:szCs w:val="22"/>
        </w:rPr>
        <w:t>Arnljots</w:t>
      </w:r>
      <w:proofErr w:type="spellEnd"/>
      <w:r w:rsidRPr="00CA64B4">
        <w:rPr>
          <w:rFonts w:ascii="Arial Narrow" w:hAnsi="Arial Narrow" w:cs="Arial"/>
          <w:szCs w:val="22"/>
        </w:rPr>
        <w:t xml:space="preserve"> TS, Economou MA. </w:t>
      </w:r>
      <w:proofErr w:type="spellStart"/>
      <w:r w:rsidRPr="00CA64B4">
        <w:rPr>
          <w:rFonts w:ascii="Arial Narrow" w:hAnsi="Arial Narrow" w:cs="Arial"/>
          <w:szCs w:val="22"/>
        </w:rPr>
        <w:t>Kahook</w:t>
      </w:r>
      <w:proofErr w:type="spellEnd"/>
      <w:r w:rsidRPr="00CA64B4">
        <w:rPr>
          <w:rFonts w:ascii="Arial Narrow" w:hAnsi="Arial Narrow" w:cs="Arial"/>
          <w:szCs w:val="22"/>
        </w:rPr>
        <w:t xml:space="preserve"> Dual Blade Goniotomy vs </w:t>
      </w:r>
      <w:proofErr w:type="spellStart"/>
      <w:r w:rsidRPr="00CA64B4">
        <w:rPr>
          <w:rFonts w:ascii="Arial Narrow" w:hAnsi="Arial Narrow" w:cs="Arial"/>
          <w:szCs w:val="22"/>
        </w:rPr>
        <w:t>iStent</w:t>
      </w:r>
      <w:proofErr w:type="spellEnd"/>
      <w:r w:rsidRPr="00CA64B4">
        <w:rPr>
          <w:rFonts w:ascii="Arial Narrow" w:hAnsi="Arial Narrow" w:cs="Arial"/>
          <w:szCs w:val="22"/>
        </w:rPr>
        <w:t xml:space="preserve"> inject: Long-Term Results in Patients with Open-Angle Glaucoma. Clin </w:t>
      </w:r>
      <w:proofErr w:type="spellStart"/>
      <w:r w:rsidRPr="00CA64B4">
        <w:rPr>
          <w:rFonts w:ascii="Arial Narrow" w:hAnsi="Arial Narrow" w:cs="Arial"/>
          <w:szCs w:val="22"/>
        </w:rPr>
        <w:t>Ophthalmol</w:t>
      </w:r>
      <w:proofErr w:type="spellEnd"/>
      <w:r w:rsidRPr="00CA64B4">
        <w:rPr>
          <w:rFonts w:ascii="Arial Narrow" w:hAnsi="Arial Narrow" w:cs="Arial"/>
          <w:szCs w:val="22"/>
        </w:rPr>
        <w:t xml:space="preserve"> </w:t>
      </w:r>
      <w:proofErr w:type="gramStart"/>
      <w:r w:rsidRPr="00CA64B4">
        <w:rPr>
          <w:rFonts w:ascii="Arial Narrow" w:hAnsi="Arial Narrow" w:cs="Arial"/>
          <w:szCs w:val="22"/>
        </w:rPr>
        <w:t>2021;15:541</w:t>
      </w:r>
      <w:proofErr w:type="gramEnd"/>
      <w:r w:rsidRPr="00CA64B4">
        <w:rPr>
          <w:rFonts w:ascii="Arial Narrow" w:hAnsi="Arial Narrow" w:cs="Arial"/>
          <w:szCs w:val="22"/>
        </w:rPr>
        <w:t>-50.</w:t>
      </w:r>
    </w:p>
  </w:footnote>
  <w:footnote w:id="7">
    <w:p w14:paraId="65ABCD63" w14:textId="04A898C5" w:rsidR="00242C11" w:rsidRPr="00242C11" w:rsidRDefault="00242C11" w:rsidP="00036AE7">
      <w:pPr>
        <w:pStyle w:val="FootnoteText"/>
        <w:spacing w:before="0"/>
        <w:rPr>
          <w:rFonts w:ascii="Arial Narrow" w:hAnsi="Arial Narrow" w:cs="Arial"/>
          <w:szCs w:val="22"/>
        </w:rPr>
      </w:pPr>
      <w:r w:rsidRPr="00242C11">
        <w:rPr>
          <w:rFonts w:ascii="Arial Narrow" w:hAnsi="Arial Narrow" w:cs="Arial"/>
          <w:szCs w:val="22"/>
        </w:rPr>
        <w:footnoteRef/>
      </w:r>
      <w:r w:rsidRPr="00242C11">
        <w:rPr>
          <w:rFonts w:ascii="Arial Narrow" w:hAnsi="Arial Narrow" w:cs="Arial"/>
          <w:szCs w:val="22"/>
        </w:rPr>
        <w:t xml:space="preserve"> </w:t>
      </w:r>
      <w:proofErr w:type="spellStart"/>
      <w:r w:rsidRPr="00242C11">
        <w:rPr>
          <w:rFonts w:ascii="Arial Narrow" w:hAnsi="Arial Narrow" w:cs="Arial"/>
          <w:szCs w:val="22"/>
        </w:rPr>
        <w:t>Pahlitzsch</w:t>
      </w:r>
      <w:proofErr w:type="spellEnd"/>
      <w:r w:rsidRPr="00242C11">
        <w:rPr>
          <w:rFonts w:ascii="Arial Narrow" w:hAnsi="Arial Narrow" w:cs="Arial"/>
          <w:szCs w:val="22"/>
        </w:rPr>
        <w:t xml:space="preserve"> M, Davids AM, </w:t>
      </w:r>
      <w:proofErr w:type="spellStart"/>
      <w:r w:rsidRPr="00242C11">
        <w:rPr>
          <w:rFonts w:ascii="Arial Narrow" w:hAnsi="Arial Narrow" w:cs="Arial"/>
          <w:szCs w:val="22"/>
        </w:rPr>
        <w:t>Winterhalter</w:t>
      </w:r>
      <w:proofErr w:type="spellEnd"/>
      <w:r w:rsidRPr="00242C11">
        <w:rPr>
          <w:rFonts w:ascii="Arial Narrow" w:hAnsi="Arial Narrow" w:cs="Arial"/>
          <w:szCs w:val="22"/>
        </w:rPr>
        <w:t xml:space="preserve"> S, et al. Selective Laser Trabeculoplasty Versus MIGS: Forgotten Art or First-Step Procedure in Selected Patients with Open-Angle Glaucoma. </w:t>
      </w:r>
      <w:proofErr w:type="spellStart"/>
      <w:r w:rsidRPr="00242C11">
        <w:rPr>
          <w:rFonts w:ascii="Arial Narrow" w:hAnsi="Arial Narrow" w:cs="Arial"/>
          <w:szCs w:val="22"/>
        </w:rPr>
        <w:t>Ophthalmol</w:t>
      </w:r>
      <w:proofErr w:type="spellEnd"/>
      <w:r w:rsidRPr="00242C11">
        <w:rPr>
          <w:rFonts w:ascii="Arial Narrow" w:hAnsi="Arial Narrow" w:cs="Arial"/>
          <w:szCs w:val="22"/>
        </w:rPr>
        <w:t xml:space="preserve"> </w:t>
      </w:r>
      <w:proofErr w:type="spellStart"/>
      <w:r w:rsidRPr="00242C11">
        <w:rPr>
          <w:rFonts w:ascii="Arial Narrow" w:hAnsi="Arial Narrow" w:cs="Arial"/>
          <w:szCs w:val="22"/>
        </w:rPr>
        <w:t>Ther</w:t>
      </w:r>
      <w:proofErr w:type="spellEnd"/>
      <w:r w:rsidRPr="00242C11">
        <w:rPr>
          <w:rFonts w:ascii="Arial Narrow" w:hAnsi="Arial Narrow" w:cs="Arial"/>
          <w:szCs w:val="22"/>
        </w:rPr>
        <w:t xml:space="preserve"> 2021;10(3):509-24.</w:t>
      </w:r>
    </w:p>
  </w:footnote>
  <w:footnote w:id="8">
    <w:p w14:paraId="1B457EDD" w14:textId="4FBFD13A" w:rsidR="00242C11" w:rsidRDefault="00242C11" w:rsidP="00036AE7">
      <w:pPr>
        <w:pStyle w:val="FootnoteText"/>
        <w:spacing w:before="0"/>
      </w:pPr>
      <w:r w:rsidRPr="00242C11">
        <w:rPr>
          <w:rFonts w:ascii="Arial Narrow" w:hAnsi="Arial Narrow" w:cs="Arial"/>
          <w:szCs w:val="22"/>
        </w:rPr>
        <w:footnoteRef/>
      </w:r>
      <w:r w:rsidRPr="00242C11">
        <w:rPr>
          <w:rFonts w:ascii="Arial Narrow" w:hAnsi="Arial Narrow" w:cs="Arial"/>
          <w:szCs w:val="22"/>
        </w:rPr>
        <w:t xml:space="preserve"> Katz LJ, </w:t>
      </w:r>
      <w:proofErr w:type="spellStart"/>
      <w:r w:rsidRPr="00242C11">
        <w:rPr>
          <w:rFonts w:ascii="Arial Narrow" w:hAnsi="Arial Narrow" w:cs="Arial"/>
          <w:szCs w:val="22"/>
        </w:rPr>
        <w:t>Erb</w:t>
      </w:r>
      <w:proofErr w:type="spellEnd"/>
      <w:r w:rsidRPr="00242C11">
        <w:rPr>
          <w:rFonts w:ascii="Arial Narrow" w:hAnsi="Arial Narrow" w:cs="Arial"/>
          <w:szCs w:val="22"/>
        </w:rPr>
        <w:t xml:space="preserve"> C, </w:t>
      </w:r>
      <w:proofErr w:type="spellStart"/>
      <w:r w:rsidRPr="00242C11">
        <w:rPr>
          <w:rFonts w:ascii="Arial Narrow" w:hAnsi="Arial Narrow" w:cs="Arial"/>
          <w:szCs w:val="22"/>
        </w:rPr>
        <w:t>Carceller</w:t>
      </w:r>
      <w:proofErr w:type="spellEnd"/>
      <w:r w:rsidRPr="00242C11">
        <w:rPr>
          <w:rFonts w:ascii="Arial Narrow" w:hAnsi="Arial Narrow" w:cs="Arial"/>
          <w:szCs w:val="22"/>
        </w:rPr>
        <w:t xml:space="preserve"> </w:t>
      </w:r>
      <w:proofErr w:type="spellStart"/>
      <w:r w:rsidRPr="00242C11">
        <w:rPr>
          <w:rFonts w:ascii="Arial Narrow" w:hAnsi="Arial Narrow" w:cs="Arial"/>
          <w:szCs w:val="22"/>
        </w:rPr>
        <w:t>Guillamet</w:t>
      </w:r>
      <w:proofErr w:type="spellEnd"/>
      <w:r w:rsidRPr="00242C11">
        <w:rPr>
          <w:rFonts w:ascii="Arial Narrow" w:hAnsi="Arial Narrow" w:cs="Arial"/>
          <w:szCs w:val="22"/>
        </w:rPr>
        <w:t xml:space="preserve"> A, et al. Long-term titrated IOP control with one, two, or three trabecular micro-bypass stents in open-angle glaucoma subjects on topical hypotensive medication: 42-month outcomes. Clin </w:t>
      </w:r>
      <w:proofErr w:type="spellStart"/>
      <w:r w:rsidRPr="00242C11">
        <w:rPr>
          <w:rFonts w:ascii="Arial Narrow" w:hAnsi="Arial Narrow" w:cs="Arial"/>
          <w:szCs w:val="22"/>
        </w:rPr>
        <w:t>Ophthalmol</w:t>
      </w:r>
      <w:proofErr w:type="spellEnd"/>
      <w:r w:rsidRPr="00242C11">
        <w:rPr>
          <w:rFonts w:ascii="Arial Narrow" w:hAnsi="Arial Narrow" w:cs="Arial"/>
          <w:szCs w:val="22"/>
        </w:rPr>
        <w:t xml:space="preserve"> </w:t>
      </w:r>
      <w:proofErr w:type="gramStart"/>
      <w:r w:rsidRPr="00242C11">
        <w:rPr>
          <w:rFonts w:ascii="Arial Narrow" w:hAnsi="Arial Narrow" w:cs="Arial"/>
          <w:szCs w:val="22"/>
        </w:rPr>
        <w:t>2018;12:255</w:t>
      </w:r>
      <w:proofErr w:type="gramEnd"/>
      <w:r w:rsidRPr="00242C11">
        <w:rPr>
          <w:rFonts w:ascii="Arial Narrow" w:hAnsi="Arial Narrow" w:cs="Arial"/>
          <w:szCs w:val="22"/>
        </w:rPr>
        <w:t>-62.</w:t>
      </w:r>
    </w:p>
  </w:footnote>
  <w:footnote w:id="9">
    <w:p w14:paraId="72E4340B" w14:textId="2E198982" w:rsidR="00242C11" w:rsidRDefault="00242C11" w:rsidP="00036AE7">
      <w:pPr>
        <w:pStyle w:val="FootnoteText"/>
        <w:spacing w:before="0"/>
      </w:pPr>
      <w:r w:rsidRPr="00242C11">
        <w:rPr>
          <w:rFonts w:ascii="Arial Narrow" w:hAnsi="Arial Narrow" w:cs="Arial"/>
          <w:szCs w:val="22"/>
        </w:rPr>
        <w:footnoteRef/>
      </w:r>
      <w:r w:rsidRPr="00242C11">
        <w:rPr>
          <w:rFonts w:ascii="Arial Narrow" w:hAnsi="Arial Narrow" w:cs="Arial"/>
          <w:szCs w:val="22"/>
        </w:rPr>
        <w:t xml:space="preserve"> Ahmed IIK, </w:t>
      </w:r>
      <w:proofErr w:type="spellStart"/>
      <w:r w:rsidRPr="00242C11">
        <w:rPr>
          <w:rFonts w:ascii="Arial Narrow" w:hAnsi="Arial Narrow" w:cs="Arial"/>
          <w:szCs w:val="22"/>
        </w:rPr>
        <w:t>Fea</w:t>
      </w:r>
      <w:proofErr w:type="spellEnd"/>
      <w:r w:rsidRPr="00242C11">
        <w:rPr>
          <w:rFonts w:ascii="Arial Narrow" w:hAnsi="Arial Narrow" w:cs="Arial"/>
          <w:szCs w:val="22"/>
        </w:rPr>
        <w:t xml:space="preserve"> A, Au L, et al. A Prospective Randomized Trial Comparing Hydrus and </w:t>
      </w:r>
      <w:proofErr w:type="spellStart"/>
      <w:r w:rsidRPr="00242C11">
        <w:rPr>
          <w:rFonts w:ascii="Arial Narrow" w:hAnsi="Arial Narrow" w:cs="Arial"/>
          <w:szCs w:val="22"/>
        </w:rPr>
        <w:t>iStent</w:t>
      </w:r>
      <w:proofErr w:type="spellEnd"/>
      <w:r w:rsidRPr="00242C11">
        <w:rPr>
          <w:rFonts w:ascii="Arial Narrow" w:hAnsi="Arial Narrow" w:cs="Arial"/>
          <w:szCs w:val="22"/>
        </w:rPr>
        <w:t xml:space="preserve"> Microinvasive Glaucoma Surgery Implants for Standalone Treatment of Open-Angle Glaucoma: The COMPARE Study. Ophthalmology 2020;127(1):52-61.</w:t>
      </w:r>
    </w:p>
  </w:footnote>
  <w:footnote w:id="10">
    <w:p w14:paraId="11552DB8" w14:textId="5231341D" w:rsidR="008755C1" w:rsidRPr="005912A9" w:rsidRDefault="008755C1" w:rsidP="00036AE7">
      <w:pPr>
        <w:pStyle w:val="FootnoteText"/>
        <w:spacing w:before="0"/>
        <w:rPr>
          <w:rFonts w:ascii="Arial Narrow" w:hAnsi="Arial Narrow" w:cs="Arial"/>
          <w:szCs w:val="22"/>
        </w:rPr>
      </w:pPr>
      <w:r w:rsidRPr="005912A9">
        <w:rPr>
          <w:rFonts w:ascii="Arial Narrow" w:hAnsi="Arial Narrow" w:cs="Arial"/>
          <w:szCs w:val="22"/>
        </w:rPr>
        <w:footnoteRef/>
      </w:r>
      <w:r w:rsidRPr="005912A9">
        <w:rPr>
          <w:rFonts w:ascii="Arial Narrow" w:hAnsi="Arial Narrow" w:cs="Arial"/>
          <w:szCs w:val="22"/>
        </w:rPr>
        <w:t xml:space="preserve"> Denis P, </w:t>
      </w:r>
      <w:proofErr w:type="spellStart"/>
      <w:r w:rsidRPr="005912A9">
        <w:rPr>
          <w:rFonts w:ascii="Arial Narrow" w:hAnsi="Arial Narrow" w:cs="Arial"/>
          <w:szCs w:val="22"/>
        </w:rPr>
        <w:t>Hirneiß</w:t>
      </w:r>
      <w:proofErr w:type="spellEnd"/>
      <w:r w:rsidRPr="005912A9">
        <w:rPr>
          <w:rFonts w:ascii="Arial Narrow" w:hAnsi="Arial Narrow" w:cs="Arial"/>
          <w:szCs w:val="22"/>
        </w:rPr>
        <w:t xml:space="preserve"> C, Reddy KP, et al. A First-in-Human Study of the Efficacy and Safety of </w:t>
      </w:r>
      <w:proofErr w:type="spellStart"/>
      <w:r w:rsidRPr="005912A9">
        <w:rPr>
          <w:rFonts w:ascii="Arial Narrow" w:hAnsi="Arial Narrow" w:cs="Arial"/>
          <w:szCs w:val="22"/>
        </w:rPr>
        <w:t>MINIject</w:t>
      </w:r>
      <w:proofErr w:type="spellEnd"/>
      <w:r w:rsidRPr="005912A9">
        <w:rPr>
          <w:rFonts w:ascii="Arial Narrow" w:hAnsi="Arial Narrow" w:cs="Arial"/>
          <w:szCs w:val="22"/>
        </w:rPr>
        <w:t xml:space="preserve"> in Patients with Medically Uncontrolled Open-Angle Glaucoma (STAR-I). </w:t>
      </w:r>
      <w:proofErr w:type="spellStart"/>
      <w:r w:rsidRPr="005912A9">
        <w:rPr>
          <w:rFonts w:ascii="Arial Narrow" w:hAnsi="Arial Narrow" w:cs="Arial"/>
          <w:szCs w:val="22"/>
        </w:rPr>
        <w:t>Ophthalmol</w:t>
      </w:r>
      <w:proofErr w:type="spellEnd"/>
      <w:r w:rsidRPr="005912A9">
        <w:rPr>
          <w:rFonts w:ascii="Arial Narrow" w:hAnsi="Arial Narrow" w:cs="Arial"/>
          <w:szCs w:val="22"/>
        </w:rPr>
        <w:t xml:space="preserve"> Glaucoma 2019;2(5):290-97.</w:t>
      </w:r>
    </w:p>
  </w:footnote>
  <w:footnote w:id="11">
    <w:p w14:paraId="1D47BE9D" w14:textId="6530ED70" w:rsidR="005912A9" w:rsidRDefault="005912A9" w:rsidP="00036AE7">
      <w:pPr>
        <w:pStyle w:val="FootnoteText"/>
        <w:spacing w:before="0"/>
      </w:pPr>
      <w:r w:rsidRPr="005912A9">
        <w:rPr>
          <w:rFonts w:ascii="Arial Narrow" w:hAnsi="Arial Narrow" w:cs="Arial"/>
          <w:szCs w:val="22"/>
        </w:rPr>
        <w:footnoteRef/>
      </w:r>
      <w:r w:rsidRPr="005912A9">
        <w:rPr>
          <w:rFonts w:ascii="Arial Narrow" w:hAnsi="Arial Narrow" w:cs="Arial"/>
          <w:szCs w:val="22"/>
        </w:rPr>
        <w:t xml:space="preserve"> Denis P, </w:t>
      </w:r>
      <w:proofErr w:type="spellStart"/>
      <w:r w:rsidRPr="005912A9">
        <w:rPr>
          <w:rFonts w:ascii="Arial Narrow" w:hAnsi="Arial Narrow" w:cs="Arial"/>
          <w:szCs w:val="22"/>
        </w:rPr>
        <w:t>Hirneiß</w:t>
      </w:r>
      <w:proofErr w:type="spellEnd"/>
      <w:r w:rsidRPr="005912A9">
        <w:rPr>
          <w:rFonts w:ascii="Arial Narrow" w:hAnsi="Arial Narrow" w:cs="Arial"/>
          <w:szCs w:val="22"/>
        </w:rPr>
        <w:t xml:space="preserve"> C, </w:t>
      </w:r>
      <w:proofErr w:type="spellStart"/>
      <w:r w:rsidRPr="005912A9">
        <w:rPr>
          <w:rFonts w:ascii="Arial Narrow" w:hAnsi="Arial Narrow" w:cs="Arial"/>
          <w:szCs w:val="22"/>
        </w:rPr>
        <w:t>Durr</w:t>
      </w:r>
      <w:proofErr w:type="spellEnd"/>
      <w:r w:rsidRPr="005912A9">
        <w:rPr>
          <w:rFonts w:ascii="Arial Narrow" w:hAnsi="Arial Narrow" w:cs="Arial"/>
          <w:szCs w:val="22"/>
        </w:rPr>
        <w:t xml:space="preserve"> GM, et al. Two-year outcomes of the </w:t>
      </w:r>
      <w:proofErr w:type="spellStart"/>
      <w:r w:rsidRPr="005912A9">
        <w:rPr>
          <w:rFonts w:ascii="Arial Narrow" w:hAnsi="Arial Narrow" w:cs="Arial"/>
          <w:szCs w:val="22"/>
        </w:rPr>
        <w:t>MINIject</w:t>
      </w:r>
      <w:proofErr w:type="spellEnd"/>
      <w:r w:rsidRPr="005912A9">
        <w:rPr>
          <w:rFonts w:ascii="Arial Narrow" w:hAnsi="Arial Narrow" w:cs="Arial"/>
          <w:szCs w:val="22"/>
        </w:rPr>
        <w:t xml:space="preserve"> drainage system for uncontrolled glaucoma from the STAR-I first-in-human trial. Br J </w:t>
      </w:r>
      <w:proofErr w:type="spellStart"/>
      <w:r w:rsidRPr="005912A9">
        <w:rPr>
          <w:rFonts w:ascii="Arial Narrow" w:hAnsi="Arial Narrow" w:cs="Arial"/>
          <w:szCs w:val="22"/>
        </w:rPr>
        <w:t>Ophthalmol</w:t>
      </w:r>
      <w:proofErr w:type="spellEnd"/>
      <w:r w:rsidRPr="005912A9">
        <w:rPr>
          <w:rFonts w:ascii="Arial Narrow" w:hAnsi="Arial Narrow" w:cs="Arial"/>
          <w:szCs w:val="22"/>
        </w:rPr>
        <w:t xml:space="preserve"> 2022;106(1):65-70.</w:t>
      </w:r>
    </w:p>
  </w:footnote>
  <w:footnote w:id="12">
    <w:p w14:paraId="0384AED4" w14:textId="5321DF72" w:rsidR="005912A9" w:rsidRPr="005912A9" w:rsidRDefault="005912A9" w:rsidP="00036AE7">
      <w:pPr>
        <w:pStyle w:val="FootnoteText"/>
        <w:spacing w:before="0"/>
        <w:rPr>
          <w:rFonts w:ascii="Arial Narrow" w:hAnsi="Arial Narrow" w:cs="Arial"/>
          <w:szCs w:val="22"/>
        </w:rPr>
      </w:pPr>
      <w:r w:rsidRPr="005912A9">
        <w:rPr>
          <w:rFonts w:ascii="Arial Narrow" w:hAnsi="Arial Narrow" w:cs="Arial"/>
          <w:szCs w:val="22"/>
        </w:rPr>
        <w:footnoteRef/>
      </w:r>
      <w:r w:rsidRPr="005912A9">
        <w:rPr>
          <w:rFonts w:ascii="Arial Narrow" w:hAnsi="Arial Narrow" w:cs="Arial"/>
          <w:szCs w:val="22"/>
        </w:rPr>
        <w:t xml:space="preserve"> García </w:t>
      </w:r>
      <w:proofErr w:type="spellStart"/>
      <w:r w:rsidRPr="005912A9">
        <w:rPr>
          <w:rFonts w:ascii="Arial Narrow" w:hAnsi="Arial Narrow" w:cs="Arial"/>
          <w:szCs w:val="22"/>
        </w:rPr>
        <w:t>Feijoó</w:t>
      </w:r>
      <w:proofErr w:type="spellEnd"/>
      <w:r w:rsidRPr="005912A9">
        <w:rPr>
          <w:rFonts w:ascii="Arial Narrow" w:hAnsi="Arial Narrow" w:cs="Arial"/>
          <w:szCs w:val="22"/>
        </w:rPr>
        <w:t xml:space="preserve"> J, Denis P, </w:t>
      </w:r>
      <w:proofErr w:type="spellStart"/>
      <w:r w:rsidRPr="005912A9">
        <w:rPr>
          <w:rFonts w:ascii="Arial Narrow" w:hAnsi="Arial Narrow" w:cs="Arial"/>
          <w:szCs w:val="22"/>
        </w:rPr>
        <w:t>Hirneiß</w:t>
      </w:r>
      <w:proofErr w:type="spellEnd"/>
      <w:r w:rsidRPr="005912A9">
        <w:rPr>
          <w:rFonts w:ascii="Arial Narrow" w:hAnsi="Arial Narrow" w:cs="Arial"/>
          <w:szCs w:val="22"/>
        </w:rPr>
        <w:t xml:space="preserve"> C, et al. A European Study of the Performance and Safety of </w:t>
      </w:r>
      <w:proofErr w:type="spellStart"/>
      <w:r w:rsidRPr="005912A9">
        <w:rPr>
          <w:rFonts w:ascii="Arial Narrow" w:hAnsi="Arial Narrow" w:cs="Arial"/>
          <w:szCs w:val="22"/>
        </w:rPr>
        <w:t>MINIject</w:t>
      </w:r>
      <w:proofErr w:type="spellEnd"/>
      <w:r w:rsidRPr="005912A9">
        <w:rPr>
          <w:rFonts w:ascii="Arial Narrow" w:hAnsi="Arial Narrow" w:cs="Arial"/>
          <w:szCs w:val="22"/>
        </w:rPr>
        <w:t xml:space="preserve"> in Patients </w:t>
      </w:r>
      <w:proofErr w:type="gramStart"/>
      <w:r w:rsidRPr="005912A9">
        <w:rPr>
          <w:rFonts w:ascii="Arial Narrow" w:hAnsi="Arial Narrow" w:cs="Arial"/>
          <w:szCs w:val="22"/>
        </w:rPr>
        <w:t>With</w:t>
      </w:r>
      <w:proofErr w:type="gramEnd"/>
      <w:r w:rsidRPr="005912A9">
        <w:rPr>
          <w:rFonts w:ascii="Arial Narrow" w:hAnsi="Arial Narrow" w:cs="Arial"/>
          <w:szCs w:val="22"/>
        </w:rPr>
        <w:t xml:space="preserve"> Medically Uncontrolled Open-angle Glaucoma (STAR-II). J Glaucoma 2020;29(10):864-71.</w:t>
      </w:r>
    </w:p>
  </w:footnote>
  <w:footnote w:id="13">
    <w:p w14:paraId="5AAC7E88" w14:textId="0FD28F24" w:rsidR="005248D6" w:rsidRDefault="005248D6" w:rsidP="00036AE7">
      <w:pPr>
        <w:pStyle w:val="FootnoteText"/>
        <w:spacing w:before="0"/>
      </w:pPr>
      <w:r w:rsidRPr="005B7590">
        <w:rPr>
          <w:rFonts w:ascii="Arial Narrow" w:hAnsi="Arial Narrow" w:cs="Arial"/>
          <w:szCs w:val="22"/>
          <w:vertAlign w:val="superscript"/>
        </w:rPr>
        <w:footnoteRef/>
      </w:r>
      <w:r w:rsidRPr="005B7590">
        <w:rPr>
          <w:rFonts w:ascii="Arial Narrow" w:hAnsi="Arial Narrow" w:cs="Arial"/>
          <w:szCs w:val="22"/>
        </w:rPr>
        <w:t xml:space="preserve"> </w:t>
      </w:r>
      <w:r w:rsidR="005B7590" w:rsidRPr="005B7590">
        <w:rPr>
          <w:rFonts w:ascii="Arial Narrow" w:hAnsi="Arial Narrow" w:cs="Arial"/>
          <w:szCs w:val="22"/>
        </w:rPr>
        <w:t xml:space="preserve">Australian &amp; New Zealand Registry of Advanced Glaucoma. Available: </w:t>
      </w:r>
      <w:hyperlink r:id="rId1" w:history="1">
        <w:r w:rsidR="005B7590" w:rsidRPr="00437A3D">
          <w:rPr>
            <w:rStyle w:val="Hyperlink"/>
            <w:rFonts w:ascii="Arial Narrow" w:hAnsi="Arial Narrow" w:cs="Arial"/>
            <w:szCs w:val="22"/>
          </w:rPr>
          <w:t>https://anzrag.com.au/</w:t>
        </w:r>
      </w:hyperlink>
      <w:r w:rsidR="005B7590">
        <w:rPr>
          <w:rFonts w:ascii="Arial Narrow" w:hAnsi="Arial Narrow" w:cs="Arial"/>
          <w:szCs w:val="22"/>
        </w:rPr>
        <w:t xml:space="preserve"> </w:t>
      </w:r>
    </w:p>
  </w:footnote>
  <w:footnote w:id="14">
    <w:p w14:paraId="2CC1C039" w14:textId="0A4C5BE5" w:rsidR="00DF4F91" w:rsidRPr="00DF4F91" w:rsidRDefault="00DF4F91" w:rsidP="00036AE7">
      <w:pPr>
        <w:pStyle w:val="FootnoteText"/>
        <w:spacing w:before="0"/>
        <w:rPr>
          <w:rFonts w:ascii="Arial Narrow" w:hAnsi="Arial Narrow" w:cs="Arial"/>
          <w:szCs w:val="22"/>
        </w:rPr>
      </w:pPr>
      <w:r w:rsidRPr="00DF4F91">
        <w:rPr>
          <w:rFonts w:ascii="Arial Narrow" w:hAnsi="Arial Narrow" w:cs="Arial"/>
          <w:szCs w:val="22"/>
        </w:rPr>
        <w:footnoteRef/>
      </w:r>
      <w:r w:rsidRPr="0091517D">
        <w:rPr>
          <w:rFonts w:ascii="Arial Narrow" w:hAnsi="Arial Narrow" w:cs="Arial"/>
          <w:szCs w:val="22"/>
          <w:lang w:val="fr-BE"/>
        </w:rPr>
        <w:t xml:space="preserve"> Chan, C.C., </w:t>
      </w:r>
      <w:proofErr w:type="spellStart"/>
      <w:r w:rsidRPr="0091517D">
        <w:rPr>
          <w:rFonts w:ascii="Arial Narrow" w:hAnsi="Arial Narrow" w:cs="Arial"/>
          <w:szCs w:val="22"/>
          <w:lang w:val="fr-BE"/>
        </w:rPr>
        <w:t>Crowston</w:t>
      </w:r>
      <w:proofErr w:type="spellEnd"/>
      <w:r w:rsidRPr="0091517D">
        <w:rPr>
          <w:rFonts w:ascii="Arial Narrow" w:hAnsi="Arial Narrow" w:cs="Arial"/>
          <w:szCs w:val="22"/>
          <w:lang w:val="fr-BE"/>
        </w:rPr>
        <w:t xml:space="preserve">, J.G., Tan, R., et al. </w:t>
      </w:r>
      <w:r w:rsidRPr="00DF4F91">
        <w:rPr>
          <w:rFonts w:ascii="Arial Narrow" w:hAnsi="Arial Narrow" w:cs="Arial"/>
          <w:szCs w:val="22"/>
        </w:rPr>
        <w:t xml:space="preserve">(2013). "Burden of Ocular Surface Disease in Patients </w:t>
      </w:r>
      <w:proofErr w:type="gramStart"/>
      <w:r w:rsidRPr="00DF4F91">
        <w:rPr>
          <w:rFonts w:ascii="Arial Narrow" w:hAnsi="Arial Narrow" w:cs="Arial"/>
          <w:szCs w:val="22"/>
        </w:rPr>
        <w:t>With</w:t>
      </w:r>
      <w:proofErr w:type="gramEnd"/>
      <w:r w:rsidRPr="00DF4F91">
        <w:rPr>
          <w:rFonts w:ascii="Arial Narrow" w:hAnsi="Arial Narrow" w:cs="Arial"/>
          <w:szCs w:val="22"/>
        </w:rPr>
        <w:t xml:space="preserve"> Glaucoma From Australia." Asia Pac J </w:t>
      </w:r>
      <w:proofErr w:type="spellStart"/>
      <w:r w:rsidRPr="00DF4F91">
        <w:rPr>
          <w:rFonts w:ascii="Arial Narrow" w:hAnsi="Arial Narrow" w:cs="Arial"/>
          <w:szCs w:val="22"/>
        </w:rPr>
        <w:t>Ophthalmol</w:t>
      </w:r>
      <w:proofErr w:type="spellEnd"/>
      <w:r w:rsidRPr="00DF4F91">
        <w:rPr>
          <w:rFonts w:ascii="Arial Narrow" w:hAnsi="Arial Narrow" w:cs="Arial"/>
          <w:szCs w:val="22"/>
        </w:rPr>
        <w:t xml:space="preserve"> (Phila) 2(2): 79-87.</w:t>
      </w:r>
    </w:p>
  </w:footnote>
  <w:footnote w:id="15">
    <w:p w14:paraId="383C3BCB" w14:textId="77777777" w:rsidR="00637A71" w:rsidRDefault="00637A71" w:rsidP="00637A71">
      <w:pPr>
        <w:pStyle w:val="FootnoteText"/>
      </w:pPr>
      <w:r>
        <w:rPr>
          <w:rStyle w:val="FootnoteReference"/>
        </w:rPr>
        <w:footnoteRef/>
      </w:r>
      <w:r>
        <w:t xml:space="preserve"> MSAC application 1541 – </w:t>
      </w:r>
      <w:r w:rsidRPr="007A28CA">
        <w:t>Micro-bypass glaucoma surgery (MBGS) device implantation as a standalone procedure in patients with open-angle glaucoma (OAG)</w:t>
      </w:r>
      <w:r>
        <w:t xml:space="preserve">. Available at: </w:t>
      </w:r>
      <w:hyperlink r:id="rId2" w:history="1">
        <w:r w:rsidRPr="00B03EA7">
          <w:rPr>
            <w:rStyle w:val="Hyperlink"/>
          </w:rPr>
          <w:t>http://www.msac.gov.au/internet/msac/publishing.nsf/Content/1541-public</w:t>
        </w:r>
      </w:hyperlink>
      <w:r>
        <w:t xml:space="preserve"> </w:t>
      </w:r>
    </w:p>
  </w:footnote>
  <w:footnote w:id="16">
    <w:p w14:paraId="79CEAE4A" w14:textId="77777777" w:rsidR="00637A71" w:rsidRDefault="00637A71" w:rsidP="00637A71">
      <w:pPr>
        <w:pStyle w:val="FootnoteText"/>
      </w:pPr>
      <w:r>
        <w:rPr>
          <w:rStyle w:val="FootnoteReference"/>
        </w:rPr>
        <w:footnoteRef/>
      </w:r>
      <w:r>
        <w:t xml:space="preserve"> </w:t>
      </w:r>
      <w:r w:rsidRPr="00D45662">
        <w:t xml:space="preserve">Cheema AA, Cheema HR. The Evolution and Current Landscape of Minimally Invasive Glaucoma Surgeries: A Review. </w:t>
      </w:r>
      <w:proofErr w:type="spellStart"/>
      <w:r w:rsidRPr="004269A3">
        <w:rPr>
          <w:i/>
          <w:iCs/>
        </w:rPr>
        <w:t>Cureus</w:t>
      </w:r>
      <w:proofErr w:type="spellEnd"/>
      <w:r w:rsidRPr="00D45662">
        <w:t>. 2024 Jan 12;16(1</w:t>
      </w:r>
      <w:proofErr w:type="gramStart"/>
      <w:r w:rsidRPr="00D45662">
        <w:t>):e</w:t>
      </w:r>
      <w:proofErr w:type="gramEnd"/>
      <w:r w:rsidRPr="00D45662">
        <w:t xml:space="preserve">52183. </w:t>
      </w:r>
      <w:proofErr w:type="spellStart"/>
      <w:r w:rsidRPr="00D45662">
        <w:t>doi</w:t>
      </w:r>
      <w:proofErr w:type="spellEnd"/>
      <w:r w:rsidRPr="00D45662">
        <w:t>: 10.7759/cureus.52183. PMID: 38264176; PMCID: PMC10804217.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5C7"/>
    <w:multiLevelType w:val="hybridMultilevel"/>
    <w:tmpl w:val="929E542E"/>
    <w:lvl w:ilvl="0" w:tplc="35881D9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071A73"/>
    <w:multiLevelType w:val="hybridMultilevel"/>
    <w:tmpl w:val="E15C2B5A"/>
    <w:lvl w:ilvl="0" w:tplc="B136F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E2542"/>
    <w:multiLevelType w:val="hybridMultilevel"/>
    <w:tmpl w:val="87F43726"/>
    <w:lvl w:ilvl="0" w:tplc="34FE3D74">
      <w:start w:val="1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30906"/>
    <w:multiLevelType w:val="hybridMultilevel"/>
    <w:tmpl w:val="A928F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F556F"/>
    <w:multiLevelType w:val="hybridMultilevel"/>
    <w:tmpl w:val="6BC035C4"/>
    <w:lvl w:ilvl="0" w:tplc="FB94221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042E68"/>
    <w:multiLevelType w:val="hybridMultilevel"/>
    <w:tmpl w:val="13843590"/>
    <w:lvl w:ilvl="0" w:tplc="17D49C44">
      <w:start w:val="1"/>
      <w:numFmt w:val="decimal"/>
      <w:lvlText w:val="%1."/>
      <w:lvlJc w:val="left"/>
      <w:pPr>
        <w:ind w:left="1287"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B1D6D"/>
    <w:multiLevelType w:val="hybridMultilevel"/>
    <w:tmpl w:val="BBE6127C"/>
    <w:lvl w:ilvl="0" w:tplc="0809000F">
      <w:start w:val="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44A7EF9"/>
    <w:multiLevelType w:val="hybridMultilevel"/>
    <w:tmpl w:val="BB40167A"/>
    <w:lvl w:ilvl="0" w:tplc="94F62290">
      <w:start w:val="1"/>
      <w:numFmt w:val="bullet"/>
      <w:lvlText w:val=""/>
      <w:lvlJc w:val="left"/>
      <w:pPr>
        <w:ind w:left="720" w:hanging="360"/>
      </w:pPr>
      <w:rPr>
        <w:rFonts w:ascii="Symbol" w:hAnsi="Symbol"/>
      </w:rPr>
    </w:lvl>
    <w:lvl w:ilvl="1" w:tplc="338CF1E8">
      <w:start w:val="1"/>
      <w:numFmt w:val="bullet"/>
      <w:lvlText w:val=""/>
      <w:lvlJc w:val="left"/>
      <w:pPr>
        <w:ind w:left="720" w:hanging="360"/>
      </w:pPr>
      <w:rPr>
        <w:rFonts w:ascii="Symbol" w:hAnsi="Symbol"/>
      </w:rPr>
    </w:lvl>
    <w:lvl w:ilvl="2" w:tplc="F52EB04C">
      <w:start w:val="1"/>
      <w:numFmt w:val="bullet"/>
      <w:lvlText w:val=""/>
      <w:lvlJc w:val="left"/>
      <w:pPr>
        <w:ind w:left="720" w:hanging="360"/>
      </w:pPr>
      <w:rPr>
        <w:rFonts w:ascii="Symbol" w:hAnsi="Symbol"/>
      </w:rPr>
    </w:lvl>
    <w:lvl w:ilvl="3" w:tplc="EA5EA824">
      <w:start w:val="1"/>
      <w:numFmt w:val="bullet"/>
      <w:lvlText w:val=""/>
      <w:lvlJc w:val="left"/>
      <w:pPr>
        <w:ind w:left="720" w:hanging="360"/>
      </w:pPr>
      <w:rPr>
        <w:rFonts w:ascii="Symbol" w:hAnsi="Symbol"/>
      </w:rPr>
    </w:lvl>
    <w:lvl w:ilvl="4" w:tplc="F5C40F66">
      <w:start w:val="1"/>
      <w:numFmt w:val="bullet"/>
      <w:lvlText w:val=""/>
      <w:lvlJc w:val="left"/>
      <w:pPr>
        <w:ind w:left="720" w:hanging="360"/>
      </w:pPr>
      <w:rPr>
        <w:rFonts w:ascii="Symbol" w:hAnsi="Symbol"/>
      </w:rPr>
    </w:lvl>
    <w:lvl w:ilvl="5" w:tplc="1040CDFC">
      <w:start w:val="1"/>
      <w:numFmt w:val="bullet"/>
      <w:lvlText w:val=""/>
      <w:lvlJc w:val="left"/>
      <w:pPr>
        <w:ind w:left="720" w:hanging="360"/>
      </w:pPr>
      <w:rPr>
        <w:rFonts w:ascii="Symbol" w:hAnsi="Symbol"/>
      </w:rPr>
    </w:lvl>
    <w:lvl w:ilvl="6" w:tplc="E48C933E">
      <w:start w:val="1"/>
      <w:numFmt w:val="bullet"/>
      <w:lvlText w:val=""/>
      <w:lvlJc w:val="left"/>
      <w:pPr>
        <w:ind w:left="720" w:hanging="360"/>
      </w:pPr>
      <w:rPr>
        <w:rFonts w:ascii="Symbol" w:hAnsi="Symbol"/>
      </w:rPr>
    </w:lvl>
    <w:lvl w:ilvl="7" w:tplc="51361D5E">
      <w:start w:val="1"/>
      <w:numFmt w:val="bullet"/>
      <w:lvlText w:val=""/>
      <w:lvlJc w:val="left"/>
      <w:pPr>
        <w:ind w:left="720" w:hanging="360"/>
      </w:pPr>
      <w:rPr>
        <w:rFonts w:ascii="Symbol" w:hAnsi="Symbol"/>
      </w:rPr>
    </w:lvl>
    <w:lvl w:ilvl="8" w:tplc="00C004C8">
      <w:start w:val="1"/>
      <w:numFmt w:val="bullet"/>
      <w:lvlText w:val=""/>
      <w:lvlJc w:val="left"/>
      <w:pPr>
        <w:ind w:left="720" w:hanging="360"/>
      </w:pPr>
      <w:rPr>
        <w:rFonts w:ascii="Symbol" w:hAnsi="Symbol"/>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94C43"/>
    <w:multiLevelType w:val="multilevel"/>
    <w:tmpl w:val="CEEE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632EDE"/>
    <w:multiLevelType w:val="hybridMultilevel"/>
    <w:tmpl w:val="6C9AC942"/>
    <w:lvl w:ilvl="0" w:tplc="2AF8F1E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9C296A"/>
    <w:multiLevelType w:val="hybridMultilevel"/>
    <w:tmpl w:val="222C64D4"/>
    <w:lvl w:ilvl="0" w:tplc="823CD4F4">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BED5D83"/>
    <w:multiLevelType w:val="hybridMultilevel"/>
    <w:tmpl w:val="623AB768"/>
    <w:lvl w:ilvl="0" w:tplc="6D32A8DC">
      <w:start w:val="1"/>
      <w:numFmt w:val="decimal"/>
      <w:pStyle w:val="Heading2execsummary"/>
      <w:lvlText w:val="%1."/>
      <w:lvlJc w:val="left"/>
      <w:pPr>
        <w:ind w:left="737" w:hanging="73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9B442A"/>
    <w:multiLevelType w:val="hybridMultilevel"/>
    <w:tmpl w:val="920EC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4371DC"/>
    <w:multiLevelType w:val="multilevel"/>
    <w:tmpl w:val="DD0A8BDA"/>
    <w:lvl w:ilvl="0">
      <w:start w:val="1"/>
      <w:numFmt w:val="decimal"/>
      <w:pStyle w:val="Heading1"/>
      <w:lvlText w:val="Section %1"/>
      <w:lvlJc w:val="left"/>
      <w:pPr>
        <w:ind w:left="786" w:hanging="360"/>
      </w:pPr>
      <w:rPr>
        <w:rFonts w:hint="default"/>
      </w:rPr>
    </w:lvl>
    <w:lvl w:ilvl="1">
      <w:start w:val="9"/>
      <w:numFmt w:val="decimal"/>
      <w:lvlText w:val="%2."/>
      <w:lvlJc w:val="left"/>
      <w:pPr>
        <w:ind w:left="644"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漀(耗萏 萑ﺘ葞 葠ﺘ䩏"/>
      <w:lvlJc w:val="left"/>
      <w:pPr>
        <w:ind w:left="0" w:firstLine="0"/>
      </w:pPr>
      <w:rPr>
        <w:rFonts w:ascii="Symbol" w:hAnsi="Wingdings" w:cs="Wingdings" w:hint="default"/>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33C665AF"/>
    <w:multiLevelType w:val="hybridMultilevel"/>
    <w:tmpl w:val="61B8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B605F"/>
    <w:multiLevelType w:val="hybridMultilevel"/>
    <w:tmpl w:val="7DC694C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097685"/>
    <w:multiLevelType w:val="hybridMultilevel"/>
    <w:tmpl w:val="7DC694C2"/>
    <w:lvl w:ilvl="0" w:tplc="064AAC6E">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BD4CCD"/>
    <w:multiLevelType w:val="multilevel"/>
    <w:tmpl w:val="43F4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095746"/>
    <w:multiLevelType w:val="hybridMultilevel"/>
    <w:tmpl w:val="28BC0FCE"/>
    <w:lvl w:ilvl="0" w:tplc="A26EFB64">
      <w:numFmt w:val="decimal"/>
      <w:pStyle w:val="Instructionaltex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47B243FA"/>
    <w:multiLevelType w:val="hybridMultilevel"/>
    <w:tmpl w:val="02BC2E56"/>
    <w:lvl w:ilvl="0" w:tplc="34FE3D74">
      <w:start w:val="1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5E5146"/>
    <w:multiLevelType w:val="hybridMultilevel"/>
    <w:tmpl w:val="4F14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A0492F"/>
    <w:multiLevelType w:val="hybridMultilevel"/>
    <w:tmpl w:val="A49ED542"/>
    <w:lvl w:ilvl="0" w:tplc="FB28EE9E">
      <w:start w:val="1"/>
      <w:numFmt w:val="bullet"/>
      <w:lvlText w:val=""/>
      <w:lvlJc w:val="left"/>
      <w:pPr>
        <w:ind w:left="720" w:hanging="360"/>
      </w:pPr>
      <w:rPr>
        <w:rFonts w:ascii="Symbol" w:hAnsi="Symbol"/>
      </w:rPr>
    </w:lvl>
    <w:lvl w:ilvl="1" w:tplc="EACC34AE">
      <w:start w:val="1"/>
      <w:numFmt w:val="bullet"/>
      <w:lvlText w:val=""/>
      <w:lvlJc w:val="left"/>
      <w:pPr>
        <w:ind w:left="720" w:hanging="360"/>
      </w:pPr>
      <w:rPr>
        <w:rFonts w:ascii="Symbol" w:hAnsi="Symbol"/>
      </w:rPr>
    </w:lvl>
    <w:lvl w:ilvl="2" w:tplc="8614436C">
      <w:start w:val="1"/>
      <w:numFmt w:val="bullet"/>
      <w:lvlText w:val=""/>
      <w:lvlJc w:val="left"/>
      <w:pPr>
        <w:ind w:left="720" w:hanging="360"/>
      </w:pPr>
      <w:rPr>
        <w:rFonts w:ascii="Symbol" w:hAnsi="Symbol"/>
      </w:rPr>
    </w:lvl>
    <w:lvl w:ilvl="3" w:tplc="F182D254">
      <w:start w:val="1"/>
      <w:numFmt w:val="bullet"/>
      <w:lvlText w:val=""/>
      <w:lvlJc w:val="left"/>
      <w:pPr>
        <w:ind w:left="720" w:hanging="360"/>
      </w:pPr>
      <w:rPr>
        <w:rFonts w:ascii="Symbol" w:hAnsi="Symbol"/>
      </w:rPr>
    </w:lvl>
    <w:lvl w:ilvl="4" w:tplc="5C605E38">
      <w:start w:val="1"/>
      <w:numFmt w:val="bullet"/>
      <w:lvlText w:val=""/>
      <w:lvlJc w:val="left"/>
      <w:pPr>
        <w:ind w:left="720" w:hanging="360"/>
      </w:pPr>
      <w:rPr>
        <w:rFonts w:ascii="Symbol" w:hAnsi="Symbol"/>
      </w:rPr>
    </w:lvl>
    <w:lvl w:ilvl="5" w:tplc="F59C0AA4">
      <w:start w:val="1"/>
      <w:numFmt w:val="bullet"/>
      <w:lvlText w:val=""/>
      <w:lvlJc w:val="left"/>
      <w:pPr>
        <w:ind w:left="720" w:hanging="360"/>
      </w:pPr>
      <w:rPr>
        <w:rFonts w:ascii="Symbol" w:hAnsi="Symbol"/>
      </w:rPr>
    </w:lvl>
    <w:lvl w:ilvl="6" w:tplc="AF3C462A">
      <w:start w:val="1"/>
      <w:numFmt w:val="bullet"/>
      <w:lvlText w:val=""/>
      <w:lvlJc w:val="left"/>
      <w:pPr>
        <w:ind w:left="720" w:hanging="360"/>
      </w:pPr>
      <w:rPr>
        <w:rFonts w:ascii="Symbol" w:hAnsi="Symbol"/>
      </w:rPr>
    </w:lvl>
    <w:lvl w:ilvl="7" w:tplc="41526442">
      <w:start w:val="1"/>
      <w:numFmt w:val="bullet"/>
      <w:lvlText w:val=""/>
      <w:lvlJc w:val="left"/>
      <w:pPr>
        <w:ind w:left="720" w:hanging="360"/>
      </w:pPr>
      <w:rPr>
        <w:rFonts w:ascii="Symbol" w:hAnsi="Symbol"/>
      </w:rPr>
    </w:lvl>
    <w:lvl w:ilvl="8" w:tplc="D4E8815E">
      <w:start w:val="1"/>
      <w:numFmt w:val="bullet"/>
      <w:lvlText w:val=""/>
      <w:lvlJc w:val="left"/>
      <w:pPr>
        <w:ind w:left="720" w:hanging="360"/>
      </w:pPr>
      <w:rPr>
        <w:rFonts w:ascii="Symbol" w:hAnsi="Symbol"/>
      </w:rPr>
    </w:lvl>
  </w:abstractNum>
  <w:abstractNum w:abstractNumId="27" w15:restartNumberingAfterBreak="0">
    <w:nsid w:val="562F09B3"/>
    <w:multiLevelType w:val="hybridMultilevel"/>
    <w:tmpl w:val="AD481990"/>
    <w:lvl w:ilvl="0" w:tplc="F28EEF1C">
      <w:start w:val="1483"/>
      <w:numFmt w:val="bullet"/>
      <w:pStyle w:val="ADAR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7E051C"/>
    <w:multiLevelType w:val="hybridMultilevel"/>
    <w:tmpl w:val="E8582E76"/>
    <w:lvl w:ilvl="0" w:tplc="7FCC4FDE">
      <w:start w:val="1"/>
      <w:numFmt w:val="bullet"/>
      <w:pStyle w:val="ListParagraph"/>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BB4130"/>
    <w:multiLevelType w:val="multilevel"/>
    <w:tmpl w:val="461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80633F"/>
    <w:multiLevelType w:val="hybridMultilevel"/>
    <w:tmpl w:val="5420A58E"/>
    <w:lvl w:ilvl="0" w:tplc="AE2ECBE8">
      <w:start w:val="1"/>
      <w:numFmt w:val="bullet"/>
      <w:lvlText w:val=""/>
      <w:lvlJc w:val="left"/>
      <w:pPr>
        <w:ind w:left="720" w:hanging="360"/>
      </w:pPr>
      <w:rPr>
        <w:rFonts w:ascii="Symbol" w:hAnsi="Symbol"/>
      </w:rPr>
    </w:lvl>
    <w:lvl w:ilvl="1" w:tplc="00B8D0AE">
      <w:start w:val="1"/>
      <w:numFmt w:val="bullet"/>
      <w:lvlText w:val=""/>
      <w:lvlJc w:val="left"/>
      <w:pPr>
        <w:ind w:left="720" w:hanging="360"/>
      </w:pPr>
      <w:rPr>
        <w:rFonts w:ascii="Symbol" w:hAnsi="Symbol"/>
      </w:rPr>
    </w:lvl>
    <w:lvl w:ilvl="2" w:tplc="42D6986C">
      <w:start w:val="1"/>
      <w:numFmt w:val="bullet"/>
      <w:lvlText w:val=""/>
      <w:lvlJc w:val="left"/>
      <w:pPr>
        <w:ind w:left="720" w:hanging="360"/>
      </w:pPr>
      <w:rPr>
        <w:rFonts w:ascii="Symbol" w:hAnsi="Symbol"/>
      </w:rPr>
    </w:lvl>
    <w:lvl w:ilvl="3" w:tplc="0CC68AD0">
      <w:start w:val="1"/>
      <w:numFmt w:val="bullet"/>
      <w:lvlText w:val=""/>
      <w:lvlJc w:val="left"/>
      <w:pPr>
        <w:ind w:left="720" w:hanging="360"/>
      </w:pPr>
      <w:rPr>
        <w:rFonts w:ascii="Symbol" w:hAnsi="Symbol"/>
      </w:rPr>
    </w:lvl>
    <w:lvl w:ilvl="4" w:tplc="C024BE8C">
      <w:start w:val="1"/>
      <w:numFmt w:val="bullet"/>
      <w:lvlText w:val=""/>
      <w:lvlJc w:val="left"/>
      <w:pPr>
        <w:ind w:left="720" w:hanging="360"/>
      </w:pPr>
      <w:rPr>
        <w:rFonts w:ascii="Symbol" w:hAnsi="Symbol"/>
      </w:rPr>
    </w:lvl>
    <w:lvl w:ilvl="5" w:tplc="B93265D4">
      <w:start w:val="1"/>
      <w:numFmt w:val="bullet"/>
      <w:lvlText w:val=""/>
      <w:lvlJc w:val="left"/>
      <w:pPr>
        <w:ind w:left="720" w:hanging="360"/>
      </w:pPr>
      <w:rPr>
        <w:rFonts w:ascii="Symbol" w:hAnsi="Symbol"/>
      </w:rPr>
    </w:lvl>
    <w:lvl w:ilvl="6" w:tplc="D0141E52">
      <w:start w:val="1"/>
      <w:numFmt w:val="bullet"/>
      <w:lvlText w:val=""/>
      <w:lvlJc w:val="left"/>
      <w:pPr>
        <w:ind w:left="720" w:hanging="360"/>
      </w:pPr>
      <w:rPr>
        <w:rFonts w:ascii="Symbol" w:hAnsi="Symbol"/>
      </w:rPr>
    </w:lvl>
    <w:lvl w:ilvl="7" w:tplc="9454CAF4">
      <w:start w:val="1"/>
      <w:numFmt w:val="bullet"/>
      <w:lvlText w:val=""/>
      <w:lvlJc w:val="left"/>
      <w:pPr>
        <w:ind w:left="720" w:hanging="360"/>
      </w:pPr>
      <w:rPr>
        <w:rFonts w:ascii="Symbol" w:hAnsi="Symbol"/>
      </w:rPr>
    </w:lvl>
    <w:lvl w:ilvl="8" w:tplc="9A9CE278">
      <w:start w:val="1"/>
      <w:numFmt w:val="bullet"/>
      <w:lvlText w:val=""/>
      <w:lvlJc w:val="left"/>
      <w:pPr>
        <w:ind w:left="720" w:hanging="360"/>
      </w:pPr>
      <w:rPr>
        <w:rFonts w:ascii="Symbol" w:hAnsi="Symbol"/>
      </w:rPr>
    </w:lvl>
  </w:abstractNum>
  <w:abstractNum w:abstractNumId="32" w15:restartNumberingAfterBreak="0">
    <w:nsid w:val="784D033C"/>
    <w:multiLevelType w:val="multilevel"/>
    <w:tmpl w:val="45FC285E"/>
    <w:lvl w:ilvl="0">
      <w:numFmt w:val="decimal"/>
      <w:pStyle w:val="2-SectionHeading"/>
      <w:lvlText w:val=""/>
      <w:lvlJc w:val="left"/>
    </w:lvl>
    <w:lvl w:ilvl="1">
      <w:numFmt w:val="decimal"/>
      <w:pStyle w:val="3-BodyTex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472F18"/>
    <w:multiLevelType w:val="hybridMultilevel"/>
    <w:tmpl w:val="E106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B95113"/>
    <w:multiLevelType w:val="hybridMultilevel"/>
    <w:tmpl w:val="08DE7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BA672E"/>
    <w:multiLevelType w:val="multilevel"/>
    <w:tmpl w:val="4FC4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181516"/>
    <w:multiLevelType w:val="hybridMultilevel"/>
    <w:tmpl w:val="FF9EE7EA"/>
    <w:lvl w:ilvl="0" w:tplc="99525AAE">
      <w:numFmt w:val="decimal"/>
      <w:pStyle w:val="Nnumberedlist"/>
      <w:lvlText w:val=""/>
      <w:lvlJc w:val="left"/>
    </w:lvl>
    <w:lvl w:ilvl="1" w:tplc="389C2200">
      <w:numFmt w:val="decimal"/>
      <w:lvlText w:val=""/>
      <w:lvlJc w:val="left"/>
    </w:lvl>
    <w:lvl w:ilvl="2" w:tplc="C3F8B188">
      <w:numFmt w:val="decimal"/>
      <w:lvlText w:val=""/>
      <w:lvlJc w:val="left"/>
    </w:lvl>
    <w:lvl w:ilvl="3" w:tplc="391E97F0">
      <w:numFmt w:val="decimal"/>
      <w:lvlText w:val=""/>
      <w:lvlJc w:val="left"/>
    </w:lvl>
    <w:lvl w:ilvl="4" w:tplc="4F42265E">
      <w:numFmt w:val="decimal"/>
      <w:lvlText w:val=""/>
      <w:lvlJc w:val="left"/>
    </w:lvl>
    <w:lvl w:ilvl="5" w:tplc="30546058">
      <w:numFmt w:val="decimal"/>
      <w:lvlText w:val=""/>
      <w:lvlJc w:val="left"/>
    </w:lvl>
    <w:lvl w:ilvl="6" w:tplc="6E10F0C6">
      <w:numFmt w:val="decimal"/>
      <w:lvlText w:val=""/>
      <w:lvlJc w:val="left"/>
    </w:lvl>
    <w:lvl w:ilvl="7" w:tplc="70B07B9C">
      <w:numFmt w:val="decimal"/>
      <w:lvlText w:val=""/>
      <w:lvlJc w:val="left"/>
    </w:lvl>
    <w:lvl w:ilvl="8" w:tplc="9BF48AAC">
      <w:numFmt w:val="decimal"/>
      <w:lvlText w:val=""/>
      <w:lvlJc w:val="left"/>
    </w:lvl>
  </w:abstractNum>
  <w:num w:numId="1" w16cid:durableId="1493376905">
    <w:abstractNumId w:val="18"/>
  </w:num>
  <w:num w:numId="2" w16cid:durableId="584608137">
    <w:abstractNumId w:val="36"/>
  </w:num>
  <w:num w:numId="3" w16cid:durableId="861166620">
    <w:abstractNumId w:val="4"/>
  </w:num>
  <w:num w:numId="4" w16cid:durableId="1955945577">
    <w:abstractNumId w:val="10"/>
  </w:num>
  <w:num w:numId="5" w16cid:durableId="1452743898">
    <w:abstractNumId w:val="32"/>
  </w:num>
  <w:num w:numId="6" w16cid:durableId="1482694446">
    <w:abstractNumId w:val="11"/>
  </w:num>
  <w:num w:numId="7" w16cid:durableId="393238364">
    <w:abstractNumId w:val="14"/>
  </w:num>
  <w:num w:numId="8" w16cid:durableId="261572506">
    <w:abstractNumId w:val="16"/>
  </w:num>
  <w:num w:numId="9" w16cid:durableId="2129229103">
    <w:abstractNumId w:val="23"/>
  </w:num>
  <w:num w:numId="10" w16cid:durableId="647125357">
    <w:abstractNumId w:val="28"/>
  </w:num>
  <w:num w:numId="11" w16cid:durableId="1203709043">
    <w:abstractNumId w:val="15"/>
    <w:lvlOverride w:ilvl="0">
      <w:startOverride w:val="1"/>
    </w:lvlOverride>
  </w:num>
  <w:num w:numId="12" w16cid:durableId="1415669146">
    <w:abstractNumId w:val="5"/>
  </w:num>
  <w:num w:numId="13" w16cid:durableId="1014304131">
    <w:abstractNumId w:val="33"/>
  </w:num>
  <w:num w:numId="14" w16cid:durableId="592318997">
    <w:abstractNumId w:val="27"/>
  </w:num>
  <w:num w:numId="15" w16cid:durableId="567617597">
    <w:abstractNumId w:val="6"/>
  </w:num>
  <w:num w:numId="16" w16cid:durableId="36516687">
    <w:abstractNumId w:val="12"/>
  </w:num>
  <w:num w:numId="17" w16cid:durableId="1222868918">
    <w:abstractNumId w:val="25"/>
  </w:num>
  <w:num w:numId="18" w16cid:durableId="458962578">
    <w:abstractNumId w:val="19"/>
  </w:num>
  <w:num w:numId="19" w16cid:durableId="1984046409">
    <w:abstractNumId w:val="2"/>
  </w:num>
  <w:num w:numId="20" w16cid:durableId="890188467">
    <w:abstractNumId w:val="24"/>
  </w:num>
  <w:num w:numId="21" w16cid:durableId="1809013613">
    <w:abstractNumId w:val="21"/>
  </w:num>
  <w:num w:numId="22" w16cid:durableId="1576696307">
    <w:abstractNumId w:val="31"/>
  </w:num>
  <w:num w:numId="23" w16cid:durableId="742409920">
    <w:abstractNumId w:val="26"/>
  </w:num>
  <w:num w:numId="24" w16cid:durableId="1892963221">
    <w:abstractNumId w:val="7"/>
  </w:num>
  <w:num w:numId="25" w16cid:durableId="1563177267">
    <w:abstractNumId w:val="1"/>
  </w:num>
  <w:num w:numId="26" w16cid:durableId="1523856247">
    <w:abstractNumId w:val="20"/>
  </w:num>
  <w:num w:numId="27" w16cid:durableId="352071377">
    <w:abstractNumId w:val="13"/>
  </w:num>
  <w:num w:numId="28" w16cid:durableId="1505244140">
    <w:abstractNumId w:val="29"/>
  </w:num>
  <w:num w:numId="29" w16cid:durableId="645473314">
    <w:abstractNumId w:val="8"/>
  </w:num>
  <w:num w:numId="30" w16cid:durableId="634722159">
    <w:abstractNumId w:val="22"/>
  </w:num>
  <w:num w:numId="31" w16cid:durableId="1002507236">
    <w:abstractNumId w:val="35"/>
  </w:num>
  <w:num w:numId="32" w16cid:durableId="1828548322">
    <w:abstractNumId w:val="9"/>
  </w:num>
  <w:num w:numId="33" w16cid:durableId="699866752">
    <w:abstractNumId w:val="30"/>
  </w:num>
  <w:num w:numId="34" w16cid:durableId="694231235">
    <w:abstractNumId w:val="3"/>
  </w:num>
  <w:num w:numId="35" w16cid:durableId="1274442750">
    <w:abstractNumId w:val="17"/>
  </w:num>
  <w:num w:numId="36" w16cid:durableId="326053103">
    <w:abstractNumId w:val="34"/>
  </w:num>
  <w:num w:numId="37" w16cid:durableId="206498187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G2MDEzMTQwMrK0sLBU0lEKTi0uzszPAymwrAUAr+PC3ywAAAA="/>
    <w:docVar w:name="EN.Layout" w:val="&lt;ENLayout&gt;&lt;Style&gt;Harvard&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s0srze65fp0fer00o5wt9dw9s95x2s5szd&quot;&gt;MBGS ADAR travelling ENL&lt;record-ids&gt;&lt;item&gt;1&lt;/item&gt;&lt;item&gt;2&lt;/item&gt;&lt;item&gt;3&lt;/item&gt;&lt;item&gt;4&lt;/item&gt;&lt;item&gt;5&lt;/item&gt;&lt;item&gt;6&lt;/item&gt;&lt;item&gt;7&lt;/item&gt;&lt;item&gt;8&lt;/item&gt;&lt;item&gt;9&lt;/item&gt;&lt;item&gt;10&lt;/item&gt;&lt;item&gt;11&lt;/item&gt;&lt;/record-ids&gt;&lt;/item&gt;&lt;/Libraries&gt;"/>
  </w:docVars>
  <w:rsids>
    <w:rsidRoot w:val="008157F1"/>
    <w:rsid w:val="000001A8"/>
    <w:rsid w:val="000004FD"/>
    <w:rsid w:val="000005A1"/>
    <w:rsid w:val="000005E7"/>
    <w:rsid w:val="00000717"/>
    <w:rsid w:val="00000933"/>
    <w:rsid w:val="000009A9"/>
    <w:rsid w:val="00000A43"/>
    <w:rsid w:val="00000A53"/>
    <w:rsid w:val="00000B9D"/>
    <w:rsid w:val="00000D14"/>
    <w:rsid w:val="00000F3F"/>
    <w:rsid w:val="0000109A"/>
    <w:rsid w:val="00001145"/>
    <w:rsid w:val="000011A3"/>
    <w:rsid w:val="000011DD"/>
    <w:rsid w:val="000012B4"/>
    <w:rsid w:val="0000130F"/>
    <w:rsid w:val="0000154A"/>
    <w:rsid w:val="000016A6"/>
    <w:rsid w:val="00001A65"/>
    <w:rsid w:val="00001A9C"/>
    <w:rsid w:val="00001AE6"/>
    <w:rsid w:val="00001BC1"/>
    <w:rsid w:val="00001D55"/>
    <w:rsid w:val="0000221D"/>
    <w:rsid w:val="000023FD"/>
    <w:rsid w:val="0000272B"/>
    <w:rsid w:val="000028A0"/>
    <w:rsid w:val="000028AD"/>
    <w:rsid w:val="000028C9"/>
    <w:rsid w:val="00002B38"/>
    <w:rsid w:val="00002EA9"/>
    <w:rsid w:val="00002FE2"/>
    <w:rsid w:val="0000308D"/>
    <w:rsid w:val="00003247"/>
    <w:rsid w:val="000036C2"/>
    <w:rsid w:val="00003B27"/>
    <w:rsid w:val="00003F41"/>
    <w:rsid w:val="00004155"/>
    <w:rsid w:val="00004380"/>
    <w:rsid w:val="000045DD"/>
    <w:rsid w:val="00004821"/>
    <w:rsid w:val="00004A87"/>
    <w:rsid w:val="00004D69"/>
    <w:rsid w:val="00004F7F"/>
    <w:rsid w:val="000054C9"/>
    <w:rsid w:val="000055F7"/>
    <w:rsid w:val="00005824"/>
    <w:rsid w:val="00005D37"/>
    <w:rsid w:val="00005D95"/>
    <w:rsid w:val="0000609C"/>
    <w:rsid w:val="000062CA"/>
    <w:rsid w:val="00006392"/>
    <w:rsid w:val="000064D7"/>
    <w:rsid w:val="00006636"/>
    <w:rsid w:val="000066C4"/>
    <w:rsid w:val="0000675E"/>
    <w:rsid w:val="00006B5F"/>
    <w:rsid w:val="00006B8B"/>
    <w:rsid w:val="00006DF3"/>
    <w:rsid w:val="00007344"/>
    <w:rsid w:val="00007465"/>
    <w:rsid w:val="00007485"/>
    <w:rsid w:val="00007A12"/>
    <w:rsid w:val="00007A43"/>
    <w:rsid w:val="00007B42"/>
    <w:rsid w:val="00007CB4"/>
    <w:rsid w:val="00007D02"/>
    <w:rsid w:val="00007DCE"/>
    <w:rsid w:val="00007FEA"/>
    <w:rsid w:val="000100B0"/>
    <w:rsid w:val="0001012C"/>
    <w:rsid w:val="000103B3"/>
    <w:rsid w:val="00010641"/>
    <w:rsid w:val="0001092C"/>
    <w:rsid w:val="00010E26"/>
    <w:rsid w:val="00011311"/>
    <w:rsid w:val="00011432"/>
    <w:rsid w:val="00011568"/>
    <w:rsid w:val="00011592"/>
    <w:rsid w:val="0001169C"/>
    <w:rsid w:val="00011776"/>
    <w:rsid w:val="00011981"/>
    <w:rsid w:val="00011A18"/>
    <w:rsid w:val="00011B09"/>
    <w:rsid w:val="00011CC0"/>
    <w:rsid w:val="00011D2D"/>
    <w:rsid w:val="00012269"/>
    <w:rsid w:val="00012319"/>
    <w:rsid w:val="000123A2"/>
    <w:rsid w:val="000123F0"/>
    <w:rsid w:val="00012410"/>
    <w:rsid w:val="000125BB"/>
    <w:rsid w:val="000129AB"/>
    <w:rsid w:val="000129F7"/>
    <w:rsid w:val="00012C90"/>
    <w:rsid w:val="00012DA1"/>
    <w:rsid w:val="00012FC9"/>
    <w:rsid w:val="0001305D"/>
    <w:rsid w:val="00013386"/>
    <w:rsid w:val="000136D3"/>
    <w:rsid w:val="00013AC7"/>
    <w:rsid w:val="00013C89"/>
    <w:rsid w:val="00013DBB"/>
    <w:rsid w:val="00013FAC"/>
    <w:rsid w:val="00014188"/>
    <w:rsid w:val="00014543"/>
    <w:rsid w:val="000147E2"/>
    <w:rsid w:val="00014832"/>
    <w:rsid w:val="0001488D"/>
    <w:rsid w:val="00014974"/>
    <w:rsid w:val="00014A4E"/>
    <w:rsid w:val="00014B20"/>
    <w:rsid w:val="00014D90"/>
    <w:rsid w:val="00015016"/>
    <w:rsid w:val="000150D3"/>
    <w:rsid w:val="00015384"/>
    <w:rsid w:val="00015C10"/>
    <w:rsid w:val="00015E65"/>
    <w:rsid w:val="00015F09"/>
    <w:rsid w:val="000160A8"/>
    <w:rsid w:val="00016164"/>
    <w:rsid w:val="0001628A"/>
    <w:rsid w:val="00016A91"/>
    <w:rsid w:val="00016B93"/>
    <w:rsid w:val="00016CED"/>
    <w:rsid w:val="00017184"/>
    <w:rsid w:val="000172B3"/>
    <w:rsid w:val="000172D7"/>
    <w:rsid w:val="00017548"/>
    <w:rsid w:val="00017860"/>
    <w:rsid w:val="00017DEB"/>
    <w:rsid w:val="00020374"/>
    <w:rsid w:val="000205D3"/>
    <w:rsid w:val="00020AB2"/>
    <w:rsid w:val="00020DBD"/>
    <w:rsid w:val="000210F8"/>
    <w:rsid w:val="00021225"/>
    <w:rsid w:val="000213B9"/>
    <w:rsid w:val="000213EB"/>
    <w:rsid w:val="000215CC"/>
    <w:rsid w:val="000217F9"/>
    <w:rsid w:val="00021924"/>
    <w:rsid w:val="00022305"/>
    <w:rsid w:val="00022358"/>
    <w:rsid w:val="0002272F"/>
    <w:rsid w:val="000227D2"/>
    <w:rsid w:val="000228AF"/>
    <w:rsid w:val="000228B8"/>
    <w:rsid w:val="00022958"/>
    <w:rsid w:val="0002327B"/>
    <w:rsid w:val="0002341F"/>
    <w:rsid w:val="000235F1"/>
    <w:rsid w:val="000237F0"/>
    <w:rsid w:val="0002380B"/>
    <w:rsid w:val="0002381B"/>
    <w:rsid w:val="000239ED"/>
    <w:rsid w:val="000240C4"/>
    <w:rsid w:val="000247ED"/>
    <w:rsid w:val="00024884"/>
    <w:rsid w:val="00024B45"/>
    <w:rsid w:val="00024BF9"/>
    <w:rsid w:val="00024DD9"/>
    <w:rsid w:val="00024E1D"/>
    <w:rsid w:val="00024EA5"/>
    <w:rsid w:val="000253D4"/>
    <w:rsid w:val="000254E4"/>
    <w:rsid w:val="000258CE"/>
    <w:rsid w:val="00025A31"/>
    <w:rsid w:val="00025BFD"/>
    <w:rsid w:val="00025C92"/>
    <w:rsid w:val="00026257"/>
    <w:rsid w:val="00026729"/>
    <w:rsid w:val="00026DEA"/>
    <w:rsid w:val="00026DFB"/>
    <w:rsid w:val="0002706B"/>
    <w:rsid w:val="000272FE"/>
    <w:rsid w:val="0002730D"/>
    <w:rsid w:val="00027426"/>
    <w:rsid w:val="0002755F"/>
    <w:rsid w:val="00027685"/>
    <w:rsid w:val="0002781E"/>
    <w:rsid w:val="00027970"/>
    <w:rsid w:val="0003020E"/>
    <w:rsid w:val="0003026C"/>
    <w:rsid w:val="0003042B"/>
    <w:rsid w:val="0003045A"/>
    <w:rsid w:val="00030499"/>
    <w:rsid w:val="00030759"/>
    <w:rsid w:val="000309F2"/>
    <w:rsid w:val="00030D98"/>
    <w:rsid w:val="00030F5D"/>
    <w:rsid w:val="000310AF"/>
    <w:rsid w:val="0003128A"/>
    <w:rsid w:val="00031514"/>
    <w:rsid w:val="000317A3"/>
    <w:rsid w:val="00031C2C"/>
    <w:rsid w:val="00031E23"/>
    <w:rsid w:val="00031F21"/>
    <w:rsid w:val="00032241"/>
    <w:rsid w:val="00032294"/>
    <w:rsid w:val="0003232A"/>
    <w:rsid w:val="0003235D"/>
    <w:rsid w:val="000323FF"/>
    <w:rsid w:val="000326B4"/>
    <w:rsid w:val="00032D5E"/>
    <w:rsid w:val="00032D6D"/>
    <w:rsid w:val="00033344"/>
    <w:rsid w:val="000334AF"/>
    <w:rsid w:val="0003371A"/>
    <w:rsid w:val="0003374A"/>
    <w:rsid w:val="00033BBA"/>
    <w:rsid w:val="00033C46"/>
    <w:rsid w:val="00033D9F"/>
    <w:rsid w:val="0003423A"/>
    <w:rsid w:val="0003477F"/>
    <w:rsid w:val="0003498F"/>
    <w:rsid w:val="000349C5"/>
    <w:rsid w:val="000356CA"/>
    <w:rsid w:val="00035926"/>
    <w:rsid w:val="00035A37"/>
    <w:rsid w:val="00035DF6"/>
    <w:rsid w:val="00036086"/>
    <w:rsid w:val="000363B9"/>
    <w:rsid w:val="00036AD8"/>
    <w:rsid w:val="00036AE7"/>
    <w:rsid w:val="00036AF5"/>
    <w:rsid w:val="00036C37"/>
    <w:rsid w:val="00036DDB"/>
    <w:rsid w:val="00036DEC"/>
    <w:rsid w:val="00037037"/>
    <w:rsid w:val="00037302"/>
    <w:rsid w:val="00037875"/>
    <w:rsid w:val="000378C0"/>
    <w:rsid w:val="00037B59"/>
    <w:rsid w:val="00037FFE"/>
    <w:rsid w:val="0004005D"/>
    <w:rsid w:val="000403B0"/>
    <w:rsid w:val="0004049F"/>
    <w:rsid w:val="000404EB"/>
    <w:rsid w:val="00040595"/>
    <w:rsid w:val="000405C7"/>
    <w:rsid w:val="000408CE"/>
    <w:rsid w:val="00040ADF"/>
    <w:rsid w:val="00040B19"/>
    <w:rsid w:val="00040BDA"/>
    <w:rsid w:val="00040F88"/>
    <w:rsid w:val="00040FB4"/>
    <w:rsid w:val="000410A6"/>
    <w:rsid w:val="00041220"/>
    <w:rsid w:val="00041483"/>
    <w:rsid w:val="000414D2"/>
    <w:rsid w:val="000416BF"/>
    <w:rsid w:val="00041727"/>
    <w:rsid w:val="0004178C"/>
    <w:rsid w:val="00041A04"/>
    <w:rsid w:val="00041E6D"/>
    <w:rsid w:val="00041F5D"/>
    <w:rsid w:val="00042197"/>
    <w:rsid w:val="0004284C"/>
    <w:rsid w:val="0004296A"/>
    <w:rsid w:val="00042A36"/>
    <w:rsid w:val="00042ACD"/>
    <w:rsid w:val="000431C7"/>
    <w:rsid w:val="0004349F"/>
    <w:rsid w:val="000434F9"/>
    <w:rsid w:val="0004369A"/>
    <w:rsid w:val="00043741"/>
    <w:rsid w:val="00043A98"/>
    <w:rsid w:val="00043C45"/>
    <w:rsid w:val="00043FE0"/>
    <w:rsid w:val="00044092"/>
    <w:rsid w:val="000440AB"/>
    <w:rsid w:val="000440DC"/>
    <w:rsid w:val="000440E2"/>
    <w:rsid w:val="000441A2"/>
    <w:rsid w:val="00044277"/>
    <w:rsid w:val="000442D3"/>
    <w:rsid w:val="000443A6"/>
    <w:rsid w:val="00044451"/>
    <w:rsid w:val="00044806"/>
    <w:rsid w:val="000449C0"/>
    <w:rsid w:val="000449D1"/>
    <w:rsid w:val="00044EAC"/>
    <w:rsid w:val="00044F3D"/>
    <w:rsid w:val="0004520A"/>
    <w:rsid w:val="000452B1"/>
    <w:rsid w:val="000452E5"/>
    <w:rsid w:val="00045752"/>
    <w:rsid w:val="00045772"/>
    <w:rsid w:val="000457E4"/>
    <w:rsid w:val="00045AC7"/>
    <w:rsid w:val="00045B8D"/>
    <w:rsid w:val="00045CC5"/>
    <w:rsid w:val="00045E26"/>
    <w:rsid w:val="00045F41"/>
    <w:rsid w:val="00046152"/>
    <w:rsid w:val="00046338"/>
    <w:rsid w:val="00046404"/>
    <w:rsid w:val="000467FE"/>
    <w:rsid w:val="0004682C"/>
    <w:rsid w:val="00046926"/>
    <w:rsid w:val="000469F6"/>
    <w:rsid w:val="00046B6A"/>
    <w:rsid w:val="00046BC2"/>
    <w:rsid w:val="00046DAA"/>
    <w:rsid w:val="00046DF1"/>
    <w:rsid w:val="00046F71"/>
    <w:rsid w:val="0004707A"/>
    <w:rsid w:val="000470E9"/>
    <w:rsid w:val="0004710E"/>
    <w:rsid w:val="00047268"/>
    <w:rsid w:val="000472D4"/>
    <w:rsid w:val="000475FC"/>
    <w:rsid w:val="00047DAF"/>
    <w:rsid w:val="00047F84"/>
    <w:rsid w:val="00050017"/>
    <w:rsid w:val="0005028D"/>
    <w:rsid w:val="00050314"/>
    <w:rsid w:val="000506F8"/>
    <w:rsid w:val="00050899"/>
    <w:rsid w:val="00050A78"/>
    <w:rsid w:val="00050E79"/>
    <w:rsid w:val="00050FB1"/>
    <w:rsid w:val="00051869"/>
    <w:rsid w:val="00051922"/>
    <w:rsid w:val="00051B27"/>
    <w:rsid w:val="00051D3A"/>
    <w:rsid w:val="00051D81"/>
    <w:rsid w:val="000521B3"/>
    <w:rsid w:val="000521FE"/>
    <w:rsid w:val="0005275F"/>
    <w:rsid w:val="00052953"/>
    <w:rsid w:val="00052DD3"/>
    <w:rsid w:val="0005326D"/>
    <w:rsid w:val="0005353F"/>
    <w:rsid w:val="00053950"/>
    <w:rsid w:val="00053983"/>
    <w:rsid w:val="00053992"/>
    <w:rsid w:val="00053C63"/>
    <w:rsid w:val="00053C89"/>
    <w:rsid w:val="00053F68"/>
    <w:rsid w:val="00053F6C"/>
    <w:rsid w:val="00054095"/>
    <w:rsid w:val="0005409C"/>
    <w:rsid w:val="0005450F"/>
    <w:rsid w:val="000546A2"/>
    <w:rsid w:val="00054825"/>
    <w:rsid w:val="000548F6"/>
    <w:rsid w:val="00054935"/>
    <w:rsid w:val="00054A41"/>
    <w:rsid w:val="000553C9"/>
    <w:rsid w:val="000554B1"/>
    <w:rsid w:val="00055503"/>
    <w:rsid w:val="00055627"/>
    <w:rsid w:val="00055685"/>
    <w:rsid w:val="00055A6D"/>
    <w:rsid w:val="00055AEB"/>
    <w:rsid w:val="00055CCC"/>
    <w:rsid w:val="00055F93"/>
    <w:rsid w:val="00056047"/>
    <w:rsid w:val="000560CC"/>
    <w:rsid w:val="0005667E"/>
    <w:rsid w:val="00056B6A"/>
    <w:rsid w:val="00056C22"/>
    <w:rsid w:val="00056D36"/>
    <w:rsid w:val="0005742C"/>
    <w:rsid w:val="00057440"/>
    <w:rsid w:val="00057835"/>
    <w:rsid w:val="00057869"/>
    <w:rsid w:val="00057984"/>
    <w:rsid w:val="00057BE3"/>
    <w:rsid w:val="00057FAF"/>
    <w:rsid w:val="00060135"/>
    <w:rsid w:val="0006019C"/>
    <w:rsid w:val="000601EE"/>
    <w:rsid w:val="000606B4"/>
    <w:rsid w:val="000608C1"/>
    <w:rsid w:val="00060944"/>
    <w:rsid w:val="00060A0C"/>
    <w:rsid w:val="00060CE6"/>
    <w:rsid w:val="000611BD"/>
    <w:rsid w:val="0006138F"/>
    <w:rsid w:val="000613DF"/>
    <w:rsid w:val="0006156D"/>
    <w:rsid w:val="000616FC"/>
    <w:rsid w:val="000619C7"/>
    <w:rsid w:val="00061E7C"/>
    <w:rsid w:val="00061EA7"/>
    <w:rsid w:val="00062041"/>
    <w:rsid w:val="00062072"/>
    <w:rsid w:val="0006257C"/>
    <w:rsid w:val="0006298D"/>
    <w:rsid w:val="00062A86"/>
    <w:rsid w:val="00062B7F"/>
    <w:rsid w:val="00062EF1"/>
    <w:rsid w:val="000630C2"/>
    <w:rsid w:val="0006339C"/>
    <w:rsid w:val="00063505"/>
    <w:rsid w:val="000635E9"/>
    <w:rsid w:val="00063E6F"/>
    <w:rsid w:val="0006422C"/>
    <w:rsid w:val="00064310"/>
    <w:rsid w:val="000643EC"/>
    <w:rsid w:val="00064553"/>
    <w:rsid w:val="00064783"/>
    <w:rsid w:val="000647C2"/>
    <w:rsid w:val="000649A9"/>
    <w:rsid w:val="00064A30"/>
    <w:rsid w:val="00064D9A"/>
    <w:rsid w:val="00064E01"/>
    <w:rsid w:val="0006513D"/>
    <w:rsid w:val="00065956"/>
    <w:rsid w:val="00065D6E"/>
    <w:rsid w:val="00066069"/>
    <w:rsid w:val="000665A5"/>
    <w:rsid w:val="0006661B"/>
    <w:rsid w:val="000667E7"/>
    <w:rsid w:val="000667ED"/>
    <w:rsid w:val="0006687B"/>
    <w:rsid w:val="0006698B"/>
    <w:rsid w:val="00066E6B"/>
    <w:rsid w:val="000677EF"/>
    <w:rsid w:val="00067858"/>
    <w:rsid w:val="00067911"/>
    <w:rsid w:val="00067A24"/>
    <w:rsid w:val="00067E7E"/>
    <w:rsid w:val="000700C5"/>
    <w:rsid w:val="0007021F"/>
    <w:rsid w:val="00070459"/>
    <w:rsid w:val="00070734"/>
    <w:rsid w:val="0007085B"/>
    <w:rsid w:val="00070937"/>
    <w:rsid w:val="0007096A"/>
    <w:rsid w:val="000709A0"/>
    <w:rsid w:val="00070B00"/>
    <w:rsid w:val="00071523"/>
    <w:rsid w:val="00071733"/>
    <w:rsid w:val="000719FD"/>
    <w:rsid w:val="00071A4E"/>
    <w:rsid w:val="00071BBB"/>
    <w:rsid w:val="00071E6E"/>
    <w:rsid w:val="00071F88"/>
    <w:rsid w:val="00071F9B"/>
    <w:rsid w:val="0007220D"/>
    <w:rsid w:val="0007231E"/>
    <w:rsid w:val="00072845"/>
    <w:rsid w:val="000731B8"/>
    <w:rsid w:val="0007333B"/>
    <w:rsid w:val="000738AC"/>
    <w:rsid w:val="00073E56"/>
    <w:rsid w:val="00074199"/>
    <w:rsid w:val="00074380"/>
    <w:rsid w:val="0007450C"/>
    <w:rsid w:val="0007458B"/>
    <w:rsid w:val="000748D5"/>
    <w:rsid w:val="00074E14"/>
    <w:rsid w:val="00075060"/>
    <w:rsid w:val="000751E0"/>
    <w:rsid w:val="000753C1"/>
    <w:rsid w:val="0007543C"/>
    <w:rsid w:val="0007545A"/>
    <w:rsid w:val="000759C5"/>
    <w:rsid w:val="00075DC7"/>
    <w:rsid w:val="00076232"/>
    <w:rsid w:val="00076317"/>
    <w:rsid w:val="000763AF"/>
    <w:rsid w:val="00076658"/>
    <w:rsid w:val="00076CD8"/>
    <w:rsid w:val="00076EBF"/>
    <w:rsid w:val="00076EC8"/>
    <w:rsid w:val="00076F06"/>
    <w:rsid w:val="00076F83"/>
    <w:rsid w:val="000772BF"/>
    <w:rsid w:val="000774F0"/>
    <w:rsid w:val="000775F8"/>
    <w:rsid w:val="00077620"/>
    <w:rsid w:val="00077785"/>
    <w:rsid w:val="00077810"/>
    <w:rsid w:val="00077DB8"/>
    <w:rsid w:val="00080002"/>
    <w:rsid w:val="0008014C"/>
    <w:rsid w:val="0008020A"/>
    <w:rsid w:val="00080241"/>
    <w:rsid w:val="00080766"/>
    <w:rsid w:val="0008079A"/>
    <w:rsid w:val="000807F8"/>
    <w:rsid w:val="00080A47"/>
    <w:rsid w:val="00080A9D"/>
    <w:rsid w:val="00080E05"/>
    <w:rsid w:val="0008122B"/>
    <w:rsid w:val="00081778"/>
    <w:rsid w:val="000817AF"/>
    <w:rsid w:val="00081B92"/>
    <w:rsid w:val="00081C69"/>
    <w:rsid w:val="00081CFA"/>
    <w:rsid w:val="00081D10"/>
    <w:rsid w:val="00081E9E"/>
    <w:rsid w:val="00082162"/>
    <w:rsid w:val="0008243F"/>
    <w:rsid w:val="000826BB"/>
    <w:rsid w:val="00082C62"/>
    <w:rsid w:val="00082D73"/>
    <w:rsid w:val="00083255"/>
    <w:rsid w:val="00083460"/>
    <w:rsid w:val="00083572"/>
    <w:rsid w:val="0008375D"/>
    <w:rsid w:val="0008377B"/>
    <w:rsid w:val="000839F7"/>
    <w:rsid w:val="00083B54"/>
    <w:rsid w:val="00083BE6"/>
    <w:rsid w:val="00083DF0"/>
    <w:rsid w:val="00084126"/>
    <w:rsid w:val="000843FF"/>
    <w:rsid w:val="000846F9"/>
    <w:rsid w:val="000847A5"/>
    <w:rsid w:val="000847E6"/>
    <w:rsid w:val="00084A1E"/>
    <w:rsid w:val="00084AAC"/>
    <w:rsid w:val="00084C37"/>
    <w:rsid w:val="00084E15"/>
    <w:rsid w:val="00085030"/>
    <w:rsid w:val="00085290"/>
    <w:rsid w:val="00085318"/>
    <w:rsid w:val="00085447"/>
    <w:rsid w:val="00085670"/>
    <w:rsid w:val="000856BC"/>
    <w:rsid w:val="00085707"/>
    <w:rsid w:val="000857F6"/>
    <w:rsid w:val="0008587E"/>
    <w:rsid w:val="00085A1B"/>
    <w:rsid w:val="00085F4F"/>
    <w:rsid w:val="000860CD"/>
    <w:rsid w:val="0008642D"/>
    <w:rsid w:val="00086612"/>
    <w:rsid w:val="00086E6B"/>
    <w:rsid w:val="000870B6"/>
    <w:rsid w:val="00087108"/>
    <w:rsid w:val="0008722D"/>
    <w:rsid w:val="000873B3"/>
    <w:rsid w:val="00087465"/>
    <w:rsid w:val="0008755D"/>
    <w:rsid w:val="0008793E"/>
    <w:rsid w:val="0008798E"/>
    <w:rsid w:val="00087BE3"/>
    <w:rsid w:val="00087E4D"/>
    <w:rsid w:val="00087E80"/>
    <w:rsid w:val="0009020D"/>
    <w:rsid w:val="000904E1"/>
    <w:rsid w:val="00090613"/>
    <w:rsid w:val="00090BD1"/>
    <w:rsid w:val="00090CEC"/>
    <w:rsid w:val="0009103B"/>
    <w:rsid w:val="000916C9"/>
    <w:rsid w:val="00091857"/>
    <w:rsid w:val="00091A8F"/>
    <w:rsid w:val="00091AEF"/>
    <w:rsid w:val="00091B6D"/>
    <w:rsid w:val="00091B7A"/>
    <w:rsid w:val="00091C59"/>
    <w:rsid w:val="00091F35"/>
    <w:rsid w:val="00091FE0"/>
    <w:rsid w:val="000920B4"/>
    <w:rsid w:val="000920DB"/>
    <w:rsid w:val="00092232"/>
    <w:rsid w:val="000928DA"/>
    <w:rsid w:val="0009293B"/>
    <w:rsid w:val="00092987"/>
    <w:rsid w:val="000929A0"/>
    <w:rsid w:val="00092A21"/>
    <w:rsid w:val="00092E94"/>
    <w:rsid w:val="000931D1"/>
    <w:rsid w:val="0009350B"/>
    <w:rsid w:val="000935EE"/>
    <w:rsid w:val="00093728"/>
    <w:rsid w:val="00093D9A"/>
    <w:rsid w:val="000941F3"/>
    <w:rsid w:val="000945C7"/>
    <w:rsid w:val="000945E1"/>
    <w:rsid w:val="00094656"/>
    <w:rsid w:val="00094664"/>
    <w:rsid w:val="00094824"/>
    <w:rsid w:val="00094918"/>
    <w:rsid w:val="00094930"/>
    <w:rsid w:val="00094A28"/>
    <w:rsid w:val="00094D0A"/>
    <w:rsid w:val="00094E16"/>
    <w:rsid w:val="00094E6E"/>
    <w:rsid w:val="00095147"/>
    <w:rsid w:val="000956A8"/>
    <w:rsid w:val="0009576D"/>
    <w:rsid w:val="000958E0"/>
    <w:rsid w:val="0009592D"/>
    <w:rsid w:val="00095B1F"/>
    <w:rsid w:val="00095BB1"/>
    <w:rsid w:val="00095C40"/>
    <w:rsid w:val="00095D05"/>
    <w:rsid w:val="00095E54"/>
    <w:rsid w:val="00096028"/>
    <w:rsid w:val="0009627C"/>
    <w:rsid w:val="000962BE"/>
    <w:rsid w:val="0009638E"/>
    <w:rsid w:val="00096949"/>
    <w:rsid w:val="00096B52"/>
    <w:rsid w:val="00096B8B"/>
    <w:rsid w:val="00096C58"/>
    <w:rsid w:val="0009707A"/>
    <w:rsid w:val="000974FF"/>
    <w:rsid w:val="00097810"/>
    <w:rsid w:val="000978F9"/>
    <w:rsid w:val="00097938"/>
    <w:rsid w:val="00097A6D"/>
    <w:rsid w:val="00097D9C"/>
    <w:rsid w:val="00097DBF"/>
    <w:rsid w:val="000A028A"/>
    <w:rsid w:val="000A0319"/>
    <w:rsid w:val="000A052E"/>
    <w:rsid w:val="000A0550"/>
    <w:rsid w:val="000A0601"/>
    <w:rsid w:val="000A0673"/>
    <w:rsid w:val="000A0EA3"/>
    <w:rsid w:val="000A0EA6"/>
    <w:rsid w:val="000A0F8C"/>
    <w:rsid w:val="000A1087"/>
    <w:rsid w:val="000A10BF"/>
    <w:rsid w:val="000A10CB"/>
    <w:rsid w:val="000A13D9"/>
    <w:rsid w:val="000A147E"/>
    <w:rsid w:val="000A160D"/>
    <w:rsid w:val="000A16B9"/>
    <w:rsid w:val="000A1905"/>
    <w:rsid w:val="000A1E81"/>
    <w:rsid w:val="000A1F22"/>
    <w:rsid w:val="000A1F2A"/>
    <w:rsid w:val="000A2064"/>
    <w:rsid w:val="000A22C9"/>
    <w:rsid w:val="000A2461"/>
    <w:rsid w:val="000A2867"/>
    <w:rsid w:val="000A291A"/>
    <w:rsid w:val="000A29E9"/>
    <w:rsid w:val="000A2AC8"/>
    <w:rsid w:val="000A2ACD"/>
    <w:rsid w:val="000A2B65"/>
    <w:rsid w:val="000A2D30"/>
    <w:rsid w:val="000A2DA8"/>
    <w:rsid w:val="000A2E6A"/>
    <w:rsid w:val="000A30B1"/>
    <w:rsid w:val="000A3186"/>
    <w:rsid w:val="000A367A"/>
    <w:rsid w:val="000A37DE"/>
    <w:rsid w:val="000A37ED"/>
    <w:rsid w:val="000A3DF2"/>
    <w:rsid w:val="000A4AB3"/>
    <w:rsid w:val="000A4CE6"/>
    <w:rsid w:val="000A4D3D"/>
    <w:rsid w:val="000A4D8D"/>
    <w:rsid w:val="000A4F7F"/>
    <w:rsid w:val="000A4F9E"/>
    <w:rsid w:val="000A52E8"/>
    <w:rsid w:val="000A55A4"/>
    <w:rsid w:val="000A5664"/>
    <w:rsid w:val="000A5A4E"/>
    <w:rsid w:val="000A5BC2"/>
    <w:rsid w:val="000A5C21"/>
    <w:rsid w:val="000A5C47"/>
    <w:rsid w:val="000A5DC2"/>
    <w:rsid w:val="000A61F4"/>
    <w:rsid w:val="000A629E"/>
    <w:rsid w:val="000A6B30"/>
    <w:rsid w:val="000A6BE1"/>
    <w:rsid w:val="000A6E30"/>
    <w:rsid w:val="000A7169"/>
    <w:rsid w:val="000A72A3"/>
    <w:rsid w:val="000A7316"/>
    <w:rsid w:val="000A771C"/>
    <w:rsid w:val="000A7AF6"/>
    <w:rsid w:val="000A7CD9"/>
    <w:rsid w:val="000A7D9A"/>
    <w:rsid w:val="000A7DF5"/>
    <w:rsid w:val="000B0150"/>
    <w:rsid w:val="000B02CE"/>
    <w:rsid w:val="000B0408"/>
    <w:rsid w:val="000B0977"/>
    <w:rsid w:val="000B097B"/>
    <w:rsid w:val="000B0B7D"/>
    <w:rsid w:val="000B0C34"/>
    <w:rsid w:val="000B0D08"/>
    <w:rsid w:val="000B0E59"/>
    <w:rsid w:val="000B11A7"/>
    <w:rsid w:val="000B1213"/>
    <w:rsid w:val="000B15BB"/>
    <w:rsid w:val="000B18FB"/>
    <w:rsid w:val="000B1B1B"/>
    <w:rsid w:val="000B1EC4"/>
    <w:rsid w:val="000B2129"/>
    <w:rsid w:val="000B22A9"/>
    <w:rsid w:val="000B29AB"/>
    <w:rsid w:val="000B2B40"/>
    <w:rsid w:val="000B2D15"/>
    <w:rsid w:val="000B2E1C"/>
    <w:rsid w:val="000B2EF2"/>
    <w:rsid w:val="000B3330"/>
    <w:rsid w:val="000B340A"/>
    <w:rsid w:val="000B3473"/>
    <w:rsid w:val="000B3720"/>
    <w:rsid w:val="000B37FB"/>
    <w:rsid w:val="000B38BE"/>
    <w:rsid w:val="000B39A4"/>
    <w:rsid w:val="000B41A7"/>
    <w:rsid w:val="000B4213"/>
    <w:rsid w:val="000B426F"/>
    <w:rsid w:val="000B43B8"/>
    <w:rsid w:val="000B4A33"/>
    <w:rsid w:val="000B4C49"/>
    <w:rsid w:val="000B4CE4"/>
    <w:rsid w:val="000B502C"/>
    <w:rsid w:val="000B5816"/>
    <w:rsid w:val="000B59F1"/>
    <w:rsid w:val="000B5D82"/>
    <w:rsid w:val="000B64E8"/>
    <w:rsid w:val="000B6B0A"/>
    <w:rsid w:val="000B6C7B"/>
    <w:rsid w:val="000B6CF0"/>
    <w:rsid w:val="000B6DB0"/>
    <w:rsid w:val="000B6DBB"/>
    <w:rsid w:val="000B6E2F"/>
    <w:rsid w:val="000B6E38"/>
    <w:rsid w:val="000B6F59"/>
    <w:rsid w:val="000B703D"/>
    <w:rsid w:val="000B703E"/>
    <w:rsid w:val="000B720C"/>
    <w:rsid w:val="000B72F4"/>
    <w:rsid w:val="000B7665"/>
    <w:rsid w:val="000B7704"/>
    <w:rsid w:val="000B7A50"/>
    <w:rsid w:val="000B7D32"/>
    <w:rsid w:val="000C06A0"/>
    <w:rsid w:val="000C0A1B"/>
    <w:rsid w:val="000C0C18"/>
    <w:rsid w:val="000C12B6"/>
    <w:rsid w:val="000C1470"/>
    <w:rsid w:val="000C15D6"/>
    <w:rsid w:val="000C172C"/>
    <w:rsid w:val="000C1A20"/>
    <w:rsid w:val="000C1C67"/>
    <w:rsid w:val="000C1CE1"/>
    <w:rsid w:val="000C2151"/>
    <w:rsid w:val="000C21A5"/>
    <w:rsid w:val="000C22FC"/>
    <w:rsid w:val="000C26BD"/>
    <w:rsid w:val="000C2D59"/>
    <w:rsid w:val="000C2E67"/>
    <w:rsid w:val="000C2ECA"/>
    <w:rsid w:val="000C2F78"/>
    <w:rsid w:val="000C3221"/>
    <w:rsid w:val="000C3756"/>
    <w:rsid w:val="000C37C2"/>
    <w:rsid w:val="000C3C74"/>
    <w:rsid w:val="000C3DDD"/>
    <w:rsid w:val="000C3E03"/>
    <w:rsid w:val="000C404E"/>
    <w:rsid w:val="000C40D7"/>
    <w:rsid w:val="000C40DB"/>
    <w:rsid w:val="000C4525"/>
    <w:rsid w:val="000C4563"/>
    <w:rsid w:val="000C48C9"/>
    <w:rsid w:val="000C4C77"/>
    <w:rsid w:val="000C4E7D"/>
    <w:rsid w:val="000C4EEC"/>
    <w:rsid w:val="000C5043"/>
    <w:rsid w:val="000C5775"/>
    <w:rsid w:val="000C58AC"/>
    <w:rsid w:val="000C5A6F"/>
    <w:rsid w:val="000C5C94"/>
    <w:rsid w:val="000C617D"/>
    <w:rsid w:val="000C639D"/>
    <w:rsid w:val="000C647F"/>
    <w:rsid w:val="000C6671"/>
    <w:rsid w:val="000C6709"/>
    <w:rsid w:val="000C67B6"/>
    <w:rsid w:val="000C6A24"/>
    <w:rsid w:val="000C6B06"/>
    <w:rsid w:val="000C6B23"/>
    <w:rsid w:val="000C6D32"/>
    <w:rsid w:val="000C6D7E"/>
    <w:rsid w:val="000C6EE9"/>
    <w:rsid w:val="000C74C3"/>
    <w:rsid w:val="000C75F8"/>
    <w:rsid w:val="000C7C46"/>
    <w:rsid w:val="000C7D92"/>
    <w:rsid w:val="000C7DB3"/>
    <w:rsid w:val="000C7EB3"/>
    <w:rsid w:val="000D0030"/>
    <w:rsid w:val="000D021C"/>
    <w:rsid w:val="000D034C"/>
    <w:rsid w:val="000D03C1"/>
    <w:rsid w:val="000D07B6"/>
    <w:rsid w:val="000D0A7A"/>
    <w:rsid w:val="000D0AF7"/>
    <w:rsid w:val="000D0D56"/>
    <w:rsid w:val="000D1206"/>
    <w:rsid w:val="000D1283"/>
    <w:rsid w:val="000D1324"/>
    <w:rsid w:val="000D142D"/>
    <w:rsid w:val="000D18D4"/>
    <w:rsid w:val="000D1AE0"/>
    <w:rsid w:val="000D1B52"/>
    <w:rsid w:val="000D1B58"/>
    <w:rsid w:val="000D1F51"/>
    <w:rsid w:val="000D2043"/>
    <w:rsid w:val="000D23E4"/>
    <w:rsid w:val="000D24E4"/>
    <w:rsid w:val="000D25AF"/>
    <w:rsid w:val="000D25F4"/>
    <w:rsid w:val="000D288A"/>
    <w:rsid w:val="000D299B"/>
    <w:rsid w:val="000D2BFF"/>
    <w:rsid w:val="000D2F11"/>
    <w:rsid w:val="000D2F52"/>
    <w:rsid w:val="000D3145"/>
    <w:rsid w:val="000D3831"/>
    <w:rsid w:val="000D38F1"/>
    <w:rsid w:val="000D3A98"/>
    <w:rsid w:val="000D3B1A"/>
    <w:rsid w:val="000D3C5C"/>
    <w:rsid w:val="000D3DC5"/>
    <w:rsid w:val="000D3E8C"/>
    <w:rsid w:val="000D4026"/>
    <w:rsid w:val="000D42B2"/>
    <w:rsid w:val="000D4769"/>
    <w:rsid w:val="000D4966"/>
    <w:rsid w:val="000D4979"/>
    <w:rsid w:val="000D4A02"/>
    <w:rsid w:val="000D4A0A"/>
    <w:rsid w:val="000D4C1B"/>
    <w:rsid w:val="000D4D42"/>
    <w:rsid w:val="000D5523"/>
    <w:rsid w:val="000D5585"/>
    <w:rsid w:val="000D5749"/>
    <w:rsid w:val="000D589B"/>
    <w:rsid w:val="000D596B"/>
    <w:rsid w:val="000D5AF8"/>
    <w:rsid w:val="000D5C97"/>
    <w:rsid w:val="000D5CA7"/>
    <w:rsid w:val="000D5D7E"/>
    <w:rsid w:val="000D5E9B"/>
    <w:rsid w:val="000D5F47"/>
    <w:rsid w:val="000D631C"/>
    <w:rsid w:val="000D6437"/>
    <w:rsid w:val="000D660A"/>
    <w:rsid w:val="000D6C96"/>
    <w:rsid w:val="000D6E6F"/>
    <w:rsid w:val="000D6F19"/>
    <w:rsid w:val="000D705C"/>
    <w:rsid w:val="000D71B2"/>
    <w:rsid w:val="000D734B"/>
    <w:rsid w:val="000D7598"/>
    <w:rsid w:val="000D7888"/>
    <w:rsid w:val="000D7ABB"/>
    <w:rsid w:val="000D7DDD"/>
    <w:rsid w:val="000D7F12"/>
    <w:rsid w:val="000E001A"/>
    <w:rsid w:val="000E0048"/>
    <w:rsid w:val="000E0109"/>
    <w:rsid w:val="000E01A2"/>
    <w:rsid w:val="000E02F1"/>
    <w:rsid w:val="000E0381"/>
    <w:rsid w:val="000E03DC"/>
    <w:rsid w:val="000E0620"/>
    <w:rsid w:val="000E0649"/>
    <w:rsid w:val="000E0AF6"/>
    <w:rsid w:val="000E0B59"/>
    <w:rsid w:val="000E0BBA"/>
    <w:rsid w:val="000E0D7B"/>
    <w:rsid w:val="000E0E11"/>
    <w:rsid w:val="000E0E4B"/>
    <w:rsid w:val="000E0F6C"/>
    <w:rsid w:val="000E102B"/>
    <w:rsid w:val="000E10FC"/>
    <w:rsid w:val="000E1124"/>
    <w:rsid w:val="000E138E"/>
    <w:rsid w:val="000E148C"/>
    <w:rsid w:val="000E1C93"/>
    <w:rsid w:val="000E1E2E"/>
    <w:rsid w:val="000E24FE"/>
    <w:rsid w:val="000E2631"/>
    <w:rsid w:val="000E27D0"/>
    <w:rsid w:val="000E2953"/>
    <w:rsid w:val="000E31A2"/>
    <w:rsid w:val="000E3228"/>
    <w:rsid w:val="000E32AE"/>
    <w:rsid w:val="000E3435"/>
    <w:rsid w:val="000E3538"/>
    <w:rsid w:val="000E378C"/>
    <w:rsid w:val="000E397B"/>
    <w:rsid w:val="000E3A26"/>
    <w:rsid w:val="000E404E"/>
    <w:rsid w:val="000E4235"/>
    <w:rsid w:val="000E431E"/>
    <w:rsid w:val="000E4528"/>
    <w:rsid w:val="000E46FF"/>
    <w:rsid w:val="000E476D"/>
    <w:rsid w:val="000E493D"/>
    <w:rsid w:val="000E4BF7"/>
    <w:rsid w:val="000E4D82"/>
    <w:rsid w:val="000E4DFC"/>
    <w:rsid w:val="000E4F1C"/>
    <w:rsid w:val="000E5531"/>
    <w:rsid w:val="000E565C"/>
    <w:rsid w:val="000E591F"/>
    <w:rsid w:val="000E594B"/>
    <w:rsid w:val="000E5D9F"/>
    <w:rsid w:val="000E5E6F"/>
    <w:rsid w:val="000E6410"/>
    <w:rsid w:val="000E6673"/>
    <w:rsid w:val="000E66E7"/>
    <w:rsid w:val="000E678B"/>
    <w:rsid w:val="000E6806"/>
    <w:rsid w:val="000E6856"/>
    <w:rsid w:val="000E6A7B"/>
    <w:rsid w:val="000E6B4A"/>
    <w:rsid w:val="000E6C62"/>
    <w:rsid w:val="000E6F27"/>
    <w:rsid w:val="000E708A"/>
    <w:rsid w:val="000E70B7"/>
    <w:rsid w:val="000E711F"/>
    <w:rsid w:val="000E7501"/>
    <w:rsid w:val="000E7745"/>
    <w:rsid w:val="000E775D"/>
    <w:rsid w:val="000E79E2"/>
    <w:rsid w:val="000E7AD9"/>
    <w:rsid w:val="000E7BE9"/>
    <w:rsid w:val="000E7D1F"/>
    <w:rsid w:val="000E7F9D"/>
    <w:rsid w:val="000F0126"/>
    <w:rsid w:val="000F030D"/>
    <w:rsid w:val="000F0651"/>
    <w:rsid w:val="000F081C"/>
    <w:rsid w:val="000F0A7A"/>
    <w:rsid w:val="000F0A84"/>
    <w:rsid w:val="000F120F"/>
    <w:rsid w:val="000F1802"/>
    <w:rsid w:val="000F18C9"/>
    <w:rsid w:val="000F1A35"/>
    <w:rsid w:val="000F1D05"/>
    <w:rsid w:val="000F1D2D"/>
    <w:rsid w:val="000F20E4"/>
    <w:rsid w:val="000F219D"/>
    <w:rsid w:val="000F21EA"/>
    <w:rsid w:val="000F24EB"/>
    <w:rsid w:val="000F2A67"/>
    <w:rsid w:val="000F2E01"/>
    <w:rsid w:val="000F2F9C"/>
    <w:rsid w:val="000F3503"/>
    <w:rsid w:val="000F36AB"/>
    <w:rsid w:val="000F3826"/>
    <w:rsid w:val="000F392F"/>
    <w:rsid w:val="000F3CB0"/>
    <w:rsid w:val="000F3E47"/>
    <w:rsid w:val="000F3F4F"/>
    <w:rsid w:val="000F40BA"/>
    <w:rsid w:val="000F45C7"/>
    <w:rsid w:val="000F4913"/>
    <w:rsid w:val="000F4ADD"/>
    <w:rsid w:val="000F4C60"/>
    <w:rsid w:val="000F5021"/>
    <w:rsid w:val="000F50A5"/>
    <w:rsid w:val="000F52DA"/>
    <w:rsid w:val="000F52FA"/>
    <w:rsid w:val="000F56E3"/>
    <w:rsid w:val="000F590C"/>
    <w:rsid w:val="000F5A54"/>
    <w:rsid w:val="000F5B72"/>
    <w:rsid w:val="000F5D21"/>
    <w:rsid w:val="000F631D"/>
    <w:rsid w:val="000F64BE"/>
    <w:rsid w:val="000F667C"/>
    <w:rsid w:val="000F674B"/>
    <w:rsid w:val="000F6B40"/>
    <w:rsid w:val="000F6D9B"/>
    <w:rsid w:val="000F75FA"/>
    <w:rsid w:val="000F7741"/>
    <w:rsid w:val="000F7987"/>
    <w:rsid w:val="000F7A17"/>
    <w:rsid w:val="000F7B9D"/>
    <w:rsid w:val="000F7C4B"/>
    <w:rsid w:val="000F7E8C"/>
    <w:rsid w:val="0010009D"/>
    <w:rsid w:val="00100311"/>
    <w:rsid w:val="0010051C"/>
    <w:rsid w:val="00100C39"/>
    <w:rsid w:val="001015A6"/>
    <w:rsid w:val="00101625"/>
    <w:rsid w:val="001016EB"/>
    <w:rsid w:val="0010173B"/>
    <w:rsid w:val="0010175F"/>
    <w:rsid w:val="00101A8F"/>
    <w:rsid w:val="00101AC8"/>
    <w:rsid w:val="00101F74"/>
    <w:rsid w:val="00101FDB"/>
    <w:rsid w:val="00102041"/>
    <w:rsid w:val="0010249D"/>
    <w:rsid w:val="001024CF"/>
    <w:rsid w:val="0010257B"/>
    <w:rsid w:val="0010265B"/>
    <w:rsid w:val="001028E5"/>
    <w:rsid w:val="00102E77"/>
    <w:rsid w:val="00103134"/>
    <w:rsid w:val="00103241"/>
    <w:rsid w:val="00103602"/>
    <w:rsid w:val="0010371A"/>
    <w:rsid w:val="001037F0"/>
    <w:rsid w:val="00103872"/>
    <w:rsid w:val="00103E0D"/>
    <w:rsid w:val="00104046"/>
    <w:rsid w:val="0010410B"/>
    <w:rsid w:val="00104126"/>
    <w:rsid w:val="00104371"/>
    <w:rsid w:val="0010437A"/>
    <w:rsid w:val="0010448B"/>
    <w:rsid w:val="0010452A"/>
    <w:rsid w:val="00104932"/>
    <w:rsid w:val="00104966"/>
    <w:rsid w:val="00104A90"/>
    <w:rsid w:val="00104AE9"/>
    <w:rsid w:val="00104C8A"/>
    <w:rsid w:val="00104FDB"/>
    <w:rsid w:val="001050D6"/>
    <w:rsid w:val="0010521F"/>
    <w:rsid w:val="00105252"/>
    <w:rsid w:val="001053A4"/>
    <w:rsid w:val="00105942"/>
    <w:rsid w:val="0010611F"/>
    <w:rsid w:val="0010625A"/>
    <w:rsid w:val="00106367"/>
    <w:rsid w:val="0010648C"/>
    <w:rsid w:val="00106538"/>
    <w:rsid w:val="001066CA"/>
    <w:rsid w:val="0010676E"/>
    <w:rsid w:val="00106B03"/>
    <w:rsid w:val="00106C56"/>
    <w:rsid w:val="00106CC5"/>
    <w:rsid w:val="00106DB0"/>
    <w:rsid w:val="0010714F"/>
    <w:rsid w:val="001073A6"/>
    <w:rsid w:val="00107524"/>
    <w:rsid w:val="001079BB"/>
    <w:rsid w:val="00107AA2"/>
    <w:rsid w:val="00107DCD"/>
    <w:rsid w:val="00107EF0"/>
    <w:rsid w:val="0011051C"/>
    <w:rsid w:val="0011074D"/>
    <w:rsid w:val="001108FE"/>
    <w:rsid w:val="0011095A"/>
    <w:rsid w:val="001109D1"/>
    <w:rsid w:val="00110FC8"/>
    <w:rsid w:val="00111253"/>
    <w:rsid w:val="00111417"/>
    <w:rsid w:val="0011148C"/>
    <w:rsid w:val="001115C9"/>
    <w:rsid w:val="001118BC"/>
    <w:rsid w:val="00111AB4"/>
    <w:rsid w:val="00111AF0"/>
    <w:rsid w:val="00111C9C"/>
    <w:rsid w:val="00111F19"/>
    <w:rsid w:val="00111FB9"/>
    <w:rsid w:val="001124FA"/>
    <w:rsid w:val="00112681"/>
    <w:rsid w:val="00112776"/>
    <w:rsid w:val="001129CA"/>
    <w:rsid w:val="00112A75"/>
    <w:rsid w:val="00112C5D"/>
    <w:rsid w:val="0011301B"/>
    <w:rsid w:val="0011339A"/>
    <w:rsid w:val="0011349C"/>
    <w:rsid w:val="0011369C"/>
    <w:rsid w:val="00113A24"/>
    <w:rsid w:val="00113C60"/>
    <w:rsid w:val="00113FBE"/>
    <w:rsid w:val="00114046"/>
    <w:rsid w:val="0011412D"/>
    <w:rsid w:val="001142EA"/>
    <w:rsid w:val="00114542"/>
    <w:rsid w:val="0011454A"/>
    <w:rsid w:val="0011457C"/>
    <w:rsid w:val="00114581"/>
    <w:rsid w:val="00114649"/>
    <w:rsid w:val="00114829"/>
    <w:rsid w:val="00114ADE"/>
    <w:rsid w:val="00114B14"/>
    <w:rsid w:val="00114C3B"/>
    <w:rsid w:val="00115031"/>
    <w:rsid w:val="001150D3"/>
    <w:rsid w:val="0011535D"/>
    <w:rsid w:val="0011562D"/>
    <w:rsid w:val="00115691"/>
    <w:rsid w:val="00115A3B"/>
    <w:rsid w:val="00115A5D"/>
    <w:rsid w:val="00115BAD"/>
    <w:rsid w:val="00115C1C"/>
    <w:rsid w:val="00115CA5"/>
    <w:rsid w:val="00115CE4"/>
    <w:rsid w:val="0011605A"/>
    <w:rsid w:val="001161ED"/>
    <w:rsid w:val="00116239"/>
    <w:rsid w:val="001165E2"/>
    <w:rsid w:val="00116645"/>
    <w:rsid w:val="0011665C"/>
    <w:rsid w:val="001167BE"/>
    <w:rsid w:val="00116B31"/>
    <w:rsid w:val="00116B43"/>
    <w:rsid w:val="00116CBD"/>
    <w:rsid w:val="00117039"/>
    <w:rsid w:val="00117397"/>
    <w:rsid w:val="001175E9"/>
    <w:rsid w:val="0011772B"/>
    <w:rsid w:val="00117A38"/>
    <w:rsid w:val="00117AB7"/>
    <w:rsid w:val="00117BD5"/>
    <w:rsid w:val="00117BD7"/>
    <w:rsid w:val="00117BF8"/>
    <w:rsid w:val="00117DB8"/>
    <w:rsid w:val="00117E69"/>
    <w:rsid w:val="00117F04"/>
    <w:rsid w:val="0012008E"/>
    <w:rsid w:val="00120360"/>
    <w:rsid w:val="00120BD3"/>
    <w:rsid w:val="00120C84"/>
    <w:rsid w:val="00120ED4"/>
    <w:rsid w:val="00121033"/>
    <w:rsid w:val="001210E4"/>
    <w:rsid w:val="00121169"/>
    <w:rsid w:val="001212F5"/>
    <w:rsid w:val="001218E5"/>
    <w:rsid w:val="001218E9"/>
    <w:rsid w:val="00121A91"/>
    <w:rsid w:val="00121B9A"/>
    <w:rsid w:val="00121C50"/>
    <w:rsid w:val="00121D6A"/>
    <w:rsid w:val="00121FAE"/>
    <w:rsid w:val="001221E3"/>
    <w:rsid w:val="001226E5"/>
    <w:rsid w:val="00122A23"/>
    <w:rsid w:val="00122ABD"/>
    <w:rsid w:val="00122AE3"/>
    <w:rsid w:val="00122C4A"/>
    <w:rsid w:val="00122DAE"/>
    <w:rsid w:val="00122EE1"/>
    <w:rsid w:val="00123043"/>
    <w:rsid w:val="00123185"/>
    <w:rsid w:val="0012327A"/>
    <w:rsid w:val="0012327F"/>
    <w:rsid w:val="0012344B"/>
    <w:rsid w:val="0012350D"/>
    <w:rsid w:val="00123658"/>
    <w:rsid w:val="0012373B"/>
    <w:rsid w:val="001237AF"/>
    <w:rsid w:val="00123946"/>
    <w:rsid w:val="0012395C"/>
    <w:rsid w:val="00123D29"/>
    <w:rsid w:val="00123DA9"/>
    <w:rsid w:val="00123E4D"/>
    <w:rsid w:val="00124006"/>
    <w:rsid w:val="0012455F"/>
    <w:rsid w:val="00124598"/>
    <w:rsid w:val="001247EB"/>
    <w:rsid w:val="00124B68"/>
    <w:rsid w:val="00124B6B"/>
    <w:rsid w:val="00124CB6"/>
    <w:rsid w:val="00124D10"/>
    <w:rsid w:val="00124D87"/>
    <w:rsid w:val="00124E62"/>
    <w:rsid w:val="00124F3C"/>
    <w:rsid w:val="001250E9"/>
    <w:rsid w:val="0012517D"/>
    <w:rsid w:val="0012582D"/>
    <w:rsid w:val="00125915"/>
    <w:rsid w:val="001259D5"/>
    <w:rsid w:val="00125A9B"/>
    <w:rsid w:val="00125B61"/>
    <w:rsid w:val="00125D9B"/>
    <w:rsid w:val="00126122"/>
    <w:rsid w:val="001262A6"/>
    <w:rsid w:val="001267C8"/>
    <w:rsid w:val="00126869"/>
    <w:rsid w:val="00126D17"/>
    <w:rsid w:val="00126E6C"/>
    <w:rsid w:val="00127044"/>
    <w:rsid w:val="001273DA"/>
    <w:rsid w:val="00127438"/>
    <w:rsid w:val="001276C6"/>
    <w:rsid w:val="001277AB"/>
    <w:rsid w:val="00127B22"/>
    <w:rsid w:val="00127BC8"/>
    <w:rsid w:val="00127DF3"/>
    <w:rsid w:val="00127E62"/>
    <w:rsid w:val="00127FDD"/>
    <w:rsid w:val="001302EC"/>
    <w:rsid w:val="0013048E"/>
    <w:rsid w:val="001304D2"/>
    <w:rsid w:val="00130521"/>
    <w:rsid w:val="00130738"/>
    <w:rsid w:val="00130CD4"/>
    <w:rsid w:val="00130EAC"/>
    <w:rsid w:val="00131448"/>
    <w:rsid w:val="001316C0"/>
    <w:rsid w:val="0013171B"/>
    <w:rsid w:val="00131851"/>
    <w:rsid w:val="001319D1"/>
    <w:rsid w:val="00131AF4"/>
    <w:rsid w:val="00131B7E"/>
    <w:rsid w:val="00131D45"/>
    <w:rsid w:val="001320DD"/>
    <w:rsid w:val="001320F0"/>
    <w:rsid w:val="00132774"/>
    <w:rsid w:val="00132B7F"/>
    <w:rsid w:val="00132C5F"/>
    <w:rsid w:val="00132EA5"/>
    <w:rsid w:val="001332F4"/>
    <w:rsid w:val="00133468"/>
    <w:rsid w:val="001334C7"/>
    <w:rsid w:val="001336C9"/>
    <w:rsid w:val="001336E0"/>
    <w:rsid w:val="00133928"/>
    <w:rsid w:val="00133AEF"/>
    <w:rsid w:val="00133F34"/>
    <w:rsid w:val="00133F8A"/>
    <w:rsid w:val="001340E3"/>
    <w:rsid w:val="001347FE"/>
    <w:rsid w:val="001348B1"/>
    <w:rsid w:val="001349B3"/>
    <w:rsid w:val="00135224"/>
    <w:rsid w:val="00135273"/>
    <w:rsid w:val="001354C0"/>
    <w:rsid w:val="00135788"/>
    <w:rsid w:val="00135A0C"/>
    <w:rsid w:val="00135FA9"/>
    <w:rsid w:val="00135FC9"/>
    <w:rsid w:val="00135FDE"/>
    <w:rsid w:val="001363AD"/>
    <w:rsid w:val="0013646F"/>
    <w:rsid w:val="00136778"/>
    <w:rsid w:val="00136CAA"/>
    <w:rsid w:val="00136D76"/>
    <w:rsid w:val="00136F6F"/>
    <w:rsid w:val="001371CD"/>
    <w:rsid w:val="00137881"/>
    <w:rsid w:val="00137901"/>
    <w:rsid w:val="00137C7D"/>
    <w:rsid w:val="00137FD6"/>
    <w:rsid w:val="00140352"/>
    <w:rsid w:val="00140678"/>
    <w:rsid w:val="001406A9"/>
    <w:rsid w:val="0014112A"/>
    <w:rsid w:val="00141170"/>
    <w:rsid w:val="001411B8"/>
    <w:rsid w:val="00141354"/>
    <w:rsid w:val="00141588"/>
    <w:rsid w:val="0014175F"/>
    <w:rsid w:val="0014185F"/>
    <w:rsid w:val="00141B3A"/>
    <w:rsid w:val="00141CC6"/>
    <w:rsid w:val="00141D4D"/>
    <w:rsid w:val="00141F41"/>
    <w:rsid w:val="00142175"/>
    <w:rsid w:val="0014251F"/>
    <w:rsid w:val="001428E9"/>
    <w:rsid w:val="001428FB"/>
    <w:rsid w:val="00142A24"/>
    <w:rsid w:val="00142AC8"/>
    <w:rsid w:val="0014311B"/>
    <w:rsid w:val="00143454"/>
    <w:rsid w:val="00143478"/>
    <w:rsid w:val="0014377C"/>
    <w:rsid w:val="00143BC0"/>
    <w:rsid w:val="00143D89"/>
    <w:rsid w:val="00143F2F"/>
    <w:rsid w:val="0014451E"/>
    <w:rsid w:val="0014498C"/>
    <w:rsid w:val="00144C0A"/>
    <w:rsid w:val="00144C2D"/>
    <w:rsid w:val="0014518D"/>
    <w:rsid w:val="00145830"/>
    <w:rsid w:val="00145876"/>
    <w:rsid w:val="001459E6"/>
    <w:rsid w:val="00145C88"/>
    <w:rsid w:val="00145D6F"/>
    <w:rsid w:val="00145E67"/>
    <w:rsid w:val="00146050"/>
    <w:rsid w:val="00146610"/>
    <w:rsid w:val="00146624"/>
    <w:rsid w:val="00146828"/>
    <w:rsid w:val="00146889"/>
    <w:rsid w:val="00146D48"/>
    <w:rsid w:val="00146DE6"/>
    <w:rsid w:val="00147008"/>
    <w:rsid w:val="00147076"/>
    <w:rsid w:val="00147534"/>
    <w:rsid w:val="001475F3"/>
    <w:rsid w:val="00147710"/>
    <w:rsid w:val="00147DA3"/>
    <w:rsid w:val="00147FC6"/>
    <w:rsid w:val="00150376"/>
    <w:rsid w:val="00150473"/>
    <w:rsid w:val="001507D4"/>
    <w:rsid w:val="001515DD"/>
    <w:rsid w:val="001516A3"/>
    <w:rsid w:val="00151AD0"/>
    <w:rsid w:val="00151AF0"/>
    <w:rsid w:val="00151DBD"/>
    <w:rsid w:val="001522FA"/>
    <w:rsid w:val="00152358"/>
    <w:rsid w:val="00152532"/>
    <w:rsid w:val="0015297D"/>
    <w:rsid w:val="00152B73"/>
    <w:rsid w:val="00152B88"/>
    <w:rsid w:val="00152D5B"/>
    <w:rsid w:val="00152E14"/>
    <w:rsid w:val="00152EAA"/>
    <w:rsid w:val="0015301F"/>
    <w:rsid w:val="0015302C"/>
    <w:rsid w:val="001530F5"/>
    <w:rsid w:val="001531D6"/>
    <w:rsid w:val="001532D5"/>
    <w:rsid w:val="001534F6"/>
    <w:rsid w:val="001536AF"/>
    <w:rsid w:val="00153915"/>
    <w:rsid w:val="00153B9F"/>
    <w:rsid w:val="00153BC1"/>
    <w:rsid w:val="00153BCB"/>
    <w:rsid w:val="00153C72"/>
    <w:rsid w:val="00153CD7"/>
    <w:rsid w:val="00153FFB"/>
    <w:rsid w:val="00154115"/>
    <w:rsid w:val="001544DF"/>
    <w:rsid w:val="001547D8"/>
    <w:rsid w:val="001548F6"/>
    <w:rsid w:val="00154ADD"/>
    <w:rsid w:val="00154C0A"/>
    <w:rsid w:val="00154EA6"/>
    <w:rsid w:val="001550AB"/>
    <w:rsid w:val="00155208"/>
    <w:rsid w:val="00155434"/>
    <w:rsid w:val="00155B34"/>
    <w:rsid w:val="00155BDA"/>
    <w:rsid w:val="00155FCE"/>
    <w:rsid w:val="001561A2"/>
    <w:rsid w:val="001563A8"/>
    <w:rsid w:val="001565FC"/>
    <w:rsid w:val="00156669"/>
    <w:rsid w:val="001568AD"/>
    <w:rsid w:val="00156CB4"/>
    <w:rsid w:val="00156DA4"/>
    <w:rsid w:val="00156DAA"/>
    <w:rsid w:val="00156DEE"/>
    <w:rsid w:val="00156F4F"/>
    <w:rsid w:val="00156FA7"/>
    <w:rsid w:val="001571D7"/>
    <w:rsid w:val="0015745E"/>
    <w:rsid w:val="00157700"/>
    <w:rsid w:val="00157E4B"/>
    <w:rsid w:val="0016017B"/>
    <w:rsid w:val="0016023A"/>
    <w:rsid w:val="0016035A"/>
    <w:rsid w:val="001604D1"/>
    <w:rsid w:val="001606D4"/>
    <w:rsid w:val="00160731"/>
    <w:rsid w:val="00160B80"/>
    <w:rsid w:val="00160E19"/>
    <w:rsid w:val="00160F27"/>
    <w:rsid w:val="00160FF9"/>
    <w:rsid w:val="0016129D"/>
    <w:rsid w:val="001614AF"/>
    <w:rsid w:val="00161589"/>
    <w:rsid w:val="00161717"/>
    <w:rsid w:val="0016173A"/>
    <w:rsid w:val="00161A09"/>
    <w:rsid w:val="00161B4F"/>
    <w:rsid w:val="00161BC0"/>
    <w:rsid w:val="00161D1D"/>
    <w:rsid w:val="00161EE4"/>
    <w:rsid w:val="00162296"/>
    <w:rsid w:val="001629A0"/>
    <w:rsid w:val="00162DBF"/>
    <w:rsid w:val="001630A7"/>
    <w:rsid w:val="00163AE0"/>
    <w:rsid w:val="0016414A"/>
    <w:rsid w:val="00164431"/>
    <w:rsid w:val="001649F8"/>
    <w:rsid w:val="00164A72"/>
    <w:rsid w:val="00164AA4"/>
    <w:rsid w:val="00164CB8"/>
    <w:rsid w:val="00164CF8"/>
    <w:rsid w:val="001653AE"/>
    <w:rsid w:val="00165447"/>
    <w:rsid w:val="0016558A"/>
    <w:rsid w:val="00165593"/>
    <w:rsid w:val="0016569F"/>
    <w:rsid w:val="001659D9"/>
    <w:rsid w:val="00165BDF"/>
    <w:rsid w:val="001660F0"/>
    <w:rsid w:val="00166286"/>
    <w:rsid w:val="001662BF"/>
    <w:rsid w:val="001662CB"/>
    <w:rsid w:val="001666CC"/>
    <w:rsid w:val="00166944"/>
    <w:rsid w:val="00166E23"/>
    <w:rsid w:val="00167487"/>
    <w:rsid w:val="001674A7"/>
    <w:rsid w:val="0016755D"/>
    <w:rsid w:val="001675BC"/>
    <w:rsid w:val="00167873"/>
    <w:rsid w:val="001679EE"/>
    <w:rsid w:val="00167ABD"/>
    <w:rsid w:val="00167B5A"/>
    <w:rsid w:val="00167D71"/>
    <w:rsid w:val="00167E72"/>
    <w:rsid w:val="00167EF5"/>
    <w:rsid w:val="001702BE"/>
    <w:rsid w:val="00170346"/>
    <w:rsid w:val="0017043A"/>
    <w:rsid w:val="0017047C"/>
    <w:rsid w:val="00170494"/>
    <w:rsid w:val="001705B0"/>
    <w:rsid w:val="00170687"/>
    <w:rsid w:val="001707BC"/>
    <w:rsid w:val="001708BF"/>
    <w:rsid w:val="00170A7C"/>
    <w:rsid w:val="00170A8A"/>
    <w:rsid w:val="00170D5B"/>
    <w:rsid w:val="00170F06"/>
    <w:rsid w:val="00170F71"/>
    <w:rsid w:val="00170FFE"/>
    <w:rsid w:val="0017103C"/>
    <w:rsid w:val="00171206"/>
    <w:rsid w:val="0017141B"/>
    <w:rsid w:val="00171479"/>
    <w:rsid w:val="00171B3C"/>
    <w:rsid w:val="00171B51"/>
    <w:rsid w:val="00171B7D"/>
    <w:rsid w:val="00171C84"/>
    <w:rsid w:val="00172157"/>
    <w:rsid w:val="001723EF"/>
    <w:rsid w:val="00172643"/>
    <w:rsid w:val="0017267C"/>
    <w:rsid w:val="001726B1"/>
    <w:rsid w:val="001728C3"/>
    <w:rsid w:val="001728F9"/>
    <w:rsid w:val="00172B5C"/>
    <w:rsid w:val="00172B8F"/>
    <w:rsid w:val="001731CF"/>
    <w:rsid w:val="001732AD"/>
    <w:rsid w:val="001736F8"/>
    <w:rsid w:val="00173ACE"/>
    <w:rsid w:val="00173C02"/>
    <w:rsid w:val="00173C1B"/>
    <w:rsid w:val="00173C67"/>
    <w:rsid w:val="00173D81"/>
    <w:rsid w:val="00173D85"/>
    <w:rsid w:val="00174A72"/>
    <w:rsid w:val="00174A76"/>
    <w:rsid w:val="00174C2A"/>
    <w:rsid w:val="00174CB4"/>
    <w:rsid w:val="00174E01"/>
    <w:rsid w:val="00174FBC"/>
    <w:rsid w:val="00174FD4"/>
    <w:rsid w:val="0017509A"/>
    <w:rsid w:val="00175382"/>
    <w:rsid w:val="0017545F"/>
    <w:rsid w:val="001755C8"/>
    <w:rsid w:val="001756F5"/>
    <w:rsid w:val="00175705"/>
    <w:rsid w:val="0017593C"/>
    <w:rsid w:val="00176014"/>
    <w:rsid w:val="0017623C"/>
    <w:rsid w:val="001766F0"/>
    <w:rsid w:val="00176ADF"/>
    <w:rsid w:val="00176D88"/>
    <w:rsid w:val="001770A8"/>
    <w:rsid w:val="00177184"/>
    <w:rsid w:val="0017733D"/>
    <w:rsid w:val="00177342"/>
    <w:rsid w:val="0017749E"/>
    <w:rsid w:val="001774C1"/>
    <w:rsid w:val="00177775"/>
    <w:rsid w:val="00177CEF"/>
    <w:rsid w:val="00177F46"/>
    <w:rsid w:val="0018003A"/>
    <w:rsid w:val="00180317"/>
    <w:rsid w:val="001808F8"/>
    <w:rsid w:val="001809B7"/>
    <w:rsid w:val="00180A39"/>
    <w:rsid w:val="00180BA2"/>
    <w:rsid w:val="00180C29"/>
    <w:rsid w:val="0018148D"/>
    <w:rsid w:val="00181528"/>
    <w:rsid w:val="00181945"/>
    <w:rsid w:val="00181971"/>
    <w:rsid w:val="00181975"/>
    <w:rsid w:val="00181AAF"/>
    <w:rsid w:val="00181C7F"/>
    <w:rsid w:val="00181DC4"/>
    <w:rsid w:val="00181EFC"/>
    <w:rsid w:val="00181F1F"/>
    <w:rsid w:val="00181F6B"/>
    <w:rsid w:val="001822C0"/>
    <w:rsid w:val="0018239F"/>
    <w:rsid w:val="001823B9"/>
    <w:rsid w:val="001825DF"/>
    <w:rsid w:val="0018287C"/>
    <w:rsid w:val="001828C8"/>
    <w:rsid w:val="00182EF9"/>
    <w:rsid w:val="0018390E"/>
    <w:rsid w:val="00183A69"/>
    <w:rsid w:val="00183AD8"/>
    <w:rsid w:val="00183DA4"/>
    <w:rsid w:val="00184004"/>
    <w:rsid w:val="0018405D"/>
    <w:rsid w:val="001841DC"/>
    <w:rsid w:val="001846ED"/>
    <w:rsid w:val="00184BAE"/>
    <w:rsid w:val="00184D3F"/>
    <w:rsid w:val="00184F8A"/>
    <w:rsid w:val="001850D9"/>
    <w:rsid w:val="001854AF"/>
    <w:rsid w:val="0018581B"/>
    <w:rsid w:val="00185AAD"/>
    <w:rsid w:val="00185BEF"/>
    <w:rsid w:val="00185E15"/>
    <w:rsid w:val="001867BC"/>
    <w:rsid w:val="00186C19"/>
    <w:rsid w:val="00186DBD"/>
    <w:rsid w:val="00187234"/>
    <w:rsid w:val="0018778E"/>
    <w:rsid w:val="00187A5F"/>
    <w:rsid w:val="00187AE3"/>
    <w:rsid w:val="00187C37"/>
    <w:rsid w:val="0019004A"/>
    <w:rsid w:val="001901A1"/>
    <w:rsid w:val="00190677"/>
    <w:rsid w:val="0019084B"/>
    <w:rsid w:val="001908C9"/>
    <w:rsid w:val="00190D8B"/>
    <w:rsid w:val="00190E9F"/>
    <w:rsid w:val="0019162F"/>
    <w:rsid w:val="00191C97"/>
    <w:rsid w:val="0019202E"/>
    <w:rsid w:val="00192147"/>
    <w:rsid w:val="00192196"/>
    <w:rsid w:val="00192396"/>
    <w:rsid w:val="00192620"/>
    <w:rsid w:val="00192638"/>
    <w:rsid w:val="00192DAE"/>
    <w:rsid w:val="00192E0E"/>
    <w:rsid w:val="00193248"/>
    <w:rsid w:val="0019346C"/>
    <w:rsid w:val="0019362A"/>
    <w:rsid w:val="00193676"/>
    <w:rsid w:val="00193679"/>
    <w:rsid w:val="00193837"/>
    <w:rsid w:val="00193972"/>
    <w:rsid w:val="00193A0E"/>
    <w:rsid w:val="00193AB4"/>
    <w:rsid w:val="00193BDD"/>
    <w:rsid w:val="00193C1F"/>
    <w:rsid w:val="00193FB4"/>
    <w:rsid w:val="001941BF"/>
    <w:rsid w:val="001943A1"/>
    <w:rsid w:val="00194432"/>
    <w:rsid w:val="001944FB"/>
    <w:rsid w:val="0019453D"/>
    <w:rsid w:val="00194695"/>
    <w:rsid w:val="0019474E"/>
    <w:rsid w:val="00194A70"/>
    <w:rsid w:val="00194F71"/>
    <w:rsid w:val="001950D7"/>
    <w:rsid w:val="001951FB"/>
    <w:rsid w:val="00195321"/>
    <w:rsid w:val="001954C7"/>
    <w:rsid w:val="00195728"/>
    <w:rsid w:val="001958B3"/>
    <w:rsid w:val="00195AA6"/>
    <w:rsid w:val="00195DAC"/>
    <w:rsid w:val="0019619B"/>
    <w:rsid w:val="001965C9"/>
    <w:rsid w:val="00196805"/>
    <w:rsid w:val="00196A01"/>
    <w:rsid w:val="00196B7D"/>
    <w:rsid w:val="00196BD1"/>
    <w:rsid w:val="00196EA3"/>
    <w:rsid w:val="00196F4C"/>
    <w:rsid w:val="00196F50"/>
    <w:rsid w:val="001970C0"/>
    <w:rsid w:val="001973E0"/>
    <w:rsid w:val="0019795C"/>
    <w:rsid w:val="00197A16"/>
    <w:rsid w:val="00197B48"/>
    <w:rsid w:val="00197E06"/>
    <w:rsid w:val="001A01C7"/>
    <w:rsid w:val="001A0305"/>
    <w:rsid w:val="001A058C"/>
    <w:rsid w:val="001A0615"/>
    <w:rsid w:val="001A0634"/>
    <w:rsid w:val="001A0833"/>
    <w:rsid w:val="001A089F"/>
    <w:rsid w:val="001A09CB"/>
    <w:rsid w:val="001A09CE"/>
    <w:rsid w:val="001A09EC"/>
    <w:rsid w:val="001A1477"/>
    <w:rsid w:val="001A14C7"/>
    <w:rsid w:val="001A15FE"/>
    <w:rsid w:val="001A1CB7"/>
    <w:rsid w:val="001A1D42"/>
    <w:rsid w:val="001A1D5A"/>
    <w:rsid w:val="001A1D70"/>
    <w:rsid w:val="001A228B"/>
    <w:rsid w:val="001A249B"/>
    <w:rsid w:val="001A28E1"/>
    <w:rsid w:val="001A2AD8"/>
    <w:rsid w:val="001A2BEF"/>
    <w:rsid w:val="001A2E27"/>
    <w:rsid w:val="001A3099"/>
    <w:rsid w:val="001A30F1"/>
    <w:rsid w:val="001A3104"/>
    <w:rsid w:val="001A3494"/>
    <w:rsid w:val="001A3629"/>
    <w:rsid w:val="001A3BC3"/>
    <w:rsid w:val="001A3C4A"/>
    <w:rsid w:val="001A41EE"/>
    <w:rsid w:val="001A420B"/>
    <w:rsid w:val="001A4AB5"/>
    <w:rsid w:val="001A4B97"/>
    <w:rsid w:val="001A4EE1"/>
    <w:rsid w:val="001A4F7D"/>
    <w:rsid w:val="001A4FE0"/>
    <w:rsid w:val="001A51F3"/>
    <w:rsid w:val="001A57C7"/>
    <w:rsid w:val="001A5908"/>
    <w:rsid w:val="001A5E46"/>
    <w:rsid w:val="001A62F3"/>
    <w:rsid w:val="001A67EE"/>
    <w:rsid w:val="001A68E2"/>
    <w:rsid w:val="001A6A7D"/>
    <w:rsid w:val="001A6B25"/>
    <w:rsid w:val="001A6B3C"/>
    <w:rsid w:val="001A6C3A"/>
    <w:rsid w:val="001A72CA"/>
    <w:rsid w:val="001A753C"/>
    <w:rsid w:val="001A7B42"/>
    <w:rsid w:val="001A7D8F"/>
    <w:rsid w:val="001A7DCA"/>
    <w:rsid w:val="001A7F6D"/>
    <w:rsid w:val="001B00AB"/>
    <w:rsid w:val="001B00C9"/>
    <w:rsid w:val="001B03E0"/>
    <w:rsid w:val="001B0499"/>
    <w:rsid w:val="001B0815"/>
    <w:rsid w:val="001B0891"/>
    <w:rsid w:val="001B0A31"/>
    <w:rsid w:val="001B0A78"/>
    <w:rsid w:val="001B0BE8"/>
    <w:rsid w:val="001B0C8D"/>
    <w:rsid w:val="001B0CA5"/>
    <w:rsid w:val="001B0DB3"/>
    <w:rsid w:val="001B0DEB"/>
    <w:rsid w:val="001B0EA3"/>
    <w:rsid w:val="001B110E"/>
    <w:rsid w:val="001B13B2"/>
    <w:rsid w:val="001B156F"/>
    <w:rsid w:val="001B1634"/>
    <w:rsid w:val="001B17F3"/>
    <w:rsid w:val="001B1838"/>
    <w:rsid w:val="001B18E8"/>
    <w:rsid w:val="001B19CD"/>
    <w:rsid w:val="001B1E37"/>
    <w:rsid w:val="001B1FA4"/>
    <w:rsid w:val="001B2038"/>
    <w:rsid w:val="001B2283"/>
    <w:rsid w:val="001B2688"/>
    <w:rsid w:val="001B29F4"/>
    <w:rsid w:val="001B2A24"/>
    <w:rsid w:val="001B2A97"/>
    <w:rsid w:val="001B2CD4"/>
    <w:rsid w:val="001B2E97"/>
    <w:rsid w:val="001B3669"/>
    <w:rsid w:val="001B368A"/>
    <w:rsid w:val="001B3E7B"/>
    <w:rsid w:val="001B4143"/>
    <w:rsid w:val="001B41A5"/>
    <w:rsid w:val="001B42D3"/>
    <w:rsid w:val="001B4775"/>
    <w:rsid w:val="001B492B"/>
    <w:rsid w:val="001B4D1B"/>
    <w:rsid w:val="001B4E6D"/>
    <w:rsid w:val="001B4E9E"/>
    <w:rsid w:val="001B51BD"/>
    <w:rsid w:val="001B52BB"/>
    <w:rsid w:val="001B5516"/>
    <w:rsid w:val="001B575B"/>
    <w:rsid w:val="001B577D"/>
    <w:rsid w:val="001B59E0"/>
    <w:rsid w:val="001B5B2B"/>
    <w:rsid w:val="001B5F1D"/>
    <w:rsid w:val="001B6533"/>
    <w:rsid w:val="001B6A01"/>
    <w:rsid w:val="001B6A14"/>
    <w:rsid w:val="001B6C83"/>
    <w:rsid w:val="001B6C99"/>
    <w:rsid w:val="001B6CB6"/>
    <w:rsid w:val="001B6E16"/>
    <w:rsid w:val="001B6E68"/>
    <w:rsid w:val="001B7096"/>
    <w:rsid w:val="001B7146"/>
    <w:rsid w:val="001B7329"/>
    <w:rsid w:val="001B76A1"/>
    <w:rsid w:val="001B77A0"/>
    <w:rsid w:val="001B77B6"/>
    <w:rsid w:val="001B7A9F"/>
    <w:rsid w:val="001B7E45"/>
    <w:rsid w:val="001B7EC8"/>
    <w:rsid w:val="001C00C9"/>
    <w:rsid w:val="001C015E"/>
    <w:rsid w:val="001C0486"/>
    <w:rsid w:val="001C07B5"/>
    <w:rsid w:val="001C083F"/>
    <w:rsid w:val="001C0B50"/>
    <w:rsid w:val="001C0B5B"/>
    <w:rsid w:val="001C0EB1"/>
    <w:rsid w:val="001C0FC2"/>
    <w:rsid w:val="001C1731"/>
    <w:rsid w:val="001C174A"/>
    <w:rsid w:val="001C1D05"/>
    <w:rsid w:val="001C1E25"/>
    <w:rsid w:val="001C1E95"/>
    <w:rsid w:val="001C1F3E"/>
    <w:rsid w:val="001C2924"/>
    <w:rsid w:val="001C2A48"/>
    <w:rsid w:val="001C2AB8"/>
    <w:rsid w:val="001C2B2B"/>
    <w:rsid w:val="001C327C"/>
    <w:rsid w:val="001C33C2"/>
    <w:rsid w:val="001C348F"/>
    <w:rsid w:val="001C34DE"/>
    <w:rsid w:val="001C34F0"/>
    <w:rsid w:val="001C3524"/>
    <w:rsid w:val="001C354C"/>
    <w:rsid w:val="001C3789"/>
    <w:rsid w:val="001C38E8"/>
    <w:rsid w:val="001C3AC9"/>
    <w:rsid w:val="001C3BFA"/>
    <w:rsid w:val="001C4021"/>
    <w:rsid w:val="001C4038"/>
    <w:rsid w:val="001C416C"/>
    <w:rsid w:val="001C4303"/>
    <w:rsid w:val="001C432A"/>
    <w:rsid w:val="001C433A"/>
    <w:rsid w:val="001C45C1"/>
    <w:rsid w:val="001C4822"/>
    <w:rsid w:val="001C4858"/>
    <w:rsid w:val="001C48EC"/>
    <w:rsid w:val="001C4BBE"/>
    <w:rsid w:val="001C4DD9"/>
    <w:rsid w:val="001C51B6"/>
    <w:rsid w:val="001C53DC"/>
    <w:rsid w:val="001C5730"/>
    <w:rsid w:val="001C57F0"/>
    <w:rsid w:val="001C5EC6"/>
    <w:rsid w:val="001C6223"/>
    <w:rsid w:val="001C624C"/>
    <w:rsid w:val="001C6435"/>
    <w:rsid w:val="001C649D"/>
    <w:rsid w:val="001C6547"/>
    <w:rsid w:val="001C6687"/>
    <w:rsid w:val="001C69E3"/>
    <w:rsid w:val="001C6AFD"/>
    <w:rsid w:val="001C6D88"/>
    <w:rsid w:val="001C6DB3"/>
    <w:rsid w:val="001C6DFD"/>
    <w:rsid w:val="001C702E"/>
    <w:rsid w:val="001C7702"/>
    <w:rsid w:val="001C7A11"/>
    <w:rsid w:val="001C7CD5"/>
    <w:rsid w:val="001C7DDD"/>
    <w:rsid w:val="001D021C"/>
    <w:rsid w:val="001D0486"/>
    <w:rsid w:val="001D0520"/>
    <w:rsid w:val="001D0926"/>
    <w:rsid w:val="001D1401"/>
    <w:rsid w:val="001D1502"/>
    <w:rsid w:val="001D1622"/>
    <w:rsid w:val="001D162B"/>
    <w:rsid w:val="001D1924"/>
    <w:rsid w:val="001D1952"/>
    <w:rsid w:val="001D1D03"/>
    <w:rsid w:val="001D1DD6"/>
    <w:rsid w:val="001D1E66"/>
    <w:rsid w:val="001D1F7D"/>
    <w:rsid w:val="001D21D6"/>
    <w:rsid w:val="001D23BF"/>
    <w:rsid w:val="001D29A8"/>
    <w:rsid w:val="001D2D76"/>
    <w:rsid w:val="001D32C0"/>
    <w:rsid w:val="001D3653"/>
    <w:rsid w:val="001D36F7"/>
    <w:rsid w:val="001D387A"/>
    <w:rsid w:val="001D3A64"/>
    <w:rsid w:val="001D3C36"/>
    <w:rsid w:val="001D3DDF"/>
    <w:rsid w:val="001D3FB6"/>
    <w:rsid w:val="001D4181"/>
    <w:rsid w:val="001D4359"/>
    <w:rsid w:val="001D46D3"/>
    <w:rsid w:val="001D4808"/>
    <w:rsid w:val="001D4872"/>
    <w:rsid w:val="001D48DD"/>
    <w:rsid w:val="001D497F"/>
    <w:rsid w:val="001D4AB5"/>
    <w:rsid w:val="001D4D32"/>
    <w:rsid w:val="001D5094"/>
    <w:rsid w:val="001D56FC"/>
    <w:rsid w:val="001D5793"/>
    <w:rsid w:val="001D5D6C"/>
    <w:rsid w:val="001D61F5"/>
    <w:rsid w:val="001D63D6"/>
    <w:rsid w:val="001D6429"/>
    <w:rsid w:val="001D6437"/>
    <w:rsid w:val="001D658D"/>
    <w:rsid w:val="001D6645"/>
    <w:rsid w:val="001D67C3"/>
    <w:rsid w:val="001D67CE"/>
    <w:rsid w:val="001D6810"/>
    <w:rsid w:val="001D6852"/>
    <w:rsid w:val="001D696D"/>
    <w:rsid w:val="001D6B3C"/>
    <w:rsid w:val="001D6B97"/>
    <w:rsid w:val="001D6FE7"/>
    <w:rsid w:val="001D7020"/>
    <w:rsid w:val="001D70F8"/>
    <w:rsid w:val="001D7476"/>
    <w:rsid w:val="001D74A7"/>
    <w:rsid w:val="001D7535"/>
    <w:rsid w:val="001D7585"/>
    <w:rsid w:val="001D75DD"/>
    <w:rsid w:val="001D7713"/>
    <w:rsid w:val="001D77C5"/>
    <w:rsid w:val="001D7B90"/>
    <w:rsid w:val="001D7C78"/>
    <w:rsid w:val="001D7E0F"/>
    <w:rsid w:val="001E0093"/>
    <w:rsid w:val="001E0871"/>
    <w:rsid w:val="001E08D0"/>
    <w:rsid w:val="001E08F0"/>
    <w:rsid w:val="001E098D"/>
    <w:rsid w:val="001E0E10"/>
    <w:rsid w:val="001E0F10"/>
    <w:rsid w:val="001E0F9A"/>
    <w:rsid w:val="001E1108"/>
    <w:rsid w:val="001E12DD"/>
    <w:rsid w:val="001E15F2"/>
    <w:rsid w:val="001E177E"/>
    <w:rsid w:val="001E1DD9"/>
    <w:rsid w:val="001E2073"/>
    <w:rsid w:val="001E220D"/>
    <w:rsid w:val="001E22F7"/>
    <w:rsid w:val="001E2538"/>
    <w:rsid w:val="001E269B"/>
    <w:rsid w:val="001E285B"/>
    <w:rsid w:val="001E293F"/>
    <w:rsid w:val="001E2B87"/>
    <w:rsid w:val="001E2B9F"/>
    <w:rsid w:val="001E2F98"/>
    <w:rsid w:val="001E2F9E"/>
    <w:rsid w:val="001E3596"/>
    <w:rsid w:val="001E3731"/>
    <w:rsid w:val="001E441A"/>
    <w:rsid w:val="001E465F"/>
    <w:rsid w:val="001E495D"/>
    <w:rsid w:val="001E4BE3"/>
    <w:rsid w:val="001E4FF9"/>
    <w:rsid w:val="001E5062"/>
    <w:rsid w:val="001E50C6"/>
    <w:rsid w:val="001E52A4"/>
    <w:rsid w:val="001E52EC"/>
    <w:rsid w:val="001E540B"/>
    <w:rsid w:val="001E541F"/>
    <w:rsid w:val="001E55A1"/>
    <w:rsid w:val="001E5C39"/>
    <w:rsid w:val="001E6088"/>
    <w:rsid w:val="001E627F"/>
    <w:rsid w:val="001E62A8"/>
    <w:rsid w:val="001E636D"/>
    <w:rsid w:val="001E6567"/>
    <w:rsid w:val="001E67F2"/>
    <w:rsid w:val="001E68EE"/>
    <w:rsid w:val="001E68F5"/>
    <w:rsid w:val="001E6B67"/>
    <w:rsid w:val="001E6B6E"/>
    <w:rsid w:val="001E6B9C"/>
    <w:rsid w:val="001E6BAE"/>
    <w:rsid w:val="001E6BD0"/>
    <w:rsid w:val="001E6BED"/>
    <w:rsid w:val="001E6DC0"/>
    <w:rsid w:val="001E6FC9"/>
    <w:rsid w:val="001E7365"/>
    <w:rsid w:val="001E750D"/>
    <w:rsid w:val="001E75E4"/>
    <w:rsid w:val="001E7747"/>
    <w:rsid w:val="001E7C9F"/>
    <w:rsid w:val="001E7E54"/>
    <w:rsid w:val="001E7ECB"/>
    <w:rsid w:val="001E7ED3"/>
    <w:rsid w:val="001F0022"/>
    <w:rsid w:val="001F00D7"/>
    <w:rsid w:val="001F05A2"/>
    <w:rsid w:val="001F067B"/>
    <w:rsid w:val="001F071D"/>
    <w:rsid w:val="001F098E"/>
    <w:rsid w:val="001F0A2F"/>
    <w:rsid w:val="001F0DE9"/>
    <w:rsid w:val="001F0E3E"/>
    <w:rsid w:val="001F0E9E"/>
    <w:rsid w:val="001F1580"/>
    <w:rsid w:val="001F1906"/>
    <w:rsid w:val="001F1990"/>
    <w:rsid w:val="001F1E06"/>
    <w:rsid w:val="001F209F"/>
    <w:rsid w:val="001F20F5"/>
    <w:rsid w:val="001F20F8"/>
    <w:rsid w:val="001F21ED"/>
    <w:rsid w:val="001F2287"/>
    <w:rsid w:val="001F2398"/>
    <w:rsid w:val="001F2680"/>
    <w:rsid w:val="001F2755"/>
    <w:rsid w:val="001F27AF"/>
    <w:rsid w:val="001F27F1"/>
    <w:rsid w:val="001F27FC"/>
    <w:rsid w:val="001F2902"/>
    <w:rsid w:val="001F2A11"/>
    <w:rsid w:val="001F2A53"/>
    <w:rsid w:val="001F2CF8"/>
    <w:rsid w:val="001F2E52"/>
    <w:rsid w:val="001F31C7"/>
    <w:rsid w:val="001F352A"/>
    <w:rsid w:val="001F3725"/>
    <w:rsid w:val="001F3798"/>
    <w:rsid w:val="001F3B64"/>
    <w:rsid w:val="001F3D6B"/>
    <w:rsid w:val="001F3DC8"/>
    <w:rsid w:val="001F3F36"/>
    <w:rsid w:val="001F3F64"/>
    <w:rsid w:val="001F41E2"/>
    <w:rsid w:val="001F41FC"/>
    <w:rsid w:val="001F4347"/>
    <w:rsid w:val="001F48A9"/>
    <w:rsid w:val="001F4CD5"/>
    <w:rsid w:val="001F53DE"/>
    <w:rsid w:val="001F581C"/>
    <w:rsid w:val="001F586A"/>
    <w:rsid w:val="001F58F5"/>
    <w:rsid w:val="001F5BCC"/>
    <w:rsid w:val="001F5FF9"/>
    <w:rsid w:val="001F658C"/>
    <w:rsid w:val="001F675C"/>
    <w:rsid w:val="001F67A7"/>
    <w:rsid w:val="001F6D47"/>
    <w:rsid w:val="001F6D8C"/>
    <w:rsid w:val="001F6F2E"/>
    <w:rsid w:val="001F6F44"/>
    <w:rsid w:val="001F7328"/>
    <w:rsid w:val="001F7563"/>
    <w:rsid w:val="001F7730"/>
    <w:rsid w:val="001F785C"/>
    <w:rsid w:val="001F7A97"/>
    <w:rsid w:val="001F7AD2"/>
    <w:rsid w:val="001F7B98"/>
    <w:rsid w:val="001F7C3A"/>
    <w:rsid w:val="001F7F09"/>
    <w:rsid w:val="00200236"/>
    <w:rsid w:val="00200E93"/>
    <w:rsid w:val="00200F04"/>
    <w:rsid w:val="00201058"/>
    <w:rsid w:val="0020119C"/>
    <w:rsid w:val="00201468"/>
    <w:rsid w:val="002014BC"/>
    <w:rsid w:val="002014DB"/>
    <w:rsid w:val="002018A7"/>
    <w:rsid w:val="002018FA"/>
    <w:rsid w:val="00201967"/>
    <w:rsid w:val="00201AE2"/>
    <w:rsid w:val="00201BB8"/>
    <w:rsid w:val="00201BEF"/>
    <w:rsid w:val="00201ED7"/>
    <w:rsid w:val="002021BC"/>
    <w:rsid w:val="00202316"/>
    <w:rsid w:val="00202BAA"/>
    <w:rsid w:val="00202D0F"/>
    <w:rsid w:val="00202D84"/>
    <w:rsid w:val="00202F14"/>
    <w:rsid w:val="0020317C"/>
    <w:rsid w:val="00203445"/>
    <w:rsid w:val="00203594"/>
    <w:rsid w:val="00203981"/>
    <w:rsid w:val="00203B9A"/>
    <w:rsid w:val="00203B9B"/>
    <w:rsid w:val="00203E0C"/>
    <w:rsid w:val="00203EA4"/>
    <w:rsid w:val="00203EFA"/>
    <w:rsid w:val="00203F01"/>
    <w:rsid w:val="00203FC4"/>
    <w:rsid w:val="00204062"/>
    <w:rsid w:val="002041C6"/>
    <w:rsid w:val="00204315"/>
    <w:rsid w:val="002044C4"/>
    <w:rsid w:val="002047AD"/>
    <w:rsid w:val="00204890"/>
    <w:rsid w:val="00204CB9"/>
    <w:rsid w:val="0020507B"/>
    <w:rsid w:val="002051CB"/>
    <w:rsid w:val="00205BF8"/>
    <w:rsid w:val="00205DE1"/>
    <w:rsid w:val="00205E9F"/>
    <w:rsid w:val="002060E2"/>
    <w:rsid w:val="002060FC"/>
    <w:rsid w:val="00206578"/>
    <w:rsid w:val="00206C23"/>
    <w:rsid w:val="00206C24"/>
    <w:rsid w:val="00206CE1"/>
    <w:rsid w:val="00206E3A"/>
    <w:rsid w:val="00207135"/>
    <w:rsid w:val="00207273"/>
    <w:rsid w:val="00207332"/>
    <w:rsid w:val="002073A2"/>
    <w:rsid w:val="0020748D"/>
    <w:rsid w:val="002074E5"/>
    <w:rsid w:val="0020757A"/>
    <w:rsid w:val="00207791"/>
    <w:rsid w:val="00207B44"/>
    <w:rsid w:val="00207BBD"/>
    <w:rsid w:val="00207D3E"/>
    <w:rsid w:val="00207F59"/>
    <w:rsid w:val="0021000F"/>
    <w:rsid w:val="00210391"/>
    <w:rsid w:val="002105A9"/>
    <w:rsid w:val="00210726"/>
    <w:rsid w:val="00210CE8"/>
    <w:rsid w:val="00210E19"/>
    <w:rsid w:val="00210E76"/>
    <w:rsid w:val="0021108D"/>
    <w:rsid w:val="00211224"/>
    <w:rsid w:val="002112A2"/>
    <w:rsid w:val="0021142B"/>
    <w:rsid w:val="00211B9A"/>
    <w:rsid w:val="00211C36"/>
    <w:rsid w:val="00211DC3"/>
    <w:rsid w:val="00211FFA"/>
    <w:rsid w:val="002129F4"/>
    <w:rsid w:val="00212C25"/>
    <w:rsid w:val="00212C7B"/>
    <w:rsid w:val="00212CB4"/>
    <w:rsid w:val="0021314C"/>
    <w:rsid w:val="002132AA"/>
    <w:rsid w:val="002132DC"/>
    <w:rsid w:val="002132F3"/>
    <w:rsid w:val="0021342B"/>
    <w:rsid w:val="00213576"/>
    <w:rsid w:val="0021357E"/>
    <w:rsid w:val="00213967"/>
    <w:rsid w:val="00213A82"/>
    <w:rsid w:val="00213ACE"/>
    <w:rsid w:val="00213C3D"/>
    <w:rsid w:val="00213D24"/>
    <w:rsid w:val="0021433A"/>
    <w:rsid w:val="00214543"/>
    <w:rsid w:val="00214719"/>
    <w:rsid w:val="002148EC"/>
    <w:rsid w:val="0021492D"/>
    <w:rsid w:val="00214A6D"/>
    <w:rsid w:val="00214C41"/>
    <w:rsid w:val="00214F41"/>
    <w:rsid w:val="00215112"/>
    <w:rsid w:val="0021521F"/>
    <w:rsid w:val="002155B6"/>
    <w:rsid w:val="002157E4"/>
    <w:rsid w:val="00215975"/>
    <w:rsid w:val="00215AFB"/>
    <w:rsid w:val="00215DEA"/>
    <w:rsid w:val="002160DC"/>
    <w:rsid w:val="00216570"/>
    <w:rsid w:val="0021660A"/>
    <w:rsid w:val="002166C9"/>
    <w:rsid w:val="00216967"/>
    <w:rsid w:val="00217022"/>
    <w:rsid w:val="0021734E"/>
    <w:rsid w:val="00217484"/>
    <w:rsid w:val="0021773E"/>
    <w:rsid w:val="002178B6"/>
    <w:rsid w:val="00217962"/>
    <w:rsid w:val="00217CB8"/>
    <w:rsid w:val="00217FCB"/>
    <w:rsid w:val="002200D8"/>
    <w:rsid w:val="002202F1"/>
    <w:rsid w:val="00220641"/>
    <w:rsid w:val="0022065F"/>
    <w:rsid w:val="00220CB7"/>
    <w:rsid w:val="00221081"/>
    <w:rsid w:val="002211F2"/>
    <w:rsid w:val="0022130E"/>
    <w:rsid w:val="002214F2"/>
    <w:rsid w:val="00221700"/>
    <w:rsid w:val="0022193B"/>
    <w:rsid w:val="00221A44"/>
    <w:rsid w:val="00221A66"/>
    <w:rsid w:val="00221C2B"/>
    <w:rsid w:val="00221C78"/>
    <w:rsid w:val="00221CF7"/>
    <w:rsid w:val="00221E8D"/>
    <w:rsid w:val="00221FA3"/>
    <w:rsid w:val="002221D5"/>
    <w:rsid w:val="0022241C"/>
    <w:rsid w:val="002224A1"/>
    <w:rsid w:val="00222525"/>
    <w:rsid w:val="002225E5"/>
    <w:rsid w:val="002226D3"/>
    <w:rsid w:val="00222742"/>
    <w:rsid w:val="00222BBE"/>
    <w:rsid w:val="00223515"/>
    <w:rsid w:val="0022354C"/>
    <w:rsid w:val="00223664"/>
    <w:rsid w:val="00223A56"/>
    <w:rsid w:val="00223ADC"/>
    <w:rsid w:val="00223B53"/>
    <w:rsid w:val="00223C04"/>
    <w:rsid w:val="00223CA0"/>
    <w:rsid w:val="00223CEB"/>
    <w:rsid w:val="00223F4B"/>
    <w:rsid w:val="00224155"/>
    <w:rsid w:val="0022416D"/>
    <w:rsid w:val="002244A8"/>
    <w:rsid w:val="00224624"/>
    <w:rsid w:val="0022483D"/>
    <w:rsid w:val="00224953"/>
    <w:rsid w:val="00224C20"/>
    <w:rsid w:val="0022501A"/>
    <w:rsid w:val="002255D7"/>
    <w:rsid w:val="002257BC"/>
    <w:rsid w:val="00225802"/>
    <w:rsid w:val="00225833"/>
    <w:rsid w:val="00225F17"/>
    <w:rsid w:val="00226095"/>
    <w:rsid w:val="002260ED"/>
    <w:rsid w:val="0022618D"/>
    <w:rsid w:val="00226441"/>
    <w:rsid w:val="00226632"/>
    <w:rsid w:val="00226740"/>
    <w:rsid w:val="0022692B"/>
    <w:rsid w:val="00226B16"/>
    <w:rsid w:val="002273AD"/>
    <w:rsid w:val="0022774B"/>
    <w:rsid w:val="00227756"/>
    <w:rsid w:val="0022776D"/>
    <w:rsid w:val="002277F3"/>
    <w:rsid w:val="002279FF"/>
    <w:rsid w:val="00227A1F"/>
    <w:rsid w:val="00227B89"/>
    <w:rsid w:val="00227C4E"/>
    <w:rsid w:val="00227EEA"/>
    <w:rsid w:val="00227F43"/>
    <w:rsid w:val="00227F75"/>
    <w:rsid w:val="002300AB"/>
    <w:rsid w:val="002300AC"/>
    <w:rsid w:val="0023032F"/>
    <w:rsid w:val="00230488"/>
    <w:rsid w:val="00230538"/>
    <w:rsid w:val="002307E6"/>
    <w:rsid w:val="002307F3"/>
    <w:rsid w:val="00230916"/>
    <w:rsid w:val="00231168"/>
    <w:rsid w:val="0023140A"/>
    <w:rsid w:val="00231659"/>
    <w:rsid w:val="0023194A"/>
    <w:rsid w:val="00231F6E"/>
    <w:rsid w:val="0023213E"/>
    <w:rsid w:val="00232364"/>
    <w:rsid w:val="002327A2"/>
    <w:rsid w:val="002327B5"/>
    <w:rsid w:val="002328D3"/>
    <w:rsid w:val="00232945"/>
    <w:rsid w:val="00232B08"/>
    <w:rsid w:val="00232B31"/>
    <w:rsid w:val="00232FA0"/>
    <w:rsid w:val="00233078"/>
    <w:rsid w:val="002332F6"/>
    <w:rsid w:val="00233967"/>
    <w:rsid w:val="00233D7F"/>
    <w:rsid w:val="00233E40"/>
    <w:rsid w:val="0023425F"/>
    <w:rsid w:val="0023433D"/>
    <w:rsid w:val="0023443A"/>
    <w:rsid w:val="002345C3"/>
    <w:rsid w:val="00234640"/>
    <w:rsid w:val="0023466F"/>
    <w:rsid w:val="00234819"/>
    <w:rsid w:val="00234848"/>
    <w:rsid w:val="00234DD1"/>
    <w:rsid w:val="00235001"/>
    <w:rsid w:val="002350F4"/>
    <w:rsid w:val="00235266"/>
    <w:rsid w:val="00235824"/>
    <w:rsid w:val="0023583C"/>
    <w:rsid w:val="00235A6B"/>
    <w:rsid w:val="00235AD1"/>
    <w:rsid w:val="00235D47"/>
    <w:rsid w:val="00235E7C"/>
    <w:rsid w:val="00235F95"/>
    <w:rsid w:val="002362DD"/>
    <w:rsid w:val="002365B1"/>
    <w:rsid w:val="002365D9"/>
    <w:rsid w:val="002366B3"/>
    <w:rsid w:val="002367AE"/>
    <w:rsid w:val="0023689F"/>
    <w:rsid w:val="00237359"/>
    <w:rsid w:val="002379CB"/>
    <w:rsid w:val="00237DEE"/>
    <w:rsid w:val="00237E15"/>
    <w:rsid w:val="00237FAE"/>
    <w:rsid w:val="00240106"/>
    <w:rsid w:val="00240402"/>
    <w:rsid w:val="00240742"/>
    <w:rsid w:val="00240B60"/>
    <w:rsid w:val="00240C00"/>
    <w:rsid w:val="00240F9F"/>
    <w:rsid w:val="002411C7"/>
    <w:rsid w:val="002412EF"/>
    <w:rsid w:val="002413A2"/>
    <w:rsid w:val="0024148C"/>
    <w:rsid w:val="00241DED"/>
    <w:rsid w:val="00242232"/>
    <w:rsid w:val="0024234E"/>
    <w:rsid w:val="00242543"/>
    <w:rsid w:val="00242605"/>
    <w:rsid w:val="002428B3"/>
    <w:rsid w:val="00242943"/>
    <w:rsid w:val="00242957"/>
    <w:rsid w:val="00242A38"/>
    <w:rsid w:val="00242C11"/>
    <w:rsid w:val="00242F4E"/>
    <w:rsid w:val="00243126"/>
    <w:rsid w:val="00243672"/>
    <w:rsid w:val="002439C2"/>
    <w:rsid w:val="00243A5D"/>
    <w:rsid w:val="00243AEF"/>
    <w:rsid w:val="00243F0B"/>
    <w:rsid w:val="00243F54"/>
    <w:rsid w:val="00244762"/>
    <w:rsid w:val="002449D7"/>
    <w:rsid w:val="00244A25"/>
    <w:rsid w:val="00244A4D"/>
    <w:rsid w:val="00244A9C"/>
    <w:rsid w:val="00244B28"/>
    <w:rsid w:val="00244D34"/>
    <w:rsid w:val="00244F30"/>
    <w:rsid w:val="002451DE"/>
    <w:rsid w:val="002452A0"/>
    <w:rsid w:val="0024545A"/>
    <w:rsid w:val="00245561"/>
    <w:rsid w:val="002455B5"/>
    <w:rsid w:val="0024561E"/>
    <w:rsid w:val="00245769"/>
    <w:rsid w:val="00245781"/>
    <w:rsid w:val="0024593C"/>
    <w:rsid w:val="00245A57"/>
    <w:rsid w:val="00245D4A"/>
    <w:rsid w:val="00246095"/>
    <w:rsid w:val="002463A6"/>
    <w:rsid w:val="002464EA"/>
    <w:rsid w:val="00246ADB"/>
    <w:rsid w:val="00246B23"/>
    <w:rsid w:val="00246C5C"/>
    <w:rsid w:val="00246F1F"/>
    <w:rsid w:val="0024747F"/>
    <w:rsid w:val="00247787"/>
    <w:rsid w:val="00247A4D"/>
    <w:rsid w:val="00247DE2"/>
    <w:rsid w:val="00247EA0"/>
    <w:rsid w:val="002500BF"/>
    <w:rsid w:val="002502D2"/>
    <w:rsid w:val="00250784"/>
    <w:rsid w:val="00250CA6"/>
    <w:rsid w:val="00251356"/>
    <w:rsid w:val="00251464"/>
    <w:rsid w:val="002514F5"/>
    <w:rsid w:val="00251692"/>
    <w:rsid w:val="002517A5"/>
    <w:rsid w:val="00251932"/>
    <w:rsid w:val="00251BBB"/>
    <w:rsid w:val="00251CD2"/>
    <w:rsid w:val="00251F6C"/>
    <w:rsid w:val="00252107"/>
    <w:rsid w:val="002521DA"/>
    <w:rsid w:val="0025222E"/>
    <w:rsid w:val="0025232E"/>
    <w:rsid w:val="0025242A"/>
    <w:rsid w:val="0025249C"/>
    <w:rsid w:val="002527A1"/>
    <w:rsid w:val="00252973"/>
    <w:rsid w:val="0025298B"/>
    <w:rsid w:val="00252E54"/>
    <w:rsid w:val="00253513"/>
    <w:rsid w:val="002536C1"/>
    <w:rsid w:val="00253705"/>
    <w:rsid w:val="00253988"/>
    <w:rsid w:val="002539ED"/>
    <w:rsid w:val="00253B53"/>
    <w:rsid w:val="00253B7B"/>
    <w:rsid w:val="002540A0"/>
    <w:rsid w:val="00254136"/>
    <w:rsid w:val="0025440D"/>
    <w:rsid w:val="00254447"/>
    <w:rsid w:val="00254461"/>
    <w:rsid w:val="002544CB"/>
    <w:rsid w:val="0025450E"/>
    <w:rsid w:val="002545AE"/>
    <w:rsid w:val="002545E8"/>
    <w:rsid w:val="00254666"/>
    <w:rsid w:val="0025467D"/>
    <w:rsid w:val="002547C8"/>
    <w:rsid w:val="002548A5"/>
    <w:rsid w:val="002549EE"/>
    <w:rsid w:val="00254C2D"/>
    <w:rsid w:val="00254F1C"/>
    <w:rsid w:val="00255152"/>
    <w:rsid w:val="00255155"/>
    <w:rsid w:val="00255272"/>
    <w:rsid w:val="00255443"/>
    <w:rsid w:val="0025553A"/>
    <w:rsid w:val="0025554E"/>
    <w:rsid w:val="0025557A"/>
    <w:rsid w:val="002557F2"/>
    <w:rsid w:val="002558FA"/>
    <w:rsid w:val="00255C3D"/>
    <w:rsid w:val="00255D81"/>
    <w:rsid w:val="00255DAE"/>
    <w:rsid w:val="00255DED"/>
    <w:rsid w:val="00255FDE"/>
    <w:rsid w:val="0025602D"/>
    <w:rsid w:val="00256092"/>
    <w:rsid w:val="0025693F"/>
    <w:rsid w:val="00256AB8"/>
    <w:rsid w:val="00256AF8"/>
    <w:rsid w:val="00256BCF"/>
    <w:rsid w:val="00256CFC"/>
    <w:rsid w:val="002573D4"/>
    <w:rsid w:val="00257D1D"/>
    <w:rsid w:val="00257DE9"/>
    <w:rsid w:val="00257F61"/>
    <w:rsid w:val="00257F8B"/>
    <w:rsid w:val="0026015B"/>
    <w:rsid w:val="0026016A"/>
    <w:rsid w:val="00260186"/>
    <w:rsid w:val="00260391"/>
    <w:rsid w:val="0026095E"/>
    <w:rsid w:val="00260B65"/>
    <w:rsid w:val="00261148"/>
    <w:rsid w:val="002611A5"/>
    <w:rsid w:val="002611B1"/>
    <w:rsid w:val="002612FD"/>
    <w:rsid w:val="0026141C"/>
    <w:rsid w:val="00261449"/>
    <w:rsid w:val="0026159C"/>
    <w:rsid w:val="002617D2"/>
    <w:rsid w:val="00261822"/>
    <w:rsid w:val="00261871"/>
    <w:rsid w:val="0026197B"/>
    <w:rsid w:val="00261A2D"/>
    <w:rsid w:val="00261A92"/>
    <w:rsid w:val="00261D54"/>
    <w:rsid w:val="00262134"/>
    <w:rsid w:val="00262213"/>
    <w:rsid w:val="00262306"/>
    <w:rsid w:val="00262330"/>
    <w:rsid w:val="002624E2"/>
    <w:rsid w:val="002627B3"/>
    <w:rsid w:val="002628EA"/>
    <w:rsid w:val="00262AD2"/>
    <w:rsid w:val="00262B05"/>
    <w:rsid w:val="00262F57"/>
    <w:rsid w:val="0026369B"/>
    <w:rsid w:val="002636E0"/>
    <w:rsid w:val="0026375A"/>
    <w:rsid w:val="002638F4"/>
    <w:rsid w:val="002639C0"/>
    <w:rsid w:val="00263BE2"/>
    <w:rsid w:val="00263CE3"/>
    <w:rsid w:val="00263FB5"/>
    <w:rsid w:val="0026442E"/>
    <w:rsid w:val="0026488B"/>
    <w:rsid w:val="002649F9"/>
    <w:rsid w:val="00264E25"/>
    <w:rsid w:val="00264F16"/>
    <w:rsid w:val="00265094"/>
    <w:rsid w:val="0026511E"/>
    <w:rsid w:val="00265382"/>
    <w:rsid w:val="0026540A"/>
    <w:rsid w:val="0026558B"/>
    <w:rsid w:val="00265A71"/>
    <w:rsid w:val="00265DC2"/>
    <w:rsid w:val="00266026"/>
    <w:rsid w:val="002660C4"/>
    <w:rsid w:val="002661E1"/>
    <w:rsid w:val="00266217"/>
    <w:rsid w:val="00266253"/>
    <w:rsid w:val="002663A0"/>
    <w:rsid w:val="0026674F"/>
    <w:rsid w:val="002669E2"/>
    <w:rsid w:val="00266B4A"/>
    <w:rsid w:val="00267114"/>
    <w:rsid w:val="0026712C"/>
    <w:rsid w:val="00267158"/>
    <w:rsid w:val="0026744C"/>
    <w:rsid w:val="002675F6"/>
    <w:rsid w:val="00267B41"/>
    <w:rsid w:val="00267C10"/>
    <w:rsid w:val="00267E78"/>
    <w:rsid w:val="00270318"/>
    <w:rsid w:val="002703AB"/>
    <w:rsid w:val="002703D3"/>
    <w:rsid w:val="0027098A"/>
    <w:rsid w:val="00270B21"/>
    <w:rsid w:val="00270B27"/>
    <w:rsid w:val="00270BAF"/>
    <w:rsid w:val="00270C51"/>
    <w:rsid w:val="00270C62"/>
    <w:rsid w:val="00270E1C"/>
    <w:rsid w:val="00270EA0"/>
    <w:rsid w:val="00270F0C"/>
    <w:rsid w:val="00270FC3"/>
    <w:rsid w:val="0027100D"/>
    <w:rsid w:val="00271267"/>
    <w:rsid w:val="00271336"/>
    <w:rsid w:val="0027160C"/>
    <w:rsid w:val="002717D4"/>
    <w:rsid w:val="0027197F"/>
    <w:rsid w:val="00271B47"/>
    <w:rsid w:val="002724C6"/>
    <w:rsid w:val="002725D9"/>
    <w:rsid w:val="00272B34"/>
    <w:rsid w:val="002731CA"/>
    <w:rsid w:val="002731F2"/>
    <w:rsid w:val="002732C8"/>
    <w:rsid w:val="0027334F"/>
    <w:rsid w:val="0027361F"/>
    <w:rsid w:val="00273912"/>
    <w:rsid w:val="00273A14"/>
    <w:rsid w:val="00273C3C"/>
    <w:rsid w:val="00273C70"/>
    <w:rsid w:val="00273F5B"/>
    <w:rsid w:val="00273FC3"/>
    <w:rsid w:val="00274692"/>
    <w:rsid w:val="00274CC8"/>
    <w:rsid w:val="00274EDD"/>
    <w:rsid w:val="00274FDD"/>
    <w:rsid w:val="002751C4"/>
    <w:rsid w:val="002751D1"/>
    <w:rsid w:val="00275209"/>
    <w:rsid w:val="002753D4"/>
    <w:rsid w:val="00275407"/>
    <w:rsid w:val="002755B8"/>
    <w:rsid w:val="0027583A"/>
    <w:rsid w:val="00275924"/>
    <w:rsid w:val="002759A3"/>
    <w:rsid w:val="00275C14"/>
    <w:rsid w:val="0027601F"/>
    <w:rsid w:val="0027612C"/>
    <w:rsid w:val="002764F0"/>
    <w:rsid w:val="0027658C"/>
    <w:rsid w:val="00276A6A"/>
    <w:rsid w:val="00276D81"/>
    <w:rsid w:val="0027700E"/>
    <w:rsid w:val="0027711E"/>
    <w:rsid w:val="0027715A"/>
    <w:rsid w:val="00277509"/>
    <w:rsid w:val="00277660"/>
    <w:rsid w:val="00277926"/>
    <w:rsid w:val="00277BC4"/>
    <w:rsid w:val="00277BDA"/>
    <w:rsid w:val="00277E3A"/>
    <w:rsid w:val="002803E6"/>
    <w:rsid w:val="0028040B"/>
    <w:rsid w:val="002805F4"/>
    <w:rsid w:val="00280713"/>
    <w:rsid w:val="00280B83"/>
    <w:rsid w:val="00280F15"/>
    <w:rsid w:val="00280FB3"/>
    <w:rsid w:val="0028132C"/>
    <w:rsid w:val="002816E1"/>
    <w:rsid w:val="002818C4"/>
    <w:rsid w:val="00281975"/>
    <w:rsid w:val="00282033"/>
    <w:rsid w:val="002824E5"/>
    <w:rsid w:val="00282707"/>
    <w:rsid w:val="002829DE"/>
    <w:rsid w:val="00282CBC"/>
    <w:rsid w:val="00282D4B"/>
    <w:rsid w:val="002830C0"/>
    <w:rsid w:val="002831C8"/>
    <w:rsid w:val="00283226"/>
    <w:rsid w:val="002832FC"/>
    <w:rsid w:val="00283479"/>
    <w:rsid w:val="00283649"/>
    <w:rsid w:val="002837D6"/>
    <w:rsid w:val="00283A4E"/>
    <w:rsid w:val="00283AE1"/>
    <w:rsid w:val="00283B9C"/>
    <w:rsid w:val="00283E52"/>
    <w:rsid w:val="00284340"/>
    <w:rsid w:val="00284569"/>
    <w:rsid w:val="00284905"/>
    <w:rsid w:val="00284F4E"/>
    <w:rsid w:val="00285200"/>
    <w:rsid w:val="002853CC"/>
    <w:rsid w:val="00285A09"/>
    <w:rsid w:val="00285E81"/>
    <w:rsid w:val="00286499"/>
    <w:rsid w:val="00286629"/>
    <w:rsid w:val="002869A6"/>
    <w:rsid w:val="00286CEE"/>
    <w:rsid w:val="00286DE9"/>
    <w:rsid w:val="002879D8"/>
    <w:rsid w:val="00287AE8"/>
    <w:rsid w:val="00287CD4"/>
    <w:rsid w:val="00287E24"/>
    <w:rsid w:val="00287E78"/>
    <w:rsid w:val="00287F88"/>
    <w:rsid w:val="002900F6"/>
    <w:rsid w:val="00290426"/>
    <w:rsid w:val="00290676"/>
    <w:rsid w:val="00290B2C"/>
    <w:rsid w:val="00291049"/>
    <w:rsid w:val="0029104B"/>
    <w:rsid w:val="002911E2"/>
    <w:rsid w:val="00291462"/>
    <w:rsid w:val="002914B8"/>
    <w:rsid w:val="00291572"/>
    <w:rsid w:val="00291811"/>
    <w:rsid w:val="0029187D"/>
    <w:rsid w:val="002918ED"/>
    <w:rsid w:val="00291A68"/>
    <w:rsid w:val="00291B86"/>
    <w:rsid w:val="00291D0B"/>
    <w:rsid w:val="00291F4C"/>
    <w:rsid w:val="00291FAB"/>
    <w:rsid w:val="00291FE8"/>
    <w:rsid w:val="00292077"/>
    <w:rsid w:val="0029225B"/>
    <w:rsid w:val="00292385"/>
    <w:rsid w:val="002923CE"/>
    <w:rsid w:val="002924EF"/>
    <w:rsid w:val="0029261D"/>
    <w:rsid w:val="00292623"/>
    <w:rsid w:val="00292808"/>
    <w:rsid w:val="00292ABB"/>
    <w:rsid w:val="00292C9E"/>
    <w:rsid w:val="0029361C"/>
    <w:rsid w:val="0029382D"/>
    <w:rsid w:val="00293B35"/>
    <w:rsid w:val="00293E3F"/>
    <w:rsid w:val="00293F25"/>
    <w:rsid w:val="00294362"/>
    <w:rsid w:val="00294495"/>
    <w:rsid w:val="00294568"/>
    <w:rsid w:val="002945BE"/>
    <w:rsid w:val="0029466A"/>
    <w:rsid w:val="002946A1"/>
    <w:rsid w:val="00294C13"/>
    <w:rsid w:val="00294C38"/>
    <w:rsid w:val="00294F76"/>
    <w:rsid w:val="00295401"/>
    <w:rsid w:val="0029570B"/>
    <w:rsid w:val="00295925"/>
    <w:rsid w:val="00296020"/>
    <w:rsid w:val="00296395"/>
    <w:rsid w:val="00296F71"/>
    <w:rsid w:val="0029760E"/>
    <w:rsid w:val="00297A00"/>
    <w:rsid w:val="00297CBA"/>
    <w:rsid w:val="00297E58"/>
    <w:rsid w:val="00297F48"/>
    <w:rsid w:val="00297F86"/>
    <w:rsid w:val="002A0099"/>
    <w:rsid w:val="002A016D"/>
    <w:rsid w:val="002A04B4"/>
    <w:rsid w:val="002A06FE"/>
    <w:rsid w:val="002A07F5"/>
    <w:rsid w:val="002A0C3E"/>
    <w:rsid w:val="002A0D89"/>
    <w:rsid w:val="002A0EF1"/>
    <w:rsid w:val="002A0FBE"/>
    <w:rsid w:val="002A118C"/>
    <w:rsid w:val="002A140B"/>
    <w:rsid w:val="002A141D"/>
    <w:rsid w:val="002A1423"/>
    <w:rsid w:val="002A145B"/>
    <w:rsid w:val="002A18BE"/>
    <w:rsid w:val="002A1A17"/>
    <w:rsid w:val="002A1B38"/>
    <w:rsid w:val="002A1C73"/>
    <w:rsid w:val="002A1F8C"/>
    <w:rsid w:val="002A20EB"/>
    <w:rsid w:val="002A210E"/>
    <w:rsid w:val="002A21EC"/>
    <w:rsid w:val="002A2374"/>
    <w:rsid w:val="002A2768"/>
    <w:rsid w:val="002A2857"/>
    <w:rsid w:val="002A2B1B"/>
    <w:rsid w:val="002A2E6C"/>
    <w:rsid w:val="002A2ED5"/>
    <w:rsid w:val="002A33A9"/>
    <w:rsid w:val="002A36F6"/>
    <w:rsid w:val="002A3802"/>
    <w:rsid w:val="002A39D2"/>
    <w:rsid w:val="002A3BDC"/>
    <w:rsid w:val="002A3CAD"/>
    <w:rsid w:val="002A3D3D"/>
    <w:rsid w:val="002A3F69"/>
    <w:rsid w:val="002A4084"/>
    <w:rsid w:val="002A44C2"/>
    <w:rsid w:val="002A4AD6"/>
    <w:rsid w:val="002A50B4"/>
    <w:rsid w:val="002A51AD"/>
    <w:rsid w:val="002A5303"/>
    <w:rsid w:val="002A542E"/>
    <w:rsid w:val="002A566D"/>
    <w:rsid w:val="002A5839"/>
    <w:rsid w:val="002A5A71"/>
    <w:rsid w:val="002A5B62"/>
    <w:rsid w:val="002A62C4"/>
    <w:rsid w:val="002A6AEC"/>
    <w:rsid w:val="002A6B58"/>
    <w:rsid w:val="002A6C17"/>
    <w:rsid w:val="002A6CA6"/>
    <w:rsid w:val="002A6E9F"/>
    <w:rsid w:val="002A6FE3"/>
    <w:rsid w:val="002A7196"/>
    <w:rsid w:val="002A75FA"/>
    <w:rsid w:val="002A76AE"/>
    <w:rsid w:val="002A777C"/>
    <w:rsid w:val="002A7A10"/>
    <w:rsid w:val="002A7D32"/>
    <w:rsid w:val="002A7D66"/>
    <w:rsid w:val="002B02B9"/>
    <w:rsid w:val="002B03BC"/>
    <w:rsid w:val="002B0864"/>
    <w:rsid w:val="002B0883"/>
    <w:rsid w:val="002B0A53"/>
    <w:rsid w:val="002B0CEC"/>
    <w:rsid w:val="002B0EA4"/>
    <w:rsid w:val="002B0F03"/>
    <w:rsid w:val="002B127E"/>
    <w:rsid w:val="002B1384"/>
    <w:rsid w:val="002B141C"/>
    <w:rsid w:val="002B14C3"/>
    <w:rsid w:val="002B18F4"/>
    <w:rsid w:val="002B19F2"/>
    <w:rsid w:val="002B1A10"/>
    <w:rsid w:val="002B1BEF"/>
    <w:rsid w:val="002B1EB1"/>
    <w:rsid w:val="002B1FAB"/>
    <w:rsid w:val="002B202F"/>
    <w:rsid w:val="002B2075"/>
    <w:rsid w:val="002B25C3"/>
    <w:rsid w:val="002B2854"/>
    <w:rsid w:val="002B29F1"/>
    <w:rsid w:val="002B2B1D"/>
    <w:rsid w:val="002B2DD7"/>
    <w:rsid w:val="002B3681"/>
    <w:rsid w:val="002B3901"/>
    <w:rsid w:val="002B3E1E"/>
    <w:rsid w:val="002B3E39"/>
    <w:rsid w:val="002B4432"/>
    <w:rsid w:val="002B450D"/>
    <w:rsid w:val="002B459E"/>
    <w:rsid w:val="002B4809"/>
    <w:rsid w:val="002B4A69"/>
    <w:rsid w:val="002B4B15"/>
    <w:rsid w:val="002B4D16"/>
    <w:rsid w:val="002B519C"/>
    <w:rsid w:val="002B55AB"/>
    <w:rsid w:val="002B57AA"/>
    <w:rsid w:val="002B57B2"/>
    <w:rsid w:val="002B5DA9"/>
    <w:rsid w:val="002B5F25"/>
    <w:rsid w:val="002B6020"/>
    <w:rsid w:val="002B667C"/>
    <w:rsid w:val="002B681F"/>
    <w:rsid w:val="002B690E"/>
    <w:rsid w:val="002B691F"/>
    <w:rsid w:val="002B6AFE"/>
    <w:rsid w:val="002B7060"/>
    <w:rsid w:val="002B73B2"/>
    <w:rsid w:val="002B77C8"/>
    <w:rsid w:val="002B79C1"/>
    <w:rsid w:val="002B7E74"/>
    <w:rsid w:val="002B7F34"/>
    <w:rsid w:val="002C0323"/>
    <w:rsid w:val="002C0835"/>
    <w:rsid w:val="002C0905"/>
    <w:rsid w:val="002C0B7E"/>
    <w:rsid w:val="002C0BAB"/>
    <w:rsid w:val="002C0F54"/>
    <w:rsid w:val="002C101E"/>
    <w:rsid w:val="002C11CA"/>
    <w:rsid w:val="002C12D4"/>
    <w:rsid w:val="002C12E9"/>
    <w:rsid w:val="002C147D"/>
    <w:rsid w:val="002C15B1"/>
    <w:rsid w:val="002C17C0"/>
    <w:rsid w:val="002C1BA2"/>
    <w:rsid w:val="002C1CFC"/>
    <w:rsid w:val="002C1E1E"/>
    <w:rsid w:val="002C20C1"/>
    <w:rsid w:val="002C211E"/>
    <w:rsid w:val="002C2239"/>
    <w:rsid w:val="002C2611"/>
    <w:rsid w:val="002C2679"/>
    <w:rsid w:val="002C29F3"/>
    <w:rsid w:val="002C2B14"/>
    <w:rsid w:val="002C2C08"/>
    <w:rsid w:val="002C2EEE"/>
    <w:rsid w:val="002C3132"/>
    <w:rsid w:val="002C31B5"/>
    <w:rsid w:val="002C3293"/>
    <w:rsid w:val="002C344A"/>
    <w:rsid w:val="002C360F"/>
    <w:rsid w:val="002C383F"/>
    <w:rsid w:val="002C3A6E"/>
    <w:rsid w:val="002C3CA4"/>
    <w:rsid w:val="002C3D45"/>
    <w:rsid w:val="002C3EEC"/>
    <w:rsid w:val="002C3FDA"/>
    <w:rsid w:val="002C41A6"/>
    <w:rsid w:val="002C41DD"/>
    <w:rsid w:val="002C4227"/>
    <w:rsid w:val="002C4500"/>
    <w:rsid w:val="002C45E8"/>
    <w:rsid w:val="002C47EE"/>
    <w:rsid w:val="002C4A01"/>
    <w:rsid w:val="002C4D3F"/>
    <w:rsid w:val="002C501B"/>
    <w:rsid w:val="002C50A6"/>
    <w:rsid w:val="002C50EB"/>
    <w:rsid w:val="002C5237"/>
    <w:rsid w:val="002C525F"/>
    <w:rsid w:val="002C52DF"/>
    <w:rsid w:val="002C53CB"/>
    <w:rsid w:val="002C54C1"/>
    <w:rsid w:val="002C569A"/>
    <w:rsid w:val="002C57A1"/>
    <w:rsid w:val="002C5B59"/>
    <w:rsid w:val="002C5BE2"/>
    <w:rsid w:val="002C6030"/>
    <w:rsid w:val="002C6106"/>
    <w:rsid w:val="002C6400"/>
    <w:rsid w:val="002C674D"/>
    <w:rsid w:val="002C6879"/>
    <w:rsid w:val="002C6A72"/>
    <w:rsid w:val="002C6AB6"/>
    <w:rsid w:val="002C6F6B"/>
    <w:rsid w:val="002C70B0"/>
    <w:rsid w:val="002C70B7"/>
    <w:rsid w:val="002C70CE"/>
    <w:rsid w:val="002C7232"/>
    <w:rsid w:val="002C723A"/>
    <w:rsid w:val="002C734E"/>
    <w:rsid w:val="002C74EB"/>
    <w:rsid w:val="002C75EF"/>
    <w:rsid w:val="002C77FE"/>
    <w:rsid w:val="002C7C2F"/>
    <w:rsid w:val="002C7C3F"/>
    <w:rsid w:val="002C7C92"/>
    <w:rsid w:val="002C7CB2"/>
    <w:rsid w:val="002C7DB6"/>
    <w:rsid w:val="002C7E2D"/>
    <w:rsid w:val="002C7EB4"/>
    <w:rsid w:val="002C7F6F"/>
    <w:rsid w:val="002C7F71"/>
    <w:rsid w:val="002D0484"/>
    <w:rsid w:val="002D0686"/>
    <w:rsid w:val="002D090E"/>
    <w:rsid w:val="002D0A29"/>
    <w:rsid w:val="002D0BB5"/>
    <w:rsid w:val="002D0C74"/>
    <w:rsid w:val="002D0C9A"/>
    <w:rsid w:val="002D0CFA"/>
    <w:rsid w:val="002D11C9"/>
    <w:rsid w:val="002D11CF"/>
    <w:rsid w:val="002D17E8"/>
    <w:rsid w:val="002D18C3"/>
    <w:rsid w:val="002D1C42"/>
    <w:rsid w:val="002D1E75"/>
    <w:rsid w:val="002D231C"/>
    <w:rsid w:val="002D26A6"/>
    <w:rsid w:val="002D281E"/>
    <w:rsid w:val="002D2B81"/>
    <w:rsid w:val="002D3135"/>
    <w:rsid w:val="002D35E0"/>
    <w:rsid w:val="002D35E7"/>
    <w:rsid w:val="002D39B9"/>
    <w:rsid w:val="002D3A31"/>
    <w:rsid w:val="002D3B1D"/>
    <w:rsid w:val="002D3E3D"/>
    <w:rsid w:val="002D3FB3"/>
    <w:rsid w:val="002D400F"/>
    <w:rsid w:val="002D4121"/>
    <w:rsid w:val="002D41BA"/>
    <w:rsid w:val="002D4216"/>
    <w:rsid w:val="002D4591"/>
    <w:rsid w:val="002D462B"/>
    <w:rsid w:val="002D4921"/>
    <w:rsid w:val="002D4BDD"/>
    <w:rsid w:val="002D4BE5"/>
    <w:rsid w:val="002D4EA3"/>
    <w:rsid w:val="002D5097"/>
    <w:rsid w:val="002D50A1"/>
    <w:rsid w:val="002D5157"/>
    <w:rsid w:val="002D5336"/>
    <w:rsid w:val="002D55E4"/>
    <w:rsid w:val="002D5AAC"/>
    <w:rsid w:val="002D5BD0"/>
    <w:rsid w:val="002D5C2C"/>
    <w:rsid w:val="002D5C32"/>
    <w:rsid w:val="002D5D72"/>
    <w:rsid w:val="002D614A"/>
    <w:rsid w:val="002D6360"/>
    <w:rsid w:val="002D6381"/>
    <w:rsid w:val="002D648D"/>
    <w:rsid w:val="002D6551"/>
    <w:rsid w:val="002D6620"/>
    <w:rsid w:val="002D6889"/>
    <w:rsid w:val="002D690D"/>
    <w:rsid w:val="002D6AB2"/>
    <w:rsid w:val="002D6AC1"/>
    <w:rsid w:val="002D6ECC"/>
    <w:rsid w:val="002D72C9"/>
    <w:rsid w:val="002D73BD"/>
    <w:rsid w:val="002D74D0"/>
    <w:rsid w:val="002D7CF6"/>
    <w:rsid w:val="002E00D9"/>
    <w:rsid w:val="002E0253"/>
    <w:rsid w:val="002E05E1"/>
    <w:rsid w:val="002E0807"/>
    <w:rsid w:val="002E0B26"/>
    <w:rsid w:val="002E0D35"/>
    <w:rsid w:val="002E1121"/>
    <w:rsid w:val="002E1412"/>
    <w:rsid w:val="002E1D5A"/>
    <w:rsid w:val="002E1E6E"/>
    <w:rsid w:val="002E1ECD"/>
    <w:rsid w:val="002E2014"/>
    <w:rsid w:val="002E2177"/>
    <w:rsid w:val="002E23C5"/>
    <w:rsid w:val="002E25BD"/>
    <w:rsid w:val="002E25D0"/>
    <w:rsid w:val="002E25E8"/>
    <w:rsid w:val="002E28B9"/>
    <w:rsid w:val="002E28DA"/>
    <w:rsid w:val="002E2BDB"/>
    <w:rsid w:val="002E2D38"/>
    <w:rsid w:val="002E2F4D"/>
    <w:rsid w:val="002E355D"/>
    <w:rsid w:val="002E38ED"/>
    <w:rsid w:val="002E3BCD"/>
    <w:rsid w:val="002E3FFF"/>
    <w:rsid w:val="002E4012"/>
    <w:rsid w:val="002E42A4"/>
    <w:rsid w:val="002E4B7B"/>
    <w:rsid w:val="002E55A4"/>
    <w:rsid w:val="002E5760"/>
    <w:rsid w:val="002E58A5"/>
    <w:rsid w:val="002E59E5"/>
    <w:rsid w:val="002E5A8D"/>
    <w:rsid w:val="002E5AF1"/>
    <w:rsid w:val="002E5D60"/>
    <w:rsid w:val="002E5DDE"/>
    <w:rsid w:val="002E5F9A"/>
    <w:rsid w:val="002E5FE6"/>
    <w:rsid w:val="002E60A1"/>
    <w:rsid w:val="002E61CB"/>
    <w:rsid w:val="002E630A"/>
    <w:rsid w:val="002E63BE"/>
    <w:rsid w:val="002E647A"/>
    <w:rsid w:val="002E675C"/>
    <w:rsid w:val="002E6AA4"/>
    <w:rsid w:val="002E6D88"/>
    <w:rsid w:val="002E6DFE"/>
    <w:rsid w:val="002E6EB9"/>
    <w:rsid w:val="002E73E7"/>
    <w:rsid w:val="002E7566"/>
    <w:rsid w:val="002E7775"/>
    <w:rsid w:val="002E78AB"/>
    <w:rsid w:val="002E798A"/>
    <w:rsid w:val="002E79B5"/>
    <w:rsid w:val="002E7AD2"/>
    <w:rsid w:val="002E7BF8"/>
    <w:rsid w:val="002E7C98"/>
    <w:rsid w:val="002E7DC9"/>
    <w:rsid w:val="002E7DCC"/>
    <w:rsid w:val="002E7F12"/>
    <w:rsid w:val="002F026B"/>
    <w:rsid w:val="002F0397"/>
    <w:rsid w:val="002F0501"/>
    <w:rsid w:val="002F0591"/>
    <w:rsid w:val="002F08F4"/>
    <w:rsid w:val="002F0A0A"/>
    <w:rsid w:val="002F0A3D"/>
    <w:rsid w:val="002F0A9B"/>
    <w:rsid w:val="002F0AD5"/>
    <w:rsid w:val="002F0B6E"/>
    <w:rsid w:val="002F0B95"/>
    <w:rsid w:val="002F1005"/>
    <w:rsid w:val="002F11BA"/>
    <w:rsid w:val="002F1294"/>
    <w:rsid w:val="002F1399"/>
    <w:rsid w:val="002F140E"/>
    <w:rsid w:val="002F14C6"/>
    <w:rsid w:val="002F1538"/>
    <w:rsid w:val="002F1547"/>
    <w:rsid w:val="002F15ED"/>
    <w:rsid w:val="002F1893"/>
    <w:rsid w:val="002F19E3"/>
    <w:rsid w:val="002F1B80"/>
    <w:rsid w:val="002F1DC6"/>
    <w:rsid w:val="002F1E20"/>
    <w:rsid w:val="002F2426"/>
    <w:rsid w:val="002F2723"/>
    <w:rsid w:val="002F279B"/>
    <w:rsid w:val="002F2930"/>
    <w:rsid w:val="002F2A41"/>
    <w:rsid w:val="002F2A4B"/>
    <w:rsid w:val="002F2C0C"/>
    <w:rsid w:val="002F2FF2"/>
    <w:rsid w:val="002F32FB"/>
    <w:rsid w:val="002F3722"/>
    <w:rsid w:val="002F3B81"/>
    <w:rsid w:val="002F4072"/>
    <w:rsid w:val="002F48A3"/>
    <w:rsid w:val="002F4910"/>
    <w:rsid w:val="002F4DF4"/>
    <w:rsid w:val="002F4EB4"/>
    <w:rsid w:val="002F5112"/>
    <w:rsid w:val="002F5611"/>
    <w:rsid w:val="002F5B75"/>
    <w:rsid w:val="002F5CEE"/>
    <w:rsid w:val="002F5F5E"/>
    <w:rsid w:val="002F5F85"/>
    <w:rsid w:val="002F6235"/>
    <w:rsid w:val="002F63BB"/>
    <w:rsid w:val="002F647A"/>
    <w:rsid w:val="002F677C"/>
    <w:rsid w:val="002F682A"/>
    <w:rsid w:val="002F693F"/>
    <w:rsid w:val="002F6F22"/>
    <w:rsid w:val="002F7063"/>
    <w:rsid w:val="002F7439"/>
    <w:rsid w:val="002F76E7"/>
    <w:rsid w:val="002F7932"/>
    <w:rsid w:val="002F7A32"/>
    <w:rsid w:val="002F7A36"/>
    <w:rsid w:val="002F7CBE"/>
    <w:rsid w:val="002F7DCB"/>
    <w:rsid w:val="00300482"/>
    <w:rsid w:val="003006AD"/>
    <w:rsid w:val="003008CC"/>
    <w:rsid w:val="00300BC0"/>
    <w:rsid w:val="00300CE7"/>
    <w:rsid w:val="00301245"/>
    <w:rsid w:val="00301348"/>
    <w:rsid w:val="00301763"/>
    <w:rsid w:val="003017D0"/>
    <w:rsid w:val="003018AE"/>
    <w:rsid w:val="00301BE8"/>
    <w:rsid w:val="00301E5B"/>
    <w:rsid w:val="00301EBD"/>
    <w:rsid w:val="003021A0"/>
    <w:rsid w:val="00302252"/>
    <w:rsid w:val="00302BA7"/>
    <w:rsid w:val="00302BF5"/>
    <w:rsid w:val="00302C12"/>
    <w:rsid w:val="00302C93"/>
    <w:rsid w:val="00302CE7"/>
    <w:rsid w:val="003031F5"/>
    <w:rsid w:val="00303341"/>
    <w:rsid w:val="0030338F"/>
    <w:rsid w:val="0030379D"/>
    <w:rsid w:val="0030397A"/>
    <w:rsid w:val="00303BAA"/>
    <w:rsid w:val="00303C60"/>
    <w:rsid w:val="00303EC3"/>
    <w:rsid w:val="00304255"/>
    <w:rsid w:val="003042A9"/>
    <w:rsid w:val="00304578"/>
    <w:rsid w:val="00304DC8"/>
    <w:rsid w:val="00304FB8"/>
    <w:rsid w:val="00305094"/>
    <w:rsid w:val="003050C2"/>
    <w:rsid w:val="003055A0"/>
    <w:rsid w:val="003055C4"/>
    <w:rsid w:val="0030578B"/>
    <w:rsid w:val="00305925"/>
    <w:rsid w:val="00305A03"/>
    <w:rsid w:val="00305D62"/>
    <w:rsid w:val="00306107"/>
    <w:rsid w:val="0030639D"/>
    <w:rsid w:val="00306534"/>
    <w:rsid w:val="00306692"/>
    <w:rsid w:val="00306E31"/>
    <w:rsid w:val="00306FB8"/>
    <w:rsid w:val="00306FBE"/>
    <w:rsid w:val="00307158"/>
    <w:rsid w:val="00307299"/>
    <w:rsid w:val="0030730E"/>
    <w:rsid w:val="003073C3"/>
    <w:rsid w:val="00307437"/>
    <w:rsid w:val="0030771F"/>
    <w:rsid w:val="00307809"/>
    <w:rsid w:val="003078C9"/>
    <w:rsid w:val="00310005"/>
    <w:rsid w:val="00310011"/>
    <w:rsid w:val="003104CE"/>
    <w:rsid w:val="00310678"/>
    <w:rsid w:val="00310938"/>
    <w:rsid w:val="00310B9B"/>
    <w:rsid w:val="00310C3F"/>
    <w:rsid w:val="00310EEA"/>
    <w:rsid w:val="00311387"/>
    <w:rsid w:val="003113EA"/>
    <w:rsid w:val="0031141E"/>
    <w:rsid w:val="00311B72"/>
    <w:rsid w:val="00311D11"/>
    <w:rsid w:val="00312268"/>
    <w:rsid w:val="003125C7"/>
    <w:rsid w:val="0031270A"/>
    <w:rsid w:val="00312814"/>
    <w:rsid w:val="00312979"/>
    <w:rsid w:val="00312AEE"/>
    <w:rsid w:val="00312C59"/>
    <w:rsid w:val="00312E04"/>
    <w:rsid w:val="0031308E"/>
    <w:rsid w:val="003135BD"/>
    <w:rsid w:val="003137D9"/>
    <w:rsid w:val="003137E2"/>
    <w:rsid w:val="00313847"/>
    <w:rsid w:val="00313923"/>
    <w:rsid w:val="003139BC"/>
    <w:rsid w:val="00313C5E"/>
    <w:rsid w:val="00313F64"/>
    <w:rsid w:val="003140D2"/>
    <w:rsid w:val="0031485F"/>
    <w:rsid w:val="003149B6"/>
    <w:rsid w:val="00314A51"/>
    <w:rsid w:val="0031526D"/>
    <w:rsid w:val="0031531E"/>
    <w:rsid w:val="003156A8"/>
    <w:rsid w:val="00315A8B"/>
    <w:rsid w:val="00315F14"/>
    <w:rsid w:val="00315FDC"/>
    <w:rsid w:val="003166B9"/>
    <w:rsid w:val="003168B0"/>
    <w:rsid w:val="0031695A"/>
    <w:rsid w:val="00316A9F"/>
    <w:rsid w:val="00316D88"/>
    <w:rsid w:val="0031701D"/>
    <w:rsid w:val="0031709A"/>
    <w:rsid w:val="0031744E"/>
    <w:rsid w:val="00317484"/>
    <w:rsid w:val="00317714"/>
    <w:rsid w:val="0031793D"/>
    <w:rsid w:val="00317ABA"/>
    <w:rsid w:val="00317C86"/>
    <w:rsid w:val="00317D17"/>
    <w:rsid w:val="00317D8D"/>
    <w:rsid w:val="00317F44"/>
    <w:rsid w:val="00320200"/>
    <w:rsid w:val="003202E0"/>
    <w:rsid w:val="0032057E"/>
    <w:rsid w:val="0032058A"/>
    <w:rsid w:val="0032065B"/>
    <w:rsid w:val="00320A17"/>
    <w:rsid w:val="00320A2D"/>
    <w:rsid w:val="00320F81"/>
    <w:rsid w:val="0032166C"/>
    <w:rsid w:val="003218A7"/>
    <w:rsid w:val="00321CCA"/>
    <w:rsid w:val="00321E22"/>
    <w:rsid w:val="003220F3"/>
    <w:rsid w:val="0032216E"/>
    <w:rsid w:val="00322234"/>
    <w:rsid w:val="003224CE"/>
    <w:rsid w:val="00322708"/>
    <w:rsid w:val="00322A69"/>
    <w:rsid w:val="00322B97"/>
    <w:rsid w:val="00322C32"/>
    <w:rsid w:val="00322C49"/>
    <w:rsid w:val="00322DA9"/>
    <w:rsid w:val="00322E52"/>
    <w:rsid w:val="00323246"/>
    <w:rsid w:val="003234E4"/>
    <w:rsid w:val="00323558"/>
    <w:rsid w:val="003235F2"/>
    <w:rsid w:val="00323731"/>
    <w:rsid w:val="00323A65"/>
    <w:rsid w:val="00323AF6"/>
    <w:rsid w:val="00323E3A"/>
    <w:rsid w:val="00323FDB"/>
    <w:rsid w:val="0032428B"/>
    <w:rsid w:val="0032434B"/>
    <w:rsid w:val="00324424"/>
    <w:rsid w:val="0032448C"/>
    <w:rsid w:val="003246EA"/>
    <w:rsid w:val="00324AEF"/>
    <w:rsid w:val="00324B2D"/>
    <w:rsid w:val="00324C0C"/>
    <w:rsid w:val="00324C85"/>
    <w:rsid w:val="00324C91"/>
    <w:rsid w:val="003250B7"/>
    <w:rsid w:val="003251C2"/>
    <w:rsid w:val="0032522C"/>
    <w:rsid w:val="00325256"/>
    <w:rsid w:val="003253E8"/>
    <w:rsid w:val="00325425"/>
    <w:rsid w:val="00325736"/>
    <w:rsid w:val="00325C11"/>
    <w:rsid w:val="00325FA0"/>
    <w:rsid w:val="00325FEF"/>
    <w:rsid w:val="003260A1"/>
    <w:rsid w:val="003262CF"/>
    <w:rsid w:val="0032637A"/>
    <w:rsid w:val="003266A8"/>
    <w:rsid w:val="003266DE"/>
    <w:rsid w:val="00326901"/>
    <w:rsid w:val="00326983"/>
    <w:rsid w:val="003269FD"/>
    <w:rsid w:val="00326A15"/>
    <w:rsid w:val="00326F1C"/>
    <w:rsid w:val="00327104"/>
    <w:rsid w:val="00327162"/>
    <w:rsid w:val="00327390"/>
    <w:rsid w:val="003273F8"/>
    <w:rsid w:val="0032765C"/>
    <w:rsid w:val="003276F6"/>
    <w:rsid w:val="00327759"/>
    <w:rsid w:val="00327B37"/>
    <w:rsid w:val="00327F61"/>
    <w:rsid w:val="0033033C"/>
    <w:rsid w:val="0033037A"/>
    <w:rsid w:val="00330407"/>
    <w:rsid w:val="0033066C"/>
    <w:rsid w:val="00330A0A"/>
    <w:rsid w:val="00330BCF"/>
    <w:rsid w:val="00330C2D"/>
    <w:rsid w:val="00330DC7"/>
    <w:rsid w:val="00330E48"/>
    <w:rsid w:val="0033126D"/>
    <w:rsid w:val="0033156F"/>
    <w:rsid w:val="003315AA"/>
    <w:rsid w:val="0033178C"/>
    <w:rsid w:val="00331840"/>
    <w:rsid w:val="00331930"/>
    <w:rsid w:val="003319CC"/>
    <w:rsid w:val="00331CD7"/>
    <w:rsid w:val="00332048"/>
    <w:rsid w:val="003320DA"/>
    <w:rsid w:val="00332293"/>
    <w:rsid w:val="00332584"/>
    <w:rsid w:val="00332664"/>
    <w:rsid w:val="003326C3"/>
    <w:rsid w:val="003326D2"/>
    <w:rsid w:val="003328A9"/>
    <w:rsid w:val="00332F72"/>
    <w:rsid w:val="0033318F"/>
    <w:rsid w:val="003335B3"/>
    <w:rsid w:val="00333739"/>
    <w:rsid w:val="003337CB"/>
    <w:rsid w:val="00333DC3"/>
    <w:rsid w:val="00334040"/>
    <w:rsid w:val="00334065"/>
    <w:rsid w:val="00334089"/>
    <w:rsid w:val="0033419F"/>
    <w:rsid w:val="00334223"/>
    <w:rsid w:val="003342E5"/>
    <w:rsid w:val="00334302"/>
    <w:rsid w:val="0033444D"/>
    <w:rsid w:val="00334770"/>
    <w:rsid w:val="00334777"/>
    <w:rsid w:val="003347AD"/>
    <w:rsid w:val="00334F13"/>
    <w:rsid w:val="003353CD"/>
    <w:rsid w:val="0033547D"/>
    <w:rsid w:val="0033585C"/>
    <w:rsid w:val="00335D8A"/>
    <w:rsid w:val="00335EAC"/>
    <w:rsid w:val="003360A3"/>
    <w:rsid w:val="003362AE"/>
    <w:rsid w:val="003362FE"/>
    <w:rsid w:val="00336488"/>
    <w:rsid w:val="0033659E"/>
    <w:rsid w:val="0033664F"/>
    <w:rsid w:val="0033665C"/>
    <w:rsid w:val="003367B6"/>
    <w:rsid w:val="003368C3"/>
    <w:rsid w:val="00336B2A"/>
    <w:rsid w:val="00336F35"/>
    <w:rsid w:val="003371B5"/>
    <w:rsid w:val="003371C6"/>
    <w:rsid w:val="00337209"/>
    <w:rsid w:val="00337257"/>
    <w:rsid w:val="0033782E"/>
    <w:rsid w:val="00337BAF"/>
    <w:rsid w:val="00337DE0"/>
    <w:rsid w:val="0034017D"/>
    <w:rsid w:val="00340257"/>
    <w:rsid w:val="00340341"/>
    <w:rsid w:val="003405E0"/>
    <w:rsid w:val="0034089A"/>
    <w:rsid w:val="00340A0B"/>
    <w:rsid w:val="00340B4E"/>
    <w:rsid w:val="00340BD6"/>
    <w:rsid w:val="00340EFB"/>
    <w:rsid w:val="00340F02"/>
    <w:rsid w:val="00340F75"/>
    <w:rsid w:val="00341468"/>
    <w:rsid w:val="0034147F"/>
    <w:rsid w:val="003415EF"/>
    <w:rsid w:val="003417CB"/>
    <w:rsid w:val="00341893"/>
    <w:rsid w:val="003419A8"/>
    <w:rsid w:val="003419F5"/>
    <w:rsid w:val="00341FDC"/>
    <w:rsid w:val="003420A7"/>
    <w:rsid w:val="0034210F"/>
    <w:rsid w:val="00342584"/>
    <w:rsid w:val="00342596"/>
    <w:rsid w:val="00342628"/>
    <w:rsid w:val="003427DB"/>
    <w:rsid w:val="00342C38"/>
    <w:rsid w:val="00342CB2"/>
    <w:rsid w:val="00343316"/>
    <w:rsid w:val="003435A9"/>
    <w:rsid w:val="00343A55"/>
    <w:rsid w:val="00343ADD"/>
    <w:rsid w:val="00343FA5"/>
    <w:rsid w:val="003440DF"/>
    <w:rsid w:val="00344277"/>
    <w:rsid w:val="003442F4"/>
    <w:rsid w:val="00344649"/>
    <w:rsid w:val="00344694"/>
    <w:rsid w:val="0034477B"/>
    <w:rsid w:val="00344C44"/>
    <w:rsid w:val="00344EC8"/>
    <w:rsid w:val="00344F61"/>
    <w:rsid w:val="003450F6"/>
    <w:rsid w:val="0034532E"/>
    <w:rsid w:val="003453D8"/>
    <w:rsid w:val="00345496"/>
    <w:rsid w:val="00345857"/>
    <w:rsid w:val="00345BCF"/>
    <w:rsid w:val="00345C7B"/>
    <w:rsid w:val="00345E18"/>
    <w:rsid w:val="00345E4C"/>
    <w:rsid w:val="00345F09"/>
    <w:rsid w:val="00345F17"/>
    <w:rsid w:val="003460C2"/>
    <w:rsid w:val="0034628D"/>
    <w:rsid w:val="003462FD"/>
    <w:rsid w:val="0034640F"/>
    <w:rsid w:val="003464AD"/>
    <w:rsid w:val="003465CC"/>
    <w:rsid w:val="003466F9"/>
    <w:rsid w:val="003468F8"/>
    <w:rsid w:val="00346CFF"/>
    <w:rsid w:val="00347028"/>
    <w:rsid w:val="00347119"/>
    <w:rsid w:val="0034724E"/>
    <w:rsid w:val="00347462"/>
    <w:rsid w:val="003474FF"/>
    <w:rsid w:val="00347580"/>
    <w:rsid w:val="00347589"/>
    <w:rsid w:val="0034785C"/>
    <w:rsid w:val="00347DF0"/>
    <w:rsid w:val="00347F30"/>
    <w:rsid w:val="00350092"/>
    <w:rsid w:val="00350116"/>
    <w:rsid w:val="00350119"/>
    <w:rsid w:val="003501FC"/>
    <w:rsid w:val="00350230"/>
    <w:rsid w:val="003504FC"/>
    <w:rsid w:val="00350850"/>
    <w:rsid w:val="00350A2B"/>
    <w:rsid w:val="00350A8C"/>
    <w:rsid w:val="00350C04"/>
    <w:rsid w:val="003519AD"/>
    <w:rsid w:val="00351A1F"/>
    <w:rsid w:val="00351D91"/>
    <w:rsid w:val="00351E0E"/>
    <w:rsid w:val="003521CA"/>
    <w:rsid w:val="00352284"/>
    <w:rsid w:val="00352525"/>
    <w:rsid w:val="003525A8"/>
    <w:rsid w:val="003527F9"/>
    <w:rsid w:val="00352C2B"/>
    <w:rsid w:val="00352E1E"/>
    <w:rsid w:val="00352F62"/>
    <w:rsid w:val="00352FC6"/>
    <w:rsid w:val="003538A4"/>
    <w:rsid w:val="003539AE"/>
    <w:rsid w:val="00353BD2"/>
    <w:rsid w:val="00353CD6"/>
    <w:rsid w:val="00353D31"/>
    <w:rsid w:val="0035421F"/>
    <w:rsid w:val="0035425C"/>
    <w:rsid w:val="00354312"/>
    <w:rsid w:val="00354355"/>
    <w:rsid w:val="003546B5"/>
    <w:rsid w:val="00354A2A"/>
    <w:rsid w:val="00354B0F"/>
    <w:rsid w:val="00354C18"/>
    <w:rsid w:val="00354EB4"/>
    <w:rsid w:val="00354ED3"/>
    <w:rsid w:val="00354F2F"/>
    <w:rsid w:val="00355045"/>
    <w:rsid w:val="003553C2"/>
    <w:rsid w:val="003556FE"/>
    <w:rsid w:val="003558E5"/>
    <w:rsid w:val="00355C01"/>
    <w:rsid w:val="00355FB4"/>
    <w:rsid w:val="00356608"/>
    <w:rsid w:val="0035676A"/>
    <w:rsid w:val="00356852"/>
    <w:rsid w:val="00356858"/>
    <w:rsid w:val="00356885"/>
    <w:rsid w:val="00356944"/>
    <w:rsid w:val="00356A5C"/>
    <w:rsid w:val="00356ABE"/>
    <w:rsid w:val="00356B89"/>
    <w:rsid w:val="00356CD2"/>
    <w:rsid w:val="00356D29"/>
    <w:rsid w:val="00356D9A"/>
    <w:rsid w:val="00356EEB"/>
    <w:rsid w:val="003571C2"/>
    <w:rsid w:val="00357204"/>
    <w:rsid w:val="003574C4"/>
    <w:rsid w:val="003577E8"/>
    <w:rsid w:val="0035794F"/>
    <w:rsid w:val="003579DE"/>
    <w:rsid w:val="00357A0D"/>
    <w:rsid w:val="003601DC"/>
    <w:rsid w:val="003602F6"/>
    <w:rsid w:val="00360328"/>
    <w:rsid w:val="003604F7"/>
    <w:rsid w:val="003606E2"/>
    <w:rsid w:val="00360AAB"/>
    <w:rsid w:val="00360BCB"/>
    <w:rsid w:val="00360CDE"/>
    <w:rsid w:val="00360DBE"/>
    <w:rsid w:val="00360DF7"/>
    <w:rsid w:val="00360E53"/>
    <w:rsid w:val="00360F53"/>
    <w:rsid w:val="00361009"/>
    <w:rsid w:val="00361064"/>
    <w:rsid w:val="003612C7"/>
    <w:rsid w:val="003612F4"/>
    <w:rsid w:val="0036166E"/>
    <w:rsid w:val="00361745"/>
    <w:rsid w:val="00361D0F"/>
    <w:rsid w:val="00361D9A"/>
    <w:rsid w:val="003624A3"/>
    <w:rsid w:val="003624BE"/>
    <w:rsid w:val="00362663"/>
    <w:rsid w:val="003628BA"/>
    <w:rsid w:val="0036297B"/>
    <w:rsid w:val="00362E1C"/>
    <w:rsid w:val="00362E70"/>
    <w:rsid w:val="00362F9B"/>
    <w:rsid w:val="00363043"/>
    <w:rsid w:val="00363087"/>
    <w:rsid w:val="00363304"/>
    <w:rsid w:val="0036336C"/>
    <w:rsid w:val="0036384D"/>
    <w:rsid w:val="003638BB"/>
    <w:rsid w:val="00363CEB"/>
    <w:rsid w:val="00363DE9"/>
    <w:rsid w:val="00363E77"/>
    <w:rsid w:val="00363FB2"/>
    <w:rsid w:val="003640A7"/>
    <w:rsid w:val="00364593"/>
    <w:rsid w:val="003647CB"/>
    <w:rsid w:val="0036481F"/>
    <w:rsid w:val="0036494A"/>
    <w:rsid w:val="00364FF2"/>
    <w:rsid w:val="00365069"/>
    <w:rsid w:val="003650A4"/>
    <w:rsid w:val="003651BB"/>
    <w:rsid w:val="003651F0"/>
    <w:rsid w:val="003652B6"/>
    <w:rsid w:val="00365447"/>
    <w:rsid w:val="003654CF"/>
    <w:rsid w:val="00365CDC"/>
    <w:rsid w:val="00365F35"/>
    <w:rsid w:val="00366008"/>
    <w:rsid w:val="00366021"/>
    <w:rsid w:val="003661D2"/>
    <w:rsid w:val="00366DCB"/>
    <w:rsid w:val="00366DCE"/>
    <w:rsid w:val="00366F14"/>
    <w:rsid w:val="003673D9"/>
    <w:rsid w:val="003675F7"/>
    <w:rsid w:val="003678F6"/>
    <w:rsid w:val="0036794E"/>
    <w:rsid w:val="00367B10"/>
    <w:rsid w:val="00367F69"/>
    <w:rsid w:val="0037027F"/>
    <w:rsid w:val="00370369"/>
    <w:rsid w:val="003706BF"/>
    <w:rsid w:val="00370967"/>
    <w:rsid w:val="0037100A"/>
    <w:rsid w:val="00371189"/>
    <w:rsid w:val="003716E6"/>
    <w:rsid w:val="003717C6"/>
    <w:rsid w:val="00371D8B"/>
    <w:rsid w:val="00371EB8"/>
    <w:rsid w:val="0037224C"/>
    <w:rsid w:val="00372308"/>
    <w:rsid w:val="0037250F"/>
    <w:rsid w:val="003727BA"/>
    <w:rsid w:val="0037282A"/>
    <w:rsid w:val="003729CA"/>
    <w:rsid w:val="00372DCD"/>
    <w:rsid w:val="00373570"/>
    <w:rsid w:val="003737ED"/>
    <w:rsid w:val="003739F9"/>
    <w:rsid w:val="00373A7A"/>
    <w:rsid w:val="00373A91"/>
    <w:rsid w:val="00373C52"/>
    <w:rsid w:val="00373F26"/>
    <w:rsid w:val="00373FFA"/>
    <w:rsid w:val="003740FD"/>
    <w:rsid w:val="003748DC"/>
    <w:rsid w:val="00374C4C"/>
    <w:rsid w:val="00374E43"/>
    <w:rsid w:val="0037518B"/>
    <w:rsid w:val="003751E0"/>
    <w:rsid w:val="003751F8"/>
    <w:rsid w:val="00375333"/>
    <w:rsid w:val="003754E6"/>
    <w:rsid w:val="003757B8"/>
    <w:rsid w:val="0037589B"/>
    <w:rsid w:val="00375AB3"/>
    <w:rsid w:val="00375AB4"/>
    <w:rsid w:val="00376124"/>
    <w:rsid w:val="0037678C"/>
    <w:rsid w:val="00376A26"/>
    <w:rsid w:val="0037702A"/>
    <w:rsid w:val="0037704C"/>
    <w:rsid w:val="00377332"/>
    <w:rsid w:val="0037736A"/>
    <w:rsid w:val="00377449"/>
    <w:rsid w:val="00377588"/>
    <w:rsid w:val="003775E7"/>
    <w:rsid w:val="003778CD"/>
    <w:rsid w:val="00377E55"/>
    <w:rsid w:val="00377E7D"/>
    <w:rsid w:val="00377EC5"/>
    <w:rsid w:val="0038005F"/>
    <w:rsid w:val="00380164"/>
    <w:rsid w:val="00380542"/>
    <w:rsid w:val="003805E4"/>
    <w:rsid w:val="00380667"/>
    <w:rsid w:val="00380760"/>
    <w:rsid w:val="00380808"/>
    <w:rsid w:val="00380B5D"/>
    <w:rsid w:val="00380C40"/>
    <w:rsid w:val="00380F21"/>
    <w:rsid w:val="00380F40"/>
    <w:rsid w:val="00380FA2"/>
    <w:rsid w:val="00381149"/>
    <w:rsid w:val="003811B9"/>
    <w:rsid w:val="0038127D"/>
    <w:rsid w:val="0038146C"/>
    <w:rsid w:val="003815A8"/>
    <w:rsid w:val="00381DFC"/>
    <w:rsid w:val="00381ED9"/>
    <w:rsid w:val="00381F92"/>
    <w:rsid w:val="00381FCB"/>
    <w:rsid w:val="003822D5"/>
    <w:rsid w:val="00382609"/>
    <w:rsid w:val="00382945"/>
    <w:rsid w:val="00382A25"/>
    <w:rsid w:val="00382BF5"/>
    <w:rsid w:val="00382C18"/>
    <w:rsid w:val="00383113"/>
    <w:rsid w:val="00383139"/>
    <w:rsid w:val="00383224"/>
    <w:rsid w:val="003832BE"/>
    <w:rsid w:val="00383935"/>
    <w:rsid w:val="00383BDA"/>
    <w:rsid w:val="00383C57"/>
    <w:rsid w:val="00383CE4"/>
    <w:rsid w:val="00383E36"/>
    <w:rsid w:val="003841CF"/>
    <w:rsid w:val="00384219"/>
    <w:rsid w:val="00384353"/>
    <w:rsid w:val="00384793"/>
    <w:rsid w:val="00384927"/>
    <w:rsid w:val="00384FB2"/>
    <w:rsid w:val="00384FBF"/>
    <w:rsid w:val="0038502A"/>
    <w:rsid w:val="00385146"/>
    <w:rsid w:val="003853E7"/>
    <w:rsid w:val="0038541E"/>
    <w:rsid w:val="0038552D"/>
    <w:rsid w:val="00385957"/>
    <w:rsid w:val="00385A55"/>
    <w:rsid w:val="00385B81"/>
    <w:rsid w:val="00385E8C"/>
    <w:rsid w:val="00386124"/>
    <w:rsid w:val="003861A4"/>
    <w:rsid w:val="00386324"/>
    <w:rsid w:val="003864CE"/>
    <w:rsid w:val="003864D5"/>
    <w:rsid w:val="00386575"/>
    <w:rsid w:val="00386B97"/>
    <w:rsid w:val="00386C1F"/>
    <w:rsid w:val="003871F7"/>
    <w:rsid w:val="00387222"/>
    <w:rsid w:val="00387537"/>
    <w:rsid w:val="00387586"/>
    <w:rsid w:val="00387630"/>
    <w:rsid w:val="00387B77"/>
    <w:rsid w:val="00387F7A"/>
    <w:rsid w:val="00390056"/>
    <w:rsid w:val="0039007C"/>
    <w:rsid w:val="003904DD"/>
    <w:rsid w:val="00390544"/>
    <w:rsid w:val="00390567"/>
    <w:rsid w:val="0039057D"/>
    <w:rsid w:val="00390805"/>
    <w:rsid w:val="00390AAA"/>
    <w:rsid w:val="00390D38"/>
    <w:rsid w:val="00390FD7"/>
    <w:rsid w:val="00391125"/>
    <w:rsid w:val="00391193"/>
    <w:rsid w:val="003913C1"/>
    <w:rsid w:val="0039140B"/>
    <w:rsid w:val="003914DC"/>
    <w:rsid w:val="00391701"/>
    <w:rsid w:val="00391A52"/>
    <w:rsid w:val="00391D32"/>
    <w:rsid w:val="00391DDD"/>
    <w:rsid w:val="00391DE5"/>
    <w:rsid w:val="00391E12"/>
    <w:rsid w:val="00391E21"/>
    <w:rsid w:val="0039201D"/>
    <w:rsid w:val="003920BF"/>
    <w:rsid w:val="00392238"/>
    <w:rsid w:val="00392305"/>
    <w:rsid w:val="00392442"/>
    <w:rsid w:val="003929BC"/>
    <w:rsid w:val="00392AEA"/>
    <w:rsid w:val="00392B89"/>
    <w:rsid w:val="00392D25"/>
    <w:rsid w:val="003930FE"/>
    <w:rsid w:val="00393782"/>
    <w:rsid w:val="00393E9E"/>
    <w:rsid w:val="00393FDA"/>
    <w:rsid w:val="003941B1"/>
    <w:rsid w:val="003946AD"/>
    <w:rsid w:val="00394AF6"/>
    <w:rsid w:val="00394C64"/>
    <w:rsid w:val="00394CB7"/>
    <w:rsid w:val="0039513C"/>
    <w:rsid w:val="003952AB"/>
    <w:rsid w:val="00395D8B"/>
    <w:rsid w:val="00395DD6"/>
    <w:rsid w:val="00395E65"/>
    <w:rsid w:val="00396090"/>
    <w:rsid w:val="003960C3"/>
    <w:rsid w:val="00396482"/>
    <w:rsid w:val="003966DB"/>
    <w:rsid w:val="003966F6"/>
    <w:rsid w:val="0039677D"/>
    <w:rsid w:val="0039693B"/>
    <w:rsid w:val="00396DB0"/>
    <w:rsid w:val="00396EE2"/>
    <w:rsid w:val="00397487"/>
    <w:rsid w:val="003979F9"/>
    <w:rsid w:val="00397CC3"/>
    <w:rsid w:val="003A03FE"/>
    <w:rsid w:val="003A0654"/>
    <w:rsid w:val="003A0660"/>
    <w:rsid w:val="003A0D52"/>
    <w:rsid w:val="003A0DA9"/>
    <w:rsid w:val="003A0F87"/>
    <w:rsid w:val="003A1600"/>
    <w:rsid w:val="003A1D13"/>
    <w:rsid w:val="003A2019"/>
    <w:rsid w:val="003A20A1"/>
    <w:rsid w:val="003A24F0"/>
    <w:rsid w:val="003A2882"/>
    <w:rsid w:val="003A294B"/>
    <w:rsid w:val="003A2ED1"/>
    <w:rsid w:val="003A2F32"/>
    <w:rsid w:val="003A3241"/>
    <w:rsid w:val="003A3282"/>
    <w:rsid w:val="003A3330"/>
    <w:rsid w:val="003A3651"/>
    <w:rsid w:val="003A36E6"/>
    <w:rsid w:val="003A3A20"/>
    <w:rsid w:val="003A3A76"/>
    <w:rsid w:val="003A4538"/>
    <w:rsid w:val="003A4575"/>
    <w:rsid w:val="003A477A"/>
    <w:rsid w:val="003A4BC7"/>
    <w:rsid w:val="003A4C47"/>
    <w:rsid w:val="003A4CE3"/>
    <w:rsid w:val="003A4D2E"/>
    <w:rsid w:val="003A4D7D"/>
    <w:rsid w:val="003A4F9B"/>
    <w:rsid w:val="003A500B"/>
    <w:rsid w:val="003A522C"/>
    <w:rsid w:val="003A5378"/>
    <w:rsid w:val="003A540E"/>
    <w:rsid w:val="003A5572"/>
    <w:rsid w:val="003A5BD5"/>
    <w:rsid w:val="003A5C79"/>
    <w:rsid w:val="003A5CE2"/>
    <w:rsid w:val="003A611D"/>
    <w:rsid w:val="003A6317"/>
    <w:rsid w:val="003A6646"/>
    <w:rsid w:val="003A6717"/>
    <w:rsid w:val="003A6724"/>
    <w:rsid w:val="003A67EA"/>
    <w:rsid w:val="003A68DB"/>
    <w:rsid w:val="003A68ED"/>
    <w:rsid w:val="003A694C"/>
    <w:rsid w:val="003A69F1"/>
    <w:rsid w:val="003A6BC7"/>
    <w:rsid w:val="003A6CF7"/>
    <w:rsid w:val="003A6E1A"/>
    <w:rsid w:val="003A70EB"/>
    <w:rsid w:val="003A7162"/>
    <w:rsid w:val="003A7361"/>
    <w:rsid w:val="003A749F"/>
    <w:rsid w:val="003A78F8"/>
    <w:rsid w:val="003A7B76"/>
    <w:rsid w:val="003A7C6F"/>
    <w:rsid w:val="003A7D16"/>
    <w:rsid w:val="003A7D48"/>
    <w:rsid w:val="003A7F0D"/>
    <w:rsid w:val="003B0024"/>
    <w:rsid w:val="003B0121"/>
    <w:rsid w:val="003B0201"/>
    <w:rsid w:val="003B039A"/>
    <w:rsid w:val="003B04AA"/>
    <w:rsid w:val="003B0614"/>
    <w:rsid w:val="003B067E"/>
    <w:rsid w:val="003B0891"/>
    <w:rsid w:val="003B08CC"/>
    <w:rsid w:val="003B0BA1"/>
    <w:rsid w:val="003B0CE3"/>
    <w:rsid w:val="003B0D3D"/>
    <w:rsid w:val="003B0E8D"/>
    <w:rsid w:val="003B0F80"/>
    <w:rsid w:val="003B13C3"/>
    <w:rsid w:val="003B154D"/>
    <w:rsid w:val="003B1C0B"/>
    <w:rsid w:val="003B1D16"/>
    <w:rsid w:val="003B1F76"/>
    <w:rsid w:val="003B2351"/>
    <w:rsid w:val="003B24CB"/>
    <w:rsid w:val="003B296A"/>
    <w:rsid w:val="003B2BB0"/>
    <w:rsid w:val="003B2C32"/>
    <w:rsid w:val="003B37D5"/>
    <w:rsid w:val="003B3F4C"/>
    <w:rsid w:val="003B3FBB"/>
    <w:rsid w:val="003B4024"/>
    <w:rsid w:val="003B4102"/>
    <w:rsid w:val="003B41DA"/>
    <w:rsid w:val="003B4506"/>
    <w:rsid w:val="003B4599"/>
    <w:rsid w:val="003B4A66"/>
    <w:rsid w:val="003B4DF9"/>
    <w:rsid w:val="003B4F4A"/>
    <w:rsid w:val="003B5124"/>
    <w:rsid w:val="003B540D"/>
    <w:rsid w:val="003B595F"/>
    <w:rsid w:val="003B5C94"/>
    <w:rsid w:val="003B5E3A"/>
    <w:rsid w:val="003B5FDF"/>
    <w:rsid w:val="003B60F2"/>
    <w:rsid w:val="003B61B7"/>
    <w:rsid w:val="003B6612"/>
    <w:rsid w:val="003B6ABA"/>
    <w:rsid w:val="003B7047"/>
    <w:rsid w:val="003B72C5"/>
    <w:rsid w:val="003B72E4"/>
    <w:rsid w:val="003B773C"/>
    <w:rsid w:val="003B7BE9"/>
    <w:rsid w:val="003B7D7A"/>
    <w:rsid w:val="003BBA49"/>
    <w:rsid w:val="003C01FE"/>
    <w:rsid w:val="003C02D8"/>
    <w:rsid w:val="003C0949"/>
    <w:rsid w:val="003C0BE1"/>
    <w:rsid w:val="003C0C9B"/>
    <w:rsid w:val="003C0CFD"/>
    <w:rsid w:val="003C0D1F"/>
    <w:rsid w:val="003C1165"/>
    <w:rsid w:val="003C13E2"/>
    <w:rsid w:val="003C15F7"/>
    <w:rsid w:val="003C166D"/>
    <w:rsid w:val="003C1754"/>
    <w:rsid w:val="003C1A63"/>
    <w:rsid w:val="003C1AE2"/>
    <w:rsid w:val="003C1D19"/>
    <w:rsid w:val="003C1D44"/>
    <w:rsid w:val="003C1D5C"/>
    <w:rsid w:val="003C2000"/>
    <w:rsid w:val="003C20B7"/>
    <w:rsid w:val="003C21BF"/>
    <w:rsid w:val="003C232B"/>
    <w:rsid w:val="003C2DF7"/>
    <w:rsid w:val="003C2E4D"/>
    <w:rsid w:val="003C2EFF"/>
    <w:rsid w:val="003C307A"/>
    <w:rsid w:val="003C31E4"/>
    <w:rsid w:val="003C340C"/>
    <w:rsid w:val="003C3575"/>
    <w:rsid w:val="003C37AD"/>
    <w:rsid w:val="003C3943"/>
    <w:rsid w:val="003C3A1F"/>
    <w:rsid w:val="003C3E31"/>
    <w:rsid w:val="003C3E52"/>
    <w:rsid w:val="003C3E6F"/>
    <w:rsid w:val="003C3EBD"/>
    <w:rsid w:val="003C3EBF"/>
    <w:rsid w:val="003C3F16"/>
    <w:rsid w:val="003C404B"/>
    <w:rsid w:val="003C4201"/>
    <w:rsid w:val="003C4401"/>
    <w:rsid w:val="003C4682"/>
    <w:rsid w:val="003C472F"/>
    <w:rsid w:val="003C47AB"/>
    <w:rsid w:val="003C47E2"/>
    <w:rsid w:val="003C4A99"/>
    <w:rsid w:val="003C4BE2"/>
    <w:rsid w:val="003C4D3D"/>
    <w:rsid w:val="003C4D57"/>
    <w:rsid w:val="003C4D97"/>
    <w:rsid w:val="003C4F7A"/>
    <w:rsid w:val="003C4F8F"/>
    <w:rsid w:val="003C5016"/>
    <w:rsid w:val="003C5211"/>
    <w:rsid w:val="003C53C1"/>
    <w:rsid w:val="003C54FD"/>
    <w:rsid w:val="003C55F6"/>
    <w:rsid w:val="003C5852"/>
    <w:rsid w:val="003C5B6F"/>
    <w:rsid w:val="003C5BA3"/>
    <w:rsid w:val="003C5DD1"/>
    <w:rsid w:val="003C5F94"/>
    <w:rsid w:val="003C6033"/>
    <w:rsid w:val="003C605F"/>
    <w:rsid w:val="003C61D8"/>
    <w:rsid w:val="003C6569"/>
    <w:rsid w:val="003C66AA"/>
    <w:rsid w:val="003C6854"/>
    <w:rsid w:val="003C6885"/>
    <w:rsid w:val="003C6912"/>
    <w:rsid w:val="003C693E"/>
    <w:rsid w:val="003C6AA6"/>
    <w:rsid w:val="003C6B59"/>
    <w:rsid w:val="003C6B6C"/>
    <w:rsid w:val="003C6BC8"/>
    <w:rsid w:val="003C6FD6"/>
    <w:rsid w:val="003C7184"/>
    <w:rsid w:val="003C776D"/>
    <w:rsid w:val="003C7C12"/>
    <w:rsid w:val="003C7F2B"/>
    <w:rsid w:val="003D019E"/>
    <w:rsid w:val="003D093F"/>
    <w:rsid w:val="003D184F"/>
    <w:rsid w:val="003D187A"/>
    <w:rsid w:val="003D1C6A"/>
    <w:rsid w:val="003D22E5"/>
    <w:rsid w:val="003D230E"/>
    <w:rsid w:val="003D23B0"/>
    <w:rsid w:val="003D23DA"/>
    <w:rsid w:val="003D2892"/>
    <w:rsid w:val="003D299E"/>
    <w:rsid w:val="003D2ADB"/>
    <w:rsid w:val="003D2B47"/>
    <w:rsid w:val="003D2D23"/>
    <w:rsid w:val="003D2D92"/>
    <w:rsid w:val="003D333B"/>
    <w:rsid w:val="003D33FE"/>
    <w:rsid w:val="003D3859"/>
    <w:rsid w:val="003D3873"/>
    <w:rsid w:val="003D39CF"/>
    <w:rsid w:val="003D3A8D"/>
    <w:rsid w:val="003D3AF2"/>
    <w:rsid w:val="003D4017"/>
    <w:rsid w:val="003D4192"/>
    <w:rsid w:val="003D442C"/>
    <w:rsid w:val="003D442F"/>
    <w:rsid w:val="003D4785"/>
    <w:rsid w:val="003D48D3"/>
    <w:rsid w:val="003D4984"/>
    <w:rsid w:val="003D49BE"/>
    <w:rsid w:val="003D4EB9"/>
    <w:rsid w:val="003D542F"/>
    <w:rsid w:val="003D5450"/>
    <w:rsid w:val="003D558F"/>
    <w:rsid w:val="003D5595"/>
    <w:rsid w:val="003D55E1"/>
    <w:rsid w:val="003D5B58"/>
    <w:rsid w:val="003D5C24"/>
    <w:rsid w:val="003D5CD3"/>
    <w:rsid w:val="003D6222"/>
    <w:rsid w:val="003D6286"/>
    <w:rsid w:val="003D6333"/>
    <w:rsid w:val="003D6364"/>
    <w:rsid w:val="003D63EB"/>
    <w:rsid w:val="003D641A"/>
    <w:rsid w:val="003D65D6"/>
    <w:rsid w:val="003D6645"/>
    <w:rsid w:val="003D68FA"/>
    <w:rsid w:val="003D695C"/>
    <w:rsid w:val="003D6A2A"/>
    <w:rsid w:val="003D6BB2"/>
    <w:rsid w:val="003D6DA4"/>
    <w:rsid w:val="003D6EA9"/>
    <w:rsid w:val="003D6EDD"/>
    <w:rsid w:val="003D6F92"/>
    <w:rsid w:val="003D709A"/>
    <w:rsid w:val="003D71EB"/>
    <w:rsid w:val="003D73B3"/>
    <w:rsid w:val="003D7754"/>
    <w:rsid w:val="003D79A5"/>
    <w:rsid w:val="003D7AAF"/>
    <w:rsid w:val="003D7C13"/>
    <w:rsid w:val="003E055A"/>
    <w:rsid w:val="003E06C1"/>
    <w:rsid w:val="003E0904"/>
    <w:rsid w:val="003E0966"/>
    <w:rsid w:val="003E09AB"/>
    <w:rsid w:val="003E1006"/>
    <w:rsid w:val="003E10B4"/>
    <w:rsid w:val="003E199D"/>
    <w:rsid w:val="003E1A55"/>
    <w:rsid w:val="003E1DFC"/>
    <w:rsid w:val="003E20C8"/>
    <w:rsid w:val="003E22CB"/>
    <w:rsid w:val="003E2343"/>
    <w:rsid w:val="003E252F"/>
    <w:rsid w:val="003E274B"/>
    <w:rsid w:val="003E2779"/>
    <w:rsid w:val="003E2B3E"/>
    <w:rsid w:val="003E2D58"/>
    <w:rsid w:val="003E31C2"/>
    <w:rsid w:val="003E33C7"/>
    <w:rsid w:val="003E3585"/>
    <w:rsid w:val="003E35C5"/>
    <w:rsid w:val="003E3607"/>
    <w:rsid w:val="003E3B18"/>
    <w:rsid w:val="003E3B33"/>
    <w:rsid w:val="003E3BE4"/>
    <w:rsid w:val="003E3CA7"/>
    <w:rsid w:val="003E3E7D"/>
    <w:rsid w:val="003E3F81"/>
    <w:rsid w:val="003E406B"/>
    <w:rsid w:val="003E43C0"/>
    <w:rsid w:val="003E4513"/>
    <w:rsid w:val="003E48F8"/>
    <w:rsid w:val="003E49B8"/>
    <w:rsid w:val="003E4DC4"/>
    <w:rsid w:val="003E4F96"/>
    <w:rsid w:val="003E531C"/>
    <w:rsid w:val="003E54C3"/>
    <w:rsid w:val="003E58DA"/>
    <w:rsid w:val="003E5A3E"/>
    <w:rsid w:val="003E5ACF"/>
    <w:rsid w:val="003E5B93"/>
    <w:rsid w:val="003E5C2A"/>
    <w:rsid w:val="003E5CCA"/>
    <w:rsid w:val="003E5CE8"/>
    <w:rsid w:val="003E5D8A"/>
    <w:rsid w:val="003E5D92"/>
    <w:rsid w:val="003E5DB6"/>
    <w:rsid w:val="003E5E5C"/>
    <w:rsid w:val="003E610C"/>
    <w:rsid w:val="003E6641"/>
    <w:rsid w:val="003E6824"/>
    <w:rsid w:val="003E6853"/>
    <w:rsid w:val="003E6ABA"/>
    <w:rsid w:val="003E7773"/>
    <w:rsid w:val="003E77E2"/>
    <w:rsid w:val="003E79E0"/>
    <w:rsid w:val="003E7C13"/>
    <w:rsid w:val="003E7C80"/>
    <w:rsid w:val="003E7DAE"/>
    <w:rsid w:val="003E7DF7"/>
    <w:rsid w:val="003F011C"/>
    <w:rsid w:val="003F035D"/>
    <w:rsid w:val="003F03AD"/>
    <w:rsid w:val="003F068B"/>
    <w:rsid w:val="003F0BDE"/>
    <w:rsid w:val="003F115E"/>
    <w:rsid w:val="003F1325"/>
    <w:rsid w:val="003F13E1"/>
    <w:rsid w:val="003F1463"/>
    <w:rsid w:val="003F14C2"/>
    <w:rsid w:val="003F16B8"/>
    <w:rsid w:val="003F16BD"/>
    <w:rsid w:val="003F174F"/>
    <w:rsid w:val="003F19FF"/>
    <w:rsid w:val="003F1D1D"/>
    <w:rsid w:val="003F2210"/>
    <w:rsid w:val="003F22E4"/>
    <w:rsid w:val="003F2320"/>
    <w:rsid w:val="003F2477"/>
    <w:rsid w:val="003F25C1"/>
    <w:rsid w:val="003F261F"/>
    <w:rsid w:val="003F2C4A"/>
    <w:rsid w:val="003F2D49"/>
    <w:rsid w:val="003F2FB9"/>
    <w:rsid w:val="003F3199"/>
    <w:rsid w:val="003F3717"/>
    <w:rsid w:val="003F3812"/>
    <w:rsid w:val="003F3827"/>
    <w:rsid w:val="003F3D2F"/>
    <w:rsid w:val="003F3F8D"/>
    <w:rsid w:val="003F4202"/>
    <w:rsid w:val="003F444B"/>
    <w:rsid w:val="003F480E"/>
    <w:rsid w:val="003F4BFA"/>
    <w:rsid w:val="003F4EE3"/>
    <w:rsid w:val="003F4F7C"/>
    <w:rsid w:val="003F4FC5"/>
    <w:rsid w:val="003F5176"/>
    <w:rsid w:val="003F535C"/>
    <w:rsid w:val="003F5392"/>
    <w:rsid w:val="003F5520"/>
    <w:rsid w:val="003F5812"/>
    <w:rsid w:val="003F59D5"/>
    <w:rsid w:val="003F5A3D"/>
    <w:rsid w:val="003F5A95"/>
    <w:rsid w:val="003F5D82"/>
    <w:rsid w:val="003F5DFA"/>
    <w:rsid w:val="003F61D6"/>
    <w:rsid w:val="003F6569"/>
    <w:rsid w:val="003F66A4"/>
    <w:rsid w:val="003F6ADD"/>
    <w:rsid w:val="003F6D6F"/>
    <w:rsid w:val="003F6D76"/>
    <w:rsid w:val="003F707C"/>
    <w:rsid w:val="003F7095"/>
    <w:rsid w:val="003F7196"/>
    <w:rsid w:val="003F7583"/>
    <w:rsid w:val="003F79F0"/>
    <w:rsid w:val="003F7AC5"/>
    <w:rsid w:val="003F7BA0"/>
    <w:rsid w:val="003F7E60"/>
    <w:rsid w:val="00400623"/>
    <w:rsid w:val="00400666"/>
    <w:rsid w:val="0040085F"/>
    <w:rsid w:val="0040086D"/>
    <w:rsid w:val="004008AF"/>
    <w:rsid w:val="004008B8"/>
    <w:rsid w:val="004009AE"/>
    <w:rsid w:val="00400A5E"/>
    <w:rsid w:val="00400B5F"/>
    <w:rsid w:val="00400C23"/>
    <w:rsid w:val="00400F50"/>
    <w:rsid w:val="004010BB"/>
    <w:rsid w:val="0040168D"/>
    <w:rsid w:val="00401A48"/>
    <w:rsid w:val="00401C7E"/>
    <w:rsid w:val="00401C92"/>
    <w:rsid w:val="00401DBF"/>
    <w:rsid w:val="00401E5B"/>
    <w:rsid w:val="00401E76"/>
    <w:rsid w:val="0040209C"/>
    <w:rsid w:val="00402398"/>
    <w:rsid w:val="00402701"/>
    <w:rsid w:val="0040288E"/>
    <w:rsid w:val="004029DC"/>
    <w:rsid w:val="00402B1C"/>
    <w:rsid w:val="00402CEC"/>
    <w:rsid w:val="00402DA8"/>
    <w:rsid w:val="00402E1E"/>
    <w:rsid w:val="00403106"/>
    <w:rsid w:val="00403246"/>
    <w:rsid w:val="00403269"/>
    <w:rsid w:val="004033D9"/>
    <w:rsid w:val="0040361E"/>
    <w:rsid w:val="00403809"/>
    <w:rsid w:val="00403988"/>
    <w:rsid w:val="00403A35"/>
    <w:rsid w:val="00403DDA"/>
    <w:rsid w:val="00403FB7"/>
    <w:rsid w:val="0040416E"/>
    <w:rsid w:val="004041B3"/>
    <w:rsid w:val="00404424"/>
    <w:rsid w:val="00404582"/>
    <w:rsid w:val="0040479B"/>
    <w:rsid w:val="00404A94"/>
    <w:rsid w:val="00404B3D"/>
    <w:rsid w:val="00404CC2"/>
    <w:rsid w:val="00404E8B"/>
    <w:rsid w:val="00405120"/>
    <w:rsid w:val="0040551F"/>
    <w:rsid w:val="0040571B"/>
    <w:rsid w:val="00405729"/>
    <w:rsid w:val="004057DA"/>
    <w:rsid w:val="004058DF"/>
    <w:rsid w:val="00405A7D"/>
    <w:rsid w:val="00405D55"/>
    <w:rsid w:val="0040606C"/>
    <w:rsid w:val="00406145"/>
    <w:rsid w:val="004062BB"/>
    <w:rsid w:val="00406561"/>
    <w:rsid w:val="00406928"/>
    <w:rsid w:val="00407019"/>
    <w:rsid w:val="00407043"/>
    <w:rsid w:val="00407292"/>
    <w:rsid w:val="004075B8"/>
    <w:rsid w:val="0040761A"/>
    <w:rsid w:val="0040767C"/>
    <w:rsid w:val="0040771F"/>
    <w:rsid w:val="00407725"/>
    <w:rsid w:val="00407B6C"/>
    <w:rsid w:val="0041010B"/>
    <w:rsid w:val="00410594"/>
    <w:rsid w:val="0041063E"/>
    <w:rsid w:val="0041067C"/>
    <w:rsid w:val="00410A35"/>
    <w:rsid w:val="004111F7"/>
    <w:rsid w:val="00411399"/>
    <w:rsid w:val="00411628"/>
    <w:rsid w:val="00411B24"/>
    <w:rsid w:val="00411C9F"/>
    <w:rsid w:val="00411E00"/>
    <w:rsid w:val="004120F4"/>
    <w:rsid w:val="0041217D"/>
    <w:rsid w:val="00412277"/>
    <w:rsid w:val="004123A4"/>
    <w:rsid w:val="00412504"/>
    <w:rsid w:val="004125C6"/>
    <w:rsid w:val="004125D4"/>
    <w:rsid w:val="004125EC"/>
    <w:rsid w:val="0041266D"/>
    <w:rsid w:val="00412670"/>
    <w:rsid w:val="0041275F"/>
    <w:rsid w:val="00412818"/>
    <w:rsid w:val="00412860"/>
    <w:rsid w:val="00412C45"/>
    <w:rsid w:val="00412C81"/>
    <w:rsid w:val="00412EE3"/>
    <w:rsid w:val="004131F3"/>
    <w:rsid w:val="004132CB"/>
    <w:rsid w:val="00413487"/>
    <w:rsid w:val="00413693"/>
    <w:rsid w:val="00413790"/>
    <w:rsid w:val="00413932"/>
    <w:rsid w:val="00413B61"/>
    <w:rsid w:val="00413CE6"/>
    <w:rsid w:val="00413E6A"/>
    <w:rsid w:val="0041402A"/>
    <w:rsid w:val="004140D6"/>
    <w:rsid w:val="00414439"/>
    <w:rsid w:val="0041462D"/>
    <w:rsid w:val="004146D6"/>
    <w:rsid w:val="004148A1"/>
    <w:rsid w:val="00414A47"/>
    <w:rsid w:val="00414CA7"/>
    <w:rsid w:val="00414EAF"/>
    <w:rsid w:val="00414F48"/>
    <w:rsid w:val="004150BD"/>
    <w:rsid w:val="0041534C"/>
    <w:rsid w:val="00415369"/>
    <w:rsid w:val="00415443"/>
    <w:rsid w:val="004154E0"/>
    <w:rsid w:val="00415687"/>
    <w:rsid w:val="0041585B"/>
    <w:rsid w:val="00415C89"/>
    <w:rsid w:val="00415DC6"/>
    <w:rsid w:val="00415F79"/>
    <w:rsid w:val="00416279"/>
    <w:rsid w:val="00416386"/>
    <w:rsid w:val="004163F1"/>
    <w:rsid w:val="00416424"/>
    <w:rsid w:val="00416B40"/>
    <w:rsid w:val="00416BA0"/>
    <w:rsid w:val="00416C06"/>
    <w:rsid w:val="00416CBE"/>
    <w:rsid w:val="00416D30"/>
    <w:rsid w:val="00416DEF"/>
    <w:rsid w:val="00416EEB"/>
    <w:rsid w:val="00416FD0"/>
    <w:rsid w:val="00417704"/>
    <w:rsid w:val="004177C2"/>
    <w:rsid w:val="004178FC"/>
    <w:rsid w:val="0041790B"/>
    <w:rsid w:val="0041796A"/>
    <w:rsid w:val="00417A14"/>
    <w:rsid w:val="00417AFD"/>
    <w:rsid w:val="00417C92"/>
    <w:rsid w:val="00417CB4"/>
    <w:rsid w:val="00420258"/>
    <w:rsid w:val="00420497"/>
    <w:rsid w:val="00420685"/>
    <w:rsid w:val="00420D24"/>
    <w:rsid w:val="00420F03"/>
    <w:rsid w:val="00420F65"/>
    <w:rsid w:val="00420FCF"/>
    <w:rsid w:val="00420FD0"/>
    <w:rsid w:val="00421015"/>
    <w:rsid w:val="0042118B"/>
    <w:rsid w:val="00421213"/>
    <w:rsid w:val="004212D2"/>
    <w:rsid w:val="004212E8"/>
    <w:rsid w:val="004218CD"/>
    <w:rsid w:val="004218E9"/>
    <w:rsid w:val="00421967"/>
    <w:rsid w:val="00421A89"/>
    <w:rsid w:val="00421E98"/>
    <w:rsid w:val="00421EBC"/>
    <w:rsid w:val="004220E4"/>
    <w:rsid w:val="00422139"/>
    <w:rsid w:val="004222BC"/>
    <w:rsid w:val="0042235A"/>
    <w:rsid w:val="00422465"/>
    <w:rsid w:val="00422683"/>
    <w:rsid w:val="004227F0"/>
    <w:rsid w:val="0042304B"/>
    <w:rsid w:val="0042384B"/>
    <w:rsid w:val="00423881"/>
    <w:rsid w:val="00423A9C"/>
    <w:rsid w:val="00423B0E"/>
    <w:rsid w:val="00423F97"/>
    <w:rsid w:val="00424084"/>
    <w:rsid w:val="00424469"/>
    <w:rsid w:val="0042460E"/>
    <w:rsid w:val="004246C9"/>
    <w:rsid w:val="0042476B"/>
    <w:rsid w:val="00424868"/>
    <w:rsid w:val="00424998"/>
    <w:rsid w:val="004249F7"/>
    <w:rsid w:val="00424B99"/>
    <w:rsid w:val="00424BD7"/>
    <w:rsid w:val="00424EC0"/>
    <w:rsid w:val="0042597B"/>
    <w:rsid w:val="004259A6"/>
    <w:rsid w:val="0042656C"/>
    <w:rsid w:val="00426576"/>
    <w:rsid w:val="00426737"/>
    <w:rsid w:val="0042688D"/>
    <w:rsid w:val="004269A3"/>
    <w:rsid w:val="00426BB0"/>
    <w:rsid w:val="00426D8F"/>
    <w:rsid w:val="00427104"/>
    <w:rsid w:val="004271DD"/>
    <w:rsid w:val="0042727C"/>
    <w:rsid w:val="00427355"/>
    <w:rsid w:val="004273AD"/>
    <w:rsid w:val="00427849"/>
    <w:rsid w:val="00430092"/>
    <w:rsid w:val="004300F8"/>
    <w:rsid w:val="00430328"/>
    <w:rsid w:val="0043055A"/>
    <w:rsid w:val="004305AE"/>
    <w:rsid w:val="004306CD"/>
    <w:rsid w:val="00430CED"/>
    <w:rsid w:val="00430F8B"/>
    <w:rsid w:val="00430F9D"/>
    <w:rsid w:val="00431040"/>
    <w:rsid w:val="0043107F"/>
    <w:rsid w:val="00431120"/>
    <w:rsid w:val="004311A1"/>
    <w:rsid w:val="00431257"/>
    <w:rsid w:val="00431365"/>
    <w:rsid w:val="00431800"/>
    <w:rsid w:val="00431D42"/>
    <w:rsid w:val="00431EDF"/>
    <w:rsid w:val="00432121"/>
    <w:rsid w:val="004321F4"/>
    <w:rsid w:val="004326D8"/>
    <w:rsid w:val="004327A5"/>
    <w:rsid w:val="004328C8"/>
    <w:rsid w:val="00432C69"/>
    <w:rsid w:val="0043302D"/>
    <w:rsid w:val="0043304D"/>
    <w:rsid w:val="004330E9"/>
    <w:rsid w:val="00433108"/>
    <w:rsid w:val="004331E7"/>
    <w:rsid w:val="004334A1"/>
    <w:rsid w:val="00433541"/>
    <w:rsid w:val="00433961"/>
    <w:rsid w:val="00433A16"/>
    <w:rsid w:val="00433AC5"/>
    <w:rsid w:val="004342A3"/>
    <w:rsid w:val="00434345"/>
    <w:rsid w:val="004343E0"/>
    <w:rsid w:val="0043448B"/>
    <w:rsid w:val="00434939"/>
    <w:rsid w:val="0043493B"/>
    <w:rsid w:val="00434A05"/>
    <w:rsid w:val="00434AF0"/>
    <w:rsid w:val="00434C91"/>
    <w:rsid w:val="00434E23"/>
    <w:rsid w:val="0043514C"/>
    <w:rsid w:val="0043551F"/>
    <w:rsid w:val="00435E63"/>
    <w:rsid w:val="00435F40"/>
    <w:rsid w:val="00436125"/>
    <w:rsid w:val="00436514"/>
    <w:rsid w:val="00436559"/>
    <w:rsid w:val="0043655A"/>
    <w:rsid w:val="00436E56"/>
    <w:rsid w:val="004378A8"/>
    <w:rsid w:val="00437CDF"/>
    <w:rsid w:val="00437D58"/>
    <w:rsid w:val="004401CF"/>
    <w:rsid w:val="00440469"/>
    <w:rsid w:val="00440E6E"/>
    <w:rsid w:val="004411E6"/>
    <w:rsid w:val="004413F0"/>
    <w:rsid w:val="004415F4"/>
    <w:rsid w:val="004416FC"/>
    <w:rsid w:val="00441A6E"/>
    <w:rsid w:val="00441BE3"/>
    <w:rsid w:val="00441C12"/>
    <w:rsid w:val="004421E1"/>
    <w:rsid w:val="004422B0"/>
    <w:rsid w:val="004423E1"/>
    <w:rsid w:val="004423F7"/>
    <w:rsid w:val="00442650"/>
    <w:rsid w:val="0044288C"/>
    <w:rsid w:val="004428F9"/>
    <w:rsid w:val="00442A49"/>
    <w:rsid w:val="00442BCF"/>
    <w:rsid w:val="00442DD7"/>
    <w:rsid w:val="00442EBF"/>
    <w:rsid w:val="0044303E"/>
    <w:rsid w:val="004432B6"/>
    <w:rsid w:val="004438A8"/>
    <w:rsid w:val="00443E03"/>
    <w:rsid w:val="00443F94"/>
    <w:rsid w:val="00444362"/>
    <w:rsid w:val="0044456A"/>
    <w:rsid w:val="004447AE"/>
    <w:rsid w:val="004448B2"/>
    <w:rsid w:val="0044491B"/>
    <w:rsid w:val="004450F5"/>
    <w:rsid w:val="00445228"/>
    <w:rsid w:val="00445449"/>
    <w:rsid w:val="0044588C"/>
    <w:rsid w:val="00445A9F"/>
    <w:rsid w:val="00445ABF"/>
    <w:rsid w:val="00445B6C"/>
    <w:rsid w:val="00445E82"/>
    <w:rsid w:val="004460B5"/>
    <w:rsid w:val="004462FF"/>
    <w:rsid w:val="004466BD"/>
    <w:rsid w:val="004468D7"/>
    <w:rsid w:val="00446906"/>
    <w:rsid w:val="0044690B"/>
    <w:rsid w:val="00446BBE"/>
    <w:rsid w:val="0044745D"/>
    <w:rsid w:val="004476C3"/>
    <w:rsid w:val="0044773B"/>
    <w:rsid w:val="0044782C"/>
    <w:rsid w:val="00447924"/>
    <w:rsid w:val="004479B2"/>
    <w:rsid w:val="00447AE2"/>
    <w:rsid w:val="00447B21"/>
    <w:rsid w:val="00447F1F"/>
    <w:rsid w:val="00450045"/>
    <w:rsid w:val="0045009D"/>
    <w:rsid w:val="00450307"/>
    <w:rsid w:val="004505D8"/>
    <w:rsid w:val="00450625"/>
    <w:rsid w:val="00450767"/>
    <w:rsid w:val="0045093D"/>
    <w:rsid w:val="004509D6"/>
    <w:rsid w:val="00450FAE"/>
    <w:rsid w:val="00451062"/>
    <w:rsid w:val="00451645"/>
    <w:rsid w:val="004518E1"/>
    <w:rsid w:val="0045190A"/>
    <w:rsid w:val="0045250A"/>
    <w:rsid w:val="0045274E"/>
    <w:rsid w:val="00452ABC"/>
    <w:rsid w:val="00452C50"/>
    <w:rsid w:val="00452CA5"/>
    <w:rsid w:val="00452CB4"/>
    <w:rsid w:val="004530F9"/>
    <w:rsid w:val="00453826"/>
    <w:rsid w:val="00453ADC"/>
    <w:rsid w:val="00453B2C"/>
    <w:rsid w:val="00453B58"/>
    <w:rsid w:val="00453B6D"/>
    <w:rsid w:val="00453C93"/>
    <w:rsid w:val="00453D64"/>
    <w:rsid w:val="00453D97"/>
    <w:rsid w:val="00454095"/>
    <w:rsid w:val="004540D8"/>
    <w:rsid w:val="00454120"/>
    <w:rsid w:val="0045417C"/>
    <w:rsid w:val="00454465"/>
    <w:rsid w:val="00454840"/>
    <w:rsid w:val="00454AF0"/>
    <w:rsid w:val="00454B52"/>
    <w:rsid w:val="00454DB8"/>
    <w:rsid w:val="00454F26"/>
    <w:rsid w:val="00454F8E"/>
    <w:rsid w:val="004552F5"/>
    <w:rsid w:val="00455508"/>
    <w:rsid w:val="004555AD"/>
    <w:rsid w:val="004555BA"/>
    <w:rsid w:val="004557F2"/>
    <w:rsid w:val="004558BD"/>
    <w:rsid w:val="00455D50"/>
    <w:rsid w:val="00455ECE"/>
    <w:rsid w:val="00455FB0"/>
    <w:rsid w:val="004560F5"/>
    <w:rsid w:val="004562B5"/>
    <w:rsid w:val="00456C81"/>
    <w:rsid w:val="00456E2F"/>
    <w:rsid w:val="004578A0"/>
    <w:rsid w:val="00457B6F"/>
    <w:rsid w:val="00457F1D"/>
    <w:rsid w:val="00460038"/>
    <w:rsid w:val="004600FC"/>
    <w:rsid w:val="0046014B"/>
    <w:rsid w:val="00460262"/>
    <w:rsid w:val="0046033E"/>
    <w:rsid w:val="00460D4C"/>
    <w:rsid w:val="00460E3A"/>
    <w:rsid w:val="00460E5B"/>
    <w:rsid w:val="00461158"/>
    <w:rsid w:val="004611CB"/>
    <w:rsid w:val="004611D3"/>
    <w:rsid w:val="00461352"/>
    <w:rsid w:val="00461403"/>
    <w:rsid w:val="00461500"/>
    <w:rsid w:val="00461526"/>
    <w:rsid w:val="00461CAA"/>
    <w:rsid w:val="004621C7"/>
    <w:rsid w:val="00462419"/>
    <w:rsid w:val="00462549"/>
    <w:rsid w:val="004625FD"/>
    <w:rsid w:val="00462778"/>
    <w:rsid w:val="004627DA"/>
    <w:rsid w:val="004628BF"/>
    <w:rsid w:val="00462B0E"/>
    <w:rsid w:val="00462EBD"/>
    <w:rsid w:val="00463128"/>
    <w:rsid w:val="004632EE"/>
    <w:rsid w:val="00463570"/>
    <w:rsid w:val="004635B3"/>
    <w:rsid w:val="00463627"/>
    <w:rsid w:val="00463941"/>
    <w:rsid w:val="004647A3"/>
    <w:rsid w:val="0046498B"/>
    <w:rsid w:val="00464A1B"/>
    <w:rsid w:val="00464CA8"/>
    <w:rsid w:val="00464D50"/>
    <w:rsid w:val="00464F6C"/>
    <w:rsid w:val="00464F90"/>
    <w:rsid w:val="004650E1"/>
    <w:rsid w:val="004652B5"/>
    <w:rsid w:val="00465306"/>
    <w:rsid w:val="00465751"/>
    <w:rsid w:val="00465A8E"/>
    <w:rsid w:val="00465BF6"/>
    <w:rsid w:val="00465C48"/>
    <w:rsid w:val="00465D97"/>
    <w:rsid w:val="004661FF"/>
    <w:rsid w:val="00466336"/>
    <w:rsid w:val="00466875"/>
    <w:rsid w:val="00466ADB"/>
    <w:rsid w:val="00466B95"/>
    <w:rsid w:val="00466FA8"/>
    <w:rsid w:val="004674FB"/>
    <w:rsid w:val="00467554"/>
    <w:rsid w:val="00467693"/>
    <w:rsid w:val="004677C1"/>
    <w:rsid w:val="00467E12"/>
    <w:rsid w:val="00467F89"/>
    <w:rsid w:val="0047011F"/>
    <w:rsid w:val="00470673"/>
    <w:rsid w:val="00470700"/>
    <w:rsid w:val="00470838"/>
    <w:rsid w:val="00470865"/>
    <w:rsid w:val="00470A54"/>
    <w:rsid w:val="00470DAD"/>
    <w:rsid w:val="0047131E"/>
    <w:rsid w:val="00471639"/>
    <w:rsid w:val="004716FA"/>
    <w:rsid w:val="004718A5"/>
    <w:rsid w:val="00471D0D"/>
    <w:rsid w:val="00471E34"/>
    <w:rsid w:val="00472038"/>
    <w:rsid w:val="004720C2"/>
    <w:rsid w:val="00472183"/>
    <w:rsid w:val="004722CB"/>
    <w:rsid w:val="004725D7"/>
    <w:rsid w:val="0047272C"/>
    <w:rsid w:val="004729C1"/>
    <w:rsid w:val="00472ABE"/>
    <w:rsid w:val="00472D35"/>
    <w:rsid w:val="00472E74"/>
    <w:rsid w:val="00472FFB"/>
    <w:rsid w:val="0047303C"/>
    <w:rsid w:val="00473277"/>
    <w:rsid w:val="004732E2"/>
    <w:rsid w:val="00473479"/>
    <w:rsid w:val="00473587"/>
    <w:rsid w:val="00473629"/>
    <w:rsid w:val="004737E0"/>
    <w:rsid w:val="00473AF3"/>
    <w:rsid w:val="00473D0F"/>
    <w:rsid w:val="00473D2A"/>
    <w:rsid w:val="00473D86"/>
    <w:rsid w:val="00473DB8"/>
    <w:rsid w:val="00473FCD"/>
    <w:rsid w:val="0047401E"/>
    <w:rsid w:val="004740C0"/>
    <w:rsid w:val="00474235"/>
    <w:rsid w:val="004742D1"/>
    <w:rsid w:val="0047445B"/>
    <w:rsid w:val="00474AB0"/>
    <w:rsid w:val="00474B24"/>
    <w:rsid w:val="00474C1A"/>
    <w:rsid w:val="00474E01"/>
    <w:rsid w:val="0047505B"/>
    <w:rsid w:val="00475119"/>
    <w:rsid w:val="004752AC"/>
    <w:rsid w:val="00475368"/>
    <w:rsid w:val="0047536C"/>
    <w:rsid w:val="00475A0E"/>
    <w:rsid w:val="00475A53"/>
    <w:rsid w:val="00475A8B"/>
    <w:rsid w:val="00475B69"/>
    <w:rsid w:val="00475CED"/>
    <w:rsid w:val="00475D75"/>
    <w:rsid w:val="004762C5"/>
    <w:rsid w:val="00476519"/>
    <w:rsid w:val="0047664E"/>
    <w:rsid w:val="004768AA"/>
    <w:rsid w:val="00476A64"/>
    <w:rsid w:val="00476A94"/>
    <w:rsid w:val="00476B22"/>
    <w:rsid w:val="00476F3B"/>
    <w:rsid w:val="00477122"/>
    <w:rsid w:val="0047723B"/>
    <w:rsid w:val="0047757C"/>
    <w:rsid w:val="0047767F"/>
    <w:rsid w:val="00477681"/>
    <w:rsid w:val="004778C2"/>
    <w:rsid w:val="00477A36"/>
    <w:rsid w:val="00477AA9"/>
    <w:rsid w:val="00477CF4"/>
    <w:rsid w:val="00477D25"/>
    <w:rsid w:val="00477F4B"/>
    <w:rsid w:val="00477FD7"/>
    <w:rsid w:val="00480269"/>
    <w:rsid w:val="004802FF"/>
    <w:rsid w:val="004804E8"/>
    <w:rsid w:val="00480726"/>
    <w:rsid w:val="00480862"/>
    <w:rsid w:val="00480A53"/>
    <w:rsid w:val="00480D62"/>
    <w:rsid w:val="0048109B"/>
    <w:rsid w:val="00481181"/>
    <w:rsid w:val="0048121F"/>
    <w:rsid w:val="00481447"/>
    <w:rsid w:val="00481486"/>
    <w:rsid w:val="00481738"/>
    <w:rsid w:val="00481878"/>
    <w:rsid w:val="0048191A"/>
    <w:rsid w:val="00481974"/>
    <w:rsid w:val="00481A39"/>
    <w:rsid w:val="00481E8A"/>
    <w:rsid w:val="00481EF1"/>
    <w:rsid w:val="0048274B"/>
    <w:rsid w:val="00482804"/>
    <w:rsid w:val="0048291E"/>
    <w:rsid w:val="00482B47"/>
    <w:rsid w:val="00482BEF"/>
    <w:rsid w:val="00482CE7"/>
    <w:rsid w:val="00482D14"/>
    <w:rsid w:val="00482FA1"/>
    <w:rsid w:val="0048323E"/>
    <w:rsid w:val="00483793"/>
    <w:rsid w:val="0048395C"/>
    <w:rsid w:val="00483D8B"/>
    <w:rsid w:val="00483F83"/>
    <w:rsid w:val="00484087"/>
    <w:rsid w:val="004840A9"/>
    <w:rsid w:val="0048421B"/>
    <w:rsid w:val="00484388"/>
    <w:rsid w:val="0048484D"/>
    <w:rsid w:val="00484C03"/>
    <w:rsid w:val="00484D92"/>
    <w:rsid w:val="00484DC5"/>
    <w:rsid w:val="00484FE3"/>
    <w:rsid w:val="0048506A"/>
    <w:rsid w:val="0048520A"/>
    <w:rsid w:val="0048521C"/>
    <w:rsid w:val="0048536B"/>
    <w:rsid w:val="00485432"/>
    <w:rsid w:val="00485675"/>
    <w:rsid w:val="004856B5"/>
    <w:rsid w:val="00485AC0"/>
    <w:rsid w:val="00485CD3"/>
    <w:rsid w:val="0048629B"/>
    <w:rsid w:val="00486635"/>
    <w:rsid w:val="004867E2"/>
    <w:rsid w:val="00486EF4"/>
    <w:rsid w:val="00486F82"/>
    <w:rsid w:val="00487395"/>
    <w:rsid w:val="004873FD"/>
    <w:rsid w:val="004876AA"/>
    <w:rsid w:val="00487988"/>
    <w:rsid w:val="00487C85"/>
    <w:rsid w:val="00487E9A"/>
    <w:rsid w:val="004902A7"/>
    <w:rsid w:val="004904F3"/>
    <w:rsid w:val="004909D7"/>
    <w:rsid w:val="00490A50"/>
    <w:rsid w:val="00490DC4"/>
    <w:rsid w:val="00491067"/>
    <w:rsid w:val="00491123"/>
    <w:rsid w:val="00491375"/>
    <w:rsid w:val="004914DD"/>
    <w:rsid w:val="00491B2E"/>
    <w:rsid w:val="00491E9F"/>
    <w:rsid w:val="004920E7"/>
    <w:rsid w:val="00492142"/>
    <w:rsid w:val="00492177"/>
    <w:rsid w:val="00492237"/>
    <w:rsid w:val="00492501"/>
    <w:rsid w:val="00492B04"/>
    <w:rsid w:val="00492CDF"/>
    <w:rsid w:val="00492CFE"/>
    <w:rsid w:val="00492E58"/>
    <w:rsid w:val="00492EA1"/>
    <w:rsid w:val="0049382C"/>
    <w:rsid w:val="004939F6"/>
    <w:rsid w:val="00493A06"/>
    <w:rsid w:val="00493A75"/>
    <w:rsid w:val="004942A8"/>
    <w:rsid w:val="0049497C"/>
    <w:rsid w:val="00494A65"/>
    <w:rsid w:val="00494AD1"/>
    <w:rsid w:val="00494C2C"/>
    <w:rsid w:val="00494D3C"/>
    <w:rsid w:val="00494E54"/>
    <w:rsid w:val="00494F64"/>
    <w:rsid w:val="004951F2"/>
    <w:rsid w:val="00495382"/>
    <w:rsid w:val="00495557"/>
    <w:rsid w:val="00495908"/>
    <w:rsid w:val="00495AD0"/>
    <w:rsid w:val="00495CBD"/>
    <w:rsid w:val="00495CD3"/>
    <w:rsid w:val="00495EDF"/>
    <w:rsid w:val="0049619C"/>
    <w:rsid w:val="00496424"/>
    <w:rsid w:val="004966A5"/>
    <w:rsid w:val="00496AC5"/>
    <w:rsid w:val="00496C27"/>
    <w:rsid w:val="00496CE9"/>
    <w:rsid w:val="00497016"/>
    <w:rsid w:val="00497087"/>
    <w:rsid w:val="00497165"/>
    <w:rsid w:val="0049739D"/>
    <w:rsid w:val="004974A3"/>
    <w:rsid w:val="0049775E"/>
    <w:rsid w:val="00497B5F"/>
    <w:rsid w:val="00497B9F"/>
    <w:rsid w:val="00497D1A"/>
    <w:rsid w:val="00497E82"/>
    <w:rsid w:val="004A00A7"/>
    <w:rsid w:val="004A00B7"/>
    <w:rsid w:val="004A0154"/>
    <w:rsid w:val="004A02B3"/>
    <w:rsid w:val="004A032E"/>
    <w:rsid w:val="004A0347"/>
    <w:rsid w:val="004A050A"/>
    <w:rsid w:val="004A0599"/>
    <w:rsid w:val="004A06EE"/>
    <w:rsid w:val="004A0924"/>
    <w:rsid w:val="004A09E2"/>
    <w:rsid w:val="004A0BC2"/>
    <w:rsid w:val="004A0CE1"/>
    <w:rsid w:val="004A0DE8"/>
    <w:rsid w:val="004A0FBC"/>
    <w:rsid w:val="004A10C5"/>
    <w:rsid w:val="004A121C"/>
    <w:rsid w:val="004A12F5"/>
    <w:rsid w:val="004A1461"/>
    <w:rsid w:val="004A149B"/>
    <w:rsid w:val="004A2084"/>
    <w:rsid w:val="004A2676"/>
    <w:rsid w:val="004A27AF"/>
    <w:rsid w:val="004A311D"/>
    <w:rsid w:val="004A3298"/>
    <w:rsid w:val="004A3355"/>
    <w:rsid w:val="004A3617"/>
    <w:rsid w:val="004A3853"/>
    <w:rsid w:val="004A393B"/>
    <w:rsid w:val="004A3C6F"/>
    <w:rsid w:val="004A3EA9"/>
    <w:rsid w:val="004A4072"/>
    <w:rsid w:val="004A4430"/>
    <w:rsid w:val="004A45D7"/>
    <w:rsid w:val="004A46F9"/>
    <w:rsid w:val="004A4AE6"/>
    <w:rsid w:val="004A4B40"/>
    <w:rsid w:val="004A4B97"/>
    <w:rsid w:val="004A4ECD"/>
    <w:rsid w:val="004A4F72"/>
    <w:rsid w:val="004A4FDF"/>
    <w:rsid w:val="004A5219"/>
    <w:rsid w:val="004A5425"/>
    <w:rsid w:val="004A5489"/>
    <w:rsid w:val="004A55BA"/>
    <w:rsid w:val="004A5873"/>
    <w:rsid w:val="004A5D18"/>
    <w:rsid w:val="004A5E73"/>
    <w:rsid w:val="004A608E"/>
    <w:rsid w:val="004A61ED"/>
    <w:rsid w:val="004A6339"/>
    <w:rsid w:val="004A6535"/>
    <w:rsid w:val="004A69CA"/>
    <w:rsid w:val="004A6B82"/>
    <w:rsid w:val="004A6F00"/>
    <w:rsid w:val="004A7186"/>
    <w:rsid w:val="004A722D"/>
    <w:rsid w:val="004A72BD"/>
    <w:rsid w:val="004A73DC"/>
    <w:rsid w:val="004A76F7"/>
    <w:rsid w:val="004A78E3"/>
    <w:rsid w:val="004A7A52"/>
    <w:rsid w:val="004B0002"/>
    <w:rsid w:val="004B00F7"/>
    <w:rsid w:val="004B01F7"/>
    <w:rsid w:val="004B0249"/>
    <w:rsid w:val="004B051E"/>
    <w:rsid w:val="004B0585"/>
    <w:rsid w:val="004B0719"/>
    <w:rsid w:val="004B0CD9"/>
    <w:rsid w:val="004B0E83"/>
    <w:rsid w:val="004B0F44"/>
    <w:rsid w:val="004B12D3"/>
    <w:rsid w:val="004B157E"/>
    <w:rsid w:val="004B171E"/>
    <w:rsid w:val="004B19FE"/>
    <w:rsid w:val="004B2A4D"/>
    <w:rsid w:val="004B2B0C"/>
    <w:rsid w:val="004B2C54"/>
    <w:rsid w:val="004B2CE2"/>
    <w:rsid w:val="004B2F45"/>
    <w:rsid w:val="004B339A"/>
    <w:rsid w:val="004B33C2"/>
    <w:rsid w:val="004B35E1"/>
    <w:rsid w:val="004B3699"/>
    <w:rsid w:val="004B3805"/>
    <w:rsid w:val="004B391D"/>
    <w:rsid w:val="004B396A"/>
    <w:rsid w:val="004B3991"/>
    <w:rsid w:val="004B3E1A"/>
    <w:rsid w:val="004B3FB0"/>
    <w:rsid w:val="004B3FFA"/>
    <w:rsid w:val="004B40E9"/>
    <w:rsid w:val="004B4214"/>
    <w:rsid w:val="004B4380"/>
    <w:rsid w:val="004B484B"/>
    <w:rsid w:val="004B4941"/>
    <w:rsid w:val="004B4ADB"/>
    <w:rsid w:val="004B4BE7"/>
    <w:rsid w:val="004B4CDA"/>
    <w:rsid w:val="004B4E21"/>
    <w:rsid w:val="004B52FD"/>
    <w:rsid w:val="004B54AC"/>
    <w:rsid w:val="004B5757"/>
    <w:rsid w:val="004B57D5"/>
    <w:rsid w:val="004B5898"/>
    <w:rsid w:val="004B5B09"/>
    <w:rsid w:val="004B5CCD"/>
    <w:rsid w:val="004B5DA0"/>
    <w:rsid w:val="004B5DFB"/>
    <w:rsid w:val="004B5E70"/>
    <w:rsid w:val="004B623D"/>
    <w:rsid w:val="004B647D"/>
    <w:rsid w:val="004B64E3"/>
    <w:rsid w:val="004B65BA"/>
    <w:rsid w:val="004B679C"/>
    <w:rsid w:val="004B689D"/>
    <w:rsid w:val="004B69D3"/>
    <w:rsid w:val="004B6AF6"/>
    <w:rsid w:val="004B6BA0"/>
    <w:rsid w:val="004B6E42"/>
    <w:rsid w:val="004B6E58"/>
    <w:rsid w:val="004B7012"/>
    <w:rsid w:val="004B7160"/>
    <w:rsid w:val="004B73FF"/>
    <w:rsid w:val="004B7B45"/>
    <w:rsid w:val="004B7EC4"/>
    <w:rsid w:val="004C0109"/>
    <w:rsid w:val="004C04D9"/>
    <w:rsid w:val="004C07DD"/>
    <w:rsid w:val="004C08DA"/>
    <w:rsid w:val="004C09E4"/>
    <w:rsid w:val="004C0CA7"/>
    <w:rsid w:val="004C0E11"/>
    <w:rsid w:val="004C0E97"/>
    <w:rsid w:val="004C14C7"/>
    <w:rsid w:val="004C1825"/>
    <w:rsid w:val="004C1B67"/>
    <w:rsid w:val="004C209F"/>
    <w:rsid w:val="004C25CD"/>
    <w:rsid w:val="004C2614"/>
    <w:rsid w:val="004C280B"/>
    <w:rsid w:val="004C2C31"/>
    <w:rsid w:val="004C3079"/>
    <w:rsid w:val="004C32FB"/>
    <w:rsid w:val="004C3696"/>
    <w:rsid w:val="004C393B"/>
    <w:rsid w:val="004C3FDC"/>
    <w:rsid w:val="004C416B"/>
    <w:rsid w:val="004C41BE"/>
    <w:rsid w:val="004C44E5"/>
    <w:rsid w:val="004C48C8"/>
    <w:rsid w:val="004C4AE1"/>
    <w:rsid w:val="004C4CDF"/>
    <w:rsid w:val="004C4E6D"/>
    <w:rsid w:val="004C4F29"/>
    <w:rsid w:val="004C5393"/>
    <w:rsid w:val="004C598D"/>
    <w:rsid w:val="004C5A19"/>
    <w:rsid w:val="004C5F38"/>
    <w:rsid w:val="004C5F99"/>
    <w:rsid w:val="004C6165"/>
    <w:rsid w:val="004C6169"/>
    <w:rsid w:val="004C6256"/>
    <w:rsid w:val="004C6325"/>
    <w:rsid w:val="004C6469"/>
    <w:rsid w:val="004C6DA7"/>
    <w:rsid w:val="004C6FCD"/>
    <w:rsid w:val="004C701D"/>
    <w:rsid w:val="004C70FD"/>
    <w:rsid w:val="004C71D2"/>
    <w:rsid w:val="004C71FC"/>
    <w:rsid w:val="004C7316"/>
    <w:rsid w:val="004C77DB"/>
    <w:rsid w:val="004C788E"/>
    <w:rsid w:val="004C7DBA"/>
    <w:rsid w:val="004C7F21"/>
    <w:rsid w:val="004D00DA"/>
    <w:rsid w:val="004D040C"/>
    <w:rsid w:val="004D08F9"/>
    <w:rsid w:val="004D0AA8"/>
    <w:rsid w:val="004D0C18"/>
    <w:rsid w:val="004D0EFE"/>
    <w:rsid w:val="004D1112"/>
    <w:rsid w:val="004D129F"/>
    <w:rsid w:val="004D155B"/>
    <w:rsid w:val="004D16E2"/>
    <w:rsid w:val="004D1F91"/>
    <w:rsid w:val="004D2348"/>
    <w:rsid w:val="004D2350"/>
    <w:rsid w:val="004D23D5"/>
    <w:rsid w:val="004D24A5"/>
    <w:rsid w:val="004D295A"/>
    <w:rsid w:val="004D2978"/>
    <w:rsid w:val="004D348D"/>
    <w:rsid w:val="004D3897"/>
    <w:rsid w:val="004D3B24"/>
    <w:rsid w:val="004D3D47"/>
    <w:rsid w:val="004D3F91"/>
    <w:rsid w:val="004D41D8"/>
    <w:rsid w:val="004D4244"/>
    <w:rsid w:val="004D4425"/>
    <w:rsid w:val="004D4828"/>
    <w:rsid w:val="004D4857"/>
    <w:rsid w:val="004D49B1"/>
    <w:rsid w:val="004D49DD"/>
    <w:rsid w:val="004D4C78"/>
    <w:rsid w:val="004D5355"/>
    <w:rsid w:val="004D578D"/>
    <w:rsid w:val="004D59E3"/>
    <w:rsid w:val="004D5BAF"/>
    <w:rsid w:val="004D5DEB"/>
    <w:rsid w:val="004D5ED1"/>
    <w:rsid w:val="004D5F03"/>
    <w:rsid w:val="004D5FFF"/>
    <w:rsid w:val="004D6771"/>
    <w:rsid w:val="004D6963"/>
    <w:rsid w:val="004D6B43"/>
    <w:rsid w:val="004D6DC6"/>
    <w:rsid w:val="004D6F6D"/>
    <w:rsid w:val="004D70FE"/>
    <w:rsid w:val="004D7410"/>
    <w:rsid w:val="004D74C2"/>
    <w:rsid w:val="004D755B"/>
    <w:rsid w:val="004D75F6"/>
    <w:rsid w:val="004D7636"/>
    <w:rsid w:val="004D787B"/>
    <w:rsid w:val="004D7B6A"/>
    <w:rsid w:val="004D7D2E"/>
    <w:rsid w:val="004D7D52"/>
    <w:rsid w:val="004D7D58"/>
    <w:rsid w:val="004E006B"/>
    <w:rsid w:val="004E06FF"/>
    <w:rsid w:val="004E07D9"/>
    <w:rsid w:val="004E0936"/>
    <w:rsid w:val="004E0A42"/>
    <w:rsid w:val="004E0BC9"/>
    <w:rsid w:val="004E0EF4"/>
    <w:rsid w:val="004E0FA2"/>
    <w:rsid w:val="004E1011"/>
    <w:rsid w:val="004E10C0"/>
    <w:rsid w:val="004E1449"/>
    <w:rsid w:val="004E1819"/>
    <w:rsid w:val="004E1ABC"/>
    <w:rsid w:val="004E1B3E"/>
    <w:rsid w:val="004E1B9D"/>
    <w:rsid w:val="004E1DAC"/>
    <w:rsid w:val="004E2886"/>
    <w:rsid w:val="004E2983"/>
    <w:rsid w:val="004E2998"/>
    <w:rsid w:val="004E2BD6"/>
    <w:rsid w:val="004E2DC8"/>
    <w:rsid w:val="004E2E07"/>
    <w:rsid w:val="004E3347"/>
    <w:rsid w:val="004E3442"/>
    <w:rsid w:val="004E367B"/>
    <w:rsid w:val="004E38A0"/>
    <w:rsid w:val="004E3A5C"/>
    <w:rsid w:val="004E3ED7"/>
    <w:rsid w:val="004E4052"/>
    <w:rsid w:val="004E41D0"/>
    <w:rsid w:val="004E4591"/>
    <w:rsid w:val="004E464B"/>
    <w:rsid w:val="004E48A8"/>
    <w:rsid w:val="004E4AF3"/>
    <w:rsid w:val="004E4C7B"/>
    <w:rsid w:val="004E4D36"/>
    <w:rsid w:val="004E51B2"/>
    <w:rsid w:val="004E51F2"/>
    <w:rsid w:val="004E5904"/>
    <w:rsid w:val="004E598F"/>
    <w:rsid w:val="004E5AB5"/>
    <w:rsid w:val="004E5B60"/>
    <w:rsid w:val="004E5C3E"/>
    <w:rsid w:val="004E5E29"/>
    <w:rsid w:val="004E5EC4"/>
    <w:rsid w:val="004E5FA2"/>
    <w:rsid w:val="004E67D0"/>
    <w:rsid w:val="004E6900"/>
    <w:rsid w:val="004E6B9D"/>
    <w:rsid w:val="004E7212"/>
    <w:rsid w:val="004E72A7"/>
    <w:rsid w:val="004E7346"/>
    <w:rsid w:val="004E7505"/>
    <w:rsid w:val="004E7519"/>
    <w:rsid w:val="004E751C"/>
    <w:rsid w:val="004E7A4D"/>
    <w:rsid w:val="004E7BFD"/>
    <w:rsid w:val="004E7FC8"/>
    <w:rsid w:val="004F0097"/>
    <w:rsid w:val="004F0562"/>
    <w:rsid w:val="004F097A"/>
    <w:rsid w:val="004F0B68"/>
    <w:rsid w:val="004F0C29"/>
    <w:rsid w:val="004F0CE7"/>
    <w:rsid w:val="004F0D22"/>
    <w:rsid w:val="004F13BC"/>
    <w:rsid w:val="004F1900"/>
    <w:rsid w:val="004F1C05"/>
    <w:rsid w:val="004F1C47"/>
    <w:rsid w:val="004F1CB5"/>
    <w:rsid w:val="004F206F"/>
    <w:rsid w:val="004F2568"/>
    <w:rsid w:val="004F2B65"/>
    <w:rsid w:val="004F307F"/>
    <w:rsid w:val="004F33C7"/>
    <w:rsid w:val="004F34B3"/>
    <w:rsid w:val="004F34D7"/>
    <w:rsid w:val="004F3788"/>
    <w:rsid w:val="004F396A"/>
    <w:rsid w:val="004F3D7C"/>
    <w:rsid w:val="004F4002"/>
    <w:rsid w:val="004F4043"/>
    <w:rsid w:val="004F42BE"/>
    <w:rsid w:val="004F433C"/>
    <w:rsid w:val="004F47F4"/>
    <w:rsid w:val="004F483A"/>
    <w:rsid w:val="004F4902"/>
    <w:rsid w:val="004F4907"/>
    <w:rsid w:val="004F4CE5"/>
    <w:rsid w:val="004F4D92"/>
    <w:rsid w:val="004F4E54"/>
    <w:rsid w:val="004F4FD1"/>
    <w:rsid w:val="004F52B5"/>
    <w:rsid w:val="004F5665"/>
    <w:rsid w:val="004F5723"/>
    <w:rsid w:val="004F5ABD"/>
    <w:rsid w:val="004F5E0A"/>
    <w:rsid w:val="004F5FF9"/>
    <w:rsid w:val="004F654B"/>
    <w:rsid w:val="004F693C"/>
    <w:rsid w:val="004F69AE"/>
    <w:rsid w:val="004F6A5B"/>
    <w:rsid w:val="004F6AD3"/>
    <w:rsid w:val="004F6CEC"/>
    <w:rsid w:val="004F6E89"/>
    <w:rsid w:val="004F6F98"/>
    <w:rsid w:val="004F73A0"/>
    <w:rsid w:val="004F7755"/>
    <w:rsid w:val="004F797D"/>
    <w:rsid w:val="004F7B30"/>
    <w:rsid w:val="004F7D02"/>
    <w:rsid w:val="004F7E5B"/>
    <w:rsid w:val="004F7E70"/>
    <w:rsid w:val="004F7EE6"/>
    <w:rsid w:val="004F7FAB"/>
    <w:rsid w:val="00500026"/>
    <w:rsid w:val="00500165"/>
    <w:rsid w:val="005001CA"/>
    <w:rsid w:val="005001D3"/>
    <w:rsid w:val="005001F8"/>
    <w:rsid w:val="0050070C"/>
    <w:rsid w:val="00500C00"/>
    <w:rsid w:val="0050132E"/>
    <w:rsid w:val="00501386"/>
    <w:rsid w:val="005014FE"/>
    <w:rsid w:val="00501769"/>
    <w:rsid w:val="0050176B"/>
    <w:rsid w:val="00501BD9"/>
    <w:rsid w:val="00501C25"/>
    <w:rsid w:val="00501EFD"/>
    <w:rsid w:val="00501F5F"/>
    <w:rsid w:val="0050246C"/>
    <w:rsid w:val="005024A9"/>
    <w:rsid w:val="005027A6"/>
    <w:rsid w:val="0050280D"/>
    <w:rsid w:val="005028A2"/>
    <w:rsid w:val="0050291E"/>
    <w:rsid w:val="00502B5C"/>
    <w:rsid w:val="00502DAE"/>
    <w:rsid w:val="00502FFB"/>
    <w:rsid w:val="00503540"/>
    <w:rsid w:val="00503796"/>
    <w:rsid w:val="005038A0"/>
    <w:rsid w:val="00504839"/>
    <w:rsid w:val="005049CF"/>
    <w:rsid w:val="00504A82"/>
    <w:rsid w:val="00504AB3"/>
    <w:rsid w:val="00504B45"/>
    <w:rsid w:val="00504C8C"/>
    <w:rsid w:val="00505189"/>
    <w:rsid w:val="005053A4"/>
    <w:rsid w:val="005053F9"/>
    <w:rsid w:val="00505448"/>
    <w:rsid w:val="0050570B"/>
    <w:rsid w:val="0050578C"/>
    <w:rsid w:val="00505817"/>
    <w:rsid w:val="00505E19"/>
    <w:rsid w:val="00505F9D"/>
    <w:rsid w:val="0050612B"/>
    <w:rsid w:val="0050667C"/>
    <w:rsid w:val="00506852"/>
    <w:rsid w:val="00506964"/>
    <w:rsid w:val="00506B37"/>
    <w:rsid w:val="00506CA6"/>
    <w:rsid w:val="00506D7D"/>
    <w:rsid w:val="005072B4"/>
    <w:rsid w:val="00507386"/>
    <w:rsid w:val="00507500"/>
    <w:rsid w:val="0050785E"/>
    <w:rsid w:val="00507BA3"/>
    <w:rsid w:val="00507C0C"/>
    <w:rsid w:val="00507CD6"/>
    <w:rsid w:val="00507E1A"/>
    <w:rsid w:val="00507F66"/>
    <w:rsid w:val="0051035F"/>
    <w:rsid w:val="005103C5"/>
    <w:rsid w:val="00510417"/>
    <w:rsid w:val="005108E4"/>
    <w:rsid w:val="00510936"/>
    <w:rsid w:val="00510AB5"/>
    <w:rsid w:val="005112FC"/>
    <w:rsid w:val="005115BA"/>
    <w:rsid w:val="005115F6"/>
    <w:rsid w:val="0051190D"/>
    <w:rsid w:val="00512288"/>
    <w:rsid w:val="0051237A"/>
    <w:rsid w:val="005124CC"/>
    <w:rsid w:val="0051267A"/>
    <w:rsid w:val="00512732"/>
    <w:rsid w:val="005127F7"/>
    <w:rsid w:val="00512AE9"/>
    <w:rsid w:val="00512EA7"/>
    <w:rsid w:val="00513137"/>
    <w:rsid w:val="005131D3"/>
    <w:rsid w:val="005132E2"/>
    <w:rsid w:val="0051345F"/>
    <w:rsid w:val="005134DB"/>
    <w:rsid w:val="0051352C"/>
    <w:rsid w:val="005138E5"/>
    <w:rsid w:val="00513960"/>
    <w:rsid w:val="00513AA9"/>
    <w:rsid w:val="00513BF9"/>
    <w:rsid w:val="00513D35"/>
    <w:rsid w:val="00513DAA"/>
    <w:rsid w:val="00513DAC"/>
    <w:rsid w:val="00513F5F"/>
    <w:rsid w:val="005143FA"/>
    <w:rsid w:val="0051447C"/>
    <w:rsid w:val="00514CCD"/>
    <w:rsid w:val="00514FC2"/>
    <w:rsid w:val="005152D4"/>
    <w:rsid w:val="00515345"/>
    <w:rsid w:val="005156DB"/>
    <w:rsid w:val="00515771"/>
    <w:rsid w:val="00515A6D"/>
    <w:rsid w:val="00515A98"/>
    <w:rsid w:val="00515BFA"/>
    <w:rsid w:val="005160A0"/>
    <w:rsid w:val="005165D5"/>
    <w:rsid w:val="00516660"/>
    <w:rsid w:val="00516840"/>
    <w:rsid w:val="005168CE"/>
    <w:rsid w:val="005169C7"/>
    <w:rsid w:val="00516ADB"/>
    <w:rsid w:val="0051725D"/>
    <w:rsid w:val="005173CF"/>
    <w:rsid w:val="005174F4"/>
    <w:rsid w:val="00517504"/>
    <w:rsid w:val="00517621"/>
    <w:rsid w:val="005177F8"/>
    <w:rsid w:val="00517903"/>
    <w:rsid w:val="00517A86"/>
    <w:rsid w:val="00517B3B"/>
    <w:rsid w:val="00517BB5"/>
    <w:rsid w:val="00517F34"/>
    <w:rsid w:val="00517FE3"/>
    <w:rsid w:val="00517FE6"/>
    <w:rsid w:val="005200B7"/>
    <w:rsid w:val="0052081A"/>
    <w:rsid w:val="00520948"/>
    <w:rsid w:val="00520987"/>
    <w:rsid w:val="00520BB1"/>
    <w:rsid w:val="00520CF4"/>
    <w:rsid w:val="00520DA2"/>
    <w:rsid w:val="00520DD0"/>
    <w:rsid w:val="00521280"/>
    <w:rsid w:val="005212FE"/>
    <w:rsid w:val="00521559"/>
    <w:rsid w:val="005217C8"/>
    <w:rsid w:val="00521BAF"/>
    <w:rsid w:val="0052273C"/>
    <w:rsid w:val="00522755"/>
    <w:rsid w:val="005229DD"/>
    <w:rsid w:val="00522B5E"/>
    <w:rsid w:val="0052349D"/>
    <w:rsid w:val="00523A66"/>
    <w:rsid w:val="00524043"/>
    <w:rsid w:val="00524124"/>
    <w:rsid w:val="005243FB"/>
    <w:rsid w:val="005244C7"/>
    <w:rsid w:val="00524829"/>
    <w:rsid w:val="005248D6"/>
    <w:rsid w:val="00524A46"/>
    <w:rsid w:val="00524BE8"/>
    <w:rsid w:val="00525123"/>
    <w:rsid w:val="00525141"/>
    <w:rsid w:val="0052548B"/>
    <w:rsid w:val="00525530"/>
    <w:rsid w:val="0052560D"/>
    <w:rsid w:val="0052575D"/>
    <w:rsid w:val="005259EB"/>
    <w:rsid w:val="005259ED"/>
    <w:rsid w:val="00525E76"/>
    <w:rsid w:val="0052607E"/>
    <w:rsid w:val="005261AC"/>
    <w:rsid w:val="005261CF"/>
    <w:rsid w:val="005262BC"/>
    <w:rsid w:val="005262CE"/>
    <w:rsid w:val="00526780"/>
    <w:rsid w:val="005267DC"/>
    <w:rsid w:val="00526C5A"/>
    <w:rsid w:val="00526C92"/>
    <w:rsid w:val="00526F2D"/>
    <w:rsid w:val="00526F55"/>
    <w:rsid w:val="00526F8A"/>
    <w:rsid w:val="0052719E"/>
    <w:rsid w:val="0052724C"/>
    <w:rsid w:val="005273E4"/>
    <w:rsid w:val="005275FC"/>
    <w:rsid w:val="0052768C"/>
    <w:rsid w:val="005276D2"/>
    <w:rsid w:val="005278A7"/>
    <w:rsid w:val="00527A4B"/>
    <w:rsid w:val="0053010C"/>
    <w:rsid w:val="0053031A"/>
    <w:rsid w:val="005303E0"/>
    <w:rsid w:val="0053050B"/>
    <w:rsid w:val="0053052A"/>
    <w:rsid w:val="0053083A"/>
    <w:rsid w:val="00530896"/>
    <w:rsid w:val="005308D5"/>
    <w:rsid w:val="00530949"/>
    <w:rsid w:val="00530A83"/>
    <w:rsid w:val="005310AF"/>
    <w:rsid w:val="00531163"/>
    <w:rsid w:val="0053116F"/>
    <w:rsid w:val="00531436"/>
    <w:rsid w:val="00531559"/>
    <w:rsid w:val="00531919"/>
    <w:rsid w:val="00531A0F"/>
    <w:rsid w:val="00531C66"/>
    <w:rsid w:val="00531CA7"/>
    <w:rsid w:val="00531CC8"/>
    <w:rsid w:val="00531D10"/>
    <w:rsid w:val="0053200F"/>
    <w:rsid w:val="00532027"/>
    <w:rsid w:val="00532039"/>
    <w:rsid w:val="0053211E"/>
    <w:rsid w:val="00532240"/>
    <w:rsid w:val="005322B6"/>
    <w:rsid w:val="00532571"/>
    <w:rsid w:val="00532595"/>
    <w:rsid w:val="0053278D"/>
    <w:rsid w:val="005327DA"/>
    <w:rsid w:val="005329AA"/>
    <w:rsid w:val="00532B43"/>
    <w:rsid w:val="00532CD0"/>
    <w:rsid w:val="00532F19"/>
    <w:rsid w:val="00532FE9"/>
    <w:rsid w:val="00533031"/>
    <w:rsid w:val="00533193"/>
    <w:rsid w:val="00533684"/>
    <w:rsid w:val="005337A8"/>
    <w:rsid w:val="0053389F"/>
    <w:rsid w:val="00533B28"/>
    <w:rsid w:val="00533F46"/>
    <w:rsid w:val="005342C3"/>
    <w:rsid w:val="005343F6"/>
    <w:rsid w:val="00534664"/>
    <w:rsid w:val="00534A8D"/>
    <w:rsid w:val="00534B45"/>
    <w:rsid w:val="00534B86"/>
    <w:rsid w:val="00534BC7"/>
    <w:rsid w:val="00534C32"/>
    <w:rsid w:val="00534D24"/>
    <w:rsid w:val="00534E0C"/>
    <w:rsid w:val="00534F4D"/>
    <w:rsid w:val="00534FA7"/>
    <w:rsid w:val="0053504E"/>
    <w:rsid w:val="0053516F"/>
    <w:rsid w:val="005354A3"/>
    <w:rsid w:val="0053557A"/>
    <w:rsid w:val="00535E62"/>
    <w:rsid w:val="00535EBD"/>
    <w:rsid w:val="00535EFF"/>
    <w:rsid w:val="00535F01"/>
    <w:rsid w:val="005361A2"/>
    <w:rsid w:val="005362F5"/>
    <w:rsid w:val="005367CE"/>
    <w:rsid w:val="005368CC"/>
    <w:rsid w:val="0053692B"/>
    <w:rsid w:val="00536B49"/>
    <w:rsid w:val="00536DC9"/>
    <w:rsid w:val="00536E7E"/>
    <w:rsid w:val="00537222"/>
    <w:rsid w:val="0053723D"/>
    <w:rsid w:val="0053725B"/>
    <w:rsid w:val="00537493"/>
    <w:rsid w:val="00537B1F"/>
    <w:rsid w:val="00537D18"/>
    <w:rsid w:val="0054008A"/>
    <w:rsid w:val="005401F7"/>
    <w:rsid w:val="005408E4"/>
    <w:rsid w:val="00540C57"/>
    <w:rsid w:val="00540C78"/>
    <w:rsid w:val="00540E99"/>
    <w:rsid w:val="0054102E"/>
    <w:rsid w:val="005410F6"/>
    <w:rsid w:val="00541139"/>
    <w:rsid w:val="005414B3"/>
    <w:rsid w:val="005418A2"/>
    <w:rsid w:val="00541917"/>
    <w:rsid w:val="005419B2"/>
    <w:rsid w:val="005419EF"/>
    <w:rsid w:val="00541A24"/>
    <w:rsid w:val="00541A46"/>
    <w:rsid w:val="00541A9D"/>
    <w:rsid w:val="00541D07"/>
    <w:rsid w:val="00541D4A"/>
    <w:rsid w:val="00541EB1"/>
    <w:rsid w:val="005423CD"/>
    <w:rsid w:val="00542402"/>
    <w:rsid w:val="00542813"/>
    <w:rsid w:val="00542821"/>
    <w:rsid w:val="0054288E"/>
    <w:rsid w:val="005429B2"/>
    <w:rsid w:val="00542A3A"/>
    <w:rsid w:val="00542D30"/>
    <w:rsid w:val="00542E56"/>
    <w:rsid w:val="005430A6"/>
    <w:rsid w:val="005430FA"/>
    <w:rsid w:val="0054316F"/>
    <w:rsid w:val="0054317F"/>
    <w:rsid w:val="00543845"/>
    <w:rsid w:val="00543907"/>
    <w:rsid w:val="00543AE7"/>
    <w:rsid w:val="00543C16"/>
    <w:rsid w:val="00543C79"/>
    <w:rsid w:val="00543D53"/>
    <w:rsid w:val="00543DE9"/>
    <w:rsid w:val="00543FFF"/>
    <w:rsid w:val="005440BF"/>
    <w:rsid w:val="0054417E"/>
    <w:rsid w:val="005447C2"/>
    <w:rsid w:val="00544B27"/>
    <w:rsid w:val="00544D03"/>
    <w:rsid w:val="005453E7"/>
    <w:rsid w:val="00545738"/>
    <w:rsid w:val="005457F6"/>
    <w:rsid w:val="00545C9E"/>
    <w:rsid w:val="00545D53"/>
    <w:rsid w:val="00545E01"/>
    <w:rsid w:val="00545E34"/>
    <w:rsid w:val="00545F7D"/>
    <w:rsid w:val="00546139"/>
    <w:rsid w:val="005461FD"/>
    <w:rsid w:val="005466B1"/>
    <w:rsid w:val="00546789"/>
    <w:rsid w:val="005467CC"/>
    <w:rsid w:val="00546893"/>
    <w:rsid w:val="00546B70"/>
    <w:rsid w:val="00546CB1"/>
    <w:rsid w:val="00546F6A"/>
    <w:rsid w:val="005470F4"/>
    <w:rsid w:val="005471A0"/>
    <w:rsid w:val="005472A0"/>
    <w:rsid w:val="005473B8"/>
    <w:rsid w:val="0054783E"/>
    <w:rsid w:val="0054799F"/>
    <w:rsid w:val="005479F0"/>
    <w:rsid w:val="00547A2B"/>
    <w:rsid w:val="00547AC6"/>
    <w:rsid w:val="00547BAF"/>
    <w:rsid w:val="005501EC"/>
    <w:rsid w:val="00550847"/>
    <w:rsid w:val="0055086C"/>
    <w:rsid w:val="0055091A"/>
    <w:rsid w:val="00550BD1"/>
    <w:rsid w:val="00550DC3"/>
    <w:rsid w:val="0055106A"/>
    <w:rsid w:val="005510D6"/>
    <w:rsid w:val="00551199"/>
    <w:rsid w:val="00551771"/>
    <w:rsid w:val="00551890"/>
    <w:rsid w:val="00551901"/>
    <w:rsid w:val="00551D16"/>
    <w:rsid w:val="00551E8E"/>
    <w:rsid w:val="00552543"/>
    <w:rsid w:val="005527E4"/>
    <w:rsid w:val="005528FE"/>
    <w:rsid w:val="00552B0A"/>
    <w:rsid w:val="00552C42"/>
    <w:rsid w:val="00552CD5"/>
    <w:rsid w:val="0055310D"/>
    <w:rsid w:val="00553135"/>
    <w:rsid w:val="005531BD"/>
    <w:rsid w:val="00553238"/>
    <w:rsid w:val="00553332"/>
    <w:rsid w:val="0055377A"/>
    <w:rsid w:val="00553DBD"/>
    <w:rsid w:val="00553EF3"/>
    <w:rsid w:val="00553F1B"/>
    <w:rsid w:val="00554209"/>
    <w:rsid w:val="005544E2"/>
    <w:rsid w:val="0055490C"/>
    <w:rsid w:val="00554B17"/>
    <w:rsid w:val="00554B85"/>
    <w:rsid w:val="00554C2C"/>
    <w:rsid w:val="00555EE0"/>
    <w:rsid w:val="00555FE3"/>
    <w:rsid w:val="005560AB"/>
    <w:rsid w:val="005562F9"/>
    <w:rsid w:val="00556566"/>
    <w:rsid w:val="00556615"/>
    <w:rsid w:val="0055662E"/>
    <w:rsid w:val="005567B2"/>
    <w:rsid w:val="00556AD6"/>
    <w:rsid w:val="00556C47"/>
    <w:rsid w:val="00556D1E"/>
    <w:rsid w:val="00557138"/>
    <w:rsid w:val="005572A1"/>
    <w:rsid w:val="005572FB"/>
    <w:rsid w:val="00557870"/>
    <w:rsid w:val="005578BF"/>
    <w:rsid w:val="00557907"/>
    <w:rsid w:val="0055793E"/>
    <w:rsid w:val="00557F3F"/>
    <w:rsid w:val="00557F80"/>
    <w:rsid w:val="0056002E"/>
    <w:rsid w:val="005600BA"/>
    <w:rsid w:val="00560118"/>
    <w:rsid w:val="00560277"/>
    <w:rsid w:val="00560398"/>
    <w:rsid w:val="005606FD"/>
    <w:rsid w:val="00560938"/>
    <w:rsid w:val="00560AF1"/>
    <w:rsid w:val="00560CBE"/>
    <w:rsid w:val="00561071"/>
    <w:rsid w:val="0056121D"/>
    <w:rsid w:val="00561294"/>
    <w:rsid w:val="00561425"/>
    <w:rsid w:val="005614B1"/>
    <w:rsid w:val="00561507"/>
    <w:rsid w:val="0056151A"/>
    <w:rsid w:val="00561562"/>
    <w:rsid w:val="005616BF"/>
    <w:rsid w:val="00561FE1"/>
    <w:rsid w:val="0056202F"/>
    <w:rsid w:val="00562191"/>
    <w:rsid w:val="005621BA"/>
    <w:rsid w:val="005621E9"/>
    <w:rsid w:val="005622A2"/>
    <w:rsid w:val="00562399"/>
    <w:rsid w:val="005625C8"/>
    <w:rsid w:val="00562742"/>
    <w:rsid w:val="005628BD"/>
    <w:rsid w:val="00562A0E"/>
    <w:rsid w:val="0056351B"/>
    <w:rsid w:val="00563B8E"/>
    <w:rsid w:val="00563D1C"/>
    <w:rsid w:val="00563DA4"/>
    <w:rsid w:val="00563DE6"/>
    <w:rsid w:val="00563F05"/>
    <w:rsid w:val="005640BB"/>
    <w:rsid w:val="00564326"/>
    <w:rsid w:val="00564487"/>
    <w:rsid w:val="00564493"/>
    <w:rsid w:val="00564793"/>
    <w:rsid w:val="005647FC"/>
    <w:rsid w:val="005648A2"/>
    <w:rsid w:val="00564F70"/>
    <w:rsid w:val="00565066"/>
    <w:rsid w:val="0056528D"/>
    <w:rsid w:val="005653B4"/>
    <w:rsid w:val="005653D9"/>
    <w:rsid w:val="005654D0"/>
    <w:rsid w:val="00565B7D"/>
    <w:rsid w:val="00565C9F"/>
    <w:rsid w:val="00565D7E"/>
    <w:rsid w:val="00565DFF"/>
    <w:rsid w:val="00565E49"/>
    <w:rsid w:val="00565EAD"/>
    <w:rsid w:val="00565FB5"/>
    <w:rsid w:val="005660D4"/>
    <w:rsid w:val="005661E9"/>
    <w:rsid w:val="0056628B"/>
    <w:rsid w:val="00566298"/>
    <w:rsid w:val="005662C7"/>
    <w:rsid w:val="005663E9"/>
    <w:rsid w:val="00566A33"/>
    <w:rsid w:val="00566C0D"/>
    <w:rsid w:val="00566E9A"/>
    <w:rsid w:val="00567073"/>
    <w:rsid w:val="0056711D"/>
    <w:rsid w:val="005675F2"/>
    <w:rsid w:val="00567806"/>
    <w:rsid w:val="00567838"/>
    <w:rsid w:val="00567F31"/>
    <w:rsid w:val="0057014B"/>
    <w:rsid w:val="005702AD"/>
    <w:rsid w:val="00570546"/>
    <w:rsid w:val="005707F3"/>
    <w:rsid w:val="005708B7"/>
    <w:rsid w:val="0057091E"/>
    <w:rsid w:val="00570A55"/>
    <w:rsid w:val="00570AD6"/>
    <w:rsid w:val="00570E4B"/>
    <w:rsid w:val="00570FA8"/>
    <w:rsid w:val="00571047"/>
    <w:rsid w:val="00571194"/>
    <w:rsid w:val="00571270"/>
    <w:rsid w:val="00571421"/>
    <w:rsid w:val="0057147D"/>
    <w:rsid w:val="0057183D"/>
    <w:rsid w:val="00571B5D"/>
    <w:rsid w:val="00571BF7"/>
    <w:rsid w:val="00571C72"/>
    <w:rsid w:val="00571CB0"/>
    <w:rsid w:val="00571CCD"/>
    <w:rsid w:val="00571F8C"/>
    <w:rsid w:val="00572017"/>
    <w:rsid w:val="00572165"/>
    <w:rsid w:val="0057233F"/>
    <w:rsid w:val="005723D6"/>
    <w:rsid w:val="00572720"/>
    <w:rsid w:val="005729A7"/>
    <w:rsid w:val="00572C87"/>
    <w:rsid w:val="00572D7E"/>
    <w:rsid w:val="00572F15"/>
    <w:rsid w:val="005731CD"/>
    <w:rsid w:val="005732A5"/>
    <w:rsid w:val="0057356E"/>
    <w:rsid w:val="0057390C"/>
    <w:rsid w:val="00573A50"/>
    <w:rsid w:val="00573E81"/>
    <w:rsid w:val="00574063"/>
    <w:rsid w:val="0057429F"/>
    <w:rsid w:val="00574536"/>
    <w:rsid w:val="005748F7"/>
    <w:rsid w:val="00574A0E"/>
    <w:rsid w:val="00574A66"/>
    <w:rsid w:val="00574A6E"/>
    <w:rsid w:val="00574BC9"/>
    <w:rsid w:val="00574BEE"/>
    <w:rsid w:val="00574F1D"/>
    <w:rsid w:val="00574F3B"/>
    <w:rsid w:val="005757F9"/>
    <w:rsid w:val="005758C4"/>
    <w:rsid w:val="00575B93"/>
    <w:rsid w:val="00575CB0"/>
    <w:rsid w:val="00575E2C"/>
    <w:rsid w:val="005760E1"/>
    <w:rsid w:val="005762BE"/>
    <w:rsid w:val="005762EF"/>
    <w:rsid w:val="00576361"/>
    <w:rsid w:val="005765A2"/>
    <w:rsid w:val="00576939"/>
    <w:rsid w:val="00576A16"/>
    <w:rsid w:val="005770B6"/>
    <w:rsid w:val="00577145"/>
    <w:rsid w:val="0057728E"/>
    <w:rsid w:val="005773BE"/>
    <w:rsid w:val="005773CC"/>
    <w:rsid w:val="0057758C"/>
    <w:rsid w:val="005777AE"/>
    <w:rsid w:val="00577806"/>
    <w:rsid w:val="0057780A"/>
    <w:rsid w:val="00577C41"/>
    <w:rsid w:val="00577DE4"/>
    <w:rsid w:val="00577FD8"/>
    <w:rsid w:val="00580355"/>
    <w:rsid w:val="00580729"/>
    <w:rsid w:val="00580781"/>
    <w:rsid w:val="00580BF6"/>
    <w:rsid w:val="00580DC4"/>
    <w:rsid w:val="00580F38"/>
    <w:rsid w:val="00580F8A"/>
    <w:rsid w:val="00580FEE"/>
    <w:rsid w:val="005817AB"/>
    <w:rsid w:val="005819EF"/>
    <w:rsid w:val="00581E0A"/>
    <w:rsid w:val="00581F4A"/>
    <w:rsid w:val="00582002"/>
    <w:rsid w:val="0058220A"/>
    <w:rsid w:val="00582259"/>
    <w:rsid w:val="00582303"/>
    <w:rsid w:val="00582308"/>
    <w:rsid w:val="00582365"/>
    <w:rsid w:val="005824A4"/>
    <w:rsid w:val="00582810"/>
    <w:rsid w:val="00582B1F"/>
    <w:rsid w:val="005833FC"/>
    <w:rsid w:val="005837B4"/>
    <w:rsid w:val="00583DAF"/>
    <w:rsid w:val="00583ED6"/>
    <w:rsid w:val="00583FDB"/>
    <w:rsid w:val="00584035"/>
    <w:rsid w:val="00584042"/>
    <w:rsid w:val="005846E1"/>
    <w:rsid w:val="005847BD"/>
    <w:rsid w:val="0058486B"/>
    <w:rsid w:val="005848DD"/>
    <w:rsid w:val="00584B4A"/>
    <w:rsid w:val="00584C73"/>
    <w:rsid w:val="00584D09"/>
    <w:rsid w:val="005850EF"/>
    <w:rsid w:val="005851FD"/>
    <w:rsid w:val="005856B4"/>
    <w:rsid w:val="005856CC"/>
    <w:rsid w:val="005857BD"/>
    <w:rsid w:val="00585869"/>
    <w:rsid w:val="00585A70"/>
    <w:rsid w:val="00585A86"/>
    <w:rsid w:val="00585B6F"/>
    <w:rsid w:val="00585BC0"/>
    <w:rsid w:val="00585C16"/>
    <w:rsid w:val="00585C1B"/>
    <w:rsid w:val="00585C35"/>
    <w:rsid w:val="005864BC"/>
    <w:rsid w:val="00586591"/>
    <w:rsid w:val="0058659B"/>
    <w:rsid w:val="005865EF"/>
    <w:rsid w:val="00586767"/>
    <w:rsid w:val="00586925"/>
    <w:rsid w:val="00586B7F"/>
    <w:rsid w:val="00586E50"/>
    <w:rsid w:val="00586E54"/>
    <w:rsid w:val="005872F2"/>
    <w:rsid w:val="005874F4"/>
    <w:rsid w:val="00587639"/>
    <w:rsid w:val="00587B35"/>
    <w:rsid w:val="00587B9A"/>
    <w:rsid w:val="00587E0E"/>
    <w:rsid w:val="00587F1C"/>
    <w:rsid w:val="0059000F"/>
    <w:rsid w:val="00590158"/>
    <w:rsid w:val="0059064D"/>
    <w:rsid w:val="00590786"/>
    <w:rsid w:val="00590A1D"/>
    <w:rsid w:val="00590BE8"/>
    <w:rsid w:val="00590E6A"/>
    <w:rsid w:val="00591122"/>
    <w:rsid w:val="0059119C"/>
    <w:rsid w:val="005912A9"/>
    <w:rsid w:val="0059140E"/>
    <w:rsid w:val="00591450"/>
    <w:rsid w:val="005914AD"/>
    <w:rsid w:val="005916A2"/>
    <w:rsid w:val="00591757"/>
    <w:rsid w:val="00591B2A"/>
    <w:rsid w:val="00591F7A"/>
    <w:rsid w:val="005920BF"/>
    <w:rsid w:val="00592176"/>
    <w:rsid w:val="0059256D"/>
    <w:rsid w:val="00592638"/>
    <w:rsid w:val="00592A26"/>
    <w:rsid w:val="00592C27"/>
    <w:rsid w:val="00592F97"/>
    <w:rsid w:val="00593138"/>
    <w:rsid w:val="0059337A"/>
    <w:rsid w:val="005934F1"/>
    <w:rsid w:val="00593A33"/>
    <w:rsid w:val="00593B1C"/>
    <w:rsid w:val="00593C2F"/>
    <w:rsid w:val="00593C5F"/>
    <w:rsid w:val="00593EDD"/>
    <w:rsid w:val="005941CA"/>
    <w:rsid w:val="0059431E"/>
    <w:rsid w:val="00594353"/>
    <w:rsid w:val="005947B5"/>
    <w:rsid w:val="005948A8"/>
    <w:rsid w:val="005948C8"/>
    <w:rsid w:val="00594A73"/>
    <w:rsid w:val="00594AF5"/>
    <w:rsid w:val="00594C07"/>
    <w:rsid w:val="00594E37"/>
    <w:rsid w:val="00594E71"/>
    <w:rsid w:val="00594F42"/>
    <w:rsid w:val="0059529A"/>
    <w:rsid w:val="005953BC"/>
    <w:rsid w:val="0059541E"/>
    <w:rsid w:val="00595449"/>
    <w:rsid w:val="0059569A"/>
    <w:rsid w:val="00595711"/>
    <w:rsid w:val="005958D5"/>
    <w:rsid w:val="00595B18"/>
    <w:rsid w:val="00595C74"/>
    <w:rsid w:val="005960BB"/>
    <w:rsid w:val="0059620E"/>
    <w:rsid w:val="00596690"/>
    <w:rsid w:val="005969AD"/>
    <w:rsid w:val="00596A25"/>
    <w:rsid w:val="00596DA9"/>
    <w:rsid w:val="00596F93"/>
    <w:rsid w:val="005972BF"/>
    <w:rsid w:val="00597407"/>
    <w:rsid w:val="0059784D"/>
    <w:rsid w:val="00597BD9"/>
    <w:rsid w:val="00597C45"/>
    <w:rsid w:val="005A0140"/>
    <w:rsid w:val="005A0496"/>
    <w:rsid w:val="005A081D"/>
    <w:rsid w:val="005A08A8"/>
    <w:rsid w:val="005A0B31"/>
    <w:rsid w:val="005A1027"/>
    <w:rsid w:val="005A103F"/>
    <w:rsid w:val="005A116D"/>
    <w:rsid w:val="005A1279"/>
    <w:rsid w:val="005A159C"/>
    <w:rsid w:val="005A182C"/>
    <w:rsid w:val="005A1A08"/>
    <w:rsid w:val="005A1AC0"/>
    <w:rsid w:val="005A1E49"/>
    <w:rsid w:val="005A2488"/>
    <w:rsid w:val="005A2489"/>
    <w:rsid w:val="005A2499"/>
    <w:rsid w:val="005A24A8"/>
    <w:rsid w:val="005A24D3"/>
    <w:rsid w:val="005A2830"/>
    <w:rsid w:val="005A2EC6"/>
    <w:rsid w:val="005A338B"/>
    <w:rsid w:val="005A33B1"/>
    <w:rsid w:val="005A34B8"/>
    <w:rsid w:val="005A365E"/>
    <w:rsid w:val="005A38E2"/>
    <w:rsid w:val="005A39FD"/>
    <w:rsid w:val="005A3BEB"/>
    <w:rsid w:val="005A3C25"/>
    <w:rsid w:val="005A3EBE"/>
    <w:rsid w:val="005A3F56"/>
    <w:rsid w:val="005A3FD5"/>
    <w:rsid w:val="005A4047"/>
    <w:rsid w:val="005A4384"/>
    <w:rsid w:val="005A43DE"/>
    <w:rsid w:val="005A4464"/>
    <w:rsid w:val="005A4484"/>
    <w:rsid w:val="005A46DD"/>
    <w:rsid w:val="005A4838"/>
    <w:rsid w:val="005A4A0A"/>
    <w:rsid w:val="005A4DC9"/>
    <w:rsid w:val="005A4DE3"/>
    <w:rsid w:val="005A4F7D"/>
    <w:rsid w:val="005A5194"/>
    <w:rsid w:val="005A5273"/>
    <w:rsid w:val="005A541D"/>
    <w:rsid w:val="005A5968"/>
    <w:rsid w:val="005A5983"/>
    <w:rsid w:val="005A5A9F"/>
    <w:rsid w:val="005A5FA7"/>
    <w:rsid w:val="005A64C0"/>
    <w:rsid w:val="005A6A28"/>
    <w:rsid w:val="005A6A66"/>
    <w:rsid w:val="005A6BFB"/>
    <w:rsid w:val="005A6D85"/>
    <w:rsid w:val="005A6FDA"/>
    <w:rsid w:val="005A7012"/>
    <w:rsid w:val="005A7274"/>
    <w:rsid w:val="005A780D"/>
    <w:rsid w:val="005A7A5E"/>
    <w:rsid w:val="005A7B74"/>
    <w:rsid w:val="005A7C83"/>
    <w:rsid w:val="005A7F70"/>
    <w:rsid w:val="005B0532"/>
    <w:rsid w:val="005B0691"/>
    <w:rsid w:val="005B09F4"/>
    <w:rsid w:val="005B0AC3"/>
    <w:rsid w:val="005B0C95"/>
    <w:rsid w:val="005B0DDB"/>
    <w:rsid w:val="005B0F65"/>
    <w:rsid w:val="005B1059"/>
    <w:rsid w:val="005B12D1"/>
    <w:rsid w:val="005B13D7"/>
    <w:rsid w:val="005B19A5"/>
    <w:rsid w:val="005B1AA7"/>
    <w:rsid w:val="005B1C07"/>
    <w:rsid w:val="005B1CC8"/>
    <w:rsid w:val="005B1FCA"/>
    <w:rsid w:val="005B20FD"/>
    <w:rsid w:val="005B219B"/>
    <w:rsid w:val="005B2221"/>
    <w:rsid w:val="005B2286"/>
    <w:rsid w:val="005B2340"/>
    <w:rsid w:val="005B261B"/>
    <w:rsid w:val="005B26E9"/>
    <w:rsid w:val="005B2852"/>
    <w:rsid w:val="005B2A5A"/>
    <w:rsid w:val="005B2BE8"/>
    <w:rsid w:val="005B2DFB"/>
    <w:rsid w:val="005B2EF1"/>
    <w:rsid w:val="005B2FF8"/>
    <w:rsid w:val="005B3028"/>
    <w:rsid w:val="005B3054"/>
    <w:rsid w:val="005B3113"/>
    <w:rsid w:val="005B315D"/>
    <w:rsid w:val="005B323B"/>
    <w:rsid w:val="005B32D2"/>
    <w:rsid w:val="005B3432"/>
    <w:rsid w:val="005B36E8"/>
    <w:rsid w:val="005B395F"/>
    <w:rsid w:val="005B3B52"/>
    <w:rsid w:val="005B3BD6"/>
    <w:rsid w:val="005B3CF7"/>
    <w:rsid w:val="005B3D1C"/>
    <w:rsid w:val="005B3E67"/>
    <w:rsid w:val="005B4140"/>
    <w:rsid w:val="005B431E"/>
    <w:rsid w:val="005B443C"/>
    <w:rsid w:val="005B4624"/>
    <w:rsid w:val="005B476D"/>
    <w:rsid w:val="005B4940"/>
    <w:rsid w:val="005B49BC"/>
    <w:rsid w:val="005B4DD4"/>
    <w:rsid w:val="005B4ED8"/>
    <w:rsid w:val="005B4F74"/>
    <w:rsid w:val="005B50C6"/>
    <w:rsid w:val="005B5167"/>
    <w:rsid w:val="005B539D"/>
    <w:rsid w:val="005B551B"/>
    <w:rsid w:val="005B563C"/>
    <w:rsid w:val="005B5727"/>
    <w:rsid w:val="005B57E3"/>
    <w:rsid w:val="005B57EB"/>
    <w:rsid w:val="005B5954"/>
    <w:rsid w:val="005B5AE8"/>
    <w:rsid w:val="005B6478"/>
    <w:rsid w:val="005B64BD"/>
    <w:rsid w:val="005B6640"/>
    <w:rsid w:val="005B6B45"/>
    <w:rsid w:val="005B6CCC"/>
    <w:rsid w:val="005B6D29"/>
    <w:rsid w:val="005B7386"/>
    <w:rsid w:val="005B74DD"/>
    <w:rsid w:val="005B7590"/>
    <w:rsid w:val="005B7599"/>
    <w:rsid w:val="005B769A"/>
    <w:rsid w:val="005B77C8"/>
    <w:rsid w:val="005B7949"/>
    <w:rsid w:val="005B7B79"/>
    <w:rsid w:val="005B7D6C"/>
    <w:rsid w:val="005B7F31"/>
    <w:rsid w:val="005C02E3"/>
    <w:rsid w:val="005C0C04"/>
    <w:rsid w:val="005C0DD6"/>
    <w:rsid w:val="005C0E3E"/>
    <w:rsid w:val="005C126D"/>
    <w:rsid w:val="005C139A"/>
    <w:rsid w:val="005C17A2"/>
    <w:rsid w:val="005C17C9"/>
    <w:rsid w:val="005C1A83"/>
    <w:rsid w:val="005C1AB4"/>
    <w:rsid w:val="005C1AD0"/>
    <w:rsid w:val="005C1AFB"/>
    <w:rsid w:val="005C1D38"/>
    <w:rsid w:val="005C1DF1"/>
    <w:rsid w:val="005C1E53"/>
    <w:rsid w:val="005C2010"/>
    <w:rsid w:val="005C20E4"/>
    <w:rsid w:val="005C2458"/>
    <w:rsid w:val="005C2530"/>
    <w:rsid w:val="005C2DBC"/>
    <w:rsid w:val="005C2E0E"/>
    <w:rsid w:val="005C2E13"/>
    <w:rsid w:val="005C2F1F"/>
    <w:rsid w:val="005C30FD"/>
    <w:rsid w:val="005C3179"/>
    <w:rsid w:val="005C31C3"/>
    <w:rsid w:val="005C3680"/>
    <w:rsid w:val="005C3C1A"/>
    <w:rsid w:val="005C3E8F"/>
    <w:rsid w:val="005C3F0C"/>
    <w:rsid w:val="005C4044"/>
    <w:rsid w:val="005C40AF"/>
    <w:rsid w:val="005C4385"/>
    <w:rsid w:val="005C4392"/>
    <w:rsid w:val="005C4416"/>
    <w:rsid w:val="005C4723"/>
    <w:rsid w:val="005C4883"/>
    <w:rsid w:val="005C49D6"/>
    <w:rsid w:val="005C4AA3"/>
    <w:rsid w:val="005C4AD9"/>
    <w:rsid w:val="005C5116"/>
    <w:rsid w:val="005C52CD"/>
    <w:rsid w:val="005C5382"/>
    <w:rsid w:val="005C58CA"/>
    <w:rsid w:val="005C59EB"/>
    <w:rsid w:val="005C5A5E"/>
    <w:rsid w:val="005C5C5D"/>
    <w:rsid w:val="005C5C6D"/>
    <w:rsid w:val="005C60C3"/>
    <w:rsid w:val="005C62B8"/>
    <w:rsid w:val="005C65C4"/>
    <w:rsid w:val="005C6AAE"/>
    <w:rsid w:val="005C6EDB"/>
    <w:rsid w:val="005C7215"/>
    <w:rsid w:val="005C73C4"/>
    <w:rsid w:val="005C7418"/>
    <w:rsid w:val="005C7446"/>
    <w:rsid w:val="005C7465"/>
    <w:rsid w:val="005C74A5"/>
    <w:rsid w:val="005C7AD2"/>
    <w:rsid w:val="005C7C38"/>
    <w:rsid w:val="005C7CB5"/>
    <w:rsid w:val="005C7D3B"/>
    <w:rsid w:val="005C7EE7"/>
    <w:rsid w:val="005C7F94"/>
    <w:rsid w:val="005D00EA"/>
    <w:rsid w:val="005D00F8"/>
    <w:rsid w:val="005D023B"/>
    <w:rsid w:val="005D02C4"/>
    <w:rsid w:val="005D0715"/>
    <w:rsid w:val="005D0717"/>
    <w:rsid w:val="005D08D7"/>
    <w:rsid w:val="005D0AB8"/>
    <w:rsid w:val="005D0C63"/>
    <w:rsid w:val="005D1044"/>
    <w:rsid w:val="005D1054"/>
    <w:rsid w:val="005D13DD"/>
    <w:rsid w:val="005D1543"/>
    <w:rsid w:val="005D1684"/>
    <w:rsid w:val="005D1820"/>
    <w:rsid w:val="005D1B2D"/>
    <w:rsid w:val="005D1B38"/>
    <w:rsid w:val="005D1BAD"/>
    <w:rsid w:val="005D1E5E"/>
    <w:rsid w:val="005D210B"/>
    <w:rsid w:val="005D2188"/>
    <w:rsid w:val="005D22E3"/>
    <w:rsid w:val="005D2304"/>
    <w:rsid w:val="005D2318"/>
    <w:rsid w:val="005D247B"/>
    <w:rsid w:val="005D26D5"/>
    <w:rsid w:val="005D27B9"/>
    <w:rsid w:val="005D289F"/>
    <w:rsid w:val="005D2C74"/>
    <w:rsid w:val="005D2D74"/>
    <w:rsid w:val="005D35D9"/>
    <w:rsid w:val="005D3706"/>
    <w:rsid w:val="005D38CC"/>
    <w:rsid w:val="005D390B"/>
    <w:rsid w:val="005D3A04"/>
    <w:rsid w:val="005D3C38"/>
    <w:rsid w:val="005D3EF0"/>
    <w:rsid w:val="005D3FF4"/>
    <w:rsid w:val="005D4542"/>
    <w:rsid w:val="005D4666"/>
    <w:rsid w:val="005D48FE"/>
    <w:rsid w:val="005D4A0A"/>
    <w:rsid w:val="005D4CE7"/>
    <w:rsid w:val="005D4EE2"/>
    <w:rsid w:val="005D50AD"/>
    <w:rsid w:val="005D5282"/>
    <w:rsid w:val="005D5846"/>
    <w:rsid w:val="005D5994"/>
    <w:rsid w:val="005D5C24"/>
    <w:rsid w:val="005D5DD7"/>
    <w:rsid w:val="005D5DEB"/>
    <w:rsid w:val="005D5FEF"/>
    <w:rsid w:val="005D6328"/>
    <w:rsid w:val="005D6411"/>
    <w:rsid w:val="005D6956"/>
    <w:rsid w:val="005D698A"/>
    <w:rsid w:val="005D69A8"/>
    <w:rsid w:val="005D6C3F"/>
    <w:rsid w:val="005D6D6C"/>
    <w:rsid w:val="005D6DE3"/>
    <w:rsid w:val="005D7002"/>
    <w:rsid w:val="005D7349"/>
    <w:rsid w:val="005D73E4"/>
    <w:rsid w:val="005D7471"/>
    <w:rsid w:val="005D749D"/>
    <w:rsid w:val="005D74E2"/>
    <w:rsid w:val="005D77B8"/>
    <w:rsid w:val="005D7F62"/>
    <w:rsid w:val="005E0750"/>
    <w:rsid w:val="005E0915"/>
    <w:rsid w:val="005E09C1"/>
    <w:rsid w:val="005E0C03"/>
    <w:rsid w:val="005E0F0E"/>
    <w:rsid w:val="005E0FFB"/>
    <w:rsid w:val="005E1010"/>
    <w:rsid w:val="005E1430"/>
    <w:rsid w:val="005E164C"/>
    <w:rsid w:val="005E1812"/>
    <w:rsid w:val="005E1B28"/>
    <w:rsid w:val="005E1B4C"/>
    <w:rsid w:val="005E1D6F"/>
    <w:rsid w:val="005E21C5"/>
    <w:rsid w:val="005E221C"/>
    <w:rsid w:val="005E2264"/>
    <w:rsid w:val="005E234F"/>
    <w:rsid w:val="005E245C"/>
    <w:rsid w:val="005E2634"/>
    <w:rsid w:val="005E2702"/>
    <w:rsid w:val="005E29B7"/>
    <w:rsid w:val="005E34C3"/>
    <w:rsid w:val="005E35F7"/>
    <w:rsid w:val="005E3D62"/>
    <w:rsid w:val="005E44AE"/>
    <w:rsid w:val="005E453D"/>
    <w:rsid w:val="005E488F"/>
    <w:rsid w:val="005E49F3"/>
    <w:rsid w:val="005E4A54"/>
    <w:rsid w:val="005E4AEE"/>
    <w:rsid w:val="005E5039"/>
    <w:rsid w:val="005E53F4"/>
    <w:rsid w:val="005E55E4"/>
    <w:rsid w:val="005E563B"/>
    <w:rsid w:val="005E568E"/>
    <w:rsid w:val="005E56D9"/>
    <w:rsid w:val="005E5755"/>
    <w:rsid w:val="005E5773"/>
    <w:rsid w:val="005E5874"/>
    <w:rsid w:val="005E5B27"/>
    <w:rsid w:val="005E5BAF"/>
    <w:rsid w:val="005E6447"/>
    <w:rsid w:val="005E66F6"/>
    <w:rsid w:val="005E6B20"/>
    <w:rsid w:val="005E7138"/>
    <w:rsid w:val="005E7384"/>
    <w:rsid w:val="005E7511"/>
    <w:rsid w:val="005E75D5"/>
    <w:rsid w:val="005E760E"/>
    <w:rsid w:val="005E76A0"/>
    <w:rsid w:val="005E77EE"/>
    <w:rsid w:val="005E78AB"/>
    <w:rsid w:val="005E7A46"/>
    <w:rsid w:val="005F024B"/>
    <w:rsid w:val="005F04A8"/>
    <w:rsid w:val="005F07AA"/>
    <w:rsid w:val="005F0803"/>
    <w:rsid w:val="005F0AF3"/>
    <w:rsid w:val="005F0AF5"/>
    <w:rsid w:val="005F0BF2"/>
    <w:rsid w:val="005F0CDE"/>
    <w:rsid w:val="005F0EDE"/>
    <w:rsid w:val="005F1479"/>
    <w:rsid w:val="005F1555"/>
    <w:rsid w:val="005F168A"/>
    <w:rsid w:val="005F17FF"/>
    <w:rsid w:val="005F19F9"/>
    <w:rsid w:val="005F2268"/>
    <w:rsid w:val="005F293E"/>
    <w:rsid w:val="005F2959"/>
    <w:rsid w:val="005F2978"/>
    <w:rsid w:val="005F2D8B"/>
    <w:rsid w:val="005F3087"/>
    <w:rsid w:val="005F3686"/>
    <w:rsid w:val="005F36BB"/>
    <w:rsid w:val="005F39B0"/>
    <w:rsid w:val="005F39E8"/>
    <w:rsid w:val="005F3B8E"/>
    <w:rsid w:val="005F3C1E"/>
    <w:rsid w:val="005F40DF"/>
    <w:rsid w:val="005F41AA"/>
    <w:rsid w:val="005F4259"/>
    <w:rsid w:val="005F4721"/>
    <w:rsid w:val="005F49ED"/>
    <w:rsid w:val="005F4CA6"/>
    <w:rsid w:val="005F4CE1"/>
    <w:rsid w:val="005F4D02"/>
    <w:rsid w:val="005F4EB9"/>
    <w:rsid w:val="005F4F92"/>
    <w:rsid w:val="005F4FBD"/>
    <w:rsid w:val="005F5204"/>
    <w:rsid w:val="005F5402"/>
    <w:rsid w:val="005F55C1"/>
    <w:rsid w:val="005F5836"/>
    <w:rsid w:val="005F5ED7"/>
    <w:rsid w:val="005F601C"/>
    <w:rsid w:val="005F6484"/>
    <w:rsid w:val="005F648F"/>
    <w:rsid w:val="005F667D"/>
    <w:rsid w:val="005F6681"/>
    <w:rsid w:val="005F686E"/>
    <w:rsid w:val="005F68A1"/>
    <w:rsid w:val="005F69BB"/>
    <w:rsid w:val="005F6BE7"/>
    <w:rsid w:val="005F6C01"/>
    <w:rsid w:val="005F6D11"/>
    <w:rsid w:val="005F6FAF"/>
    <w:rsid w:val="005F7209"/>
    <w:rsid w:val="005F720A"/>
    <w:rsid w:val="005F75BD"/>
    <w:rsid w:val="005F75C8"/>
    <w:rsid w:val="005F794A"/>
    <w:rsid w:val="005F7B9C"/>
    <w:rsid w:val="005F7D6D"/>
    <w:rsid w:val="005F7EAE"/>
    <w:rsid w:val="005F7FA7"/>
    <w:rsid w:val="005F7FBC"/>
    <w:rsid w:val="0060005C"/>
    <w:rsid w:val="006001F1"/>
    <w:rsid w:val="00600214"/>
    <w:rsid w:val="00600476"/>
    <w:rsid w:val="00600532"/>
    <w:rsid w:val="0060099D"/>
    <w:rsid w:val="00600C2F"/>
    <w:rsid w:val="00600C3F"/>
    <w:rsid w:val="00600EFE"/>
    <w:rsid w:val="00600FD5"/>
    <w:rsid w:val="006010D6"/>
    <w:rsid w:val="006013A5"/>
    <w:rsid w:val="00601649"/>
    <w:rsid w:val="00601AAC"/>
    <w:rsid w:val="00601CE7"/>
    <w:rsid w:val="0060223A"/>
    <w:rsid w:val="006025D4"/>
    <w:rsid w:val="00602658"/>
    <w:rsid w:val="0060268E"/>
    <w:rsid w:val="00602A0B"/>
    <w:rsid w:val="00602CE4"/>
    <w:rsid w:val="00602D99"/>
    <w:rsid w:val="00602F43"/>
    <w:rsid w:val="006031D8"/>
    <w:rsid w:val="0060348C"/>
    <w:rsid w:val="00603B08"/>
    <w:rsid w:val="00603B59"/>
    <w:rsid w:val="00603EC4"/>
    <w:rsid w:val="00603EDC"/>
    <w:rsid w:val="00603EE8"/>
    <w:rsid w:val="0060408A"/>
    <w:rsid w:val="006041B6"/>
    <w:rsid w:val="006044DB"/>
    <w:rsid w:val="0060466B"/>
    <w:rsid w:val="006047E5"/>
    <w:rsid w:val="0060486F"/>
    <w:rsid w:val="00604A51"/>
    <w:rsid w:val="00604C40"/>
    <w:rsid w:val="00604D51"/>
    <w:rsid w:val="00605109"/>
    <w:rsid w:val="006051CF"/>
    <w:rsid w:val="00605287"/>
    <w:rsid w:val="00605312"/>
    <w:rsid w:val="006054D6"/>
    <w:rsid w:val="006055EC"/>
    <w:rsid w:val="00605776"/>
    <w:rsid w:val="006057FB"/>
    <w:rsid w:val="00605C17"/>
    <w:rsid w:val="00605F93"/>
    <w:rsid w:val="00606056"/>
    <w:rsid w:val="006067F7"/>
    <w:rsid w:val="00606B7F"/>
    <w:rsid w:val="00606D0B"/>
    <w:rsid w:val="00606D39"/>
    <w:rsid w:val="00606D92"/>
    <w:rsid w:val="00607122"/>
    <w:rsid w:val="00607224"/>
    <w:rsid w:val="006072EE"/>
    <w:rsid w:val="00607514"/>
    <w:rsid w:val="006075C4"/>
    <w:rsid w:val="00607A3E"/>
    <w:rsid w:val="00607B91"/>
    <w:rsid w:val="00607D61"/>
    <w:rsid w:val="00607E47"/>
    <w:rsid w:val="00607F11"/>
    <w:rsid w:val="00607F4C"/>
    <w:rsid w:val="00610162"/>
    <w:rsid w:val="00610166"/>
    <w:rsid w:val="006101D4"/>
    <w:rsid w:val="00610299"/>
    <w:rsid w:val="00610378"/>
    <w:rsid w:val="00610725"/>
    <w:rsid w:val="00610ABA"/>
    <w:rsid w:val="00610AD3"/>
    <w:rsid w:val="00610CA1"/>
    <w:rsid w:val="00610DF6"/>
    <w:rsid w:val="00611026"/>
    <w:rsid w:val="006112EF"/>
    <w:rsid w:val="00611362"/>
    <w:rsid w:val="0061188E"/>
    <w:rsid w:val="006118B6"/>
    <w:rsid w:val="00611941"/>
    <w:rsid w:val="00611984"/>
    <w:rsid w:val="00611A67"/>
    <w:rsid w:val="00611AEC"/>
    <w:rsid w:val="00611EB8"/>
    <w:rsid w:val="00611F88"/>
    <w:rsid w:val="006126E2"/>
    <w:rsid w:val="006128D2"/>
    <w:rsid w:val="00612A41"/>
    <w:rsid w:val="00612BF6"/>
    <w:rsid w:val="00612C55"/>
    <w:rsid w:val="00612EF3"/>
    <w:rsid w:val="00613031"/>
    <w:rsid w:val="00613037"/>
    <w:rsid w:val="006135AB"/>
    <w:rsid w:val="0061361B"/>
    <w:rsid w:val="006138E4"/>
    <w:rsid w:val="00613A22"/>
    <w:rsid w:val="00613D13"/>
    <w:rsid w:val="00613D5D"/>
    <w:rsid w:val="0061423B"/>
    <w:rsid w:val="00614442"/>
    <w:rsid w:val="006144F6"/>
    <w:rsid w:val="006148BA"/>
    <w:rsid w:val="00614BF0"/>
    <w:rsid w:val="00614CC0"/>
    <w:rsid w:val="00614F64"/>
    <w:rsid w:val="006151B0"/>
    <w:rsid w:val="00615345"/>
    <w:rsid w:val="00615348"/>
    <w:rsid w:val="006153D0"/>
    <w:rsid w:val="0061559F"/>
    <w:rsid w:val="00615859"/>
    <w:rsid w:val="0061587B"/>
    <w:rsid w:val="00615A0A"/>
    <w:rsid w:val="00615E57"/>
    <w:rsid w:val="006160BB"/>
    <w:rsid w:val="00616407"/>
    <w:rsid w:val="00616450"/>
    <w:rsid w:val="00616527"/>
    <w:rsid w:val="00616581"/>
    <w:rsid w:val="00616B73"/>
    <w:rsid w:val="00616C35"/>
    <w:rsid w:val="00616D49"/>
    <w:rsid w:val="00616F25"/>
    <w:rsid w:val="00616F92"/>
    <w:rsid w:val="00617049"/>
    <w:rsid w:val="0061709C"/>
    <w:rsid w:val="00617190"/>
    <w:rsid w:val="00617281"/>
    <w:rsid w:val="0061755B"/>
    <w:rsid w:val="006176BE"/>
    <w:rsid w:val="00617840"/>
    <w:rsid w:val="00617E38"/>
    <w:rsid w:val="006208BD"/>
    <w:rsid w:val="006209BD"/>
    <w:rsid w:val="00620D06"/>
    <w:rsid w:val="00620E5A"/>
    <w:rsid w:val="00620FEF"/>
    <w:rsid w:val="00621107"/>
    <w:rsid w:val="006212C5"/>
    <w:rsid w:val="00621331"/>
    <w:rsid w:val="0062164A"/>
    <w:rsid w:val="006216D5"/>
    <w:rsid w:val="00621761"/>
    <w:rsid w:val="006219E9"/>
    <w:rsid w:val="00621A9D"/>
    <w:rsid w:val="00621B28"/>
    <w:rsid w:val="00621B62"/>
    <w:rsid w:val="00621BD3"/>
    <w:rsid w:val="00621D55"/>
    <w:rsid w:val="00621EED"/>
    <w:rsid w:val="00622312"/>
    <w:rsid w:val="006229D5"/>
    <w:rsid w:val="00622BA2"/>
    <w:rsid w:val="00622C22"/>
    <w:rsid w:val="00622CE6"/>
    <w:rsid w:val="0062307A"/>
    <w:rsid w:val="006230BD"/>
    <w:rsid w:val="00623120"/>
    <w:rsid w:val="0062377F"/>
    <w:rsid w:val="00623D79"/>
    <w:rsid w:val="00623FDD"/>
    <w:rsid w:val="006245CF"/>
    <w:rsid w:val="0062471A"/>
    <w:rsid w:val="00624822"/>
    <w:rsid w:val="00624BA3"/>
    <w:rsid w:val="006250E9"/>
    <w:rsid w:val="006251EE"/>
    <w:rsid w:val="006251F0"/>
    <w:rsid w:val="00625654"/>
    <w:rsid w:val="00625720"/>
    <w:rsid w:val="00625983"/>
    <w:rsid w:val="00625AA5"/>
    <w:rsid w:val="00625CE0"/>
    <w:rsid w:val="00625DD1"/>
    <w:rsid w:val="00625E51"/>
    <w:rsid w:val="00626102"/>
    <w:rsid w:val="0062620D"/>
    <w:rsid w:val="00626573"/>
    <w:rsid w:val="006266E0"/>
    <w:rsid w:val="00626B41"/>
    <w:rsid w:val="00626D8E"/>
    <w:rsid w:val="00626EE1"/>
    <w:rsid w:val="00626F00"/>
    <w:rsid w:val="006270BB"/>
    <w:rsid w:val="00627165"/>
    <w:rsid w:val="006274F2"/>
    <w:rsid w:val="0062770A"/>
    <w:rsid w:val="006277D5"/>
    <w:rsid w:val="00627DD6"/>
    <w:rsid w:val="00627F43"/>
    <w:rsid w:val="0063009C"/>
    <w:rsid w:val="0063025E"/>
    <w:rsid w:val="00630271"/>
    <w:rsid w:val="006305F1"/>
    <w:rsid w:val="0063069A"/>
    <w:rsid w:val="00630733"/>
    <w:rsid w:val="00630A95"/>
    <w:rsid w:val="00630CEB"/>
    <w:rsid w:val="00630FF3"/>
    <w:rsid w:val="0063101E"/>
    <w:rsid w:val="00631222"/>
    <w:rsid w:val="006312BD"/>
    <w:rsid w:val="006313C2"/>
    <w:rsid w:val="00631471"/>
    <w:rsid w:val="00631A11"/>
    <w:rsid w:val="00631B5D"/>
    <w:rsid w:val="00632520"/>
    <w:rsid w:val="006328C2"/>
    <w:rsid w:val="006328D7"/>
    <w:rsid w:val="00632A1F"/>
    <w:rsid w:val="00632BF9"/>
    <w:rsid w:val="0063303F"/>
    <w:rsid w:val="0063306F"/>
    <w:rsid w:val="006330E3"/>
    <w:rsid w:val="00633160"/>
    <w:rsid w:val="00633462"/>
    <w:rsid w:val="00633672"/>
    <w:rsid w:val="00633924"/>
    <w:rsid w:val="00633999"/>
    <w:rsid w:val="00633A12"/>
    <w:rsid w:val="00633B2F"/>
    <w:rsid w:val="00633E18"/>
    <w:rsid w:val="00634617"/>
    <w:rsid w:val="0063496A"/>
    <w:rsid w:val="006353A9"/>
    <w:rsid w:val="00635413"/>
    <w:rsid w:val="00635518"/>
    <w:rsid w:val="006355F1"/>
    <w:rsid w:val="00635A86"/>
    <w:rsid w:val="00635BF1"/>
    <w:rsid w:val="00635CED"/>
    <w:rsid w:val="00635EA4"/>
    <w:rsid w:val="00636365"/>
    <w:rsid w:val="006365A5"/>
    <w:rsid w:val="00636904"/>
    <w:rsid w:val="00636949"/>
    <w:rsid w:val="00636E03"/>
    <w:rsid w:val="006370B8"/>
    <w:rsid w:val="0063714A"/>
    <w:rsid w:val="006371F8"/>
    <w:rsid w:val="00637520"/>
    <w:rsid w:val="00637829"/>
    <w:rsid w:val="00637A71"/>
    <w:rsid w:val="00637A7E"/>
    <w:rsid w:val="00637B8A"/>
    <w:rsid w:val="00637C46"/>
    <w:rsid w:val="00637FCE"/>
    <w:rsid w:val="00640049"/>
    <w:rsid w:val="006403BA"/>
    <w:rsid w:val="00640724"/>
    <w:rsid w:val="006407FF"/>
    <w:rsid w:val="00640A70"/>
    <w:rsid w:val="00640C31"/>
    <w:rsid w:val="00640D54"/>
    <w:rsid w:val="00640DAE"/>
    <w:rsid w:val="00640DEA"/>
    <w:rsid w:val="00640F18"/>
    <w:rsid w:val="006411FA"/>
    <w:rsid w:val="00641372"/>
    <w:rsid w:val="0064177B"/>
    <w:rsid w:val="0064178C"/>
    <w:rsid w:val="00641C08"/>
    <w:rsid w:val="00641C9D"/>
    <w:rsid w:val="00641DDB"/>
    <w:rsid w:val="00641E9E"/>
    <w:rsid w:val="00642033"/>
    <w:rsid w:val="00642523"/>
    <w:rsid w:val="0064253D"/>
    <w:rsid w:val="00642771"/>
    <w:rsid w:val="0064278F"/>
    <w:rsid w:val="0064294C"/>
    <w:rsid w:val="00642C7C"/>
    <w:rsid w:val="00642CAC"/>
    <w:rsid w:val="00642EEB"/>
    <w:rsid w:val="00642F92"/>
    <w:rsid w:val="00643226"/>
    <w:rsid w:val="00643288"/>
    <w:rsid w:val="006433A6"/>
    <w:rsid w:val="006433E8"/>
    <w:rsid w:val="006435FB"/>
    <w:rsid w:val="006438A2"/>
    <w:rsid w:val="00643929"/>
    <w:rsid w:val="00643DE8"/>
    <w:rsid w:val="00643EC8"/>
    <w:rsid w:val="006440D9"/>
    <w:rsid w:val="006446D0"/>
    <w:rsid w:val="006447D7"/>
    <w:rsid w:val="00644855"/>
    <w:rsid w:val="0064486E"/>
    <w:rsid w:val="00644AAF"/>
    <w:rsid w:val="00644B58"/>
    <w:rsid w:val="00644D33"/>
    <w:rsid w:val="00644DFC"/>
    <w:rsid w:val="00644EB3"/>
    <w:rsid w:val="0064531B"/>
    <w:rsid w:val="00645371"/>
    <w:rsid w:val="006456A8"/>
    <w:rsid w:val="00645984"/>
    <w:rsid w:val="006459EF"/>
    <w:rsid w:val="00645B94"/>
    <w:rsid w:val="00645E7F"/>
    <w:rsid w:val="006460E2"/>
    <w:rsid w:val="006461E6"/>
    <w:rsid w:val="006463E0"/>
    <w:rsid w:val="006465DD"/>
    <w:rsid w:val="006465F3"/>
    <w:rsid w:val="00646A39"/>
    <w:rsid w:val="00646CCC"/>
    <w:rsid w:val="00646D86"/>
    <w:rsid w:val="00646DA4"/>
    <w:rsid w:val="006473EE"/>
    <w:rsid w:val="006475BA"/>
    <w:rsid w:val="006477DA"/>
    <w:rsid w:val="006478A0"/>
    <w:rsid w:val="006478C6"/>
    <w:rsid w:val="00647A8E"/>
    <w:rsid w:val="00647B3A"/>
    <w:rsid w:val="00647BE9"/>
    <w:rsid w:val="00647E99"/>
    <w:rsid w:val="00647F0F"/>
    <w:rsid w:val="00647F84"/>
    <w:rsid w:val="006505FF"/>
    <w:rsid w:val="006509E7"/>
    <w:rsid w:val="00650E1E"/>
    <w:rsid w:val="00650FFA"/>
    <w:rsid w:val="0065122D"/>
    <w:rsid w:val="006512B7"/>
    <w:rsid w:val="006514DC"/>
    <w:rsid w:val="0065169A"/>
    <w:rsid w:val="0065180F"/>
    <w:rsid w:val="006518CC"/>
    <w:rsid w:val="00651967"/>
    <w:rsid w:val="00651A78"/>
    <w:rsid w:val="00651BC0"/>
    <w:rsid w:val="00651C76"/>
    <w:rsid w:val="00651D56"/>
    <w:rsid w:val="00651F26"/>
    <w:rsid w:val="0065256F"/>
    <w:rsid w:val="006525BD"/>
    <w:rsid w:val="006526E9"/>
    <w:rsid w:val="006529C3"/>
    <w:rsid w:val="00652AB6"/>
    <w:rsid w:val="006531DC"/>
    <w:rsid w:val="00653473"/>
    <w:rsid w:val="006534BF"/>
    <w:rsid w:val="006537D7"/>
    <w:rsid w:val="00653B93"/>
    <w:rsid w:val="00653D97"/>
    <w:rsid w:val="00653E49"/>
    <w:rsid w:val="00653F85"/>
    <w:rsid w:val="0065444A"/>
    <w:rsid w:val="00654947"/>
    <w:rsid w:val="00654A27"/>
    <w:rsid w:val="00654A4C"/>
    <w:rsid w:val="00654C75"/>
    <w:rsid w:val="00654D2D"/>
    <w:rsid w:val="00654E05"/>
    <w:rsid w:val="00654F68"/>
    <w:rsid w:val="00655189"/>
    <w:rsid w:val="0065528C"/>
    <w:rsid w:val="006552B9"/>
    <w:rsid w:val="0065558B"/>
    <w:rsid w:val="00655778"/>
    <w:rsid w:val="006557F2"/>
    <w:rsid w:val="00655CF9"/>
    <w:rsid w:val="00655D35"/>
    <w:rsid w:val="00655D45"/>
    <w:rsid w:val="00655D56"/>
    <w:rsid w:val="0065600D"/>
    <w:rsid w:val="006565BF"/>
    <w:rsid w:val="006566DF"/>
    <w:rsid w:val="00656705"/>
    <w:rsid w:val="0065672E"/>
    <w:rsid w:val="006567DF"/>
    <w:rsid w:val="00656883"/>
    <w:rsid w:val="00656E96"/>
    <w:rsid w:val="0065714C"/>
    <w:rsid w:val="00657581"/>
    <w:rsid w:val="0065763B"/>
    <w:rsid w:val="00657668"/>
    <w:rsid w:val="0065769C"/>
    <w:rsid w:val="006578D6"/>
    <w:rsid w:val="006578F1"/>
    <w:rsid w:val="00657902"/>
    <w:rsid w:val="0065796C"/>
    <w:rsid w:val="00657A6C"/>
    <w:rsid w:val="006601FC"/>
    <w:rsid w:val="006603DF"/>
    <w:rsid w:val="006603E4"/>
    <w:rsid w:val="006604B2"/>
    <w:rsid w:val="00660615"/>
    <w:rsid w:val="00660656"/>
    <w:rsid w:val="00660821"/>
    <w:rsid w:val="00660A74"/>
    <w:rsid w:val="00660AF2"/>
    <w:rsid w:val="00660B90"/>
    <w:rsid w:val="00660BE8"/>
    <w:rsid w:val="00660BFF"/>
    <w:rsid w:val="0066139F"/>
    <w:rsid w:val="0066155B"/>
    <w:rsid w:val="00661AF2"/>
    <w:rsid w:val="00661B77"/>
    <w:rsid w:val="00661EE6"/>
    <w:rsid w:val="006620E4"/>
    <w:rsid w:val="006621E0"/>
    <w:rsid w:val="00662206"/>
    <w:rsid w:val="006625CB"/>
    <w:rsid w:val="00662B68"/>
    <w:rsid w:val="00662CB2"/>
    <w:rsid w:val="00662E5F"/>
    <w:rsid w:val="00662FC2"/>
    <w:rsid w:val="00663032"/>
    <w:rsid w:val="00663193"/>
    <w:rsid w:val="006632F5"/>
    <w:rsid w:val="00663377"/>
    <w:rsid w:val="006633CE"/>
    <w:rsid w:val="0066362F"/>
    <w:rsid w:val="00663970"/>
    <w:rsid w:val="006639B2"/>
    <w:rsid w:val="00663E9C"/>
    <w:rsid w:val="00664434"/>
    <w:rsid w:val="0066471D"/>
    <w:rsid w:val="006648B8"/>
    <w:rsid w:val="006649FE"/>
    <w:rsid w:val="00664B47"/>
    <w:rsid w:val="00664BF5"/>
    <w:rsid w:val="00664D55"/>
    <w:rsid w:val="00664EA7"/>
    <w:rsid w:val="0066516A"/>
    <w:rsid w:val="006655EA"/>
    <w:rsid w:val="0066561F"/>
    <w:rsid w:val="00665D1B"/>
    <w:rsid w:val="00665D83"/>
    <w:rsid w:val="006660FE"/>
    <w:rsid w:val="00666426"/>
    <w:rsid w:val="00666528"/>
    <w:rsid w:val="0066698E"/>
    <w:rsid w:val="00666A58"/>
    <w:rsid w:val="00666AAA"/>
    <w:rsid w:val="00666CAC"/>
    <w:rsid w:val="0066724E"/>
    <w:rsid w:val="00667262"/>
    <w:rsid w:val="00667751"/>
    <w:rsid w:val="00667A0A"/>
    <w:rsid w:val="00667C1B"/>
    <w:rsid w:val="00667E69"/>
    <w:rsid w:val="006700F3"/>
    <w:rsid w:val="00670650"/>
    <w:rsid w:val="00670664"/>
    <w:rsid w:val="0067069C"/>
    <w:rsid w:val="006707FD"/>
    <w:rsid w:val="00670D4A"/>
    <w:rsid w:val="00670D9C"/>
    <w:rsid w:val="00671024"/>
    <w:rsid w:val="0067109D"/>
    <w:rsid w:val="0067115B"/>
    <w:rsid w:val="006712C0"/>
    <w:rsid w:val="006715D2"/>
    <w:rsid w:val="0067184C"/>
    <w:rsid w:val="0067185A"/>
    <w:rsid w:val="006718D1"/>
    <w:rsid w:val="00671A0E"/>
    <w:rsid w:val="00671C2A"/>
    <w:rsid w:val="00671DEF"/>
    <w:rsid w:val="00671E98"/>
    <w:rsid w:val="00671F49"/>
    <w:rsid w:val="00672088"/>
    <w:rsid w:val="00672307"/>
    <w:rsid w:val="00672528"/>
    <w:rsid w:val="006725E9"/>
    <w:rsid w:val="006727F5"/>
    <w:rsid w:val="0067293A"/>
    <w:rsid w:val="00673038"/>
    <w:rsid w:val="0067309C"/>
    <w:rsid w:val="00673247"/>
    <w:rsid w:val="0067351D"/>
    <w:rsid w:val="00673586"/>
    <w:rsid w:val="0067375E"/>
    <w:rsid w:val="00673D3D"/>
    <w:rsid w:val="00673E26"/>
    <w:rsid w:val="006743C9"/>
    <w:rsid w:val="00674469"/>
    <w:rsid w:val="006744AC"/>
    <w:rsid w:val="006744EB"/>
    <w:rsid w:val="00674537"/>
    <w:rsid w:val="00674648"/>
    <w:rsid w:val="00674A26"/>
    <w:rsid w:val="00674C7D"/>
    <w:rsid w:val="00675037"/>
    <w:rsid w:val="0067503E"/>
    <w:rsid w:val="006750CC"/>
    <w:rsid w:val="00675351"/>
    <w:rsid w:val="006754E4"/>
    <w:rsid w:val="00675CB1"/>
    <w:rsid w:val="00675D30"/>
    <w:rsid w:val="00675EF2"/>
    <w:rsid w:val="00675F3E"/>
    <w:rsid w:val="00675FBA"/>
    <w:rsid w:val="00675FF0"/>
    <w:rsid w:val="006760A4"/>
    <w:rsid w:val="00676116"/>
    <w:rsid w:val="0067617C"/>
    <w:rsid w:val="0067674A"/>
    <w:rsid w:val="00676B87"/>
    <w:rsid w:val="00676D36"/>
    <w:rsid w:val="00676E04"/>
    <w:rsid w:val="00676E19"/>
    <w:rsid w:val="00676E3B"/>
    <w:rsid w:val="00677131"/>
    <w:rsid w:val="00677638"/>
    <w:rsid w:val="006777CF"/>
    <w:rsid w:val="006777F2"/>
    <w:rsid w:val="00677833"/>
    <w:rsid w:val="006779AE"/>
    <w:rsid w:val="00677BDA"/>
    <w:rsid w:val="00677BE8"/>
    <w:rsid w:val="00677CCE"/>
    <w:rsid w:val="006800A4"/>
    <w:rsid w:val="006804B9"/>
    <w:rsid w:val="006807AE"/>
    <w:rsid w:val="006807B8"/>
    <w:rsid w:val="00680B40"/>
    <w:rsid w:val="00680C07"/>
    <w:rsid w:val="00680D78"/>
    <w:rsid w:val="00680F0B"/>
    <w:rsid w:val="00681002"/>
    <w:rsid w:val="0068106B"/>
    <w:rsid w:val="0068109B"/>
    <w:rsid w:val="00681104"/>
    <w:rsid w:val="006819D8"/>
    <w:rsid w:val="00681E68"/>
    <w:rsid w:val="00681EC3"/>
    <w:rsid w:val="00681EC9"/>
    <w:rsid w:val="006822FA"/>
    <w:rsid w:val="0068252E"/>
    <w:rsid w:val="00682569"/>
    <w:rsid w:val="00682604"/>
    <w:rsid w:val="0068284A"/>
    <w:rsid w:val="0068288C"/>
    <w:rsid w:val="00682C5D"/>
    <w:rsid w:val="0068315B"/>
    <w:rsid w:val="006831F2"/>
    <w:rsid w:val="006833D5"/>
    <w:rsid w:val="00683593"/>
    <w:rsid w:val="00683AA1"/>
    <w:rsid w:val="00683BD4"/>
    <w:rsid w:val="00683F36"/>
    <w:rsid w:val="006840F2"/>
    <w:rsid w:val="006841D9"/>
    <w:rsid w:val="006845AA"/>
    <w:rsid w:val="0068494C"/>
    <w:rsid w:val="00684D63"/>
    <w:rsid w:val="00684E17"/>
    <w:rsid w:val="0068503E"/>
    <w:rsid w:val="00685058"/>
    <w:rsid w:val="0068518D"/>
    <w:rsid w:val="006852FF"/>
    <w:rsid w:val="0068532F"/>
    <w:rsid w:val="00685589"/>
    <w:rsid w:val="00685849"/>
    <w:rsid w:val="006858D4"/>
    <w:rsid w:val="00685A1B"/>
    <w:rsid w:val="00685B83"/>
    <w:rsid w:val="00685D90"/>
    <w:rsid w:val="00685DD1"/>
    <w:rsid w:val="00685F4B"/>
    <w:rsid w:val="006861BA"/>
    <w:rsid w:val="00686313"/>
    <w:rsid w:val="0068642A"/>
    <w:rsid w:val="00686526"/>
    <w:rsid w:val="0068682C"/>
    <w:rsid w:val="00686837"/>
    <w:rsid w:val="006868B7"/>
    <w:rsid w:val="00686955"/>
    <w:rsid w:val="006869B3"/>
    <w:rsid w:val="00686A3E"/>
    <w:rsid w:val="00686B45"/>
    <w:rsid w:val="00686D7A"/>
    <w:rsid w:val="0068735D"/>
    <w:rsid w:val="00687429"/>
    <w:rsid w:val="006875E3"/>
    <w:rsid w:val="00687900"/>
    <w:rsid w:val="00687960"/>
    <w:rsid w:val="00687A50"/>
    <w:rsid w:val="00687B5C"/>
    <w:rsid w:val="00687D9E"/>
    <w:rsid w:val="00687F89"/>
    <w:rsid w:val="006901C8"/>
    <w:rsid w:val="0069032D"/>
    <w:rsid w:val="00690465"/>
    <w:rsid w:val="00690688"/>
    <w:rsid w:val="00690CD2"/>
    <w:rsid w:val="0069138B"/>
    <w:rsid w:val="00691A95"/>
    <w:rsid w:val="00691BFC"/>
    <w:rsid w:val="00691E9C"/>
    <w:rsid w:val="00691FC8"/>
    <w:rsid w:val="00692068"/>
    <w:rsid w:val="006923E7"/>
    <w:rsid w:val="006924C8"/>
    <w:rsid w:val="00692580"/>
    <w:rsid w:val="006926AE"/>
    <w:rsid w:val="00692734"/>
    <w:rsid w:val="00692747"/>
    <w:rsid w:val="0069284F"/>
    <w:rsid w:val="00692AF9"/>
    <w:rsid w:val="00692D2E"/>
    <w:rsid w:val="006931D8"/>
    <w:rsid w:val="00693361"/>
    <w:rsid w:val="0069347E"/>
    <w:rsid w:val="0069350F"/>
    <w:rsid w:val="00693641"/>
    <w:rsid w:val="0069371C"/>
    <w:rsid w:val="0069374B"/>
    <w:rsid w:val="006938AA"/>
    <w:rsid w:val="00693917"/>
    <w:rsid w:val="006939F4"/>
    <w:rsid w:val="00693B2C"/>
    <w:rsid w:val="00693CF9"/>
    <w:rsid w:val="00693DF1"/>
    <w:rsid w:val="006943B0"/>
    <w:rsid w:val="00694475"/>
    <w:rsid w:val="00694535"/>
    <w:rsid w:val="00694589"/>
    <w:rsid w:val="00694643"/>
    <w:rsid w:val="00694670"/>
    <w:rsid w:val="0069474B"/>
    <w:rsid w:val="0069475D"/>
    <w:rsid w:val="0069491C"/>
    <w:rsid w:val="00694B7B"/>
    <w:rsid w:val="006952F8"/>
    <w:rsid w:val="00695322"/>
    <w:rsid w:val="0069549A"/>
    <w:rsid w:val="006954A2"/>
    <w:rsid w:val="0069552D"/>
    <w:rsid w:val="0069568F"/>
    <w:rsid w:val="006958C6"/>
    <w:rsid w:val="00695905"/>
    <w:rsid w:val="00695AF1"/>
    <w:rsid w:val="00695C49"/>
    <w:rsid w:val="00695D2D"/>
    <w:rsid w:val="006960D0"/>
    <w:rsid w:val="0069620B"/>
    <w:rsid w:val="00696468"/>
    <w:rsid w:val="0069646D"/>
    <w:rsid w:val="006969CB"/>
    <w:rsid w:val="00696B12"/>
    <w:rsid w:val="00696B9D"/>
    <w:rsid w:val="00696DC0"/>
    <w:rsid w:val="00696EFD"/>
    <w:rsid w:val="00696FB9"/>
    <w:rsid w:val="00697168"/>
    <w:rsid w:val="006977A0"/>
    <w:rsid w:val="00697966"/>
    <w:rsid w:val="00697A72"/>
    <w:rsid w:val="00697A95"/>
    <w:rsid w:val="00697BB9"/>
    <w:rsid w:val="006A03E7"/>
    <w:rsid w:val="006A03F7"/>
    <w:rsid w:val="006A0400"/>
    <w:rsid w:val="006A0402"/>
    <w:rsid w:val="006A04B5"/>
    <w:rsid w:val="006A04C9"/>
    <w:rsid w:val="006A0536"/>
    <w:rsid w:val="006A0726"/>
    <w:rsid w:val="006A095F"/>
    <w:rsid w:val="006A0CD3"/>
    <w:rsid w:val="006A11AE"/>
    <w:rsid w:val="006A12F7"/>
    <w:rsid w:val="006A1802"/>
    <w:rsid w:val="006A19EF"/>
    <w:rsid w:val="006A1CDE"/>
    <w:rsid w:val="006A1DD1"/>
    <w:rsid w:val="006A1E57"/>
    <w:rsid w:val="006A2164"/>
    <w:rsid w:val="006A26E4"/>
    <w:rsid w:val="006A2732"/>
    <w:rsid w:val="006A28AD"/>
    <w:rsid w:val="006A2B01"/>
    <w:rsid w:val="006A2B9D"/>
    <w:rsid w:val="006A2F1F"/>
    <w:rsid w:val="006A309C"/>
    <w:rsid w:val="006A3219"/>
    <w:rsid w:val="006A335F"/>
    <w:rsid w:val="006A3798"/>
    <w:rsid w:val="006A3A0E"/>
    <w:rsid w:val="006A3A2B"/>
    <w:rsid w:val="006A3A3B"/>
    <w:rsid w:val="006A3B67"/>
    <w:rsid w:val="006A404A"/>
    <w:rsid w:val="006A4125"/>
    <w:rsid w:val="006A44CD"/>
    <w:rsid w:val="006A4619"/>
    <w:rsid w:val="006A486F"/>
    <w:rsid w:val="006A48F6"/>
    <w:rsid w:val="006A4981"/>
    <w:rsid w:val="006A4A12"/>
    <w:rsid w:val="006A4B6A"/>
    <w:rsid w:val="006A4BB7"/>
    <w:rsid w:val="006A4FE1"/>
    <w:rsid w:val="006A521C"/>
    <w:rsid w:val="006A5318"/>
    <w:rsid w:val="006A5391"/>
    <w:rsid w:val="006A5491"/>
    <w:rsid w:val="006A5593"/>
    <w:rsid w:val="006A578C"/>
    <w:rsid w:val="006A57D1"/>
    <w:rsid w:val="006A60B2"/>
    <w:rsid w:val="006A6292"/>
    <w:rsid w:val="006A6429"/>
    <w:rsid w:val="006A6927"/>
    <w:rsid w:val="006A699D"/>
    <w:rsid w:val="006A6BF1"/>
    <w:rsid w:val="006A6CB1"/>
    <w:rsid w:val="006A6CBC"/>
    <w:rsid w:val="006A706F"/>
    <w:rsid w:val="006A70E3"/>
    <w:rsid w:val="006A719E"/>
    <w:rsid w:val="006A72BB"/>
    <w:rsid w:val="006A738F"/>
    <w:rsid w:val="006A77B0"/>
    <w:rsid w:val="006A7DB3"/>
    <w:rsid w:val="006A7E5D"/>
    <w:rsid w:val="006B002E"/>
    <w:rsid w:val="006B0186"/>
    <w:rsid w:val="006B0284"/>
    <w:rsid w:val="006B0B51"/>
    <w:rsid w:val="006B13B2"/>
    <w:rsid w:val="006B13B9"/>
    <w:rsid w:val="006B1485"/>
    <w:rsid w:val="006B1503"/>
    <w:rsid w:val="006B191A"/>
    <w:rsid w:val="006B1AA9"/>
    <w:rsid w:val="006B1C97"/>
    <w:rsid w:val="006B1CAB"/>
    <w:rsid w:val="006B1CF6"/>
    <w:rsid w:val="006B1EDB"/>
    <w:rsid w:val="006B1EE7"/>
    <w:rsid w:val="006B1F3F"/>
    <w:rsid w:val="006B24DC"/>
    <w:rsid w:val="006B2645"/>
    <w:rsid w:val="006B2B25"/>
    <w:rsid w:val="006B2C0A"/>
    <w:rsid w:val="006B2CF9"/>
    <w:rsid w:val="006B2F19"/>
    <w:rsid w:val="006B3032"/>
    <w:rsid w:val="006B305C"/>
    <w:rsid w:val="006B3079"/>
    <w:rsid w:val="006B3421"/>
    <w:rsid w:val="006B34A8"/>
    <w:rsid w:val="006B352B"/>
    <w:rsid w:val="006B3C4A"/>
    <w:rsid w:val="006B3CC3"/>
    <w:rsid w:val="006B3ED9"/>
    <w:rsid w:val="006B40C4"/>
    <w:rsid w:val="006B43C5"/>
    <w:rsid w:val="006B43E5"/>
    <w:rsid w:val="006B44AF"/>
    <w:rsid w:val="006B44FF"/>
    <w:rsid w:val="006B4687"/>
    <w:rsid w:val="006B4B4A"/>
    <w:rsid w:val="006B4CCF"/>
    <w:rsid w:val="006B4EE7"/>
    <w:rsid w:val="006B501A"/>
    <w:rsid w:val="006B5202"/>
    <w:rsid w:val="006B5352"/>
    <w:rsid w:val="006B5454"/>
    <w:rsid w:val="006B57BA"/>
    <w:rsid w:val="006B580D"/>
    <w:rsid w:val="006B5C0A"/>
    <w:rsid w:val="006B5EA1"/>
    <w:rsid w:val="006B5EE6"/>
    <w:rsid w:val="006B5FAD"/>
    <w:rsid w:val="006B6676"/>
    <w:rsid w:val="006B67E4"/>
    <w:rsid w:val="006B67EE"/>
    <w:rsid w:val="006B6CF3"/>
    <w:rsid w:val="006B6E2F"/>
    <w:rsid w:val="006B6F60"/>
    <w:rsid w:val="006B70BE"/>
    <w:rsid w:val="006B73AC"/>
    <w:rsid w:val="006B7431"/>
    <w:rsid w:val="006B74E8"/>
    <w:rsid w:val="006B75C6"/>
    <w:rsid w:val="006B76A0"/>
    <w:rsid w:val="006B772E"/>
    <w:rsid w:val="006B777C"/>
    <w:rsid w:val="006B77C0"/>
    <w:rsid w:val="006B79BA"/>
    <w:rsid w:val="006B7F51"/>
    <w:rsid w:val="006C02A9"/>
    <w:rsid w:val="006C05F0"/>
    <w:rsid w:val="006C0D09"/>
    <w:rsid w:val="006C0D17"/>
    <w:rsid w:val="006C0DE0"/>
    <w:rsid w:val="006C0E2B"/>
    <w:rsid w:val="006C12CD"/>
    <w:rsid w:val="006C146D"/>
    <w:rsid w:val="006C150F"/>
    <w:rsid w:val="006C16AF"/>
    <w:rsid w:val="006C1848"/>
    <w:rsid w:val="006C1C37"/>
    <w:rsid w:val="006C2099"/>
    <w:rsid w:val="006C21A4"/>
    <w:rsid w:val="006C220C"/>
    <w:rsid w:val="006C2376"/>
    <w:rsid w:val="006C242B"/>
    <w:rsid w:val="006C2556"/>
    <w:rsid w:val="006C2732"/>
    <w:rsid w:val="006C28B0"/>
    <w:rsid w:val="006C295E"/>
    <w:rsid w:val="006C2CEC"/>
    <w:rsid w:val="006C2EBE"/>
    <w:rsid w:val="006C3129"/>
    <w:rsid w:val="006C3166"/>
    <w:rsid w:val="006C354C"/>
    <w:rsid w:val="006C36F4"/>
    <w:rsid w:val="006C376A"/>
    <w:rsid w:val="006C37F5"/>
    <w:rsid w:val="006C38C8"/>
    <w:rsid w:val="006C3A9B"/>
    <w:rsid w:val="006C3B76"/>
    <w:rsid w:val="006C3CEE"/>
    <w:rsid w:val="006C3CFC"/>
    <w:rsid w:val="006C3EEC"/>
    <w:rsid w:val="006C4058"/>
    <w:rsid w:val="006C4572"/>
    <w:rsid w:val="006C47DB"/>
    <w:rsid w:val="006C49D0"/>
    <w:rsid w:val="006C4B85"/>
    <w:rsid w:val="006C50EC"/>
    <w:rsid w:val="006C5331"/>
    <w:rsid w:val="006C547B"/>
    <w:rsid w:val="006C5573"/>
    <w:rsid w:val="006C5B7E"/>
    <w:rsid w:val="006C5DC8"/>
    <w:rsid w:val="006C5F3A"/>
    <w:rsid w:val="006C5FC9"/>
    <w:rsid w:val="006C658A"/>
    <w:rsid w:val="006C6847"/>
    <w:rsid w:val="006C6959"/>
    <w:rsid w:val="006C6C1F"/>
    <w:rsid w:val="006C6E9E"/>
    <w:rsid w:val="006C70D1"/>
    <w:rsid w:val="006C7118"/>
    <w:rsid w:val="006C7184"/>
    <w:rsid w:val="006C72B9"/>
    <w:rsid w:val="006C73FF"/>
    <w:rsid w:val="006C788E"/>
    <w:rsid w:val="006C7B03"/>
    <w:rsid w:val="006C7B17"/>
    <w:rsid w:val="006C7C50"/>
    <w:rsid w:val="006D012F"/>
    <w:rsid w:val="006D0194"/>
    <w:rsid w:val="006D0892"/>
    <w:rsid w:val="006D08CD"/>
    <w:rsid w:val="006D0970"/>
    <w:rsid w:val="006D09C4"/>
    <w:rsid w:val="006D0AE2"/>
    <w:rsid w:val="006D0C4A"/>
    <w:rsid w:val="006D0EC2"/>
    <w:rsid w:val="006D100C"/>
    <w:rsid w:val="006D104E"/>
    <w:rsid w:val="006D1058"/>
    <w:rsid w:val="006D1067"/>
    <w:rsid w:val="006D121A"/>
    <w:rsid w:val="006D1296"/>
    <w:rsid w:val="006D12F1"/>
    <w:rsid w:val="006D168A"/>
    <w:rsid w:val="006D1A56"/>
    <w:rsid w:val="006D1BE6"/>
    <w:rsid w:val="006D221C"/>
    <w:rsid w:val="006D22FE"/>
    <w:rsid w:val="006D234E"/>
    <w:rsid w:val="006D24A3"/>
    <w:rsid w:val="006D27A8"/>
    <w:rsid w:val="006D280A"/>
    <w:rsid w:val="006D293D"/>
    <w:rsid w:val="006D2989"/>
    <w:rsid w:val="006D2C3E"/>
    <w:rsid w:val="006D2C76"/>
    <w:rsid w:val="006D2D9D"/>
    <w:rsid w:val="006D3070"/>
    <w:rsid w:val="006D30F9"/>
    <w:rsid w:val="006D330E"/>
    <w:rsid w:val="006D336D"/>
    <w:rsid w:val="006D3444"/>
    <w:rsid w:val="006D354B"/>
    <w:rsid w:val="006D3B5D"/>
    <w:rsid w:val="006D3F31"/>
    <w:rsid w:val="006D409F"/>
    <w:rsid w:val="006D4105"/>
    <w:rsid w:val="006D425E"/>
    <w:rsid w:val="006D459D"/>
    <w:rsid w:val="006D473D"/>
    <w:rsid w:val="006D4B66"/>
    <w:rsid w:val="006D4C72"/>
    <w:rsid w:val="006D4E4C"/>
    <w:rsid w:val="006D4FF8"/>
    <w:rsid w:val="006D537F"/>
    <w:rsid w:val="006D5425"/>
    <w:rsid w:val="006D5490"/>
    <w:rsid w:val="006D5585"/>
    <w:rsid w:val="006D5593"/>
    <w:rsid w:val="006D59BB"/>
    <w:rsid w:val="006D5CA3"/>
    <w:rsid w:val="006D5D33"/>
    <w:rsid w:val="006D5E03"/>
    <w:rsid w:val="006D5F76"/>
    <w:rsid w:val="006D608A"/>
    <w:rsid w:val="006D6118"/>
    <w:rsid w:val="006D619E"/>
    <w:rsid w:val="006D61B4"/>
    <w:rsid w:val="006D63B0"/>
    <w:rsid w:val="006D65C4"/>
    <w:rsid w:val="006D693C"/>
    <w:rsid w:val="006D6952"/>
    <w:rsid w:val="006D6A39"/>
    <w:rsid w:val="006D6CB6"/>
    <w:rsid w:val="006D6CD1"/>
    <w:rsid w:val="006D6CEB"/>
    <w:rsid w:val="006D6D96"/>
    <w:rsid w:val="006D6E2F"/>
    <w:rsid w:val="006D7211"/>
    <w:rsid w:val="006D7216"/>
    <w:rsid w:val="006D7283"/>
    <w:rsid w:val="006D73E9"/>
    <w:rsid w:val="006D75C8"/>
    <w:rsid w:val="006D77D4"/>
    <w:rsid w:val="006D7E93"/>
    <w:rsid w:val="006E02F7"/>
    <w:rsid w:val="006E041C"/>
    <w:rsid w:val="006E0900"/>
    <w:rsid w:val="006E0BF9"/>
    <w:rsid w:val="006E0D4A"/>
    <w:rsid w:val="006E0E38"/>
    <w:rsid w:val="006E0E53"/>
    <w:rsid w:val="006E0F48"/>
    <w:rsid w:val="006E103C"/>
    <w:rsid w:val="006E10C0"/>
    <w:rsid w:val="006E1102"/>
    <w:rsid w:val="006E1EA3"/>
    <w:rsid w:val="006E20B9"/>
    <w:rsid w:val="006E23B2"/>
    <w:rsid w:val="006E24CD"/>
    <w:rsid w:val="006E2635"/>
    <w:rsid w:val="006E2789"/>
    <w:rsid w:val="006E28C4"/>
    <w:rsid w:val="006E299E"/>
    <w:rsid w:val="006E2FB5"/>
    <w:rsid w:val="006E30FB"/>
    <w:rsid w:val="006E32BE"/>
    <w:rsid w:val="006E3BD1"/>
    <w:rsid w:val="006E403D"/>
    <w:rsid w:val="006E40BA"/>
    <w:rsid w:val="006E4194"/>
    <w:rsid w:val="006E42EA"/>
    <w:rsid w:val="006E4308"/>
    <w:rsid w:val="006E43BE"/>
    <w:rsid w:val="006E458B"/>
    <w:rsid w:val="006E4D39"/>
    <w:rsid w:val="006E504A"/>
    <w:rsid w:val="006E54AE"/>
    <w:rsid w:val="006E560E"/>
    <w:rsid w:val="006E561D"/>
    <w:rsid w:val="006E56D6"/>
    <w:rsid w:val="006E58E7"/>
    <w:rsid w:val="006E5BD5"/>
    <w:rsid w:val="006E634A"/>
    <w:rsid w:val="006E6413"/>
    <w:rsid w:val="006E6436"/>
    <w:rsid w:val="006E6820"/>
    <w:rsid w:val="006E6BB0"/>
    <w:rsid w:val="006E70C1"/>
    <w:rsid w:val="006E7179"/>
    <w:rsid w:val="006E7348"/>
    <w:rsid w:val="006E78D5"/>
    <w:rsid w:val="006E7AB4"/>
    <w:rsid w:val="006E7BC0"/>
    <w:rsid w:val="006E7E2B"/>
    <w:rsid w:val="006E7F28"/>
    <w:rsid w:val="006F093A"/>
    <w:rsid w:val="006F0CE5"/>
    <w:rsid w:val="006F0CEA"/>
    <w:rsid w:val="006F0D1A"/>
    <w:rsid w:val="006F0D46"/>
    <w:rsid w:val="006F0E1D"/>
    <w:rsid w:val="006F1099"/>
    <w:rsid w:val="006F11C7"/>
    <w:rsid w:val="006F12DF"/>
    <w:rsid w:val="006F14A9"/>
    <w:rsid w:val="006F1666"/>
    <w:rsid w:val="006F16FA"/>
    <w:rsid w:val="006F1830"/>
    <w:rsid w:val="006F18F5"/>
    <w:rsid w:val="006F1A2C"/>
    <w:rsid w:val="006F1A82"/>
    <w:rsid w:val="006F1AED"/>
    <w:rsid w:val="006F1BC1"/>
    <w:rsid w:val="006F1E20"/>
    <w:rsid w:val="006F1F32"/>
    <w:rsid w:val="006F200C"/>
    <w:rsid w:val="006F2299"/>
    <w:rsid w:val="006F23DD"/>
    <w:rsid w:val="006F2470"/>
    <w:rsid w:val="006F2718"/>
    <w:rsid w:val="006F2A56"/>
    <w:rsid w:val="006F2AAE"/>
    <w:rsid w:val="006F2F80"/>
    <w:rsid w:val="006F3558"/>
    <w:rsid w:val="006F357B"/>
    <w:rsid w:val="006F363A"/>
    <w:rsid w:val="006F380A"/>
    <w:rsid w:val="006F3830"/>
    <w:rsid w:val="006F3916"/>
    <w:rsid w:val="006F3A28"/>
    <w:rsid w:val="006F3AA2"/>
    <w:rsid w:val="006F3D49"/>
    <w:rsid w:val="006F3E9C"/>
    <w:rsid w:val="006F433A"/>
    <w:rsid w:val="006F434D"/>
    <w:rsid w:val="006F4549"/>
    <w:rsid w:val="006F4E75"/>
    <w:rsid w:val="006F501D"/>
    <w:rsid w:val="006F5151"/>
    <w:rsid w:val="006F5158"/>
    <w:rsid w:val="006F53C3"/>
    <w:rsid w:val="006F549B"/>
    <w:rsid w:val="006F5687"/>
    <w:rsid w:val="006F58B4"/>
    <w:rsid w:val="006F5BEE"/>
    <w:rsid w:val="006F5D6C"/>
    <w:rsid w:val="006F6004"/>
    <w:rsid w:val="006F61DC"/>
    <w:rsid w:val="006F6210"/>
    <w:rsid w:val="006F6276"/>
    <w:rsid w:val="006F645E"/>
    <w:rsid w:val="006F64B1"/>
    <w:rsid w:val="006F6D8F"/>
    <w:rsid w:val="006F72BF"/>
    <w:rsid w:val="006F75D7"/>
    <w:rsid w:val="006F7633"/>
    <w:rsid w:val="006F7731"/>
    <w:rsid w:val="006F77AF"/>
    <w:rsid w:val="006F78CF"/>
    <w:rsid w:val="006F793F"/>
    <w:rsid w:val="006F7AB2"/>
    <w:rsid w:val="006F7C5B"/>
    <w:rsid w:val="006F7C70"/>
    <w:rsid w:val="00700339"/>
    <w:rsid w:val="0070073E"/>
    <w:rsid w:val="00700950"/>
    <w:rsid w:val="00700BA4"/>
    <w:rsid w:val="00700F60"/>
    <w:rsid w:val="00701136"/>
    <w:rsid w:val="00701151"/>
    <w:rsid w:val="00701385"/>
    <w:rsid w:val="007018E9"/>
    <w:rsid w:val="007019FE"/>
    <w:rsid w:val="00701AD2"/>
    <w:rsid w:val="00701D0B"/>
    <w:rsid w:val="00701E36"/>
    <w:rsid w:val="007020FF"/>
    <w:rsid w:val="00702180"/>
    <w:rsid w:val="0070279D"/>
    <w:rsid w:val="007027B1"/>
    <w:rsid w:val="007027E1"/>
    <w:rsid w:val="0070283A"/>
    <w:rsid w:val="00702B26"/>
    <w:rsid w:val="00702C79"/>
    <w:rsid w:val="00702D48"/>
    <w:rsid w:val="00702EB1"/>
    <w:rsid w:val="0070319A"/>
    <w:rsid w:val="0070340D"/>
    <w:rsid w:val="00703569"/>
    <w:rsid w:val="00703774"/>
    <w:rsid w:val="007038D7"/>
    <w:rsid w:val="007039F7"/>
    <w:rsid w:val="00703A40"/>
    <w:rsid w:val="00703A8E"/>
    <w:rsid w:val="00703CB4"/>
    <w:rsid w:val="00703E04"/>
    <w:rsid w:val="00703E7B"/>
    <w:rsid w:val="007043AD"/>
    <w:rsid w:val="00704643"/>
    <w:rsid w:val="007047B9"/>
    <w:rsid w:val="00704ADF"/>
    <w:rsid w:val="00704E1E"/>
    <w:rsid w:val="00704F10"/>
    <w:rsid w:val="00704FC4"/>
    <w:rsid w:val="00705428"/>
    <w:rsid w:val="007057D0"/>
    <w:rsid w:val="007059B1"/>
    <w:rsid w:val="00705ABC"/>
    <w:rsid w:val="0070618A"/>
    <w:rsid w:val="0070619F"/>
    <w:rsid w:val="00706253"/>
    <w:rsid w:val="0070641A"/>
    <w:rsid w:val="00706494"/>
    <w:rsid w:val="0070654A"/>
    <w:rsid w:val="0070663E"/>
    <w:rsid w:val="00706792"/>
    <w:rsid w:val="00706AD1"/>
    <w:rsid w:val="00706E3A"/>
    <w:rsid w:val="00706FEF"/>
    <w:rsid w:val="007070BB"/>
    <w:rsid w:val="007074D0"/>
    <w:rsid w:val="007074F8"/>
    <w:rsid w:val="00707777"/>
    <w:rsid w:val="00707983"/>
    <w:rsid w:val="00707BF0"/>
    <w:rsid w:val="00707C18"/>
    <w:rsid w:val="00710141"/>
    <w:rsid w:val="007101A2"/>
    <w:rsid w:val="007102E2"/>
    <w:rsid w:val="007103A9"/>
    <w:rsid w:val="00710485"/>
    <w:rsid w:val="0071049F"/>
    <w:rsid w:val="0071077B"/>
    <w:rsid w:val="007108FA"/>
    <w:rsid w:val="00710B06"/>
    <w:rsid w:val="00710E85"/>
    <w:rsid w:val="00710ECC"/>
    <w:rsid w:val="0071103A"/>
    <w:rsid w:val="00711537"/>
    <w:rsid w:val="007115CA"/>
    <w:rsid w:val="007117E0"/>
    <w:rsid w:val="0071183B"/>
    <w:rsid w:val="00711A81"/>
    <w:rsid w:val="00711C83"/>
    <w:rsid w:val="00711CC6"/>
    <w:rsid w:val="00712261"/>
    <w:rsid w:val="007123B0"/>
    <w:rsid w:val="00712485"/>
    <w:rsid w:val="00712505"/>
    <w:rsid w:val="00712771"/>
    <w:rsid w:val="00712810"/>
    <w:rsid w:val="007128ED"/>
    <w:rsid w:val="0071294A"/>
    <w:rsid w:val="00712A2D"/>
    <w:rsid w:val="00712C0D"/>
    <w:rsid w:val="007130D5"/>
    <w:rsid w:val="007134B7"/>
    <w:rsid w:val="00713548"/>
    <w:rsid w:val="00713589"/>
    <w:rsid w:val="00713A37"/>
    <w:rsid w:val="00713D14"/>
    <w:rsid w:val="00713E14"/>
    <w:rsid w:val="00714749"/>
    <w:rsid w:val="00715068"/>
    <w:rsid w:val="0071519B"/>
    <w:rsid w:val="007157DC"/>
    <w:rsid w:val="00715CBC"/>
    <w:rsid w:val="00715CC9"/>
    <w:rsid w:val="007161EF"/>
    <w:rsid w:val="007164F7"/>
    <w:rsid w:val="007165A7"/>
    <w:rsid w:val="00716658"/>
    <w:rsid w:val="00716754"/>
    <w:rsid w:val="0071685B"/>
    <w:rsid w:val="007168D5"/>
    <w:rsid w:val="00716AD2"/>
    <w:rsid w:val="00716E17"/>
    <w:rsid w:val="007170A2"/>
    <w:rsid w:val="0071721A"/>
    <w:rsid w:val="007172B9"/>
    <w:rsid w:val="00717CEB"/>
    <w:rsid w:val="007200BF"/>
    <w:rsid w:val="00720144"/>
    <w:rsid w:val="007203CA"/>
    <w:rsid w:val="00720638"/>
    <w:rsid w:val="007206FB"/>
    <w:rsid w:val="0072093F"/>
    <w:rsid w:val="00720964"/>
    <w:rsid w:val="007209AA"/>
    <w:rsid w:val="007209B9"/>
    <w:rsid w:val="00720CA7"/>
    <w:rsid w:val="00720DAF"/>
    <w:rsid w:val="00720E6C"/>
    <w:rsid w:val="007210FE"/>
    <w:rsid w:val="00721257"/>
    <w:rsid w:val="0072127E"/>
    <w:rsid w:val="007213D5"/>
    <w:rsid w:val="0072140D"/>
    <w:rsid w:val="007214B9"/>
    <w:rsid w:val="0072185A"/>
    <w:rsid w:val="00721995"/>
    <w:rsid w:val="00721D92"/>
    <w:rsid w:val="007221E5"/>
    <w:rsid w:val="007224B7"/>
    <w:rsid w:val="00722637"/>
    <w:rsid w:val="007226F5"/>
    <w:rsid w:val="007227BC"/>
    <w:rsid w:val="00722868"/>
    <w:rsid w:val="00722951"/>
    <w:rsid w:val="00722D76"/>
    <w:rsid w:val="00722D77"/>
    <w:rsid w:val="00722D7E"/>
    <w:rsid w:val="0072305A"/>
    <w:rsid w:val="00723199"/>
    <w:rsid w:val="00723287"/>
    <w:rsid w:val="00723292"/>
    <w:rsid w:val="0072341A"/>
    <w:rsid w:val="00723752"/>
    <w:rsid w:val="00723B2C"/>
    <w:rsid w:val="00723B4A"/>
    <w:rsid w:val="00723D21"/>
    <w:rsid w:val="00723D40"/>
    <w:rsid w:val="00723DB3"/>
    <w:rsid w:val="00723EFC"/>
    <w:rsid w:val="00723FDB"/>
    <w:rsid w:val="00724067"/>
    <w:rsid w:val="007240EB"/>
    <w:rsid w:val="00724286"/>
    <w:rsid w:val="00724610"/>
    <w:rsid w:val="007246C8"/>
    <w:rsid w:val="00724BB9"/>
    <w:rsid w:val="00724E6C"/>
    <w:rsid w:val="00724ED0"/>
    <w:rsid w:val="00724EE0"/>
    <w:rsid w:val="00724F92"/>
    <w:rsid w:val="00725037"/>
    <w:rsid w:val="0072512D"/>
    <w:rsid w:val="007251BA"/>
    <w:rsid w:val="007251E5"/>
    <w:rsid w:val="007253D6"/>
    <w:rsid w:val="007256BE"/>
    <w:rsid w:val="007256CD"/>
    <w:rsid w:val="0072578A"/>
    <w:rsid w:val="0072597A"/>
    <w:rsid w:val="00725A39"/>
    <w:rsid w:val="00725E6C"/>
    <w:rsid w:val="00725EAE"/>
    <w:rsid w:val="00725F2E"/>
    <w:rsid w:val="00725F30"/>
    <w:rsid w:val="007262D5"/>
    <w:rsid w:val="007262FA"/>
    <w:rsid w:val="007263D4"/>
    <w:rsid w:val="00726412"/>
    <w:rsid w:val="0072652E"/>
    <w:rsid w:val="007267AE"/>
    <w:rsid w:val="00726A11"/>
    <w:rsid w:val="00726A79"/>
    <w:rsid w:val="00726B1E"/>
    <w:rsid w:val="0072713C"/>
    <w:rsid w:val="007271BA"/>
    <w:rsid w:val="0072727B"/>
    <w:rsid w:val="0072729C"/>
    <w:rsid w:val="007272DE"/>
    <w:rsid w:val="007277FA"/>
    <w:rsid w:val="0072785A"/>
    <w:rsid w:val="00727A28"/>
    <w:rsid w:val="00727AB0"/>
    <w:rsid w:val="00727CD6"/>
    <w:rsid w:val="00727ECA"/>
    <w:rsid w:val="00727EF9"/>
    <w:rsid w:val="00730222"/>
    <w:rsid w:val="00730527"/>
    <w:rsid w:val="00730637"/>
    <w:rsid w:val="007308D7"/>
    <w:rsid w:val="00730DC2"/>
    <w:rsid w:val="00730F39"/>
    <w:rsid w:val="00731871"/>
    <w:rsid w:val="007319E5"/>
    <w:rsid w:val="00731A71"/>
    <w:rsid w:val="00731AB4"/>
    <w:rsid w:val="00731CFE"/>
    <w:rsid w:val="00731EC0"/>
    <w:rsid w:val="00731F27"/>
    <w:rsid w:val="00731F53"/>
    <w:rsid w:val="0073238F"/>
    <w:rsid w:val="0073241E"/>
    <w:rsid w:val="0073276D"/>
    <w:rsid w:val="0073290E"/>
    <w:rsid w:val="0073325D"/>
    <w:rsid w:val="007337BF"/>
    <w:rsid w:val="0073386F"/>
    <w:rsid w:val="00733A09"/>
    <w:rsid w:val="00733B11"/>
    <w:rsid w:val="00733BE8"/>
    <w:rsid w:val="00733C34"/>
    <w:rsid w:val="0073430D"/>
    <w:rsid w:val="0073467C"/>
    <w:rsid w:val="007347DC"/>
    <w:rsid w:val="00734955"/>
    <w:rsid w:val="00734A7D"/>
    <w:rsid w:val="00734AF1"/>
    <w:rsid w:val="00734CC9"/>
    <w:rsid w:val="00734D1A"/>
    <w:rsid w:val="00735049"/>
    <w:rsid w:val="0073513F"/>
    <w:rsid w:val="00735626"/>
    <w:rsid w:val="00735721"/>
    <w:rsid w:val="007359E4"/>
    <w:rsid w:val="00735B00"/>
    <w:rsid w:val="00735C4E"/>
    <w:rsid w:val="00735DE4"/>
    <w:rsid w:val="0073616B"/>
    <w:rsid w:val="0073625A"/>
    <w:rsid w:val="00736261"/>
    <w:rsid w:val="00736452"/>
    <w:rsid w:val="007367A1"/>
    <w:rsid w:val="0073692C"/>
    <w:rsid w:val="00736ABE"/>
    <w:rsid w:val="00736AFC"/>
    <w:rsid w:val="00736BF5"/>
    <w:rsid w:val="00736DF8"/>
    <w:rsid w:val="00736E33"/>
    <w:rsid w:val="007370A7"/>
    <w:rsid w:val="00737165"/>
    <w:rsid w:val="00737269"/>
    <w:rsid w:val="007377F4"/>
    <w:rsid w:val="0073792C"/>
    <w:rsid w:val="00737FB1"/>
    <w:rsid w:val="00737FC5"/>
    <w:rsid w:val="00740047"/>
    <w:rsid w:val="0074017D"/>
    <w:rsid w:val="007402C0"/>
    <w:rsid w:val="007403C5"/>
    <w:rsid w:val="007403DA"/>
    <w:rsid w:val="007405EB"/>
    <w:rsid w:val="00740735"/>
    <w:rsid w:val="00740AE8"/>
    <w:rsid w:val="007411CA"/>
    <w:rsid w:val="0074123C"/>
    <w:rsid w:val="0074199C"/>
    <w:rsid w:val="00741B24"/>
    <w:rsid w:val="00741C8D"/>
    <w:rsid w:val="00741CF7"/>
    <w:rsid w:val="00741F0B"/>
    <w:rsid w:val="007421B3"/>
    <w:rsid w:val="0074257A"/>
    <w:rsid w:val="00742670"/>
    <w:rsid w:val="00742F42"/>
    <w:rsid w:val="007437ED"/>
    <w:rsid w:val="007438D3"/>
    <w:rsid w:val="00743AEB"/>
    <w:rsid w:val="00743E2C"/>
    <w:rsid w:val="00743E59"/>
    <w:rsid w:val="00743F6A"/>
    <w:rsid w:val="007441BA"/>
    <w:rsid w:val="00744266"/>
    <w:rsid w:val="007442C6"/>
    <w:rsid w:val="00744422"/>
    <w:rsid w:val="0074443E"/>
    <w:rsid w:val="00744482"/>
    <w:rsid w:val="0074485F"/>
    <w:rsid w:val="00744868"/>
    <w:rsid w:val="0074497F"/>
    <w:rsid w:val="00744AC3"/>
    <w:rsid w:val="007458B9"/>
    <w:rsid w:val="0074597C"/>
    <w:rsid w:val="00745A9F"/>
    <w:rsid w:val="00745DDC"/>
    <w:rsid w:val="00745F7E"/>
    <w:rsid w:val="0074647D"/>
    <w:rsid w:val="00746565"/>
    <w:rsid w:val="00746891"/>
    <w:rsid w:val="00746B39"/>
    <w:rsid w:val="00746C1D"/>
    <w:rsid w:val="00746C5C"/>
    <w:rsid w:val="00746DEC"/>
    <w:rsid w:val="00746EFD"/>
    <w:rsid w:val="00747076"/>
    <w:rsid w:val="0074737D"/>
    <w:rsid w:val="0074742D"/>
    <w:rsid w:val="00747434"/>
    <w:rsid w:val="00747522"/>
    <w:rsid w:val="0074788B"/>
    <w:rsid w:val="00747C66"/>
    <w:rsid w:val="007500CE"/>
    <w:rsid w:val="007500F2"/>
    <w:rsid w:val="007504A2"/>
    <w:rsid w:val="007505E4"/>
    <w:rsid w:val="0075083D"/>
    <w:rsid w:val="00750AF4"/>
    <w:rsid w:val="00750FA6"/>
    <w:rsid w:val="00751153"/>
    <w:rsid w:val="0075137C"/>
    <w:rsid w:val="00751402"/>
    <w:rsid w:val="0075140D"/>
    <w:rsid w:val="0075172C"/>
    <w:rsid w:val="0075178C"/>
    <w:rsid w:val="00751AE4"/>
    <w:rsid w:val="00751F83"/>
    <w:rsid w:val="007521B5"/>
    <w:rsid w:val="007522FC"/>
    <w:rsid w:val="00752346"/>
    <w:rsid w:val="00752445"/>
    <w:rsid w:val="00752647"/>
    <w:rsid w:val="007527DD"/>
    <w:rsid w:val="00752C0B"/>
    <w:rsid w:val="00752D69"/>
    <w:rsid w:val="00752E1C"/>
    <w:rsid w:val="00752EDE"/>
    <w:rsid w:val="007534A0"/>
    <w:rsid w:val="00753515"/>
    <w:rsid w:val="0075374C"/>
    <w:rsid w:val="007538C3"/>
    <w:rsid w:val="00753A21"/>
    <w:rsid w:val="00753C6A"/>
    <w:rsid w:val="00753DDA"/>
    <w:rsid w:val="00754099"/>
    <w:rsid w:val="00754132"/>
    <w:rsid w:val="0075418A"/>
    <w:rsid w:val="00754669"/>
    <w:rsid w:val="007546FE"/>
    <w:rsid w:val="007547AE"/>
    <w:rsid w:val="00754921"/>
    <w:rsid w:val="007549E7"/>
    <w:rsid w:val="00754CBD"/>
    <w:rsid w:val="007551AD"/>
    <w:rsid w:val="00755326"/>
    <w:rsid w:val="00755662"/>
    <w:rsid w:val="00755679"/>
    <w:rsid w:val="007558DA"/>
    <w:rsid w:val="00755C91"/>
    <w:rsid w:val="0075615F"/>
    <w:rsid w:val="00756363"/>
    <w:rsid w:val="00756466"/>
    <w:rsid w:val="00756676"/>
    <w:rsid w:val="00756856"/>
    <w:rsid w:val="00757142"/>
    <w:rsid w:val="007571A3"/>
    <w:rsid w:val="007573E3"/>
    <w:rsid w:val="00757489"/>
    <w:rsid w:val="00757823"/>
    <w:rsid w:val="007579A0"/>
    <w:rsid w:val="00757BC0"/>
    <w:rsid w:val="00757BEC"/>
    <w:rsid w:val="00757F4E"/>
    <w:rsid w:val="00760169"/>
    <w:rsid w:val="00760200"/>
    <w:rsid w:val="007602E5"/>
    <w:rsid w:val="00760353"/>
    <w:rsid w:val="007608B6"/>
    <w:rsid w:val="00760F08"/>
    <w:rsid w:val="0076108D"/>
    <w:rsid w:val="00761272"/>
    <w:rsid w:val="007615E6"/>
    <w:rsid w:val="00761710"/>
    <w:rsid w:val="00761773"/>
    <w:rsid w:val="007617D4"/>
    <w:rsid w:val="00761847"/>
    <w:rsid w:val="0076192B"/>
    <w:rsid w:val="00761C8B"/>
    <w:rsid w:val="00761D6F"/>
    <w:rsid w:val="00761DCA"/>
    <w:rsid w:val="007621B4"/>
    <w:rsid w:val="0076241F"/>
    <w:rsid w:val="0076260D"/>
    <w:rsid w:val="007628FD"/>
    <w:rsid w:val="00762A24"/>
    <w:rsid w:val="00762BF7"/>
    <w:rsid w:val="00762F05"/>
    <w:rsid w:val="00762F2C"/>
    <w:rsid w:val="00763269"/>
    <w:rsid w:val="00763381"/>
    <w:rsid w:val="00763479"/>
    <w:rsid w:val="00763662"/>
    <w:rsid w:val="0076366C"/>
    <w:rsid w:val="00763716"/>
    <w:rsid w:val="00763A4C"/>
    <w:rsid w:val="00763B77"/>
    <w:rsid w:val="00763C7D"/>
    <w:rsid w:val="00764151"/>
    <w:rsid w:val="007642CC"/>
    <w:rsid w:val="007645C8"/>
    <w:rsid w:val="00764981"/>
    <w:rsid w:val="00764B30"/>
    <w:rsid w:val="00764C59"/>
    <w:rsid w:val="00764D71"/>
    <w:rsid w:val="0076512C"/>
    <w:rsid w:val="007651FA"/>
    <w:rsid w:val="007653DA"/>
    <w:rsid w:val="0076556B"/>
    <w:rsid w:val="00765648"/>
    <w:rsid w:val="00765AEA"/>
    <w:rsid w:val="00766677"/>
    <w:rsid w:val="007668ED"/>
    <w:rsid w:val="00766B3F"/>
    <w:rsid w:val="00766DA9"/>
    <w:rsid w:val="00766F75"/>
    <w:rsid w:val="0076702C"/>
    <w:rsid w:val="00767183"/>
    <w:rsid w:val="00767866"/>
    <w:rsid w:val="00767F6C"/>
    <w:rsid w:val="007700BD"/>
    <w:rsid w:val="00770158"/>
    <w:rsid w:val="007701DA"/>
    <w:rsid w:val="0077057E"/>
    <w:rsid w:val="007706A0"/>
    <w:rsid w:val="0077089F"/>
    <w:rsid w:val="007709EF"/>
    <w:rsid w:val="00770CC3"/>
    <w:rsid w:val="00770F3C"/>
    <w:rsid w:val="007710DD"/>
    <w:rsid w:val="00771880"/>
    <w:rsid w:val="00771CE0"/>
    <w:rsid w:val="00771D94"/>
    <w:rsid w:val="00771DF4"/>
    <w:rsid w:val="00771EC7"/>
    <w:rsid w:val="00772143"/>
    <w:rsid w:val="00772256"/>
    <w:rsid w:val="007724D5"/>
    <w:rsid w:val="0077261F"/>
    <w:rsid w:val="00772723"/>
    <w:rsid w:val="00772829"/>
    <w:rsid w:val="007728B3"/>
    <w:rsid w:val="00772CFB"/>
    <w:rsid w:val="00772D39"/>
    <w:rsid w:val="00772DEA"/>
    <w:rsid w:val="00772FC2"/>
    <w:rsid w:val="00772FD8"/>
    <w:rsid w:val="00773265"/>
    <w:rsid w:val="007735C5"/>
    <w:rsid w:val="007737B4"/>
    <w:rsid w:val="00773A2D"/>
    <w:rsid w:val="00773B49"/>
    <w:rsid w:val="00773B55"/>
    <w:rsid w:val="00773C4F"/>
    <w:rsid w:val="00773D7E"/>
    <w:rsid w:val="00773D9B"/>
    <w:rsid w:val="00774153"/>
    <w:rsid w:val="007742E2"/>
    <w:rsid w:val="007743BE"/>
    <w:rsid w:val="00774731"/>
    <w:rsid w:val="007748E3"/>
    <w:rsid w:val="00774961"/>
    <w:rsid w:val="0077497E"/>
    <w:rsid w:val="00774AD7"/>
    <w:rsid w:val="00774B0A"/>
    <w:rsid w:val="00774D5F"/>
    <w:rsid w:val="00774DEF"/>
    <w:rsid w:val="00774E54"/>
    <w:rsid w:val="00774EC6"/>
    <w:rsid w:val="007750D5"/>
    <w:rsid w:val="00775317"/>
    <w:rsid w:val="007755CD"/>
    <w:rsid w:val="00775AD4"/>
    <w:rsid w:val="00775B92"/>
    <w:rsid w:val="00775BF0"/>
    <w:rsid w:val="00775C2A"/>
    <w:rsid w:val="00775E16"/>
    <w:rsid w:val="00775ECD"/>
    <w:rsid w:val="00775EE6"/>
    <w:rsid w:val="00776401"/>
    <w:rsid w:val="007764EA"/>
    <w:rsid w:val="00776615"/>
    <w:rsid w:val="00776641"/>
    <w:rsid w:val="00776A44"/>
    <w:rsid w:val="00776C0B"/>
    <w:rsid w:val="00776CC5"/>
    <w:rsid w:val="00776E98"/>
    <w:rsid w:val="00776F46"/>
    <w:rsid w:val="00777358"/>
    <w:rsid w:val="007773C0"/>
    <w:rsid w:val="007774D0"/>
    <w:rsid w:val="00777848"/>
    <w:rsid w:val="00777893"/>
    <w:rsid w:val="00777A58"/>
    <w:rsid w:val="00777AEF"/>
    <w:rsid w:val="00777C83"/>
    <w:rsid w:val="00777F4A"/>
    <w:rsid w:val="0078038F"/>
    <w:rsid w:val="007807AC"/>
    <w:rsid w:val="00780A78"/>
    <w:rsid w:val="00780B4D"/>
    <w:rsid w:val="00780F20"/>
    <w:rsid w:val="00781100"/>
    <w:rsid w:val="0078139C"/>
    <w:rsid w:val="00781409"/>
    <w:rsid w:val="0078148A"/>
    <w:rsid w:val="00781583"/>
    <w:rsid w:val="007816BB"/>
    <w:rsid w:val="007816D8"/>
    <w:rsid w:val="00781926"/>
    <w:rsid w:val="00781940"/>
    <w:rsid w:val="00781FE3"/>
    <w:rsid w:val="00782236"/>
    <w:rsid w:val="00782239"/>
    <w:rsid w:val="007824AD"/>
    <w:rsid w:val="00782594"/>
    <w:rsid w:val="0078263D"/>
    <w:rsid w:val="007827EF"/>
    <w:rsid w:val="00782852"/>
    <w:rsid w:val="00783320"/>
    <w:rsid w:val="007836F9"/>
    <w:rsid w:val="007837FC"/>
    <w:rsid w:val="00783951"/>
    <w:rsid w:val="00783CAA"/>
    <w:rsid w:val="00783F00"/>
    <w:rsid w:val="007842D1"/>
    <w:rsid w:val="00784341"/>
    <w:rsid w:val="007843DE"/>
    <w:rsid w:val="007846D4"/>
    <w:rsid w:val="0078476A"/>
    <w:rsid w:val="007847E3"/>
    <w:rsid w:val="00784B00"/>
    <w:rsid w:val="00784D33"/>
    <w:rsid w:val="00784F11"/>
    <w:rsid w:val="0078518E"/>
    <w:rsid w:val="00785230"/>
    <w:rsid w:val="007852E9"/>
    <w:rsid w:val="0078548F"/>
    <w:rsid w:val="00785531"/>
    <w:rsid w:val="00785721"/>
    <w:rsid w:val="007858B1"/>
    <w:rsid w:val="007858BA"/>
    <w:rsid w:val="00785A81"/>
    <w:rsid w:val="00785AB8"/>
    <w:rsid w:val="00785C4F"/>
    <w:rsid w:val="0078610A"/>
    <w:rsid w:val="00786145"/>
    <w:rsid w:val="00786491"/>
    <w:rsid w:val="0078651D"/>
    <w:rsid w:val="00786934"/>
    <w:rsid w:val="007869DC"/>
    <w:rsid w:val="00786A0A"/>
    <w:rsid w:val="00786A79"/>
    <w:rsid w:val="00786CCA"/>
    <w:rsid w:val="00786E4F"/>
    <w:rsid w:val="0078722F"/>
    <w:rsid w:val="00787535"/>
    <w:rsid w:val="007879AD"/>
    <w:rsid w:val="00787D09"/>
    <w:rsid w:val="00787F31"/>
    <w:rsid w:val="00787FE1"/>
    <w:rsid w:val="007904A1"/>
    <w:rsid w:val="0079053F"/>
    <w:rsid w:val="00790A38"/>
    <w:rsid w:val="00790B15"/>
    <w:rsid w:val="00790B42"/>
    <w:rsid w:val="00790F49"/>
    <w:rsid w:val="007910D8"/>
    <w:rsid w:val="007912AF"/>
    <w:rsid w:val="00791306"/>
    <w:rsid w:val="00791442"/>
    <w:rsid w:val="00791B42"/>
    <w:rsid w:val="00791CB8"/>
    <w:rsid w:val="00791DCE"/>
    <w:rsid w:val="00792623"/>
    <w:rsid w:val="007926C3"/>
    <w:rsid w:val="00792A87"/>
    <w:rsid w:val="00792CAE"/>
    <w:rsid w:val="007931CB"/>
    <w:rsid w:val="00793417"/>
    <w:rsid w:val="0079367A"/>
    <w:rsid w:val="00793A8D"/>
    <w:rsid w:val="00793B46"/>
    <w:rsid w:val="00793BAF"/>
    <w:rsid w:val="00793BDC"/>
    <w:rsid w:val="00793F50"/>
    <w:rsid w:val="007942FA"/>
    <w:rsid w:val="00794493"/>
    <w:rsid w:val="007944E7"/>
    <w:rsid w:val="007945FC"/>
    <w:rsid w:val="00794DB4"/>
    <w:rsid w:val="00794F8B"/>
    <w:rsid w:val="007951D4"/>
    <w:rsid w:val="007955B4"/>
    <w:rsid w:val="007955BA"/>
    <w:rsid w:val="007956DC"/>
    <w:rsid w:val="00795A12"/>
    <w:rsid w:val="00795B7E"/>
    <w:rsid w:val="007960AE"/>
    <w:rsid w:val="00796162"/>
    <w:rsid w:val="007961C5"/>
    <w:rsid w:val="00796382"/>
    <w:rsid w:val="0079658B"/>
    <w:rsid w:val="007965DE"/>
    <w:rsid w:val="007967B9"/>
    <w:rsid w:val="00796B4C"/>
    <w:rsid w:val="00796B5C"/>
    <w:rsid w:val="00796BA1"/>
    <w:rsid w:val="00796E69"/>
    <w:rsid w:val="00796FE8"/>
    <w:rsid w:val="00797081"/>
    <w:rsid w:val="007970D4"/>
    <w:rsid w:val="00797228"/>
    <w:rsid w:val="00797237"/>
    <w:rsid w:val="007973E6"/>
    <w:rsid w:val="0079795E"/>
    <w:rsid w:val="00797B9C"/>
    <w:rsid w:val="00797C46"/>
    <w:rsid w:val="007A0078"/>
    <w:rsid w:val="007A030D"/>
    <w:rsid w:val="007A0579"/>
    <w:rsid w:val="007A0723"/>
    <w:rsid w:val="007A0919"/>
    <w:rsid w:val="007A0D68"/>
    <w:rsid w:val="007A0D79"/>
    <w:rsid w:val="007A0F48"/>
    <w:rsid w:val="007A10BA"/>
    <w:rsid w:val="007A112C"/>
    <w:rsid w:val="007A17DB"/>
    <w:rsid w:val="007A19F6"/>
    <w:rsid w:val="007A1DEA"/>
    <w:rsid w:val="007A1F7C"/>
    <w:rsid w:val="007A21A8"/>
    <w:rsid w:val="007A262D"/>
    <w:rsid w:val="007A26BA"/>
    <w:rsid w:val="007A28CA"/>
    <w:rsid w:val="007A2998"/>
    <w:rsid w:val="007A2B65"/>
    <w:rsid w:val="007A2E35"/>
    <w:rsid w:val="007A2FC0"/>
    <w:rsid w:val="007A300C"/>
    <w:rsid w:val="007A3352"/>
    <w:rsid w:val="007A3492"/>
    <w:rsid w:val="007A3619"/>
    <w:rsid w:val="007A36ED"/>
    <w:rsid w:val="007A3D89"/>
    <w:rsid w:val="007A3F0F"/>
    <w:rsid w:val="007A3F73"/>
    <w:rsid w:val="007A40A2"/>
    <w:rsid w:val="007A42B3"/>
    <w:rsid w:val="007A4485"/>
    <w:rsid w:val="007A475C"/>
    <w:rsid w:val="007A4BCF"/>
    <w:rsid w:val="007A4E9C"/>
    <w:rsid w:val="007A4FCB"/>
    <w:rsid w:val="007A5009"/>
    <w:rsid w:val="007A502B"/>
    <w:rsid w:val="007A5581"/>
    <w:rsid w:val="007A5617"/>
    <w:rsid w:val="007A5D62"/>
    <w:rsid w:val="007A5DB5"/>
    <w:rsid w:val="007A64FE"/>
    <w:rsid w:val="007A65F5"/>
    <w:rsid w:val="007A6742"/>
    <w:rsid w:val="007A683E"/>
    <w:rsid w:val="007A7125"/>
    <w:rsid w:val="007A72EF"/>
    <w:rsid w:val="007A79C8"/>
    <w:rsid w:val="007A7B73"/>
    <w:rsid w:val="007A7E39"/>
    <w:rsid w:val="007A7E7B"/>
    <w:rsid w:val="007B013A"/>
    <w:rsid w:val="007B0245"/>
    <w:rsid w:val="007B044A"/>
    <w:rsid w:val="007B07DB"/>
    <w:rsid w:val="007B083F"/>
    <w:rsid w:val="007B0880"/>
    <w:rsid w:val="007B0A6B"/>
    <w:rsid w:val="007B0C04"/>
    <w:rsid w:val="007B0D01"/>
    <w:rsid w:val="007B0D6A"/>
    <w:rsid w:val="007B1044"/>
    <w:rsid w:val="007B127D"/>
    <w:rsid w:val="007B1362"/>
    <w:rsid w:val="007B15F6"/>
    <w:rsid w:val="007B1BD8"/>
    <w:rsid w:val="007B1DBC"/>
    <w:rsid w:val="007B2039"/>
    <w:rsid w:val="007B2085"/>
    <w:rsid w:val="007B213B"/>
    <w:rsid w:val="007B2364"/>
    <w:rsid w:val="007B265D"/>
    <w:rsid w:val="007B2745"/>
    <w:rsid w:val="007B27C7"/>
    <w:rsid w:val="007B27E8"/>
    <w:rsid w:val="007B2AD2"/>
    <w:rsid w:val="007B2DEB"/>
    <w:rsid w:val="007B2E17"/>
    <w:rsid w:val="007B2E45"/>
    <w:rsid w:val="007B2FDC"/>
    <w:rsid w:val="007B343D"/>
    <w:rsid w:val="007B38A0"/>
    <w:rsid w:val="007B38B7"/>
    <w:rsid w:val="007B3ABB"/>
    <w:rsid w:val="007B3C00"/>
    <w:rsid w:val="007B3E2F"/>
    <w:rsid w:val="007B3F6F"/>
    <w:rsid w:val="007B3F77"/>
    <w:rsid w:val="007B4239"/>
    <w:rsid w:val="007B441D"/>
    <w:rsid w:val="007B4685"/>
    <w:rsid w:val="007B493D"/>
    <w:rsid w:val="007B4945"/>
    <w:rsid w:val="007B4F7B"/>
    <w:rsid w:val="007B4FEA"/>
    <w:rsid w:val="007B5230"/>
    <w:rsid w:val="007B52BF"/>
    <w:rsid w:val="007B583D"/>
    <w:rsid w:val="007B585E"/>
    <w:rsid w:val="007B5B90"/>
    <w:rsid w:val="007B5F12"/>
    <w:rsid w:val="007B60EB"/>
    <w:rsid w:val="007B61F7"/>
    <w:rsid w:val="007B63E5"/>
    <w:rsid w:val="007B6684"/>
    <w:rsid w:val="007B683D"/>
    <w:rsid w:val="007B6A5C"/>
    <w:rsid w:val="007B6B21"/>
    <w:rsid w:val="007B6D6C"/>
    <w:rsid w:val="007B6DB4"/>
    <w:rsid w:val="007B6F61"/>
    <w:rsid w:val="007B7024"/>
    <w:rsid w:val="007B7469"/>
    <w:rsid w:val="007B7473"/>
    <w:rsid w:val="007B78E4"/>
    <w:rsid w:val="007B7CB2"/>
    <w:rsid w:val="007B7D48"/>
    <w:rsid w:val="007C028A"/>
    <w:rsid w:val="007C02E1"/>
    <w:rsid w:val="007C0390"/>
    <w:rsid w:val="007C04FB"/>
    <w:rsid w:val="007C06CE"/>
    <w:rsid w:val="007C0A4E"/>
    <w:rsid w:val="007C0E68"/>
    <w:rsid w:val="007C0F25"/>
    <w:rsid w:val="007C14A2"/>
    <w:rsid w:val="007C1C8D"/>
    <w:rsid w:val="007C1D02"/>
    <w:rsid w:val="007C2189"/>
    <w:rsid w:val="007C22A3"/>
    <w:rsid w:val="007C2351"/>
    <w:rsid w:val="007C27CA"/>
    <w:rsid w:val="007C2A28"/>
    <w:rsid w:val="007C2A9E"/>
    <w:rsid w:val="007C2D37"/>
    <w:rsid w:val="007C300E"/>
    <w:rsid w:val="007C324D"/>
    <w:rsid w:val="007C328D"/>
    <w:rsid w:val="007C336F"/>
    <w:rsid w:val="007C3C74"/>
    <w:rsid w:val="007C41B1"/>
    <w:rsid w:val="007C4552"/>
    <w:rsid w:val="007C4787"/>
    <w:rsid w:val="007C4C34"/>
    <w:rsid w:val="007C4C80"/>
    <w:rsid w:val="007C4F21"/>
    <w:rsid w:val="007C5480"/>
    <w:rsid w:val="007C573A"/>
    <w:rsid w:val="007C58FE"/>
    <w:rsid w:val="007C5CAE"/>
    <w:rsid w:val="007C5CEF"/>
    <w:rsid w:val="007C63A9"/>
    <w:rsid w:val="007C6407"/>
    <w:rsid w:val="007C66CC"/>
    <w:rsid w:val="007C67C2"/>
    <w:rsid w:val="007C68B0"/>
    <w:rsid w:val="007C6A34"/>
    <w:rsid w:val="007C6A39"/>
    <w:rsid w:val="007C6B13"/>
    <w:rsid w:val="007C6BB2"/>
    <w:rsid w:val="007C7122"/>
    <w:rsid w:val="007C736E"/>
    <w:rsid w:val="007C775C"/>
    <w:rsid w:val="007C7827"/>
    <w:rsid w:val="007C79EB"/>
    <w:rsid w:val="007C7B59"/>
    <w:rsid w:val="007C7BBE"/>
    <w:rsid w:val="007D000A"/>
    <w:rsid w:val="007D0053"/>
    <w:rsid w:val="007D04E9"/>
    <w:rsid w:val="007D0C0A"/>
    <w:rsid w:val="007D1433"/>
    <w:rsid w:val="007D1498"/>
    <w:rsid w:val="007D1571"/>
    <w:rsid w:val="007D15A5"/>
    <w:rsid w:val="007D1729"/>
    <w:rsid w:val="007D1911"/>
    <w:rsid w:val="007D1E44"/>
    <w:rsid w:val="007D2486"/>
    <w:rsid w:val="007D25C4"/>
    <w:rsid w:val="007D2870"/>
    <w:rsid w:val="007D2989"/>
    <w:rsid w:val="007D2EF5"/>
    <w:rsid w:val="007D30B7"/>
    <w:rsid w:val="007D333F"/>
    <w:rsid w:val="007D3476"/>
    <w:rsid w:val="007D3603"/>
    <w:rsid w:val="007D371A"/>
    <w:rsid w:val="007D38A5"/>
    <w:rsid w:val="007D39CD"/>
    <w:rsid w:val="007D3A23"/>
    <w:rsid w:val="007D411B"/>
    <w:rsid w:val="007D43BA"/>
    <w:rsid w:val="007D4404"/>
    <w:rsid w:val="007D4749"/>
    <w:rsid w:val="007D4AD1"/>
    <w:rsid w:val="007D4D2D"/>
    <w:rsid w:val="007D4FC9"/>
    <w:rsid w:val="007D54F4"/>
    <w:rsid w:val="007D5794"/>
    <w:rsid w:val="007D5E45"/>
    <w:rsid w:val="007D5F45"/>
    <w:rsid w:val="007D62EE"/>
    <w:rsid w:val="007D6410"/>
    <w:rsid w:val="007D698C"/>
    <w:rsid w:val="007D6BB8"/>
    <w:rsid w:val="007D6C10"/>
    <w:rsid w:val="007D6CC7"/>
    <w:rsid w:val="007D7093"/>
    <w:rsid w:val="007D7248"/>
    <w:rsid w:val="007D7567"/>
    <w:rsid w:val="007D75E0"/>
    <w:rsid w:val="007D7681"/>
    <w:rsid w:val="007D7725"/>
    <w:rsid w:val="007D7801"/>
    <w:rsid w:val="007D7AE9"/>
    <w:rsid w:val="007D7B6A"/>
    <w:rsid w:val="007D7F0A"/>
    <w:rsid w:val="007E03EB"/>
    <w:rsid w:val="007E0BBB"/>
    <w:rsid w:val="007E0C12"/>
    <w:rsid w:val="007E12F4"/>
    <w:rsid w:val="007E15AD"/>
    <w:rsid w:val="007E1718"/>
    <w:rsid w:val="007E1907"/>
    <w:rsid w:val="007E19C6"/>
    <w:rsid w:val="007E1C47"/>
    <w:rsid w:val="007E1DDC"/>
    <w:rsid w:val="007E1DF6"/>
    <w:rsid w:val="007E207F"/>
    <w:rsid w:val="007E2236"/>
    <w:rsid w:val="007E24EB"/>
    <w:rsid w:val="007E25DC"/>
    <w:rsid w:val="007E25ED"/>
    <w:rsid w:val="007E2703"/>
    <w:rsid w:val="007E27D4"/>
    <w:rsid w:val="007E28F7"/>
    <w:rsid w:val="007E29FB"/>
    <w:rsid w:val="007E2BC0"/>
    <w:rsid w:val="007E346E"/>
    <w:rsid w:val="007E3471"/>
    <w:rsid w:val="007E350F"/>
    <w:rsid w:val="007E3639"/>
    <w:rsid w:val="007E367B"/>
    <w:rsid w:val="007E36EF"/>
    <w:rsid w:val="007E3722"/>
    <w:rsid w:val="007E38D0"/>
    <w:rsid w:val="007E4450"/>
    <w:rsid w:val="007E4AF0"/>
    <w:rsid w:val="007E4C15"/>
    <w:rsid w:val="007E4E79"/>
    <w:rsid w:val="007E4F85"/>
    <w:rsid w:val="007E50E7"/>
    <w:rsid w:val="007E5191"/>
    <w:rsid w:val="007E5379"/>
    <w:rsid w:val="007E5647"/>
    <w:rsid w:val="007E591D"/>
    <w:rsid w:val="007E59AE"/>
    <w:rsid w:val="007E5D52"/>
    <w:rsid w:val="007E5E2B"/>
    <w:rsid w:val="007E6000"/>
    <w:rsid w:val="007E60F3"/>
    <w:rsid w:val="007E60FB"/>
    <w:rsid w:val="007E6503"/>
    <w:rsid w:val="007E662D"/>
    <w:rsid w:val="007E67AC"/>
    <w:rsid w:val="007E6988"/>
    <w:rsid w:val="007E69AD"/>
    <w:rsid w:val="007E6A7C"/>
    <w:rsid w:val="007E6C54"/>
    <w:rsid w:val="007E6F82"/>
    <w:rsid w:val="007E7107"/>
    <w:rsid w:val="007E74A2"/>
    <w:rsid w:val="007E74BF"/>
    <w:rsid w:val="007E76DF"/>
    <w:rsid w:val="007E786C"/>
    <w:rsid w:val="007E7A64"/>
    <w:rsid w:val="007E7BA2"/>
    <w:rsid w:val="007E7BB3"/>
    <w:rsid w:val="007F0371"/>
    <w:rsid w:val="007F0424"/>
    <w:rsid w:val="007F07E8"/>
    <w:rsid w:val="007F097D"/>
    <w:rsid w:val="007F104D"/>
    <w:rsid w:val="007F11C1"/>
    <w:rsid w:val="007F130B"/>
    <w:rsid w:val="007F1581"/>
    <w:rsid w:val="007F16B8"/>
    <w:rsid w:val="007F1823"/>
    <w:rsid w:val="007F19BF"/>
    <w:rsid w:val="007F19D2"/>
    <w:rsid w:val="007F1AB6"/>
    <w:rsid w:val="007F1B89"/>
    <w:rsid w:val="007F1BB2"/>
    <w:rsid w:val="007F1D49"/>
    <w:rsid w:val="007F1DEC"/>
    <w:rsid w:val="007F201A"/>
    <w:rsid w:val="007F214F"/>
    <w:rsid w:val="007F259B"/>
    <w:rsid w:val="007F2BB0"/>
    <w:rsid w:val="007F2CA5"/>
    <w:rsid w:val="007F2E93"/>
    <w:rsid w:val="007F31C5"/>
    <w:rsid w:val="007F3859"/>
    <w:rsid w:val="007F38CA"/>
    <w:rsid w:val="007F4408"/>
    <w:rsid w:val="007F4866"/>
    <w:rsid w:val="007F4D70"/>
    <w:rsid w:val="007F5297"/>
    <w:rsid w:val="007F538B"/>
    <w:rsid w:val="007F5529"/>
    <w:rsid w:val="007F5585"/>
    <w:rsid w:val="007F5A95"/>
    <w:rsid w:val="007F5BB3"/>
    <w:rsid w:val="007F5C1F"/>
    <w:rsid w:val="007F5E42"/>
    <w:rsid w:val="007F5E46"/>
    <w:rsid w:val="007F60AC"/>
    <w:rsid w:val="007F6294"/>
    <w:rsid w:val="007F63DB"/>
    <w:rsid w:val="007F64FD"/>
    <w:rsid w:val="007F67E9"/>
    <w:rsid w:val="007F6937"/>
    <w:rsid w:val="007F6B37"/>
    <w:rsid w:val="007F6B51"/>
    <w:rsid w:val="007F6C0A"/>
    <w:rsid w:val="007F70EA"/>
    <w:rsid w:val="007F7259"/>
    <w:rsid w:val="007F7274"/>
    <w:rsid w:val="007F72DA"/>
    <w:rsid w:val="007F73B5"/>
    <w:rsid w:val="007F74B9"/>
    <w:rsid w:val="007F78A7"/>
    <w:rsid w:val="007F7950"/>
    <w:rsid w:val="007F7BFB"/>
    <w:rsid w:val="007F7C7B"/>
    <w:rsid w:val="007F7CDC"/>
    <w:rsid w:val="007F7EDD"/>
    <w:rsid w:val="00800062"/>
    <w:rsid w:val="0080063D"/>
    <w:rsid w:val="00800723"/>
    <w:rsid w:val="00800771"/>
    <w:rsid w:val="008007C4"/>
    <w:rsid w:val="00800DF7"/>
    <w:rsid w:val="00800EDB"/>
    <w:rsid w:val="00801001"/>
    <w:rsid w:val="00801030"/>
    <w:rsid w:val="0080139E"/>
    <w:rsid w:val="008013CF"/>
    <w:rsid w:val="00801994"/>
    <w:rsid w:val="00801A4B"/>
    <w:rsid w:val="008020EE"/>
    <w:rsid w:val="00802104"/>
    <w:rsid w:val="00802194"/>
    <w:rsid w:val="0080227D"/>
    <w:rsid w:val="0080237E"/>
    <w:rsid w:val="008023FE"/>
    <w:rsid w:val="00802B2D"/>
    <w:rsid w:val="00802DA9"/>
    <w:rsid w:val="00802E85"/>
    <w:rsid w:val="00803057"/>
    <w:rsid w:val="00803120"/>
    <w:rsid w:val="008031E3"/>
    <w:rsid w:val="00803577"/>
    <w:rsid w:val="00803684"/>
    <w:rsid w:val="00803F2A"/>
    <w:rsid w:val="00804032"/>
    <w:rsid w:val="008040A2"/>
    <w:rsid w:val="0080411E"/>
    <w:rsid w:val="0080456F"/>
    <w:rsid w:val="00804632"/>
    <w:rsid w:val="00804B9E"/>
    <w:rsid w:val="00804E09"/>
    <w:rsid w:val="00804E33"/>
    <w:rsid w:val="00804ED6"/>
    <w:rsid w:val="00804FC0"/>
    <w:rsid w:val="008054D9"/>
    <w:rsid w:val="0080566C"/>
    <w:rsid w:val="0080566F"/>
    <w:rsid w:val="00805873"/>
    <w:rsid w:val="00805875"/>
    <w:rsid w:val="0080590E"/>
    <w:rsid w:val="00805A5E"/>
    <w:rsid w:val="00805E66"/>
    <w:rsid w:val="008065A0"/>
    <w:rsid w:val="008065B2"/>
    <w:rsid w:val="00806601"/>
    <w:rsid w:val="00806688"/>
    <w:rsid w:val="00806BA6"/>
    <w:rsid w:val="00806D52"/>
    <w:rsid w:val="00806EBE"/>
    <w:rsid w:val="00807176"/>
    <w:rsid w:val="0080795D"/>
    <w:rsid w:val="00807A3E"/>
    <w:rsid w:val="00807C65"/>
    <w:rsid w:val="0081021F"/>
    <w:rsid w:val="00810296"/>
    <w:rsid w:val="00810338"/>
    <w:rsid w:val="0081044C"/>
    <w:rsid w:val="0081050F"/>
    <w:rsid w:val="0081056C"/>
    <w:rsid w:val="00810749"/>
    <w:rsid w:val="0081099A"/>
    <w:rsid w:val="00810AF3"/>
    <w:rsid w:val="00810DE4"/>
    <w:rsid w:val="00810F82"/>
    <w:rsid w:val="0081140E"/>
    <w:rsid w:val="008118AF"/>
    <w:rsid w:val="00811BC8"/>
    <w:rsid w:val="00812062"/>
    <w:rsid w:val="00812086"/>
    <w:rsid w:val="00812282"/>
    <w:rsid w:val="00812505"/>
    <w:rsid w:val="0081261D"/>
    <w:rsid w:val="00812A68"/>
    <w:rsid w:val="00812D9E"/>
    <w:rsid w:val="00813175"/>
    <w:rsid w:val="00813190"/>
    <w:rsid w:val="00813757"/>
    <w:rsid w:val="00813788"/>
    <w:rsid w:val="0081386C"/>
    <w:rsid w:val="00813995"/>
    <w:rsid w:val="00813ACB"/>
    <w:rsid w:val="00813D27"/>
    <w:rsid w:val="00813F79"/>
    <w:rsid w:val="008141D8"/>
    <w:rsid w:val="0081431A"/>
    <w:rsid w:val="00814475"/>
    <w:rsid w:val="0081466F"/>
    <w:rsid w:val="0081478C"/>
    <w:rsid w:val="008148E4"/>
    <w:rsid w:val="00814DCB"/>
    <w:rsid w:val="008150A5"/>
    <w:rsid w:val="008154E2"/>
    <w:rsid w:val="008157F1"/>
    <w:rsid w:val="0081594E"/>
    <w:rsid w:val="00815C89"/>
    <w:rsid w:val="00815E53"/>
    <w:rsid w:val="00815F3B"/>
    <w:rsid w:val="00815F40"/>
    <w:rsid w:val="008160D2"/>
    <w:rsid w:val="00816214"/>
    <w:rsid w:val="008164C7"/>
    <w:rsid w:val="0081656B"/>
    <w:rsid w:val="00816626"/>
    <w:rsid w:val="0081684C"/>
    <w:rsid w:val="00816C06"/>
    <w:rsid w:val="00816D6C"/>
    <w:rsid w:val="00816EC2"/>
    <w:rsid w:val="008170E4"/>
    <w:rsid w:val="0081733E"/>
    <w:rsid w:val="00817387"/>
    <w:rsid w:val="008174C5"/>
    <w:rsid w:val="0081797C"/>
    <w:rsid w:val="00817D70"/>
    <w:rsid w:val="00817D97"/>
    <w:rsid w:val="00817F96"/>
    <w:rsid w:val="00817FF2"/>
    <w:rsid w:val="00820041"/>
    <w:rsid w:val="0082023A"/>
    <w:rsid w:val="00820295"/>
    <w:rsid w:val="008203C0"/>
    <w:rsid w:val="008203D3"/>
    <w:rsid w:val="0082040A"/>
    <w:rsid w:val="008204C2"/>
    <w:rsid w:val="008206A7"/>
    <w:rsid w:val="00820CF1"/>
    <w:rsid w:val="00821246"/>
    <w:rsid w:val="008212FF"/>
    <w:rsid w:val="008214B0"/>
    <w:rsid w:val="00821592"/>
    <w:rsid w:val="00821605"/>
    <w:rsid w:val="0082168B"/>
    <w:rsid w:val="00821765"/>
    <w:rsid w:val="008217BE"/>
    <w:rsid w:val="00821881"/>
    <w:rsid w:val="00821DDF"/>
    <w:rsid w:val="00821DE6"/>
    <w:rsid w:val="008224BE"/>
    <w:rsid w:val="0082253F"/>
    <w:rsid w:val="008226F2"/>
    <w:rsid w:val="008229E0"/>
    <w:rsid w:val="008232F9"/>
    <w:rsid w:val="00823444"/>
    <w:rsid w:val="00823562"/>
    <w:rsid w:val="008235B1"/>
    <w:rsid w:val="008236D1"/>
    <w:rsid w:val="008236E1"/>
    <w:rsid w:val="00823717"/>
    <w:rsid w:val="008239E7"/>
    <w:rsid w:val="00823A8A"/>
    <w:rsid w:val="008242FD"/>
    <w:rsid w:val="00824458"/>
    <w:rsid w:val="00824752"/>
    <w:rsid w:val="0082475A"/>
    <w:rsid w:val="00824778"/>
    <w:rsid w:val="008247D3"/>
    <w:rsid w:val="00824923"/>
    <w:rsid w:val="008249F7"/>
    <w:rsid w:val="00824B74"/>
    <w:rsid w:val="00824CC1"/>
    <w:rsid w:val="00824E8F"/>
    <w:rsid w:val="0082502D"/>
    <w:rsid w:val="0082508B"/>
    <w:rsid w:val="0082538D"/>
    <w:rsid w:val="008256A3"/>
    <w:rsid w:val="0082574E"/>
    <w:rsid w:val="00825782"/>
    <w:rsid w:val="00825A8A"/>
    <w:rsid w:val="00825B35"/>
    <w:rsid w:val="00825BFE"/>
    <w:rsid w:val="00825C82"/>
    <w:rsid w:val="00826034"/>
    <w:rsid w:val="008261B5"/>
    <w:rsid w:val="00826393"/>
    <w:rsid w:val="00826461"/>
    <w:rsid w:val="00826681"/>
    <w:rsid w:val="00826E8B"/>
    <w:rsid w:val="00826EFB"/>
    <w:rsid w:val="00827027"/>
    <w:rsid w:val="0082702A"/>
    <w:rsid w:val="00827201"/>
    <w:rsid w:val="00827334"/>
    <w:rsid w:val="0082736E"/>
    <w:rsid w:val="0082790E"/>
    <w:rsid w:val="00827A01"/>
    <w:rsid w:val="00827B8D"/>
    <w:rsid w:val="00827D4F"/>
    <w:rsid w:val="00830134"/>
    <w:rsid w:val="00830331"/>
    <w:rsid w:val="008306B7"/>
    <w:rsid w:val="00830706"/>
    <w:rsid w:val="0083072B"/>
    <w:rsid w:val="0083095D"/>
    <w:rsid w:val="0083103D"/>
    <w:rsid w:val="008311A3"/>
    <w:rsid w:val="008315D8"/>
    <w:rsid w:val="00831ACB"/>
    <w:rsid w:val="00831ADD"/>
    <w:rsid w:val="00831CA0"/>
    <w:rsid w:val="008323A3"/>
    <w:rsid w:val="008326A5"/>
    <w:rsid w:val="00832841"/>
    <w:rsid w:val="00832A96"/>
    <w:rsid w:val="00832BD5"/>
    <w:rsid w:val="00832FB1"/>
    <w:rsid w:val="0083321D"/>
    <w:rsid w:val="00833258"/>
    <w:rsid w:val="00833512"/>
    <w:rsid w:val="00833667"/>
    <w:rsid w:val="00833871"/>
    <w:rsid w:val="00833AB5"/>
    <w:rsid w:val="00833B3B"/>
    <w:rsid w:val="00834090"/>
    <w:rsid w:val="008340D3"/>
    <w:rsid w:val="00834B78"/>
    <w:rsid w:val="00834C01"/>
    <w:rsid w:val="00834EEF"/>
    <w:rsid w:val="00835138"/>
    <w:rsid w:val="008351E7"/>
    <w:rsid w:val="008354C1"/>
    <w:rsid w:val="0083576E"/>
    <w:rsid w:val="00835811"/>
    <w:rsid w:val="00835D37"/>
    <w:rsid w:val="00835E7C"/>
    <w:rsid w:val="00835EC9"/>
    <w:rsid w:val="00835F4F"/>
    <w:rsid w:val="00835F63"/>
    <w:rsid w:val="0083617F"/>
    <w:rsid w:val="0083633D"/>
    <w:rsid w:val="00836AFE"/>
    <w:rsid w:val="00836C2A"/>
    <w:rsid w:val="00836DDD"/>
    <w:rsid w:val="00836E82"/>
    <w:rsid w:val="00837115"/>
    <w:rsid w:val="00837244"/>
    <w:rsid w:val="008375FB"/>
    <w:rsid w:val="00837A13"/>
    <w:rsid w:val="00837F1F"/>
    <w:rsid w:val="00840528"/>
    <w:rsid w:val="00840775"/>
    <w:rsid w:val="008408DD"/>
    <w:rsid w:val="0084090E"/>
    <w:rsid w:val="00840966"/>
    <w:rsid w:val="00840A1E"/>
    <w:rsid w:val="00841317"/>
    <w:rsid w:val="00841388"/>
    <w:rsid w:val="00841614"/>
    <w:rsid w:val="00841C77"/>
    <w:rsid w:val="00841C9F"/>
    <w:rsid w:val="00841E51"/>
    <w:rsid w:val="00841EFB"/>
    <w:rsid w:val="00841F44"/>
    <w:rsid w:val="008423CA"/>
    <w:rsid w:val="00842457"/>
    <w:rsid w:val="00842957"/>
    <w:rsid w:val="00842B53"/>
    <w:rsid w:val="00842C82"/>
    <w:rsid w:val="00842DFF"/>
    <w:rsid w:val="00842F2D"/>
    <w:rsid w:val="0084327E"/>
    <w:rsid w:val="008434BB"/>
    <w:rsid w:val="008436D7"/>
    <w:rsid w:val="00843764"/>
    <w:rsid w:val="00843836"/>
    <w:rsid w:val="00843936"/>
    <w:rsid w:val="00843975"/>
    <w:rsid w:val="00843A8E"/>
    <w:rsid w:val="00843B7C"/>
    <w:rsid w:val="00843C03"/>
    <w:rsid w:val="00843C9E"/>
    <w:rsid w:val="008440FE"/>
    <w:rsid w:val="0084411B"/>
    <w:rsid w:val="008446EF"/>
    <w:rsid w:val="00844878"/>
    <w:rsid w:val="008449B7"/>
    <w:rsid w:val="00844E17"/>
    <w:rsid w:val="00844F96"/>
    <w:rsid w:val="00845101"/>
    <w:rsid w:val="0084516C"/>
    <w:rsid w:val="00845188"/>
    <w:rsid w:val="00845231"/>
    <w:rsid w:val="00845955"/>
    <w:rsid w:val="00845B25"/>
    <w:rsid w:val="00845FB6"/>
    <w:rsid w:val="00846119"/>
    <w:rsid w:val="0084630B"/>
    <w:rsid w:val="008468B8"/>
    <w:rsid w:val="008468FE"/>
    <w:rsid w:val="008469FD"/>
    <w:rsid w:val="00846C44"/>
    <w:rsid w:val="00846D52"/>
    <w:rsid w:val="00846F6F"/>
    <w:rsid w:val="00847052"/>
    <w:rsid w:val="008470F8"/>
    <w:rsid w:val="008470FC"/>
    <w:rsid w:val="0084729A"/>
    <w:rsid w:val="0084738D"/>
    <w:rsid w:val="008474E3"/>
    <w:rsid w:val="00847998"/>
    <w:rsid w:val="00847BC8"/>
    <w:rsid w:val="00847C27"/>
    <w:rsid w:val="00847CD1"/>
    <w:rsid w:val="00847EAE"/>
    <w:rsid w:val="00850069"/>
    <w:rsid w:val="008501A7"/>
    <w:rsid w:val="0085024B"/>
    <w:rsid w:val="00850276"/>
    <w:rsid w:val="00850314"/>
    <w:rsid w:val="00850570"/>
    <w:rsid w:val="008507A9"/>
    <w:rsid w:val="00850807"/>
    <w:rsid w:val="0085087E"/>
    <w:rsid w:val="0085090C"/>
    <w:rsid w:val="00850912"/>
    <w:rsid w:val="00850B7B"/>
    <w:rsid w:val="00850BC5"/>
    <w:rsid w:val="00850BF8"/>
    <w:rsid w:val="00850D20"/>
    <w:rsid w:val="00850F05"/>
    <w:rsid w:val="00850F1A"/>
    <w:rsid w:val="0085133D"/>
    <w:rsid w:val="0085181E"/>
    <w:rsid w:val="00851C69"/>
    <w:rsid w:val="00851EC5"/>
    <w:rsid w:val="00852185"/>
    <w:rsid w:val="0085226F"/>
    <w:rsid w:val="00852559"/>
    <w:rsid w:val="008527ED"/>
    <w:rsid w:val="00852923"/>
    <w:rsid w:val="0085292C"/>
    <w:rsid w:val="00852B32"/>
    <w:rsid w:val="00852DE8"/>
    <w:rsid w:val="00852E7B"/>
    <w:rsid w:val="00853361"/>
    <w:rsid w:val="008533D8"/>
    <w:rsid w:val="008535FA"/>
    <w:rsid w:val="0085362F"/>
    <w:rsid w:val="00853722"/>
    <w:rsid w:val="0085374F"/>
    <w:rsid w:val="008537F7"/>
    <w:rsid w:val="00853DF7"/>
    <w:rsid w:val="00853E26"/>
    <w:rsid w:val="008545E3"/>
    <w:rsid w:val="00854619"/>
    <w:rsid w:val="00854638"/>
    <w:rsid w:val="008546BE"/>
    <w:rsid w:val="0085473A"/>
    <w:rsid w:val="00854913"/>
    <w:rsid w:val="00854D3E"/>
    <w:rsid w:val="00855274"/>
    <w:rsid w:val="0085527B"/>
    <w:rsid w:val="008553E7"/>
    <w:rsid w:val="00855534"/>
    <w:rsid w:val="00855840"/>
    <w:rsid w:val="00855DC8"/>
    <w:rsid w:val="00855DFE"/>
    <w:rsid w:val="00855F57"/>
    <w:rsid w:val="00856074"/>
    <w:rsid w:val="0085621B"/>
    <w:rsid w:val="0085654D"/>
    <w:rsid w:val="00856D11"/>
    <w:rsid w:val="00856DB8"/>
    <w:rsid w:val="00857296"/>
    <w:rsid w:val="00857473"/>
    <w:rsid w:val="00857717"/>
    <w:rsid w:val="008578F0"/>
    <w:rsid w:val="008578FB"/>
    <w:rsid w:val="00857949"/>
    <w:rsid w:val="00857CAA"/>
    <w:rsid w:val="0086016F"/>
    <w:rsid w:val="00860498"/>
    <w:rsid w:val="008604C6"/>
    <w:rsid w:val="008604F9"/>
    <w:rsid w:val="0086072B"/>
    <w:rsid w:val="008607E1"/>
    <w:rsid w:val="00860835"/>
    <w:rsid w:val="00860874"/>
    <w:rsid w:val="00860B07"/>
    <w:rsid w:val="00860D25"/>
    <w:rsid w:val="00860E1B"/>
    <w:rsid w:val="00860F3B"/>
    <w:rsid w:val="00861063"/>
    <w:rsid w:val="008610AF"/>
    <w:rsid w:val="00861600"/>
    <w:rsid w:val="0086213C"/>
    <w:rsid w:val="00862141"/>
    <w:rsid w:val="008625B1"/>
    <w:rsid w:val="00862850"/>
    <w:rsid w:val="00862B84"/>
    <w:rsid w:val="00862BA1"/>
    <w:rsid w:val="00862BB5"/>
    <w:rsid w:val="00862CF0"/>
    <w:rsid w:val="00862D81"/>
    <w:rsid w:val="00862DC9"/>
    <w:rsid w:val="00862E2A"/>
    <w:rsid w:val="00862F01"/>
    <w:rsid w:val="0086340D"/>
    <w:rsid w:val="0086370B"/>
    <w:rsid w:val="008638A2"/>
    <w:rsid w:val="008639C8"/>
    <w:rsid w:val="00863B87"/>
    <w:rsid w:val="00863E37"/>
    <w:rsid w:val="0086410D"/>
    <w:rsid w:val="0086416D"/>
    <w:rsid w:val="00864290"/>
    <w:rsid w:val="008644EA"/>
    <w:rsid w:val="00864986"/>
    <w:rsid w:val="00864E83"/>
    <w:rsid w:val="00865064"/>
    <w:rsid w:val="008652C7"/>
    <w:rsid w:val="008656BC"/>
    <w:rsid w:val="0086586E"/>
    <w:rsid w:val="008659D3"/>
    <w:rsid w:val="00865B3E"/>
    <w:rsid w:val="00865C4D"/>
    <w:rsid w:val="00865DCA"/>
    <w:rsid w:val="00865E30"/>
    <w:rsid w:val="00866248"/>
    <w:rsid w:val="0086630B"/>
    <w:rsid w:val="00866468"/>
    <w:rsid w:val="00866482"/>
    <w:rsid w:val="008664FE"/>
    <w:rsid w:val="0086678C"/>
    <w:rsid w:val="008667B8"/>
    <w:rsid w:val="00866881"/>
    <w:rsid w:val="00866C24"/>
    <w:rsid w:val="00866C91"/>
    <w:rsid w:val="00867031"/>
    <w:rsid w:val="008672E0"/>
    <w:rsid w:val="008673A5"/>
    <w:rsid w:val="00867556"/>
    <w:rsid w:val="008676CC"/>
    <w:rsid w:val="00867D65"/>
    <w:rsid w:val="00867E3D"/>
    <w:rsid w:val="00867F50"/>
    <w:rsid w:val="00870036"/>
    <w:rsid w:val="008700A1"/>
    <w:rsid w:val="008702FF"/>
    <w:rsid w:val="008704C8"/>
    <w:rsid w:val="00870596"/>
    <w:rsid w:val="00870790"/>
    <w:rsid w:val="00870D9A"/>
    <w:rsid w:val="00870EB8"/>
    <w:rsid w:val="00871182"/>
    <w:rsid w:val="008711C4"/>
    <w:rsid w:val="008712FA"/>
    <w:rsid w:val="0087174D"/>
    <w:rsid w:val="008717BC"/>
    <w:rsid w:val="00871892"/>
    <w:rsid w:val="008718F3"/>
    <w:rsid w:val="008719C2"/>
    <w:rsid w:val="008720C1"/>
    <w:rsid w:val="00872148"/>
    <w:rsid w:val="0087224D"/>
    <w:rsid w:val="008723CD"/>
    <w:rsid w:val="008724E2"/>
    <w:rsid w:val="00872568"/>
    <w:rsid w:val="00872769"/>
    <w:rsid w:val="0087277A"/>
    <w:rsid w:val="00872953"/>
    <w:rsid w:val="008729F8"/>
    <w:rsid w:val="00872A47"/>
    <w:rsid w:val="00872AB8"/>
    <w:rsid w:val="00872FC6"/>
    <w:rsid w:val="0087326E"/>
    <w:rsid w:val="00873326"/>
    <w:rsid w:val="00873348"/>
    <w:rsid w:val="0087338B"/>
    <w:rsid w:val="00873462"/>
    <w:rsid w:val="0087356F"/>
    <w:rsid w:val="008736E2"/>
    <w:rsid w:val="00873B13"/>
    <w:rsid w:val="00873D26"/>
    <w:rsid w:val="008741EF"/>
    <w:rsid w:val="008741FB"/>
    <w:rsid w:val="0087426E"/>
    <w:rsid w:val="008742CB"/>
    <w:rsid w:val="00874319"/>
    <w:rsid w:val="00874464"/>
    <w:rsid w:val="00874565"/>
    <w:rsid w:val="00874707"/>
    <w:rsid w:val="00874858"/>
    <w:rsid w:val="00874882"/>
    <w:rsid w:val="0087498D"/>
    <w:rsid w:val="00874B13"/>
    <w:rsid w:val="00874D81"/>
    <w:rsid w:val="00874E2A"/>
    <w:rsid w:val="00875025"/>
    <w:rsid w:val="008750A0"/>
    <w:rsid w:val="00875502"/>
    <w:rsid w:val="008755C1"/>
    <w:rsid w:val="00875AAA"/>
    <w:rsid w:val="00875AB2"/>
    <w:rsid w:val="00875AC3"/>
    <w:rsid w:val="00876158"/>
    <w:rsid w:val="0087634A"/>
    <w:rsid w:val="00876696"/>
    <w:rsid w:val="00876876"/>
    <w:rsid w:val="00876C84"/>
    <w:rsid w:val="00876CED"/>
    <w:rsid w:val="00876D0E"/>
    <w:rsid w:val="00876EF6"/>
    <w:rsid w:val="00876FD4"/>
    <w:rsid w:val="008771C0"/>
    <w:rsid w:val="00877247"/>
    <w:rsid w:val="008773A2"/>
    <w:rsid w:val="0087779D"/>
    <w:rsid w:val="00877B45"/>
    <w:rsid w:val="00877BEF"/>
    <w:rsid w:val="00877C8D"/>
    <w:rsid w:val="00877D0A"/>
    <w:rsid w:val="00877F4A"/>
    <w:rsid w:val="00880138"/>
    <w:rsid w:val="008801AE"/>
    <w:rsid w:val="00880892"/>
    <w:rsid w:val="00880A24"/>
    <w:rsid w:val="00880AA3"/>
    <w:rsid w:val="00880AAD"/>
    <w:rsid w:val="00880B1C"/>
    <w:rsid w:val="00880BB7"/>
    <w:rsid w:val="00881294"/>
    <w:rsid w:val="008815C9"/>
    <w:rsid w:val="0088164F"/>
    <w:rsid w:val="00881715"/>
    <w:rsid w:val="008819C4"/>
    <w:rsid w:val="00881A2B"/>
    <w:rsid w:val="00881C33"/>
    <w:rsid w:val="00881E64"/>
    <w:rsid w:val="00881EAB"/>
    <w:rsid w:val="00881EDA"/>
    <w:rsid w:val="008820CC"/>
    <w:rsid w:val="00882334"/>
    <w:rsid w:val="0088271A"/>
    <w:rsid w:val="008827D6"/>
    <w:rsid w:val="00882803"/>
    <w:rsid w:val="00882935"/>
    <w:rsid w:val="00882BDA"/>
    <w:rsid w:val="00882CA7"/>
    <w:rsid w:val="00882F67"/>
    <w:rsid w:val="008831D9"/>
    <w:rsid w:val="00883339"/>
    <w:rsid w:val="008835B5"/>
    <w:rsid w:val="00883B85"/>
    <w:rsid w:val="00883F58"/>
    <w:rsid w:val="0088420F"/>
    <w:rsid w:val="0088421C"/>
    <w:rsid w:val="0088434D"/>
    <w:rsid w:val="0088441D"/>
    <w:rsid w:val="0088445B"/>
    <w:rsid w:val="00884476"/>
    <w:rsid w:val="00884E72"/>
    <w:rsid w:val="008853F2"/>
    <w:rsid w:val="008858B6"/>
    <w:rsid w:val="0088594C"/>
    <w:rsid w:val="008860BB"/>
    <w:rsid w:val="008861D2"/>
    <w:rsid w:val="008868C1"/>
    <w:rsid w:val="00886A91"/>
    <w:rsid w:val="00886D5F"/>
    <w:rsid w:val="00886D9A"/>
    <w:rsid w:val="0088710C"/>
    <w:rsid w:val="00887201"/>
    <w:rsid w:val="008873A9"/>
    <w:rsid w:val="008878D6"/>
    <w:rsid w:val="00887CD7"/>
    <w:rsid w:val="00887CE9"/>
    <w:rsid w:val="00887D23"/>
    <w:rsid w:val="00887DC8"/>
    <w:rsid w:val="00887E4E"/>
    <w:rsid w:val="00887F3F"/>
    <w:rsid w:val="008900B9"/>
    <w:rsid w:val="00890147"/>
    <w:rsid w:val="00890613"/>
    <w:rsid w:val="00890767"/>
    <w:rsid w:val="008907DF"/>
    <w:rsid w:val="0089088D"/>
    <w:rsid w:val="008908F9"/>
    <w:rsid w:val="0089099D"/>
    <w:rsid w:val="00890D26"/>
    <w:rsid w:val="008911FE"/>
    <w:rsid w:val="0089159A"/>
    <w:rsid w:val="0089162F"/>
    <w:rsid w:val="00891A43"/>
    <w:rsid w:val="00891A78"/>
    <w:rsid w:val="00891AF6"/>
    <w:rsid w:val="00891B6B"/>
    <w:rsid w:val="00891BC3"/>
    <w:rsid w:val="00891CFD"/>
    <w:rsid w:val="00891EFB"/>
    <w:rsid w:val="00891F4D"/>
    <w:rsid w:val="008920A1"/>
    <w:rsid w:val="008921AE"/>
    <w:rsid w:val="008923C4"/>
    <w:rsid w:val="0089255B"/>
    <w:rsid w:val="008926AA"/>
    <w:rsid w:val="00892D0C"/>
    <w:rsid w:val="008936CD"/>
    <w:rsid w:val="008937C8"/>
    <w:rsid w:val="00893C8E"/>
    <w:rsid w:val="00893EB7"/>
    <w:rsid w:val="00893FFE"/>
    <w:rsid w:val="008941B2"/>
    <w:rsid w:val="0089445B"/>
    <w:rsid w:val="008944F2"/>
    <w:rsid w:val="008945C9"/>
    <w:rsid w:val="008947A8"/>
    <w:rsid w:val="00894A3C"/>
    <w:rsid w:val="00894ACB"/>
    <w:rsid w:val="00894D4E"/>
    <w:rsid w:val="00895521"/>
    <w:rsid w:val="008956D1"/>
    <w:rsid w:val="00895BC2"/>
    <w:rsid w:val="00895C63"/>
    <w:rsid w:val="00895F2D"/>
    <w:rsid w:val="008960D1"/>
    <w:rsid w:val="0089613D"/>
    <w:rsid w:val="008962FB"/>
    <w:rsid w:val="008963FA"/>
    <w:rsid w:val="0089648F"/>
    <w:rsid w:val="008966BB"/>
    <w:rsid w:val="0089678E"/>
    <w:rsid w:val="008967C4"/>
    <w:rsid w:val="00896822"/>
    <w:rsid w:val="00896BDB"/>
    <w:rsid w:val="00896BF1"/>
    <w:rsid w:val="00896E6C"/>
    <w:rsid w:val="008970ED"/>
    <w:rsid w:val="0089721D"/>
    <w:rsid w:val="00897436"/>
    <w:rsid w:val="008976D5"/>
    <w:rsid w:val="00897868"/>
    <w:rsid w:val="00897A4F"/>
    <w:rsid w:val="00897BF5"/>
    <w:rsid w:val="00897CD8"/>
    <w:rsid w:val="00897F7E"/>
    <w:rsid w:val="008A00AE"/>
    <w:rsid w:val="008A0449"/>
    <w:rsid w:val="008A05CD"/>
    <w:rsid w:val="008A05E0"/>
    <w:rsid w:val="008A09CC"/>
    <w:rsid w:val="008A0AD7"/>
    <w:rsid w:val="008A0B13"/>
    <w:rsid w:val="008A0D2A"/>
    <w:rsid w:val="008A0E70"/>
    <w:rsid w:val="008A0EB6"/>
    <w:rsid w:val="008A0FF5"/>
    <w:rsid w:val="008A1168"/>
    <w:rsid w:val="008A1693"/>
    <w:rsid w:val="008A1C28"/>
    <w:rsid w:val="008A1D54"/>
    <w:rsid w:val="008A2074"/>
    <w:rsid w:val="008A22BE"/>
    <w:rsid w:val="008A237C"/>
    <w:rsid w:val="008A2503"/>
    <w:rsid w:val="008A254F"/>
    <w:rsid w:val="008A2630"/>
    <w:rsid w:val="008A280B"/>
    <w:rsid w:val="008A2CF5"/>
    <w:rsid w:val="008A30E3"/>
    <w:rsid w:val="008A3576"/>
    <w:rsid w:val="008A3627"/>
    <w:rsid w:val="008A3988"/>
    <w:rsid w:val="008A409B"/>
    <w:rsid w:val="008A498B"/>
    <w:rsid w:val="008A4A79"/>
    <w:rsid w:val="008A4CC2"/>
    <w:rsid w:val="008A4D17"/>
    <w:rsid w:val="008A4DA0"/>
    <w:rsid w:val="008A4EC7"/>
    <w:rsid w:val="008A522A"/>
    <w:rsid w:val="008A5833"/>
    <w:rsid w:val="008A5897"/>
    <w:rsid w:val="008A58AF"/>
    <w:rsid w:val="008A59C5"/>
    <w:rsid w:val="008A5E99"/>
    <w:rsid w:val="008A5F3E"/>
    <w:rsid w:val="008A61FD"/>
    <w:rsid w:val="008A629B"/>
    <w:rsid w:val="008A66FD"/>
    <w:rsid w:val="008A675E"/>
    <w:rsid w:val="008A6895"/>
    <w:rsid w:val="008A6C1F"/>
    <w:rsid w:val="008A6F63"/>
    <w:rsid w:val="008A715C"/>
    <w:rsid w:val="008A7353"/>
    <w:rsid w:val="008A7400"/>
    <w:rsid w:val="008A7441"/>
    <w:rsid w:val="008A7644"/>
    <w:rsid w:val="008A7690"/>
    <w:rsid w:val="008A77DE"/>
    <w:rsid w:val="008A7808"/>
    <w:rsid w:val="008A7820"/>
    <w:rsid w:val="008A7B3A"/>
    <w:rsid w:val="008A7B7E"/>
    <w:rsid w:val="008A7D86"/>
    <w:rsid w:val="008B00E2"/>
    <w:rsid w:val="008B0233"/>
    <w:rsid w:val="008B0616"/>
    <w:rsid w:val="008B06A5"/>
    <w:rsid w:val="008B06B0"/>
    <w:rsid w:val="008B08EF"/>
    <w:rsid w:val="008B0A6E"/>
    <w:rsid w:val="008B0B39"/>
    <w:rsid w:val="008B0DE1"/>
    <w:rsid w:val="008B11B2"/>
    <w:rsid w:val="008B11D7"/>
    <w:rsid w:val="008B174C"/>
    <w:rsid w:val="008B17DB"/>
    <w:rsid w:val="008B1D2F"/>
    <w:rsid w:val="008B241B"/>
    <w:rsid w:val="008B24FE"/>
    <w:rsid w:val="008B25C7"/>
    <w:rsid w:val="008B2A8D"/>
    <w:rsid w:val="008B306B"/>
    <w:rsid w:val="008B3425"/>
    <w:rsid w:val="008B3638"/>
    <w:rsid w:val="008B3A88"/>
    <w:rsid w:val="008B3DED"/>
    <w:rsid w:val="008B3E54"/>
    <w:rsid w:val="008B3EAA"/>
    <w:rsid w:val="008B3F74"/>
    <w:rsid w:val="008B4167"/>
    <w:rsid w:val="008B4245"/>
    <w:rsid w:val="008B424E"/>
    <w:rsid w:val="008B4850"/>
    <w:rsid w:val="008B4BD1"/>
    <w:rsid w:val="008B4BEE"/>
    <w:rsid w:val="008B4BFC"/>
    <w:rsid w:val="008B4DD0"/>
    <w:rsid w:val="008B4E82"/>
    <w:rsid w:val="008B4F32"/>
    <w:rsid w:val="008B507A"/>
    <w:rsid w:val="008B51B4"/>
    <w:rsid w:val="008B5882"/>
    <w:rsid w:val="008B599A"/>
    <w:rsid w:val="008B5B67"/>
    <w:rsid w:val="008B5D17"/>
    <w:rsid w:val="008B5D44"/>
    <w:rsid w:val="008B5D7A"/>
    <w:rsid w:val="008B6090"/>
    <w:rsid w:val="008B61D6"/>
    <w:rsid w:val="008B626F"/>
    <w:rsid w:val="008B6368"/>
    <w:rsid w:val="008B641F"/>
    <w:rsid w:val="008B64A9"/>
    <w:rsid w:val="008B6657"/>
    <w:rsid w:val="008B66DB"/>
    <w:rsid w:val="008B66E3"/>
    <w:rsid w:val="008B6DCF"/>
    <w:rsid w:val="008B7543"/>
    <w:rsid w:val="008B7551"/>
    <w:rsid w:val="008B7664"/>
    <w:rsid w:val="008B7848"/>
    <w:rsid w:val="008B7854"/>
    <w:rsid w:val="008B7B11"/>
    <w:rsid w:val="008B7E23"/>
    <w:rsid w:val="008B7E54"/>
    <w:rsid w:val="008B7F2C"/>
    <w:rsid w:val="008B7F30"/>
    <w:rsid w:val="008C0041"/>
    <w:rsid w:val="008C015C"/>
    <w:rsid w:val="008C0622"/>
    <w:rsid w:val="008C07D6"/>
    <w:rsid w:val="008C0850"/>
    <w:rsid w:val="008C08CC"/>
    <w:rsid w:val="008C09EC"/>
    <w:rsid w:val="008C0A48"/>
    <w:rsid w:val="008C0B45"/>
    <w:rsid w:val="008C122E"/>
    <w:rsid w:val="008C126E"/>
    <w:rsid w:val="008C12E6"/>
    <w:rsid w:val="008C1416"/>
    <w:rsid w:val="008C1C6C"/>
    <w:rsid w:val="008C1E05"/>
    <w:rsid w:val="008C1F13"/>
    <w:rsid w:val="008C21D1"/>
    <w:rsid w:val="008C290A"/>
    <w:rsid w:val="008C2A88"/>
    <w:rsid w:val="008C2C19"/>
    <w:rsid w:val="008C2CC7"/>
    <w:rsid w:val="008C2E33"/>
    <w:rsid w:val="008C2E7D"/>
    <w:rsid w:val="008C3229"/>
    <w:rsid w:val="008C34BB"/>
    <w:rsid w:val="008C35EE"/>
    <w:rsid w:val="008C3984"/>
    <w:rsid w:val="008C3AC1"/>
    <w:rsid w:val="008C3C43"/>
    <w:rsid w:val="008C401D"/>
    <w:rsid w:val="008C45CE"/>
    <w:rsid w:val="008C45CF"/>
    <w:rsid w:val="008C45E2"/>
    <w:rsid w:val="008C4607"/>
    <w:rsid w:val="008C4B33"/>
    <w:rsid w:val="008C4B78"/>
    <w:rsid w:val="008C4C9A"/>
    <w:rsid w:val="008C5135"/>
    <w:rsid w:val="008C519F"/>
    <w:rsid w:val="008C5254"/>
    <w:rsid w:val="008C558E"/>
    <w:rsid w:val="008C5AA4"/>
    <w:rsid w:val="008C5C7D"/>
    <w:rsid w:val="008C5CA5"/>
    <w:rsid w:val="008C5DAB"/>
    <w:rsid w:val="008C626C"/>
    <w:rsid w:val="008C666B"/>
    <w:rsid w:val="008C670C"/>
    <w:rsid w:val="008C688C"/>
    <w:rsid w:val="008C6AA2"/>
    <w:rsid w:val="008C6F42"/>
    <w:rsid w:val="008C70BF"/>
    <w:rsid w:val="008C74B8"/>
    <w:rsid w:val="008C76B6"/>
    <w:rsid w:val="008D0382"/>
    <w:rsid w:val="008D075C"/>
    <w:rsid w:val="008D1367"/>
    <w:rsid w:val="008D149D"/>
    <w:rsid w:val="008D15DF"/>
    <w:rsid w:val="008D1687"/>
    <w:rsid w:val="008D181B"/>
    <w:rsid w:val="008D197F"/>
    <w:rsid w:val="008D1AB2"/>
    <w:rsid w:val="008D1BB6"/>
    <w:rsid w:val="008D1C2C"/>
    <w:rsid w:val="008D1E95"/>
    <w:rsid w:val="008D26B7"/>
    <w:rsid w:val="008D2DEB"/>
    <w:rsid w:val="008D3052"/>
    <w:rsid w:val="008D30F4"/>
    <w:rsid w:val="008D32DF"/>
    <w:rsid w:val="008D3323"/>
    <w:rsid w:val="008D33FD"/>
    <w:rsid w:val="008D3414"/>
    <w:rsid w:val="008D3714"/>
    <w:rsid w:val="008D3719"/>
    <w:rsid w:val="008D3726"/>
    <w:rsid w:val="008D3ABB"/>
    <w:rsid w:val="008D3C12"/>
    <w:rsid w:val="008D3C57"/>
    <w:rsid w:val="008D3E10"/>
    <w:rsid w:val="008D3E5D"/>
    <w:rsid w:val="008D4247"/>
    <w:rsid w:val="008D48F5"/>
    <w:rsid w:val="008D4CB0"/>
    <w:rsid w:val="008D4F8C"/>
    <w:rsid w:val="008D521E"/>
    <w:rsid w:val="008D53A1"/>
    <w:rsid w:val="008D544C"/>
    <w:rsid w:val="008D54E4"/>
    <w:rsid w:val="008D5803"/>
    <w:rsid w:val="008D5B91"/>
    <w:rsid w:val="008D5E27"/>
    <w:rsid w:val="008D5E57"/>
    <w:rsid w:val="008D603B"/>
    <w:rsid w:val="008D60B0"/>
    <w:rsid w:val="008D629C"/>
    <w:rsid w:val="008D635B"/>
    <w:rsid w:val="008D6397"/>
    <w:rsid w:val="008D686B"/>
    <w:rsid w:val="008D69A7"/>
    <w:rsid w:val="008D6B01"/>
    <w:rsid w:val="008D6C4C"/>
    <w:rsid w:val="008D6CC2"/>
    <w:rsid w:val="008D70E1"/>
    <w:rsid w:val="008D73A5"/>
    <w:rsid w:val="008D73C9"/>
    <w:rsid w:val="008D75EE"/>
    <w:rsid w:val="008D77A6"/>
    <w:rsid w:val="008D77E4"/>
    <w:rsid w:val="008D78D6"/>
    <w:rsid w:val="008D7A96"/>
    <w:rsid w:val="008D7AAD"/>
    <w:rsid w:val="008D7C7B"/>
    <w:rsid w:val="008E004E"/>
    <w:rsid w:val="008E00B6"/>
    <w:rsid w:val="008E0281"/>
    <w:rsid w:val="008E02B2"/>
    <w:rsid w:val="008E0851"/>
    <w:rsid w:val="008E0D31"/>
    <w:rsid w:val="008E0F63"/>
    <w:rsid w:val="008E1080"/>
    <w:rsid w:val="008E10E9"/>
    <w:rsid w:val="008E122E"/>
    <w:rsid w:val="008E1318"/>
    <w:rsid w:val="008E155D"/>
    <w:rsid w:val="008E1651"/>
    <w:rsid w:val="008E16BF"/>
    <w:rsid w:val="008E18EE"/>
    <w:rsid w:val="008E1C8B"/>
    <w:rsid w:val="008E2148"/>
    <w:rsid w:val="008E2227"/>
    <w:rsid w:val="008E27F8"/>
    <w:rsid w:val="008E28E3"/>
    <w:rsid w:val="008E298D"/>
    <w:rsid w:val="008E3049"/>
    <w:rsid w:val="008E31C4"/>
    <w:rsid w:val="008E332C"/>
    <w:rsid w:val="008E35A3"/>
    <w:rsid w:val="008E36E5"/>
    <w:rsid w:val="008E3885"/>
    <w:rsid w:val="008E39B6"/>
    <w:rsid w:val="008E3A7E"/>
    <w:rsid w:val="008E3BCD"/>
    <w:rsid w:val="008E3C6C"/>
    <w:rsid w:val="008E3E54"/>
    <w:rsid w:val="008E3FEF"/>
    <w:rsid w:val="008E422D"/>
    <w:rsid w:val="008E438B"/>
    <w:rsid w:val="008E447D"/>
    <w:rsid w:val="008E46F4"/>
    <w:rsid w:val="008E4867"/>
    <w:rsid w:val="008E4903"/>
    <w:rsid w:val="008E4AAB"/>
    <w:rsid w:val="008E4B29"/>
    <w:rsid w:val="008E4F1D"/>
    <w:rsid w:val="008E51EE"/>
    <w:rsid w:val="008E5235"/>
    <w:rsid w:val="008E5257"/>
    <w:rsid w:val="008E528E"/>
    <w:rsid w:val="008E52E7"/>
    <w:rsid w:val="008E54A9"/>
    <w:rsid w:val="008E5806"/>
    <w:rsid w:val="008E5A0E"/>
    <w:rsid w:val="008E5A42"/>
    <w:rsid w:val="008E5BF1"/>
    <w:rsid w:val="008E5E3C"/>
    <w:rsid w:val="008E61EE"/>
    <w:rsid w:val="008E652A"/>
    <w:rsid w:val="008E6546"/>
    <w:rsid w:val="008E6CA5"/>
    <w:rsid w:val="008E7274"/>
    <w:rsid w:val="008E7506"/>
    <w:rsid w:val="008E770F"/>
    <w:rsid w:val="008E79B9"/>
    <w:rsid w:val="008E7E74"/>
    <w:rsid w:val="008F0562"/>
    <w:rsid w:val="008F067F"/>
    <w:rsid w:val="008F072E"/>
    <w:rsid w:val="008F07E3"/>
    <w:rsid w:val="008F080E"/>
    <w:rsid w:val="008F0873"/>
    <w:rsid w:val="008F0A74"/>
    <w:rsid w:val="008F0C49"/>
    <w:rsid w:val="008F0E3F"/>
    <w:rsid w:val="008F0FC1"/>
    <w:rsid w:val="008F0FFB"/>
    <w:rsid w:val="008F11F1"/>
    <w:rsid w:val="008F1616"/>
    <w:rsid w:val="008F1658"/>
    <w:rsid w:val="008F1799"/>
    <w:rsid w:val="008F18A8"/>
    <w:rsid w:val="008F1B42"/>
    <w:rsid w:val="008F1BA3"/>
    <w:rsid w:val="008F1C70"/>
    <w:rsid w:val="008F1CCF"/>
    <w:rsid w:val="008F1CE1"/>
    <w:rsid w:val="008F1ECA"/>
    <w:rsid w:val="008F260B"/>
    <w:rsid w:val="008F2D30"/>
    <w:rsid w:val="008F2D80"/>
    <w:rsid w:val="008F2E93"/>
    <w:rsid w:val="008F2FC7"/>
    <w:rsid w:val="008F3267"/>
    <w:rsid w:val="008F32AD"/>
    <w:rsid w:val="008F3334"/>
    <w:rsid w:val="008F3517"/>
    <w:rsid w:val="008F3676"/>
    <w:rsid w:val="008F38A1"/>
    <w:rsid w:val="008F43CE"/>
    <w:rsid w:val="008F4688"/>
    <w:rsid w:val="008F4804"/>
    <w:rsid w:val="008F4843"/>
    <w:rsid w:val="008F4AAF"/>
    <w:rsid w:val="008F4E59"/>
    <w:rsid w:val="008F4F0F"/>
    <w:rsid w:val="008F5126"/>
    <w:rsid w:val="008F529C"/>
    <w:rsid w:val="008F52A1"/>
    <w:rsid w:val="008F54CA"/>
    <w:rsid w:val="008F5BCD"/>
    <w:rsid w:val="008F5F15"/>
    <w:rsid w:val="008F6429"/>
    <w:rsid w:val="008F6725"/>
    <w:rsid w:val="008F682A"/>
    <w:rsid w:val="008F68F4"/>
    <w:rsid w:val="008F6BD9"/>
    <w:rsid w:val="008F6C3D"/>
    <w:rsid w:val="008F6F26"/>
    <w:rsid w:val="008F7220"/>
    <w:rsid w:val="008F73E7"/>
    <w:rsid w:val="008F7486"/>
    <w:rsid w:val="008F778E"/>
    <w:rsid w:val="008F790C"/>
    <w:rsid w:val="008F7B32"/>
    <w:rsid w:val="008F7EF6"/>
    <w:rsid w:val="0090090D"/>
    <w:rsid w:val="00900925"/>
    <w:rsid w:val="00900B19"/>
    <w:rsid w:val="00900DE5"/>
    <w:rsid w:val="00900E49"/>
    <w:rsid w:val="00900F42"/>
    <w:rsid w:val="00901003"/>
    <w:rsid w:val="009010E9"/>
    <w:rsid w:val="00901331"/>
    <w:rsid w:val="00901398"/>
    <w:rsid w:val="009014F3"/>
    <w:rsid w:val="009015FB"/>
    <w:rsid w:val="00901706"/>
    <w:rsid w:val="00901E30"/>
    <w:rsid w:val="00901EA5"/>
    <w:rsid w:val="00901EE0"/>
    <w:rsid w:val="00901FCE"/>
    <w:rsid w:val="0090241A"/>
    <w:rsid w:val="009027C3"/>
    <w:rsid w:val="00903291"/>
    <w:rsid w:val="00903813"/>
    <w:rsid w:val="009039E8"/>
    <w:rsid w:val="00903E61"/>
    <w:rsid w:val="00904029"/>
    <w:rsid w:val="00904EBE"/>
    <w:rsid w:val="0090535D"/>
    <w:rsid w:val="00905648"/>
    <w:rsid w:val="009058E8"/>
    <w:rsid w:val="009059AF"/>
    <w:rsid w:val="00905D1E"/>
    <w:rsid w:val="009064D6"/>
    <w:rsid w:val="00906539"/>
    <w:rsid w:val="00906821"/>
    <w:rsid w:val="0090697D"/>
    <w:rsid w:val="00906A1F"/>
    <w:rsid w:val="00906C7F"/>
    <w:rsid w:val="00906E21"/>
    <w:rsid w:val="00906E65"/>
    <w:rsid w:val="00906EC1"/>
    <w:rsid w:val="00906F11"/>
    <w:rsid w:val="00907037"/>
    <w:rsid w:val="009070ED"/>
    <w:rsid w:val="00907287"/>
    <w:rsid w:val="0090796F"/>
    <w:rsid w:val="009079A4"/>
    <w:rsid w:val="009079E5"/>
    <w:rsid w:val="00907BFB"/>
    <w:rsid w:val="00907C47"/>
    <w:rsid w:val="00910089"/>
    <w:rsid w:val="00910129"/>
    <w:rsid w:val="00910229"/>
    <w:rsid w:val="0091036E"/>
    <w:rsid w:val="009103D7"/>
    <w:rsid w:val="00910559"/>
    <w:rsid w:val="0091066F"/>
    <w:rsid w:val="009107C6"/>
    <w:rsid w:val="00910911"/>
    <w:rsid w:val="00911107"/>
    <w:rsid w:val="0091111B"/>
    <w:rsid w:val="0091112D"/>
    <w:rsid w:val="0091125B"/>
    <w:rsid w:val="00911431"/>
    <w:rsid w:val="0091158F"/>
    <w:rsid w:val="0091167B"/>
    <w:rsid w:val="00911A15"/>
    <w:rsid w:val="00911D00"/>
    <w:rsid w:val="00911EE9"/>
    <w:rsid w:val="00911FDD"/>
    <w:rsid w:val="0091275F"/>
    <w:rsid w:val="00912C0A"/>
    <w:rsid w:val="00912CAC"/>
    <w:rsid w:val="00912CCE"/>
    <w:rsid w:val="009132C1"/>
    <w:rsid w:val="0091344B"/>
    <w:rsid w:val="0091349B"/>
    <w:rsid w:val="00913592"/>
    <w:rsid w:val="0091389B"/>
    <w:rsid w:val="00913A4A"/>
    <w:rsid w:val="00913A7C"/>
    <w:rsid w:val="00913B19"/>
    <w:rsid w:val="00913DEC"/>
    <w:rsid w:val="00913F86"/>
    <w:rsid w:val="009140AA"/>
    <w:rsid w:val="009142D4"/>
    <w:rsid w:val="00914326"/>
    <w:rsid w:val="009144C7"/>
    <w:rsid w:val="009144D5"/>
    <w:rsid w:val="00914676"/>
    <w:rsid w:val="009148F4"/>
    <w:rsid w:val="00914A8C"/>
    <w:rsid w:val="00914E18"/>
    <w:rsid w:val="00914E48"/>
    <w:rsid w:val="00914EA5"/>
    <w:rsid w:val="00914EFF"/>
    <w:rsid w:val="00914F8E"/>
    <w:rsid w:val="0091517C"/>
    <w:rsid w:val="0091517D"/>
    <w:rsid w:val="009154A6"/>
    <w:rsid w:val="00915546"/>
    <w:rsid w:val="00915F17"/>
    <w:rsid w:val="00915F98"/>
    <w:rsid w:val="00915FA3"/>
    <w:rsid w:val="00916556"/>
    <w:rsid w:val="009167C5"/>
    <w:rsid w:val="00916915"/>
    <w:rsid w:val="00916BBE"/>
    <w:rsid w:val="00916C2F"/>
    <w:rsid w:val="00916EB8"/>
    <w:rsid w:val="00916F53"/>
    <w:rsid w:val="00916FEC"/>
    <w:rsid w:val="00917367"/>
    <w:rsid w:val="00917454"/>
    <w:rsid w:val="0091775D"/>
    <w:rsid w:val="0091783F"/>
    <w:rsid w:val="0091786A"/>
    <w:rsid w:val="009178A9"/>
    <w:rsid w:val="00917A51"/>
    <w:rsid w:val="00917AF5"/>
    <w:rsid w:val="00917CEA"/>
    <w:rsid w:val="00917E28"/>
    <w:rsid w:val="00917E42"/>
    <w:rsid w:val="0092007C"/>
    <w:rsid w:val="00920305"/>
    <w:rsid w:val="00920307"/>
    <w:rsid w:val="00920331"/>
    <w:rsid w:val="009204D3"/>
    <w:rsid w:val="00920A9E"/>
    <w:rsid w:val="00920CDC"/>
    <w:rsid w:val="00921631"/>
    <w:rsid w:val="00921700"/>
    <w:rsid w:val="009217F8"/>
    <w:rsid w:val="00921807"/>
    <w:rsid w:val="0092187B"/>
    <w:rsid w:val="009219E3"/>
    <w:rsid w:val="00921A4B"/>
    <w:rsid w:val="00921CDA"/>
    <w:rsid w:val="00921F95"/>
    <w:rsid w:val="00922557"/>
    <w:rsid w:val="00922648"/>
    <w:rsid w:val="009226D0"/>
    <w:rsid w:val="00922907"/>
    <w:rsid w:val="00922B14"/>
    <w:rsid w:val="00922BDC"/>
    <w:rsid w:val="00922E22"/>
    <w:rsid w:val="00923167"/>
    <w:rsid w:val="009231FC"/>
    <w:rsid w:val="009232EB"/>
    <w:rsid w:val="009234E5"/>
    <w:rsid w:val="00923DA3"/>
    <w:rsid w:val="00924320"/>
    <w:rsid w:val="009244BA"/>
    <w:rsid w:val="0092470E"/>
    <w:rsid w:val="009247CD"/>
    <w:rsid w:val="00924F26"/>
    <w:rsid w:val="00924F5F"/>
    <w:rsid w:val="00925038"/>
    <w:rsid w:val="00925187"/>
    <w:rsid w:val="00925824"/>
    <w:rsid w:val="00925EAE"/>
    <w:rsid w:val="00925F4C"/>
    <w:rsid w:val="00925F9E"/>
    <w:rsid w:val="0092600B"/>
    <w:rsid w:val="009260A7"/>
    <w:rsid w:val="00926233"/>
    <w:rsid w:val="00926640"/>
    <w:rsid w:val="009268E7"/>
    <w:rsid w:val="0092709C"/>
    <w:rsid w:val="009270A7"/>
    <w:rsid w:val="0092717F"/>
    <w:rsid w:val="00927481"/>
    <w:rsid w:val="009276A4"/>
    <w:rsid w:val="00927744"/>
    <w:rsid w:val="0092775C"/>
    <w:rsid w:val="00927915"/>
    <w:rsid w:val="0092799C"/>
    <w:rsid w:val="00927B05"/>
    <w:rsid w:val="00927F61"/>
    <w:rsid w:val="00930008"/>
    <w:rsid w:val="00930343"/>
    <w:rsid w:val="00930517"/>
    <w:rsid w:val="00930545"/>
    <w:rsid w:val="00930657"/>
    <w:rsid w:val="00930AAD"/>
    <w:rsid w:val="00930F4E"/>
    <w:rsid w:val="0093108B"/>
    <w:rsid w:val="009310C7"/>
    <w:rsid w:val="009310D8"/>
    <w:rsid w:val="009312B5"/>
    <w:rsid w:val="0093136B"/>
    <w:rsid w:val="00931A83"/>
    <w:rsid w:val="00931F20"/>
    <w:rsid w:val="0093240B"/>
    <w:rsid w:val="0093248C"/>
    <w:rsid w:val="0093290B"/>
    <w:rsid w:val="009329F8"/>
    <w:rsid w:val="00932A47"/>
    <w:rsid w:val="00933005"/>
    <w:rsid w:val="0093316B"/>
    <w:rsid w:val="00933432"/>
    <w:rsid w:val="009334A1"/>
    <w:rsid w:val="00933728"/>
    <w:rsid w:val="00933768"/>
    <w:rsid w:val="00933977"/>
    <w:rsid w:val="00933D98"/>
    <w:rsid w:val="00933FE3"/>
    <w:rsid w:val="009342E5"/>
    <w:rsid w:val="0093437B"/>
    <w:rsid w:val="0093438A"/>
    <w:rsid w:val="00934506"/>
    <w:rsid w:val="009345AE"/>
    <w:rsid w:val="0093484E"/>
    <w:rsid w:val="009348DE"/>
    <w:rsid w:val="009349B2"/>
    <w:rsid w:val="009349EE"/>
    <w:rsid w:val="00934C0F"/>
    <w:rsid w:val="00934C82"/>
    <w:rsid w:val="00934EEF"/>
    <w:rsid w:val="0093518F"/>
    <w:rsid w:val="009354D7"/>
    <w:rsid w:val="00935AEF"/>
    <w:rsid w:val="00935E43"/>
    <w:rsid w:val="0093605C"/>
    <w:rsid w:val="00936062"/>
    <w:rsid w:val="00936881"/>
    <w:rsid w:val="009368C3"/>
    <w:rsid w:val="00936D91"/>
    <w:rsid w:val="00936E76"/>
    <w:rsid w:val="00936F57"/>
    <w:rsid w:val="00936F96"/>
    <w:rsid w:val="00937387"/>
    <w:rsid w:val="009374BD"/>
    <w:rsid w:val="00937583"/>
    <w:rsid w:val="0093764E"/>
    <w:rsid w:val="009376DD"/>
    <w:rsid w:val="00937CBE"/>
    <w:rsid w:val="00937F78"/>
    <w:rsid w:val="009400F5"/>
    <w:rsid w:val="00940186"/>
    <w:rsid w:val="00940223"/>
    <w:rsid w:val="009402D2"/>
    <w:rsid w:val="009402F3"/>
    <w:rsid w:val="00940412"/>
    <w:rsid w:val="00940E77"/>
    <w:rsid w:val="00941064"/>
    <w:rsid w:val="0094125A"/>
    <w:rsid w:val="00941608"/>
    <w:rsid w:val="0094184F"/>
    <w:rsid w:val="0094191E"/>
    <w:rsid w:val="009419B0"/>
    <w:rsid w:val="00941B18"/>
    <w:rsid w:val="00941F76"/>
    <w:rsid w:val="00941FFB"/>
    <w:rsid w:val="00942302"/>
    <w:rsid w:val="00942539"/>
    <w:rsid w:val="00942B09"/>
    <w:rsid w:val="00942D4A"/>
    <w:rsid w:val="00942DC8"/>
    <w:rsid w:val="00942FF2"/>
    <w:rsid w:val="009432F5"/>
    <w:rsid w:val="00943386"/>
    <w:rsid w:val="00943437"/>
    <w:rsid w:val="009438E2"/>
    <w:rsid w:val="00943992"/>
    <w:rsid w:val="00943C64"/>
    <w:rsid w:val="00944087"/>
    <w:rsid w:val="0094418D"/>
    <w:rsid w:val="009441A4"/>
    <w:rsid w:val="0094448A"/>
    <w:rsid w:val="0094454E"/>
    <w:rsid w:val="009445EC"/>
    <w:rsid w:val="009446E0"/>
    <w:rsid w:val="00944989"/>
    <w:rsid w:val="009449DE"/>
    <w:rsid w:val="00944A5E"/>
    <w:rsid w:val="00944A9A"/>
    <w:rsid w:val="00944C51"/>
    <w:rsid w:val="00944E74"/>
    <w:rsid w:val="00944F30"/>
    <w:rsid w:val="0094504B"/>
    <w:rsid w:val="00945147"/>
    <w:rsid w:val="00945750"/>
    <w:rsid w:val="00945B19"/>
    <w:rsid w:val="00945B6C"/>
    <w:rsid w:val="00945EB2"/>
    <w:rsid w:val="009466C5"/>
    <w:rsid w:val="00946854"/>
    <w:rsid w:val="00946D30"/>
    <w:rsid w:val="00946EAB"/>
    <w:rsid w:val="00946F11"/>
    <w:rsid w:val="009470D9"/>
    <w:rsid w:val="00947304"/>
    <w:rsid w:val="0094752A"/>
    <w:rsid w:val="009475CA"/>
    <w:rsid w:val="00947CB6"/>
    <w:rsid w:val="00947FD0"/>
    <w:rsid w:val="0095008A"/>
    <w:rsid w:val="0095012E"/>
    <w:rsid w:val="009503F2"/>
    <w:rsid w:val="00950890"/>
    <w:rsid w:val="00950E13"/>
    <w:rsid w:val="00950FCC"/>
    <w:rsid w:val="00951649"/>
    <w:rsid w:val="009517D7"/>
    <w:rsid w:val="00951921"/>
    <w:rsid w:val="00951934"/>
    <w:rsid w:val="0095207B"/>
    <w:rsid w:val="0095216F"/>
    <w:rsid w:val="00952346"/>
    <w:rsid w:val="009524DD"/>
    <w:rsid w:val="009529B8"/>
    <w:rsid w:val="009529FA"/>
    <w:rsid w:val="00952A8A"/>
    <w:rsid w:val="0095312C"/>
    <w:rsid w:val="009536AD"/>
    <w:rsid w:val="00953AF6"/>
    <w:rsid w:val="00954065"/>
    <w:rsid w:val="009542A6"/>
    <w:rsid w:val="009544CF"/>
    <w:rsid w:val="00954635"/>
    <w:rsid w:val="00954638"/>
    <w:rsid w:val="0095481D"/>
    <w:rsid w:val="00954B0E"/>
    <w:rsid w:val="00954C8C"/>
    <w:rsid w:val="00954D97"/>
    <w:rsid w:val="00954E88"/>
    <w:rsid w:val="0095504B"/>
    <w:rsid w:val="009556A9"/>
    <w:rsid w:val="00955701"/>
    <w:rsid w:val="009557F2"/>
    <w:rsid w:val="00955FD7"/>
    <w:rsid w:val="009561EB"/>
    <w:rsid w:val="009562CC"/>
    <w:rsid w:val="00956380"/>
    <w:rsid w:val="00956A69"/>
    <w:rsid w:val="00956ACE"/>
    <w:rsid w:val="00957138"/>
    <w:rsid w:val="00957200"/>
    <w:rsid w:val="00957230"/>
    <w:rsid w:val="00957259"/>
    <w:rsid w:val="009572A0"/>
    <w:rsid w:val="009572B2"/>
    <w:rsid w:val="009573DB"/>
    <w:rsid w:val="00957D24"/>
    <w:rsid w:val="00957D49"/>
    <w:rsid w:val="00957E7B"/>
    <w:rsid w:val="00957EAE"/>
    <w:rsid w:val="00957F44"/>
    <w:rsid w:val="009600B5"/>
    <w:rsid w:val="0096087D"/>
    <w:rsid w:val="00960955"/>
    <w:rsid w:val="00960A25"/>
    <w:rsid w:val="00960B87"/>
    <w:rsid w:val="00960BF4"/>
    <w:rsid w:val="00960C9D"/>
    <w:rsid w:val="00960DCF"/>
    <w:rsid w:val="00960FB8"/>
    <w:rsid w:val="0096105A"/>
    <w:rsid w:val="009616A8"/>
    <w:rsid w:val="009617F4"/>
    <w:rsid w:val="0096188E"/>
    <w:rsid w:val="00961A51"/>
    <w:rsid w:val="00961B53"/>
    <w:rsid w:val="00961BDB"/>
    <w:rsid w:val="00961CE7"/>
    <w:rsid w:val="00961D67"/>
    <w:rsid w:val="00961D8C"/>
    <w:rsid w:val="00961F91"/>
    <w:rsid w:val="00962663"/>
    <w:rsid w:val="00962B17"/>
    <w:rsid w:val="0096300F"/>
    <w:rsid w:val="00963264"/>
    <w:rsid w:val="0096389D"/>
    <w:rsid w:val="009638E3"/>
    <w:rsid w:val="009639CC"/>
    <w:rsid w:val="00963A50"/>
    <w:rsid w:val="00963AD6"/>
    <w:rsid w:val="00963B15"/>
    <w:rsid w:val="00963E06"/>
    <w:rsid w:val="00964180"/>
    <w:rsid w:val="0096488F"/>
    <w:rsid w:val="00964E09"/>
    <w:rsid w:val="00964EE6"/>
    <w:rsid w:val="00964EEC"/>
    <w:rsid w:val="009652DB"/>
    <w:rsid w:val="00965405"/>
    <w:rsid w:val="009655D7"/>
    <w:rsid w:val="00965F5B"/>
    <w:rsid w:val="00966149"/>
    <w:rsid w:val="00966355"/>
    <w:rsid w:val="009663EB"/>
    <w:rsid w:val="009666D9"/>
    <w:rsid w:val="0096682E"/>
    <w:rsid w:val="0096716A"/>
    <w:rsid w:val="009671FC"/>
    <w:rsid w:val="00967306"/>
    <w:rsid w:val="009676C0"/>
    <w:rsid w:val="0096772B"/>
    <w:rsid w:val="00967813"/>
    <w:rsid w:val="00967847"/>
    <w:rsid w:val="00967E04"/>
    <w:rsid w:val="00967E2A"/>
    <w:rsid w:val="0097077D"/>
    <w:rsid w:val="00970DD6"/>
    <w:rsid w:val="00970E8B"/>
    <w:rsid w:val="00970EEC"/>
    <w:rsid w:val="0097128B"/>
    <w:rsid w:val="00971598"/>
    <w:rsid w:val="0097165F"/>
    <w:rsid w:val="00971680"/>
    <w:rsid w:val="00971A57"/>
    <w:rsid w:val="00971E6C"/>
    <w:rsid w:val="009722F8"/>
    <w:rsid w:val="009729EF"/>
    <w:rsid w:val="00972D3C"/>
    <w:rsid w:val="00972E25"/>
    <w:rsid w:val="0097303B"/>
    <w:rsid w:val="00973055"/>
    <w:rsid w:val="009733F1"/>
    <w:rsid w:val="00973441"/>
    <w:rsid w:val="0097383B"/>
    <w:rsid w:val="0097387B"/>
    <w:rsid w:val="00973A41"/>
    <w:rsid w:val="00973BFD"/>
    <w:rsid w:val="00974BB5"/>
    <w:rsid w:val="00974F7B"/>
    <w:rsid w:val="0097567E"/>
    <w:rsid w:val="0097595E"/>
    <w:rsid w:val="00975AF0"/>
    <w:rsid w:val="00975B65"/>
    <w:rsid w:val="00975F9A"/>
    <w:rsid w:val="009763D2"/>
    <w:rsid w:val="00976B67"/>
    <w:rsid w:val="00976EB7"/>
    <w:rsid w:val="00976F3D"/>
    <w:rsid w:val="009772FE"/>
    <w:rsid w:val="0097740D"/>
    <w:rsid w:val="00977491"/>
    <w:rsid w:val="0097754D"/>
    <w:rsid w:val="009775FB"/>
    <w:rsid w:val="009776A0"/>
    <w:rsid w:val="0097795D"/>
    <w:rsid w:val="00977A75"/>
    <w:rsid w:val="00977CD0"/>
    <w:rsid w:val="00977CF9"/>
    <w:rsid w:val="00980252"/>
    <w:rsid w:val="009803A9"/>
    <w:rsid w:val="009803CB"/>
    <w:rsid w:val="009803D4"/>
    <w:rsid w:val="009804DE"/>
    <w:rsid w:val="009807A2"/>
    <w:rsid w:val="009807C9"/>
    <w:rsid w:val="00980FF0"/>
    <w:rsid w:val="00981432"/>
    <w:rsid w:val="0098178B"/>
    <w:rsid w:val="0098199C"/>
    <w:rsid w:val="00981B12"/>
    <w:rsid w:val="00981BB9"/>
    <w:rsid w:val="00981D0B"/>
    <w:rsid w:val="00981D39"/>
    <w:rsid w:val="00981D54"/>
    <w:rsid w:val="009820EC"/>
    <w:rsid w:val="009828FC"/>
    <w:rsid w:val="00982A17"/>
    <w:rsid w:val="00982E78"/>
    <w:rsid w:val="00982ED1"/>
    <w:rsid w:val="00982F11"/>
    <w:rsid w:val="00982FA5"/>
    <w:rsid w:val="00982FC4"/>
    <w:rsid w:val="0098323D"/>
    <w:rsid w:val="009832C5"/>
    <w:rsid w:val="0098379B"/>
    <w:rsid w:val="00983868"/>
    <w:rsid w:val="009838C6"/>
    <w:rsid w:val="009838E2"/>
    <w:rsid w:val="00983BDB"/>
    <w:rsid w:val="00983D54"/>
    <w:rsid w:val="00984086"/>
    <w:rsid w:val="00984191"/>
    <w:rsid w:val="0098425C"/>
    <w:rsid w:val="009844ED"/>
    <w:rsid w:val="0098478C"/>
    <w:rsid w:val="009849B2"/>
    <w:rsid w:val="00984AD1"/>
    <w:rsid w:val="00984B2D"/>
    <w:rsid w:val="00984E9B"/>
    <w:rsid w:val="009851D8"/>
    <w:rsid w:val="0098523F"/>
    <w:rsid w:val="00985485"/>
    <w:rsid w:val="009854E3"/>
    <w:rsid w:val="00985510"/>
    <w:rsid w:val="00985582"/>
    <w:rsid w:val="00985B5D"/>
    <w:rsid w:val="00985CD5"/>
    <w:rsid w:val="00985F14"/>
    <w:rsid w:val="009860AA"/>
    <w:rsid w:val="009861D0"/>
    <w:rsid w:val="009864CE"/>
    <w:rsid w:val="009866C7"/>
    <w:rsid w:val="00986A04"/>
    <w:rsid w:val="00986A33"/>
    <w:rsid w:val="00986B3D"/>
    <w:rsid w:val="00986D16"/>
    <w:rsid w:val="00986F6F"/>
    <w:rsid w:val="00987002"/>
    <w:rsid w:val="00987092"/>
    <w:rsid w:val="00987283"/>
    <w:rsid w:val="009873F3"/>
    <w:rsid w:val="00987548"/>
    <w:rsid w:val="0098774A"/>
    <w:rsid w:val="009877DF"/>
    <w:rsid w:val="00987851"/>
    <w:rsid w:val="00987A58"/>
    <w:rsid w:val="00987C82"/>
    <w:rsid w:val="009901D8"/>
    <w:rsid w:val="00990417"/>
    <w:rsid w:val="00990573"/>
    <w:rsid w:val="009907F0"/>
    <w:rsid w:val="00990918"/>
    <w:rsid w:val="00990A9F"/>
    <w:rsid w:val="00990CB8"/>
    <w:rsid w:val="00990F6C"/>
    <w:rsid w:val="009910B3"/>
    <w:rsid w:val="009913BE"/>
    <w:rsid w:val="009916BF"/>
    <w:rsid w:val="009917AD"/>
    <w:rsid w:val="0099195A"/>
    <w:rsid w:val="00991B03"/>
    <w:rsid w:val="00991CAD"/>
    <w:rsid w:val="00991CB6"/>
    <w:rsid w:val="0099217C"/>
    <w:rsid w:val="00992464"/>
    <w:rsid w:val="00992536"/>
    <w:rsid w:val="00992643"/>
    <w:rsid w:val="009926C4"/>
    <w:rsid w:val="00992718"/>
    <w:rsid w:val="00992A4D"/>
    <w:rsid w:val="00992B8B"/>
    <w:rsid w:val="00992FC1"/>
    <w:rsid w:val="00993261"/>
    <w:rsid w:val="00993742"/>
    <w:rsid w:val="00993C45"/>
    <w:rsid w:val="00993ED4"/>
    <w:rsid w:val="00993FD1"/>
    <w:rsid w:val="0099409E"/>
    <w:rsid w:val="0099460B"/>
    <w:rsid w:val="00994759"/>
    <w:rsid w:val="00994C22"/>
    <w:rsid w:val="009953C6"/>
    <w:rsid w:val="00995812"/>
    <w:rsid w:val="00995AC5"/>
    <w:rsid w:val="00995AD8"/>
    <w:rsid w:val="00995E78"/>
    <w:rsid w:val="00995E98"/>
    <w:rsid w:val="00995F50"/>
    <w:rsid w:val="00995FAB"/>
    <w:rsid w:val="00996270"/>
    <w:rsid w:val="00996302"/>
    <w:rsid w:val="0099640E"/>
    <w:rsid w:val="0099645B"/>
    <w:rsid w:val="00996592"/>
    <w:rsid w:val="0099668A"/>
    <w:rsid w:val="00996798"/>
    <w:rsid w:val="00996B0B"/>
    <w:rsid w:val="00996E21"/>
    <w:rsid w:val="00996E6D"/>
    <w:rsid w:val="00996F0E"/>
    <w:rsid w:val="00996F15"/>
    <w:rsid w:val="009977DA"/>
    <w:rsid w:val="009978D6"/>
    <w:rsid w:val="00997BA8"/>
    <w:rsid w:val="00997FB8"/>
    <w:rsid w:val="009A01E4"/>
    <w:rsid w:val="009A0282"/>
    <w:rsid w:val="009A0330"/>
    <w:rsid w:val="009A0357"/>
    <w:rsid w:val="009A05D7"/>
    <w:rsid w:val="009A0656"/>
    <w:rsid w:val="009A06F4"/>
    <w:rsid w:val="009A0763"/>
    <w:rsid w:val="009A0C02"/>
    <w:rsid w:val="009A0DD4"/>
    <w:rsid w:val="009A1002"/>
    <w:rsid w:val="009A1130"/>
    <w:rsid w:val="009A13A1"/>
    <w:rsid w:val="009A13CD"/>
    <w:rsid w:val="009A13DB"/>
    <w:rsid w:val="009A19FD"/>
    <w:rsid w:val="009A1D78"/>
    <w:rsid w:val="009A1F09"/>
    <w:rsid w:val="009A26B1"/>
    <w:rsid w:val="009A27D5"/>
    <w:rsid w:val="009A27E6"/>
    <w:rsid w:val="009A2C07"/>
    <w:rsid w:val="009A306D"/>
    <w:rsid w:val="009A32E1"/>
    <w:rsid w:val="009A335F"/>
    <w:rsid w:val="009A351E"/>
    <w:rsid w:val="009A3778"/>
    <w:rsid w:val="009A3953"/>
    <w:rsid w:val="009A3DC2"/>
    <w:rsid w:val="009A3E05"/>
    <w:rsid w:val="009A3E2E"/>
    <w:rsid w:val="009A3E6E"/>
    <w:rsid w:val="009A4044"/>
    <w:rsid w:val="009A4573"/>
    <w:rsid w:val="009A45F6"/>
    <w:rsid w:val="009A4A58"/>
    <w:rsid w:val="009A4C74"/>
    <w:rsid w:val="009A4D0B"/>
    <w:rsid w:val="009A4DA9"/>
    <w:rsid w:val="009A4E17"/>
    <w:rsid w:val="009A5039"/>
    <w:rsid w:val="009A57B8"/>
    <w:rsid w:val="009A580E"/>
    <w:rsid w:val="009A591B"/>
    <w:rsid w:val="009A5B71"/>
    <w:rsid w:val="009A604B"/>
    <w:rsid w:val="009A65EC"/>
    <w:rsid w:val="009A66BB"/>
    <w:rsid w:val="009A6A52"/>
    <w:rsid w:val="009A6D72"/>
    <w:rsid w:val="009A6DF0"/>
    <w:rsid w:val="009A6FC5"/>
    <w:rsid w:val="009A7066"/>
    <w:rsid w:val="009A74F0"/>
    <w:rsid w:val="009A7584"/>
    <w:rsid w:val="009A77B8"/>
    <w:rsid w:val="009A786E"/>
    <w:rsid w:val="009A7B07"/>
    <w:rsid w:val="009A7F34"/>
    <w:rsid w:val="009B020A"/>
    <w:rsid w:val="009B0374"/>
    <w:rsid w:val="009B03E7"/>
    <w:rsid w:val="009B0495"/>
    <w:rsid w:val="009B06F1"/>
    <w:rsid w:val="009B116B"/>
    <w:rsid w:val="009B124A"/>
    <w:rsid w:val="009B136C"/>
    <w:rsid w:val="009B13C5"/>
    <w:rsid w:val="009B1644"/>
    <w:rsid w:val="009B1648"/>
    <w:rsid w:val="009B1B43"/>
    <w:rsid w:val="009B1F5D"/>
    <w:rsid w:val="009B2245"/>
    <w:rsid w:val="009B231B"/>
    <w:rsid w:val="009B258E"/>
    <w:rsid w:val="009B260B"/>
    <w:rsid w:val="009B2910"/>
    <w:rsid w:val="009B2AF2"/>
    <w:rsid w:val="009B2B62"/>
    <w:rsid w:val="009B2C5B"/>
    <w:rsid w:val="009B2CBE"/>
    <w:rsid w:val="009B312C"/>
    <w:rsid w:val="009B3324"/>
    <w:rsid w:val="009B33EE"/>
    <w:rsid w:val="009B3537"/>
    <w:rsid w:val="009B35BC"/>
    <w:rsid w:val="009B3813"/>
    <w:rsid w:val="009B423E"/>
    <w:rsid w:val="009B47B2"/>
    <w:rsid w:val="009B4A49"/>
    <w:rsid w:val="009B4CD1"/>
    <w:rsid w:val="009B4E09"/>
    <w:rsid w:val="009B517B"/>
    <w:rsid w:val="009B537F"/>
    <w:rsid w:val="009B5448"/>
    <w:rsid w:val="009B57C3"/>
    <w:rsid w:val="009B5997"/>
    <w:rsid w:val="009B6B23"/>
    <w:rsid w:val="009B6D8D"/>
    <w:rsid w:val="009B6F3A"/>
    <w:rsid w:val="009B716A"/>
    <w:rsid w:val="009B717D"/>
    <w:rsid w:val="009B7181"/>
    <w:rsid w:val="009B721D"/>
    <w:rsid w:val="009B72B4"/>
    <w:rsid w:val="009B72C3"/>
    <w:rsid w:val="009B73AC"/>
    <w:rsid w:val="009B756C"/>
    <w:rsid w:val="009B75F8"/>
    <w:rsid w:val="009B7664"/>
    <w:rsid w:val="009B78D8"/>
    <w:rsid w:val="009B7916"/>
    <w:rsid w:val="009B7A47"/>
    <w:rsid w:val="009B7ABD"/>
    <w:rsid w:val="009B7B13"/>
    <w:rsid w:val="009B7B87"/>
    <w:rsid w:val="009B7C48"/>
    <w:rsid w:val="009B7D0C"/>
    <w:rsid w:val="009C04C1"/>
    <w:rsid w:val="009C052E"/>
    <w:rsid w:val="009C057E"/>
    <w:rsid w:val="009C07E9"/>
    <w:rsid w:val="009C0817"/>
    <w:rsid w:val="009C0A41"/>
    <w:rsid w:val="009C0BE2"/>
    <w:rsid w:val="009C0C55"/>
    <w:rsid w:val="009C0DBE"/>
    <w:rsid w:val="009C0FDD"/>
    <w:rsid w:val="009C1093"/>
    <w:rsid w:val="009C10EC"/>
    <w:rsid w:val="009C1185"/>
    <w:rsid w:val="009C13E4"/>
    <w:rsid w:val="009C1402"/>
    <w:rsid w:val="009C171D"/>
    <w:rsid w:val="009C189C"/>
    <w:rsid w:val="009C18D3"/>
    <w:rsid w:val="009C1A05"/>
    <w:rsid w:val="009C1D27"/>
    <w:rsid w:val="009C1E42"/>
    <w:rsid w:val="009C20AD"/>
    <w:rsid w:val="009C2188"/>
    <w:rsid w:val="009C2210"/>
    <w:rsid w:val="009C251E"/>
    <w:rsid w:val="009C2762"/>
    <w:rsid w:val="009C28E4"/>
    <w:rsid w:val="009C2DEC"/>
    <w:rsid w:val="009C2EF5"/>
    <w:rsid w:val="009C3056"/>
    <w:rsid w:val="009C334A"/>
    <w:rsid w:val="009C34AB"/>
    <w:rsid w:val="009C356F"/>
    <w:rsid w:val="009C385D"/>
    <w:rsid w:val="009C39AA"/>
    <w:rsid w:val="009C3BD9"/>
    <w:rsid w:val="009C3C8C"/>
    <w:rsid w:val="009C3DFD"/>
    <w:rsid w:val="009C3F2E"/>
    <w:rsid w:val="009C4079"/>
    <w:rsid w:val="009C40CE"/>
    <w:rsid w:val="009C41AA"/>
    <w:rsid w:val="009C4419"/>
    <w:rsid w:val="009C475E"/>
    <w:rsid w:val="009C4A5D"/>
    <w:rsid w:val="009C4F7C"/>
    <w:rsid w:val="009C504A"/>
    <w:rsid w:val="009C53BD"/>
    <w:rsid w:val="009C5688"/>
    <w:rsid w:val="009C5790"/>
    <w:rsid w:val="009C5A10"/>
    <w:rsid w:val="009C5B82"/>
    <w:rsid w:val="009C5C82"/>
    <w:rsid w:val="009C5EF2"/>
    <w:rsid w:val="009C5FEE"/>
    <w:rsid w:val="009C66ED"/>
    <w:rsid w:val="009C6824"/>
    <w:rsid w:val="009C6A38"/>
    <w:rsid w:val="009C6ECF"/>
    <w:rsid w:val="009C6EE9"/>
    <w:rsid w:val="009C7115"/>
    <w:rsid w:val="009C723F"/>
    <w:rsid w:val="009C748D"/>
    <w:rsid w:val="009C756E"/>
    <w:rsid w:val="009C7670"/>
    <w:rsid w:val="009C7D2E"/>
    <w:rsid w:val="009C7F42"/>
    <w:rsid w:val="009D0381"/>
    <w:rsid w:val="009D0670"/>
    <w:rsid w:val="009D0FC0"/>
    <w:rsid w:val="009D1036"/>
    <w:rsid w:val="009D105A"/>
    <w:rsid w:val="009D145B"/>
    <w:rsid w:val="009D1485"/>
    <w:rsid w:val="009D1627"/>
    <w:rsid w:val="009D1901"/>
    <w:rsid w:val="009D1A7D"/>
    <w:rsid w:val="009D1A97"/>
    <w:rsid w:val="009D1B31"/>
    <w:rsid w:val="009D1C32"/>
    <w:rsid w:val="009D1D73"/>
    <w:rsid w:val="009D1EDA"/>
    <w:rsid w:val="009D21BE"/>
    <w:rsid w:val="009D26C8"/>
    <w:rsid w:val="009D2973"/>
    <w:rsid w:val="009D29C8"/>
    <w:rsid w:val="009D2B8E"/>
    <w:rsid w:val="009D2DE2"/>
    <w:rsid w:val="009D2FAA"/>
    <w:rsid w:val="009D2FD9"/>
    <w:rsid w:val="009D3050"/>
    <w:rsid w:val="009D3117"/>
    <w:rsid w:val="009D32F8"/>
    <w:rsid w:val="009D35B2"/>
    <w:rsid w:val="009D3603"/>
    <w:rsid w:val="009D3854"/>
    <w:rsid w:val="009D394D"/>
    <w:rsid w:val="009D3C3D"/>
    <w:rsid w:val="009D3D20"/>
    <w:rsid w:val="009D3DA1"/>
    <w:rsid w:val="009D3F0B"/>
    <w:rsid w:val="009D4302"/>
    <w:rsid w:val="009D435A"/>
    <w:rsid w:val="009D43F9"/>
    <w:rsid w:val="009D49A3"/>
    <w:rsid w:val="009D49AD"/>
    <w:rsid w:val="009D4A10"/>
    <w:rsid w:val="009D4C4F"/>
    <w:rsid w:val="009D5243"/>
    <w:rsid w:val="009D5246"/>
    <w:rsid w:val="009D5288"/>
    <w:rsid w:val="009D54BF"/>
    <w:rsid w:val="009D58A0"/>
    <w:rsid w:val="009D59CD"/>
    <w:rsid w:val="009D5B22"/>
    <w:rsid w:val="009D6235"/>
    <w:rsid w:val="009D6331"/>
    <w:rsid w:val="009D66E5"/>
    <w:rsid w:val="009D6D48"/>
    <w:rsid w:val="009D6D9D"/>
    <w:rsid w:val="009D6F03"/>
    <w:rsid w:val="009D71B6"/>
    <w:rsid w:val="009D7520"/>
    <w:rsid w:val="009D78EA"/>
    <w:rsid w:val="009D796F"/>
    <w:rsid w:val="009D7A8F"/>
    <w:rsid w:val="009E002B"/>
    <w:rsid w:val="009E053C"/>
    <w:rsid w:val="009E065D"/>
    <w:rsid w:val="009E083E"/>
    <w:rsid w:val="009E0920"/>
    <w:rsid w:val="009E0C73"/>
    <w:rsid w:val="009E0EB1"/>
    <w:rsid w:val="009E0F05"/>
    <w:rsid w:val="009E0F45"/>
    <w:rsid w:val="009E0F9D"/>
    <w:rsid w:val="009E111D"/>
    <w:rsid w:val="009E11AE"/>
    <w:rsid w:val="009E12CC"/>
    <w:rsid w:val="009E1329"/>
    <w:rsid w:val="009E14DC"/>
    <w:rsid w:val="009E1754"/>
    <w:rsid w:val="009E1CE2"/>
    <w:rsid w:val="009E2003"/>
    <w:rsid w:val="009E2305"/>
    <w:rsid w:val="009E2489"/>
    <w:rsid w:val="009E2526"/>
    <w:rsid w:val="009E2648"/>
    <w:rsid w:val="009E266E"/>
    <w:rsid w:val="009E2A9F"/>
    <w:rsid w:val="009E2AD3"/>
    <w:rsid w:val="009E2CDE"/>
    <w:rsid w:val="009E2DAE"/>
    <w:rsid w:val="009E2E22"/>
    <w:rsid w:val="009E305D"/>
    <w:rsid w:val="009E347C"/>
    <w:rsid w:val="009E348B"/>
    <w:rsid w:val="009E36AE"/>
    <w:rsid w:val="009E3770"/>
    <w:rsid w:val="009E38C1"/>
    <w:rsid w:val="009E3B02"/>
    <w:rsid w:val="009E3BDE"/>
    <w:rsid w:val="009E4113"/>
    <w:rsid w:val="009E439E"/>
    <w:rsid w:val="009E47E5"/>
    <w:rsid w:val="009E4868"/>
    <w:rsid w:val="009E48E2"/>
    <w:rsid w:val="009E494C"/>
    <w:rsid w:val="009E4EFA"/>
    <w:rsid w:val="009E4F1D"/>
    <w:rsid w:val="009E5139"/>
    <w:rsid w:val="009E51EA"/>
    <w:rsid w:val="009E52C7"/>
    <w:rsid w:val="009E557D"/>
    <w:rsid w:val="009E55FB"/>
    <w:rsid w:val="009E5953"/>
    <w:rsid w:val="009E5A4E"/>
    <w:rsid w:val="009E5BFD"/>
    <w:rsid w:val="009E5F08"/>
    <w:rsid w:val="009E5F4A"/>
    <w:rsid w:val="009E5FDF"/>
    <w:rsid w:val="009E6091"/>
    <w:rsid w:val="009E6B3C"/>
    <w:rsid w:val="009E6CF8"/>
    <w:rsid w:val="009E6F6A"/>
    <w:rsid w:val="009E6F90"/>
    <w:rsid w:val="009E70B7"/>
    <w:rsid w:val="009E74DF"/>
    <w:rsid w:val="009E7568"/>
    <w:rsid w:val="009E75A0"/>
    <w:rsid w:val="009E7707"/>
    <w:rsid w:val="009E79D8"/>
    <w:rsid w:val="009E7CC1"/>
    <w:rsid w:val="009E7D69"/>
    <w:rsid w:val="009F00A1"/>
    <w:rsid w:val="009F020B"/>
    <w:rsid w:val="009F03DB"/>
    <w:rsid w:val="009F057E"/>
    <w:rsid w:val="009F0734"/>
    <w:rsid w:val="009F07A3"/>
    <w:rsid w:val="009F0842"/>
    <w:rsid w:val="009F08DC"/>
    <w:rsid w:val="009F0C3B"/>
    <w:rsid w:val="009F116B"/>
    <w:rsid w:val="009F11BF"/>
    <w:rsid w:val="009F146F"/>
    <w:rsid w:val="009F149B"/>
    <w:rsid w:val="009F15AB"/>
    <w:rsid w:val="009F15D5"/>
    <w:rsid w:val="009F1FAB"/>
    <w:rsid w:val="009F20A0"/>
    <w:rsid w:val="009F20FF"/>
    <w:rsid w:val="009F2179"/>
    <w:rsid w:val="009F217B"/>
    <w:rsid w:val="009F221A"/>
    <w:rsid w:val="009F2603"/>
    <w:rsid w:val="009F26D6"/>
    <w:rsid w:val="009F27E8"/>
    <w:rsid w:val="009F2815"/>
    <w:rsid w:val="009F2922"/>
    <w:rsid w:val="009F2D5A"/>
    <w:rsid w:val="009F3277"/>
    <w:rsid w:val="009F3392"/>
    <w:rsid w:val="009F3464"/>
    <w:rsid w:val="009F35AD"/>
    <w:rsid w:val="009F3686"/>
    <w:rsid w:val="009F3C75"/>
    <w:rsid w:val="009F3C9B"/>
    <w:rsid w:val="009F40A2"/>
    <w:rsid w:val="009F40EF"/>
    <w:rsid w:val="009F4698"/>
    <w:rsid w:val="009F4874"/>
    <w:rsid w:val="009F49A0"/>
    <w:rsid w:val="009F4C3E"/>
    <w:rsid w:val="009F4F5B"/>
    <w:rsid w:val="009F50B2"/>
    <w:rsid w:val="009F5323"/>
    <w:rsid w:val="009F56A3"/>
    <w:rsid w:val="009F5841"/>
    <w:rsid w:val="009F5ECD"/>
    <w:rsid w:val="009F5FDA"/>
    <w:rsid w:val="009F625F"/>
    <w:rsid w:val="009F6378"/>
    <w:rsid w:val="009F6384"/>
    <w:rsid w:val="009F66CE"/>
    <w:rsid w:val="009F6831"/>
    <w:rsid w:val="009F6916"/>
    <w:rsid w:val="009F692A"/>
    <w:rsid w:val="009F69FF"/>
    <w:rsid w:val="009F6B7D"/>
    <w:rsid w:val="009F6D5C"/>
    <w:rsid w:val="009F6DF6"/>
    <w:rsid w:val="009F6F04"/>
    <w:rsid w:val="009F70E4"/>
    <w:rsid w:val="009F724D"/>
    <w:rsid w:val="009F7388"/>
    <w:rsid w:val="009F73B0"/>
    <w:rsid w:val="009F77AD"/>
    <w:rsid w:val="009F7B49"/>
    <w:rsid w:val="009F7BEE"/>
    <w:rsid w:val="009F7C38"/>
    <w:rsid w:val="00A00146"/>
    <w:rsid w:val="00A001F3"/>
    <w:rsid w:val="00A0037E"/>
    <w:rsid w:val="00A00910"/>
    <w:rsid w:val="00A00C8B"/>
    <w:rsid w:val="00A01303"/>
    <w:rsid w:val="00A01467"/>
    <w:rsid w:val="00A01484"/>
    <w:rsid w:val="00A0182A"/>
    <w:rsid w:val="00A01F7C"/>
    <w:rsid w:val="00A0256D"/>
    <w:rsid w:val="00A026D7"/>
    <w:rsid w:val="00A0290B"/>
    <w:rsid w:val="00A02916"/>
    <w:rsid w:val="00A029B7"/>
    <w:rsid w:val="00A02B05"/>
    <w:rsid w:val="00A02C4F"/>
    <w:rsid w:val="00A02FF9"/>
    <w:rsid w:val="00A03051"/>
    <w:rsid w:val="00A03126"/>
    <w:rsid w:val="00A032D0"/>
    <w:rsid w:val="00A033F9"/>
    <w:rsid w:val="00A0354B"/>
    <w:rsid w:val="00A03622"/>
    <w:rsid w:val="00A037C3"/>
    <w:rsid w:val="00A03880"/>
    <w:rsid w:val="00A03F0F"/>
    <w:rsid w:val="00A042D2"/>
    <w:rsid w:val="00A04461"/>
    <w:rsid w:val="00A0460B"/>
    <w:rsid w:val="00A04A09"/>
    <w:rsid w:val="00A04C9A"/>
    <w:rsid w:val="00A05165"/>
    <w:rsid w:val="00A051F6"/>
    <w:rsid w:val="00A053E3"/>
    <w:rsid w:val="00A057B1"/>
    <w:rsid w:val="00A05818"/>
    <w:rsid w:val="00A05821"/>
    <w:rsid w:val="00A05B31"/>
    <w:rsid w:val="00A05B41"/>
    <w:rsid w:val="00A05D1D"/>
    <w:rsid w:val="00A05EA2"/>
    <w:rsid w:val="00A06166"/>
    <w:rsid w:val="00A0641F"/>
    <w:rsid w:val="00A06C5D"/>
    <w:rsid w:val="00A06CD2"/>
    <w:rsid w:val="00A071EC"/>
    <w:rsid w:val="00A07337"/>
    <w:rsid w:val="00A076CC"/>
    <w:rsid w:val="00A07752"/>
    <w:rsid w:val="00A07893"/>
    <w:rsid w:val="00A07933"/>
    <w:rsid w:val="00A07975"/>
    <w:rsid w:val="00A079A0"/>
    <w:rsid w:val="00A079F8"/>
    <w:rsid w:val="00A07BCA"/>
    <w:rsid w:val="00A07EF1"/>
    <w:rsid w:val="00A10196"/>
    <w:rsid w:val="00A1033A"/>
    <w:rsid w:val="00A109D1"/>
    <w:rsid w:val="00A10CA3"/>
    <w:rsid w:val="00A1109B"/>
    <w:rsid w:val="00A112C2"/>
    <w:rsid w:val="00A1165C"/>
    <w:rsid w:val="00A1168D"/>
    <w:rsid w:val="00A11720"/>
    <w:rsid w:val="00A11798"/>
    <w:rsid w:val="00A117F4"/>
    <w:rsid w:val="00A1197D"/>
    <w:rsid w:val="00A11D1D"/>
    <w:rsid w:val="00A11E47"/>
    <w:rsid w:val="00A120D4"/>
    <w:rsid w:val="00A12117"/>
    <w:rsid w:val="00A121D2"/>
    <w:rsid w:val="00A122E0"/>
    <w:rsid w:val="00A12357"/>
    <w:rsid w:val="00A125D6"/>
    <w:rsid w:val="00A12B16"/>
    <w:rsid w:val="00A12E20"/>
    <w:rsid w:val="00A12EBD"/>
    <w:rsid w:val="00A12ED2"/>
    <w:rsid w:val="00A12ED3"/>
    <w:rsid w:val="00A130E9"/>
    <w:rsid w:val="00A136B8"/>
    <w:rsid w:val="00A138A2"/>
    <w:rsid w:val="00A13BBC"/>
    <w:rsid w:val="00A13F83"/>
    <w:rsid w:val="00A141B7"/>
    <w:rsid w:val="00A1443B"/>
    <w:rsid w:val="00A14465"/>
    <w:rsid w:val="00A14940"/>
    <w:rsid w:val="00A14CDF"/>
    <w:rsid w:val="00A14E3E"/>
    <w:rsid w:val="00A14E53"/>
    <w:rsid w:val="00A15043"/>
    <w:rsid w:val="00A1504D"/>
    <w:rsid w:val="00A154C9"/>
    <w:rsid w:val="00A15580"/>
    <w:rsid w:val="00A1579B"/>
    <w:rsid w:val="00A1598C"/>
    <w:rsid w:val="00A15C0D"/>
    <w:rsid w:val="00A160CA"/>
    <w:rsid w:val="00A16178"/>
    <w:rsid w:val="00A161DE"/>
    <w:rsid w:val="00A1620E"/>
    <w:rsid w:val="00A16449"/>
    <w:rsid w:val="00A16480"/>
    <w:rsid w:val="00A164E2"/>
    <w:rsid w:val="00A168D0"/>
    <w:rsid w:val="00A16EF3"/>
    <w:rsid w:val="00A16FC0"/>
    <w:rsid w:val="00A172F7"/>
    <w:rsid w:val="00A1766F"/>
    <w:rsid w:val="00A1775F"/>
    <w:rsid w:val="00A17966"/>
    <w:rsid w:val="00A1798E"/>
    <w:rsid w:val="00A179E3"/>
    <w:rsid w:val="00A17C73"/>
    <w:rsid w:val="00A17DF9"/>
    <w:rsid w:val="00A17E3A"/>
    <w:rsid w:val="00A200AB"/>
    <w:rsid w:val="00A20138"/>
    <w:rsid w:val="00A2016D"/>
    <w:rsid w:val="00A201F3"/>
    <w:rsid w:val="00A20233"/>
    <w:rsid w:val="00A2030B"/>
    <w:rsid w:val="00A204B3"/>
    <w:rsid w:val="00A204C2"/>
    <w:rsid w:val="00A20594"/>
    <w:rsid w:val="00A20675"/>
    <w:rsid w:val="00A20B17"/>
    <w:rsid w:val="00A20C09"/>
    <w:rsid w:val="00A20D53"/>
    <w:rsid w:val="00A21073"/>
    <w:rsid w:val="00A213E2"/>
    <w:rsid w:val="00A2148A"/>
    <w:rsid w:val="00A21C10"/>
    <w:rsid w:val="00A21D31"/>
    <w:rsid w:val="00A21DCC"/>
    <w:rsid w:val="00A220CA"/>
    <w:rsid w:val="00A221D8"/>
    <w:rsid w:val="00A2255F"/>
    <w:rsid w:val="00A225BA"/>
    <w:rsid w:val="00A229A0"/>
    <w:rsid w:val="00A22EFC"/>
    <w:rsid w:val="00A22F0B"/>
    <w:rsid w:val="00A22F10"/>
    <w:rsid w:val="00A22FD4"/>
    <w:rsid w:val="00A23049"/>
    <w:rsid w:val="00A230AA"/>
    <w:rsid w:val="00A23754"/>
    <w:rsid w:val="00A238F1"/>
    <w:rsid w:val="00A239E7"/>
    <w:rsid w:val="00A23FA6"/>
    <w:rsid w:val="00A240AD"/>
    <w:rsid w:val="00A24170"/>
    <w:rsid w:val="00A241B1"/>
    <w:rsid w:val="00A24312"/>
    <w:rsid w:val="00A246F9"/>
    <w:rsid w:val="00A24751"/>
    <w:rsid w:val="00A2483E"/>
    <w:rsid w:val="00A24897"/>
    <w:rsid w:val="00A24911"/>
    <w:rsid w:val="00A24B20"/>
    <w:rsid w:val="00A24CB7"/>
    <w:rsid w:val="00A24E35"/>
    <w:rsid w:val="00A24EE5"/>
    <w:rsid w:val="00A24FF7"/>
    <w:rsid w:val="00A2508B"/>
    <w:rsid w:val="00A255B9"/>
    <w:rsid w:val="00A2576C"/>
    <w:rsid w:val="00A260D7"/>
    <w:rsid w:val="00A26152"/>
    <w:rsid w:val="00A2630A"/>
    <w:rsid w:val="00A26389"/>
    <w:rsid w:val="00A2653A"/>
    <w:rsid w:val="00A265F7"/>
    <w:rsid w:val="00A26628"/>
    <w:rsid w:val="00A26D52"/>
    <w:rsid w:val="00A26E75"/>
    <w:rsid w:val="00A271FA"/>
    <w:rsid w:val="00A2720B"/>
    <w:rsid w:val="00A2777A"/>
    <w:rsid w:val="00A2792D"/>
    <w:rsid w:val="00A27962"/>
    <w:rsid w:val="00A27CE4"/>
    <w:rsid w:val="00A27DC3"/>
    <w:rsid w:val="00A3035C"/>
    <w:rsid w:val="00A30394"/>
    <w:rsid w:val="00A303B8"/>
    <w:rsid w:val="00A303C7"/>
    <w:rsid w:val="00A30509"/>
    <w:rsid w:val="00A30518"/>
    <w:rsid w:val="00A30591"/>
    <w:rsid w:val="00A307BE"/>
    <w:rsid w:val="00A30AF1"/>
    <w:rsid w:val="00A30CB2"/>
    <w:rsid w:val="00A311A9"/>
    <w:rsid w:val="00A314BF"/>
    <w:rsid w:val="00A31505"/>
    <w:rsid w:val="00A31511"/>
    <w:rsid w:val="00A316AA"/>
    <w:rsid w:val="00A31C94"/>
    <w:rsid w:val="00A32629"/>
    <w:rsid w:val="00A32A26"/>
    <w:rsid w:val="00A32A30"/>
    <w:rsid w:val="00A32A90"/>
    <w:rsid w:val="00A32B06"/>
    <w:rsid w:val="00A32B43"/>
    <w:rsid w:val="00A32BB9"/>
    <w:rsid w:val="00A32BED"/>
    <w:rsid w:val="00A32C21"/>
    <w:rsid w:val="00A32C52"/>
    <w:rsid w:val="00A32E7B"/>
    <w:rsid w:val="00A32EB9"/>
    <w:rsid w:val="00A330B0"/>
    <w:rsid w:val="00A330CF"/>
    <w:rsid w:val="00A330D2"/>
    <w:rsid w:val="00A3317B"/>
    <w:rsid w:val="00A3325B"/>
    <w:rsid w:val="00A33336"/>
    <w:rsid w:val="00A3384B"/>
    <w:rsid w:val="00A33860"/>
    <w:rsid w:val="00A3387D"/>
    <w:rsid w:val="00A339B0"/>
    <w:rsid w:val="00A33BDB"/>
    <w:rsid w:val="00A33DB6"/>
    <w:rsid w:val="00A33EDE"/>
    <w:rsid w:val="00A33F75"/>
    <w:rsid w:val="00A33F76"/>
    <w:rsid w:val="00A3423A"/>
    <w:rsid w:val="00A34559"/>
    <w:rsid w:val="00A3458F"/>
    <w:rsid w:val="00A34682"/>
    <w:rsid w:val="00A34735"/>
    <w:rsid w:val="00A348F6"/>
    <w:rsid w:val="00A3498E"/>
    <w:rsid w:val="00A34AE8"/>
    <w:rsid w:val="00A34AF6"/>
    <w:rsid w:val="00A34F83"/>
    <w:rsid w:val="00A350F2"/>
    <w:rsid w:val="00A356A4"/>
    <w:rsid w:val="00A35841"/>
    <w:rsid w:val="00A358B6"/>
    <w:rsid w:val="00A35A1F"/>
    <w:rsid w:val="00A3608B"/>
    <w:rsid w:val="00A361C3"/>
    <w:rsid w:val="00A36300"/>
    <w:rsid w:val="00A36581"/>
    <w:rsid w:val="00A365CE"/>
    <w:rsid w:val="00A367B2"/>
    <w:rsid w:val="00A36B1C"/>
    <w:rsid w:val="00A36B35"/>
    <w:rsid w:val="00A36B88"/>
    <w:rsid w:val="00A36C96"/>
    <w:rsid w:val="00A36EFB"/>
    <w:rsid w:val="00A36F0E"/>
    <w:rsid w:val="00A37362"/>
    <w:rsid w:val="00A376D3"/>
    <w:rsid w:val="00A378A7"/>
    <w:rsid w:val="00A37BB3"/>
    <w:rsid w:val="00A40085"/>
    <w:rsid w:val="00A4012E"/>
    <w:rsid w:val="00A40136"/>
    <w:rsid w:val="00A402DD"/>
    <w:rsid w:val="00A404C9"/>
    <w:rsid w:val="00A4066A"/>
    <w:rsid w:val="00A406E3"/>
    <w:rsid w:val="00A40721"/>
    <w:rsid w:val="00A40E5C"/>
    <w:rsid w:val="00A41000"/>
    <w:rsid w:val="00A410B5"/>
    <w:rsid w:val="00A411FA"/>
    <w:rsid w:val="00A415CC"/>
    <w:rsid w:val="00A419E2"/>
    <w:rsid w:val="00A41AC1"/>
    <w:rsid w:val="00A41C51"/>
    <w:rsid w:val="00A41F10"/>
    <w:rsid w:val="00A42045"/>
    <w:rsid w:val="00A420F4"/>
    <w:rsid w:val="00A42359"/>
    <w:rsid w:val="00A423A4"/>
    <w:rsid w:val="00A427DF"/>
    <w:rsid w:val="00A42B05"/>
    <w:rsid w:val="00A42BEB"/>
    <w:rsid w:val="00A42CB5"/>
    <w:rsid w:val="00A42CB8"/>
    <w:rsid w:val="00A42DB9"/>
    <w:rsid w:val="00A42F1D"/>
    <w:rsid w:val="00A43228"/>
    <w:rsid w:val="00A43487"/>
    <w:rsid w:val="00A434D0"/>
    <w:rsid w:val="00A43774"/>
    <w:rsid w:val="00A43D0E"/>
    <w:rsid w:val="00A43EA4"/>
    <w:rsid w:val="00A43FFC"/>
    <w:rsid w:val="00A44103"/>
    <w:rsid w:val="00A4476A"/>
    <w:rsid w:val="00A44D0E"/>
    <w:rsid w:val="00A44D60"/>
    <w:rsid w:val="00A44EA6"/>
    <w:rsid w:val="00A44EC1"/>
    <w:rsid w:val="00A4510E"/>
    <w:rsid w:val="00A453EC"/>
    <w:rsid w:val="00A454B0"/>
    <w:rsid w:val="00A454B3"/>
    <w:rsid w:val="00A4566A"/>
    <w:rsid w:val="00A4577A"/>
    <w:rsid w:val="00A45B3F"/>
    <w:rsid w:val="00A45CA0"/>
    <w:rsid w:val="00A45E52"/>
    <w:rsid w:val="00A46652"/>
    <w:rsid w:val="00A46D15"/>
    <w:rsid w:val="00A46FDD"/>
    <w:rsid w:val="00A47125"/>
    <w:rsid w:val="00A4713D"/>
    <w:rsid w:val="00A471FD"/>
    <w:rsid w:val="00A47368"/>
    <w:rsid w:val="00A4736D"/>
    <w:rsid w:val="00A47E62"/>
    <w:rsid w:val="00A500B8"/>
    <w:rsid w:val="00A50571"/>
    <w:rsid w:val="00A505BE"/>
    <w:rsid w:val="00A506A0"/>
    <w:rsid w:val="00A50815"/>
    <w:rsid w:val="00A50A19"/>
    <w:rsid w:val="00A50A8A"/>
    <w:rsid w:val="00A51E4D"/>
    <w:rsid w:val="00A522FC"/>
    <w:rsid w:val="00A528CE"/>
    <w:rsid w:val="00A5295E"/>
    <w:rsid w:val="00A52CE8"/>
    <w:rsid w:val="00A52E57"/>
    <w:rsid w:val="00A52EC7"/>
    <w:rsid w:val="00A52F40"/>
    <w:rsid w:val="00A5300F"/>
    <w:rsid w:val="00A53090"/>
    <w:rsid w:val="00A5323B"/>
    <w:rsid w:val="00A53991"/>
    <w:rsid w:val="00A53AC2"/>
    <w:rsid w:val="00A53CEB"/>
    <w:rsid w:val="00A53F1C"/>
    <w:rsid w:val="00A5419B"/>
    <w:rsid w:val="00A5432D"/>
    <w:rsid w:val="00A54552"/>
    <w:rsid w:val="00A54DEC"/>
    <w:rsid w:val="00A54E8A"/>
    <w:rsid w:val="00A54FB4"/>
    <w:rsid w:val="00A54FCE"/>
    <w:rsid w:val="00A5516A"/>
    <w:rsid w:val="00A55565"/>
    <w:rsid w:val="00A555C8"/>
    <w:rsid w:val="00A55843"/>
    <w:rsid w:val="00A55A23"/>
    <w:rsid w:val="00A55A6B"/>
    <w:rsid w:val="00A55A75"/>
    <w:rsid w:val="00A55AF9"/>
    <w:rsid w:val="00A55C75"/>
    <w:rsid w:val="00A55D2E"/>
    <w:rsid w:val="00A55D79"/>
    <w:rsid w:val="00A56475"/>
    <w:rsid w:val="00A56580"/>
    <w:rsid w:val="00A569DE"/>
    <w:rsid w:val="00A56DE0"/>
    <w:rsid w:val="00A571B9"/>
    <w:rsid w:val="00A57395"/>
    <w:rsid w:val="00A5740F"/>
    <w:rsid w:val="00A57431"/>
    <w:rsid w:val="00A57673"/>
    <w:rsid w:val="00A576F8"/>
    <w:rsid w:val="00A579BA"/>
    <w:rsid w:val="00A57B10"/>
    <w:rsid w:val="00A57F10"/>
    <w:rsid w:val="00A600D0"/>
    <w:rsid w:val="00A6018A"/>
    <w:rsid w:val="00A60272"/>
    <w:rsid w:val="00A60658"/>
    <w:rsid w:val="00A60AA6"/>
    <w:rsid w:val="00A60AC1"/>
    <w:rsid w:val="00A60D62"/>
    <w:rsid w:val="00A60FAA"/>
    <w:rsid w:val="00A611A6"/>
    <w:rsid w:val="00A61363"/>
    <w:rsid w:val="00A61365"/>
    <w:rsid w:val="00A61A33"/>
    <w:rsid w:val="00A61A7B"/>
    <w:rsid w:val="00A61EE0"/>
    <w:rsid w:val="00A620DB"/>
    <w:rsid w:val="00A622B3"/>
    <w:rsid w:val="00A629A7"/>
    <w:rsid w:val="00A62A28"/>
    <w:rsid w:val="00A62BE8"/>
    <w:rsid w:val="00A6304B"/>
    <w:rsid w:val="00A63391"/>
    <w:rsid w:val="00A63396"/>
    <w:rsid w:val="00A6387F"/>
    <w:rsid w:val="00A63885"/>
    <w:rsid w:val="00A63C07"/>
    <w:rsid w:val="00A63C18"/>
    <w:rsid w:val="00A63EF7"/>
    <w:rsid w:val="00A644E2"/>
    <w:rsid w:val="00A6473C"/>
    <w:rsid w:val="00A64751"/>
    <w:rsid w:val="00A6483B"/>
    <w:rsid w:val="00A64B9E"/>
    <w:rsid w:val="00A64FEF"/>
    <w:rsid w:val="00A65D3F"/>
    <w:rsid w:val="00A65DC7"/>
    <w:rsid w:val="00A662DC"/>
    <w:rsid w:val="00A66389"/>
    <w:rsid w:val="00A66600"/>
    <w:rsid w:val="00A669F3"/>
    <w:rsid w:val="00A66A67"/>
    <w:rsid w:val="00A66D75"/>
    <w:rsid w:val="00A66D9C"/>
    <w:rsid w:val="00A6709F"/>
    <w:rsid w:val="00A6714E"/>
    <w:rsid w:val="00A67194"/>
    <w:rsid w:val="00A671FB"/>
    <w:rsid w:val="00A672E3"/>
    <w:rsid w:val="00A6741B"/>
    <w:rsid w:val="00A674BE"/>
    <w:rsid w:val="00A678D9"/>
    <w:rsid w:val="00A6791D"/>
    <w:rsid w:val="00A67DAF"/>
    <w:rsid w:val="00A70245"/>
    <w:rsid w:val="00A70398"/>
    <w:rsid w:val="00A703EC"/>
    <w:rsid w:val="00A7057C"/>
    <w:rsid w:val="00A706BD"/>
    <w:rsid w:val="00A70A92"/>
    <w:rsid w:val="00A70B14"/>
    <w:rsid w:val="00A70C38"/>
    <w:rsid w:val="00A70D16"/>
    <w:rsid w:val="00A712ED"/>
    <w:rsid w:val="00A7176D"/>
    <w:rsid w:val="00A71A83"/>
    <w:rsid w:val="00A71B3F"/>
    <w:rsid w:val="00A71D01"/>
    <w:rsid w:val="00A71D46"/>
    <w:rsid w:val="00A71E25"/>
    <w:rsid w:val="00A71E51"/>
    <w:rsid w:val="00A71E61"/>
    <w:rsid w:val="00A71E87"/>
    <w:rsid w:val="00A72119"/>
    <w:rsid w:val="00A7240B"/>
    <w:rsid w:val="00A72471"/>
    <w:rsid w:val="00A7264F"/>
    <w:rsid w:val="00A726F3"/>
    <w:rsid w:val="00A7292A"/>
    <w:rsid w:val="00A72AC5"/>
    <w:rsid w:val="00A72CFC"/>
    <w:rsid w:val="00A72E4C"/>
    <w:rsid w:val="00A73156"/>
    <w:rsid w:val="00A73663"/>
    <w:rsid w:val="00A7366A"/>
    <w:rsid w:val="00A738DB"/>
    <w:rsid w:val="00A73937"/>
    <w:rsid w:val="00A73953"/>
    <w:rsid w:val="00A73C71"/>
    <w:rsid w:val="00A74003"/>
    <w:rsid w:val="00A741BA"/>
    <w:rsid w:val="00A74226"/>
    <w:rsid w:val="00A74527"/>
    <w:rsid w:val="00A746CE"/>
    <w:rsid w:val="00A749EB"/>
    <w:rsid w:val="00A750C9"/>
    <w:rsid w:val="00A7516F"/>
    <w:rsid w:val="00A757B0"/>
    <w:rsid w:val="00A759E4"/>
    <w:rsid w:val="00A75B96"/>
    <w:rsid w:val="00A75C94"/>
    <w:rsid w:val="00A75CCD"/>
    <w:rsid w:val="00A76143"/>
    <w:rsid w:val="00A76586"/>
    <w:rsid w:val="00A7661B"/>
    <w:rsid w:val="00A76671"/>
    <w:rsid w:val="00A76811"/>
    <w:rsid w:val="00A76A10"/>
    <w:rsid w:val="00A76A84"/>
    <w:rsid w:val="00A76CD1"/>
    <w:rsid w:val="00A770AB"/>
    <w:rsid w:val="00A77247"/>
    <w:rsid w:val="00A77665"/>
    <w:rsid w:val="00A77679"/>
    <w:rsid w:val="00A776A4"/>
    <w:rsid w:val="00A77788"/>
    <w:rsid w:val="00A7790B"/>
    <w:rsid w:val="00A7795E"/>
    <w:rsid w:val="00A77B24"/>
    <w:rsid w:val="00A77D3B"/>
    <w:rsid w:val="00A803BA"/>
    <w:rsid w:val="00A8049D"/>
    <w:rsid w:val="00A80767"/>
    <w:rsid w:val="00A808DC"/>
    <w:rsid w:val="00A80C0F"/>
    <w:rsid w:val="00A81063"/>
    <w:rsid w:val="00A811F9"/>
    <w:rsid w:val="00A81216"/>
    <w:rsid w:val="00A81559"/>
    <w:rsid w:val="00A816B7"/>
    <w:rsid w:val="00A81AC7"/>
    <w:rsid w:val="00A81AC8"/>
    <w:rsid w:val="00A81B40"/>
    <w:rsid w:val="00A82060"/>
    <w:rsid w:val="00A822C2"/>
    <w:rsid w:val="00A824EA"/>
    <w:rsid w:val="00A8274D"/>
    <w:rsid w:val="00A8277F"/>
    <w:rsid w:val="00A82990"/>
    <w:rsid w:val="00A82A1C"/>
    <w:rsid w:val="00A82AC8"/>
    <w:rsid w:val="00A82CCD"/>
    <w:rsid w:val="00A830EB"/>
    <w:rsid w:val="00A83105"/>
    <w:rsid w:val="00A83529"/>
    <w:rsid w:val="00A835D5"/>
    <w:rsid w:val="00A83989"/>
    <w:rsid w:val="00A83B4F"/>
    <w:rsid w:val="00A83F0C"/>
    <w:rsid w:val="00A8433D"/>
    <w:rsid w:val="00A84457"/>
    <w:rsid w:val="00A8448F"/>
    <w:rsid w:val="00A844FB"/>
    <w:rsid w:val="00A845AB"/>
    <w:rsid w:val="00A84683"/>
    <w:rsid w:val="00A84958"/>
    <w:rsid w:val="00A8501B"/>
    <w:rsid w:val="00A85160"/>
    <w:rsid w:val="00A851BF"/>
    <w:rsid w:val="00A8528F"/>
    <w:rsid w:val="00A85389"/>
    <w:rsid w:val="00A855E9"/>
    <w:rsid w:val="00A855F6"/>
    <w:rsid w:val="00A85661"/>
    <w:rsid w:val="00A859EA"/>
    <w:rsid w:val="00A859F7"/>
    <w:rsid w:val="00A85EAE"/>
    <w:rsid w:val="00A85EF9"/>
    <w:rsid w:val="00A86135"/>
    <w:rsid w:val="00A862C0"/>
    <w:rsid w:val="00A8658D"/>
    <w:rsid w:val="00A868CC"/>
    <w:rsid w:val="00A86941"/>
    <w:rsid w:val="00A86AF8"/>
    <w:rsid w:val="00A86CA9"/>
    <w:rsid w:val="00A86CF0"/>
    <w:rsid w:val="00A86E14"/>
    <w:rsid w:val="00A87213"/>
    <w:rsid w:val="00A874E1"/>
    <w:rsid w:val="00A875A4"/>
    <w:rsid w:val="00A87CDB"/>
    <w:rsid w:val="00A87CED"/>
    <w:rsid w:val="00A87EEA"/>
    <w:rsid w:val="00A90086"/>
    <w:rsid w:val="00A9008E"/>
    <w:rsid w:val="00A901B8"/>
    <w:rsid w:val="00A901C5"/>
    <w:rsid w:val="00A90401"/>
    <w:rsid w:val="00A9073F"/>
    <w:rsid w:val="00A90C23"/>
    <w:rsid w:val="00A90CC2"/>
    <w:rsid w:val="00A90CDC"/>
    <w:rsid w:val="00A910CC"/>
    <w:rsid w:val="00A911CD"/>
    <w:rsid w:val="00A91655"/>
    <w:rsid w:val="00A916A8"/>
    <w:rsid w:val="00A916F7"/>
    <w:rsid w:val="00A91904"/>
    <w:rsid w:val="00A91A23"/>
    <w:rsid w:val="00A91A9C"/>
    <w:rsid w:val="00A91C58"/>
    <w:rsid w:val="00A91C94"/>
    <w:rsid w:val="00A921E3"/>
    <w:rsid w:val="00A9226B"/>
    <w:rsid w:val="00A92B53"/>
    <w:rsid w:val="00A92D9E"/>
    <w:rsid w:val="00A92FBF"/>
    <w:rsid w:val="00A93198"/>
    <w:rsid w:val="00A932A5"/>
    <w:rsid w:val="00A934A4"/>
    <w:rsid w:val="00A935A3"/>
    <w:rsid w:val="00A93B98"/>
    <w:rsid w:val="00A93BCC"/>
    <w:rsid w:val="00A93F1A"/>
    <w:rsid w:val="00A941CD"/>
    <w:rsid w:val="00A949D2"/>
    <w:rsid w:val="00A94D20"/>
    <w:rsid w:val="00A94FDF"/>
    <w:rsid w:val="00A950BA"/>
    <w:rsid w:val="00A9535A"/>
    <w:rsid w:val="00A954A0"/>
    <w:rsid w:val="00A9555D"/>
    <w:rsid w:val="00A956A2"/>
    <w:rsid w:val="00A9596B"/>
    <w:rsid w:val="00A959FD"/>
    <w:rsid w:val="00A95A2D"/>
    <w:rsid w:val="00A95C59"/>
    <w:rsid w:val="00A95CBC"/>
    <w:rsid w:val="00A96335"/>
    <w:rsid w:val="00A96623"/>
    <w:rsid w:val="00A9667A"/>
    <w:rsid w:val="00A96728"/>
    <w:rsid w:val="00A96729"/>
    <w:rsid w:val="00A96B54"/>
    <w:rsid w:val="00A96CFA"/>
    <w:rsid w:val="00A96E6F"/>
    <w:rsid w:val="00A96F25"/>
    <w:rsid w:val="00A96F50"/>
    <w:rsid w:val="00A972F9"/>
    <w:rsid w:val="00A974C9"/>
    <w:rsid w:val="00A974FC"/>
    <w:rsid w:val="00A9752B"/>
    <w:rsid w:val="00A978BD"/>
    <w:rsid w:val="00A97F08"/>
    <w:rsid w:val="00A97F36"/>
    <w:rsid w:val="00AA0743"/>
    <w:rsid w:val="00AA087D"/>
    <w:rsid w:val="00AA0B18"/>
    <w:rsid w:val="00AA0F51"/>
    <w:rsid w:val="00AA141F"/>
    <w:rsid w:val="00AA1432"/>
    <w:rsid w:val="00AA152F"/>
    <w:rsid w:val="00AA194C"/>
    <w:rsid w:val="00AA19BF"/>
    <w:rsid w:val="00AA1FF3"/>
    <w:rsid w:val="00AA21E0"/>
    <w:rsid w:val="00AA222D"/>
    <w:rsid w:val="00AA2282"/>
    <w:rsid w:val="00AA2461"/>
    <w:rsid w:val="00AA269C"/>
    <w:rsid w:val="00AA27B4"/>
    <w:rsid w:val="00AA2865"/>
    <w:rsid w:val="00AA2C03"/>
    <w:rsid w:val="00AA2CE4"/>
    <w:rsid w:val="00AA317E"/>
    <w:rsid w:val="00AA3484"/>
    <w:rsid w:val="00AA34A0"/>
    <w:rsid w:val="00AA393E"/>
    <w:rsid w:val="00AA3A9B"/>
    <w:rsid w:val="00AA3AE4"/>
    <w:rsid w:val="00AA3B57"/>
    <w:rsid w:val="00AA3BF1"/>
    <w:rsid w:val="00AA3C37"/>
    <w:rsid w:val="00AA420D"/>
    <w:rsid w:val="00AA4AD1"/>
    <w:rsid w:val="00AA4C4C"/>
    <w:rsid w:val="00AA4CC7"/>
    <w:rsid w:val="00AA4D5C"/>
    <w:rsid w:val="00AA4F5E"/>
    <w:rsid w:val="00AA5410"/>
    <w:rsid w:val="00AA56CF"/>
    <w:rsid w:val="00AA57A1"/>
    <w:rsid w:val="00AA5984"/>
    <w:rsid w:val="00AA6317"/>
    <w:rsid w:val="00AA65C4"/>
    <w:rsid w:val="00AA6A09"/>
    <w:rsid w:val="00AA6F00"/>
    <w:rsid w:val="00AA73A9"/>
    <w:rsid w:val="00AA73CA"/>
    <w:rsid w:val="00AA749A"/>
    <w:rsid w:val="00AA76DF"/>
    <w:rsid w:val="00AA77A5"/>
    <w:rsid w:val="00AA77C7"/>
    <w:rsid w:val="00AA7A2F"/>
    <w:rsid w:val="00AA7D74"/>
    <w:rsid w:val="00AA7E3A"/>
    <w:rsid w:val="00AA7F19"/>
    <w:rsid w:val="00AB0397"/>
    <w:rsid w:val="00AB0590"/>
    <w:rsid w:val="00AB0667"/>
    <w:rsid w:val="00AB0A0A"/>
    <w:rsid w:val="00AB0B71"/>
    <w:rsid w:val="00AB0C35"/>
    <w:rsid w:val="00AB0DC3"/>
    <w:rsid w:val="00AB0ED5"/>
    <w:rsid w:val="00AB0F27"/>
    <w:rsid w:val="00AB1229"/>
    <w:rsid w:val="00AB134D"/>
    <w:rsid w:val="00AB13BB"/>
    <w:rsid w:val="00AB18BF"/>
    <w:rsid w:val="00AB18DC"/>
    <w:rsid w:val="00AB19E1"/>
    <w:rsid w:val="00AB1AE9"/>
    <w:rsid w:val="00AB1E81"/>
    <w:rsid w:val="00AB1FA4"/>
    <w:rsid w:val="00AB21C6"/>
    <w:rsid w:val="00AB23F1"/>
    <w:rsid w:val="00AB2554"/>
    <w:rsid w:val="00AB2599"/>
    <w:rsid w:val="00AB276D"/>
    <w:rsid w:val="00AB2841"/>
    <w:rsid w:val="00AB2C06"/>
    <w:rsid w:val="00AB2E3B"/>
    <w:rsid w:val="00AB2F14"/>
    <w:rsid w:val="00AB31AE"/>
    <w:rsid w:val="00AB32EC"/>
    <w:rsid w:val="00AB37A8"/>
    <w:rsid w:val="00AB37A9"/>
    <w:rsid w:val="00AB37CE"/>
    <w:rsid w:val="00AB386A"/>
    <w:rsid w:val="00AB3B1F"/>
    <w:rsid w:val="00AB3CAB"/>
    <w:rsid w:val="00AB3DAA"/>
    <w:rsid w:val="00AB3E61"/>
    <w:rsid w:val="00AB4047"/>
    <w:rsid w:val="00AB4238"/>
    <w:rsid w:val="00AB4647"/>
    <w:rsid w:val="00AB46A6"/>
    <w:rsid w:val="00AB4879"/>
    <w:rsid w:val="00AB4AC8"/>
    <w:rsid w:val="00AB4C9E"/>
    <w:rsid w:val="00AB4CB7"/>
    <w:rsid w:val="00AB4E2C"/>
    <w:rsid w:val="00AB4E9B"/>
    <w:rsid w:val="00AB4EE2"/>
    <w:rsid w:val="00AB4FB3"/>
    <w:rsid w:val="00AB5357"/>
    <w:rsid w:val="00AB537F"/>
    <w:rsid w:val="00AB5425"/>
    <w:rsid w:val="00AB5881"/>
    <w:rsid w:val="00AB59C1"/>
    <w:rsid w:val="00AB5BD3"/>
    <w:rsid w:val="00AB5DCF"/>
    <w:rsid w:val="00AB5F3B"/>
    <w:rsid w:val="00AB5FD7"/>
    <w:rsid w:val="00AB61BA"/>
    <w:rsid w:val="00AB63A0"/>
    <w:rsid w:val="00AB661F"/>
    <w:rsid w:val="00AB66BB"/>
    <w:rsid w:val="00AB6892"/>
    <w:rsid w:val="00AB68E7"/>
    <w:rsid w:val="00AB6BDE"/>
    <w:rsid w:val="00AB6BF7"/>
    <w:rsid w:val="00AB6E1C"/>
    <w:rsid w:val="00AB70C6"/>
    <w:rsid w:val="00AB7A29"/>
    <w:rsid w:val="00AB7B78"/>
    <w:rsid w:val="00AB7B90"/>
    <w:rsid w:val="00AB7C7F"/>
    <w:rsid w:val="00AB7DD0"/>
    <w:rsid w:val="00AB7E32"/>
    <w:rsid w:val="00AC03E5"/>
    <w:rsid w:val="00AC0585"/>
    <w:rsid w:val="00AC09E4"/>
    <w:rsid w:val="00AC0C19"/>
    <w:rsid w:val="00AC0CA8"/>
    <w:rsid w:val="00AC0EF6"/>
    <w:rsid w:val="00AC11AA"/>
    <w:rsid w:val="00AC12AC"/>
    <w:rsid w:val="00AC1350"/>
    <w:rsid w:val="00AC1410"/>
    <w:rsid w:val="00AC1A15"/>
    <w:rsid w:val="00AC1A5B"/>
    <w:rsid w:val="00AC1E19"/>
    <w:rsid w:val="00AC2145"/>
    <w:rsid w:val="00AC2494"/>
    <w:rsid w:val="00AC2524"/>
    <w:rsid w:val="00AC2669"/>
    <w:rsid w:val="00AC27F5"/>
    <w:rsid w:val="00AC2B97"/>
    <w:rsid w:val="00AC2B9D"/>
    <w:rsid w:val="00AC2EBA"/>
    <w:rsid w:val="00AC3194"/>
    <w:rsid w:val="00AC327D"/>
    <w:rsid w:val="00AC332C"/>
    <w:rsid w:val="00AC3413"/>
    <w:rsid w:val="00AC3647"/>
    <w:rsid w:val="00AC3B32"/>
    <w:rsid w:val="00AC3B97"/>
    <w:rsid w:val="00AC3BA1"/>
    <w:rsid w:val="00AC3C62"/>
    <w:rsid w:val="00AC3CDB"/>
    <w:rsid w:val="00AC4281"/>
    <w:rsid w:val="00AC45CE"/>
    <w:rsid w:val="00AC4613"/>
    <w:rsid w:val="00AC4AF1"/>
    <w:rsid w:val="00AC4B64"/>
    <w:rsid w:val="00AC4DE7"/>
    <w:rsid w:val="00AC4E1E"/>
    <w:rsid w:val="00AC4F92"/>
    <w:rsid w:val="00AC50DC"/>
    <w:rsid w:val="00AC5155"/>
    <w:rsid w:val="00AC53BC"/>
    <w:rsid w:val="00AC5408"/>
    <w:rsid w:val="00AC54BD"/>
    <w:rsid w:val="00AC5674"/>
    <w:rsid w:val="00AC588C"/>
    <w:rsid w:val="00AC5D8C"/>
    <w:rsid w:val="00AC5DD6"/>
    <w:rsid w:val="00AC5EA7"/>
    <w:rsid w:val="00AC5F8F"/>
    <w:rsid w:val="00AC64E8"/>
    <w:rsid w:val="00AC6754"/>
    <w:rsid w:val="00AC676B"/>
    <w:rsid w:val="00AC6AD7"/>
    <w:rsid w:val="00AC6B55"/>
    <w:rsid w:val="00AC6BF4"/>
    <w:rsid w:val="00AC6BFC"/>
    <w:rsid w:val="00AC6D07"/>
    <w:rsid w:val="00AC6F08"/>
    <w:rsid w:val="00AC6F7D"/>
    <w:rsid w:val="00AC712C"/>
    <w:rsid w:val="00AC720A"/>
    <w:rsid w:val="00AC72D0"/>
    <w:rsid w:val="00AC754B"/>
    <w:rsid w:val="00AC781B"/>
    <w:rsid w:val="00AC784F"/>
    <w:rsid w:val="00AC7945"/>
    <w:rsid w:val="00AC7A21"/>
    <w:rsid w:val="00AC7A79"/>
    <w:rsid w:val="00AC7B0A"/>
    <w:rsid w:val="00AC7B32"/>
    <w:rsid w:val="00AC7BED"/>
    <w:rsid w:val="00AC7E3E"/>
    <w:rsid w:val="00AC7F34"/>
    <w:rsid w:val="00AC7F9C"/>
    <w:rsid w:val="00AD0006"/>
    <w:rsid w:val="00AD00AF"/>
    <w:rsid w:val="00AD0214"/>
    <w:rsid w:val="00AD0347"/>
    <w:rsid w:val="00AD056A"/>
    <w:rsid w:val="00AD05C7"/>
    <w:rsid w:val="00AD09BB"/>
    <w:rsid w:val="00AD0B87"/>
    <w:rsid w:val="00AD10AD"/>
    <w:rsid w:val="00AD11B9"/>
    <w:rsid w:val="00AD12DD"/>
    <w:rsid w:val="00AD146A"/>
    <w:rsid w:val="00AD1581"/>
    <w:rsid w:val="00AD16B8"/>
    <w:rsid w:val="00AD19C4"/>
    <w:rsid w:val="00AD19E5"/>
    <w:rsid w:val="00AD1A2F"/>
    <w:rsid w:val="00AD1BB5"/>
    <w:rsid w:val="00AD1C50"/>
    <w:rsid w:val="00AD21CD"/>
    <w:rsid w:val="00AD23FE"/>
    <w:rsid w:val="00AD29E4"/>
    <w:rsid w:val="00AD2A37"/>
    <w:rsid w:val="00AD2B2B"/>
    <w:rsid w:val="00AD2B97"/>
    <w:rsid w:val="00AD2CDC"/>
    <w:rsid w:val="00AD2CDE"/>
    <w:rsid w:val="00AD31F1"/>
    <w:rsid w:val="00AD3210"/>
    <w:rsid w:val="00AD33A9"/>
    <w:rsid w:val="00AD36C1"/>
    <w:rsid w:val="00AD3825"/>
    <w:rsid w:val="00AD3BDC"/>
    <w:rsid w:val="00AD3D91"/>
    <w:rsid w:val="00AD3FE4"/>
    <w:rsid w:val="00AD4105"/>
    <w:rsid w:val="00AD41C8"/>
    <w:rsid w:val="00AD4345"/>
    <w:rsid w:val="00AD4427"/>
    <w:rsid w:val="00AD45F4"/>
    <w:rsid w:val="00AD4647"/>
    <w:rsid w:val="00AD4700"/>
    <w:rsid w:val="00AD4760"/>
    <w:rsid w:val="00AD4A9E"/>
    <w:rsid w:val="00AD4AAA"/>
    <w:rsid w:val="00AD4C5D"/>
    <w:rsid w:val="00AD4C61"/>
    <w:rsid w:val="00AD4C9F"/>
    <w:rsid w:val="00AD4D0F"/>
    <w:rsid w:val="00AD5028"/>
    <w:rsid w:val="00AD518B"/>
    <w:rsid w:val="00AD5ACA"/>
    <w:rsid w:val="00AD5C24"/>
    <w:rsid w:val="00AD5CE5"/>
    <w:rsid w:val="00AD5F95"/>
    <w:rsid w:val="00AD60EA"/>
    <w:rsid w:val="00AD62DA"/>
    <w:rsid w:val="00AD6480"/>
    <w:rsid w:val="00AD64B3"/>
    <w:rsid w:val="00AD66C5"/>
    <w:rsid w:val="00AD67D4"/>
    <w:rsid w:val="00AD67E7"/>
    <w:rsid w:val="00AD6922"/>
    <w:rsid w:val="00AD6988"/>
    <w:rsid w:val="00AD69CE"/>
    <w:rsid w:val="00AD70F9"/>
    <w:rsid w:val="00AD719F"/>
    <w:rsid w:val="00AD7433"/>
    <w:rsid w:val="00AD74F8"/>
    <w:rsid w:val="00AD75FD"/>
    <w:rsid w:val="00AD7704"/>
    <w:rsid w:val="00AD7ACD"/>
    <w:rsid w:val="00AD7D05"/>
    <w:rsid w:val="00AE020C"/>
    <w:rsid w:val="00AE0728"/>
    <w:rsid w:val="00AE0765"/>
    <w:rsid w:val="00AE09CE"/>
    <w:rsid w:val="00AE0B57"/>
    <w:rsid w:val="00AE0B66"/>
    <w:rsid w:val="00AE0FC3"/>
    <w:rsid w:val="00AE11C9"/>
    <w:rsid w:val="00AE132A"/>
    <w:rsid w:val="00AE13B9"/>
    <w:rsid w:val="00AE1510"/>
    <w:rsid w:val="00AE1588"/>
    <w:rsid w:val="00AE17F1"/>
    <w:rsid w:val="00AE1B40"/>
    <w:rsid w:val="00AE1CBF"/>
    <w:rsid w:val="00AE1E7D"/>
    <w:rsid w:val="00AE214A"/>
    <w:rsid w:val="00AE21CE"/>
    <w:rsid w:val="00AE239E"/>
    <w:rsid w:val="00AE2591"/>
    <w:rsid w:val="00AE2693"/>
    <w:rsid w:val="00AE279F"/>
    <w:rsid w:val="00AE28F2"/>
    <w:rsid w:val="00AE2A3C"/>
    <w:rsid w:val="00AE2C4C"/>
    <w:rsid w:val="00AE2E76"/>
    <w:rsid w:val="00AE3289"/>
    <w:rsid w:val="00AE3937"/>
    <w:rsid w:val="00AE3A8C"/>
    <w:rsid w:val="00AE3EFD"/>
    <w:rsid w:val="00AE3F57"/>
    <w:rsid w:val="00AE40B3"/>
    <w:rsid w:val="00AE420F"/>
    <w:rsid w:val="00AE4331"/>
    <w:rsid w:val="00AE4622"/>
    <w:rsid w:val="00AE46A3"/>
    <w:rsid w:val="00AE4F39"/>
    <w:rsid w:val="00AE5004"/>
    <w:rsid w:val="00AE52FD"/>
    <w:rsid w:val="00AE5BF7"/>
    <w:rsid w:val="00AE5C38"/>
    <w:rsid w:val="00AE6147"/>
    <w:rsid w:val="00AE614D"/>
    <w:rsid w:val="00AE63F8"/>
    <w:rsid w:val="00AE660E"/>
    <w:rsid w:val="00AE6680"/>
    <w:rsid w:val="00AE6C69"/>
    <w:rsid w:val="00AE6EEA"/>
    <w:rsid w:val="00AE70E0"/>
    <w:rsid w:val="00AE74BD"/>
    <w:rsid w:val="00AE7687"/>
    <w:rsid w:val="00AE7849"/>
    <w:rsid w:val="00AE7977"/>
    <w:rsid w:val="00AE7BF2"/>
    <w:rsid w:val="00AE7CAF"/>
    <w:rsid w:val="00AE7CCE"/>
    <w:rsid w:val="00AE7DD0"/>
    <w:rsid w:val="00AE7E11"/>
    <w:rsid w:val="00AF0097"/>
    <w:rsid w:val="00AF028E"/>
    <w:rsid w:val="00AF0649"/>
    <w:rsid w:val="00AF07BE"/>
    <w:rsid w:val="00AF09F9"/>
    <w:rsid w:val="00AF0E0F"/>
    <w:rsid w:val="00AF11D0"/>
    <w:rsid w:val="00AF1610"/>
    <w:rsid w:val="00AF17C7"/>
    <w:rsid w:val="00AF1C3D"/>
    <w:rsid w:val="00AF1F10"/>
    <w:rsid w:val="00AF2049"/>
    <w:rsid w:val="00AF21B2"/>
    <w:rsid w:val="00AF22EF"/>
    <w:rsid w:val="00AF2414"/>
    <w:rsid w:val="00AF2671"/>
    <w:rsid w:val="00AF283B"/>
    <w:rsid w:val="00AF29A1"/>
    <w:rsid w:val="00AF2B09"/>
    <w:rsid w:val="00AF2BCD"/>
    <w:rsid w:val="00AF2DDF"/>
    <w:rsid w:val="00AF2F5B"/>
    <w:rsid w:val="00AF2F5D"/>
    <w:rsid w:val="00AF37EF"/>
    <w:rsid w:val="00AF3CAD"/>
    <w:rsid w:val="00AF3CB0"/>
    <w:rsid w:val="00AF3D39"/>
    <w:rsid w:val="00AF4092"/>
    <w:rsid w:val="00AF41DB"/>
    <w:rsid w:val="00AF4314"/>
    <w:rsid w:val="00AF4492"/>
    <w:rsid w:val="00AF454E"/>
    <w:rsid w:val="00AF4575"/>
    <w:rsid w:val="00AF4734"/>
    <w:rsid w:val="00AF4778"/>
    <w:rsid w:val="00AF4843"/>
    <w:rsid w:val="00AF48D3"/>
    <w:rsid w:val="00AF497B"/>
    <w:rsid w:val="00AF4998"/>
    <w:rsid w:val="00AF4A63"/>
    <w:rsid w:val="00AF4B32"/>
    <w:rsid w:val="00AF4E01"/>
    <w:rsid w:val="00AF5472"/>
    <w:rsid w:val="00AF560A"/>
    <w:rsid w:val="00AF56E6"/>
    <w:rsid w:val="00AF5711"/>
    <w:rsid w:val="00AF576A"/>
    <w:rsid w:val="00AF597F"/>
    <w:rsid w:val="00AF5AE5"/>
    <w:rsid w:val="00AF5B5A"/>
    <w:rsid w:val="00AF5C4C"/>
    <w:rsid w:val="00AF5CB9"/>
    <w:rsid w:val="00AF6122"/>
    <w:rsid w:val="00AF62D3"/>
    <w:rsid w:val="00AF64C9"/>
    <w:rsid w:val="00AF69E1"/>
    <w:rsid w:val="00AF6A4C"/>
    <w:rsid w:val="00AF6E78"/>
    <w:rsid w:val="00AF71AF"/>
    <w:rsid w:val="00AF71C5"/>
    <w:rsid w:val="00AF723D"/>
    <w:rsid w:val="00B001CB"/>
    <w:rsid w:val="00B0034F"/>
    <w:rsid w:val="00B003DF"/>
    <w:rsid w:val="00B0046D"/>
    <w:rsid w:val="00B004A5"/>
    <w:rsid w:val="00B00589"/>
    <w:rsid w:val="00B0070F"/>
    <w:rsid w:val="00B0085B"/>
    <w:rsid w:val="00B00E00"/>
    <w:rsid w:val="00B00EEE"/>
    <w:rsid w:val="00B00F4C"/>
    <w:rsid w:val="00B010EC"/>
    <w:rsid w:val="00B013D9"/>
    <w:rsid w:val="00B013E6"/>
    <w:rsid w:val="00B0142D"/>
    <w:rsid w:val="00B0152F"/>
    <w:rsid w:val="00B0161C"/>
    <w:rsid w:val="00B01713"/>
    <w:rsid w:val="00B01A73"/>
    <w:rsid w:val="00B01B81"/>
    <w:rsid w:val="00B01C6A"/>
    <w:rsid w:val="00B01CF4"/>
    <w:rsid w:val="00B01D50"/>
    <w:rsid w:val="00B01E3C"/>
    <w:rsid w:val="00B02183"/>
    <w:rsid w:val="00B025A0"/>
    <w:rsid w:val="00B026DD"/>
    <w:rsid w:val="00B02769"/>
    <w:rsid w:val="00B02B38"/>
    <w:rsid w:val="00B02FBE"/>
    <w:rsid w:val="00B02FC9"/>
    <w:rsid w:val="00B02FE5"/>
    <w:rsid w:val="00B032BA"/>
    <w:rsid w:val="00B038DD"/>
    <w:rsid w:val="00B04161"/>
    <w:rsid w:val="00B0462E"/>
    <w:rsid w:val="00B04653"/>
    <w:rsid w:val="00B047C2"/>
    <w:rsid w:val="00B048B2"/>
    <w:rsid w:val="00B04B14"/>
    <w:rsid w:val="00B04CB1"/>
    <w:rsid w:val="00B04E66"/>
    <w:rsid w:val="00B05486"/>
    <w:rsid w:val="00B05635"/>
    <w:rsid w:val="00B058EE"/>
    <w:rsid w:val="00B05999"/>
    <w:rsid w:val="00B05A94"/>
    <w:rsid w:val="00B05C3F"/>
    <w:rsid w:val="00B05E81"/>
    <w:rsid w:val="00B0690C"/>
    <w:rsid w:val="00B069AD"/>
    <w:rsid w:val="00B06B2E"/>
    <w:rsid w:val="00B06BF0"/>
    <w:rsid w:val="00B06EB7"/>
    <w:rsid w:val="00B07149"/>
    <w:rsid w:val="00B07620"/>
    <w:rsid w:val="00B078DE"/>
    <w:rsid w:val="00B079CB"/>
    <w:rsid w:val="00B079E4"/>
    <w:rsid w:val="00B079FE"/>
    <w:rsid w:val="00B07BDE"/>
    <w:rsid w:val="00B07F1F"/>
    <w:rsid w:val="00B104F4"/>
    <w:rsid w:val="00B105D4"/>
    <w:rsid w:val="00B10954"/>
    <w:rsid w:val="00B11035"/>
    <w:rsid w:val="00B1163E"/>
    <w:rsid w:val="00B116F2"/>
    <w:rsid w:val="00B11738"/>
    <w:rsid w:val="00B11D85"/>
    <w:rsid w:val="00B11ED0"/>
    <w:rsid w:val="00B12626"/>
    <w:rsid w:val="00B1269F"/>
    <w:rsid w:val="00B12743"/>
    <w:rsid w:val="00B12D80"/>
    <w:rsid w:val="00B12DB6"/>
    <w:rsid w:val="00B13008"/>
    <w:rsid w:val="00B1314F"/>
    <w:rsid w:val="00B131FB"/>
    <w:rsid w:val="00B1321E"/>
    <w:rsid w:val="00B13394"/>
    <w:rsid w:val="00B13BD6"/>
    <w:rsid w:val="00B13E00"/>
    <w:rsid w:val="00B13E7E"/>
    <w:rsid w:val="00B1419D"/>
    <w:rsid w:val="00B1433F"/>
    <w:rsid w:val="00B14576"/>
    <w:rsid w:val="00B14ACB"/>
    <w:rsid w:val="00B14B2E"/>
    <w:rsid w:val="00B14D08"/>
    <w:rsid w:val="00B151CF"/>
    <w:rsid w:val="00B151DB"/>
    <w:rsid w:val="00B151DE"/>
    <w:rsid w:val="00B15347"/>
    <w:rsid w:val="00B1538B"/>
    <w:rsid w:val="00B156B5"/>
    <w:rsid w:val="00B1580C"/>
    <w:rsid w:val="00B158DD"/>
    <w:rsid w:val="00B159EE"/>
    <w:rsid w:val="00B15AB6"/>
    <w:rsid w:val="00B15AEC"/>
    <w:rsid w:val="00B15B95"/>
    <w:rsid w:val="00B15D72"/>
    <w:rsid w:val="00B1641D"/>
    <w:rsid w:val="00B16439"/>
    <w:rsid w:val="00B165A9"/>
    <w:rsid w:val="00B166BA"/>
    <w:rsid w:val="00B16ADB"/>
    <w:rsid w:val="00B16DC7"/>
    <w:rsid w:val="00B170EC"/>
    <w:rsid w:val="00B1716A"/>
    <w:rsid w:val="00B1766E"/>
    <w:rsid w:val="00B179C4"/>
    <w:rsid w:val="00B17C36"/>
    <w:rsid w:val="00B17C80"/>
    <w:rsid w:val="00B17CF9"/>
    <w:rsid w:val="00B17D52"/>
    <w:rsid w:val="00B17DB6"/>
    <w:rsid w:val="00B20047"/>
    <w:rsid w:val="00B20092"/>
    <w:rsid w:val="00B2013E"/>
    <w:rsid w:val="00B20189"/>
    <w:rsid w:val="00B20445"/>
    <w:rsid w:val="00B2089A"/>
    <w:rsid w:val="00B209C0"/>
    <w:rsid w:val="00B20AED"/>
    <w:rsid w:val="00B210B6"/>
    <w:rsid w:val="00B21269"/>
    <w:rsid w:val="00B212AC"/>
    <w:rsid w:val="00B21487"/>
    <w:rsid w:val="00B216DB"/>
    <w:rsid w:val="00B21A31"/>
    <w:rsid w:val="00B21C06"/>
    <w:rsid w:val="00B21EA4"/>
    <w:rsid w:val="00B21F1A"/>
    <w:rsid w:val="00B22041"/>
    <w:rsid w:val="00B221C3"/>
    <w:rsid w:val="00B22613"/>
    <w:rsid w:val="00B22CDE"/>
    <w:rsid w:val="00B22E90"/>
    <w:rsid w:val="00B22EB8"/>
    <w:rsid w:val="00B2300D"/>
    <w:rsid w:val="00B23101"/>
    <w:rsid w:val="00B233D8"/>
    <w:rsid w:val="00B23448"/>
    <w:rsid w:val="00B2353F"/>
    <w:rsid w:val="00B23560"/>
    <w:rsid w:val="00B2362A"/>
    <w:rsid w:val="00B24520"/>
    <w:rsid w:val="00B247AD"/>
    <w:rsid w:val="00B247BF"/>
    <w:rsid w:val="00B2488A"/>
    <w:rsid w:val="00B249CF"/>
    <w:rsid w:val="00B24A2A"/>
    <w:rsid w:val="00B24ECD"/>
    <w:rsid w:val="00B24F01"/>
    <w:rsid w:val="00B25649"/>
    <w:rsid w:val="00B2579D"/>
    <w:rsid w:val="00B25844"/>
    <w:rsid w:val="00B25858"/>
    <w:rsid w:val="00B25AE9"/>
    <w:rsid w:val="00B25BAE"/>
    <w:rsid w:val="00B25D05"/>
    <w:rsid w:val="00B25E40"/>
    <w:rsid w:val="00B25EED"/>
    <w:rsid w:val="00B261B9"/>
    <w:rsid w:val="00B2646A"/>
    <w:rsid w:val="00B26622"/>
    <w:rsid w:val="00B26669"/>
    <w:rsid w:val="00B26772"/>
    <w:rsid w:val="00B26798"/>
    <w:rsid w:val="00B26878"/>
    <w:rsid w:val="00B2695C"/>
    <w:rsid w:val="00B26BA1"/>
    <w:rsid w:val="00B26D4E"/>
    <w:rsid w:val="00B26F7C"/>
    <w:rsid w:val="00B27022"/>
    <w:rsid w:val="00B276A1"/>
    <w:rsid w:val="00B276B4"/>
    <w:rsid w:val="00B30052"/>
    <w:rsid w:val="00B30245"/>
    <w:rsid w:val="00B30328"/>
    <w:rsid w:val="00B303F6"/>
    <w:rsid w:val="00B307B7"/>
    <w:rsid w:val="00B30913"/>
    <w:rsid w:val="00B30B1C"/>
    <w:rsid w:val="00B30D5F"/>
    <w:rsid w:val="00B30F04"/>
    <w:rsid w:val="00B3115B"/>
    <w:rsid w:val="00B311C0"/>
    <w:rsid w:val="00B3121E"/>
    <w:rsid w:val="00B312C2"/>
    <w:rsid w:val="00B3147A"/>
    <w:rsid w:val="00B31636"/>
    <w:rsid w:val="00B3185B"/>
    <w:rsid w:val="00B31889"/>
    <w:rsid w:val="00B31A8A"/>
    <w:rsid w:val="00B31B1D"/>
    <w:rsid w:val="00B31CC2"/>
    <w:rsid w:val="00B31E4A"/>
    <w:rsid w:val="00B320E0"/>
    <w:rsid w:val="00B322AB"/>
    <w:rsid w:val="00B3243F"/>
    <w:rsid w:val="00B3249A"/>
    <w:rsid w:val="00B3258D"/>
    <w:rsid w:val="00B328DB"/>
    <w:rsid w:val="00B329FB"/>
    <w:rsid w:val="00B32A6A"/>
    <w:rsid w:val="00B32B63"/>
    <w:rsid w:val="00B32B85"/>
    <w:rsid w:val="00B331D1"/>
    <w:rsid w:val="00B3328B"/>
    <w:rsid w:val="00B33428"/>
    <w:rsid w:val="00B33BE1"/>
    <w:rsid w:val="00B33CCD"/>
    <w:rsid w:val="00B33D84"/>
    <w:rsid w:val="00B33E75"/>
    <w:rsid w:val="00B3442C"/>
    <w:rsid w:val="00B34967"/>
    <w:rsid w:val="00B34A6C"/>
    <w:rsid w:val="00B34EF9"/>
    <w:rsid w:val="00B3527F"/>
    <w:rsid w:val="00B352C6"/>
    <w:rsid w:val="00B352D8"/>
    <w:rsid w:val="00B353A6"/>
    <w:rsid w:val="00B355C6"/>
    <w:rsid w:val="00B35A8A"/>
    <w:rsid w:val="00B35ADF"/>
    <w:rsid w:val="00B35C20"/>
    <w:rsid w:val="00B35CA8"/>
    <w:rsid w:val="00B3600F"/>
    <w:rsid w:val="00B36028"/>
    <w:rsid w:val="00B36052"/>
    <w:rsid w:val="00B36437"/>
    <w:rsid w:val="00B365BC"/>
    <w:rsid w:val="00B36677"/>
    <w:rsid w:val="00B3667B"/>
    <w:rsid w:val="00B3676B"/>
    <w:rsid w:val="00B369D7"/>
    <w:rsid w:val="00B36F70"/>
    <w:rsid w:val="00B371E0"/>
    <w:rsid w:val="00B37228"/>
    <w:rsid w:val="00B37355"/>
    <w:rsid w:val="00B375F9"/>
    <w:rsid w:val="00B37711"/>
    <w:rsid w:val="00B37748"/>
    <w:rsid w:val="00B37A6D"/>
    <w:rsid w:val="00B37BBD"/>
    <w:rsid w:val="00B37BDE"/>
    <w:rsid w:val="00B37F34"/>
    <w:rsid w:val="00B40064"/>
    <w:rsid w:val="00B4019A"/>
    <w:rsid w:val="00B4039B"/>
    <w:rsid w:val="00B40625"/>
    <w:rsid w:val="00B40653"/>
    <w:rsid w:val="00B409F7"/>
    <w:rsid w:val="00B41135"/>
    <w:rsid w:val="00B4134C"/>
    <w:rsid w:val="00B41467"/>
    <w:rsid w:val="00B414A8"/>
    <w:rsid w:val="00B415C1"/>
    <w:rsid w:val="00B41670"/>
    <w:rsid w:val="00B41764"/>
    <w:rsid w:val="00B41E73"/>
    <w:rsid w:val="00B41FC5"/>
    <w:rsid w:val="00B41FE9"/>
    <w:rsid w:val="00B42321"/>
    <w:rsid w:val="00B42509"/>
    <w:rsid w:val="00B42607"/>
    <w:rsid w:val="00B426A4"/>
    <w:rsid w:val="00B42976"/>
    <w:rsid w:val="00B42B33"/>
    <w:rsid w:val="00B42E3F"/>
    <w:rsid w:val="00B42F6E"/>
    <w:rsid w:val="00B43321"/>
    <w:rsid w:val="00B43442"/>
    <w:rsid w:val="00B4387A"/>
    <w:rsid w:val="00B438A2"/>
    <w:rsid w:val="00B438F4"/>
    <w:rsid w:val="00B43E8A"/>
    <w:rsid w:val="00B4418C"/>
    <w:rsid w:val="00B44298"/>
    <w:rsid w:val="00B44326"/>
    <w:rsid w:val="00B44349"/>
    <w:rsid w:val="00B448A4"/>
    <w:rsid w:val="00B44BCC"/>
    <w:rsid w:val="00B452F9"/>
    <w:rsid w:val="00B457C6"/>
    <w:rsid w:val="00B45833"/>
    <w:rsid w:val="00B4586F"/>
    <w:rsid w:val="00B459A2"/>
    <w:rsid w:val="00B45C93"/>
    <w:rsid w:val="00B4653C"/>
    <w:rsid w:val="00B46946"/>
    <w:rsid w:val="00B46C86"/>
    <w:rsid w:val="00B46D47"/>
    <w:rsid w:val="00B46E14"/>
    <w:rsid w:val="00B47112"/>
    <w:rsid w:val="00B47128"/>
    <w:rsid w:val="00B47234"/>
    <w:rsid w:val="00B4768D"/>
    <w:rsid w:val="00B47EA8"/>
    <w:rsid w:val="00B50462"/>
    <w:rsid w:val="00B50720"/>
    <w:rsid w:val="00B50783"/>
    <w:rsid w:val="00B50A44"/>
    <w:rsid w:val="00B50DF3"/>
    <w:rsid w:val="00B50E53"/>
    <w:rsid w:val="00B51014"/>
    <w:rsid w:val="00B5158C"/>
    <w:rsid w:val="00B51900"/>
    <w:rsid w:val="00B51A90"/>
    <w:rsid w:val="00B51C81"/>
    <w:rsid w:val="00B51FD7"/>
    <w:rsid w:val="00B52675"/>
    <w:rsid w:val="00B526FE"/>
    <w:rsid w:val="00B527A8"/>
    <w:rsid w:val="00B52847"/>
    <w:rsid w:val="00B52E80"/>
    <w:rsid w:val="00B52E8C"/>
    <w:rsid w:val="00B530BE"/>
    <w:rsid w:val="00B531D2"/>
    <w:rsid w:val="00B53A06"/>
    <w:rsid w:val="00B53FDC"/>
    <w:rsid w:val="00B5420B"/>
    <w:rsid w:val="00B544CA"/>
    <w:rsid w:val="00B549F6"/>
    <w:rsid w:val="00B54A92"/>
    <w:rsid w:val="00B54A93"/>
    <w:rsid w:val="00B54ADB"/>
    <w:rsid w:val="00B54CFF"/>
    <w:rsid w:val="00B54E74"/>
    <w:rsid w:val="00B5502B"/>
    <w:rsid w:val="00B55524"/>
    <w:rsid w:val="00B558FE"/>
    <w:rsid w:val="00B55CCD"/>
    <w:rsid w:val="00B55F95"/>
    <w:rsid w:val="00B55FC0"/>
    <w:rsid w:val="00B55FFD"/>
    <w:rsid w:val="00B56634"/>
    <w:rsid w:val="00B56837"/>
    <w:rsid w:val="00B568A0"/>
    <w:rsid w:val="00B56B6E"/>
    <w:rsid w:val="00B56D56"/>
    <w:rsid w:val="00B56E5A"/>
    <w:rsid w:val="00B56F00"/>
    <w:rsid w:val="00B574F4"/>
    <w:rsid w:val="00B575BF"/>
    <w:rsid w:val="00B576F1"/>
    <w:rsid w:val="00B579D5"/>
    <w:rsid w:val="00B57D5C"/>
    <w:rsid w:val="00B57DAE"/>
    <w:rsid w:val="00B60202"/>
    <w:rsid w:val="00B6030A"/>
    <w:rsid w:val="00B604AA"/>
    <w:rsid w:val="00B6067E"/>
    <w:rsid w:val="00B60B49"/>
    <w:rsid w:val="00B60CB7"/>
    <w:rsid w:val="00B60D60"/>
    <w:rsid w:val="00B60DB6"/>
    <w:rsid w:val="00B60E06"/>
    <w:rsid w:val="00B612EA"/>
    <w:rsid w:val="00B615B6"/>
    <w:rsid w:val="00B616FC"/>
    <w:rsid w:val="00B61924"/>
    <w:rsid w:val="00B619E9"/>
    <w:rsid w:val="00B619F8"/>
    <w:rsid w:val="00B61A13"/>
    <w:rsid w:val="00B61B09"/>
    <w:rsid w:val="00B61BE2"/>
    <w:rsid w:val="00B61C66"/>
    <w:rsid w:val="00B61CA8"/>
    <w:rsid w:val="00B61D08"/>
    <w:rsid w:val="00B61D5B"/>
    <w:rsid w:val="00B61D63"/>
    <w:rsid w:val="00B61E9A"/>
    <w:rsid w:val="00B61ED6"/>
    <w:rsid w:val="00B621FE"/>
    <w:rsid w:val="00B62440"/>
    <w:rsid w:val="00B6255B"/>
    <w:rsid w:val="00B62604"/>
    <w:rsid w:val="00B6268E"/>
    <w:rsid w:val="00B62A81"/>
    <w:rsid w:val="00B62C3E"/>
    <w:rsid w:val="00B62D1D"/>
    <w:rsid w:val="00B62D73"/>
    <w:rsid w:val="00B62DF2"/>
    <w:rsid w:val="00B63361"/>
    <w:rsid w:val="00B635D8"/>
    <w:rsid w:val="00B6370D"/>
    <w:rsid w:val="00B63933"/>
    <w:rsid w:val="00B63A07"/>
    <w:rsid w:val="00B63C98"/>
    <w:rsid w:val="00B63D3A"/>
    <w:rsid w:val="00B63DB9"/>
    <w:rsid w:val="00B63E3D"/>
    <w:rsid w:val="00B63F61"/>
    <w:rsid w:val="00B6444E"/>
    <w:rsid w:val="00B646C9"/>
    <w:rsid w:val="00B647BA"/>
    <w:rsid w:val="00B64A82"/>
    <w:rsid w:val="00B64F02"/>
    <w:rsid w:val="00B64F79"/>
    <w:rsid w:val="00B65155"/>
    <w:rsid w:val="00B6539A"/>
    <w:rsid w:val="00B65528"/>
    <w:rsid w:val="00B655EF"/>
    <w:rsid w:val="00B65D3C"/>
    <w:rsid w:val="00B66235"/>
    <w:rsid w:val="00B6688B"/>
    <w:rsid w:val="00B66A87"/>
    <w:rsid w:val="00B66B27"/>
    <w:rsid w:val="00B67139"/>
    <w:rsid w:val="00B6723D"/>
    <w:rsid w:val="00B6725F"/>
    <w:rsid w:val="00B67551"/>
    <w:rsid w:val="00B67705"/>
    <w:rsid w:val="00B67C20"/>
    <w:rsid w:val="00B67CA2"/>
    <w:rsid w:val="00B67D77"/>
    <w:rsid w:val="00B67DB1"/>
    <w:rsid w:val="00B7019F"/>
    <w:rsid w:val="00B7034E"/>
    <w:rsid w:val="00B703B2"/>
    <w:rsid w:val="00B70409"/>
    <w:rsid w:val="00B704B8"/>
    <w:rsid w:val="00B705CC"/>
    <w:rsid w:val="00B7077C"/>
    <w:rsid w:val="00B70881"/>
    <w:rsid w:val="00B70CAF"/>
    <w:rsid w:val="00B70E60"/>
    <w:rsid w:val="00B71013"/>
    <w:rsid w:val="00B71031"/>
    <w:rsid w:val="00B71296"/>
    <w:rsid w:val="00B712D0"/>
    <w:rsid w:val="00B713F9"/>
    <w:rsid w:val="00B7161A"/>
    <w:rsid w:val="00B71670"/>
    <w:rsid w:val="00B71870"/>
    <w:rsid w:val="00B71A4E"/>
    <w:rsid w:val="00B71B66"/>
    <w:rsid w:val="00B71BA6"/>
    <w:rsid w:val="00B71C40"/>
    <w:rsid w:val="00B71E10"/>
    <w:rsid w:val="00B71F1A"/>
    <w:rsid w:val="00B722BD"/>
    <w:rsid w:val="00B72438"/>
    <w:rsid w:val="00B7254A"/>
    <w:rsid w:val="00B72599"/>
    <w:rsid w:val="00B72624"/>
    <w:rsid w:val="00B72C75"/>
    <w:rsid w:val="00B72E3D"/>
    <w:rsid w:val="00B72FDD"/>
    <w:rsid w:val="00B731F2"/>
    <w:rsid w:val="00B7325A"/>
    <w:rsid w:val="00B73429"/>
    <w:rsid w:val="00B73729"/>
    <w:rsid w:val="00B73795"/>
    <w:rsid w:val="00B7388B"/>
    <w:rsid w:val="00B739CC"/>
    <w:rsid w:val="00B73AB9"/>
    <w:rsid w:val="00B73BC4"/>
    <w:rsid w:val="00B73C56"/>
    <w:rsid w:val="00B73E3C"/>
    <w:rsid w:val="00B73FC3"/>
    <w:rsid w:val="00B73FCF"/>
    <w:rsid w:val="00B740CC"/>
    <w:rsid w:val="00B742EA"/>
    <w:rsid w:val="00B74483"/>
    <w:rsid w:val="00B744A5"/>
    <w:rsid w:val="00B74751"/>
    <w:rsid w:val="00B747BA"/>
    <w:rsid w:val="00B74AD2"/>
    <w:rsid w:val="00B74EF1"/>
    <w:rsid w:val="00B75179"/>
    <w:rsid w:val="00B7561A"/>
    <w:rsid w:val="00B7571D"/>
    <w:rsid w:val="00B757E5"/>
    <w:rsid w:val="00B759AF"/>
    <w:rsid w:val="00B75C5A"/>
    <w:rsid w:val="00B75CB2"/>
    <w:rsid w:val="00B75D96"/>
    <w:rsid w:val="00B75F7A"/>
    <w:rsid w:val="00B76062"/>
    <w:rsid w:val="00B76094"/>
    <w:rsid w:val="00B76674"/>
    <w:rsid w:val="00B76677"/>
    <w:rsid w:val="00B76EED"/>
    <w:rsid w:val="00B76F19"/>
    <w:rsid w:val="00B770CE"/>
    <w:rsid w:val="00B774E7"/>
    <w:rsid w:val="00B77A7D"/>
    <w:rsid w:val="00B77D6B"/>
    <w:rsid w:val="00B77E7D"/>
    <w:rsid w:val="00B80115"/>
    <w:rsid w:val="00B805E8"/>
    <w:rsid w:val="00B80B9E"/>
    <w:rsid w:val="00B80C18"/>
    <w:rsid w:val="00B80F36"/>
    <w:rsid w:val="00B81161"/>
    <w:rsid w:val="00B81478"/>
    <w:rsid w:val="00B8169E"/>
    <w:rsid w:val="00B81A16"/>
    <w:rsid w:val="00B81BCB"/>
    <w:rsid w:val="00B81CA4"/>
    <w:rsid w:val="00B81F38"/>
    <w:rsid w:val="00B821BC"/>
    <w:rsid w:val="00B82358"/>
    <w:rsid w:val="00B823B3"/>
    <w:rsid w:val="00B825D4"/>
    <w:rsid w:val="00B8263E"/>
    <w:rsid w:val="00B82A71"/>
    <w:rsid w:val="00B8310D"/>
    <w:rsid w:val="00B83171"/>
    <w:rsid w:val="00B833C8"/>
    <w:rsid w:val="00B83435"/>
    <w:rsid w:val="00B8356A"/>
    <w:rsid w:val="00B837E2"/>
    <w:rsid w:val="00B83813"/>
    <w:rsid w:val="00B838D1"/>
    <w:rsid w:val="00B838EB"/>
    <w:rsid w:val="00B83B62"/>
    <w:rsid w:val="00B83C9C"/>
    <w:rsid w:val="00B83DB6"/>
    <w:rsid w:val="00B84074"/>
    <w:rsid w:val="00B846E2"/>
    <w:rsid w:val="00B847DC"/>
    <w:rsid w:val="00B84909"/>
    <w:rsid w:val="00B849A3"/>
    <w:rsid w:val="00B851A1"/>
    <w:rsid w:val="00B852AE"/>
    <w:rsid w:val="00B8535F"/>
    <w:rsid w:val="00B855DD"/>
    <w:rsid w:val="00B85633"/>
    <w:rsid w:val="00B857C9"/>
    <w:rsid w:val="00B8592B"/>
    <w:rsid w:val="00B85ABE"/>
    <w:rsid w:val="00B85C37"/>
    <w:rsid w:val="00B85C71"/>
    <w:rsid w:val="00B85CAA"/>
    <w:rsid w:val="00B86342"/>
    <w:rsid w:val="00B863AE"/>
    <w:rsid w:val="00B8642E"/>
    <w:rsid w:val="00B864A3"/>
    <w:rsid w:val="00B86513"/>
    <w:rsid w:val="00B866CE"/>
    <w:rsid w:val="00B86852"/>
    <w:rsid w:val="00B868E5"/>
    <w:rsid w:val="00B86918"/>
    <w:rsid w:val="00B86B78"/>
    <w:rsid w:val="00B86BEF"/>
    <w:rsid w:val="00B86D53"/>
    <w:rsid w:val="00B86F8C"/>
    <w:rsid w:val="00B873B6"/>
    <w:rsid w:val="00B875F1"/>
    <w:rsid w:val="00B877CC"/>
    <w:rsid w:val="00B878CD"/>
    <w:rsid w:val="00B90137"/>
    <w:rsid w:val="00B901F0"/>
    <w:rsid w:val="00B9029F"/>
    <w:rsid w:val="00B90B77"/>
    <w:rsid w:val="00B90C09"/>
    <w:rsid w:val="00B90D5E"/>
    <w:rsid w:val="00B90E53"/>
    <w:rsid w:val="00B91AB5"/>
    <w:rsid w:val="00B91CB1"/>
    <w:rsid w:val="00B91EE8"/>
    <w:rsid w:val="00B920DE"/>
    <w:rsid w:val="00B92358"/>
    <w:rsid w:val="00B9246B"/>
    <w:rsid w:val="00B9249B"/>
    <w:rsid w:val="00B92790"/>
    <w:rsid w:val="00B92985"/>
    <w:rsid w:val="00B92C73"/>
    <w:rsid w:val="00B9310B"/>
    <w:rsid w:val="00B9319C"/>
    <w:rsid w:val="00B933A8"/>
    <w:rsid w:val="00B935AA"/>
    <w:rsid w:val="00B93C71"/>
    <w:rsid w:val="00B93F55"/>
    <w:rsid w:val="00B941A3"/>
    <w:rsid w:val="00B94340"/>
    <w:rsid w:val="00B94423"/>
    <w:rsid w:val="00B94588"/>
    <w:rsid w:val="00B946D4"/>
    <w:rsid w:val="00B94A2D"/>
    <w:rsid w:val="00B94B24"/>
    <w:rsid w:val="00B94BA8"/>
    <w:rsid w:val="00B95147"/>
    <w:rsid w:val="00B9536C"/>
    <w:rsid w:val="00B954CC"/>
    <w:rsid w:val="00B954CD"/>
    <w:rsid w:val="00B9580A"/>
    <w:rsid w:val="00B95B3B"/>
    <w:rsid w:val="00B95D4A"/>
    <w:rsid w:val="00B961A5"/>
    <w:rsid w:val="00B962AB"/>
    <w:rsid w:val="00B963B9"/>
    <w:rsid w:val="00B963FA"/>
    <w:rsid w:val="00B9640D"/>
    <w:rsid w:val="00B964C5"/>
    <w:rsid w:val="00B96843"/>
    <w:rsid w:val="00B96899"/>
    <w:rsid w:val="00B96A87"/>
    <w:rsid w:val="00B96C1D"/>
    <w:rsid w:val="00B96C71"/>
    <w:rsid w:val="00B96F73"/>
    <w:rsid w:val="00B96FB8"/>
    <w:rsid w:val="00B97177"/>
    <w:rsid w:val="00B9752C"/>
    <w:rsid w:val="00B975BC"/>
    <w:rsid w:val="00B97829"/>
    <w:rsid w:val="00B97A75"/>
    <w:rsid w:val="00B97C6B"/>
    <w:rsid w:val="00B97F87"/>
    <w:rsid w:val="00BA00B5"/>
    <w:rsid w:val="00BA028D"/>
    <w:rsid w:val="00BA0DA3"/>
    <w:rsid w:val="00BA10B2"/>
    <w:rsid w:val="00BA1BA9"/>
    <w:rsid w:val="00BA1C50"/>
    <w:rsid w:val="00BA1CCC"/>
    <w:rsid w:val="00BA1F3E"/>
    <w:rsid w:val="00BA1FFB"/>
    <w:rsid w:val="00BA28C5"/>
    <w:rsid w:val="00BA29E0"/>
    <w:rsid w:val="00BA2A71"/>
    <w:rsid w:val="00BA2B3F"/>
    <w:rsid w:val="00BA2B9E"/>
    <w:rsid w:val="00BA2E90"/>
    <w:rsid w:val="00BA31E6"/>
    <w:rsid w:val="00BA3833"/>
    <w:rsid w:val="00BA3EAE"/>
    <w:rsid w:val="00BA421C"/>
    <w:rsid w:val="00BA47AA"/>
    <w:rsid w:val="00BA4AF1"/>
    <w:rsid w:val="00BA4E45"/>
    <w:rsid w:val="00BA4ED1"/>
    <w:rsid w:val="00BA4FB2"/>
    <w:rsid w:val="00BA5427"/>
    <w:rsid w:val="00BA55C2"/>
    <w:rsid w:val="00BA59BD"/>
    <w:rsid w:val="00BA59FB"/>
    <w:rsid w:val="00BA5DC5"/>
    <w:rsid w:val="00BA5FD0"/>
    <w:rsid w:val="00BA67E7"/>
    <w:rsid w:val="00BA6943"/>
    <w:rsid w:val="00BA6C4C"/>
    <w:rsid w:val="00BA7160"/>
    <w:rsid w:val="00BA7369"/>
    <w:rsid w:val="00BA7593"/>
    <w:rsid w:val="00BA7887"/>
    <w:rsid w:val="00BA7AFA"/>
    <w:rsid w:val="00BA7B5B"/>
    <w:rsid w:val="00BA7C14"/>
    <w:rsid w:val="00BA7D4C"/>
    <w:rsid w:val="00BB03EE"/>
    <w:rsid w:val="00BB0611"/>
    <w:rsid w:val="00BB0C55"/>
    <w:rsid w:val="00BB0CEE"/>
    <w:rsid w:val="00BB0D89"/>
    <w:rsid w:val="00BB1181"/>
    <w:rsid w:val="00BB127E"/>
    <w:rsid w:val="00BB12CB"/>
    <w:rsid w:val="00BB134D"/>
    <w:rsid w:val="00BB1433"/>
    <w:rsid w:val="00BB145D"/>
    <w:rsid w:val="00BB14A3"/>
    <w:rsid w:val="00BB1516"/>
    <w:rsid w:val="00BB15B1"/>
    <w:rsid w:val="00BB164E"/>
    <w:rsid w:val="00BB183C"/>
    <w:rsid w:val="00BB1970"/>
    <w:rsid w:val="00BB1EE3"/>
    <w:rsid w:val="00BB20F1"/>
    <w:rsid w:val="00BB2789"/>
    <w:rsid w:val="00BB289A"/>
    <w:rsid w:val="00BB296E"/>
    <w:rsid w:val="00BB2BDB"/>
    <w:rsid w:val="00BB2C25"/>
    <w:rsid w:val="00BB2E21"/>
    <w:rsid w:val="00BB3166"/>
    <w:rsid w:val="00BB3291"/>
    <w:rsid w:val="00BB376F"/>
    <w:rsid w:val="00BB3C84"/>
    <w:rsid w:val="00BB3E01"/>
    <w:rsid w:val="00BB40A1"/>
    <w:rsid w:val="00BB430D"/>
    <w:rsid w:val="00BB45D3"/>
    <w:rsid w:val="00BB4642"/>
    <w:rsid w:val="00BB4763"/>
    <w:rsid w:val="00BB4785"/>
    <w:rsid w:val="00BB49CE"/>
    <w:rsid w:val="00BB4BAF"/>
    <w:rsid w:val="00BB4C00"/>
    <w:rsid w:val="00BB4DE8"/>
    <w:rsid w:val="00BB4E3F"/>
    <w:rsid w:val="00BB51EE"/>
    <w:rsid w:val="00BB569D"/>
    <w:rsid w:val="00BB580A"/>
    <w:rsid w:val="00BB5846"/>
    <w:rsid w:val="00BB5967"/>
    <w:rsid w:val="00BB5A1F"/>
    <w:rsid w:val="00BB5B61"/>
    <w:rsid w:val="00BB65BB"/>
    <w:rsid w:val="00BB66DD"/>
    <w:rsid w:val="00BB6705"/>
    <w:rsid w:val="00BB6834"/>
    <w:rsid w:val="00BB6A2E"/>
    <w:rsid w:val="00BB72CD"/>
    <w:rsid w:val="00BB7374"/>
    <w:rsid w:val="00BB73D3"/>
    <w:rsid w:val="00BB74B5"/>
    <w:rsid w:val="00BB78DA"/>
    <w:rsid w:val="00BB78EC"/>
    <w:rsid w:val="00BB79AB"/>
    <w:rsid w:val="00BB79C8"/>
    <w:rsid w:val="00BB7FA6"/>
    <w:rsid w:val="00BB7FDE"/>
    <w:rsid w:val="00BC004E"/>
    <w:rsid w:val="00BC006F"/>
    <w:rsid w:val="00BC0661"/>
    <w:rsid w:val="00BC0DD7"/>
    <w:rsid w:val="00BC0F33"/>
    <w:rsid w:val="00BC0F34"/>
    <w:rsid w:val="00BC0FA1"/>
    <w:rsid w:val="00BC148B"/>
    <w:rsid w:val="00BC15DE"/>
    <w:rsid w:val="00BC17C8"/>
    <w:rsid w:val="00BC1A4B"/>
    <w:rsid w:val="00BC1CDF"/>
    <w:rsid w:val="00BC1E52"/>
    <w:rsid w:val="00BC2241"/>
    <w:rsid w:val="00BC26D1"/>
    <w:rsid w:val="00BC2A23"/>
    <w:rsid w:val="00BC2A5C"/>
    <w:rsid w:val="00BC2C01"/>
    <w:rsid w:val="00BC2C91"/>
    <w:rsid w:val="00BC3074"/>
    <w:rsid w:val="00BC369C"/>
    <w:rsid w:val="00BC3B31"/>
    <w:rsid w:val="00BC4007"/>
    <w:rsid w:val="00BC403F"/>
    <w:rsid w:val="00BC4370"/>
    <w:rsid w:val="00BC4378"/>
    <w:rsid w:val="00BC466D"/>
    <w:rsid w:val="00BC4972"/>
    <w:rsid w:val="00BC49E4"/>
    <w:rsid w:val="00BC4A40"/>
    <w:rsid w:val="00BC5168"/>
    <w:rsid w:val="00BC53D9"/>
    <w:rsid w:val="00BC558D"/>
    <w:rsid w:val="00BC56E5"/>
    <w:rsid w:val="00BC56E6"/>
    <w:rsid w:val="00BC58BF"/>
    <w:rsid w:val="00BC58CF"/>
    <w:rsid w:val="00BC613F"/>
    <w:rsid w:val="00BC65C8"/>
    <w:rsid w:val="00BC6897"/>
    <w:rsid w:val="00BC6A5D"/>
    <w:rsid w:val="00BC6E92"/>
    <w:rsid w:val="00BC6FB3"/>
    <w:rsid w:val="00BC7495"/>
    <w:rsid w:val="00BC776C"/>
    <w:rsid w:val="00BC7D7E"/>
    <w:rsid w:val="00BC7E6F"/>
    <w:rsid w:val="00BC7F6A"/>
    <w:rsid w:val="00BD00F0"/>
    <w:rsid w:val="00BD0330"/>
    <w:rsid w:val="00BD0532"/>
    <w:rsid w:val="00BD0550"/>
    <w:rsid w:val="00BD05A2"/>
    <w:rsid w:val="00BD0922"/>
    <w:rsid w:val="00BD0D4D"/>
    <w:rsid w:val="00BD0DC3"/>
    <w:rsid w:val="00BD0EC3"/>
    <w:rsid w:val="00BD0F00"/>
    <w:rsid w:val="00BD12CD"/>
    <w:rsid w:val="00BD12DB"/>
    <w:rsid w:val="00BD1368"/>
    <w:rsid w:val="00BD15AD"/>
    <w:rsid w:val="00BD1758"/>
    <w:rsid w:val="00BD181B"/>
    <w:rsid w:val="00BD188C"/>
    <w:rsid w:val="00BD1A37"/>
    <w:rsid w:val="00BD1B71"/>
    <w:rsid w:val="00BD1B8D"/>
    <w:rsid w:val="00BD1BA4"/>
    <w:rsid w:val="00BD1E5C"/>
    <w:rsid w:val="00BD1E9F"/>
    <w:rsid w:val="00BD207F"/>
    <w:rsid w:val="00BD2081"/>
    <w:rsid w:val="00BD216E"/>
    <w:rsid w:val="00BD2353"/>
    <w:rsid w:val="00BD240D"/>
    <w:rsid w:val="00BD24D8"/>
    <w:rsid w:val="00BD2683"/>
    <w:rsid w:val="00BD2916"/>
    <w:rsid w:val="00BD2A29"/>
    <w:rsid w:val="00BD2AB2"/>
    <w:rsid w:val="00BD2AFA"/>
    <w:rsid w:val="00BD2F48"/>
    <w:rsid w:val="00BD33D4"/>
    <w:rsid w:val="00BD363C"/>
    <w:rsid w:val="00BD374C"/>
    <w:rsid w:val="00BD389F"/>
    <w:rsid w:val="00BD3ACA"/>
    <w:rsid w:val="00BD3BBF"/>
    <w:rsid w:val="00BD3D40"/>
    <w:rsid w:val="00BD3ED4"/>
    <w:rsid w:val="00BD40B1"/>
    <w:rsid w:val="00BD41D9"/>
    <w:rsid w:val="00BD42FA"/>
    <w:rsid w:val="00BD4316"/>
    <w:rsid w:val="00BD49A0"/>
    <w:rsid w:val="00BD49C2"/>
    <w:rsid w:val="00BD49D1"/>
    <w:rsid w:val="00BD4D3C"/>
    <w:rsid w:val="00BD4E99"/>
    <w:rsid w:val="00BD4FCA"/>
    <w:rsid w:val="00BD54A4"/>
    <w:rsid w:val="00BD587C"/>
    <w:rsid w:val="00BD5B27"/>
    <w:rsid w:val="00BD5B35"/>
    <w:rsid w:val="00BD5B69"/>
    <w:rsid w:val="00BD5BF9"/>
    <w:rsid w:val="00BD5D00"/>
    <w:rsid w:val="00BD6072"/>
    <w:rsid w:val="00BD645C"/>
    <w:rsid w:val="00BD64EA"/>
    <w:rsid w:val="00BD6542"/>
    <w:rsid w:val="00BD679B"/>
    <w:rsid w:val="00BD6885"/>
    <w:rsid w:val="00BD68FB"/>
    <w:rsid w:val="00BD6A2C"/>
    <w:rsid w:val="00BD6B91"/>
    <w:rsid w:val="00BD6D0B"/>
    <w:rsid w:val="00BD6E1B"/>
    <w:rsid w:val="00BD7037"/>
    <w:rsid w:val="00BD7056"/>
    <w:rsid w:val="00BD7826"/>
    <w:rsid w:val="00BD7DF0"/>
    <w:rsid w:val="00BD7FC0"/>
    <w:rsid w:val="00BE066C"/>
    <w:rsid w:val="00BE099D"/>
    <w:rsid w:val="00BE0A98"/>
    <w:rsid w:val="00BE16F4"/>
    <w:rsid w:val="00BE1757"/>
    <w:rsid w:val="00BE18A3"/>
    <w:rsid w:val="00BE1936"/>
    <w:rsid w:val="00BE1E68"/>
    <w:rsid w:val="00BE1F44"/>
    <w:rsid w:val="00BE214D"/>
    <w:rsid w:val="00BE2333"/>
    <w:rsid w:val="00BE24DA"/>
    <w:rsid w:val="00BE25AD"/>
    <w:rsid w:val="00BE2613"/>
    <w:rsid w:val="00BE27AA"/>
    <w:rsid w:val="00BE2BBE"/>
    <w:rsid w:val="00BE2C79"/>
    <w:rsid w:val="00BE2E91"/>
    <w:rsid w:val="00BE3586"/>
    <w:rsid w:val="00BE35D0"/>
    <w:rsid w:val="00BE36EE"/>
    <w:rsid w:val="00BE3795"/>
    <w:rsid w:val="00BE3E98"/>
    <w:rsid w:val="00BE3F1A"/>
    <w:rsid w:val="00BE41D8"/>
    <w:rsid w:val="00BE4277"/>
    <w:rsid w:val="00BE4387"/>
    <w:rsid w:val="00BE458B"/>
    <w:rsid w:val="00BE47BF"/>
    <w:rsid w:val="00BE495B"/>
    <w:rsid w:val="00BE4C55"/>
    <w:rsid w:val="00BE515C"/>
    <w:rsid w:val="00BE515D"/>
    <w:rsid w:val="00BE5298"/>
    <w:rsid w:val="00BE5374"/>
    <w:rsid w:val="00BE5659"/>
    <w:rsid w:val="00BE5692"/>
    <w:rsid w:val="00BE5ADD"/>
    <w:rsid w:val="00BE5B34"/>
    <w:rsid w:val="00BE5B61"/>
    <w:rsid w:val="00BE5C45"/>
    <w:rsid w:val="00BE5C7A"/>
    <w:rsid w:val="00BE6052"/>
    <w:rsid w:val="00BE6152"/>
    <w:rsid w:val="00BE627A"/>
    <w:rsid w:val="00BE69C9"/>
    <w:rsid w:val="00BE6A88"/>
    <w:rsid w:val="00BE6CE8"/>
    <w:rsid w:val="00BE6F94"/>
    <w:rsid w:val="00BE704F"/>
    <w:rsid w:val="00BE730A"/>
    <w:rsid w:val="00BE73D1"/>
    <w:rsid w:val="00BE7491"/>
    <w:rsid w:val="00BE78E1"/>
    <w:rsid w:val="00BE7950"/>
    <w:rsid w:val="00BE7A4D"/>
    <w:rsid w:val="00BE7AAC"/>
    <w:rsid w:val="00BE7C24"/>
    <w:rsid w:val="00BE7D2E"/>
    <w:rsid w:val="00BF01F8"/>
    <w:rsid w:val="00BF0410"/>
    <w:rsid w:val="00BF0559"/>
    <w:rsid w:val="00BF08C5"/>
    <w:rsid w:val="00BF0987"/>
    <w:rsid w:val="00BF0A97"/>
    <w:rsid w:val="00BF0AC5"/>
    <w:rsid w:val="00BF0E69"/>
    <w:rsid w:val="00BF0EAB"/>
    <w:rsid w:val="00BF1389"/>
    <w:rsid w:val="00BF13EB"/>
    <w:rsid w:val="00BF16E1"/>
    <w:rsid w:val="00BF174A"/>
    <w:rsid w:val="00BF1918"/>
    <w:rsid w:val="00BF193C"/>
    <w:rsid w:val="00BF1A50"/>
    <w:rsid w:val="00BF1A7A"/>
    <w:rsid w:val="00BF1D36"/>
    <w:rsid w:val="00BF20AA"/>
    <w:rsid w:val="00BF20CF"/>
    <w:rsid w:val="00BF2271"/>
    <w:rsid w:val="00BF22A7"/>
    <w:rsid w:val="00BF230D"/>
    <w:rsid w:val="00BF2AE8"/>
    <w:rsid w:val="00BF2E96"/>
    <w:rsid w:val="00BF32BB"/>
    <w:rsid w:val="00BF32BD"/>
    <w:rsid w:val="00BF3305"/>
    <w:rsid w:val="00BF3400"/>
    <w:rsid w:val="00BF385C"/>
    <w:rsid w:val="00BF3B3D"/>
    <w:rsid w:val="00BF3B9F"/>
    <w:rsid w:val="00BF40B6"/>
    <w:rsid w:val="00BF419F"/>
    <w:rsid w:val="00BF44A6"/>
    <w:rsid w:val="00BF4580"/>
    <w:rsid w:val="00BF45DC"/>
    <w:rsid w:val="00BF4BE0"/>
    <w:rsid w:val="00BF4F0A"/>
    <w:rsid w:val="00BF4FAB"/>
    <w:rsid w:val="00BF4FAC"/>
    <w:rsid w:val="00BF513D"/>
    <w:rsid w:val="00BF51FA"/>
    <w:rsid w:val="00BF552E"/>
    <w:rsid w:val="00BF5579"/>
    <w:rsid w:val="00BF5619"/>
    <w:rsid w:val="00BF5927"/>
    <w:rsid w:val="00BF654D"/>
    <w:rsid w:val="00BF660E"/>
    <w:rsid w:val="00BF66E9"/>
    <w:rsid w:val="00BF67B2"/>
    <w:rsid w:val="00BF6906"/>
    <w:rsid w:val="00BF6A14"/>
    <w:rsid w:val="00BF6B6F"/>
    <w:rsid w:val="00BF6E89"/>
    <w:rsid w:val="00BF6F82"/>
    <w:rsid w:val="00BF7233"/>
    <w:rsid w:val="00BF7589"/>
    <w:rsid w:val="00BF75A0"/>
    <w:rsid w:val="00BF7633"/>
    <w:rsid w:val="00BF76CC"/>
    <w:rsid w:val="00BF7903"/>
    <w:rsid w:val="00BF7A39"/>
    <w:rsid w:val="00BF7C54"/>
    <w:rsid w:val="00BF7DA7"/>
    <w:rsid w:val="00BF7DB2"/>
    <w:rsid w:val="00BF7E97"/>
    <w:rsid w:val="00C00083"/>
    <w:rsid w:val="00C003BD"/>
    <w:rsid w:val="00C004C9"/>
    <w:rsid w:val="00C0069A"/>
    <w:rsid w:val="00C00FC2"/>
    <w:rsid w:val="00C00FF9"/>
    <w:rsid w:val="00C0116F"/>
    <w:rsid w:val="00C013A1"/>
    <w:rsid w:val="00C0161A"/>
    <w:rsid w:val="00C0166C"/>
    <w:rsid w:val="00C016AF"/>
    <w:rsid w:val="00C0191E"/>
    <w:rsid w:val="00C01937"/>
    <w:rsid w:val="00C019BF"/>
    <w:rsid w:val="00C01BBA"/>
    <w:rsid w:val="00C01D5F"/>
    <w:rsid w:val="00C021DA"/>
    <w:rsid w:val="00C023A9"/>
    <w:rsid w:val="00C02966"/>
    <w:rsid w:val="00C02B58"/>
    <w:rsid w:val="00C02DFC"/>
    <w:rsid w:val="00C02EC3"/>
    <w:rsid w:val="00C03153"/>
    <w:rsid w:val="00C0345A"/>
    <w:rsid w:val="00C03511"/>
    <w:rsid w:val="00C035B3"/>
    <w:rsid w:val="00C036D0"/>
    <w:rsid w:val="00C03768"/>
    <w:rsid w:val="00C0388C"/>
    <w:rsid w:val="00C03942"/>
    <w:rsid w:val="00C03A30"/>
    <w:rsid w:val="00C03A70"/>
    <w:rsid w:val="00C03D22"/>
    <w:rsid w:val="00C0402D"/>
    <w:rsid w:val="00C0439F"/>
    <w:rsid w:val="00C044C6"/>
    <w:rsid w:val="00C04742"/>
    <w:rsid w:val="00C04779"/>
    <w:rsid w:val="00C04A12"/>
    <w:rsid w:val="00C04C3A"/>
    <w:rsid w:val="00C04CF5"/>
    <w:rsid w:val="00C04D4F"/>
    <w:rsid w:val="00C04DD2"/>
    <w:rsid w:val="00C04E5B"/>
    <w:rsid w:val="00C04F8F"/>
    <w:rsid w:val="00C05097"/>
    <w:rsid w:val="00C0533E"/>
    <w:rsid w:val="00C05583"/>
    <w:rsid w:val="00C05625"/>
    <w:rsid w:val="00C05646"/>
    <w:rsid w:val="00C05700"/>
    <w:rsid w:val="00C0576C"/>
    <w:rsid w:val="00C05A17"/>
    <w:rsid w:val="00C05DC1"/>
    <w:rsid w:val="00C060AD"/>
    <w:rsid w:val="00C060B9"/>
    <w:rsid w:val="00C060CF"/>
    <w:rsid w:val="00C067EE"/>
    <w:rsid w:val="00C06C2A"/>
    <w:rsid w:val="00C06E20"/>
    <w:rsid w:val="00C06FAD"/>
    <w:rsid w:val="00C07214"/>
    <w:rsid w:val="00C072E3"/>
    <w:rsid w:val="00C074CD"/>
    <w:rsid w:val="00C0795D"/>
    <w:rsid w:val="00C07969"/>
    <w:rsid w:val="00C07D54"/>
    <w:rsid w:val="00C10022"/>
    <w:rsid w:val="00C10144"/>
    <w:rsid w:val="00C1015C"/>
    <w:rsid w:val="00C1019E"/>
    <w:rsid w:val="00C10290"/>
    <w:rsid w:val="00C1050A"/>
    <w:rsid w:val="00C107C3"/>
    <w:rsid w:val="00C10A9F"/>
    <w:rsid w:val="00C10B5D"/>
    <w:rsid w:val="00C10C52"/>
    <w:rsid w:val="00C10C69"/>
    <w:rsid w:val="00C10D60"/>
    <w:rsid w:val="00C10D9F"/>
    <w:rsid w:val="00C10F17"/>
    <w:rsid w:val="00C11380"/>
    <w:rsid w:val="00C113E1"/>
    <w:rsid w:val="00C1140B"/>
    <w:rsid w:val="00C11484"/>
    <w:rsid w:val="00C115E1"/>
    <w:rsid w:val="00C1171C"/>
    <w:rsid w:val="00C1178B"/>
    <w:rsid w:val="00C11A05"/>
    <w:rsid w:val="00C11CD1"/>
    <w:rsid w:val="00C11F5B"/>
    <w:rsid w:val="00C125EF"/>
    <w:rsid w:val="00C127A0"/>
    <w:rsid w:val="00C1280E"/>
    <w:rsid w:val="00C128E2"/>
    <w:rsid w:val="00C12F9F"/>
    <w:rsid w:val="00C13089"/>
    <w:rsid w:val="00C13097"/>
    <w:rsid w:val="00C13227"/>
    <w:rsid w:val="00C134DC"/>
    <w:rsid w:val="00C13520"/>
    <w:rsid w:val="00C1358F"/>
    <w:rsid w:val="00C13594"/>
    <w:rsid w:val="00C136B2"/>
    <w:rsid w:val="00C13798"/>
    <w:rsid w:val="00C137DA"/>
    <w:rsid w:val="00C13981"/>
    <w:rsid w:val="00C13BD8"/>
    <w:rsid w:val="00C13C22"/>
    <w:rsid w:val="00C13E5B"/>
    <w:rsid w:val="00C13EEC"/>
    <w:rsid w:val="00C144CB"/>
    <w:rsid w:val="00C14682"/>
    <w:rsid w:val="00C14694"/>
    <w:rsid w:val="00C14890"/>
    <w:rsid w:val="00C14BCF"/>
    <w:rsid w:val="00C14CA6"/>
    <w:rsid w:val="00C14D36"/>
    <w:rsid w:val="00C14EF5"/>
    <w:rsid w:val="00C14F9B"/>
    <w:rsid w:val="00C14FAB"/>
    <w:rsid w:val="00C15282"/>
    <w:rsid w:val="00C153AA"/>
    <w:rsid w:val="00C15490"/>
    <w:rsid w:val="00C155B3"/>
    <w:rsid w:val="00C155EE"/>
    <w:rsid w:val="00C156AC"/>
    <w:rsid w:val="00C15A0E"/>
    <w:rsid w:val="00C15A32"/>
    <w:rsid w:val="00C15F42"/>
    <w:rsid w:val="00C1601A"/>
    <w:rsid w:val="00C1610B"/>
    <w:rsid w:val="00C1611D"/>
    <w:rsid w:val="00C16472"/>
    <w:rsid w:val="00C16484"/>
    <w:rsid w:val="00C16654"/>
    <w:rsid w:val="00C166C5"/>
    <w:rsid w:val="00C16B3F"/>
    <w:rsid w:val="00C16C9A"/>
    <w:rsid w:val="00C16F4B"/>
    <w:rsid w:val="00C17155"/>
    <w:rsid w:val="00C17253"/>
    <w:rsid w:val="00C175E4"/>
    <w:rsid w:val="00C1799B"/>
    <w:rsid w:val="00C17CFB"/>
    <w:rsid w:val="00C17D0E"/>
    <w:rsid w:val="00C17D13"/>
    <w:rsid w:val="00C17E33"/>
    <w:rsid w:val="00C17E81"/>
    <w:rsid w:val="00C17EB4"/>
    <w:rsid w:val="00C17F9A"/>
    <w:rsid w:val="00C202B8"/>
    <w:rsid w:val="00C20581"/>
    <w:rsid w:val="00C20B5B"/>
    <w:rsid w:val="00C20C9D"/>
    <w:rsid w:val="00C20D93"/>
    <w:rsid w:val="00C20ECB"/>
    <w:rsid w:val="00C20F06"/>
    <w:rsid w:val="00C21297"/>
    <w:rsid w:val="00C21453"/>
    <w:rsid w:val="00C21A4E"/>
    <w:rsid w:val="00C21BE2"/>
    <w:rsid w:val="00C21DC0"/>
    <w:rsid w:val="00C22214"/>
    <w:rsid w:val="00C22593"/>
    <w:rsid w:val="00C22AC5"/>
    <w:rsid w:val="00C22FF8"/>
    <w:rsid w:val="00C231E6"/>
    <w:rsid w:val="00C232E0"/>
    <w:rsid w:val="00C236DF"/>
    <w:rsid w:val="00C236E8"/>
    <w:rsid w:val="00C23993"/>
    <w:rsid w:val="00C24058"/>
    <w:rsid w:val="00C2409E"/>
    <w:rsid w:val="00C2417F"/>
    <w:rsid w:val="00C242F5"/>
    <w:rsid w:val="00C2459B"/>
    <w:rsid w:val="00C24648"/>
    <w:rsid w:val="00C249CD"/>
    <w:rsid w:val="00C24B5E"/>
    <w:rsid w:val="00C24CEE"/>
    <w:rsid w:val="00C24DFB"/>
    <w:rsid w:val="00C251AD"/>
    <w:rsid w:val="00C25258"/>
    <w:rsid w:val="00C25325"/>
    <w:rsid w:val="00C2534F"/>
    <w:rsid w:val="00C25383"/>
    <w:rsid w:val="00C25591"/>
    <w:rsid w:val="00C255FD"/>
    <w:rsid w:val="00C25689"/>
    <w:rsid w:val="00C257DD"/>
    <w:rsid w:val="00C2589A"/>
    <w:rsid w:val="00C25ADE"/>
    <w:rsid w:val="00C25C9C"/>
    <w:rsid w:val="00C25CD2"/>
    <w:rsid w:val="00C25F1D"/>
    <w:rsid w:val="00C262DD"/>
    <w:rsid w:val="00C2693B"/>
    <w:rsid w:val="00C26985"/>
    <w:rsid w:val="00C26C23"/>
    <w:rsid w:val="00C26DC8"/>
    <w:rsid w:val="00C271D3"/>
    <w:rsid w:val="00C27460"/>
    <w:rsid w:val="00C27A0A"/>
    <w:rsid w:val="00C27FCF"/>
    <w:rsid w:val="00C30058"/>
    <w:rsid w:val="00C30F13"/>
    <w:rsid w:val="00C30F7A"/>
    <w:rsid w:val="00C310EE"/>
    <w:rsid w:val="00C31271"/>
    <w:rsid w:val="00C3142A"/>
    <w:rsid w:val="00C31564"/>
    <w:rsid w:val="00C31571"/>
    <w:rsid w:val="00C317A2"/>
    <w:rsid w:val="00C31CAD"/>
    <w:rsid w:val="00C325E2"/>
    <w:rsid w:val="00C325FA"/>
    <w:rsid w:val="00C325FB"/>
    <w:rsid w:val="00C327E2"/>
    <w:rsid w:val="00C32A72"/>
    <w:rsid w:val="00C32E72"/>
    <w:rsid w:val="00C32E87"/>
    <w:rsid w:val="00C32F0E"/>
    <w:rsid w:val="00C32F4A"/>
    <w:rsid w:val="00C32FFD"/>
    <w:rsid w:val="00C3358C"/>
    <w:rsid w:val="00C33712"/>
    <w:rsid w:val="00C337B3"/>
    <w:rsid w:val="00C33871"/>
    <w:rsid w:val="00C33912"/>
    <w:rsid w:val="00C33927"/>
    <w:rsid w:val="00C33AA2"/>
    <w:rsid w:val="00C33C01"/>
    <w:rsid w:val="00C33FBC"/>
    <w:rsid w:val="00C34130"/>
    <w:rsid w:val="00C343FC"/>
    <w:rsid w:val="00C34422"/>
    <w:rsid w:val="00C3442F"/>
    <w:rsid w:val="00C346A2"/>
    <w:rsid w:val="00C34EB8"/>
    <w:rsid w:val="00C351D4"/>
    <w:rsid w:val="00C355CD"/>
    <w:rsid w:val="00C3560A"/>
    <w:rsid w:val="00C356E0"/>
    <w:rsid w:val="00C3574C"/>
    <w:rsid w:val="00C358A6"/>
    <w:rsid w:val="00C3598C"/>
    <w:rsid w:val="00C35A07"/>
    <w:rsid w:val="00C35C43"/>
    <w:rsid w:val="00C36159"/>
    <w:rsid w:val="00C363D3"/>
    <w:rsid w:val="00C3651F"/>
    <w:rsid w:val="00C36633"/>
    <w:rsid w:val="00C366AB"/>
    <w:rsid w:val="00C36869"/>
    <w:rsid w:val="00C368EC"/>
    <w:rsid w:val="00C36C6A"/>
    <w:rsid w:val="00C36E9D"/>
    <w:rsid w:val="00C36EB7"/>
    <w:rsid w:val="00C370F8"/>
    <w:rsid w:val="00C37122"/>
    <w:rsid w:val="00C3735B"/>
    <w:rsid w:val="00C373EF"/>
    <w:rsid w:val="00C375CF"/>
    <w:rsid w:val="00C3775D"/>
    <w:rsid w:val="00C37954"/>
    <w:rsid w:val="00C379A5"/>
    <w:rsid w:val="00C37A50"/>
    <w:rsid w:val="00C37C86"/>
    <w:rsid w:val="00C37F38"/>
    <w:rsid w:val="00C4013F"/>
    <w:rsid w:val="00C40174"/>
    <w:rsid w:val="00C4026A"/>
    <w:rsid w:val="00C402D2"/>
    <w:rsid w:val="00C40436"/>
    <w:rsid w:val="00C40637"/>
    <w:rsid w:val="00C40660"/>
    <w:rsid w:val="00C4070C"/>
    <w:rsid w:val="00C4076D"/>
    <w:rsid w:val="00C407EA"/>
    <w:rsid w:val="00C40AF0"/>
    <w:rsid w:val="00C40B38"/>
    <w:rsid w:val="00C40B48"/>
    <w:rsid w:val="00C40ECC"/>
    <w:rsid w:val="00C4119B"/>
    <w:rsid w:val="00C412B1"/>
    <w:rsid w:val="00C4156B"/>
    <w:rsid w:val="00C41602"/>
    <w:rsid w:val="00C416D1"/>
    <w:rsid w:val="00C4179B"/>
    <w:rsid w:val="00C41A44"/>
    <w:rsid w:val="00C41AF8"/>
    <w:rsid w:val="00C41BFB"/>
    <w:rsid w:val="00C41C78"/>
    <w:rsid w:val="00C41DC4"/>
    <w:rsid w:val="00C41FDC"/>
    <w:rsid w:val="00C42173"/>
    <w:rsid w:val="00C422B4"/>
    <w:rsid w:val="00C42599"/>
    <w:rsid w:val="00C42772"/>
    <w:rsid w:val="00C42915"/>
    <w:rsid w:val="00C43112"/>
    <w:rsid w:val="00C4324E"/>
    <w:rsid w:val="00C4332E"/>
    <w:rsid w:val="00C4377B"/>
    <w:rsid w:val="00C437A6"/>
    <w:rsid w:val="00C43CB6"/>
    <w:rsid w:val="00C43EA2"/>
    <w:rsid w:val="00C43F40"/>
    <w:rsid w:val="00C440DA"/>
    <w:rsid w:val="00C4436C"/>
    <w:rsid w:val="00C44978"/>
    <w:rsid w:val="00C44DFB"/>
    <w:rsid w:val="00C44F17"/>
    <w:rsid w:val="00C450C0"/>
    <w:rsid w:val="00C453A9"/>
    <w:rsid w:val="00C4561E"/>
    <w:rsid w:val="00C457EA"/>
    <w:rsid w:val="00C45F04"/>
    <w:rsid w:val="00C461B2"/>
    <w:rsid w:val="00C466EC"/>
    <w:rsid w:val="00C46868"/>
    <w:rsid w:val="00C46A12"/>
    <w:rsid w:val="00C46F46"/>
    <w:rsid w:val="00C47182"/>
    <w:rsid w:val="00C472F8"/>
    <w:rsid w:val="00C47523"/>
    <w:rsid w:val="00C4782B"/>
    <w:rsid w:val="00C47C8E"/>
    <w:rsid w:val="00C47EFD"/>
    <w:rsid w:val="00C5015F"/>
    <w:rsid w:val="00C502C6"/>
    <w:rsid w:val="00C506A6"/>
    <w:rsid w:val="00C508B5"/>
    <w:rsid w:val="00C50D82"/>
    <w:rsid w:val="00C50DF1"/>
    <w:rsid w:val="00C51160"/>
    <w:rsid w:val="00C5140E"/>
    <w:rsid w:val="00C51524"/>
    <w:rsid w:val="00C519BB"/>
    <w:rsid w:val="00C519D3"/>
    <w:rsid w:val="00C51A07"/>
    <w:rsid w:val="00C51A77"/>
    <w:rsid w:val="00C51BB8"/>
    <w:rsid w:val="00C51BD5"/>
    <w:rsid w:val="00C520AF"/>
    <w:rsid w:val="00C52284"/>
    <w:rsid w:val="00C5270A"/>
    <w:rsid w:val="00C52754"/>
    <w:rsid w:val="00C52797"/>
    <w:rsid w:val="00C528D0"/>
    <w:rsid w:val="00C52914"/>
    <w:rsid w:val="00C52B92"/>
    <w:rsid w:val="00C52CF2"/>
    <w:rsid w:val="00C52F6A"/>
    <w:rsid w:val="00C52FD1"/>
    <w:rsid w:val="00C5310D"/>
    <w:rsid w:val="00C5333E"/>
    <w:rsid w:val="00C53374"/>
    <w:rsid w:val="00C533C8"/>
    <w:rsid w:val="00C5359B"/>
    <w:rsid w:val="00C535F4"/>
    <w:rsid w:val="00C5366B"/>
    <w:rsid w:val="00C5385F"/>
    <w:rsid w:val="00C53967"/>
    <w:rsid w:val="00C53AF7"/>
    <w:rsid w:val="00C53BAF"/>
    <w:rsid w:val="00C53CE9"/>
    <w:rsid w:val="00C53EB5"/>
    <w:rsid w:val="00C540D4"/>
    <w:rsid w:val="00C54657"/>
    <w:rsid w:val="00C54793"/>
    <w:rsid w:val="00C547A3"/>
    <w:rsid w:val="00C5486F"/>
    <w:rsid w:val="00C548F0"/>
    <w:rsid w:val="00C54B97"/>
    <w:rsid w:val="00C554B5"/>
    <w:rsid w:val="00C554FA"/>
    <w:rsid w:val="00C5551D"/>
    <w:rsid w:val="00C55533"/>
    <w:rsid w:val="00C55554"/>
    <w:rsid w:val="00C55715"/>
    <w:rsid w:val="00C55CD2"/>
    <w:rsid w:val="00C560CA"/>
    <w:rsid w:val="00C560CE"/>
    <w:rsid w:val="00C5612B"/>
    <w:rsid w:val="00C56154"/>
    <w:rsid w:val="00C56793"/>
    <w:rsid w:val="00C5686C"/>
    <w:rsid w:val="00C569B9"/>
    <w:rsid w:val="00C56AC1"/>
    <w:rsid w:val="00C56D31"/>
    <w:rsid w:val="00C56E45"/>
    <w:rsid w:val="00C56EF2"/>
    <w:rsid w:val="00C570A6"/>
    <w:rsid w:val="00C57164"/>
    <w:rsid w:val="00C5737B"/>
    <w:rsid w:val="00C575BD"/>
    <w:rsid w:val="00C57844"/>
    <w:rsid w:val="00C579F3"/>
    <w:rsid w:val="00C57A5A"/>
    <w:rsid w:val="00C57AE1"/>
    <w:rsid w:val="00C57BFD"/>
    <w:rsid w:val="00C57CBE"/>
    <w:rsid w:val="00C57E44"/>
    <w:rsid w:val="00C57E84"/>
    <w:rsid w:val="00C60020"/>
    <w:rsid w:val="00C600B3"/>
    <w:rsid w:val="00C60157"/>
    <w:rsid w:val="00C60371"/>
    <w:rsid w:val="00C60439"/>
    <w:rsid w:val="00C60B41"/>
    <w:rsid w:val="00C60CF2"/>
    <w:rsid w:val="00C60D6C"/>
    <w:rsid w:val="00C60DE1"/>
    <w:rsid w:val="00C60F30"/>
    <w:rsid w:val="00C6131E"/>
    <w:rsid w:val="00C6139D"/>
    <w:rsid w:val="00C61464"/>
    <w:rsid w:val="00C6159B"/>
    <w:rsid w:val="00C61D8D"/>
    <w:rsid w:val="00C61DB8"/>
    <w:rsid w:val="00C61FEF"/>
    <w:rsid w:val="00C62013"/>
    <w:rsid w:val="00C6282A"/>
    <w:rsid w:val="00C628C1"/>
    <w:rsid w:val="00C62CB8"/>
    <w:rsid w:val="00C62DD7"/>
    <w:rsid w:val="00C62EBE"/>
    <w:rsid w:val="00C63189"/>
    <w:rsid w:val="00C63471"/>
    <w:rsid w:val="00C634D5"/>
    <w:rsid w:val="00C63815"/>
    <w:rsid w:val="00C63989"/>
    <w:rsid w:val="00C63AB1"/>
    <w:rsid w:val="00C63BE1"/>
    <w:rsid w:val="00C63F4D"/>
    <w:rsid w:val="00C63F8D"/>
    <w:rsid w:val="00C63FD5"/>
    <w:rsid w:val="00C642EA"/>
    <w:rsid w:val="00C6463A"/>
    <w:rsid w:val="00C64670"/>
    <w:rsid w:val="00C64697"/>
    <w:rsid w:val="00C64781"/>
    <w:rsid w:val="00C6499C"/>
    <w:rsid w:val="00C64A72"/>
    <w:rsid w:val="00C64A82"/>
    <w:rsid w:val="00C64D1B"/>
    <w:rsid w:val="00C64DC9"/>
    <w:rsid w:val="00C6525F"/>
    <w:rsid w:val="00C654A5"/>
    <w:rsid w:val="00C657E6"/>
    <w:rsid w:val="00C65A05"/>
    <w:rsid w:val="00C65AC7"/>
    <w:rsid w:val="00C65C47"/>
    <w:rsid w:val="00C66059"/>
    <w:rsid w:val="00C66090"/>
    <w:rsid w:val="00C66382"/>
    <w:rsid w:val="00C664FB"/>
    <w:rsid w:val="00C66738"/>
    <w:rsid w:val="00C6674C"/>
    <w:rsid w:val="00C66A08"/>
    <w:rsid w:val="00C677BD"/>
    <w:rsid w:val="00C67A01"/>
    <w:rsid w:val="00C67BAB"/>
    <w:rsid w:val="00C67E8E"/>
    <w:rsid w:val="00C67F1F"/>
    <w:rsid w:val="00C67F49"/>
    <w:rsid w:val="00C67F83"/>
    <w:rsid w:val="00C67FE7"/>
    <w:rsid w:val="00C7000B"/>
    <w:rsid w:val="00C7069B"/>
    <w:rsid w:val="00C70D4E"/>
    <w:rsid w:val="00C70E43"/>
    <w:rsid w:val="00C7143F"/>
    <w:rsid w:val="00C715C9"/>
    <w:rsid w:val="00C7165A"/>
    <w:rsid w:val="00C71688"/>
    <w:rsid w:val="00C71910"/>
    <w:rsid w:val="00C71A36"/>
    <w:rsid w:val="00C71ADE"/>
    <w:rsid w:val="00C71B36"/>
    <w:rsid w:val="00C7201A"/>
    <w:rsid w:val="00C7215C"/>
    <w:rsid w:val="00C72177"/>
    <w:rsid w:val="00C722A4"/>
    <w:rsid w:val="00C7235C"/>
    <w:rsid w:val="00C72401"/>
    <w:rsid w:val="00C726C8"/>
    <w:rsid w:val="00C726F2"/>
    <w:rsid w:val="00C727F9"/>
    <w:rsid w:val="00C72A1D"/>
    <w:rsid w:val="00C731DA"/>
    <w:rsid w:val="00C73538"/>
    <w:rsid w:val="00C73852"/>
    <w:rsid w:val="00C739EE"/>
    <w:rsid w:val="00C73A03"/>
    <w:rsid w:val="00C73FC9"/>
    <w:rsid w:val="00C7430F"/>
    <w:rsid w:val="00C74867"/>
    <w:rsid w:val="00C74879"/>
    <w:rsid w:val="00C74947"/>
    <w:rsid w:val="00C74B0E"/>
    <w:rsid w:val="00C74B6C"/>
    <w:rsid w:val="00C74B8C"/>
    <w:rsid w:val="00C74E3F"/>
    <w:rsid w:val="00C75005"/>
    <w:rsid w:val="00C7545E"/>
    <w:rsid w:val="00C75679"/>
    <w:rsid w:val="00C758D3"/>
    <w:rsid w:val="00C75C62"/>
    <w:rsid w:val="00C75E7E"/>
    <w:rsid w:val="00C75EDD"/>
    <w:rsid w:val="00C76195"/>
    <w:rsid w:val="00C7626F"/>
    <w:rsid w:val="00C7631D"/>
    <w:rsid w:val="00C764F3"/>
    <w:rsid w:val="00C766FB"/>
    <w:rsid w:val="00C7695E"/>
    <w:rsid w:val="00C76C9C"/>
    <w:rsid w:val="00C76E87"/>
    <w:rsid w:val="00C76EBC"/>
    <w:rsid w:val="00C76F9A"/>
    <w:rsid w:val="00C7738A"/>
    <w:rsid w:val="00C776F5"/>
    <w:rsid w:val="00C77AFE"/>
    <w:rsid w:val="00C77EFC"/>
    <w:rsid w:val="00C800E9"/>
    <w:rsid w:val="00C80234"/>
    <w:rsid w:val="00C802A7"/>
    <w:rsid w:val="00C802F8"/>
    <w:rsid w:val="00C80637"/>
    <w:rsid w:val="00C8068F"/>
    <w:rsid w:val="00C808A8"/>
    <w:rsid w:val="00C8140C"/>
    <w:rsid w:val="00C8142D"/>
    <w:rsid w:val="00C81500"/>
    <w:rsid w:val="00C816D1"/>
    <w:rsid w:val="00C819B6"/>
    <w:rsid w:val="00C81A29"/>
    <w:rsid w:val="00C81C89"/>
    <w:rsid w:val="00C81D83"/>
    <w:rsid w:val="00C82590"/>
    <w:rsid w:val="00C825C4"/>
    <w:rsid w:val="00C8268F"/>
    <w:rsid w:val="00C82A5C"/>
    <w:rsid w:val="00C82C17"/>
    <w:rsid w:val="00C82EA3"/>
    <w:rsid w:val="00C82EEB"/>
    <w:rsid w:val="00C8300E"/>
    <w:rsid w:val="00C83090"/>
    <w:rsid w:val="00C830CD"/>
    <w:rsid w:val="00C83107"/>
    <w:rsid w:val="00C83244"/>
    <w:rsid w:val="00C83534"/>
    <w:rsid w:val="00C83535"/>
    <w:rsid w:val="00C83825"/>
    <w:rsid w:val="00C83AB8"/>
    <w:rsid w:val="00C83D00"/>
    <w:rsid w:val="00C83D84"/>
    <w:rsid w:val="00C8421D"/>
    <w:rsid w:val="00C8424B"/>
    <w:rsid w:val="00C849F5"/>
    <w:rsid w:val="00C84C5E"/>
    <w:rsid w:val="00C84E06"/>
    <w:rsid w:val="00C84FAE"/>
    <w:rsid w:val="00C8508D"/>
    <w:rsid w:val="00C85257"/>
    <w:rsid w:val="00C852CD"/>
    <w:rsid w:val="00C853FE"/>
    <w:rsid w:val="00C85749"/>
    <w:rsid w:val="00C857C6"/>
    <w:rsid w:val="00C85895"/>
    <w:rsid w:val="00C85E83"/>
    <w:rsid w:val="00C8668A"/>
    <w:rsid w:val="00C86A69"/>
    <w:rsid w:val="00C86B88"/>
    <w:rsid w:val="00C86FF5"/>
    <w:rsid w:val="00C87436"/>
    <w:rsid w:val="00C879A1"/>
    <w:rsid w:val="00C87E60"/>
    <w:rsid w:val="00C87FFA"/>
    <w:rsid w:val="00C9007F"/>
    <w:rsid w:val="00C901D9"/>
    <w:rsid w:val="00C90333"/>
    <w:rsid w:val="00C90335"/>
    <w:rsid w:val="00C90912"/>
    <w:rsid w:val="00C90ACC"/>
    <w:rsid w:val="00C90C09"/>
    <w:rsid w:val="00C90C61"/>
    <w:rsid w:val="00C90C73"/>
    <w:rsid w:val="00C90EEA"/>
    <w:rsid w:val="00C910C1"/>
    <w:rsid w:val="00C910E7"/>
    <w:rsid w:val="00C9119F"/>
    <w:rsid w:val="00C911AC"/>
    <w:rsid w:val="00C911C5"/>
    <w:rsid w:val="00C914C1"/>
    <w:rsid w:val="00C9160C"/>
    <w:rsid w:val="00C91651"/>
    <w:rsid w:val="00C917A4"/>
    <w:rsid w:val="00C91A61"/>
    <w:rsid w:val="00C91B25"/>
    <w:rsid w:val="00C91BCC"/>
    <w:rsid w:val="00C91C82"/>
    <w:rsid w:val="00C922A2"/>
    <w:rsid w:val="00C9268C"/>
    <w:rsid w:val="00C92976"/>
    <w:rsid w:val="00C92B06"/>
    <w:rsid w:val="00C92C07"/>
    <w:rsid w:val="00C92C38"/>
    <w:rsid w:val="00C9303D"/>
    <w:rsid w:val="00C932FF"/>
    <w:rsid w:val="00C934CA"/>
    <w:rsid w:val="00C9356C"/>
    <w:rsid w:val="00C938F7"/>
    <w:rsid w:val="00C93A02"/>
    <w:rsid w:val="00C93A57"/>
    <w:rsid w:val="00C93D6F"/>
    <w:rsid w:val="00C93EFD"/>
    <w:rsid w:val="00C94094"/>
    <w:rsid w:val="00C944D1"/>
    <w:rsid w:val="00C945DB"/>
    <w:rsid w:val="00C9467A"/>
    <w:rsid w:val="00C94AFA"/>
    <w:rsid w:val="00C94DB8"/>
    <w:rsid w:val="00C94E1C"/>
    <w:rsid w:val="00C94F0A"/>
    <w:rsid w:val="00C94FB2"/>
    <w:rsid w:val="00C95403"/>
    <w:rsid w:val="00C95675"/>
    <w:rsid w:val="00C957D3"/>
    <w:rsid w:val="00C9594F"/>
    <w:rsid w:val="00C9598F"/>
    <w:rsid w:val="00C95B7D"/>
    <w:rsid w:val="00C95B7F"/>
    <w:rsid w:val="00C95D22"/>
    <w:rsid w:val="00C95D93"/>
    <w:rsid w:val="00C95EC8"/>
    <w:rsid w:val="00C968AA"/>
    <w:rsid w:val="00C96A9B"/>
    <w:rsid w:val="00C96EB4"/>
    <w:rsid w:val="00C97042"/>
    <w:rsid w:val="00C97049"/>
    <w:rsid w:val="00C971C0"/>
    <w:rsid w:val="00C971F4"/>
    <w:rsid w:val="00C97262"/>
    <w:rsid w:val="00C97A75"/>
    <w:rsid w:val="00C97A89"/>
    <w:rsid w:val="00C97CB9"/>
    <w:rsid w:val="00C97CEE"/>
    <w:rsid w:val="00CA06D7"/>
    <w:rsid w:val="00CA07D8"/>
    <w:rsid w:val="00CA082B"/>
    <w:rsid w:val="00CA0A26"/>
    <w:rsid w:val="00CA0ADB"/>
    <w:rsid w:val="00CA0F1F"/>
    <w:rsid w:val="00CA10BE"/>
    <w:rsid w:val="00CA10C6"/>
    <w:rsid w:val="00CA1150"/>
    <w:rsid w:val="00CA120C"/>
    <w:rsid w:val="00CA127C"/>
    <w:rsid w:val="00CA128D"/>
    <w:rsid w:val="00CA161B"/>
    <w:rsid w:val="00CA1ABA"/>
    <w:rsid w:val="00CA1DAD"/>
    <w:rsid w:val="00CA242B"/>
    <w:rsid w:val="00CA26EA"/>
    <w:rsid w:val="00CA2B37"/>
    <w:rsid w:val="00CA2FB2"/>
    <w:rsid w:val="00CA310C"/>
    <w:rsid w:val="00CA3112"/>
    <w:rsid w:val="00CA32E7"/>
    <w:rsid w:val="00CA3760"/>
    <w:rsid w:val="00CA3D3A"/>
    <w:rsid w:val="00CA42D6"/>
    <w:rsid w:val="00CA4547"/>
    <w:rsid w:val="00CA4665"/>
    <w:rsid w:val="00CA4751"/>
    <w:rsid w:val="00CA499B"/>
    <w:rsid w:val="00CA49F8"/>
    <w:rsid w:val="00CA4C32"/>
    <w:rsid w:val="00CA4DCC"/>
    <w:rsid w:val="00CA51F5"/>
    <w:rsid w:val="00CA528A"/>
    <w:rsid w:val="00CA53CC"/>
    <w:rsid w:val="00CA57B8"/>
    <w:rsid w:val="00CA5891"/>
    <w:rsid w:val="00CA6238"/>
    <w:rsid w:val="00CA63FB"/>
    <w:rsid w:val="00CA64B4"/>
    <w:rsid w:val="00CA6507"/>
    <w:rsid w:val="00CA6521"/>
    <w:rsid w:val="00CA6599"/>
    <w:rsid w:val="00CA65AE"/>
    <w:rsid w:val="00CA65B7"/>
    <w:rsid w:val="00CA660A"/>
    <w:rsid w:val="00CA67F0"/>
    <w:rsid w:val="00CA6965"/>
    <w:rsid w:val="00CA6A4F"/>
    <w:rsid w:val="00CA6B69"/>
    <w:rsid w:val="00CA6CC1"/>
    <w:rsid w:val="00CA744A"/>
    <w:rsid w:val="00CA7790"/>
    <w:rsid w:val="00CA7A66"/>
    <w:rsid w:val="00CA7B4F"/>
    <w:rsid w:val="00CA7F71"/>
    <w:rsid w:val="00CB0113"/>
    <w:rsid w:val="00CB0367"/>
    <w:rsid w:val="00CB049F"/>
    <w:rsid w:val="00CB05BE"/>
    <w:rsid w:val="00CB0A2B"/>
    <w:rsid w:val="00CB0A5A"/>
    <w:rsid w:val="00CB0AB4"/>
    <w:rsid w:val="00CB0B1F"/>
    <w:rsid w:val="00CB12A3"/>
    <w:rsid w:val="00CB12AC"/>
    <w:rsid w:val="00CB1421"/>
    <w:rsid w:val="00CB1429"/>
    <w:rsid w:val="00CB15E9"/>
    <w:rsid w:val="00CB1735"/>
    <w:rsid w:val="00CB1828"/>
    <w:rsid w:val="00CB1941"/>
    <w:rsid w:val="00CB1B8F"/>
    <w:rsid w:val="00CB1C35"/>
    <w:rsid w:val="00CB1E50"/>
    <w:rsid w:val="00CB1F20"/>
    <w:rsid w:val="00CB23E3"/>
    <w:rsid w:val="00CB256E"/>
    <w:rsid w:val="00CB25AF"/>
    <w:rsid w:val="00CB2A01"/>
    <w:rsid w:val="00CB2AB2"/>
    <w:rsid w:val="00CB2BD2"/>
    <w:rsid w:val="00CB2BD5"/>
    <w:rsid w:val="00CB2F49"/>
    <w:rsid w:val="00CB318E"/>
    <w:rsid w:val="00CB32D3"/>
    <w:rsid w:val="00CB33F3"/>
    <w:rsid w:val="00CB362D"/>
    <w:rsid w:val="00CB3DEB"/>
    <w:rsid w:val="00CB3E77"/>
    <w:rsid w:val="00CB405E"/>
    <w:rsid w:val="00CB472B"/>
    <w:rsid w:val="00CB49EE"/>
    <w:rsid w:val="00CB4A9D"/>
    <w:rsid w:val="00CB4ADF"/>
    <w:rsid w:val="00CB4C1A"/>
    <w:rsid w:val="00CB4CBB"/>
    <w:rsid w:val="00CB4D95"/>
    <w:rsid w:val="00CB4EF4"/>
    <w:rsid w:val="00CB5108"/>
    <w:rsid w:val="00CB5580"/>
    <w:rsid w:val="00CB580F"/>
    <w:rsid w:val="00CB5BD9"/>
    <w:rsid w:val="00CB5C0F"/>
    <w:rsid w:val="00CB5C55"/>
    <w:rsid w:val="00CB5F2D"/>
    <w:rsid w:val="00CB5F2E"/>
    <w:rsid w:val="00CB6078"/>
    <w:rsid w:val="00CB60C3"/>
    <w:rsid w:val="00CB621B"/>
    <w:rsid w:val="00CB62C0"/>
    <w:rsid w:val="00CB6891"/>
    <w:rsid w:val="00CB6B33"/>
    <w:rsid w:val="00CB6BBC"/>
    <w:rsid w:val="00CB6CEB"/>
    <w:rsid w:val="00CB6D7F"/>
    <w:rsid w:val="00CB6FE6"/>
    <w:rsid w:val="00CB7132"/>
    <w:rsid w:val="00CB7602"/>
    <w:rsid w:val="00CB7676"/>
    <w:rsid w:val="00CB7801"/>
    <w:rsid w:val="00CB7A16"/>
    <w:rsid w:val="00CB7D8F"/>
    <w:rsid w:val="00CB7F63"/>
    <w:rsid w:val="00CC023D"/>
    <w:rsid w:val="00CC0515"/>
    <w:rsid w:val="00CC0621"/>
    <w:rsid w:val="00CC0729"/>
    <w:rsid w:val="00CC07F0"/>
    <w:rsid w:val="00CC0916"/>
    <w:rsid w:val="00CC0BEA"/>
    <w:rsid w:val="00CC0CD7"/>
    <w:rsid w:val="00CC0D04"/>
    <w:rsid w:val="00CC1368"/>
    <w:rsid w:val="00CC177B"/>
    <w:rsid w:val="00CC1A13"/>
    <w:rsid w:val="00CC1C5C"/>
    <w:rsid w:val="00CC1D1A"/>
    <w:rsid w:val="00CC1D83"/>
    <w:rsid w:val="00CC1FB1"/>
    <w:rsid w:val="00CC20D5"/>
    <w:rsid w:val="00CC2492"/>
    <w:rsid w:val="00CC2633"/>
    <w:rsid w:val="00CC27BE"/>
    <w:rsid w:val="00CC2958"/>
    <w:rsid w:val="00CC2D11"/>
    <w:rsid w:val="00CC2D5B"/>
    <w:rsid w:val="00CC2DE0"/>
    <w:rsid w:val="00CC3035"/>
    <w:rsid w:val="00CC3292"/>
    <w:rsid w:val="00CC35B6"/>
    <w:rsid w:val="00CC396C"/>
    <w:rsid w:val="00CC3AE8"/>
    <w:rsid w:val="00CC3B41"/>
    <w:rsid w:val="00CC3C94"/>
    <w:rsid w:val="00CC3EB4"/>
    <w:rsid w:val="00CC3EEB"/>
    <w:rsid w:val="00CC3F51"/>
    <w:rsid w:val="00CC3FE9"/>
    <w:rsid w:val="00CC411D"/>
    <w:rsid w:val="00CC48F9"/>
    <w:rsid w:val="00CC495C"/>
    <w:rsid w:val="00CC4B77"/>
    <w:rsid w:val="00CC4C80"/>
    <w:rsid w:val="00CC4EAF"/>
    <w:rsid w:val="00CC4EC4"/>
    <w:rsid w:val="00CC50D7"/>
    <w:rsid w:val="00CC50FA"/>
    <w:rsid w:val="00CC511A"/>
    <w:rsid w:val="00CC511D"/>
    <w:rsid w:val="00CC5129"/>
    <w:rsid w:val="00CC527D"/>
    <w:rsid w:val="00CC548E"/>
    <w:rsid w:val="00CC5682"/>
    <w:rsid w:val="00CC5712"/>
    <w:rsid w:val="00CC58A4"/>
    <w:rsid w:val="00CC5956"/>
    <w:rsid w:val="00CC5B91"/>
    <w:rsid w:val="00CC5E3A"/>
    <w:rsid w:val="00CC5FB2"/>
    <w:rsid w:val="00CC6260"/>
    <w:rsid w:val="00CC631C"/>
    <w:rsid w:val="00CC6332"/>
    <w:rsid w:val="00CC64A8"/>
    <w:rsid w:val="00CC66B0"/>
    <w:rsid w:val="00CC6A7F"/>
    <w:rsid w:val="00CC6DDD"/>
    <w:rsid w:val="00CC7000"/>
    <w:rsid w:val="00CC7344"/>
    <w:rsid w:val="00CC77C2"/>
    <w:rsid w:val="00CC7B12"/>
    <w:rsid w:val="00CC7B22"/>
    <w:rsid w:val="00CC7D12"/>
    <w:rsid w:val="00CC7DC5"/>
    <w:rsid w:val="00CD007C"/>
    <w:rsid w:val="00CD01B3"/>
    <w:rsid w:val="00CD0314"/>
    <w:rsid w:val="00CD06DD"/>
    <w:rsid w:val="00CD07E7"/>
    <w:rsid w:val="00CD0BD8"/>
    <w:rsid w:val="00CD120E"/>
    <w:rsid w:val="00CD122D"/>
    <w:rsid w:val="00CD1404"/>
    <w:rsid w:val="00CD14F6"/>
    <w:rsid w:val="00CD16BA"/>
    <w:rsid w:val="00CD16F0"/>
    <w:rsid w:val="00CD18F6"/>
    <w:rsid w:val="00CD1D45"/>
    <w:rsid w:val="00CD236B"/>
    <w:rsid w:val="00CD2C12"/>
    <w:rsid w:val="00CD36FD"/>
    <w:rsid w:val="00CD3A2B"/>
    <w:rsid w:val="00CD3BEF"/>
    <w:rsid w:val="00CD3D61"/>
    <w:rsid w:val="00CD3FC6"/>
    <w:rsid w:val="00CD404E"/>
    <w:rsid w:val="00CD4190"/>
    <w:rsid w:val="00CD42C1"/>
    <w:rsid w:val="00CD43FE"/>
    <w:rsid w:val="00CD4575"/>
    <w:rsid w:val="00CD45DA"/>
    <w:rsid w:val="00CD47F1"/>
    <w:rsid w:val="00CD4C89"/>
    <w:rsid w:val="00CD4D39"/>
    <w:rsid w:val="00CD5357"/>
    <w:rsid w:val="00CD55A3"/>
    <w:rsid w:val="00CD5717"/>
    <w:rsid w:val="00CD576F"/>
    <w:rsid w:val="00CD58A2"/>
    <w:rsid w:val="00CD58F4"/>
    <w:rsid w:val="00CD59ED"/>
    <w:rsid w:val="00CD5B22"/>
    <w:rsid w:val="00CD5B3A"/>
    <w:rsid w:val="00CD5C08"/>
    <w:rsid w:val="00CD5D30"/>
    <w:rsid w:val="00CD5DAB"/>
    <w:rsid w:val="00CD5DD6"/>
    <w:rsid w:val="00CD64F7"/>
    <w:rsid w:val="00CD6653"/>
    <w:rsid w:val="00CD6B05"/>
    <w:rsid w:val="00CD6E86"/>
    <w:rsid w:val="00CD6EC6"/>
    <w:rsid w:val="00CD6F1D"/>
    <w:rsid w:val="00CD7276"/>
    <w:rsid w:val="00CD73D0"/>
    <w:rsid w:val="00CD7502"/>
    <w:rsid w:val="00CD7963"/>
    <w:rsid w:val="00CD7AF7"/>
    <w:rsid w:val="00CD7E91"/>
    <w:rsid w:val="00CE0198"/>
    <w:rsid w:val="00CE01F1"/>
    <w:rsid w:val="00CE029B"/>
    <w:rsid w:val="00CE0321"/>
    <w:rsid w:val="00CE0602"/>
    <w:rsid w:val="00CE07A6"/>
    <w:rsid w:val="00CE084B"/>
    <w:rsid w:val="00CE08E7"/>
    <w:rsid w:val="00CE0B7C"/>
    <w:rsid w:val="00CE0C62"/>
    <w:rsid w:val="00CE0D90"/>
    <w:rsid w:val="00CE0D9B"/>
    <w:rsid w:val="00CE0EF8"/>
    <w:rsid w:val="00CE0F09"/>
    <w:rsid w:val="00CE12DE"/>
    <w:rsid w:val="00CE1322"/>
    <w:rsid w:val="00CE14EB"/>
    <w:rsid w:val="00CE1693"/>
    <w:rsid w:val="00CE170C"/>
    <w:rsid w:val="00CE1941"/>
    <w:rsid w:val="00CE1B99"/>
    <w:rsid w:val="00CE1DCE"/>
    <w:rsid w:val="00CE1F96"/>
    <w:rsid w:val="00CE2113"/>
    <w:rsid w:val="00CE2398"/>
    <w:rsid w:val="00CE28E3"/>
    <w:rsid w:val="00CE3274"/>
    <w:rsid w:val="00CE33A7"/>
    <w:rsid w:val="00CE3445"/>
    <w:rsid w:val="00CE38A3"/>
    <w:rsid w:val="00CE3B7F"/>
    <w:rsid w:val="00CE3DFC"/>
    <w:rsid w:val="00CE3E11"/>
    <w:rsid w:val="00CE3F58"/>
    <w:rsid w:val="00CE4005"/>
    <w:rsid w:val="00CE4041"/>
    <w:rsid w:val="00CE40EE"/>
    <w:rsid w:val="00CE40F1"/>
    <w:rsid w:val="00CE4708"/>
    <w:rsid w:val="00CE4785"/>
    <w:rsid w:val="00CE48A6"/>
    <w:rsid w:val="00CE49A2"/>
    <w:rsid w:val="00CE4D61"/>
    <w:rsid w:val="00CE4EA1"/>
    <w:rsid w:val="00CE4EA8"/>
    <w:rsid w:val="00CE4F26"/>
    <w:rsid w:val="00CE51DE"/>
    <w:rsid w:val="00CE525B"/>
    <w:rsid w:val="00CE5590"/>
    <w:rsid w:val="00CE56AC"/>
    <w:rsid w:val="00CE5817"/>
    <w:rsid w:val="00CE5A0B"/>
    <w:rsid w:val="00CE5C8A"/>
    <w:rsid w:val="00CE5EDE"/>
    <w:rsid w:val="00CE5FC4"/>
    <w:rsid w:val="00CE5FC9"/>
    <w:rsid w:val="00CE6156"/>
    <w:rsid w:val="00CE624B"/>
    <w:rsid w:val="00CE63AC"/>
    <w:rsid w:val="00CE63AE"/>
    <w:rsid w:val="00CE642B"/>
    <w:rsid w:val="00CE6831"/>
    <w:rsid w:val="00CE6DA2"/>
    <w:rsid w:val="00CE6F4D"/>
    <w:rsid w:val="00CE7280"/>
    <w:rsid w:val="00CE75BB"/>
    <w:rsid w:val="00CE763C"/>
    <w:rsid w:val="00CE784A"/>
    <w:rsid w:val="00CE786D"/>
    <w:rsid w:val="00CE78C2"/>
    <w:rsid w:val="00CE78E6"/>
    <w:rsid w:val="00CE79C2"/>
    <w:rsid w:val="00CE7C74"/>
    <w:rsid w:val="00CF0297"/>
    <w:rsid w:val="00CF04D1"/>
    <w:rsid w:val="00CF05AE"/>
    <w:rsid w:val="00CF079B"/>
    <w:rsid w:val="00CF0847"/>
    <w:rsid w:val="00CF087F"/>
    <w:rsid w:val="00CF091A"/>
    <w:rsid w:val="00CF0991"/>
    <w:rsid w:val="00CF0B36"/>
    <w:rsid w:val="00CF0CCA"/>
    <w:rsid w:val="00CF0D5A"/>
    <w:rsid w:val="00CF0E9A"/>
    <w:rsid w:val="00CF0FEB"/>
    <w:rsid w:val="00CF17D6"/>
    <w:rsid w:val="00CF18EF"/>
    <w:rsid w:val="00CF1A2D"/>
    <w:rsid w:val="00CF1B67"/>
    <w:rsid w:val="00CF1DDE"/>
    <w:rsid w:val="00CF213D"/>
    <w:rsid w:val="00CF22CD"/>
    <w:rsid w:val="00CF23F4"/>
    <w:rsid w:val="00CF2419"/>
    <w:rsid w:val="00CF2421"/>
    <w:rsid w:val="00CF2734"/>
    <w:rsid w:val="00CF2913"/>
    <w:rsid w:val="00CF2934"/>
    <w:rsid w:val="00CF2BC8"/>
    <w:rsid w:val="00CF2BF0"/>
    <w:rsid w:val="00CF32C3"/>
    <w:rsid w:val="00CF36B6"/>
    <w:rsid w:val="00CF39A3"/>
    <w:rsid w:val="00CF3A89"/>
    <w:rsid w:val="00CF3AF4"/>
    <w:rsid w:val="00CF3E4C"/>
    <w:rsid w:val="00CF3F44"/>
    <w:rsid w:val="00CF4166"/>
    <w:rsid w:val="00CF4283"/>
    <w:rsid w:val="00CF42E3"/>
    <w:rsid w:val="00CF439F"/>
    <w:rsid w:val="00CF46FC"/>
    <w:rsid w:val="00CF4806"/>
    <w:rsid w:val="00CF4A2B"/>
    <w:rsid w:val="00CF4A94"/>
    <w:rsid w:val="00CF4B97"/>
    <w:rsid w:val="00CF4C07"/>
    <w:rsid w:val="00CF51ED"/>
    <w:rsid w:val="00CF527C"/>
    <w:rsid w:val="00CF548B"/>
    <w:rsid w:val="00CF54D1"/>
    <w:rsid w:val="00CF554A"/>
    <w:rsid w:val="00CF560A"/>
    <w:rsid w:val="00CF5738"/>
    <w:rsid w:val="00CF57B4"/>
    <w:rsid w:val="00CF59FC"/>
    <w:rsid w:val="00CF5B23"/>
    <w:rsid w:val="00CF5C9C"/>
    <w:rsid w:val="00CF5CE3"/>
    <w:rsid w:val="00CF5E5F"/>
    <w:rsid w:val="00CF5EA2"/>
    <w:rsid w:val="00CF5F6F"/>
    <w:rsid w:val="00CF5FC4"/>
    <w:rsid w:val="00CF6150"/>
    <w:rsid w:val="00CF622D"/>
    <w:rsid w:val="00CF631F"/>
    <w:rsid w:val="00CF6807"/>
    <w:rsid w:val="00CF6CB7"/>
    <w:rsid w:val="00CF6E54"/>
    <w:rsid w:val="00CF7120"/>
    <w:rsid w:val="00CF7237"/>
    <w:rsid w:val="00CF724C"/>
    <w:rsid w:val="00CF75C8"/>
    <w:rsid w:val="00CF7637"/>
    <w:rsid w:val="00CF7871"/>
    <w:rsid w:val="00CF792C"/>
    <w:rsid w:val="00CF79F1"/>
    <w:rsid w:val="00CF7CA0"/>
    <w:rsid w:val="00CF7CC1"/>
    <w:rsid w:val="00D001B4"/>
    <w:rsid w:val="00D003B7"/>
    <w:rsid w:val="00D00461"/>
    <w:rsid w:val="00D008E3"/>
    <w:rsid w:val="00D00A03"/>
    <w:rsid w:val="00D00DBB"/>
    <w:rsid w:val="00D00E36"/>
    <w:rsid w:val="00D00F3D"/>
    <w:rsid w:val="00D00FC3"/>
    <w:rsid w:val="00D016E7"/>
    <w:rsid w:val="00D0174F"/>
    <w:rsid w:val="00D017CD"/>
    <w:rsid w:val="00D01AE3"/>
    <w:rsid w:val="00D01FFB"/>
    <w:rsid w:val="00D020B1"/>
    <w:rsid w:val="00D02551"/>
    <w:rsid w:val="00D02B23"/>
    <w:rsid w:val="00D02B9E"/>
    <w:rsid w:val="00D02E73"/>
    <w:rsid w:val="00D02E79"/>
    <w:rsid w:val="00D02F4F"/>
    <w:rsid w:val="00D033CE"/>
    <w:rsid w:val="00D0343D"/>
    <w:rsid w:val="00D037F5"/>
    <w:rsid w:val="00D03CA0"/>
    <w:rsid w:val="00D03CC1"/>
    <w:rsid w:val="00D0409B"/>
    <w:rsid w:val="00D0426B"/>
    <w:rsid w:val="00D04349"/>
    <w:rsid w:val="00D04885"/>
    <w:rsid w:val="00D04C42"/>
    <w:rsid w:val="00D04CB3"/>
    <w:rsid w:val="00D050B6"/>
    <w:rsid w:val="00D05163"/>
    <w:rsid w:val="00D0516C"/>
    <w:rsid w:val="00D05188"/>
    <w:rsid w:val="00D05313"/>
    <w:rsid w:val="00D05460"/>
    <w:rsid w:val="00D0547F"/>
    <w:rsid w:val="00D055FD"/>
    <w:rsid w:val="00D0579D"/>
    <w:rsid w:val="00D05AB7"/>
    <w:rsid w:val="00D05CDF"/>
    <w:rsid w:val="00D05E31"/>
    <w:rsid w:val="00D05ED0"/>
    <w:rsid w:val="00D06403"/>
    <w:rsid w:val="00D06724"/>
    <w:rsid w:val="00D06732"/>
    <w:rsid w:val="00D068DD"/>
    <w:rsid w:val="00D0693A"/>
    <w:rsid w:val="00D06C25"/>
    <w:rsid w:val="00D06D14"/>
    <w:rsid w:val="00D06D16"/>
    <w:rsid w:val="00D07044"/>
    <w:rsid w:val="00D070D1"/>
    <w:rsid w:val="00D07105"/>
    <w:rsid w:val="00D0738D"/>
    <w:rsid w:val="00D07B65"/>
    <w:rsid w:val="00D07C3A"/>
    <w:rsid w:val="00D10080"/>
    <w:rsid w:val="00D104DE"/>
    <w:rsid w:val="00D1066C"/>
    <w:rsid w:val="00D10807"/>
    <w:rsid w:val="00D10A71"/>
    <w:rsid w:val="00D10FBC"/>
    <w:rsid w:val="00D112F1"/>
    <w:rsid w:val="00D114CF"/>
    <w:rsid w:val="00D11605"/>
    <w:rsid w:val="00D11D0C"/>
    <w:rsid w:val="00D11DFB"/>
    <w:rsid w:val="00D11F5C"/>
    <w:rsid w:val="00D12620"/>
    <w:rsid w:val="00D12635"/>
    <w:rsid w:val="00D1286D"/>
    <w:rsid w:val="00D12912"/>
    <w:rsid w:val="00D12A15"/>
    <w:rsid w:val="00D12AFB"/>
    <w:rsid w:val="00D1374F"/>
    <w:rsid w:val="00D13B0A"/>
    <w:rsid w:val="00D13DCE"/>
    <w:rsid w:val="00D13FD1"/>
    <w:rsid w:val="00D14131"/>
    <w:rsid w:val="00D1464F"/>
    <w:rsid w:val="00D14744"/>
    <w:rsid w:val="00D14DDC"/>
    <w:rsid w:val="00D14E59"/>
    <w:rsid w:val="00D1562A"/>
    <w:rsid w:val="00D15775"/>
    <w:rsid w:val="00D158A8"/>
    <w:rsid w:val="00D15CA7"/>
    <w:rsid w:val="00D15E04"/>
    <w:rsid w:val="00D15E06"/>
    <w:rsid w:val="00D15F05"/>
    <w:rsid w:val="00D16078"/>
    <w:rsid w:val="00D1627A"/>
    <w:rsid w:val="00D16542"/>
    <w:rsid w:val="00D165AF"/>
    <w:rsid w:val="00D16782"/>
    <w:rsid w:val="00D167AE"/>
    <w:rsid w:val="00D169C3"/>
    <w:rsid w:val="00D169E5"/>
    <w:rsid w:val="00D16CE2"/>
    <w:rsid w:val="00D16E25"/>
    <w:rsid w:val="00D1720E"/>
    <w:rsid w:val="00D17475"/>
    <w:rsid w:val="00D17A02"/>
    <w:rsid w:val="00D17AD4"/>
    <w:rsid w:val="00D17BC0"/>
    <w:rsid w:val="00D17DA1"/>
    <w:rsid w:val="00D20031"/>
    <w:rsid w:val="00D20101"/>
    <w:rsid w:val="00D2061E"/>
    <w:rsid w:val="00D20A8F"/>
    <w:rsid w:val="00D20CBF"/>
    <w:rsid w:val="00D20FCD"/>
    <w:rsid w:val="00D212A3"/>
    <w:rsid w:val="00D2137E"/>
    <w:rsid w:val="00D213D2"/>
    <w:rsid w:val="00D218EE"/>
    <w:rsid w:val="00D21A26"/>
    <w:rsid w:val="00D21A85"/>
    <w:rsid w:val="00D21AA0"/>
    <w:rsid w:val="00D21AE6"/>
    <w:rsid w:val="00D21B3A"/>
    <w:rsid w:val="00D21E2E"/>
    <w:rsid w:val="00D21FD8"/>
    <w:rsid w:val="00D2239C"/>
    <w:rsid w:val="00D22405"/>
    <w:rsid w:val="00D225CE"/>
    <w:rsid w:val="00D22671"/>
    <w:rsid w:val="00D22780"/>
    <w:rsid w:val="00D22A5A"/>
    <w:rsid w:val="00D22FEE"/>
    <w:rsid w:val="00D22FFB"/>
    <w:rsid w:val="00D230D8"/>
    <w:rsid w:val="00D232D6"/>
    <w:rsid w:val="00D234E9"/>
    <w:rsid w:val="00D2354E"/>
    <w:rsid w:val="00D23983"/>
    <w:rsid w:val="00D23C8E"/>
    <w:rsid w:val="00D23F09"/>
    <w:rsid w:val="00D24110"/>
    <w:rsid w:val="00D24153"/>
    <w:rsid w:val="00D24426"/>
    <w:rsid w:val="00D248DE"/>
    <w:rsid w:val="00D24B19"/>
    <w:rsid w:val="00D25250"/>
    <w:rsid w:val="00D2546E"/>
    <w:rsid w:val="00D25487"/>
    <w:rsid w:val="00D254B6"/>
    <w:rsid w:val="00D254E4"/>
    <w:rsid w:val="00D25697"/>
    <w:rsid w:val="00D25799"/>
    <w:rsid w:val="00D25864"/>
    <w:rsid w:val="00D25CB5"/>
    <w:rsid w:val="00D25EF3"/>
    <w:rsid w:val="00D25EFB"/>
    <w:rsid w:val="00D26011"/>
    <w:rsid w:val="00D2616A"/>
    <w:rsid w:val="00D261DF"/>
    <w:rsid w:val="00D26392"/>
    <w:rsid w:val="00D2647F"/>
    <w:rsid w:val="00D26666"/>
    <w:rsid w:val="00D2687A"/>
    <w:rsid w:val="00D26A3C"/>
    <w:rsid w:val="00D270A1"/>
    <w:rsid w:val="00D271CA"/>
    <w:rsid w:val="00D2740F"/>
    <w:rsid w:val="00D27582"/>
    <w:rsid w:val="00D27A49"/>
    <w:rsid w:val="00D27C1E"/>
    <w:rsid w:val="00D27F04"/>
    <w:rsid w:val="00D3001F"/>
    <w:rsid w:val="00D30035"/>
    <w:rsid w:val="00D306F6"/>
    <w:rsid w:val="00D3083D"/>
    <w:rsid w:val="00D31180"/>
    <w:rsid w:val="00D312CB"/>
    <w:rsid w:val="00D313B3"/>
    <w:rsid w:val="00D31458"/>
    <w:rsid w:val="00D31518"/>
    <w:rsid w:val="00D3152C"/>
    <w:rsid w:val="00D31628"/>
    <w:rsid w:val="00D31823"/>
    <w:rsid w:val="00D31AD8"/>
    <w:rsid w:val="00D31B38"/>
    <w:rsid w:val="00D31D93"/>
    <w:rsid w:val="00D31DD2"/>
    <w:rsid w:val="00D31DDF"/>
    <w:rsid w:val="00D323D4"/>
    <w:rsid w:val="00D32495"/>
    <w:rsid w:val="00D3278C"/>
    <w:rsid w:val="00D32879"/>
    <w:rsid w:val="00D328FB"/>
    <w:rsid w:val="00D3292B"/>
    <w:rsid w:val="00D32AA3"/>
    <w:rsid w:val="00D32CEB"/>
    <w:rsid w:val="00D334B1"/>
    <w:rsid w:val="00D3385B"/>
    <w:rsid w:val="00D3399E"/>
    <w:rsid w:val="00D33BED"/>
    <w:rsid w:val="00D33CF3"/>
    <w:rsid w:val="00D33D91"/>
    <w:rsid w:val="00D33DCB"/>
    <w:rsid w:val="00D33EB5"/>
    <w:rsid w:val="00D33F02"/>
    <w:rsid w:val="00D341AF"/>
    <w:rsid w:val="00D3447B"/>
    <w:rsid w:val="00D344BE"/>
    <w:rsid w:val="00D346C2"/>
    <w:rsid w:val="00D34779"/>
    <w:rsid w:val="00D34875"/>
    <w:rsid w:val="00D34C8E"/>
    <w:rsid w:val="00D34D19"/>
    <w:rsid w:val="00D34E5E"/>
    <w:rsid w:val="00D35160"/>
    <w:rsid w:val="00D3581B"/>
    <w:rsid w:val="00D358F7"/>
    <w:rsid w:val="00D359D4"/>
    <w:rsid w:val="00D35F27"/>
    <w:rsid w:val="00D35F57"/>
    <w:rsid w:val="00D36376"/>
    <w:rsid w:val="00D36742"/>
    <w:rsid w:val="00D36B0C"/>
    <w:rsid w:val="00D36B97"/>
    <w:rsid w:val="00D36DBC"/>
    <w:rsid w:val="00D36DE1"/>
    <w:rsid w:val="00D36E67"/>
    <w:rsid w:val="00D37146"/>
    <w:rsid w:val="00D3727B"/>
    <w:rsid w:val="00D373B5"/>
    <w:rsid w:val="00D37897"/>
    <w:rsid w:val="00D378D6"/>
    <w:rsid w:val="00D37A8D"/>
    <w:rsid w:val="00D37BAB"/>
    <w:rsid w:val="00D37D44"/>
    <w:rsid w:val="00D37EF3"/>
    <w:rsid w:val="00D37EF5"/>
    <w:rsid w:val="00D401AA"/>
    <w:rsid w:val="00D40385"/>
    <w:rsid w:val="00D40499"/>
    <w:rsid w:val="00D404B1"/>
    <w:rsid w:val="00D405D8"/>
    <w:rsid w:val="00D40723"/>
    <w:rsid w:val="00D40965"/>
    <w:rsid w:val="00D40AA5"/>
    <w:rsid w:val="00D40AE1"/>
    <w:rsid w:val="00D40D28"/>
    <w:rsid w:val="00D41181"/>
    <w:rsid w:val="00D418D3"/>
    <w:rsid w:val="00D41957"/>
    <w:rsid w:val="00D419C9"/>
    <w:rsid w:val="00D41B02"/>
    <w:rsid w:val="00D41DC1"/>
    <w:rsid w:val="00D41E7B"/>
    <w:rsid w:val="00D41ECE"/>
    <w:rsid w:val="00D41F43"/>
    <w:rsid w:val="00D42348"/>
    <w:rsid w:val="00D423CA"/>
    <w:rsid w:val="00D4273C"/>
    <w:rsid w:val="00D428B9"/>
    <w:rsid w:val="00D43246"/>
    <w:rsid w:val="00D432AA"/>
    <w:rsid w:val="00D43891"/>
    <w:rsid w:val="00D43E2C"/>
    <w:rsid w:val="00D43F8F"/>
    <w:rsid w:val="00D43FEC"/>
    <w:rsid w:val="00D4432D"/>
    <w:rsid w:val="00D44359"/>
    <w:rsid w:val="00D4435C"/>
    <w:rsid w:val="00D4458E"/>
    <w:rsid w:val="00D44613"/>
    <w:rsid w:val="00D447EE"/>
    <w:rsid w:val="00D44887"/>
    <w:rsid w:val="00D44990"/>
    <w:rsid w:val="00D44D82"/>
    <w:rsid w:val="00D44FD2"/>
    <w:rsid w:val="00D45095"/>
    <w:rsid w:val="00D4511D"/>
    <w:rsid w:val="00D455E8"/>
    <w:rsid w:val="00D45662"/>
    <w:rsid w:val="00D45750"/>
    <w:rsid w:val="00D457EA"/>
    <w:rsid w:val="00D4586E"/>
    <w:rsid w:val="00D45A1F"/>
    <w:rsid w:val="00D45C42"/>
    <w:rsid w:val="00D45EEB"/>
    <w:rsid w:val="00D46412"/>
    <w:rsid w:val="00D46E55"/>
    <w:rsid w:val="00D47111"/>
    <w:rsid w:val="00D47B91"/>
    <w:rsid w:val="00D47B9E"/>
    <w:rsid w:val="00D47C99"/>
    <w:rsid w:val="00D47D16"/>
    <w:rsid w:val="00D50024"/>
    <w:rsid w:val="00D503EF"/>
    <w:rsid w:val="00D50605"/>
    <w:rsid w:val="00D508A7"/>
    <w:rsid w:val="00D50993"/>
    <w:rsid w:val="00D509C2"/>
    <w:rsid w:val="00D50A6C"/>
    <w:rsid w:val="00D50B96"/>
    <w:rsid w:val="00D50D7E"/>
    <w:rsid w:val="00D50EEA"/>
    <w:rsid w:val="00D50EF5"/>
    <w:rsid w:val="00D51684"/>
    <w:rsid w:val="00D5173D"/>
    <w:rsid w:val="00D51EA3"/>
    <w:rsid w:val="00D527F8"/>
    <w:rsid w:val="00D52A9A"/>
    <w:rsid w:val="00D52E54"/>
    <w:rsid w:val="00D52E84"/>
    <w:rsid w:val="00D52FBC"/>
    <w:rsid w:val="00D52FF5"/>
    <w:rsid w:val="00D53293"/>
    <w:rsid w:val="00D533FC"/>
    <w:rsid w:val="00D53645"/>
    <w:rsid w:val="00D5371E"/>
    <w:rsid w:val="00D53A68"/>
    <w:rsid w:val="00D53D22"/>
    <w:rsid w:val="00D54264"/>
    <w:rsid w:val="00D5431F"/>
    <w:rsid w:val="00D54341"/>
    <w:rsid w:val="00D543E0"/>
    <w:rsid w:val="00D54992"/>
    <w:rsid w:val="00D54CAF"/>
    <w:rsid w:val="00D54CC5"/>
    <w:rsid w:val="00D555AC"/>
    <w:rsid w:val="00D558B0"/>
    <w:rsid w:val="00D55D0D"/>
    <w:rsid w:val="00D5635A"/>
    <w:rsid w:val="00D565BF"/>
    <w:rsid w:val="00D56BAD"/>
    <w:rsid w:val="00D56DFA"/>
    <w:rsid w:val="00D5745C"/>
    <w:rsid w:val="00D577C1"/>
    <w:rsid w:val="00D57D30"/>
    <w:rsid w:val="00D57EF3"/>
    <w:rsid w:val="00D60986"/>
    <w:rsid w:val="00D60AF5"/>
    <w:rsid w:val="00D60E22"/>
    <w:rsid w:val="00D61060"/>
    <w:rsid w:val="00D6119B"/>
    <w:rsid w:val="00D61282"/>
    <w:rsid w:val="00D61302"/>
    <w:rsid w:val="00D61314"/>
    <w:rsid w:val="00D61AD8"/>
    <w:rsid w:val="00D61FF8"/>
    <w:rsid w:val="00D620D5"/>
    <w:rsid w:val="00D6236A"/>
    <w:rsid w:val="00D625CE"/>
    <w:rsid w:val="00D627B5"/>
    <w:rsid w:val="00D62A7D"/>
    <w:rsid w:val="00D62BA1"/>
    <w:rsid w:val="00D62DAA"/>
    <w:rsid w:val="00D62E06"/>
    <w:rsid w:val="00D62F12"/>
    <w:rsid w:val="00D62F4D"/>
    <w:rsid w:val="00D6305E"/>
    <w:rsid w:val="00D632A8"/>
    <w:rsid w:val="00D633D9"/>
    <w:rsid w:val="00D63554"/>
    <w:rsid w:val="00D636CB"/>
    <w:rsid w:val="00D6373A"/>
    <w:rsid w:val="00D63851"/>
    <w:rsid w:val="00D63BB6"/>
    <w:rsid w:val="00D63FEC"/>
    <w:rsid w:val="00D64404"/>
    <w:rsid w:val="00D64766"/>
    <w:rsid w:val="00D64789"/>
    <w:rsid w:val="00D64800"/>
    <w:rsid w:val="00D64906"/>
    <w:rsid w:val="00D64EDC"/>
    <w:rsid w:val="00D64EE4"/>
    <w:rsid w:val="00D652D9"/>
    <w:rsid w:val="00D65613"/>
    <w:rsid w:val="00D659EB"/>
    <w:rsid w:val="00D65B32"/>
    <w:rsid w:val="00D65BAD"/>
    <w:rsid w:val="00D65C4A"/>
    <w:rsid w:val="00D65C55"/>
    <w:rsid w:val="00D65CCC"/>
    <w:rsid w:val="00D66050"/>
    <w:rsid w:val="00D66097"/>
    <w:rsid w:val="00D66721"/>
    <w:rsid w:val="00D667B6"/>
    <w:rsid w:val="00D667EF"/>
    <w:rsid w:val="00D66BB9"/>
    <w:rsid w:val="00D66C98"/>
    <w:rsid w:val="00D673A3"/>
    <w:rsid w:val="00D67458"/>
    <w:rsid w:val="00D6748D"/>
    <w:rsid w:val="00D674A8"/>
    <w:rsid w:val="00D67D00"/>
    <w:rsid w:val="00D67D38"/>
    <w:rsid w:val="00D67D45"/>
    <w:rsid w:val="00D7003D"/>
    <w:rsid w:val="00D701B0"/>
    <w:rsid w:val="00D704FD"/>
    <w:rsid w:val="00D70572"/>
    <w:rsid w:val="00D7064C"/>
    <w:rsid w:val="00D706D4"/>
    <w:rsid w:val="00D708E9"/>
    <w:rsid w:val="00D70A1F"/>
    <w:rsid w:val="00D70BCE"/>
    <w:rsid w:val="00D70DDA"/>
    <w:rsid w:val="00D711E2"/>
    <w:rsid w:val="00D711FA"/>
    <w:rsid w:val="00D717E0"/>
    <w:rsid w:val="00D71D6C"/>
    <w:rsid w:val="00D72876"/>
    <w:rsid w:val="00D72B28"/>
    <w:rsid w:val="00D72BD8"/>
    <w:rsid w:val="00D72BEF"/>
    <w:rsid w:val="00D72D89"/>
    <w:rsid w:val="00D733DE"/>
    <w:rsid w:val="00D739EC"/>
    <w:rsid w:val="00D73A0A"/>
    <w:rsid w:val="00D73A64"/>
    <w:rsid w:val="00D73AD9"/>
    <w:rsid w:val="00D73D7C"/>
    <w:rsid w:val="00D73E1A"/>
    <w:rsid w:val="00D73FC8"/>
    <w:rsid w:val="00D73FE9"/>
    <w:rsid w:val="00D7409E"/>
    <w:rsid w:val="00D74225"/>
    <w:rsid w:val="00D742E9"/>
    <w:rsid w:val="00D74588"/>
    <w:rsid w:val="00D745EF"/>
    <w:rsid w:val="00D74814"/>
    <w:rsid w:val="00D749DC"/>
    <w:rsid w:val="00D74AF8"/>
    <w:rsid w:val="00D74FF7"/>
    <w:rsid w:val="00D75487"/>
    <w:rsid w:val="00D75670"/>
    <w:rsid w:val="00D756CE"/>
    <w:rsid w:val="00D75998"/>
    <w:rsid w:val="00D75ABC"/>
    <w:rsid w:val="00D75D66"/>
    <w:rsid w:val="00D76026"/>
    <w:rsid w:val="00D760A3"/>
    <w:rsid w:val="00D763D2"/>
    <w:rsid w:val="00D7640C"/>
    <w:rsid w:val="00D764FC"/>
    <w:rsid w:val="00D76917"/>
    <w:rsid w:val="00D7712E"/>
    <w:rsid w:val="00D7782E"/>
    <w:rsid w:val="00D77B4A"/>
    <w:rsid w:val="00D77D54"/>
    <w:rsid w:val="00D77E47"/>
    <w:rsid w:val="00D80185"/>
    <w:rsid w:val="00D806B2"/>
    <w:rsid w:val="00D80776"/>
    <w:rsid w:val="00D8083B"/>
    <w:rsid w:val="00D80864"/>
    <w:rsid w:val="00D80A4C"/>
    <w:rsid w:val="00D80AD0"/>
    <w:rsid w:val="00D80ADE"/>
    <w:rsid w:val="00D80C29"/>
    <w:rsid w:val="00D80C6F"/>
    <w:rsid w:val="00D80D0B"/>
    <w:rsid w:val="00D80F20"/>
    <w:rsid w:val="00D81032"/>
    <w:rsid w:val="00D81254"/>
    <w:rsid w:val="00D8145E"/>
    <w:rsid w:val="00D818E7"/>
    <w:rsid w:val="00D81BA6"/>
    <w:rsid w:val="00D81CDB"/>
    <w:rsid w:val="00D81D1B"/>
    <w:rsid w:val="00D820FB"/>
    <w:rsid w:val="00D822AB"/>
    <w:rsid w:val="00D827C5"/>
    <w:rsid w:val="00D82AF4"/>
    <w:rsid w:val="00D82B69"/>
    <w:rsid w:val="00D82DB9"/>
    <w:rsid w:val="00D82EBA"/>
    <w:rsid w:val="00D82EEC"/>
    <w:rsid w:val="00D83022"/>
    <w:rsid w:val="00D8303D"/>
    <w:rsid w:val="00D8316D"/>
    <w:rsid w:val="00D8379E"/>
    <w:rsid w:val="00D83AAE"/>
    <w:rsid w:val="00D83B51"/>
    <w:rsid w:val="00D83D17"/>
    <w:rsid w:val="00D84054"/>
    <w:rsid w:val="00D841E2"/>
    <w:rsid w:val="00D84200"/>
    <w:rsid w:val="00D84606"/>
    <w:rsid w:val="00D8475E"/>
    <w:rsid w:val="00D8485A"/>
    <w:rsid w:val="00D84876"/>
    <w:rsid w:val="00D84885"/>
    <w:rsid w:val="00D84982"/>
    <w:rsid w:val="00D84ECA"/>
    <w:rsid w:val="00D8525E"/>
    <w:rsid w:val="00D85320"/>
    <w:rsid w:val="00D85588"/>
    <w:rsid w:val="00D8576D"/>
    <w:rsid w:val="00D85C9A"/>
    <w:rsid w:val="00D85EF4"/>
    <w:rsid w:val="00D868DD"/>
    <w:rsid w:val="00D868F8"/>
    <w:rsid w:val="00D86946"/>
    <w:rsid w:val="00D86A29"/>
    <w:rsid w:val="00D86A71"/>
    <w:rsid w:val="00D86B09"/>
    <w:rsid w:val="00D86B53"/>
    <w:rsid w:val="00D86CA7"/>
    <w:rsid w:val="00D86CAB"/>
    <w:rsid w:val="00D86E13"/>
    <w:rsid w:val="00D86FD4"/>
    <w:rsid w:val="00D8704E"/>
    <w:rsid w:val="00D870C2"/>
    <w:rsid w:val="00D87192"/>
    <w:rsid w:val="00D876BB"/>
    <w:rsid w:val="00D87971"/>
    <w:rsid w:val="00D87F3C"/>
    <w:rsid w:val="00D9041B"/>
    <w:rsid w:val="00D908B2"/>
    <w:rsid w:val="00D90B76"/>
    <w:rsid w:val="00D90DBB"/>
    <w:rsid w:val="00D90DCC"/>
    <w:rsid w:val="00D90DD9"/>
    <w:rsid w:val="00D90E2F"/>
    <w:rsid w:val="00D90E3C"/>
    <w:rsid w:val="00D911ED"/>
    <w:rsid w:val="00D91304"/>
    <w:rsid w:val="00D9141D"/>
    <w:rsid w:val="00D91497"/>
    <w:rsid w:val="00D915F2"/>
    <w:rsid w:val="00D917AE"/>
    <w:rsid w:val="00D919F0"/>
    <w:rsid w:val="00D91A78"/>
    <w:rsid w:val="00D91E9C"/>
    <w:rsid w:val="00D92059"/>
    <w:rsid w:val="00D92182"/>
    <w:rsid w:val="00D921E5"/>
    <w:rsid w:val="00D92213"/>
    <w:rsid w:val="00D92364"/>
    <w:rsid w:val="00D923B6"/>
    <w:rsid w:val="00D92553"/>
    <w:rsid w:val="00D925DF"/>
    <w:rsid w:val="00D927C5"/>
    <w:rsid w:val="00D92DC3"/>
    <w:rsid w:val="00D93398"/>
    <w:rsid w:val="00D93745"/>
    <w:rsid w:val="00D937CC"/>
    <w:rsid w:val="00D93A21"/>
    <w:rsid w:val="00D94136"/>
    <w:rsid w:val="00D9419A"/>
    <w:rsid w:val="00D94279"/>
    <w:rsid w:val="00D946C9"/>
    <w:rsid w:val="00D9474F"/>
    <w:rsid w:val="00D94834"/>
    <w:rsid w:val="00D94858"/>
    <w:rsid w:val="00D94AC3"/>
    <w:rsid w:val="00D94CF3"/>
    <w:rsid w:val="00D94DD4"/>
    <w:rsid w:val="00D95010"/>
    <w:rsid w:val="00D956AD"/>
    <w:rsid w:val="00D95700"/>
    <w:rsid w:val="00D95872"/>
    <w:rsid w:val="00D95A2A"/>
    <w:rsid w:val="00D95A59"/>
    <w:rsid w:val="00D95D90"/>
    <w:rsid w:val="00D95F78"/>
    <w:rsid w:val="00D9613C"/>
    <w:rsid w:val="00D9648B"/>
    <w:rsid w:val="00D9650B"/>
    <w:rsid w:val="00D967A8"/>
    <w:rsid w:val="00D96C29"/>
    <w:rsid w:val="00D96DE4"/>
    <w:rsid w:val="00D97045"/>
    <w:rsid w:val="00D975D4"/>
    <w:rsid w:val="00D9779D"/>
    <w:rsid w:val="00D977A8"/>
    <w:rsid w:val="00D9795A"/>
    <w:rsid w:val="00D97B26"/>
    <w:rsid w:val="00D97C79"/>
    <w:rsid w:val="00D97D0A"/>
    <w:rsid w:val="00D97F02"/>
    <w:rsid w:val="00DA0181"/>
    <w:rsid w:val="00DA0356"/>
    <w:rsid w:val="00DA058E"/>
    <w:rsid w:val="00DA0686"/>
    <w:rsid w:val="00DA0842"/>
    <w:rsid w:val="00DA0E6B"/>
    <w:rsid w:val="00DA0EDB"/>
    <w:rsid w:val="00DA1161"/>
    <w:rsid w:val="00DA121B"/>
    <w:rsid w:val="00DA1303"/>
    <w:rsid w:val="00DA13DB"/>
    <w:rsid w:val="00DA175A"/>
    <w:rsid w:val="00DA190B"/>
    <w:rsid w:val="00DA1A06"/>
    <w:rsid w:val="00DA1A27"/>
    <w:rsid w:val="00DA1BA2"/>
    <w:rsid w:val="00DA1D9A"/>
    <w:rsid w:val="00DA2365"/>
    <w:rsid w:val="00DA2432"/>
    <w:rsid w:val="00DA2479"/>
    <w:rsid w:val="00DA2685"/>
    <w:rsid w:val="00DA26FB"/>
    <w:rsid w:val="00DA2E03"/>
    <w:rsid w:val="00DA3061"/>
    <w:rsid w:val="00DA30EA"/>
    <w:rsid w:val="00DA32D5"/>
    <w:rsid w:val="00DA347A"/>
    <w:rsid w:val="00DA35C1"/>
    <w:rsid w:val="00DA39F9"/>
    <w:rsid w:val="00DA3D90"/>
    <w:rsid w:val="00DA4078"/>
    <w:rsid w:val="00DA40FE"/>
    <w:rsid w:val="00DA42B2"/>
    <w:rsid w:val="00DA43FA"/>
    <w:rsid w:val="00DA44DD"/>
    <w:rsid w:val="00DA45DB"/>
    <w:rsid w:val="00DA485C"/>
    <w:rsid w:val="00DA4B60"/>
    <w:rsid w:val="00DA512C"/>
    <w:rsid w:val="00DA5413"/>
    <w:rsid w:val="00DA550A"/>
    <w:rsid w:val="00DA5529"/>
    <w:rsid w:val="00DA575A"/>
    <w:rsid w:val="00DA59A7"/>
    <w:rsid w:val="00DA5B66"/>
    <w:rsid w:val="00DA5C7D"/>
    <w:rsid w:val="00DA5CBF"/>
    <w:rsid w:val="00DA6524"/>
    <w:rsid w:val="00DA657E"/>
    <w:rsid w:val="00DA66E5"/>
    <w:rsid w:val="00DA6765"/>
    <w:rsid w:val="00DA6779"/>
    <w:rsid w:val="00DA6788"/>
    <w:rsid w:val="00DA6A84"/>
    <w:rsid w:val="00DA6B82"/>
    <w:rsid w:val="00DA6C15"/>
    <w:rsid w:val="00DA6C80"/>
    <w:rsid w:val="00DA6CAE"/>
    <w:rsid w:val="00DA6E57"/>
    <w:rsid w:val="00DA7202"/>
    <w:rsid w:val="00DA7557"/>
    <w:rsid w:val="00DA75B7"/>
    <w:rsid w:val="00DA77C7"/>
    <w:rsid w:val="00DA786F"/>
    <w:rsid w:val="00DA79F2"/>
    <w:rsid w:val="00DA7B8E"/>
    <w:rsid w:val="00DA7BD0"/>
    <w:rsid w:val="00DA7EB6"/>
    <w:rsid w:val="00DA7EF4"/>
    <w:rsid w:val="00DB003C"/>
    <w:rsid w:val="00DB0190"/>
    <w:rsid w:val="00DB023F"/>
    <w:rsid w:val="00DB0396"/>
    <w:rsid w:val="00DB046B"/>
    <w:rsid w:val="00DB0D2F"/>
    <w:rsid w:val="00DB0FB1"/>
    <w:rsid w:val="00DB105D"/>
    <w:rsid w:val="00DB11BD"/>
    <w:rsid w:val="00DB11C0"/>
    <w:rsid w:val="00DB1D9B"/>
    <w:rsid w:val="00DB1E91"/>
    <w:rsid w:val="00DB22C2"/>
    <w:rsid w:val="00DB2309"/>
    <w:rsid w:val="00DB2438"/>
    <w:rsid w:val="00DB26B2"/>
    <w:rsid w:val="00DB2E48"/>
    <w:rsid w:val="00DB303D"/>
    <w:rsid w:val="00DB30E3"/>
    <w:rsid w:val="00DB3618"/>
    <w:rsid w:val="00DB386F"/>
    <w:rsid w:val="00DB3A04"/>
    <w:rsid w:val="00DB3AE8"/>
    <w:rsid w:val="00DB3B14"/>
    <w:rsid w:val="00DB3B54"/>
    <w:rsid w:val="00DB3C45"/>
    <w:rsid w:val="00DB4410"/>
    <w:rsid w:val="00DB444F"/>
    <w:rsid w:val="00DB464A"/>
    <w:rsid w:val="00DB4691"/>
    <w:rsid w:val="00DB4724"/>
    <w:rsid w:val="00DB4770"/>
    <w:rsid w:val="00DB49BC"/>
    <w:rsid w:val="00DB4EF2"/>
    <w:rsid w:val="00DB4FB0"/>
    <w:rsid w:val="00DB5117"/>
    <w:rsid w:val="00DB52E6"/>
    <w:rsid w:val="00DB5764"/>
    <w:rsid w:val="00DB587A"/>
    <w:rsid w:val="00DB58EA"/>
    <w:rsid w:val="00DB5AB3"/>
    <w:rsid w:val="00DB5D52"/>
    <w:rsid w:val="00DB5EFB"/>
    <w:rsid w:val="00DB5FAA"/>
    <w:rsid w:val="00DB6031"/>
    <w:rsid w:val="00DB6479"/>
    <w:rsid w:val="00DB655C"/>
    <w:rsid w:val="00DB65D7"/>
    <w:rsid w:val="00DB664A"/>
    <w:rsid w:val="00DB6767"/>
    <w:rsid w:val="00DB6784"/>
    <w:rsid w:val="00DB67D1"/>
    <w:rsid w:val="00DB6928"/>
    <w:rsid w:val="00DB693A"/>
    <w:rsid w:val="00DB6D20"/>
    <w:rsid w:val="00DB6D6D"/>
    <w:rsid w:val="00DB6EEE"/>
    <w:rsid w:val="00DB70BD"/>
    <w:rsid w:val="00DB70C4"/>
    <w:rsid w:val="00DB727D"/>
    <w:rsid w:val="00DB7407"/>
    <w:rsid w:val="00DB7463"/>
    <w:rsid w:val="00DB762F"/>
    <w:rsid w:val="00DB7683"/>
    <w:rsid w:val="00DB77C7"/>
    <w:rsid w:val="00DB7915"/>
    <w:rsid w:val="00DB7A84"/>
    <w:rsid w:val="00DC001E"/>
    <w:rsid w:val="00DC0161"/>
    <w:rsid w:val="00DC037D"/>
    <w:rsid w:val="00DC04C8"/>
    <w:rsid w:val="00DC0650"/>
    <w:rsid w:val="00DC096D"/>
    <w:rsid w:val="00DC0C35"/>
    <w:rsid w:val="00DC0CD8"/>
    <w:rsid w:val="00DC1144"/>
    <w:rsid w:val="00DC14AF"/>
    <w:rsid w:val="00DC1720"/>
    <w:rsid w:val="00DC199F"/>
    <w:rsid w:val="00DC1C53"/>
    <w:rsid w:val="00DC1DF9"/>
    <w:rsid w:val="00DC1E11"/>
    <w:rsid w:val="00DC2701"/>
    <w:rsid w:val="00DC272B"/>
    <w:rsid w:val="00DC2743"/>
    <w:rsid w:val="00DC27B6"/>
    <w:rsid w:val="00DC2844"/>
    <w:rsid w:val="00DC2F48"/>
    <w:rsid w:val="00DC2F7F"/>
    <w:rsid w:val="00DC30E8"/>
    <w:rsid w:val="00DC311D"/>
    <w:rsid w:val="00DC3236"/>
    <w:rsid w:val="00DC33ED"/>
    <w:rsid w:val="00DC35AB"/>
    <w:rsid w:val="00DC3633"/>
    <w:rsid w:val="00DC3A07"/>
    <w:rsid w:val="00DC3AEE"/>
    <w:rsid w:val="00DC3B7A"/>
    <w:rsid w:val="00DC40A9"/>
    <w:rsid w:val="00DC4108"/>
    <w:rsid w:val="00DC437E"/>
    <w:rsid w:val="00DC44EE"/>
    <w:rsid w:val="00DC4B78"/>
    <w:rsid w:val="00DC4EC7"/>
    <w:rsid w:val="00DC4F1B"/>
    <w:rsid w:val="00DC4F64"/>
    <w:rsid w:val="00DC50C5"/>
    <w:rsid w:val="00DC5126"/>
    <w:rsid w:val="00DC526B"/>
    <w:rsid w:val="00DC55FD"/>
    <w:rsid w:val="00DC5AD4"/>
    <w:rsid w:val="00DC5BFB"/>
    <w:rsid w:val="00DC5D80"/>
    <w:rsid w:val="00DC601F"/>
    <w:rsid w:val="00DC637A"/>
    <w:rsid w:val="00DC63A1"/>
    <w:rsid w:val="00DC63E9"/>
    <w:rsid w:val="00DC64A7"/>
    <w:rsid w:val="00DC6903"/>
    <w:rsid w:val="00DC6B35"/>
    <w:rsid w:val="00DC6DF5"/>
    <w:rsid w:val="00DC7080"/>
    <w:rsid w:val="00DC796D"/>
    <w:rsid w:val="00DC7F09"/>
    <w:rsid w:val="00DC7F64"/>
    <w:rsid w:val="00DD0554"/>
    <w:rsid w:val="00DD0647"/>
    <w:rsid w:val="00DD0953"/>
    <w:rsid w:val="00DD097A"/>
    <w:rsid w:val="00DD09DE"/>
    <w:rsid w:val="00DD0E19"/>
    <w:rsid w:val="00DD0EF1"/>
    <w:rsid w:val="00DD0F48"/>
    <w:rsid w:val="00DD18C4"/>
    <w:rsid w:val="00DD1A95"/>
    <w:rsid w:val="00DD1C22"/>
    <w:rsid w:val="00DD1C2F"/>
    <w:rsid w:val="00DD1CBB"/>
    <w:rsid w:val="00DD1D66"/>
    <w:rsid w:val="00DD1FE6"/>
    <w:rsid w:val="00DD2390"/>
    <w:rsid w:val="00DD26DB"/>
    <w:rsid w:val="00DD28BA"/>
    <w:rsid w:val="00DD28FC"/>
    <w:rsid w:val="00DD2921"/>
    <w:rsid w:val="00DD2AD4"/>
    <w:rsid w:val="00DD2C81"/>
    <w:rsid w:val="00DD3466"/>
    <w:rsid w:val="00DD348C"/>
    <w:rsid w:val="00DD34ED"/>
    <w:rsid w:val="00DD3718"/>
    <w:rsid w:val="00DD3832"/>
    <w:rsid w:val="00DD3909"/>
    <w:rsid w:val="00DD3973"/>
    <w:rsid w:val="00DD39DB"/>
    <w:rsid w:val="00DD3C82"/>
    <w:rsid w:val="00DD3F30"/>
    <w:rsid w:val="00DD401A"/>
    <w:rsid w:val="00DD4438"/>
    <w:rsid w:val="00DD4587"/>
    <w:rsid w:val="00DD5053"/>
    <w:rsid w:val="00DD51F9"/>
    <w:rsid w:val="00DD5464"/>
    <w:rsid w:val="00DD589E"/>
    <w:rsid w:val="00DD5AC2"/>
    <w:rsid w:val="00DD5AF8"/>
    <w:rsid w:val="00DD5C81"/>
    <w:rsid w:val="00DD5EA4"/>
    <w:rsid w:val="00DD60D2"/>
    <w:rsid w:val="00DD611D"/>
    <w:rsid w:val="00DD66D3"/>
    <w:rsid w:val="00DD66DF"/>
    <w:rsid w:val="00DD6713"/>
    <w:rsid w:val="00DD77DB"/>
    <w:rsid w:val="00DE01D5"/>
    <w:rsid w:val="00DE02D5"/>
    <w:rsid w:val="00DE03F0"/>
    <w:rsid w:val="00DE04F6"/>
    <w:rsid w:val="00DE0973"/>
    <w:rsid w:val="00DE097A"/>
    <w:rsid w:val="00DE0C37"/>
    <w:rsid w:val="00DE0E5A"/>
    <w:rsid w:val="00DE107D"/>
    <w:rsid w:val="00DE14CE"/>
    <w:rsid w:val="00DE14FB"/>
    <w:rsid w:val="00DE15F7"/>
    <w:rsid w:val="00DE2492"/>
    <w:rsid w:val="00DE2496"/>
    <w:rsid w:val="00DE25D0"/>
    <w:rsid w:val="00DE2C16"/>
    <w:rsid w:val="00DE2D9C"/>
    <w:rsid w:val="00DE323E"/>
    <w:rsid w:val="00DE3273"/>
    <w:rsid w:val="00DE3276"/>
    <w:rsid w:val="00DE337C"/>
    <w:rsid w:val="00DE34AF"/>
    <w:rsid w:val="00DE3A52"/>
    <w:rsid w:val="00DE3D00"/>
    <w:rsid w:val="00DE3EE9"/>
    <w:rsid w:val="00DE44C0"/>
    <w:rsid w:val="00DE465A"/>
    <w:rsid w:val="00DE4750"/>
    <w:rsid w:val="00DE4865"/>
    <w:rsid w:val="00DE4A8B"/>
    <w:rsid w:val="00DE4B01"/>
    <w:rsid w:val="00DE4EB8"/>
    <w:rsid w:val="00DE50BA"/>
    <w:rsid w:val="00DE5150"/>
    <w:rsid w:val="00DE558C"/>
    <w:rsid w:val="00DE57A8"/>
    <w:rsid w:val="00DE5A5A"/>
    <w:rsid w:val="00DE5D75"/>
    <w:rsid w:val="00DE643E"/>
    <w:rsid w:val="00DE6A3C"/>
    <w:rsid w:val="00DE6A45"/>
    <w:rsid w:val="00DE6DFA"/>
    <w:rsid w:val="00DE6E0D"/>
    <w:rsid w:val="00DE6F12"/>
    <w:rsid w:val="00DE7099"/>
    <w:rsid w:val="00DE70E8"/>
    <w:rsid w:val="00DE7302"/>
    <w:rsid w:val="00DE7382"/>
    <w:rsid w:val="00DE7493"/>
    <w:rsid w:val="00DE75AB"/>
    <w:rsid w:val="00DE7823"/>
    <w:rsid w:val="00DF00BC"/>
    <w:rsid w:val="00DF017F"/>
    <w:rsid w:val="00DF0416"/>
    <w:rsid w:val="00DF075D"/>
    <w:rsid w:val="00DF0826"/>
    <w:rsid w:val="00DF08FC"/>
    <w:rsid w:val="00DF0C63"/>
    <w:rsid w:val="00DF0DC9"/>
    <w:rsid w:val="00DF0FAA"/>
    <w:rsid w:val="00DF13BB"/>
    <w:rsid w:val="00DF17A1"/>
    <w:rsid w:val="00DF1800"/>
    <w:rsid w:val="00DF1B09"/>
    <w:rsid w:val="00DF1DDE"/>
    <w:rsid w:val="00DF1DEF"/>
    <w:rsid w:val="00DF1FFA"/>
    <w:rsid w:val="00DF20A4"/>
    <w:rsid w:val="00DF277E"/>
    <w:rsid w:val="00DF2E73"/>
    <w:rsid w:val="00DF2F5D"/>
    <w:rsid w:val="00DF314B"/>
    <w:rsid w:val="00DF341B"/>
    <w:rsid w:val="00DF349F"/>
    <w:rsid w:val="00DF3708"/>
    <w:rsid w:val="00DF39BC"/>
    <w:rsid w:val="00DF39E9"/>
    <w:rsid w:val="00DF3BC6"/>
    <w:rsid w:val="00DF3FDC"/>
    <w:rsid w:val="00DF41DE"/>
    <w:rsid w:val="00DF431B"/>
    <w:rsid w:val="00DF4376"/>
    <w:rsid w:val="00DF465C"/>
    <w:rsid w:val="00DF4733"/>
    <w:rsid w:val="00DF4D91"/>
    <w:rsid w:val="00DF4F91"/>
    <w:rsid w:val="00DF520D"/>
    <w:rsid w:val="00DF5507"/>
    <w:rsid w:val="00DF5821"/>
    <w:rsid w:val="00DF5B5F"/>
    <w:rsid w:val="00DF5CD7"/>
    <w:rsid w:val="00DF5CEB"/>
    <w:rsid w:val="00DF6580"/>
    <w:rsid w:val="00DF6764"/>
    <w:rsid w:val="00DF6816"/>
    <w:rsid w:val="00DF6972"/>
    <w:rsid w:val="00DF7126"/>
    <w:rsid w:val="00DF73FA"/>
    <w:rsid w:val="00DF7454"/>
    <w:rsid w:val="00DF74D9"/>
    <w:rsid w:val="00DF7567"/>
    <w:rsid w:val="00DF75E1"/>
    <w:rsid w:val="00DF7614"/>
    <w:rsid w:val="00DF7C67"/>
    <w:rsid w:val="00DF7E8A"/>
    <w:rsid w:val="00E00282"/>
    <w:rsid w:val="00E008E8"/>
    <w:rsid w:val="00E00927"/>
    <w:rsid w:val="00E0115A"/>
    <w:rsid w:val="00E0116A"/>
    <w:rsid w:val="00E01820"/>
    <w:rsid w:val="00E01969"/>
    <w:rsid w:val="00E019AE"/>
    <w:rsid w:val="00E01C7A"/>
    <w:rsid w:val="00E01CAA"/>
    <w:rsid w:val="00E01DE4"/>
    <w:rsid w:val="00E01EA4"/>
    <w:rsid w:val="00E021B1"/>
    <w:rsid w:val="00E0226C"/>
    <w:rsid w:val="00E022D0"/>
    <w:rsid w:val="00E026AA"/>
    <w:rsid w:val="00E026D2"/>
    <w:rsid w:val="00E02907"/>
    <w:rsid w:val="00E02A3B"/>
    <w:rsid w:val="00E02C1E"/>
    <w:rsid w:val="00E02D9E"/>
    <w:rsid w:val="00E02F07"/>
    <w:rsid w:val="00E0337E"/>
    <w:rsid w:val="00E0360B"/>
    <w:rsid w:val="00E037FE"/>
    <w:rsid w:val="00E0395B"/>
    <w:rsid w:val="00E03A96"/>
    <w:rsid w:val="00E040B3"/>
    <w:rsid w:val="00E040E4"/>
    <w:rsid w:val="00E042C8"/>
    <w:rsid w:val="00E0440C"/>
    <w:rsid w:val="00E0463B"/>
    <w:rsid w:val="00E04689"/>
    <w:rsid w:val="00E04783"/>
    <w:rsid w:val="00E048A3"/>
    <w:rsid w:val="00E04C70"/>
    <w:rsid w:val="00E0537E"/>
    <w:rsid w:val="00E056B9"/>
    <w:rsid w:val="00E056FB"/>
    <w:rsid w:val="00E05D56"/>
    <w:rsid w:val="00E05E09"/>
    <w:rsid w:val="00E063BB"/>
    <w:rsid w:val="00E068BA"/>
    <w:rsid w:val="00E06A92"/>
    <w:rsid w:val="00E06BD3"/>
    <w:rsid w:val="00E07144"/>
    <w:rsid w:val="00E074B2"/>
    <w:rsid w:val="00E074BD"/>
    <w:rsid w:val="00E07537"/>
    <w:rsid w:val="00E076A3"/>
    <w:rsid w:val="00E077BF"/>
    <w:rsid w:val="00E077D4"/>
    <w:rsid w:val="00E079B8"/>
    <w:rsid w:val="00E079FF"/>
    <w:rsid w:val="00E07A9B"/>
    <w:rsid w:val="00E07B04"/>
    <w:rsid w:val="00E07B48"/>
    <w:rsid w:val="00E07D09"/>
    <w:rsid w:val="00E07D55"/>
    <w:rsid w:val="00E07DD9"/>
    <w:rsid w:val="00E1016A"/>
    <w:rsid w:val="00E101F6"/>
    <w:rsid w:val="00E102A1"/>
    <w:rsid w:val="00E104DB"/>
    <w:rsid w:val="00E105A9"/>
    <w:rsid w:val="00E105FB"/>
    <w:rsid w:val="00E107F5"/>
    <w:rsid w:val="00E10A35"/>
    <w:rsid w:val="00E10DCC"/>
    <w:rsid w:val="00E112B2"/>
    <w:rsid w:val="00E11482"/>
    <w:rsid w:val="00E11492"/>
    <w:rsid w:val="00E114E1"/>
    <w:rsid w:val="00E1157B"/>
    <w:rsid w:val="00E1163D"/>
    <w:rsid w:val="00E118AE"/>
    <w:rsid w:val="00E11B5E"/>
    <w:rsid w:val="00E1214F"/>
    <w:rsid w:val="00E123A1"/>
    <w:rsid w:val="00E12A92"/>
    <w:rsid w:val="00E12D5B"/>
    <w:rsid w:val="00E12D70"/>
    <w:rsid w:val="00E12DFE"/>
    <w:rsid w:val="00E12E75"/>
    <w:rsid w:val="00E12F32"/>
    <w:rsid w:val="00E12F77"/>
    <w:rsid w:val="00E1396D"/>
    <w:rsid w:val="00E139A0"/>
    <w:rsid w:val="00E139F2"/>
    <w:rsid w:val="00E13E48"/>
    <w:rsid w:val="00E13E78"/>
    <w:rsid w:val="00E141D1"/>
    <w:rsid w:val="00E1426A"/>
    <w:rsid w:val="00E143E2"/>
    <w:rsid w:val="00E143FF"/>
    <w:rsid w:val="00E14749"/>
    <w:rsid w:val="00E149C9"/>
    <w:rsid w:val="00E14A94"/>
    <w:rsid w:val="00E14B62"/>
    <w:rsid w:val="00E14F25"/>
    <w:rsid w:val="00E14FF4"/>
    <w:rsid w:val="00E15056"/>
    <w:rsid w:val="00E15140"/>
    <w:rsid w:val="00E15451"/>
    <w:rsid w:val="00E156F5"/>
    <w:rsid w:val="00E15945"/>
    <w:rsid w:val="00E15BDC"/>
    <w:rsid w:val="00E15CB2"/>
    <w:rsid w:val="00E15D47"/>
    <w:rsid w:val="00E15DB1"/>
    <w:rsid w:val="00E15DC2"/>
    <w:rsid w:val="00E15E15"/>
    <w:rsid w:val="00E15E1C"/>
    <w:rsid w:val="00E15EF0"/>
    <w:rsid w:val="00E15F7C"/>
    <w:rsid w:val="00E15FBA"/>
    <w:rsid w:val="00E160B2"/>
    <w:rsid w:val="00E160E6"/>
    <w:rsid w:val="00E16305"/>
    <w:rsid w:val="00E165C3"/>
    <w:rsid w:val="00E165F2"/>
    <w:rsid w:val="00E166CE"/>
    <w:rsid w:val="00E16EE3"/>
    <w:rsid w:val="00E16FFA"/>
    <w:rsid w:val="00E17045"/>
    <w:rsid w:val="00E1706C"/>
    <w:rsid w:val="00E17234"/>
    <w:rsid w:val="00E17552"/>
    <w:rsid w:val="00E175A8"/>
    <w:rsid w:val="00E17687"/>
    <w:rsid w:val="00E1778F"/>
    <w:rsid w:val="00E17857"/>
    <w:rsid w:val="00E17BD1"/>
    <w:rsid w:val="00E17DD6"/>
    <w:rsid w:val="00E17DD9"/>
    <w:rsid w:val="00E20001"/>
    <w:rsid w:val="00E209CD"/>
    <w:rsid w:val="00E20B12"/>
    <w:rsid w:val="00E20B98"/>
    <w:rsid w:val="00E21900"/>
    <w:rsid w:val="00E21A70"/>
    <w:rsid w:val="00E21AB3"/>
    <w:rsid w:val="00E21B03"/>
    <w:rsid w:val="00E21BAF"/>
    <w:rsid w:val="00E21DAC"/>
    <w:rsid w:val="00E21F9C"/>
    <w:rsid w:val="00E22445"/>
    <w:rsid w:val="00E2247A"/>
    <w:rsid w:val="00E224C0"/>
    <w:rsid w:val="00E22AF7"/>
    <w:rsid w:val="00E22BD5"/>
    <w:rsid w:val="00E22CDA"/>
    <w:rsid w:val="00E22F4A"/>
    <w:rsid w:val="00E23244"/>
    <w:rsid w:val="00E23278"/>
    <w:rsid w:val="00E2331D"/>
    <w:rsid w:val="00E2336E"/>
    <w:rsid w:val="00E2362C"/>
    <w:rsid w:val="00E237A2"/>
    <w:rsid w:val="00E237F6"/>
    <w:rsid w:val="00E23A67"/>
    <w:rsid w:val="00E23BE7"/>
    <w:rsid w:val="00E23CEC"/>
    <w:rsid w:val="00E23E29"/>
    <w:rsid w:val="00E241D7"/>
    <w:rsid w:val="00E24594"/>
    <w:rsid w:val="00E245EE"/>
    <w:rsid w:val="00E24741"/>
    <w:rsid w:val="00E248B2"/>
    <w:rsid w:val="00E24AD8"/>
    <w:rsid w:val="00E24C5E"/>
    <w:rsid w:val="00E253C1"/>
    <w:rsid w:val="00E255EE"/>
    <w:rsid w:val="00E25BCF"/>
    <w:rsid w:val="00E25CF4"/>
    <w:rsid w:val="00E25F7C"/>
    <w:rsid w:val="00E26024"/>
    <w:rsid w:val="00E260A3"/>
    <w:rsid w:val="00E26648"/>
    <w:rsid w:val="00E26684"/>
    <w:rsid w:val="00E2699D"/>
    <w:rsid w:val="00E269DD"/>
    <w:rsid w:val="00E269FF"/>
    <w:rsid w:val="00E26D15"/>
    <w:rsid w:val="00E26D49"/>
    <w:rsid w:val="00E26E8A"/>
    <w:rsid w:val="00E2709F"/>
    <w:rsid w:val="00E27126"/>
    <w:rsid w:val="00E271F3"/>
    <w:rsid w:val="00E275F0"/>
    <w:rsid w:val="00E2762A"/>
    <w:rsid w:val="00E27904"/>
    <w:rsid w:val="00E27B3D"/>
    <w:rsid w:val="00E27C9A"/>
    <w:rsid w:val="00E27DDB"/>
    <w:rsid w:val="00E27E0D"/>
    <w:rsid w:val="00E27ED2"/>
    <w:rsid w:val="00E30508"/>
    <w:rsid w:val="00E308C2"/>
    <w:rsid w:val="00E30948"/>
    <w:rsid w:val="00E30A0C"/>
    <w:rsid w:val="00E30BF1"/>
    <w:rsid w:val="00E30C51"/>
    <w:rsid w:val="00E316D6"/>
    <w:rsid w:val="00E31702"/>
    <w:rsid w:val="00E3174D"/>
    <w:rsid w:val="00E31910"/>
    <w:rsid w:val="00E31973"/>
    <w:rsid w:val="00E31A5A"/>
    <w:rsid w:val="00E31B75"/>
    <w:rsid w:val="00E31BF3"/>
    <w:rsid w:val="00E31C31"/>
    <w:rsid w:val="00E31E8E"/>
    <w:rsid w:val="00E321DE"/>
    <w:rsid w:val="00E32219"/>
    <w:rsid w:val="00E32261"/>
    <w:rsid w:val="00E3242E"/>
    <w:rsid w:val="00E326AA"/>
    <w:rsid w:val="00E326D0"/>
    <w:rsid w:val="00E32745"/>
    <w:rsid w:val="00E3289F"/>
    <w:rsid w:val="00E329BB"/>
    <w:rsid w:val="00E32AC5"/>
    <w:rsid w:val="00E330C9"/>
    <w:rsid w:val="00E331B9"/>
    <w:rsid w:val="00E3330E"/>
    <w:rsid w:val="00E333E6"/>
    <w:rsid w:val="00E3351F"/>
    <w:rsid w:val="00E338DE"/>
    <w:rsid w:val="00E33992"/>
    <w:rsid w:val="00E339FE"/>
    <w:rsid w:val="00E33B3C"/>
    <w:rsid w:val="00E33C95"/>
    <w:rsid w:val="00E33D07"/>
    <w:rsid w:val="00E33F84"/>
    <w:rsid w:val="00E3401B"/>
    <w:rsid w:val="00E34237"/>
    <w:rsid w:val="00E3441C"/>
    <w:rsid w:val="00E34495"/>
    <w:rsid w:val="00E34937"/>
    <w:rsid w:val="00E34945"/>
    <w:rsid w:val="00E34AD5"/>
    <w:rsid w:val="00E34B02"/>
    <w:rsid w:val="00E34B41"/>
    <w:rsid w:val="00E34C4A"/>
    <w:rsid w:val="00E34CF0"/>
    <w:rsid w:val="00E34D3B"/>
    <w:rsid w:val="00E350B6"/>
    <w:rsid w:val="00E35C9A"/>
    <w:rsid w:val="00E35D5C"/>
    <w:rsid w:val="00E35E0F"/>
    <w:rsid w:val="00E36262"/>
    <w:rsid w:val="00E3643C"/>
    <w:rsid w:val="00E36860"/>
    <w:rsid w:val="00E36B66"/>
    <w:rsid w:val="00E36CF7"/>
    <w:rsid w:val="00E36EB9"/>
    <w:rsid w:val="00E36FB1"/>
    <w:rsid w:val="00E36FB8"/>
    <w:rsid w:val="00E374B8"/>
    <w:rsid w:val="00E37A3C"/>
    <w:rsid w:val="00E37B84"/>
    <w:rsid w:val="00E37D92"/>
    <w:rsid w:val="00E37DBE"/>
    <w:rsid w:val="00E4025C"/>
    <w:rsid w:val="00E4062B"/>
    <w:rsid w:val="00E406E5"/>
    <w:rsid w:val="00E40800"/>
    <w:rsid w:val="00E40DAE"/>
    <w:rsid w:val="00E40F62"/>
    <w:rsid w:val="00E4128F"/>
    <w:rsid w:val="00E413DC"/>
    <w:rsid w:val="00E41435"/>
    <w:rsid w:val="00E41452"/>
    <w:rsid w:val="00E417B3"/>
    <w:rsid w:val="00E41826"/>
    <w:rsid w:val="00E4191E"/>
    <w:rsid w:val="00E424FE"/>
    <w:rsid w:val="00E42808"/>
    <w:rsid w:val="00E42A59"/>
    <w:rsid w:val="00E42C65"/>
    <w:rsid w:val="00E430B0"/>
    <w:rsid w:val="00E4316C"/>
    <w:rsid w:val="00E43249"/>
    <w:rsid w:val="00E436A2"/>
    <w:rsid w:val="00E43A9B"/>
    <w:rsid w:val="00E43AD0"/>
    <w:rsid w:val="00E43C3A"/>
    <w:rsid w:val="00E43DD3"/>
    <w:rsid w:val="00E440DC"/>
    <w:rsid w:val="00E4441D"/>
    <w:rsid w:val="00E4476B"/>
    <w:rsid w:val="00E448F0"/>
    <w:rsid w:val="00E4535C"/>
    <w:rsid w:val="00E45614"/>
    <w:rsid w:val="00E45775"/>
    <w:rsid w:val="00E45865"/>
    <w:rsid w:val="00E458D6"/>
    <w:rsid w:val="00E458D8"/>
    <w:rsid w:val="00E45AF2"/>
    <w:rsid w:val="00E45D84"/>
    <w:rsid w:val="00E45DFD"/>
    <w:rsid w:val="00E460FF"/>
    <w:rsid w:val="00E46315"/>
    <w:rsid w:val="00E463AC"/>
    <w:rsid w:val="00E46A65"/>
    <w:rsid w:val="00E47409"/>
    <w:rsid w:val="00E476AD"/>
    <w:rsid w:val="00E47B14"/>
    <w:rsid w:val="00E47B78"/>
    <w:rsid w:val="00E47C68"/>
    <w:rsid w:val="00E47D35"/>
    <w:rsid w:val="00E502DB"/>
    <w:rsid w:val="00E50320"/>
    <w:rsid w:val="00E505A2"/>
    <w:rsid w:val="00E5060B"/>
    <w:rsid w:val="00E507F8"/>
    <w:rsid w:val="00E5082E"/>
    <w:rsid w:val="00E50928"/>
    <w:rsid w:val="00E50956"/>
    <w:rsid w:val="00E50958"/>
    <w:rsid w:val="00E50AF0"/>
    <w:rsid w:val="00E50BF5"/>
    <w:rsid w:val="00E50CB4"/>
    <w:rsid w:val="00E50DD9"/>
    <w:rsid w:val="00E50EAE"/>
    <w:rsid w:val="00E50EAF"/>
    <w:rsid w:val="00E50EFA"/>
    <w:rsid w:val="00E51024"/>
    <w:rsid w:val="00E514D6"/>
    <w:rsid w:val="00E51512"/>
    <w:rsid w:val="00E5172D"/>
    <w:rsid w:val="00E517D7"/>
    <w:rsid w:val="00E518A7"/>
    <w:rsid w:val="00E51D5F"/>
    <w:rsid w:val="00E52000"/>
    <w:rsid w:val="00E520E6"/>
    <w:rsid w:val="00E52916"/>
    <w:rsid w:val="00E529F5"/>
    <w:rsid w:val="00E52A18"/>
    <w:rsid w:val="00E52B76"/>
    <w:rsid w:val="00E52DC6"/>
    <w:rsid w:val="00E52ECD"/>
    <w:rsid w:val="00E533F0"/>
    <w:rsid w:val="00E53541"/>
    <w:rsid w:val="00E5356B"/>
    <w:rsid w:val="00E5373F"/>
    <w:rsid w:val="00E5381F"/>
    <w:rsid w:val="00E5383D"/>
    <w:rsid w:val="00E5393F"/>
    <w:rsid w:val="00E53B31"/>
    <w:rsid w:val="00E53D97"/>
    <w:rsid w:val="00E53E00"/>
    <w:rsid w:val="00E53E01"/>
    <w:rsid w:val="00E540A0"/>
    <w:rsid w:val="00E54221"/>
    <w:rsid w:val="00E54246"/>
    <w:rsid w:val="00E5434A"/>
    <w:rsid w:val="00E544C2"/>
    <w:rsid w:val="00E54606"/>
    <w:rsid w:val="00E5474F"/>
    <w:rsid w:val="00E54801"/>
    <w:rsid w:val="00E54998"/>
    <w:rsid w:val="00E54B70"/>
    <w:rsid w:val="00E55336"/>
    <w:rsid w:val="00E5539F"/>
    <w:rsid w:val="00E55400"/>
    <w:rsid w:val="00E55472"/>
    <w:rsid w:val="00E55B48"/>
    <w:rsid w:val="00E55C3B"/>
    <w:rsid w:val="00E55C6D"/>
    <w:rsid w:val="00E55CE7"/>
    <w:rsid w:val="00E55D8C"/>
    <w:rsid w:val="00E55DE0"/>
    <w:rsid w:val="00E55EB8"/>
    <w:rsid w:val="00E560A9"/>
    <w:rsid w:val="00E562AF"/>
    <w:rsid w:val="00E5631B"/>
    <w:rsid w:val="00E56339"/>
    <w:rsid w:val="00E564B9"/>
    <w:rsid w:val="00E5650A"/>
    <w:rsid w:val="00E56B00"/>
    <w:rsid w:val="00E56B5B"/>
    <w:rsid w:val="00E56C2B"/>
    <w:rsid w:val="00E56CDC"/>
    <w:rsid w:val="00E571C7"/>
    <w:rsid w:val="00E57339"/>
    <w:rsid w:val="00E57386"/>
    <w:rsid w:val="00E573E8"/>
    <w:rsid w:val="00E57405"/>
    <w:rsid w:val="00E574EC"/>
    <w:rsid w:val="00E575C4"/>
    <w:rsid w:val="00E576E6"/>
    <w:rsid w:val="00E57726"/>
    <w:rsid w:val="00E57A7A"/>
    <w:rsid w:val="00E57F54"/>
    <w:rsid w:val="00E57F9C"/>
    <w:rsid w:val="00E60522"/>
    <w:rsid w:val="00E60841"/>
    <w:rsid w:val="00E6086B"/>
    <w:rsid w:val="00E60A6D"/>
    <w:rsid w:val="00E60E11"/>
    <w:rsid w:val="00E6106A"/>
    <w:rsid w:val="00E610C9"/>
    <w:rsid w:val="00E610E1"/>
    <w:rsid w:val="00E613D7"/>
    <w:rsid w:val="00E61515"/>
    <w:rsid w:val="00E615F9"/>
    <w:rsid w:val="00E6161D"/>
    <w:rsid w:val="00E61657"/>
    <w:rsid w:val="00E616BA"/>
    <w:rsid w:val="00E618F5"/>
    <w:rsid w:val="00E6193C"/>
    <w:rsid w:val="00E61A6E"/>
    <w:rsid w:val="00E61AD7"/>
    <w:rsid w:val="00E61ADB"/>
    <w:rsid w:val="00E61FB3"/>
    <w:rsid w:val="00E62744"/>
    <w:rsid w:val="00E62AD0"/>
    <w:rsid w:val="00E62BC2"/>
    <w:rsid w:val="00E62DBC"/>
    <w:rsid w:val="00E63225"/>
    <w:rsid w:val="00E63B09"/>
    <w:rsid w:val="00E63C47"/>
    <w:rsid w:val="00E63DAA"/>
    <w:rsid w:val="00E640AA"/>
    <w:rsid w:val="00E640D4"/>
    <w:rsid w:val="00E642F2"/>
    <w:rsid w:val="00E6458E"/>
    <w:rsid w:val="00E648D2"/>
    <w:rsid w:val="00E64AA1"/>
    <w:rsid w:val="00E65250"/>
    <w:rsid w:val="00E655B3"/>
    <w:rsid w:val="00E65867"/>
    <w:rsid w:val="00E65A1F"/>
    <w:rsid w:val="00E65C01"/>
    <w:rsid w:val="00E65CA8"/>
    <w:rsid w:val="00E66139"/>
    <w:rsid w:val="00E66B09"/>
    <w:rsid w:val="00E66EB0"/>
    <w:rsid w:val="00E66EE4"/>
    <w:rsid w:val="00E6760B"/>
    <w:rsid w:val="00E67C96"/>
    <w:rsid w:val="00E67D59"/>
    <w:rsid w:val="00E67DA9"/>
    <w:rsid w:val="00E67FEF"/>
    <w:rsid w:val="00E7016F"/>
    <w:rsid w:val="00E70717"/>
    <w:rsid w:val="00E707BF"/>
    <w:rsid w:val="00E7099E"/>
    <w:rsid w:val="00E709A3"/>
    <w:rsid w:val="00E70D01"/>
    <w:rsid w:val="00E7102E"/>
    <w:rsid w:val="00E71047"/>
    <w:rsid w:val="00E71414"/>
    <w:rsid w:val="00E7155F"/>
    <w:rsid w:val="00E71DED"/>
    <w:rsid w:val="00E71EC8"/>
    <w:rsid w:val="00E7221D"/>
    <w:rsid w:val="00E728AA"/>
    <w:rsid w:val="00E729D4"/>
    <w:rsid w:val="00E72ABE"/>
    <w:rsid w:val="00E72CBC"/>
    <w:rsid w:val="00E730EB"/>
    <w:rsid w:val="00E7318A"/>
    <w:rsid w:val="00E731DC"/>
    <w:rsid w:val="00E732D6"/>
    <w:rsid w:val="00E73434"/>
    <w:rsid w:val="00E73543"/>
    <w:rsid w:val="00E73607"/>
    <w:rsid w:val="00E73745"/>
    <w:rsid w:val="00E7396C"/>
    <w:rsid w:val="00E73A71"/>
    <w:rsid w:val="00E7409C"/>
    <w:rsid w:val="00E74286"/>
    <w:rsid w:val="00E74417"/>
    <w:rsid w:val="00E7455C"/>
    <w:rsid w:val="00E74571"/>
    <w:rsid w:val="00E74653"/>
    <w:rsid w:val="00E7470B"/>
    <w:rsid w:val="00E74811"/>
    <w:rsid w:val="00E75472"/>
    <w:rsid w:val="00E755BC"/>
    <w:rsid w:val="00E7568D"/>
    <w:rsid w:val="00E7588A"/>
    <w:rsid w:val="00E7590C"/>
    <w:rsid w:val="00E75DF7"/>
    <w:rsid w:val="00E75E05"/>
    <w:rsid w:val="00E75F07"/>
    <w:rsid w:val="00E75F37"/>
    <w:rsid w:val="00E76142"/>
    <w:rsid w:val="00E7615F"/>
    <w:rsid w:val="00E761A0"/>
    <w:rsid w:val="00E762D8"/>
    <w:rsid w:val="00E76310"/>
    <w:rsid w:val="00E763B2"/>
    <w:rsid w:val="00E768C4"/>
    <w:rsid w:val="00E76AC1"/>
    <w:rsid w:val="00E76AE0"/>
    <w:rsid w:val="00E76AF8"/>
    <w:rsid w:val="00E76C7E"/>
    <w:rsid w:val="00E76CE9"/>
    <w:rsid w:val="00E76E67"/>
    <w:rsid w:val="00E76EA7"/>
    <w:rsid w:val="00E76EFC"/>
    <w:rsid w:val="00E771AC"/>
    <w:rsid w:val="00E77221"/>
    <w:rsid w:val="00E7752C"/>
    <w:rsid w:val="00E7757F"/>
    <w:rsid w:val="00E77753"/>
    <w:rsid w:val="00E77B3D"/>
    <w:rsid w:val="00E77C79"/>
    <w:rsid w:val="00E77E78"/>
    <w:rsid w:val="00E77F8E"/>
    <w:rsid w:val="00E80189"/>
    <w:rsid w:val="00E801B0"/>
    <w:rsid w:val="00E80579"/>
    <w:rsid w:val="00E8062B"/>
    <w:rsid w:val="00E8066C"/>
    <w:rsid w:val="00E8081C"/>
    <w:rsid w:val="00E80C0A"/>
    <w:rsid w:val="00E80D65"/>
    <w:rsid w:val="00E81019"/>
    <w:rsid w:val="00E812B8"/>
    <w:rsid w:val="00E816AB"/>
    <w:rsid w:val="00E81A87"/>
    <w:rsid w:val="00E81BE5"/>
    <w:rsid w:val="00E81C2A"/>
    <w:rsid w:val="00E81EDD"/>
    <w:rsid w:val="00E82033"/>
    <w:rsid w:val="00E821EF"/>
    <w:rsid w:val="00E82420"/>
    <w:rsid w:val="00E82C34"/>
    <w:rsid w:val="00E82CD7"/>
    <w:rsid w:val="00E82DB0"/>
    <w:rsid w:val="00E83257"/>
    <w:rsid w:val="00E832FD"/>
    <w:rsid w:val="00E834C2"/>
    <w:rsid w:val="00E836BF"/>
    <w:rsid w:val="00E83948"/>
    <w:rsid w:val="00E83A40"/>
    <w:rsid w:val="00E83BFB"/>
    <w:rsid w:val="00E83CF9"/>
    <w:rsid w:val="00E83D43"/>
    <w:rsid w:val="00E83DE1"/>
    <w:rsid w:val="00E84515"/>
    <w:rsid w:val="00E8471E"/>
    <w:rsid w:val="00E847BA"/>
    <w:rsid w:val="00E849F1"/>
    <w:rsid w:val="00E84BE3"/>
    <w:rsid w:val="00E84C72"/>
    <w:rsid w:val="00E84D76"/>
    <w:rsid w:val="00E84E7A"/>
    <w:rsid w:val="00E853C0"/>
    <w:rsid w:val="00E8558A"/>
    <w:rsid w:val="00E857AD"/>
    <w:rsid w:val="00E85AB8"/>
    <w:rsid w:val="00E85B48"/>
    <w:rsid w:val="00E85C9E"/>
    <w:rsid w:val="00E85CC7"/>
    <w:rsid w:val="00E85D75"/>
    <w:rsid w:val="00E86090"/>
    <w:rsid w:val="00E86501"/>
    <w:rsid w:val="00E86518"/>
    <w:rsid w:val="00E8666D"/>
    <w:rsid w:val="00E86976"/>
    <w:rsid w:val="00E86A4B"/>
    <w:rsid w:val="00E86BEE"/>
    <w:rsid w:val="00E86C4B"/>
    <w:rsid w:val="00E86EA5"/>
    <w:rsid w:val="00E871FF"/>
    <w:rsid w:val="00E874ED"/>
    <w:rsid w:val="00E87843"/>
    <w:rsid w:val="00E87873"/>
    <w:rsid w:val="00E8790C"/>
    <w:rsid w:val="00E907FE"/>
    <w:rsid w:val="00E90803"/>
    <w:rsid w:val="00E9085A"/>
    <w:rsid w:val="00E90892"/>
    <w:rsid w:val="00E90934"/>
    <w:rsid w:val="00E90AE9"/>
    <w:rsid w:val="00E91445"/>
    <w:rsid w:val="00E91573"/>
    <w:rsid w:val="00E91B78"/>
    <w:rsid w:val="00E91CBF"/>
    <w:rsid w:val="00E91FE4"/>
    <w:rsid w:val="00E92011"/>
    <w:rsid w:val="00E921FD"/>
    <w:rsid w:val="00E92260"/>
    <w:rsid w:val="00E92704"/>
    <w:rsid w:val="00E927C6"/>
    <w:rsid w:val="00E92974"/>
    <w:rsid w:val="00E92C9E"/>
    <w:rsid w:val="00E92CC3"/>
    <w:rsid w:val="00E92D42"/>
    <w:rsid w:val="00E92E0F"/>
    <w:rsid w:val="00E92E58"/>
    <w:rsid w:val="00E92E6C"/>
    <w:rsid w:val="00E92F30"/>
    <w:rsid w:val="00E92F98"/>
    <w:rsid w:val="00E9331D"/>
    <w:rsid w:val="00E933A3"/>
    <w:rsid w:val="00E9350B"/>
    <w:rsid w:val="00E936E8"/>
    <w:rsid w:val="00E938E4"/>
    <w:rsid w:val="00E93997"/>
    <w:rsid w:val="00E93B73"/>
    <w:rsid w:val="00E94049"/>
    <w:rsid w:val="00E94159"/>
    <w:rsid w:val="00E943A9"/>
    <w:rsid w:val="00E9464E"/>
    <w:rsid w:val="00E946A8"/>
    <w:rsid w:val="00E947F9"/>
    <w:rsid w:val="00E948CB"/>
    <w:rsid w:val="00E94A85"/>
    <w:rsid w:val="00E94B78"/>
    <w:rsid w:val="00E95003"/>
    <w:rsid w:val="00E951E3"/>
    <w:rsid w:val="00E95322"/>
    <w:rsid w:val="00E95490"/>
    <w:rsid w:val="00E95776"/>
    <w:rsid w:val="00E958A5"/>
    <w:rsid w:val="00E95921"/>
    <w:rsid w:val="00E9599B"/>
    <w:rsid w:val="00E95B45"/>
    <w:rsid w:val="00E95CDD"/>
    <w:rsid w:val="00E95D33"/>
    <w:rsid w:val="00E95F08"/>
    <w:rsid w:val="00E960F4"/>
    <w:rsid w:val="00E963E9"/>
    <w:rsid w:val="00E9660B"/>
    <w:rsid w:val="00E968C1"/>
    <w:rsid w:val="00E96AA4"/>
    <w:rsid w:val="00E96B5C"/>
    <w:rsid w:val="00E96DF2"/>
    <w:rsid w:val="00E971CE"/>
    <w:rsid w:val="00E971F6"/>
    <w:rsid w:val="00E973A6"/>
    <w:rsid w:val="00E9760D"/>
    <w:rsid w:val="00E9762E"/>
    <w:rsid w:val="00E97710"/>
    <w:rsid w:val="00E977C9"/>
    <w:rsid w:val="00E9792F"/>
    <w:rsid w:val="00E97B4D"/>
    <w:rsid w:val="00E97BAD"/>
    <w:rsid w:val="00E97CC5"/>
    <w:rsid w:val="00E97DA9"/>
    <w:rsid w:val="00EA05AC"/>
    <w:rsid w:val="00EA0B58"/>
    <w:rsid w:val="00EA0CB1"/>
    <w:rsid w:val="00EA0CBA"/>
    <w:rsid w:val="00EA0E54"/>
    <w:rsid w:val="00EA0ECD"/>
    <w:rsid w:val="00EA1154"/>
    <w:rsid w:val="00EA129B"/>
    <w:rsid w:val="00EA152C"/>
    <w:rsid w:val="00EA1769"/>
    <w:rsid w:val="00EA1CF0"/>
    <w:rsid w:val="00EA1F21"/>
    <w:rsid w:val="00EA1FA8"/>
    <w:rsid w:val="00EA2138"/>
    <w:rsid w:val="00EA214A"/>
    <w:rsid w:val="00EA293B"/>
    <w:rsid w:val="00EA2A34"/>
    <w:rsid w:val="00EA2B94"/>
    <w:rsid w:val="00EA2D71"/>
    <w:rsid w:val="00EA2E61"/>
    <w:rsid w:val="00EA2F92"/>
    <w:rsid w:val="00EA3078"/>
    <w:rsid w:val="00EA3488"/>
    <w:rsid w:val="00EA354A"/>
    <w:rsid w:val="00EA3671"/>
    <w:rsid w:val="00EA3793"/>
    <w:rsid w:val="00EA3A3A"/>
    <w:rsid w:val="00EA3B07"/>
    <w:rsid w:val="00EA3C64"/>
    <w:rsid w:val="00EA4240"/>
    <w:rsid w:val="00EA4996"/>
    <w:rsid w:val="00EA4AF1"/>
    <w:rsid w:val="00EA4B36"/>
    <w:rsid w:val="00EA4BBB"/>
    <w:rsid w:val="00EA4E1E"/>
    <w:rsid w:val="00EA4F8C"/>
    <w:rsid w:val="00EA4F9F"/>
    <w:rsid w:val="00EA4FBE"/>
    <w:rsid w:val="00EA5035"/>
    <w:rsid w:val="00EA518C"/>
    <w:rsid w:val="00EA5519"/>
    <w:rsid w:val="00EA56F3"/>
    <w:rsid w:val="00EA5710"/>
    <w:rsid w:val="00EA615A"/>
    <w:rsid w:val="00EA6166"/>
    <w:rsid w:val="00EA62FF"/>
    <w:rsid w:val="00EA65C8"/>
    <w:rsid w:val="00EA67E9"/>
    <w:rsid w:val="00EA69EF"/>
    <w:rsid w:val="00EA6E28"/>
    <w:rsid w:val="00EA7085"/>
    <w:rsid w:val="00EA73B4"/>
    <w:rsid w:val="00EA77EC"/>
    <w:rsid w:val="00EA7BEC"/>
    <w:rsid w:val="00EB070B"/>
    <w:rsid w:val="00EB0724"/>
    <w:rsid w:val="00EB08E7"/>
    <w:rsid w:val="00EB0A2F"/>
    <w:rsid w:val="00EB0DEA"/>
    <w:rsid w:val="00EB0E0C"/>
    <w:rsid w:val="00EB0ECA"/>
    <w:rsid w:val="00EB0F2F"/>
    <w:rsid w:val="00EB157F"/>
    <w:rsid w:val="00EB16B7"/>
    <w:rsid w:val="00EB17B2"/>
    <w:rsid w:val="00EB1891"/>
    <w:rsid w:val="00EB1A1A"/>
    <w:rsid w:val="00EB1CD9"/>
    <w:rsid w:val="00EB1F3D"/>
    <w:rsid w:val="00EB1F63"/>
    <w:rsid w:val="00EB217C"/>
    <w:rsid w:val="00EB2474"/>
    <w:rsid w:val="00EB27BC"/>
    <w:rsid w:val="00EB2B8D"/>
    <w:rsid w:val="00EB2C8E"/>
    <w:rsid w:val="00EB2D8B"/>
    <w:rsid w:val="00EB2DB8"/>
    <w:rsid w:val="00EB2FC1"/>
    <w:rsid w:val="00EB329A"/>
    <w:rsid w:val="00EB35F2"/>
    <w:rsid w:val="00EB3841"/>
    <w:rsid w:val="00EB3B44"/>
    <w:rsid w:val="00EB3C96"/>
    <w:rsid w:val="00EB3D70"/>
    <w:rsid w:val="00EB434E"/>
    <w:rsid w:val="00EB440C"/>
    <w:rsid w:val="00EB45C3"/>
    <w:rsid w:val="00EB4649"/>
    <w:rsid w:val="00EB4707"/>
    <w:rsid w:val="00EB49E6"/>
    <w:rsid w:val="00EB4A14"/>
    <w:rsid w:val="00EB4C60"/>
    <w:rsid w:val="00EB5045"/>
    <w:rsid w:val="00EB50DD"/>
    <w:rsid w:val="00EB51AE"/>
    <w:rsid w:val="00EB5226"/>
    <w:rsid w:val="00EB5A2D"/>
    <w:rsid w:val="00EB5ABB"/>
    <w:rsid w:val="00EB5B2C"/>
    <w:rsid w:val="00EB5CFF"/>
    <w:rsid w:val="00EB5E3F"/>
    <w:rsid w:val="00EB5EA8"/>
    <w:rsid w:val="00EB5F06"/>
    <w:rsid w:val="00EB5F40"/>
    <w:rsid w:val="00EB5FD5"/>
    <w:rsid w:val="00EB6179"/>
    <w:rsid w:val="00EB63FD"/>
    <w:rsid w:val="00EB65C5"/>
    <w:rsid w:val="00EB6793"/>
    <w:rsid w:val="00EB698B"/>
    <w:rsid w:val="00EB6A32"/>
    <w:rsid w:val="00EB6B1A"/>
    <w:rsid w:val="00EB6D82"/>
    <w:rsid w:val="00EB6E57"/>
    <w:rsid w:val="00EB7128"/>
    <w:rsid w:val="00EB7459"/>
    <w:rsid w:val="00EB74B8"/>
    <w:rsid w:val="00EB7A34"/>
    <w:rsid w:val="00EB7E2F"/>
    <w:rsid w:val="00EB7E8D"/>
    <w:rsid w:val="00EB7E9E"/>
    <w:rsid w:val="00EC0010"/>
    <w:rsid w:val="00EC00D2"/>
    <w:rsid w:val="00EC0112"/>
    <w:rsid w:val="00EC0468"/>
    <w:rsid w:val="00EC047B"/>
    <w:rsid w:val="00EC077F"/>
    <w:rsid w:val="00EC07A7"/>
    <w:rsid w:val="00EC07DA"/>
    <w:rsid w:val="00EC0970"/>
    <w:rsid w:val="00EC0B15"/>
    <w:rsid w:val="00EC0B77"/>
    <w:rsid w:val="00EC0DD6"/>
    <w:rsid w:val="00EC11D6"/>
    <w:rsid w:val="00EC1B25"/>
    <w:rsid w:val="00EC1B99"/>
    <w:rsid w:val="00EC1C19"/>
    <w:rsid w:val="00EC1C8C"/>
    <w:rsid w:val="00EC1C92"/>
    <w:rsid w:val="00EC1D28"/>
    <w:rsid w:val="00EC1D91"/>
    <w:rsid w:val="00EC20A8"/>
    <w:rsid w:val="00EC2786"/>
    <w:rsid w:val="00EC2948"/>
    <w:rsid w:val="00EC2C34"/>
    <w:rsid w:val="00EC2E43"/>
    <w:rsid w:val="00EC2E49"/>
    <w:rsid w:val="00EC2F18"/>
    <w:rsid w:val="00EC30AC"/>
    <w:rsid w:val="00EC33A0"/>
    <w:rsid w:val="00EC350C"/>
    <w:rsid w:val="00EC370B"/>
    <w:rsid w:val="00EC3E7A"/>
    <w:rsid w:val="00EC4177"/>
    <w:rsid w:val="00EC422D"/>
    <w:rsid w:val="00EC42AC"/>
    <w:rsid w:val="00EC44B2"/>
    <w:rsid w:val="00EC4543"/>
    <w:rsid w:val="00EC4836"/>
    <w:rsid w:val="00EC4AC4"/>
    <w:rsid w:val="00EC4AC8"/>
    <w:rsid w:val="00EC4D33"/>
    <w:rsid w:val="00EC4E6F"/>
    <w:rsid w:val="00EC4E79"/>
    <w:rsid w:val="00EC5088"/>
    <w:rsid w:val="00EC5306"/>
    <w:rsid w:val="00EC5477"/>
    <w:rsid w:val="00EC5812"/>
    <w:rsid w:val="00EC59CC"/>
    <w:rsid w:val="00EC5CAD"/>
    <w:rsid w:val="00EC5CAF"/>
    <w:rsid w:val="00EC5E39"/>
    <w:rsid w:val="00EC60D3"/>
    <w:rsid w:val="00EC6154"/>
    <w:rsid w:val="00EC619A"/>
    <w:rsid w:val="00EC62F1"/>
    <w:rsid w:val="00EC638A"/>
    <w:rsid w:val="00EC63EE"/>
    <w:rsid w:val="00EC6497"/>
    <w:rsid w:val="00EC6803"/>
    <w:rsid w:val="00EC69F1"/>
    <w:rsid w:val="00EC6C1C"/>
    <w:rsid w:val="00EC6D6B"/>
    <w:rsid w:val="00EC75A8"/>
    <w:rsid w:val="00EC76F1"/>
    <w:rsid w:val="00EC79EE"/>
    <w:rsid w:val="00EC7C05"/>
    <w:rsid w:val="00EC7D26"/>
    <w:rsid w:val="00EC7D28"/>
    <w:rsid w:val="00EC7D49"/>
    <w:rsid w:val="00ED009A"/>
    <w:rsid w:val="00ED015E"/>
    <w:rsid w:val="00ED0270"/>
    <w:rsid w:val="00ED04F2"/>
    <w:rsid w:val="00ED0576"/>
    <w:rsid w:val="00ED0770"/>
    <w:rsid w:val="00ED07FB"/>
    <w:rsid w:val="00ED0B45"/>
    <w:rsid w:val="00ED10CC"/>
    <w:rsid w:val="00ED10D2"/>
    <w:rsid w:val="00ED11FA"/>
    <w:rsid w:val="00ED127F"/>
    <w:rsid w:val="00ED131B"/>
    <w:rsid w:val="00ED1324"/>
    <w:rsid w:val="00ED15E3"/>
    <w:rsid w:val="00ED1658"/>
    <w:rsid w:val="00ED185F"/>
    <w:rsid w:val="00ED18FC"/>
    <w:rsid w:val="00ED1EAC"/>
    <w:rsid w:val="00ED1EC4"/>
    <w:rsid w:val="00ED1EE8"/>
    <w:rsid w:val="00ED20E1"/>
    <w:rsid w:val="00ED2310"/>
    <w:rsid w:val="00ED26E0"/>
    <w:rsid w:val="00ED303B"/>
    <w:rsid w:val="00ED3123"/>
    <w:rsid w:val="00ED3205"/>
    <w:rsid w:val="00ED3407"/>
    <w:rsid w:val="00ED3730"/>
    <w:rsid w:val="00ED374C"/>
    <w:rsid w:val="00ED3800"/>
    <w:rsid w:val="00ED3CCD"/>
    <w:rsid w:val="00ED3D79"/>
    <w:rsid w:val="00ED3DA0"/>
    <w:rsid w:val="00ED3E85"/>
    <w:rsid w:val="00ED4217"/>
    <w:rsid w:val="00ED47E4"/>
    <w:rsid w:val="00ED4BD9"/>
    <w:rsid w:val="00ED526F"/>
    <w:rsid w:val="00ED53A4"/>
    <w:rsid w:val="00ED54B8"/>
    <w:rsid w:val="00ED5B9A"/>
    <w:rsid w:val="00ED5CC1"/>
    <w:rsid w:val="00ED5E0F"/>
    <w:rsid w:val="00ED5E38"/>
    <w:rsid w:val="00ED5E8F"/>
    <w:rsid w:val="00ED6558"/>
    <w:rsid w:val="00ED67F1"/>
    <w:rsid w:val="00ED6894"/>
    <w:rsid w:val="00ED69E3"/>
    <w:rsid w:val="00ED6A70"/>
    <w:rsid w:val="00ED6BBA"/>
    <w:rsid w:val="00ED79BB"/>
    <w:rsid w:val="00ED7BA4"/>
    <w:rsid w:val="00ED7D87"/>
    <w:rsid w:val="00ED7FE9"/>
    <w:rsid w:val="00EE0068"/>
    <w:rsid w:val="00EE031D"/>
    <w:rsid w:val="00EE0471"/>
    <w:rsid w:val="00EE0947"/>
    <w:rsid w:val="00EE0960"/>
    <w:rsid w:val="00EE0A3F"/>
    <w:rsid w:val="00EE0DD6"/>
    <w:rsid w:val="00EE0E4A"/>
    <w:rsid w:val="00EE1618"/>
    <w:rsid w:val="00EE17CD"/>
    <w:rsid w:val="00EE1865"/>
    <w:rsid w:val="00EE1A8C"/>
    <w:rsid w:val="00EE1A91"/>
    <w:rsid w:val="00EE1D4F"/>
    <w:rsid w:val="00EE1E47"/>
    <w:rsid w:val="00EE1F2E"/>
    <w:rsid w:val="00EE1FC2"/>
    <w:rsid w:val="00EE2017"/>
    <w:rsid w:val="00EE22AD"/>
    <w:rsid w:val="00EE2703"/>
    <w:rsid w:val="00EE2925"/>
    <w:rsid w:val="00EE29E5"/>
    <w:rsid w:val="00EE2E18"/>
    <w:rsid w:val="00EE314F"/>
    <w:rsid w:val="00EE31CE"/>
    <w:rsid w:val="00EE3291"/>
    <w:rsid w:val="00EE33EF"/>
    <w:rsid w:val="00EE3B4C"/>
    <w:rsid w:val="00EE3C45"/>
    <w:rsid w:val="00EE3DF3"/>
    <w:rsid w:val="00EE3E22"/>
    <w:rsid w:val="00EE4137"/>
    <w:rsid w:val="00EE4490"/>
    <w:rsid w:val="00EE4558"/>
    <w:rsid w:val="00EE4B9A"/>
    <w:rsid w:val="00EE4CF8"/>
    <w:rsid w:val="00EE4D90"/>
    <w:rsid w:val="00EE4EEF"/>
    <w:rsid w:val="00EE4FE6"/>
    <w:rsid w:val="00EE521B"/>
    <w:rsid w:val="00EE5379"/>
    <w:rsid w:val="00EE559A"/>
    <w:rsid w:val="00EE5683"/>
    <w:rsid w:val="00EE58C9"/>
    <w:rsid w:val="00EE5AD1"/>
    <w:rsid w:val="00EE5B22"/>
    <w:rsid w:val="00EE5CA1"/>
    <w:rsid w:val="00EE5E53"/>
    <w:rsid w:val="00EE5ECA"/>
    <w:rsid w:val="00EE643D"/>
    <w:rsid w:val="00EE67AA"/>
    <w:rsid w:val="00EE6832"/>
    <w:rsid w:val="00EE6A13"/>
    <w:rsid w:val="00EE6B72"/>
    <w:rsid w:val="00EE6B9B"/>
    <w:rsid w:val="00EE6C01"/>
    <w:rsid w:val="00EE6DAD"/>
    <w:rsid w:val="00EE6DF5"/>
    <w:rsid w:val="00EE6E85"/>
    <w:rsid w:val="00EE73CB"/>
    <w:rsid w:val="00EE758B"/>
    <w:rsid w:val="00EE76E9"/>
    <w:rsid w:val="00EF0036"/>
    <w:rsid w:val="00EF02C2"/>
    <w:rsid w:val="00EF0393"/>
    <w:rsid w:val="00EF03B8"/>
    <w:rsid w:val="00EF04C9"/>
    <w:rsid w:val="00EF0E2D"/>
    <w:rsid w:val="00EF0E90"/>
    <w:rsid w:val="00EF1755"/>
    <w:rsid w:val="00EF176E"/>
    <w:rsid w:val="00EF1979"/>
    <w:rsid w:val="00EF1AE8"/>
    <w:rsid w:val="00EF1EA3"/>
    <w:rsid w:val="00EF2058"/>
    <w:rsid w:val="00EF2063"/>
    <w:rsid w:val="00EF20A4"/>
    <w:rsid w:val="00EF246A"/>
    <w:rsid w:val="00EF261D"/>
    <w:rsid w:val="00EF284D"/>
    <w:rsid w:val="00EF290F"/>
    <w:rsid w:val="00EF2A46"/>
    <w:rsid w:val="00EF2CAB"/>
    <w:rsid w:val="00EF2E41"/>
    <w:rsid w:val="00EF329C"/>
    <w:rsid w:val="00EF3303"/>
    <w:rsid w:val="00EF331F"/>
    <w:rsid w:val="00EF364D"/>
    <w:rsid w:val="00EF397F"/>
    <w:rsid w:val="00EF3A8C"/>
    <w:rsid w:val="00EF3B73"/>
    <w:rsid w:val="00EF3D58"/>
    <w:rsid w:val="00EF3E60"/>
    <w:rsid w:val="00EF3EFF"/>
    <w:rsid w:val="00EF44C3"/>
    <w:rsid w:val="00EF464B"/>
    <w:rsid w:val="00EF48A3"/>
    <w:rsid w:val="00EF4BBE"/>
    <w:rsid w:val="00EF53A4"/>
    <w:rsid w:val="00EF55A1"/>
    <w:rsid w:val="00EF597D"/>
    <w:rsid w:val="00EF5D5D"/>
    <w:rsid w:val="00EF5D8F"/>
    <w:rsid w:val="00EF60B3"/>
    <w:rsid w:val="00EF6193"/>
    <w:rsid w:val="00EF63C6"/>
    <w:rsid w:val="00EF63D2"/>
    <w:rsid w:val="00EF6411"/>
    <w:rsid w:val="00EF657A"/>
    <w:rsid w:val="00EF6A30"/>
    <w:rsid w:val="00EF6B67"/>
    <w:rsid w:val="00EF6B76"/>
    <w:rsid w:val="00EF6D48"/>
    <w:rsid w:val="00EF6F52"/>
    <w:rsid w:val="00EF7063"/>
    <w:rsid w:val="00EF7084"/>
    <w:rsid w:val="00EF70F2"/>
    <w:rsid w:val="00EF71D7"/>
    <w:rsid w:val="00EF71E4"/>
    <w:rsid w:val="00EF72E4"/>
    <w:rsid w:val="00EF73D0"/>
    <w:rsid w:val="00EF74E4"/>
    <w:rsid w:val="00EF7509"/>
    <w:rsid w:val="00EF7920"/>
    <w:rsid w:val="00EF7AE9"/>
    <w:rsid w:val="00EF7CEC"/>
    <w:rsid w:val="00EF7E20"/>
    <w:rsid w:val="00F00251"/>
    <w:rsid w:val="00F002C9"/>
    <w:rsid w:val="00F00314"/>
    <w:rsid w:val="00F00784"/>
    <w:rsid w:val="00F0085E"/>
    <w:rsid w:val="00F0090D"/>
    <w:rsid w:val="00F00BAE"/>
    <w:rsid w:val="00F00C1E"/>
    <w:rsid w:val="00F00E94"/>
    <w:rsid w:val="00F00F58"/>
    <w:rsid w:val="00F00FD5"/>
    <w:rsid w:val="00F01150"/>
    <w:rsid w:val="00F01172"/>
    <w:rsid w:val="00F012B6"/>
    <w:rsid w:val="00F013AF"/>
    <w:rsid w:val="00F013CC"/>
    <w:rsid w:val="00F01726"/>
    <w:rsid w:val="00F01C59"/>
    <w:rsid w:val="00F02562"/>
    <w:rsid w:val="00F029CF"/>
    <w:rsid w:val="00F02DD6"/>
    <w:rsid w:val="00F02E36"/>
    <w:rsid w:val="00F02F0E"/>
    <w:rsid w:val="00F0305E"/>
    <w:rsid w:val="00F0325A"/>
    <w:rsid w:val="00F034CD"/>
    <w:rsid w:val="00F0372C"/>
    <w:rsid w:val="00F03774"/>
    <w:rsid w:val="00F03B39"/>
    <w:rsid w:val="00F03E92"/>
    <w:rsid w:val="00F04052"/>
    <w:rsid w:val="00F0405C"/>
    <w:rsid w:val="00F0409B"/>
    <w:rsid w:val="00F041DC"/>
    <w:rsid w:val="00F04740"/>
    <w:rsid w:val="00F04963"/>
    <w:rsid w:val="00F04A4F"/>
    <w:rsid w:val="00F04C97"/>
    <w:rsid w:val="00F04CD8"/>
    <w:rsid w:val="00F04DAA"/>
    <w:rsid w:val="00F04FED"/>
    <w:rsid w:val="00F0515E"/>
    <w:rsid w:val="00F0565D"/>
    <w:rsid w:val="00F059F5"/>
    <w:rsid w:val="00F05C5B"/>
    <w:rsid w:val="00F05E3A"/>
    <w:rsid w:val="00F05F59"/>
    <w:rsid w:val="00F061C4"/>
    <w:rsid w:val="00F062C4"/>
    <w:rsid w:val="00F06673"/>
    <w:rsid w:val="00F068FB"/>
    <w:rsid w:val="00F06961"/>
    <w:rsid w:val="00F06C24"/>
    <w:rsid w:val="00F06F55"/>
    <w:rsid w:val="00F070BA"/>
    <w:rsid w:val="00F072DF"/>
    <w:rsid w:val="00F07508"/>
    <w:rsid w:val="00F077DB"/>
    <w:rsid w:val="00F079C0"/>
    <w:rsid w:val="00F07DD6"/>
    <w:rsid w:val="00F1029C"/>
    <w:rsid w:val="00F102BD"/>
    <w:rsid w:val="00F10409"/>
    <w:rsid w:val="00F10551"/>
    <w:rsid w:val="00F1066F"/>
    <w:rsid w:val="00F10D1A"/>
    <w:rsid w:val="00F10D63"/>
    <w:rsid w:val="00F10D76"/>
    <w:rsid w:val="00F10E8A"/>
    <w:rsid w:val="00F1149E"/>
    <w:rsid w:val="00F11651"/>
    <w:rsid w:val="00F11717"/>
    <w:rsid w:val="00F11826"/>
    <w:rsid w:val="00F1199A"/>
    <w:rsid w:val="00F11A72"/>
    <w:rsid w:val="00F11BEC"/>
    <w:rsid w:val="00F11CA6"/>
    <w:rsid w:val="00F12423"/>
    <w:rsid w:val="00F124CA"/>
    <w:rsid w:val="00F12843"/>
    <w:rsid w:val="00F128AB"/>
    <w:rsid w:val="00F129CE"/>
    <w:rsid w:val="00F12A70"/>
    <w:rsid w:val="00F12B07"/>
    <w:rsid w:val="00F12B13"/>
    <w:rsid w:val="00F12C6D"/>
    <w:rsid w:val="00F12DC7"/>
    <w:rsid w:val="00F13692"/>
    <w:rsid w:val="00F1373F"/>
    <w:rsid w:val="00F138AE"/>
    <w:rsid w:val="00F13C54"/>
    <w:rsid w:val="00F13ECC"/>
    <w:rsid w:val="00F14025"/>
    <w:rsid w:val="00F1415F"/>
    <w:rsid w:val="00F14201"/>
    <w:rsid w:val="00F1424E"/>
    <w:rsid w:val="00F14EB5"/>
    <w:rsid w:val="00F14F87"/>
    <w:rsid w:val="00F15010"/>
    <w:rsid w:val="00F1508C"/>
    <w:rsid w:val="00F153F3"/>
    <w:rsid w:val="00F15589"/>
    <w:rsid w:val="00F1578E"/>
    <w:rsid w:val="00F159A5"/>
    <w:rsid w:val="00F15CC4"/>
    <w:rsid w:val="00F15D50"/>
    <w:rsid w:val="00F15D88"/>
    <w:rsid w:val="00F15F08"/>
    <w:rsid w:val="00F16085"/>
    <w:rsid w:val="00F16247"/>
    <w:rsid w:val="00F165EE"/>
    <w:rsid w:val="00F16726"/>
    <w:rsid w:val="00F16A53"/>
    <w:rsid w:val="00F16BB0"/>
    <w:rsid w:val="00F16BC3"/>
    <w:rsid w:val="00F16D67"/>
    <w:rsid w:val="00F16EE4"/>
    <w:rsid w:val="00F17240"/>
    <w:rsid w:val="00F1725D"/>
    <w:rsid w:val="00F1749C"/>
    <w:rsid w:val="00F17A57"/>
    <w:rsid w:val="00F17AC6"/>
    <w:rsid w:val="00F17B02"/>
    <w:rsid w:val="00F17C67"/>
    <w:rsid w:val="00F17C7D"/>
    <w:rsid w:val="00F2018B"/>
    <w:rsid w:val="00F20455"/>
    <w:rsid w:val="00F2073F"/>
    <w:rsid w:val="00F20763"/>
    <w:rsid w:val="00F20B06"/>
    <w:rsid w:val="00F20C79"/>
    <w:rsid w:val="00F20D90"/>
    <w:rsid w:val="00F21433"/>
    <w:rsid w:val="00F21DF1"/>
    <w:rsid w:val="00F21E61"/>
    <w:rsid w:val="00F21F3F"/>
    <w:rsid w:val="00F21FA1"/>
    <w:rsid w:val="00F220B4"/>
    <w:rsid w:val="00F22166"/>
    <w:rsid w:val="00F227C8"/>
    <w:rsid w:val="00F22A4F"/>
    <w:rsid w:val="00F22AAB"/>
    <w:rsid w:val="00F22D20"/>
    <w:rsid w:val="00F22E22"/>
    <w:rsid w:val="00F22EC3"/>
    <w:rsid w:val="00F22F99"/>
    <w:rsid w:val="00F23110"/>
    <w:rsid w:val="00F23249"/>
    <w:rsid w:val="00F2325D"/>
    <w:rsid w:val="00F2338B"/>
    <w:rsid w:val="00F233F6"/>
    <w:rsid w:val="00F23432"/>
    <w:rsid w:val="00F2383B"/>
    <w:rsid w:val="00F2384C"/>
    <w:rsid w:val="00F239DA"/>
    <w:rsid w:val="00F23A55"/>
    <w:rsid w:val="00F23CB7"/>
    <w:rsid w:val="00F23F4D"/>
    <w:rsid w:val="00F23F82"/>
    <w:rsid w:val="00F2413F"/>
    <w:rsid w:val="00F24182"/>
    <w:rsid w:val="00F2432B"/>
    <w:rsid w:val="00F244DB"/>
    <w:rsid w:val="00F24870"/>
    <w:rsid w:val="00F248FC"/>
    <w:rsid w:val="00F24C22"/>
    <w:rsid w:val="00F250C6"/>
    <w:rsid w:val="00F250EC"/>
    <w:rsid w:val="00F25151"/>
    <w:rsid w:val="00F25181"/>
    <w:rsid w:val="00F252BD"/>
    <w:rsid w:val="00F25353"/>
    <w:rsid w:val="00F25520"/>
    <w:rsid w:val="00F25564"/>
    <w:rsid w:val="00F25650"/>
    <w:rsid w:val="00F257B5"/>
    <w:rsid w:val="00F2594B"/>
    <w:rsid w:val="00F259BC"/>
    <w:rsid w:val="00F25ADA"/>
    <w:rsid w:val="00F25B19"/>
    <w:rsid w:val="00F25ECB"/>
    <w:rsid w:val="00F25FF9"/>
    <w:rsid w:val="00F26066"/>
    <w:rsid w:val="00F260C5"/>
    <w:rsid w:val="00F2616E"/>
    <w:rsid w:val="00F26329"/>
    <w:rsid w:val="00F2641B"/>
    <w:rsid w:val="00F265FA"/>
    <w:rsid w:val="00F269C5"/>
    <w:rsid w:val="00F269D2"/>
    <w:rsid w:val="00F26A75"/>
    <w:rsid w:val="00F26C98"/>
    <w:rsid w:val="00F26D0C"/>
    <w:rsid w:val="00F27081"/>
    <w:rsid w:val="00F2720E"/>
    <w:rsid w:val="00F27415"/>
    <w:rsid w:val="00F274ED"/>
    <w:rsid w:val="00F2776D"/>
    <w:rsid w:val="00F27D3C"/>
    <w:rsid w:val="00F27E26"/>
    <w:rsid w:val="00F305DD"/>
    <w:rsid w:val="00F30A46"/>
    <w:rsid w:val="00F30C75"/>
    <w:rsid w:val="00F3109C"/>
    <w:rsid w:val="00F312B5"/>
    <w:rsid w:val="00F312F3"/>
    <w:rsid w:val="00F313C6"/>
    <w:rsid w:val="00F3163C"/>
    <w:rsid w:val="00F316E2"/>
    <w:rsid w:val="00F31778"/>
    <w:rsid w:val="00F31826"/>
    <w:rsid w:val="00F31D1F"/>
    <w:rsid w:val="00F31F53"/>
    <w:rsid w:val="00F31F79"/>
    <w:rsid w:val="00F32026"/>
    <w:rsid w:val="00F3202B"/>
    <w:rsid w:val="00F32345"/>
    <w:rsid w:val="00F3247E"/>
    <w:rsid w:val="00F3257B"/>
    <w:rsid w:val="00F325E3"/>
    <w:rsid w:val="00F32618"/>
    <w:rsid w:val="00F3278A"/>
    <w:rsid w:val="00F3291C"/>
    <w:rsid w:val="00F32925"/>
    <w:rsid w:val="00F32A27"/>
    <w:rsid w:val="00F32AA4"/>
    <w:rsid w:val="00F32E3D"/>
    <w:rsid w:val="00F32EDE"/>
    <w:rsid w:val="00F32F9E"/>
    <w:rsid w:val="00F32FD4"/>
    <w:rsid w:val="00F33023"/>
    <w:rsid w:val="00F331DA"/>
    <w:rsid w:val="00F3323C"/>
    <w:rsid w:val="00F33261"/>
    <w:rsid w:val="00F33339"/>
    <w:rsid w:val="00F33354"/>
    <w:rsid w:val="00F3356B"/>
    <w:rsid w:val="00F336CD"/>
    <w:rsid w:val="00F3371B"/>
    <w:rsid w:val="00F33852"/>
    <w:rsid w:val="00F33A10"/>
    <w:rsid w:val="00F33A37"/>
    <w:rsid w:val="00F33AD1"/>
    <w:rsid w:val="00F33CC5"/>
    <w:rsid w:val="00F33DED"/>
    <w:rsid w:val="00F340BD"/>
    <w:rsid w:val="00F340D0"/>
    <w:rsid w:val="00F341AB"/>
    <w:rsid w:val="00F34281"/>
    <w:rsid w:val="00F34287"/>
    <w:rsid w:val="00F3449B"/>
    <w:rsid w:val="00F346E6"/>
    <w:rsid w:val="00F34A42"/>
    <w:rsid w:val="00F34C00"/>
    <w:rsid w:val="00F34C3D"/>
    <w:rsid w:val="00F351A2"/>
    <w:rsid w:val="00F354D4"/>
    <w:rsid w:val="00F358EE"/>
    <w:rsid w:val="00F3594B"/>
    <w:rsid w:val="00F3647E"/>
    <w:rsid w:val="00F36938"/>
    <w:rsid w:val="00F36B02"/>
    <w:rsid w:val="00F36FC3"/>
    <w:rsid w:val="00F36FEA"/>
    <w:rsid w:val="00F37390"/>
    <w:rsid w:val="00F37731"/>
    <w:rsid w:val="00F37BDF"/>
    <w:rsid w:val="00F37C16"/>
    <w:rsid w:val="00F40085"/>
    <w:rsid w:val="00F400AB"/>
    <w:rsid w:val="00F40118"/>
    <w:rsid w:val="00F401C0"/>
    <w:rsid w:val="00F401F3"/>
    <w:rsid w:val="00F40215"/>
    <w:rsid w:val="00F4046F"/>
    <w:rsid w:val="00F4066D"/>
    <w:rsid w:val="00F40864"/>
    <w:rsid w:val="00F40AB0"/>
    <w:rsid w:val="00F40EBD"/>
    <w:rsid w:val="00F4105D"/>
    <w:rsid w:val="00F413D8"/>
    <w:rsid w:val="00F42032"/>
    <w:rsid w:val="00F421DF"/>
    <w:rsid w:val="00F4286C"/>
    <w:rsid w:val="00F42971"/>
    <w:rsid w:val="00F42C2D"/>
    <w:rsid w:val="00F42CF8"/>
    <w:rsid w:val="00F432FB"/>
    <w:rsid w:val="00F4336E"/>
    <w:rsid w:val="00F43552"/>
    <w:rsid w:val="00F439D7"/>
    <w:rsid w:val="00F43AAF"/>
    <w:rsid w:val="00F43ACB"/>
    <w:rsid w:val="00F43D96"/>
    <w:rsid w:val="00F44041"/>
    <w:rsid w:val="00F44136"/>
    <w:rsid w:val="00F444BC"/>
    <w:rsid w:val="00F444C7"/>
    <w:rsid w:val="00F44895"/>
    <w:rsid w:val="00F44DA0"/>
    <w:rsid w:val="00F45179"/>
    <w:rsid w:val="00F45384"/>
    <w:rsid w:val="00F45413"/>
    <w:rsid w:val="00F456E1"/>
    <w:rsid w:val="00F457CD"/>
    <w:rsid w:val="00F45984"/>
    <w:rsid w:val="00F45CD6"/>
    <w:rsid w:val="00F45DFD"/>
    <w:rsid w:val="00F45F77"/>
    <w:rsid w:val="00F45FDF"/>
    <w:rsid w:val="00F4621A"/>
    <w:rsid w:val="00F466BE"/>
    <w:rsid w:val="00F469A2"/>
    <w:rsid w:val="00F46B89"/>
    <w:rsid w:val="00F46E3E"/>
    <w:rsid w:val="00F46E7B"/>
    <w:rsid w:val="00F47189"/>
    <w:rsid w:val="00F47208"/>
    <w:rsid w:val="00F4737A"/>
    <w:rsid w:val="00F47694"/>
    <w:rsid w:val="00F47E86"/>
    <w:rsid w:val="00F47F63"/>
    <w:rsid w:val="00F47FF1"/>
    <w:rsid w:val="00F500F5"/>
    <w:rsid w:val="00F50475"/>
    <w:rsid w:val="00F50585"/>
    <w:rsid w:val="00F508EE"/>
    <w:rsid w:val="00F50BC0"/>
    <w:rsid w:val="00F50F9B"/>
    <w:rsid w:val="00F511A1"/>
    <w:rsid w:val="00F516E3"/>
    <w:rsid w:val="00F517C8"/>
    <w:rsid w:val="00F519C0"/>
    <w:rsid w:val="00F51BDD"/>
    <w:rsid w:val="00F51C6A"/>
    <w:rsid w:val="00F51F8B"/>
    <w:rsid w:val="00F51FEE"/>
    <w:rsid w:val="00F52423"/>
    <w:rsid w:val="00F52E67"/>
    <w:rsid w:val="00F5309A"/>
    <w:rsid w:val="00F5331D"/>
    <w:rsid w:val="00F533C1"/>
    <w:rsid w:val="00F53529"/>
    <w:rsid w:val="00F53545"/>
    <w:rsid w:val="00F5355B"/>
    <w:rsid w:val="00F53695"/>
    <w:rsid w:val="00F536A3"/>
    <w:rsid w:val="00F53715"/>
    <w:rsid w:val="00F537BF"/>
    <w:rsid w:val="00F53895"/>
    <w:rsid w:val="00F53BF5"/>
    <w:rsid w:val="00F53CA4"/>
    <w:rsid w:val="00F53D5A"/>
    <w:rsid w:val="00F53F3D"/>
    <w:rsid w:val="00F5413C"/>
    <w:rsid w:val="00F54256"/>
    <w:rsid w:val="00F544A4"/>
    <w:rsid w:val="00F546F4"/>
    <w:rsid w:val="00F5472D"/>
    <w:rsid w:val="00F5473B"/>
    <w:rsid w:val="00F54819"/>
    <w:rsid w:val="00F54832"/>
    <w:rsid w:val="00F54F39"/>
    <w:rsid w:val="00F54FE5"/>
    <w:rsid w:val="00F55029"/>
    <w:rsid w:val="00F55113"/>
    <w:rsid w:val="00F5528C"/>
    <w:rsid w:val="00F55C2B"/>
    <w:rsid w:val="00F55CCD"/>
    <w:rsid w:val="00F55F08"/>
    <w:rsid w:val="00F55FE0"/>
    <w:rsid w:val="00F56093"/>
    <w:rsid w:val="00F56B89"/>
    <w:rsid w:val="00F56E17"/>
    <w:rsid w:val="00F56F29"/>
    <w:rsid w:val="00F56F83"/>
    <w:rsid w:val="00F57374"/>
    <w:rsid w:val="00F57472"/>
    <w:rsid w:val="00F5747B"/>
    <w:rsid w:val="00F57885"/>
    <w:rsid w:val="00F57899"/>
    <w:rsid w:val="00F578EE"/>
    <w:rsid w:val="00F5797F"/>
    <w:rsid w:val="00F57B36"/>
    <w:rsid w:val="00F57B50"/>
    <w:rsid w:val="00F57C8B"/>
    <w:rsid w:val="00F57ECF"/>
    <w:rsid w:val="00F600AA"/>
    <w:rsid w:val="00F607FA"/>
    <w:rsid w:val="00F60A14"/>
    <w:rsid w:val="00F612A4"/>
    <w:rsid w:val="00F61529"/>
    <w:rsid w:val="00F61560"/>
    <w:rsid w:val="00F6156E"/>
    <w:rsid w:val="00F6172E"/>
    <w:rsid w:val="00F617C6"/>
    <w:rsid w:val="00F61FA9"/>
    <w:rsid w:val="00F6217D"/>
    <w:rsid w:val="00F6242A"/>
    <w:rsid w:val="00F6242D"/>
    <w:rsid w:val="00F624CB"/>
    <w:rsid w:val="00F62D20"/>
    <w:rsid w:val="00F63386"/>
    <w:rsid w:val="00F63B41"/>
    <w:rsid w:val="00F64683"/>
    <w:rsid w:val="00F6495C"/>
    <w:rsid w:val="00F64B03"/>
    <w:rsid w:val="00F64B04"/>
    <w:rsid w:val="00F65344"/>
    <w:rsid w:val="00F654E3"/>
    <w:rsid w:val="00F658B9"/>
    <w:rsid w:val="00F6607B"/>
    <w:rsid w:val="00F660BF"/>
    <w:rsid w:val="00F66144"/>
    <w:rsid w:val="00F6617A"/>
    <w:rsid w:val="00F66560"/>
    <w:rsid w:val="00F667B8"/>
    <w:rsid w:val="00F668E6"/>
    <w:rsid w:val="00F66FD8"/>
    <w:rsid w:val="00F6713F"/>
    <w:rsid w:val="00F67185"/>
    <w:rsid w:val="00F678BF"/>
    <w:rsid w:val="00F701A5"/>
    <w:rsid w:val="00F702D7"/>
    <w:rsid w:val="00F7032F"/>
    <w:rsid w:val="00F7052E"/>
    <w:rsid w:val="00F7065C"/>
    <w:rsid w:val="00F70D5C"/>
    <w:rsid w:val="00F70E3E"/>
    <w:rsid w:val="00F70FE2"/>
    <w:rsid w:val="00F71553"/>
    <w:rsid w:val="00F715DC"/>
    <w:rsid w:val="00F715F8"/>
    <w:rsid w:val="00F71A0B"/>
    <w:rsid w:val="00F71C2E"/>
    <w:rsid w:val="00F71CFF"/>
    <w:rsid w:val="00F72149"/>
    <w:rsid w:val="00F72320"/>
    <w:rsid w:val="00F728AD"/>
    <w:rsid w:val="00F72E2E"/>
    <w:rsid w:val="00F731BB"/>
    <w:rsid w:val="00F731C3"/>
    <w:rsid w:val="00F73765"/>
    <w:rsid w:val="00F737E0"/>
    <w:rsid w:val="00F73A60"/>
    <w:rsid w:val="00F73AA9"/>
    <w:rsid w:val="00F73D21"/>
    <w:rsid w:val="00F73D67"/>
    <w:rsid w:val="00F73D7F"/>
    <w:rsid w:val="00F73EE9"/>
    <w:rsid w:val="00F7435C"/>
    <w:rsid w:val="00F74607"/>
    <w:rsid w:val="00F7469B"/>
    <w:rsid w:val="00F7471C"/>
    <w:rsid w:val="00F7478D"/>
    <w:rsid w:val="00F747CA"/>
    <w:rsid w:val="00F749C1"/>
    <w:rsid w:val="00F749EF"/>
    <w:rsid w:val="00F74B51"/>
    <w:rsid w:val="00F74BE3"/>
    <w:rsid w:val="00F74CE7"/>
    <w:rsid w:val="00F7515E"/>
    <w:rsid w:val="00F751FA"/>
    <w:rsid w:val="00F752FC"/>
    <w:rsid w:val="00F75423"/>
    <w:rsid w:val="00F7544A"/>
    <w:rsid w:val="00F758F8"/>
    <w:rsid w:val="00F75A73"/>
    <w:rsid w:val="00F75B66"/>
    <w:rsid w:val="00F75E6B"/>
    <w:rsid w:val="00F75EDE"/>
    <w:rsid w:val="00F76016"/>
    <w:rsid w:val="00F76087"/>
    <w:rsid w:val="00F761EC"/>
    <w:rsid w:val="00F76233"/>
    <w:rsid w:val="00F76397"/>
    <w:rsid w:val="00F766BF"/>
    <w:rsid w:val="00F767AA"/>
    <w:rsid w:val="00F76936"/>
    <w:rsid w:val="00F76DD9"/>
    <w:rsid w:val="00F77392"/>
    <w:rsid w:val="00F77850"/>
    <w:rsid w:val="00F779AB"/>
    <w:rsid w:val="00F77A1C"/>
    <w:rsid w:val="00F77CA4"/>
    <w:rsid w:val="00F77D79"/>
    <w:rsid w:val="00F77DD5"/>
    <w:rsid w:val="00F77E4A"/>
    <w:rsid w:val="00F80025"/>
    <w:rsid w:val="00F804C7"/>
    <w:rsid w:val="00F805C8"/>
    <w:rsid w:val="00F805EC"/>
    <w:rsid w:val="00F8061C"/>
    <w:rsid w:val="00F80D24"/>
    <w:rsid w:val="00F80DA9"/>
    <w:rsid w:val="00F80E09"/>
    <w:rsid w:val="00F811BE"/>
    <w:rsid w:val="00F811E2"/>
    <w:rsid w:val="00F81362"/>
    <w:rsid w:val="00F813B7"/>
    <w:rsid w:val="00F814C6"/>
    <w:rsid w:val="00F81547"/>
    <w:rsid w:val="00F81D29"/>
    <w:rsid w:val="00F81D7A"/>
    <w:rsid w:val="00F81E5D"/>
    <w:rsid w:val="00F8200F"/>
    <w:rsid w:val="00F8265B"/>
    <w:rsid w:val="00F82700"/>
    <w:rsid w:val="00F8291E"/>
    <w:rsid w:val="00F82CA6"/>
    <w:rsid w:val="00F82D78"/>
    <w:rsid w:val="00F82EF8"/>
    <w:rsid w:val="00F838A5"/>
    <w:rsid w:val="00F838E7"/>
    <w:rsid w:val="00F83C3B"/>
    <w:rsid w:val="00F84260"/>
    <w:rsid w:val="00F84299"/>
    <w:rsid w:val="00F843EB"/>
    <w:rsid w:val="00F84883"/>
    <w:rsid w:val="00F84A5B"/>
    <w:rsid w:val="00F84B14"/>
    <w:rsid w:val="00F84C70"/>
    <w:rsid w:val="00F84D6C"/>
    <w:rsid w:val="00F8532D"/>
    <w:rsid w:val="00F854EE"/>
    <w:rsid w:val="00F858F7"/>
    <w:rsid w:val="00F85F16"/>
    <w:rsid w:val="00F85F29"/>
    <w:rsid w:val="00F85F3C"/>
    <w:rsid w:val="00F85F9E"/>
    <w:rsid w:val="00F86488"/>
    <w:rsid w:val="00F86985"/>
    <w:rsid w:val="00F86BA7"/>
    <w:rsid w:val="00F86BC9"/>
    <w:rsid w:val="00F86D84"/>
    <w:rsid w:val="00F86EA0"/>
    <w:rsid w:val="00F87039"/>
    <w:rsid w:val="00F87098"/>
    <w:rsid w:val="00F87144"/>
    <w:rsid w:val="00F875A2"/>
    <w:rsid w:val="00F8761B"/>
    <w:rsid w:val="00F87655"/>
    <w:rsid w:val="00F8798E"/>
    <w:rsid w:val="00F879DF"/>
    <w:rsid w:val="00F87FAA"/>
    <w:rsid w:val="00F902FB"/>
    <w:rsid w:val="00F90368"/>
    <w:rsid w:val="00F9083C"/>
    <w:rsid w:val="00F908DA"/>
    <w:rsid w:val="00F90915"/>
    <w:rsid w:val="00F90936"/>
    <w:rsid w:val="00F909A4"/>
    <w:rsid w:val="00F911A6"/>
    <w:rsid w:val="00F91217"/>
    <w:rsid w:val="00F91331"/>
    <w:rsid w:val="00F91353"/>
    <w:rsid w:val="00F91532"/>
    <w:rsid w:val="00F9279F"/>
    <w:rsid w:val="00F92E7B"/>
    <w:rsid w:val="00F92EB2"/>
    <w:rsid w:val="00F9327A"/>
    <w:rsid w:val="00F933D6"/>
    <w:rsid w:val="00F933E5"/>
    <w:rsid w:val="00F936D7"/>
    <w:rsid w:val="00F93772"/>
    <w:rsid w:val="00F9426B"/>
    <w:rsid w:val="00F94673"/>
    <w:rsid w:val="00F94A86"/>
    <w:rsid w:val="00F94A87"/>
    <w:rsid w:val="00F94E05"/>
    <w:rsid w:val="00F94EE1"/>
    <w:rsid w:val="00F94F0E"/>
    <w:rsid w:val="00F9516A"/>
    <w:rsid w:val="00F95290"/>
    <w:rsid w:val="00F9562B"/>
    <w:rsid w:val="00F95969"/>
    <w:rsid w:val="00F95998"/>
    <w:rsid w:val="00F959D1"/>
    <w:rsid w:val="00F95B00"/>
    <w:rsid w:val="00F95CDD"/>
    <w:rsid w:val="00F95E33"/>
    <w:rsid w:val="00F9669F"/>
    <w:rsid w:val="00F967A9"/>
    <w:rsid w:val="00F9684A"/>
    <w:rsid w:val="00F96A87"/>
    <w:rsid w:val="00F96B63"/>
    <w:rsid w:val="00F96D18"/>
    <w:rsid w:val="00F970AC"/>
    <w:rsid w:val="00F970C7"/>
    <w:rsid w:val="00F97211"/>
    <w:rsid w:val="00F97278"/>
    <w:rsid w:val="00F97629"/>
    <w:rsid w:val="00F9768E"/>
    <w:rsid w:val="00F97B96"/>
    <w:rsid w:val="00F97E3C"/>
    <w:rsid w:val="00FA00EA"/>
    <w:rsid w:val="00FA016C"/>
    <w:rsid w:val="00FA045F"/>
    <w:rsid w:val="00FA04E8"/>
    <w:rsid w:val="00FA0559"/>
    <w:rsid w:val="00FA057D"/>
    <w:rsid w:val="00FA05C8"/>
    <w:rsid w:val="00FA0613"/>
    <w:rsid w:val="00FA0825"/>
    <w:rsid w:val="00FA0877"/>
    <w:rsid w:val="00FA08AD"/>
    <w:rsid w:val="00FA0A51"/>
    <w:rsid w:val="00FA0B07"/>
    <w:rsid w:val="00FA0B24"/>
    <w:rsid w:val="00FA0D0B"/>
    <w:rsid w:val="00FA0EB8"/>
    <w:rsid w:val="00FA0ED4"/>
    <w:rsid w:val="00FA1181"/>
    <w:rsid w:val="00FA13B5"/>
    <w:rsid w:val="00FA150E"/>
    <w:rsid w:val="00FA1755"/>
    <w:rsid w:val="00FA1862"/>
    <w:rsid w:val="00FA1A68"/>
    <w:rsid w:val="00FA1AD6"/>
    <w:rsid w:val="00FA1BB4"/>
    <w:rsid w:val="00FA1D20"/>
    <w:rsid w:val="00FA2633"/>
    <w:rsid w:val="00FA29BF"/>
    <w:rsid w:val="00FA2CE5"/>
    <w:rsid w:val="00FA2E38"/>
    <w:rsid w:val="00FA2F27"/>
    <w:rsid w:val="00FA2F57"/>
    <w:rsid w:val="00FA3070"/>
    <w:rsid w:val="00FA30B0"/>
    <w:rsid w:val="00FA34A2"/>
    <w:rsid w:val="00FA35D9"/>
    <w:rsid w:val="00FA391C"/>
    <w:rsid w:val="00FA3972"/>
    <w:rsid w:val="00FA3D48"/>
    <w:rsid w:val="00FA3F4D"/>
    <w:rsid w:val="00FA4150"/>
    <w:rsid w:val="00FA42BB"/>
    <w:rsid w:val="00FA4E74"/>
    <w:rsid w:val="00FA53AD"/>
    <w:rsid w:val="00FA5766"/>
    <w:rsid w:val="00FA5C78"/>
    <w:rsid w:val="00FA649A"/>
    <w:rsid w:val="00FA6950"/>
    <w:rsid w:val="00FA6DDB"/>
    <w:rsid w:val="00FA7058"/>
    <w:rsid w:val="00FA7127"/>
    <w:rsid w:val="00FA71AD"/>
    <w:rsid w:val="00FA72CB"/>
    <w:rsid w:val="00FA7CFE"/>
    <w:rsid w:val="00FA7D7D"/>
    <w:rsid w:val="00FA7F75"/>
    <w:rsid w:val="00FB02CD"/>
    <w:rsid w:val="00FB042F"/>
    <w:rsid w:val="00FB087C"/>
    <w:rsid w:val="00FB0B42"/>
    <w:rsid w:val="00FB0BFF"/>
    <w:rsid w:val="00FB143D"/>
    <w:rsid w:val="00FB1458"/>
    <w:rsid w:val="00FB16B9"/>
    <w:rsid w:val="00FB17AE"/>
    <w:rsid w:val="00FB1A70"/>
    <w:rsid w:val="00FB1AD7"/>
    <w:rsid w:val="00FB1D0A"/>
    <w:rsid w:val="00FB1F17"/>
    <w:rsid w:val="00FB2023"/>
    <w:rsid w:val="00FB255E"/>
    <w:rsid w:val="00FB2586"/>
    <w:rsid w:val="00FB288C"/>
    <w:rsid w:val="00FB2A23"/>
    <w:rsid w:val="00FB3131"/>
    <w:rsid w:val="00FB31FF"/>
    <w:rsid w:val="00FB33F1"/>
    <w:rsid w:val="00FB3473"/>
    <w:rsid w:val="00FB3DEC"/>
    <w:rsid w:val="00FB408D"/>
    <w:rsid w:val="00FB4196"/>
    <w:rsid w:val="00FB42E0"/>
    <w:rsid w:val="00FB457C"/>
    <w:rsid w:val="00FB46DD"/>
    <w:rsid w:val="00FB4AE7"/>
    <w:rsid w:val="00FB4B43"/>
    <w:rsid w:val="00FB4D24"/>
    <w:rsid w:val="00FB4E6A"/>
    <w:rsid w:val="00FB52E2"/>
    <w:rsid w:val="00FB5677"/>
    <w:rsid w:val="00FB581D"/>
    <w:rsid w:val="00FB5939"/>
    <w:rsid w:val="00FB5A3D"/>
    <w:rsid w:val="00FB5B69"/>
    <w:rsid w:val="00FB5BB6"/>
    <w:rsid w:val="00FB5CE3"/>
    <w:rsid w:val="00FB5D15"/>
    <w:rsid w:val="00FB5D87"/>
    <w:rsid w:val="00FB620D"/>
    <w:rsid w:val="00FB633B"/>
    <w:rsid w:val="00FB64D6"/>
    <w:rsid w:val="00FB6791"/>
    <w:rsid w:val="00FB6C65"/>
    <w:rsid w:val="00FB6F4A"/>
    <w:rsid w:val="00FB6F67"/>
    <w:rsid w:val="00FB70F8"/>
    <w:rsid w:val="00FB730C"/>
    <w:rsid w:val="00FB736D"/>
    <w:rsid w:val="00FB7710"/>
    <w:rsid w:val="00FB771C"/>
    <w:rsid w:val="00FB7810"/>
    <w:rsid w:val="00FB793F"/>
    <w:rsid w:val="00FB7CC8"/>
    <w:rsid w:val="00FC004F"/>
    <w:rsid w:val="00FC0513"/>
    <w:rsid w:val="00FC082D"/>
    <w:rsid w:val="00FC0AB6"/>
    <w:rsid w:val="00FC0AD7"/>
    <w:rsid w:val="00FC0BAF"/>
    <w:rsid w:val="00FC0CDE"/>
    <w:rsid w:val="00FC10DE"/>
    <w:rsid w:val="00FC1255"/>
    <w:rsid w:val="00FC12EC"/>
    <w:rsid w:val="00FC135A"/>
    <w:rsid w:val="00FC1872"/>
    <w:rsid w:val="00FC1914"/>
    <w:rsid w:val="00FC1BA9"/>
    <w:rsid w:val="00FC1C6A"/>
    <w:rsid w:val="00FC1FB6"/>
    <w:rsid w:val="00FC231C"/>
    <w:rsid w:val="00FC23CD"/>
    <w:rsid w:val="00FC24C7"/>
    <w:rsid w:val="00FC25BE"/>
    <w:rsid w:val="00FC28B5"/>
    <w:rsid w:val="00FC29D2"/>
    <w:rsid w:val="00FC2D16"/>
    <w:rsid w:val="00FC2D5F"/>
    <w:rsid w:val="00FC2DAB"/>
    <w:rsid w:val="00FC2E19"/>
    <w:rsid w:val="00FC2FA1"/>
    <w:rsid w:val="00FC307B"/>
    <w:rsid w:val="00FC31A7"/>
    <w:rsid w:val="00FC330B"/>
    <w:rsid w:val="00FC3690"/>
    <w:rsid w:val="00FC3BE7"/>
    <w:rsid w:val="00FC3D4F"/>
    <w:rsid w:val="00FC3D51"/>
    <w:rsid w:val="00FC3DE1"/>
    <w:rsid w:val="00FC4266"/>
    <w:rsid w:val="00FC4384"/>
    <w:rsid w:val="00FC448D"/>
    <w:rsid w:val="00FC4686"/>
    <w:rsid w:val="00FC49D4"/>
    <w:rsid w:val="00FC4B91"/>
    <w:rsid w:val="00FC4D95"/>
    <w:rsid w:val="00FC541E"/>
    <w:rsid w:val="00FC54BC"/>
    <w:rsid w:val="00FC5603"/>
    <w:rsid w:val="00FC568A"/>
    <w:rsid w:val="00FC594F"/>
    <w:rsid w:val="00FC5A29"/>
    <w:rsid w:val="00FC6245"/>
    <w:rsid w:val="00FC6398"/>
    <w:rsid w:val="00FC63CD"/>
    <w:rsid w:val="00FC65C8"/>
    <w:rsid w:val="00FC6A71"/>
    <w:rsid w:val="00FC6D1A"/>
    <w:rsid w:val="00FC6EF1"/>
    <w:rsid w:val="00FC7058"/>
    <w:rsid w:val="00FC7449"/>
    <w:rsid w:val="00FC765C"/>
    <w:rsid w:val="00FC7A73"/>
    <w:rsid w:val="00FC7DEF"/>
    <w:rsid w:val="00FC7E0A"/>
    <w:rsid w:val="00FC7F2A"/>
    <w:rsid w:val="00FD04A0"/>
    <w:rsid w:val="00FD0B28"/>
    <w:rsid w:val="00FD0BD7"/>
    <w:rsid w:val="00FD0BF6"/>
    <w:rsid w:val="00FD0D99"/>
    <w:rsid w:val="00FD1047"/>
    <w:rsid w:val="00FD1089"/>
    <w:rsid w:val="00FD10B4"/>
    <w:rsid w:val="00FD1187"/>
    <w:rsid w:val="00FD145C"/>
    <w:rsid w:val="00FD17BA"/>
    <w:rsid w:val="00FD1D98"/>
    <w:rsid w:val="00FD1F53"/>
    <w:rsid w:val="00FD2063"/>
    <w:rsid w:val="00FD20E6"/>
    <w:rsid w:val="00FD2199"/>
    <w:rsid w:val="00FD28C5"/>
    <w:rsid w:val="00FD2972"/>
    <w:rsid w:val="00FD2B4E"/>
    <w:rsid w:val="00FD2C68"/>
    <w:rsid w:val="00FD2C9D"/>
    <w:rsid w:val="00FD2F00"/>
    <w:rsid w:val="00FD2F72"/>
    <w:rsid w:val="00FD2F74"/>
    <w:rsid w:val="00FD2FA2"/>
    <w:rsid w:val="00FD3020"/>
    <w:rsid w:val="00FD31E6"/>
    <w:rsid w:val="00FD358F"/>
    <w:rsid w:val="00FD36BB"/>
    <w:rsid w:val="00FD377A"/>
    <w:rsid w:val="00FD37B7"/>
    <w:rsid w:val="00FD3B94"/>
    <w:rsid w:val="00FD3BB8"/>
    <w:rsid w:val="00FD3E2E"/>
    <w:rsid w:val="00FD3E9A"/>
    <w:rsid w:val="00FD40DD"/>
    <w:rsid w:val="00FD422A"/>
    <w:rsid w:val="00FD43B3"/>
    <w:rsid w:val="00FD4808"/>
    <w:rsid w:val="00FD4A63"/>
    <w:rsid w:val="00FD4A95"/>
    <w:rsid w:val="00FD4AFA"/>
    <w:rsid w:val="00FD4D58"/>
    <w:rsid w:val="00FD58AA"/>
    <w:rsid w:val="00FD5B62"/>
    <w:rsid w:val="00FD5E39"/>
    <w:rsid w:val="00FD5FEE"/>
    <w:rsid w:val="00FD6295"/>
    <w:rsid w:val="00FD6EE9"/>
    <w:rsid w:val="00FD733E"/>
    <w:rsid w:val="00FD75E2"/>
    <w:rsid w:val="00FD762B"/>
    <w:rsid w:val="00FD7ADC"/>
    <w:rsid w:val="00FD7C41"/>
    <w:rsid w:val="00FD7C87"/>
    <w:rsid w:val="00FD7D58"/>
    <w:rsid w:val="00FD7DC0"/>
    <w:rsid w:val="00FD7DD5"/>
    <w:rsid w:val="00FD7ECC"/>
    <w:rsid w:val="00FD7EFA"/>
    <w:rsid w:val="00FD7F2E"/>
    <w:rsid w:val="00FE02B3"/>
    <w:rsid w:val="00FE02C6"/>
    <w:rsid w:val="00FE04CA"/>
    <w:rsid w:val="00FE05C9"/>
    <w:rsid w:val="00FE072F"/>
    <w:rsid w:val="00FE097E"/>
    <w:rsid w:val="00FE0C8B"/>
    <w:rsid w:val="00FE0DE4"/>
    <w:rsid w:val="00FE1118"/>
    <w:rsid w:val="00FE1131"/>
    <w:rsid w:val="00FE122F"/>
    <w:rsid w:val="00FE13CB"/>
    <w:rsid w:val="00FE1782"/>
    <w:rsid w:val="00FE186A"/>
    <w:rsid w:val="00FE1A50"/>
    <w:rsid w:val="00FE1A65"/>
    <w:rsid w:val="00FE1AC8"/>
    <w:rsid w:val="00FE1C54"/>
    <w:rsid w:val="00FE1E6A"/>
    <w:rsid w:val="00FE1E78"/>
    <w:rsid w:val="00FE1FB9"/>
    <w:rsid w:val="00FE2130"/>
    <w:rsid w:val="00FE2344"/>
    <w:rsid w:val="00FE24DC"/>
    <w:rsid w:val="00FE26FA"/>
    <w:rsid w:val="00FE279F"/>
    <w:rsid w:val="00FE2C66"/>
    <w:rsid w:val="00FE2FB9"/>
    <w:rsid w:val="00FE31BF"/>
    <w:rsid w:val="00FE35E6"/>
    <w:rsid w:val="00FE3600"/>
    <w:rsid w:val="00FE38AB"/>
    <w:rsid w:val="00FE39F4"/>
    <w:rsid w:val="00FE3D39"/>
    <w:rsid w:val="00FE3E92"/>
    <w:rsid w:val="00FE3E99"/>
    <w:rsid w:val="00FE40C0"/>
    <w:rsid w:val="00FE40E5"/>
    <w:rsid w:val="00FE45C9"/>
    <w:rsid w:val="00FE46A9"/>
    <w:rsid w:val="00FE4739"/>
    <w:rsid w:val="00FE4839"/>
    <w:rsid w:val="00FE48C2"/>
    <w:rsid w:val="00FE49B9"/>
    <w:rsid w:val="00FE49D7"/>
    <w:rsid w:val="00FE4AE3"/>
    <w:rsid w:val="00FE4B07"/>
    <w:rsid w:val="00FE4DB2"/>
    <w:rsid w:val="00FE4EF7"/>
    <w:rsid w:val="00FE5314"/>
    <w:rsid w:val="00FE5352"/>
    <w:rsid w:val="00FE5439"/>
    <w:rsid w:val="00FE5559"/>
    <w:rsid w:val="00FE561E"/>
    <w:rsid w:val="00FE57F8"/>
    <w:rsid w:val="00FE581B"/>
    <w:rsid w:val="00FE5FA6"/>
    <w:rsid w:val="00FE60D1"/>
    <w:rsid w:val="00FE67A2"/>
    <w:rsid w:val="00FE681D"/>
    <w:rsid w:val="00FE69DF"/>
    <w:rsid w:val="00FE6A55"/>
    <w:rsid w:val="00FE6A93"/>
    <w:rsid w:val="00FE6D19"/>
    <w:rsid w:val="00FE6E5B"/>
    <w:rsid w:val="00FE6E99"/>
    <w:rsid w:val="00FE7008"/>
    <w:rsid w:val="00FE720A"/>
    <w:rsid w:val="00FE74DF"/>
    <w:rsid w:val="00FE7635"/>
    <w:rsid w:val="00FE7739"/>
    <w:rsid w:val="00FE7E92"/>
    <w:rsid w:val="00FF03F0"/>
    <w:rsid w:val="00FF0AD0"/>
    <w:rsid w:val="00FF0BE5"/>
    <w:rsid w:val="00FF0DBD"/>
    <w:rsid w:val="00FF0E59"/>
    <w:rsid w:val="00FF12BE"/>
    <w:rsid w:val="00FF1477"/>
    <w:rsid w:val="00FF17F9"/>
    <w:rsid w:val="00FF182D"/>
    <w:rsid w:val="00FF18D6"/>
    <w:rsid w:val="00FF1AAD"/>
    <w:rsid w:val="00FF1C3D"/>
    <w:rsid w:val="00FF2059"/>
    <w:rsid w:val="00FF2100"/>
    <w:rsid w:val="00FF21D7"/>
    <w:rsid w:val="00FF24CB"/>
    <w:rsid w:val="00FF25B2"/>
    <w:rsid w:val="00FF2623"/>
    <w:rsid w:val="00FF2637"/>
    <w:rsid w:val="00FF26EE"/>
    <w:rsid w:val="00FF2AF7"/>
    <w:rsid w:val="00FF2F0A"/>
    <w:rsid w:val="00FF3096"/>
    <w:rsid w:val="00FF30E4"/>
    <w:rsid w:val="00FF3122"/>
    <w:rsid w:val="00FF3218"/>
    <w:rsid w:val="00FF326E"/>
    <w:rsid w:val="00FF33A7"/>
    <w:rsid w:val="00FF340D"/>
    <w:rsid w:val="00FF370E"/>
    <w:rsid w:val="00FF39D9"/>
    <w:rsid w:val="00FF3A07"/>
    <w:rsid w:val="00FF3B59"/>
    <w:rsid w:val="00FF3D4F"/>
    <w:rsid w:val="00FF3F4E"/>
    <w:rsid w:val="00FF3FEA"/>
    <w:rsid w:val="00FF41BC"/>
    <w:rsid w:val="00FF421C"/>
    <w:rsid w:val="00FF44FD"/>
    <w:rsid w:val="00FF46EF"/>
    <w:rsid w:val="00FF482F"/>
    <w:rsid w:val="00FF4AF0"/>
    <w:rsid w:val="00FF4C68"/>
    <w:rsid w:val="00FF4F6E"/>
    <w:rsid w:val="00FF51B6"/>
    <w:rsid w:val="00FF52C0"/>
    <w:rsid w:val="00FF55E4"/>
    <w:rsid w:val="00FF573D"/>
    <w:rsid w:val="00FF5748"/>
    <w:rsid w:val="00FF57FF"/>
    <w:rsid w:val="00FF5A72"/>
    <w:rsid w:val="00FF5AC6"/>
    <w:rsid w:val="00FF5BC3"/>
    <w:rsid w:val="00FF5D48"/>
    <w:rsid w:val="00FF5D81"/>
    <w:rsid w:val="00FF5F91"/>
    <w:rsid w:val="00FF606D"/>
    <w:rsid w:val="00FF623A"/>
    <w:rsid w:val="00FF624D"/>
    <w:rsid w:val="00FF6939"/>
    <w:rsid w:val="00FF6AE2"/>
    <w:rsid w:val="00FF6C04"/>
    <w:rsid w:val="00FF6F7A"/>
    <w:rsid w:val="00FF717C"/>
    <w:rsid w:val="00FF72C3"/>
    <w:rsid w:val="00FF74F0"/>
    <w:rsid w:val="00FF75F1"/>
    <w:rsid w:val="00FF7640"/>
    <w:rsid w:val="00FF790D"/>
    <w:rsid w:val="00FF7C41"/>
    <w:rsid w:val="00FF7D4D"/>
    <w:rsid w:val="00FF7FD5"/>
    <w:rsid w:val="01AB97BB"/>
    <w:rsid w:val="01B0D867"/>
    <w:rsid w:val="025CC270"/>
    <w:rsid w:val="027C6484"/>
    <w:rsid w:val="028E181E"/>
    <w:rsid w:val="030C8F8A"/>
    <w:rsid w:val="03565222"/>
    <w:rsid w:val="04139640"/>
    <w:rsid w:val="0420BD48"/>
    <w:rsid w:val="046063F6"/>
    <w:rsid w:val="054ED4CB"/>
    <w:rsid w:val="063B5D1A"/>
    <w:rsid w:val="0670B222"/>
    <w:rsid w:val="06A72AA4"/>
    <w:rsid w:val="0740CC5A"/>
    <w:rsid w:val="07B431C9"/>
    <w:rsid w:val="083DC58E"/>
    <w:rsid w:val="099A720C"/>
    <w:rsid w:val="099B6E2B"/>
    <w:rsid w:val="0A52598B"/>
    <w:rsid w:val="0A673CDD"/>
    <w:rsid w:val="0AA25CBB"/>
    <w:rsid w:val="0AEBBBD8"/>
    <w:rsid w:val="0AEFAF53"/>
    <w:rsid w:val="0B056EE2"/>
    <w:rsid w:val="0C4E845F"/>
    <w:rsid w:val="0C7EEFC6"/>
    <w:rsid w:val="0CE1BB1D"/>
    <w:rsid w:val="0D48480A"/>
    <w:rsid w:val="0DFB7066"/>
    <w:rsid w:val="0E11170A"/>
    <w:rsid w:val="0E17DBE1"/>
    <w:rsid w:val="0E285B43"/>
    <w:rsid w:val="0F1D9DA6"/>
    <w:rsid w:val="0F37D333"/>
    <w:rsid w:val="0F5EAF7B"/>
    <w:rsid w:val="10065C2F"/>
    <w:rsid w:val="1088F7DC"/>
    <w:rsid w:val="10A884C0"/>
    <w:rsid w:val="10C0E7D1"/>
    <w:rsid w:val="11DF335B"/>
    <w:rsid w:val="12C68AB8"/>
    <w:rsid w:val="1330459F"/>
    <w:rsid w:val="139A971B"/>
    <w:rsid w:val="140F46F8"/>
    <w:rsid w:val="142C0CDD"/>
    <w:rsid w:val="14520233"/>
    <w:rsid w:val="14BD7091"/>
    <w:rsid w:val="15444854"/>
    <w:rsid w:val="15A99687"/>
    <w:rsid w:val="162C7393"/>
    <w:rsid w:val="169485E1"/>
    <w:rsid w:val="16C65CD7"/>
    <w:rsid w:val="16E3C648"/>
    <w:rsid w:val="17BBCCAE"/>
    <w:rsid w:val="17FC01BF"/>
    <w:rsid w:val="18A5D9F5"/>
    <w:rsid w:val="18AD8C48"/>
    <w:rsid w:val="18C0CDA3"/>
    <w:rsid w:val="18C7D071"/>
    <w:rsid w:val="1905C0C2"/>
    <w:rsid w:val="1949FA3B"/>
    <w:rsid w:val="19D5D8A3"/>
    <w:rsid w:val="19EE1E01"/>
    <w:rsid w:val="1AAB45F5"/>
    <w:rsid w:val="1B24EF21"/>
    <w:rsid w:val="1B49A7F6"/>
    <w:rsid w:val="1C1705F9"/>
    <w:rsid w:val="1C25370E"/>
    <w:rsid w:val="1C7304CE"/>
    <w:rsid w:val="1C7A700C"/>
    <w:rsid w:val="1C906511"/>
    <w:rsid w:val="1DD3D2D2"/>
    <w:rsid w:val="1E104C20"/>
    <w:rsid w:val="1E74C460"/>
    <w:rsid w:val="1FAC6065"/>
    <w:rsid w:val="202BF1CA"/>
    <w:rsid w:val="20E2EF38"/>
    <w:rsid w:val="211631B4"/>
    <w:rsid w:val="21747A57"/>
    <w:rsid w:val="217F1A1A"/>
    <w:rsid w:val="2305E865"/>
    <w:rsid w:val="257C10B4"/>
    <w:rsid w:val="25AED877"/>
    <w:rsid w:val="25FC3F42"/>
    <w:rsid w:val="26B242AA"/>
    <w:rsid w:val="26DCA46F"/>
    <w:rsid w:val="27B50E9D"/>
    <w:rsid w:val="28589B01"/>
    <w:rsid w:val="295B036A"/>
    <w:rsid w:val="297DD13A"/>
    <w:rsid w:val="29CC2788"/>
    <w:rsid w:val="2A07BF18"/>
    <w:rsid w:val="2A1EC0AA"/>
    <w:rsid w:val="2A1EE457"/>
    <w:rsid w:val="2A39E54B"/>
    <w:rsid w:val="2A479D16"/>
    <w:rsid w:val="2A7718A0"/>
    <w:rsid w:val="2AA0F3D3"/>
    <w:rsid w:val="2AC16B27"/>
    <w:rsid w:val="2B01876B"/>
    <w:rsid w:val="2BBF81F8"/>
    <w:rsid w:val="2CEFEA2C"/>
    <w:rsid w:val="2D6EAF23"/>
    <w:rsid w:val="2E0810A2"/>
    <w:rsid w:val="2E37CC9E"/>
    <w:rsid w:val="2E4AE969"/>
    <w:rsid w:val="2F80F1F0"/>
    <w:rsid w:val="2F9F97CC"/>
    <w:rsid w:val="2FA09A66"/>
    <w:rsid w:val="2FE7862B"/>
    <w:rsid w:val="302BE244"/>
    <w:rsid w:val="30E66DA7"/>
    <w:rsid w:val="310F5950"/>
    <w:rsid w:val="3180B069"/>
    <w:rsid w:val="31A4410F"/>
    <w:rsid w:val="32D7A3B0"/>
    <w:rsid w:val="332B06C2"/>
    <w:rsid w:val="33889448"/>
    <w:rsid w:val="33FA9AC7"/>
    <w:rsid w:val="340F6C0B"/>
    <w:rsid w:val="346023D0"/>
    <w:rsid w:val="35590BF0"/>
    <w:rsid w:val="359CC41C"/>
    <w:rsid w:val="360327C9"/>
    <w:rsid w:val="36C72576"/>
    <w:rsid w:val="36ECAD22"/>
    <w:rsid w:val="3746E31A"/>
    <w:rsid w:val="377E22E4"/>
    <w:rsid w:val="37E2BBE7"/>
    <w:rsid w:val="3835FFDC"/>
    <w:rsid w:val="386339BB"/>
    <w:rsid w:val="38965E5B"/>
    <w:rsid w:val="39C1CB25"/>
    <w:rsid w:val="39F2D280"/>
    <w:rsid w:val="3A35DC4F"/>
    <w:rsid w:val="3A70353F"/>
    <w:rsid w:val="3A80CE06"/>
    <w:rsid w:val="3ACC8E0A"/>
    <w:rsid w:val="3B4E17C6"/>
    <w:rsid w:val="3B502291"/>
    <w:rsid w:val="3B8EA2E1"/>
    <w:rsid w:val="3B9DF5D7"/>
    <w:rsid w:val="3C050326"/>
    <w:rsid w:val="3C051534"/>
    <w:rsid w:val="3C7B4AF4"/>
    <w:rsid w:val="3E704FCC"/>
    <w:rsid w:val="3F2063E0"/>
    <w:rsid w:val="3F3F808A"/>
    <w:rsid w:val="3F691C00"/>
    <w:rsid w:val="3F6BD8ED"/>
    <w:rsid w:val="3FB0FB78"/>
    <w:rsid w:val="403F88B1"/>
    <w:rsid w:val="4053FA25"/>
    <w:rsid w:val="409CA04B"/>
    <w:rsid w:val="40E35DB3"/>
    <w:rsid w:val="41534646"/>
    <w:rsid w:val="41626227"/>
    <w:rsid w:val="4191D9B8"/>
    <w:rsid w:val="41C6DA67"/>
    <w:rsid w:val="425B2E5B"/>
    <w:rsid w:val="42BFF0FB"/>
    <w:rsid w:val="439AF96C"/>
    <w:rsid w:val="43CA1B1C"/>
    <w:rsid w:val="4435053F"/>
    <w:rsid w:val="448AE708"/>
    <w:rsid w:val="44C67B01"/>
    <w:rsid w:val="44EBACCF"/>
    <w:rsid w:val="459CD5A4"/>
    <w:rsid w:val="45DBE79C"/>
    <w:rsid w:val="46538A8B"/>
    <w:rsid w:val="4727179A"/>
    <w:rsid w:val="47832C9A"/>
    <w:rsid w:val="485E5315"/>
    <w:rsid w:val="4920302F"/>
    <w:rsid w:val="494D5B43"/>
    <w:rsid w:val="4A2C2B34"/>
    <w:rsid w:val="4BAEC4DC"/>
    <w:rsid w:val="4BB7ABCA"/>
    <w:rsid w:val="4CD0E360"/>
    <w:rsid w:val="4CF2B90A"/>
    <w:rsid w:val="4DCCD7BD"/>
    <w:rsid w:val="4DD09464"/>
    <w:rsid w:val="4EAAED15"/>
    <w:rsid w:val="4EADA3F0"/>
    <w:rsid w:val="4F920546"/>
    <w:rsid w:val="4FC307C9"/>
    <w:rsid w:val="4FE1F32F"/>
    <w:rsid w:val="50455BB5"/>
    <w:rsid w:val="510B68EB"/>
    <w:rsid w:val="51251604"/>
    <w:rsid w:val="5133C195"/>
    <w:rsid w:val="514F24BC"/>
    <w:rsid w:val="5157D5B0"/>
    <w:rsid w:val="51EF463A"/>
    <w:rsid w:val="520ED31E"/>
    <w:rsid w:val="529598D3"/>
    <w:rsid w:val="53193905"/>
    <w:rsid w:val="53270E95"/>
    <w:rsid w:val="532E9753"/>
    <w:rsid w:val="53E897F4"/>
    <w:rsid w:val="554BFF22"/>
    <w:rsid w:val="566BA068"/>
    <w:rsid w:val="56A64367"/>
    <w:rsid w:val="56DAAA4F"/>
    <w:rsid w:val="5702600C"/>
    <w:rsid w:val="578BA134"/>
    <w:rsid w:val="57AE00E5"/>
    <w:rsid w:val="57BA354E"/>
    <w:rsid w:val="57E0991A"/>
    <w:rsid w:val="5802E086"/>
    <w:rsid w:val="588B2EE5"/>
    <w:rsid w:val="58AEC31C"/>
    <w:rsid w:val="58E9816B"/>
    <w:rsid w:val="5933D112"/>
    <w:rsid w:val="5A193B7D"/>
    <w:rsid w:val="5A3EC329"/>
    <w:rsid w:val="5AB1D67C"/>
    <w:rsid w:val="5B318902"/>
    <w:rsid w:val="5B3BE912"/>
    <w:rsid w:val="5BE87462"/>
    <w:rsid w:val="5C89D433"/>
    <w:rsid w:val="5D3B7383"/>
    <w:rsid w:val="5DA51D4A"/>
    <w:rsid w:val="5DC0A876"/>
    <w:rsid w:val="5E3D0285"/>
    <w:rsid w:val="5F2A4E7C"/>
    <w:rsid w:val="5F430E83"/>
    <w:rsid w:val="5FA63062"/>
    <w:rsid w:val="5FB7253D"/>
    <w:rsid w:val="5FFD9304"/>
    <w:rsid w:val="60B45DA1"/>
    <w:rsid w:val="60DFD805"/>
    <w:rsid w:val="6234F5B2"/>
    <w:rsid w:val="63919EB8"/>
    <w:rsid w:val="6423147A"/>
    <w:rsid w:val="6460E370"/>
    <w:rsid w:val="64836E5F"/>
    <w:rsid w:val="6487B869"/>
    <w:rsid w:val="648DD1C8"/>
    <w:rsid w:val="64B0963A"/>
    <w:rsid w:val="6518F06E"/>
    <w:rsid w:val="651D31AC"/>
    <w:rsid w:val="657EC25E"/>
    <w:rsid w:val="66312BE5"/>
    <w:rsid w:val="66B6657D"/>
    <w:rsid w:val="68FC6E57"/>
    <w:rsid w:val="69416546"/>
    <w:rsid w:val="69AF3DFC"/>
    <w:rsid w:val="69C3F4C3"/>
    <w:rsid w:val="6A02DA76"/>
    <w:rsid w:val="6A1150E3"/>
    <w:rsid w:val="6A98CFB5"/>
    <w:rsid w:val="6AECE519"/>
    <w:rsid w:val="6BA83AD0"/>
    <w:rsid w:val="6D2FEAED"/>
    <w:rsid w:val="6D36E1D4"/>
    <w:rsid w:val="6D657EB9"/>
    <w:rsid w:val="6DC3382A"/>
    <w:rsid w:val="6E54B363"/>
    <w:rsid w:val="6E6EAA2F"/>
    <w:rsid w:val="6F5410E0"/>
    <w:rsid w:val="6F87E20A"/>
    <w:rsid w:val="716B5A89"/>
    <w:rsid w:val="7283A80E"/>
    <w:rsid w:val="72CDA877"/>
    <w:rsid w:val="72D41858"/>
    <w:rsid w:val="72FA53D6"/>
    <w:rsid w:val="730D3CBF"/>
    <w:rsid w:val="7345316D"/>
    <w:rsid w:val="7382DFCF"/>
    <w:rsid w:val="73DCA1F7"/>
    <w:rsid w:val="741875F5"/>
    <w:rsid w:val="75314D5A"/>
    <w:rsid w:val="7560E925"/>
    <w:rsid w:val="75E7AEDA"/>
    <w:rsid w:val="760750EE"/>
    <w:rsid w:val="7679249C"/>
    <w:rsid w:val="769B7081"/>
    <w:rsid w:val="76B20DF5"/>
    <w:rsid w:val="777AF36B"/>
    <w:rsid w:val="7786AC3F"/>
    <w:rsid w:val="778E3539"/>
    <w:rsid w:val="77CB279E"/>
    <w:rsid w:val="7897E061"/>
    <w:rsid w:val="7951832A"/>
    <w:rsid w:val="79E6FB76"/>
    <w:rsid w:val="7A8F33CF"/>
    <w:rsid w:val="7ABD39F9"/>
    <w:rsid w:val="7B55A45C"/>
    <w:rsid w:val="7C8A0DBF"/>
    <w:rsid w:val="7CC8FDC8"/>
    <w:rsid w:val="7D23C990"/>
    <w:rsid w:val="7D505F48"/>
    <w:rsid w:val="7D90D930"/>
    <w:rsid w:val="7DAA7A33"/>
    <w:rsid w:val="7DADC4F7"/>
    <w:rsid w:val="7E839F09"/>
    <w:rsid w:val="7F5BD140"/>
    <w:rsid w:val="7F97A203"/>
    <w:rsid w:val="7F9F236C"/>
    <w:rsid w:val="7FBE9F6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31D"/>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numPr>
        <w:numId w:val="1"/>
      </w:numPr>
      <w:pBdr>
        <w:bottom w:val="single" w:sz="4" w:space="1" w:color="auto"/>
      </w:pBdr>
      <w:spacing w:before="600" w:after="480" w:line="240" w:lineRule="auto"/>
      <w:outlineLvl w:val="0"/>
    </w:pPr>
    <w:rPr>
      <w:rFonts w:ascii="Franklin Gothic Medium" w:eastAsiaTheme="majorEastAsia" w:hAnsi="Franklin Gothic Medium" w:cstheme="majorBidi"/>
      <w:sz w:val="44"/>
      <w:szCs w:val="32"/>
    </w:rPr>
  </w:style>
  <w:style w:type="paragraph" w:styleId="Heading2">
    <w:name w:val="heading 2"/>
    <w:aliases w:val="H2,Heading 2x,p2 Char"/>
    <w:basedOn w:val="Normal"/>
    <w:next w:val="Normal"/>
    <w:link w:val="Heading2Char"/>
    <w:unhideWhenUsed/>
    <w:qFormat/>
    <w:rsid w:val="001531D6"/>
    <w:pPr>
      <w:keepNext/>
      <w:keepLines/>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aliases w:val="H3,Don 3,Heading 3x,p3 Char"/>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aliases w:val="p4"/>
    <w:basedOn w:val="Heading3"/>
    <w:next w:val="Normal"/>
    <w:link w:val="Heading4Char"/>
    <w:unhideWhenUsed/>
    <w:qFormat/>
    <w:rsid w:val="00A776A4"/>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aliases w:val="- H19,Commentaire,Comment Text Char Char,Comment Text Char1 Char Char,Comment Text Char Char Char Char,Comment Text Char Char1"/>
    <w:basedOn w:val="Normal"/>
    <w:link w:val="CommentTextChar"/>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aliases w:val="- H19 Char,Commentaire Char,Comment Text Char Char Char,Comment Text Char1 Char Char Char,Comment Text Char Char Char Char Char,Comment Text Char Char1 Char"/>
    <w:basedOn w:val="DefaultParagraphFont"/>
    <w:link w:val="CommentText"/>
    <w:rsid w:val="003E7773"/>
    <w:rPr>
      <w:rFonts w:ascii="Calibri" w:eastAsia="Times New Roman" w:hAnsi="Calibri" w:cs="Times New Roman"/>
      <w:color w:val="000000"/>
      <w:szCs w:val="24"/>
      <w:lang w:eastAsia="en-AU"/>
    </w:rPr>
  </w:style>
  <w:style w:type="character" w:styleId="CommentReference">
    <w:name w:val="annotation reference"/>
    <w:aliases w:val="Table Title,-H18"/>
    <w:basedOn w:val="DefaultParagraphFont"/>
    <w:unhideWhenUsed/>
    <w:qFormat/>
    <w:rsid w:val="003E7773"/>
    <w:rPr>
      <w:sz w:val="16"/>
      <w:szCs w:val="16"/>
    </w:rPr>
  </w:style>
  <w:style w:type="character" w:customStyle="1" w:styleId="TableTextChar">
    <w:name w:val="Table Text Char"/>
    <w:basedOn w:val="DefaultParagraphFont"/>
    <w:link w:val="TableTex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aliases w:val="H2 Char,Heading 2x Char,p2 Char Char"/>
    <w:basedOn w:val="DefaultParagraphFont"/>
    <w:link w:val="Heading2"/>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aliases w:val="H3 Char,Don 3 Char,Heading 3x Char,p3 Char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c"/>
    <w:basedOn w:val="Normal"/>
    <w:next w:val="Normal"/>
    <w:link w:val="CaptionChar"/>
    <w:uiPriority w:val="35"/>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uiPriority w:val="59"/>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UI Semibold" w:hAnsi="Yu Gothic UI Semibold"/>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c Char"/>
    <w:basedOn w:val="DefaultParagraphFont"/>
    <w:link w:val="Caption"/>
    <w:uiPriority w:val="35"/>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HealthConsult,CMA Table Template,YHEC table,HTAtableplain,Dossier table,Section 3- footnotes,PBAC table,MSD Table Grid,Lash Style Table"/>
    <w:basedOn w:val="TableNormal"/>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BulletPoints,Bullet point,List Paragraph1,List Paragraph11,Recommendation,Section heading,Numbered para,ES Paragraph,PBAC ES Paragraph,PBAC normal points,Bullet List,Figure_name,Numbered Indented Text,Bullet- First level,List NUmber,lp1"/>
    <w:basedOn w:val="Normal"/>
    <w:link w:val="ListParagraphChar"/>
    <w:uiPriority w:val="34"/>
    <w:qFormat/>
    <w:rsid w:val="00EC7D28"/>
    <w:pPr>
      <w:numPr>
        <w:numId w:val="10"/>
      </w:numPr>
      <w:spacing w:after="0" w:line="240" w:lineRule="auto"/>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link w:val="TableHeadingChar0"/>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aliases w:val="p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C91651"/>
    <w:pPr>
      <w:tabs>
        <w:tab w:val="left" w:pos="1100"/>
        <w:tab w:val="left" w:pos="1531"/>
        <w:tab w:val="right" w:leader="dot" w:pos="9010"/>
      </w:tabs>
      <w:spacing w:after="100" w:line="240" w:lineRule="auto"/>
    </w:pPr>
    <w:rPr>
      <w:rFonts w:asciiTheme="minorHAnsi" w:hAnsiTheme="minorHAnsi"/>
      <w:b/>
    </w:rPr>
  </w:style>
  <w:style w:type="paragraph" w:styleId="TOC2">
    <w:name w:val="toc 2"/>
    <w:basedOn w:val="Normal"/>
    <w:next w:val="Normal"/>
    <w:autoRedefine/>
    <w:uiPriority w:val="39"/>
    <w:unhideWhenUsed/>
    <w:rsid w:val="00944087"/>
    <w:pPr>
      <w:tabs>
        <w:tab w:val="left" w:pos="1089"/>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BulletPoints Char,Bullet point Char,List Paragraph1 Char,List Paragraph11 Char,Recommendation Char,Section heading Char,Numbered para Char,ES Paragraph Char,PBAC ES Paragraph Char,PBAC normal points Char,Bullet List Char,lp1 Char"/>
    <w:basedOn w:val="DefaultParagraphFont"/>
    <w:link w:val="ListParagraph"/>
    <w:uiPriority w:val="34"/>
    <w:qFormat/>
    <w:rsid w:val="00EC7D28"/>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qFormat/>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qFormat/>
    <w:rsid w:val="005131D3"/>
    <w:pPr>
      <w:numPr>
        <w:ilvl w:val="1"/>
        <w:numId w:val="5"/>
      </w:numPr>
      <w:spacing w:after="120"/>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6"/>
      </w:numPr>
      <w:spacing w:after="120" w:line="240" w:lineRule="auto"/>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NZ"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Bahnschrift SemiBold" w:hAnsi="Bahnschrift SemiBold"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Bahnschrift SemiBold" w:hAnsi="Bahnschrift SemiBold"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Bahnschrift SemiBold" w:hAnsi="Bahnschrift SemiBold" w:hint="default"/>
        <w:i/>
        <w:iCs/>
        <w:sz w:val="20"/>
        <w:szCs w:val="20"/>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numId w:val="7"/>
      </w:numPr>
      <w:spacing w:before="240"/>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8"/>
      </w:numPr>
      <w:spacing w:after="40"/>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9"/>
      </w:numPr>
      <w:spacing w:before="0" w:after="0"/>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styleId="UnresolvedMention">
    <w:name w:val="Unresolved Mention"/>
    <w:basedOn w:val="DefaultParagraphFont"/>
    <w:uiPriority w:val="99"/>
    <w:semiHidden/>
    <w:unhideWhenUsed/>
    <w:rsid w:val="00503796"/>
    <w:rPr>
      <w:color w:val="605E5C"/>
      <w:shd w:val="clear" w:color="auto" w:fill="E1DFDD"/>
    </w:rPr>
  </w:style>
  <w:style w:type="character" w:styleId="Mention">
    <w:name w:val="Mention"/>
    <w:basedOn w:val="DefaultParagraphFont"/>
    <w:uiPriority w:val="99"/>
    <w:unhideWhenUsed/>
    <w:rsid w:val="00A83B4F"/>
    <w:rPr>
      <w:color w:val="2B579A"/>
      <w:shd w:val="clear" w:color="auto" w:fill="E1DFDD"/>
    </w:rPr>
  </w:style>
  <w:style w:type="paragraph" w:customStyle="1" w:styleId="Notes-TableFigure">
    <w:name w:val="Notes - Table/Figure"/>
    <w:basedOn w:val="Normal"/>
    <w:link w:val="Notes-TableFigureChar"/>
    <w:qFormat/>
    <w:rsid w:val="00AE279F"/>
    <w:pPr>
      <w:spacing w:after="360" w:line="240" w:lineRule="auto"/>
      <w:contextualSpacing/>
    </w:pPr>
    <w:rPr>
      <w:rFonts w:ascii="Arial Narrow" w:hAnsi="Arial Narrow"/>
      <w:sz w:val="18"/>
      <w:lang w:val="en-US"/>
    </w:rPr>
  </w:style>
  <w:style w:type="character" w:customStyle="1" w:styleId="Notes-TableFigureChar">
    <w:name w:val="Notes - Table/Figure Char"/>
    <w:basedOn w:val="DefaultParagraphFont"/>
    <w:link w:val="Notes-TableFigure"/>
    <w:rsid w:val="00AE279F"/>
    <w:rPr>
      <w:rFonts w:ascii="Arial Narrow" w:hAnsi="Arial Narrow"/>
      <w:sz w:val="18"/>
      <w:lang w:val="en-US"/>
    </w:rPr>
  </w:style>
  <w:style w:type="paragraph" w:customStyle="1" w:styleId="Heading2execsummary">
    <w:name w:val="Heading 2 exec summary"/>
    <w:basedOn w:val="Heading2"/>
    <w:next w:val="Normal"/>
    <w:link w:val="Heading2execsummaryChar"/>
    <w:qFormat/>
    <w:rsid w:val="00AE279F"/>
    <w:pPr>
      <w:numPr>
        <w:numId w:val="11"/>
      </w:numPr>
      <w:spacing w:before="0"/>
    </w:pPr>
    <w:rPr>
      <w:lang w:val="en-US"/>
    </w:rPr>
  </w:style>
  <w:style w:type="character" w:customStyle="1" w:styleId="Heading2execsummaryChar">
    <w:name w:val="Heading 2 exec summary Char"/>
    <w:basedOn w:val="Heading2Char"/>
    <w:link w:val="Heading2execsummary"/>
    <w:rsid w:val="00AE279F"/>
    <w:rPr>
      <w:rFonts w:ascii="Franklin Gothic Medium" w:eastAsiaTheme="majorEastAsia" w:hAnsi="Franklin Gothic Medium" w:cstheme="majorBidi"/>
      <w:color w:val="000000" w:themeColor="text1"/>
      <w:sz w:val="32"/>
      <w:szCs w:val="26"/>
      <w:lang w:val="en-US"/>
    </w:rPr>
  </w:style>
  <w:style w:type="paragraph" w:customStyle="1" w:styleId="Heading3nonumbers">
    <w:name w:val="Heading 3 no numbers"/>
    <w:basedOn w:val="Heading3"/>
    <w:next w:val="Normal"/>
    <w:link w:val="Heading3nonumbersChar"/>
    <w:qFormat/>
    <w:rsid w:val="00AE279F"/>
    <w:pPr>
      <w:tabs>
        <w:tab w:val="clear" w:pos="851"/>
      </w:tabs>
    </w:pPr>
    <w:rPr>
      <w:color w:val="000000" w:themeColor="text1"/>
      <w:lang w:val="en-US"/>
    </w:rPr>
  </w:style>
  <w:style w:type="character" w:customStyle="1" w:styleId="Heading3nonumbersChar">
    <w:name w:val="Heading 3 no numbers Char"/>
    <w:basedOn w:val="Heading3Char"/>
    <w:link w:val="Heading3nonumbers"/>
    <w:rsid w:val="00AE279F"/>
    <w:rPr>
      <w:rFonts w:ascii="Franklin Gothic Medium" w:eastAsiaTheme="majorEastAsia" w:hAnsi="Franklin Gothic Medium" w:cstheme="majorBidi"/>
      <w:color w:val="000000" w:themeColor="text1"/>
      <w:sz w:val="24"/>
      <w:szCs w:val="24"/>
      <w:lang w:val="en-US"/>
    </w:rPr>
  </w:style>
  <w:style w:type="paragraph" w:customStyle="1" w:styleId="BodyTextSTD">
    <w:name w:val="Body Text STD"/>
    <w:basedOn w:val="Normal"/>
    <w:link w:val="BodyTextSTDChar"/>
    <w:rsid w:val="00AE279F"/>
    <w:pPr>
      <w:spacing w:before="0" w:after="240" w:line="312" w:lineRule="auto"/>
      <w:jc w:val="both"/>
    </w:pPr>
    <w:rPr>
      <w:rFonts w:ascii="Calibri" w:eastAsia="Times New Roman" w:hAnsi="Calibri" w:cs="Tahoma"/>
      <w:lang w:eastAsia="en-AU"/>
    </w:rPr>
  </w:style>
  <w:style w:type="character" w:customStyle="1" w:styleId="BodyTextSTDChar">
    <w:name w:val="Body Text STD Char"/>
    <w:basedOn w:val="DefaultParagraphFont"/>
    <w:link w:val="BodyTextSTD"/>
    <w:rsid w:val="00AE279F"/>
    <w:rPr>
      <w:rFonts w:ascii="Calibri" w:eastAsia="Times New Roman" w:hAnsi="Calibri" w:cs="Tahoma"/>
      <w:lang w:eastAsia="en-AU"/>
    </w:rPr>
  </w:style>
  <w:style w:type="paragraph" w:customStyle="1" w:styleId="Rosscomments">
    <w:name w:val="Ross comments"/>
    <w:basedOn w:val="Normal"/>
    <w:qFormat/>
    <w:rsid w:val="00AE279F"/>
    <w:rPr>
      <w:i/>
      <w:iCs/>
      <w:color w:val="FF0000"/>
    </w:rPr>
  </w:style>
  <w:style w:type="paragraph" w:customStyle="1" w:styleId="Style1">
    <w:name w:val="Style1"/>
    <w:basedOn w:val="Instructionaltext"/>
    <w:qFormat/>
    <w:rsid w:val="00AE279F"/>
    <w:pPr>
      <w:jc w:val="both"/>
    </w:pPr>
    <w:rPr>
      <w:color w:val="auto"/>
    </w:rPr>
  </w:style>
  <w:style w:type="character" w:customStyle="1" w:styleId="ilfuvd">
    <w:name w:val="ilfuvd"/>
    <w:basedOn w:val="DefaultParagraphFont"/>
    <w:rsid w:val="006A1CDE"/>
  </w:style>
  <w:style w:type="numbering" w:customStyle="1" w:styleId="HeadingsVM2">
    <w:name w:val="HeadingsVM2"/>
    <w:uiPriority w:val="99"/>
    <w:rsid w:val="00751402"/>
  </w:style>
  <w:style w:type="character" w:customStyle="1" w:styleId="TableHeadingChar0">
    <w:name w:val="Table Heading Char"/>
    <w:basedOn w:val="DefaultParagraphFont"/>
    <w:link w:val="TableHeading0"/>
    <w:rsid w:val="00E1396D"/>
    <w:rPr>
      <w:rFonts w:ascii="Arial Narrow" w:hAnsi="Arial Narrow"/>
      <w:b/>
      <w:sz w:val="20"/>
    </w:rPr>
  </w:style>
  <w:style w:type="table" w:styleId="TableGridLight">
    <w:name w:val="Grid Table Light"/>
    <w:basedOn w:val="TableNormal"/>
    <w:uiPriority w:val="40"/>
    <w:rsid w:val="00101F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B852AE"/>
    <w:pPr>
      <w:widowControl w:val="0"/>
      <w:autoSpaceDE w:val="0"/>
      <w:autoSpaceDN w:val="0"/>
      <w:spacing w:after="120" w:line="276" w:lineRule="auto"/>
    </w:pPr>
    <w:rPr>
      <w:lang w:val="en-US"/>
    </w:rPr>
  </w:style>
  <w:style w:type="character" w:customStyle="1" w:styleId="BodyTextChar">
    <w:name w:val="Body Text Char"/>
    <w:basedOn w:val="DefaultParagraphFont"/>
    <w:link w:val="BodyText"/>
    <w:uiPriority w:val="1"/>
    <w:rsid w:val="00B852AE"/>
    <w:rPr>
      <w:rFonts w:ascii="Franklin Gothic Book" w:hAnsi="Franklin Gothic Book"/>
      <w:lang w:val="en-US"/>
    </w:rPr>
  </w:style>
  <w:style w:type="character" w:customStyle="1" w:styleId="normaltextrun">
    <w:name w:val="normaltextrun"/>
    <w:basedOn w:val="DefaultParagraphFont"/>
    <w:rsid w:val="00B852AE"/>
  </w:style>
  <w:style w:type="paragraph" w:styleId="NormalWeb">
    <w:name w:val="Normal (Web)"/>
    <w:basedOn w:val="Normal"/>
    <w:uiPriority w:val="99"/>
    <w:semiHidden/>
    <w:unhideWhenUsed/>
    <w:rsid w:val="00B852AE"/>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29382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9382D"/>
    <w:rPr>
      <w:rFonts w:ascii="Franklin Gothic Book" w:hAnsi="Franklin Gothic Book"/>
      <w:noProof/>
      <w:lang w:val="en-US"/>
    </w:rPr>
  </w:style>
  <w:style w:type="paragraph" w:customStyle="1" w:styleId="EndNoteBibliography">
    <w:name w:val="EndNote Bibliography"/>
    <w:basedOn w:val="Normal"/>
    <w:link w:val="EndNoteBibliographyChar"/>
    <w:rsid w:val="0029382D"/>
    <w:pPr>
      <w:spacing w:line="240" w:lineRule="auto"/>
    </w:pPr>
    <w:rPr>
      <w:noProof/>
      <w:lang w:val="en-US"/>
    </w:rPr>
  </w:style>
  <w:style w:type="character" w:customStyle="1" w:styleId="EndNoteBibliographyChar">
    <w:name w:val="EndNote Bibliography Char"/>
    <w:basedOn w:val="DefaultParagraphFont"/>
    <w:link w:val="EndNoteBibliography"/>
    <w:rsid w:val="0029382D"/>
    <w:rPr>
      <w:rFonts w:ascii="Franklin Gothic Book" w:hAnsi="Franklin Gothic Book"/>
      <w:noProof/>
      <w:lang w:val="en-US"/>
    </w:rPr>
  </w:style>
  <w:style w:type="character" w:customStyle="1" w:styleId="findhit">
    <w:name w:val="findhit"/>
    <w:basedOn w:val="DefaultParagraphFont"/>
    <w:rsid w:val="005D22E3"/>
  </w:style>
  <w:style w:type="character" w:customStyle="1" w:styleId="eop">
    <w:name w:val="eop"/>
    <w:basedOn w:val="DefaultParagraphFont"/>
    <w:rsid w:val="00685B83"/>
  </w:style>
  <w:style w:type="character" w:customStyle="1" w:styleId="cf01">
    <w:name w:val="cf01"/>
    <w:basedOn w:val="DefaultParagraphFont"/>
    <w:rsid w:val="0078518E"/>
    <w:rPr>
      <w:rFonts w:ascii="Segoe UI" w:hAnsi="Segoe UI" w:cs="Segoe UI" w:hint="default"/>
      <w:sz w:val="18"/>
      <w:szCs w:val="18"/>
      <w:shd w:val="clear" w:color="auto" w:fill="FFFFFF"/>
    </w:rPr>
  </w:style>
  <w:style w:type="paragraph" w:customStyle="1" w:styleId="paragraph">
    <w:name w:val="paragraph"/>
    <w:basedOn w:val="Normal"/>
    <w:rsid w:val="000D5D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3">
    <w:name w:val="Table Grid3"/>
    <w:basedOn w:val="TableNormal"/>
    <w:next w:val="TableGrid"/>
    <w:uiPriority w:val="39"/>
    <w:rsid w:val="00400A5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B6BF7"/>
    <w:pPr>
      <w:widowControl w:val="0"/>
      <w:spacing w:before="0" w:after="0" w:line="240" w:lineRule="auto"/>
    </w:pPr>
    <w:rPr>
      <w:rFonts w:asciiTheme="minorHAnsi" w:hAnsiTheme="minorHAnsi"/>
      <w:lang w:val="en-US"/>
    </w:rPr>
  </w:style>
  <w:style w:type="paragraph" w:customStyle="1" w:styleId="ql-indent-1">
    <w:name w:val="ql-indent-1"/>
    <w:basedOn w:val="Normal"/>
    <w:rsid w:val="00AD05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DARbodytext">
    <w:name w:val="ADAR body text"/>
    <w:basedOn w:val="Normal"/>
    <w:link w:val="ADARbodytextChar"/>
    <w:qFormat/>
    <w:rsid w:val="00A07893"/>
    <w:rPr>
      <w:rFonts w:asciiTheme="minorHAnsi" w:hAnsiTheme="minorHAnsi" w:cstheme="minorHAnsi"/>
    </w:rPr>
  </w:style>
  <w:style w:type="character" w:customStyle="1" w:styleId="ADARbodytextChar">
    <w:name w:val="ADAR body text Char"/>
    <w:basedOn w:val="DefaultParagraphFont"/>
    <w:link w:val="ADARbodytext"/>
    <w:rsid w:val="00A07893"/>
    <w:rPr>
      <w:rFonts w:cstheme="minorHAnsi"/>
    </w:rPr>
  </w:style>
  <w:style w:type="paragraph" w:customStyle="1" w:styleId="Tableheading1">
    <w:name w:val="Table heading"/>
    <w:basedOn w:val="Normal"/>
    <w:link w:val="TableheadingChar1"/>
    <w:qFormat/>
    <w:rsid w:val="00A07893"/>
    <w:pPr>
      <w:spacing w:before="0" w:after="0" w:line="240" w:lineRule="auto"/>
    </w:pPr>
    <w:rPr>
      <w:rFonts w:ascii="Arial Narrow" w:hAnsi="Arial Narrow" w:cs="Segoe UI"/>
      <w:b/>
      <w:bCs/>
      <w:sz w:val="20"/>
      <w:szCs w:val="20"/>
    </w:rPr>
  </w:style>
  <w:style w:type="paragraph" w:customStyle="1" w:styleId="Tablecontent">
    <w:name w:val="Table content"/>
    <w:basedOn w:val="Normal"/>
    <w:link w:val="TablecontentChar"/>
    <w:qFormat/>
    <w:rsid w:val="00A07893"/>
    <w:pPr>
      <w:spacing w:before="40" w:after="40" w:line="240" w:lineRule="auto"/>
    </w:pPr>
    <w:rPr>
      <w:rFonts w:ascii="Arial Narrow" w:eastAsia="Times New Roman" w:hAnsi="Arial Narrow" w:cs="Times New Roman"/>
      <w:sz w:val="20"/>
      <w:szCs w:val="18"/>
      <w:lang w:eastAsia="en-AU"/>
    </w:rPr>
  </w:style>
  <w:style w:type="character" w:customStyle="1" w:styleId="TablecontentChar">
    <w:name w:val="Table content Char"/>
    <w:basedOn w:val="DefaultParagraphFont"/>
    <w:link w:val="Tablecontent"/>
    <w:rsid w:val="00A07893"/>
    <w:rPr>
      <w:rFonts w:ascii="Arial Narrow" w:eastAsia="Times New Roman" w:hAnsi="Arial Narrow" w:cs="Times New Roman"/>
      <w:sz w:val="20"/>
      <w:szCs w:val="18"/>
      <w:lang w:eastAsia="en-AU"/>
    </w:rPr>
  </w:style>
  <w:style w:type="character" w:customStyle="1" w:styleId="TableheadingChar1">
    <w:name w:val="Table heading Char"/>
    <w:basedOn w:val="DefaultParagraphFont"/>
    <w:link w:val="Tableheading1"/>
    <w:rsid w:val="00A07893"/>
    <w:rPr>
      <w:rFonts w:ascii="Arial Narrow" w:hAnsi="Arial Narrow" w:cs="Segoe UI"/>
      <w:b/>
      <w:bCs/>
      <w:sz w:val="20"/>
      <w:szCs w:val="20"/>
    </w:rPr>
  </w:style>
  <w:style w:type="paragraph" w:customStyle="1" w:styleId="Heading1iSTAR">
    <w:name w:val="Heading 1 iSTAR"/>
    <w:basedOn w:val="Normal"/>
    <w:link w:val="Heading1iSTARChar"/>
    <w:qFormat/>
    <w:rsid w:val="00945EB2"/>
    <w:pPr>
      <w:keepNext/>
      <w:spacing w:before="240" w:after="120" w:line="240" w:lineRule="auto"/>
      <w:ind w:left="720" w:hanging="720"/>
      <w:outlineLvl w:val="0"/>
    </w:pPr>
    <w:rPr>
      <w:rFonts w:asciiTheme="minorHAnsi" w:eastAsia="Times New Roman" w:hAnsiTheme="minorHAnsi" w:cs="Arial"/>
      <w:b/>
      <w:snapToGrid w:val="0"/>
      <w:sz w:val="36"/>
      <w:szCs w:val="36"/>
      <w:lang w:eastAsia="en-AU"/>
    </w:rPr>
  </w:style>
  <w:style w:type="character" w:customStyle="1" w:styleId="Heading1iSTARChar">
    <w:name w:val="Heading 1 iSTAR Char"/>
    <w:basedOn w:val="DefaultParagraphFont"/>
    <w:link w:val="Heading1iSTAR"/>
    <w:rsid w:val="00945EB2"/>
    <w:rPr>
      <w:rFonts w:eastAsia="Times New Roman" w:cs="Arial"/>
      <w:b/>
      <w:snapToGrid w:val="0"/>
      <w:sz w:val="36"/>
      <w:szCs w:val="36"/>
      <w:lang w:eastAsia="en-AU"/>
    </w:rPr>
  </w:style>
  <w:style w:type="paragraph" w:customStyle="1" w:styleId="ADARbullet">
    <w:name w:val="ADAR bullet"/>
    <w:basedOn w:val="Normal"/>
    <w:link w:val="ADARbulletChar"/>
    <w:qFormat/>
    <w:rsid w:val="00AD7ACD"/>
    <w:pPr>
      <w:numPr>
        <w:numId w:val="14"/>
      </w:numPr>
    </w:pPr>
    <w:rPr>
      <w:rFonts w:asciiTheme="minorHAnsi" w:hAnsiTheme="minorHAnsi" w:cstheme="minorHAnsi"/>
    </w:rPr>
  </w:style>
  <w:style w:type="character" w:customStyle="1" w:styleId="ADARbulletChar">
    <w:name w:val="ADAR bullet Char"/>
    <w:basedOn w:val="DefaultParagraphFont"/>
    <w:link w:val="ADARbullet"/>
    <w:rsid w:val="00AD7ACD"/>
    <w:rPr>
      <w:rFonts w:cstheme="minorHAnsi"/>
    </w:rPr>
  </w:style>
  <w:style w:type="paragraph" w:customStyle="1" w:styleId="tablenotes1">
    <w:name w:val="table notes"/>
    <w:basedOn w:val="Normal"/>
    <w:link w:val="tablenotesChar1"/>
    <w:qFormat/>
    <w:rsid w:val="008E5E3C"/>
    <w:pPr>
      <w:spacing w:before="40" w:after="0" w:line="240" w:lineRule="auto"/>
      <w:jc w:val="both"/>
    </w:pPr>
    <w:rPr>
      <w:rFonts w:ascii="Arial Narrow" w:eastAsia="Times New Roman" w:hAnsi="Arial Narrow" w:cs="Times New Roman"/>
      <w:sz w:val="18"/>
      <w:szCs w:val="18"/>
      <w:lang w:eastAsia="en-AU"/>
    </w:rPr>
  </w:style>
  <w:style w:type="character" w:customStyle="1" w:styleId="tablenotesChar1">
    <w:name w:val="table notes Char"/>
    <w:basedOn w:val="DefaultParagraphFont"/>
    <w:link w:val="tablenotes1"/>
    <w:rsid w:val="008E5E3C"/>
    <w:rPr>
      <w:rFonts w:ascii="Arial Narrow" w:eastAsia="Times New Roman" w:hAnsi="Arial Narrow" w:cs="Times New Roman"/>
      <w:sz w:val="18"/>
      <w:szCs w:val="18"/>
      <w:lang w:eastAsia="en-AU"/>
    </w:rPr>
  </w:style>
  <w:style w:type="character" w:customStyle="1" w:styleId="apple-converted-space">
    <w:name w:val="apple-converted-space"/>
    <w:basedOn w:val="DefaultParagraphFont"/>
    <w:rsid w:val="00C64781"/>
  </w:style>
  <w:style w:type="character" w:styleId="IntenseEmphasis">
    <w:name w:val="Intense Emphasis"/>
    <w:basedOn w:val="DefaultParagraphFont"/>
    <w:uiPriority w:val="21"/>
    <w:qFormat/>
    <w:rsid w:val="00147008"/>
    <w:rPr>
      <w:rFonts w:asciiTheme="minorHAnsi" w:hAnsiTheme="minorHAnsi"/>
      <w:b w:val="0"/>
      <w:bCs/>
      <w:i/>
      <w:iCs/>
      <w:color w:val="4F81BD"/>
      <w:sz w:val="22"/>
    </w:rPr>
  </w:style>
  <w:style w:type="paragraph" w:customStyle="1" w:styleId="PBSnormal">
    <w:name w:val="PBS normal"/>
    <w:basedOn w:val="Normal"/>
    <w:link w:val="PBSnormalChar"/>
    <w:qFormat/>
    <w:rsid w:val="00B069AD"/>
    <w:pPr>
      <w:spacing w:after="120" w:line="360" w:lineRule="auto"/>
      <w:jc w:val="both"/>
    </w:pPr>
    <w:rPr>
      <w:rFonts w:ascii="Arial" w:eastAsia="Times New Roman" w:hAnsi="Arial" w:cs="Times New Roman"/>
      <w:szCs w:val="20"/>
      <w:lang w:eastAsia="en-AU"/>
    </w:rPr>
  </w:style>
  <w:style w:type="character" w:customStyle="1" w:styleId="PBSnormalChar">
    <w:name w:val="PBS normal Char"/>
    <w:basedOn w:val="DefaultParagraphFont"/>
    <w:link w:val="PBSnormal"/>
    <w:rsid w:val="00B069AD"/>
    <w:rPr>
      <w:rFonts w:ascii="Arial" w:eastAsia="Times New Roman" w:hAnsi="Arial" w:cs="Times New Roman"/>
      <w:szCs w:val="20"/>
      <w:lang w:eastAsia="en-AU"/>
    </w:rPr>
  </w:style>
  <w:style w:type="paragraph" w:customStyle="1" w:styleId="Footnote">
    <w:name w:val="Footnote"/>
    <w:basedOn w:val="Normal"/>
    <w:link w:val="FootnoteChar"/>
    <w:qFormat/>
    <w:rsid w:val="007F60AC"/>
    <w:pPr>
      <w:spacing w:before="0" w:after="120" w:line="240" w:lineRule="auto"/>
    </w:pPr>
    <w:rPr>
      <w:rFonts w:ascii="Arial Narrow" w:hAnsi="Arial Narrow" w:cs="Segoe UI"/>
      <w:sz w:val="18"/>
      <w:szCs w:val="18"/>
    </w:rPr>
  </w:style>
  <w:style w:type="character" w:customStyle="1" w:styleId="FootnoteChar">
    <w:name w:val="Footnote Char"/>
    <w:basedOn w:val="DefaultParagraphFont"/>
    <w:link w:val="Footnote"/>
    <w:rsid w:val="007F60AC"/>
    <w:rPr>
      <w:rFonts w:ascii="Arial Narrow" w:hAnsi="Arial Narrow" w:cs="Segoe UI"/>
      <w:sz w:val="18"/>
      <w:szCs w:val="18"/>
    </w:rPr>
  </w:style>
  <w:style w:type="paragraph" w:styleId="EndnoteText">
    <w:name w:val="endnote text"/>
    <w:basedOn w:val="Normal"/>
    <w:link w:val="EndnoteTextChar"/>
    <w:uiPriority w:val="99"/>
    <w:semiHidden/>
    <w:unhideWhenUsed/>
    <w:rsid w:val="00A9190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91904"/>
    <w:rPr>
      <w:rFonts w:ascii="Franklin Gothic Book" w:hAnsi="Franklin Gothic Book"/>
      <w:sz w:val="20"/>
      <w:szCs w:val="20"/>
    </w:rPr>
  </w:style>
  <w:style w:type="character" w:styleId="EndnoteReference">
    <w:name w:val="endnote reference"/>
    <w:basedOn w:val="DefaultParagraphFont"/>
    <w:uiPriority w:val="99"/>
    <w:semiHidden/>
    <w:unhideWhenUsed/>
    <w:rsid w:val="00A91904"/>
    <w:rPr>
      <w:vertAlign w:val="superscript"/>
    </w:rPr>
  </w:style>
  <w:style w:type="paragraph" w:customStyle="1" w:styleId="KMC16-Tablecontent">
    <w:name w:val="KMC16 - Table content"/>
    <w:basedOn w:val="Normal"/>
    <w:link w:val="KMC16-TablecontentChar"/>
    <w:rsid w:val="000D07B6"/>
    <w:pPr>
      <w:spacing w:before="40" w:after="40" w:line="240" w:lineRule="auto"/>
    </w:pPr>
    <w:rPr>
      <w:rFonts w:ascii="Arial Narrow" w:eastAsia="Times New Roman" w:hAnsi="Arial Narrow" w:cs="Arial"/>
      <w:color w:val="000000"/>
      <w:sz w:val="20"/>
      <w:szCs w:val="24"/>
      <w:lang w:val="en-GB" w:eastAsia="en-GB"/>
    </w:rPr>
  </w:style>
  <w:style w:type="character" w:customStyle="1" w:styleId="KMC16-TablecontentChar">
    <w:name w:val="KMC16 - Table content Char"/>
    <w:basedOn w:val="DefaultParagraphFont"/>
    <w:link w:val="KMC16-Tablecontent"/>
    <w:rsid w:val="000D07B6"/>
    <w:rPr>
      <w:rFonts w:ascii="Arial Narrow" w:eastAsia="Times New Roman" w:hAnsi="Arial Narrow" w:cs="Arial"/>
      <w:color w:val="000000"/>
      <w:sz w:val="20"/>
      <w:szCs w:val="24"/>
      <w:lang w:val="en-GB" w:eastAsia="en-GB"/>
    </w:rPr>
  </w:style>
  <w:style w:type="paragraph" w:customStyle="1" w:styleId="TableDash">
    <w:name w:val="TableDash"/>
    <w:basedOn w:val="TableText1"/>
    <w:rsid w:val="000D034C"/>
    <w:pPr>
      <w:numPr>
        <w:numId w:val="28"/>
      </w:numPr>
      <w:tabs>
        <w:tab w:val="clear" w:pos="216"/>
        <w:tab w:val="num" w:pos="432"/>
      </w:tabs>
      <w:spacing w:before="60" w:after="60" w:line="240" w:lineRule="auto"/>
      <w:jc w:val="left"/>
    </w:pPr>
    <w:rPr>
      <w:rFonts w:ascii="Franklin Gothic Book" w:hAnsi="Franklin Gothic Book" w:cs="Times New Roman"/>
      <w:color w:val="000000"/>
      <w:sz w:val="21"/>
      <w:szCs w:val="21"/>
    </w:rPr>
  </w:style>
  <w:style w:type="paragraph" w:customStyle="1" w:styleId="BoxName0">
    <w:name w:val="BoxName"/>
    <w:basedOn w:val="Normal"/>
    <w:rsid w:val="000D034C"/>
    <w:pPr>
      <w:keepNext/>
      <w:pBdr>
        <w:top w:val="single" w:sz="4" w:space="4" w:color="000000"/>
        <w:left w:val="single" w:sz="4" w:space="4" w:color="000000"/>
        <w:bottom w:val="single" w:sz="4" w:space="4" w:color="000000"/>
        <w:right w:val="single" w:sz="4" w:space="4" w:color="000000"/>
      </w:pBdr>
      <w:spacing w:before="240" w:after="240" w:line="240" w:lineRule="auto"/>
      <w:ind w:left="1077" w:hanging="1077"/>
    </w:pPr>
    <w:rPr>
      <w:rFonts w:eastAsia="Times New Roman" w:cs="Times New Roman"/>
      <w:b/>
      <w:bCs/>
      <w:color w:val="000000"/>
      <w:sz w:val="24"/>
      <w:szCs w:val="20"/>
      <w:lang w:eastAsia="en-AU"/>
    </w:rPr>
  </w:style>
  <w:style w:type="paragraph" w:customStyle="1" w:styleId="BoxHeading">
    <w:name w:val="BoxHeading"/>
    <w:basedOn w:val="Normal"/>
    <w:rsid w:val="000D034C"/>
    <w:pPr>
      <w:keepNext/>
      <w:pBdr>
        <w:top w:val="single" w:sz="4" w:space="4" w:color="000000"/>
        <w:left w:val="single" w:sz="4" w:space="4" w:color="000000"/>
        <w:bottom w:val="single" w:sz="4" w:space="4" w:color="000000"/>
        <w:right w:val="single" w:sz="4" w:space="4" w:color="000000"/>
      </w:pBdr>
      <w:spacing w:after="60" w:line="240" w:lineRule="auto"/>
    </w:pPr>
    <w:rPr>
      <w:rFonts w:eastAsia="Times New Roman" w:cs="Times New Roman"/>
      <w:b/>
      <w:bCs/>
      <w:color w:val="000000"/>
      <w:szCs w:val="20"/>
      <w:lang w:eastAsia="en-AU"/>
    </w:rPr>
  </w:style>
  <w:style w:type="paragraph" w:customStyle="1" w:styleId="BoxBullet">
    <w:name w:val="BoxBullet"/>
    <w:basedOn w:val="Normal"/>
    <w:rsid w:val="000D034C"/>
    <w:pPr>
      <w:numPr>
        <w:numId w:val="29"/>
      </w:numPr>
      <w:pBdr>
        <w:top w:val="single" w:sz="4" w:space="4" w:color="000000"/>
        <w:left w:val="single" w:sz="4" w:space="4" w:color="000000"/>
        <w:bottom w:val="single" w:sz="4" w:space="4" w:color="000000"/>
        <w:right w:val="single" w:sz="4" w:space="4" w:color="000000"/>
      </w:pBdr>
      <w:spacing w:before="0" w:after="120" w:line="240" w:lineRule="auto"/>
    </w:pPr>
    <w:rPr>
      <w:rFonts w:eastAsia="Times New Roman" w:cs="Times New Roman"/>
      <w:color w:val="00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206">
      <w:bodyDiv w:val="1"/>
      <w:marLeft w:val="0"/>
      <w:marRight w:val="0"/>
      <w:marTop w:val="0"/>
      <w:marBottom w:val="0"/>
      <w:divBdr>
        <w:top w:val="none" w:sz="0" w:space="0" w:color="auto"/>
        <w:left w:val="none" w:sz="0" w:space="0" w:color="auto"/>
        <w:bottom w:val="none" w:sz="0" w:space="0" w:color="auto"/>
        <w:right w:val="none" w:sz="0" w:space="0" w:color="auto"/>
      </w:divBdr>
    </w:div>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41834542">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76681861">
      <w:bodyDiv w:val="1"/>
      <w:marLeft w:val="0"/>
      <w:marRight w:val="0"/>
      <w:marTop w:val="0"/>
      <w:marBottom w:val="0"/>
      <w:divBdr>
        <w:top w:val="none" w:sz="0" w:space="0" w:color="auto"/>
        <w:left w:val="none" w:sz="0" w:space="0" w:color="auto"/>
        <w:bottom w:val="none" w:sz="0" w:space="0" w:color="auto"/>
        <w:right w:val="none" w:sz="0" w:space="0" w:color="auto"/>
      </w:divBdr>
      <w:divsChild>
        <w:div w:id="789962">
          <w:marLeft w:val="0"/>
          <w:marRight w:val="0"/>
          <w:marTop w:val="0"/>
          <w:marBottom w:val="0"/>
          <w:divBdr>
            <w:top w:val="none" w:sz="0" w:space="0" w:color="auto"/>
            <w:left w:val="none" w:sz="0" w:space="0" w:color="auto"/>
            <w:bottom w:val="none" w:sz="0" w:space="0" w:color="auto"/>
            <w:right w:val="none" w:sz="0" w:space="0" w:color="auto"/>
          </w:divBdr>
          <w:divsChild>
            <w:div w:id="157775676">
              <w:marLeft w:val="0"/>
              <w:marRight w:val="0"/>
              <w:marTop w:val="0"/>
              <w:marBottom w:val="0"/>
              <w:divBdr>
                <w:top w:val="none" w:sz="0" w:space="0" w:color="auto"/>
                <w:left w:val="none" w:sz="0" w:space="0" w:color="auto"/>
                <w:bottom w:val="none" w:sz="0" w:space="0" w:color="auto"/>
                <w:right w:val="none" w:sz="0" w:space="0" w:color="auto"/>
              </w:divBdr>
            </w:div>
            <w:div w:id="305664766">
              <w:marLeft w:val="0"/>
              <w:marRight w:val="0"/>
              <w:marTop w:val="0"/>
              <w:marBottom w:val="0"/>
              <w:divBdr>
                <w:top w:val="none" w:sz="0" w:space="0" w:color="auto"/>
                <w:left w:val="none" w:sz="0" w:space="0" w:color="auto"/>
                <w:bottom w:val="none" w:sz="0" w:space="0" w:color="auto"/>
                <w:right w:val="none" w:sz="0" w:space="0" w:color="auto"/>
              </w:divBdr>
            </w:div>
            <w:div w:id="308095101">
              <w:marLeft w:val="0"/>
              <w:marRight w:val="0"/>
              <w:marTop w:val="0"/>
              <w:marBottom w:val="0"/>
              <w:divBdr>
                <w:top w:val="none" w:sz="0" w:space="0" w:color="auto"/>
                <w:left w:val="none" w:sz="0" w:space="0" w:color="auto"/>
                <w:bottom w:val="none" w:sz="0" w:space="0" w:color="auto"/>
                <w:right w:val="none" w:sz="0" w:space="0" w:color="auto"/>
              </w:divBdr>
            </w:div>
            <w:div w:id="352154996">
              <w:marLeft w:val="0"/>
              <w:marRight w:val="0"/>
              <w:marTop w:val="0"/>
              <w:marBottom w:val="0"/>
              <w:divBdr>
                <w:top w:val="none" w:sz="0" w:space="0" w:color="auto"/>
                <w:left w:val="none" w:sz="0" w:space="0" w:color="auto"/>
                <w:bottom w:val="none" w:sz="0" w:space="0" w:color="auto"/>
                <w:right w:val="none" w:sz="0" w:space="0" w:color="auto"/>
              </w:divBdr>
            </w:div>
            <w:div w:id="469245279">
              <w:marLeft w:val="0"/>
              <w:marRight w:val="0"/>
              <w:marTop w:val="0"/>
              <w:marBottom w:val="0"/>
              <w:divBdr>
                <w:top w:val="none" w:sz="0" w:space="0" w:color="auto"/>
                <w:left w:val="none" w:sz="0" w:space="0" w:color="auto"/>
                <w:bottom w:val="none" w:sz="0" w:space="0" w:color="auto"/>
                <w:right w:val="none" w:sz="0" w:space="0" w:color="auto"/>
              </w:divBdr>
            </w:div>
            <w:div w:id="472408183">
              <w:marLeft w:val="0"/>
              <w:marRight w:val="0"/>
              <w:marTop w:val="0"/>
              <w:marBottom w:val="0"/>
              <w:divBdr>
                <w:top w:val="none" w:sz="0" w:space="0" w:color="auto"/>
                <w:left w:val="none" w:sz="0" w:space="0" w:color="auto"/>
                <w:bottom w:val="none" w:sz="0" w:space="0" w:color="auto"/>
                <w:right w:val="none" w:sz="0" w:space="0" w:color="auto"/>
              </w:divBdr>
            </w:div>
            <w:div w:id="735931445">
              <w:marLeft w:val="0"/>
              <w:marRight w:val="0"/>
              <w:marTop w:val="0"/>
              <w:marBottom w:val="0"/>
              <w:divBdr>
                <w:top w:val="none" w:sz="0" w:space="0" w:color="auto"/>
                <w:left w:val="none" w:sz="0" w:space="0" w:color="auto"/>
                <w:bottom w:val="none" w:sz="0" w:space="0" w:color="auto"/>
                <w:right w:val="none" w:sz="0" w:space="0" w:color="auto"/>
              </w:divBdr>
            </w:div>
            <w:div w:id="1183779897">
              <w:marLeft w:val="0"/>
              <w:marRight w:val="0"/>
              <w:marTop w:val="0"/>
              <w:marBottom w:val="0"/>
              <w:divBdr>
                <w:top w:val="none" w:sz="0" w:space="0" w:color="auto"/>
                <w:left w:val="none" w:sz="0" w:space="0" w:color="auto"/>
                <w:bottom w:val="none" w:sz="0" w:space="0" w:color="auto"/>
                <w:right w:val="none" w:sz="0" w:space="0" w:color="auto"/>
              </w:divBdr>
            </w:div>
            <w:div w:id="1417945020">
              <w:marLeft w:val="0"/>
              <w:marRight w:val="0"/>
              <w:marTop w:val="0"/>
              <w:marBottom w:val="0"/>
              <w:divBdr>
                <w:top w:val="none" w:sz="0" w:space="0" w:color="auto"/>
                <w:left w:val="none" w:sz="0" w:space="0" w:color="auto"/>
                <w:bottom w:val="none" w:sz="0" w:space="0" w:color="auto"/>
                <w:right w:val="none" w:sz="0" w:space="0" w:color="auto"/>
              </w:divBdr>
            </w:div>
            <w:div w:id="1466118248">
              <w:marLeft w:val="0"/>
              <w:marRight w:val="0"/>
              <w:marTop w:val="0"/>
              <w:marBottom w:val="0"/>
              <w:divBdr>
                <w:top w:val="none" w:sz="0" w:space="0" w:color="auto"/>
                <w:left w:val="none" w:sz="0" w:space="0" w:color="auto"/>
                <w:bottom w:val="none" w:sz="0" w:space="0" w:color="auto"/>
                <w:right w:val="none" w:sz="0" w:space="0" w:color="auto"/>
              </w:divBdr>
            </w:div>
            <w:div w:id="1471705450">
              <w:marLeft w:val="0"/>
              <w:marRight w:val="0"/>
              <w:marTop w:val="0"/>
              <w:marBottom w:val="0"/>
              <w:divBdr>
                <w:top w:val="none" w:sz="0" w:space="0" w:color="auto"/>
                <w:left w:val="none" w:sz="0" w:space="0" w:color="auto"/>
                <w:bottom w:val="none" w:sz="0" w:space="0" w:color="auto"/>
                <w:right w:val="none" w:sz="0" w:space="0" w:color="auto"/>
              </w:divBdr>
            </w:div>
            <w:div w:id="1518736402">
              <w:marLeft w:val="0"/>
              <w:marRight w:val="0"/>
              <w:marTop w:val="0"/>
              <w:marBottom w:val="0"/>
              <w:divBdr>
                <w:top w:val="none" w:sz="0" w:space="0" w:color="auto"/>
                <w:left w:val="none" w:sz="0" w:space="0" w:color="auto"/>
                <w:bottom w:val="none" w:sz="0" w:space="0" w:color="auto"/>
                <w:right w:val="none" w:sz="0" w:space="0" w:color="auto"/>
              </w:divBdr>
            </w:div>
            <w:div w:id="1536574311">
              <w:marLeft w:val="0"/>
              <w:marRight w:val="0"/>
              <w:marTop w:val="0"/>
              <w:marBottom w:val="0"/>
              <w:divBdr>
                <w:top w:val="none" w:sz="0" w:space="0" w:color="auto"/>
                <w:left w:val="none" w:sz="0" w:space="0" w:color="auto"/>
                <w:bottom w:val="none" w:sz="0" w:space="0" w:color="auto"/>
                <w:right w:val="none" w:sz="0" w:space="0" w:color="auto"/>
              </w:divBdr>
            </w:div>
            <w:div w:id="1958484581">
              <w:marLeft w:val="0"/>
              <w:marRight w:val="0"/>
              <w:marTop w:val="0"/>
              <w:marBottom w:val="0"/>
              <w:divBdr>
                <w:top w:val="none" w:sz="0" w:space="0" w:color="auto"/>
                <w:left w:val="none" w:sz="0" w:space="0" w:color="auto"/>
                <w:bottom w:val="none" w:sz="0" w:space="0" w:color="auto"/>
                <w:right w:val="none" w:sz="0" w:space="0" w:color="auto"/>
              </w:divBdr>
            </w:div>
            <w:div w:id="2050522198">
              <w:marLeft w:val="0"/>
              <w:marRight w:val="0"/>
              <w:marTop w:val="0"/>
              <w:marBottom w:val="0"/>
              <w:divBdr>
                <w:top w:val="none" w:sz="0" w:space="0" w:color="auto"/>
                <w:left w:val="none" w:sz="0" w:space="0" w:color="auto"/>
                <w:bottom w:val="none" w:sz="0" w:space="0" w:color="auto"/>
                <w:right w:val="none" w:sz="0" w:space="0" w:color="auto"/>
              </w:divBdr>
            </w:div>
          </w:divsChild>
        </w:div>
        <w:div w:id="55708774">
          <w:marLeft w:val="0"/>
          <w:marRight w:val="0"/>
          <w:marTop w:val="0"/>
          <w:marBottom w:val="0"/>
          <w:divBdr>
            <w:top w:val="none" w:sz="0" w:space="0" w:color="auto"/>
            <w:left w:val="none" w:sz="0" w:space="0" w:color="auto"/>
            <w:bottom w:val="none" w:sz="0" w:space="0" w:color="auto"/>
            <w:right w:val="none" w:sz="0" w:space="0" w:color="auto"/>
          </w:divBdr>
          <w:divsChild>
            <w:div w:id="554051972">
              <w:marLeft w:val="0"/>
              <w:marRight w:val="0"/>
              <w:marTop w:val="0"/>
              <w:marBottom w:val="0"/>
              <w:divBdr>
                <w:top w:val="none" w:sz="0" w:space="0" w:color="auto"/>
                <w:left w:val="none" w:sz="0" w:space="0" w:color="auto"/>
                <w:bottom w:val="none" w:sz="0" w:space="0" w:color="auto"/>
                <w:right w:val="none" w:sz="0" w:space="0" w:color="auto"/>
              </w:divBdr>
            </w:div>
            <w:div w:id="1817066066">
              <w:marLeft w:val="0"/>
              <w:marRight w:val="0"/>
              <w:marTop w:val="0"/>
              <w:marBottom w:val="0"/>
              <w:divBdr>
                <w:top w:val="none" w:sz="0" w:space="0" w:color="auto"/>
                <w:left w:val="none" w:sz="0" w:space="0" w:color="auto"/>
                <w:bottom w:val="none" w:sz="0" w:space="0" w:color="auto"/>
                <w:right w:val="none" w:sz="0" w:space="0" w:color="auto"/>
              </w:divBdr>
            </w:div>
            <w:div w:id="1851136876">
              <w:marLeft w:val="0"/>
              <w:marRight w:val="0"/>
              <w:marTop w:val="0"/>
              <w:marBottom w:val="0"/>
              <w:divBdr>
                <w:top w:val="none" w:sz="0" w:space="0" w:color="auto"/>
                <w:left w:val="none" w:sz="0" w:space="0" w:color="auto"/>
                <w:bottom w:val="none" w:sz="0" w:space="0" w:color="auto"/>
                <w:right w:val="none" w:sz="0" w:space="0" w:color="auto"/>
              </w:divBdr>
            </w:div>
            <w:div w:id="1909877370">
              <w:marLeft w:val="0"/>
              <w:marRight w:val="0"/>
              <w:marTop w:val="0"/>
              <w:marBottom w:val="0"/>
              <w:divBdr>
                <w:top w:val="none" w:sz="0" w:space="0" w:color="auto"/>
                <w:left w:val="none" w:sz="0" w:space="0" w:color="auto"/>
                <w:bottom w:val="none" w:sz="0" w:space="0" w:color="auto"/>
                <w:right w:val="none" w:sz="0" w:space="0" w:color="auto"/>
              </w:divBdr>
            </w:div>
            <w:div w:id="1981573475">
              <w:marLeft w:val="0"/>
              <w:marRight w:val="0"/>
              <w:marTop w:val="0"/>
              <w:marBottom w:val="0"/>
              <w:divBdr>
                <w:top w:val="none" w:sz="0" w:space="0" w:color="auto"/>
                <w:left w:val="none" w:sz="0" w:space="0" w:color="auto"/>
                <w:bottom w:val="none" w:sz="0" w:space="0" w:color="auto"/>
                <w:right w:val="none" w:sz="0" w:space="0" w:color="auto"/>
              </w:divBdr>
            </w:div>
            <w:div w:id="1981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9824">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44648611">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363407561">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2236184">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85123022">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622462424">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761414894">
      <w:bodyDiv w:val="1"/>
      <w:marLeft w:val="0"/>
      <w:marRight w:val="0"/>
      <w:marTop w:val="0"/>
      <w:marBottom w:val="0"/>
      <w:divBdr>
        <w:top w:val="none" w:sz="0" w:space="0" w:color="auto"/>
        <w:left w:val="none" w:sz="0" w:space="0" w:color="auto"/>
        <w:bottom w:val="none" w:sz="0" w:space="0" w:color="auto"/>
        <w:right w:val="none" w:sz="0" w:space="0" w:color="auto"/>
      </w:divBdr>
      <w:divsChild>
        <w:div w:id="6097962">
          <w:marLeft w:val="0"/>
          <w:marRight w:val="0"/>
          <w:marTop w:val="0"/>
          <w:marBottom w:val="0"/>
          <w:divBdr>
            <w:top w:val="none" w:sz="0" w:space="0" w:color="auto"/>
            <w:left w:val="none" w:sz="0" w:space="0" w:color="auto"/>
            <w:bottom w:val="none" w:sz="0" w:space="0" w:color="auto"/>
            <w:right w:val="none" w:sz="0" w:space="0" w:color="auto"/>
          </w:divBdr>
          <w:divsChild>
            <w:div w:id="39477411">
              <w:marLeft w:val="0"/>
              <w:marRight w:val="0"/>
              <w:marTop w:val="0"/>
              <w:marBottom w:val="0"/>
              <w:divBdr>
                <w:top w:val="none" w:sz="0" w:space="0" w:color="auto"/>
                <w:left w:val="none" w:sz="0" w:space="0" w:color="auto"/>
                <w:bottom w:val="none" w:sz="0" w:space="0" w:color="auto"/>
                <w:right w:val="none" w:sz="0" w:space="0" w:color="auto"/>
              </w:divBdr>
            </w:div>
          </w:divsChild>
        </w:div>
        <w:div w:id="51276253">
          <w:marLeft w:val="0"/>
          <w:marRight w:val="0"/>
          <w:marTop w:val="0"/>
          <w:marBottom w:val="0"/>
          <w:divBdr>
            <w:top w:val="none" w:sz="0" w:space="0" w:color="auto"/>
            <w:left w:val="none" w:sz="0" w:space="0" w:color="auto"/>
            <w:bottom w:val="none" w:sz="0" w:space="0" w:color="auto"/>
            <w:right w:val="none" w:sz="0" w:space="0" w:color="auto"/>
          </w:divBdr>
          <w:divsChild>
            <w:div w:id="441535123">
              <w:marLeft w:val="0"/>
              <w:marRight w:val="0"/>
              <w:marTop w:val="0"/>
              <w:marBottom w:val="0"/>
              <w:divBdr>
                <w:top w:val="none" w:sz="0" w:space="0" w:color="auto"/>
                <w:left w:val="none" w:sz="0" w:space="0" w:color="auto"/>
                <w:bottom w:val="none" w:sz="0" w:space="0" w:color="auto"/>
                <w:right w:val="none" w:sz="0" w:space="0" w:color="auto"/>
              </w:divBdr>
            </w:div>
            <w:div w:id="1015424880">
              <w:marLeft w:val="0"/>
              <w:marRight w:val="0"/>
              <w:marTop w:val="0"/>
              <w:marBottom w:val="0"/>
              <w:divBdr>
                <w:top w:val="none" w:sz="0" w:space="0" w:color="auto"/>
                <w:left w:val="none" w:sz="0" w:space="0" w:color="auto"/>
                <w:bottom w:val="none" w:sz="0" w:space="0" w:color="auto"/>
                <w:right w:val="none" w:sz="0" w:space="0" w:color="auto"/>
              </w:divBdr>
            </w:div>
          </w:divsChild>
        </w:div>
        <w:div w:id="74205387">
          <w:marLeft w:val="0"/>
          <w:marRight w:val="0"/>
          <w:marTop w:val="0"/>
          <w:marBottom w:val="0"/>
          <w:divBdr>
            <w:top w:val="none" w:sz="0" w:space="0" w:color="auto"/>
            <w:left w:val="none" w:sz="0" w:space="0" w:color="auto"/>
            <w:bottom w:val="none" w:sz="0" w:space="0" w:color="auto"/>
            <w:right w:val="none" w:sz="0" w:space="0" w:color="auto"/>
          </w:divBdr>
          <w:divsChild>
            <w:div w:id="490172407">
              <w:marLeft w:val="0"/>
              <w:marRight w:val="0"/>
              <w:marTop w:val="0"/>
              <w:marBottom w:val="0"/>
              <w:divBdr>
                <w:top w:val="none" w:sz="0" w:space="0" w:color="auto"/>
                <w:left w:val="none" w:sz="0" w:space="0" w:color="auto"/>
                <w:bottom w:val="none" w:sz="0" w:space="0" w:color="auto"/>
                <w:right w:val="none" w:sz="0" w:space="0" w:color="auto"/>
              </w:divBdr>
            </w:div>
            <w:div w:id="2001033666">
              <w:marLeft w:val="0"/>
              <w:marRight w:val="0"/>
              <w:marTop w:val="0"/>
              <w:marBottom w:val="0"/>
              <w:divBdr>
                <w:top w:val="none" w:sz="0" w:space="0" w:color="auto"/>
                <w:left w:val="none" w:sz="0" w:space="0" w:color="auto"/>
                <w:bottom w:val="none" w:sz="0" w:space="0" w:color="auto"/>
                <w:right w:val="none" w:sz="0" w:space="0" w:color="auto"/>
              </w:divBdr>
            </w:div>
          </w:divsChild>
        </w:div>
        <w:div w:id="135727049">
          <w:marLeft w:val="0"/>
          <w:marRight w:val="0"/>
          <w:marTop w:val="0"/>
          <w:marBottom w:val="0"/>
          <w:divBdr>
            <w:top w:val="none" w:sz="0" w:space="0" w:color="auto"/>
            <w:left w:val="none" w:sz="0" w:space="0" w:color="auto"/>
            <w:bottom w:val="none" w:sz="0" w:space="0" w:color="auto"/>
            <w:right w:val="none" w:sz="0" w:space="0" w:color="auto"/>
          </w:divBdr>
          <w:divsChild>
            <w:div w:id="856890106">
              <w:marLeft w:val="0"/>
              <w:marRight w:val="0"/>
              <w:marTop w:val="0"/>
              <w:marBottom w:val="0"/>
              <w:divBdr>
                <w:top w:val="none" w:sz="0" w:space="0" w:color="auto"/>
                <w:left w:val="none" w:sz="0" w:space="0" w:color="auto"/>
                <w:bottom w:val="none" w:sz="0" w:space="0" w:color="auto"/>
                <w:right w:val="none" w:sz="0" w:space="0" w:color="auto"/>
              </w:divBdr>
            </w:div>
          </w:divsChild>
        </w:div>
        <w:div w:id="226301062">
          <w:marLeft w:val="0"/>
          <w:marRight w:val="0"/>
          <w:marTop w:val="0"/>
          <w:marBottom w:val="0"/>
          <w:divBdr>
            <w:top w:val="none" w:sz="0" w:space="0" w:color="auto"/>
            <w:left w:val="none" w:sz="0" w:space="0" w:color="auto"/>
            <w:bottom w:val="none" w:sz="0" w:space="0" w:color="auto"/>
            <w:right w:val="none" w:sz="0" w:space="0" w:color="auto"/>
          </w:divBdr>
          <w:divsChild>
            <w:div w:id="540286802">
              <w:marLeft w:val="0"/>
              <w:marRight w:val="0"/>
              <w:marTop w:val="0"/>
              <w:marBottom w:val="0"/>
              <w:divBdr>
                <w:top w:val="none" w:sz="0" w:space="0" w:color="auto"/>
                <w:left w:val="none" w:sz="0" w:space="0" w:color="auto"/>
                <w:bottom w:val="none" w:sz="0" w:space="0" w:color="auto"/>
                <w:right w:val="none" w:sz="0" w:space="0" w:color="auto"/>
              </w:divBdr>
            </w:div>
          </w:divsChild>
        </w:div>
        <w:div w:id="265620459">
          <w:marLeft w:val="0"/>
          <w:marRight w:val="0"/>
          <w:marTop w:val="0"/>
          <w:marBottom w:val="0"/>
          <w:divBdr>
            <w:top w:val="none" w:sz="0" w:space="0" w:color="auto"/>
            <w:left w:val="none" w:sz="0" w:space="0" w:color="auto"/>
            <w:bottom w:val="none" w:sz="0" w:space="0" w:color="auto"/>
            <w:right w:val="none" w:sz="0" w:space="0" w:color="auto"/>
          </w:divBdr>
          <w:divsChild>
            <w:div w:id="696084317">
              <w:marLeft w:val="0"/>
              <w:marRight w:val="0"/>
              <w:marTop w:val="0"/>
              <w:marBottom w:val="0"/>
              <w:divBdr>
                <w:top w:val="none" w:sz="0" w:space="0" w:color="auto"/>
                <w:left w:val="none" w:sz="0" w:space="0" w:color="auto"/>
                <w:bottom w:val="none" w:sz="0" w:space="0" w:color="auto"/>
                <w:right w:val="none" w:sz="0" w:space="0" w:color="auto"/>
              </w:divBdr>
            </w:div>
          </w:divsChild>
        </w:div>
        <w:div w:id="275600305">
          <w:marLeft w:val="0"/>
          <w:marRight w:val="0"/>
          <w:marTop w:val="0"/>
          <w:marBottom w:val="0"/>
          <w:divBdr>
            <w:top w:val="none" w:sz="0" w:space="0" w:color="auto"/>
            <w:left w:val="none" w:sz="0" w:space="0" w:color="auto"/>
            <w:bottom w:val="none" w:sz="0" w:space="0" w:color="auto"/>
            <w:right w:val="none" w:sz="0" w:space="0" w:color="auto"/>
          </w:divBdr>
          <w:divsChild>
            <w:div w:id="2007051100">
              <w:marLeft w:val="0"/>
              <w:marRight w:val="0"/>
              <w:marTop w:val="0"/>
              <w:marBottom w:val="0"/>
              <w:divBdr>
                <w:top w:val="none" w:sz="0" w:space="0" w:color="auto"/>
                <w:left w:val="none" w:sz="0" w:space="0" w:color="auto"/>
                <w:bottom w:val="none" w:sz="0" w:space="0" w:color="auto"/>
                <w:right w:val="none" w:sz="0" w:space="0" w:color="auto"/>
              </w:divBdr>
            </w:div>
          </w:divsChild>
        </w:div>
        <w:div w:id="307175394">
          <w:marLeft w:val="0"/>
          <w:marRight w:val="0"/>
          <w:marTop w:val="0"/>
          <w:marBottom w:val="0"/>
          <w:divBdr>
            <w:top w:val="none" w:sz="0" w:space="0" w:color="auto"/>
            <w:left w:val="none" w:sz="0" w:space="0" w:color="auto"/>
            <w:bottom w:val="none" w:sz="0" w:space="0" w:color="auto"/>
            <w:right w:val="none" w:sz="0" w:space="0" w:color="auto"/>
          </w:divBdr>
          <w:divsChild>
            <w:div w:id="279068794">
              <w:marLeft w:val="0"/>
              <w:marRight w:val="0"/>
              <w:marTop w:val="0"/>
              <w:marBottom w:val="0"/>
              <w:divBdr>
                <w:top w:val="none" w:sz="0" w:space="0" w:color="auto"/>
                <w:left w:val="none" w:sz="0" w:space="0" w:color="auto"/>
                <w:bottom w:val="none" w:sz="0" w:space="0" w:color="auto"/>
                <w:right w:val="none" w:sz="0" w:space="0" w:color="auto"/>
              </w:divBdr>
            </w:div>
            <w:div w:id="1393196591">
              <w:marLeft w:val="0"/>
              <w:marRight w:val="0"/>
              <w:marTop w:val="0"/>
              <w:marBottom w:val="0"/>
              <w:divBdr>
                <w:top w:val="none" w:sz="0" w:space="0" w:color="auto"/>
                <w:left w:val="none" w:sz="0" w:space="0" w:color="auto"/>
                <w:bottom w:val="none" w:sz="0" w:space="0" w:color="auto"/>
                <w:right w:val="none" w:sz="0" w:space="0" w:color="auto"/>
              </w:divBdr>
            </w:div>
          </w:divsChild>
        </w:div>
        <w:div w:id="340007843">
          <w:marLeft w:val="0"/>
          <w:marRight w:val="0"/>
          <w:marTop w:val="0"/>
          <w:marBottom w:val="0"/>
          <w:divBdr>
            <w:top w:val="none" w:sz="0" w:space="0" w:color="auto"/>
            <w:left w:val="none" w:sz="0" w:space="0" w:color="auto"/>
            <w:bottom w:val="none" w:sz="0" w:space="0" w:color="auto"/>
            <w:right w:val="none" w:sz="0" w:space="0" w:color="auto"/>
          </w:divBdr>
          <w:divsChild>
            <w:div w:id="1758475554">
              <w:marLeft w:val="0"/>
              <w:marRight w:val="0"/>
              <w:marTop w:val="0"/>
              <w:marBottom w:val="0"/>
              <w:divBdr>
                <w:top w:val="none" w:sz="0" w:space="0" w:color="auto"/>
                <w:left w:val="none" w:sz="0" w:space="0" w:color="auto"/>
                <w:bottom w:val="none" w:sz="0" w:space="0" w:color="auto"/>
                <w:right w:val="none" w:sz="0" w:space="0" w:color="auto"/>
              </w:divBdr>
            </w:div>
            <w:div w:id="1852721681">
              <w:marLeft w:val="0"/>
              <w:marRight w:val="0"/>
              <w:marTop w:val="0"/>
              <w:marBottom w:val="0"/>
              <w:divBdr>
                <w:top w:val="none" w:sz="0" w:space="0" w:color="auto"/>
                <w:left w:val="none" w:sz="0" w:space="0" w:color="auto"/>
                <w:bottom w:val="none" w:sz="0" w:space="0" w:color="auto"/>
                <w:right w:val="none" w:sz="0" w:space="0" w:color="auto"/>
              </w:divBdr>
            </w:div>
          </w:divsChild>
        </w:div>
        <w:div w:id="347414288">
          <w:marLeft w:val="0"/>
          <w:marRight w:val="0"/>
          <w:marTop w:val="0"/>
          <w:marBottom w:val="0"/>
          <w:divBdr>
            <w:top w:val="none" w:sz="0" w:space="0" w:color="auto"/>
            <w:left w:val="none" w:sz="0" w:space="0" w:color="auto"/>
            <w:bottom w:val="none" w:sz="0" w:space="0" w:color="auto"/>
            <w:right w:val="none" w:sz="0" w:space="0" w:color="auto"/>
          </w:divBdr>
          <w:divsChild>
            <w:div w:id="746995804">
              <w:marLeft w:val="0"/>
              <w:marRight w:val="0"/>
              <w:marTop w:val="0"/>
              <w:marBottom w:val="0"/>
              <w:divBdr>
                <w:top w:val="none" w:sz="0" w:space="0" w:color="auto"/>
                <w:left w:val="none" w:sz="0" w:space="0" w:color="auto"/>
                <w:bottom w:val="none" w:sz="0" w:space="0" w:color="auto"/>
                <w:right w:val="none" w:sz="0" w:space="0" w:color="auto"/>
              </w:divBdr>
            </w:div>
          </w:divsChild>
        </w:div>
        <w:div w:id="350184453">
          <w:marLeft w:val="0"/>
          <w:marRight w:val="0"/>
          <w:marTop w:val="0"/>
          <w:marBottom w:val="0"/>
          <w:divBdr>
            <w:top w:val="none" w:sz="0" w:space="0" w:color="auto"/>
            <w:left w:val="none" w:sz="0" w:space="0" w:color="auto"/>
            <w:bottom w:val="none" w:sz="0" w:space="0" w:color="auto"/>
            <w:right w:val="none" w:sz="0" w:space="0" w:color="auto"/>
          </w:divBdr>
          <w:divsChild>
            <w:div w:id="788664358">
              <w:marLeft w:val="0"/>
              <w:marRight w:val="0"/>
              <w:marTop w:val="0"/>
              <w:marBottom w:val="0"/>
              <w:divBdr>
                <w:top w:val="none" w:sz="0" w:space="0" w:color="auto"/>
                <w:left w:val="none" w:sz="0" w:space="0" w:color="auto"/>
                <w:bottom w:val="none" w:sz="0" w:space="0" w:color="auto"/>
                <w:right w:val="none" w:sz="0" w:space="0" w:color="auto"/>
              </w:divBdr>
            </w:div>
            <w:div w:id="1338268823">
              <w:marLeft w:val="0"/>
              <w:marRight w:val="0"/>
              <w:marTop w:val="0"/>
              <w:marBottom w:val="0"/>
              <w:divBdr>
                <w:top w:val="none" w:sz="0" w:space="0" w:color="auto"/>
                <w:left w:val="none" w:sz="0" w:space="0" w:color="auto"/>
                <w:bottom w:val="none" w:sz="0" w:space="0" w:color="auto"/>
                <w:right w:val="none" w:sz="0" w:space="0" w:color="auto"/>
              </w:divBdr>
            </w:div>
          </w:divsChild>
        </w:div>
        <w:div w:id="360085375">
          <w:marLeft w:val="0"/>
          <w:marRight w:val="0"/>
          <w:marTop w:val="0"/>
          <w:marBottom w:val="0"/>
          <w:divBdr>
            <w:top w:val="none" w:sz="0" w:space="0" w:color="auto"/>
            <w:left w:val="none" w:sz="0" w:space="0" w:color="auto"/>
            <w:bottom w:val="none" w:sz="0" w:space="0" w:color="auto"/>
            <w:right w:val="none" w:sz="0" w:space="0" w:color="auto"/>
          </w:divBdr>
          <w:divsChild>
            <w:div w:id="109906598">
              <w:marLeft w:val="0"/>
              <w:marRight w:val="0"/>
              <w:marTop w:val="0"/>
              <w:marBottom w:val="0"/>
              <w:divBdr>
                <w:top w:val="none" w:sz="0" w:space="0" w:color="auto"/>
                <w:left w:val="none" w:sz="0" w:space="0" w:color="auto"/>
                <w:bottom w:val="none" w:sz="0" w:space="0" w:color="auto"/>
                <w:right w:val="none" w:sz="0" w:space="0" w:color="auto"/>
              </w:divBdr>
            </w:div>
            <w:div w:id="264923262">
              <w:marLeft w:val="0"/>
              <w:marRight w:val="0"/>
              <w:marTop w:val="0"/>
              <w:marBottom w:val="0"/>
              <w:divBdr>
                <w:top w:val="none" w:sz="0" w:space="0" w:color="auto"/>
                <w:left w:val="none" w:sz="0" w:space="0" w:color="auto"/>
                <w:bottom w:val="none" w:sz="0" w:space="0" w:color="auto"/>
                <w:right w:val="none" w:sz="0" w:space="0" w:color="auto"/>
              </w:divBdr>
            </w:div>
            <w:div w:id="1506744782">
              <w:marLeft w:val="0"/>
              <w:marRight w:val="0"/>
              <w:marTop w:val="0"/>
              <w:marBottom w:val="0"/>
              <w:divBdr>
                <w:top w:val="none" w:sz="0" w:space="0" w:color="auto"/>
                <w:left w:val="none" w:sz="0" w:space="0" w:color="auto"/>
                <w:bottom w:val="none" w:sz="0" w:space="0" w:color="auto"/>
                <w:right w:val="none" w:sz="0" w:space="0" w:color="auto"/>
              </w:divBdr>
            </w:div>
          </w:divsChild>
        </w:div>
        <w:div w:id="395012841">
          <w:marLeft w:val="0"/>
          <w:marRight w:val="0"/>
          <w:marTop w:val="0"/>
          <w:marBottom w:val="0"/>
          <w:divBdr>
            <w:top w:val="none" w:sz="0" w:space="0" w:color="auto"/>
            <w:left w:val="none" w:sz="0" w:space="0" w:color="auto"/>
            <w:bottom w:val="none" w:sz="0" w:space="0" w:color="auto"/>
            <w:right w:val="none" w:sz="0" w:space="0" w:color="auto"/>
          </w:divBdr>
          <w:divsChild>
            <w:div w:id="751583197">
              <w:marLeft w:val="0"/>
              <w:marRight w:val="0"/>
              <w:marTop w:val="0"/>
              <w:marBottom w:val="0"/>
              <w:divBdr>
                <w:top w:val="none" w:sz="0" w:space="0" w:color="auto"/>
                <w:left w:val="none" w:sz="0" w:space="0" w:color="auto"/>
                <w:bottom w:val="none" w:sz="0" w:space="0" w:color="auto"/>
                <w:right w:val="none" w:sz="0" w:space="0" w:color="auto"/>
              </w:divBdr>
            </w:div>
          </w:divsChild>
        </w:div>
        <w:div w:id="403115008">
          <w:marLeft w:val="0"/>
          <w:marRight w:val="0"/>
          <w:marTop w:val="0"/>
          <w:marBottom w:val="0"/>
          <w:divBdr>
            <w:top w:val="none" w:sz="0" w:space="0" w:color="auto"/>
            <w:left w:val="none" w:sz="0" w:space="0" w:color="auto"/>
            <w:bottom w:val="none" w:sz="0" w:space="0" w:color="auto"/>
            <w:right w:val="none" w:sz="0" w:space="0" w:color="auto"/>
          </w:divBdr>
          <w:divsChild>
            <w:div w:id="1382090710">
              <w:marLeft w:val="0"/>
              <w:marRight w:val="0"/>
              <w:marTop w:val="0"/>
              <w:marBottom w:val="0"/>
              <w:divBdr>
                <w:top w:val="none" w:sz="0" w:space="0" w:color="auto"/>
                <w:left w:val="none" w:sz="0" w:space="0" w:color="auto"/>
                <w:bottom w:val="none" w:sz="0" w:space="0" w:color="auto"/>
                <w:right w:val="none" w:sz="0" w:space="0" w:color="auto"/>
              </w:divBdr>
            </w:div>
            <w:div w:id="1584291805">
              <w:marLeft w:val="0"/>
              <w:marRight w:val="0"/>
              <w:marTop w:val="0"/>
              <w:marBottom w:val="0"/>
              <w:divBdr>
                <w:top w:val="none" w:sz="0" w:space="0" w:color="auto"/>
                <w:left w:val="none" w:sz="0" w:space="0" w:color="auto"/>
                <w:bottom w:val="none" w:sz="0" w:space="0" w:color="auto"/>
                <w:right w:val="none" w:sz="0" w:space="0" w:color="auto"/>
              </w:divBdr>
            </w:div>
          </w:divsChild>
        </w:div>
        <w:div w:id="492918542">
          <w:marLeft w:val="0"/>
          <w:marRight w:val="0"/>
          <w:marTop w:val="0"/>
          <w:marBottom w:val="0"/>
          <w:divBdr>
            <w:top w:val="none" w:sz="0" w:space="0" w:color="auto"/>
            <w:left w:val="none" w:sz="0" w:space="0" w:color="auto"/>
            <w:bottom w:val="none" w:sz="0" w:space="0" w:color="auto"/>
            <w:right w:val="none" w:sz="0" w:space="0" w:color="auto"/>
          </w:divBdr>
          <w:divsChild>
            <w:div w:id="1120951747">
              <w:marLeft w:val="0"/>
              <w:marRight w:val="0"/>
              <w:marTop w:val="0"/>
              <w:marBottom w:val="0"/>
              <w:divBdr>
                <w:top w:val="none" w:sz="0" w:space="0" w:color="auto"/>
                <w:left w:val="none" w:sz="0" w:space="0" w:color="auto"/>
                <w:bottom w:val="none" w:sz="0" w:space="0" w:color="auto"/>
                <w:right w:val="none" w:sz="0" w:space="0" w:color="auto"/>
              </w:divBdr>
            </w:div>
          </w:divsChild>
        </w:div>
        <w:div w:id="742532623">
          <w:marLeft w:val="0"/>
          <w:marRight w:val="0"/>
          <w:marTop w:val="0"/>
          <w:marBottom w:val="0"/>
          <w:divBdr>
            <w:top w:val="none" w:sz="0" w:space="0" w:color="auto"/>
            <w:left w:val="none" w:sz="0" w:space="0" w:color="auto"/>
            <w:bottom w:val="none" w:sz="0" w:space="0" w:color="auto"/>
            <w:right w:val="none" w:sz="0" w:space="0" w:color="auto"/>
          </w:divBdr>
          <w:divsChild>
            <w:div w:id="171527705">
              <w:marLeft w:val="0"/>
              <w:marRight w:val="0"/>
              <w:marTop w:val="0"/>
              <w:marBottom w:val="0"/>
              <w:divBdr>
                <w:top w:val="none" w:sz="0" w:space="0" w:color="auto"/>
                <w:left w:val="none" w:sz="0" w:space="0" w:color="auto"/>
                <w:bottom w:val="none" w:sz="0" w:space="0" w:color="auto"/>
                <w:right w:val="none" w:sz="0" w:space="0" w:color="auto"/>
              </w:divBdr>
            </w:div>
          </w:divsChild>
        </w:div>
        <w:div w:id="806169781">
          <w:marLeft w:val="0"/>
          <w:marRight w:val="0"/>
          <w:marTop w:val="0"/>
          <w:marBottom w:val="0"/>
          <w:divBdr>
            <w:top w:val="none" w:sz="0" w:space="0" w:color="auto"/>
            <w:left w:val="none" w:sz="0" w:space="0" w:color="auto"/>
            <w:bottom w:val="none" w:sz="0" w:space="0" w:color="auto"/>
            <w:right w:val="none" w:sz="0" w:space="0" w:color="auto"/>
          </w:divBdr>
          <w:divsChild>
            <w:div w:id="556819625">
              <w:marLeft w:val="0"/>
              <w:marRight w:val="0"/>
              <w:marTop w:val="0"/>
              <w:marBottom w:val="0"/>
              <w:divBdr>
                <w:top w:val="none" w:sz="0" w:space="0" w:color="auto"/>
                <w:left w:val="none" w:sz="0" w:space="0" w:color="auto"/>
                <w:bottom w:val="none" w:sz="0" w:space="0" w:color="auto"/>
                <w:right w:val="none" w:sz="0" w:space="0" w:color="auto"/>
              </w:divBdr>
            </w:div>
            <w:div w:id="1089039702">
              <w:marLeft w:val="0"/>
              <w:marRight w:val="0"/>
              <w:marTop w:val="0"/>
              <w:marBottom w:val="0"/>
              <w:divBdr>
                <w:top w:val="none" w:sz="0" w:space="0" w:color="auto"/>
                <w:left w:val="none" w:sz="0" w:space="0" w:color="auto"/>
                <w:bottom w:val="none" w:sz="0" w:space="0" w:color="auto"/>
                <w:right w:val="none" w:sz="0" w:space="0" w:color="auto"/>
              </w:divBdr>
            </w:div>
            <w:div w:id="1656687174">
              <w:marLeft w:val="0"/>
              <w:marRight w:val="0"/>
              <w:marTop w:val="0"/>
              <w:marBottom w:val="0"/>
              <w:divBdr>
                <w:top w:val="none" w:sz="0" w:space="0" w:color="auto"/>
                <w:left w:val="none" w:sz="0" w:space="0" w:color="auto"/>
                <w:bottom w:val="none" w:sz="0" w:space="0" w:color="auto"/>
                <w:right w:val="none" w:sz="0" w:space="0" w:color="auto"/>
              </w:divBdr>
            </w:div>
          </w:divsChild>
        </w:div>
        <w:div w:id="850492663">
          <w:marLeft w:val="0"/>
          <w:marRight w:val="0"/>
          <w:marTop w:val="0"/>
          <w:marBottom w:val="0"/>
          <w:divBdr>
            <w:top w:val="none" w:sz="0" w:space="0" w:color="auto"/>
            <w:left w:val="none" w:sz="0" w:space="0" w:color="auto"/>
            <w:bottom w:val="none" w:sz="0" w:space="0" w:color="auto"/>
            <w:right w:val="none" w:sz="0" w:space="0" w:color="auto"/>
          </w:divBdr>
          <w:divsChild>
            <w:div w:id="1087919875">
              <w:marLeft w:val="0"/>
              <w:marRight w:val="0"/>
              <w:marTop w:val="0"/>
              <w:marBottom w:val="0"/>
              <w:divBdr>
                <w:top w:val="none" w:sz="0" w:space="0" w:color="auto"/>
                <w:left w:val="none" w:sz="0" w:space="0" w:color="auto"/>
                <w:bottom w:val="none" w:sz="0" w:space="0" w:color="auto"/>
                <w:right w:val="none" w:sz="0" w:space="0" w:color="auto"/>
              </w:divBdr>
            </w:div>
          </w:divsChild>
        </w:div>
        <w:div w:id="879630887">
          <w:marLeft w:val="0"/>
          <w:marRight w:val="0"/>
          <w:marTop w:val="0"/>
          <w:marBottom w:val="0"/>
          <w:divBdr>
            <w:top w:val="none" w:sz="0" w:space="0" w:color="auto"/>
            <w:left w:val="none" w:sz="0" w:space="0" w:color="auto"/>
            <w:bottom w:val="none" w:sz="0" w:space="0" w:color="auto"/>
            <w:right w:val="none" w:sz="0" w:space="0" w:color="auto"/>
          </w:divBdr>
          <w:divsChild>
            <w:div w:id="82944">
              <w:marLeft w:val="0"/>
              <w:marRight w:val="0"/>
              <w:marTop w:val="0"/>
              <w:marBottom w:val="0"/>
              <w:divBdr>
                <w:top w:val="none" w:sz="0" w:space="0" w:color="auto"/>
                <w:left w:val="none" w:sz="0" w:space="0" w:color="auto"/>
                <w:bottom w:val="none" w:sz="0" w:space="0" w:color="auto"/>
                <w:right w:val="none" w:sz="0" w:space="0" w:color="auto"/>
              </w:divBdr>
            </w:div>
            <w:div w:id="1093475940">
              <w:marLeft w:val="0"/>
              <w:marRight w:val="0"/>
              <w:marTop w:val="0"/>
              <w:marBottom w:val="0"/>
              <w:divBdr>
                <w:top w:val="none" w:sz="0" w:space="0" w:color="auto"/>
                <w:left w:val="none" w:sz="0" w:space="0" w:color="auto"/>
                <w:bottom w:val="none" w:sz="0" w:space="0" w:color="auto"/>
                <w:right w:val="none" w:sz="0" w:space="0" w:color="auto"/>
              </w:divBdr>
            </w:div>
            <w:div w:id="1167088251">
              <w:marLeft w:val="0"/>
              <w:marRight w:val="0"/>
              <w:marTop w:val="0"/>
              <w:marBottom w:val="0"/>
              <w:divBdr>
                <w:top w:val="none" w:sz="0" w:space="0" w:color="auto"/>
                <w:left w:val="none" w:sz="0" w:space="0" w:color="auto"/>
                <w:bottom w:val="none" w:sz="0" w:space="0" w:color="auto"/>
                <w:right w:val="none" w:sz="0" w:space="0" w:color="auto"/>
              </w:divBdr>
            </w:div>
          </w:divsChild>
        </w:div>
        <w:div w:id="892886051">
          <w:marLeft w:val="0"/>
          <w:marRight w:val="0"/>
          <w:marTop w:val="0"/>
          <w:marBottom w:val="0"/>
          <w:divBdr>
            <w:top w:val="none" w:sz="0" w:space="0" w:color="auto"/>
            <w:left w:val="none" w:sz="0" w:space="0" w:color="auto"/>
            <w:bottom w:val="none" w:sz="0" w:space="0" w:color="auto"/>
            <w:right w:val="none" w:sz="0" w:space="0" w:color="auto"/>
          </w:divBdr>
          <w:divsChild>
            <w:div w:id="255525586">
              <w:marLeft w:val="0"/>
              <w:marRight w:val="0"/>
              <w:marTop w:val="0"/>
              <w:marBottom w:val="0"/>
              <w:divBdr>
                <w:top w:val="none" w:sz="0" w:space="0" w:color="auto"/>
                <w:left w:val="none" w:sz="0" w:space="0" w:color="auto"/>
                <w:bottom w:val="none" w:sz="0" w:space="0" w:color="auto"/>
                <w:right w:val="none" w:sz="0" w:space="0" w:color="auto"/>
              </w:divBdr>
            </w:div>
          </w:divsChild>
        </w:div>
        <w:div w:id="899823494">
          <w:marLeft w:val="0"/>
          <w:marRight w:val="0"/>
          <w:marTop w:val="0"/>
          <w:marBottom w:val="0"/>
          <w:divBdr>
            <w:top w:val="none" w:sz="0" w:space="0" w:color="auto"/>
            <w:left w:val="none" w:sz="0" w:space="0" w:color="auto"/>
            <w:bottom w:val="none" w:sz="0" w:space="0" w:color="auto"/>
            <w:right w:val="none" w:sz="0" w:space="0" w:color="auto"/>
          </w:divBdr>
          <w:divsChild>
            <w:div w:id="286357237">
              <w:marLeft w:val="0"/>
              <w:marRight w:val="0"/>
              <w:marTop w:val="0"/>
              <w:marBottom w:val="0"/>
              <w:divBdr>
                <w:top w:val="none" w:sz="0" w:space="0" w:color="auto"/>
                <w:left w:val="none" w:sz="0" w:space="0" w:color="auto"/>
                <w:bottom w:val="none" w:sz="0" w:space="0" w:color="auto"/>
                <w:right w:val="none" w:sz="0" w:space="0" w:color="auto"/>
              </w:divBdr>
            </w:div>
            <w:div w:id="1924754553">
              <w:marLeft w:val="0"/>
              <w:marRight w:val="0"/>
              <w:marTop w:val="0"/>
              <w:marBottom w:val="0"/>
              <w:divBdr>
                <w:top w:val="none" w:sz="0" w:space="0" w:color="auto"/>
                <w:left w:val="none" w:sz="0" w:space="0" w:color="auto"/>
                <w:bottom w:val="none" w:sz="0" w:space="0" w:color="auto"/>
                <w:right w:val="none" w:sz="0" w:space="0" w:color="auto"/>
              </w:divBdr>
            </w:div>
          </w:divsChild>
        </w:div>
        <w:div w:id="913585829">
          <w:marLeft w:val="0"/>
          <w:marRight w:val="0"/>
          <w:marTop w:val="0"/>
          <w:marBottom w:val="0"/>
          <w:divBdr>
            <w:top w:val="none" w:sz="0" w:space="0" w:color="auto"/>
            <w:left w:val="none" w:sz="0" w:space="0" w:color="auto"/>
            <w:bottom w:val="none" w:sz="0" w:space="0" w:color="auto"/>
            <w:right w:val="none" w:sz="0" w:space="0" w:color="auto"/>
          </w:divBdr>
          <w:divsChild>
            <w:div w:id="431172829">
              <w:marLeft w:val="0"/>
              <w:marRight w:val="0"/>
              <w:marTop w:val="0"/>
              <w:marBottom w:val="0"/>
              <w:divBdr>
                <w:top w:val="none" w:sz="0" w:space="0" w:color="auto"/>
                <w:left w:val="none" w:sz="0" w:space="0" w:color="auto"/>
                <w:bottom w:val="none" w:sz="0" w:space="0" w:color="auto"/>
                <w:right w:val="none" w:sz="0" w:space="0" w:color="auto"/>
              </w:divBdr>
            </w:div>
          </w:divsChild>
        </w:div>
        <w:div w:id="986668716">
          <w:marLeft w:val="0"/>
          <w:marRight w:val="0"/>
          <w:marTop w:val="0"/>
          <w:marBottom w:val="0"/>
          <w:divBdr>
            <w:top w:val="none" w:sz="0" w:space="0" w:color="auto"/>
            <w:left w:val="none" w:sz="0" w:space="0" w:color="auto"/>
            <w:bottom w:val="none" w:sz="0" w:space="0" w:color="auto"/>
            <w:right w:val="none" w:sz="0" w:space="0" w:color="auto"/>
          </w:divBdr>
          <w:divsChild>
            <w:div w:id="501967563">
              <w:marLeft w:val="0"/>
              <w:marRight w:val="0"/>
              <w:marTop w:val="0"/>
              <w:marBottom w:val="0"/>
              <w:divBdr>
                <w:top w:val="none" w:sz="0" w:space="0" w:color="auto"/>
                <w:left w:val="none" w:sz="0" w:space="0" w:color="auto"/>
                <w:bottom w:val="none" w:sz="0" w:space="0" w:color="auto"/>
                <w:right w:val="none" w:sz="0" w:space="0" w:color="auto"/>
              </w:divBdr>
            </w:div>
            <w:div w:id="656229199">
              <w:marLeft w:val="0"/>
              <w:marRight w:val="0"/>
              <w:marTop w:val="0"/>
              <w:marBottom w:val="0"/>
              <w:divBdr>
                <w:top w:val="none" w:sz="0" w:space="0" w:color="auto"/>
                <w:left w:val="none" w:sz="0" w:space="0" w:color="auto"/>
                <w:bottom w:val="none" w:sz="0" w:space="0" w:color="auto"/>
                <w:right w:val="none" w:sz="0" w:space="0" w:color="auto"/>
              </w:divBdr>
            </w:div>
          </w:divsChild>
        </w:div>
        <w:div w:id="991251319">
          <w:marLeft w:val="0"/>
          <w:marRight w:val="0"/>
          <w:marTop w:val="0"/>
          <w:marBottom w:val="0"/>
          <w:divBdr>
            <w:top w:val="none" w:sz="0" w:space="0" w:color="auto"/>
            <w:left w:val="none" w:sz="0" w:space="0" w:color="auto"/>
            <w:bottom w:val="none" w:sz="0" w:space="0" w:color="auto"/>
            <w:right w:val="none" w:sz="0" w:space="0" w:color="auto"/>
          </w:divBdr>
          <w:divsChild>
            <w:div w:id="991717028">
              <w:marLeft w:val="0"/>
              <w:marRight w:val="0"/>
              <w:marTop w:val="0"/>
              <w:marBottom w:val="0"/>
              <w:divBdr>
                <w:top w:val="none" w:sz="0" w:space="0" w:color="auto"/>
                <w:left w:val="none" w:sz="0" w:space="0" w:color="auto"/>
                <w:bottom w:val="none" w:sz="0" w:space="0" w:color="auto"/>
                <w:right w:val="none" w:sz="0" w:space="0" w:color="auto"/>
              </w:divBdr>
            </w:div>
          </w:divsChild>
        </w:div>
        <w:div w:id="1041829885">
          <w:marLeft w:val="0"/>
          <w:marRight w:val="0"/>
          <w:marTop w:val="0"/>
          <w:marBottom w:val="0"/>
          <w:divBdr>
            <w:top w:val="none" w:sz="0" w:space="0" w:color="auto"/>
            <w:left w:val="none" w:sz="0" w:space="0" w:color="auto"/>
            <w:bottom w:val="none" w:sz="0" w:space="0" w:color="auto"/>
            <w:right w:val="none" w:sz="0" w:space="0" w:color="auto"/>
          </w:divBdr>
          <w:divsChild>
            <w:div w:id="1207837980">
              <w:marLeft w:val="0"/>
              <w:marRight w:val="0"/>
              <w:marTop w:val="0"/>
              <w:marBottom w:val="0"/>
              <w:divBdr>
                <w:top w:val="none" w:sz="0" w:space="0" w:color="auto"/>
                <w:left w:val="none" w:sz="0" w:space="0" w:color="auto"/>
                <w:bottom w:val="none" w:sz="0" w:space="0" w:color="auto"/>
                <w:right w:val="none" w:sz="0" w:space="0" w:color="auto"/>
              </w:divBdr>
            </w:div>
          </w:divsChild>
        </w:div>
        <w:div w:id="1042680169">
          <w:marLeft w:val="0"/>
          <w:marRight w:val="0"/>
          <w:marTop w:val="0"/>
          <w:marBottom w:val="0"/>
          <w:divBdr>
            <w:top w:val="none" w:sz="0" w:space="0" w:color="auto"/>
            <w:left w:val="none" w:sz="0" w:space="0" w:color="auto"/>
            <w:bottom w:val="none" w:sz="0" w:space="0" w:color="auto"/>
            <w:right w:val="none" w:sz="0" w:space="0" w:color="auto"/>
          </w:divBdr>
          <w:divsChild>
            <w:div w:id="19596380">
              <w:marLeft w:val="0"/>
              <w:marRight w:val="0"/>
              <w:marTop w:val="0"/>
              <w:marBottom w:val="0"/>
              <w:divBdr>
                <w:top w:val="none" w:sz="0" w:space="0" w:color="auto"/>
                <w:left w:val="none" w:sz="0" w:space="0" w:color="auto"/>
                <w:bottom w:val="none" w:sz="0" w:space="0" w:color="auto"/>
                <w:right w:val="none" w:sz="0" w:space="0" w:color="auto"/>
              </w:divBdr>
            </w:div>
          </w:divsChild>
        </w:div>
        <w:div w:id="1089499188">
          <w:marLeft w:val="0"/>
          <w:marRight w:val="0"/>
          <w:marTop w:val="0"/>
          <w:marBottom w:val="0"/>
          <w:divBdr>
            <w:top w:val="none" w:sz="0" w:space="0" w:color="auto"/>
            <w:left w:val="none" w:sz="0" w:space="0" w:color="auto"/>
            <w:bottom w:val="none" w:sz="0" w:space="0" w:color="auto"/>
            <w:right w:val="none" w:sz="0" w:space="0" w:color="auto"/>
          </w:divBdr>
          <w:divsChild>
            <w:div w:id="75979877">
              <w:marLeft w:val="0"/>
              <w:marRight w:val="0"/>
              <w:marTop w:val="0"/>
              <w:marBottom w:val="0"/>
              <w:divBdr>
                <w:top w:val="none" w:sz="0" w:space="0" w:color="auto"/>
                <w:left w:val="none" w:sz="0" w:space="0" w:color="auto"/>
                <w:bottom w:val="none" w:sz="0" w:space="0" w:color="auto"/>
                <w:right w:val="none" w:sz="0" w:space="0" w:color="auto"/>
              </w:divBdr>
            </w:div>
          </w:divsChild>
        </w:div>
        <w:div w:id="1240598521">
          <w:marLeft w:val="0"/>
          <w:marRight w:val="0"/>
          <w:marTop w:val="0"/>
          <w:marBottom w:val="0"/>
          <w:divBdr>
            <w:top w:val="none" w:sz="0" w:space="0" w:color="auto"/>
            <w:left w:val="none" w:sz="0" w:space="0" w:color="auto"/>
            <w:bottom w:val="none" w:sz="0" w:space="0" w:color="auto"/>
            <w:right w:val="none" w:sz="0" w:space="0" w:color="auto"/>
          </w:divBdr>
          <w:divsChild>
            <w:div w:id="96339936">
              <w:marLeft w:val="0"/>
              <w:marRight w:val="0"/>
              <w:marTop w:val="0"/>
              <w:marBottom w:val="0"/>
              <w:divBdr>
                <w:top w:val="none" w:sz="0" w:space="0" w:color="auto"/>
                <w:left w:val="none" w:sz="0" w:space="0" w:color="auto"/>
                <w:bottom w:val="none" w:sz="0" w:space="0" w:color="auto"/>
                <w:right w:val="none" w:sz="0" w:space="0" w:color="auto"/>
              </w:divBdr>
            </w:div>
            <w:div w:id="360017834">
              <w:marLeft w:val="0"/>
              <w:marRight w:val="0"/>
              <w:marTop w:val="0"/>
              <w:marBottom w:val="0"/>
              <w:divBdr>
                <w:top w:val="none" w:sz="0" w:space="0" w:color="auto"/>
                <w:left w:val="none" w:sz="0" w:space="0" w:color="auto"/>
                <w:bottom w:val="none" w:sz="0" w:space="0" w:color="auto"/>
                <w:right w:val="none" w:sz="0" w:space="0" w:color="auto"/>
              </w:divBdr>
            </w:div>
            <w:div w:id="1695615285">
              <w:marLeft w:val="0"/>
              <w:marRight w:val="0"/>
              <w:marTop w:val="0"/>
              <w:marBottom w:val="0"/>
              <w:divBdr>
                <w:top w:val="none" w:sz="0" w:space="0" w:color="auto"/>
                <w:left w:val="none" w:sz="0" w:space="0" w:color="auto"/>
                <w:bottom w:val="none" w:sz="0" w:space="0" w:color="auto"/>
                <w:right w:val="none" w:sz="0" w:space="0" w:color="auto"/>
              </w:divBdr>
            </w:div>
          </w:divsChild>
        </w:div>
        <w:div w:id="1254435776">
          <w:marLeft w:val="0"/>
          <w:marRight w:val="0"/>
          <w:marTop w:val="0"/>
          <w:marBottom w:val="0"/>
          <w:divBdr>
            <w:top w:val="none" w:sz="0" w:space="0" w:color="auto"/>
            <w:left w:val="none" w:sz="0" w:space="0" w:color="auto"/>
            <w:bottom w:val="none" w:sz="0" w:space="0" w:color="auto"/>
            <w:right w:val="none" w:sz="0" w:space="0" w:color="auto"/>
          </w:divBdr>
          <w:divsChild>
            <w:div w:id="869605784">
              <w:marLeft w:val="0"/>
              <w:marRight w:val="0"/>
              <w:marTop w:val="0"/>
              <w:marBottom w:val="0"/>
              <w:divBdr>
                <w:top w:val="none" w:sz="0" w:space="0" w:color="auto"/>
                <w:left w:val="none" w:sz="0" w:space="0" w:color="auto"/>
                <w:bottom w:val="none" w:sz="0" w:space="0" w:color="auto"/>
                <w:right w:val="none" w:sz="0" w:space="0" w:color="auto"/>
              </w:divBdr>
            </w:div>
          </w:divsChild>
        </w:div>
        <w:div w:id="1282567530">
          <w:marLeft w:val="0"/>
          <w:marRight w:val="0"/>
          <w:marTop w:val="0"/>
          <w:marBottom w:val="0"/>
          <w:divBdr>
            <w:top w:val="none" w:sz="0" w:space="0" w:color="auto"/>
            <w:left w:val="none" w:sz="0" w:space="0" w:color="auto"/>
            <w:bottom w:val="none" w:sz="0" w:space="0" w:color="auto"/>
            <w:right w:val="none" w:sz="0" w:space="0" w:color="auto"/>
          </w:divBdr>
          <w:divsChild>
            <w:div w:id="452670834">
              <w:marLeft w:val="0"/>
              <w:marRight w:val="0"/>
              <w:marTop w:val="0"/>
              <w:marBottom w:val="0"/>
              <w:divBdr>
                <w:top w:val="none" w:sz="0" w:space="0" w:color="auto"/>
                <w:left w:val="none" w:sz="0" w:space="0" w:color="auto"/>
                <w:bottom w:val="none" w:sz="0" w:space="0" w:color="auto"/>
                <w:right w:val="none" w:sz="0" w:space="0" w:color="auto"/>
              </w:divBdr>
            </w:div>
            <w:div w:id="1547449169">
              <w:marLeft w:val="0"/>
              <w:marRight w:val="0"/>
              <w:marTop w:val="0"/>
              <w:marBottom w:val="0"/>
              <w:divBdr>
                <w:top w:val="none" w:sz="0" w:space="0" w:color="auto"/>
                <w:left w:val="none" w:sz="0" w:space="0" w:color="auto"/>
                <w:bottom w:val="none" w:sz="0" w:space="0" w:color="auto"/>
                <w:right w:val="none" w:sz="0" w:space="0" w:color="auto"/>
              </w:divBdr>
            </w:div>
          </w:divsChild>
        </w:div>
        <w:div w:id="1351301917">
          <w:marLeft w:val="0"/>
          <w:marRight w:val="0"/>
          <w:marTop w:val="0"/>
          <w:marBottom w:val="0"/>
          <w:divBdr>
            <w:top w:val="none" w:sz="0" w:space="0" w:color="auto"/>
            <w:left w:val="none" w:sz="0" w:space="0" w:color="auto"/>
            <w:bottom w:val="none" w:sz="0" w:space="0" w:color="auto"/>
            <w:right w:val="none" w:sz="0" w:space="0" w:color="auto"/>
          </w:divBdr>
          <w:divsChild>
            <w:div w:id="407965095">
              <w:marLeft w:val="0"/>
              <w:marRight w:val="0"/>
              <w:marTop w:val="0"/>
              <w:marBottom w:val="0"/>
              <w:divBdr>
                <w:top w:val="none" w:sz="0" w:space="0" w:color="auto"/>
                <w:left w:val="none" w:sz="0" w:space="0" w:color="auto"/>
                <w:bottom w:val="none" w:sz="0" w:space="0" w:color="auto"/>
                <w:right w:val="none" w:sz="0" w:space="0" w:color="auto"/>
              </w:divBdr>
            </w:div>
          </w:divsChild>
        </w:div>
        <w:div w:id="1364403261">
          <w:marLeft w:val="0"/>
          <w:marRight w:val="0"/>
          <w:marTop w:val="0"/>
          <w:marBottom w:val="0"/>
          <w:divBdr>
            <w:top w:val="none" w:sz="0" w:space="0" w:color="auto"/>
            <w:left w:val="none" w:sz="0" w:space="0" w:color="auto"/>
            <w:bottom w:val="none" w:sz="0" w:space="0" w:color="auto"/>
            <w:right w:val="none" w:sz="0" w:space="0" w:color="auto"/>
          </w:divBdr>
          <w:divsChild>
            <w:div w:id="1777821869">
              <w:marLeft w:val="0"/>
              <w:marRight w:val="0"/>
              <w:marTop w:val="0"/>
              <w:marBottom w:val="0"/>
              <w:divBdr>
                <w:top w:val="none" w:sz="0" w:space="0" w:color="auto"/>
                <w:left w:val="none" w:sz="0" w:space="0" w:color="auto"/>
                <w:bottom w:val="none" w:sz="0" w:space="0" w:color="auto"/>
                <w:right w:val="none" w:sz="0" w:space="0" w:color="auto"/>
              </w:divBdr>
            </w:div>
          </w:divsChild>
        </w:div>
        <w:div w:id="1372537831">
          <w:marLeft w:val="0"/>
          <w:marRight w:val="0"/>
          <w:marTop w:val="0"/>
          <w:marBottom w:val="0"/>
          <w:divBdr>
            <w:top w:val="none" w:sz="0" w:space="0" w:color="auto"/>
            <w:left w:val="none" w:sz="0" w:space="0" w:color="auto"/>
            <w:bottom w:val="none" w:sz="0" w:space="0" w:color="auto"/>
            <w:right w:val="none" w:sz="0" w:space="0" w:color="auto"/>
          </w:divBdr>
          <w:divsChild>
            <w:div w:id="754784473">
              <w:marLeft w:val="0"/>
              <w:marRight w:val="0"/>
              <w:marTop w:val="0"/>
              <w:marBottom w:val="0"/>
              <w:divBdr>
                <w:top w:val="none" w:sz="0" w:space="0" w:color="auto"/>
                <w:left w:val="none" w:sz="0" w:space="0" w:color="auto"/>
                <w:bottom w:val="none" w:sz="0" w:space="0" w:color="auto"/>
                <w:right w:val="none" w:sz="0" w:space="0" w:color="auto"/>
              </w:divBdr>
            </w:div>
          </w:divsChild>
        </w:div>
        <w:div w:id="1430857991">
          <w:marLeft w:val="0"/>
          <w:marRight w:val="0"/>
          <w:marTop w:val="0"/>
          <w:marBottom w:val="0"/>
          <w:divBdr>
            <w:top w:val="none" w:sz="0" w:space="0" w:color="auto"/>
            <w:left w:val="none" w:sz="0" w:space="0" w:color="auto"/>
            <w:bottom w:val="none" w:sz="0" w:space="0" w:color="auto"/>
            <w:right w:val="none" w:sz="0" w:space="0" w:color="auto"/>
          </w:divBdr>
          <w:divsChild>
            <w:div w:id="492334120">
              <w:marLeft w:val="0"/>
              <w:marRight w:val="0"/>
              <w:marTop w:val="0"/>
              <w:marBottom w:val="0"/>
              <w:divBdr>
                <w:top w:val="none" w:sz="0" w:space="0" w:color="auto"/>
                <w:left w:val="none" w:sz="0" w:space="0" w:color="auto"/>
                <w:bottom w:val="none" w:sz="0" w:space="0" w:color="auto"/>
                <w:right w:val="none" w:sz="0" w:space="0" w:color="auto"/>
              </w:divBdr>
            </w:div>
          </w:divsChild>
        </w:div>
        <w:div w:id="1460803372">
          <w:marLeft w:val="0"/>
          <w:marRight w:val="0"/>
          <w:marTop w:val="0"/>
          <w:marBottom w:val="0"/>
          <w:divBdr>
            <w:top w:val="none" w:sz="0" w:space="0" w:color="auto"/>
            <w:left w:val="none" w:sz="0" w:space="0" w:color="auto"/>
            <w:bottom w:val="none" w:sz="0" w:space="0" w:color="auto"/>
            <w:right w:val="none" w:sz="0" w:space="0" w:color="auto"/>
          </w:divBdr>
          <w:divsChild>
            <w:div w:id="1462192299">
              <w:marLeft w:val="0"/>
              <w:marRight w:val="0"/>
              <w:marTop w:val="0"/>
              <w:marBottom w:val="0"/>
              <w:divBdr>
                <w:top w:val="none" w:sz="0" w:space="0" w:color="auto"/>
                <w:left w:val="none" w:sz="0" w:space="0" w:color="auto"/>
                <w:bottom w:val="none" w:sz="0" w:space="0" w:color="auto"/>
                <w:right w:val="none" w:sz="0" w:space="0" w:color="auto"/>
              </w:divBdr>
            </w:div>
          </w:divsChild>
        </w:div>
        <w:div w:id="1554846845">
          <w:marLeft w:val="0"/>
          <w:marRight w:val="0"/>
          <w:marTop w:val="0"/>
          <w:marBottom w:val="0"/>
          <w:divBdr>
            <w:top w:val="none" w:sz="0" w:space="0" w:color="auto"/>
            <w:left w:val="none" w:sz="0" w:space="0" w:color="auto"/>
            <w:bottom w:val="none" w:sz="0" w:space="0" w:color="auto"/>
            <w:right w:val="none" w:sz="0" w:space="0" w:color="auto"/>
          </w:divBdr>
          <w:divsChild>
            <w:div w:id="185683539">
              <w:marLeft w:val="0"/>
              <w:marRight w:val="0"/>
              <w:marTop w:val="0"/>
              <w:marBottom w:val="0"/>
              <w:divBdr>
                <w:top w:val="none" w:sz="0" w:space="0" w:color="auto"/>
                <w:left w:val="none" w:sz="0" w:space="0" w:color="auto"/>
                <w:bottom w:val="none" w:sz="0" w:space="0" w:color="auto"/>
                <w:right w:val="none" w:sz="0" w:space="0" w:color="auto"/>
              </w:divBdr>
            </w:div>
            <w:div w:id="578565744">
              <w:marLeft w:val="0"/>
              <w:marRight w:val="0"/>
              <w:marTop w:val="0"/>
              <w:marBottom w:val="0"/>
              <w:divBdr>
                <w:top w:val="none" w:sz="0" w:space="0" w:color="auto"/>
                <w:left w:val="none" w:sz="0" w:space="0" w:color="auto"/>
                <w:bottom w:val="none" w:sz="0" w:space="0" w:color="auto"/>
                <w:right w:val="none" w:sz="0" w:space="0" w:color="auto"/>
              </w:divBdr>
            </w:div>
          </w:divsChild>
        </w:div>
        <w:div w:id="1558278225">
          <w:marLeft w:val="0"/>
          <w:marRight w:val="0"/>
          <w:marTop w:val="0"/>
          <w:marBottom w:val="0"/>
          <w:divBdr>
            <w:top w:val="none" w:sz="0" w:space="0" w:color="auto"/>
            <w:left w:val="none" w:sz="0" w:space="0" w:color="auto"/>
            <w:bottom w:val="none" w:sz="0" w:space="0" w:color="auto"/>
            <w:right w:val="none" w:sz="0" w:space="0" w:color="auto"/>
          </w:divBdr>
          <w:divsChild>
            <w:div w:id="984548198">
              <w:marLeft w:val="0"/>
              <w:marRight w:val="0"/>
              <w:marTop w:val="0"/>
              <w:marBottom w:val="0"/>
              <w:divBdr>
                <w:top w:val="none" w:sz="0" w:space="0" w:color="auto"/>
                <w:left w:val="none" w:sz="0" w:space="0" w:color="auto"/>
                <w:bottom w:val="none" w:sz="0" w:space="0" w:color="auto"/>
                <w:right w:val="none" w:sz="0" w:space="0" w:color="auto"/>
              </w:divBdr>
            </w:div>
          </w:divsChild>
        </w:div>
        <w:div w:id="1562785722">
          <w:marLeft w:val="0"/>
          <w:marRight w:val="0"/>
          <w:marTop w:val="0"/>
          <w:marBottom w:val="0"/>
          <w:divBdr>
            <w:top w:val="none" w:sz="0" w:space="0" w:color="auto"/>
            <w:left w:val="none" w:sz="0" w:space="0" w:color="auto"/>
            <w:bottom w:val="none" w:sz="0" w:space="0" w:color="auto"/>
            <w:right w:val="none" w:sz="0" w:space="0" w:color="auto"/>
          </w:divBdr>
          <w:divsChild>
            <w:div w:id="1814103673">
              <w:marLeft w:val="0"/>
              <w:marRight w:val="0"/>
              <w:marTop w:val="0"/>
              <w:marBottom w:val="0"/>
              <w:divBdr>
                <w:top w:val="none" w:sz="0" w:space="0" w:color="auto"/>
                <w:left w:val="none" w:sz="0" w:space="0" w:color="auto"/>
                <w:bottom w:val="none" w:sz="0" w:space="0" w:color="auto"/>
                <w:right w:val="none" w:sz="0" w:space="0" w:color="auto"/>
              </w:divBdr>
            </w:div>
          </w:divsChild>
        </w:div>
        <w:div w:id="1583098302">
          <w:marLeft w:val="0"/>
          <w:marRight w:val="0"/>
          <w:marTop w:val="0"/>
          <w:marBottom w:val="0"/>
          <w:divBdr>
            <w:top w:val="none" w:sz="0" w:space="0" w:color="auto"/>
            <w:left w:val="none" w:sz="0" w:space="0" w:color="auto"/>
            <w:bottom w:val="none" w:sz="0" w:space="0" w:color="auto"/>
            <w:right w:val="none" w:sz="0" w:space="0" w:color="auto"/>
          </w:divBdr>
          <w:divsChild>
            <w:div w:id="179322333">
              <w:marLeft w:val="0"/>
              <w:marRight w:val="0"/>
              <w:marTop w:val="0"/>
              <w:marBottom w:val="0"/>
              <w:divBdr>
                <w:top w:val="none" w:sz="0" w:space="0" w:color="auto"/>
                <w:left w:val="none" w:sz="0" w:space="0" w:color="auto"/>
                <w:bottom w:val="none" w:sz="0" w:space="0" w:color="auto"/>
                <w:right w:val="none" w:sz="0" w:space="0" w:color="auto"/>
              </w:divBdr>
            </w:div>
          </w:divsChild>
        </w:div>
        <w:div w:id="1589731011">
          <w:marLeft w:val="0"/>
          <w:marRight w:val="0"/>
          <w:marTop w:val="0"/>
          <w:marBottom w:val="0"/>
          <w:divBdr>
            <w:top w:val="none" w:sz="0" w:space="0" w:color="auto"/>
            <w:left w:val="none" w:sz="0" w:space="0" w:color="auto"/>
            <w:bottom w:val="none" w:sz="0" w:space="0" w:color="auto"/>
            <w:right w:val="none" w:sz="0" w:space="0" w:color="auto"/>
          </w:divBdr>
          <w:divsChild>
            <w:div w:id="845635641">
              <w:marLeft w:val="0"/>
              <w:marRight w:val="0"/>
              <w:marTop w:val="0"/>
              <w:marBottom w:val="0"/>
              <w:divBdr>
                <w:top w:val="none" w:sz="0" w:space="0" w:color="auto"/>
                <w:left w:val="none" w:sz="0" w:space="0" w:color="auto"/>
                <w:bottom w:val="none" w:sz="0" w:space="0" w:color="auto"/>
                <w:right w:val="none" w:sz="0" w:space="0" w:color="auto"/>
              </w:divBdr>
            </w:div>
            <w:div w:id="2085763649">
              <w:marLeft w:val="0"/>
              <w:marRight w:val="0"/>
              <w:marTop w:val="0"/>
              <w:marBottom w:val="0"/>
              <w:divBdr>
                <w:top w:val="none" w:sz="0" w:space="0" w:color="auto"/>
                <w:left w:val="none" w:sz="0" w:space="0" w:color="auto"/>
                <w:bottom w:val="none" w:sz="0" w:space="0" w:color="auto"/>
                <w:right w:val="none" w:sz="0" w:space="0" w:color="auto"/>
              </w:divBdr>
            </w:div>
          </w:divsChild>
        </w:div>
        <w:div w:id="1705328552">
          <w:marLeft w:val="0"/>
          <w:marRight w:val="0"/>
          <w:marTop w:val="0"/>
          <w:marBottom w:val="0"/>
          <w:divBdr>
            <w:top w:val="none" w:sz="0" w:space="0" w:color="auto"/>
            <w:left w:val="none" w:sz="0" w:space="0" w:color="auto"/>
            <w:bottom w:val="none" w:sz="0" w:space="0" w:color="auto"/>
            <w:right w:val="none" w:sz="0" w:space="0" w:color="auto"/>
          </w:divBdr>
          <w:divsChild>
            <w:div w:id="1871604462">
              <w:marLeft w:val="0"/>
              <w:marRight w:val="0"/>
              <w:marTop w:val="0"/>
              <w:marBottom w:val="0"/>
              <w:divBdr>
                <w:top w:val="none" w:sz="0" w:space="0" w:color="auto"/>
                <w:left w:val="none" w:sz="0" w:space="0" w:color="auto"/>
                <w:bottom w:val="none" w:sz="0" w:space="0" w:color="auto"/>
                <w:right w:val="none" w:sz="0" w:space="0" w:color="auto"/>
              </w:divBdr>
            </w:div>
          </w:divsChild>
        </w:div>
        <w:div w:id="1710958200">
          <w:marLeft w:val="0"/>
          <w:marRight w:val="0"/>
          <w:marTop w:val="0"/>
          <w:marBottom w:val="0"/>
          <w:divBdr>
            <w:top w:val="none" w:sz="0" w:space="0" w:color="auto"/>
            <w:left w:val="none" w:sz="0" w:space="0" w:color="auto"/>
            <w:bottom w:val="none" w:sz="0" w:space="0" w:color="auto"/>
            <w:right w:val="none" w:sz="0" w:space="0" w:color="auto"/>
          </w:divBdr>
          <w:divsChild>
            <w:div w:id="1005668793">
              <w:marLeft w:val="0"/>
              <w:marRight w:val="0"/>
              <w:marTop w:val="0"/>
              <w:marBottom w:val="0"/>
              <w:divBdr>
                <w:top w:val="none" w:sz="0" w:space="0" w:color="auto"/>
                <w:left w:val="none" w:sz="0" w:space="0" w:color="auto"/>
                <w:bottom w:val="none" w:sz="0" w:space="0" w:color="auto"/>
                <w:right w:val="none" w:sz="0" w:space="0" w:color="auto"/>
              </w:divBdr>
            </w:div>
          </w:divsChild>
        </w:div>
        <w:div w:id="1740593003">
          <w:marLeft w:val="0"/>
          <w:marRight w:val="0"/>
          <w:marTop w:val="0"/>
          <w:marBottom w:val="0"/>
          <w:divBdr>
            <w:top w:val="none" w:sz="0" w:space="0" w:color="auto"/>
            <w:left w:val="none" w:sz="0" w:space="0" w:color="auto"/>
            <w:bottom w:val="none" w:sz="0" w:space="0" w:color="auto"/>
            <w:right w:val="none" w:sz="0" w:space="0" w:color="auto"/>
          </w:divBdr>
          <w:divsChild>
            <w:div w:id="1317608506">
              <w:marLeft w:val="0"/>
              <w:marRight w:val="0"/>
              <w:marTop w:val="0"/>
              <w:marBottom w:val="0"/>
              <w:divBdr>
                <w:top w:val="none" w:sz="0" w:space="0" w:color="auto"/>
                <w:left w:val="none" w:sz="0" w:space="0" w:color="auto"/>
                <w:bottom w:val="none" w:sz="0" w:space="0" w:color="auto"/>
                <w:right w:val="none" w:sz="0" w:space="0" w:color="auto"/>
              </w:divBdr>
            </w:div>
          </w:divsChild>
        </w:div>
        <w:div w:id="1746295264">
          <w:marLeft w:val="0"/>
          <w:marRight w:val="0"/>
          <w:marTop w:val="0"/>
          <w:marBottom w:val="0"/>
          <w:divBdr>
            <w:top w:val="none" w:sz="0" w:space="0" w:color="auto"/>
            <w:left w:val="none" w:sz="0" w:space="0" w:color="auto"/>
            <w:bottom w:val="none" w:sz="0" w:space="0" w:color="auto"/>
            <w:right w:val="none" w:sz="0" w:space="0" w:color="auto"/>
          </w:divBdr>
          <w:divsChild>
            <w:div w:id="96558479">
              <w:marLeft w:val="0"/>
              <w:marRight w:val="0"/>
              <w:marTop w:val="0"/>
              <w:marBottom w:val="0"/>
              <w:divBdr>
                <w:top w:val="none" w:sz="0" w:space="0" w:color="auto"/>
                <w:left w:val="none" w:sz="0" w:space="0" w:color="auto"/>
                <w:bottom w:val="none" w:sz="0" w:space="0" w:color="auto"/>
                <w:right w:val="none" w:sz="0" w:space="0" w:color="auto"/>
              </w:divBdr>
            </w:div>
            <w:div w:id="1468470072">
              <w:marLeft w:val="0"/>
              <w:marRight w:val="0"/>
              <w:marTop w:val="0"/>
              <w:marBottom w:val="0"/>
              <w:divBdr>
                <w:top w:val="none" w:sz="0" w:space="0" w:color="auto"/>
                <w:left w:val="none" w:sz="0" w:space="0" w:color="auto"/>
                <w:bottom w:val="none" w:sz="0" w:space="0" w:color="auto"/>
                <w:right w:val="none" w:sz="0" w:space="0" w:color="auto"/>
              </w:divBdr>
            </w:div>
          </w:divsChild>
        </w:div>
        <w:div w:id="1777291725">
          <w:marLeft w:val="0"/>
          <w:marRight w:val="0"/>
          <w:marTop w:val="0"/>
          <w:marBottom w:val="0"/>
          <w:divBdr>
            <w:top w:val="none" w:sz="0" w:space="0" w:color="auto"/>
            <w:left w:val="none" w:sz="0" w:space="0" w:color="auto"/>
            <w:bottom w:val="none" w:sz="0" w:space="0" w:color="auto"/>
            <w:right w:val="none" w:sz="0" w:space="0" w:color="auto"/>
          </w:divBdr>
          <w:divsChild>
            <w:div w:id="311983962">
              <w:marLeft w:val="0"/>
              <w:marRight w:val="0"/>
              <w:marTop w:val="0"/>
              <w:marBottom w:val="0"/>
              <w:divBdr>
                <w:top w:val="none" w:sz="0" w:space="0" w:color="auto"/>
                <w:left w:val="none" w:sz="0" w:space="0" w:color="auto"/>
                <w:bottom w:val="none" w:sz="0" w:space="0" w:color="auto"/>
                <w:right w:val="none" w:sz="0" w:space="0" w:color="auto"/>
              </w:divBdr>
            </w:div>
            <w:div w:id="1229879914">
              <w:marLeft w:val="0"/>
              <w:marRight w:val="0"/>
              <w:marTop w:val="0"/>
              <w:marBottom w:val="0"/>
              <w:divBdr>
                <w:top w:val="none" w:sz="0" w:space="0" w:color="auto"/>
                <w:left w:val="none" w:sz="0" w:space="0" w:color="auto"/>
                <w:bottom w:val="none" w:sz="0" w:space="0" w:color="auto"/>
                <w:right w:val="none" w:sz="0" w:space="0" w:color="auto"/>
              </w:divBdr>
            </w:div>
          </w:divsChild>
        </w:div>
        <w:div w:id="1783070503">
          <w:marLeft w:val="0"/>
          <w:marRight w:val="0"/>
          <w:marTop w:val="0"/>
          <w:marBottom w:val="0"/>
          <w:divBdr>
            <w:top w:val="none" w:sz="0" w:space="0" w:color="auto"/>
            <w:left w:val="none" w:sz="0" w:space="0" w:color="auto"/>
            <w:bottom w:val="none" w:sz="0" w:space="0" w:color="auto"/>
            <w:right w:val="none" w:sz="0" w:space="0" w:color="auto"/>
          </w:divBdr>
          <w:divsChild>
            <w:div w:id="678234846">
              <w:marLeft w:val="0"/>
              <w:marRight w:val="0"/>
              <w:marTop w:val="0"/>
              <w:marBottom w:val="0"/>
              <w:divBdr>
                <w:top w:val="none" w:sz="0" w:space="0" w:color="auto"/>
                <w:left w:val="none" w:sz="0" w:space="0" w:color="auto"/>
                <w:bottom w:val="none" w:sz="0" w:space="0" w:color="auto"/>
                <w:right w:val="none" w:sz="0" w:space="0" w:color="auto"/>
              </w:divBdr>
            </w:div>
            <w:div w:id="1706829344">
              <w:marLeft w:val="0"/>
              <w:marRight w:val="0"/>
              <w:marTop w:val="0"/>
              <w:marBottom w:val="0"/>
              <w:divBdr>
                <w:top w:val="none" w:sz="0" w:space="0" w:color="auto"/>
                <w:left w:val="none" w:sz="0" w:space="0" w:color="auto"/>
                <w:bottom w:val="none" w:sz="0" w:space="0" w:color="auto"/>
                <w:right w:val="none" w:sz="0" w:space="0" w:color="auto"/>
              </w:divBdr>
            </w:div>
          </w:divsChild>
        </w:div>
        <w:div w:id="1792819523">
          <w:marLeft w:val="0"/>
          <w:marRight w:val="0"/>
          <w:marTop w:val="0"/>
          <w:marBottom w:val="0"/>
          <w:divBdr>
            <w:top w:val="none" w:sz="0" w:space="0" w:color="auto"/>
            <w:left w:val="none" w:sz="0" w:space="0" w:color="auto"/>
            <w:bottom w:val="none" w:sz="0" w:space="0" w:color="auto"/>
            <w:right w:val="none" w:sz="0" w:space="0" w:color="auto"/>
          </w:divBdr>
          <w:divsChild>
            <w:div w:id="854995934">
              <w:marLeft w:val="0"/>
              <w:marRight w:val="0"/>
              <w:marTop w:val="0"/>
              <w:marBottom w:val="0"/>
              <w:divBdr>
                <w:top w:val="none" w:sz="0" w:space="0" w:color="auto"/>
                <w:left w:val="none" w:sz="0" w:space="0" w:color="auto"/>
                <w:bottom w:val="none" w:sz="0" w:space="0" w:color="auto"/>
                <w:right w:val="none" w:sz="0" w:space="0" w:color="auto"/>
              </w:divBdr>
            </w:div>
          </w:divsChild>
        </w:div>
        <w:div w:id="1795253141">
          <w:marLeft w:val="0"/>
          <w:marRight w:val="0"/>
          <w:marTop w:val="0"/>
          <w:marBottom w:val="0"/>
          <w:divBdr>
            <w:top w:val="none" w:sz="0" w:space="0" w:color="auto"/>
            <w:left w:val="none" w:sz="0" w:space="0" w:color="auto"/>
            <w:bottom w:val="none" w:sz="0" w:space="0" w:color="auto"/>
            <w:right w:val="none" w:sz="0" w:space="0" w:color="auto"/>
          </w:divBdr>
          <w:divsChild>
            <w:div w:id="648830240">
              <w:marLeft w:val="0"/>
              <w:marRight w:val="0"/>
              <w:marTop w:val="0"/>
              <w:marBottom w:val="0"/>
              <w:divBdr>
                <w:top w:val="none" w:sz="0" w:space="0" w:color="auto"/>
                <w:left w:val="none" w:sz="0" w:space="0" w:color="auto"/>
                <w:bottom w:val="none" w:sz="0" w:space="0" w:color="auto"/>
                <w:right w:val="none" w:sz="0" w:space="0" w:color="auto"/>
              </w:divBdr>
            </w:div>
            <w:div w:id="941300811">
              <w:marLeft w:val="0"/>
              <w:marRight w:val="0"/>
              <w:marTop w:val="0"/>
              <w:marBottom w:val="0"/>
              <w:divBdr>
                <w:top w:val="none" w:sz="0" w:space="0" w:color="auto"/>
                <w:left w:val="none" w:sz="0" w:space="0" w:color="auto"/>
                <w:bottom w:val="none" w:sz="0" w:space="0" w:color="auto"/>
                <w:right w:val="none" w:sz="0" w:space="0" w:color="auto"/>
              </w:divBdr>
            </w:div>
          </w:divsChild>
        </w:div>
        <w:div w:id="1859611659">
          <w:marLeft w:val="0"/>
          <w:marRight w:val="0"/>
          <w:marTop w:val="0"/>
          <w:marBottom w:val="0"/>
          <w:divBdr>
            <w:top w:val="none" w:sz="0" w:space="0" w:color="auto"/>
            <w:left w:val="none" w:sz="0" w:space="0" w:color="auto"/>
            <w:bottom w:val="none" w:sz="0" w:space="0" w:color="auto"/>
            <w:right w:val="none" w:sz="0" w:space="0" w:color="auto"/>
          </w:divBdr>
          <w:divsChild>
            <w:div w:id="1751081473">
              <w:marLeft w:val="0"/>
              <w:marRight w:val="0"/>
              <w:marTop w:val="0"/>
              <w:marBottom w:val="0"/>
              <w:divBdr>
                <w:top w:val="none" w:sz="0" w:space="0" w:color="auto"/>
                <w:left w:val="none" w:sz="0" w:space="0" w:color="auto"/>
                <w:bottom w:val="none" w:sz="0" w:space="0" w:color="auto"/>
                <w:right w:val="none" w:sz="0" w:space="0" w:color="auto"/>
              </w:divBdr>
            </w:div>
          </w:divsChild>
        </w:div>
        <w:div w:id="1879783294">
          <w:marLeft w:val="0"/>
          <w:marRight w:val="0"/>
          <w:marTop w:val="0"/>
          <w:marBottom w:val="0"/>
          <w:divBdr>
            <w:top w:val="none" w:sz="0" w:space="0" w:color="auto"/>
            <w:left w:val="none" w:sz="0" w:space="0" w:color="auto"/>
            <w:bottom w:val="none" w:sz="0" w:space="0" w:color="auto"/>
            <w:right w:val="none" w:sz="0" w:space="0" w:color="auto"/>
          </w:divBdr>
          <w:divsChild>
            <w:div w:id="486824332">
              <w:marLeft w:val="0"/>
              <w:marRight w:val="0"/>
              <w:marTop w:val="0"/>
              <w:marBottom w:val="0"/>
              <w:divBdr>
                <w:top w:val="none" w:sz="0" w:space="0" w:color="auto"/>
                <w:left w:val="none" w:sz="0" w:space="0" w:color="auto"/>
                <w:bottom w:val="none" w:sz="0" w:space="0" w:color="auto"/>
                <w:right w:val="none" w:sz="0" w:space="0" w:color="auto"/>
              </w:divBdr>
            </w:div>
          </w:divsChild>
        </w:div>
        <w:div w:id="1961717140">
          <w:marLeft w:val="0"/>
          <w:marRight w:val="0"/>
          <w:marTop w:val="0"/>
          <w:marBottom w:val="0"/>
          <w:divBdr>
            <w:top w:val="none" w:sz="0" w:space="0" w:color="auto"/>
            <w:left w:val="none" w:sz="0" w:space="0" w:color="auto"/>
            <w:bottom w:val="none" w:sz="0" w:space="0" w:color="auto"/>
            <w:right w:val="none" w:sz="0" w:space="0" w:color="auto"/>
          </w:divBdr>
          <w:divsChild>
            <w:div w:id="195965743">
              <w:marLeft w:val="0"/>
              <w:marRight w:val="0"/>
              <w:marTop w:val="0"/>
              <w:marBottom w:val="0"/>
              <w:divBdr>
                <w:top w:val="none" w:sz="0" w:space="0" w:color="auto"/>
                <w:left w:val="none" w:sz="0" w:space="0" w:color="auto"/>
                <w:bottom w:val="none" w:sz="0" w:space="0" w:color="auto"/>
                <w:right w:val="none" w:sz="0" w:space="0" w:color="auto"/>
              </w:divBdr>
            </w:div>
            <w:div w:id="873157324">
              <w:marLeft w:val="0"/>
              <w:marRight w:val="0"/>
              <w:marTop w:val="0"/>
              <w:marBottom w:val="0"/>
              <w:divBdr>
                <w:top w:val="none" w:sz="0" w:space="0" w:color="auto"/>
                <w:left w:val="none" w:sz="0" w:space="0" w:color="auto"/>
                <w:bottom w:val="none" w:sz="0" w:space="0" w:color="auto"/>
                <w:right w:val="none" w:sz="0" w:space="0" w:color="auto"/>
              </w:divBdr>
            </w:div>
          </w:divsChild>
        </w:div>
        <w:div w:id="2083064286">
          <w:marLeft w:val="0"/>
          <w:marRight w:val="0"/>
          <w:marTop w:val="0"/>
          <w:marBottom w:val="0"/>
          <w:divBdr>
            <w:top w:val="none" w:sz="0" w:space="0" w:color="auto"/>
            <w:left w:val="none" w:sz="0" w:space="0" w:color="auto"/>
            <w:bottom w:val="none" w:sz="0" w:space="0" w:color="auto"/>
            <w:right w:val="none" w:sz="0" w:space="0" w:color="auto"/>
          </w:divBdr>
          <w:divsChild>
            <w:div w:id="529028495">
              <w:marLeft w:val="0"/>
              <w:marRight w:val="0"/>
              <w:marTop w:val="0"/>
              <w:marBottom w:val="0"/>
              <w:divBdr>
                <w:top w:val="none" w:sz="0" w:space="0" w:color="auto"/>
                <w:left w:val="none" w:sz="0" w:space="0" w:color="auto"/>
                <w:bottom w:val="none" w:sz="0" w:space="0" w:color="auto"/>
                <w:right w:val="none" w:sz="0" w:space="0" w:color="auto"/>
              </w:divBdr>
            </w:div>
          </w:divsChild>
        </w:div>
        <w:div w:id="2101558343">
          <w:marLeft w:val="0"/>
          <w:marRight w:val="0"/>
          <w:marTop w:val="0"/>
          <w:marBottom w:val="0"/>
          <w:divBdr>
            <w:top w:val="none" w:sz="0" w:space="0" w:color="auto"/>
            <w:left w:val="none" w:sz="0" w:space="0" w:color="auto"/>
            <w:bottom w:val="none" w:sz="0" w:space="0" w:color="auto"/>
            <w:right w:val="none" w:sz="0" w:space="0" w:color="auto"/>
          </w:divBdr>
          <w:divsChild>
            <w:div w:id="644510301">
              <w:marLeft w:val="0"/>
              <w:marRight w:val="0"/>
              <w:marTop w:val="0"/>
              <w:marBottom w:val="0"/>
              <w:divBdr>
                <w:top w:val="none" w:sz="0" w:space="0" w:color="auto"/>
                <w:left w:val="none" w:sz="0" w:space="0" w:color="auto"/>
                <w:bottom w:val="none" w:sz="0" w:space="0" w:color="auto"/>
                <w:right w:val="none" w:sz="0" w:space="0" w:color="auto"/>
              </w:divBdr>
            </w:div>
          </w:divsChild>
        </w:div>
        <w:div w:id="2108040215">
          <w:marLeft w:val="0"/>
          <w:marRight w:val="0"/>
          <w:marTop w:val="0"/>
          <w:marBottom w:val="0"/>
          <w:divBdr>
            <w:top w:val="none" w:sz="0" w:space="0" w:color="auto"/>
            <w:left w:val="none" w:sz="0" w:space="0" w:color="auto"/>
            <w:bottom w:val="none" w:sz="0" w:space="0" w:color="auto"/>
            <w:right w:val="none" w:sz="0" w:space="0" w:color="auto"/>
          </w:divBdr>
          <w:divsChild>
            <w:div w:id="792985676">
              <w:marLeft w:val="0"/>
              <w:marRight w:val="0"/>
              <w:marTop w:val="0"/>
              <w:marBottom w:val="0"/>
              <w:divBdr>
                <w:top w:val="none" w:sz="0" w:space="0" w:color="auto"/>
                <w:left w:val="none" w:sz="0" w:space="0" w:color="auto"/>
                <w:bottom w:val="none" w:sz="0" w:space="0" w:color="auto"/>
                <w:right w:val="none" w:sz="0" w:space="0" w:color="auto"/>
              </w:divBdr>
            </w:div>
            <w:div w:id="1426458573">
              <w:marLeft w:val="0"/>
              <w:marRight w:val="0"/>
              <w:marTop w:val="0"/>
              <w:marBottom w:val="0"/>
              <w:divBdr>
                <w:top w:val="none" w:sz="0" w:space="0" w:color="auto"/>
                <w:left w:val="none" w:sz="0" w:space="0" w:color="auto"/>
                <w:bottom w:val="none" w:sz="0" w:space="0" w:color="auto"/>
                <w:right w:val="none" w:sz="0" w:space="0" w:color="auto"/>
              </w:divBdr>
            </w:div>
            <w:div w:id="1567573555">
              <w:marLeft w:val="0"/>
              <w:marRight w:val="0"/>
              <w:marTop w:val="0"/>
              <w:marBottom w:val="0"/>
              <w:divBdr>
                <w:top w:val="none" w:sz="0" w:space="0" w:color="auto"/>
                <w:left w:val="none" w:sz="0" w:space="0" w:color="auto"/>
                <w:bottom w:val="none" w:sz="0" w:space="0" w:color="auto"/>
                <w:right w:val="none" w:sz="0" w:space="0" w:color="auto"/>
              </w:divBdr>
            </w:div>
          </w:divsChild>
        </w:div>
        <w:div w:id="2114787582">
          <w:marLeft w:val="0"/>
          <w:marRight w:val="0"/>
          <w:marTop w:val="0"/>
          <w:marBottom w:val="0"/>
          <w:divBdr>
            <w:top w:val="none" w:sz="0" w:space="0" w:color="auto"/>
            <w:left w:val="none" w:sz="0" w:space="0" w:color="auto"/>
            <w:bottom w:val="none" w:sz="0" w:space="0" w:color="auto"/>
            <w:right w:val="none" w:sz="0" w:space="0" w:color="auto"/>
          </w:divBdr>
          <w:divsChild>
            <w:div w:id="330108290">
              <w:marLeft w:val="0"/>
              <w:marRight w:val="0"/>
              <w:marTop w:val="0"/>
              <w:marBottom w:val="0"/>
              <w:divBdr>
                <w:top w:val="none" w:sz="0" w:space="0" w:color="auto"/>
                <w:left w:val="none" w:sz="0" w:space="0" w:color="auto"/>
                <w:bottom w:val="none" w:sz="0" w:space="0" w:color="auto"/>
                <w:right w:val="none" w:sz="0" w:space="0" w:color="auto"/>
              </w:divBdr>
            </w:div>
            <w:div w:id="826358608">
              <w:marLeft w:val="0"/>
              <w:marRight w:val="0"/>
              <w:marTop w:val="0"/>
              <w:marBottom w:val="0"/>
              <w:divBdr>
                <w:top w:val="none" w:sz="0" w:space="0" w:color="auto"/>
                <w:left w:val="none" w:sz="0" w:space="0" w:color="auto"/>
                <w:bottom w:val="none" w:sz="0" w:space="0" w:color="auto"/>
                <w:right w:val="none" w:sz="0" w:space="0" w:color="auto"/>
              </w:divBdr>
            </w:div>
          </w:divsChild>
        </w:div>
        <w:div w:id="2121759860">
          <w:marLeft w:val="0"/>
          <w:marRight w:val="0"/>
          <w:marTop w:val="0"/>
          <w:marBottom w:val="0"/>
          <w:divBdr>
            <w:top w:val="none" w:sz="0" w:space="0" w:color="auto"/>
            <w:left w:val="none" w:sz="0" w:space="0" w:color="auto"/>
            <w:bottom w:val="none" w:sz="0" w:space="0" w:color="auto"/>
            <w:right w:val="none" w:sz="0" w:space="0" w:color="auto"/>
          </w:divBdr>
          <w:divsChild>
            <w:div w:id="1246769622">
              <w:marLeft w:val="0"/>
              <w:marRight w:val="0"/>
              <w:marTop w:val="0"/>
              <w:marBottom w:val="0"/>
              <w:divBdr>
                <w:top w:val="none" w:sz="0" w:space="0" w:color="auto"/>
                <w:left w:val="none" w:sz="0" w:space="0" w:color="auto"/>
                <w:bottom w:val="none" w:sz="0" w:space="0" w:color="auto"/>
                <w:right w:val="none" w:sz="0" w:space="0" w:color="auto"/>
              </w:divBdr>
            </w:div>
          </w:divsChild>
        </w:div>
        <w:div w:id="2123303187">
          <w:marLeft w:val="0"/>
          <w:marRight w:val="0"/>
          <w:marTop w:val="0"/>
          <w:marBottom w:val="0"/>
          <w:divBdr>
            <w:top w:val="none" w:sz="0" w:space="0" w:color="auto"/>
            <w:left w:val="none" w:sz="0" w:space="0" w:color="auto"/>
            <w:bottom w:val="none" w:sz="0" w:space="0" w:color="auto"/>
            <w:right w:val="none" w:sz="0" w:space="0" w:color="auto"/>
          </w:divBdr>
          <w:divsChild>
            <w:div w:id="236205390">
              <w:marLeft w:val="0"/>
              <w:marRight w:val="0"/>
              <w:marTop w:val="0"/>
              <w:marBottom w:val="0"/>
              <w:divBdr>
                <w:top w:val="none" w:sz="0" w:space="0" w:color="auto"/>
                <w:left w:val="none" w:sz="0" w:space="0" w:color="auto"/>
                <w:bottom w:val="none" w:sz="0" w:space="0" w:color="auto"/>
                <w:right w:val="none" w:sz="0" w:space="0" w:color="auto"/>
              </w:divBdr>
            </w:div>
          </w:divsChild>
        </w:div>
        <w:div w:id="2133404128">
          <w:marLeft w:val="0"/>
          <w:marRight w:val="0"/>
          <w:marTop w:val="0"/>
          <w:marBottom w:val="0"/>
          <w:divBdr>
            <w:top w:val="none" w:sz="0" w:space="0" w:color="auto"/>
            <w:left w:val="none" w:sz="0" w:space="0" w:color="auto"/>
            <w:bottom w:val="none" w:sz="0" w:space="0" w:color="auto"/>
            <w:right w:val="none" w:sz="0" w:space="0" w:color="auto"/>
          </w:divBdr>
          <w:divsChild>
            <w:div w:id="19632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5369">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39082704">
      <w:bodyDiv w:val="1"/>
      <w:marLeft w:val="0"/>
      <w:marRight w:val="0"/>
      <w:marTop w:val="0"/>
      <w:marBottom w:val="0"/>
      <w:divBdr>
        <w:top w:val="none" w:sz="0" w:space="0" w:color="auto"/>
        <w:left w:val="none" w:sz="0" w:space="0" w:color="auto"/>
        <w:bottom w:val="none" w:sz="0" w:space="0" w:color="auto"/>
        <w:right w:val="none" w:sz="0" w:space="0" w:color="auto"/>
      </w:divBdr>
      <w:divsChild>
        <w:div w:id="87317177">
          <w:marLeft w:val="0"/>
          <w:marRight w:val="0"/>
          <w:marTop w:val="0"/>
          <w:marBottom w:val="0"/>
          <w:divBdr>
            <w:top w:val="none" w:sz="0" w:space="0" w:color="auto"/>
            <w:left w:val="none" w:sz="0" w:space="0" w:color="auto"/>
            <w:bottom w:val="none" w:sz="0" w:space="0" w:color="auto"/>
            <w:right w:val="none" w:sz="0" w:space="0" w:color="auto"/>
          </w:divBdr>
          <w:divsChild>
            <w:div w:id="51009229">
              <w:marLeft w:val="0"/>
              <w:marRight w:val="0"/>
              <w:marTop w:val="0"/>
              <w:marBottom w:val="0"/>
              <w:divBdr>
                <w:top w:val="none" w:sz="0" w:space="0" w:color="auto"/>
                <w:left w:val="none" w:sz="0" w:space="0" w:color="auto"/>
                <w:bottom w:val="none" w:sz="0" w:space="0" w:color="auto"/>
                <w:right w:val="none" w:sz="0" w:space="0" w:color="auto"/>
              </w:divBdr>
            </w:div>
            <w:div w:id="832138214">
              <w:marLeft w:val="0"/>
              <w:marRight w:val="0"/>
              <w:marTop w:val="0"/>
              <w:marBottom w:val="0"/>
              <w:divBdr>
                <w:top w:val="none" w:sz="0" w:space="0" w:color="auto"/>
                <w:left w:val="none" w:sz="0" w:space="0" w:color="auto"/>
                <w:bottom w:val="none" w:sz="0" w:space="0" w:color="auto"/>
                <w:right w:val="none" w:sz="0" w:space="0" w:color="auto"/>
              </w:divBdr>
            </w:div>
          </w:divsChild>
        </w:div>
        <w:div w:id="1849522546">
          <w:marLeft w:val="0"/>
          <w:marRight w:val="0"/>
          <w:marTop w:val="0"/>
          <w:marBottom w:val="0"/>
          <w:divBdr>
            <w:top w:val="none" w:sz="0" w:space="0" w:color="auto"/>
            <w:left w:val="none" w:sz="0" w:space="0" w:color="auto"/>
            <w:bottom w:val="none" w:sz="0" w:space="0" w:color="auto"/>
            <w:right w:val="none" w:sz="0" w:space="0" w:color="auto"/>
          </w:divBdr>
          <w:divsChild>
            <w:div w:id="175074552">
              <w:marLeft w:val="0"/>
              <w:marRight w:val="0"/>
              <w:marTop w:val="0"/>
              <w:marBottom w:val="0"/>
              <w:divBdr>
                <w:top w:val="none" w:sz="0" w:space="0" w:color="auto"/>
                <w:left w:val="none" w:sz="0" w:space="0" w:color="auto"/>
                <w:bottom w:val="none" w:sz="0" w:space="0" w:color="auto"/>
                <w:right w:val="none" w:sz="0" w:space="0" w:color="auto"/>
              </w:divBdr>
            </w:div>
            <w:div w:id="5222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29657192">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70331902">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040133753">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188133538">
      <w:bodyDiv w:val="1"/>
      <w:marLeft w:val="0"/>
      <w:marRight w:val="0"/>
      <w:marTop w:val="0"/>
      <w:marBottom w:val="0"/>
      <w:divBdr>
        <w:top w:val="none" w:sz="0" w:space="0" w:color="auto"/>
        <w:left w:val="none" w:sz="0" w:space="0" w:color="auto"/>
        <w:bottom w:val="none" w:sz="0" w:space="0" w:color="auto"/>
        <w:right w:val="none" w:sz="0" w:space="0" w:color="auto"/>
      </w:divBdr>
    </w:div>
    <w:div w:id="1189833365">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14219182">
      <w:bodyDiv w:val="1"/>
      <w:marLeft w:val="0"/>
      <w:marRight w:val="0"/>
      <w:marTop w:val="0"/>
      <w:marBottom w:val="0"/>
      <w:divBdr>
        <w:top w:val="none" w:sz="0" w:space="0" w:color="auto"/>
        <w:left w:val="none" w:sz="0" w:space="0" w:color="auto"/>
        <w:bottom w:val="none" w:sz="0" w:space="0" w:color="auto"/>
        <w:right w:val="none" w:sz="0" w:space="0" w:color="auto"/>
      </w:divBdr>
      <w:divsChild>
        <w:div w:id="367880905">
          <w:marLeft w:val="0"/>
          <w:marRight w:val="0"/>
          <w:marTop w:val="0"/>
          <w:marBottom w:val="0"/>
          <w:divBdr>
            <w:top w:val="single" w:sz="2" w:space="0" w:color="auto"/>
            <w:left w:val="single" w:sz="2" w:space="0" w:color="auto"/>
            <w:bottom w:val="single" w:sz="6" w:space="0" w:color="auto"/>
            <w:right w:val="single" w:sz="2" w:space="0" w:color="auto"/>
          </w:divBdr>
          <w:divsChild>
            <w:div w:id="145636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8861206">
                  <w:marLeft w:val="0"/>
                  <w:marRight w:val="0"/>
                  <w:marTop w:val="0"/>
                  <w:marBottom w:val="0"/>
                  <w:divBdr>
                    <w:top w:val="single" w:sz="2" w:space="0" w:color="D9D9E3"/>
                    <w:left w:val="single" w:sz="2" w:space="0" w:color="D9D9E3"/>
                    <w:bottom w:val="single" w:sz="2" w:space="0" w:color="D9D9E3"/>
                    <w:right w:val="single" w:sz="2" w:space="0" w:color="D9D9E3"/>
                  </w:divBdr>
                  <w:divsChild>
                    <w:div w:id="1016078904">
                      <w:marLeft w:val="0"/>
                      <w:marRight w:val="0"/>
                      <w:marTop w:val="0"/>
                      <w:marBottom w:val="0"/>
                      <w:divBdr>
                        <w:top w:val="single" w:sz="2" w:space="0" w:color="D9D9E3"/>
                        <w:left w:val="single" w:sz="2" w:space="0" w:color="D9D9E3"/>
                        <w:bottom w:val="single" w:sz="2" w:space="0" w:color="D9D9E3"/>
                        <w:right w:val="single" w:sz="2" w:space="0" w:color="D9D9E3"/>
                      </w:divBdr>
                      <w:divsChild>
                        <w:div w:id="391468740">
                          <w:marLeft w:val="0"/>
                          <w:marRight w:val="0"/>
                          <w:marTop w:val="0"/>
                          <w:marBottom w:val="0"/>
                          <w:divBdr>
                            <w:top w:val="single" w:sz="2" w:space="0" w:color="D9D9E3"/>
                            <w:left w:val="single" w:sz="2" w:space="0" w:color="D9D9E3"/>
                            <w:bottom w:val="single" w:sz="2" w:space="0" w:color="D9D9E3"/>
                            <w:right w:val="single" w:sz="2" w:space="0" w:color="D9D9E3"/>
                          </w:divBdr>
                          <w:divsChild>
                            <w:div w:id="676273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48113803">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775517779">
      <w:bodyDiv w:val="1"/>
      <w:marLeft w:val="0"/>
      <w:marRight w:val="0"/>
      <w:marTop w:val="0"/>
      <w:marBottom w:val="0"/>
      <w:divBdr>
        <w:top w:val="none" w:sz="0" w:space="0" w:color="auto"/>
        <w:left w:val="none" w:sz="0" w:space="0" w:color="auto"/>
        <w:bottom w:val="none" w:sz="0" w:space="0" w:color="auto"/>
        <w:right w:val="none" w:sz="0" w:space="0" w:color="auto"/>
      </w:divBdr>
      <w:divsChild>
        <w:div w:id="1340355190">
          <w:marLeft w:val="0"/>
          <w:marRight w:val="0"/>
          <w:marTop w:val="0"/>
          <w:marBottom w:val="0"/>
          <w:divBdr>
            <w:top w:val="none" w:sz="0" w:space="0" w:color="auto"/>
            <w:left w:val="none" w:sz="0" w:space="0" w:color="auto"/>
            <w:bottom w:val="none" w:sz="0" w:space="0" w:color="auto"/>
            <w:right w:val="none" w:sz="0" w:space="0" w:color="auto"/>
          </w:divBdr>
        </w:div>
        <w:div w:id="1452432799">
          <w:marLeft w:val="0"/>
          <w:marRight w:val="0"/>
          <w:marTop w:val="0"/>
          <w:marBottom w:val="0"/>
          <w:divBdr>
            <w:top w:val="none" w:sz="0" w:space="0" w:color="auto"/>
            <w:left w:val="none" w:sz="0" w:space="0" w:color="auto"/>
            <w:bottom w:val="none" w:sz="0" w:space="0" w:color="auto"/>
            <w:right w:val="none" w:sz="0" w:space="0" w:color="auto"/>
          </w:divBdr>
        </w:div>
      </w:divsChild>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789008090">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14641612">
      <w:bodyDiv w:val="1"/>
      <w:marLeft w:val="0"/>
      <w:marRight w:val="0"/>
      <w:marTop w:val="0"/>
      <w:marBottom w:val="0"/>
      <w:divBdr>
        <w:top w:val="none" w:sz="0" w:space="0" w:color="auto"/>
        <w:left w:val="none" w:sz="0" w:space="0" w:color="auto"/>
        <w:bottom w:val="none" w:sz="0" w:space="0" w:color="auto"/>
        <w:right w:val="none" w:sz="0" w:space="0" w:color="auto"/>
      </w:divBdr>
      <w:divsChild>
        <w:div w:id="570190464">
          <w:marLeft w:val="0"/>
          <w:marRight w:val="0"/>
          <w:marTop w:val="0"/>
          <w:marBottom w:val="0"/>
          <w:divBdr>
            <w:top w:val="none" w:sz="0" w:space="0" w:color="auto"/>
            <w:left w:val="none" w:sz="0" w:space="0" w:color="auto"/>
            <w:bottom w:val="none" w:sz="0" w:space="0" w:color="auto"/>
            <w:right w:val="none" w:sz="0" w:space="0" w:color="auto"/>
          </w:divBdr>
        </w:div>
        <w:div w:id="1476993336">
          <w:marLeft w:val="0"/>
          <w:marRight w:val="0"/>
          <w:marTop w:val="0"/>
          <w:marBottom w:val="0"/>
          <w:divBdr>
            <w:top w:val="none" w:sz="0" w:space="0" w:color="auto"/>
            <w:left w:val="none" w:sz="0" w:space="0" w:color="auto"/>
            <w:bottom w:val="none" w:sz="0" w:space="0" w:color="auto"/>
            <w:right w:val="none" w:sz="0" w:space="0" w:color="auto"/>
          </w:divBdr>
        </w:div>
      </w:divsChild>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898780025">
      <w:bodyDiv w:val="1"/>
      <w:marLeft w:val="0"/>
      <w:marRight w:val="0"/>
      <w:marTop w:val="0"/>
      <w:marBottom w:val="0"/>
      <w:divBdr>
        <w:top w:val="none" w:sz="0" w:space="0" w:color="auto"/>
        <w:left w:val="none" w:sz="0" w:space="0" w:color="auto"/>
        <w:bottom w:val="none" w:sz="0" w:space="0" w:color="auto"/>
        <w:right w:val="none" w:sz="0" w:space="0" w:color="auto"/>
      </w:divBdr>
      <w:divsChild>
        <w:div w:id="335113543">
          <w:marLeft w:val="0"/>
          <w:marRight w:val="0"/>
          <w:marTop w:val="0"/>
          <w:marBottom w:val="0"/>
          <w:divBdr>
            <w:top w:val="none" w:sz="0" w:space="0" w:color="auto"/>
            <w:left w:val="none" w:sz="0" w:space="0" w:color="auto"/>
            <w:bottom w:val="none" w:sz="0" w:space="0" w:color="auto"/>
            <w:right w:val="none" w:sz="0" w:space="0" w:color="auto"/>
          </w:divBdr>
          <w:divsChild>
            <w:div w:id="332341431">
              <w:marLeft w:val="0"/>
              <w:marRight w:val="0"/>
              <w:marTop w:val="0"/>
              <w:marBottom w:val="0"/>
              <w:divBdr>
                <w:top w:val="none" w:sz="0" w:space="0" w:color="auto"/>
                <w:left w:val="none" w:sz="0" w:space="0" w:color="auto"/>
                <w:bottom w:val="none" w:sz="0" w:space="0" w:color="auto"/>
                <w:right w:val="none" w:sz="0" w:space="0" w:color="auto"/>
              </w:divBdr>
            </w:div>
            <w:div w:id="398552582">
              <w:marLeft w:val="0"/>
              <w:marRight w:val="0"/>
              <w:marTop w:val="0"/>
              <w:marBottom w:val="0"/>
              <w:divBdr>
                <w:top w:val="none" w:sz="0" w:space="0" w:color="auto"/>
                <w:left w:val="none" w:sz="0" w:space="0" w:color="auto"/>
                <w:bottom w:val="none" w:sz="0" w:space="0" w:color="auto"/>
                <w:right w:val="none" w:sz="0" w:space="0" w:color="auto"/>
              </w:divBdr>
            </w:div>
          </w:divsChild>
        </w:div>
        <w:div w:id="1990819696">
          <w:marLeft w:val="0"/>
          <w:marRight w:val="0"/>
          <w:marTop w:val="0"/>
          <w:marBottom w:val="0"/>
          <w:divBdr>
            <w:top w:val="none" w:sz="0" w:space="0" w:color="auto"/>
            <w:left w:val="none" w:sz="0" w:space="0" w:color="auto"/>
            <w:bottom w:val="none" w:sz="0" w:space="0" w:color="auto"/>
            <w:right w:val="none" w:sz="0" w:space="0" w:color="auto"/>
          </w:divBdr>
          <w:divsChild>
            <w:div w:id="913122968">
              <w:marLeft w:val="0"/>
              <w:marRight w:val="0"/>
              <w:marTop w:val="0"/>
              <w:marBottom w:val="0"/>
              <w:divBdr>
                <w:top w:val="none" w:sz="0" w:space="0" w:color="auto"/>
                <w:left w:val="none" w:sz="0" w:space="0" w:color="auto"/>
                <w:bottom w:val="none" w:sz="0" w:space="0" w:color="auto"/>
                <w:right w:val="none" w:sz="0" w:space="0" w:color="auto"/>
              </w:divBdr>
            </w:div>
            <w:div w:id="1742168567">
              <w:marLeft w:val="0"/>
              <w:marRight w:val="0"/>
              <w:marTop w:val="0"/>
              <w:marBottom w:val="0"/>
              <w:divBdr>
                <w:top w:val="none" w:sz="0" w:space="0" w:color="auto"/>
                <w:left w:val="none" w:sz="0" w:space="0" w:color="auto"/>
                <w:bottom w:val="none" w:sz="0" w:space="0" w:color="auto"/>
                <w:right w:val="none" w:sz="0" w:space="0" w:color="auto"/>
              </w:divBdr>
            </w:div>
          </w:divsChild>
        </w:div>
        <w:div w:id="2119908183">
          <w:marLeft w:val="0"/>
          <w:marRight w:val="0"/>
          <w:marTop w:val="0"/>
          <w:marBottom w:val="0"/>
          <w:divBdr>
            <w:top w:val="none" w:sz="0" w:space="0" w:color="auto"/>
            <w:left w:val="none" w:sz="0" w:space="0" w:color="auto"/>
            <w:bottom w:val="none" w:sz="0" w:space="0" w:color="auto"/>
            <w:right w:val="none" w:sz="0" w:space="0" w:color="auto"/>
          </w:divBdr>
        </w:div>
      </w:divsChild>
    </w:div>
    <w:div w:id="1919628343">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1967855571">
      <w:bodyDiv w:val="1"/>
      <w:marLeft w:val="0"/>
      <w:marRight w:val="0"/>
      <w:marTop w:val="0"/>
      <w:marBottom w:val="0"/>
      <w:divBdr>
        <w:top w:val="none" w:sz="0" w:space="0" w:color="auto"/>
        <w:left w:val="none" w:sz="0" w:space="0" w:color="auto"/>
        <w:bottom w:val="none" w:sz="0" w:space="0" w:color="auto"/>
        <w:right w:val="none" w:sz="0" w:space="0" w:color="auto"/>
      </w:divBdr>
      <w:divsChild>
        <w:div w:id="814957858">
          <w:marLeft w:val="0"/>
          <w:marRight w:val="0"/>
          <w:marTop w:val="0"/>
          <w:marBottom w:val="0"/>
          <w:divBdr>
            <w:top w:val="none" w:sz="0" w:space="0" w:color="auto"/>
            <w:left w:val="none" w:sz="0" w:space="0" w:color="auto"/>
            <w:bottom w:val="none" w:sz="0" w:space="0" w:color="auto"/>
            <w:right w:val="none" w:sz="0" w:space="0" w:color="auto"/>
          </w:divBdr>
        </w:div>
        <w:div w:id="1058014965">
          <w:marLeft w:val="0"/>
          <w:marRight w:val="0"/>
          <w:marTop w:val="0"/>
          <w:marBottom w:val="0"/>
          <w:divBdr>
            <w:top w:val="none" w:sz="0" w:space="0" w:color="auto"/>
            <w:left w:val="none" w:sz="0" w:space="0" w:color="auto"/>
            <w:bottom w:val="none" w:sz="0" w:space="0" w:color="auto"/>
            <w:right w:val="none" w:sz="0" w:space="0" w:color="auto"/>
          </w:divBdr>
        </w:div>
      </w:divsChild>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25864776">
      <w:bodyDiv w:val="1"/>
      <w:marLeft w:val="0"/>
      <w:marRight w:val="0"/>
      <w:marTop w:val="0"/>
      <w:marBottom w:val="0"/>
      <w:divBdr>
        <w:top w:val="none" w:sz="0" w:space="0" w:color="auto"/>
        <w:left w:val="none" w:sz="0" w:space="0" w:color="auto"/>
        <w:bottom w:val="none" w:sz="0" w:space="0" w:color="auto"/>
        <w:right w:val="none" w:sz="0" w:space="0" w:color="auto"/>
      </w:divBdr>
    </w:div>
    <w:div w:id="2028864840">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073116159">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 TargetMode="External"/><Relationship Id="rId13" Type="http://schemas.openxmlformats.org/officeDocument/2006/relationships/hyperlink" Target="https://www.aihw.gov.au/reports/health-welfare-expenditure/health-expenditure-australia-2020-21/contents/overview/the-health-sector-relative-to-the-econom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sac.gov.au/internet/msac/publishing.nsf/Content/Home-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sac.gov.au/internet/msac/publishing.nsf/Content/1541-public" TargetMode="External"/><Relationship Id="rId1" Type="http://schemas.openxmlformats.org/officeDocument/2006/relationships/hyperlink" Target="https://anzra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1D717-F201-48EC-A5F6-19D2D842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14725</Words>
  <Characters>83936</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98465</CharactersWithSpaces>
  <SharedDoc>false</SharedDoc>
  <HyperlinkBase/>
  <HLinks>
    <vt:vector size="48" baseType="variant">
      <vt:variant>
        <vt:i4>6684716</vt:i4>
      </vt:variant>
      <vt:variant>
        <vt:i4>165</vt:i4>
      </vt:variant>
      <vt:variant>
        <vt:i4>0</vt:i4>
      </vt:variant>
      <vt:variant>
        <vt:i4>5</vt:i4>
      </vt:variant>
      <vt:variant>
        <vt:lpwstr>http://msac.gov.au/internet/msac/publishing.nsf/Content/Home-1</vt:lpwstr>
      </vt:variant>
      <vt:variant>
        <vt:lpwstr/>
      </vt:variant>
      <vt:variant>
        <vt:i4>2949183</vt:i4>
      </vt:variant>
      <vt:variant>
        <vt:i4>141</vt:i4>
      </vt:variant>
      <vt:variant>
        <vt:i4>0</vt:i4>
      </vt:variant>
      <vt:variant>
        <vt:i4>5</vt:i4>
      </vt:variant>
      <vt:variant>
        <vt:lpwstr>https://www.aihw.gov.au/reports/health-welfare-expenditure/health-expenditure-australia-2020-21/contents/overview/the-health-sector-relative-to-the-economy</vt:lpwstr>
      </vt:variant>
      <vt:variant>
        <vt:lpwstr/>
      </vt:variant>
      <vt:variant>
        <vt:i4>3997744</vt:i4>
      </vt:variant>
      <vt:variant>
        <vt:i4>0</vt:i4>
      </vt:variant>
      <vt:variant>
        <vt:i4>0</vt:i4>
      </vt:variant>
      <vt:variant>
        <vt:i4>5</vt:i4>
      </vt:variant>
      <vt:variant>
        <vt:lpwstr>http://www.msac.gov.au/</vt:lpwstr>
      </vt:variant>
      <vt:variant>
        <vt:lpwstr/>
      </vt:variant>
      <vt:variant>
        <vt:i4>2228332</vt:i4>
      </vt:variant>
      <vt:variant>
        <vt:i4>3</vt:i4>
      </vt:variant>
      <vt:variant>
        <vt:i4>0</vt:i4>
      </vt:variant>
      <vt:variant>
        <vt:i4>5</vt:i4>
      </vt:variant>
      <vt:variant>
        <vt:lpwstr>http://www.msac.gov.au/internet/msac/publishing.nsf/Content/1541-public</vt:lpwstr>
      </vt:variant>
      <vt:variant>
        <vt:lpwstr/>
      </vt:variant>
      <vt:variant>
        <vt:i4>2752544</vt:i4>
      </vt:variant>
      <vt:variant>
        <vt:i4>0</vt:i4>
      </vt:variant>
      <vt:variant>
        <vt:i4>0</vt:i4>
      </vt:variant>
      <vt:variant>
        <vt:i4>5</vt:i4>
      </vt:variant>
      <vt:variant>
        <vt:lpwstr>https://anzrag.com.au/</vt:lpwstr>
      </vt:variant>
      <vt:variant>
        <vt:lpwstr/>
      </vt:variant>
      <vt:variant>
        <vt:i4>3342368</vt:i4>
      </vt:variant>
      <vt:variant>
        <vt:i4>6</vt:i4>
      </vt:variant>
      <vt:variant>
        <vt:i4>0</vt:i4>
      </vt:variant>
      <vt:variant>
        <vt:i4>5</vt:i4>
      </vt:variant>
      <vt:variant>
        <vt:lpwstr>https://www.icmje.org/journals-following-the-icmje-recommendations/</vt:lpwstr>
      </vt:variant>
      <vt:variant>
        <vt:lpwstr/>
      </vt:variant>
      <vt:variant>
        <vt:i4>3342381</vt:i4>
      </vt:variant>
      <vt:variant>
        <vt:i4>3</vt:i4>
      </vt:variant>
      <vt:variant>
        <vt:i4>0</vt:i4>
      </vt:variant>
      <vt:variant>
        <vt:i4>5</vt:i4>
      </vt:variant>
      <vt:variant>
        <vt:lpwstr>https://www.icmje.org/icmje-recommendations.pdf</vt:lpwstr>
      </vt:variant>
      <vt:variant>
        <vt:lpwstr/>
      </vt:variant>
      <vt:variant>
        <vt:i4>1507401</vt:i4>
      </vt:variant>
      <vt:variant>
        <vt:i4>0</vt:i4>
      </vt:variant>
      <vt:variant>
        <vt:i4>0</vt:i4>
      </vt:variant>
      <vt:variant>
        <vt:i4>5</vt:i4>
      </vt:variant>
      <vt:variant>
        <vt:lpwstr>https://eyeandear.org.au/wp-content/uploads/2021/08/Hyphaema-Clinical-Practice-Guideline.pdf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2024-06-25T06:04:00Z</dcterms:created>
  <dcterms:modified xsi:type="dcterms:W3CDTF">2024-06-25T06:05:00Z</dcterms:modified>
  <cp:category/>
</cp:coreProperties>
</file>