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8CD09" w14:textId="65943E81" w:rsidR="00E44B80" w:rsidRPr="00F637B3" w:rsidRDefault="0058111C" w:rsidP="00E44B80">
      <w:pPr>
        <w:jc w:val="center"/>
        <w:rPr>
          <w:b/>
          <w:szCs w:val="20"/>
        </w:rPr>
      </w:pPr>
      <w:r w:rsidRPr="00F637B3">
        <w:rPr>
          <w:b/>
          <w:noProof/>
          <w:szCs w:val="20"/>
          <w:lang w:eastAsia="en-AU"/>
        </w:rPr>
        <w:drawing>
          <wp:inline distT="0" distB="0" distL="0" distR="0" wp14:anchorId="032EC604" wp14:editId="346F3CA7">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68F1079A" w14:textId="5072F95A" w:rsidR="0056015F" w:rsidRDefault="005C15D6" w:rsidP="008C5868">
      <w:pPr>
        <w:pStyle w:val="Title"/>
        <w:spacing w:before="2600"/>
      </w:pPr>
      <w:r>
        <w:t xml:space="preserve">MSAC </w:t>
      </w:r>
      <w:r w:rsidR="008B2610" w:rsidRPr="001906CD">
        <w:t xml:space="preserve">Application </w:t>
      </w:r>
      <w:r>
        <w:t>1718</w:t>
      </w:r>
    </w:p>
    <w:p w14:paraId="01BD8993" w14:textId="191E0031" w:rsidR="0056015F" w:rsidRPr="008C5868" w:rsidRDefault="008C5868" w:rsidP="005C15D6">
      <w:pPr>
        <w:pStyle w:val="TitleBlue"/>
        <w:spacing w:after="600"/>
        <w:rPr>
          <w:sz w:val="48"/>
          <w:szCs w:val="48"/>
        </w:rPr>
      </w:pPr>
      <w:r w:rsidRPr="008C5868">
        <w:rPr>
          <w:sz w:val="48"/>
          <w:szCs w:val="48"/>
        </w:rPr>
        <w:t>PD-L1 (Programmed Death 1 Ligand) immunohistochemistry testing for a</w:t>
      </w:r>
      <w:r w:rsidR="001752FC" w:rsidRPr="008C5868">
        <w:rPr>
          <w:sz w:val="48"/>
          <w:szCs w:val="48"/>
        </w:rPr>
        <w:t xml:space="preserve">ccess to pembrolizumab for first-line treatment of adults with persistent, </w:t>
      </w:r>
      <w:r w:rsidR="00F172F6" w:rsidRPr="008C5868">
        <w:rPr>
          <w:sz w:val="48"/>
          <w:szCs w:val="48"/>
        </w:rPr>
        <w:t>recurrent,</w:t>
      </w:r>
      <w:r w:rsidR="001752FC" w:rsidRPr="008C5868">
        <w:rPr>
          <w:sz w:val="48"/>
          <w:szCs w:val="48"/>
        </w:rPr>
        <w:t xml:space="preserve"> or metastatic</w:t>
      </w:r>
      <w:r w:rsidR="00F172F6" w:rsidRPr="008C5868">
        <w:rPr>
          <w:sz w:val="48"/>
          <w:szCs w:val="48"/>
        </w:rPr>
        <w:t xml:space="preserve"> </w:t>
      </w:r>
      <w:r w:rsidR="001752FC" w:rsidRPr="008C5868">
        <w:rPr>
          <w:sz w:val="48"/>
          <w:szCs w:val="48"/>
        </w:rPr>
        <w:t>c</w:t>
      </w:r>
      <w:r w:rsidR="00F172F6" w:rsidRPr="008C5868">
        <w:rPr>
          <w:sz w:val="48"/>
          <w:szCs w:val="48"/>
        </w:rPr>
        <w:t>e</w:t>
      </w:r>
      <w:r w:rsidR="001752FC" w:rsidRPr="008C5868">
        <w:rPr>
          <w:sz w:val="48"/>
          <w:szCs w:val="48"/>
        </w:rPr>
        <w:t>r</w:t>
      </w:r>
      <w:r w:rsidR="00F172F6" w:rsidRPr="008C5868">
        <w:rPr>
          <w:sz w:val="48"/>
          <w:szCs w:val="48"/>
        </w:rPr>
        <w:t>vical cancer</w:t>
      </w:r>
    </w:p>
    <w:p w14:paraId="6D6BB4BF"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5801EA90" w14:textId="77777777" w:rsidR="008B2610" w:rsidRPr="00154B00" w:rsidRDefault="008B2610" w:rsidP="003F7CB9">
      <w:r w:rsidRPr="00154B00">
        <w:t>Please use this template, along with the associ</w:t>
      </w:r>
      <w:r w:rsidR="003B605D">
        <w:t xml:space="preserve">ated </w:t>
      </w:r>
      <w:r w:rsidR="003B605D" w:rsidRPr="003B605D">
        <w:rPr>
          <w:u w:val="single"/>
        </w:rPr>
        <w:t>Application Form Instructions</w:t>
      </w:r>
      <w:r w:rsidRPr="00154B00">
        <w:t xml:space="preserve"> to prepare your application.  Please complete all questions that are applicable to the proposed service, providing relevant information only.</w:t>
      </w:r>
      <w:r w:rsidR="009F5758" w:rsidRPr="00154B00">
        <w:t xml:space="preserve">  Applications not completed in full will not be accepted.</w:t>
      </w:r>
      <w:r w:rsidR="003B605D" w:rsidRPr="003B605D">
        <w:t xml:space="preserve"> The separate </w:t>
      </w:r>
      <w:r w:rsidR="003B605D" w:rsidRPr="003B605D">
        <w:rPr>
          <w:u w:val="single"/>
        </w:rPr>
        <w:t>MSAC Guidelines</w:t>
      </w:r>
      <w:r w:rsidR="003B605D" w:rsidRPr="003B605D">
        <w:t xml:space="preserve"> should be used to guide health technology assessment (HTA) content of the Application Form</w:t>
      </w:r>
    </w:p>
    <w:p w14:paraId="5C9074CC"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w:t>
      </w:r>
      <w:r w:rsidR="003B605D">
        <w:t xml:space="preserve">eam) on the </w:t>
      </w:r>
      <w:r w:rsidR="008B2610" w:rsidRPr="00154B00">
        <w:t>email below to discuss</w:t>
      </w:r>
      <w:r w:rsidRPr="00154B00">
        <w:t xml:space="preserve"> the application form, or any other component of the Medical Services Advisory Committee process.</w:t>
      </w:r>
    </w:p>
    <w:p w14:paraId="2CDD91D3" w14:textId="77777777" w:rsidR="009F5758" w:rsidRPr="00154B00" w:rsidRDefault="009F5758" w:rsidP="003F7CB9">
      <w:pPr>
        <w:spacing w:before="0" w:after="0"/>
      </w:pPr>
    </w:p>
    <w:p w14:paraId="4B300BB7"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0D3E50F0"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2AB3B86B"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4BB6A14F"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385735A2" w14:textId="5171FF74"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345FC5">
        <w:t>N/A</w:t>
      </w:r>
    </w:p>
    <w:p w14:paraId="04B14AD7" w14:textId="52C42704"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345FC5">
        <w:t>MSD (Australia) Pty Limited</w:t>
      </w:r>
    </w:p>
    <w:p w14:paraId="2090DC6B" w14:textId="2EE657D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345FC5">
        <w:t>14 000 173 508</w:t>
      </w:r>
    </w:p>
    <w:p w14:paraId="7064C531" w14:textId="7F51346F"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345FC5">
        <w:t>N/A</w:t>
      </w:r>
    </w:p>
    <w:p w14:paraId="64EDDE36" w14:textId="77777777" w:rsidR="00C171FB" w:rsidRPr="00C171FB" w:rsidRDefault="00C171FB" w:rsidP="00C171FB"/>
    <w:p w14:paraId="1472AFBC" w14:textId="658095FF" w:rsidR="00C171FB" w:rsidRPr="00C171FB" w:rsidRDefault="00C171FB" w:rsidP="00C171FB">
      <w:pPr>
        <w:rPr>
          <w:b/>
        </w:rPr>
      </w:pPr>
      <w:r>
        <w:rPr>
          <w:b/>
        </w:rPr>
        <w:t xml:space="preserve">Primary contact name: </w:t>
      </w:r>
      <w:r w:rsidR="00CC06C6" w:rsidRPr="00CC06C6">
        <w:rPr>
          <w:b/>
          <w:bCs/>
        </w:rPr>
        <w:t>REDACTED</w:t>
      </w:r>
    </w:p>
    <w:p w14:paraId="5807DD50" w14:textId="5BDACA32"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40C21A95" w14:textId="4C289BBE"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CC06C6" w:rsidRPr="00CC06C6">
        <w:rPr>
          <w:b/>
          <w:bCs/>
        </w:rPr>
        <w:t>REDACTED</w:t>
      </w:r>
    </w:p>
    <w:p w14:paraId="3A9EC602" w14:textId="68C25C5C" w:rsidR="00C171FB" w:rsidRDefault="00C171FB" w:rsidP="00CC06C6">
      <w:pPr>
        <w:pBdr>
          <w:top w:val="single" w:sz="4" w:space="1" w:color="auto"/>
          <w:left w:val="single" w:sz="4" w:space="4" w:color="auto"/>
          <w:bottom w:val="single" w:sz="4" w:space="1" w:color="auto"/>
          <w:right w:val="single" w:sz="4" w:space="4" w:color="auto"/>
        </w:pBdr>
        <w:rPr>
          <w:b/>
        </w:rPr>
      </w:pPr>
      <w:r>
        <w:t xml:space="preserve">Email: </w:t>
      </w:r>
      <w:r w:rsidR="00CC06C6" w:rsidRPr="00CC06C6">
        <w:rPr>
          <w:b/>
          <w:bCs/>
        </w:rPr>
        <w:t>REDACTED</w:t>
      </w:r>
    </w:p>
    <w:p w14:paraId="74BFAFF1" w14:textId="77777777" w:rsidR="00CC06C6" w:rsidRDefault="00CC06C6" w:rsidP="00C171FB">
      <w:pPr>
        <w:rPr>
          <w:b/>
        </w:rPr>
      </w:pPr>
    </w:p>
    <w:p w14:paraId="781F14DD" w14:textId="4CC9CCB9" w:rsidR="00C171FB" w:rsidRPr="00C171FB" w:rsidRDefault="00C171FB" w:rsidP="00C171FB">
      <w:pPr>
        <w:rPr>
          <w:b/>
        </w:rPr>
      </w:pPr>
      <w:r>
        <w:rPr>
          <w:b/>
        </w:rPr>
        <w:t xml:space="preserve">Alternative contact name: </w:t>
      </w:r>
      <w:r w:rsidR="00CC06C6" w:rsidRPr="00CC06C6">
        <w:rPr>
          <w:b/>
          <w:bCs/>
        </w:rPr>
        <w:t>REDACTED</w:t>
      </w:r>
    </w:p>
    <w:p w14:paraId="5B704FD4"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4393EAFC" w14:textId="14B43B18"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CC06C6" w:rsidRPr="00CC06C6">
        <w:rPr>
          <w:b/>
          <w:bCs/>
        </w:rPr>
        <w:t>REDACTED</w:t>
      </w:r>
    </w:p>
    <w:p w14:paraId="1CAAA17D" w14:textId="102A933B"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CC06C6" w:rsidRPr="00CC06C6">
        <w:rPr>
          <w:b/>
          <w:bCs/>
        </w:rPr>
        <w:t>REDACTED</w:t>
      </w:r>
    </w:p>
    <w:p w14:paraId="5901E704" w14:textId="77777777" w:rsidR="00C171FB" w:rsidRPr="00C171FB" w:rsidRDefault="00C171FB" w:rsidP="00C171FB"/>
    <w:p w14:paraId="39085D8B" w14:textId="77777777" w:rsidR="00AD2E85" w:rsidRDefault="00AD2E85" w:rsidP="004A0BF4">
      <w:pPr>
        <w:pStyle w:val="Heading2"/>
      </w:pPr>
      <w:r>
        <w:t xml:space="preserve">(a) </w:t>
      </w:r>
      <w:r w:rsidRPr="00AD2E85">
        <w:t>Are you a consultant acting on behalf on an applicant?</w:t>
      </w:r>
    </w:p>
    <w:p w14:paraId="10F97637" w14:textId="77777777" w:rsidR="00AD2E85" w:rsidRDefault="00AD2E85" w:rsidP="00AD2E85">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8111C">
        <w:rPr>
          <w:szCs w:val="20"/>
        </w:rPr>
      </w:r>
      <w:r w:rsidR="0058111C">
        <w:rPr>
          <w:szCs w:val="20"/>
        </w:rPr>
        <w:fldChar w:fldCharType="separate"/>
      </w:r>
      <w:r w:rsidRPr="00753C44">
        <w:rPr>
          <w:szCs w:val="20"/>
        </w:rPr>
        <w:fldChar w:fldCharType="end"/>
      </w:r>
      <w:r>
        <w:rPr>
          <w:szCs w:val="20"/>
        </w:rPr>
        <w:t xml:space="preserve"> Yes</w:t>
      </w:r>
    </w:p>
    <w:p w14:paraId="4D38D1DA" w14:textId="4BBBB35E" w:rsidR="00AD2E85" w:rsidRPr="00753C44" w:rsidRDefault="00345FC5" w:rsidP="00AD2E85">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58111C">
        <w:rPr>
          <w:szCs w:val="20"/>
        </w:rPr>
      </w:r>
      <w:r w:rsidR="0058111C">
        <w:rPr>
          <w:szCs w:val="20"/>
        </w:rPr>
        <w:fldChar w:fldCharType="separate"/>
      </w:r>
      <w:r>
        <w:rPr>
          <w:szCs w:val="20"/>
        </w:rPr>
        <w:fldChar w:fldCharType="end"/>
      </w:r>
      <w:bookmarkEnd w:id="1"/>
      <w:r w:rsidR="00AD2E85">
        <w:rPr>
          <w:szCs w:val="20"/>
        </w:rPr>
        <w:t xml:space="preserve"> No</w:t>
      </w:r>
      <w:r w:rsidR="00AD2E85" w:rsidRPr="00753C44">
        <w:rPr>
          <w:szCs w:val="20"/>
        </w:rPr>
        <w:t xml:space="preserve">  </w:t>
      </w:r>
    </w:p>
    <w:p w14:paraId="17D7890A" w14:textId="09807F26" w:rsidR="00AD2E85" w:rsidRPr="00AD2E85" w:rsidRDefault="00AD2E85" w:rsidP="00AD2E85">
      <w:pPr>
        <w:ind w:firstLine="360"/>
        <w:rPr>
          <w:b/>
        </w:rPr>
      </w:pPr>
      <w:r w:rsidRPr="00AD2E85">
        <w:rPr>
          <w:b/>
        </w:rPr>
        <w:t>(b) If yes what is the Applicant(s) name that you are acting on behalf of?</w:t>
      </w:r>
    </w:p>
    <w:p w14:paraId="42B10D3D" w14:textId="3D7BFB46" w:rsidR="00AD2E85" w:rsidRPr="00AD2E85" w:rsidRDefault="00345FC5" w:rsidP="00AD2E85">
      <w:r>
        <w:t>N/A</w:t>
      </w:r>
    </w:p>
    <w:p w14:paraId="1D55B760" w14:textId="77777777" w:rsidR="00534C5F" w:rsidRPr="00154B00" w:rsidRDefault="00494011" w:rsidP="004A0BF4">
      <w:pPr>
        <w:pStyle w:val="Heading2"/>
      </w:pPr>
      <w:r>
        <w:t xml:space="preserve">(a) </w:t>
      </w:r>
      <w:r w:rsidR="00534C5F">
        <w:t>Are you a lobbyist acting on behalf of an Applicant?</w:t>
      </w:r>
    </w:p>
    <w:p w14:paraId="7C68AC06"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8111C">
        <w:rPr>
          <w:szCs w:val="20"/>
        </w:rPr>
      </w:r>
      <w:r w:rsidR="0058111C">
        <w:rPr>
          <w:szCs w:val="20"/>
        </w:rPr>
        <w:fldChar w:fldCharType="separate"/>
      </w:r>
      <w:r w:rsidRPr="00753C44">
        <w:rPr>
          <w:szCs w:val="20"/>
        </w:rPr>
        <w:fldChar w:fldCharType="end"/>
      </w:r>
      <w:r>
        <w:rPr>
          <w:szCs w:val="20"/>
        </w:rPr>
        <w:t xml:space="preserve"> Yes</w:t>
      </w:r>
    </w:p>
    <w:p w14:paraId="569C4D53" w14:textId="790EC98E" w:rsidR="00A6491A" w:rsidRPr="00753C44" w:rsidRDefault="00345FC5"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A6491A">
        <w:rPr>
          <w:szCs w:val="20"/>
        </w:rPr>
        <w:t xml:space="preserve"> No</w:t>
      </w:r>
      <w:r w:rsidR="00A6491A" w:rsidRPr="00753C44">
        <w:rPr>
          <w:szCs w:val="20"/>
        </w:rPr>
        <w:t xml:space="preserve">  </w:t>
      </w:r>
    </w:p>
    <w:p w14:paraId="454F5FC4"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20A68252" w14:textId="77C77F44" w:rsidR="00A6491A" w:rsidRPr="00753C44" w:rsidRDefault="005C15D6" w:rsidP="00A6491A">
      <w:pPr>
        <w:spacing w:before="0" w:after="0"/>
        <w:ind w:left="426"/>
        <w:rPr>
          <w:szCs w:val="20"/>
        </w:rPr>
      </w:pPr>
      <w:r>
        <w:rPr>
          <w:szCs w:val="20"/>
        </w:rPr>
        <w:t>N/A</w:t>
      </w:r>
    </w:p>
    <w:p w14:paraId="2EE2486D" w14:textId="77777777" w:rsidR="00CE0F9E" w:rsidRPr="00154B00" w:rsidRDefault="00CE0F9E" w:rsidP="00CE0F9E">
      <w:pPr>
        <w:pStyle w:val="Heading2"/>
        <w:numPr>
          <w:ilvl w:val="0"/>
          <w:numId w:val="23"/>
        </w:numPr>
      </w:pPr>
      <w:r>
        <w:t>Have you engaged a consultant on your behalf?</w:t>
      </w:r>
    </w:p>
    <w:p w14:paraId="5CF7DE3A" w14:textId="5404F17C" w:rsidR="00CE0F9E" w:rsidRDefault="005C15D6" w:rsidP="00CE0F9E">
      <w:pPr>
        <w:spacing w:before="0" w:after="0"/>
        <w:ind w:left="426"/>
        <w:rPr>
          <w:szCs w:val="20"/>
        </w:rPr>
      </w:pPr>
      <w:r>
        <w:rPr>
          <w:szCs w:val="20"/>
        </w:rPr>
        <w:t>N/A</w:t>
      </w:r>
    </w:p>
    <w:p w14:paraId="2C152E5D" w14:textId="77777777" w:rsidR="00CE0F9E" w:rsidRDefault="00CE0F9E" w:rsidP="00CE0F9E">
      <w:pPr>
        <w:spacing w:before="0" w:after="0"/>
        <w:ind w:left="426"/>
        <w:rPr>
          <w:szCs w:val="20"/>
        </w:rPr>
      </w:pPr>
    </w:p>
    <w:p w14:paraId="43A070B7" w14:textId="77777777" w:rsidR="00CE0F9E" w:rsidRPr="00753C44" w:rsidRDefault="00CE0F9E" w:rsidP="00CE0F9E">
      <w:pPr>
        <w:spacing w:before="0" w:after="0"/>
        <w:ind w:left="426"/>
        <w:rPr>
          <w:szCs w:val="20"/>
        </w:rPr>
      </w:pPr>
    </w:p>
    <w:p w14:paraId="7D10E887" w14:textId="77777777" w:rsidR="00E04FB3" w:rsidRPr="00A13807" w:rsidRDefault="00E04FB3" w:rsidP="005C333E">
      <w:pPr>
        <w:spacing w:before="0" w:after="0"/>
        <w:ind w:left="426"/>
        <w:rPr>
          <w:b/>
          <w:szCs w:val="20"/>
        </w:rPr>
      </w:pPr>
      <w:r w:rsidRPr="00154B00">
        <w:rPr>
          <w:b/>
          <w:szCs w:val="20"/>
        </w:rPr>
        <w:br w:type="page"/>
      </w:r>
    </w:p>
    <w:p w14:paraId="0CB59143" w14:textId="0C373612" w:rsidR="00D57F88"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tbl>
      <w:tblPr>
        <w:tblStyle w:val="TableGrid"/>
        <w:tblW w:w="0" w:type="auto"/>
        <w:tblLook w:val="04A0" w:firstRow="1" w:lastRow="0" w:firstColumn="1" w:lastColumn="0" w:noHBand="0" w:noVBand="1"/>
      </w:tblPr>
      <w:tblGrid>
        <w:gridCol w:w="9016"/>
      </w:tblGrid>
      <w:tr w:rsidR="00872329" w14:paraId="795A9427" w14:textId="77777777" w:rsidTr="00872329">
        <w:tc>
          <w:tcPr>
            <w:tcW w:w="9016" w:type="dxa"/>
          </w:tcPr>
          <w:p w14:paraId="1DF79BD3" w14:textId="4A5F3322" w:rsidR="00F9093D" w:rsidRDefault="00285130" w:rsidP="00872329">
            <w:r>
              <w:t xml:space="preserve">Cervical cancer is one of the most </w:t>
            </w:r>
            <w:r w:rsidR="00CD1DA4">
              <w:t xml:space="preserve">preventable and </w:t>
            </w:r>
            <w:r>
              <w:t>treatable forms of cancer</w:t>
            </w:r>
            <w:r w:rsidR="009E2D27">
              <w:t xml:space="preserve"> </w:t>
            </w:r>
            <w:r w:rsidR="00CD1DA4">
              <w:t xml:space="preserve">if </w:t>
            </w:r>
            <w:r w:rsidR="00E71398">
              <w:t>diagnosed early. I</w:t>
            </w:r>
            <w:r w:rsidR="003E587D">
              <w:t>n 2020, the Wo</w:t>
            </w:r>
            <w:r w:rsidR="00E748F9">
              <w:t>rld Health Assembly adopted the Global strategy for cervical cancer elimination</w:t>
            </w:r>
            <w:r w:rsidR="009E2D27">
              <w:t xml:space="preserve">. With the current National Cervical Screening Program and </w:t>
            </w:r>
            <w:r w:rsidR="0014007C">
              <w:t xml:space="preserve">HPV Vaccination program in place in Australia, we are on track to become the first country in the world to eliminate cervical cancer as a public health problem. However, there is still an unmet </w:t>
            </w:r>
            <w:r w:rsidR="002368E2">
              <w:t xml:space="preserve">clinical </w:t>
            </w:r>
            <w:r w:rsidR="0014007C">
              <w:t>need</w:t>
            </w:r>
            <w:r w:rsidR="00E748F9">
              <w:t xml:space="preserve"> </w:t>
            </w:r>
            <w:r w:rsidR="004664CA">
              <w:t xml:space="preserve">in </w:t>
            </w:r>
            <w:r w:rsidR="00C566D5">
              <w:t xml:space="preserve">the </w:t>
            </w:r>
            <w:r w:rsidR="004664CA">
              <w:t xml:space="preserve">treatment for patients who are diagnosed with </w:t>
            </w:r>
            <w:r w:rsidR="003D2AAD">
              <w:t>this disease.</w:t>
            </w:r>
          </w:p>
          <w:p w14:paraId="25324652" w14:textId="54C3BF16" w:rsidR="00872329" w:rsidRDefault="00872329" w:rsidP="00872329">
            <w:r>
              <w:t>The pivotal phase III clinical trial (Keynote 826) of which this application is based on is currently progressing through the regulatory process</w:t>
            </w:r>
            <w:r w:rsidR="00E1772A">
              <w:t xml:space="preserve"> via Project </w:t>
            </w:r>
            <w:r w:rsidR="00E1772A" w:rsidRPr="00CC06C6">
              <w:t>Orbis</w:t>
            </w:r>
            <w:r w:rsidRPr="00CC06C6">
              <w:t xml:space="preserve">, </w:t>
            </w:r>
            <w:r w:rsidR="00CC06C6" w:rsidRPr="00CC06C6">
              <w:rPr>
                <w:b/>
                <w:bCs/>
              </w:rPr>
              <w:t>REDACTED</w:t>
            </w:r>
            <w:r w:rsidR="00DD1319" w:rsidRPr="00CC06C6">
              <w:t xml:space="preserve">. The </w:t>
            </w:r>
            <w:r w:rsidR="00235820" w:rsidRPr="00CC06C6">
              <w:t>biomarker</w:t>
            </w:r>
            <w:r w:rsidR="00235820">
              <w:t xml:space="preserve"> driven population would be </w:t>
            </w:r>
            <w:r w:rsidR="00F47D44">
              <w:t xml:space="preserve">determined by </w:t>
            </w:r>
            <w:r w:rsidR="00235820">
              <w:t>a</w:t>
            </w:r>
            <w:r w:rsidR="00F47D44">
              <w:t xml:space="preserve"> Combined Positive Score (CPS) of </w:t>
            </w:r>
            <w:r w:rsidR="00F47D44">
              <w:rPr>
                <w:rFonts w:cstheme="minorHAnsi"/>
              </w:rPr>
              <w:t>≥</w:t>
            </w:r>
            <w:r w:rsidR="00F47D44">
              <w:t>1</w:t>
            </w:r>
            <w:r>
              <w:t>,</w:t>
            </w:r>
            <w:r w:rsidR="00235820">
              <w:t xml:space="preserve"> which </w:t>
            </w:r>
            <w:r w:rsidR="0063172B">
              <w:t>account for approximately 90% of cervical cancer patients</w:t>
            </w:r>
            <w:r>
              <w:t xml:space="preserve">. </w:t>
            </w:r>
            <w:proofErr w:type="gramStart"/>
            <w:r>
              <w:t>In order to</w:t>
            </w:r>
            <w:proofErr w:type="gramEnd"/>
            <w:r>
              <w:t xml:space="preserve"> ensure that patients are able to access pembrolizumab as soon as possible following regulatory approval we are submitting this application to determine the appropriate PICO for a </w:t>
            </w:r>
            <w:r w:rsidR="00F47D44">
              <w:t>CPS</w:t>
            </w:r>
            <w:r>
              <w:t xml:space="preserve"> driven population.</w:t>
            </w:r>
          </w:p>
          <w:p w14:paraId="5990EA0E" w14:textId="77777777" w:rsidR="00D048FC" w:rsidRDefault="00954A6B" w:rsidP="00872329">
            <w:r>
              <w:t>MSD has previously submitted two co-dependent applications for MBS funding of PD-L1 testing in non-small cell lung cancer (NSCLC) [Applications 1414, 1440</w:t>
            </w:r>
            <w:r w:rsidR="00F9093D">
              <w:t>,</w:t>
            </w:r>
            <w:r>
              <w:t xml:space="preserve"> 1440.1]; and head and neck squamous cell carcinoma (HNSCC) [Application</w:t>
            </w:r>
            <w:r w:rsidR="00F9093D">
              <w:t>s</w:t>
            </w:r>
            <w:r>
              <w:t xml:space="preserve"> 1522</w:t>
            </w:r>
            <w:r w:rsidR="00F9093D">
              <w:t>, 1522.1</w:t>
            </w:r>
            <w:r>
              <w:t xml:space="preserve">]. </w:t>
            </w:r>
            <w:r w:rsidR="00F9093D">
              <w:t xml:space="preserve">Application 1440.1 was supported by MSAC and a PD-L1 test in patients with NSCLC is now included on the MBS (Item 72184). Furthermore, HNSCC was also </w:t>
            </w:r>
            <w:r w:rsidR="009E4F00">
              <w:t xml:space="preserve">recently </w:t>
            </w:r>
            <w:r w:rsidR="00F9093D">
              <w:t>considered at the November 2021 meeting where MSAC supported amending MBS item 72814 for PD-L1 immunohistochemistry (IHC) testing to include patients with recurrent or metastatic HNSCC</w:t>
            </w:r>
            <w:r w:rsidR="00B23EC6">
              <w:t xml:space="preserve"> to identify those with a CPS</w:t>
            </w:r>
            <w:r w:rsidR="00B23EC6">
              <w:rPr>
                <w:u w:val="single"/>
              </w:rPr>
              <w:t>&gt;</w:t>
            </w:r>
            <w:r w:rsidR="00B23EC6">
              <w:t xml:space="preserve">20 </w:t>
            </w:r>
            <w:r w:rsidR="008C685E">
              <w:t xml:space="preserve">who may </w:t>
            </w:r>
            <w:r w:rsidR="00577658">
              <w:t xml:space="preserve">be </w:t>
            </w:r>
            <w:r w:rsidR="008C685E">
              <w:t>eligible for pembrolizumab monotherapy</w:t>
            </w:r>
            <w:r w:rsidR="00F9093D">
              <w:t>.</w:t>
            </w:r>
          </w:p>
          <w:p w14:paraId="7D6DD392" w14:textId="0462A5B0" w:rsidR="00D048FC" w:rsidRDefault="001F3AAE" w:rsidP="00872329">
            <w:r>
              <w:t xml:space="preserve">We understand that PASC and MSAC have extensive experience reviewing PD-L1 tests to determine eligibility for treatment with various PD-L1 inhibitors across a range of tumours. Furthermore, the specific scoring system (Combined Positive Score, CPS) used in this application is identical to the scoring system used in HNSCC, which was recently reviewed by both committees. We hope to incorporate some learnings from that previous submission into the co-dependent submission for PD-L1 testing and pembrolizumab </w:t>
            </w:r>
            <w:r w:rsidR="00B21151">
              <w:t>for</w:t>
            </w:r>
            <w:r>
              <w:t xml:space="preserve"> </w:t>
            </w:r>
            <w:r w:rsidR="00B21151">
              <w:t>c</w:t>
            </w:r>
            <w:r w:rsidR="00BC6E90">
              <w:t>ervical cancer</w:t>
            </w:r>
            <w:r>
              <w:t xml:space="preserve">, to ensure that the significant unmet clinical need can be addresses as soon as possible. </w:t>
            </w:r>
          </w:p>
        </w:tc>
      </w:tr>
    </w:tbl>
    <w:p w14:paraId="2C926187" w14:textId="77777777" w:rsidR="000B3CD0" w:rsidRDefault="000B3CD0" w:rsidP="00730C04">
      <w:pPr>
        <w:pStyle w:val="Heading2"/>
      </w:pPr>
      <w:r w:rsidRPr="00154B00">
        <w:t>Application title</w:t>
      </w:r>
      <w:r w:rsidR="00A8732C">
        <w:t xml:space="preserve"> </w:t>
      </w:r>
    </w:p>
    <w:p w14:paraId="02737F25" w14:textId="76010BD4" w:rsidR="00872329" w:rsidRPr="009056C5" w:rsidRDefault="001604BE" w:rsidP="00A6491A">
      <w:pPr>
        <w:ind w:left="284"/>
      </w:pPr>
      <w:r>
        <w:t>PD-L1</w:t>
      </w:r>
      <w:r w:rsidR="00371100">
        <w:t xml:space="preserve"> (Programmed Death Ligand 1) immunohistochemistry testing for a</w:t>
      </w:r>
      <w:r w:rsidR="001752FC">
        <w:t xml:space="preserve">ccess to pembrolizumab for first-line treatment of adult patients with persistent, recurrent, </w:t>
      </w:r>
      <w:r w:rsidR="00872329">
        <w:t>or</w:t>
      </w:r>
      <w:r w:rsidR="001752FC">
        <w:t xml:space="preserve"> metastatic cervical cancer.</w:t>
      </w:r>
    </w:p>
    <w:p w14:paraId="4A7A6D87"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55C8C08A" w14:textId="0B48F5BB" w:rsidR="002C3345" w:rsidRDefault="00392EBF" w:rsidP="00A6491A">
      <w:pPr>
        <w:ind w:left="284"/>
        <w:rPr>
          <w:rFonts w:cstheme="minorHAnsi"/>
        </w:rPr>
      </w:pPr>
      <w:r>
        <w:t>Patients included within this application will be adult patients with</w:t>
      </w:r>
      <w:r w:rsidR="00E1772A">
        <w:t xml:space="preserve"> a histologically confirmed diagnosis of</w:t>
      </w:r>
      <w:r>
        <w:t xml:space="preserve"> persistent, recurrent, </w:t>
      </w:r>
      <w:r w:rsidR="00872329">
        <w:t>or</w:t>
      </w:r>
      <w:r>
        <w:t xml:space="preserve"> metastatic</w:t>
      </w:r>
      <w:r w:rsidR="0038293B">
        <w:t xml:space="preserve"> squamous cell carcinoma, </w:t>
      </w:r>
      <w:proofErr w:type="spellStart"/>
      <w:r w:rsidR="0038293B">
        <w:t>adenosquamous</w:t>
      </w:r>
      <w:proofErr w:type="spellEnd"/>
      <w:r w:rsidR="0038293B">
        <w:t xml:space="preserve"> carcinoma or adenocarcinoma of the</w:t>
      </w:r>
      <w:r>
        <w:t xml:space="preserve"> cervi</w:t>
      </w:r>
      <w:r w:rsidR="0038293B">
        <w:t>x who are</w:t>
      </w:r>
      <w:r w:rsidR="00E1772A">
        <w:t xml:space="preserve"> not eligible for treatment with curative intent and who are</w:t>
      </w:r>
      <w:r w:rsidR="0038293B">
        <w:t xml:space="preserve"> PD-L1 positive (as determined by the Combined Positive Score</w:t>
      </w:r>
      <w:r w:rsidR="00E1772A">
        <w:t xml:space="preserve"> (CPS) of </w:t>
      </w:r>
      <w:r w:rsidR="00E1772A">
        <w:rPr>
          <w:rFonts w:cstheme="minorHAnsi"/>
        </w:rPr>
        <w:t>≥</w:t>
      </w:r>
      <w:r w:rsidR="00E1772A">
        <w:t>1</w:t>
      </w:r>
      <w:r w:rsidR="00D75842">
        <w:rPr>
          <w:rFonts w:cstheme="minorHAnsi"/>
        </w:rPr>
        <w:t>)</w:t>
      </w:r>
      <w:r w:rsidR="00787828">
        <w:rPr>
          <w:rFonts w:cstheme="minorHAnsi"/>
        </w:rPr>
        <w:t xml:space="preserve">. </w:t>
      </w:r>
    </w:p>
    <w:p w14:paraId="118F4893" w14:textId="2FC32022"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7DD9CEEC" w14:textId="6FB124E2" w:rsidR="00D048FC" w:rsidRDefault="001F038E" w:rsidP="00787828">
      <w:pPr>
        <w:autoSpaceDE w:val="0"/>
        <w:autoSpaceDN w:val="0"/>
        <w:adjustRightInd w:val="0"/>
        <w:spacing w:before="0"/>
        <w:ind w:left="360"/>
      </w:pPr>
      <w:r>
        <w:t xml:space="preserve">As mentioned above, </w:t>
      </w:r>
      <w:r w:rsidR="005D10EA">
        <w:t>PD-L1 testing has already been listed for NSCLC (MBS item 72184</w:t>
      </w:r>
      <w:r w:rsidR="00982E82">
        <w:t>) and an amendment to the exi</w:t>
      </w:r>
      <w:r w:rsidR="006D7A1C">
        <w:t>s</w:t>
      </w:r>
      <w:r w:rsidR="00982E82">
        <w:t>ting item number to include</w:t>
      </w:r>
      <w:r w:rsidR="00B04ADF">
        <w:t xml:space="preserve"> HNSCC</w:t>
      </w:r>
      <w:r w:rsidR="00982E82">
        <w:t xml:space="preserve"> has been supported by MSAC</w:t>
      </w:r>
      <w:r w:rsidR="00B04ADF">
        <w:t xml:space="preserve"> (</w:t>
      </w:r>
      <w:r w:rsidR="00D247E4">
        <w:t xml:space="preserve">1522.1 Final </w:t>
      </w:r>
      <w:r w:rsidR="00B04ADF">
        <w:t>MSAC PSD</w:t>
      </w:r>
      <w:r w:rsidR="00D247E4">
        <w:t>).</w:t>
      </w:r>
      <w:r w:rsidR="00763806">
        <w:t xml:space="preserve"> </w:t>
      </w:r>
      <w:r w:rsidR="001A6501">
        <w:t xml:space="preserve">It is </w:t>
      </w:r>
      <w:r w:rsidR="005F4461">
        <w:t>suggested</w:t>
      </w:r>
      <w:r w:rsidR="001A6501">
        <w:t xml:space="preserve"> that this item number will also be amended to include cervical cancer patients.</w:t>
      </w:r>
      <w:r w:rsidR="00763806">
        <w:t xml:space="preserve"> </w:t>
      </w:r>
    </w:p>
    <w:p w14:paraId="3A5A4C62" w14:textId="2E05EC6F" w:rsidR="00554EBE" w:rsidRDefault="00A27E11" w:rsidP="005F4461">
      <w:pPr>
        <w:autoSpaceDE w:val="0"/>
        <w:autoSpaceDN w:val="0"/>
        <w:adjustRightInd w:val="0"/>
        <w:spacing w:before="0"/>
        <w:ind w:left="360"/>
      </w:pPr>
      <w:r w:rsidRPr="00787828">
        <w:t>It is proposed that</w:t>
      </w:r>
      <w:r w:rsidR="00AD1A3E">
        <w:t xml:space="preserve"> a</w:t>
      </w:r>
      <w:r w:rsidR="00021938">
        <w:t>n</w:t>
      </w:r>
      <w:r w:rsidRPr="00787828">
        <w:t xml:space="preserve"> immunohistochemistry (IHC) test be used for the evaluation of Programmed Cell Death-Ligand 1 (PD-L1) expression to determine eligibility for treatment with pembrolizumab in patients with </w:t>
      </w:r>
      <w:r>
        <w:t xml:space="preserve">persistent, recurrent, </w:t>
      </w:r>
      <w:r w:rsidR="00872329">
        <w:t>or</w:t>
      </w:r>
      <w:r>
        <w:t xml:space="preserve"> metastatic carcinoma of the cervix.</w:t>
      </w:r>
      <w:r w:rsidRPr="00787828">
        <w:t xml:space="preserve"> </w:t>
      </w:r>
      <w:r w:rsidR="00787828" w:rsidRPr="00787828">
        <w:t xml:space="preserve">The core needle </w:t>
      </w:r>
      <w:r w:rsidR="000A500F">
        <w:t>or excisional</w:t>
      </w:r>
      <w:r w:rsidR="00787828" w:rsidRPr="00787828">
        <w:t xml:space="preserve"> biopsy sample taken as part of a standard diagnostic process</w:t>
      </w:r>
      <w:r w:rsidR="002B3D81">
        <w:t xml:space="preserve"> in cervical cancer</w:t>
      </w:r>
      <w:r w:rsidR="00787828" w:rsidRPr="00787828">
        <w:t xml:space="preserve"> will be used for immunohistochemical testing with PD-L1. The testing would be done by a pathologist alongside other immunohistochemical tests which are done routinely</w:t>
      </w:r>
      <w:r w:rsidR="00D048FC">
        <w:t>, and it is proposed that the test is a pathologist determinable test</w:t>
      </w:r>
      <w:r w:rsidR="00787828" w:rsidRPr="00787828">
        <w:t>.</w:t>
      </w:r>
      <w:r w:rsidR="000F11B4">
        <w:t xml:space="preserve"> </w:t>
      </w:r>
    </w:p>
    <w:p w14:paraId="5719FE34" w14:textId="3CE18169" w:rsidR="00C669FE" w:rsidRPr="00C669FE" w:rsidRDefault="00787828" w:rsidP="00C669FE">
      <w:pPr>
        <w:autoSpaceDE w:val="0"/>
        <w:autoSpaceDN w:val="0"/>
        <w:adjustRightInd w:val="0"/>
        <w:spacing w:before="0"/>
        <w:ind w:left="360"/>
      </w:pPr>
      <w:r>
        <w:lastRenderedPageBreak/>
        <w:t xml:space="preserve">If newly obtained tissue is unavailable, then archival tissue </w:t>
      </w:r>
      <w:r w:rsidR="00A730D6">
        <w:t>can</w:t>
      </w:r>
      <w:r>
        <w:t xml:space="preserve"> be used. Based on the Information for Use (IFU) for PD-L1 IHC 22C3 </w:t>
      </w:r>
      <w:proofErr w:type="spellStart"/>
      <w:r>
        <w:t>pharmDx</w:t>
      </w:r>
      <w:proofErr w:type="spellEnd"/>
      <w:r>
        <w:t xml:space="preserve"> assay, the archival tissue should be &lt;5 years old. </w:t>
      </w:r>
    </w:p>
    <w:p w14:paraId="7C40E65F" w14:textId="08D00B02" w:rsidR="004102E6" w:rsidRDefault="00754292" w:rsidP="005F4461">
      <w:pPr>
        <w:autoSpaceDE w:val="0"/>
        <w:autoSpaceDN w:val="0"/>
        <w:adjustRightInd w:val="0"/>
        <w:spacing w:before="0"/>
        <w:ind w:left="360"/>
        <w:rPr>
          <w:noProof/>
        </w:rPr>
      </w:pPr>
      <w:r>
        <w:rPr>
          <w:rFonts w:cstheme="minorHAnsi"/>
        </w:rPr>
        <w:t xml:space="preserve">If the TGA were to restrict the use of pembrolizumab for patients </w:t>
      </w:r>
      <w:r w:rsidR="004E5355">
        <w:rPr>
          <w:rFonts w:cstheme="minorHAnsi"/>
        </w:rPr>
        <w:t>with</w:t>
      </w:r>
      <w:r w:rsidR="004E5355" w:rsidRPr="004E5355">
        <w:t xml:space="preserve"> </w:t>
      </w:r>
      <w:r w:rsidR="004E5355">
        <w:t xml:space="preserve">a histologically confirmed diagnosis of persistent, recurrent, or metastatic squamous cell carcinoma, </w:t>
      </w:r>
      <w:proofErr w:type="spellStart"/>
      <w:r w:rsidR="004E5355">
        <w:t>adenosquamous</w:t>
      </w:r>
      <w:proofErr w:type="spellEnd"/>
      <w:r w:rsidR="004E5355">
        <w:t xml:space="preserve"> carcinoma or adenocarcinoma of the cervix who are not eligible for treatment with curative intent the </w:t>
      </w:r>
      <w:proofErr w:type="spellStart"/>
      <w:r w:rsidR="0088271B">
        <w:t>cutpoint</w:t>
      </w:r>
      <w:proofErr w:type="spellEnd"/>
      <w:r w:rsidR="0088271B">
        <w:t xml:space="preserve"> would be determined</w:t>
      </w:r>
      <w:r>
        <w:t xml:space="preserve"> </w:t>
      </w:r>
      <w:r w:rsidR="00C00BA8">
        <w:t>a CPS</w:t>
      </w:r>
      <w:r>
        <w:t xml:space="preserve"> </w:t>
      </w:r>
      <w:r w:rsidR="00E56A58">
        <w:t xml:space="preserve">of </w:t>
      </w:r>
      <w:r w:rsidR="00E56A58">
        <w:rPr>
          <w:u w:val="single"/>
        </w:rPr>
        <w:t>&gt;</w:t>
      </w:r>
      <w:r w:rsidR="00E56A58">
        <w:t>1.</w:t>
      </w:r>
      <w:r>
        <w:rPr>
          <w:rFonts w:cstheme="minorHAnsi"/>
        </w:rPr>
        <w:t xml:space="preserve"> </w:t>
      </w:r>
      <w:r w:rsidR="004102E6">
        <w:rPr>
          <w:rFonts w:cstheme="minorHAnsi"/>
        </w:rPr>
        <w:t>CPS is the number of PD-L1 staining cells divided by the total number of viable tumour cells, multiplied by 100. Distinction of viable tumour cells, lymphocytes, and macrophages is essential for accurate denominator estimation. CPS is defined as follows:</w:t>
      </w:r>
      <w:r w:rsidR="004102E6" w:rsidRPr="004102E6">
        <w:rPr>
          <w:noProof/>
        </w:rPr>
        <w:t xml:space="preserve"> </w:t>
      </w:r>
    </w:p>
    <w:p w14:paraId="54EDB33D" w14:textId="44DD638D" w:rsidR="00B20EB6" w:rsidRDefault="004102E6" w:rsidP="00E56A58">
      <w:pPr>
        <w:autoSpaceDE w:val="0"/>
        <w:autoSpaceDN w:val="0"/>
        <w:adjustRightInd w:val="0"/>
        <w:spacing w:before="0"/>
        <w:ind w:left="360"/>
        <w:jc w:val="center"/>
      </w:pPr>
      <w:r>
        <w:rPr>
          <w:noProof/>
        </w:rPr>
        <w:drawing>
          <wp:inline distT="0" distB="0" distL="0" distR="0" wp14:anchorId="3A2F0501" wp14:editId="5DDBDD80">
            <wp:extent cx="3770851" cy="457200"/>
            <wp:effectExtent l="0" t="0" r="127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770851" cy="457200"/>
                    </a:xfrm>
                    <a:prstGeom prst="rect">
                      <a:avLst/>
                    </a:prstGeom>
                  </pic:spPr>
                </pic:pic>
              </a:graphicData>
            </a:graphic>
          </wp:inline>
        </w:drawing>
      </w:r>
    </w:p>
    <w:p w14:paraId="69713380"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36D1AD16" w14:textId="1D28137E" w:rsidR="00753C44" w:rsidRDefault="00E35EF4" w:rsidP="00CC06C6">
      <w:pPr>
        <w:spacing w:before="0" w:after="0"/>
        <w:ind w:left="360"/>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58111C">
        <w:rPr>
          <w:szCs w:val="20"/>
        </w:rPr>
      </w:r>
      <w:r w:rsidR="0058111C">
        <w:rPr>
          <w:szCs w:val="20"/>
        </w:rPr>
        <w:fldChar w:fldCharType="separate"/>
      </w:r>
      <w:r>
        <w:rPr>
          <w:szCs w:val="20"/>
        </w:rPr>
        <w:fldChar w:fldCharType="end"/>
      </w:r>
      <w:bookmarkEnd w:id="2"/>
      <w:r w:rsidR="006B6390">
        <w:rPr>
          <w:szCs w:val="20"/>
        </w:rPr>
        <w:t xml:space="preserve"> Yes</w:t>
      </w:r>
    </w:p>
    <w:p w14:paraId="24E9FAF0" w14:textId="77777777" w:rsidR="00753C44" w:rsidRPr="00753C44" w:rsidRDefault="006B6390" w:rsidP="00CC06C6">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8111C">
        <w:rPr>
          <w:szCs w:val="20"/>
        </w:rPr>
      </w:r>
      <w:r w:rsidR="0058111C">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3F4C89C7"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764E60CB" w14:textId="3811CCD9" w:rsidR="00753C44" w:rsidRDefault="00872329" w:rsidP="00CC06C6">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37E45338" w14:textId="434B3A8B" w:rsidR="00753C44" w:rsidRPr="00753C44" w:rsidRDefault="00872329" w:rsidP="00CC06C6">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4D594E67" w14:textId="17E83095" w:rsidR="000B3CD0"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A872E8">
        <w:rPr>
          <w:rStyle w:val="Strong"/>
          <w:rFonts w:asciiTheme="minorHAnsi" w:eastAsiaTheme="minorHAnsi" w:hAnsiTheme="minorHAnsi" w:cstheme="minorBidi"/>
          <w:b/>
        </w:rPr>
        <w:t>/technology</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419C726F" w14:textId="1F483D21" w:rsidR="00CC06C6" w:rsidRPr="00CC06C6" w:rsidRDefault="00CC06C6" w:rsidP="00CC06C6">
      <w:pPr>
        <w:ind w:left="360"/>
      </w:pPr>
      <w:r>
        <w:t>-</w:t>
      </w:r>
    </w:p>
    <w:p w14:paraId="062BF305" w14:textId="29DEEFE8" w:rsidR="006C0843"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68A65A1D" w14:textId="315DCE04" w:rsidR="00CC06C6" w:rsidRPr="00CC06C6" w:rsidRDefault="00CC06C6" w:rsidP="00CC06C6">
      <w:pPr>
        <w:ind w:left="360"/>
      </w:pPr>
      <w:r>
        <w:t>-</w:t>
      </w:r>
    </w:p>
    <w:p w14:paraId="07A4E9C1"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5CA84B68" w14:textId="77777777" w:rsidR="006B6390" w:rsidRPr="00AA2CFE" w:rsidRDefault="006B6390" w:rsidP="005C15D6">
      <w:pPr>
        <w:pStyle w:val="ListParagraph"/>
        <w:tabs>
          <w:tab w:val="left" w:pos="567"/>
        </w:tabs>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8111C">
        <w:rPr>
          <w:b/>
          <w:szCs w:val="20"/>
        </w:rPr>
      </w:r>
      <w:r w:rsidR="0058111C">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3F61BAC2" w14:textId="77777777" w:rsidR="006B6390" w:rsidRPr="00AA2CFE" w:rsidRDefault="006B6390" w:rsidP="005C15D6">
      <w:pPr>
        <w:pStyle w:val="ListParagraph"/>
        <w:tabs>
          <w:tab w:val="left" w:pos="426"/>
        </w:tabs>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8111C">
        <w:rPr>
          <w:b/>
          <w:szCs w:val="20"/>
        </w:rPr>
      </w:r>
      <w:r w:rsidR="0058111C">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2346867C" w14:textId="77777777" w:rsidR="006B6390" w:rsidRPr="00AA2CFE" w:rsidRDefault="006B6390" w:rsidP="005C15D6">
      <w:pPr>
        <w:pStyle w:val="ListParagraph"/>
        <w:tabs>
          <w:tab w:val="left" w:pos="426"/>
        </w:tabs>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8111C">
        <w:rPr>
          <w:b/>
          <w:szCs w:val="20"/>
        </w:rPr>
      </w:r>
      <w:r w:rsidR="0058111C">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63A20D00" w14:textId="77777777" w:rsidR="006B6390" w:rsidRPr="00AA2CFE" w:rsidRDefault="006B6390" w:rsidP="005C15D6">
      <w:pPr>
        <w:pStyle w:val="ListParagraph"/>
        <w:tabs>
          <w:tab w:val="left" w:pos="426"/>
        </w:tabs>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8111C">
        <w:rPr>
          <w:b/>
          <w:szCs w:val="20"/>
        </w:rPr>
      </w:r>
      <w:r w:rsidR="0058111C">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5AD99D8D"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697E2148" w14:textId="77777777" w:rsidR="000A5B32" w:rsidRDefault="000A5B32" w:rsidP="00CC06C6">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sidRPr="000A5B32">
        <w:rPr>
          <w:szCs w:val="20"/>
        </w:rPr>
        <w:t xml:space="preserve"> Yes</w:t>
      </w:r>
    </w:p>
    <w:p w14:paraId="7841FEFD" w14:textId="50F9181C" w:rsidR="00626365" w:rsidRPr="00626365" w:rsidRDefault="00823EA5" w:rsidP="00CC06C6">
      <w:pPr>
        <w:spacing w:before="0" w:after="0"/>
        <w:ind w:left="360"/>
        <w:rPr>
          <w:rStyle w:val="Strong"/>
          <w:rFonts w:asciiTheme="minorHAnsi" w:eastAsiaTheme="minorHAnsi" w:hAnsiTheme="minorHAnsi" w:cstheme="minorBidi"/>
          <w:b w:val="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0A5B32" w:rsidRPr="000A5B32">
        <w:rPr>
          <w:szCs w:val="20"/>
        </w:rPr>
        <w:t xml:space="preserve"> No</w:t>
      </w:r>
    </w:p>
    <w:p w14:paraId="16E029AC"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30AB6568" w14:textId="3037DBBA" w:rsidR="000A5B32" w:rsidRPr="00855944" w:rsidRDefault="00CC06C6" w:rsidP="00CC06C6">
      <w:pPr>
        <w:ind w:left="284" w:firstLine="76"/>
        <w:rPr>
          <w:rStyle w:val="Strong"/>
        </w:rPr>
      </w:pPr>
      <w:r>
        <w:t>N/A</w:t>
      </w:r>
    </w:p>
    <w:p w14:paraId="3A5E09EB" w14:textId="77777777" w:rsidR="000B3CD0" w:rsidRDefault="000B3CD0" w:rsidP="00730C04">
      <w:pPr>
        <w:pStyle w:val="Heading2"/>
      </w:pPr>
      <w:r w:rsidRPr="00154B00">
        <w:t xml:space="preserve">What is the type of </w:t>
      </w:r>
      <w:r w:rsidR="00B45CA5">
        <w:t xml:space="preserve">medical </w:t>
      </w:r>
      <w:r w:rsidRPr="00154B00">
        <w:t>service</w:t>
      </w:r>
      <w:r w:rsidR="00B45CA5">
        <w:t>/technology?</w:t>
      </w:r>
    </w:p>
    <w:p w14:paraId="44AF4C9F" w14:textId="0F9FEE78" w:rsidR="00A6594E" w:rsidRDefault="007A4A30" w:rsidP="00CC06C6">
      <w:pPr>
        <w:spacing w:before="0" w:after="0"/>
        <w:ind w:left="360"/>
      </w:pPr>
      <w:r>
        <w:rPr>
          <w:b/>
          <w:szCs w:val="20"/>
        </w:rPr>
        <w:fldChar w:fldCharType="begin">
          <w:ffData>
            <w:name w:val=""/>
            <w:enabled/>
            <w:calcOnExit w:val="0"/>
            <w:checkBox>
              <w:sizeAuto/>
              <w:default w:val="0"/>
            </w:checkBox>
          </w:ffData>
        </w:fldChar>
      </w:r>
      <w:r>
        <w:rPr>
          <w:b/>
          <w:szCs w:val="20"/>
        </w:rPr>
        <w:instrText xml:space="preserve"> FORMCHECKBOX </w:instrText>
      </w:r>
      <w:r w:rsidR="0058111C">
        <w:rPr>
          <w:b/>
          <w:szCs w:val="20"/>
        </w:rPr>
      </w:r>
      <w:r w:rsidR="0058111C">
        <w:rPr>
          <w:b/>
          <w:szCs w:val="20"/>
        </w:rPr>
        <w:fldChar w:fldCharType="separate"/>
      </w:r>
      <w:r>
        <w:rPr>
          <w:b/>
          <w:szCs w:val="20"/>
        </w:rPr>
        <w:fldChar w:fldCharType="end"/>
      </w:r>
      <w:r w:rsidR="00A6594E" w:rsidRPr="0027105F">
        <w:rPr>
          <w:b/>
          <w:szCs w:val="20"/>
        </w:rPr>
        <w:t xml:space="preserve"> </w:t>
      </w:r>
      <w:r w:rsidR="00A6594E">
        <w:t>Therapeutic medical service</w:t>
      </w:r>
    </w:p>
    <w:p w14:paraId="141B37D9" w14:textId="77777777" w:rsidR="00A6594E" w:rsidRDefault="00A6594E" w:rsidP="00CC06C6">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8111C">
        <w:rPr>
          <w:b/>
          <w:szCs w:val="20"/>
        </w:rPr>
      </w:r>
      <w:r w:rsidR="0058111C">
        <w:rPr>
          <w:b/>
          <w:szCs w:val="20"/>
        </w:rPr>
        <w:fldChar w:fldCharType="separate"/>
      </w:r>
      <w:r w:rsidRPr="0027105F">
        <w:rPr>
          <w:b/>
          <w:szCs w:val="20"/>
        </w:rPr>
        <w:fldChar w:fldCharType="end"/>
      </w:r>
      <w:r w:rsidRPr="0027105F">
        <w:rPr>
          <w:b/>
          <w:szCs w:val="20"/>
        </w:rPr>
        <w:t xml:space="preserve"> </w:t>
      </w:r>
      <w:r>
        <w:t>Investigative medical service</w:t>
      </w:r>
    </w:p>
    <w:p w14:paraId="733A2944" w14:textId="77777777" w:rsidR="00A6594E" w:rsidRDefault="00A6594E" w:rsidP="00CC06C6">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8111C">
        <w:rPr>
          <w:b/>
          <w:szCs w:val="20"/>
        </w:rPr>
      </w:r>
      <w:r w:rsidR="0058111C">
        <w:rPr>
          <w:b/>
          <w:szCs w:val="20"/>
        </w:rPr>
        <w:fldChar w:fldCharType="separate"/>
      </w:r>
      <w:r w:rsidRPr="0027105F">
        <w:rPr>
          <w:b/>
          <w:szCs w:val="20"/>
        </w:rPr>
        <w:fldChar w:fldCharType="end"/>
      </w:r>
      <w:r w:rsidRPr="0027105F">
        <w:rPr>
          <w:b/>
          <w:szCs w:val="20"/>
        </w:rPr>
        <w:t xml:space="preserve"> </w:t>
      </w:r>
      <w:r>
        <w:t>Single consultation medical service</w:t>
      </w:r>
    </w:p>
    <w:p w14:paraId="194E00B4" w14:textId="77777777" w:rsidR="00A6594E" w:rsidRDefault="00A6594E" w:rsidP="00CC06C6">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8111C">
        <w:rPr>
          <w:b/>
          <w:szCs w:val="20"/>
        </w:rPr>
      </w:r>
      <w:r w:rsidR="0058111C">
        <w:rPr>
          <w:b/>
          <w:szCs w:val="20"/>
        </w:rPr>
        <w:fldChar w:fldCharType="separate"/>
      </w:r>
      <w:r w:rsidRPr="0027105F">
        <w:rPr>
          <w:b/>
          <w:szCs w:val="20"/>
        </w:rPr>
        <w:fldChar w:fldCharType="end"/>
      </w:r>
      <w:r w:rsidRPr="0027105F">
        <w:rPr>
          <w:b/>
          <w:szCs w:val="20"/>
        </w:rPr>
        <w:t xml:space="preserve"> </w:t>
      </w:r>
      <w:r>
        <w:t>Global consultation medical service</w:t>
      </w:r>
    </w:p>
    <w:p w14:paraId="607DBB8D" w14:textId="77777777" w:rsidR="00A6594E" w:rsidRDefault="00A6594E" w:rsidP="00CC06C6">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8111C">
        <w:rPr>
          <w:b/>
          <w:szCs w:val="20"/>
        </w:rPr>
      </w:r>
      <w:r w:rsidR="0058111C">
        <w:rPr>
          <w:b/>
          <w:szCs w:val="20"/>
        </w:rPr>
        <w:fldChar w:fldCharType="separate"/>
      </w:r>
      <w:r w:rsidRPr="0027105F">
        <w:rPr>
          <w:b/>
          <w:szCs w:val="20"/>
        </w:rPr>
        <w:fldChar w:fldCharType="end"/>
      </w:r>
      <w:r w:rsidRPr="0027105F">
        <w:rPr>
          <w:b/>
          <w:szCs w:val="20"/>
        </w:rPr>
        <w:t xml:space="preserve"> </w:t>
      </w:r>
      <w:r>
        <w:t>Allied health service</w:t>
      </w:r>
    </w:p>
    <w:p w14:paraId="5290F8F9" w14:textId="28FA2275" w:rsidR="00A6594E" w:rsidRDefault="007A4A30" w:rsidP="00CC06C6">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58111C">
        <w:rPr>
          <w:b/>
          <w:szCs w:val="20"/>
        </w:rPr>
      </w:r>
      <w:r w:rsidR="0058111C">
        <w:rPr>
          <w:b/>
          <w:szCs w:val="20"/>
        </w:rPr>
        <w:fldChar w:fldCharType="separate"/>
      </w:r>
      <w:r>
        <w:rPr>
          <w:b/>
          <w:szCs w:val="20"/>
        </w:rPr>
        <w:fldChar w:fldCharType="end"/>
      </w:r>
      <w:r w:rsidR="00A6594E" w:rsidRPr="0027105F">
        <w:rPr>
          <w:b/>
          <w:szCs w:val="20"/>
        </w:rPr>
        <w:t xml:space="preserve"> </w:t>
      </w:r>
      <w:r w:rsidR="00A6594E">
        <w:t>Co-dependent technology</w:t>
      </w:r>
    </w:p>
    <w:p w14:paraId="1EAC3FC0" w14:textId="77777777" w:rsidR="00A6594E" w:rsidRPr="00A6594E" w:rsidRDefault="00A6594E" w:rsidP="00CC06C6">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8111C">
        <w:rPr>
          <w:b/>
          <w:szCs w:val="20"/>
        </w:rPr>
      </w:r>
      <w:r w:rsidR="0058111C">
        <w:rPr>
          <w:b/>
          <w:szCs w:val="20"/>
        </w:rPr>
        <w:fldChar w:fldCharType="separate"/>
      </w:r>
      <w:r w:rsidRPr="0027105F">
        <w:rPr>
          <w:b/>
          <w:szCs w:val="20"/>
        </w:rPr>
        <w:fldChar w:fldCharType="end"/>
      </w:r>
      <w:r w:rsidRPr="0027105F">
        <w:rPr>
          <w:b/>
          <w:szCs w:val="20"/>
        </w:rPr>
        <w:t xml:space="preserve"> </w:t>
      </w:r>
      <w:r>
        <w:t>Hybrid health technology</w:t>
      </w:r>
    </w:p>
    <w:p w14:paraId="03CCB38D" w14:textId="77777777" w:rsidR="00CC06C6" w:rsidRDefault="00CC06C6">
      <w:pPr>
        <w:spacing w:before="0" w:after="200" w:line="276" w:lineRule="auto"/>
        <w:rPr>
          <w:b/>
          <w:szCs w:val="20"/>
        </w:rPr>
      </w:pPr>
      <w:r>
        <w:br w:type="page"/>
      </w:r>
    </w:p>
    <w:p w14:paraId="511673AD" w14:textId="757E27E0" w:rsidR="0054594B" w:rsidRDefault="0054594B" w:rsidP="00730C04">
      <w:pPr>
        <w:pStyle w:val="Heading2"/>
      </w:pPr>
      <w:r w:rsidRPr="00154B00">
        <w:lastRenderedPageBreak/>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6560A643" w14:textId="77777777" w:rsidR="00A6594E" w:rsidRDefault="00A6594E" w:rsidP="00CC06C6">
      <w:pPr>
        <w:pStyle w:val="ListParagraph"/>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8111C">
        <w:rPr>
          <w:b/>
          <w:szCs w:val="20"/>
        </w:rPr>
      </w:r>
      <w:r w:rsidR="0058111C">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47D74031" w14:textId="77777777" w:rsidR="00A6594E" w:rsidRDefault="00A6594E" w:rsidP="00CC06C6">
      <w:pPr>
        <w:pStyle w:val="ListParagraph"/>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8111C">
        <w:rPr>
          <w:b/>
          <w:szCs w:val="20"/>
        </w:rPr>
      </w:r>
      <w:r w:rsidR="0058111C">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27C66833" w14:textId="77777777" w:rsidR="00A6594E" w:rsidRDefault="00A6594E" w:rsidP="00CC06C6">
      <w:pPr>
        <w:pStyle w:val="ListParagraph"/>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8111C">
        <w:rPr>
          <w:b/>
          <w:szCs w:val="20"/>
        </w:rPr>
      </w:r>
      <w:r w:rsidR="0058111C">
        <w:rPr>
          <w:b/>
          <w:szCs w:val="20"/>
        </w:rPr>
        <w:fldChar w:fldCharType="separate"/>
      </w:r>
      <w:r w:rsidRPr="00AF4466">
        <w:rPr>
          <w:b/>
          <w:szCs w:val="20"/>
        </w:rPr>
        <w:fldChar w:fldCharType="end"/>
      </w:r>
      <w:r w:rsidRPr="00AF4466">
        <w:rPr>
          <w:b/>
          <w:szCs w:val="20"/>
        </w:rPr>
        <w:t xml:space="preserve"> </w:t>
      </w:r>
      <w:r>
        <w:t>Provides information about prognosis</w:t>
      </w:r>
    </w:p>
    <w:p w14:paraId="0198428D" w14:textId="12DDFC54" w:rsidR="00A6594E" w:rsidRDefault="007A4A30" w:rsidP="00CC06C6">
      <w:pPr>
        <w:pStyle w:val="ListParagraph"/>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58111C">
        <w:rPr>
          <w:b/>
          <w:szCs w:val="20"/>
        </w:rPr>
      </w:r>
      <w:r w:rsidR="0058111C">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493DBC6A" w14:textId="77777777" w:rsidR="00A6594E" w:rsidRPr="00A6594E" w:rsidRDefault="00A6594E" w:rsidP="00CC06C6">
      <w:pPr>
        <w:pStyle w:val="ListParagraph"/>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8111C">
        <w:rPr>
          <w:b/>
          <w:szCs w:val="20"/>
        </w:rPr>
      </w:r>
      <w:r w:rsidR="0058111C">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60721A41"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14661C90" w14:textId="2C642FBC" w:rsidR="00FE16C1" w:rsidRDefault="00DE6233" w:rsidP="00CC06C6">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58111C">
        <w:rPr>
          <w:b/>
          <w:szCs w:val="20"/>
        </w:rPr>
      </w:r>
      <w:r w:rsidR="0058111C">
        <w:rPr>
          <w:b/>
          <w:szCs w:val="20"/>
        </w:rPr>
        <w:fldChar w:fldCharType="separate"/>
      </w:r>
      <w:r>
        <w:rPr>
          <w:b/>
          <w:szCs w:val="20"/>
        </w:rPr>
        <w:fldChar w:fldCharType="end"/>
      </w:r>
      <w:r w:rsidR="00FE16C1" w:rsidRPr="0027105F">
        <w:rPr>
          <w:b/>
          <w:szCs w:val="20"/>
        </w:rPr>
        <w:t xml:space="preserve"> </w:t>
      </w:r>
      <w:r w:rsidR="00FE16C1">
        <w:t>Pharmaceutical / Biological</w:t>
      </w:r>
    </w:p>
    <w:p w14:paraId="2C6277D6" w14:textId="77777777" w:rsidR="00FE16C1" w:rsidRDefault="00FE16C1" w:rsidP="00CC06C6">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8111C">
        <w:rPr>
          <w:b/>
          <w:szCs w:val="20"/>
        </w:rPr>
      </w:r>
      <w:r w:rsidR="0058111C">
        <w:rPr>
          <w:b/>
          <w:szCs w:val="20"/>
        </w:rPr>
        <w:fldChar w:fldCharType="separate"/>
      </w:r>
      <w:r w:rsidRPr="0027105F">
        <w:rPr>
          <w:b/>
          <w:szCs w:val="20"/>
        </w:rPr>
        <w:fldChar w:fldCharType="end"/>
      </w:r>
      <w:r w:rsidRPr="0027105F">
        <w:rPr>
          <w:b/>
          <w:szCs w:val="20"/>
        </w:rPr>
        <w:t xml:space="preserve"> </w:t>
      </w:r>
      <w:r>
        <w:t>Prosthesis or device</w:t>
      </w:r>
    </w:p>
    <w:p w14:paraId="589C1712" w14:textId="77777777" w:rsidR="00FE16C1" w:rsidRPr="00FE16C1" w:rsidRDefault="00FE16C1" w:rsidP="00CC06C6">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8111C">
        <w:rPr>
          <w:b/>
          <w:szCs w:val="20"/>
        </w:rPr>
      </w:r>
      <w:r w:rsidR="0058111C">
        <w:rPr>
          <w:b/>
          <w:szCs w:val="20"/>
        </w:rPr>
        <w:fldChar w:fldCharType="separate"/>
      </w:r>
      <w:r w:rsidRPr="0027105F">
        <w:rPr>
          <w:b/>
          <w:szCs w:val="20"/>
        </w:rPr>
        <w:fldChar w:fldCharType="end"/>
      </w:r>
      <w:r w:rsidRPr="0027105F">
        <w:rPr>
          <w:b/>
          <w:szCs w:val="20"/>
        </w:rPr>
        <w:t xml:space="preserve"> </w:t>
      </w:r>
      <w:r>
        <w:t>No</w:t>
      </w:r>
    </w:p>
    <w:p w14:paraId="772DEE91" w14:textId="7D73304C"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3826397F" w14:textId="08D1B8BC" w:rsidR="00FE16C1" w:rsidRDefault="003D5A35" w:rsidP="00CC06C6">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FE16C1" w:rsidRPr="000A5B32">
        <w:rPr>
          <w:szCs w:val="20"/>
        </w:rPr>
        <w:t xml:space="preserve"> Yes</w:t>
      </w:r>
    </w:p>
    <w:p w14:paraId="2D788AB0" w14:textId="6D5A393E" w:rsidR="00FE16C1" w:rsidRPr="00FE16C1" w:rsidRDefault="003D5A35" w:rsidP="00CC06C6">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FE16C1">
        <w:rPr>
          <w:szCs w:val="20"/>
        </w:rPr>
        <w:t xml:space="preserve"> No  </w:t>
      </w:r>
    </w:p>
    <w:p w14:paraId="046D5BB5"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7263D317" w14:textId="33F584D9" w:rsidR="007E39E4" w:rsidRPr="007E39E4" w:rsidRDefault="00CC06C6" w:rsidP="00CC06C6">
      <w:pPr>
        <w:ind w:left="284" w:firstLine="76"/>
        <w:rPr>
          <w:b/>
          <w:szCs w:val="20"/>
        </w:rPr>
      </w:pPr>
      <w:r>
        <w:t>N/A</w:t>
      </w:r>
    </w:p>
    <w:p w14:paraId="7AA61D3A"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51BC2E49" w14:textId="52236B35" w:rsidR="007E39E4" w:rsidRDefault="007A4A30" w:rsidP="00CC06C6">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7E39E4" w:rsidRPr="000A5B32">
        <w:rPr>
          <w:szCs w:val="20"/>
        </w:rPr>
        <w:t xml:space="preserve"> Yes</w:t>
      </w:r>
      <w:r w:rsidR="001E6919">
        <w:rPr>
          <w:szCs w:val="20"/>
        </w:rPr>
        <w:t xml:space="preserve"> (please provide PBAC submission item number below)</w:t>
      </w:r>
    </w:p>
    <w:p w14:paraId="3B4875DF" w14:textId="61EBE41E" w:rsidR="001E6919" w:rsidRDefault="007A4A30" w:rsidP="00CC06C6">
      <w:pPr>
        <w:spacing w:before="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1E6919">
        <w:rPr>
          <w:szCs w:val="20"/>
        </w:rPr>
        <w:t xml:space="preserve"> No</w:t>
      </w:r>
    </w:p>
    <w:p w14:paraId="6F537FDB" w14:textId="4F6086CE" w:rsidR="006A09A3" w:rsidRDefault="007A4A30" w:rsidP="007A4A30">
      <w:pPr>
        <w:spacing w:before="0"/>
        <w:ind w:left="284"/>
      </w:pPr>
      <w:r>
        <w:t>This application is being lodged to support a co-dependent technology submission for access to pembrolizumab in combination with chemotherapy, with or without bevacizumab, for the treatment of persistent, recurrent, or metastatic carcinoma of the cervix in patient who are PD-L1 positive (as determine</w:t>
      </w:r>
      <w:r w:rsidR="00534AF8">
        <w:t>d</w:t>
      </w:r>
      <w:r>
        <w:t xml:space="preserve"> by CPS</w:t>
      </w:r>
      <w:r w:rsidR="00534AF8">
        <w:t xml:space="preserve"> </w:t>
      </w:r>
      <w:r w:rsidR="00534AF8">
        <w:rPr>
          <w:rFonts w:cstheme="minorHAnsi"/>
        </w:rPr>
        <w:t>≥</w:t>
      </w:r>
      <w:r w:rsidR="00534AF8">
        <w:t>1</w:t>
      </w:r>
      <w:r>
        <w:t xml:space="preserve">). </w:t>
      </w:r>
      <w:r w:rsidR="00CC06C6" w:rsidRPr="00CC06C6">
        <w:rPr>
          <w:b/>
          <w:bCs/>
        </w:rPr>
        <w:t>REDACTED</w:t>
      </w:r>
      <w:r w:rsidR="00640D21">
        <w:t xml:space="preserve"> </w:t>
      </w:r>
    </w:p>
    <w:p w14:paraId="16680956" w14:textId="49ABCB4F" w:rsidR="00F53EE1" w:rsidRDefault="0025320D" w:rsidP="007A4A30">
      <w:pPr>
        <w:spacing w:before="0"/>
        <w:ind w:left="284"/>
      </w:pPr>
      <w:r>
        <w:t>Pembrolizumab (</w:t>
      </w:r>
      <w:r w:rsidR="007F5717" w:rsidRPr="00AC10A2">
        <w:t>Keytruda</w:t>
      </w:r>
      <w:r w:rsidR="007F5717" w:rsidRPr="00AC10A2" w:rsidDel="0025320D">
        <w:t xml:space="preserve">) </w:t>
      </w:r>
      <w:r w:rsidR="007F5717" w:rsidRPr="00AC10A2">
        <w:t xml:space="preserve">is currently PBS listed for use in </w:t>
      </w:r>
      <w:r w:rsidR="007F5717">
        <w:t>advanced malignant</w:t>
      </w:r>
      <w:r w:rsidR="007F5717" w:rsidRPr="00AC10A2">
        <w:t xml:space="preserve"> melanoma</w:t>
      </w:r>
      <w:r w:rsidR="007F5717">
        <w:t xml:space="preserve">, </w:t>
      </w:r>
      <w:r w:rsidR="007A4A30">
        <w:t xml:space="preserve">adjuvant melanoma, </w:t>
      </w:r>
      <w:r w:rsidR="007F5717">
        <w:t>relapsed/refractory Hodgkin’s Lymphoma, 1L non-small cell lung cancer, 1L metastatic urothelial cancer</w:t>
      </w:r>
      <w:r w:rsidR="00C8604C">
        <w:t>, primary mediastinal B-cell lymphoma</w:t>
      </w:r>
      <w:r w:rsidR="007F5717">
        <w:t xml:space="preserve"> and 1L metastatic mismatch repair deficient colorectal cancer. At the time of this application, pembrolizumab is under consideration for </w:t>
      </w:r>
      <w:r w:rsidR="00C8604C">
        <w:t>h</w:t>
      </w:r>
      <w:r w:rsidR="007F5717">
        <w:t xml:space="preserve">ead and </w:t>
      </w:r>
      <w:r w:rsidR="00C8604C">
        <w:t>n</w:t>
      </w:r>
      <w:r w:rsidR="007F5717">
        <w:t xml:space="preserve">eck squamous cell carcinoma, </w:t>
      </w:r>
      <w:r w:rsidR="00C8604C">
        <w:t>o</w:t>
      </w:r>
      <w:r w:rsidR="007F5717">
        <w:t xml:space="preserve">esophageal carcinoma, </w:t>
      </w:r>
      <w:r w:rsidR="00C8604C">
        <w:t>r</w:t>
      </w:r>
      <w:r w:rsidR="007F5717">
        <w:t xml:space="preserve">enal cell carcinoma and </w:t>
      </w:r>
      <w:r w:rsidR="00C8604C">
        <w:t>e</w:t>
      </w:r>
      <w:r w:rsidR="007F5717">
        <w:t>ndometrial cancer.</w:t>
      </w:r>
    </w:p>
    <w:p w14:paraId="2AA7586B"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70F7C102" w14:textId="487C2E32" w:rsidR="001E6958" w:rsidRDefault="001E6958" w:rsidP="00A6491A">
      <w:pPr>
        <w:spacing w:before="0" w:after="0"/>
        <w:ind w:left="284"/>
      </w:pPr>
      <w:r>
        <w:t xml:space="preserve">Trade name: </w:t>
      </w:r>
      <w:r w:rsidR="00756582">
        <w:t>KEYTRUDA</w:t>
      </w:r>
    </w:p>
    <w:p w14:paraId="6BB45625" w14:textId="326AABB5" w:rsidR="001E6958" w:rsidRPr="001E6958" w:rsidRDefault="001E6958" w:rsidP="00A6491A">
      <w:pPr>
        <w:spacing w:before="0" w:after="0"/>
        <w:ind w:left="284"/>
      </w:pPr>
      <w:r>
        <w:t xml:space="preserve">Generic name: </w:t>
      </w:r>
      <w:r w:rsidR="00756582">
        <w:t>pembrolizumab</w:t>
      </w:r>
    </w:p>
    <w:p w14:paraId="0059C35B" w14:textId="72C9FED8" w:rsidR="00B75965" w:rsidRDefault="00B75965" w:rsidP="00530204">
      <w:pPr>
        <w:pStyle w:val="Heading2"/>
      </w:pPr>
      <w:r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Pr="00154B00">
        <w:t>is it already included on the Prosthes</w:t>
      </w:r>
      <w:r w:rsidR="00BB003A">
        <w:t>e</w:t>
      </w:r>
      <w:r w:rsidRPr="00154B00">
        <w:t>s List?</w:t>
      </w:r>
    </w:p>
    <w:p w14:paraId="619025D5" w14:textId="4B8414DA" w:rsidR="001E6919" w:rsidRPr="001E6958" w:rsidRDefault="00CC06C6" w:rsidP="00CC06C6">
      <w:pPr>
        <w:spacing w:before="0" w:after="0"/>
        <w:ind w:left="284" w:firstLine="76"/>
        <w:rPr>
          <w:szCs w:val="20"/>
        </w:rPr>
      </w:pPr>
      <w:r>
        <w:rPr>
          <w:szCs w:val="20"/>
        </w:rPr>
        <w:t>N/A</w:t>
      </w:r>
    </w:p>
    <w:p w14:paraId="437F9984" w14:textId="40AEE98E" w:rsidR="0084657B" w:rsidRPr="0056779D" w:rsidRDefault="00A9062D" w:rsidP="00530204">
      <w:pPr>
        <w:pStyle w:val="Heading2"/>
      </w:pPr>
      <w:r w:rsidRPr="0056779D">
        <w:t>P</w:t>
      </w:r>
      <w:r w:rsidR="0084657B" w:rsidRPr="0056779D">
        <w:t xml:space="preserve">lease identify </w:t>
      </w:r>
      <w:r w:rsidR="00E8649B" w:rsidRPr="0056779D">
        <w:t xml:space="preserve">any single </w:t>
      </w:r>
      <w:r w:rsidR="00016B6E" w:rsidRPr="0056779D">
        <w:t>and/or multi-</w:t>
      </w:r>
      <w:r w:rsidR="00E8649B" w:rsidRPr="0056779D">
        <w:t>use consumables</w:t>
      </w:r>
      <w:r w:rsidR="0084657B" w:rsidRPr="0056779D">
        <w:t xml:space="preserve"> </w:t>
      </w:r>
      <w:r w:rsidR="00E8649B" w:rsidRPr="0056779D">
        <w:t>delivered as part of the service?</w:t>
      </w:r>
    </w:p>
    <w:p w14:paraId="0B062E04" w14:textId="4547AB3C" w:rsidR="005A47F8" w:rsidRDefault="005A47F8" w:rsidP="00CC06C6">
      <w:pPr>
        <w:spacing w:before="0" w:after="0"/>
        <w:ind w:left="284"/>
      </w:pPr>
      <w:r w:rsidRPr="00582917">
        <w:t xml:space="preserve">The PD-L1 test comes as part of a kit (PD-L1 22C3 </w:t>
      </w:r>
      <w:proofErr w:type="spellStart"/>
      <w:r w:rsidRPr="00582917">
        <w:t>PharmDx</w:t>
      </w:r>
      <w:proofErr w:type="spellEnd"/>
      <w:r w:rsidRPr="00582917">
        <w:t xml:space="preserve"> kit). The kit is </w:t>
      </w:r>
      <w:r>
        <w:t xml:space="preserve">designed </w:t>
      </w:r>
      <w:r w:rsidRPr="00582917">
        <w:t>for 50 single use tests</w:t>
      </w:r>
      <w:r w:rsidR="00CC06C6">
        <w:t xml:space="preserve"> </w:t>
      </w:r>
      <w:r>
        <w:t xml:space="preserve">on the </w:t>
      </w:r>
      <w:proofErr w:type="spellStart"/>
      <w:r>
        <w:t>Dako</w:t>
      </w:r>
      <w:proofErr w:type="spellEnd"/>
      <w:r>
        <w:t xml:space="preserve"> AS</w:t>
      </w:r>
      <w:r w:rsidR="003D6943">
        <w:t xml:space="preserve">L </w:t>
      </w:r>
      <w:r>
        <w:t>4</w:t>
      </w:r>
      <w:r w:rsidR="003D6943">
        <w:t>8</w:t>
      </w:r>
      <w:r>
        <w:t xml:space="preserve"> platform</w:t>
      </w:r>
      <w:r w:rsidRPr="00582917">
        <w:t xml:space="preserve">.  </w:t>
      </w:r>
      <w:r w:rsidRPr="00351038">
        <w:t>The 22C3 antibody concentrate is also available for use on alternate platforms</w:t>
      </w:r>
      <w:r>
        <w:t xml:space="preserve"> (</w:t>
      </w:r>
      <w:proofErr w:type="gramStart"/>
      <w:r>
        <w:t>e.g.</w:t>
      </w:r>
      <w:proofErr w:type="gramEnd"/>
      <w:r>
        <w:t xml:space="preserve"> Ventana)</w:t>
      </w:r>
    </w:p>
    <w:p w14:paraId="2788C180" w14:textId="572E1A25" w:rsidR="00F301F1" w:rsidRPr="00855944" w:rsidRDefault="00F301F1" w:rsidP="00A6491A">
      <w:pPr>
        <w:spacing w:before="0" w:after="0"/>
        <w:ind w:left="284"/>
      </w:pPr>
      <w:r w:rsidRPr="00855944">
        <w:br w:type="page"/>
      </w:r>
    </w:p>
    <w:p w14:paraId="44740066"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31402C09" w14:textId="77777777" w:rsidR="001A1ADF" w:rsidRPr="00EA0A59" w:rsidRDefault="000E2E02" w:rsidP="000E2E02">
      <w:pPr>
        <w:pStyle w:val="Heading2"/>
      </w:pPr>
      <w:r w:rsidRPr="00EA0A59">
        <w:t>(a) If the proposed medical service involves use of a medical de</w:t>
      </w:r>
      <w:r w:rsidR="000F3129" w:rsidRPr="00EA0A59">
        <w:t xml:space="preserve">vice, in-vitro diagnostic test, </w:t>
      </w:r>
      <w:r w:rsidRPr="00EA0A59">
        <w:t>pharmaceutical product, radioactive tracer, or any other type of therapeutic good, please provide details</w:t>
      </w:r>
    </w:p>
    <w:p w14:paraId="26CC5006" w14:textId="77777777" w:rsidR="0084017B" w:rsidRDefault="00A26343" w:rsidP="0084017B">
      <w:pPr>
        <w:spacing w:before="0" w:after="0"/>
        <w:ind w:left="2410" w:hanging="2126"/>
      </w:pPr>
      <w:r w:rsidRPr="00A26343">
        <w:rPr>
          <w:szCs w:val="20"/>
        </w:rPr>
        <w:t>Type of therapeutic good</w:t>
      </w:r>
      <w:r>
        <w:rPr>
          <w:szCs w:val="20"/>
        </w:rPr>
        <w:t xml:space="preserve">: </w:t>
      </w:r>
      <w:r w:rsidR="0084017B" w:rsidRPr="0014788D">
        <w:t>The PD-L1 test is</w:t>
      </w:r>
      <w:r w:rsidR="0084017B">
        <w:t xml:space="preserve"> a class III</w:t>
      </w:r>
      <w:r w:rsidR="0084017B" w:rsidRPr="0014788D">
        <w:t xml:space="preserve"> in vitro diagnostic test which uses </w:t>
      </w:r>
      <w:r w:rsidR="0084017B" w:rsidRPr="000A5444">
        <w:t xml:space="preserve">IHC (CT1056 </w:t>
      </w:r>
      <w:r w:rsidR="0084017B">
        <w:t xml:space="preserve"> </w:t>
      </w:r>
    </w:p>
    <w:p w14:paraId="05E62D17" w14:textId="203B9F9C" w:rsidR="00A26343" w:rsidRPr="00A26343" w:rsidRDefault="0084017B" w:rsidP="0084017B">
      <w:pPr>
        <w:spacing w:before="0" w:after="0"/>
        <w:ind w:left="2410" w:hanging="2126"/>
        <w:rPr>
          <w:szCs w:val="20"/>
        </w:rPr>
      </w:pPr>
      <w:r w:rsidRPr="000A5444">
        <w:t>Immunohistology cell marker IVDs)</w:t>
      </w:r>
    </w:p>
    <w:p w14:paraId="6A5C7A55" w14:textId="5DB848A0" w:rsidR="00A26343" w:rsidRPr="00A26343" w:rsidRDefault="00A26343" w:rsidP="0084017B">
      <w:pPr>
        <w:spacing w:before="0" w:after="0"/>
        <w:ind w:firstLine="284"/>
        <w:rPr>
          <w:szCs w:val="20"/>
        </w:rPr>
      </w:pPr>
      <w:r w:rsidRPr="00A26343">
        <w:rPr>
          <w:szCs w:val="20"/>
        </w:rPr>
        <w:t>Manufacturer’s name</w:t>
      </w:r>
      <w:r>
        <w:rPr>
          <w:szCs w:val="20"/>
        </w:rPr>
        <w:t xml:space="preserve">: </w:t>
      </w:r>
      <w:proofErr w:type="spellStart"/>
      <w:r w:rsidR="002A388B" w:rsidRPr="00BF1BEB">
        <w:t>Dako</w:t>
      </w:r>
      <w:proofErr w:type="spellEnd"/>
      <w:r w:rsidR="002A388B" w:rsidRPr="00BF1BEB">
        <w:t xml:space="preserve"> Pty Ltd</w:t>
      </w:r>
      <w:r w:rsidR="002A388B">
        <w:t>/Agilent</w:t>
      </w:r>
    </w:p>
    <w:p w14:paraId="78CE0ACF" w14:textId="4B299A6D" w:rsidR="00A26343" w:rsidRPr="00024D54" w:rsidRDefault="00A26343" w:rsidP="00024D54">
      <w:pPr>
        <w:spacing w:before="0" w:after="0"/>
        <w:ind w:left="284"/>
        <w:rPr>
          <w:szCs w:val="20"/>
        </w:rPr>
      </w:pPr>
      <w:r w:rsidRPr="00A26343">
        <w:rPr>
          <w:szCs w:val="20"/>
        </w:rPr>
        <w:t>Sponsor’s name</w:t>
      </w:r>
      <w:r>
        <w:rPr>
          <w:szCs w:val="20"/>
        </w:rPr>
        <w:t xml:space="preserve">: </w:t>
      </w:r>
      <w:r w:rsidR="00F366AC" w:rsidRPr="00F366AC">
        <w:rPr>
          <w:szCs w:val="20"/>
        </w:rPr>
        <w:t>Agilent Technologies Australia Pty Ltd</w:t>
      </w:r>
    </w:p>
    <w:p w14:paraId="138191AD" w14:textId="77777777" w:rsidR="000E2E02" w:rsidRPr="00A26343" w:rsidRDefault="000E2E02" w:rsidP="00A75D46">
      <w:pPr>
        <w:spacing w:before="0" w:after="0"/>
        <w:rPr>
          <w:szCs w:val="20"/>
        </w:rPr>
      </w:pPr>
    </w:p>
    <w:p w14:paraId="6CBE51AB" w14:textId="77777777" w:rsidR="00D56765" w:rsidRDefault="000E2E02" w:rsidP="000F3129">
      <w:pPr>
        <w:pStyle w:val="Heading2"/>
        <w:numPr>
          <w:ilvl w:val="0"/>
          <w:numId w:val="27"/>
        </w:numPr>
      </w:pPr>
      <w:r>
        <w:t>Has it been listed on the Australian Register of Therapeutic Goods (ARTG) by the Therapeutic Goods</w:t>
      </w:r>
      <w:r w:rsidR="000F3129">
        <w:t xml:space="preserve"> </w:t>
      </w:r>
      <w:r>
        <w:t>Administration (TGA)? If the therapeutic good has been listed on the ARTG, please state the ARTG identification numbers, TGA-approved indication(s), and TGA-approved purpose(s).</w:t>
      </w:r>
    </w:p>
    <w:p w14:paraId="5C4FF352" w14:textId="4A42A485" w:rsidR="00704082" w:rsidRDefault="00CC06C6" w:rsidP="00704082">
      <w:pPr>
        <w:ind w:firstLine="352"/>
        <w:contextualSpacing/>
      </w:pPr>
      <w:r>
        <w:t>-</w:t>
      </w:r>
    </w:p>
    <w:p w14:paraId="52E7BE6A" w14:textId="77777777" w:rsidR="000F3129" w:rsidRPr="000F3129" w:rsidRDefault="000F3129" w:rsidP="000F3129"/>
    <w:p w14:paraId="1F80CD1F" w14:textId="77777777" w:rsidR="000E2E02" w:rsidRPr="00154B00" w:rsidRDefault="000E2E02" w:rsidP="000F3129">
      <w:pPr>
        <w:pStyle w:val="Heading2"/>
        <w:numPr>
          <w:ilvl w:val="0"/>
          <w:numId w:val="27"/>
        </w:numPr>
        <w:spacing w:before="0" w:after="0"/>
        <w:ind w:left="709" w:hanging="357"/>
      </w:pPr>
      <w:r>
        <w:t>If a</w:t>
      </w:r>
      <w:r w:rsidRPr="000E2E02">
        <w:t xml:space="preserve"> medical device is involved, has the medical device been classified by TGA as a Class III OR Active Implantable Medical Device (AIMD) under the TGA regulatory scheme for devices?</w:t>
      </w:r>
    </w:p>
    <w:p w14:paraId="2B49D76F" w14:textId="3B934F05" w:rsidR="000E2E02" w:rsidRPr="00615F42" w:rsidRDefault="00FF6122" w:rsidP="00CC06C6">
      <w:pPr>
        <w:spacing w:before="0" w:after="0"/>
        <w:ind w:left="352"/>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0E2E02" w:rsidRPr="000A5B32">
        <w:rPr>
          <w:szCs w:val="20"/>
        </w:rPr>
        <w:t xml:space="preserve"> </w:t>
      </w:r>
      <w:r w:rsidR="000E2E02" w:rsidRPr="00615F42">
        <w:rPr>
          <w:szCs w:val="20"/>
        </w:rPr>
        <w:t>Class III</w:t>
      </w:r>
    </w:p>
    <w:p w14:paraId="4ADA8781" w14:textId="77777777" w:rsidR="000E2E02" w:rsidRPr="00615F42" w:rsidRDefault="000E2E02" w:rsidP="00CC06C6">
      <w:pPr>
        <w:spacing w:before="0" w:after="0"/>
        <w:ind w:left="352"/>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sidRPr="000A5B32">
        <w:rPr>
          <w:szCs w:val="20"/>
        </w:rPr>
        <w:t xml:space="preserve"> </w:t>
      </w:r>
      <w:r w:rsidRPr="00615F42">
        <w:rPr>
          <w:szCs w:val="20"/>
        </w:rPr>
        <w:t>AIMD</w:t>
      </w:r>
    </w:p>
    <w:p w14:paraId="0FE8CBB4" w14:textId="79AE6C7D" w:rsidR="000F3129" w:rsidRPr="00154B00" w:rsidRDefault="000E2E02" w:rsidP="00CC06C6">
      <w:pPr>
        <w:spacing w:before="0" w:after="0"/>
        <w:ind w:left="352"/>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sidRPr="000A5B32">
        <w:rPr>
          <w:szCs w:val="20"/>
        </w:rPr>
        <w:t xml:space="preserve"> </w:t>
      </w:r>
      <w:r w:rsidRPr="00615F42">
        <w:rPr>
          <w:szCs w:val="20"/>
        </w:rPr>
        <w:t>N/A</w:t>
      </w:r>
    </w:p>
    <w:p w14:paraId="70DB850A" w14:textId="77777777" w:rsidR="000E2E02" w:rsidRDefault="000E2E02" w:rsidP="000E2E02">
      <w:pPr>
        <w:pStyle w:val="Heading2"/>
        <w:numPr>
          <w:ilvl w:val="0"/>
          <w:numId w:val="27"/>
        </w:numPr>
        <w:rPr>
          <w:bCs/>
          <w:lang w:val="en-GB"/>
        </w:rPr>
      </w:pPr>
      <w:r w:rsidRPr="000E2E02">
        <w:rPr>
          <w:bCs/>
          <w:lang w:val="en-GB"/>
        </w:rPr>
        <w:t>Is the therapeutic good classified by TGA for Research Use Only (RUO)?</w:t>
      </w:r>
    </w:p>
    <w:p w14:paraId="308BC9DE" w14:textId="3384E003" w:rsidR="000E2E02" w:rsidRPr="000E2E02" w:rsidRDefault="00CC06C6" w:rsidP="00CC06C6">
      <w:pPr>
        <w:ind w:left="360"/>
        <w:rPr>
          <w:lang w:val="en-GB"/>
        </w:rPr>
      </w:pPr>
      <w:r>
        <w:rPr>
          <w:lang w:val="en-GB"/>
        </w:rPr>
        <w:t>-</w:t>
      </w:r>
    </w:p>
    <w:p w14:paraId="7DCC1F96" w14:textId="77777777" w:rsidR="003421AE" w:rsidRPr="00A6491A" w:rsidRDefault="0011369B" w:rsidP="00F24FD6">
      <w:pPr>
        <w:pStyle w:val="Heading2"/>
      </w:pPr>
      <w:r>
        <w:t xml:space="preserve">(a) </w:t>
      </w:r>
      <w:r w:rsidR="00F24FD6" w:rsidRPr="00FF23B8">
        <w:rPr>
          <w:u w:val="single"/>
        </w:rPr>
        <w:t>If not listed on the ARTG</w:t>
      </w:r>
      <w:r w:rsidR="00F24FD6">
        <w:t>, i</w:t>
      </w:r>
      <w:r w:rsidR="003421AE" w:rsidRPr="00A6491A">
        <w:t xml:space="preserve">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1AE4CACF" w14:textId="77777777" w:rsidR="00615F42" w:rsidRDefault="00615F42" w:rsidP="00CC06C6">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564530DA" w14:textId="7751123D" w:rsidR="00F24FD6" w:rsidRDefault="00674FBF" w:rsidP="00CC06C6">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2631A2" w:rsidRPr="00AA3D27">
        <w:rPr>
          <w:szCs w:val="20"/>
        </w:rPr>
        <w:t xml:space="preserve"> </w:t>
      </w:r>
      <w:r w:rsidR="00615F42">
        <w:rPr>
          <w:szCs w:val="20"/>
        </w:rPr>
        <w:t xml:space="preserve"> No</w:t>
      </w:r>
    </w:p>
    <w:p w14:paraId="37700A3D" w14:textId="77777777" w:rsidR="00D56765" w:rsidRPr="00D56765" w:rsidRDefault="00D56765" w:rsidP="00D56765">
      <w:pPr>
        <w:spacing w:before="0" w:after="0"/>
        <w:ind w:left="284"/>
        <w:rPr>
          <w:b/>
          <w:szCs w:val="20"/>
        </w:rPr>
      </w:pPr>
    </w:p>
    <w:p w14:paraId="6B31A4FF" w14:textId="2CB32292" w:rsidR="00D56765" w:rsidRPr="00D56765" w:rsidRDefault="00FF23B8" w:rsidP="00D56765">
      <w:pPr>
        <w:pStyle w:val="Heading2"/>
        <w:numPr>
          <w:ilvl w:val="0"/>
          <w:numId w:val="28"/>
        </w:numPr>
        <w:spacing w:before="0" w:after="0"/>
      </w:pPr>
      <w:r w:rsidRPr="00154B00">
        <w:t xml:space="preserve">If </w:t>
      </w:r>
      <w:r>
        <w:t xml:space="preserve">the therapeutic good is </w:t>
      </w:r>
      <w:r w:rsidRPr="00296405">
        <w:rPr>
          <w:u w:val="single"/>
        </w:rPr>
        <w:t>not ARTG listed</w:t>
      </w:r>
      <w:r>
        <w:t xml:space="preserve">, is the therapeutic good </w:t>
      </w:r>
      <w:r w:rsidR="00B80335">
        <w:t>in the process of being considered by TGA</w:t>
      </w:r>
      <w:r>
        <w:t>?</w:t>
      </w:r>
    </w:p>
    <w:p w14:paraId="6A93B628" w14:textId="0D51E005" w:rsidR="00FF23B8" w:rsidRPr="00F24FD6" w:rsidRDefault="00C02BCF" w:rsidP="00CC06C6">
      <w:pPr>
        <w:pStyle w:val="Heading2"/>
        <w:numPr>
          <w:ilvl w:val="0"/>
          <w:numId w:val="0"/>
        </w:numPr>
        <w:spacing w:before="0" w:after="0"/>
        <w:ind w:left="436" w:hanging="76"/>
      </w:pPr>
      <w:r w:rsidRPr="00AA3D27">
        <w:fldChar w:fldCharType="begin">
          <w:ffData>
            <w:name w:val=""/>
            <w:enabled/>
            <w:calcOnExit w:val="0"/>
            <w:checkBox>
              <w:sizeAuto/>
              <w:default w:val="0"/>
            </w:checkBox>
          </w:ffData>
        </w:fldChar>
      </w:r>
      <w:r w:rsidRPr="00AA3D27">
        <w:instrText xml:space="preserve"> FORMCHECKBOX </w:instrText>
      </w:r>
      <w:r w:rsidR="0058111C">
        <w:fldChar w:fldCharType="separate"/>
      </w:r>
      <w:r w:rsidRPr="00AA3D27">
        <w:fldChar w:fldCharType="end"/>
      </w:r>
      <w:r w:rsidRPr="00AA3D27">
        <w:t xml:space="preserve"> </w:t>
      </w:r>
      <w:r w:rsidR="00FF23B8" w:rsidRPr="00F24FD6">
        <w:t>Yes (if yes, please provide details below)</w:t>
      </w:r>
    </w:p>
    <w:p w14:paraId="3FC00F8C" w14:textId="7D95BA96" w:rsidR="00FF23B8" w:rsidRDefault="00674FBF" w:rsidP="00CC06C6">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FF23B8">
        <w:rPr>
          <w:szCs w:val="20"/>
        </w:rPr>
        <w:t xml:space="preserve"> </w:t>
      </w:r>
      <w:r w:rsidR="00FF23B8" w:rsidRPr="00F24FD6">
        <w:rPr>
          <w:b/>
          <w:szCs w:val="20"/>
        </w:rPr>
        <w:t>No</w:t>
      </w:r>
    </w:p>
    <w:p w14:paraId="3CCF6A2E" w14:textId="77777777" w:rsidR="00FF23B8" w:rsidRDefault="00FF23B8" w:rsidP="00A75D46">
      <w:pPr>
        <w:spacing w:before="0" w:after="0"/>
        <w:rPr>
          <w:szCs w:val="20"/>
        </w:rPr>
      </w:pPr>
    </w:p>
    <w:p w14:paraId="7C292DE4" w14:textId="77777777" w:rsidR="00FF23B8" w:rsidRPr="00FF23B8" w:rsidRDefault="00FF23B8" w:rsidP="00FF23B8">
      <w:pPr>
        <w:pStyle w:val="ListParagraph"/>
        <w:numPr>
          <w:ilvl w:val="0"/>
          <w:numId w:val="28"/>
        </w:numPr>
        <w:rPr>
          <w:b/>
          <w:szCs w:val="20"/>
        </w:rPr>
      </w:pPr>
      <w:r>
        <w:t xml:space="preserve">If </w:t>
      </w:r>
      <w:r w:rsidRPr="00FF23B8">
        <w:rPr>
          <w:b/>
          <w:szCs w:val="20"/>
        </w:rPr>
        <w:t xml:space="preserve">the therapeutic good is NOT </w:t>
      </w:r>
      <w:r>
        <w:rPr>
          <w:b/>
          <w:szCs w:val="20"/>
        </w:rPr>
        <w:t>in the process of being considered</w:t>
      </w:r>
      <w:r w:rsidRPr="00FF23B8">
        <w:rPr>
          <w:b/>
          <w:szCs w:val="20"/>
        </w:rPr>
        <w:t xml:space="preserve"> by TGA, is an application to TGA being prepared?</w:t>
      </w:r>
    </w:p>
    <w:p w14:paraId="52D27319" w14:textId="253F65D1" w:rsidR="0047581D" w:rsidRDefault="00674FBF" w:rsidP="00FF23B8">
      <w:pPr>
        <w:spacing w:before="0" w:after="0"/>
        <w:ind w:firstLine="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47581D">
        <w:rPr>
          <w:szCs w:val="20"/>
        </w:rPr>
        <w:t xml:space="preserve"> Yes (please provide details below)</w:t>
      </w:r>
    </w:p>
    <w:p w14:paraId="6E9655E1"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Pr>
          <w:szCs w:val="20"/>
        </w:rPr>
        <w:t xml:space="preserve"> No</w:t>
      </w:r>
    </w:p>
    <w:p w14:paraId="07F4DDA1" w14:textId="77777777" w:rsidR="00674FBF" w:rsidRDefault="00674FBF" w:rsidP="00971EDB">
      <w:pPr>
        <w:spacing w:before="0" w:after="0"/>
      </w:pPr>
    </w:p>
    <w:p w14:paraId="79494317" w14:textId="77777777" w:rsidR="00674FBF" w:rsidRPr="00674FBF" w:rsidRDefault="00674FBF" w:rsidP="00CC06C6">
      <w:pPr>
        <w:spacing w:before="0" w:after="0"/>
        <w:ind w:left="284"/>
        <w:rPr>
          <w:szCs w:val="20"/>
        </w:rPr>
      </w:pPr>
      <w:r w:rsidRPr="00674FBF">
        <w:rPr>
          <w:szCs w:val="20"/>
        </w:rPr>
        <w:t xml:space="preserve">The ARTG entry 282596 includes the following indications: </w:t>
      </w:r>
    </w:p>
    <w:p w14:paraId="0A9FCEA8" w14:textId="77777777" w:rsidR="00674FBF" w:rsidRPr="00674FBF" w:rsidRDefault="00674FBF" w:rsidP="00CC06C6">
      <w:pPr>
        <w:spacing w:before="0" w:after="0"/>
        <w:ind w:left="284"/>
        <w:rPr>
          <w:szCs w:val="20"/>
        </w:rPr>
      </w:pPr>
      <w:r w:rsidRPr="00674FBF">
        <w:rPr>
          <w:szCs w:val="20"/>
        </w:rPr>
        <w:t>•</w:t>
      </w:r>
      <w:r w:rsidRPr="00674FBF">
        <w:rPr>
          <w:szCs w:val="20"/>
        </w:rPr>
        <w:tab/>
        <w:t>Companion Diagnostic (</w:t>
      </w:r>
      <w:proofErr w:type="spellStart"/>
      <w:r w:rsidRPr="00674FBF">
        <w:rPr>
          <w:szCs w:val="20"/>
        </w:rPr>
        <w:t>CDx</w:t>
      </w:r>
      <w:proofErr w:type="spellEnd"/>
      <w:r w:rsidRPr="00674FBF">
        <w:rPr>
          <w:szCs w:val="20"/>
        </w:rPr>
        <w:t>) claims for NSCLC, Urothelial Carcinoma</w:t>
      </w:r>
    </w:p>
    <w:p w14:paraId="2FC7BBE7" w14:textId="77777777" w:rsidR="00674FBF" w:rsidRPr="00674FBF" w:rsidRDefault="00674FBF" w:rsidP="00CC06C6">
      <w:pPr>
        <w:spacing w:before="0" w:after="0"/>
        <w:ind w:left="284"/>
        <w:rPr>
          <w:szCs w:val="20"/>
        </w:rPr>
      </w:pPr>
      <w:r w:rsidRPr="00674FBF">
        <w:rPr>
          <w:szCs w:val="20"/>
        </w:rPr>
        <w:t>•</w:t>
      </w:r>
      <w:r w:rsidRPr="00674FBF">
        <w:rPr>
          <w:szCs w:val="20"/>
        </w:rPr>
        <w:tab/>
        <w:t>Analytical claim for Melanoma</w:t>
      </w:r>
    </w:p>
    <w:p w14:paraId="1C806197" w14:textId="77777777" w:rsidR="00674FBF" w:rsidRPr="00674FBF" w:rsidRDefault="00674FBF" w:rsidP="00CC06C6">
      <w:pPr>
        <w:spacing w:before="0" w:after="0"/>
        <w:ind w:left="284"/>
        <w:rPr>
          <w:szCs w:val="20"/>
        </w:rPr>
      </w:pPr>
    </w:p>
    <w:p w14:paraId="042C9B13" w14:textId="77777777" w:rsidR="00674FBF" w:rsidRPr="00674FBF" w:rsidRDefault="00674FBF" w:rsidP="00CC06C6">
      <w:pPr>
        <w:spacing w:before="0" w:after="0"/>
        <w:ind w:left="284"/>
        <w:rPr>
          <w:szCs w:val="20"/>
        </w:rPr>
      </w:pPr>
      <w:r w:rsidRPr="00674FBF">
        <w:rPr>
          <w:szCs w:val="20"/>
        </w:rPr>
        <w:t xml:space="preserve">On October 29, 2020, Agilent submitted application DV-2020-IVA-30161-1/Submission ID DA-2020-0930-1 to the TGA for inclusion of PD-L1 IHC 22C3 </w:t>
      </w:r>
      <w:proofErr w:type="spellStart"/>
      <w:r w:rsidRPr="00674FBF">
        <w:rPr>
          <w:szCs w:val="20"/>
        </w:rPr>
        <w:t>pharmDx</w:t>
      </w:r>
      <w:proofErr w:type="spellEnd"/>
      <w:r w:rsidRPr="00674FBF">
        <w:rPr>
          <w:szCs w:val="20"/>
        </w:rPr>
        <w:t xml:space="preserve"> into the ARTG as a Class 3 in vitro diagnostic (IVD) </w:t>
      </w:r>
      <w:proofErr w:type="spellStart"/>
      <w:r w:rsidRPr="00674FBF">
        <w:rPr>
          <w:szCs w:val="20"/>
        </w:rPr>
        <w:t>CDx</w:t>
      </w:r>
      <w:proofErr w:type="spellEnd"/>
      <w:r w:rsidRPr="00674FBF">
        <w:rPr>
          <w:szCs w:val="20"/>
        </w:rPr>
        <w:t xml:space="preserve"> as per the new TGA </w:t>
      </w:r>
      <w:proofErr w:type="spellStart"/>
      <w:r w:rsidRPr="00674FBF">
        <w:rPr>
          <w:szCs w:val="20"/>
        </w:rPr>
        <w:t>CDx</w:t>
      </w:r>
      <w:proofErr w:type="spellEnd"/>
      <w:r w:rsidRPr="00674FBF">
        <w:rPr>
          <w:szCs w:val="20"/>
        </w:rPr>
        <w:t xml:space="preserve"> IVD regulations (effective Feb 2020). </w:t>
      </w:r>
    </w:p>
    <w:p w14:paraId="3E45EABD" w14:textId="77777777" w:rsidR="00674FBF" w:rsidRPr="00674FBF" w:rsidRDefault="00674FBF" w:rsidP="00CC06C6">
      <w:pPr>
        <w:spacing w:before="0" w:after="0"/>
        <w:ind w:left="284"/>
        <w:rPr>
          <w:szCs w:val="20"/>
        </w:rPr>
      </w:pPr>
    </w:p>
    <w:p w14:paraId="1B4B2F67" w14:textId="77777777" w:rsidR="00674FBF" w:rsidRPr="00674FBF" w:rsidRDefault="00674FBF" w:rsidP="00CC06C6">
      <w:pPr>
        <w:spacing w:before="0" w:after="0"/>
        <w:ind w:left="284"/>
        <w:rPr>
          <w:szCs w:val="20"/>
        </w:rPr>
      </w:pPr>
      <w:r w:rsidRPr="00674FBF">
        <w:rPr>
          <w:szCs w:val="20"/>
        </w:rPr>
        <w:t xml:space="preserve">The proposed instructions for use (IFU) of the PD-L1 IHC 22C3 </w:t>
      </w:r>
      <w:proofErr w:type="spellStart"/>
      <w:r w:rsidRPr="00674FBF">
        <w:rPr>
          <w:szCs w:val="20"/>
        </w:rPr>
        <w:t>pharmDx</w:t>
      </w:r>
      <w:proofErr w:type="spellEnd"/>
      <w:r w:rsidRPr="00674FBF">
        <w:rPr>
          <w:szCs w:val="20"/>
        </w:rPr>
        <w:t xml:space="preserve"> under review include NSCLC, melanoma, and the addition of an intended use for PD-L1 testing as an aid in identifying HNSCC patients for treatment with pembrolizumab. That submission remains under review with the TGA.</w:t>
      </w:r>
    </w:p>
    <w:p w14:paraId="2E66349F" w14:textId="77777777" w:rsidR="00674FBF" w:rsidRPr="00674FBF" w:rsidRDefault="00674FBF" w:rsidP="00674FBF">
      <w:pPr>
        <w:spacing w:before="0" w:after="0"/>
        <w:rPr>
          <w:szCs w:val="20"/>
        </w:rPr>
      </w:pPr>
    </w:p>
    <w:p w14:paraId="151A750C" w14:textId="16162FAD" w:rsidR="00674FBF" w:rsidRDefault="00674FBF" w:rsidP="00CC06C6">
      <w:pPr>
        <w:spacing w:before="0" w:after="0"/>
        <w:ind w:left="284"/>
        <w:rPr>
          <w:szCs w:val="20"/>
        </w:rPr>
      </w:pPr>
      <w:r w:rsidRPr="00674FBF">
        <w:rPr>
          <w:szCs w:val="20"/>
        </w:rPr>
        <w:t xml:space="preserve">Upon approval of the IFU currently under review, and when a new ARTG number is issued for this PD-L1 IHC 22C3 </w:t>
      </w:r>
      <w:proofErr w:type="spellStart"/>
      <w:r w:rsidRPr="00674FBF">
        <w:rPr>
          <w:szCs w:val="20"/>
        </w:rPr>
        <w:t>pharmDx</w:t>
      </w:r>
      <w:proofErr w:type="spellEnd"/>
      <w:r w:rsidRPr="00674FBF">
        <w:rPr>
          <w:szCs w:val="20"/>
        </w:rPr>
        <w:t xml:space="preserve"> submission under the new </w:t>
      </w:r>
      <w:proofErr w:type="spellStart"/>
      <w:r w:rsidRPr="00674FBF">
        <w:rPr>
          <w:szCs w:val="20"/>
        </w:rPr>
        <w:t>CDx</w:t>
      </w:r>
      <w:proofErr w:type="spellEnd"/>
      <w:r w:rsidRPr="00674FBF">
        <w:rPr>
          <w:szCs w:val="20"/>
        </w:rPr>
        <w:t xml:space="preserve"> regulations, Agilent will </w:t>
      </w:r>
      <w:proofErr w:type="gramStart"/>
      <w:r w:rsidRPr="00674FBF">
        <w:rPr>
          <w:szCs w:val="20"/>
        </w:rPr>
        <w:t>submit an application</w:t>
      </w:r>
      <w:proofErr w:type="gramEnd"/>
      <w:r w:rsidRPr="00674FBF">
        <w:rPr>
          <w:szCs w:val="20"/>
        </w:rPr>
        <w:t xml:space="preserve"> for the addition of an intended use for PD-L1 testing for patients with </w:t>
      </w:r>
      <w:r>
        <w:rPr>
          <w:szCs w:val="20"/>
        </w:rPr>
        <w:t>cervical cancer</w:t>
      </w:r>
      <w:r w:rsidRPr="00674FBF">
        <w:rPr>
          <w:szCs w:val="20"/>
        </w:rPr>
        <w:t>.</w:t>
      </w:r>
    </w:p>
    <w:p w14:paraId="596B9499" w14:textId="77777777" w:rsidR="00674FBF" w:rsidRPr="00971EDB" w:rsidRDefault="00674FBF" w:rsidP="00CC06C6">
      <w:pPr>
        <w:spacing w:before="0" w:after="0"/>
        <w:ind w:left="284"/>
        <w:rPr>
          <w:szCs w:val="20"/>
        </w:rPr>
      </w:pPr>
    </w:p>
    <w:p w14:paraId="04FFD6EE" w14:textId="77285CDD" w:rsidR="00971EDB" w:rsidRDefault="00971EDB" w:rsidP="00CC06C6">
      <w:pPr>
        <w:spacing w:before="0" w:after="0"/>
        <w:ind w:left="284"/>
      </w:pPr>
      <w:r w:rsidRPr="00971EDB">
        <w:rPr>
          <w:szCs w:val="20"/>
        </w:rPr>
        <w:t>Proposed purpose(s), if applicable</w:t>
      </w:r>
      <w:r>
        <w:rPr>
          <w:szCs w:val="20"/>
        </w:rPr>
        <w:t xml:space="preserve">:  </w:t>
      </w:r>
      <w:r w:rsidR="00674FBF">
        <w:t>For in vitro diagnostic use.</w:t>
      </w:r>
    </w:p>
    <w:p w14:paraId="627F70C9" w14:textId="77777777" w:rsidR="00674FBF" w:rsidRDefault="00674FBF" w:rsidP="00CC06C6">
      <w:pPr>
        <w:spacing w:before="0" w:after="0"/>
        <w:ind w:left="284"/>
      </w:pPr>
    </w:p>
    <w:p w14:paraId="51A7CA60" w14:textId="77777777" w:rsidR="00674FBF" w:rsidRPr="00154B00" w:rsidRDefault="00674FBF" w:rsidP="00CC06C6">
      <w:pPr>
        <w:spacing w:before="0" w:after="0"/>
        <w:ind w:left="284"/>
        <w:rPr>
          <w:szCs w:val="20"/>
        </w:rPr>
      </w:pPr>
      <w:r w:rsidRPr="000968C0">
        <w:rPr>
          <w:szCs w:val="20"/>
        </w:rPr>
        <w:t xml:space="preserve">PD-L1 IHC 22C3 </w:t>
      </w:r>
      <w:proofErr w:type="spellStart"/>
      <w:r w:rsidRPr="000968C0">
        <w:rPr>
          <w:szCs w:val="20"/>
        </w:rPr>
        <w:t>pharmDx</w:t>
      </w:r>
      <w:proofErr w:type="spellEnd"/>
      <w:r w:rsidRPr="000968C0">
        <w:rPr>
          <w:szCs w:val="20"/>
        </w:rPr>
        <w:t xml:space="preserve"> is a qualitative immunohistochemical assay using monoclonal mouse anti-PD-L1, Clone 22C3 intended for use in the detection of PD-L1 protein in formalin-fixed, paraffin-embedded (FFPE) non-small cell lung cancer (NSCLC), head and neck squamous cell carcinoma (HNSCC), and melanoma tissues using </w:t>
      </w:r>
      <w:proofErr w:type="spellStart"/>
      <w:r w:rsidRPr="000968C0">
        <w:rPr>
          <w:szCs w:val="20"/>
        </w:rPr>
        <w:t>EnVision</w:t>
      </w:r>
      <w:proofErr w:type="spellEnd"/>
      <w:r w:rsidRPr="000968C0">
        <w:rPr>
          <w:szCs w:val="20"/>
        </w:rPr>
        <w:t xml:space="preserve"> FLEX visualization system on </w:t>
      </w:r>
      <w:proofErr w:type="spellStart"/>
      <w:r w:rsidRPr="000968C0">
        <w:rPr>
          <w:szCs w:val="20"/>
        </w:rPr>
        <w:t>Autostainer</w:t>
      </w:r>
      <w:proofErr w:type="spellEnd"/>
      <w:r w:rsidRPr="000968C0">
        <w:rPr>
          <w:szCs w:val="20"/>
        </w:rPr>
        <w:t xml:space="preserve"> Link 48.</w:t>
      </w:r>
    </w:p>
    <w:p w14:paraId="72195A3D" w14:textId="77777777" w:rsidR="00674FBF" w:rsidRPr="00971EDB" w:rsidRDefault="00674FBF" w:rsidP="00971EDB">
      <w:pPr>
        <w:spacing w:before="0" w:after="0"/>
        <w:rPr>
          <w:szCs w:val="20"/>
        </w:rPr>
      </w:pPr>
    </w:p>
    <w:p w14:paraId="65E50D06" w14:textId="77777777" w:rsidR="00F83A9D" w:rsidRPr="00154B00" w:rsidRDefault="00F83A9D" w:rsidP="00F83A9D">
      <w:pPr>
        <w:rPr>
          <w:szCs w:val="20"/>
        </w:rPr>
      </w:pPr>
    </w:p>
    <w:p w14:paraId="4D964334" w14:textId="77777777" w:rsidR="00DD308E" w:rsidRDefault="00DD308E">
      <w:pPr>
        <w:rPr>
          <w:b/>
          <w:sz w:val="32"/>
          <w:szCs w:val="32"/>
        </w:rPr>
        <w:sectPr w:rsidR="00DD308E" w:rsidSect="00991EE4">
          <w:footerReference w:type="default" r:id="rId12"/>
          <w:pgSz w:w="11906" w:h="16838"/>
          <w:pgMar w:top="1440" w:right="1440" w:bottom="1440" w:left="1440" w:header="708" w:footer="708" w:gutter="0"/>
          <w:pgNumType w:start="0"/>
          <w:cols w:space="708"/>
          <w:titlePg/>
          <w:docGrid w:linePitch="360"/>
        </w:sectPr>
      </w:pPr>
    </w:p>
    <w:p w14:paraId="189D0FD0"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5C7463F2" w14:textId="445BD717" w:rsidR="00DD308E" w:rsidRPr="00643755" w:rsidRDefault="00643755" w:rsidP="00643755">
      <w:pPr>
        <w:pStyle w:val="Heading2"/>
      </w:pPr>
      <w:r w:rsidRPr="00643755">
        <w:t xml:space="preserve">Provide one or more recent (published) high quality clinical studies that support use of the proposed health service/technology. At ‘Application Form lodgement’, please do not attach full text articles; just provide a summary. </w:t>
      </w:r>
    </w:p>
    <w:tbl>
      <w:tblPr>
        <w:tblStyle w:val="TableGrid"/>
        <w:tblW w:w="5130" w:type="pct"/>
        <w:tblLayout w:type="fixed"/>
        <w:tblLook w:val="04A0" w:firstRow="1" w:lastRow="0" w:firstColumn="1" w:lastColumn="0" w:noHBand="0" w:noVBand="1"/>
        <w:tblCaption w:val="Summary of Evidence - Published"/>
      </w:tblPr>
      <w:tblGrid>
        <w:gridCol w:w="369"/>
        <w:gridCol w:w="1566"/>
        <w:gridCol w:w="3306"/>
        <w:gridCol w:w="4110"/>
        <w:gridCol w:w="3403"/>
        <w:gridCol w:w="1557"/>
      </w:tblGrid>
      <w:tr w:rsidR="00DD308E" w14:paraId="076E6EDA" w14:textId="77777777" w:rsidTr="004C53CD">
        <w:trPr>
          <w:cantSplit/>
          <w:tblHeader/>
        </w:trPr>
        <w:tc>
          <w:tcPr>
            <w:tcW w:w="129" w:type="pct"/>
          </w:tcPr>
          <w:p w14:paraId="782B1C65" w14:textId="77777777" w:rsidR="00DD308E" w:rsidRDefault="00DD308E" w:rsidP="00855944">
            <w:pPr>
              <w:pStyle w:val="TableHEADER"/>
            </w:pPr>
          </w:p>
        </w:tc>
        <w:tc>
          <w:tcPr>
            <w:tcW w:w="547" w:type="pct"/>
          </w:tcPr>
          <w:p w14:paraId="28ED3498" w14:textId="274FAC25" w:rsidR="00DD308E" w:rsidRDefault="00DD308E" w:rsidP="00855944">
            <w:pPr>
              <w:pStyle w:val="TableHEADER"/>
            </w:pPr>
            <w:r>
              <w:t>Type of study design</w:t>
            </w:r>
          </w:p>
        </w:tc>
        <w:tc>
          <w:tcPr>
            <w:tcW w:w="1155" w:type="pct"/>
          </w:tcPr>
          <w:p w14:paraId="2F078642" w14:textId="33784083" w:rsidR="00DD308E" w:rsidRDefault="00DD308E" w:rsidP="00855944">
            <w:pPr>
              <w:pStyle w:val="TableHEADER"/>
            </w:pPr>
            <w:r>
              <w:t xml:space="preserve">Title of journal article or research project </w:t>
            </w:r>
          </w:p>
        </w:tc>
        <w:tc>
          <w:tcPr>
            <w:tcW w:w="1436" w:type="pct"/>
          </w:tcPr>
          <w:p w14:paraId="4EB6600D" w14:textId="0B0755EE" w:rsidR="00DD308E" w:rsidRDefault="00DD308E" w:rsidP="00855944">
            <w:pPr>
              <w:pStyle w:val="TableHEADER"/>
            </w:pPr>
            <w:r>
              <w:t>Short description of research</w:t>
            </w:r>
          </w:p>
        </w:tc>
        <w:tc>
          <w:tcPr>
            <w:tcW w:w="1189" w:type="pct"/>
          </w:tcPr>
          <w:p w14:paraId="458FB6E7" w14:textId="77777777" w:rsidR="00DD308E" w:rsidRDefault="00DD308E" w:rsidP="00855944">
            <w:pPr>
              <w:pStyle w:val="TableHEADER"/>
            </w:pPr>
            <w:r w:rsidRPr="00E82F54">
              <w:t xml:space="preserve">Website link to </w:t>
            </w:r>
            <w:r>
              <w:t>journal article or research (if available)</w:t>
            </w:r>
          </w:p>
        </w:tc>
        <w:tc>
          <w:tcPr>
            <w:tcW w:w="544" w:type="pct"/>
          </w:tcPr>
          <w:p w14:paraId="35689023" w14:textId="01B99FA5" w:rsidR="00DD308E" w:rsidRDefault="00DD308E" w:rsidP="00855944">
            <w:pPr>
              <w:pStyle w:val="TableHEADER"/>
            </w:pPr>
            <w:r w:rsidRPr="00E82F54">
              <w:t>Date</w:t>
            </w:r>
            <w:r>
              <w:t xml:space="preserve"> of publication</w:t>
            </w:r>
          </w:p>
        </w:tc>
      </w:tr>
      <w:tr w:rsidR="00DD308E" w14:paraId="2E6D1056" w14:textId="77777777" w:rsidTr="004C53CD">
        <w:trPr>
          <w:cantSplit/>
        </w:trPr>
        <w:tc>
          <w:tcPr>
            <w:tcW w:w="129" w:type="pct"/>
          </w:tcPr>
          <w:p w14:paraId="329F5665" w14:textId="77777777" w:rsidR="00DD308E" w:rsidRPr="004C53CD" w:rsidRDefault="00DD308E" w:rsidP="00DD308E">
            <w:pPr>
              <w:rPr>
                <w:rFonts w:ascii="Arial Narrow" w:hAnsi="Arial Narrow"/>
                <w:szCs w:val="20"/>
              </w:rPr>
            </w:pPr>
            <w:r w:rsidRPr="004C53CD">
              <w:rPr>
                <w:rFonts w:ascii="Arial Narrow" w:hAnsi="Arial Narrow"/>
                <w:szCs w:val="20"/>
              </w:rPr>
              <w:t>1.</w:t>
            </w:r>
          </w:p>
        </w:tc>
        <w:tc>
          <w:tcPr>
            <w:tcW w:w="547" w:type="pct"/>
          </w:tcPr>
          <w:p w14:paraId="25C2392F" w14:textId="50F162DB" w:rsidR="00DD308E" w:rsidRPr="004C53CD" w:rsidRDefault="00BB05EE" w:rsidP="00DD308E">
            <w:pPr>
              <w:rPr>
                <w:rFonts w:ascii="Arial Narrow" w:hAnsi="Arial Narrow"/>
                <w:szCs w:val="20"/>
              </w:rPr>
            </w:pPr>
            <w:r w:rsidRPr="004C53CD">
              <w:rPr>
                <w:rFonts w:ascii="Arial Narrow" w:hAnsi="Arial Narrow"/>
                <w:szCs w:val="20"/>
              </w:rPr>
              <w:t>Open Label, Single Arm Clinical Trial</w:t>
            </w:r>
          </w:p>
        </w:tc>
        <w:tc>
          <w:tcPr>
            <w:tcW w:w="1155" w:type="pct"/>
          </w:tcPr>
          <w:p w14:paraId="27188768" w14:textId="662C0871" w:rsidR="00DD308E" w:rsidRPr="004C53CD" w:rsidRDefault="00B515B1" w:rsidP="00DD308E">
            <w:pPr>
              <w:rPr>
                <w:rFonts w:ascii="Arial Narrow" w:hAnsi="Arial Narrow"/>
                <w:b/>
                <w:szCs w:val="20"/>
              </w:rPr>
            </w:pPr>
            <w:r w:rsidRPr="004C53CD">
              <w:rPr>
                <w:rFonts w:ascii="Arial Narrow" w:hAnsi="Arial Narrow"/>
                <w:szCs w:val="20"/>
              </w:rPr>
              <w:t xml:space="preserve">Safety and Efficacy of Pembrolizumab in Advanced, Programmed Death Ligand 1-Positive Cervical Cancer: Results </w:t>
            </w:r>
            <w:proofErr w:type="gramStart"/>
            <w:r w:rsidRPr="004C53CD">
              <w:rPr>
                <w:rFonts w:ascii="Arial Narrow" w:hAnsi="Arial Narrow"/>
                <w:szCs w:val="20"/>
              </w:rPr>
              <w:t>From</w:t>
            </w:r>
            <w:proofErr w:type="gramEnd"/>
            <w:r w:rsidRPr="004C53CD">
              <w:rPr>
                <w:rFonts w:ascii="Arial Narrow" w:hAnsi="Arial Narrow"/>
                <w:szCs w:val="20"/>
              </w:rPr>
              <w:t xml:space="preserve"> the Phase </w:t>
            </w:r>
            <w:proofErr w:type="spellStart"/>
            <w:r w:rsidRPr="004C53CD">
              <w:rPr>
                <w:rFonts w:ascii="Arial Narrow" w:hAnsi="Arial Narrow"/>
                <w:szCs w:val="20"/>
              </w:rPr>
              <w:t>Ib</w:t>
            </w:r>
            <w:proofErr w:type="spellEnd"/>
            <w:r w:rsidRPr="004C53CD">
              <w:rPr>
                <w:rFonts w:ascii="Arial Narrow" w:hAnsi="Arial Narrow"/>
                <w:szCs w:val="20"/>
              </w:rPr>
              <w:t xml:space="preserve"> KEYNOTE-028 Trial</w:t>
            </w:r>
          </w:p>
        </w:tc>
        <w:tc>
          <w:tcPr>
            <w:tcW w:w="1436" w:type="pct"/>
          </w:tcPr>
          <w:p w14:paraId="14115293" w14:textId="55164189" w:rsidR="00357210" w:rsidRDefault="00FB17B9" w:rsidP="000D22DC">
            <w:pPr>
              <w:spacing w:before="0" w:after="0"/>
              <w:rPr>
                <w:rFonts w:ascii="Arial Narrow" w:hAnsi="Arial Narrow"/>
                <w:szCs w:val="20"/>
              </w:rPr>
            </w:pPr>
            <w:r w:rsidRPr="004C53CD">
              <w:rPr>
                <w:rFonts w:ascii="Arial Narrow" w:hAnsi="Arial Narrow"/>
                <w:szCs w:val="20"/>
              </w:rPr>
              <w:t>A phase 1b single arm trial</w:t>
            </w:r>
            <w:r w:rsidR="00693A62" w:rsidRPr="004C53CD">
              <w:rPr>
                <w:rFonts w:ascii="Arial Narrow" w:hAnsi="Arial Narrow"/>
                <w:szCs w:val="20"/>
              </w:rPr>
              <w:t xml:space="preserve"> </w:t>
            </w:r>
            <w:r w:rsidR="00755819" w:rsidRPr="004C53CD">
              <w:rPr>
                <w:rFonts w:ascii="Arial Narrow" w:hAnsi="Arial Narrow"/>
                <w:szCs w:val="20"/>
              </w:rPr>
              <w:t>to assess the safety and efficacy of</w:t>
            </w:r>
            <w:r w:rsidR="00693A62" w:rsidRPr="004C53CD">
              <w:rPr>
                <w:rFonts w:ascii="Arial Narrow" w:hAnsi="Arial Narrow"/>
                <w:szCs w:val="20"/>
              </w:rPr>
              <w:t xml:space="preserve"> pembrolizumab</w:t>
            </w:r>
            <w:r w:rsidR="002376DD">
              <w:rPr>
                <w:rFonts w:ascii="Arial Narrow" w:hAnsi="Arial Narrow"/>
                <w:szCs w:val="20"/>
              </w:rPr>
              <w:t>.</w:t>
            </w:r>
            <w:r w:rsidR="00693A62" w:rsidRPr="004C53CD">
              <w:rPr>
                <w:rFonts w:ascii="Arial Narrow" w:hAnsi="Arial Narrow"/>
                <w:szCs w:val="20"/>
              </w:rPr>
              <w:t xml:space="preserve"> </w:t>
            </w:r>
          </w:p>
          <w:p w14:paraId="68E65B07" w14:textId="67D5DC51" w:rsidR="002376DD" w:rsidRDefault="002376DD" w:rsidP="000D22DC">
            <w:pPr>
              <w:spacing w:before="0" w:after="0"/>
              <w:rPr>
                <w:rFonts w:ascii="Arial Narrow" w:hAnsi="Arial Narrow"/>
                <w:szCs w:val="20"/>
              </w:rPr>
            </w:pPr>
            <w:r w:rsidRPr="000D22DC">
              <w:rPr>
                <w:rFonts w:ascii="Arial Narrow" w:hAnsi="Arial Narrow"/>
                <w:b/>
                <w:szCs w:val="20"/>
              </w:rPr>
              <w:t>Population</w:t>
            </w:r>
            <w:r>
              <w:rPr>
                <w:rFonts w:ascii="Arial Narrow" w:hAnsi="Arial Narrow"/>
                <w:szCs w:val="20"/>
              </w:rPr>
              <w:t xml:space="preserve">: </w:t>
            </w:r>
            <w:r w:rsidRPr="004C53CD">
              <w:rPr>
                <w:rFonts w:ascii="Arial Narrow" w:hAnsi="Arial Narrow"/>
                <w:szCs w:val="20"/>
              </w:rPr>
              <w:t>PD-L1 positive patients with advanced cervical cancer.</w:t>
            </w:r>
          </w:p>
          <w:p w14:paraId="7D98410B" w14:textId="1272C639" w:rsidR="00357210" w:rsidRDefault="00357210" w:rsidP="000D22DC">
            <w:pPr>
              <w:spacing w:before="0" w:after="0"/>
              <w:rPr>
                <w:rFonts w:ascii="Arial Narrow" w:hAnsi="Arial Narrow"/>
                <w:szCs w:val="20"/>
              </w:rPr>
            </w:pPr>
            <w:r w:rsidRPr="000D22DC">
              <w:rPr>
                <w:rFonts w:ascii="Arial Narrow" w:hAnsi="Arial Narrow"/>
                <w:b/>
                <w:szCs w:val="20"/>
              </w:rPr>
              <w:t>Intervention:</w:t>
            </w:r>
            <w:r>
              <w:rPr>
                <w:rFonts w:ascii="Arial Narrow" w:hAnsi="Arial Narrow"/>
                <w:szCs w:val="20"/>
              </w:rPr>
              <w:t xml:space="preserve"> Pembrolizumab monotherapy</w:t>
            </w:r>
            <w:r w:rsidR="006B433E" w:rsidRPr="004C53CD">
              <w:rPr>
                <w:rFonts w:ascii="Arial Narrow" w:hAnsi="Arial Narrow"/>
                <w:szCs w:val="20"/>
              </w:rPr>
              <w:t xml:space="preserve"> </w:t>
            </w:r>
          </w:p>
          <w:p w14:paraId="730F779F" w14:textId="1C0CBBD6" w:rsidR="00DD308E" w:rsidRPr="004C53CD" w:rsidRDefault="00357210" w:rsidP="000D22DC">
            <w:pPr>
              <w:spacing w:before="0" w:after="0"/>
              <w:rPr>
                <w:rFonts w:ascii="Arial Narrow" w:hAnsi="Arial Narrow"/>
                <w:szCs w:val="20"/>
              </w:rPr>
            </w:pPr>
            <w:r w:rsidRPr="000D22DC">
              <w:rPr>
                <w:rFonts w:ascii="Arial Narrow" w:hAnsi="Arial Narrow"/>
                <w:b/>
                <w:szCs w:val="20"/>
              </w:rPr>
              <w:t>Conclusion</w:t>
            </w:r>
            <w:r>
              <w:rPr>
                <w:rFonts w:ascii="Arial Narrow" w:hAnsi="Arial Narrow"/>
                <w:szCs w:val="20"/>
              </w:rPr>
              <w:t xml:space="preserve">: </w:t>
            </w:r>
            <w:r w:rsidR="00F83DC9" w:rsidRPr="004C53CD">
              <w:rPr>
                <w:rFonts w:ascii="Arial Narrow" w:hAnsi="Arial Narrow"/>
                <w:szCs w:val="20"/>
              </w:rPr>
              <w:t xml:space="preserve">Pembrolizumab demonstrated antitumour activity </w:t>
            </w:r>
            <w:r w:rsidR="00C4338D" w:rsidRPr="004C53CD">
              <w:rPr>
                <w:rFonts w:ascii="Arial Narrow" w:hAnsi="Arial Narrow"/>
                <w:szCs w:val="20"/>
              </w:rPr>
              <w:t>and exhibited a safety profile consistent with that seen in other tumour types.</w:t>
            </w:r>
          </w:p>
        </w:tc>
        <w:tc>
          <w:tcPr>
            <w:tcW w:w="1189" w:type="pct"/>
          </w:tcPr>
          <w:p w14:paraId="336CFC9C" w14:textId="3FD3DB2D" w:rsidR="00534AF8" w:rsidRPr="004C53CD" w:rsidRDefault="0058111C" w:rsidP="00DD308E">
            <w:pPr>
              <w:rPr>
                <w:rFonts w:ascii="Arial Narrow" w:hAnsi="Arial Narrow"/>
                <w:b/>
                <w:szCs w:val="20"/>
              </w:rPr>
            </w:pPr>
            <w:hyperlink r:id="rId13" w:history="1">
              <w:r w:rsidR="0042186E" w:rsidRPr="004C53CD">
                <w:rPr>
                  <w:rStyle w:val="Hyperlink"/>
                  <w:rFonts w:ascii="Arial Narrow" w:hAnsi="Arial Narrow"/>
                </w:rPr>
                <w:t>Clinical safety and activity of pembrolizumab in patients with malignant pleural mesothelioma (KEYNOTE-028): preliminary results from a non-randomised, open-label, phase 1b trial - ScienceDirect</w:t>
              </w:r>
            </w:hyperlink>
          </w:p>
        </w:tc>
        <w:tc>
          <w:tcPr>
            <w:tcW w:w="544" w:type="pct"/>
          </w:tcPr>
          <w:p w14:paraId="7723AB3C" w14:textId="78E5CE41" w:rsidR="00DD308E" w:rsidRPr="004C53CD" w:rsidRDefault="0042186E" w:rsidP="00DD308E">
            <w:pPr>
              <w:rPr>
                <w:rFonts w:ascii="Arial Narrow" w:hAnsi="Arial Narrow"/>
                <w:szCs w:val="20"/>
              </w:rPr>
            </w:pPr>
            <w:r w:rsidRPr="004C53CD">
              <w:rPr>
                <w:rFonts w:ascii="Arial Narrow" w:hAnsi="Arial Narrow"/>
                <w:szCs w:val="20"/>
              </w:rPr>
              <w:t>May 2017</w:t>
            </w:r>
          </w:p>
        </w:tc>
      </w:tr>
      <w:tr w:rsidR="00A327E3" w14:paraId="61BB29A9" w14:textId="77777777" w:rsidTr="004C53CD">
        <w:trPr>
          <w:cantSplit/>
        </w:trPr>
        <w:tc>
          <w:tcPr>
            <w:tcW w:w="129" w:type="pct"/>
          </w:tcPr>
          <w:p w14:paraId="57FE2E8F" w14:textId="7BAA462E" w:rsidR="00A327E3" w:rsidRPr="004C53CD" w:rsidRDefault="00A327E3" w:rsidP="00DD308E">
            <w:pPr>
              <w:rPr>
                <w:rFonts w:ascii="Arial Narrow" w:hAnsi="Arial Narrow"/>
                <w:szCs w:val="20"/>
              </w:rPr>
            </w:pPr>
            <w:r w:rsidRPr="004C53CD">
              <w:rPr>
                <w:rFonts w:ascii="Arial Narrow" w:hAnsi="Arial Narrow"/>
                <w:szCs w:val="20"/>
              </w:rPr>
              <w:t>2.</w:t>
            </w:r>
          </w:p>
        </w:tc>
        <w:tc>
          <w:tcPr>
            <w:tcW w:w="547" w:type="pct"/>
          </w:tcPr>
          <w:p w14:paraId="07D2A3AC" w14:textId="0E389A85" w:rsidR="0001434C" w:rsidRPr="0001434C" w:rsidRDefault="00BB05EE" w:rsidP="0001434C">
            <w:pPr>
              <w:rPr>
                <w:rFonts w:ascii="Arial Narrow" w:hAnsi="Arial Narrow"/>
                <w:szCs w:val="20"/>
              </w:rPr>
            </w:pPr>
            <w:r w:rsidRPr="004C53CD">
              <w:rPr>
                <w:rFonts w:ascii="Arial Narrow" w:hAnsi="Arial Narrow"/>
                <w:szCs w:val="20"/>
              </w:rPr>
              <w:t>Open Label, Non-Randomised Clinical Trial</w:t>
            </w:r>
          </w:p>
          <w:p w14:paraId="4D4CFC5D" w14:textId="36DDB3F5" w:rsidR="0001434C" w:rsidRPr="004C53CD" w:rsidRDefault="0001434C" w:rsidP="0001434C">
            <w:pPr>
              <w:rPr>
                <w:rFonts w:ascii="Arial Narrow" w:hAnsi="Arial Narrow"/>
                <w:szCs w:val="20"/>
              </w:rPr>
            </w:pPr>
            <w:r w:rsidRPr="0001434C">
              <w:rPr>
                <w:rFonts w:ascii="Arial Narrow" w:hAnsi="Arial Narrow"/>
                <w:szCs w:val="20"/>
              </w:rPr>
              <w:t>ClinicalTrials.gov Identifier: NCT02628067</w:t>
            </w:r>
          </w:p>
        </w:tc>
        <w:tc>
          <w:tcPr>
            <w:tcW w:w="1155" w:type="pct"/>
          </w:tcPr>
          <w:p w14:paraId="1D7A6284" w14:textId="1A9CA2BA" w:rsidR="00A327E3" w:rsidRPr="004C53CD" w:rsidRDefault="00A2639B" w:rsidP="00DD308E">
            <w:pPr>
              <w:rPr>
                <w:rFonts w:ascii="Arial Narrow" w:hAnsi="Arial Narrow"/>
                <w:szCs w:val="20"/>
              </w:rPr>
            </w:pPr>
            <w:r w:rsidRPr="004C53CD">
              <w:rPr>
                <w:rFonts w:ascii="Arial Narrow" w:hAnsi="Arial Narrow"/>
              </w:rPr>
              <w:t xml:space="preserve">Efficacy and Safety of Pembrolizumab in Previously Treated Advanced Cervical Cancer: Results </w:t>
            </w:r>
            <w:proofErr w:type="gramStart"/>
            <w:r w:rsidRPr="004C53CD">
              <w:rPr>
                <w:rFonts w:ascii="Arial Narrow" w:hAnsi="Arial Narrow"/>
              </w:rPr>
              <w:t>From</w:t>
            </w:r>
            <w:proofErr w:type="gramEnd"/>
            <w:r w:rsidRPr="004C53CD">
              <w:rPr>
                <w:rFonts w:ascii="Arial Narrow" w:hAnsi="Arial Narrow"/>
              </w:rPr>
              <w:t xml:space="preserve"> the Phase II KEYNOTE-158 Study</w:t>
            </w:r>
          </w:p>
        </w:tc>
        <w:tc>
          <w:tcPr>
            <w:tcW w:w="1436" w:type="pct"/>
          </w:tcPr>
          <w:p w14:paraId="28FE555B" w14:textId="08535DF9" w:rsidR="004B4905" w:rsidRDefault="004B4905" w:rsidP="0097669F">
            <w:pPr>
              <w:spacing w:before="0" w:after="0"/>
              <w:rPr>
                <w:rFonts w:ascii="Arial Narrow" w:hAnsi="Arial Narrow"/>
              </w:rPr>
            </w:pPr>
            <w:r w:rsidRPr="0097669F">
              <w:rPr>
                <w:rFonts w:ascii="Arial Narrow" w:hAnsi="Arial Narrow"/>
                <w:b/>
              </w:rPr>
              <w:t>Purpose:</w:t>
            </w:r>
            <w:r>
              <w:rPr>
                <w:rFonts w:ascii="Arial Narrow" w:hAnsi="Arial Narrow"/>
              </w:rPr>
              <w:t xml:space="preserve"> A clinical trial of pembrolizumab evaluating predictive biomarkers in subjects with advanced solid tumours</w:t>
            </w:r>
            <w:r w:rsidR="000449A2">
              <w:rPr>
                <w:rFonts w:ascii="Arial Narrow" w:hAnsi="Arial Narrow"/>
              </w:rPr>
              <w:t>.</w:t>
            </w:r>
          </w:p>
          <w:p w14:paraId="2969378E" w14:textId="4B232303" w:rsidR="000449A2" w:rsidRDefault="000449A2" w:rsidP="0097669F">
            <w:pPr>
              <w:spacing w:before="0" w:after="0"/>
              <w:rPr>
                <w:rFonts w:ascii="Arial Narrow" w:hAnsi="Arial Narrow"/>
              </w:rPr>
            </w:pPr>
            <w:r w:rsidRPr="0097669F">
              <w:rPr>
                <w:rFonts w:ascii="Arial Narrow" w:hAnsi="Arial Narrow"/>
                <w:b/>
              </w:rPr>
              <w:t>Population:</w:t>
            </w:r>
            <w:r>
              <w:rPr>
                <w:rFonts w:ascii="Arial Narrow" w:hAnsi="Arial Narrow"/>
              </w:rPr>
              <w:t xml:space="preserve"> </w:t>
            </w:r>
            <w:r w:rsidR="0097669F">
              <w:rPr>
                <w:rFonts w:ascii="Arial Narrow" w:hAnsi="Arial Narrow"/>
              </w:rPr>
              <w:t>patients with advanced solid tumours who have progresses on SOC; including patients with cervical cancer</w:t>
            </w:r>
          </w:p>
          <w:p w14:paraId="77CC530F" w14:textId="11D4FCBB" w:rsidR="000449A2" w:rsidRDefault="000449A2" w:rsidP="0097669F">
            <w:pPr>
              <w:spacing w:before="0" w:after="0"/>
              <w:rPr>
                <w:rFonts w:ascii="Arial Narrow" w:hAnsi="Arial Narrow"/>
              </w:rPr>
            </w:pPr>
            <w:r w:rsidRPr="0097669F">
              <w:rPr>
                <w:rFonts w:ascii="Arial Narrow" w:hAnsi="Arial Narrow"/>
                <w:b/>
              </w:rPr>
              <w:t>Intervention:</w:t>
            </w:r>
            <w:r>
              <w:rPr>
                <w:rFonts w:ascii="Arial Narrow" w:hAnsi="Arial Narrow"/>
              </w:rPr>
              <w:t xml:space="preserve"> Pembrolizumab monotherapy</w:t>
            </w:r>
          </w:p>
          <w:p w14:paraId="7B22168D" w14:textId="2329D4C8" w:rsidR="00A327E3" w:rsidRPr="004C53CD" w:rsidRDefault="0097669F" w:rsidP="0097669F">
            <w:pPr>
              <w:spacing w:before="0" w:after="0"/>
              <w:rPr>
                <w:rFonts w:ascii="Arial Narrow" w:hAnsi="Arial Narrow"/>
              </w:rPr>
            </w:pPr>
            <w:r w:rsidRPr="0097669F">
              <w:rPr>
                <w:rFonts w:ascii="Arial Narrow" w:hAnsi="Arial Narrow"/>
                <w:b/>
              </w:rPr>
              <w:t>Conclusion:</w:t>
            </w:r>
            <w:r>
              <w:rPr>
                <w:rFonts w:ascii="Arial Narrow" w:hAnsi="Arial Narrow"/>
              </w:rPr>
              <w:t xml:space="preserve"> </w:t>
            </w:r>
            <w:r w:rsidR="0007793C" w:rsidRPr="004C53CD">
              <w:rPr>
                <w:rFonts w:ascii="Arial Narrow" w:hAnsi="Arial Narrow"/>
              </w:rPr>
              <w:t xml:space="preserve">Among the 98 patients treated who were </w:t>
            </w:r>
            <w:r w:rsidR="00166F6C" w:rsidRPr="004C53CD">
              <w:rPr>
                <w:rFonts w:ascii="Arial Narrow" w:hAnsi="Arial Narrow"/>
              </w:rPr>
              <w:t>PD-L1 positive</w:t>
            </w:r>
            <w:r w:rsidR="00B76824" w:rsidRPr="004C53CD">
              <w:rPr>
                <w:rFonts w:ascii="Arial Narrow" w:hAnsi="Arial Narrow"/>
              </w:rPr>
              <w:t xml:space="preserve">, pembrolizumab </w:t>
            </w:r>
            <w:r w:rsidR="004F57E1" w:rsidRPr="004C53CD">
              <w:rPr>
                <w:rFonts w:ascii="Arial Narrow" w:hAnsi="Arial Narrow"/>
              </w:rPr>
              <w:t>demonstrated durable antitumour activity and manageable safety in patients with advanced cervical cancer.</w:t>
            </w:r>
          </w:p>
        </w:tc>
        <w:tc>
          <w:tcPr>
            <w:tcW w:w="1189" w:type="pct"/>
          </w:tcPr>
          <w:p w14:paraId="1FA47DF8" w14:textId="5384ED6E" w:rsidR="00A327E3" w:rsidRPr="004C53CD" w:rsidRDefault="0058111C" w:rsidP="00DD308E">
            <w:pPr>
              <w:rPr>
                <w:rFonts w:ascii="Arial Narrow" w:hAnsi="Arial Narrow"/>
                <w:szCs w:val="20"/>
              </w:rPr>
            </w:pPr>
            <w:hyperlink r:id="rId14" w:history="1">
              <w:r w:rsidR="00534AF8" w:rsidRPr="004C53CD">
                <w:rPr>
                  <w:rStyle w:val="Hyperlink"/>
                  <w:rFonts w:ascii="Arial Narrow" w:hAnsi="Arial Narrow"/>
                  <w:szCs w:val="20"/>
                </w:rPr>
                <w:t>https://pubmed.ncbi.nlm.nih.gov/30943124/</w:t>
              </w:r>
            </w:hyperlink>
          </w:p>
          <w:p w14:paraId="65C80CB1" w14:textId="78C7AF7E" w:rsidR="00534AF8" w:rsidRPr="004C53CD" w:rsidRDefault="00534AF8" w:rsidP="00DD308E">
            <w:pPr>
              <w:rPr>
                <w:rFonts w:ascii="Arial Narrow" w:hAnsi="Arial Narrow"/>
              </w:rPr>
            </w:pPr>
          </w:p>
        </w:tc>
        <w:tc>
          <w:tcPr>
            <w:tcW w:w="544" w:type="pct"/>
          </w:tcPr>
          <w:p w14:paraId="469BCAAD" w14:textId="55E629B6" w:rsidR="00A327E3" w:rsidRPr="004C53CD" w:rsidRDefault="0042186E" w:rsidP="00DD308E">
            <w:pPr>
              <w:rPr>
                <w:rFonts w:ascii="Arial Narrow" w:hAnsi="Arial Narrow"/>
              </w:rPr>
            </w:pPr>
            <w:r w:rsidRPr="004C53CD">
              <w:rPr>
                <w:rFonts w:ascii="Arial Narrow" w:hAnsi="Arial Narrow"/>
              </w:rPr>
              <w:t>June 2019</w:t>
            </w:r>
          </w:p>
        </w:tc>
      </w:tr>
      <w:tr w:rsidR="00DD308E" w14:paraId="532C1E03" w14:textId="77777777" w:rsidTr="004C53CD">
        <w:trPr>
          <w:cantSplit/>
        </w:trPr>
        <w:tc>
          <w:tcPr>
            <w:tcW w:w="129" w:type="pct"/>
          </w:tcPr>
          <w:p w14:paraId="46F3672E" w14:textId="39AA8A4C" w:rsidR="00DD308E" w:rsidRPr="004C53CD" w:rsidRDefault="00BB05EE" w:rsidP="00DD308E">
            <w:pPr>
              <w:rPr>
                <w:rFonts w:ascii="Arial Narrow" w:hAnsi="Arial Narrow"/>
                <w:szCs w:val="20"/>
              </w:rPr>
            </w:pPr>
            <w:r w:rsidRPr="004C53CD">
              <w:rPr>
                <w:rFonts w:ascii="Arial Narrow" w:hAnsi="Arial Narrow"/>
                <w:szCs w:val="20"/>
              </w:rPr>
              <w:lastRenderedPageBreak/>
              <w:t>3.</w:t>
            </w:r>
          </w:p>
        </w:tc>
        <w:tc>
          <w:tcPr>
            <w:tcW w:w="547" w:type="pct"/>
          </w:tcPr>
          <w:p w14:paraId="7CC70214" w14:textId="5E239ABD" w:rsidR="00AA1C8A" w:rsidRPr="004C53CD" w:rsidRDefault="00AA1C8A" w:rsidP="00AA1C8A">
            <w:pPr>
              <w:rPr>
                <w:rFonts w:ascii="Arial Narrow" w:hAnsi="Arial Narrow"/>
                <w:szCs w:val="20"/>
              </w:rPr>
            </w:pPr>
            <w:r w:rsidRPr="004C53CD">
              <w:rPr>
                <w:rFonts w:ascii="Arial Narrow" w:hAnsi="Arial Narrow"/>
                <w:szCs w:val="20"/>
              </w:rPr>
              <w:t>Randomised, Placebo-Controlled Trial</w:t>
            </w:r>
          </w:p>
          <w:p w14:paraId="02CA20B6" w14:textId="79A7AFE0" w:rsidR="00475947" w:rsidRPr="004C53CD" w:rsidRDefault="00AA1C8A" w:rsidP="00AA1C8A">
            <w:pPr>
              <w:rPr>
                <w:rFonts w:ascii="Arial Narrow" w:hAnsi="Arial Narrow"/>
                <w:szCs w:val="20"/>
              </w:rPr>
            </w:pPr>
            <w:r w:rsidRPr="004C53CD">
              <w:rPr>
                <w:rFonts w:ascii="Arial Narrow" w:hAnsi="Arial Narrow"/>
                <w:szCs w:val="20"/>
              </w:rPr>
              <w:t>ClinicalTrials.gov Identifier: NCT03635567</w:t>
            </w:r>
          </w:p>
        </w:tc>
        <w:tc>
          <w:tcPr>
            <w:tcW w:w="1155" w:type="pct"/>
          </w:tcPr>
          <w:p w14:paraId="1F55A728" w14:textId="0F6D2FDA" w:rsidR="00DD308E" w:rsidRPr="004C53CD" w:rsidRDefault="00AA1C8A" w:rsidP="00DD308E">
            <w:pPr>
              <w:rPr>
                <w:rFonts w:ascii="Arial Narrow" w:hAnsi="Arial Narrow"/>
                <w:b/>
                <w:szCs w:val="20"/>
              </w:rPr>
            </w:pPr>
            <w:r w:rsidRPr="004C53CD">
              <w:rPr>
                <w:rFonts w:ascii="Arial Narrow" w:hAnsi="Arial Narrow"/>
                <w:szCs w:val="20"/>
              </w:rPr>
              <w:t xml:space="preserve">Efficacy and Safety Study of First-line Treatment </w:t>
            </w:r>
            <w:proofErr w:type="gramStart"/>
            <w:r w:rsidRPr="004C53CD">
              <w:rPr>
                <w:rFonts w:ascii="Arial Narrow" w:hAnsi="Arial Narrow"/>
                <w:szCs w:val="20"/>
              </w:rPr>
              <w:t>With</w:t>
            </w:r>
            <w:proofErr w:type="gramEnd"/>
            <w:r w:rsidRPr="004C53CD">
              <w:rPr>
                <w:rFonts w:ascii="Arial Narrow" w:hAnsi="Arial Narrow"/>
                <w:szCs w:val="20"/>
              </w:rPr>
              <w:t xml:space="preserve"> Pembrolizumab (MK-3475) Plus Chemotherapy Versus Placebo Plus Chemotherapy in Women With Persistent, Recurrent, or Metastatic Cervical Cancer (MK-3475-826/KEYNOTE-826)</w:t>
            </w:r>
          </w:p>
        </w:tc>
        <w:tc>
          <w:tcPr>
            <w:tcW w:w="1436" w:type="pct"/>
          </w:tcPr>
          <w:p w14:paraId="64B7B478" w14:textId="3E33C76D" w:rsidR="00DD308E" w:rsidRPr="008441FE" w:rsidRDefault="00AA1C8A" w:rsidP="008441FE">
            <w:pPr>
              <w:spacing w:before="0" w:after="0"/>
              <w:rPr>
                <w:rFonts w:ascii="Arial Narrow" w:hAnsi="Arial Narrow"/>
                <w:szCs w:val="20"/>
              </w:rPr>
            </w:pPr>
            <w:r w:rsidRPr="008441FE">
              <w:rPr>
                <w:rFonts w:ascii="Arial Narrow" w:hAnsi="Arial Narrow"/>
                <w:szCs w:val="20"/>
              </w:rPr>
              <w:t xml:space="preserve">A phase 3 randomised, double-blind, placebo-controlled trial of pembrolizumab plus chemotherapy VS chemotherapy plus placebo for persistent, </w:t>
            </w:r>
            <w:proofErr w:type="gramStart"/>
            <w:r w:rsidRPr="008441FE">
              <w:rPr>
                <w:rFonts w:ascii="Arial Narrow" w:hAnsi="Arial Narrow"/>
                <w:szCs w:val="20"/>
              </w:rPr>
              <w:t>recurrent</w:t>
            </w:r>
            <w:proofErr w:type="gramEnd"/>
            <w:r w:rsidRPr="008441FE">
              <w:rPr>
                <w:rFonts w:ascii="Arial Narrow" w:hAnsi="Arial Narrow"/>
                <w:szCs w:val="20"/>
              </w:rPr>
              <w:t xml:space="preserve"> or metastatic cervical cancer</w:t>
            </w:r>
            <w:r w:rsidR="008441FE" w:rsidRPr="008441FE">
              <w:rPr>
                <w:rFonts w:ascii="Arial Narrow" w:hAnsi="Arial Narrow"/>
                <w:szCs w:val="20"/>
              </w:rPr>
              <w:t>.</w:t>
            </w:r>
          </w:p>
          <w:p w14:paraId="19809728" w14:textId="04973154" w:rsidR="00D750CF" w:rsidRPr="008441FE" w:rsidRDefault="00D750CF" w:rsidP="008441FE">
            <w:pPr>
              <w:spacing w:before="0" w:after="0"/>
              <w:rPr>
                <w:rFonts w:ascii="Arial Narrow" w:hAnsi="Arial Narrow"/>
                <w:szCs w:val="20"/>
              </w:rPr>
            </w:pPr>
            <w:r w:rsidRPr="008441FE">
              <w:rPr>
                <w:rFonts w:ascii="Arial Narrow" w:hAnsi="Arial Narrow"/>
                <w:b/>
                <w:szCs w:val="20"/>
              </w:rPr>
              <w:t xml:space="preserve">Population: </w:t>
            </w:r>
            <w:r w:rsidRPr="008441FE">
              <w:rPr>
                <w:rFonts w:ascii="Arial Narrow" w:hAnsi="Arial Narrow"/>
                <w:szCs w:val="20"/>
              </w:rPr>
              <w:t xml:space="preserve">Patients with </w:t>
            </w:r>
            <w:r w:rsidR="008441FE" w:rsidRPr="008441FE">
              <w:rPr>
                <w:rFonts w:ascii="Arial Narrow" w:hAnsi="Arial Narrow"/>
                <w:szCs w:val="20"/>
              </w:rPr>
              <w:t xml:space="preserve">persistent, </w:t>
            </w:r>
            <w:proofErr w:type="gramStart"/>
            <w:r w:rsidR="008441FE" w:rsidRPr="008441FE">
              <w:rPr>
                <w:rFonts w:ascii="Arial Narrow" w:hAnsi="Arial Narrow"/>
                <w:szCs w:val="20"/>
              </w:rPr>
              <w:t>recurrent</w:t>
            </w:r>
            <w:proofErr w:type="gramEnd"/>
            <w:r w:rsidR="008441FE" w:rsidRPr="008441FE">
              <w:rPr>
                <w:rFonts w:ascii="Arial Narrow" w:hAnsi="Arial Narrow"/>
                <w:szCs w:val="20"/>
              </w:rPr>
              <w:t xml:space="preserve"> or metastatic cervical cancer</w:t>
            </w:r>
          </w:p>
          <w:p w14:paraId="153A8E6B" w14:textId="61F0AF04" w:rsidR="00355B06" w:rsidRPr="008441FE" w:rsidRDefault="00355B06" w:rsidP="008441FE">
            <w:pPr>
              <w:spacing w:before="0" w:after="0"/>
              <w:rPr>
                <w:rFonts w:ascii="Arial Narrow" w:hAnsi="Arial Narrow"/>
                <w:szCs w:val="20"/>
              </w:rPr>
            </w:pPr>
            <w:r w:rsidRPr="008441FE">
              <w:rPr>
                <w:rFonts w:ascii="Arial Narrow" w:hAnsi="Arial Narrow"/>
                <w:b/>
                <w:szCs w:val="20"/>
              </w:rPr>
              <w:t>Intervention:</w:t>
            </w:r>
            <w:r w:rsidRPr="008441FE">
              <w:rPr>
                <w:rFonts w:ascii="Arial Narrow" w:hAnsi="Arial Narrow"/>
                <w:szCs w:val="20"/>
              </w:rPr>
              <w:t xml:space="preserve"> Pembrolizumab </w:t>
            </w:r>
            <w:r w:rsidR="00D750CF" w:rsidRPr="008441FE">
              <w:rPr>
                <w:rFonts w:ascii="Arial Narrow" w:hAnsi="Arial Narrow"/>
                <w:szCs w:val="20"/>
              </w:rPr>
              <w:t>+ chemotherapy +/- bevacizumab</w:t>
            </w:r>
          </w:p>
          <w:p w14:paraId="33FA767C" w14:textId="4A50E794" w:rsidR="0075015C" w:rsidRPr="008441FE" w:rsidRDefault="0075015C" w:rsidP="008441FE">
            <w:pPr>
              <w:spacing w:before="0" w:after="0"/>
              <w:rPr>
                <w:rFonts w:ascii="Arial Narrow" w:hAnsi="Arial Narrow"/>
                <w:szCs w:val="20"/>
              </w:rPr>
            </w:pPr>
            <w:r w:rsidRPr="008441FE">
              <w:rPr>
                <w:rFonts w:ascii="Arial Narrow" w:hAnsi="Arial Narrow"/>
                <w:b/>
                <w:szCs w:val="20"/>
              </w:rPr>
              <w:t>Conclusion:</w:t>
            </w:r>
            <w:r w:rsidRPr="008441FE">
              <w:rPr>
                <w:rFonts w:ascii="Arial Narrow" w:hAnsi="Arial Narrow"/>
                <w:szCs w:val="20"/>
              </w:rPr>
              <w:t xml:space="preserve"> </w:t>
            </w:r>
            <w:r w:rsidR="003753AF" w:rsidRPr="008441FE">
              <w:rPr>
                <w:rFonts w:ascii="Arial Narrow" w:hAnsi="Arial Narrow"/>
                <w:szCs w:val="20"/>
              </w:rPr>
              <w:t>PFS and OS were significantly lower with pembrolizumab than with placebo among patients</w:t>
            </w:r>
            <w:r w:rsidR="00355B06" w:rsidRPr="008441FE">
              <w:rPr>
                <w:rFonts w:ascii="Arial Narrow" w:hAnsi="Arial Narrow"/>
                <w:szCs w:val="20"/>
              </w:rPr>
              <w:t xml:space="preserve"> (regardless of CPS score)</w:t>
            </w:r>
            <w:r w:rsidR="003753AF" w:rsidRPr="008441FE">
              <w:rPr>
                <w:rFonts w:ascii="Arial Narrow" w:hAnsi="Arial Narrow"/>
                <w:szCs w:val="20"/>
              </w:rPr>
              <w:t xml:space="preserve"> with persistent, recurrent, or metastatic cervical cancer</w:t>
            </w:r>
            <w:r w:rsidR="00355B06" w:rsidRPr="008441FE">
              <w:rPr>
                <w:rFonts w:ascii="Arial Narrow" w:hAnsi="Arial Narrow"/>
                <w:szCs w:val="20"/>
              </w:rPr>
              <w:t xml:space="preserve"> who were also receiving chemotherapy with or without bevacizumab.</w:t>
            </w:r>
          </w:p>
        </w:tc>
        <w:tc>
          <w:tcPr>
            <w:tcW w:w="1189" w:type="pct"/>
          </w:tcPr>
          <w:p w14:paraId="790601D5" w14:textId="68D60037" w:rsidR="00534AF8" w:rsidRPr="004C53CD" w:rsidRDefault="0058111C" w:rsidP="00DD308E">
            <w:pPr>
              <w:rPr>
                <w:rFonts w:ascii="Arial Narrow" w:hAnsi="Arial Narrow"/>
              </w:rPr>
            </w:pPr>
            <w:hyperlink r:id="rId15" w:history="1">
              <w:r w:rsidR="00534AF8" w:rsidRPr="004C53CD">
                <w:rPr>
                  <w:rStyle w:val="Hyperlink"/>
                  <w:rFonts w:ascii="Arial Narrow" w:hAnsi="Arial Narrow"/>
                </w:rPr>
                <w:t>https://www.nejm.org/doi/10.1056/NEJMoa2112435?url_ver=Z39.88-2003&amp;rfr_id=ori:rid:crossref.org&amp;rfr_dat=cr_pub%20%200pubmed</w:t>
              </w:r>
            </w:hyperlink>
          </w:p>
          <w:p w14:paraId="2AA0526F" w14:textId="51565BA1" w:rsidR="00534AF8" w:rsidRPr="004C53CD" w:rsidRDefault="00534AF8" w:rsidP="00DD308E">
            <w:pPr>
              <w:rPr>
                <w:rFonts w:ascii="Arial Narrow" w:hAnsi="Arial Narrow"/>
                <w:b/>
                <w:szCs w:val="20"/>
              </w:rPr>
            </w:pPr>
          </w:p>
        </w:tc>
        <w:tc>
          <w:tcPr>
            <w:tcW w:w="544" w:type="pct"/>
          </w:tcPr>
          <w:p w14:paraId="63872891" w14:textId="4BF907B8" w:rsidR="00DD308E" w:rsidRPr="004C53CD" w:rsidRDefault="0042186E" w:rsidP="00DD308E">
            <w:pPr>
              <w:rPr>
                <w:rFonts w:ascii="Arial Narrow" w:hAnsi="Arial Narrow"/>
                <w:b/>
                <w:szCs w:val="20"/>
              </w:rPr>
            </w:pPr>
            <w:r w:rsidRPr="004C53CD">
              <w:rPr>
                <w:rFonts w:ascii="Arial Narrow" w:hAnsi="Arial Narrow"/>
                <w:szCs w:val="20"/>
              </w:rPr>
              <w:t>November 2021</w:t>
            </w:r>
          </w:p>
        </w:tc>
      </w:tr>
    </w:tbl>
    <w:p w14:paraId="33F908F9" w14:textId="11DFDA65" w:rsidR="004C49EF" w:rsidRDefault="00643755" w:rsidP="00643755">
      <w:pPr>
        <w:pStyle w:val="Heading2"/>
      </w:pPr>
      <w:r w:rsidRPr="00643755">
        <w:t xml:space="preserve">Identify </w:t>
      </w:r>
      <w:r w:rsidRPr="00643755">
        <w:rPr>
          <w:u w:val="single"/>
        </w:rPr>
        <w:t>yet-to-be-published</w:t>
      </w:r>
      <w:r w:rsidRPr="00643755">
        <w:t xml:space="preserve"> research that may have results available </w:t>
      </w:r>
      <w:proofErr w:type="gramStart"/>
      <w:r w:rsidRPr="00643755">
        <w:t>in the near future</w:t>
      </w:r>
      <w:proofErr w:type="gramEnd"/>
      <w:r w:rsidRPr="00643755">
        <w:t xml:space="preserve"> (that could be relevant to your application). Do not attach full text a</w:t>
      </w:r>
      <w:r>
        <w:t>rticles; this is just a summary</w:t>
      </w:r>
      <w:r w:rsidR="004C49EF" w:rsidRPr="00643755">
        <w:rPr>
          <w:i/>
        </w:rPr>
        <w:t>.</w:t>
      </w:r>
    </w:p>
    <w:tbl>
      <w:tblPr>
        <w:tblStyle w:val="TableGrid"/>
        <w:tblW w:w="5000" w:type="pct"/>
        <w:tblLook w:val="04A0" w:firstRow="1" w:lastRow="0" w:firstColumn="1" w:lastColumn="0" w:noHBand="0" w:noVBand="1"/>
        <w:tblCaption w:val="Summary of Evidence - Yet to be Published"/>
      </w:tblPr>
      <w:tblGrid>
        <w:gridCol w:w="421"/>
        <w:gridCol w:w="2126"/>
        <w:gridCol w:w="3403"/>
        <w:gridCol w:w="3060"/>
        <w:gridCol w:w="2893"/>
        <w:gridCol w:w="2045"/>
      </w:tblGrid>
      <w:tr w:rsidR="004C49EF" w14:paraId="04F84696" w14:textId="77777777" w:rsidTr="005C15D6">
        <w:trPr>
          <w:cantSplit/>
          <w:tblHeader/>
        </w:trPr>
        <w:tc>
          <w:tcPr>
            <w:tcW w:w="151" w:type="pct"/>
          </w:tcPr>
          <w:p w14:paraId="73DA154A" w14:textId="77777777" w:rsidR="004C49EF" w:rsidRDefault="004C49EF" w:rsidP="00855944">
            <w:pPr>
              <w:pStyle w:val="TableHEADER"/>
            </w:pPr>
          </w:p>
        </w:tc>
        <w:tc>
          <w:tcPr>
            <w:tcW w:w="762" w:type="pct"/>
          </w:tcPr>
          <w:p w14:paraId="106FBA1D" w14:textId="368BD704" w:rsidR="004C49EF" w:rsidRDefault="004C49EF" w:rsidP="00855944">
            <w:pPr>
              <w:pStyle w:val="TableHEADER"/>
            </w:pPr>
            <w:r>
              <w:t>Type of study design</w:t>
            </w:r>
          </w:p>
        </w:tc>
        <w:tc>
          <w:tcPr>
            <w:tcW w:w="1220" w:type="pct"/>
          </w:tcPr>
          <w:p w14:paraId="29439253" w14:textId="2DC48A8C" w:rsidR="004C49EF" w:rsidRDefault="004C49EF" w:rsidP="00855944">
            <w:pPr>
              <w:pStyle w:val="TableHEADER"/>
            </w:pPr>
            <w:r>
              <w:t xml:space="preserve">Title of research </w:t>
            </w:r>
          </w:p>
        </w:tc>
        <w:tc>
          <w:tcPr>
            <w:tcW w:w="1097" w:type="pct"/>
          </w:tcPr>
          <w:p w14:paraId="20513EF0" w14:textId="7969F639" w:rsidR="004C49EF" w:rsidRDefault="00367C1B" w:rsidP="00855944">
            <w:pPr>
              <w:pStyle w:val="TableHEADER"/>
            </w:pPr>
            <w:r>
              <w:t xml:space="preserve">Short description of research </w:t>
            </w:r>
          </w:p>
        </w:tc>
        <w:tc>
          <w:tcPr>
            <w:tcW w:w="1037" w:type="pct"/>
          </w:tcPr>
          <w:p w14:paraId="67E84D49" w14:textId="32D972EF" w:rsidR="004C49EF" w:rsidRDefault="004C49EF" w:rsidP="00855944">
            <w:pPr>
              <w:pStyle w:val="TableHEADER"/>
            </w:pPr>
            <w:r w:rsidRPr="00E82F54">
              <w:t xml:space="preserve">Website link to </w:t>
            </w:r>
            <w:r>
              <w:t>research</w:t>
            </w:r>
          </w:p>
        </w:tc>
        <w:tc>
          <w:tcPr>
            <w:tcW w:w="733" w:type="pct"/>
          </w:tcPr>
          <w:p w14:paraId="55E9CA07" w14:textId="1CB909CC" w:rsidR="004C49EF" w:rsidRDefault="004C49EF" w:rsidP="00855944">
            <w:pPr>
              <w:pStyle w:val="TableHEADER"/>
            </w:pPr>
            <w:r w:rsidRPr="00E82F54">
              <w:t>Date</w:t>
            </w:r>
          </w:p>
        </w:tc>
      </w:tr>
      <w:tr w:rsidR="004C49EF" w14:paraId="3A2C254B" w14:textId="77777777" w:rsidTr="005C15D6">
        <w:trPr>
          <w:cantSplit/>
        </w:trPr>
        <w:tc>
          <w:tcPr>
            <w:tcW w:w="151" w:type="pct"/>
          </w:tcPr>
          <w:p w14:paraId="43B8AC61" w14:textId="77777777" w:rsidR="004C49EF" w:rsidRPr="00965B6B" w:rsidRDefault="004C49EF" w:rsidP="00526478">
            <w:pPr>
              <w:rPr>
                <w:szCs w:val="20"/>
              </w:rPr>
            </w:pPr>
            <w:r w:rsidRPr="00965B6B">
              <w:rPr>
                <w:szCs w:val="20"/>
              </w:rPr>
              <w:t>1</w:t>
            </w:r>
            <w:r>
              <w:rPr>
                <w:szCs w:val="20"/>
              </w:rPr>
              <w:t>.</w:t>
            </w:r>
          </w:p>
        </w:tc>
        <w:tc>
          <w:tcPr>
            <w:tcW w:w="762" w:type="pct"/>
          </w:tcPr>
          <w:p w14:paraId="1EB9CE72" w14:textId="0DD4FF2F" w:rsidR="004C49EF" w:rsidRPr="000D22DC" w:rsidRDefault="007C14BE" w:rsidP="00237D23">
            <w:pPr>
              <w:rPr>
                <w:szCs w:val="20"/>
              </w:rPr>
            </w:pPr>
            <w:r w:rsidRPr="000D22DC">
              <w:rPr>
                <w:szCs w:val="20"/>
              </w:rPr>
              <w:t>Concordance Study</w:t>
            </w:r>
            <w:r w:rsidR="00E94803" w:rsidRPr="000D22DC">
              <w:rPr>
                <w:szCs w:val="20"/>
              </w:rPr>
              <w:t xml:space="preserve"> </w:t>
            </w:r>
          </w:p>
        </w:tc>
        <w:tc>
          <w:tcPr>
            <w:tcW w:w="1220" w:type="pct"/>
          </w:tcPr>
          <w:p w14:paraId="5931B0A6" w14:textId="5E0D6E7D" w:rsidR="004C49EF" w:rsidRPr="000D22DC" w:rsidRDefault="00692064" w:rsidP="00526478">
            <w:pPr>
              <w:rPr>
                <w:szCs w:val="20"/>
              </w:rPr>
            </w:pPr>
            <w:r w:rsidRPr="000D22DC">
              <w:rPr>
                <w:szCs w:val="20"/>
              </w:rPr>
              <w:t xml:space="preserve">Analytical Comparison of a PD-L1 22C3 Antibody Laboratory-Developed Test Protocol on the Benchmark XT and PD-L1 IHC 22C3 </w:t>
            </w:r>
            <w:proofErr w:type="spellStart"/>
            <w:r w:rsidRPr="000D22DC">
              <w:rPr>
                <w:szCs w:val="20"/>
              </w:rPr>
              <w:t>pharmDx</w:t>
            </w:r>
            <w:proofErr w:type="spellEnd"/>
            <w:r w:rsidRPr="000D22DC">
              <w:rPr>
                <w:szCs w:val="20"/>
              </w:rPr>
              <w:t>:  Pan-</w:t>
            </w:r>
            <w:proofErr w:type="spellStart"/>
            <w:r w:rsidRPr="000D22DC">
              <w:rPr>
                <w:szCs w:val="20"/>
              </w:rPr>
              <w:t>Tumor</w:t>
            </w:r>
            <w:proofErr w:type="spellEnd"/>
            <w:r w:rsidRPr="000D22DC">
              <w:rPr>
                <w:szCs w:val="20"/>
              </w:rPr>
              <w:t xml:space="preserve"> and Triple-Negative Breast Cancer Samples</w:t>
            </w:r>
          </w:p>
        </w:tc>
        <w:tc>
          <w:tcPr>
            <w:tcW w:w="1097" w:type="pct"/>
          </w:tcPr>
          <w:p w14:paraId="6252A3D9" w14:textId="3CB9CE85" w:rsidR="004C49EF" w:rsidRPr="000D22DC" w:rsidRDefault="00EE6F01" w:rsidP="00526478">
            <w:pPr>
              <w:rPr>
                <w:szCs w:val="20"/>
              </w:rPr>
            </w:pPr>
            <w:r>
              <w:rPr>
                <w:szCs w:val="20"/>
              </w:rPr>
              <w:t>A study t</w:t>
            </w:r>
            <w:r w:rsidRPr="000D22DC">
              <w:rPr>
                <w:szCs w:val="20"/>
              </w:rPr>
              <w:t xml:space="preserve">o compare PD-L1 22C3 antibody–based LDT on the </w:t>
            </w:r>
            <w:proofErr w:type="spellStart"/>
            <w:r w:rsidRPr="000D22DC">
              <w:rPr>
                <w:szCs w:val="20"/>
              </w:rPr>
              <w:t>BenchMark</w:t>
            </w:r>
            <w:proofErr w:type="spellEnd"/>
            <w:r w:rsidRPr="000D22DC">
              <w:rPr>
                <w:szCs w:val="20"/>
              </w:rPr>
              <w:t xml:space="preserve"> XT platform with the gold standard PD-L1 IHC 22C3 </w:t>
            </w:r>
            <w:proofErr w:type="spellStart"/>
            <w:r w:rsidRPr="000D22DC">
              <w:rPr>
                <w:szCs w:val="20"/>
              </w:rPr>
              <w:t>pharmDx</w:t>
            </w:r>
            <w:proofErr w:type="spellEnd"/>
            <w:r w:rsidRPr="000D22DC">
              <w:rPr>
                <w:szCs w:val="20"/>
              </w:rPr>
              <w:t>, alone or together in a pan-</w:t>
            </w:r>
            <w:proofErr w:type="spellStart"/>
            <w:r w:rsidRPr="000D22DC">
              <w:rPr>
                <w:szCs w:val="20"/>
              </w:rPr>
              <w:t>tumor</w:t>
            </w:r>
            <w:proofErr w:type="spellEnd"/>
            <w:r w:rsidRPr="000D22DC">
              <w:rPr>
                <w:szCs w:val="20"/>
              </w:rPr>
              <w:t xml:space="preserve"> analysis, in patients with CC, ESCC, HNSCC, TNBC, or UC</w:t>
            </w:r>
          </w:p>
        </w:tc>
        <w:tc>
          <w:tcPr>
            <w:tcW w:w="1037" w:type="pct"/>
          </w:tcPr>
          <w:p w14:paraId="1764A9FB" w14:textId="05FD0EF3" w:rsidR="004C49EF" w:rsidRPr="000D22DC" w:rsidRDefault="007E6579" w:rsidP="00526478">
            <w:pPr>
              <w:rPr>
                <w:szCs w:val="20"/>
              </w:rPr>
            </w:pPr>
            <w:r>
              <w:rPr>
                <w:szCs w:val="20"/>
              </w:rPr>
              <w:t>Currently available as a poster and can be provided if needed.</w:t>
            </w:r>
          </w:p>
        </w:tc>
        <w:tc>
          <w:tcPr>
            <w:tcW w:w="733" w:type="pct"/>
          </w:tcPr>
          <w:p w14:paraId="0BD9B61D" w14:textId="18E1D54A" w:rsidR="004C49EF" w:rsidRPr="00C25957" w:rsidRDefault="005164D8" w:rsidP="00526478">
            <w:pPr>
              <w:rPr>
                <w:szCs w:val="20"/>
              </w:rPr>
            </w:pPr>
            <w:r>
              <w:rPr>
                <w:szCs w:val="20"/>
              </w:rPr>
              <w:t>Presented at SITC</w:t>
            </w:r>
            <w:r w:rsidR="003A00D7">
              <w:rPr>
                <w:szCs w:val="20"/>
              </w:rPr>
              <w:t xml:space="preserve"> November 2021</w:t>
            </w:r>
          </w:p>
        </w:tc>
      </w:tr>
    </w:tbl>
    <w:p w14:paraId="7CFC2C5B"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713EAD45"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0C8A26FB" w14:textId="77777777" w:rsidR="00E82F54" w:rsidRDefault="00E82F54" w:rsidP="00282B37">
      <w:pPr>
        <w:pStyle w:val="Heading2"/>
      </w:pPr>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p w14:paraId="65058765" w14:textId="77777777" w:rsidR="00CA7DCB" w:rsidRDefault="00CA7DCB" w:rsidP="00420DF0">
      <w:pPr>
        <w:spacing w:after="0"/>
        <w:ind w:left="360"/>
      </w:pPr>
      <w:r>
        <w:t xml:space="preserve">Royal College of Pathologists Australasia. </w:t>
      </w:r>
    </w:p>
    <w:p w14:paraId="2B0628DA" w14:textId="7FF13AD7" w:rsidR="00A727B6" w:rsidRPr="00A727B6" w:rsidRDefault="000510B2" w:rsidP="00D26BBC">
      <w:pPr>
        <w:spacing w:after="0"/>
        <w:ind w:left="360"/>
      </w:pPr>
      <w:r>
        <w:t>The statement of clinical relevance is n</w:t>
      </w:r>
      <w:r w:rsidR="000B3DAB">
        <w:t>ot applicable</w:t>
      </w:r>
      <w:r>
        <w:t xml:space="preserve">, </w:t>
      </w:r>
      <w:r w:rsidR="0048662B">
        <w:t>a</w:t>
      </w:r>
      <w:r w:rsidR="000B3DAB">
        <w:t xml:space="preserve">s MSAC has now recommended PD-L1 testing in relation to </w:t>
      </w:r>
      <w:r>
        <w:t>p</w:t>
      </w:r>
      <w:r w:rsidR="000B3DAB">
        <w:t xml:space="preserve">embrolizumab access for </w:t>
      </w:r>
      <w:r>
        <w:t>NSCLC</w:t>
      </w:r>
      <w:r w:rsidR="000B3DAB">
        <w:t>, the clinical relevance of the test has been determined.</w:t>
      </w:r>
    </w:p>
    <w:p w14:paraId="2659F97B"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w:t>
      </w:r>
      <w:proofErr w:type="gramStart"/>
      <w:r w:rsidR="00F93784">
        <w:t>i.e.</w:t>
      </w:r>
      <w:proofErr w:type="gramEnd"/>
      <w:r w:rsidR="00F93784">
        <w:t xml:space="preserve"> those who provide the comparator service)</w:t>
      </w:r>
      <w:r w:rsidR="00197D29">
        <w:t>:</w:t>
      </w:r>
    </w:p>
    <w:p w14:paraId="64C4A5B2" w14:textId="3176A378" w:rsidR="00EA173C" w:rsidRDefault="000B3DAB" w:rsidP="00A727B6">
      <w:pPr>
        <w:ind w:left="426"/>
      </w:pPr>
      <w:r>
        <w:t>See above.</w:t>
      </w:r>
    </w:p>
    <w:p w14:paraId="6715787A" w14:textId="7DE71928" w:rsidR="00E82F54" w:rsidRPr="00154B00" w:rsidRDefault="00E82F54" w:rsidP="00A75D46">
      <w:pPr>
        <w:pStyle w:val="Heading2"/>
      </w:pPr>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3DBBBFDB" w14:textId="0C80E81A" w:rsidR="00E82F54" w:rsidRDefault="00CC06C6" w:rsidP="00A727B6">
      <w:pPr>
        <w:ind w:left="426"/>
        <w:rPr>
          <w:szCs w:val="20"/>
        </w:rPr>
      </w:pPr>
      <w:r>
        <w:t>-</w:t>
      </w:r>
    </w:p>
    <w:p w14:paraId="66BBFEBC" w14:textId="77777777" w:rsidR="003433D1" w:rsidRDefault="003433D1" w:rsidP="00530204">
      <w:pPr>
        <w:pStyle w:val="Heading2"/>
      </w:pPr>
      <w:r>
        <w:t xml:space="preserve">List the relevant </w:t>
      </w:r>
      <w:r w:rsidRPr="00EE6450">
        <w:t>sponsor</w:t>
      </w:r>
      <w:r>
        <w:t xml:space="preserve">(s) and / or manufacturer(s) who produce </w:t>
      </w:r>
      <w:r w:rsidRPr="00282B37">
        <w:rPr>
          <w:u w:val="single"/>
        </w:rPr>
        <w:t>similar</w:t>
      </w:r>
      <w:r>
        <w:t xml:space="preserve"> products relevant </w:t>
      </w:r>
      <w:r w:rsidR="00197D29">
        <w:t>to the proposed medical service:</w:t>
      </w:r>
    </w:p>
    <w:p w14:paraId="55286BC1" w14:textId="2F69FB47" w:rsidR="00EE6450" w:rsidRDefault="000B3DAB" w:rsidP="00EE6450">
      <w:pPr>
        <w:ind w:left="426"/>
        <w:rPr>
          <w:szCs w:val="20"/>
        </w:rPr>
      </w:pPr>
      <w:r>
        <w:t>N/A</w:t>
      </w:r>
    </w:p>
    <w:p w14:paraId="37DDB937" w14:textId="7DD84ADC" w:rsidR="00A96329" w:rsidRPr="005739BA" w:rsidRDefault="00BA72E3" w:rsidP="00A96329">
      <w:pPr>
        <w:numPr>
          <w:ilvl w:val="0"/>
          <w:numId w:val="1"/>
        </w:numPr>
        <w:rPr>
          <w:b/>
          <w:szCs w:val="20"/>
        </w:rPr>
      </w:pPr>
      <w:r w:rsidRPr="00BA72E3">
        <w:rPr>
          <w:b/>
          <w:szCs w:val="20"/>
        </w:rPr>
        <w:t>Nominate two experts that can be contacted about the proposed medical service, and current clinical management of the condition</w:t>
      </w:r>
      <w:r>
        <w:rPr>
          <w:b/>
          <w:szCs w:val="20"/>
        </w:rPr>
        <w:t>:</w:t>
      </w:r>
    </w:p>
    <w:p w14:paraId="2E1446D4" w14:textId="338BF764" w:rsidR="00987ABE" w:rsidRPr="00CC06C6" w:rsidRDefault="00CC06C6" w:rsidP="005739BA">
      <w:pPr>
        <w:ind w:left="426"/>
        <w:rPr>
          <w:b/>
          <w:bCs/>
        </w:rPr>
      </w:pPr>
      <w:r w:rsidRPr="00CC06C6">
        <w:rPr>
          <w:b/>
          <w:bCs/>
          <w:szCs w:val="20"/>
        </w:rPr>
        <w:t>REDACTED</w:t>
      </w:r>
    </w:p>
    <w:p w14:paraId="683CA7B1" w14:textId="77777777" w:rsidR="00CC06C6" w:rsidRDefault="00CC06C6">
      <w:pPr>
        <w:spacing w:before="0" w:after="200" w:line="276" w:lineRule="auto"/>
        <w:rPr>
          <w:bCs/>
          <w:color w:val="4F81BD" w:themeColor="accent1"/>
          <w:sz w:val="40"/>
          <w:szCs w:val="32"/>
        </w:rPr>
      </w:pPr>
      <w:r>
        <w:br w:type="page"/>
      </w:r>
    </w:p>
    <w:p w14:paraId="39B3CDE4" w14:textId="33C002EA"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41EE6384" w14:textId="77777777" w:rsidR="0021185D" w:rsidRPr="005C3AE7" w:rsidRDefault="005C3AE7" w:rsidP="00CC06C6">
      <w:pPr>
        <w:pStyle w:val="Subtitle"/>
        <w:ind w:left="0"/>
      </w:pPr>
      <w:r w:rsidRPr="005C3AE7">
        <w:t xml:space="preserve">PART 6a – </w:t>
      </w:r>
      <w:r w:rsidR="0021185D" w:rsidRPr="005C3AE7">
        <w:t>INFORMATION ABOUT THE PROPOSED POPULATION</w:t>
      </w:r>
    </w:p>
    <w:p w14:paraId="716CA7ED"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A96329">
        <w:t>high level</w:t>
      </w:r>
      <w:proofErr w:type="gramEnd"/>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2974BF62" w14:textId="45F15FDF" w:rsidR="00CE3234" w:rsidRDefault="00C664FA" w:rsidP="00460653">
      <w:pPr>
        <w:ind w:left="426"/>
      </w:pPr>
      <w:r>
        <w:t xml:space="preserve">Cervical cancer occurs when there is abnormal cell growth in the lining of the cervix. </w:t>
      </w:r>
      <w:r w:rsidR="001E4E65">
        <w:t>T</w:t>
      </w:r>
      <w:r w:rsidR="00D04665">
        <w:t>he most common cervical cancer is squamous cell carcinoma</w:t>
      </w:r>
      <w:r w:rsidR="00BC0DC2">
        <w:t xml:space="preserve"> (SCC)</w:t>
      </w:r>
      <w:r w:rsidR="00FE6553">
        <w:t>,</w:t>
      </w:r>
      <w:r w:rsidR="00D04665">
        <w:t xml:space="preserve"> </w:t>
      </w:r>
      <w:r w:rsidR="008718E1">
        <w:t>which accounts for 70% of cases</w:t>
      </w:r>
      <w:r w:rsidR="001E4E65">
        <w:t xml:space="preserve"> in Australia</w:t>
      </w:r>
      <w:r w:rsidR="00A13807">
        <w:rPr>
          <w:rStyle w:val="FootnoteReference"/>
        </w:rPr>
        <w:footnoteReference w:id="2"/>
      </w:r>
      <w:r w:rsidR="00A151F0">
        <w:t>.</w:t>
      </w:r>
      <w:r w:rsidR="00CB382D">
        <w:t xml:space="preserve"> </w:t>
      </w:r>
      <w:r w:rsidR="00BE647F">
        <w:t>This is</w:t>
      </w:r>
      <w:r w:rsidR="008718E1">
        <w:t xml:space="preserve"> followed by adenocarcinoma and </w:t>
      </w:r>
      <w:proofErr w:type="spellStart"/>
      <w:r w:rsidR="008C2EB8">
        <w:t>adenosquamous</w:t>
      </w:r>
      <w:proofErr w:type="spellEnd"/>
      <w:r w:rsidR="008C2EB8">
        <w:t xml:space="preserve"> carcinoma</w:t>
      </w:r>
      <w:r w:rsidR="00BE647F">
        <w:t>,</w:t>
      </w:r>
      <w:r w:rsidR="00CA3187">
        <w:t xml:space="preserve"> respectively</w:t>
      </w:r>
      <w:r w:rsidR="00BE647F">
        <w:t xml:space="preserve"> making up 25% and </w:t>
      </w:r>
      <w:r w:rsidR="008C2EB8">
        <w:t>3% to 5%</w:t>
      </w:r>
      <w:r w:rsidR="00BE647F">
        <w:t xml:space="preserve"> of cases</w:t>
      </w:r>
      <w:r w:rsidR="00334076">
        <w:rPr>
          <w:vertAlign w:val="superscript"/>
        </w:rPr>
        <w:t xml:space="preserve">1, </w:t>
      </w:r>
      <w:r w:rsidR="00A13807">
        <w:rPr>
          <w:rStyle w:val="FootnoteReference"/>
        </w:rPr>
        <w:footnoteReference w:id="3"/>
      </w:r>
      <w:r w:rsidR="00A151F0">
        <w:t>.</w:t>
      </w:r>
      <w:r w:rsidR="00CB382D">
        <w:t xml:space="preserve"> </w:t>
      </w:r>
      <w:r w:rsidR="00FF0189">
        <w:t>I</w:t>
      </w:r>
      <w:r w:rsidR="00C23801">
        <w:t>t is estimated that in</w:t>
      </w:r>
      <w:r w:rsidR="00FF0189">
        <w:t xml:space="preserve"> 2021, there </w:t>
      </w:r>
      <w:r w:rsidR="00C23801">
        <w:t>will be</w:t>
      </w:r>
      <w:r w:rsidR="00FF0189">
        <w:t xml:space="preserve"> approximately 913 c</w:t>
      </w:r>
      <w:r w:rsidR="001460CC">
        <w:t>ases of cervical cancer diagnosed</w:t>
      </w:r>
      <w:r w:rsidR="00E36F7F">
        <w:t xml:space="preserve"> in Australia</w:t>
      </w:r>
      <w:r w:rsidR="000343E6">
        <w:t xml:space="preserve"> resulting in 273 deaths</w:t>
      </w:r>
      <w:r w:rsidR="002B044A">
        <w:rPr>
          <w:rStyle w:val="FootnoteReference"/>
        </w:rPr>
        <w:footnoteReference w:id="4"/>
      </w:r>
      <w:r w:rsidR="005B2C80">
        <w:t>.</w:t>
      </w:r>
      <w:r w:rsidR="00460653">
        <w:t xml:space="preserve"> </w:t>
      </w:r>
      <w:r w:rsidR="00DC1831">
        <w:t xml:space="preserve">Cervical cancer can occur in women, transgender men, intersex </w:t>
      </w:r>
      <w:proofErr w:type="gramStart"/>
      <w:r w:rsidR="00DC1831">
        <w:t>people</w:t>
      </w:r>
      <w:proofErr w:type="gramEnd"/>
      <w:r w:rsidR="00DC1831">
        <w:t xml:space="preserve"> and non-binary people</w:t>
      </w:r>
      <w:r w:rsidR="009900B5">
        <w:t xml:space="preserve"> and most commonly occurs </w:t>
      </w:r>
      <w:r w:rsidR="00C36421">
        <w:t xml:space="preserve">between the </w:t>
      </w:r>
      <w:r w:rsidR="009900B5">
        <w:t>ages</w:t>
      </w:r>
      <w:r w:rsidR="00C36421">
        <w:t xml:space="preserve"> of</w:t>
      </w:r>
      <w:r w:rsidR="009900B5">
        <w:t xml:space="preserve"> </w:t>
      </w:r>
      <w:r w:rsidR="00263178">
        <w:t>30-49</w:t>
      </w:r>
      <w:r w:rsidR="00C36421">
        <w:t xml:space="preserve"> year</w:t>
      </w:r>
      <w:r w:rsidR="009A1A9F">
        <w:t>s</w:t>
      </w:r>
      <w:r w:rsidR="005B2C80">
        <w:t>.</w:t>
      </w:r>
      <w:r w:rsidR="009900B5">
        <w:t xml:space="preserve"> </w:t>
      </w:r>
    </w:p>
    <w:p w14:paraId="12F3B29A" w14:textId="36A436D5" w:rsidR="00317CD5" w:rsidRDefault="00A77010" w:rsidP="00F27CCD">
      <w:pPr>
        <w:ind w:left="426"/>
      </w:pPr>
      <w:r>
        <w:t>Nearly all cervical cancers are caused by a h</w:t>
      </w:r>
      <w:r w:rsidR="00497616">
        <w:t xml:space="preserve">uman papillomavirus </w:t>
      </w:r>
      <w:r>
        <w:t>infection (HPV). HPV is a common virus that is spread by genital skin-to-skin contact during sexual activity</w:t>
      </w:r>
      <w:r w:rsidR="008523B0">
        <w:t>.</w:t>
      </w:r>
      <w:r w:rsidR="00734368">
        <w:t xml:space="preserve"> </w:t>
      </w:r>
      <w:r w:rsidR="005E45F1">
        <w:t>This is a major risk factor of cervical cancer, along with smoking</w:t>
      </w:r>
      <w:r w:rsidR="00F75A3B">
        <w:t>,</w:t>
      </w:r>
      <w:r>
        <w:t xml:space="preserve"> lack of regular cervical screening tests,</w:t>
      </w:r>
      <w:r w:rsidR="00F75A3B">
        <w:t xml:space="preserve"> a weakened immune system</w:t>
      </w:r>
      <w:r w:rsidR="00263178">
        <w:t>,</w:t>
      </w:r>
      <w:r w:rsidR="00CB382D">
        <w:t xml:space="preserve"> women who have taken the oral contraceptive pill for 5 years of more</w:t>
      </w:r>
      <w:r w:rsidR="00263178">
        <w:t xml:space="preserve"> and unvaccinated women</w:t>
      </w:r>
      <w:r w:rsidR="008523B0">
        <w:rPr>
          <w:vertAlign w:val="superscript"/>
        </w:rPr>
        <w:t>1</w:t>
      </w:r>
      <w:r w:rsidR="008523B0">
        <w:t>.</w:t>
      </w:r>
      <w:r w:rsidR="0034611C">
        <w:t xml:space="preserve"> </w:t>
      </w:r>
      <w:r w:rsidR="00790D50">
        <w:t xml:space="preserve">Some common </w:t>
      </w:r>
      <w:r w:rsidR="00EA69E3">
        <w:t>symptoms of cervical cancer</w:t>
      </w:r>
      <w:r w:rsidR="009E54FB">
        <w:t xml:space="preserve"> include vaginal bleeding, </w:t>
      </w:r>
      <w:r>
        <w:t>pain during sex</w:t>
      </w:r>
      <w:r w:rsidR="00E93F26">
        <w:t xml:space="preserve">, </w:t>
      </w:r>
      <w:r>
        <w:t>and unusual vaginal discharge</w:t>
      </w:r>
      <w:r w:rsidR="008523B0">
        <w:rPr>
          <w:vertAlign w:val="superscript"/>
        </w:rPr>
        <w:t>1</w:t>
      </w:r>
      <w:r w:rsidR="008523B0">
        <w:t>.</w:t>
      </w:r>
      <w:r w:rsidR="005C3C76">
        <w:t xml:space="preserve"> </w:t>
      </w:r>
      <w:r w:rsidR="00515B88">
        <w:t xml:space="preserve">Whilst there is </w:t>
      </w:r>
      <w:r w:rsidR="009A1A9F">
        <w:t>a National Cervical Screening Program</w:t>
      </w:r>
      <w:r w:rsidR="00524AA6">
        <w:t xml:space="preserve"> and a successful national </w:t>
      </w:r>
      <w:r w:rsidR="00A92D34">
        <w:t>HPV vaccination program</w:t>
      </w:r>
      <w:r w:rsidR="009A1A9F">
        <w:t xml:space="preserve">, there is still a substantial number of </w:t>
      </w:r>
      <w:r w:rsidR="005E1557">
        <w:t xml:space="preserve">diagnosed cervical cancer </w:t>
      </w:r>
      <w:r w:rsidR="009A1A9F">
        <w:t>cases within the Australian population.</w:t>
      </w:r>
    </w:p>
    <w:p w14:paraId="592663A5" w14:textId="21DC13D1" w:rsidR="002B044A" w:rsidRDefault="00A77010" w:rsidP="000343E6">
      <w:pPr>
        <w:ind w:left="426"/>
      </w:pPr>
      <w:r>
        <w:t xml:space="preserve">Worldwide, cervical cancer is the fourth most common cancer affecting </w:t>
      </w:r>
      <w:r w:rsidR="000343E6">
        <w:t>women and is estimated to affect 6.6 Australian women per 100,000</w:t>
      </w:r>
      <w:r w:rsidR="000343E6">
        <w:rPr>
          <w:vertAlign w:val="superscript"/>
        </w:rPr>
        <w:t>3</w:t>
      </w:r>
      <w:r w:rsidR="000343E6">
        <w:t>. However, it should be noted that the</w:t>
      </w:r>
      <w:r w:rsidR="001418D4">
        <w:t xml:space="preserve"> </w:t>
      </w:r>
      <w:r w:rsidR="002B044A">
        <w:t xml:space="preserve">incidence </w:t>
      </w:r>
      <w:r w:rsidR="000343E6">
        <w:t>of cervical cancer</w:t>
      </w:r>
      <w:r w:rsidR="009E66FD">
        <w:t xml:space="preserve"> </w:t>
      </w:r>
      <w:r w:rsidR="00024604">
        <w:t>is inequitably</w:t>
      </w:r>
      <w:r w:rsidR="0041439E">
        <w:t xml:space="preserve"> distributed</w:t>
      </w:r>
      <w:r w:rsidR="009E66FD">
        <w:t xml:space="preserve"> across Australia with it being</w:t>
      </w:r>
      <w:r w:rsidR="000343E6">
        <w:t xml:space="preserve"> </w:t>
      </w:r>
      <w:r w:rsidR="006D29D0">
        <w:t xml:space="preserve">numerically </w:t>
      </w:r>
      <w:r w:rsidR="000343E6">
        <w:t>significantly</w:t>
      </w:r>
      <w:r w:rsidR="001418D4">
        <w:t xml:space="preserve"> higher in remote and very remote areas</w:t>
      </w:r>
      <w:r w:rsidR="002B044A">
        <w:t>, respectively affecting 9.4 and 11.7 Australian women per 100,000</w:t>
      </w:r>
      <w:r w:rsidR="002B044A">
        <w:rPr>
          <w:rStyle w:val="FootnoteReference"/>
        </w:rPr>
        <w:footnoteReference w:id="5"/>
      </w:r>
      <w:r w:rsidR="002B044A">
        <w:t>.</w:t>
      </w:r>
      <w:r w:rsidR="009E66FD">
        <w:t xml:space="preserve"> </w:t>
      </w:r>
      <w:r w:rsidR="00263178">
        <w:t xml:space="preserve">The disparity in health outcomes between Indigenous and non-Indigenous Australians is exemplified by cervical cancer. The most recent national estimate of age-standardised cervical cancer incidence rate was 14.5 and 6.4 per 100,000 </w:t>
      </w:r>
      <w:r w:rsidR="008C04D7">
        <w:t>in Indigenous and non-Indigenous women respectively. The Indigenous age-standardised mortality rate was 6.8 per 100,000, four times higher than the non-Indigenous rate.</w:t>
      </w:r>
    </w:p>
    <w:p w14:paraId="4885004E" w14:textId="6E66797C" w:rsidR="006D29D0" w:rsidRDefault="0065304A" w:rsidP="00A82836">
      <w:pPr>
        <w:ind w:left="426"/>
      </w:pPr>
      <w:r>
        <w:t>Early-stage</w:t>
      </w:r>
      <w:r w:rsidR="00B35FF6">
        <w:t xml:space="preserve"> cervical cancer is treatable, however </w:t>
      </w:r>
      <w:r>
        <w:t>due to</w:t>
      </w:r>
      <w:r w:rsidR="0020363A">
        <w:t xml:space="preserve"> </w:t>
      </w:r>
      <w:r w:rsidR="003E2EBC">
        <w:t xml:space="preserve">low rates of </w:t>
      </w:r>
      <w:r w:rsidR="00787815">
        <w:t>HPV screening,</w:t>
      </w:r>
      <w:r w:rsidR="000D5445" w:rsidRPr="000D5445">
        <w:t xml:space="preserve"> </w:t>
      </w:r>
      <w:r w:rsidR="000D5445">
        <w:t>between 2018-2020 only 55.7%</w:t>
      </w:r>
      <w:r w:rsidR="000D5445">
        <w:rPr>
          <w:vertAlign w:val="superscript"/>
        </w:rPr>
        <w:t>5</w:t>
      </w:r>
      <w:r w:rsidR="000D5445">
        <w:t xml:space="preserve"> of the target population participated in the </w:t>
      </w:r>
      <w:r w:rsidR="00613FB9">
        <w:t>screening program,</w:t>
      </w:r>
      <w:r w:rsidR="00787815">
        <w:t xml:space="preserve"> </w:t>
      </w:r>
      <w:r w:rsidR="000D5445">
        <w:t>women are being diagnosed at later stages.</w:t>
      </w:r>
      <w:r w:rsidR="0067795D">
        <w:t xml:space="preserve"> </w:t>
      </w:r>
      <w:r w:rsidR="00E66F46" w:rsidRPr="00E66F46">
        <w:t>In 2013-2017,</w:t>
      </w:r>
      <w:r w:rsidR="00E66F46">
        <w:t xml:space="preserve"> individuals diagnosed with cervical cancer had a 5-year relative survival rate of 74%</w:t>
      </w:r>
      <w:r w:rsidR="00E66F46">
        <w:rPr>
          <w:rStyle w:val="FootnoteReference"/>
        </w:rPr>
        <w:footnoteReference w:id="6"/>
      </w:r>
      <w:r w:rsidR="00E66F46">
        <w:t>. However, those diagnosed with advanced diseased had a survival rate of</w:t>
      </w:r>
      <w:r w:rsidR="001F16AB">
        <w:t xml:space="preserve"> just</w:t>
      </w:r>
      <w:r w:rsidR="00E66F46">
        <w:t xml:space="preserve"> 18%</w:t>
      </w:r>
      <w:r w:rsidR="00E66F46">
        <w:rPr>
          <w:rStyle w:val="FootnoteReference"/>
        </w:rPr>
        <w:footnoteReference w:id="7"/>
      </w:r>
      <w:r w:rsidR="00E66F46">
        <w:t>.</w:t>
      </w:r>
      <w:r w:rsidR="00AB227E">
        <w:t xml:space="preserve"> This highlights not only the importance of screening and early intervention, but also the high unmet clinical need that exists for those women who </w:t>
      </w:r>
      <w:r w:rsidR="00727118">
        <w:t>are diagnosed with advanced disease.</w:t>
      </w:r>
    </w:p>
    <w:p w14:paraId="311A44DF" w14:textId="77777777" w:rsidR="00CC06C6" w:rsidRDefault="00CC06C6">
      <w:pPr>
        <w:spacing w:before="0" w:after="200" w:line="276" w:lineRule="auto"/>
        <w:rPr>
          <w:b/>
          <w:szCs w:val="20"/>
        </w:rPr>
      </w:pPr>
      <w:r>
        <w:br w:type="page"/>
      </w:r>
    </w:p>
    <w:p w14:paraId="0AEAF12E" w14:textId="47D42849" w:rsidR="00AA5FDA" w:rsidRPr="00154B00" w:rsidRDefault="00E95FE2" w:rsidP="00E95FE2">
      <w:pPr>
        <w:pStyle w:val="Heading2"/>
        <w:spacing w:before="0" w:after="200" w:line="276" w:lineRule="auto"/>
      </w:pPr>
      <w:r>
        <w:lastRenderedPageBreak/>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be investigated, </w:t>
      </w:r>
      <w:proofErr w:type="gramStart"/>
      <w:r w:rsidRPr="00154B00">
        <w:t>managed</w:t>
      </w:r>
      <w:proofErr w:type="gramEnd"/>
      <w:r w:rsidRPr="00154B00">
        <w:t xml:space="preserve"> and referred within the Australian health care system</w:t>
      </w:r>
      <w:r>
        <w:t>,</w:t>
      </w:r>
      <w:r w:rsidRPr="00154B00">
        <w:t xml:space="preserve"> in the lead up to being eligible for the service</w:t>
      </w:r>
      <w:r>
        <w:t>):</w:t>
      </w:r>
    </w:p>
    <w:p w14:paraId="6056FD6E" w14:textId="44795130" w:rsidR="00EA3ABE" w:rsidRDefault="00EA3ABE" w:rsidP="008B08F5">
      <w:pPr>
        <w:ind w:left="360"/>
      </w:pPr>
      <w:r>
        <w:t>In</w:t>
      </w:r>
      <w:r w:rsidRPr="00027A17">
        <w:t xml:space="preserve"> </w:t>
      </w:r>
      <w:r>
        <w:t xml:space="preserve">the management </w:t>
      </w:r>
      <w:r w:rsidRPr="004B3FAF">
        <w:t xml:space="preserve">of </w:t>
      </w:r>
      <w:r>
        <w:rPr>
          <w:rFonts w:cstheme="minorHAnsi"/>
        </w:rPr>
        <w:t xml:space="preserve">persistent, </w:t>
      </w:r>
      <w:proofErr w:type="gramStart"/>
      <w:r>
        <w:rPr>
          <w:rFonts w:cstheme="minorHAnsi"/>
        </w:rPr>
        <w:t>recurrent</w:t>
      </w:r>
      <w:proofErr w:type="gramEnd"/>
      <w:r>
        <w:rPr>
          <w:rFonts w:cstheme="minorHAnsi"/>
        </w:rPr>
        <w:t xml:space="preserve"> or metastatic cervical cancer,</w:t>
      </w:r>
      <w:r w:rsidRPr="000527DB">
        <w:t xml:space="preserve"> </w:t>
      </w:r>
      <w:r w:rsidR="00D5216F">
        <w:rPr>
          <w:rFonts w:cstheme="minorHAnsi"/>
        </w:rPr>
        <w:t>the</w:t>
      </w:r>
      <w:r w:rsidRPr="000527DB">
        <w:t xml:space="preserve"> taking </w:t>
      </w:r>
      <w:r w:rsidR="00202DEB">
        <w:t>of</w:t>
      </w:r>
      <w:r w:rsidRPr="000527DB">
        <w:t xml:space="preserve"> biopsy specimens is currently part of standard practice and diagnostic work-up.</w:t>
      </w:r>
      <w:r w:rsidRPr="00FF6A86">
        <w:t xml:space="preserve"> </w:t>
      </w:r>
      <w:r w:rsidRPr="00AE26DA">
        <w:t xml:space="preserve">It is proposed that PD-L1 expression testing can be carried out on the tissue sample when a patient is </w:t>
      </w:r>
      <w:r w:rsidR="00DF2797">
        <w:t>diagnosed with</w:t>
      </w:r>
      <w:r w:rsidRPr="00AE26DA">
        <w:t xml:space="preserve"> </w:t>
      </w:r>
      <w:r>
        <w:t xml:space="preserve">recurrent, </w:t>
      </w:r>
      <w:proofErr w:type="gramStart"/>
      <w:r>
        <w:t>persistent</w:t>
      </w:r>
      <w:proofErr w:type="gramEnd"/>
      <w:r>
        <w:t xml:space="preserve"> or metastatic disease</w:t>
      </w:r>
      <w:r w:rsidRPr="00AE26DA">
        <w:t xml:space="preserve">.  As part of standard practice, patients with </w:t>
      </w:r>
      <w:r>
        <w:t>advanced disease</w:t>
      </w:r>
      <w:r w:rsidRPr="00AE26DA">
        <w:t xml:space="preserve"> would have had a biopsy taken as part of initial diagnosis </w:t>
      </w:r>
      <w:r w:rsidR="008B08F5">
        <w:t>(See F</w:t>
      </w:r>
      <w:r w:rsidR="00E2184B">
        <w:t xml:space="preserve">igure 1 below) </w:t>
      </w:r>
      <w:r w:rsidRPr="00AE26DA">
        <w:t xml:space="preserve">and use of their archival sample </w:t>
      </w:r>
      <w:r w:rsidR="007A6F34">
        <w:t>is</w:t>
      </w:r>
      <w:r w:rsidRPr="00AE26DA">
        <w:t xml:space="preserve"> acceptable for assessing PD-L1 expression</w:t>
      </w:r>
      <w:r w:rsidR="007A6F34">
        <w:t>, as per the clinical trial</w:t>
      </w:r>
      <w:r w:rsidRPr="00AE26DA">
        <w:t xml:space="preserve">.  </w:t>
      </w:r>
      <w:r w:rsidR="005564AC">
        <w:t>Alternatively, for patients that did not have testing at diagnosis or do not have archival tissue samples available, newly obtained tissue would be used for immunohistochemical testing with the PD-L1 antibody.</w:t>
      </w:r>
    </w:p>
    <w:p w14:paraId="7F84FCD0" w14:textId="1DA8C8CA" w:rsidR="00E2184B" w:rsidRPr="00E2184B" w:rsidRDefault="00E2184B" w:rsidP="00E2184B">
      <w:pPr>
        <w:pStyle w:val="Caption"/>
        <w:keepNext/>
        <w:rPr>
          <w:b/>
          <w:i w:val="0"/>
          <w:color w:val="auto"/>
        </w:rPr>
      </w:pPr>
      <w:r w:rsidRPr="00E2184B">
        <w:rPr>
          <w:b/>
          <w:i w:val="0"/>
          <w:color w:val="auto"/>
        </w:rPr>
        <w:t xml:space="preserve">Figure </w:t>
      </w:r>
      <w:r w:rsidRPr="00E2184B">
        <w:rPr>
          <w:b/>
          <w:i w:val="0"/>
          <w:color w:val="auto"/>
        </w:rPr>
        <w:fldChar w:fldCharType="begin"/>
      </w:r>
      <w:r w:rsidRPr="00E2184B">
        <w:rPr>
          <w:b/>
          <w:i w:val="0"/>
          <w:color w:val="auto"/>
        </w:rPr>
        <w:instrText xml:space="preserve"> SEQ Figure \* ARABIC </w:instrText>
      </w:r>
      <w:r w:rsidRPr="00E2184B">
        <w:rPr>
          <w:b/>
          <w:i w:val="0"/>
          <w:color w:val="auto"/>
        </w:rPr>
        <w:fldChar w:fldCharType="separate"/>
      </w:r>
      <w:r w:rsidR="00FC077E">
        <w:rPr>
          <w:b/>
          <w:i w:val="0"/>
          <w:noProof/>
          <w:color w:val="auto"/>
        </w:rPr>
        <w:t>1</w:t>
      </w:r>
      <w:r w:rsidRPr="00E2184B">
        <w:rPr>
          <w:b/>
          <w:i w:val="0"/>
          <w:color w:val="auto"/>
        </w:rPr>
        <w:fldChar w:fldCharType="end"/>
      </w:r>
      <w:r w:rsidRPr="00E2184B">
        <w:rPr>
          <w:b/>
          <w:i w:val="0"/>
          <w:color w:val="auto"/>
        </w:rPr>
        <w:t xml:space="preserve"> Sequence of investigations for cervical cancer</w:t>
      </w:r>
    </w:p>
    <w:p w14:paraId="2F5C4EB3" w14:textId="09BC0483" w:rsidR="00E2184B" w:rsidRDefault="00E2184B" w:rsidP="00D421B7">
      <w:pPr>
        <w:spacing w:after="0"/>
        <w:ind w:left="360"/>
      </w:pPr>
      <w:r w:rsidRPr="00E2184B">
        <w:rPr>
          <w:noProof/>
        </w:rPr>
        <w:drawing>
          <wp:inline distT="0" distB="0" distL="0" distR="0" wp14:anchorId="0D05CDCA" wp14:editId="23AB7483">
            <wp:extent cx="5105400" cy="2980318"/>
            <wp:effectExtent l="0" t="0" r="0" b="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cture"/>
                    <pic:cNvPicPr/>
                  </pic:nvPicPr>
                  <pic:blipFill>
                    <a:blip r:embed="rId16"/>
                    <a:stretch>
                      <a:fillRect/>
                    </a:stretch>
                  </pic:blipFill>
                  <pic:spPr>
                    <a:xfrm>
                      <a:off x="0" y="0"/>
                      <a:ext cx="5109986" cy="2982995"/>
                    </a:xfrm>
                    <a:prstGeom prst="rect">
                      <a:avLst/>
                    </a:prstGeom>
                  </pic:spPr>
                </pic:pic>
              </a:graphicData>
            </a:graphic>
          </wp:inline>
        </w:drawing>
      </w:r>
    </w:p>
    <w:p w14:paraId="4E4E8A3D" w14:textId="6DA703E2" w:rsidR="00E2184B" w:rsidRPr="00D96EF3" w:rsidRDefault="00D421B7" w:rsidP="00D421B7">
      <w:pPr>
        <w:pStyle w:val="NoSpacing"/>
        <w:rPr>
          <w:sz w:val="18"/>
          <w:szCs w:val="18"/>
        </w:rPr>
      </w:pPr>
      <w:r w:rsidRPr="00D96EF3">
        <w:rPr>
          <w:sz w:val="18"/>
          <w:szCs w:val="18"/>
        </w:rPr>
        <w:t xml:space="preserve">Source: </w:t>
      </w:r>
      <w:r w:rsidR="00D96EF3" w:rsidRPr="00D96EF3">
        <w:rPr>
          <w:sz w:val="18"/>
          <w:szCs w:val="18"/>
        </w:rPr>
        <w:t>Optimal care pathway for women with cervical cancer, Figure 3, p. 17</w:t>
      </w:r>
    </w:p>
    <w:p w14:paraId="2D4389D6" w14:textId="77777777" w:rsidR="002A50FD" w:rsidRPr="00881F93" w:rsidRDefault="005C3AE7" w:rsidP="00CC06C6">
      <w:pPr>
        <w:pStyle w:val="Subtitle"/>
        <w:ind w:left="0"/>
      </w:pPr>
      <w:r>
        <w:t xml:space="preserve">PART 6b – </w:t>
      </w:r>
      <w:r w:rsidR="002A50FD" w:rsidRPr="00881F93">
        <w:t>INFORMATION ABOUT THE INTERVENTION</w:t>
      </w:r>
    </w:p>
    <w:p w14:paraId="130BB215" w14:textId="508AEAF1"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5528953D" w14:textId="58648A34" w:rsidR="0087256B" w:rsidRPr="00554EBE" w:rsidRDefault="0087256B" w:rsidP="0087256B">
      <w:pPr>
        <w:ind w:left="360"/>
      </w:pPr>
      <w:r w:rsidRPr="003A33EC">
        <w:t xml:space="preserve">As IHC testing is a common procedure, it is proposed that PD-L1 IHC testing be carried out in any pathology laboratory holding the appropriate accreditation to claim pathology services through </w:t>
      </w:r>
      <w:r>
        <w:t>the MBS.</w:t>
      </w:r>
      <w:r w:rsidRPr="00351038">
        <w:t xml:space="preserve"> </w:t>
      </w:r>
      <w:r>
        <w:t xml:space="preserve">While kits are available, they can only be performed on the </w:t>
      </w:r>
      <w:proofErr w:type="spellStart"/>
      <w:r>
        <w:t>Dako</w:t>
      </w:r>
      <w:proofErr w:type="spellEnd"/>
      <w:r>
        <w:t xml:space="preserve">/Agilent platform. However, antibodies can be validated on alternate platforms and MSD has </w:t>
      </w:r>
      <w:r w:rsidR="00CB7FBB">
        <w:t>previously</w:t>
      </w:r>
      <w:r w:rsidR="00CB7FBB" w:rsidRPr="00470DF9">
        <w:t xml:space="preserve"> </w:t>
      </w:r>
      <w:r>
        <w:t xml:space="preserve">developed protocols for this validation process.  </w:t>
      </w:r>
    </w:p>
    <w:p w14:paraId="10F225D2" w14:textId="77777777" w:rsidR="0087256B" w:rsidRPr="008B08F5" w:rsidRDefault="0087256B" w:rsidP="0087256B">
      <w:pPr>
        <w:ind w:left="360"/>
        <w:rPr>
          <w:szCs w:val="20"/>
        </w:rPr>
      </w:pPr>
      <w:r>
        <w:rPr>
          <w:szCs w:val="20"/>
        </w:rPr>
        <w:t>The testing would be performed by a pathologist, and it is proposed that the test is a pathologist determinable test. The test would enable identification of those patients most likely to benefit from first line treatment with pembrolizumab in combination with chemotherapy +/- bevacizumab.</w:t>
      </w:r>
    </w:p>
    <w:p w14:paraId="7ABE8437" w14:textId="77777777" w:rsidR="00C4306D" w:rsidRDefault="00BD35F0" w:rsidP="00447924">
      <w:pPr>
        <w:ind w:left="360"/>
      </w:pPr>
      <w:r w:rsidRPr="002803F8">
        <w:t xml:space="preserve">The PD-L1 assay that will be used during the pembrolizumab </w:t>
      </w:r>
      <w:r w:rsidR="00FA0F47">
        <w:t>cervical cancer</w:t>
      </w:r>
      <w:r>
        <w:t xml:space="preserve"> </w:t>
      </w:r>
      <w:r w:rsidRPr="002803F8">
        <w:t xml:space="preserve">clinical development program is known as the PD-L1 IHC 22C3 </w:t>
      </w:r>
      <w:proofErr w:type="spellStart"/>
      <w:r w:rsidRPr="002803F8">
        <w:t>pharmDx</w:t>
      </w:r>
      <w:proofErr w:type="spellEnd"/>
      <w:r w:rsidRPr="002803F8">
        <w:t xml:space="preserve"> Market Ready Assay (</w:t>
      </w:r>
      <w:r w:rsidRPr="00BD3C83">
        <w:t xml:space="preserve">developed by </w:t>
      </w:r>
      <w:proofErr w:type="spellStart"/>
      <w:r w:rsidRPr="00BD3C83">
        <w:t>Dako</w:t>
      </w:r>
      <w:proofErr w:type="spellEnd"/>
      <w:r>
        <w:t>/Agilent</w:t>
      </w:r>
      <w:r w:rsidRPr="00BD3C83">
        <w:t xml:space="preserve">). </w:t>
      </w:r>
      <w:r>
        <w:t xml:space="preserve"> </w:t>
      </w:r>
      <w:r w:rsidRPr="004B3FAF">
        <w:t xml:space="preserve">The PD-L1 IHC 22C3 </w:t>
      </w:r>
      <w:proofErr w:type="spellStart"/>
      <w:r w:rsidRPr="004B3FAF">
        <w:t>pharmDx</w:t>
      </w:r>
      <w:proofErr w:type="spellEnd"/>
      <w:r w:rsidRPr="002803F8">
        <w:t xml:space="preserve"> Market Ready Assay will be used to determine PD-L1 expression in tumour tissue </w:t>
      </w:r>
      <w:proofErr w:type="gramStart"/>
      <w:r w:rsidRPr="002803F8">
        <w:t>in order to</w:t>
      </w:r>
      <w:proofErr w:type="gramEnd"/>
      <w:r w:rsidRPr="002803F8">
        <w:t xml:space="preserve"> explore the relationship between tumour PD-L1 expression and response to treatment with pembrolizumab.</w:t>
      </w:r>
      <w:r w:rsidR="00CE4702">
        <w:t xml:space="preserve"> Furthermore, the CPS method has </w:t>
      </w:r>
      <w:r w:rsidR="0069479E">
        <w:t xml:space="preserve">been </w:t>
      </w:r>
      <w:r w:rsidR="00CE4702">
        <w:t>validated</w:t>
      </w:r>
      <w:r w:rsidR="0069479E">
        <w:t xml:space="preserve"> by</w:t>
      </w:r>
      <w:r w:rsidR="00CE4702">
        <w:t xml:space="preserve"> </w:t>
      </w:r>
      <w:r w:rsidR="0069479E">
        <w:t xml:space="preserve">MSD </w:t>
      </w:r>
      <w:r w:rsidR="00CE4702">
        <w:t>for predicting response to pembrolizumab in cervical cancer.</w:t>
      </w:r>
      <w:r w:rsidR="00447924" w:rsidRPr="00447924">
        <w:t xml:space="preserve"> </w:t>
      </w:r>
    </w:p>
    <w:p w14:paraId="42BB9337" w14:textId="57D0FC5F" w:rsidR="002A50FD" w:rsidRPr="0055565E" w:rsidRDefault="00447924" w:rsidP="00CC06C6">
      <w:pPr>
        <w:ind w:left="360"/>
      </w:pPr>
      <w:r w:rsidRPr="002803F8">
        <w:lastRenderedPageBreak/>
        <w:t xml:space="preserve">Pembrolizumab is a highly selective humanised monoclonal antibody that targets the PD-L1 receptor to potentiate an immune response. PD-L1 expression in </w:t>
      </w:r>
      <w:r>
        <w:t xml:space="preserve">persistent, recurrent, or </w:t>
      </w:r>
      <w:r>
        <w:rPr>
          <w:rFonts w:cstheme="minorHAnsi"/>
          <w:szCs w:val="20"/>
        </w:rPr>
        <w:t>metastatic, advanced cervical cancer</w:t>
      </w:r>
      <w:r>
        <w:t xml:space="preserve"> </w:t>
      </w:r>
      <w:r w:rsidRPr="002803F8">
        <w:t xml:space="preserve">biopsies can be assessed using immunohistochemical (IHC) testing with antibodies that bind specifically to the PD-L1 protein. </w:t>
      </w:r>
    </w:p>
    <w:p w14:paraId="310B78AD"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2C370380" w14:textId="767E4EA4" w:rsidR="00B915D3" w:rsidRDefault="00B915D3" w:rsidP="00B915D3">
      <w:pPr>
        <w:ind w:left="360"/>
      </w:pPr>
      <w:r w:rsidRPr="002D2F35">
        <w:t>At the time of lodging this application, PD-L1 testing is listed on the MBS for use in NSCLC</w:t>
      </w:r>
      <w:r w:rsidR="002B6FE3">
        <w:t>, and MSAC has supported an amendment to this MBS item to include patients with HNSCC</w:t>
      </w:r>
      <w:r w:rsidRPr="002D2F35">
        <w:t>. The</w:t>
      </w:r>
      <w:r w:rsidRPr="006E5053">
        <w:t xml:space="preserve"> PD-L1 22C3 </w:t>
      </w:r>
      <w:proofErr w:type="spellStart"/>
      <w:r w:rsidRPr="006E5053">
        <w:t>pharmDx</w:t>
      </w:r>
      <w:proofErr w:type="spellEnd"/>
      <w:r w:rsidRPr="006E5053">
        <w:t xml:space="preserve"> assay Market Ready Assay will be made commercially available in Australia. </w:t>
      </w:r>
      <w:r>
        <w:t>T</w:t>
      </w:r>
      <w:r w:rsidRPr="006E5053">
        <w:t xml:space="preserve">he PD-L1 22C3 </w:t>
      </w:r>
      <w:proofErr w:type="spellStart"/>
      <w:r w:rsidRPr="006E5053">
        <w:t>pharmDx</w:t>
      </w:r>
      <w:proofErr w:type="spellEnd"/>
      <w:r w:rsidRPr="006E5053">
        <w:t xml:space="preserve"> assay Market Ready Assay, including any applicable registered trademark, </w:t>
      </w:r>
      <w:r>
        <w:t>is TGA registered.  The 22C3 antibody is also available for use on other platforms.</w:t>
      </w:r>
    </w:p>
    <w:p w14:paraId="3A9C3EB9"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171F1514" w14:textId="10C7A7D3" w:rsidR="00DF0C51" w:rsidRDefault="001109DB" w:rsidP="00E357B9">
      <w:pPr>
        <w:ind w:left="426"/>
        <w:rPr>
          <w:b/>
          <w:szCs w:val="20"/>
        </w:rPr>
      </w:pPr>
      <w:r>
        <w:t>N/A</w:t>
      </w:r>
    </w:p>
    <w:p w14:paraId="0B454DC5" w14:textId="596A500B" w:rsidR="00392202" w:rsidRDefault="006B1B49" w:rsidP="00C240B8">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proofErr w:type="gramStart"/>
      <w:r w:rsidR="00DF0C51">
        <w:t>i</w:t>
      </w:r>
      <w:r w:rsidR="00812EDD">
        <w:t>.</w:t>
      </w:r>
      <w:r w:rsidR="00DF0C51">
        <w:t>e.</w:t>
      </w:r>
      <w:proofErr w:type="gramEnd"/>
      <w:r w:rsidR="00DF0C51">
        <w:t xml:space="preserve"> </w:t>
      </w:r>
      <w:r w:rsidR="00707D4D">
        <w:t xml:space="preserve">accessibility, </w:t>
      </w:r>
      <w:r w:rsidR="00DF0C51" w:rsidRPr="0073597B">
        <w:t>dosage</w:t>
      </w:r>
      <w:r w:rsidR="00DF0C51">
        <w:t>, quantity, duration or frequency</w:t>
      </w:r>
      <w:r w:rsidR="00D30BDC">
        <w:t>)</w:t>
      </w:r>
      <w:r w:rsidR="00093F22">
        <w:t>?</w:t>
      </w:r>
    </w:p>
    <w:p w14:paraId="0D3D5978" w14:textId="77777777" w:rsidR="00C240B8" w:rsidRPr="00ED1C44" w:rsidRDefault="00C240B8" w:rsidP="00C240B8">
      <w:pPr>
        <w:spacing w:before="0" w:after="0"/>
        <w:ind w:left="360"/>
        <w:rPr>
          <w:b/>
          <w:szCs w:val="20"/>
        </w:rPr>
      </w:pPr>
      <w:r w:rsidRPr="00ED1C44">
        <w:rPr>
          <w:b/>
          <w:szCs w:val="20"/>
        </w:rPr>
        <w:t>Accessibility</w:t>
      </w:r>
    </w:p>
    <w:p w14:paraId="45B79471" w14:textId="7104EE6A" w:rsidR="00581461" w:rsidRDefault="00581461" w:rsidP="00581461">
      <w:pPr>
        <w:spacing w:before="0" w:after="100" w:afterAutospacing="1"/>
        <w:ind w:left="360"/>
        <w:rPr>
          <w:szCs w:val="20"/>
        </w:rPr>
      </w:pPr>
      <w:r>
        <w:rPr>
          <w:szCs w:val="20"/>
        </w:rPr>
        <w:t>In</w:t>
      </w:r>
      <w:r w:rsidRPr="00027A17">
        <w:rPr>
          <w:szCs w:val="20"/>
        </w:rPr>
        <w:t xml:space="preserve"> </w:t>
      </w:r>
      <w:r>
        <w:rPr>
          <w:szCs w:val="20"/>
        </w:rPr>
        <w:t xml:space="preserve">the management </w:t>
      </w:r>
      <w:r w:rsidRPr="004B3FAF">
        <w:rPr>
          <w:szCs w:val="20"/>
        </w:rPr>
        <w:t xml:space="preserve">of </w:t>
      </w:r>
      <w:r>
        <w:rPr>
          <w:rFonts w:cstheme="minorHAnsi"/>
          <w:szCs w:val="20"/>
        </w:rPr>
        <w:t xml:space="preserve">persistent, </w:t>
      </w:r>
      <w:proofErr w:type="gramStart"/>
      <w:r>
        <w:rPr>
          <w:rFonts w:cstheme="minorHAnsi"/>
          <w:szCs w:val="20"/>
        </w:rPr>
        <w:t>recurrent</w:t>
      </w:r>
      <w:proofErr w:type="gramEnd"/>
      <w:r>
        <w:rPr>
          <w:rFonts w:cstheme="minorHAnsi"/>
          <w:szCs w:val="20"/>
        </w:rPr>
        <w:t xml:space="preserve"> or metastatic cervical cancer,</w:t>
      </w:r>
      <w:r w:rsidRPr="000527DB">
        <w:rPr>
          <w:szCs w:val="20"/>
        </w:rPr>
        <w:t xml:space="preserve"> taking biopsy specimens is currently part of standard practice and diagnostic work-up.</w:t>
      </w:r>
      <w:r w:rsidRPr="00FF6A86">
        <w:rPr>
          <w:szCs w:val="20"/>
        </w:rPr>
        <w:t xml:space="preserve"> </w:t>
      </w:r>
      <w:r w:rsidRPr="00AE26DA">
        <w:rPr>
          <w:szCs w:val="20"/>
        </w:rPr>
        <w:t xml:space="preserve">It is proposed that PD-L1 expression testing can be carried out on the tissue sample when a patient is found to have </w:t>
      </w:r>
      <w:r w:rsidR="00567541">
        <w:rPr>
          <w:szCs w:val="20"/>
        </w:rPr>
        <w:t xml:space="preserve">persistent, </w:t>
      </w:r>
      <w:proofErr w:type="gramStart"/>
      <w:r w:rsidR="00567541">
        <w:rPr>
          <w:szCs w:val="20"/>
        </w:rPr>
        <w:t>recurrent</w:t>
      </w:r>
      <w:proofErr w:type="gramEnd"/>
      <w:r w:rsidR="00567541">
        <w:rPr>
          <w:szCs w:val="20"/>
        </w:rPr>
        <w:t xml:space="preserve"> or metastatic</w:t>
      </w:r>
      <w:r w:rsidRPr="00AE26DA">
        <w:rPr>
          <w:szCs w:val="20"/>
        </w:rPr>
        <w:t xml:space="preserve"> disease.  As part of standard practice, patients with </w:t>
      </w:r>
      <w:r>
        <w:rPr>
          <w:szCs w:val="20"/>
        </w:rPr>
        <w:t>advanced disease</w:t>
      </w:r>
      <w:r w:rsidRPr="00AE26DA">
        <w:rPr>
          <w:szCs w:val="20"/>
        </w:rPr>
        <w:t xml:space="preserve"> would have had a biopsy taken as part of initial diagnosis and use of their archival sample could be acceptable for assessing PD-L1 expression.  </w:t>
      </w:r>
    </w:p>
    <w:p w14:paraId="01457822" w14:textId="28AE4560" w:rsidR="00FD3F9E" w:rsidRDefault="00C80194" w:rsidP="00C240B8">
      <w:pPr>
        <w:spacing w:before="0" w:after="100" w:afterAutospacing="1"/>
        <w:ind w:left="360"/>
        <w:rPr>
          <w:szCs w:val="20"/>
        </w:rPr>
      </w:pPr>
      <w:r>
        <w:rPr>
          <w:szCs w:val="20"/>
        </w:rPr>
        <w:t xml:space="preserve">As IHC staining is a common procedure, PD-L1 IHC testing can </w:t>
      </w:r>
      <w:r w:rsidR="00ED4060">
        <w:rPr>
          <w:szCs w:val="20"/>
        </w:rPr>
        <w:t xml:space="preserve">be carried out in any pathology laboratory holding the appropriate accreditation. </w:t>
      </w:r>
      <w:r w:rsidR="00912C4A">
        <w:rPr>
          <w:szCs w:val="20"/>
        </w:rPr>
        <w:t xml:space="preserve">As IHC testing does not require a large volume of tissue, tissue availability shouldn’t limit access. </w:t>
      </w:r>
      <w:r w:rsidR="000F6AF9">
        <w:rPr>
          <w:szCs w:val="20"/>
        </w:rPr>
        <w:t>PD-L1 expression testing can be carried out on archival tissue sample</w:t>
      </w:r>
      <w:r w:rsidR="00C53CA8">
        <w:rPr>
          <w:szCs w:val="20"/>
        </w:rPr>
        <w:t>s</w:t>
      </w:r>
      <w:r w:rsidR="000F6AF9">
        <w:rPr>
          <w:szCs w:val="20"/>
        </w:rPr>
        <w:t xml:space="preserve"> </w:t>
      </w:r>
      <w:r w:rsidR="008F7C02">
        <w:rPr>
          <w:szCs w:val="20"/>
        </w:rPr>
        <w:t xml:space="preserve">taken </w:t>
      </w:r>
      <w:r w:rsidR="00821C21">
        <w:rPr>
          <w:szCs w:val="20"/>
        </w:rPr>
        <w:t xml:space="preserve">as part of standard diagnostic </w:t>
      </w:r>
      <w:r w:rsidR="007A20AF">
        <w:rPr>
          <w:szCs w:val="20"/>
        </w:rPr>
        <w:t>procedures.</w:t>
      </w:r>
    </w:p>
    <w:p w14:paraId="4BE12BE5" w14:textId="7531A1A1" w:rsidR="00CA0C66" w:rsidRDefault="001F721C" w:rsidP="0018665B">
      <w:pPr>
        <w:ind w:left="360"/>
        <w:rPr>
          <w:b/>
        </w:rPr>
      </w:pPr>
      <w:r w:rsidRPr="001B567A">
        <w:rPr>
          <w:b/>
        </w:rPr>
        <w:t>Frequency</w:t>
      </w:r>
    </w:p>
    <w:p w14:paraId="32CA70EE" w14:textId="59BC2263" w:rsidR="00392202" w:rsidRPr="00487463" w:rsidRDefault="00487463" w:rsidP="00487463">
      <w:pPr>
        <w:spacing w:before="0" w:after="100" w:afterAutospacing="1"/>
        <w:ind w:left="360"/>
        <w:rPr>
          <w:szCs w:val="20"/>
        </w:rPr>
      </w:pPr>
      <w:r w:rsidRPr="000527DB">
        <w:rPr>
          <w:szCs w:val="20"/>
        </w:rPr>
        <w:t>It is proposed that one PD-L1 test be performed once for each patient as part of the diagnostic biopsy, which is already part of standard management.</w:t>
      </w:r>
      <w:r w:rsidRPr="00351038">
        <w:rPr>
          <w:szCs w:val="20"/>
        </w:rPr>
        <w:t xml:space="preserve">  </w:t>
      </w:r>
      <w:r w:rsidRPr="00AE26DA">
        <w:rPr>
          <w:szCs w:val="20"/>
        </w:rPr>
        <w:t>There is no known role for PD-L1 testing in monitoring a patient’s response to pembrolizumab treatment</w:t>
      </w:r>
      <w:r>
        <w:rPr>
          <w:szCs w:val="20"/>
        </w:rPr>
        <w:t>.</w:t>
      </w:r>
    </w:p>
    <w:p w14:paraId="0AFDCFB7" w14:textId="7A0D666D" w:rsidR="00CD11A0" w:rsidRPr="00EE4007" w:rsidRDefault="00CD11A0" w:rsidP="0018665B">
      <w:pPr>
        <w:ind w:left="360"/>
        <w:rPr>
          <w:b/>
          <w:szCs w:val="20"/>
        </w:rPr>
      </w:pPr>
      <w:r w:rsidRPr="00EE4007">
        <w:rPr>
          <w:b/>
          <w:szCs w:val="20"/>
        </w:rPr>
        <w:t>Sample</w:t>
      </w:r>
      <w:r w:rsidR="001F721C">
        <w:rPr>
          <w:b/>
          <w:szCs w:val="20"/>
        </w:rPr>
        <w:t xml:space="preserve"> consideration</w:t>
      </w:r>
    </w:p>
    <w:p w14:paraId="2AD445BE" w14:textId="3DE3D0AC" w:rsidR="00D443AB" w:rsidRDefault="00D443AB" w:rsidP="004A1777">
      <w:pPr>
        <w:pStyle w:val="CommentText"/>
        <w:ind w:left="360"/>
      </w:pPr>
      <w:r>
        <w:t>As per the KN 826 clinical trial inclusion criteria,</w:t>
      </w:r>
      <w:r w:rsidR="00367E27">
        <w:t xml:space="preserve"> participants had to have provided archival tissue or newly obtained core or excisional biopsy of a tumour lesion not previously irradiated.</w:t>
      </w:r>
      <w:r w:rsidR="006A04F2">
        <w:t xml:space="preserve"> For </w:t>
      </w:r>
      <w:r w:rsidR="005F2286">
        <w:t xml:space="preserve">those </w:t>
      </w:r>
      <w:r w:rsidR="0011227D">
        <w:t xml:space="preserve">with an initial </w:t>
      </w:r>
      <w:r w:rsidR="00DB317A">
        <w:t>early-stage</w:t>
      </w:r>
      <w:r w:rsidR="001D525F">
        <w:t xml:space="preserve"> diagnosis</w:t>
      </w:r>
      <w:r w:rsidR="001A4CCA">
        <w:t xml:space="preserve">, archival </w:t>
      </w:r>
      <w:r w:rsidR="00696675">
        <w:t xml:space="preserve">tissue will likely be used </w:t>
      </w:r>
      <w:r w:rsidR="00864A9D">
        <w:t>due to the current treatment paradigm involving chemoradiotherapy</w:t>
      </w:r>
      <w:r w:rsidR="00DB317A">
        <w:t>.</w:t>
      </w:r>
      <w:r w:rsidR="006853C6">
        <w:t xml:space="preserve"> </w:t>
      </w:r>
      <w:r w:rsidR="00367E27">
        <w:t xml:space="preserve"> </w:t>
      </w:r>
      <w:r>
        <w:t xml:space="preserve">  </w:t>
      </w:r>
    </w:p>
    <w:p w14:paraId="13F5D15A" w14:textId="007F401A" w:rsidR="00711C13" w:rsidRDefault="002E406F" w:rsidP="00BF0A4D">
      <w:pPr>
        <w:spacing w:before="0" w:after="0"/>
        <w:ind w:left="360"/>
        <w:rPr>
          <w:szCs w:val="20"/>
        </w:rPr>
      </w:pPr>
      <w:r>
        <w:rPr>
          <w:szCs w:val="20"/>
        </w:rPr>
        <w:t>There was a preference for newly obtained tissue samples, h</w:t>
      </w:r>
      <w:r w:rsidR="00BF0A4D" w:rsidRPr="000527DB">
        <w:rPr>
          <w:szCs w:val="20"/>
        </w:rPr>
        <w:t>owever, archival tissue samples</w:t>
      </w:r>
      <w:r w:rsidR="00711C13">
        <w:rPr>
          <w:szCs w:val="20"/>
        </w:rPr>
        <w:t xml:space="preserve"> were also obtained </w:t>
      </w:r>
      <w:r w:rsidR="00987D12">
        <w:rPr>
          <w:szCs w:val="20"/>
        </w:rPr>
        <w:t>for each patient (where available) and we p</w:t>
      </w:r>
      <w:r w:rsidR="00100581">
        <w:rPr>
          <w:szCs w:val="20"/>
        </w:rPr>
        <w:t>lan to present the concordance of using new vs. archival tissue samples as part of the co-</w:t>
      </w:r>
      <w:r w:rsidR="00171DC4">
        <w:rPr>
          <w:szCs w:val="20"/>
        </w:rPr>
        <w:t>dependent</w:t>
      </w:r>
      <w:r w:rsidR="00100581">
        <w:rPr>
          <w:szCs w:val="20"/>
        </w:rPr>
        <w:t xml:space="preserve"> submission for MSAC’s consideration.</w:t>
      </w:r>
    </w:p>
    <w:p w14:paraId="4A326E92" w14:textId="58598B82" w:rsidR="00BF0A4D" w:rsidRDefault="00BF0A4D" w:rsidP="00174BCE">
      <w:pPr>
        <w:spacing w:before="0" w:after="0"/>
        <w:ind w:left="360"/>
      </w:pPr>
      <w:r w:rsidRPr="00351038">
        <w:rPr>
          <w:szCs w:val="20"/>
        </w:rPr>
        <w:t>In addition, the application will explore information on other</w:t>
      </w:r>
      <w:r w:rsidRPr="00027A17">
        <w:rPr>
          <w:szCs w:val="20"/>
        </w:rPr>
        <w:t xml:space="preserve"> relevant sample considerations as needed</w:t>
      </w:r>
      <w:r w:rsidR="00C77C37">
        <w:rPr>
          <w:szCs w:val="20"/>
        </w:rPr>
        <w:t xml:space="preserve"> (pending available data)</w:t>
      </w:r>
      <w:r w:rsidRPr="00027A17">
        <w:rPr>
          <w:szCs w:val="20"/>
        </w:rPr>
        <w:t xml:space="preserve">. </w:t>
      </w:r>
    </w:p>
    <w:p w14:paraId="67C9F958" w14:textId="79928A2E" w:rsidR="008F578B" w:rsidRDefault="00BF0A4D" w:rsidP="004A1777">
      <w:pPr>
        <w:rPr>
          <w:szCs w:val="20"/>
        </w:rPr>
      </w:pPr>
      <w:r>
        <w:t xml:space="preserve">       </w:t>
      </w:r>
      <w:r w:rsidRPr="00C03C0D">
        <w:rPr>
          <w:szCs w:val="20"/>
        </w:rPr>
        <w:t>There is no known role for PD-L1 testing in monitoring a patient’s response to pembrolizumab treatment.</w:t>
      </w:r>
    </w:p>
    <w:p w14:paraId="381122F4" w14:textId="47B9F919" w:rsidR="000277BD" w:rsidRPr="00EE4007" w:rsidRDefault="000277BD" w:rsidP="00E357B9">
      <w:pPr>
        <w:ind w:left="426"/>
        <w:rPr>
          <w:b/>
          <w:szCs w:val="20"/>
        </w:rPr>
      </w:pPr>
      <w:r w:rsidRPr="00EE4007">
        <w:rPr>
          <w:b/>
          <w:szCs w:val="20"/>
        </w:rPr>
        <w:t>Testing considerations</w:t>
      </w:r>
    </w:p>
    <w:p w14:paraId="4E20AA6D" w14:textId="77777777" w:rsidR="005443ED" w:rsidRDefault="005443ED" w:rsidP="00AE15C4">
      <w:pPr>
        <w:ind w:left="360"/>
      </w:pPr>
      <w:r w:rsidRPr="003A33EC">
        <w:t xml:space="preserve">IHC testing is a well-established technique in all major pathology labs.  Laboratories already have the platform infrastructure and reagents to perform PD-L1 IHC testing. </w:t>
      </w:r>
    </w:p>
    <w:p w14:paraId="41132C22" w14:textId="779EDB80" w:rsidR="007D1C15" w:rsidRPr="005443ED" w:rsidRDefault="00314209" w:rsidP="00AE15C4">
      <w:pPr>
        <w:ind w:left="360"/>
      </w:pPr>
      <w:r>
        <w:lastRenderedPageBreak/>
        <w:t>It is acknowledged that there are differences between PD-L1 antibody assays for immune cell staining. Consequently, it is important that the antibody being used to assess PD-L1 status is aligned to the drug being considered. In this instance, the 22C3 antibody and CPS</w:t>
      </w:r>
      <w:r w:rsidRPr="00B64F37">
        <w:t>≥</w:t>
      </w:r>
      <w:r>
        <w:t>1 cut point should be used to determine eligibility for pembrolizumab.</w:t>
      </w:r>
    </w:p>
    <w:p w14:paraId="1B717E17" w14:textId="77777777" w:rsidR="00791C8D"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6BFEFEF0" w14:textId="0AFD2CF0" w:rsidR="00791C8D" w:rsidRPr="000B4063" w:rsidRDefault="008A3F1F" w:rsidP="000B4063">
      <w:pPr>
        <w:spacing w:before="0" w:after="0"/>
        <w:ind w:left="360"/>
      </w:pPr>
      <w:r w:rsidRPr="00D05372">
        <w:rPr>
          <w:szCs w:val="20"/>
        </w:rPr>
        <w:t>Some patients may not have had an initial test at diagnosis and do not have archival tissue samples available.</w:t>
      </w:r>
      <w:r w:rsidR="00AE393B">
        <w:rPr>
          <w:szCs w:val="20"/>
        </w:rPr>
        <w:t xml:space="preserve"> Given the </w:t>
      </w:r>
      <w:r w:rsidR="00E933D1">
        <w:rPr>
          <w:szCs w:val="20"/>
        </w:rPr>
        <w:t>existence of a National Cervical Screening Progr</w:t>
      </w:r>
      <w:r w:rsidR="00C669FE">
        <w:rPr>
          <w:szCs w:val="20"/>
        </w:rPr>
        <w:t>am, it is presumed that this will be a small number of patients.</w:t>
      </w:r>
      <w:r w:rsidRPr="00D05372">
        <w:rPr>
          <w:szCs w:val="20"/>
        </w:rPr>
        <w:t xml:space="preserve">  These patients may require a biopsy at diagnosis of metastatic disease to obtain new tissue for PD-L1 expression testing.  A comparison of outcomes in patients with PD-L1 test results based on archival and fresh tissue samples from the KN</w:t>
      </w:r>
      <w:r w:rsidR="00CB6101">
        <w:rPr>
          <w:szCs w:val="20"/>
        </w:rPr>
        <w:t xml:space="preserve"> </w:t>
      </w:r>
      <w:r w:rsidR="00BA0FE8">
        <w:rPr>
          <w:szCs w:val="20"/>
        </w:rPr>
        <w:t>826</w:t>
      </w:r>
      <w:r w:rsidRPr="00D05372">
        <w:rPr>
          <w:szCs w:val="20"/>
        </w:rPr>
        <w:t xml:space="preserve"> trial will be presented for MSAC’s consideration once the results are available.  </w:t>
      </w:r>
      <w:r w:rsidRPr="00D05372">
        <w:t>The additional health resources associated with this procedure, including any potential adverse events, will be included in the economic and budget impact models submitted for MSAC and PBAC’s consideration.</w:t>
      </w:r>
    </w:p>
    <w:p w14:paraId="30871B13" w14:textId="35764EFF" w:rsidR="00B17E26"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4A858A61" w14:textId="0BF9A250" w:rsidR="005A66CE" w:rsidRPr="005A66CE" w:rsidRDefault="00D879E4" w:rsidP="000B4063">
      <w:pPr>
        <w:ind w:left="360"/>
      </w:pPr>
      <w:r w:rsidRPr="003A33EC">
        <w:t>A certified pathologist would be responsible for conducting the test and reporting the results. Consistent</w:t>
      </w:r>
      <w:r w:rsidR="000B4063">
        <w:t xml:space="preserve"> </w:t>
      </w:r>
      <w:r w:rsidRPr="003A33EC">
        <w:t xml:space="preserve">with </w:t>
      </w:r>
      <w:r>
        <w:t xml:space="preserve">the </w:t>
      </w:r>
      <w:r w:rsidRPr="003A33EC">
        <w:t>introduction of diagnostic tests associated with access to other targeted therapies, pathologist training and quality assurance programs would be expected to be developed with respect to delivery of diagnostic tests for access to treatments targeting the PD-1 pathway on the PBS.</w:t>
      </w:r>
    </w:p>
    <w:p w14:paraId="3FFC0256"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41F27B94" w14:textId="52F0F37D" w:rsidR="00B17E26" w:rsidRPr="00154B00" w:rsidRDefault="008D746B" w:rsidP="00884E69">
      <w:pPr>
        <w:ind w:left="426"/>
        <w:rPr>
          <w:szCs w:val="20"/>
        </w:rPr>
      </w:pPr>
      <w:r w:rsidRPr="00F97CF1">
        <w:t xml:space="preserve">A certified pathologist would be responsible for conducting the test and reporting the results. Specialists including </w:t>
      </w:r>
      <w:r>
        <w:t>(</w:t>
      </w:r>
      <w:r w:rsidR="00354537">
        <w:t>e.g.,</w:t>
      </w:r>
      <w:r>
        <w:t xml:space="preserve"> </w:t>
      </w:r>
      <w:r w:rsidRPr="00F97CF1">
        <w:t>oncologists</w:t>
      </w:r>
      <w:r>
        <w:t>) will</w:t>
      </w:r>
      <w:r w:rsidRPr="006E5053">
        <w:t xml:space="preserve"> provide a referral for PD-L1 testing.</w:t>
      </w:r>
    </w:p>
    <w:p w14:paraId="0E7BAA8B" w14:textId="669A5F26" w:rsidR="00EA0E25" w:rsidRPr="0080741E" w:rsidRDefault="00EA0E25" w:rsidP="00530204">
      <w:pPr>
        <w:pStyle w:val="Heading2"/>
      </w:pPr>
      <w:r w:rsidRPr="0080741E">
        <w:t xml:space="preserve">If applicable, specify any proposed limitations on who might deliver the proposed medical service, or who </w:t>
      </w:r>
      <w:r w:rsidR="00AE1188" w:rsidRPr="0080741E">
        <w:t>might provide a referral for it:</w:t>
      </w:r>
    </w:p>
    <w:p w14:paraId="3EEAA929" w14:textId="3DE73C17" w:rsidR="0048350D" w:rsidRPr="0048350D" w:rsidRDefault="0080741E" w:rsidP="0080741E">
      <w:pPr>
        <w:ind w:left="360"/>
      </w:pPr>
      <w:r w:rsidRPr="0080741E">
        <w:t>As</w:t>
      </w:r>
      <w:r>
        <w:t xml:space="preserve"> IHC testing is a common procedure, it is proposed that PD-L1 IHC testing be carried out in any pathology laboratory holding the appropriate accreditation to claim pathology services through the MBS.</w:t>
      </w:r>
    </w:p>
    <w:p w14:paraId="7523C32C" w14:textId="6AF9212F" w:rsidR="00EA0E25" w:rsidRPr="00C12939" w:rsidRDefault="00EA0E25" w:rsidP="00530204">
      <w:pPr>
        <w:pStyle w:val="Heading2"/>
      </w:pPr>
      <w:r w:rsidRPr="00C12939">
        <w:t xml:space="preserve">If applicable, advise what type of training </w:t>
      </w:r>
      <w:r w:rsidR="009C03FB" w:rsidRPr="00C12939">
        <w:t xml:space="preserve">or qualifications </w:t>
      </w:r>
      <w:r w:rsidRPr="00C12939">
        <w:t xml:space="preserve">would be required to perform the </w:t>
      </w:r>
      <w:r w:rsidR="007522E3" w:rsidRPr="00C12939">
        <w:t xml:space="preserve">proposed </w:t>
      </w:r>
      <w:r w:rsidRPr="00C12939">
        <w:t>service</w:t>
      </w:r>
      <w:r w:rsidR="003904AC" w:rsidRPr="00C12939">
        <w:t>,</w:t>
      </w:r>
      <w:r w:rsidR="00257FF2" w:rsidRPr="00C12939">
        <w:t xml:space="preserve"> as well as any accreditation requirements to suppor</w:t>
      </w:r>
      <w:r w:rsidR="009C03FB" w:rsidRPr="00C12939">
        <w:t xml:space="preserve">t </w:t>
      </w:r>
      <w:r w:rsidR="00257FF2" w:rsidRPr="00C12939">
        <w:t>service</w:t>
      </w:r>
      <w:r w:rsidR="009C03FB" w:rsidRPr="00C12939">
        <w:t xml:space="preserve"> delivery</w:t>
      </w:r>
      <w:r w:rsidR="00AE1188" w:rsidRPr="00C12939">
        <w:t>:</w:t>
      </w:r>
    </w:p>
    <w:p w14:paraId="5E8ADAD0" w14:textId="141C8416" w:rsidR="00A560C2" w:rsidRPr="0080741E" w:rsidRDefault="0080741E" w:rsidP="0080741E">
      <w:pPr>
        <w:ind w:left="360"/>
      </w:pPr>
      <w:r w:rsidRPr="0080741E">
        <w:t>A cert</w:t>
      </w:r>
      <w:r>
        <w:t>ified pathologist would be responsible for conducting the test and reporting the results. Consistent with introduction of diagnostic tests associated with access to other targeted therapies, pathologist training and quality assurance programs would be developed</w:t>
      </w:r>
      <w:r w:rsidR="009B5936">
        <w:t xml:space="preserve"> </w:t>
      </w:r>
      <w:r>
        <w:t>with respect to delivery of diagnostic tests for access to treatments targeting the PD-L1 pathway on the PBS.</w:t>
      </w:r>
    </w:p>
    <w:p w14:paraId="3CDF6F31" w14:textId="77777777" w:rsidR="007E5CCA" w:rsidRDefault="00F701C8" w:rsidP="007F26C1">
      <w:pPr>
        <w:ind w:left="360"/>
      </w:pPr>
      <w:r w:rsidRPr="0051672A">
        <w:rPr>
          <w:szCs w:val="20"/>
        </w:rPr>
        <w:t>The RCPA</w:t>
      </w:r>
      <w:r>
        <w:rPr>
          <w:szCs w:val="20"/>
        </w:rPr>
        <w:t xml:space="preserve"> </w:t>
      </w:r>
      <w:r w:rsidRPr="0051672A">
        <w:rPr>
          <w:szCs w:val="20"/>
        </w:rPr>
        <w:t>QAP are providing Technical modules for PD-L1 IHC for NSCLC, HNSCC, and TNBC in 2022</w:t>
      </w:r>
      <w:r w:rsidR="00A560C2">
        <w:t>. It is</w:t>
      </w:r>
      <w:r w:rsidR="00A560C2" w:rsidRPr="00E439A6">
        <w:t xml:space="preserve"> expect</w:t>
      </w:r>
      <w:r w:rsidR="00A560C2">
        <w:t>ed that</w:t>
      </w:r>
      <w:r w:rsidR="00A560C2" w:rsidRPr="00E439A6">
        <w:t xml:space="preserve"> this </w:t>
      </w:r>
      <w:r w:rsidR="00A560C2">
        <w:t>will</w:t>
      </w:r>
      <w:r w:rsidR="00A560C2" w:rsidRPr="00E439A6">
        <w:t xml:space="preserve"> be expanded to cover additional indications</w:t>
      </w:r>
      <w:r w:rsidR="00A560C2">
        <w:t xml:space="preserve"> </w:t>
      </w:r>
      <w:r w:rsidR="00DD3533">
        <w:t xml:space="preserve">as required. </w:t>
      </w:r>
      <w:r w:rsidR="00A560C2" w:rsidRPr="00E439A6">
        <w:t xml:space="preserve">  </w:t>
      </w:r>
      <w:r w:rsidR="007F26C1" w:rsidRPr="0051672A">
        <w:rPr>
          <w:szCs w:val="20"/>
        </w:rPr>
        <w:t>In addition, MSD facilitates one day peer-to-peer workshops for Australian pathologists, with a training effectiveness performed with those who participate. This results in pathologists having greater experience in performing the test and applying the scoring methods.</w:t>
      </w:r>
      <w:r w:rsidR="007F26C1" w:rsidRPr="00D04FB2">
        <w:t xml:space="preserve"> </w:t>
      </w:r>
    </w:p>
    <w:p w14:paraId="37854DE9" w14:textId="62143919" w:rsidR="005F3F07" w:rsidRDefault="005C3AE7" w:rsidP="00002AB2">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100AA283" w14:textId="1A8D97DF" w:rsidR="000A478F" w:rsidRDefault="00805BD2"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03093E48" w14:textId="01443649" w:rsidR="000A478F" w:rsidRDefault="00805BD2"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14A6F69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644F0607"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Pr>
          <w:szCs w:val="20"/>
        </w:rPr>
        <w:t xml:space="preserve"> Public outpatient clinic</w:t>
      </w:r>
    </w:p>
    <w:p w14:paraId="46A71F1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Pr>
          <w:szCs w:val="20"/>
        </w:rPr>
        <w:t xml:space="preserve"> </w:t>
      </w:r>
      <w:r>
        <w:t>Emergency Department</w:t>
      </w:r>
    </w:p>
    <w:p w14:paraId="1460D2C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61830E2F"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Pr>
          <w:szCs w:val="20"/>
        </w:rPr>
        <w:t xml:space="preserve"> Private consulting rooms – specialist</w:t>
      </w:r>
    </w:p>
    <w:p w14:paraId="7BC3FE82"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Pr>
          <w:szCs w:val="20"/>
        </w:rPr>
        <w:t xml:space="preserve"> Private consulting rooms – other health practitioner (nurse or allied health)</w:t>
      </w:r>
    </w:p>
    <w:p w14:paraId="2907AE7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26BD2B81"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Pr>
          <w:szCs w:val="20"/>
        </w:rPr>
        <w:t xml:space="preserve"> Private day surgery clinic (non-admitted patient)</w:t>
      </w:r>
    </w:p>
    <w:p w14:paraId="423ABBA5" w14:textId="77777777" w:rsidR="0079354C" w:rsidRDefault="0079354C" w:rsidP="000A478F">
      <w:pPr>
        <w:spacing w:before="0" w:after="0"/>
        <w:ind w:left="426"/>
        <w:rPr>
          <w:szCs w:val="20"/>
        </w:rPr>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Pr>
          <w:szCs w:val="20"/>
        </w:rPr>
        <w:t xml:space="preserve"> Public day surgery clinic (admitted patient)</w:t>
      </w:r>
    </w:p>
    <w:p w14:paraId="623D833A"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Pr>
          <w:szCs w:val="20"/>
        </w:rPr>
        <w:t xml:space="preserve"> Public day surgery clinic (non-admitted patient)</w:t>
      </w:r>
    </w:p>
    <w:p w14:paraId="6CE0438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Pr>
          <w:szCs w:val="20"/>
        </w:rPr>
        <w:t xml:space="preserve"> </w:t>
      </w:r>
      <w:r>
        <w:t>Residential aged care facility</w:t>
      </w:r>
    </w:p>
    <w:p w14:paraId="728C5F3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Pr>
          <w:szCs w:val="20"/>
        </w:rPr>
        <w:t xml:space="preserve"> </w:t>
      </w:r>
      <w:r>
        <w:t>Patient’s home</w:t>
      </w:r>
    </w:p>
    <w:p w14:paraId="0E2EEACD" w14:textId="5188DFE3" w:rsidR="000A478F" w:rsidRDefault="00805BD2"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0A478F">
        <w:rPr>
          <w:szCs w:val="20"/>
        </w:rPr>
        <w:t xml:space="preserve"> </w:t>
      </w:r>
      <w:r w:rsidR="000A478F">
        <w:t>Laboratory</w:t>
      </w:r>
    </w:p>
    <w:p w14:paraId="38F27824"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111C">
        <w:rPr>
          <w:szCs w:val="20"/>
        </w:rPr>
      </w:r>
      <w:r w:rsidR="0058111C">
        <w:rPr>
          <w:szCs w:val="20"/>
        </w:rPr>
        <w:fldChar w:fldCharType="separate"/>
      </w:r>
      <w:r w:rsidRPr="000A5B32">
        <w:rPr>
          <w:szCs w:val="20"/>
        </w:rPr>
        <w:fldChar w:fldCharType="end"/>
      </w:r>
      <w:r>
        <w:rPr>
          <w:szCs w:val="20"/>
        </w:rPr>
        <w:t xml:space="preserve"> </w:t>
      </w:r>
      <w:r>
        <w:t>Other – please specify below</w:t>
      </w:r>
    </w:p>
    <w:p w14:paraId="48F7C35C"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640E88CC"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1CA2D4ED" w14:textId="77777777" w:rsidR="0073597B" w:rsidRDefault="001B29A1" w:rsidP="0073597B">
      <w:pPr>
        <w:ind w:left="426"/>
        <w:rPr>
          <w:b/>
          <w:szCs w:val="20"/>
        </w:rPr>
      </w:pPr>
      <w:r>
        <w:fldChar w:fldCharType="begin">
          <w:ffData>
            <w:name w:val=""/>
            <w:enabled/>
            <w:calcOnExit w:val="0"/>
            <w:textInput>
              <w:default w:val="Describe rationale here"/>
            </w:textInput>
          </w:ffData>
        </w:fldChar>
      </w:r>
      <w:r>
        <w:instrText xml:space="preserve"> FORMTEXT </w:instrText>
      </w:r>
      <w:r>
        <w:fldChar w:fldCharType="separate"/>
      </w:r>
      <w:r>
        <w:rPr>
          <w:noProof/>
        </w:rPr>
        <w:t>Describe rationale here</w:t>
      </w:r>
      <w:r>
        <w:fldChar w:fldCharType="end"/>
      </w:r>
    </w:p>
    <w:p w14:paraId="2DCF4145" w14:textId="77777777" w:rsidR="003E30FB" w:rsidRDefault="003E30FB" w:rsidP="00530204">
      <w:pPr>
        <w:pStyle w:val="Heading2"/>
      </w:pPr>
      <w:r>
        <w:t xml:space="preserve">Is the </w:t>
      </w:r>
      <w:r w:rsidRPr="001B29A1">
        <w:t>proposed</w:t>
      </w:r>
      <w:r>
        <w:t xml:space="preserve"> medical service intended to be entirely rendered in Australia?</w:t>
      </w:r>
    </w:p>
    <w:p w14:paraId="0307BE40" w14:textId="6257AFE3" w:rsidR="000A478F" w:rsidRDefault="00513E4A"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0A478F">
        <w:rPr>
          <w:szCs w:val="20"/>
        </w:rPr>
        <w:t xml:space="preserve"> Yes</w:t>
      </w:r>
    </w:p>
    <w:p w14:paraId="631C1DC1" w14:textId="237DBCCC" w:rsidR="000A478F" w:rsidRPr="005C15D6" w:rsidRDefault="000A478F" w:rsidP="005C15D6">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8111C">
        <w:rPr>
          <w:szCs w:val="20"/>
        </w:rPr>
      </w:r>
      <w:r w:rsidR="0058111C">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48AE6548" w14:textId="77777777" w:rsidR="00E60529" w:rsidRPr="00881F93" w:rsidRDefault="005C3AE7" w:rsidP="005C15D6">
      <w:pPr>
        <w:pStyle w:val="Subtitle"/>
        <w:ind w:left="0"/>
      </w:pPr>
      <w:r>
        <w:t xml:space="preserve">PART 6c – </w:t>
      </w:r>
      <w:r w:rsidR="00E60529" w:rsidRPr="00881F93">
        <w:t>INFORMATION ABOUT THE COMPARATOR</w:t>
      </w:r>
      <w:r w:rsidR="00A83EC6" w:rsidRPr="00881F93">
        <w:t>(S)</w:t>
      </w:r>
    </w:p>
    <w:p w14:paraId="657051C5" w14:textId="77777777" w:rsidR="00E60529" w:rsidRPr="00154B00" w:rsidRDefault="00A83EC6" w:rsidP="00530204">
      <w:pPr>
        <w:pStyle w:val="Heading2"/>
      </w:pPr>
      <w:r w:rsidRPr="00154B00">
        <w:t>Nominate the appropriate comparator(s) for the proposed medical service</w:t>
      </w:r>
      <w:r w:rsidR="00BF6497">
        <w:t xml:space="preserve"> (</w:t>
      </w:r>
      <w:proofErr w:type="gramStart"/>
      <w:r w:rsidR="00757232">
        <w:t>i</w:t>
      </w:r>
      <w:r w:rsidR="00D30BDC">
        <w:t>.</w:t>
      </w:r>
      <w:r w:rsidR="000159B9" w:rsidRPr="00154B00">
        <w:t>e.</w:t>
      </w:r>
      <w:proofErr w:type="gramEnd"/>
      <w:r w:rsidR="000159B9" w:rsidRPr="00154B00">
        <w:t xml:space="preserv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20FDF1DF" w14:textId="64CF7AAB" w:rsidR="00E60529" w:rsidRPr="00154B00" w:rsidRDefault="00762A74" w:rsidP="001B29A1">
      <w:pPr>
        <w:ind w:left="426"/>
        <w:rPr>
          <w:szCs w:val="20"/>
        </w:rPr>
      </w:pPr>
      <w:r w:rsidRPr="001A358A">
        <w:t>The comparator is no PD-L1 testing and current standard of care</w:t>
      </w:r>
      <w:r w:rsidR="002D72A3">
        <w:t>,</w:t>
      </w:r>
      <w:r w:rsidRPr="001A358A">
        <w:t xml:space="preserve"> </w:t>
      </w:r>
      <w:r w:rsidR="002D72A3">
        <w:t>which is a platinum compound plus paclitaxel</w:t>
      </w:r>
      <w:r w:rsidR="00802984">
        <w:t>, with or without bevacizumab.</w:t>
      </w:r>
      <w:r>
        <w:t xml:space="preserve"> </w:t>
      </w:r>
    </w:p>
    <w:p w14:paraId="4934C2CA"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0821A3DE"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8111C">
        <w:rPr>
          <w:szCs w:val="20"/>
        </w:rPr>
      </w:r>
      <w:r w:rsidR="0058111C">
        <w:rPr>
          <w:szCs w:val="20"/>
        </w:rPr>
        <w:fldChar w:fldCharType="separate"/>
      </w:r>
      <w:r w:rsidRPr="00753C44">
        <w:rPr>
          <w:szCs w:val="20"/>
        </w:rPr>
        <w:fldChar w:fldCharType="end"/>
      </w:r>
      <w:r>
        <w:rPr>
          <w:szCs w:val="20"/>
        </w:rPr>
        <w:t xml:space="preserve"> Yes (please </w:t>
      </w:r>
      <w:r w:rsidR="003904AC">
        <w:rPr>
          <w:szCs w:val="20"/>
        </w:rPr>
        <w:t xml:space="preserve">list </w:t>
      </w:r>
      <w:r>
        <w:rPr>
          <w:szCs w:val="20"/>
        </w:rPr>
        <w:t>all relevant MBS item numbers below)</w:t>
      </w:r>
    </w:p>
    <w:p w14:paraId="0D981F05" w14:textId="3587AAFD" w:rsidR="000159B9" w:rsidRDefault="00B36F51"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111C">
        <w:rPr>
          <w:szCs w:val="20"/>
        </w:rPr>
      </w:r>
      <w:r w:rsidR="0058111C">
        <w:rPr>
          <w:szCs w:val="20"/>
        </w:rPr>
        <w:fldChar w:fldCharType="separate"/>
      </w:r>
      <w:r>
        <w:rPr>
          <w:szCs w:val="20"/>
        </w:rPr>
        <w:fldChar w:fldCharType="end"/>
      </w:r>
      <w:r w:rsidR="006A1038">
        <w:rPr>
          <w:szCs w:val="20"/>
        </w:rPr>
        <w:t xml:space="preserve"> No  </w:t>
      </w:r>
    </w:p>
    <w:p w14:paraId="08D93E83" w14:textId="29C09CAD" w:rsidR="00A83EC6" w:rsidRPr="00154B00" w:rsidRDefault="005C3AE7" w:rsidP="00530204">
      <w:pPr>
        <w:pStyle w:val="Heading2"/>
      </w:pPr>
      <w:r>
        <w:t xml:space="preserve">(a) </w:t>
      </w:r>
      <w:r w:rsidR="00CD7A7D" w:rsidRPr="00154B00">
        <w:t xml:space="preserve">Will </w:t>
      </w:r>
      <w:r w:rsidR="00A83EC6" w:rsidRPr="00154B00">
        <w:t>the proposed medical service</w:t>
      </w:r>
      <w:r w:rsidR="00095B45">
        <w:t>/technology</w:t>
      </w:r>
      <w:r w:rsidR="00A83EC6" w:rsidRPr="00154B00">
        <w:t xml:space="preserve"> be used in addition to, or instead of, the nominated </w:t>
      </w:r>
      <w:r w:rsidR="00A83EC6" w:rsidRPr="001B29A1">
        <w:t>comparator</w:t>
      </w:r>
      <w:r w:rsidR="00A83EC6" w:rsidRPr="00154B00">
        <w:t>(s)</w:t>
      </w:r>
      <w:r w:rsidR="00D30BDC">
        <w:t>?</w:t>
      </w:r>
    </w:p>
    <w:p w14:paraId="113FCBA2"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8111C">
        <w:rPr>
          <w:szCs w:val="20"/>
        </w:rPr>
      </w:r>
      <w:r w:rsidR="0058111C">
        <w:rPr>
          <w:szCs w:val="20"/>
        </w:rPr>
        <w:fldChar w:fldCharType="separate"/>
      </w:r>
      <w:r w:rsidRPr="00753C44">
        <w:rPr>
          <w:szCs w:val="20"/>
        </w:rPr>
        <w:fldChar w:fldCharType="end"/>
      </w:r>
      <w:r>
        <w:rPr>
          <w:szCs w:val="20"/>
        </w:rPr>
        <w:t xml:space="preserve"> </w:t>
      </w:r>
      <w:r w:rsidR="00282BE8">
        <w:rPr>
          <w:szCs w:val="20"/>
        </w:rPr>
        <w:t>In addition to (</w:t>
      </w:r>
      <w:proofErr w:type="gramStart"/>
      <w:r w:rsidR="00282BE8">
        <w:rPr>
          <w:szCs w:val="20"/>
        </w:rPr>
        <w:t>i.e.</w:t>
      </w:r>
      <w:proofErr w:type="gramEnd"/>
      <w:r w:rsidR="00282BE8">
        <w:rPr>
          <w:szCs w:val="20"/>
        </w:rPr>
        <w:t xml:space="preserve"> it is an add-on service)</w:t>
      </w:r>
      <w:r>
        <w:rPr>
          <w:szCs w:val="20"/>
        </w:rPr>
        <w:t xml:space="preserve"> </w:t>
      </w:r>
    </w:p>
    <w:p w14:paraId="5773C77D"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8111C">
        <w:rPr>
          <w:szCs w:val="20"/>
        </w:rPr>
      </w:r>
      <w:r w:rsidR="0058111C">
        <w:rPr>
          <w:szCs w:val="20"/>
        </w:rPr>
        <w:fldChar w:fldCharType="separate"/>
      </w:r>
      <w:r w:rsidRPr="00753C44">
        <w:rPr>
          <w:szCs w:val="20"/>
        </w:rPr>
        <w:fldChar w:fldCharType="end"/>
      </w:r>
      <w:r>
        <w:rPr>
          <w:szCs w:val="20"/>
        </w:rPr>
        <w:t xml:space="preserve"> </w:t>
      </w:r>
      <w:r w:rsidR="00282BE8">
        <w:rPr>
          <w:szCs w:val="20"/>
        </w:rPr>
        <w:t>Instead of (</w:t>
      </w:r>
      <w:proofErr w:type="gramStart"/>
      <w:r w:rsidR="00282BE8">
        <w:rPr>
          <w:szCs w:val="20"/>
        </w:rPr>
        <w:t>i.e.</w:t>
      </w:r>
      <w:proofErr w:type="gramEnd"/>
      <w:r w:rsidR="00282BE8">
        <w:rPr>
          <w:szCs w:val="20"/>
        </w:rPr>
        <w:t xml:space="preserve"> it is a replacement or alternative)</w:t>
      </w:r>
    </w:p>
    <w:p w14:paraId="2E9E6904" w14:textId="69B96154" w:rsidR="001B29A1" w:rsidRPr="005C15D6" w:rsidRDefault="00095B45" w:rsidP="00881F93">
      <w:pPr>
        <w:pStyle w:val="Heading2"/>
        <w:numPr>
          <w:ilvl w:val="0"/>
          <w:numId w:val="30"/>
        </w:numPr>
      </w:pPr>
      <w:r w:rsidRPr="00095B45">
        <w:t>If yes, please outline the extent to which the current service/comparator is expected to be substituted</w:t>
      </w:r>
    </w:p>
    <w:p w14:paraId="0E2F9D17" w14:textId="77777777" w:rsidR="00DF0D47" w:rsidRPr="00881F93" w:rsidRDefault="00095B45" w:rsidP="005C15D6">
      <w:pPr>
        <w:pStyle w:val="Subtitle"/>
        <w:ind w:left="0"/>
      </w:pPr>
      <w:r w:rsidRPr="00095B45">
        <w:t xml:space="preserve">PART 6c </w:t>
      </w:r>
      <w:proofErr w:type="gramStart"/>
      <w:r w:rsidRPr="00095B45">
        <w:t>CONTINUED  –</w:t>
      </w:r>
      <w:proofErr w:type="gramEnd"/>
      <w:r w:rsidRPr="00095B45">
        <w:t xml:space="preserve"> INFORMATION ABOUT ALGORITHMS (CLINICAL MANAGEMENT PATHWAYS)</w:t>
      </w:r>
      <w:r w:rsidR="008D1A4B">
        <w:t>s</w:t>
      </w:r>
    </w:p>
    <w:p w14:paraId="53AA3EA4" w14:textId="138B133F" w:rsidR="00095B45" w:rsidRPr="00154B00" w:rsidRDefault="00095B45" w:rsidP="00095B45">
      <w:pPr>
        <w:pStyle w:val="Heading2"/>
      </w:pPr>
      <w:r w:rsidRPr="00154B00">
        <w:t>Define</w:t>
      </w:r>
      <w:r w:rsidRPr="00095B45">
        <w:t xml:space="preserve"> and summarise the CURRENT clinical management pathway (algorithm) that patients follow when they receive the COMPARATOR service (</w:t>
      </w:r>
      <w:proofErr w:type="gramStart"/>
      <w:r w:rsidRPr="00095B45">
        <w:t>i.e.</w:t>
      </w:r>
      <w:proofErr w:type="gramEnd"/>
      <w:r w:rsidRPr="00095B45">
        <w:t xml:space="preserve"> the landscape </w:t>
      </w:r>
      <w:r w:rsidRPr="005E143B">
        <w:rPr>
          <w:u w:val="single"/>
        </w:rPr>
        <w:t>before</w:t>
      </w:r>
      <w:r w:rsidRPr="00095B45">
        <w:t xml:space="preserve"> the proposed service is introduced). An easy-to-follow flowchart is preferred, depicting the current </w:t>
      </w:r>
      <w:r w:rsidRPr="005E143B">
        <w:rPr>
          <w:u w:val="single"/>
        </w:rPr>
        <w:t>clinical management pathway</w:t>
      </w:r>
      <w:r w:rsidRPr="00095B45">
        <w:t>), but dot-points would be acceptable. Please include health care resources used in the current landscape (</w:t>
      </w:r>
      <w:proofErr w:type="gramStart"/>
      <w:r w:rsidRPr="00095B45">
        <w:t>e.g.</w:t>
      </w:r>
      <w:proofErr w:type="gramEnd"/>
      <w:r w:rsidRPr="00095B45">
        <w:t xml:space="preserve"> pharmaceuticals, diagnostics and investigative services, </w:t>
      </w:r>
      <w:r w:rsidR="005272F8" w:rsidRPr="00095B45">
        <w:t>etc.</w:t>
      </w:r>
      <w:r w:rsidRPr="00095B45">
        <w:t xml:space="preserve">). </w:t>
      </w:r>
    </w:p>
    <w:p w14:paraId="738EE500" w14:textId="5C179578" w:rsidR="00CB6101" w:rsidRDefault="00CB6101" w:rsidP="000935C1">
      <w:pPr>
        <w:ind w:left="360"/>
        <w:rPr>
          <w:szCs w:val="20"/>
        </w:rPr>
      </w:pPr>
      <w:r>
        <w:rPr>
          <w:szCs w:val="20"/>
        </w:rPr>
        <w:t>Patients who present to their healthcare provider with symptoms of cervical cancer will undergo further investigation. These symptoms include vaginal bleeding between periods, longer or heavier than usual menstrual bleeding, pain or bleeding during intercourse, pelvic pain, change in vaginal discharge or bleeding after menopause. Following a screening test that may indicate signs of cancer, a specialist may carry out further tests such as a col</w:t>
      </w:r>
      <w:r w:rsidR="00CF5653">
        <w:rPr>
          <w:szCs w:val="20"/>
        </w:rPr>
        <w:t>p</w:t>
      </w:r>
      <w:r>
        <w:rPr>
          <w:szCs w:val="20"/>
        </w:rPr>
        <w:t>oscopy with biopsy, large loop excision or a cone biopsy</w:t>
      </w:r>
      <w:r w:rsidR="00AD7467">
        <w:rPr>
          <w:szCs w:val="20"/>
        </w:rPr>
        <w:t xml:space="preserve"> (see Figure 1)</w:t>
      </w:r>
      <w:r>
        <w:rPr>
          <w:szCs w:val="20"/>
        </w:rPr>
        <w:t xml:space="preserve">. Diagnosis and staging will occur at this stage with biopsies taken from the suspect areas. </w:t>
      </w:r>
    </w:p>
    <w:p w14:paraId="4BF41926" w14:textId="6B04FB25" w:rsidR="00CB6101" w:rsidRDefault="00CB6101" w:rsidP="004C53CD">
      <w:pPr>
        <w:ind w:left="360"/>
        <w:rPr>
          <w:szCs w:val="20"/>
        </w:rPr>
      </w:pPr>
      <w:r>
        <w:rPr>
          <w:szCs w:val="20"/>
        </w:rPr>
        <w:t>Treatment is dependent on the disease stage of the cancer. For early</w:t>
      </w:r>
      <w:r w:rsidR="006B6DDC">
        <w:rPr>
          <w:szCs w:val="20"/>
        </w:rPr>
        <w:t>-stage disease</w:t>
      </w:r>
      <w:r>
        <w:rPr>
          <w:szCs w:val="20"/>
        </w:rPr>
        <w:t xml:space="preserve"> and </w:t>
      </w:r>
      <w:r w:rsidR="006B6DDC">
        <w:rPr>
          <w:szCs w:val="20"/>
        </w:rPr>
        <w:t>smaller lesions</w:t>
      </w:r>
      <w:r>
        <w:rPr>
          <w:szCs w:val="20"/>
        </w:rPr>
        <w:t>, treatment can be a combination of surgery and</w:t>
      </w:r>
      <w:r w:rsidR="001E3514">
        <w:rPr>
          <w:szCs w:val="20"/>
        </w:rPr>
        <w:t>/or</w:t>
      </w:r>
      <w:r>
        <w:rPr>
          <w:szCs w:val="20"/>
        </w:rPr>
        <w:t xml:space="preserve"> chemoradiation therapy. For locally advanced disease, </w:t>
      </w:r>
      <w:r w:rsidR="00AC3728">
        <w:rPr>
          <w:szCs w:val="20"/>
        </w:rPr>
        <w:t>chemo-sensitising radiotherapy with chemotherapy drugs</w:t>
      </w:r>
      <w:r>
        <w:rPr>
          <w:szCs w:val="20"/>
        </w:rPr>
        <w:t xml:space="preserve"> such as cisplatin is utilised. </w:t>
      </w:r>
    </w:p>
    <w:p w14:paraId="6E75B339" w14:textId="5464E31C" w:rsidR="00CB6101" w:rsidRDefault="00CB6101" w:rsidP="004C53CD">
      <w:pPr>
        <w:ind w:left="360"/>
        <w:rPr>
          <w:szCs w:val="20"/>
        </w:rPr>
      </w:pPr>
      <w:r>
        <w:rPr>
          <w:szCs w:val="20"/>
        </w:rPr>
        <w:t xml:space="preserve">Current guidelines for first-line treatment of patients with persistent, recurrent, or metastatic disease is chemotherapy using a platinum-based combination plus an angiogenesis inhibitor, such as bevacizumab (refer to </w:t>
      </w:r>
      <w:r w:rsidR="004C53CD">
        <w:rPr>
          <w:szCs w:val="20"/>
        </w:rPr>
        <w:t xml:space="preserve">Figure </w:t>
      </w:r>
      <w:r w:rsidR="00592DEE">
        <w:rPr>
          <w:szCs w:val="20"/>
        </w:rPr>
        <w:t>2</w:t>
      </w:r>
      <w:r>
        <w:rPr>
          <w:szCs w:val="20"/>
        </w:rPr>
        <w:t xml:space="preserve">). The combination is a platinum compound with paclitaxel. The choice of the platinum </w:t>
      </w:r>
      <w:r>
        <w:rPr>
          <w:szCs w:val="20"/>
        </w:rPr>
        <w:lastRenderedPageBreak/>
        <w:t>compound depends on the individual patient’s comorbidities, such as pre-existing renal failure and previous history of cisplatin-based chemoradiation.</w:t>
      </w:r>
    </w:p>
    <w:p w14:paraId="24B685F3" w14:textId="4D495CD8" w:rsidR="00FC077E" w:rsidRPr="00FC077E" w:rsidRDefault="00FC077E" w:rsidP="00FC077E">
      <w:pPr>
        <w:pStyle w:val="Caption"/>
        <w:keepNext/>
        <w:jc w:val="both"/>
        <w:rPr>
          <w:b/>
          <w:i w:val="0"/>
          <w:color w:val="auto"/>
        </w:rPr>
      </w:pPr>
      <w:r w:rsidRPr="00FC077E">
        <w:rPr>
          <w:b/>
          <w:i w:val="0"/>
          <w:color w:val="auto"/>
        </w:rPr>
        <w:t xml:space="preserve">Figure </w:t>
      </w:r>
      <w:r w:rsidRPr="00FC077E">
        <w:rPr>
          <w:b/>
          <w:i w:val="0"/>
          <w:color w:val="auto"/>
        </w:rPr>
        <w:fldChar w:fldCharType="begin"/>
      </w:r>
      <w:r w:rsidRPr="00FC077E">
        <w:rPr>
          <w:b/>
          <w:i w:val="0"/>
          <w:color w:val="auto"/>
        </w:rPr>
        <w:instrText xml:space="preserve"> SEQ Figure \* ARABIC </w:instrText>
      </w:r>
      <w:r w:rsidRPr="00FC077E">
        <w:rPr>
          <w:b/>
          <w:i w:val="0"/>
          <w:color w:val="auto"/>
        </w:rPr>
        <w:fldChar w:fldCharType="separate"/>
      </w:r>
      <w:r w:rsidRPr="00FC077E">
        <w:rPr>
          <w:b/>
          <w:i w:val="0"/>
          <w:noProof/>
          <w:color w:val="auto"/>
        </w:rPr>
        <w:t>2</w:t>
      </w:r>
      <w:r w:rsidRPr="00FC077E">
        <w:rPr>
          <w:b/>
          <w:i w:val="0"/>
          <w:color w:val="auto"/>
        </w:rPr>
        <w:fldChar w:fldCharType="end"/>
      </w:r>
      <w:r w:rsidRPr="00FC077E">
        <w:rPr>
          <w:b/>
          <w:i w:val="0"/>
          <w:color w:val="auto"/>
        </w:rPr>
        <w:t xml:space="preserve"> Current treatment algorithm of patients diagnosed with cervical cancer</w:t>
      </w:r>
    </w:p>
    <w:p w14:paraId="5C9B9414" w14:textId="5FCA02B5" w:rsidR="007B1A22" w:rsidRDefault="007B1A22" w:rsidP="00CB6101">
      <w:pPr>
        <w:ind w:left="360"/>
        <w:jc w:val="both"/>
        <w:rPr>
          <w:szCs w:val="20"/>
        </w:rPr>
      </w:pPr>
      <w:r w:rsidRPr="007B1A22">
        <w:rPr>
          <w:noProof/>
          <w:szCs w:val="20"/>
        </w:rPr>
        <w:drawing>
          <wp:inline distT="0" distB="0" distL="0" distR="0" wp14:anchorId="63D6CBF1" wp14:editId="66074ED4">
            <wp:extent cx="6111142" cy="2514600"/>
            <wp:effectExtent l="0" t="0" r="4445" b="0"/>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icture"/>
                    <pic:cNvPicPr/>
                  </pic:nvPicPr>
                  <pic:blipFill>
                    <a:blip r:embed="rId17"/>
                    <a:stretch>
                      <a:fillRect/>
                    </a:stretch>
                  </pic:blipFill>
                  <pic:spPr>
                    <a:xfrm>
                      <a:off x="0" y="0"/>
                      <a:ext cx="6112445" cy="2515136"/>
                    </a:xfrm>
                    <a:prstGeom prst="rect">
                      <a:avLst/>
                    </a:prstGeom>
                  </pic:spPr>
                </pic:pic>
              </a:graphicData>
            </a:graphic>
          </wp:inline>
        </w:drawing>
      </w:r>
    </w:p>
    <w:p w14:paraId="3A8BA88B" w14:textId="08F5E313" w:rsidR="00095B45" w:rsidRDefault="00095B45" w:rsidP="00095B45">
      <w:pPr>
        <w:pStyle w:val="Heading2"/>
      </w:pPr>
      <w:r w:rsidRPr="00095B45">
        <w:t xml:space="preserve">Define and summarise the PROPOSED clinical management pathway (algorithm) that patients would </w:t>
      </w:r>
      <w:proofErr w:type="gramStart"/>
      <w:r w:rsidRPr="00095B45">
        <w:t xml:space="preserve">follow </w:t>
      </w:r>
      <w:r w:rsidRPr="008D1A4B">
        <w:rPr>
          <w:u w:val="single"/>
        </w:rPr>
        <w:t>after</w:t>
      </w:r>
      <w:proofErr w:type="gramEnd"/>
      <w:r w:rsidRPr="00095B45">
        <w:t xml:space="preserve"> the proposed service/technology is introduced, including variation in health care resources.</w:t>
      </w:r>
    </w:p>
    <w:p w14:paraId="1ACDC074" w14:textId="48979F97" w:rsidR="0047363C" w:rsidRDefault="005F39A7" w:rsidP="006F1C71">
      <w:pPr>
        <w:ind w:left="357"/>
      </w:pPr>
      <w:r>
        <w:t>Using the proposed</w:t>
      </w:r>
      <w:r w:rsidR="0037247A">
        <w:t xml:space="preserve"> service, p</w:t>
      </w:r>
      <w:r w:rsidR="00D63BA9">
        <w:t>atient</w:t>
      </w:r>
      <w:r w:rsidR="002466A8">
        <w:t>s</w:t>
      </w:r>
      <w:r w:rsidR="00D63BA9">
        <w:t xml:space="preserve"> with</w:t>
      </w:r>
      <w:r w:rsidR="002466A8">
        <w:t xml:space="preserve"> persistent, </w:t>
      </w:r>
      <w:r w:rsidR="00286516">
        <w:t>recurr</w:t>
      </w:r>
      <w:r w:rsidR="00872329">
        <w:t>ent</w:t>
      </w:r>
      <w:r w:rsidR="00286516">
        <w:t>,</w:t>
      </w:r>
      <w:r w:rsidR="002466A8">
        <w:t xml:space="preserve"> </w:t>
      </w:r>
      <w:r w:rsidR="00872329">
        <w:t>or</w:t>
      </w:r>
      <w:r w:rsidR="002466A8">
        <w:t xml:space="preserve"> metastatic cervical cancer </w:t>
      </w:r>
      <w:r w:rsidR="000231B4">
        <w:t xml:space="preserve">would be treated with a </w:t>
      </w:r>
      <w:r w:rsidR="00831F18">
        <w:t>combination chemotherapy regimen</w:t>
      </w:r>
      <w:r w:rsidR="000231B4">
        <w:t xml:space="preserve"> of </w:t>
      </w:r>
      <w:r w:rsidR="002D72A3">
        <w:t>a platinum</w:t>
      </w:r>
      <w:r w:rsidR="00EA5F56">
        <w:t>-</w:t>
      </w:r>
      <w:r w:rsidR="002D72A3">
        <w:t>based compound</w:t>
      </w:r>
      <w:r w:rsidR="00B115BD">
        <w:t xml:space="preserve"> </w:t>
      </w:r>
      <w:r w:rsidR="007E381B">
        <w:t xml:space="preserve">plus paclitaxel plus </w:t>
      </w:r>
      <w:r w:rsidR="00A55978">
        <w:t>pembrolizumab, with or without bevacizumab</w:t>
      </w:r>
      <w:r w:rsidR="005B38DB">
        <w:t xml:space="preserve"> (refer to </w:t>
      </w:r>
      <w:r w:rsidR="00326D0B">
        <w:t>Figure 3</w:t>
      </w:r>
      <w:r w:rsidR="005B38DB" w:rsidRPr="004963D7">
        <w:t>)</w:t>
      </w:r>
      <w:r w:rsidR="00A55978" w:rsidRPr="004963D7">
        <w:t>.</w:t>
      </w:r>
      <w:r w:rsidR="000E2AF1">
        <w:t xml:space="preserve"> Patients presenting with persistent or recurrent disease would </w:t>
      </w:r>
      <w:r w:rsidR="00D555D2">
        <w:t xml:space="preserve">have </w:t>
      </w:r>
      <w:r w:rsidR="000E2AF1">
        <w:t>archival tissue available</w:t>
      </w:r>
      <w:r w:rsidR="00B27B6E">
        <w:t xml:space="preserve"> from initial diagnostic workup</w:t>
      </w:r>
      <w:r w:rsidR="000E2AF1">
        <w:t>, and t</w:t>
      </w:r>
      <w:r w:rsidR="00B27B6E">
        <w:t xml:space="preserve">he same tissue sample </w:t>
      </w:r>
      <w:r w:rsidR="000E2AF1">
        <w:t xml:space="preserve">can </w:t>
      </w:r>
      <w:r w:rsidR="00D555D2">
        <w:t xml:space="preserve">then </w:t>
      </w:r>
      <w:r w:rsidR="000E2AF1">
        <w:t>be used for PD-L1 IHC testing</w:t>
      </w:r>
      <w:r w:rsidR="00B27B6E">
        <w:t>.</w:t>
      </w:r>
      <w:r w:rsidR="008462DE">
        <w:t xml:space="preserve"> </w:t>
      </w:r>
      <w:r w:rsidR="00060843">
        <w:t xml:space="preserve">In the instance where archival tissue is not available, or a patient is newly diagnosed with metastatic disease, then the PD-L1 </w:t>
      </w:r>
      <w:r w:rsidR="00E54AE7">
        <w:t>IHC testing will be performed on newly obtained tissue samples</w:t>
      </w:r>
      <w:r w:rsidR="009F27F0">
        <w:t xml:space="preserve"> that had not been previously irradiated</w:t>
      </w:r>
      <w:r w:rsidR="00E54AE7">
        <w:t>.</w:t>
      </w:r>
    </w:p>
    <w:p w14:paraId="2123D5B6" w14:textId="022E884C" w:rsidR="001037DC" w:rsidRPr="00326D0B" w:rsidRDefault="001037DC" w:rsidP="000D22DC">
      <w:pPr>
        <w:pStyle w:val="Caption"/>
        <w:keepNext/>
        <w:rPr>
          <w:b/>
          <w:i w:val="0"/>
          <w:color w:val="auto"/>
        </w:rPr>
      </w:pPr>
      <w:r w:rsidRPr="00326D0B">
        <w:rPr>
          <w:b/>
          <w:i w:val="0"/>
          <w:color w:val="auto"/>
        </w:rPr>
        <w:t>Figure</w:t>
      </w:r>
      <w:r w:rsidRPr="00FC077E">
        <w:rPr>
          <w:b/>
          <w:i w:val="0"/>
          <w:color w:val="auto"/>
        </w:rPr>
        <w:t xml:space="preserve"> </w:t>
      </w:r>
      <w:r w:rsidRPr="00FC077E">
        <w:rPr>
          <w:b/>
          <w:i w:val="0"/>
          <w:color w:val="auto"/>
        </w:rPr>
        <w:fldChar w:fldCharType="begin"/>
      </w:r>
      <w:r w:rsidRPr="00FC077E">
        <w:rPr>
          <w:b/>
          <w:i w:val="0"/>
          <w:color w:val="auto"/>
        </w:rPr>
        <w:instrText xml:space="preserve"> SEQ Figure \* ARABIC </w:instrText>
      </w:r>
      <w:r w:rsidRPr="00FC077E">
        <w:rPr>
          <w:b/>
          <w:i w:val="0"/>
          <w:color w:val="auto"/>
        </w:rPr>
        <w:fldChar w:fldCharType="separate"/>
      </w:r>
      <w:r w:rsidR="00FC077E" w:rsidRPr="00FC077E">
        <w:rPr>
          <w:b/>
          <w:i w:val="0"/>
          <w:noProof/>
          <w:color w:val="auto"/>
        </w:rPr>
        <w:t>3</w:t>
      </w:r>
      <w:r w:rsidRPr="00FC077E">
        <w:rPr>
          <w:b/>
          <w:i w:val="0"/>
          <w:color w:val="auto"/>
        </w:rPr>
        <w:fldChar w:fldCharType="end"/>
      </w:r>
      <w:r w:rsidRPr="00326D0B">
        <w:rPr>
          <w:b/>
          <w:i w:val="0"/>
          <w:color w:val="auto"/>
        </w:rPr>
        <w:t xml:space="preserve"> Proposed treatment algorithm of patients diagnosed with cervical cancer</w:t>
      </w:r>
    </w:p>
    <w:p w14:paraId="303CF9EF" w14:textId="6D842074" w:rsidR="001037DC" w:rsidRPr="0047363C" w:rsidRDefault="001037DC" w:rsidP="006F1C71">
      <w:pPr>
        <w:ind w:left="357"/>
      </w:pPr>
      <w:r w:rsidRPr="001037DC">
        <w:rPr>
          <w:noProof/>
        </w:rPr>
        <w:drawing>
          <wp:inline distT="0" distB="0" distL="0" distR="0" wp14:anchorId="00DDE161" wp14:editId="4EEAF785">
            <wp:extent cx="6029706" cy="2619375"/>
            <wp:effectExtent l="0" t="0" r="9525" b="0"/>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icture"/>
                    <pic:cNvPicPr/>
                  </pic:nvPicPr>
                  <pic:blipFill>
                    <a:blip r:embed="rId18"/>
                    <a:stretch>
                      <a:fillRect/>
                    </a:stretch>
                  </pic:blipFill>
                  <pic:spPr>
                    <a:xfrm>
                      <a:off x="0" y="0"/>
                      <a:ext cx="6032147" cy="2620435"/>
                    </a:xfrm>
                    <a:prstGeom prst="rect">
                      <a:avLst/>
                    </a:prstGeom>
                  </pic:spPr>
                </pic:pic>
              </a:graphicData>
            </a:graphic>
          </wp:inline>
        </w:drawing>
      </w:r>
    </w:p>
    <w:p w14:paraId="625CE174" w14:textId="77777777" w:rsidR="00095B45" w:rsidRPr="00095B45" w:rsidRDefault="00095B45" w:rsidP="005C15D6">
      <w:pPr>
        <w:pStyle w:val="Subtitle"/>
        <w:ind w:left="0"/>
      </w:pPr>
      <w:r w:rsidRPr="00095B45">
        <w:t>PART 6d – INFORMATION ABOUT CLINICAL OUTCOMES</w:t>
      </w:r>
    </w:p>
    <w:p w14:paraId="20420BA4" w14:textId="77777777" w:rsidR="004E3CC7" w:rsidRPr="001B29A1" w:rsidRDefault="0070256F" w:rsidP="00530204">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5013A423" w14:textId="245E2666" w:rsidR="00745777" w:rsidRPr="00E73649" w:rsidRDefault="00745777" w:rsidP="00745777">
      <w:pPr>
        <w:ind w:left="360"/>
      </w:pPr>
      <w:r w:rsidRPr="00E73649">
        <w:t xml:space="preserve">PD-L1 testing followed by treatment with pembrolizumab is associated with superior outcomes compared to </w:t>
      </w:r>
      <w:r>
        <w:t xml:space="preserve">the </w:t>
      </w:r>
      <w:r w:rsidRPr="00E73649">
        <w:t>current standard of care for patients with</w:t>
      </w:r>
      <w:r w:rsidR="00376EAD">
        <w:t xml:space="preserve"> persistent, recurrent, or metastatic cervical cancer.</w:t>
      </w:r>
      <w:r w:rsidRPr="00E73649">
        <w:t xml:space="preserve"> </w:t>
      </w:r>
    </w:p>
    <w:p w14:paraId="1C8CA2AA" w14:textId="77777777" w:rsidR="00745777" w:rsidRPr="00E73649" w:rsidRDefault="00745777" w:rsidP="00745777">
      <w:pPr>
        <w:ind w:left="360"/>
      </w:pPr>
      <w:r w:rsidRPr="00E73649">
        <w:lastRenderedPageBreak/>
        <w:t>Hence, the clinical claim is driven by t</w:t>
      </w:r>
      <w:r>
        <w:t>hree</w:t>
      </w:r>
      <w:r w:rsidRPr="00E73649">
        <w:t xml:space="preserve"> factors:</w:t>
      </w:r>
    </w:p>
    <w:p w14:paraId="5A492654" w14:textId="77777777" w:rsidR="00745777" w:rsidRPr="00E73649" w:rsidRDefault="00745777" w:rsidP="00745777">
      <w:pPr>
        <w:ind w:left="720"/>
      </w:pPr>
      <w:r w:rsidRPr="00E73649">
        <w:t>1.</w:t>
      </w:r>
      <w:r w:rsidRPr="00E73649">
        <w:tab/>
        <w:t>Acceptable safety and analytical performance of PD-L1 test. (To be assessed by MSAC.)</w:t>
      </w:r>
    </w:p>
    <w:p w14:paraId="435044CC" w14:textId="77777777" w:rsidR="00745777" w:rsidRDefault="00745777" w:rsidP="00745777">
      <w:pPr>
        <w:ind w:left="720"/>
      </w:pPr>
      <w:r w:rsidRPr="00E73649">
        <w:t>2.</w:t>
      </w:r>
      <w:r w:rsidRPr="00E73649">
        <w:tab/>
        <w:t xml:space="preserve">Superior effectiveness with acceptable safety of treating PD-L1 positive patients with </w:t>
      </w:r>
    </w:p>
    <w:p w14:paraId="796C2F9B" w14:textId="4AF3E9A0" w:rsidR="00745777" w:rsidRDefault="00745777" w:rsidP="00745777">
      <w:pPr>
        <w:ind w:left="720"/>
      </w:pPr>
      <w:r>
        <w:t xml:space="preserve">                </w:t>
      </w:r>
      <w:r w:rsidRPr="00E73649">
        <w:t>pembrolizumab relative to standard of care. (To be assessed by PBAC).</w:t>
      </w:r>
    </w:p>
    <w:p w14:paraId="466B43EC" w14:textId="77777777" w:rsidR="00745777" w:rsidRPr="00AA4BC4" w:rsidRDefault="00745777" w:rsidP="00745777">
      <w:pPr>
        <w:ind w:left="720"/>
      </w:pPr>
      <w:r w:rsidRPr="00AA4BC4">
        <w:t>3.             Clinical utility of the test + drug combination (To be assessed by MSAC/PBAC).</w:t>
      </w:r>
    </w:p>
    <w:p w14:paraId="1C197CE5" w14:textId="5DA3E7F6" w:rsidR="00745777" w:rsidRDefault="00745777" w:rsidP="00745777">
      <w:pPr>
        <w:ind w:left="360"/>
      </w:pPr>
      <w:r w:rsidRPr="00AA4BC4">
        <w:t xml:space="preserve">Clinical efficacy and the clinical utility claims will be based </w:t>
      </w:r>
      <w:r w:rsidRPr="00DF09B7">
        <w:t xml:space="preserve">on </w:t>
      </w:r>
      <w:r w:rsidRPr="00376EAD">
        <w:t>KN</w:t>
      </w:r>
      <w:r w:rsidR="003700E4" w:rsidRPr="00376EAD">
        <w:t>826</w:t>
      </w:r>
      <w:r w:rsidRPr="00DF09B7">
        <w:t>.</w:t>
      </w:r>
      <w:r w:rsidRPr="00376EAD">
        <w:t xml:space="preserve"> KN180 and</w:t>
      </w:r>
      <w:r>
        <w:t xml:space="preserve"> KN028</w:t>
      </w:r>
      <w:r w:rsidRPr="00AA4BC4">
        <w:t xml:space="preserve"> data will be used as supportive data to inform safety outcomes.</w:t>
      </w:r>
    </w:p>
    <w:p w14:paraId="18D90D99" w14:textId="7178453E" w:rsidR="00745777" w:rsidRPr="00AA4BC4" w:rsidRDefault="00745777" w:rsidP="00745777">
      <w:pPr>
        <w:ind w:left="360"/>
      </w:pPr>
      <w:r>
        <w:t xml:space="preserve">The co-dependent submission will </w:t>
      </w:r>
      <w:r w:rsidR="00B760CA">
        <w:t>present efficacy and safety data for</w:t>
      </w:r>
      <w:r>
        <w:t xml:space="preserve"> patients with </w:t>
      </w:r>
      <w:r w:rsidRPr="00AC3728">
        <w:t xml:space="preserve">PD-L1 expression </w:t>
      </w:r>
      <w:r w:rsidR="00B760CA">
        <w:t>CPS≥1 and the complement (</w:t>
      </w:r>
      <w:r w:rsidRPr="00AC3728">
        <w:t>CPS</w:t>
      </w:r>
      <w:r w:rsidR="004A7802">
        <w:t xml:space="preserve"> </w:t>
      </w:r>
      <w:r w:rsidRPr="00AC3728">
        <w:t>&lt;1</w:t>
      </w:r>
      <w:r w:rsidR="00B760CA">
        <w:t>). It is expected that</w:t>
      </w:r>
      <w:r w:rsidRPr="00AC3728">
        <w:t xml:space="preserve"> PD-L1 </w:t>
      </w:r>
      <w:r w:rsidR="00B760CA">
        <w:t>testing will help to determine the most appropriate clinical pathway for individual patients</w:t>
      </w:r>
      <w:r w:rsidRPr="00AC3728">
        <w:t xml:space="preserve"> </w:t>
      </w:r>
    </w:p>
    <w:p w14:paraId="4B3457B9" w14:textId="77777777" w:rsidR="004E3CC7" w:rsidRDefault="0047363C" w:rsidP="00943A5E">
      <w:pPr>
        <w:pStyle w:val="Heading2"/>
      </w:pPr>
      <w:r w:rsidRPr="0047363C">
        <w:t>Please state what the overall clinical claim is</w:t>
      </w:r>
      <w:r>
        <w:t>:</w:t>
      </w:r>
    </w:p>
    <w:p w14:paraId="4CC3836B" w14:textId="771FE15B" w:rsidR="009A5698" w:rsidRPr="009A5698" w:rsidRDefault="00F52701" w:rsidP="009A5698">
      <w:pPr>
        <w:ind w:left="284"/>
        <w:rPr>
          <w:rFonts w:cstheme="minorHAnsi"/>
        </w:rPr>
      </w:pPr>
      <w:r>
        <w:rPr>
          <w:noProof/>
        </w:rPr>
        <w:t>The clinical evidence in the key clinical trial, KN 826</w:t>
      </w:r>
      <w:r w:rsidR="00F01D5F">
        <w:rPr>
          <w:noProof/>
        </w:rPr>
        <w:t xml:space="preserve">, demonstrated that pembrolizumab in combination with chemotherapy </w:t>
      </w:r>
      <w:r w:rsidR="004A4038">
        <w:rPr>
          <w:noProof/>
        </w:rPr>
        <w:t>+/- bevacizumab</w:t>
      </w:r>
      <w:r w:rsidR="00F01D5F">
        <w:rPr>
          <w:noProof/>
        </w:rPr>
        <w:t xml:space="preserve"> is superior in terms of efficacy and safety</w:t>
      </w:r>
      <w:r w:rsidR="002908EE">
        <w:rPr>
          <w:noProof/>
        </w:rPr>
        <w:t xml:space="preserve">, compared to standard of care </w:t>
      </w:r>
      <w:r w:rsidR="00B00E2A">
        <w:rPr>
          <w:noProof/>
        </w:rPr>
        <w:t xml:space="preserve">(SOC) </w:t>
      </w:r>
      <w:r w:rsidR="002908EE">
        <w:rPr>
          <w:noProof/>
        </w:rPr>
        <w:t>in the Australian setting</w:t>
      </w:r>
      <w:r w:rsidR="004A4038">
        <w:rPr>
          <w:noProof/>
        </w:rPr>
        <w:t xml:space="preserve">, for patients with a PD-L1 expression of CPS </w:t>
      </w:r>
      <w:r w:rsidR="004A4038">
        <w:rPr>
          <w:rFonts w:cstheme="minorHAnsi"/>
        </w:rPr>
        <w:t xml:space="preserve">≥1. The clinical trial also demonstrated that pembrolizumab </w:t>
      </w:r>
      <w:r w:rsidR="0015434B">
        <w:rPr>
          <w:rFonts w:cstheme="minorHAnsi"/>
        </w:rPr>
        <w:t>in combination with chemotherapy +/- bevacizumab was superior in terms of efficacy and safety</w:t>
      </w:r>
      <w:r w:rsidR="00BA6D47">
        <w:rPr>
          <w:rFonts w:cstheme="minorHAnsi"/>
        </w:rPr>
        <w:t xml:space="preserve"> in all patients </w:t>
      </w:r>
      <w:r w:rsidR="00B00E2A">
        <w:rPr>
          <w:rFonts w:cstheme="minorHAnsi"/>
        </w:rPr>
        <w:t xml:space="preserve">compared to SOC. </w:t>
      </w:r>
    </w:p>
    <w:p w14:paraId="321632FE" w14:textId="27265DDE" w:rsidR="00255083" w:rsidRPr="00255083" w:rsidRDefault="00B00E2A" w:rsidP="00E54AE7">
      <w:pPr>
        <w:spacing w:before="0"/>
        <w:ind w:left="284"/>
        <w:rPr>
          <w:noProof/>
        </w:rPr>
      </w:pPr>
      <w:r>
        <w:t>It should be noted that in the KN</w:t>
      </w:r>
      <w:r w:rsidR="00D03279">
        <w:t xml:space="preserve"> </w:t>
      </w:r>
      <w:r>
        <w:t>826 pivotal trial approximately 10% of patients were CPS</w:t>
      </w:r>
      <w:r w:rsidR="00D03279">
        <w:t xml:space="preserve"> </w:t>
      </w:r>
      <w:r>
        <w:t xml:space="preserve">&lt;1. It is anticipated that </w:t>
      </w:r>
      <w:r w:rsidR="00784D2F">
        <w:t>the</w:t>
      </w:r>
      <w:r>
        <w:t xml:space="preserve"> proportion </w:t>
      </w:r>
      <w:r w:rsidR="0005455D">
        <w:t>of patients CPS&lt;1 in Australia</w:t>
      </w:r>
      <w:r>
        <w:t xml:space="preserve"> </w:t>
      </w:r>
      <w:r w:rsidR="0005455D">
        <w:t xml:space="preserve">within </w:t>
      </w:r>
      <w:r>
        <w:t>would be consistent within clinical practice. For this small number of patients</w:t>
      </w:r>
      <w:r w:rsidR="00F625AB">
        <w:t xml:space="preserve"> (~</w:t>
      </w:r>
      <w:r w:rsidR="0075639F">
        <w:t>30)</w:t>
      </w:r>
      <w:r>
        <w:t xml:space="preserve"> SOC would be the available treatment option.</w:t>
      </w:r>
    </w:p>
    <w:p w14:paraId="409D3354" w14:textId="07157184" w:rsidR="00DF52EC" w:rsidRPr="004F5F60" w:rsidRDefault="006A6838" w:rsidP="004F5F60">
      <w:pPr>
        <w:spacing w:before="0"/>
        <w:ind w:left="284"/>
        <w:rPr>
          <w:rFonts w:cstheme="minorHAnsi"/>
        </w:rPr>
      </w:pPr>
      <w:r>
        <w:t>It should be noted that a</w:t>
      </w:r>
      <w:r w:rsidR="00DF52EC">
        <w:t xml:space="preserve">t the November 2021 MSAC meeting, the committee supported PD-L1 testing in patients with HNSCC. MSAC considered that PD-L1 testing with a CPS threshold of </w:t>
      </w:r>
      <w:r w:rsidR="00DF52EC">
        <w:rPr>
          <w:rFonts w:cstheme="minorHAnsi"/>
        </w:rPr>
        <w:t xml:space="preserve">≥20 had sufficient value in identifying which patients may derive greater benefit from pembrolizumab monotherapy. The co-dependent submission also proposed a CPS threshold ≥1 for patients to be eligible for pembrolizumab combination therapy, in line the approved TGA indication. However, the PBAC considered that, based on the data provided, pembrolizumab plus chemotherapy was superior to standard of care (SOC) in the CPS ≥1 population </w:t>
      </w:r>
      <w:proofErr w:type="gramStart"/>
      <w:r w:rsidR="00DF52EC">
        <w:rPr>
          <w:rFonts w:cstheme="minorHAnsi"/>
        </w:rPr>
        <w:t>and also</w:t>
      </w:r>
      <w:proofErr w:type="gramEnd"/>
      <w:r w:rsidR="00DF52EC">
        <w:rPr>
          <w:rFonts w:cstheme="minorHAnsi"/>
        </w:rPr>
        <w:t xml:space="preserve"> in the all-comers population (that is, regardless of CPS). On the basis of this, the PBAC is currently of the mind to recommend the listing of pembrolizumab combination therapy in an allcomers population and to not exclude CPS &lt;1 </w:t>
      </w:r>
      <w:proofErr w:type="gramStart"/>
      <w:r w:rsidR="00DF52EC">
        <w:rPr>
          <w:rFonts w:cstheme="minorHAnsi"/>
        </w:rPr>
        <w:t>patients</w:t>
      </w:r>
      <w:proofErr w:type="gramEnd"/>
      <w:r w:rsidR="00DF52EC">
        <w:rPr>
          <w:rFonts w:cstheme="minorHAnsi"/>
        </w:rPr>
        <w:t xml:space="preserve">, which formed approximately 15% of the population. </w:t>
      </w:r>
    </w:p>
    <w:p w14:paraId="18AF0B80" w14:textId="34F5AD26" w:rsidR="00B25D20" w:rsidRDefault="00E6222F" w:rsidP="00943A5E">
      <w:pPr>
        <w:pStyle w:val="Heading2"/>
      </w:pPr>
      <w:r w:rsidRPr="00E6222F">
        <w:t xml:space="preserve">List the key health outcomes (major and minor – prioritising major key health outcomes first) that will need to be measured in assessing the clinical claim for the proposed </w:t>
      </w:r>
      <w:r w:rsidR="00CD6981">
        <w:t xml:space="preserve">medical </w:t>
      </w:r>
      <w:r w:rsidRPr="00E6222F">
        <w:t>service/technology (versus the comparator)</w:t>
      </w:r>
      <w:r w:rsidR="00CD6981">
        <w:t>:</w:t>
      </w:r>
    </w:p>
    <w:tbl>
      <w:tblPr>
        <w:tblStyle w:val="TableGrid"/>
        <w:tblW w:w="0" w:type="auto"/>
        <w:tblLook w:val="04A0" w:firstRow="1" w:lastRow="0" w:firstColumn="1" w:lastColumn="0" w:noHBand="0" w:noVBand="1"/>
        <w:tblCaption w:val="Information About The Clinical Outcome - Part 3"/>
        <w:tblDescription w:val="List the key health outcomes (major and minor – prioritising major key health outcomes first) that will need to be specifically measured  in assessing the clinical claim of the proposed medical service versus the comparator"/>
      </w:tblPr>
      <w:tblGrid>
        <w:gridCol w:w="9016"/>
      </w:tblGrid>
      <w:tr w:rsidR="00AC5FEE" w:rsidRPr="00AA4BC4" w14:paraId="6A6566FA" w14:textId="77777777" w:rsidTr="008B5468">
        <w:trPr>
          <w:cantSplit/>
          <w:tblHeader/>
        </w:trPr>
        <w:tc>
          <w:tcPr>
            <w:tcW w:w="9016" w:type="dxa"/>
          </w:tcPr>
          <w:p w14:paraId="407883CF" w14:textId="5740F252" w:rsidR="00AC5FEE" w:rsidRPr="00AA4BC4" w:rsidRDefault="00AC5FEE" w:rsidP="008B5468">
            <w:pPr>
              <w:pStyle w:val="NoSpacing"/>
              <w:rPr>
                <w:b/>
                <w:sz w:val="20"/>
              </w:rPr>
            </w:pPr>
            <w:r w:rsidRPr="00AA4BC4">
              <w:rPr>
                <w:b/>
                <w:sz w:val="20"/>
              </w:rPr>
              <w:t>Clinical Effectiveness Outcomes</w:t>
            </w:r>
          </w:p>
        </w:tc>
      </w:tr>
      <w:tr w:rsidR="00AC5FEE" w:rsidRPr="00AA4BC4" w14:paraId="59B3610A" w14:textId="77777777" w:rsidTr="008B5468">
        <w:trPr>
          <w:cantSplit/>
          <w:tblHeader/>
        </w:trPr>
        <w:tc>
          <w:tcPr>
            <w:tcW w:w="9016" w:type="dxa"/>
          </w:tcPr>
          <w:p w14:paraId="4F2C694C" w14:textId="5A00383C" w:rsidR="00AC5FEE" w:rsidRPr="00AA4BC4" w:rsidRDefault="00AC5FEE" w:rsidP="008B5468">
            <w:pPr>
              <w:pStyle w:val="NoSpacing"/>
              <w:rPr>
                <w:b/>
                <w:sz w:val="20"/>
              </w:rPr>
            </w:pPr>
            <w:r w:rsidRPr="00AA4BC4">
              <w:rPr>
                <w:b/>
                <w:sz w:val="20"/>
              </w:rPr>
              <w:t>KN</w:t>
            </w:r>
            <w:r w:rsidR="00AE4814">
              <w:rPr>
                <w:b/>
                <w:sz w:val="20"/>
              </w:rPr>
              <w:t>826</w:t>
            </w:r>
            <w:r w:rsidRPr="00AA4BC4">
              <w:rPr>
                <w:b/>
                <w:sz w:val="20"/>
              </w:rPr>
              <w:t>:</w:t>
            </w:r>
          </w:p>
          <w:p w14:paraId="75D078B3" w14:textId="179DB8F2" w:rsidR="00AC5FEE" w:rsidRPr="00AA4BC4" w:rsidRDefault="00AC5FEE" w:rsidP="00AC5FEE">
            <w:pPr>
              <w:pStyle w:val="NoSpacing"/>
              <w:numPr>
                <w:ilvl w:val="0"/>
                <w:numId w:val="45"/>
              </w:numPr>
              <w:rPr>
                <w:sz w:val="20"/>
              </w:rPr>
            </w:pPr>
            <w:r w:rsidRPr="00AA4BC4">
              <w:rPr>
                <w:i/>
                <w:sz w:val="20"/>
              </w:rPr>
              <w:t>Primary outcomes:</w:t>
            </w:r>
            <w:r w:rsidRPr="00AA4BC4">
              <w:rPr>
                <w:sz w:val="20"/>
              </w:rPr>
              <w:t xml:space="preserve"> Overall survival (OS)</w:t>
            </w:r>
            <w:r>
              <w:rPr>
                <w:sz w:val="20"/>
              </w:rPr>
              <w:t>, and Progression Free Survival (PFS) (per RECIST V1.1 by</w:t>
            </w:r>
            <w:r w:rsidR="00120A11">
              <w:rPr>
                <w:sz w:val="20"/>
              </w:rPr>
              <w:t xml:space="preserve"> investigator)</w:t>
            </w:r>
          </w:p>
        </w:tc>
      </w:tr>
      <w:tr w:rsidR="00AC5FEE" w:rsidRPr="00653799" w14:paraId="15D13A12" w14:textId="77777777" w:rsidTr="008B5468">
        <w:trPr>
          <w:cantSplit/>
          <w:tblHeader/>
        </w:trPr>
        <w:tc>
          <w:tcPr>
            <w:tcW w:w="9016" w:type="dxa"/>
          </w:tcPr>
          <w:p w14:paraId="519E99C5" w14:textId="158C71FF" w:rsidR="00AC5FEE" w:rsidRPr="00DB03D1" w:rsidRDefault="00AC5FEE" w:rsidP="00AC5FEE">
            <w:pPr>
              <w:pStyle w:val="NoSpacing"/>
              <w:numPr>
                <w:ilvl w:val="0"/>
                <w:numId w:val="45"/>
              </w:numPr>
              <w:rPr>
                <w:sz w:val="20"/>
              </w:rPr>
            </w:pPr>
            <w:r w:rsidRPr="00AA4BC4">
              <w:rPr>
                <w:i/>
                <w:sz w:val="20"/>
              </w:rPr>
              <w:t>Secondary outcomes:</w:t>
            </w:r>
            <w:r w:rsidRPr="00AA4BC4">
              <w:rPr>
                <w:sz w:val="20"/>
              </w:rPr>
              <w:t xml:space="preserve"> Overall Response Rate (ORR)</w:t>
            </w:r>
            <w:r w:rsidR="003D23D6">
              <w:rPr>
                <w:sz w:val="20"/>
              </w:rPr>
              <w:t>,</w:t>
            </w:r>
            <w:r>
              <w:rPr>
                <w:sz w:val="20"/>
              </w:rPr>
              <w:t xml:space="preserve"> duration of response (DOR)</w:t>
            </w:r>
            <w:r w:rsidR="003D23D6">
              <w:rPr>
                <w:sz w:val="20"/>
              </w:rPr>
              <w:t>, and 12-month PFS rate</w:t>
            </w:r>
            <w:r>
              <w:rPr>
                <w:sz w:val="20"/>
              </w:rPr>
              <w:t xml:space="preserve"> </w:t>
            </w:r>
            <w:r w:rsidRPr="00AA4BC4">
              <w:rPr>
                <w:sz w:val="20"/>
              </w:rPr>
              <w:t xml:space="preserve">per RECIST 1.1 by </w:t>
            </w:r>
            <w:r w:rsidR="003D23D6">
              <w:rPr>
                <w:sz w:val="20"/>
              </w:rPr>
              <w:t>investigator</w:t>
            </w:r>
            <w:r>
              <w:rPr>
                <w:sz w:val="20"/>
              </w:rPr>
              <w:t>.</w:t>
            </w:r>
            <w:r w:rsidR="003D23D6">
              <w:rPr>
                <w:sz w:val="20"/>
              </w:rPr>
              <w:t xml:space="preserve"> PFS per RECIST 1.1 by BICR.</w:t>
            </w:r>
            <w:r>
              <w:rPr>
                <w:sz w:val="20"/>
              </w:rPr>
              <w:t xml:space="preserve"> </w:t>
            </w:r>
            <w:r w:rsidRPr="00DB03D1">
              <w:rPr>
                <w:sz w:val="20"/>
              </w:rPr>
              <w:t>HRQOL assessment using the EORTC QLQ</w:t>
            </w:r>
            <w:r w:rsidR="003D23D6">
              <w:rPr>
                <w:sz w:val="20"/>
              </w:rPr>
              <w:t>-</w:t>
            </w:r>
            <w:r w:rsidRPr="00DB03D1">
              <w:rPr>
                <w:sz w:val="20"/>
              </w:rPr>
              <w:t xml:space="preserve">C30 </w:t>
            </w:r>
          </w:p>
          <w:p w14:paraId="4C7DEBF0" w14:textId="0808954B" w:rsidR="00AC5FEE" w:rsidRPr="00AA4BC4" w:rsidRDefault="00AC5FEE" w:rsidP="00AC5FEE">
            <w:pPr>
              <w:pStyle w:val="NoSpacing"/>
              <w:numPr>
                <w:ilvl w:val="0"/>
                <w:numId w:val="45"/>
              </w:numPr>
              <w:rPr>
                <w:sz w:val="20"/>
              </w:rPr>
            </w:pPr>
            <w:r w:rsidRPr="00DB03D1">
              <w:rPr>
                <w:i/>
                <w:sz w:val="20"/>
              </w:rPr>
              <w:t>Exploratory endpoints:</w:t>
            </w:r>
            <w:r>
              <w:rPr>
                <w:sz w:val="20"/>
              </w:rPr>
              <w:t xml:space="preserve"> </w:t>
            </w:r>
            <w:r w:rsidR="001C3A3A">
              <w:rPr>
                <w:sz w:val="20"/>
              </w:rPr>
              <w:t xml:space="preserve">ORR, </w:t>
            </w:r>
            <w:proofErr w:type="gramStart"/>
            <w:r w:rsidR="001C3A3A">
              <w:rPr>
                <w:sz w:val="20"/>
              </w:rPr>
              <w:t>DOR</w:t>
            </w:r>
            <w:proofErr w:type="gramEnd"/>
            <w:r w:rsidR="001C3A3A">
              <w:rPr>
                <w:sz w:val="20"/>
              </w:rPr>
              <w:t xml:space="preserve"> and 12-month PFS rate per RECIST 1.1 by BICR, u</w:t>
            </w:r>
            <w:r>
              <w:rPr>
                <w:sz w:val="20"/>
              </w:rPr>
              <w:t xml:space="preserve">tilities using EQ-5D-5L, PFS per </w:t>
            </w:r>
            <w:proofErr w:type="spellStart"/>
            <w:r>
              <w:rPr>
                <w:sz w:val="20"/>
              </w:rPr>
              <w:t>irRECIST</w:t>
            </w:r>
            <w:proofErr w:type="spellEnd"/>
            <w:r>
              <w:rPr>
                <w:sz w:val="20"/>
              </w:rPr>
              <w:t xml:space="preserve"> by </w:t>
            </w:r>
            <w:r w:rsidR="001C3A3A">
              <w:rPr>
                <w:sz w:val="20"/>
              </w:rPr>
              <w:t xml:space="preserve">investigator, identify </w:t>
            </w:r>
            <w:proofErr w:type="spellStart"/>
            <w:r w:rsidR="001C3A3A">
              <w:rPr>
                <w:sz w:val="20"/>
              </w:rPr>
              <w:t>HRQoL</w:t>
            </w:r>
            <w:proofErr w:type="spellEnd"/>
            <w:r w:rsidR="001C3A3A">
              <w:rPr>
                <w:sz w:val="20"/>
              </w:rPr>
              <w:t xml:space="preserve"> using EORTC QLQ-C30, EORTC QLQ-CX24, and EQ-5D-5L, identify molecular biomarkers that may be indicative of clinical response, safety, pharmacodynamic activity and/or the MOA of pembrolizumab and other treatments</w:t>
            </w:r>
          </w:p>
        </w:tc>
      </w:tr>
      <w:tr w:rsidR="00B23ED3" w:rsidRPr="00AA4BC4" w14:paraId="589AFAA2" w14:textId="77777777" w:rsidTr="00B23ED3">
        <w:trPr>
          <w:trHeight w:val="303"/>
        </w:trPr>
        <w:tc>
          <w:tcPr>
            <w:tcW w:w="9016" w:type="dxa"/>
          </w:tcPr>
          <w:p w14:paraId="186AE9E0" w14:textId="77777777" w:rsidR="00B23ED3" w:rsidRPr="00AA4BC4" w:rsidRDefault="00B23ED3" w:rsidP="00FF773D">
            <w:pPr>
              <w:pStyle w:val="NoSpacing"/>
              <w:rPr>
                <w:b/>
                <w:sz w:val="20"/>
              </w:rPr>
            </w:pPr>
            <w:r w:rsidRPr="00AA4BC4">
              <w:rPr>
                <w:b/>
                <w:sz w:val="20"/>
              </w:rPr>
              <w:t>Safety Outcomes</w:t>
            </w:r>
          </w:p>
        </w:tc>
      </w:tr>
      <w:tr w:rsidR="00B23ED3" w:rsidRPr="00AA4BC4" w14:paraId="19620102" w14:textId="77777777" w:rsidTr="00B23ED3">
        <w:trPr>
          <w:trHeight w:val="54"/>
        </w:trPr>
        <w:tc>
          <w:tcPr>
            <w:tcW w:w="9016" w:type="dxa"/>
          </w:tcPr>
          <w:p w14:paraId="4C8E04E6" w14:textId="77777777" w:rsidR="00B23ED3" w:rsidRPr="00AA4BC4" w:rsidRDefault="00B23ED3" w:rsidP="00FF773D">
            <w:pPr>
              <w:pStyle w:val="NoSpacing"/>
              <w:rPr>
                <w:b/>
                <w:sz w:val="20"/>
              </w:rPr>
            </w:pPr>
            <w:r w:rsidRPr="00AA4BC4">
              <w:rPr>
                <w:b/>
                <w:sz w:val="20"/>
              </w:rPr>
              <w:t>KN</w:t>
            </w:r>
            <w:r>
              <w:rPr>
                <w:b/>
                <w:sz w:val="20"/>
              </w:rPr>
              <w:t>826</w:t>
            </w:r>
            <w:r w:rsidRPr="00AA4BC4">
              <w:rPr>
                <w:b/>
                <w:sz w:val="20"/>
              </w:rPr>
              <w:t>:</w:t>
            </w:r>
          </w:p>
          <w:p w14:paraId="7F5EC28B" w14:textId="77777777" w:rsidR="00B23ED3" w:rsidRPr="00AA4BC4" w:rsidRDefault="00B23ED3" w:rsidP="00B23ED3">
            <w:pPr>
              <w:pStyle w:val="NoSpacing"/>
              <w:numPr>
                <w:ilvl w:val="0"/>
                <w:numId w:val="44"/>
              </w:numPr>
              <w:rPr>
                <w:sz w:val="20"/>
              </w:rPr>
            </w:pPr>
            <w:r w:rsidRPr="00AA4BC4">
              <w:rPr>
                <w:sz w:val="20"/>
              </w:rPr>
              <w:t xml:space="preserve">Any adverse events (adverse events, serious adverse </w:t>
            </w:r>
            <w:proofErr w:type="gramStart"/>
            <w:r w:rsidRPr="00AA4BC4">
              <w:rPr>
                <w:sz w:val="20"/>
              </w:rPr>
              <w:t>events</w:t>
            </w:r>
            <w:proofErr w:type="gramEnd"/>
            <w:r w:rsidRPr="00AA4BC4">
              <w:rPr>
                <w:sz w:val="20"/>
              </w:rPr>
              <w:t xml:space="preserve"> and fatal serious adverse events), causality and outcome of adverse events/serious adverse events (according to NCI CTCAE, Version 4.0)</w:t>
            </w:r>
          </w:p>
          <w:p w14:paraId="715A4A46" w14:textId="77777777" w:rsidR="00B23ED3" w:rsidRPr="00AA4BC4" w:rsidRDefault="00B23ED3" w:rsidP="00B23ED3">
            <w:pPr>
              <w:pStyle w:val="NoSpacing"/>
              <w:numPr>
                <w:ilvl w:val="0"/>
                <w:numId w:val="44"/>
              </w:numPr>
              <w:rPr>
                <w:sz w:val="20"/>
              </w:rPr>
            </w:pPr>
            <w:r w:rsidRPr="00AA4BC4">
              <w:rPr>
                <w:sz w:val="20"/>
              </w:rPr>
              <w:t>Rate of treatment discontinuations and reasons</w:t>
            </w:r>
          </w:p>
          <w:p w14:paraId="2FE06255" w14:textId="77777777" w:rsidR="00B23ED3" w:rsidRPr="00AA4BC4" w:rsidRDefault="00B23ED3" w:rsidP="00B23ED3">
            <w:pPr>
              <w:pStyle w:val="NoSpacing"/>
              <w:numPr>
                <w:ilvl w:val="0"/>
                <w:numId w:val="44"/>
              </w:numPr>
              <w:rPr>
                <w:sz w:val="20"/>
              </w:rPr>
            </w:pPr>
            <w:r w:rsidRPr="00AA4BC4">
              <w:rPr>
                <w:sz w:val="20"/>
              </w:rPr>
              <w:t xml:space="preserve">Changes in vital signs, laboratory values etc. </w:t>
            </w:r>
          </w:p>
          <w:p w14:paraId="4E2916F1" w14:textId="77777777" w:rsidR="00B23ED3" w:rsidRPr="00AA4BC4" w:rsidRDefault="00B23ED3" w:rsidP="00FF773D">
            <w:pPr>
              <w:pStyle w:val="NoSpacing"/>
              <w:ind w:left="720"/>
              <w:rPr>
                <w:sz w:val="20"/>
              </w:rPr>
            </w:pPr>
          </w:p>
        </w:tc>
      </w:tr>
    </w:tbl>
    <w:p w14:paraId="02262F39"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0DEE40DA" w14:textId="77777777" w:rsidR="006C74B1"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tbl>
      <w:tblPr>
        <w:tblStyle w:val="TableGrid"/>
        <w:tblW w:w="9435" w:type="dxa"/>
        <w:tblLook w:val="04A0" w:firstRow="1" w:lastRow="0" w:firstColumn="1" w:lastColumn="0" w:noHBand="0" w:noVBand="1"/>
      </w:tblPr>
      <w:tblGrid>
        <w:gridCol w:w="421"/>
        <w:gridCol w:w="6237"/>
        <w:gridCol w:w="708"/>
        <w:gridCol w:w="2069"/>
      </w:tblGrid>
      <w:tr w:rsidR="00F1380B" w14:paraId="63383E32" w14:textId="5D791081" w:rsidTr="005C15D6">
        <w:trPr>
          <w:trHeight w:val="481"/>
        </w:trPr>
        <w:tc>
          <w:tcPr>
            <w:tcW w:w="421" w:type="dxa"/>
          </w:tcPr>
          <w:p w14:paraId="42F9BF0D" w14:textId="535E8599" w:rsidR="00F1380B" w:rsidRDefault="00F1380B" w:rsidP="00D54664">
            <w:r>
              <w:t>A</w:t>
            </w:r>
          </w:p>
        </w:tc>
        <w:tc>
          <w:tcPr>
            <w:tcW w:w="6237" w:type="dxa"/>
          </w:tcPr>
          <w:p w14:paraId="02233F27" w14:textId="13B2F5BF" w:rsidR="00F1380B" w:rsidRDefault="00F1380B" w:rsidP="00D54664">
            <w:r>
              <w:t>Estimate no. of persons diagnosed with cervical cancer in 2021</w:t>
            </w:r>
          </w:p>
        </w:tc>
        <w:tc>
          <w:tcPr>
            <w:tcW w:w="708" w:type="dxa"/>
          </w:tcPr>
          <w:p w14:paraId="1D3A5E16" w14:textId="4279C4CF" w:rsidR="00F1380B" w:rsidRDefault="00F1380B" w:rsidP="00D54664">
            <w:r>
              <w:t>913</w:t>
            </w:r>
            <w:r>
              <w:rPr>
                <w:rStyle w:val="FootnoteReference"/>
              </w:rPr>
              <w:footnoteReference w:id="8"/>
            </w:r>
          </w:p>
        </w:tc>
        <w:tc>
          <w:tcPr>
            <w:tcW w:w="2069" w:type="dxa"/>
          </w:tcPr>
          <w:p w14:paraId="087B03CD" w14:textId="4C88AF02" w:rsidR="00F1380B" w:rsidRDefault="001C48BC" w:rsidP="00D54664">
            <w:r>
              <w:t>AIHW</w:t>
            </w:r>
          </w:p>
        </w:tc>
      </w:tr>
      <w:tr w:rsidR="00F1380B" w14:paraId="631DBB6D" w14:textId="563222FA" w:rsidTr="005C15D6">
        <w:trPr>
          <w:trHeight w:val="722"/>
        </w:trPr>
        <w:tc>
          <w:tcPr>
            <w:tcW w:w="421" w:type="dxa"/>
          </w:tcPr>
          <w:p w14:paraId="7FB6EA96" w14:textId="6C381A4B" w:rsidR="00F1380B" w:rsidRDefault="00F1380B" w:rsidP="00D54664">
            <w:r>
              <w:t>B</w:t>
            </w:r>
          </w:p>
        </w:tc>
        <w:tc>
          <w:tcPr>
            <w:tcW w:w="6237" w:type="dxa"/>
          </w:tcPr>
          <w:p w14:paraId="2752884F" w14:textId="1677B850" w:rsidR="00F1380B" w:rsidRDefault="00F1380B" w:rsidP="00D54664">
            <w:r>
              <w:t>Proportion of Early-Stage cervical cancer (Stage IA1 – IB2) (44% * A)</w:t>
            </w:r>
          </w:p>
        </w:tc>
        <w:tc>
          <w:tcPr>
            <w:tcW w:w="708" w:type="dxa"/>
          </w:tcPr>
          <w:p w14:paraId="24441671" w14:textId="6DF5BE81" w:rsidR="00F1380B" w:rsidRDefault="00F1380B" w:rsidP="00D54664">
            <w:r>
              <w:t>402</w:t>
            </w:r>
          </w:p>
        </w:tc>
        <w:tc>
          <w:tcPr>
            <w:tcW w:w="2069" w:type="dxa"/>
          </w:tcPr>
          <w:p w14:paraId="5C74C09D" w14:textId="6BD65FAB" w:rsidR="00F1380B" w:rsidRDefault="001C48BC" w:rsidP="00D54664">
            <w:r>
              <w:t>SEER Data</w:t>
            </w:r>
          </w:p>
        </w:tc>
      </w:tr>
      <w:tr w:rsidR="00F1380B" w14:paraId="3F08B362" w14:textId="256B6450" w:rsidTr="005C15D6">
        <w:trPr>
          <w:trHeight w:val="722"/>
        </w:trPr>
        <w:tc>
          <w:tcPr>
            <w:tcW w:w="421" w:type="dxa"/>
          </w:tcPr>
          <w:p w14:paraId="06AC1E4A" w14:textId="3F5595AC" w:rsidR="00F1380B" w:rsidRDefault="00F1380B" w:rsidP="00D54664">
            <w:r>
              <w:t>C</w:t>
            </w:r>
          </w:p>
        </w:tc>
        <w:tc>
          <w:tcPr>
            <w:tcW w:w="6237" w:type="dxa"/>
          </w:tcPr>
          <w:p w14:paraId="1412C09F" w14:textId="5BCA1267" w:rsidR="00F1380B" w:rsidRDefault="00F1380B" w:rsidP="00C50F6E">
            <w:pPr>
              <w:ind w:right="-563"/>
            </w:pPr>
            <w:r>
              <w:t>Proportion of locally advanced cervical cancer (Stage IB3 – IVA) (36% * A)</w:t>
            </w:r>
          </w:p>
        </w:tc>
        <w:tc>
          <w:tcPr>
            <w:tcW w:w="708" w:type="dxa"/>
          </w:tcPr>
          <w:p w14:paraId="2E744F08" w14:textId="5B70A40A" w:rsidR="00F1380B" w:rsidRDefault="00F1380B" w:rsidP="00D54664">
            <w:r>
              <w:t>329</w:t>
            </w:r>
          </w:p>
        </w:tc>
        <w:tc>
          <w:tcPr>
            <w:tcW w:w="2069" w:type="dxa"/>
          </w:tcPr>
          <w:p w14:paraId="23F420CA" w14:textId="18C511DA" w:rsidR="00F1380B" w:rsidRDefault="001C48BC" w:rsidP="00D54664">
            <w:r>
              <w:t>SEER Data</w:t>
            </w:r>
          </w:p>
        </w:tc>
      </w:tr>
      <w:tr w:rsidR="00F1380B" w14:paraId="66AFC05C" w14:textId="3E9D3EBD" w:rsidTr="005C15D6">
        <w:trPr>
          <w:trHeight w:val="481"/>
        </w:trPr>
        <w:tc>
          <w:tcPr>
            <w:tcW w:w="421" w:type="dxa"/>
          </w:tcPr>
          <w:p w14:paraId="33524CA2" w14:textId="423FD189" w:rsidR="00F1380B" w:rsidRDefault="00F1380B" w:rsidP="00D54664">
            <w:r>
              <w:t>D</w:t>
            </w:r>
          </w:p>
        </w:tc>
        <w:tc>
          <w:tcPr>
            <w:tcW w:w="6237" w:type="dxa"/>
          </w:tcPr>
          <w:p w14:paraId="77529EDE" w14:textId="2CD8F5B0" w:rsidR="00F1380B" w:rsidRDefault="00F1380B" w:rsidP="00D54664">
            <w:r>
              <w:t>Proportion of metastatic cervical cancer (Stage IVB) (19% * A)</w:t>
            </w:r>
          </w:p>
        </w:tc>
        <w:tc>
          <w:tcPr>
            <w:tcW w:w="708" w:type="dxa"/>
          </w:tcPr>
          <w:p w14:paraId="37A59772" w14:textId="78334EFE" w:rsidR="00F1380B" w:rsidRDefault="00F1380B" w:rsidP="00D54664">
            <w:r>
              <w:t>174</w:t>
            </w:r>
          </w:p>
        </w:tc>
        <w:tc>
          <w:tcPr>
            <w:tcW w:w="2069" w:type="dxa"/>
          </w:tcPr>
          <w:p w14:paraId="317CB379" w14:textId="0D92FA70" w:rsidR="00F1380B" w:rsidRDefault="001C48BC" w:rsidP="00D54664">
            <w:r>
              <w:t>SEER Data</w:t>
            </w:r>
          </w:p>
        </w:tc>
      </w:tr>
      <w:tr w:rsidR="00F1380B" w14:paraId="0AF9CB8A" w14:textId="0370CABD" w:rsidTr="005C15D6">
        <w:trPr>
          <w:trHeight w:val="481"/>
        </w:trPr>
        <w:tc>
          <w:tcPr>
            <w:tcW w:w="421" w:type="dxa"/>
          </w:tcPr>
          <w:p w14:paraId="04502E8B" w14:textId="2C021EBD" w:rsidR="00F1380B" w:rsidRDefault="00F1380B" w:rsidP="00D54664">
            <w:r>
              <w:t>E</w:t>
            </w:r>
          </w:p>
        </w:tc>
        <w:tc>
          <w:tcPr>
            <w:tcW w:w="6237" w:type="dxa"/>
          </w:tcPr>
          <w:p w14:paraId="13163FEC" w14:textId="3A98C447" w:rsidR="00F1380B" w:rsidRDefault="00F1380B" w:rsidP="00D54664">
            <w:r>
              <w:t xml:space="preserve">Recurrence rate of early disease </w:t>
            </w:r>
            <w:r w:rsidR="0041525C">
              <w:t>– midpoint used</w:t>
            </w:r>
            <w:r>
              <w:t xml:space="preserve"> (35% * B)</w:t>
            </w:r>
          </w:p>
        </w:tc>
        <w:tc>
          <w:tcPr>
            <w:tcW w:w="708" w:type="dxa"/>
          </w:tcPr>
          <w:p w14:paraId="579F07C4" w14:textId="152698B9" w:rsidR="00F1380B" w:rsidRDefault="00F1380B" w:rsidP="00D54664">
            <w:r>
              <w:t>141</w:t>
            </w:r>
          </w:p>
        </w:tc>
        <w:tc>
          <w:tcPr>
            <w:tcW w:w="2069" w:type="dxa"/>
          </w:tcPr>
          <w:p w14:paraId="191E78FF" w14:textId="2C161A96" w:rsidR="00F1380B" w:rsidRDefault="00286599" w:rsidP="00D54664">
            <w:r w:rsidRPr="0011232D">
              <w:t>Management of early-stage cervical cancer - UpToDate</w:t>
            </w:r>
          </w:p>
        </w:tc>
      </w:tr>
      <w:tr w:rsidR="00F1380B" w14:paraId="1C172FEA" w14:textId="740C19E7" w:rsidTr="005C15D6">
        <w:trPr>
          <w:trHeight w:val="1111"/>
        </w:trPr>
        <w:tc>
          <w:tcPr>
            <w:tcW w:w="421" w:type="dxa"/>
          </w:tcPr>
          <w:p w14:paraId="412E256F" w14:textId="56C50B82" w:rsidR="00F1380B" w:rsidRDefault="00F1380B" w:rsidP="00D54664">
            <w:r>
              <w:t>F</w:t>
            </w:r>
          </w:p>
        </w:tc>
        <w:tc>
          <w:tcPr>
            <w:tcW w:w="6237" w:type="dxa"/>
          </w:tcPr>
          <w:p w14:paraId="225EEB11" w14:textId="7660FAA9" w:rsidR="00F1380B" w:rsidRDefault="00F1380B" w:rsidP="00D54664">
            <w:r>
              <w:t>Recurrence rate of locally advanced disease (38% * C)</w:t>
            </w:r>
          </w:p>
        </w:tc>
        <w:tc>
          <w:tcPr>
            <w:tcW w:w="708" w:type="dxa"/>
          </w:tcPr>
          <w:p w14:paraId="2E6CB98D" w14:textId="5A9AA5BE" w:rsidR="00F1380B" w:rsidRDefault="00F1380B" w:rsidP="00D54664">
            <w:r>
              <w:t>125</w:t>
            </w:r>
          </w:p>
        </w:tc>
        <w:tc>
          <w:tcPr>
            <w:tcW w:w="2069" w:type="dxa"/>
          </w:tcPr>
          <w:p w14:paraId="0F4AB24D" w14:textId="68D9B942" w:rsidR="00F1380B" w:rsidRDefault="004C1D79" w:rsidP="00D54664">
            <w:r w:rsidRPr="004C1D79">
              <w:t>Management of locally advanced cervical cancer - UpToDate</w:t>
            </w:r>
          </w:p>
        </w:tc>
      </w:tr>
      <w:tr w:rsidR="00F1380B" w14:paraId="397F7C87" w14:textId="70D880F9" w:rsidTr="005C15D6">
        <w:trPr>
          <w:trHeight w:val="466"/>
        </w:trPr>
        <w:tc>
          <w:tcPr>
            <w:tcW w:w="421" w:type="dxa"/>
          </w:tcPr>
          <w:p w14:paraId="521400FB" w14:textId="074B59B8" w:rsidR="00F1380B" w:rsidRDefault="00F1380B" w:rsidP="00D54664">
            <w:r>
              <w:t>G</w:t>
            </w:r>
          </w:p>
        </w:tc>
        <w:tc>
          <w:tcPr>
            <w:tcW w:w="6237" w:type="dxa"/>
          </w:tcPr>
          <w:p w14:paraId="64767DEA" w14:textId="220412AC" w:rsidR="00F1380B" w:rsidRDefault="00F1380B" w:rsidP="00D54664">
            <w:r>
              <w:t>Total incident metastatic and recurrent disease (D + E +F)</w:t>
            </w:r>
          </w:p>
        </w:tc>
        <w:tc>
          <w:tcPr>
            <w:tcW w:w="708" w:type="dxa"/>
          </w:tcPr>
          <w:p w14:paraId="30C966F4" w14:textId="5AA3299E" w:rsidR="00F1380B" w:rsidRDefault="00F1380B" w:rsidP="00D54664">
            <w:r>
              <w:t>440</w:t>
            </w:r>
          </w:p>
        </w:tc>
        <w:tc>
          <w:tcPr>
            <w:tcW w:w="2069" w:type="dxa"/>
          </w:tcPr>
          <w:p w14:paraId="3CD8C306" w14:textId="66DDD240" w:rsidR="00F1380B" w:rsidRDefault="00F1380B" w:rsidP="00D54664"/>
        </w:tc>
      </w:tr>
    </w:tbl>
    <w:p w14:paraId="4CFCE89D"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FC1607">
        <w:t>/technology</w:t>
      </w:r>
      <w:r w:rsidRPr="00154B00">
        <w:t xml:space="preserve"> would be </w:t>
      </w:r>
      <w:r w:rsidR="00AE1188">
        <w:t>delivered to a patient per year:</w:t>
      </w:r>
    </w:p>
    <w:p w14:paraId="50B7A320" w14:textId="73CAF745" w:rsidR="00644F55" w:rsidRDefault="00E22ACF" w:rsidP="00EB371C">
      <w:pPr>
        <w:ind w:left="360"/>
        <w:rPr>
          <w:szCs w:val="20"/>
        </w:rPr>
      </w:pPr>
      <w:r>
        <w:rPr>
          <w:szCs w:val="20"/>
        </w:rPr>
        <w:t>It is anticipated that</w:t>
      </w:r>
      <w:r w:rsidR="00644F55">
        <w:rPr>
          <w:szCs w:val="20"/>
        </w:rPr>
        <w:t xml:space="preserve"> o</w:t>
      </w:r>
      <w:r w:rsidR="00644F55" w:rsidRPr="00821350">
        <w:rPr>
          <w:szCs w:val="20"/>
        </w:rPr>
        <w:t xml:space="preserve">ne PD-L1 test would be performed on patients at diagnosis with </w:t>
      </w:r>
      <w:r w:rsidR="00644F55">
        <w:rPr>
          <w:szCs w:val="20"/>
        </w:rPr>
        <w:t xml:space="preserve">persistent, </w:t>
      </w:r>
      <w:proofErr w:type="gramStart"/>
      <w:r w:rsidR="00644F55">
        <w:rPr>
          <w:szCs w:val="20"/>
        </w:rPr>
        <w:t>recurrent</w:t>
      </w:r>
      <w:proofErr w:type="gramEnd"/>
      <w:r w:rsidR="00644F55">
        <w:rPr>
          <w:szCs w:val="20"/>
        </w:rPr>
        <w:t xml:space="preserve"> or metastatic cervical cancer.</w:t>
      </w:r>
      <w:r w:rsidR="00644F55" w:rsidRPr="00821350">
        <w:rPr>
          <w:szCs w:val="20"/>
        </w:rPr>
        <w:t xml:space="preserve"> </w:t>
      </w:r>
      <w:r w:rsidR="00644F55" w:rsidRPr="000827EC">
        <w:rPr>
          <w:szCs w:val="20"/>
        </w:rPr>
        <w:t>The test would be undertaken prior to commencement of pembrolizumab</w:t>
      </w:r>
      <w:r w:rsidR="00644F55">
        <w:rPr>
          <w:szCs w:val="20"/>
        </w:rPr>
        <w:t xml:space="preserve"> in combination with chemotherapy</w:t>
      </w:r>
      <w:r w:rsidR="00644F55" w:rsidRPr="000827EC">
        <w:rPr>
          <w:szCs w:val="20"/>
        </w:rPr>
        <w:t xml:space="preserve"> to enable identification of those patients most likely to benefit from treatment.  There is currently no known role for PD-L1 testing in monitoring a patient’s response to pembrolizumab treatment.</w:t>
      </w:r>
    </w:p>
    <w:p w14:paraId="21681510" w14:textId="77777777" w:rsidR="00382407" w:rsidRPr="00154B00" w:rsidRDefault="00382407" w:rsidP="00530204">
      <w:pPr>
        <w:pStyle w:val="Heading2"/>
      </w:pPr>
      <w:r w:rsidRPr="00154B00">
        <w:t>How many years would the proposed medical service</w:t>
      </w:r>
      <w:r w:rsidR="00FC1607">
        <w:t>/technology</w:t>
      </w:r>
      <w:r w:rsidRPr="00154B00">
        <w:t xml:space="preserve"> be required for the patient?</w:t>
      </w:r>
    </w:p>
    <w:p w14:paraId="5AD30B81" w14:textId="743B7DEF" w:rsidR="00C7673C" w:rsidRPr="00095175" w:rsidRDefault="00EE493C" w:rsidP="00120A11">
      <w:pPr>
        <w:pStyle w:val="Heading2"/>
        <w:numPr>
          <w:ilvl w:val="0"/>
          <w:numId w:val="0"/>
        </w:numPr>
        <w:ind w:left="360"/>
      </w:pPr>
      <w:r>
        <w:rPr>
          <w:b w:val="0"/>
        </w:rPr>
        <w:t>N/A</w:t>
      </w:r>
    </w:p>
    <w:p w14:paraId="6EB0CA71"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65AF753B" w14:textId="645D8441" w:rsidR="00077EA8" w:rsidRDefault="00077EA8" w:rsidP="00077EA8">
      <w:pPr>
        <w:ind w:left="360"/>
      </w:pPr>
      <w:r w:rsidRPr="00821350">
        <w:t>As presented in Item 4</w:t>
      </w:r>
      <w:r w:rsidR="00EB371C">
        <w:t>4</w:t>
      </w:r>
      <w:r w:rsidRPr="00821350">
        <w:t xml:space="preserve">, the estimated number of new patients who will utilise the PD-L1 test is </w:t>
      </w:r>
      <w:r w:rsidRPr="00EB371C">
        <w:t xml:space="preserve">approximately </w:t>
      </w:r>
      <w:r w:rsidR="00B831B8" w:rsidRPr="00EB371C">
        <w:t>4</w:t>
      </w:r>
      <w:r w:rsidR="00EB371C" w:rsidRPr="00EB371C">
        <w:t>40</w:t>
      </w:r>
      <w:r w:rsidR="00D873DB" w:rsidRPr="00EB371C">
        <w:t xml:space="preserve"> patients</w:t>
      </w:r>
      <w:r w:rsidRPr="00821350">
        <w:t xml:space="preserve"> </w:t>
      </w:r>
      <w:r w:rsidRPr="00520309">
        <w:t>in the first year.</w:t>
      </w:r>
      <w:r w:rsidRPr="00821350">
        <w:t xml:space="preserve">  Since the PD-L1 test is a one-off test, which will only be performed at diagnosis, </w:t>
      </w:r>
      <w:r w:rsidRPr="003B5DF4">
        <w:t>the</w:t>
      </w:r>
      <w:r w:rsidRPr="00DE1A41">
        <w:t xml:space="preserve"> estimated number of patients who will be tested in the forthcoming years will include incident patients</w:t>
      </w:r>
      <w:r>
        <w:t xml:space="preserve"> only</w:t>
      </w:r>
      <w:r w:rsidRPr="00DE1A41">
        <w:t>.</w:t>
      </w:r>
    </w:p>
    <w:p w14:paraId="0A893A8E"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14CC6917" w14:textId="34C0307D" w:rsidR="0076761E" w:rsidRPr="00EB371C" w:rsidRDefault="005B7C64" w:rsidP="00EB371C">
      <w:pPr>
        <w:ind w:left="360"/>
      </w:pPr>
      <w:r w:rsidRPr="005E4021">
        <w:t xml:space="preserve">Currently, </w:t>
      </w:r>
      <w:proofErr w:type="gramStart"/>
      <w:r w:rsidRPr="005E4021">
        <w:t>the majority of</w:t>
      </w:r>
      <w:proofErr w:type="gramEnd"/>
      <w:r w:rsidRPr="005E4021">
        <w:t xml:space="preserve"> patients who are diagnosed with </w:t>
      </w:r>
      <w:r w:rsidR="00713D84">
        <w:t>metastatic</w:t>
      </w:r>
      <w:r w:rsidRPr="005E4021">
        <w:t xml:space="preserve"> </w:t>
      </w:r>
      <w:r w:rsidR="00981644">
        <w:t>cervical cancer</w:t>
      </w:r>
      <w:r w:rsidRPr="005E4021">
        <w:t xml:space="preserve"> will receive combination chemotherapy </w:t>
      </w:r>
      <w:r w:rsidR="00867C8A">
        <w:t>with or without bevacizumab.</w:t>
      </w:r>
      <w:r w:rsidR="00EB371C">
        <w:t xml:space="preserve"> </w:t>
      </w:r>
      <w:r w:rsidR="00D873DB">
        <w:t>T</w:t>
      </w:r>
      <w:r w:rsidRPr="004743A5">
        <w:t>he KN</w:t>
      </w:r>
      <w:r w:rsidR="00C12939">
        <w:t xml:space="preserve"> </w:t>
      </w:r>
      <w:r w:rsidR="00867C8A">
        <w:t>826</w:t>
      </w:r>
      <w:r w:rsidRPr="004743A5">
        <w:t xml:space="preserve"> results indicate that PD-L1 positive patients benefit from pembrolizumab therapy</w:t>
      </w:r>
      <w:r w:rsidR="00D873DB">
        <w:t xml:space="preserve"> therefore </w:t>
      </w:r>
      <w:r w:rsidRPr="004743A5">
        <w:t xml:space="preserve">pembrolizumab could </w:t>
      </w:r>
      <w:r w:rsidR="00943DD9">
        <w:t>be added</w:t>
      </w:r>
      <w:r w:rsidR="00D90802">
        <w:t xml:space="preserve"> to</w:t>
      </w:r>
      <w:r w:rsidRPr="004743A5">
        <w:t xml:space="preserve"> the previously </w:t>
      </w:r>
      <w:r w:rsidRPr="004743A5">
        <w:lastRenderedPageBreak/>
        <w:t xml:space="preserve">mentioned </w:t>
      </w:r>
      <w:r w:rsidR="005847B7">
        <w:t>first</w:t>
      </w:r>
      <w:r w:rsidRPr="004743A5">
        <w:t xml:space="preserve"> line therap</w:t>
      </w:r>
      <w:r w:rsidR="005847B7">
        <w:t>y</w:t>
      </w:r>
      <w:r w:rsidRPr="004743A5">
        <w:t xml:space="preserve"> in </w:t>
      </w:r>
      <w:r w:rsidR="00D90802">
        <w:t>cervical cancer</w:t>
      </w:r>
      <w:r w:rsidRPr="004743A5">
        <w:t xml:space="preserve"> patients. Consequently, the uptake of the PD-L1 test </w:t>
      </w:r>
      <w:r w:rsidR="000B4CDA">
        <w:t>is anticipated to</w:t>
      </w:r>
      <w:r w:rsidR="000B4CDA" w:rsidRPr="004743A5">
        <w:t xml:space="preserve"> </w:t>
      </w:r>
      <w:r w:rsidRPr="004743A5">
        <w:t xml:space="preserve">be 100% for all patients diagnosed with </w:t>
      </w:r>
      <w:r w:rsidR="003E322A">
        <w:t xml:space="preserve">persistent, </w:t>
      </w:r>
      <w:proofErr w:type="gramStart"/>
      <w:r w:rsidR="00BB431C">
        <w:t>recurrent</w:t>
      </w:r>
      <w:proofErr w:type="gramEnd"/>
      <w:r w:rsidR="00BB431C">
        <w:t xml:space="preserve"> or metastatic cervical cancer</w:t>
      </w:r>
      <w:r w:rsidR="0076761E">
        <w:t>.</w:t>
      </w:r>
    </w:p>
    <w:p w14:paraId="5B4E6699" w14:textId="074C45C0" w:rsidR="003433D1" w:rsidRPr="00EB371C" w:rsidRDefault="00323347" w:rsidP="00EB371C">
      <w:pPr>
        <w:ind w:left="360"/>
        <w:rPr>
          <w:szCs w:val="20"/>
        </w:rPr>
      </w:pPr>
      <w:r>
        <w:t xml:space="preserve">If </w:t>
      </w:r>
      <w:r w:rsidR="002A3019">
        <w:t>restricted</w:t>
      </w:r>
      <w:r>
        <w:t xml:space="preserve"> by the TGA o</w:t>
      </w:r>
      <w:r w:rsidR="005B7C64" w:rsidRPr="004743A5">
        <w:t>nly those patients with expression of PD</w:t>
      </w:r>
      <w:r w:rsidR="005B7C64" w:rsidRPr="005A751C">
        <w:t>-L1 (</w:t>
      </w:r>
      <w:r w:rsidR="005B7C64" w:rsidRPr="001C10B5">
        <w:t>CPS</w:t>
      </w:r>
      <w:r w:rsidR="00C12939">
        <w:t xml:space="preserve"> </w:t>
      </w:r>
      <w:r w:rsidR="005B7C64" w:rsidRPr="001C10B5">
        <w:rPr>
          <w:u w:val="single"/>
        </w:rPr>
        <w:t>&gt;</w:t>
      </w:r>
      <w:r w:rsidR="005B7C64" w:rsidRPr="001C10B5">
        <w:t>1</w:t>
      </w:r>
      <w:r w:rsidR="005B7C64" w:rsidRPr="005A751C">
        <w:t xml:space="preserve">) </w:t>
      </w:r>
      <w:r>
        <w:t>would be</w:t>
      </w:r>
      <w:r w:rsidRPr="004743A5">
        <w:t xml:space="preserve"> </w:t>
      </w:r>
      <w:r w:rsidR="005B7C64" w:rsidRPr="004743A5">
        <w:t xml:space="preserve">eligible for pembrolizumab. Therefore, uptake of pembrolizumab </w:t>
      </w:r>
      <w:r w:rsidR="0063379C">
        <w:t>would</w:t>
      </w:r>
      <w:r w:rsidR="0063379C" w:rsidRPr="004743A5">
        <w:t xml:space="preserve"> </w:t>
      </w:r>
      <w:r w:rsidR="005B7C64" w:rsidRPr="004743A5">
        <w:t>be restricted to those who have PD-L1 expression</w:t>
      </w:r>
      <w:r w:rsidR="00EB3BE5">
        <w:t xml:space="preserve"> of CPS </w:t>
      </w:r>
      <w:r w:rsidR="00EB3BE5" w:rsidRPr="001C10B5">
        <w:rPr>
          <w:u w:val="single"/>
        </w:rPr>
        <w:t>&gt;</w:t>
      </w:r>
      <w:r w:rsidR="00EB3BE5" w:rsidRPr="001C10B5">
        <w:t>1</w:t>
      </w:r>
      <w:r w:rsidR="005B7C64" w:rsidRPr="004743A5">
        <w:t xml:space="preserve"> in tumour tissues. The risk of leakage for PD-L1 testing is minimal, as testing would be restricted to only those patients who would eventually be eligible for pembrolizumab.</w:t>
      </w:r>
    </w:p>
    <w:p w14:paraId="7A9AB147" w14:textId="77777777" w:rsidR="005C15D6" w:rsidRDefault="005C15D6">
      <w:pPr>
        <w:spacing w:before="0" w:after="200" w:line="276" w:lineRule="auto"/>
        <w:rPr>
          <w:bCs/>
          <w:color w:val="4F81BD" w:themeColor="accent1"/>
          <w:sz w:val="40"/>
          <w:szCs w:val="32"/>
        </w:rPr>
      </w:pPr>
      <w:r>
        <w:br w:type="page"/>
      </w:r>
    </w:p>
    <w:p w14:paraId="69C2E321" w14:textId="07D7BDD8"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74906A3D"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6F5BED8D" w14:textId="5EA3BFDE" w:rsidR="009F295F" w:rsidRPr="00C12939" w:rsidRDefault="009F295F" w:rsidP="00C12939">
      <w:pPr>
        <w:ind w:left="360"/>
      </w:pPr>
      <w:r w:rsidRPr="00832EE2">
        <w:t xml:space="preserve">The final fee request will be contingent on decisions made by </w:t>
      </w:r>
      <w:proofErr w:type="spellStart"/>
      <w:r w:rsidRPr="00832EE2">
        <w:t>Dako</w:t>
      </w:r>
      <w:proofErr w:type="spellEnd"/>
      <w:r w:rsidRPr="00832EE2">
        <w:t>/Agilent and aligned with other MSAC applications currently under consideration. The expected fee for the proposed service is likely to be consistent with other immunohistochemical tests currently available on the MBS.</w:t>
      </w:r>
    </w:p>
    <w:p w14:paraId="71491BD0"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3E23DC9C" w14:textId="77777777" w:rsidR="0034445E" w:rsidRDefault="0034445E" w:rsidP="0034445E">
      <w:pPr>
        <w:ind w:left="426"/>
        <w:rPr>
          <w:szCs w:val="20"/>
        </w:rPr>
      </w:pPr>
      <w:r w:rsidRPr="00832EE2">
        <w:rPr>
          <w:szCs w:val="20"/>
        </w:rPr>
        <w:t>The IHC service testing for PD-L1 expression can take between 2.5-4 hours depending on instrumentation and protocol used.</w:t>
      </w:r>
    </w:p>
    <w:p w14:paraId="17F8AE05" w14:textId="21B647C1" w:rsidR="00D269F6" w:rsidRDefault="00D269F6" w:rsidP="00D269F6">
      <w:pPr>
        <w:pStyle w:val="Heading2"/>
      </w:pPr>
      <w:r w:rsidRPr="00D269F6">
        <w:t xml:space="preserve">If public funding is sought through the </w:t>
      </w:r>
      <w:r w:rsidRPr="00785937">
        <w:rPr>
          <w:u w:val="single"/>
        </w:rPr>
        <w:t>MBS</w:t>
      </w:r>
      <w:r w:rsidRPr="00D269F6">
        <w:t>, please draft a proposed MBS item descriptor to define the population and usage characteristics that defines eligibility for the medical service/technology.</w:t>
      </w:r>
    </w:p>
    <w:p w14:paraId="68EB8290" w14:textId="041F4E62" w:rsidR="00B42117" w:rsidRPr="00B42117" w:rsidRDefault="00B42117" w:rsidP="005C15D6">
      <w:pPr>
        <w:ind w:left="360"/>
      </w:pPr>
      <w:r>
        <w:t xml:space="preserve">As this is an amendment to an existing item number, the changes made to the current MBS item descriptor for item 72814 </w:t>
      </w:r>
      <w:r w:rsidR="002F2982">
        <w:t>are below</w:t>
      </w:r>
      <w:r>
        <w:t>.</w:t>
      </w:r>
    </w:p>
    <w:p w14:paraId="3A38BBCD" w14:textId="761BDCC7"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BC08C0">
        <w:t>6 – Pathology Services</w:t>
      </w:r>
    </w:p>
    <w:p w14:paraId="4019617A" w14:textId="7D92B183" w:rsidR="00B42117" w:rsidRDefault="00B42117" w:rsidP="00AE1188">
      <w:pPr>
        <w:pBdr>
          <w:top w:val="single" w:sz="4" w:space="1" w:color="auto"/>
          <w:left w:val="single" w:sz="4" w:space="4" w:color="auto"/>
          <w:bottom w:val="single" w:sz="4" w:space="1" w:color="auto"/>
          <w:right w:val="single" w:sz="4" w:space="4" w:color="auto"/>
        </w:pBdr>
        <w:rPr>
          <w:szCs w:val="20"/>
        </w:rPr>
      </w:pPr>
      <w:r>
        <w:rPr>
          <w:szCs w:val="20"/>
        </w:rPr>
        <w:t>Item 72184:</w:t>
      </w:r>
    </w:p>
    <w:p w14:paraId="7FB0DD8E" w14:textId="75E5BB18" w:rsidR="00B42117" w:rsidRDefault="00B42117" w:rsidP="00AE1188">
      <w:pPr>
        <w:pBdr>
          <w:top w:val="single" w:sz="4" w:space="1" w:color="auto"/>
          <w:left w:val="single" w:sz="4" w:space="4" w:color="auto"/>
          <w:bottom w:val="single" w:sz="4" w:space="1" w:color="auto"/>
          <w:right w:val="single" w:sz="4" w:space="4" w:color="auto"/>
        </w:pBdr>
        <w:rPr>
          <w:szCs w:val="20"/>
        </w:rPr>
      </w:pPr>
      <w:r>
        <w:rPr>
          <w:szCs w:val="20"/>
        </w:rPr>
        <w:t xml:space="preserve">Immunohistochemical examination by </w:t>
      </w:r>
      <w:proofErr w:type="spellStart"/>
      <w:r>
        <w:rPr>
          <w:szCs w:val="20"/>
        </w:rPr>
        <w:t>immunoperoxidase</w:t>
      </w:r>
      <w:proofErr w:type="spellEnd"/>
      <w:r>
        <w:rPr>
          <w:szCs w:val="20"/>
        </w:rPr>
        <w:t xml:space="preserve"> or other labelled antibody techniques using the programmed cell death ligand 1 (PD-L1) antibody of tumour material from a patient diagnosed with non-small cell lung cancer,</w:t>
      </w:r>
      <w:r w:rsidR="005068C7" w:rsidRPr="005068C7">
        <w:t xml:space="preserve"> </w:t>
      </w:r>
      <w:r w:rsidR="005068C7" w:rsidRPr="005068C7">
        <w:rPr>
          <w:szCs w:val="20"/>
        </w:rPr>
        <w:t xml:space="preserve">recurrent or metastatic squamous cell carcinoma of the oral cavity, </w:t>
      </w:r>
      <w:proofErr w:type="gramStart"/>
      <w:r w:rsidR="005068C7" w:rsidRPr="005068C7">
        <w:rPr>
          <w:szCs w:val="20"/>
        </w:rPr>
        <w:t>pharynx</w:t>
      </w:r>
      <w:proofErr w:type="gramEnd"/>
      <w:r w:rsidR="005068C7" w:rsidRPr="005068C7">
        <w:rPr>
          <w:szCs w:val="20"/>
        </w:rPr>
        <w:t xml:space="preserve"> or larynx or locally recurrent unresectable</w:t>
      </w:r>
      <w:r>
        <w:rPr>
          <w:szCs w:val="20"/>
        </w:rPr>
        <w:t xml:space="preserve"> </w:t>
      </w:r>
      <w:r w:rsidRPr="00002AB2">
        <w:rPr>
          <w:b/>
          <w:i/>
          <w:szCs w:val="20"/>
          <w:u w:val="single"/>
        </w:rPr>
        <w:t xml:space="preserve">or </w:t>
      </w:r>
      <w:r w:rsidR="005D37C4" w:rsidRPr="00002AB2">
        <w:rPr>
          <w:b/>
          <w:i/>
          <w:szCs w:val="20"/>
          <w:u w:val="single"/>
        </w:rPr>
        <w:t xml:space="preserve">persistent, recurrent or metastatic </w:t>
      </w:r>
      <w:r w:rsidRPr="00002AB2">
        <w:rPr>
          <w:b/>
          <w:i/>
          <w:szCs w:val="20"/>
          <w:u w:val="single"/>
        </w:rPr>
        <w:t>cervical cancer</w:t>
      </w:r>
      <w:r>
        <w:rPr>
          <w:szCs w:val="20"/>
        </w:rPr>
        <w:t>.</w:t>
      </w:r>
    </w:p>
    <w:p w14:paraId="78FD8425" w14:textId="30EC7989"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 xml:space="preserve">Fee:  </w:t>
      </w:r>
      <w:r w:rsidR="00BC08C0">
        <w:rPr>
          <w:szCs w:val="20"/>
        </w:rPr>
        <w:t>To be determined</w:t>
      </w:r>
      <w:r w:rsidR="00B73925">
        <w:rPr>
          <w:szCs w:val="20"/>
        </w:rPr>
        <w:t xml:space="preserve">    </w:t>
      </w:r>
      <w:r w:rsidR="00B73925">
        <w:rPr>
          <w:szCs w:val="20"/>
        </w:rPr>
        <w:tab/>
      </w:r>
      <w:r w:rsidR="00B73925">
        <w:rPr>
          <w:szCs w:val="20"/>
        </w:rPr>
        <w:tab/>
      </w:r>
      <w:r w:rsidR="00B73925" w:rsidRPr="00832EE2">
        <w:rPr>
          <w:szCs w:val="20"/>
        </w:rPr>
        <w:t>Benefit:  To be determined</w:t>
      </w:r>
    </w:p>
    <w:p w14:paraId="1177D50F" w14:textId="0AD59514" w:rsidR="00282B37" w:rsidRDefault="00D269F6" w:rsidP="005C15D6">
      <w:pPr>
        <w:pStyle w:val="Heading2"/>
      </w:pPr>
      <w:r w:rsidRPr="00D269F6">
        <w:t xml:space="preserve">If public funding is sought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3EC4E68C" w14:textId="7EDE7134" w:rsidR="005C15D6" w:rsidRPr="005C15D6" w:rsidRDefault="005C15D6" w:rsidP="005C15D6">
      <w:pPr>
        <w:ind w:firstLine="360"/>
      </w:pPr>
      <w:r>
        <w:t>N/A</w:t>
      </w:r>
    </w:p>
    <w:sectPr w:rsidR="005C15D6" w:rsidRPr="005C15D6" w:rsidSect="00A151F0">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3D363" w14:textId="77777777" w:rsidR="00CC06C6" w:rsidRDefault="00CC06C6" w:rsidP="00CF2DFA">
      <w:pPr>
        <w:spacing w:after="0"/>
      </w:pPr>
      <w:r>
        <w:separator/>
      </w:r>
    </w:p>
  </w:endnote>
  <w:endnote w:type="continuationSeparator" w:id="0">
    <w:p w14:paraId="4FA70851" w14:textId="77777777" w:rsidR="00CC06C6" w:rsidRDefault="00CC06C6" w:rsidP="00CF2DFA">
      <w:pPr>
        <w:spacing w:after="0"/>
      </w:pPr>
      <w:r>
        <w:continuationSeparator/>
      </w:r>
    </w:p>
  </w:endnote>
  <w:endnote w:type="continuationNotice" w:id="1">
    <w:p w14:paraId="7BCED2FC" w14:textId="77777777" w:rsidR="00CC06C6" w:rsidRDefault="00CC06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7EEF1" w14:textId="6857C98D" w:rsidR="00CC06C6" w:rsidRPr="003F7CB9" w:rsidRDefault="00CC06C6" w:rsidP="003F7CB9">
    <w:pPr>
      <w:pStyle w:val="Footer"/>
      <w:pBdr>
        <w:top w:val="single" w:sz="4" w:space="1" w:color="D9D9D9" w:themeColor="background1" w:themeShade="D9"/>
      </w:pBdr>
      <w:rPr>
        <w:b/>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C8695" w14:textId="77777777" w:rsidR="00CC06C6" w:rsidRPr="003F7CB9" w:rsidRDefault="00CC06C6" w:rsidP="003F7CB9">
    <w:pPr>
      <w:pStyle w:val="Footer"/>
      <w:pBdr>
        <w:top w:val="single" w:sz="4" w:space="1" w:color="D9D9D9" w:themeColor="background1" w:themeShade="D9"/>
      </w:pBd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C40F3" w14:textId="77777777" w:rsidR="00CC06C6" w:rsidRDefault="00CC06C6" w:rsidP="00CF2DFA">
      <w:pPr>
        <w:spacing w:after="0"/>
      </w:pPr>
      <w:r>
        <w:separator/>
      </w:r>
    </w:p>
  </w:footnote>
  <w:footnote w:type="continuationSeparator" w:id="0">
    <w:p w14:paraId="6E257234" w14:textId="77777777" w:rsidR="00CC06C6" w:rsidRDefault="00CC06C6" w:rsidP="00CF2DFA">
      <w:pPr>
        <w:spacing w:after="0"/>
      </w:pPr>
      <w:r>
        <w:continuationSeparator/>
      </w:r>
    </w:p>
  </w:footnote>
  <w:footnote w:type="continuationNotice" w:id="1">
    <w:p w14:paraId="34C9BD0E" w14:textId="77777777" w:rsidR="00CC06C6" w:rsidRDefault="00CC06C6">
      <w:pPr>
        <w:spacing w:before="0" w:after="0"/>
      </w:pPr>
    </w:p>
  </w:footnote>
  <w:footnote w:id="2">
    <w:p w14:paraId="7DDD3A88" w14:textId="058028A9" w:rsidR="00CC06C6" w:rsidRDefault="00CC06C6">
      <w:pPr>
        <w:pStyle w:val="FootnoteText"/>
      </w:pPr>
      <w:r>
        <w:rPr>
          <w:rStyle w:val="FootnoteReference"/>
        </w:rPr>
        <w:footnoteRef/>
      </w:r>
      <w:r>
        <w:t xml:space="preserve"> </w:t>
      </w:r>
      <w:r w:rsidRPr="00A13807">
        <w:t>Cancer.org.au. 2022. Cervical cancer | Causes, Symptoms &amp; Treatments. [online] Available at: &lt;https://www.cancer.org.au/cancer-information/types-of-cancer/cervical-cancer&gt; [Accessed 25 February 2022].</w:t>
      </w:r>
    </w:p>
  </w:footnote>
  <w:footnote w:id="3">
    <w:p w14:paraId="5830C806" w14:textId="3460B84C" w:rsidR="00CC06C6" w:rsidRDefault="00CC06C6">
      <w:pPr>
        <w:pStyle w:val="FootnoteText"/>
      </w:pPr>
      <w:r>
        <w:rPr>
          <w:rStyle w:val="FootnoteReference"/>
        </w:rPr>
        <w:footnoteRef/>
      </w:r>
      <w:r>
        <w:t xml:space="preserve"> </w:t>
      </w:r>
      <w:r w:rsidRPr="00A13807">
        <w:t>Wright, J., 2022. Management of recurrent or metastatic cervical cancer. [online] Www-uptodate-com.ezproxy-so.library.sydney.edu.au. Available at: &lt;https://www-uptodate-com [Accessed 25 February 2022].</w:t>
      </w:r>
    </w:p>
  </w:footnote>
  <w:footnote w:id="4">
    <w:p w14:paraId="6DF7B92E" w14:textId="09843A0B" w:rsidR="00CC06C6" w:rsidRDefault="00CC06C6">
      <w:pPr>
        <w:pStyle w:val="FootnoteText"/>
      </w:pPr>
      <w:r>
        <w:rPr>
          <w:rStyle w:val="FootnoteReference"/>
        </w:rPr>
        <w:footnoteRef/>
      </w:r>
      <w:r>
        <w:t xml:space="preserve"> </w:t>
      </w:r>
      <w:r w:rsidRPr="00A77010">
        <w:t>https://www.aihw.gov.au/reports/cancer/cancer-data-in-australia/contents/cancer-summary-data-visualisation</w:t>
      </w:r>
    </w:p>
  </w:footnote>
  <w:footnote w:id="5">
    <w:p w14:paraId="0F4FC925" w14:textId="19E67600" w:rsidR="00CC06C6" w:rsidRDefault="00CC06C6">
      <w:pPr>
        <w:pStyle w:val="FootnoteText"/>
      </w:pPr>
      <w:r>
        <w:rPr>
          <w:rStyle w:val="FootnoteReference"/>
        </w:rPr>
        <w:footnoteRef/>
      </w:r>
      <w:r>
        <w:t xml:space="preserve"> </w:t>
      </w:r>
      <w:r w:rsidRPr="002B044A">
        <w:t>https://www.aihw.gov.au/reports/cancer/cancer-in-australia-2021/data</w:t>
      </w:r>
      <w:r>
        <w:t>; tables 10.2 and 10.5</w:t>
      </w:r>
    </w:p>
  </w:footnote>
  <w:footnote w:id="6">
    <w:p w14:paraId="458EE717" w14:textId="38F18752" w:rsidR="00CC06C6" w:rsidRDefault="00CC06C6">
      <w:pPr>
        <w:pStyle w:val="FootnoteText"/>
      </w:pPr>
      <w:r>
        <w:rPr>
          <w:rStyle w:val="FootnoteReference"/>
        </w:rPr>
        <w:footnoteRef/>
      </w:r>
      <w:r>
        <w:t xml:space="preserve"> Australian Institute of Health and Welfare 2021. National Cervical Screening Program monitoring report 2021. Cancer series 134. Cat. no. CAN 141. Canberra: AIHW.</w:t>
      </w:r>
    </w:p>
  </w:footnote>
  <w:footnote w:id="7">
    <w:p w14:paraId="51E414FB" w14:textId="1F627602" w:rsidR="00CC06C6" w:rsidRDefault="00CC06C6">
      <w:pPr>
        <w:pStyle w:val="FootnoteText"/>
      </w:pPr>
      <w:r>
        <w:rPr>
          <w:rStyle w:val="FootnoteReference"/>
        </w:rPr>
        <w:footnoteRef/>
      </w:r>
      <w:r>
        <w:t xml:space="preserve"> </w:t>
      </w:r>
      <w:r w:rsidRPr="00E66F46">
        <w:t>https://www.cancer.org/cancer/cervical-cancer/detection-diagnosis-staging/survival.html</w:t>
      </w:r>
    </w:p>
  </w:footnote>
  <w:footnote w:id="8">
    <w:p w14:paraId="54800387" w14:textId="53BD5FD2" w:rsidR="00CC06C6" w:rsidRDefault="00CC06C6">
      <w:pPr>
        <w:pStyle w:val="FootnoteText"/>
      </w:pPr>
      <w:r>
        <w:rPr>
          <w:rStyle w:val="FootnoteReference"/>
        </w:rPr>
        <w:footnoteRef/>
      </w:r>
      <w:r>
        <w:t xml:space="preserve"> </w:t>
      </w:r>
      <w:hyperlink r:id="rId1" w:history="1">
        <w:r>
          <w:rPr>
            <w:rStyle w:val="Hyperlink"/>
          </w:rPr>
          <w:t>Cancer data in Australia, Cancer summary data visualisation - Australian Institute of Health and Welfare (aihw.gov.au)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1C4B93"/>
    <w:multiLevelType w:val="hybridMultilevel"/>
    <w:tmpl w:val="0B4CC67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C057D2"/>
    <w:multiLevelType w:val="hybridMultilevel"/>
    <w:tmpl w:val="A61CF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D0E3270"/>
    <w:multiLevelType w:val="hybridMultilevel"/>
    <w:tmpl w:val="68AE3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EC14EA"/>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10139E"/>
    <w:multiLevelType w:val="hybridMultilevel"/>
    <w:tmpl w:val="7C4E2192"/>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23"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
  </w:num>
  <w:num w:numId="25">
    <w:abstractNumId w:val="20"/>
  </w:num>
  <w:num w:numId="26">
    <w:abstractNumId w:val="4"/>
  </w:num>
  <w:num w:numId="27">
    <w:abstractNumId w:val="16"/>
  </w:num>
  <w:num w:numId="28">
    <w:abstractNumId w:val="12"/>
  </w:num>
  <w:num w:numId="29">
    <w:abstractNumId w:val="21"/>
  </w:num>
  <w:num w:numId="30">
    <w:abstractNumId w:val="3"/>
  </w:num>
  <w:num w:numId="31">
    <w:abstractNumId w:val="18"/>
  </w:num>
  <w:num w:numId="32">
    <w:abstractNumId w:val="7"/>
  </w:num>
  <w:num w:numId="33">
    <w:abstractNumId w:val="17"/>
  </w:num>
  <w:num w:numId="34">
    <w:abstractNumId w:val="6"/>
  </w:num>
  <w:num w:numId="35">
    <w:abstractNumId w:val="13"/>
  </w:num>
  <w:num w:numId="36">
    <w:abstractNumId w:val="0"/>
  </w:num>
  <w:num w:numId="37">
    <w:abstractNumId w:val="14"/>
  </w:num>
  <w:num w:numId="38">
    <w:abstractNumId w:val="14"/>
  </w:num>
  <w:num w:numId="39">
    <w:abstractNumId w:val="14"/>
  </w:num>
  <w:num w:numId="40">
    <w:abstractNumId w:val="14"/>
  </w:num>
  <w:num w:numId="41">
    <w:abstractNumId w:val="14"/>
  </w:num>
  <w:num w:numId="42">
    <w:abstractNumId w:val="19"/>
  </w:num>
  <w:num w:numId="43">
    <w:abstractNumId w:val="22"/>
  </w:num>
  <w:num w:numId="44">
    <w:abstractNumId w:val="8"/>
  </w:num>
  <w:num w:numId="45">
    <w:abstractNumId w:val="1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02AB2"/>
    <w:rsid w:val="000032EB"/>
    <w:rsid w:val="00006D2F"/>
    <w:rsid w:val="000109F4"/>
    <w:rsid w:val="000110DC"/>
    <w:rsid w:val="000113DD"/>
    <w:rsid w:val="0001434C"/>
    <w:rsid w:val="000158AA"/>
    <w:rsid w:val="000159B9"/>
    <w:rsid w:val="00016B6E"/>
    <w:rsid w:val="00021938"/>
    <w:rsid w:val="00022C00"/>
    <w:rsid w:val="000231B4"/>
    <w:rsid w:val="00023E21"/>
    <w:rsid w:val="00024604"/>
    <w:rsid w:val="00024D54"/>
    <w:rsid w:val="00024DC3"/>
    <w:rsid w:val="00025ABC"/>
    <w:rsid w:val="00026412"/>
    <w:rsid w:val="000277BD"/>
    <w:rsid w:val="00027EE7"/>
    <w:rsid w:val="00031AF3"/>
    <w:rsid w:val="00031F6F"/>
    <w:rsid w:val="00033735"/>
    <w:rsid w:val="000343E6"/>
    <w:rsid w:val="00034D6E"/>
    <w:rsid w:val="00037A4E"/>
    <w:rsid w:val="000401A0"/>
    <w:rsid w:val="000421CC"/>
    <w:rsid w:val="00042692"/>
    <w:rsid w:val="000449A2"/>
    <w:rsid w:val="00044B45"/>
    <w:rsid w:val="00045142"/>
    <w:rsid w:val="0005089D"/>
    <w:rsid w:val="000510B2"/>
    <w:rsid w:val="00051B64"/>
    <w:rsid w:val="000525BC"/>
    <w:rsid w:val="00053632"/>
    <w:rsid w:val="0005455D"/>
    <w:rsid w:val="000547C8"/>
    <w:rsid w:val="00054A09"/>
    <w:rsid w:val="000567A9"/>
    <w:rsid w:val="000578D1"/>
    <w:rsid w:val="00060843"/>
    <w:rsid w:val="00064422"/>
    <w:rsid w:val="000659D8"/>
    <w:rsid w:val="00070831"/>
    <w:rsid w:val="00073222"/>
    <w:rsid w:val="00074C7B"/>
    <w:rsid w:val="000770BA"/>
    <w:rsid w:val="0007793C"/>
    <w:rsid w:val="00077D80"/>
    <w:rsid w:val="00077EA8"/>
    <w:rsid w:val="00081168"/>
    <w:rsid w:val="00082B62"/>
    <w:rsid w:val="000831C3"/>
    <w:rsid w:val="0008323F"/>
    <w:rsid w:val="000836DD"/>
    <w:rsid w:val="00084696"/>
    <w:rsid w:val="0008572F"/>
    <w:rsid w:val="00087354"/>
    <w:rsid w:val="00092580"/>
    <w:rsid w:val="000935C1"/>
    <w:rsid w:val="00093F22"/>
    <w:rsid w:val="00095175"/>
    <w:rsid w:val="00095285"/>
    <w:rsid w:val="000955E7"/>
    <w:rsid w:val="00095B45"/>
    <w:rsid w:val="00095C6A"/>
    <w:rsid w:val="00097815"/>
    <w:rsid w:val="000A110D"/>
    <w:rsid w:val="000A478F"/>
    <w:rsid w:val="000A500F"/>
    <w:rsid w:val="000A5B32"/>
    <w:rsid w:val="000A7349"/>
    <w:rsid w:val="000B3CD0"/>
    <w:rsid w:val="000B3DAB"/>
    <w:rsid w:val="000B4063"/>
    <w:rsid w:val="000B4CDA"/>
    <w:rsid w:val="000B5E75"/>
    <w:rsid w:val="000C0B2E"/>
    <w:rsid w:val="000C5ABE"/>
    <w:rsid w:val="000C69D5"/>
    <w:rsid w:val="000D066E"/>
    <w:rsid w:val="000D0831"/>
    <w:rsid w:val="000D160C"/>
    <w:rsid w:val="000D22DC"/>
    <w:rsid w:val="000D5445"/>
    <w:rsid w:val="000E157E"/>
    <w:rsid w:val="000E1AFD"/>
    <w:rsid w:val="000E274C"/>
    <w:rsid w:val="000E2AF1"/>
    <w:rsid w:val="000E2E02"/>
    <w:rsid w:val="000E47E7"/>
    <w:rsid w:val="000E4DA5"/>
    <w:rsid w:val="000E5439"/>
    <w:rsid w:val="000F11B4"/>
    <w:rsid w:val="000F19B4"/>
    <w:rsid w:val="000F3129"/>
    <w:rsid w:val="000F4199"/>
    <w:rsid w:val="000F5664"/>
    <w:rsid w:val="000F6AF9"/>
    <w:rsid w:val="00100581"/>
    <w:rsid w:val="00102686"/>
    <w:rsid w:val="001037DC"/>
    <w:rsid w:val="001067A0"/>
    <w:rsid w:val="00107EB4"/>
    <w:rsid w:val="0011036E"/>
    <w:rsid w:val="0011071E"/>
    <w:rsid w:val="001109DB"/>
    <w:rsid w:val="0011227D"/>
    <w:rsid w:val="0011232D"/>
    <w:rsid w:val="00112FD1"/>
    <w:rsid w:val="001130B0"/>
    <w:rsid w:val="0011369B"/>
    <w:rsid w:val="00114161"/>
    <w:rsid w:val="0011513A"/>
    <w:rsid w:val="0011742E"/>
    <w:rsid w:val="00117DFF"/>
    <w:rsid w:val="00120628"/>
    <w:rsid w:val="00120A11"/>
    <w:rsid w:val="00123D10"/>
    <w:rsid w:val="00124809"/>
    <w:rsid w:val="0012552E"/>
    <w:rsid w:val="0012562C"/>
    <w:rsid w:val="00126B33"/>
    <w:rsid w:val="00131349"/>
    <w:rsid w:val="001316D8"/>
    <w:rsid w:val="00132F96"/>
    <w:rsid w:val="00133E0F"/>
    <w:rsid w:val="0014007C"/>
    <w:rsid w:val="0014109A"/>
    <w:rsid w:val="001418D4"/>
    <w:rsid w:val="00141F83"/>
    <w:rsid w:val="001460CC"/>
    <w:rsid w:val="00146496"/>
    <w:rsid w:val="00151765"/>
    <w:rsid w:val="0015217F"/>
    <w:rsid w:val="00153E0D"/>
    <w:rsid w:val="0015434B"/>
    <w:rsid w:val="00154B00"/>
    <w:rsid w:val="001604BE"/>
    <w:rsid w:val="00163FCD"/>
    <w:rsid w:val="001644E9"/>
    <w:rsid w:val="00166826"/>
    <w:rsid w:val="00166F6C"/>
    <w:rsid w:val="001700AE"/>
    <w:rsid w:val="00171DC4"/>
    <w:rsid w:val="00171FFC"/>
    <w:rsid w:val="00172A51"/>
    <w:rsid w:val="00174BCE"/>
    <w:rsid w:val="001752FC"/>
    <w:rsid w:val="00177F21"/>
    <w:rsid w:val="00180287"/>
    <w:rsid w:val="0018041D"/>
    <w:rsid w:val="00180DD7"/>
    <w:rsid w:val="001827B4"/>
    <w:rsid w:val="00183979"/>
    <w:rsid w:val="001845D9"/>
    <w:rsid w:val="0018630F"/>
    <w:rsid w:val="00186345"/>
    <w:rsid w:val="0018665B"/>
    <w:rsid w:val="001906CD"/>
    <w:rsid w:val="0019168E"/>
    <w:rsid w:val="00191B99"/>
    <w:rsid w:val="0019694B"/>
    <w:rsid w:val="00197D29"/>
    <w:rsid w:val="001A01A4"/>
    <w:rsid w:val="001A0202"/>
    <w:rsid w:val="001A02E3"/>
    <w:rsid w:val="001A1ADF"/>
    <w:rsid w:val="001A365C"/>
    <w:rsid w:val="001A3BA8"/>
    <w:rsid w:val="001A4CCA"/>
    <w:rsid w:val="001A6501"/>
    <w:rsid w:val="001A749A"/>
    <w:rsid w:val="001B171D"/>
    <w:rsid w:val="001B1BD8"/>
    <w:rsid w:val="001B29A1"/>
    <w:rsid w:val="001B31BC"/>
    <w:rsid w:val="001B5169"/>
    <w:rsid w:val="001B565A"/>
    <w:rsid w:val="001B567A"/>
    <w:rsid w:val="001B6164"/>
    <w:rsid w:val="001C0713"/>
    <w:rsid w:val="001C10B5"/>
    <w:rsid w:val="001C1228"/>
    <w:rsid w:val="001C13D9"/>
    <w:rsid w:val="001C2FD3"/>
    <w:rsid w:val="001C3A3A"/>
    <w:rsid w:val="001C48BC"/>
    <w:rsid w:val="001C579F"/>
    <w:rsid w:val="001D06D9"/>
    <w:rsid w:val="001D45DC"/>
    <w:rsid w:val="001D525F"/>
    <w:rsid w:val="001D6655"/>
    <w:rsid w:val="001D77ED"/>
    <w:rsid w:val="001E095A"/>
    <w:rsid w:val="001E1180"/>
    <w:rsid w:val="001E23EA"/>
    <w:rsid w:val="001E3514"/>
    <w:rsid w:val="001E490C"/>
    <w:rsid w:val="001E4E65"/>
    <w:rsid w:val="001E500C"/>
    <w:rsid w:val="001E6919"/>
    <w:rsid w:val="001E6958"/>
    <w:rsid w:val="001E7393"/>
    <w:rsid w:val="001E73CA"/>
    <w:rsid w:val="001E7FA0"/>
    <w:rsid w:val="001F038E"/>
    <w:rsid w:val="001F16AB"/>
    <w:rsid w:val="001F1C77"/>
    <w:rsid w:val="001F1CE1"/>
    <w:rsid w:val="001F28CA"/>
    <w:rsid w:val="001F3AAE"/>
    <w:rsid w:val="001F5572"/>
    <w:rsid w:val="001F721C"/>
    <w:rsid w:val="00200366"/>
    <w:rsid w:val="00201924"/>
    <w:rsid w:val="00202473"/>
    <w:rsid w:val="00202DEB"/>
    <w:rsid w:val="0020363A"/>
    <w:rsid w:val="002053F2"/>
    <w:rsid w:val="00206040"/>
    <w:rsid w:val="00206D63"/>
    <w:rsid w:val="0020776A"/>
    <w:rsid w:val="0021185D"/>
    <w:rsid w:val="002143BE"/>
    <w:rsid w:val="00216985"/>
    <w:rsid w:val="0021750B"/>
    <w:rsid w:val="00221308"/>
    <w:rsid w:val="00223892"/>
    <w:rsid w:val="00226777"/>
    <w:rsid w:val="00232404"/>
    <w:rsid w:val="00235820"/>
    <w:rsid w:val="00235BD1"/>
    <w:rsid w:val="002368E2"/>
    <w:rsid w:val="002376DD"/>
    <w:rsid w:val="00237833"/>
    <w:rsid w:val="00237D23"/>
    <w:rsid w:val="002406A2"/>
    <w:rsid w:val="00241B7B"/>
    <w:rsid w:val="00242B0E"/>
    <w:rsid w:val="002432D9"/>
    <w:rsid w:val="0024347C"/>
    <w:rsid w:val="002466A8"/>
    <w:rsid w:val="00247138"/>
    <w:rsid w:val="00247DF0"/>
    <w:rsid w:val="0025320D"/>
    <w:rsid w:val="0025323F"/>
    <w:rsid w:val="00254232"/>
    <w:rsid w:val="00254813"/>
    <w:rsid w:val="00255083"/>
    <w:rsid w:val="002579B4"/>
    <w:rsid w:val="00257A09"/>
    <w:rsid w:val="00257FF2"/>
    <w:rsid w:val="00261A96"/>
    <w:rsid w:val="002630E3"/>
    <w:rsid w:val="0026312C"/>
    <w:rsid w:val="00263178"/>
    <w:rsid w:val="002631A2"/>
    <w:rsid w:val="0026448D"/>
    <w:rsid w:val="00265822"/>
    <w:rsid w:val="00266B3C"/>
    <w:rsid w:val="0026733C"/>
    <w:rsid w:val="0027105F"/>
    <w:rsid w:val="002711FB"/>
    <w:rsid w:val="00276377"/>
    <w:rsid w:val="00282B37"/>
    <w:rsid w:val="00282BE8"/>
    <w:rsid w:val="00283318"/>
    <w:rsid w:val="0028488F"/>
    <w:rsid w:val="00285130"/>
    <w:rsid w:val="00285525"/>
    <w:rsid w:val="0028625C"/>
    <w:rsid w:val="00286516"/>
    <w:rsid w:val="00286599"/>
    <w:rsid w:val="00287643"/>
    <w:rsid w:val="002877A2"/>
    <w:rsid w:val="002877BA"/>
    <w:rsid w:val="0029024A"/>
    <w:rsid w:val="002908EE"/>
    <w:rsid w:val="00294CD8"/>
    <w:rsid w:val="00296405"/>
    <w:rsid w:val="002A0596"/>
    <w:rsid w:val="002A270B"/>
    <w:rsid w:val="002A3019"/>
    <w:rsid w:val="002A388B"/>
    <w:rsid w:val="002A50FD"/>
    <w:rsid w:val="002A5DCF"/>
    <w:rsid w:val="002A6753"/>
    <w:rsid w:val="002A6EA6"/>
    <w:rsid w:val="002B044A"/>
    <w:rsid w:val="002B28D7"/>
    <w:rsid w:val="002B3D81"/>
    <w:rsid w:val="002B41FB"/>
    <w:rsid w:val="002B63E0"/>
    <w:rsid w:val="002B6FE3"/>
    <w:rsid w:val="002B7EB6"/>
    <w:rsid w:val="002C0B61"/>
    <w:rsid w:val="002C15E6"/>
    <w:rsid w:val="002C1D63"/>
    <w:rsid w:val="002C247D"/>
    <w:rsid w:val="002C2A3C"/>
    <w:rsid w:val="002C3345"/>
    <w:rsid w:val="002C5A68"/>
    <w:rsid w:val="002C5C40"/>
    <w:rsid w:val="002D0A90"/>
    <w:rsid w:val="002D1881"/>
    <w:rsid w:val="002D223F"/>
    <w:rsid w:val="002D3DD0"/>
    <w:rsid w:val="002D409A"/>
    <w:rsid w:val="002D6B34"/>
    <w:rsid w:val="002D72A3"/>
    <w:rsid w:val="002E0FE4"/>
    <w:rsid w:val="002E189D"/>
    <w:rsid w:val="002E406F"/>
    <w:rsid w:val="002E6BED"/>
    <w:rsid w:val="002F01F5"/>
    <w:rsid w:val="002F23B3"/>
    <w:rsid w:val="002F2982"/>
    <w:rsid w:val="002F30E7"/>
    <w:rsid w:val="002F418D"/>
    <w:rsid w:val="002F4BE4"/>
    <w:rsid w:val="00300EEB"/>
    <w:rsid w:val="003013A9"/>
    <w:rsid w:val="00301958"/>
    <w:rsid w:val="00302034"/>
    <w:rsid w:val="003020B5"/>
    <w:rsid w:val="003027BB"/>
    <w:rsid w:val="0030303A"/>
    <w:rsid w:val="00304B05"/>
    <w:rsid w:val="00305AE0"/>
    <w:rsid w:val="003101D6"/>
    <w:rsid w:val="00310A10"/>
    <w:rsid w:val="00314209"/>
    <w:rsid w:val="00314381"/>
    <w:rsid w:val="003144BB"/>
    <w:rsid w:val="0031506F"/>
    <w:rsid w:val="00317CD5"/>
    <w:rsid w:val="00322511"/>
    <w:rsid w:val="00323347"/>
    <w:rsid w:val="00323B68"/>
    <w:rsid w:val="00325B0B"/>
    <w:rsid w:val="00326786"/>
    <w:rsid w:val="00326D0B"/>
    <w:rsid w:val="00327D25"/>
    <w:rsid w:val="00330C88"/>
    <w:rsid w:val="003310C8"/>
    <w:rsid w:val="003319A7"/>
    <w:rsid w:val="00334076"/>
    <w:rsid w:val="00334FE3"/>
    <w:rsid w:val="003416E1"/>
    <w:rsid w:val="003418F0"/>
    <w:rsid w:val="00342040"/>
    <w:rsid w:val="003421AE"/>
    <w:rsid w:val="003433D1"/>
    <w:rsid w:val="0034445E"/>
    <w:rsid w:val="00344B24"/>
    <w:rsid w:val="00344B42"/>
    <w:rsid w:val="003456B9"/>
    <w:rsid w:val="003457C4"/>
    <w:rsid w:val="00345FC5"/>
    <w:rsid w:val="0034611C"/>
    <w:rsid w:val="003469DB"/>
    <w:rsid w:val="003502EF"/>
    <w:rsid w:val="0035067D"/>
    <w:rsid w:val="00353414"/>
    <w:rsid w:val="00353A16"/>
    <w:rsid w:val="00354537"/>
    <w:rsid w:val="00354D4D"/>
    <w:rsid w:val="00355B06"/>
    <w:rsid w:val="00357210"/>
    <w:rsid w:val="0035776D"/>
    <w:rsid w:val="0036143D"/>
    <w:rsid w:val="00364FD9"/>
    <w:rsid w:val="00366C39"/>
    <w:rsid w:val="00367C1B"/>
    <w:rsid w:val="00367E27"/>
    <w:rsid w:val="003700E4"/>
    <w:rsid w:val="00371046"/>
    <w:rsid w:val="00371100"/>
    <w:rsid w:val="00371105"/>
    <w:rsid w:val="0037247A"/>
    <w:rsid w:val="003733FA"/>
    <w:rsid w:val="00374FD3"/>
    <w:rsid w:val="003753AF"/>
    <w:rsid w:val="0037633E"/>
    <w:rsid w:val="00376B61"/>
    <w:rsid w:val="00376EAD"/>
    <w:rsid w:val="0038235B"/>
    <w:rsid w:val="00382407"/>
    <w:rsid w:val="0038293B"/>
    <w:rsid w:val="00385DB6"/>
    <w:rsid w:val="00386A64"/>
    <w:rsid w:val="00386FA1"/>
    <w:rsid w:val="00390142"/>
    <w:rsid w:val="0039020F"/>
    <w:rsid w:val="003904AC"/>
    <w:rsid w:val="00391A9C"/>
    <w:rsid w:val="00392202"/>
    <w:rsid w:val="003929A1"/>
    <w:rsid w:val="00392DEF"/>
    <w:rsid w:val="00392E06"/>
    <w:rsid w:val="00392EBF"/>
    <w:rsid w:val="00392F00"/>
    <w:rsid w:val="00394E9A"/>
    <w:rsid w:val="003955C6"/>
    <w:rsid w:val="00395AE5"/>
    <w:rsid w:val="00397377"/>
    <w:rsid w:val="003A00D7"/>
    <w:rsid w:val="003A162F"/>
    <w:rsid w:val="003A186B"/>
    <w:rsid w:val="003A22DE"/>
    <w:rsid w:val="003A2860"/>
    <w:rsid w:val="003A3B30"/>
    <w:rsid w:val="003A3C35"/>
    <w:rsid w:val="003A4D57"/>
    <w:rsid w:val="003A5495"/>
    <w:rsid w:val="003A5AB5"/>
    <w:rsid w:val="003A6B88"/>
    <w:rsid w:val="003A7541"/>
    <w:rsid w:val="003A7D30"/>
    <w:rsid w:val="003B0F1A"/>
    <w:rsid w:val="003B2194"/>
    <w:rsid w:val="003B3272"/>
    <w:rsid w:val="003B372C"/>
    <w:rsid w:val="003B3C5C"/>
    <w:rsid w:val="003B605D"/>
    <w:rsid w:val="003B678E"/>
    <w:rsid w:val="003C2EB3"/>
    <w:rsid w:val="003C47CA"/>
    <w:rsid w:val="003C5E29"/>
    <w:rsid w:val="003C7D60"/>
    <w:rsid w:val="003D23D6"/>
    <w:rsid w:val="003D25BD"/>
    <w:rsid w:val="003D2AAD"/>
    <w:rsid w:val="003D3E19"/>
    <w:rsid w:val="003D5A35"/>
    <w:rsid w:val="003D5EC8"/>
    <w:rsid w:val="003D6943"/>
    <w:rsid w:val="003D6DE1"/>
    <w:rsid w:val="003D795C"/>
    <w:rsid w:val="003E0C00"/>
    <w:rsid w:val="003E1F3A"/>
    <w:rsid w:val="003E28FB"/>
    <w:rsid w:val="003E2EBC"/>
    <w:rsid w:val="003E30FB"/>
    <w:rsid w:val="003E322A"/>
    <w:rsid w:val="003E5176"/>
    <w:rsid w:val="003E587D"/>
    <w:rsid w:val="003E72CA"/>
    <w:rsid w:val="003E7B2F"/>
    <w:rsid w:val="003E7E14"/>
    <w:rsid w:val="003F134D"/>
    <w:rsid w:val="003F1561"/>
    <w:rsid w:val="003F2711"/>
    <w:rsid w:val="003F4801"/>
    <w:rsid w:val="003F5318"/>
    <w:rsid w:val="003F53D9"/>
    <w:rsid w:val="003F58AF"/>
    <w:rsid w:val="003F6C70"/>
    <w:rsid w:val="003F7CB9"/>
    <w:rsid w:val="0040246B"/>
    <w:rsid w:val="004029E3"/>
    <w:rsid w:val="00403333"/>
    <w:rsid w:val="0040499E"/>
    <w:rsid w:val="00404AD3"/>
    <w:rsid w:val="004060B3"/>
    <w:rsid w:val="00406443"/>
    <w:rsid w:val="00406782"/>
    <w:rsid w:val="004102E6"/>
    <w:rsid w:val="00411735"/>
    <w:rsid w:val="00413039"/>
    <w:rsid w:val="00413B5B"/>
    <w:rsid w:val="0041439E"/>
    <w:rsid w:val="0041455A"/>
    <w:rsid w:val="0041525C"/>
    <w:rsid w:val="00415C74"/>
    <w:rsid w:val="0041691E"/>
    <w:rsid w:val="00420DF0"/>
    <w:rsid w:val="00421085"/>
    <w:rsid w:val="0042186E"/>
    <w:rsid w:val="00422454"/>
    <w:rsid w:val="0042524E"/>
    <w:rsid w:val="00427A20"/>
    <w:rsid w:val="00433A63"/>
    <w:rsid w:val="00434AC3"/>
    <w:rsid w:val="00434B3F"/>
    <w:rsid w:val="0043654D"/>
    <w:rsid w:val="004377BD"/>
    <w:rsid w:val="00437F60"/>
    <w:rsid w:val="00444903"/>
    <w:rsid w:val="00444C79"/>
    <w:rsid w:val="0044690F"/>
    <w:rsid w:val="00447924"/>
    <w:rsid w:val="00450D86"/>
    <w:rsid w:val="00451840"/>
    <w:rsid w:val="00452BF2"/>
    <w:rsid w:val="00452C20"/>
    <w:rsid w:val="00460653"/>
    <w:rsid w:val="0046075A"/>
    <w:rsid w:val="004607EF"/>
    <w:rsid w:val="00460C9A"/>
    <w:rsid w:val="00464924"/>
    <w:rsid w:val="00464A24"/>
    <w:rsid w:val="004653A5"/>
    <w:rsid w:val="004664CA"/>
    <w:rsid w:val="0047135B"/>
    <w:rsid w:val="0047237D"/>
    <w:rsid w:val="0047363C"/>
    <w:rsid w:val="0047499C"/>
    <w:rsid w:val="0047581D"/>
    <w:rsid w:val="00475947"/>
    <w:rsid w:val="00480289"/>
    <w:rsid w:val="00481279"/>
    <w:rsid w:val="00483368"/>
    <w:rsid w:val="0048350D"/>
    <w:rsid w:val="0048655E"/>
    <w:rsid w:val="0048662B"/>
    <w:rsid w:val="00487463"/>
    <w:rsid w:val="00490747"/>
    <w:rsid w:val="00493148"/>
    <w:rsid w:val="004931A1"/>
    <w:rsid w:val="004933E4"/>
    <w:rsid w:val="00494011"/>
    <w:rsid w:val="00494206"/>
    <w:rsid w:val="0049483D"/>
    <w:rsid w:val="00494E7C"/>
    <w:rsid w:val="004963D7"/>
    <w:rsid w:val="004964CC"/>
    <w:rsid w:val="00497616"/>
    <w:rsid w:val="00497DF6"/>
    <w:rsid w:val="004A02EC"/>
    <w:rsid w:val="004A0BF4"/>
    <w:rsid w:val="004A1777"/>
    <w:rsid w:val="004A263B"/>
    <w:rsid w:val="004A2890"/>
    <w:rsid w:val="004A4038"/>
    <w:rsid w:val="004A7802"/>
    <w:rsid w:val="004A7B17"/>
    <w:rsid w:val="004B11CE"/>
    <w:rsid w:val="004B362D"/>
    <w:rsid w:val="004B4144"/>
    <w:rsid w:val="004B4905"/>
    <w:rsid w:val="004B4AA0"/>
    <w:rsid w:val="004B5A88"/>
    <w:rsid w:val="004B64B9"/>
    <w:rsid w:val="004B68AE"/>
    <w:rsid w:val="004B72FC"/>
    <w:rsid w:val="004C15EE"/>
    <w:rsid w:val="004C1D79"/>
    <w:rsid w:val="004C21FB"/>
    <w:rsid w:val="004C35B0"/>
    <w:rsid w:val="004C4527"/>
    <w:rsid w:val="004C49EF"/>
    <w:rsid w:val="004C4A19"/>
    <w:rsid w:val="004C53CD"/>
    <w:rsid w:val="004C5570"/>
    <w:rsid w:val="004C737E"/>
    <w:rsid w:val="004C7C7A"/>
    <w:rsid w:val="004D00C9"/>
    <w:rsid w:val="004D3898"/>
    <w:rsid w:val="004D3DD1"/>
    <w:rsid w:val="004E00C9"/>
    <w:rsid w:val="004E16F5"/>
    <w:rsid w:val="004E2970"/>
    <w:rsid w:val="004E30D6"/>
    <w:rsid w:val="004E3CC7"/>
    <w:rsid w:val="004E407A"/>
    <w:rsid w:val="004E4504"/>
    <w:rsid w:val="004E5002"/>
    <w:rsid w:val="004E5355"/>
    <w:rsid w:val="004E5B69"/>
    <w:rsid w:val="004E7C17"/>
    <w:rsid w:val="004F094D"/>
    <w:rsid w:val="004F0E8E"/>
    <w:rsid w:val="004F1D68"/>
    <w:rsid w:val="004F2A87"/>
    <w:rsid w:val="004F2C24"/>
    <w:rsid w:val="004F2EDA"/>
    <w:rsid w:val="004F3F14"/>
    <w:rsid w:val="004F57E1"/>
    <w:rsid w:val="004F5C22"/>
    <w:rsid w:val="004F5F60"/>
    <w:rsid w:val="00500150"/>
    <w:rsid w:val="0050122C"/>
    <w:rsid w:val="00503748"/>
    <w:rsid w:val="00506543"/>
    <w:rsid w:val="005068C7"/>
    <w:rsid w:val="00507C56"/>
    <w:rsid w:val="00513E4A"/>
    <w:rsid w:val="005146FD"/>
    <w:rsid w:val="00515B88"/>
    <w:rsid w:val="005164D8"/>
    <w:rsid w:val="0052344E"/>
    <w:rsid w:val="00524AA6"/>
    <w:rsid w:val="00525CBD"/>
    <w:rsid w:val="00525DC5"/>
    <w:rsid w:val="00526478"/>
    <w:rsid w:val="005272F8"/>
    <w:rsid w:val="00530204"/>
    <w:rsid w:val="00532736"/>
    <w:rsid w:val="005330B1"/>
    <w:rsid w:val="00534AF8"/>
    <w:rsid w:val="00534C5F"/>
    <w:rsid w:val="005352DC"/>
    <w:rsid w:val="00535ADE"/>
    <w:rsid w:val="005365AF"/>
    <w:rsid w:val="0053759A"/>
    <w:rsid w:val="00540257"/>
    <w:rsid w:val="0054192F"/>
    <w:rsid w:val="005433C1"/>
    <w:rsid w:val="0054347D"/>
    <w:rsid w:val="005443ED"/>
    <w:rsid w:val="00544EB3"/>
    <w:rsid w:val="0054594B"/>
    <w:rsid w:val="0054749B"/>
    <w:rsid w:val="00547596"/>
    <w:rsid w:val="00551CC6"/>
    <w:rsid w:val="00554E7A"/>
    <w:rsid w:val="00554EBE"/>
    <w:rsid w:val="0055565E"/>
    <w:rsid w:val="00555F6E"/>
    <w:rsid w:val="005564AC"/>
    <w:rsid w:val="0056015F"/>
    <w:rsid w:val="00560169"/>
    <w:rsid w:val="00560541"/>
    <w:rsid w:val="00560770"/>
    <w:rsid w:val="00562382"/>
    <w:rsid w:val="005633ED"/>
    <w:rsid w:val="005663F3"/>
    <w:rsid w:val="0056647C"/>
    <w:rsid w:val="00566C91"/>
    <w:rsid w:val="005672D0"/>
    <w:rsid w:val="00567541"/>
    <w:rsid w:val="0056779D"/>
    <w:rsid w:val="0057028F"/>
    <w:rsid w:val="00572CEB"/>
    <w:rsid w:val="00573324"/>
    <w:rsid w:val="005739BA"/>
    <w:rsid w:val="00577658"/>
    <w:rsid w:val="00577929"/>
    <w:rsid w:val="00580854"/>
    <w:rsid w:val="0058111C"/>
    <w:rsid w:val="00581461"/>
    <w:rsid w:val="005834C9"/>
    <w:rsid w:val="005847B7"/>
    <w:rsid w:val="005856D0"/>
    <w:rsid w:val="00591FBA"/>
    <w:rsid w:val="00592B37"/>
    <w:rsid w:val="00592DEE"/>
    <w:rsid w:val="00597C41"/>
    <w:rsid w:val="005A2A24"/>
    <w:rsid w:val="005A47F8"/>
    <w:rsid w:val="005A56DB"/>
    <w:rsid w:val="005A58BA"/>
    <w:rsid w:val="005A5D30"/>
    <w:rsid w:val="005A66CE"/>
    <w:rsid w:val="005A6AB9"/>
    <w:rsid w:val="005B04C2"/>
    <w:rsid w:val="005B1254"/>
    <w:rsid w:val="005B2C80"/>
    <w:rsid w:val="005B38DB"/>
    <w:rsid w:val="005B4532"/>
    <w:rsid w:val="005B5A90"/>
    <w:rsid w:val="005B797B"/>
    <w:rsid w:val="005B7C64"/>
    <w:rsid w:val="005C15D6"/>
    <w:rsid w:val="005C333E"/>
    <w:rsid w:val="005C3AE7"/>
    <w:rsid w:val="005C3C76"/>
    <w:rsid w:val="005C45F9"/>
    <w:rsid w:val="005C7616"/>
    <w:rsid w:val="005D0677"/>
    <w:rsid w:val="005D09A8"/>
    <w:rsid w:val="005D10EA"/>
    <w:rsid w:val="005D37C4"/>
    <w:rsid w:val="005E143B"/>
    <w:rsid w:val="005E1557"/>
    <w:rsid w:val="005E174D"/>
    <w:rsid w:val="005E2169"/>
    <w:rsid w:val="005E275C"/>
    <w:rsid w:val="005E294C"/>
    <w:rsid w:val="005E2CE3"/>
    <w:rsid w:val="005E38C7"/>
    <w:rsid w:val="005E45F1"/>
    <w:rsid w:val="005E6624"/>
    <w:rsid w:val="005F2286"/>
    <w:rsid w:val="005F2EBA"/>
    <w:rsid w:val="005F39A7"/>
    <w:rsid w:val="005F3F07"/>
    <w:rsid w:val="005F4461"/>
    <w:rsid w:val="005F4B0E"/>
    <w:rsid w:val="00600E57"/>
    <w:rsid w:val="00600FDD"/>
    <w:rsid w:val="006017FE"/>
    <w:rsid w:val="00603D04"/>
    <w:rsid w:val="00605694"/>
    <w:rsid w:val="00605703"/>
    <w:rsid w:val="00606857"/>
    <w:rsid w:val="0060749D"/>
    <w:rsid w:val="00607CF2"/>
    <w:rsid w:val="00613FB9"/>
    <w:rsid w:val="006152F8"/>
    <w:rsid w:val="00615F42"/>
    <w:rsid w:val="006164F0"/>
    <w:rsid w:val="00617D50"/>
    <w:rsid w:val="00622A92"/>
    <w:rsid w:val="00622B7E"/>
    <w:rsid w:val="00624678"/>
    <w:rsid w:val="006253A3"/>
    <w:rsid w:val="006258C2"/>
    <w:rsid w:val="0062614B"/>
    <w:rsid w:val="00626365"/>
    <w:rsid w:val="00630E22"/>
    <w:rsid w:val="0063172B"/>
    <w:rsid w:val="0063379C"/>
    <w:rsid w:val="00633A24"/>
    <w:rsid w:val="00633ED9"/>
    <w:rsid w:val="00636633"/>
    <w:rsid w:val="00636D4D"/>
    <w:rsid w:val="0064037D"/>
    <w:rsid w:val="00640D21"/>
    <w:rsid w:val="0064168C"/>
    <w:rsid w:val="00643755"/>
    <w:rsid w:val="00644607"/>
    <w:rsid w:val="006449E9"/>
    <w:rsid w:val="00644F55"/>
    <w:rsid w:val="006453D7"/>
    <w:rsid w:val="00650172"/>
    <w:rsid w:val="00652B04"/>
    <w:rsid w:val="0065304A"/>
    <w:rsid w:val="00653E03"/>
    <w:rsid w:val="006540FD"/>
    <w:rsid w:val="00654B61"/>
    <w:rsid w:val="00654FC5"/>
    <w:rsid w:val="00656F70"/>
    <w:rsid w:val="00657B46"/>
    <w:rsid w:val="00662272"/>
    <w:rsid w:val="00663D8A"/>
    <w:rsid w:val="00664F3B"/>
    <w:rsid w:val="00665C4A"/>
    <w:rsid w:val="00665D70"/>
    <w:rsid w:val="006664A3"/>
    <w:rsid w:val="006668E0"/>
    <w:rsid w:val="00672C71"/>
    <w:rsid w:val="00674FBF"/>
    <w:rsid w:val="006764EC"/>
    <w:rsid w:val="0067795D"/>
    <w:rsid w:val="0068083B"/>
    <w:rsid w:val="00680911"/>
    <w:rsid w:val="006835FE"/>
    <w:rsid w:val="00683B16"/>
    <w:rsid w:val="0068438E"/>
    <w:rsid w:val="00684E01"/>
    <w:rsid w:val="006853C6"/>
    <w:rsid w:val="00685F3C"/>
    <w:rsid w:val="0068776B"/>
    <w:rsid w:val="006915DE"/>
    <w:rsid w:val="00692064"/>
    <w:rsid w:val="00693A62"/>
    <w:rsid w:val="00693BFD"/>
    <w:rsid w:val="0069479E"/>
    <w:rsid w:val="00695065"/>
    <w:rsid w:val="00695ACE"/>
    <w:rsid w:val="00696675"/>
    <w:rsid w:val="00696965"/>
    <w:rsid w:val="006A04F2"/>
    <w:rsid w:val="006A09A3"/>
    <w:rsid w:val="006A1038"/>
    <w:rsid w:val="006A1E79"/>
    <w:rsid w:val="006A257C"/>
    <w:rsid w:val="006A4A2B"/>
    <w:rsid w:val="006A50B6"/>
    <w:rsid w:val="006A529F"/>
    <w:rsid w:val="006A649A"/>
    <w:rsid w:val="006A6838"/>
    <w:rsid w:val="006A6DF3"/>
    <w:rsid w:val="006A771B"/>
    <w:rsid w:val="006A792F"/>
    <w:rsid w:val="006B1695"/>
    <w:rsid w:val="006B1B49"/>
    <w:rsid w:val="006B2C0D"/>
    <w:rsid w:val="006B433E"/>
    <w:rsid w:val="006B6390"/>
    <w:rsid w:val="006B6DD8"/>
    <w:rsid w:val="006B6DDC"/>
    <w:rsid w:val="006C0356"/>
    <w:rsid w:val="006C0843"/>
    <w:rsid w:val="006C6BFC"/>
    <w:rsid w:val="006C74B1"/>
    <w:rsid w:val="006C7823"/>
    <w:rsid w:val="006D0BBF"/>
    <w:rsid w:val="006D1C9E"/>
    <w:rsid w:val="006D29D0"/>
    <w:rsid w:val="006D7304"/>
    <w:rsid w:val="006D737F"/>
    <w:rsid w:val="006D75C4"/>
    <w:rsid w:val="006D7A1C"/>
    <w:rsid w:val="006E012B"/>
    <w:rsid w:val="006E0F08"/>
    <w:rsid w:val="006E19F0"/>
    <w:rsid w:val="006E40F3"/>
    <w:rsid w:val="006E57AA"/>
    <w:rsid w:val="006F0051"/>
    <w:rsid w:val="006F0285"/>
    <w:rsid w:val="006F1C71"/>
    <w:rsid w:val="006F20CF"/>
    <w:rsid w:val="006F261C"/>
    <w:rsid w:val="006F38ED"/>
    <w:rsid w:val="006F4A02"/>
    <w:rsid w:val="006F6216"/>
    <w:rsid w:val="006F739B"/>
    <w:rsid w:val="006F7B35"/>
    <w:rsid w:val="007001E5"/>
    <w:rsid w:val="00700D06"/>
    <w:rsid w:val="00700E6D"/>
    <w:rsid w:val="0070256F"/>
    <w:rsid w:val="00704082"/>
    <w:rsid w:val="00705065"/>
    <w:rsid w:val="00706438"/>
    <w:rsid w:val="007068C0"/>
    <w:rsid w:val="00707D4D"/>
    <w:rsid w:val="00711C13"/>
    <w:rsid w:val="0071227C"/>
    <w:rsid w:val="00713D84"/>
    <w:rsid w:val="00716BBF"/>
    <w:rsid w:val="00720F27"/>
    <w:rsid w:val="00723446"/>
    <w:rsid w:val="00723503"/>
    <w:rsid w:val="00725219"/>
    <w:rsid w:val="00727118"/>
    <w:rsid w:val="00727DEF"/>
    <w:rsid w:val="00730C04"/>
    <w:rsid w:val="007322A3"/>
    <w:rsid w:val="007340C3"/>
    <w:rsid w:val="00734368"/>
    <w:rsid w:val="0073597B"/>
    <w:rsid w:val="007378F6"/>
    <w:rsid w:val="00742291"/>
    <w:rsid w:val="0074545D"/>
    <w:rsid w:val="00745777"/>
    <w:rsid w:val="00746539"/>
    <w:rsid w:val="00747E60"/>
    <w:rsid w:val="0075015C"/>
    <w:rsid w:val="00751427"/>
    <w:rsid w:val="007522E3"/>
    <w:rsid w:val="0075335B"/>
    <w:rsid w:val="007537CC"/>
    <w:rsid w:val="00753C44"/>
    <w:rsid w:val="00754292"/>
    <w:rsid w:val="00754383"/>
    <w:rsid w:val="00755302"/>
    <w:rsid w:val="00755819"/>
    <w:rsid w:val="00755DF6"/>
    <w:rsid w:val="0075639F"/>
    <w:rsid w:val="007564D1"/>
    <w:rsid w:val="00756582"/>
    <w:rsid w:val="00757232"/>
    <w:rsid w:val="00757521"/>
    <w:rsid w:val="00760679"/>
    <w:rsid w:val="00762A74"/>
    <w:rsid w:val="00763628"/>
    <w:rsid w:val="00763806"/>
    <w:rsid w:val="0076394F"/>
    <w:rsid w:val="00765740"/>
    <w:rsid w:val="0076761E"/>
    <w:rsid w:val="00767E99"/>
    <w:rsid w:val="007718C7"/>
    <w:rsid w:val="00772E62"/>
    <w:rsid w:val="00774EDC"/>
    <w:rsid w:val="00775A6A"/>
    <w:rsid w:val="007775A6"/>
    <w:rsid w:val="0077789B"/>
    <w:rsid w:val="00780D29"/>
    <w:rsid w:val="007810BD"/>
    <w:rsid w:val="00783C31"/>
    <w:rsid w:val="00784D2F"/>
    <w:rsid w:val="00785926"/>
    <w:rsid w:val="00785937"/>
    <w:rsid w:val="00786EE1"/>
    <w:rsid w:val="00787815"/>
    <w:rsid w:val="00787828"/>
    <w:rsid w:val="007901D8"/>
    <w:rsid w:val="00790D50"/>
    <w:rsid w:val="00791C8D"/>
    <w:rsid w:val="007929E5"/>
    <w:rsid w:val="0079354C"/>
    <w:rsid w:val="0079412C"/>
    <w:rsid w:val="00794181"/>
    <w:rsid w:val="007958B4"/>
    <w:rsid w:val="00797D7E"/>
    <w:rsid w:val="007A18FE"/>
    <w:rsid w:val="007A20AF"/>
    <w:rsid w:val="007A4A30"/>
    <w:rsid w:val="007A5337"/>
    <w:rsid w:val="007A561C"/>
    <w:rsid w:val="007A6F34"/>
    <w:rsid w:val="007A7F6F"/>
    <w:rsid w:val="007B0B6C"/>
    <w:rsid w:val="007B1A22"/>
    <w:rsid w:val="007B4C76"/>
    <w:rsid w:val="007B55F9"/>
    <w:rsid w:val="007C131C"/>
    <w:rsid w:val="007C14BE"/>
    <w:rsid w:val="007C2260"/>
    <w:rsid w:val="007C362A"/>
    <w:rsid w:val="007C3801"/>
    <w:rsid w:val="007C56D3"/>
    <w:rsid w:val="007C586F"/>
    <w:rsid w:val="007C6C2C"/>
    <w:rsid w:val="007C6DE9"/>
    <w:rsid w:val="007C7014"/>
    <w:rsid w:val="007D1C15"/>
    <w:rsid w:val="007D1E52"/>
    <w:rsid w:val="007D2358"/>
    <w:rsid w:val="007D408B"/>
    <w:rsid w:val="007D4BF4"/>
    <w:rsid w:val="007D7E77"/>
    <w:rsid w:val="007E11FA"/>
    <w:rsid w:val="007E381B"/>
    <w:rsid w:val="007E39E4"/>
    <w:rsid w:val="007E5CCA"/>
    <w:rsid w:val="007E61D5"/>
    <w:rsid w:val="007E6579"/>
    <w:rsid w:val="007E6FB3"/>
    <w:rsid w:val="007E78AF"/>
    <w:rsid w:val="007E7BB4"/>
    <w:rsid w:val="007F063F"/>
    <w:rsid w:val="007F067A"/>
    <w:rsid w:val="007F21B4"/>
    <w:rsid w:val="007F26C1"/>
    <w:rsid w:val="007F287C"/>
    <w:rsid w:val="007F5717"/>
    <w:rsid w:val="007F67AA"/>
    <w:rsid w:val="00801262"/>
    <w:rsid w:val="0080186E"/>
    <w:rsid w:val="00802412"/>
    <w:rsid w:val="00802553"/>
    <w:rsid w:val="00802984"/>
    <w:rsid w:val="00803EAB"/>
    <w:rsid w:val="008046B5"/>
    <w:rsid w:val="00805505"/>
    <w:rsid w:val="00805BD2"/>
    <w:rsid w:val="0080741E"/>
    <w:rsid w:val="00810224"/>
    <w:rsid w:val="00810CE1"/>
    <w:rsid w:val="00811194"/>
    <w:rsid w:val="0081123C"/>
    <w:rsid w:val="008127C0"/>
    <w:rsid w:val="00812EDD"/>
    <w:rsid w:val="00813001"/>
    <w:rsid w:val="008139C5"/>
    <w:rsid w:val="00815D67"/>
    <w:rsid w:val="008161D3"/>
    <w:rsid w:val="008163C2"/>
    <w:rsid w:val="0081650F"/>
    <w:rsid w:val="008174D1"/>
    <w:rsid w:val="00817546"/>
    <w:rsid w:val="00821C21"/>
    <w:rsid w:val="008232B5"/>
    <w:rsid w:val="00823564"/>
    <w:rsid w:val="00823EA5"/>
    <w:rsid w:val="0083003A"/>
    <w:rsid w:val="00831F18"/>
    <w:rsid w:val="00832B31"/>
    <w:rsid w:val="00834F0B"/>
    <w:rsid w:val="00835228"/>
    <w:rsid w:val="00835DA8"/>
    <w:rsid w:val="00840018"/>
    <w:rsid w:val="00840071"/>
    <w:rsid w:val="0084017B"/>
    <w:rsid w:val="00840377"/>
    <w:rsid w:val="008403E0"/>
    <w:rsid w:val="00843339"/>
    <w:rsid w:val="008441FE"/>
    <w:rsid w:val="0084441E"/>
    <w:rsid w:val="00844D7F"/>
    <w:rsid w:val="008462DE"/>
    <w:rsid w:val="0084657B"/>
    <w:rsid w:val="008467F8"/>
    <w:rsid w:val="0085045F"/>
    <w:rsid w:val="008518B5"/>
    <w:rsid w:val="008523B0"/>
    <w:rsid w:val="00855944"/>
    <w:rsid w:val="00855B46"/>
    <w:rsid w:val="00861BD1"/>
    <w:rsid w:val="0086237B"/>
    <w:rsid w:val="00864A18"/>
    <w:rsid w:val="00864A9D"/>
    <w:rsid w:val="008652C6"/>
    <w:rsid w:val="00867638"/>
    <w:rsid w:val="00867C8A"/>
    <w:rsid w:val="00870833"/>
    <w:rsid w:val="008718E1"/>
    <w:rsid w:val="00871AA5"/>
    <w:rsid w:val="00872236"/>
    <w:rsid w:val="00872329"/>
    <w:rsid w:val="0087256B"/>
    <w:rsid w:val="00873616"/>
    <w:rsid w:val="00874398"/>
    <w:rsid w:val="00874571"/>
    <w:rsid w:val="008818C2"/>
    <w:rsid w:val="00881DDA"/>
    <w:rsid w:val="00881F93"/>
    <w:rsid w:val="0088271B"/>
    <w:rsid w:val="00882CB5"/>
    <w:rsid w:val="00883641"/>
    <w:rsid w:val="0088471F"/>
    <w:rsid w:val="00884919"/>
    <w:rsid w:val="00884E69"/>
    <w:rsid w:val="00887577"/>
    <w:rsid w:val="00890082"/>
    <w:rsid w:val="008962DA"/>
    <w:rsid w:val="00896EC8"/>
    <w:rsid w:val="008971EF"/>
    <w:rsid w:val="008A04B3"/>
    <w:rsid w:val="008A3F1F"/>
    <w:rsid w:val="008A48D2"/>
    <w:rsid w:val="008A7423"/>
    <w:rsid w:val="008A7D0D"/>
    <w:rsid w:val="008A7E77"/>
    <w:rsid w:val="008B08F5"/>
    <w:rsid w:val="008B2610"/>
    <w:rsid w:val="008B471D"/>
    <w:rsid w:val="008B49E4"/>
    <w:rsid w:val="008B5468"/>
    <w:rsid w:val="008B729C"/>
    <w:rsid w:val="008B73CA"/>
    <w:rsid w:val="008C04D7"/>
    <w:rsid w:val="008C07DB"/>
    <w:rsid w:val="008C083B"/>
    <w:rsid w:val="008C2519"/>
    <w:rsid w:val="008C251B"/>
    <w:rsid w:val="008C2EB8"/>
    <w:rsid w:val="008C3915"/>
    <w:rsid w:val="008C4A93"/>
    <w:rsid w:val="008C4CB7"/>
    <w:rsid w:val="008C5868"/>
    <w:rsid w:val="008C685E"/>
    <w:rsid w:val="008D1A4B"/>
    <w:rsid w:val="008D4163"/>
    <w:rsid w:val="008D6145"/>
    <w:rsid w:val="008D746B"/>
    <w:rsid w:val="008E0B17"/>
    <w:rsid w:val="008E0E49"/>
    <w:rsid w:val="008E35FD"/>
    <w:rsid w:val="008E44FD"/>
    <w:rsid w:val="008E4DB5"/>
    <w:rsid w:val="008E5A40"/>
    <w:rsid w:val="008E6227"/>
    <w:rsid w:val="008E78B9"/>
    <w:rsid w:val="008F578B"/>
    <w:rsid w:val="008F5F9F"/>
    <w:rsid w:val="008F7C02"/>
    <w:rsid w:val="00901944"/>
    <w:rsid w:val="00901F1C"/>
    <w:rsid w:val="00904626"/>
    <w:rsid w:val="0090543D"/>
    <w:rsid w:val="009056C5"/>
    <w:rsid w:val="00905923"/>
    <w:rsid w:val="00911462"/>
    <w:rsid w:val="00912C4A"/>
    <w:rsid w:val="00915EBC"/>
    <w:rsid w:val="00917DEB"/>
    <w:rsid w:val="00923A36"/>
    <w:rsid w:val="009244AE"/>
    <w:rsid w:val="00924DED"/>
    <w:rsid w:val="00925234"/>
    <w:rsid w:val="009262F2"/>
    <w:rsid w:val="00930005"/>
    <w:rsid w:val="00933C75"/>
    <w:rsid w:val="00934599"/>
    <w:rsid w:val="00937791"/>
    <w:rsid w:val="009427ED"/>
    <w:rsid w:val="0094303B"/>
    <w:rsid w:val="00943A5E"/>
    <w:rsid w:val="00943DD9"/>
    <w:rsid w:val="00950F45"/>
    <w:rsid w:val="00951933"/>
    <w:rsid w:val="009528D2"/>
    <w:rsid w:val="00954343"/>
    <w:rsid w:val="009547B2"/>
    <w:rsid w:val="00954A6B"/>
    <w:rsid w:val="00955271"/>
    <w:rsid w:val="0095628E"/>
    <w:rsid w:val="0096016B"/>
    <w:rsid w:val="00961A11"/>
    <w:rsid w:val="00963C9C"/>
    <w:rsid w:val="00965B6B"/>
    <w:rsid w:val="00965EF2"/>
    <w:rsid w:val="00967120"/>
    <w:rsid w:val="00967435"/>
    <w:rsid w:val="00967617"/>
    <w:rsid w:val="00967E59"/>
    <w:rsid w:val="009700D8"/>
    <w:rsid w:val="009708B8"/>
    <w:rsid w:val="00971342"/>
    <w:rsid w:val="00971EDB"/>
    <w:rsid w:val="00973B43"/>
    <w:rsid w:val="00974D50"/>
    <w:rsid w:val="0097669F"/>
    <w:rsid w:val="00981644"/>
    <w:rsid w:val="00982038"/>
    <w:rsid w:val="00982E82"/>
    <w:rsid w:val="00983918"/>
    <w:rsid w:val="00984E59"/>
    <w:rsid w:val="00987ABE"/>
    <w:rsid w:val="00987D12"/>
    <w:rsid w:val="009900B5"/>
    <w:rsid w:val="00990D0F"/>
    <w:rsid w:val="00991415"/>
    <w:rsid w:val="00991EE4"/>
    <w:rsid w:val="009939DC"/>
    <w:rsid w:val="00993B9C"/>
    <w:rsid w:val="00996F27"/>
    <w:rsid w:val="009A1A9F"/>
    <w:rsid w:val="009A21B8"/>
    <w:rsid w:val="009A5698"/>
    <w:rsid w:val="009A5961"/>
    <w:rsid w:val="009A6F73"/>
    <w:rsid w:val="009B3E43"/>
    <w:rsid w:val="009B4E1E"/>
    <w:rsid w:val="009B5936"/>
    <w:rsid w:val="009B5CBE"/>
    <w:rsid w:val="009B5D57"/>
    <w:rsid w:val="009B65C6"/>
    <w:rsid w:val="009B6C0B"/>
    <w:rsid w:val="009B7D33"/>
    <w:rsid w:val="009C03FB"/>
    <w:rsid w:val="009C1FA4"/>
    <w:rsid w:val="009C434F"/>
    <w:rsid w:val="009C4B4F"/>
    <w:rsid w:val="009C5FF8"/>
    <w:rsid w:val="009D01D8"/>
    <w:rsid w:val="009D1911"/>
    <w:rsid w:val="009D33CC"/>
    <w:rsid w:val="009D3CE3"/>
    <w:rsid w:val="009D444D"/>
    <w:rsid w:val="009D7C15"/>
    <w:rsid w:val="009E0052"/>
    <w:rsid w:val="009E2153"/>
    <w:rsid w:val="009E2D27"/>
    <w:rsid w:val="009E4F00"/>
    <w:rsid w:val="009E54FB"/>
    <w:rsid w:val="009E5E7C"/>
    <w:rsid w:val="009E66FD"/>
    <w:rsid w:val="009F0C02"/>
    <w:rsid w:val="009F17F7"/>
    <w:rsid w:val="009F1DA7"/>
    <w:rsid w:val="009F26EC"/>
    <w:rsid w:val="009F27F0"/>
    <w:rsid w:val="009F295F"/>
    <w:rsid w:val="009F5758"/>
    <w:rsid w:val="009F66AD"/>
    <w:rsid w:val="009F6DF8"/>
    <w:rsid w:val="00A014B6"/>
    <w:rsid w:val="00A024CD"/>
    <w:rsid w:val="00A0283F"/>
    <w:rsid w:val="00A0454E"/>
    <w:rsid w:val="00A04F4A"/>
    <w:rsid w:val="00A12986"/>
    <w:rsid w:val="00A13807"/>
    <w:rsid w:val="00A151F0"/>
    <w:rsid w:val="00A16C81"/>
    <w:rsid w:val="00A16ED5"/>
    <w:rsid w:val="00A210CA"/>
    <w:rsid w:val="00A21414"/>
    <w:rsid w:val="00A26343"/>
    <w:rsid w:val="00A2639B"/>
    <w:rsid w:val="00A27E11"/>
    <w:rsid w:val="00A327E3"/>
    <w:rsid w:val="00A37AC6"/>
    <w:rsid w:val="00A408B5"/>
    <w:rsid w:val="00A429F7"/>
    <w:rsid w:val="00A42F91"/>
    <w:rsid w:val="00A43236"/>
    <w:rsid w:val="00A44C32"/>
    <w:rsid w:val="00A47E7A"/>
    <w:rsid w:val="00A5007B"/>
    <w:rsid w:val="00A51C11"/>
    <w:rsid w:val="00A529E2"/>
    <w:rsid w:val="00A539F8"/>
    <w:rsid w:val="00A53A58"/>
    <w:rsid w:val="00A54BD6"/>
    <w:rsid w:val="00A556DD"/>
    <w:rsid w:val="00A55978"/>
    <w:rsid w:val="00A55B69"/>
    <w:rsid w:val="00A560C2"/>
    <w:rsid w:val="00A6120E"/>
    <w:rsid w:val="00A61C44"/>
    <w:rsid w:val="00A6491A"/>
    <w:rsid w:val="00A64F7F"/>
    <w:rsid w:val="00A6594E"/>
    <w:rsid w:val="00A707D0"/>
    <w:rsid w:val="00A70A16"/>
    <w:rsid w:val="00A71728"/>
    <w:rsid w:val="00A71B9B"/>
    <w:rsid w:val="00A727B6"/>
    <w:rsid w:val="00A730D6"/>
    <w:rsid w:val="00A75D46"/>
    <w:rsid w:val="00A75F45"/>
    <w:rsid w:val="00A760F3"/>
    <w:rsid w:val="00A77010"/>
    <w:rsid w:val="00A7745C"/>
    <w:rsid w:val="00A8158C"/>
    <w:rsid w:val="00A819B0"/>
    <w:rsid w:val="00A81CC6"/>
    <w:rsid w:val="00A82836"/>
    <w:rsid w:val="00A83EC6"/>
    <w:rsid w:val="00A842BD"/>
    <w:rsid w:val="00A84DA3"/>
    <w:rsid w:val="00A86997"/>
    <w:rsid w:val="00A86D04"/>
    <w:rsid w:val="00A872E8"/>
    <w:rsid w:val="00A8732C"/>
    <w:rsid w:val="00A9062D"/>
    <w:rsid w:val="00A92D34"/>
    <w:rsid w:val="00A9361F"/>
    <w:rsid w:val="00A93F58"/>
    <w:rsid w:val="00A962B5"/>
    <w:rsid w:val="00A96329"/>
    <w:rsid w:val="00A97F8A"/>
    <w:rsid w:val="00AA134B"/>
    <w:rsid w:val="00AA1820"/>
    <w:rsid w:val="00AA1824"/>
    <w:rsid w:val="00AA1C8A"/>
    <w:rsid w:val="00AA2CFE"/>
    <w:rsid w:val="00AA5FDA"/>
    <w:rsid w:val="00AA6291"/>
    <w:rsid w:val="00AB227E"/>
    <w:rsid w:val="00AB36B0"/>
    <w:rsid w:val="00AC0C91"/>
    <w:rsid w:val="00AC2137"/>
    <w:rsid w:val="00AC3133"/>
    <w:rsid w:val="00AC3728"/>
    <w:rsid w:val="00AC5FEE"/>
    <w:rsid w:val="00AC7ED6"/>
    <w:rsid w:val="00AD0574"/>
    <w:rsid w:val="00AD1A3E"/>
    <w:rsid w:val="00AD2687"/>
    <w:rsid w:val="00AD2E85"/>
    <w:rsid w:val="00AD3121"/>
    <w:rsid w:val="00AD37D4"/>
    <w:rsid w:val="00AD4957"/>
    <w:rsid w:val="00AD5237"/>
    <w:rsid w:val="00AD7467"/>
    <w:rsid w:val="00AD7986"/>
    <w:rsid w:val="00AE019E"/>
    <w:rsid w:val="00AE0E55"/>
    <w:rsid w:val="00AE1188"/>
    <w:rsid w:val="00AE15C4"/>
    <w:rsid w:val="00AE284E"/>
    <w:rsid w:val="00AE393B"/>
    <w:rsid w:val="00AE4814"/>
    <w:rsid w:val="00AE738C"/>
    <w:rsid w:val="00AF053C"/>
    <w:rsid w:val="00AF0A43"/>
    <w:rsid w:val="00AF1046"/>
    <w:rsid w:val="00AF10AB"/>
    <w:rsid w:val="00AF1319"/>
    <w:rsid w:val="00AF4466"/>
    <w:rsid w:val="00AF5D1E"/>
    <w:rsid w:val="00AF7821"/>
    <w:rsid w:val="00B00E2A"/>
    <w:rsid w:val="00B01DFD"/>
    <w:rsid w:val="00B0324D"/>
    <w:rsid w:val="00B040A9"/>
    <w:rsid w:val="00B04224"/>
    <w:rsid w:val="00B0431A"/>
    <w:rsid w:val="00B04ADF"/>
    <w:rsid w:val="00B05B6F"/>
    <w:rsid w:val="00B06522"/>
    <w:rsid w:val="00B07E87"/>
    <w:rsid w:val="00B1070F"/>
    <w:rsid w:val="00B11419"/>
    <w:rsid w:val="00B115BD"/>
    <w:rsid w:val="00B1210C"/>
    <w:rsid w:val="00B12422"/>
    <w:rsid w:val="00B14295"/>
    <w:rsid w:val="00B159E2"/>
    <w:rsid w:val="00B160E2"/>
    <w:rsid w:val="00B1711E"/>
    <w:rsid w:val="00B17CBE"/>
    <w:rsid w:val="00B17E26"/>
    <w:rsid w:val="00B17EBE"/>
    <w:rsid w:val="00B20EB6"/>
    <w:rsid w:val="00B21151"/>
    <w:rsid w:val="00B219B0"/>
    <w:rsid w:val="00B21AFC"/>
    <w:rsid w:val="00B22197"/>
    <w:rsid w:val="00B230BB"/>
    <w:rsid w:val="00B231A4"/>
    <w:rsid w:val="00B23EC6"/>
    <w:rsid w:val="00B23ED3"/>
    <w:rsid w:val="00B2417E"/>
    <w:rsid w:val="00B243B0"/>
    <w:rsid w:val="00B24FD8"/>
    <w:rsid w:val="00B25D20"/>
    <w:rsid w:val="00B27B6E"/>
    <w:rsid w:val="00B30BC7"/>
    <w:rsid w:val="00B30C9F"/>
    <w:rsid w:val="00B313F0"/>
    <w:rsid w:val="00B31C99"/>
    <w:rsid w:val="00B33316"/>
    <w:rsid w:val="00B33A05"/>
    <w:rsid w:val="00B33B9D"/>
    <w:rsid w:val="00B35FF6"/>
    <w:rsid w:val="00B36F51"/>
    <w:rsid w:val="00B3796C"/>
    <w:rsid w:val="00B42117"/>
    <w:rsid w:val="00B42828"/>
    <w:rsid w:val="00B45CA5"/>
    <w:rsid w:val="00B47407"/>
    <w:rsid w:val="00B50A70"/>
    <w:rsid w:val="00B515B1"/>
    <w:rsid w:val="00B53BA6"/>
    <w:rsid w:val="00B5731D"/>
    <w:rsid w:val="00B62D46"/>
    <w:rsid w:val="00B6311B"/>
    <w:rsid w:val="00B6378B"/>
    <w:rsid w:val="00B63E3A"/>
    <w:rsid w:val="00B677B9"/>
    <w:rsid w:val="00B70559"/>
    <w:rsid w:val="00B71E7F"/>
    <w:rsid w:val="00B738AF"/>
    <w:rsid w:val="00B73925"/>
    <w:rsid w:val="00B75965"/>
    <w:rsid w:val="00B75C7B"/>
    <w:rsid w:val="00B760CA"/>
    <w:rsid w:val="00B76824"/>
    <w:rsid w:val="00B771AD"/>
    <w:rsid w:val="00B80335"/>
    <w:rsid w:val="00B80B2B"/>
    <w:rsid w:val="00B814CB"/>
    <w:rsid w:val="00B82DDD"/>
    <w:rsid w:val="00B831B8"/>
    <w:rsid w:val="00B85F3B"/>
    <w:rsid w:val="00B86531"/>
    <w:rsid w:val="00B90328"/>
    <w:rsid w:val="00B915D3"/>
    <w:rsid w:val="00B92E7A"/>
    <w:rsid w:val="00B95C9F"/>
    <w:rsid w:val="00B96D3B"/>
    <w:rsid w:val="00BA0CF8"/>
    <w:rsid w:val="00BA0FE8"/>
    <w:rsid w:val="00BA1ADF"/>
    <w:rsid w:val="00BA34BC"/>
    <w:rsid w:val="00BA51FC"/>
    <w:rsid w:val="00BA6D47"/>
    <w:rsid w:val="00BA72E3"/>
    <w:rsid w:val="00BA7DB1"/>
    <w:rsid w:val="00BB003A"/>
    <w:rsid w:val="00BB05EE"/>
    <w:rsid w:val="00BB1EA1"/>
    <w:rsid w:val="00BB21B4"/>
    <w:rsid w:val="00BB3358"/>
    <w:rsid w:val="00BB3382"/>
    <w:rsid w:val="00BB3643"/>
    <w:rsid w:val="00BB431C"/>
    <w:rsid w:val="00BC08C0"/>
    <w:rsid w:val="00BC0DC2"/>
    <w:rsid w:val="00BC39AD"/>
    <w:rsid w:val="00BC3D0B"/>
    <w:rsid w:val="00BC3DA0"/>
    <w:rsid w:val="00BC4157"/>
    <w:rsid w:val="00BC424B"/>
    <w:rsid w:val="00BC48F8"/>
    <w:rsid w:val="00BC61B8"/>
    <w:rsid w:val="00BC6E90"/>
    <w:rsid w:val="00BC7DA3"/>
    <w:rsid w:val="00BD35F0"/>
    <w:rsid w:val="00BD3B73"/>
    <w:rsid w:val="00BD6CC1"/>
    <w:rsid w:val="00BD74A2"/>
    <w:rsid w:val="00BE0FDE"/>
    <w:rsid w:val="00BE145E"/>
    <w:rsid w:val="00BE178D"/>
    <w:rsid w:val="00BE2E82"/>
    <w:rsid w:val="00BE3CAD"/>
    <w:rsid w:val="00BE55C9"/>
    <w:rsid w:val="00BE5629"/>
    <w:rsid w:val="00BE58F4"/>
    <w:rsid w:val="00BE599E"/>
    <w:rsid w:val="00BE647F"/>
    <w:rsid w:val="00BE7CAA"/>
    <w:rsid w:val="00BF0A4D"/>
    <w:rsid w:val="00BF103F"/>
    <w:rsid w:val="00BF3F84"/>
    <w:rsid w:val="00BF5C07"/>
    <w:rsid w:val="00BF6497"/>
    <w:rsid w:val="00BF6AC5"/>
    <w:rsid w:val="00C00BA8"/>
    <w:rsid w:val="00C01121"/>
    <w:rsid w:val="00C02BCF"/>
    <w:rsid w:val="00C030A5"/>
    <w:rsid w:val="00C03B34"/>
    <w:rsid w:val="00C045E8"/>
    <w:rsid w:val="00C05A45"/>
    <w:rsid w:val="00C06A4D"/>
    <w:rsid w:val="00C0796F"/>
    <w:rsid w:val="00C11B34"/>
    <w:rsid w:val="00C12939"/>
    <w:rsid w:val="00C12C5C"/>
    <w:rsid w:val="00C12DC3"/>
    <w:rsid w:val="00C15CB3"/>
    <w:rsid w:val="00C1614B"/>
    <w:rsid w:val="00C16877"/>
    <w:rsid w:val="00C16A9D"/>
    <w:rsid w:val="00C171FB"/>
    <w:rsid w:val="00C17EBC"/>
    <w:rsid w:val="00C2097F"/>
    <w:rsid w:val="00C209C2"/>
    <w:rsid w:val="00C2267F"/>
    <w:rsid w:val="00C22AD8"/>
    <w:rsid w:val="00C23801"/>
    <w:rsid w:val="00C240B8"/>
    <w:rsid w:val="00C25634"/>
    <w:rsid w:val="00C2574E"/>
    <w:rsid w:val="00C25957"/>
    <w:rsid w:val="00C27A83"/>
    <w:rsid w:val="00C30DE1"/>
    <w:rsid w:val="00C3557E"/>
    <w:rsid w:val="00C3582D"/>
    <w:rsid w:val="00C3594B"/>
    <w:rsid w:val="00C36190"/>
    <w:rsid w:val="00C36421"/>
    <w:rsid w:val="00C40D83"/>
    <w:rsid w:val="00C4306D"/>
    <w:rsid w:val="00C43102"/>
    <w:rsid w:val="00C4338D"/>
    <w:rsid w:val="00C4696B"/>
    <w:rsid w:val="00C50513"/>
    <w:rsid w:val="00C50F6E"/>
    <w:rsid w:val="00C53A6B"/>
    <w:rsid w:val="00C53CA8"/>
    <w:rsid w:val="00C54503"/>
    <w:rsid w:val="00C5566B"/>
    <w:rsid w:val="00C566D5"/>
    <w:rsid w:val="00C61D2F"/>
    <w:rsid w:val="00C63055"/>
    <w:rsid w:val="00C647FA"/>
    <w:rsid w:val="00C64A36"/>
    <w:rsid w:val="00C664FA"/>
    <w:rsid w:val="00C6663F"/>
    <w:rsid w:val="00C669FE"/>
    <w:rsid w:val="00C67AE1"/>
    <w:rsid w:val="00C701FB"/>
    <w:rsid w:val="00C7193D"/>
    <w:rsid w:val="00C73B62"/>
    <w:rsid w:val="00C7673C"/>
    <w:rsid w:val="00C776B1"/>
    <w:rsid w:val="00C77C37"/>
    <w:rsid w:val="00C80194"/>
    <w:rsid w:val="00C815FE"/>
    <w:rsid w:val="00C81FA0"/>
    <w:rsid w:val="00C847AE"/>
    <w:rsid w:val="00C8604C"/>
    <w:rsid w:val="00C87152"/>
    <w:rsid w:val="00C913BA"/>
    <w:rsid w:val="00C97456"/>
    <w:rsid w:val="00CA04C6"/>
    <w:rsid w:val="00CA0C66"/>
    <w:rsid w:val="00CA26DD"/>
    <w:rsid w:val="00CA310D"/>
    <w:rsid w:val="00CA3187"/>
    <w:rsid w:val="00CA37CF"/>
    <w:rsid w:val="00CA43F6"/>
    <w:rsid w:val="00CA5DB8"/>
    <w:rsid w:val="00CA68D6"/>
    <w:rsid w:val="00CA7DCB"/>
    <w:rsid w:val="00CB012A"/>
    <w:rsid w:val="00CB0A4A"/>
    <w:rsid w:val="00CB12EC"/>
    <w:rsid w:val="00CB2C90"/>
    <w:rsid w:val="00CB382D"/>
    <w:rsid w:val="00CB6101"/>
    <w:rsid w:val="00CB63B2"/>
    <w:rsid w:val="00CB6DD1"/>
    <w:rsid w:val="00CB7FBB"/>
    <w:rsid w:val="00CC06C6"/>
    <w:rsid w:val="00CC0826"/>
    <w:rsid w:val="00CC09D7"/>
    <w:rsid w:val="00CC1246"/>
    <w:rsid w:val="00CC12B8"/>
    <w:rsid w:val="00CC42E7"/>
    <w:rsid w:val="00CC431E"/>
    <w:rsid w:val="00CC4D72"/>
    <w:rsid w:val="00CC5AB1"/>
    <w:rsid w:val="00CC7B4E"/>
    <w:rsid w:val="00CD0455"/>
    <w:rsid w:val="00CD0F1C"/>
    <w:rsid w:val="00CD11A0"/>
    <w:rsid w:val="00CD1DA4"/>
    <w:rsid w:val="00CD22E3"/>
    <w:rsid w:val="00CD3C96"/>
    <w:rsid w:val="00CD439F"/>
    <w:rsid w:val="00CD4E44"/>
    <w:rsid w:val="00CD4EA9"/>
    <w:rsid w:val="00CD5AE4"/>
    <w:rsid w:val="00CD6981"/>
    <w:rsid w:val="00CD7A7D"/>
    <w:rsid w:val="00CE0F9E"/>
    <w:rsid w:val="00CE3234"/>
    <w:rsid w:val="00CE413C"/>
    <w:rsid w:val="00CE4702"/>
    <w:rsid w:val="00CE4CE4"/>
    <w:rsid w:val="00CE72EE"/>
    <w:rsid w:val="00CF2D8E"/>
    <w:rsid w:val="00CF2DFA"/>
    <w:rsid w:val="00CF47DD"/>
    <w:rsid w:val="00CF5653"/>
    <w:rsid w:val="00CF59F0"/>
    <w:rsid w:val="00CF5AD8"/>
    <w:rsid w:val="00CF5DDE"/>
    <w:rsid w:val="00CF798D"/>
    <w:rsid w:val="00D00122"/>
    <w:rsid w:val="00D00E51"/>
    <w:rsid w:val="00D01821"/>
    <w:rsid w:val="00D01AE9"/>
    <w:rsid w:val="00D01D2A"/>
    <w:rsid w:val="00D03279"/>
    <w:rsid w:val="00D04665"/>
    <w:rsid w:val="00D048FC"/>
    <w:rsid w:val="00D05531"/>
    <w:rsid w:val="00D05F8C"/>
    <w:rsid w:val="00D10B47"/>
    <w:rsid w:val="00D11EB1"/>
    <w:rsid w:val="00D176E1"/>
    <w:rsid w:val="00D17F17"/>
    <w:rsid w:val="00D229E4"/>
    <w:rsid w:val="00D23597"/>
    <w:rsid w:val="00D247E4"/>
    <w:rsid w:val="00D2538E"/>
    <w:rsid w:val="00D261EB"/>
    <w:rsid w:val="00D269F6"/>
    <w:rsid w:val="00D26BBC"/>
    <w:rsid w:val="00D30AB8"/>
    <w:rsid w:val="00D30BDC"/>
    <w:rsid w:val="00D30F4A"/>
    <w:rsid w:val="00D366AF"/>
    <w:rsid w:val="00D37530"/>
    <w:rsid w:val="00D377D6"/>
    <w:rsid w:val="00D400C6"/>
    <w:rsid w:val="00D421B7"/>
    <w:rsid w:val="00D426B5"/>
    <w:rsid w:val="00D42842"/>
    <w:rsid w:val="00D443AB"/>
    <w:rsid w:val="00D4497B"/>
    <w:rsid w:val="00D456C7"/>
    <w:rsid w:val="00D50CFF"/>
    <w:rsid w:val="00D5216F"/>
    <w:rsid w:val="00D5348D"/>
    <w:rsid w:val="00D54664"/>
    <w:rsid w:val="00D555D2"/>
    <w:rsid w:val="00D56765"/>
    <w:rsid w:val="00D57F88"/>
    <w:rsid w:val="00D63BA9"/>
    <w:rsid w:val="00D64D14"/>
    <w:rsid w:val="00D65F8E"/>
    <w:rsid w:val="00D702FB"/>
    <w:rsid w:val="00D70519"/>
    <w:rsid w:val="00D70C29"/>
    <w:rsid w:val="00D7105C"/>
    <w:rsid w:val="00D71D24"/>
    <w:rsid w:val="00D73646"/>
    <w:rsid w:val="00D750CF"/>
    <w:rsid w:val="00D75842"/>
    <w:rsid w:val="00D777B4"/>
    <w:rsid w:val="00D77A90"/>
    <w:rsid w:val="00D808B9"/>
    <w:rsid w:val="00D81F89"/>
    <w:rsid w:val="00D8360B"/>
    <w:rsid w:val="00D85676"/>
    <w:rsid w:val="00D86F1F"/>
    <w:rsid w:val="00D873DB"/>
    <w:rsid w:val="00D879E4"/>
    <w:rsid w:val="00D90802"/>
    <w:rsid w:val="00D96ADA"/>
    <w:rsid w:val="00D96EF3"/>
    <w:rsid w:val="00DA2886"/>
    <w:rsid w:val="00DA5443"/>
    <w:rsid w:val="00DA5E50"/>
    <w:rsid w:val="00DA7D0C"/>
    <w:rsid w:val="00DA7DAA"/>
    <w:rsid w:val="00DA7E3D"/>
    <w:rsid w:val="00DB311C"/>
    <w:rsid w:val="00DB317A"/>
    <w:rsid w:val="00DB432D"/>
    <w:rsid w:val="00DB519B"/>
    <w:rsid w:val="00DB7514"/>
    <w:rsid w:val="00DB79ED"/>
    <w:rsid w:val="00DC078C"/>
    <w:rsid w:val="00DC0AA8"/>
    <w:rsid w:val="00DC1831"/>
    <w:rsid w:val="00DC2FC8"/>
    <w:rsid w:val="00DC49B0"/>
    <w:rsid w:val="00DC7694"/>
    <w:rsid w:val="00DC791C"/>
    <w:rsid w:val="00DC7FBE"/>
    <w:rsid w:val="00DD130E"/>
    <w:rsid w:val="00DD1319"/>
    <w:rsid w:val="00DD1815"/>
    <w:rsid w:val="00DD1BE5"/>
    <w:rsid w:val="00DD308E"/>
    <w:rsid w:val="00DD3533"/>
    <w:rsid w:val="00DD4049"/>
    <w:rsid w:val="00DD4C73"/>
    <w:rsid w:val="00DD6231"/>
    <w:rsid w:val="00DE2693"/>
    <w:rsid w:val="00DE4527"/>
    <w:rsid w:val="00DE6233"/>
    <w:rsid w:val="00DF030E"/>
    <w:rsid w:val="00DF09B7"/>
    <w:rsid w:val="00DF0C51"/>
    <w:rsid w:val="00DF0D47"/>
    <w:rsid w:val="00DF1652"/>
    <w:rsid w:val="00DF2797"/>
    <w:rsid w:val="00DF31FD"/>
    <w:rsid w:val="00DF378A"/>
    <w:rsid w:val="00DF52EC"/>
    <w:rsid w:val="00DF6D37"/>
    <w:rsid w:val="00E02793"/>
    <w:rsid w:val="00E048ED"/>
    <w:rsid w:val="00E04FB3"/>
    <w:rsid w:val="00E058F2"/>
    <w:rsid w:val="00E05D9C"/>
    <w:rsid w:val="00E05E17"/>
    <w:rsid w:val="00E060B6"/>
    <w:rsid w:val="00E06102"/>
    <w:rsid w:val="00E141FF"/>
    <w:rsid w:val="00E145A9"/>
    <w:rsid w:val="00E1772A"/>
    <w:rsid w:val="00E17DB1"/>
    <w:rsid w:val="00E2184B"/>
    <w:rsid w:val="00E218F5"/>
    <w:rsid w:val="00E22ACF"/>
    <w:rsid w:val="00E237E9"/>
    <w:rsid w:val="00E23E71"/>
    <w:rsid w:val="00E24EFD"/>
    <w:rsid w:val="00E2515C"/>
    <w:rsid w:val="00E30F19"/>
    <w:rsid w:val="00E31F5E"/>
    <w:rsid w:val="00E33C4A"/>
    <w:rsid w:val="00E345C4"/>
    <w:rsid w:val="00E357B9"/>
    <w:rsid w:val="00E35EF4"/>
    <w:rsid w:val="00E35F0D"/>
    <w:rsid w:val="00E36F7F"/>
    <w:rsid w:val="00E371BA"/>
    <w:rsid w:val="00E4089A"/>
    <w:rsid w:val="00E40EF9"/>
    <w:rsid w:val="00E4321E"/>
    <w:rsid w:val="00E44B53"/>
    <w:rsid w:val="00E44B80"/>
    <w:rsid w:val="00E44E74"/>
    <w:rsid w:val="00E47623"/>
    <w:rsid w:val="00E54AE7"/>
    <w:rsid w:val="00E56A58"/>
    <w:rsid w:val="00E60529"/>
    <w:rsid w:val="00E60E72"/>
    <w:rsid w:val="00E621F2"/>
    <w:rsid w:val="00E6222F"/>
    <w:rsid w:val="00E641EF"/>
    <w:rsid w:val="00E66F46"/>
    <w:rsid w:val="00E70D86"/>
    <w:rsid w:val="00E71398"/>
    <w:rsid w:val="00E72BF5"/>
    <w:rsid w:val="00E748F9"/>
    <w:rsid w:val="00E75E76"/>
    <w:rsid w:val="00E7628E"/>
    <w:rsid w:val="00E82F54"/>
    <w:rsid w:val="00E85995"/>
    <w:rsid w:val="00E8649B"/>
    <w:rsid w:val="00E86960"/>
    <w:rsid w:val="00E871CD"/>
    <w:rsid w:val="00E8792D"/>
    <w:rsid w:val="00E9037A"/>
    <w:rsid w:val="00E908B9"/>
    <w:rsid w:val="00E90990"/>
    <w:rsid w:val="00E92972"/>
    <w:rsid w:val="00E933D1"/>
    <w:rsid w:val="00E93F26"/>
    <w:rsid w:val="00E94803"/>
    <w:rsid w:val="00E94D80"/>
    <w:rsid w:val="00E9555F"/>
    <w:rsid w:val="00E95CE8"/>
    <w:rsid w:val="00E95D3D"/>
    <w:rsid w:val="00E95D90"/>
    <w:rsid w:val="00E95FE2"/>
    <w:rsid w:val="00E96390"/>
    <w:rsid w:val="00E97020"/>
    <w:rsid w:val="00E97FEA"/>
    <w:rsid w:val="00EA0A59"/>
    <w:rsid w:val="00EA0E25"/>
    <w:rsid w:val="00EA173C"/>
    <w:rsid w:val="00EA1997"/>
    <w:rsid w:val="00EA3509"/>
    <w:rsid w:val="00EA3ABE"/>
    <w:rsid w:val="00EA5F56"/>
    <w:rsid w:val="00EA69E3"/>
    <w:rsid w:val="00EA707B"/>
    <w:rsid w:val="00EB048D"/>
    <w:rsid w:val="00EB0A44"/>
    <w:rsid w:val="00EB371C"/>
    <w:rsid w:val="00EB3BE5"/>
    <w:rsid w:val="00EB443F"/>
    <w:rsid w:val="00EB6A7A"/>
    <w:rsid w:val="00EB6D8A"/>
    <w:rsid w:val="00EB7DF2"/>
    <w:rsid w:val="00EC0BF4"/>
    <w:rsid w:val="00EC127A"/>
    <w:rsid w:val="00EC1FF9"/>
    <w:rsid w:val="00EC2737"/>
    <w:rsid w:val="00EC72A5"/>
    <w:rsid w:val="00ED4060"/>
    <w:rsid w:val="00ED4FF0"/>
    <w:rsid w:val="00ED503A"/>
    <w:rsid w:val="00ED6F83"/>
    <w:rsid w:val="00EE11FE"/>
    <w:rsid w:val="00EE2716"/>
    <w:rsid w:val="00EE4007"/>
    <w:rsid w:val="00EE493C"/>
    <w:rsid w:val="00EE50BE"/>
    <w:rsid w:val="00EE6450"/>
    <w:rsid w:val="00EE6F01"/>
    <w:rsid w:val="00EF186D"/>
    <w:rsid w:val="00EF2729"/>
    <w:rsid w:val="00EF2AE9"/>
    <w:rsid w:val="00EF55DB"/>
    <w:rsid w:val="00F019D1"/>
    <w:rsid w:val="00F01C2C"/>
    <w:rsid w:val="00F01D5F"/>
    <w:rsid w:val="00F025B8"/>
    <w:rsid w:val="00F038BF"/>
    <w:rsid w:val="00F0585A"/>
    <w:rsid w:val="00F10ED8"/>
    <w:rsid w:val="00F12538"/>
    <w:rsid w:val="00F137D1"/>
    <w:rsid w:val="00F1380B"/>
    <w:rsid w:val="00F14C09"/>
    <w:rsid w:val="00F159B2"/>
    <w:rsid w:val="00F170E2"/>
    <w:rsid w:val="00F172F6"/>
    <w:rsid w:val="00F20E7A"/>
    <w:rsid w:val="00F222BE"/>
    <w:rsid w:val="00F222CF"/>
    <w:rsid w:val="00F2374B"/>
    <w:rsid w:val="00F240E4"/>
    <w:rsid w:val="00F24179"/>
    <w:rsid w:val="00F24FD6"/>
    <w:rsid w:val="00F252BD"/>
    <w:rsid w:val="00F26006"/>
    <w:rsid w:val="00F27808"/>
    <w:rsid w:val="00F27CCD"/>
    <w:rsid w:val="00F301F1"/>
    <w:rsid w:val="00F30C22"/>
    <w:rsid w:val="00F30EE3"/>
    <w:rsid w:val="00F33F1A"/>
    <w:rsid w:val="00F3482F"/>
    <w:rsid w:val="00F3503E"/>
    <w:rsid w:val="00F355AE"/>
    <w:rsid w:val="00F35BB6"/>
    <w:rsid w:val="00F366AC"/>
    <w:rsid w:val="00F41505"/>
    <w:rsid w:val="00F43840"/>
    <w:rsid w:val="00F45E1F"/>
    <w:rsid w:val="00F47D44"/>
    <w:rsid w:val="00F52701"/>
    <w:rsid w:val="00F53EE1"/>
    <w:rsid w:val="00F547F7"/>
    <w:rsid w:val="00F54CCF"/>
    <w:rsid w:val="00F56829"/>
    <w:rsid w:val="00F57C36"/>
    <w:rsid w:val="00F57D80"/>
    <w:rsid w:val="00F61D7A"/>
    <w:rsid w:val="00F6245D"/>
    <w:rsid w:val="00F625AB"/>
    <w:rsid w:val="00F62781"/>
    <w:rsid w:val="00F62FF5"/>
    <w:rsid w:val="00F637B3"/>
    <w:rsid w:val="00F66CF7"/>
    <w:rsid w:val="00F67BCB"/>
    <w:rsid w:val="00F701B0"/>
    <w:rsid w:val="00F701C8"/>
    <w:rsid w:val="00F7089B"/>
    <w:rsid w:val="00F70DF3"/>
    <w:rsid w:val="00F75A3B"/>
    <w:rsid w:val="00F77C57"/>
    <w:rsid w:val="00F813C7"/>
    <w:rsid w:val="00F821AE"/>
    <w:rsid w:val="00F83566"/>
    <w:rsid w:val="00F83A9D"/>
    <w:rsid w:val="00F83DC9"/>
    <w:rsid w:val="00F8627C"/>
    <w:rsid w:val="00F86C8B"/>
    <w:rsid w:val="00F906B5"/>
    <w:rsid w:val="00F9093D"/>
    <w:rsid w:val="00F91B8A"/>
    <w:rsid w:val="00F925C8"/>
    <w:rsid w:val="00F93784"/>
    <w:rsid w:val="00F941E3"/>
    <w:rsid w:val="00F94661"/>
    <w:rsid w:val="00F95399"/>
    <w:rsid w:val="00F9543B"/>
    <w:rsid w:val="00F9676E"/>
    <w:rsid w:val="00F971CC"/>
    <w:rsid w:val="00FA0F47"/>
    <w:rsid w:val="00FA102B"/>
    <w:rsid w:val="00FA1B28"/>
    <w:rsid w:val="00FA211B"/>
    <w:rsid w:val="00FA2CAA"/>
    <w:rsid w:val="00FA3291"/>
    <w:rsid w:val="00FA3DA1"/>
    <w:rsid w:val="00FA6554"/>
    <w:rsid w:val="00FB0F09"/>
    <w:rsid w:val="00FB144C"/>
    <w:rsid w:val="00FB17B9"/>
    <w:rsid w:val="00FB17CE"/>
    <w:rsid w:val="00FB4475"/>
    <w:rsid w:val="00FB4B7E"/>
    <w:rsid w:val="00FB4D08"/>
    <w:rsid w:val="00FB6DEE"/>
    <w:rsid w:val="00FC0777"/>
    <w:rsid w:val="00FC077E"/>
    <w:rsid w:val="00FC1607"/>
    <w:rsid w:val="00FC35DE"/>
    <w:rsid w:val="00FC62FD"/>
    <w:rsid w:val="00FC669A"/>
    <w:rsid w:val="00FC75E1"/>
    <w:rsid w:val="00FD2375"/>
    <w:rsid w:val="00FD2FE9"/>
    <w:rsid w:val="00FD3F9E"/>
    <w:rsid w:val="00FD53CE"/>
    <w:rsid w:val="00FD53E4"/>
    <w:rsid w:val="00FD7914"/>
    <w:rsid w:val="00FD7996"/>
    <w:rsid w:val="00FE16C1"/>
    <w:rsid w:val="00FE19FF"/>
    <w:rsid w:val="00FE33A6"/>
    <w:rsid w:val="00FE3844"/>
    <w:rsid w:val="00FE5452"/>
    <w:rsid w:val="00FE6553"/>
    <w:rsid w:val="00FF0189"/>
    <w:rsid w:val="00FF23B8"/>
    <w:rsid w:val="00FF3005"/>
    <w:rsid w:val="00FF421D"/>
    <w:rsid w:val="00FF59A8"/>
    <w:rsid w:val="00FF6122"/>
    <w:rsid w:val="00FF77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7D2201"/>
  <w15:docId w15:val="{C76EFF00-51A5-4E06-B7F8-7DBA3344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C6"/>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NormalWeb">
    <w:name w:val="Normal (Web)"/>
    <w:basedOn w:val="Normal"/>
    <w:uiPriority w:val="99"/>
    <w:semiHidden/>
    <w:unhideWhenUsed/>
    <w:rsid w:val="001752FC"/>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unhideWhenUsed/>
    <w:rsid w:val="006E40F3"/>
    <w:rPr>
      <w:color w:val="605E5C"/>
      <w:shd w:val="clear" w:color="auto" w:fill="E1DFDD"/>
    </w:rPr>
  </w:style>
  <w:style w:type="character" w:styleId="FollowedHyperlink">
    <w:name w:val="FollowedHyperlink"/>
    <w:basedOn w:val="DefaultParagraphFont"/>
    <w:uiPriority w:val="99"/>
    <w:semiHidden/>
    <w:unhideWhenUsed/>
    <w:rsid w:val="0068776B"/>
    <w:rPr>
      <w:color w:val="800080" w:themeColor="followedHyperlink"/>
      <w:u w:val="single"/>
    </w:rPr>
  </w:style>
  <w:style w:type="character" w:styleId="FootnoteReference">
    <w:name w:val="footnote reference"/>
    <w:uiPriority w:val="99"/>
    <w:rsid w:val="00D01AE9"/>
    <w:rPr>
      <w:vertAlign w:val="superscript"/>
    </w:rPr>
  </w:style>
  <w:style w:type="paragraph" w:styleId="FootnoteText">
    <w:name w:val="footnote text"/>
    <w:basedOn w:val="Normal"/>
    <w:link w:val="FootnoteTextChar"/>
    <w:uiPriority w:val="99"/>
    <w:semiHidden/>
    <w:unhideWhenUsed/>
    <w:rsid w:val="00D01AE9"/>
    <w:pPr>
      <w:spacing w:before="0" w:after="0"/>
    </w:pPr>
    <w:rPr>
      <w:szCs w:val="20"/>
    </w:rPr>
  </w:style>
  <w:style w:type="character" w:customStyle="1" w:styleId="FootnoteTextChar">
    <w:name w:val="Footnote Text Char"/>
    <w:basedOn w:val="DefaultParagraphFont"/>
    <w:link w:val="FootnoteText"/>
    <w:uiPriority w:val="99"/>
    <w:semiHidden/>
    <w:rsid w:val="00D01AE9"/>
    <w:rPr>
      <w:sz w:val="20"/>
      <w:szCs w:val="20"/>
    </w:rPr>
  </w:style>
  <w:style w:type="paragraph" w:styleId="Caption">
    <w:name w:val="caption"/>
    <w:basedOn w:val="Normal"/>
    <w:next w:val="Normal"/>
    <w:uiPriority w:val="35"/>
    <w:semiHidden/>
    <w:unhideWhenUsed/>
    <w:qFormat/>
    <w:rsid w:val="00696965"/>
    <w:pPr>
      <w:spacing w:before="0" w:after="200"/>
    </w:pPr>
    <w:rPr>
      <w:i/>
      <w:iCs/>
      <w:color w:val="1F497D" w:themeColor="text2"/>
      <w:sz w:val="18"/>
      <w:szCs w:val="18"/>
    </w:rPr>
  </w:style>
  <w:style w:type="character" w:styleId="Mention">
    <w:name w:val="Mention"/>
    <w:basedOn w:val="DefaultParagraphFont"/>
    <w:uiPriority w:val="99"/>
    <w:unhideWhenUsed/>
    <w:rsid w:val="00D30A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59137">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207059784">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ncedirect.com/science/article/pii/S1470204517301699?via%3Dihub"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nejm.org/doi/10.1056/NEJMoa2112435?url_ver=Z39.88-2003&amp;rfr_id=ori:rid:crossref.org&amp;rfr_dat=cr_pub%20%200pubmed" TargetMode="External"/><Relationship Id="rId10" Type="http://schemas.openxmlformats.org/officeDocument/2006/relationships/hyperlink" Target="http://www.msac.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pubmed.ncbi.nlm.nih.gov/309431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cancer/cancer-data-in-australia/contents/cancer-summary-data-visu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D8E4D-96CA-4C32-B1C4-19604C7E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7068</Words>
  <Characters>40292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47266</CharactersWithSpaces>
  <SharedDoc>false</SharedDoc>
  <HLinks>
    <vt:vector size="36" baseType="variant">
      <vt:variant>
        <vt:i4>1900550</vt:i4>
      </vt:variant>
      <vt:variant>
        <vt:i4>243</vt:i4>
      </vt:variant>
      <vt:variant>
        <vt:i4>0</vt:i4>
      </vt:variant>
      <vt:variant>
        <vt:i4>5</vt:i4>
      </vt:variant>
      <vt:variant>
        <vt:lpwstr>https://www.nejm.org/doi/10.1056/NEJMoa2112435?url_ver=Z39.88-2003&amp;rfr_id=ori:rid:crossref.org&amp;rfr_dat=cr_pub%20%200pubmed</vt:lpwstr>
      </vt:variant>
      <vt:variant>
        <vt:lpwstr/>
      </vt:variant>
      <vt:variant>
        <vt:i4>720908</vt:i4>
      </vt:variant>
      <vt:variant>
        <vt:i4>240</vt:i4>
      </vt:variant>
      <vt:variant>
        <vt:i4>0</vt:i4>
      </vt:variant>
      <vt:variant>
        <vt:i4>5</vt:i4>
      </vt:variant>
      <vt:variant>
        <vt:lpwstr>https://pubmed.ncbi.nlm.nih.gov/30943124/</vt:lpwstr>
      </vt:variant>
      <vt:variant>
        <vt:lpwstr/>
      </vt:variant>
      <vt:variant>
        <vt:i4>7667838</vt:i4>
      </vt:variant>
      <vt:variant>
        <vt:i4>237</vt:i4>
      </vt:variant>
      <vt:variant>
        <vt:i4>0</vt:i4>
      </vt:variant>
      <vt:variant>
        <vt:i4>5</vt:i4>
      </vt:variant>
      <vt:variant>
        <vt:lpwstr>https://www.sciencedirect.com/science/article/pii/S1470204517301699?via%3Dihub</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ariant>
        <vt:i4>6291513</vt:i4>
      </vt:variant>
      <vt:variant>
        <vt:i4>0</vt:i4>
      </vt:variant>
      <vt:variant>
        <vt:i4>0</vt:i4>
      </vt:variant>
      <vt:variant>
        <vt:i4>5</vt:i4>
      </vt:variant>
      <vt:variant>
        <vt:lpwstr>https://www.aihw.gov.au/reports/cancer/cancer-data-in-australia/contents/cancer-summary-data-visualisation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cp:lastModifiedBy>Department of Health</cp:lastModifiedBy>
  <cp:revision>3</cp:revision>
  <cp:lastPrinted>2021-05-10T01:34:00Z</cp:lastPrinted>
  <dcterms:created xsi:type="dcterms:W3CDTF">2022-07-27T00:52:00Z</dcterms:created>
  <dcterms:modified xsi:type="dcterms:W3CDTF">2022-07-27T02:37:00Z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MSIP_Label_2c56a699-e9bd-437a-8412-901342082749_Enabled">
    <vt:lpwstr>true</vt:lpwstr>
  </property>
  <property fmtid="{D5CDD505-2E9C-101B-9397-08002B2CF9AE}" pid="9" name="MSIP_Label_2c56a699-e9bd-437a-8412-901342082749_SetDate">
    <vt:lpwstr>2022-02-24T01:54:04Z</vt:lpwstr>
  </property>
  <property fmtid="{D5CDD505-2E9C-101B-9397-08002B2CF9AE}" pid="10" name="MSIP_Label_2c56a699-e9bd-437a-8412-901342082749_Method">
    <vt:lpwstr>Privileged</vt:lpwstr>
  </property>
  <property fmtid="{D5CDD505-2E9C-101B-9397-08002B2CF9AE}" pid="11" name="MSIP_Label_2c56a699-e9bd-437a-8412-901342082749_Name">
    <vt:lpwstr>2c56a699-e9bd-437a-8412-901342082749</vt:lpwstr>
  </property>
  <property fmtid="{D5CDD505-2E9C-101B-9397-08002B2CF9AE}" pid="12" name="MSIP_Label_2c56a699-e9bd-437a-8412-901342082749_SiteId">
    <vt:lpwstr>a00de4ec-48a8-43a6-be74-e31274e2060d</vt:lpwstr>
  </property>
  <property fmtid="{D5CDD505-2E9C-101B-9397-08002B2CF9AE}" pid="13" name="MSIP_Label_2c56a699-e9bd-437a-8412-901342082749_ActionId">
    <vt:lpwstr>a6246b71-e9b7-4e20-8bda-24a968b4c7fc</vt:lpwstr>
  </property>
  <property fmtid="{D5CDD505-2E9C-101B-9397-08002B2CF9AE}" pid="14" name="MSIP_Label_2c56a699-e9bd-437a-8412-901342082749_ContentBits">
    <vt:lpwstr>1</vt:lpwstr>
  </property>
  <property fmtid="{D5CDD505-2E9C-101B-9397-08002B2CF9AE}" pid="15" name="MerckAIPLabel">
    <vt:lpwstr>Confidential</vt:lpwstr>
  </property>
  <property fmtid="{D5CDD505-2E9C-101B-9397-08002B2CF9AE}" pid="16" name="MerckAIPDataExchange">
    <vt:lpwstr>!MRKMIP@Confidential</vt:lpwstr>
  </property>
</Properties>
</file>