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A49A" w14:textId="2ECC5245" w:rsidR="00772829" w:rsidRPr="00C72177" w:rsidRDefault="0025529E" w:rsidP="007319DC">
      <w:pPr>
        <w:pStyle w:val="Heading1"/>
        <w:numPr>
          <w:ilvl w:val="0"/>
          <w:numId w:val="0"/>
        </w:numPr>
        <w:pBdr>
          <w:bottom w:val="none" w:sz="0" w:space="0" w:color="auto"/>
        </w:pBdr>
        <w:spacing w:before="480" w:after="360"/>
        <w:jc w:val="center"/>
        <w:rPr>
          <w:rFonts w:ascii="Arial" w:hAnsi="Arial" w:cs="Arial"/>
          <w:b/>
          <w:bCs/>
          <w:color w:val="000080"/>
          <w:sz w:val="36"/>
          <w:szCs w:val="36"/>
        </w:rPr>
      </w:pPr>
      <w:r>
        <w:rPr>
          <w:rFonts w:ascii="Arial" w:hAnsi="Arial" w:cs="Arial"/>
          <w:b/>
          <w:bCs/>
          <w:color w:val="000080"/>
          <w:sz w:val="36"/>
          <w:szCs w:val="36"/>
        </w:rPr>
        <w:t xml:space="preserve">Medical Services Advisory Committee </w:t>
      </w:r>
      <w:r w:rsidR="00001BEF">
        <w:rPr>
          <w:rFonts w:ascii="Arial" w:hAnsi="Arial" w:cs="Arial"/>
          <w:b/>
          <w:bCs/>
          <w:color w:val="000080"/>
          <w:sz w:val="36"/>
          <w:szCs w:val="36"/>
        </w:rPr>
        <w:t>(</w:t>
      </w:r>
      <w:r>
        <w:rPr>
          <w:rFonts w:ascii="Arial" w:hAnsi="Arial" w:cs="Arial"/>
          <w:b/>
          <w:bCs/>
          <w:color w:val="000080"/>
          <w:sz w:val="36"/>
          <w:szCs w:val="36"/>
        </w:rPr>
        <w:t xml:space="preserve">MSAC) </w:t>
      </w:r>
      <w:r w:rsidR="006B63E0">
        <w:rPr>
          <w:rFonts w:ascii="Arial" w:hAnsi="Arial" w:cs="Arial"/>
          <w:b/>
          <w:bCs/>
          <w:color w:val="000080"/>
          <w:sz w:val="36"/>
          <w:szCs w:val="36"/>
        </w:rPr>
        <w:t>Public Summary Document</w:t>
      </w:r>
    </w:p>
    <w:p w14:paraId="7A128FDE" w14:textId="0B8ABD35" w:rsidR="00772829" w:rsidRPr="00CE28E3" w:rsidRDefault="00772829" w:rsidP="00772829">
      <w:pPr>
        <w:pStyle w:val="Subtitle"/>
      </w:pPr>
      <w:r w:rsidRPr="00CE28E3">
        <w:t xml:space="preserve">Application No. </w:t>
      </w:r>
      <w:r w:rsidR="00785A8C">
        <w:t xml:space="preserve">1719 - </w:t>
      </w:r>
      <w:r w:rsidR="00E2185D" w:rsidRPr="00E2185D">
        <w:t>Insertion of a bioabsorbable implant for nasal airway obstruction due to lateral wall insufficiency</w:t>
      </w:r>
    </w:p>
    <w:p w14:paraId="35263561" w14:textId="257E296C"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E2185D">
        <w:rPr>
          <w:rFonts w:ascii="Arial" w:hAnsi="Arial" w:cs="Arial"/>
          <w:b/>
          <w:szCs w:val="24"/>
        </w:rPr>
        <w:t>St</w:t>
      </w:r>
      <w:r w:rsidR="00633AFA">
        <w:rPr>
          <w:rFonts w:ascii="Arial" w:hAnsi="Arial" w:cs="Arial"/>
          <w:b/>
          <w:szCs w:val="24"/>
        </w:rPr>
        <w:t xml:space="preserve">ryker </w:t>
      </w:r>
      <w:r w:rsidR="00F20DCC" w:rsidRPr="00F20DCC">
        <w:rPr>
          <w:rFonts w:ascii="Arial" w:hAnsi="Arial" w:cs="Arial"/>
          <w:b/>
          <w:szCs w:val="24"/>
        </w:rPr>
        <w:t>Australia Pty Ltd</w:t>
      </w:r>
    </w:p>
    <w:p w14:paraId="633257D9" w14:textId="69E1B8A9" w:rsidR="00A16CAB" w:rsidRDefault="00A16CAB" w:rsidP="00A16CAB">
      <w:pPr>
        <w:tabs>
          <w:tab w:val="left" w:pos="3686"/>
        </w:tabs>
        <w:spacing w:after="360"/>
        <w:rPr>
          <w:rFonts w:ascii="Arial" w:hAnsi="Arial" w:cs="Arial"/>
          <w:b/>
          <w:szCs w:val="24"/>
          <w:highlight w:val="cyan"/>
        </w:rPr>
      </w:pPr>
      <w:r w:rsidRPr="00CE28E3">
        <w:rPr>
          <w:rFonts w:ascii="Arial" w:hAnsi="Arial" w:cs="Arial"/>
          <w:b/>
          <w:szCs w:val="24"/>
        </w:rPr>
        <w:t xml:space="preserve">Date of </w:t>
      </w:r>
      <w:r w:rsidR="006B63E0">
        <w:rPr>
          <w:rFonts w:ascii="Arial" w:hAnsi="Arial" w:cs="Arial"/>
          <w:b/>
          <w:szCs w:val="24"/>
        </w:rPr>
        <w:t>MSAC</w:t>
      </w:r>
      <w:r w:rsidRPr="00CE28E3">
        <w:rPr>
          <w:rFonts w:ascii="Arial" w:hAnsi="Arial" w:cs="Arial"/>
          <w:b/>
          <w:szCs w:val="24"/>
        </w:rPr>
        <w:t xml:space="preserve"> consideration:</w:t>
      </w:r>
      <w:r w:rsidRPr="00CE28E3">
        <w:rPr>
          <w:rFonts w:ascii="Arial" w:hAnsi="Arial" w:cs="Arial"/>
          <w:b/>
          <w:szCs w:val="24"/>
        </w:rPr>
        <w:tab/>
      </w:r>
      <w:r w:rsidR="006B63E0">
        <w:rPr>
          <w:rFonts w:ascii="Arial" w:hAnsi="Arial" w:cs="Arial"/>
          <w:b/>
          <w:szCs w:val="24"/>
        </w:rPr>
        <w:t>30-31 March</w:t>
      </w:r>
      <w:r>
        <w:rPr>
          <w:rFonts w:ascii="Arial" w:hAnsi="Arial" w:cs="Arial"/>
          <w:b/>
          <w:szCs w:val="24"/>
        </w:rPr>
        <w:t xml:space="preserve"> 2023</w:t>
      </w:r>
      <w:r>
        <w:rPr>
          <w:rFonts w:ascii="Arial" w:hAnsi="Arial" w:cs="Arial"/>
          <w:b/>
          <w:szCs w:val="24"/>
          <w:highlight w:val="cyan"/>
        </w:rPr>
        <w:t xml:space="preserve"> </w:t>
      </w:r>
    </w:p>
    <w:p w14:paraId="13761A37" w14:textId="6CD4E30F" w:rsidR="002C5802" w:rsidRDefault="002C5802" w:rsidP="002C5802">
      <w:pPr>
        <w:spacing w:after="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5AC53D78" w14:textId="78176F63" w:rsidR="00047205" w:rsidRDefault="00675588" w:rsidP="00FB0E96">
      <w:pPr>
        <w:spacing w:after="120"/>
        <w:rPr>
          <w:rFonts w:cstheme="minorHAnsi"/>
          <w:iCs/>
          <w:szCs w:val="24"/>
        </w:rPr>
      </w:pPr>
      <w:bookmarkStart w:id="1" w:name="_Hlk69734469"/>
      <w:r>
        <w:rPr>
          <w:rFonts w:cstheme="minorHAnsi"/>
          <w:iCs/>
          <w:szCs w:val="24"/>
        </w:rPr>
        <w:t xml:space="preserve">An application requesting </w:t>
      </w:r>
      <w:r w:rsidR="00772829" w:rsidRPr="00EF2910">
        <w:rPr>
          <w:rFonts w:cstheme="minorHAnsi"/>
          <w:iCs/>
          <w:szCs w:val="24"/>
        </w:rPr>
        <w:t xml:space="preserve">Medicare Benefits Schedule (MBS) listing </w:t>
      </w:r>
      <w:r w:rsidR="00DF64A7">
        <w:rPr>
          <w:rFonts w:cstheme="minorHAnsi"/>
          <w:iCs/>
          <w:szCs w:val="24"/>
        </w:rPr>
        <w:t xml:space="preserve">for the insertion </w:t>
      </w:r>
      <w:r w:rsidR="00772829" w:rsidRPr="00EF2910">
        <w:rPr>
          <w:rFonts w:cstheme="minorHAnsi"/>
          <w:iCs/>
          <w:szCs w:val="24"/>
        </w:rPr>
        <w:t xml:space="preserve">of </w:t>
      </w:r>
      <w:r w:rsidR="00A3373B" w:rsidRPr="00EF2910">
        <w:rPr>
          <w:rFonts w:cstheme="minorHAnsi"/>
          <w:iCs/>
          <w:szCs w:val="24"/>
        </w:rPr>
        <w:t xml:space="preserve">a bioabsorbable implant </w:t>
      </w:r>
      <w:r w:rsidR="004C3DF2">
        <w:rPr>
          <w:rFonts w:cstheme="minorHAnsi"/>
          <w:iCs/>
          <w:szCs w:val="24"/>
        </w:rPr>
        <w:t>(LA</w:t>
      </w:r>
      <w:r w:rsidR="00B41CFA">
        <w:rPr>
          <w:rFonts w:cstheme="minorHAnsi"/>
          <w:iCs/>
          <w:szCs w:val="24"/>
        </w:rPr>
        <w:t>T</w:t>
      </w:r>
      <w:r w:rsidR="004C3DF2">
        <w:rPr>
          <w:rFonts w:cstheme="minorHAnsi"/>
          <w:iCs/>
          <w:szCs w:val="24"/>
        </w:rPr>
        <w:t>ERA</w:t>
      </w:r>
      <w:r w:rsidR="004C3DF2" w:rsidRPr="00155D42">
        <w:rPr>
          <w:rFonts w:cstheme="minorHAnsi"/>
          <w:iCs/>
          <w:szCs w:val="24"/>
          <w:vertAlign w:val="superscript"/>
        </w:rPr>
        <w:t>®</w:t>
      </w:r>
      <w:r w:rsidR="004C3DF2" w:rsidRPr="004C3DF2">
        <w:rPr>
          <w:rFonts w:cstheme="minorHAnsi"/>
          <w:iCs/>
          <w:szCs w:val="24"/>
        </w:rPr>
        <w:t>)</w:t>
      </w:r>
      <w:r w:rsidR="004C3DF2">
        <w:rPr>
          <w:rFonts w:cstheme="minorHAnsi"/>
          <w:iCs/>
          <w:szCs w:val="24"/>
        </w:rPr>
        <w:t xml:space="preserve"> </w:t>
      </w:r>
      <w:r w:rsidR="00A3373B" w:rsidRPr="00EF2910">
        <w:rPr>
          <w:rFonts w:cstheme="minorHAnsi"/>
          <w:iCs/>
          <w:szCs w:val="24"/>
        </w:rPr>
        <w:t xml:space="preserve">for the treatment of nasal airway obstruction (NAO) due to lateral wall insufficiency (LWI) </w:t>
      </w:r>
      <w:r w:rsidR="003D6F09">
        <w:rPr>
          <w:rFonts w:cstheme="minorHAnsi"/>
          <w:iCs/>
          <w:szCs w:val="24"/>
        </w:rPr>
        <w:t xml:space="preserve">was received from Stryker </w:t>
      </w:r>
      <w:r w:rsidR="00597E10">
        <w:rPr>
          <w:rFonts w:cstheme="minorHAnsi"/>
          <w:iCs/>
          <w:szCs w:val="24"/>
        </w:rPr>
        <w:t xml:space="preserve">Pty Ltd </w:t>
      </w:r>
      <w:r w:rsidR="003D6F09">
        <w:rPr>
          <w:rFonts w:cstheme="minorHAnsi"/>
          <w:iCs/>
          <w:szCs w:val="24"/>
        </w:rPr>
        <w:t>by the Department of Health</w:t>
      </w:r>
      <w:r w:rsidR="000A3E71">
        <w:rPr>
          <w:rFonts w:cstheme="minorHAnsi"/>
          <w:iCs/>
          <w:szCs w:val="24"/>
        </w:rPr>
        <w:t xml:space="preserve"> and Aged Care</w:t>
      </w:r>
      <w:r w:rsidR="003D6F09">
        <w:rPr>
          <w:rFonts w:cstheme="minorHAnsi"/>
          <w:iCs/>
          <w:szCs w:val="24"/>
        </w:rPr>
        <w:t xml:space="preserve">. </w:t>
      </w:r>
    </w:p>
    <w:p w14:paraId="2188CD5F" w14:textId="06D3043B" w:rsidR="007517B8" w:rsidRPr="00EF2910" w:rsidRDefault="007517B8" w:rsidP="00FB0E96">
      <w:pPr>
        <w:spacing w:after="240" w:line="240" w:lineRule="auto"/>
        <w:rPr>
          <w:rFonts w:cstheme="minorHAnsi"/>
          <w:iCs/>
          <w:szCs w:val="24"/>
        </w:rPr>
      </w:pPr>
      <w:r w:rsidRPr="00EF2910">
        <w:rPr>
          <w:rFonts w:cstheme="minorHAnsi"/>
          <w:iCs/>
          <w:szCs w:val="24"/>
        </w:rPr>
        <w:t>The</w:t>
      </w:r>
      <w:r w:rsidR="00B9733C">
        <w:rPr>
          <w:rFonts w:cstheme="minorHAnsi"/>
          <w:iCs/>
          <w:szCs w:val="24"/>
        </w:rPr>
        <w:t xml:space="preserve"> </w:t>
      </w:r>
      <w:r w:rsidRPr="00EF2910">
        <w:rPr>
          <w:rFonts w:cstheme="minorHAnsi"/>
          <w:iCs/>
          <w:szCs w:val="24"/>
        </w:rPr>
        <w:t xml:space="preserve">clinical claim </w:t>
      </w:r>
      <w:r w:rsidR="00B319DD">
        <w:rPr>
          <w:rFonts w:cstheme="minorHAnsi"/>
          <w:iCs/>
          <w:szCs w:val="24"/>
        </w:rPr>
        <w:t xml:space="preserve">in the Applicant Developed Assessment Report (ADAR) </w:t>
      </w:r>
      <w:r w:rsidRPr="00EF2910">
        <w:rPr>
          <w:rFonts w:cstheme="minorHAnsi"/>
          <w:iCs/>
          <w:szCs w:val="24"/>
        </w:rPr>
        <w:t xml:space="preserve">is that the insertion of LATERA </w:t>
      </w:r>
      <w:r w:rsidR="004124A0">
        <w:rPr>
          <w:rFonts w:cstheme="minorHAnsi"/>
          <w:iCs/>
          <w:szCs w:val="24"/>
        </w:rPr>
        <w:t>for the treatment of</w:t>
      </w:r>
      <w:r w:rsidRPr="00EF2910">
        <w:rPr>
          <w:rFonts w:cstheme="minorHAnsi"/>
          <w:iCs/>
          <w:szCs w:val="24"/>
        </w:rPr>
        <w:t xml:space="preserve"> NAO due to LWI </w:t>
      </w:r>
      <w:r w:rsidR="004124A0">
        <w:rPr>
          <w:rFonts w:cstheme="minorHAnsi"/>
          <w:iCs/>
          <w:szCs w:val="24"/>
        </w:rPr>
        <w:t>has</w:t>
      </w:r>
      <w:r w:rsidRPr="00EF2910">
        <w:rPr>
          <w:rFonts w:cstheme="minorHAnsi"/>
          <w:iCs/>
          <w:szCs w:val="24"/>
        </w:rPr>
        <w:t xml:space="preserve">: </w:t>
      </w:r>
    </w:p>
    <w:p w14:paraId="183B707C" w14:textId="7A696030" w:rsidR="007517B8" w:rsidRPr="00EF2910" w:rsidRDefault="007517B8" w:rsidP="00FB0E96">
      <w:pPr>
        <w:pStyle w:val="ListParagraph"/>
        <w:numPr>
          <w:ilvl w:val="0"/>
          <w:numId w:val="10"/>
        </w:numPr>
        <w:spacing w:after="240" w:line="240" w:lineRule="auto"/>
        <w:rPr>
          <w:rFonts w:cstheme="minorHAnsi"/>
          <w:iCs/>
          <w:szCs w:val="24"/>
        </w:rPr>
      </w:pPr>
      <w:r w:rsidRPr="00EF2910">
        <w:rPr>
          <w:rFonts w:cstheme="minorHAnsi"/>
          <w:iCs/>
          <w:szCs w:val="24"/>
        </w:rPr>
        <w:t xml:space="preserve">non-inferior clinical </w:t>
      </w:r>
      <w:r w:rsidR="00DF3DDC">
        <w:rPr>
          <w:rFonts w:cstheme="minorHAnsi"/>
          <w:iCs/>
          <w:szCs w:val="24"/>
        </w:rPr>
        <w:t xml:space="preserve">safety and </w:t>
      </w:r>
      <w:r w:rsidRPr="00EF2910">
        <w:rPr>
          <w:rFonts w:cstheme="minorHAnsi"/>
          <w:iCs/>
          <w:szCs w:val="24"/>
        </w:rPr>
        <w:t>effectiveness compared to rhinoplasty</w:t>
      </w:r>
    </w:p>
    <w:p w14:paraId="0EAECA75" w14:textId="0356011F" w:rsidR="00C87640" w:rsidRDefault="00DF3DDC" w:rsidP="00FB0E96">
      <w:pPr>
        <w:pStyle w:val="ListParagraph"/>
        <w:numPr>
          <w:ilvl w:val="0"/>
          <w:numId w:val="10"/>
        </w:numPr>
        <w:spacing w:after="240" w:line="240" w:lineRule="auto"/>
        <w:rPr>
          <w:rFonts w:cstheme="minorHAnsi"/>
          <w:iCs/>
          <w:szCs w:val="24"/>
        </w:rPr>
      </w:pPr>
      <w:r w:rsidRPr="00EF2910">
        <w:rPr>
          <w:rFonts w:cstheme="minorHAnsi"/>
          <w:iCs/>
          <w:szCs w:val="24"/>
        </w:rPr>
        <w:t xml:space="preserve">inferior safety </w:t>
      </w:r>
      <w:r>
        <w:rPr>
          <w:rFonts w:cstheme="minorHAnsi"/>
          <w:iCs/>
          <w:szCs w:val="24"/>
        </w:rPr>
        <w:t xml:space="preserve">and </w:t>
      </w:r>
      <w:r w:rsidR="007517B8" w:rsidRPr="00EF2910">
        <w:rPr>
          <w:rFonts w:cstheme="minorHAnsi"/>
          <w:iCs/>
          <w:szCs w:val="24"/>
        </w:rPr>
        <w:t xml:space="preserve">superior clinical effectiveness </w:t>
      </w:r>
      <w:r>
        <w:rPr>
          <w:rFonts w:cstheme="minorHAnsi"/>
          <w:iCs/>
          <w:szCs w:val="24"/>
        </w:rPr>
        <w:t>compared</w:t>
      </w:r>
      <w:r w:rsidR="007517B8" w:rsidRPr="00EF2910">
        <w:rPr>
          <w:rFonts w:cstheme="minorHAnsi"/>
          <w:iCs/>
          <w:szCs w:val="24"/>
        </w:rPr>
        <w:t xml:space="preserve"> to conservative treatment (i.e. breathe right strips)</w:t>
      </w:r>
      <w:r w:rsidR="007517B8">
        <w:rPr>
          <w:rFonts w:cstheme="minorHAnsi"/>
          <w:iCs/>
          <w:szCs w:val="24"/>
        </w:rPr>
        <w:t>.</w:t>
      </w:r>
    </w:p>
    <w:p w14:paraId="355DF165" w14:textId="7A45471E" w:rsidR="002C5802" w:rsidRDefault="002C5802" w:rsidP="002C5802">
      <w:pPr>
        <w:pStyle w:val="Heading2"/>
        <w:numPr>
          <w:ilvl w:val="0"/>
          <w:numId w:val="0"/>
        </w:numPr>
      </w:pPr>
      <w:r>
        <w:t>2.</w:t>
      </w:r>
      <w:r>
        <w:tab/>
        <w:t>MSAC’s advice to the minister</w:t>
      </w:r>
    </w:p>
    <w:p w14:paraId="0A53845A" w14:textId="0A046758" w:rsidR="005B0F73" w:rsidRDefault="005B0F73" w:rsidP="005B0F73">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Pr="00E43529">
        <w:rPr>
          <w:rFonts w:eastAsia="Franklin Gothic Book" w:cs="Franklin Gothic Book"/>
        </w:rPr>
        <w:t xml:space="preserve">MSAC supported the </w:t>
      </w:r>
      <w:r w:rsidRPr="00E43529">
        <w:t>creation of new Medicare Benefits Schedule (MBS) items</w:t>
      </w:r>
      <w:r w:rsidRPr="00E43529">
        <w:rPr>
          <w:rFonts w:eastAsia="Franklin Gothic Book" w:cs="Franklin Gothic Book"/>
        </w:rPr>
        <w:t xml:space="preserve"> for the insertion and removal of a bioabsorbable implant for nasal airway obstruction (NAO) due to lateral wall insufficiency (LWI). MSAC considered insertion of the bioabsorbable implant would provide patients with a minimally invasive alternative treatment with likely non-inferior safety and effectiveness compared to the primary comparator, functional rhinoplasty. MSAC considered the bioabsorbable implant had inferior safety and probably superior effectiveness compared to conservative management. MSAC noted the uncertainty of the evidence and that there was limited evidence for safety of the </w:t>
      </w:r>
      <w:r>
        <w:rPr>
          <w:rFonts w:eastAsia="Franklin Gothic Book" w:cs="Franklin Gothic Book"/>
        </w:rPr>
        <w:t>LATERA</w:t>
      </w:r>
      <w:r w:rsidRPr="00E43529">
        <w:rPr>
          <w:rFonts w:eastAsia="Franklin Gothic Book" w:cs="Franklin Gothic Book"/>
        </w:rPr>
        <w:t xml:space="preserve"> implant beyond </w:t>
      </w:r>
      <w:r>
        <w:rPr>
          <w:rFonts w:eastAsia="Franklin Gothic Book" w:cs="Franklin Gothic Book"/>
        </w:rPr>
        <w:t>2 years</w:t>
      </w:r>
      <w:r w:rsidRPr="00E43529">
        <w:rPr>
          <w:rFonts w:eastAsia="Franklin Gothic Book" w:cs="Franklin Gothic Book"/>
        </w:rPr>
        <w:t>. However, MSAC considered there is an unmet clinical need for a small subgroup of patients who are managed</w:t>
      </w:r>
      <w:r>
        <w:rPr>
          <w:rFonts w:eastAsia="Franklin Gothic Book" w:cs="Franklin Gothic Book"/>
        </w:rPr>
        <w:t xml:space="preserve"> </w:t>
      </w:r>
      <w:r w:rsidRPr="00E43529">
        <w:rPr>
          <w:rFonts w:eastAsia="Franklin Gothic Book" w:cs="Franklin Gothic Book"/>
        </w:rPr>
        <w:t>conservative</w:t>
      </w:r>
      <w:r>
        <w:rPr>
          <w:rFonts w:eastAsia="Franklin Gothic Book" w:cs="Franklin Gothic Book"/>
        </w:rPr>
        <w:t>ly</w:t>
      </w:r>
      <w:r w:rsidRPr="00E43529">
        <w:rPr>
          <w:rFonts w:eastAsia="Franklin Gothic Book" w:cs="Franklin Gothic Book"/>
        </w:rPr>
        <w:t xml:space="preserve"> due to being unable or unwilling to undergo</w:t>
      </w:r>
      <w:r>
        <w:rPr>
          <w:rFonts w:eastAsia="Franklin Gothic Book" w:cs="Franklin Gothic Book"/>
        </w:rPr>
        <w:t xml:space="preserve"> functional rhinoplasty surgery</w:t>
      </w:r>
      <w:r w:rsidRPr="00E43529">
        <w:rPr>
          <w:rFonts w:eastAsia="Franklin Gothic Book" w:cs="Franklin Gothic Book"/>
        </w:rPr>
        <w:t xml:space="preserve"> or have failed functional rhinoplasty surgery. MSAC considered the results of the economic analyses were uncertain but indicated that insertion of the bioabsorbable implant to treat NAO due to LWI was cost-effective compared to functional rhinoplasty. MSAC considered the financial estimates to be uncertain and likely underestimated</w:t>
      </w:r>
      <w:r>
        <w:rPr>
          <w:rFonts w:eastAsia="Franklin Gothic Book" w:cs="Franklin Gothic Book"/>
        </w:rPr>
        <w:t>,</w:t>
      </w:r>
      <w:r w:rsidRPr="00E43529">
        <w:rPr>
          <w:rFonts w:eastAsia="Franklin Gothic Book" w:cs="Franklin Gothic Book"/>
        </w:rPr>
        <w:t xml:space="preserve"> and that the claimed cost savings may not be realised</w:t>
      </w:r>
      <w:r>
        <w:rPr>
          <w:rFonts w:eastAsia="Franklin Gothic Book" w:cs="Franklin Gothic Book"/>
        </w:rPr>
        <w:t>,</w:t>
      </w:r>
      <w:r w:rsidRPr="00E43529">
        <w:rPr>
          <w:rFonts w:eastAsia="Franklin Gothic Book" w:cs="Franklin Gothic Book"/>
        </w:rPr>
        <w:t xml:space="preserve"> but that the overall potential financial impact to the Australian </w:t>
      </w:r>
      <w:r>
        <w:rPr>
          <w:rFonts w:eastAsia="Franklin Gothic Book" w:cs="Franklin Gothic Book"/>
        </w:rPr>
        <w:t>h</w:t>
      </w:r>
      <w:r w:rsidRPr="00E43529">
        <w:rPr>
          <w:rFonts w:eastAsia="Franklin Gothic Book" w:cs="Franklin Gothic Book"/>
        </w:rPr>
        <w:t>ealth</w:t>
      </w:r>
      <w:r>
        <w:rPr>
          <w:rFonts w:eastAsia="Franklin Gothic Book" w:cs="Franklin Gothic Book"/>
        </w:rPr>
        <w:t xml:space="preserve"> </w:t>
      </w:r>
      <w:r w:rsidRPr="00E43529">
        <w:rPr>
          <w:rFonts w:eastAsia="Franklin Gothic Book" w:cs="Franklin Gothic Book"/>
        </w:rPr>
        <w:t>care system was modest. MSAC considered that utilisation should be reviewed after 2</w:t>
      </w:r>
      <w:r>
        <w:rPr>
          <w:rFonts w:eastAsia="Franklin Gothic Book" w:cs="Franklin Gothic Book"/>
        </w:rPr>
        <w:t> </w:t>
      </w:r>
      <w:r w:rsidRPr="00E43529">
        <w:rPr>
          <w:rFonts w:eastAsia="Franklin Gothic Book" w:cs="Franklin Gothic Book"/>
        </w:rPr>
        <w:t>years.</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5B0F73" w:rsidRPr="00DF7A1D" w14:paraId="15DA67E0" w14:textId="77777777" w:rsidTr="2B1C9FCC">
        <w:trPr>
          <w:cantSplit/>
          <w:trHeight w:val="350"/>
          <w:tblHeader/>
        </w:trPr>
        <w:tc>
          <w:tcPr>
            <w:tcW w:w="9016" w:type="dxa"/>
          </w:tcPr>
          <w:p w14:paraId="41091E41" w14:textId="77777777" w:rsidR="005B0F73" w:rsidRPr="00DF7A1D" w:rsidRDefault="005B0F73" w:rsidP="00D578DE">
            <w:pPr>
              <w:pStyle w:val="TableText"/>
            </w:pPr>
            <w:r w:rsidRPr="00DF7A1D">
              <w:lastRenderedPageBreak/>
              <w:t>Category 3 – THERAPEUTIC PROCEDURES</w:t>
            </w:r>
          </w:p>
        </w:tc>
      </w:tr>
      <w:tr w:rsidR="005B0F73" w:rsidRPr="00DF7A1D" w14:paraId="0F854796" w14:textId="77777777" w:rsidTr="2B1C9FCC">
        <w:trPr>
          <w:cantSplit/>
          <w:tblHeader/>
        </w:trPr>
        <w:tc>
          <w:tcPr>
            <w:tcW w:w="9016" w:type="dxa"/>
          </w:tcPr>
          <w:p w14:paraId="76CFC20E" w14:textId="77777777" w:rsidR="005B0F73" w:rsidRPr="00DF7A1D" w:rsidRDefault="005B0F73" w:rsidP="00D578DE">
            <w:pPr>
              <w:spacing w:after="120"/>
              <w:rPr>
                <w:rFonts w:ascii="Arial Narrow" w:hAnsi="Arial Narrow"/>
                <w:lang w:eastAsia="ja-JP"/>
              </w:rPr>
            </w:pPr>
            <w:r w:rsidRPr="00DF7A1D">
              <w:rPr>
                <w:rFonts w:ascii="Arial Narrow" w:hAnsi="Arial Narrow"/>
                <w:sz w:val="20"/>
                <w:lang w:eastAsia="ja-JP"/>
              </w:rPr>
              <w:t>MBS item XXXX</w:t>
            </w:r>
          </w:p>
          <w:p w14:paraId="6AA37F00" w14:textId="77777777" w:rsidR="005B0F4A" w:rsidRDefault="005B0F73" w:rsidP="005B0F4A">
            <w:pPr>
              <w:spacing w:before="0"/>
              <w:rPr>
                <w:rFonts w:ascii="Times New Roman" w:hAnsi="Times New Roman" w:cs="Times New Roman"/>
                <w:sz w:val="24"/>
                <w:szCs w:val="24"/>
                <w:lang w:eastAsia="en-AU"/>
              </w:rPr>
            </w:pPr>
            <w:r w:rsidRPr="00DF7A1D">
              <w:rPr>
                <w:rFonts w:ascii="Arial Narrow" w:hAnsi="Arial Narrow"/>
                <w:sz w:val="20"/>
                <w:lang w:eastAsia="ja-JP"/>
              </w:rPr>
              <w:t xml:space="preserve">Unilateral insertion of bioabsorbable implant for nasal airway obstruction due to lateral wall insufficiency confirmed by positive modified Cottle manoeuvre and the patient has a self-reported NOSE Scale score of greater </w:t>
            </w:r>
            <w:r w:rsidRPr="0076195B">
              <w:rPr>
                <w:rFonts w:ascii="Arial Narrow" w:hAnsi="Arial Narrow"/>
                <w:sz w:val="20"/>
                <w:lang w:eastAsia="ja-JP"/>
              </w:rPr>
              <w:t>than</w:t>
            </w:r>
            <w:r w:rsidR="00BD4DEC">
              <w:rPr>
                <w:rFonts w:ascii="Arial Narrow" w:hAnsi="Arial Narrow"/>
                <w:sz w:val="20"/>
                <w:lang w:eastAsia="ja-JP"/>
              </w:rPr>
              <w:t xml:space="preserve"> or equal to</w:t>
            </w:r>
            <w:r w:rsidRPr="0076195B">
              <w:rPr>
                <w:rFonts w:ascii="Arial Narrow" w:hAnsi="Arial Narrow"/>
                <w:sz w:val="20"/>
                <w:lang w:eastAsia="ja-JP"/>
              </w:rPr>
              <w:t xml:space="preserve"> </w:t>
            </w:r>
            <w:r w:rsidR="005B0F4A">
              <w:rPr>
                <w:rFonts w:ascii="Arial Narrow" w:hAnsi="Arial Narrow"/>
                <w:sz w:val="20"/>
                <w:lang w:eastAsia="ja-JP"/>
              </w:rPr>
              <w:t xml:space="preserve">55 </w:t>
            </w:r>
          </w:p>
          <w:p w14:paraId="1B549072" w14:textId="1D4C04B5" w:rsidR="005B0F73" w:rsidRPr="005D1BFE" w:rsidRDefault="005B0F73" w:rsidP="00D578DE">
            <w:pPr>
              <w:spacing w:after="120"/>
              <w:rPr>
                <w:rFonts w:ascii="Arial Narrow" w:hAnsi="Arial Narrow"/>
              </w:rPr>
            </w:pPr>
            <w:r w:rsidRPr="0076195B">
              <w:rPr>
                <w:rFonts w:ascii="Arial Narrow" w:hAnsi="Arial Narrow"/>
                <w:sz w:val="20"/>
                <w:lang w:eastAsia="ja-JP"/>
              </w:rPr>
              <w:t xml:space="preserve"> if</w:t>
            </w:r>
            <w:r w:rsidRPr="0076195B">
              <w:rPr>
                <w:rFonts w:ascii="Arial Narrow" w:hAnsi="Arial Narrow"/>
                <w:sz w:val="20"/>
              </w:rPr>
              <w:t xml:space="preserve"> the indicated surgery is: </w:t>
            </w:r>
          </w:p>
          <w:tbl>
            <w:tblPr>
              <w:tblStyle w:val="TableGrid1"/>
              <w:tblW w:w="0" w:type="auto"/>
              <w:tblBorders>
                <w:top w:val="nil"/>
                <w:left w:val="nil"/>
                <w:bottom w:val="nil"/>
                <w:right w:val="nil"/>
                <w:insideH w:val="none" w:sz="0" w:space="0" w:color="auto"/>
                <w:insideV w:val="none" w:sz="0" w:space="0" w:color="auto"/>
              </w:tblBorders>
              <w:tblLook w:val="0020" w:firstRow="1" w:lastRow="0" w:firstColumn="0" w:lastColumn="0" w:noHBand="0" w:noVBand="0"/>
            </w:tblPr>
            <w:tblGrid>
              <w:gridCol w:w="8800"/>
            </w:tblGrid>
            <w:tr w:rsidR="005B0F73" w:rsidRPr="005D1BFE" w14:paraId="7D4FAC4A" w14:textId="77777777" w:rsidTr="005C6127">
              <w:trPr>
                <w:cnfStyle w:val="100000000000" w:firstRow="1" w:lastRow="0" w:firstColumn="0" w:lastColumn="0" w:oddVBand="0" w:evenVBand="0" w:oddHBand="0" w:evenHBand="0" w:firstRowFirstColumn="0" w:firstRowLastColumn="0" w:lastRowFirstColumn="0" w:lastRowLastColumn="0"/>
                <w:trHeight w:val="464"/>
                <w:tblHeader/>
              </w:trPr>
              <w:tc>
                <w:tcPr>
                  <w:tcW w:w="0" w:type="auto"/>
                </w:tcPr>
                <w:p w14:paraId="1636148C" w14:textId="77777777" w:rsidR="005B0F73" w:rsidRPr="0076195B" w:rsidRDefault="005B0F73" w:rsidP="0076195B">
                  <w:pPr>
                    <w:pStyle w:val="Default"/>
                    <w:ind w:left="204"/>
                    <w:rPr>
                      <w:rFonts w:ascii="Arial Narrow" w:hAnsi="Arial Narrow"/>
                      <w:color w:val="auto"/>
                      <w:sz w:val="20"/>
                      <w:szCs w:val="20"/>
                    </w:rPr>
                  </w:pPr>
                  <w:r w:rsidRPr="0076195B">
                    <w:rPr>
                      <w:rFonts w:ascii="Arial Narrow" w:hAnsi="Arial Narrow"/>
                      <w:color w:val="auto"/>
                      <w:sz w:val="20"/>
                      <w:szCs w:val="20"/>
                    </w:rPr>
                    <w:t>(i) Provided by otolaryngologist and specialist plastic surgeons, who have undergone the Australian Medical Council (AMC) accredited training program</w:t>
                  </w:r>
                </w:p>
                <w:p w14:paraId="23D5FFCF" w14:textId="60AA29EB" w:rsidR="005B0F73" w:rsidRPr="005D1BFE" w:rsidRDefault="005B0F73" w:rsidP="007A0BFA">
                  <w:pPr>
                    <w:pStyle w:val="Default"/>
                    <w:spacing w:after="240"/>
                    <w:ind w:left="204"/>
                    <w:rPr>
                      <w:rFonts w:ascii="Arial Narrow" w:hAnsi="Arial Narrow"/>
                      <w:color w:val="auto"/>
                      <w:sz w:val="20"/>
                      <w:szCs w:val="20"/>
                    </w:rPr>
                  </w:pPr>
                  <w:r w:rsidRPr="0076195B">
                    <w:rPr>
                      <w:rFonts w:ascii="Arial Narrow" w:hAnsi="Arial Narrow"/>
                      <w:color w:val="auto"/>
                      <w:sz w:val="20"/>
                      <w:szCs w:val="20"/>
                    </w:rPr>
                    <w:t>(ii) photographic and/or NOSE scale evidence demonstrating the clinical need for this service is documented in the patient notes</w:t>
                  </w:r>
                  <w:r w:rsidR="00100AB3" w:rsidRPr="0076195B">
                    <w:rPr>
                      <w:rFonts w:ascii="Arial Narrow" w:hAnsi="Arial Narrow"/>
                      <w:color w:val="auto"/>
                      <w:sz w:val="20"/>
                      <w:szCs w:val="20"/>
                    </w:rPr>
                    <w:t>.</w:t>
                  </w:r>
                </w:p>
                <w:p w14:paraId="40D66E3B" w14:textId="29CF0747" w:rsidR="00100AB3" w:rsidRPr="005D1BFE" w:rsidRDefault="00100AB3" w:rsidP="007A0BFA">
                  <w:pPr>
                    <w:pStyle w:val="Default"/>
                    <w:spacing w:after="240"/>
                    <w:ind w:left="-80"/>
                    <w:rPr>
                      <w:rFonts w:ascii="Arial Narrow" w:hAnsi="Arial Narrow"/>
                      <w:color w:val="auto"/>
                      <w:sz w:val="20"/>
                      <w:szCs w:val="20"/>
                    </w:rPr>
                  </w:pPr>
                  <w:r w:rsidRPr="005D1BFE">
                    <w:rPr>
                      <w:rFonts w:ascii="Arial Narrow" w:hAnsi="Arial Narrow"/>
                      <w:color w:val="auto"/>
                      <w:sz w:val="20"/>
                      <w:szCs w:val="20"/>
                    </w:rPr>
                    <w:t>(anaes)</w:t>
                  </w:r>
                </w:p>
              </w:tc>
            </w:tr>
          </w:tbl>
          <w:p w14:paraId="7491916F" w14:textId="77777777" w:rsidR="005B0F73" w:rsidRPr="00DF7A1D" w:rsidRDefault="005B0F73" w:rsidP="00D578DE">
            <w:pPr>
              <w:spacing w:after="120"/>
              <w:rPr>
                <w:rFonts w:ascii="Arial Narrow" w:hAnsi="Arial Narrow"/>
                <w:sz w:val="20"/>
              </w:rPr>
            </w:pPr>
          </w:p>
        </w:tc>
      </w:tr>
      <w:tr w:rsidR="005B0F73" w:rsidRPr="00DF7A1D" w14:paraId="40CAB055" w14:textId="77777777" w:rsidTr="2B1C9FCC">
        <w:trPr>
          <w:cantSplit/>
          <w:trHeight w:val="223"/>
          <w:tblHeader/>
        </w:trPr>
        <w:tc>
          <w:tcPr>
            <w:tcW w:w="9016" w:type="dxa"/>
          </w:tcPr>
          <w:p w14:paraId="07180D81" w14:textId="77777777" w:rsidR="005B0F73" w:rsidRPr="00DF7A1D" w:rsidRDefault="005B0F73" w:rsidP="00D578DE">
            <w:pPr>
              <w:pStyle w:val="TableText"/>
              <w:rPr>
                <w:snapToGrid w:val="0"/>
                <w:szCs w:val="20"/>
              </w:rPr>
            </w:pPr>
            <w:r w:rsidRPr="00DF7A1D">
              <w:rPr>
                <w:szCs w:val="20"/>
              </w:rPr>
              <w:t>Fee: $198.95 Benefit: 75% = $149.20; 85% = $169.10</w:t>
            </w:r>
          </w:p>
        </w:tc>
      </w:tr>
      <w:tr w:rsidR="005B0F73" w:rsidRPr="00DF7A1D" w14:paraId="103CB001" w14:textId="77777777" w:rsidTr="2B1C9FCC">
        <w:trPr>
          <w:cantSplit/>
          <w:trHeight w:val="350"/>
          <w:tblHeader/>
        </w:trPr>
        <w:tc>
          <w:tcPr>
            <w:tcW w:w="9016" w:type="dxa"/>
          </w:tcPr>
          <w:p w14:paraId="3ADB75A3" w14:textId="77777777" w:rsidR="005B0F73" w:rsidRPr="00DF7A1D" w:rsidRDefault="005B0F73" w:rsidP="00D578DE">
            <w:pPr>
              <w:pStyle w:val="TableText"/>
            </w:pPr>
            <w:r w:rsidRPr="00DF7A1D">
              <w:t>Category 3 – THERAPEUTIC PROCEDURES</w:t>
            </w:r>
          </w:p>
        </w:tc>
      </w:tr>
      <w:tr w:rsidR="005B0F73" w:rsidRPr="00DF7A1D" w14:paraId="4B48054B" w14:textId="77777777" w:rsidTr="2B1C9FCC">
        <w:trPr>
          <w:cantSplit/>
          <w:trHeight w:val="2427"/>
          <w:tblHeader/>
        </w:trPr>
        <w:tc>
          <w:tcPr>
            <w:tcW w:w="9016" w:type="dxa"/>
          </w:tcPr>
          <w:p w14:paraId="0338DC47" w14:textId="77777777" w:rsidR="005B0F73" w:rsidRPr="00DF7A1D" w:rsidRDefault="005B0F73" w:rsidP="00D578DE">
            <w:pPr>
              <w:spacing w:after="120"/>
              <w:rPr>
                <w:rFonts w:ascii="Arial Narrow" w:hAnsi="Arial Narrow"/>
                <w:lang w:eastAsia="ja-JP"/>
              </w:rPr>
            </w:pPr>
            <w:r w:rsidRPr="00DF7A1D">
              <w:rPr>
                <w:rFonts w:ascii="Arial Narrow" w:hAnsi="Arial Narrow"/>
                <w:sz w:val="20"/>
                <w:lang w:eastAsia="ja-JP"/>
              </w:rPr>
              <w:t>MBS item XXXX</w:t>
            </w:r>
          </w:p>
          <w:p w14:paraId="37672EF7" w14:textId="5BD704C4" w:rsidR="005B0F73" w:rsidRPr="005D1BFE" w:rsidRDefault="005B0F73" w:rsidP="2B1C9FCC">
            <w:pPr>
              <w:spacing w:after="120"/>
              <w:rPr>
                <w:rFonts w:ascii="Arial Narrow" w:hAnsi="Arial Narrow"/>
                <w:sz w:val="20"/>
                <w:szCs w:val="20"/>
                <w:lang w:eastAsia="ja-JP"/>
              </w:rPr>
            </w:pPr>
            <w:r w:rsidRPr="2B1C9FCC">
              <w:rPr>
                <w:rFonts w:ascii="Arial Narrow" w:hAnsi="Arial Narrow"/>
                <w:sz w:val="20"/>
                <w:szCs w:val="20"/>
                <w:lang w:eastAsia="ja-JP"/>
              </w:rPr>
              <w:t xml:space="preserve">Bilateral insertion of bioabsorbable implant for nasal airway obstruction due to lateral wall insufficiency confirmed by positive modified Cottle </w:t>
            </w:r>
            <w:r w:rsidR="003968D7" w:rsidRPr="2B1C9FCC">
              <w:rPr>
                <w:rFonts w:ascii="Arial Narrow" w:hAnsi="Arial Narrow"/>
                <w:sz w:val="20"/>
                <w:szCs w:val="20"/>
                <w:lang w:eastAsia="ja-JP"/>
              </w:rPr>
              <w:t>manoeuvre</w:t>
            </w:r>
            <w:r w:rsidRPr="2B1C9FCC">
              <w:rPr>
                <w:rFonts w:ascii="Arial Narrow" w:hAnsi="Arial Narrow"/>
                <w:sz w:val="20"/>
                <w:szCs w:val="20"/>
                <w:lang w:eastAsia="ja-JP"/>
              </w:rPr>
              <w:t xml:space="preserve"> and the patient has a self-reported NOSE Scale score of greater than</w:t>
            </w:r>
            <w:r w:rsidR="00BD4DEC" w:rsidRPr="2B1C9FCC">
              <w:rPr>
                <w:rFonts w:ascii="Arial Narrow" w:hAnsi="Arial Narrow"/>
                <w:sz w:val="20"/>
                <w:szCs w:val="20"/>
                <w:lang w:eastAsia="ja-JP"/>
              </w:rPr>
              <w:t xml:space="preserve"> or equ</w:t>
            </w:r>
            <w:r w:rsidR="003E10AA" w:rsidRPr="2B1C9FCC">
              <w:rPr>
                <w:rFonts w:ascii="Arial Narrow" w:hAnsi="Arial Narrow"/>
                <w:sz w:val="20"/>
                <w:szCs w:val="20"/>
                <w:lang w:eastAsia="ja-JP"/>
              </w:rPr>
              <w:t>al to</w:t>
            </w:r>
            <w:r w:rsidRPr="2B1C9FCC">
              <w:rPr>
                <w:rFonts w:ascii="Arial Narrow" w:hAnsi="Arial Narrow"/>
                <w:sz w:val="20"/>
                <w:szCs w:val="20"/>
                <w:lang w:eastAsia="ja-JP"/>
              </w:rPr>
              <w:t xml:space="preserve"> 55 if </w:t>
            </w:r>
            <w:r w:rsidRPr="2B1C9FCC">
              <w:rPr>
                <w:rFonts w:ascii="Arial Narrow" w:hAnsi="Arial Narrow"/>
                <w:sz w:val="20"/>
                <w:szCs w:val="20"/>
              </w:rPr>
              <w:t xml:space="preserve">the indicated surgery is: </w:t>
            </w:r>
          </w:p>
          <w:p w14:paraId="0C8182CB" w14:textId="77777777" w:rsidR="005B0F73" w:rsidRPr="005D1BFE" w:rsidRDefault="005B0F73" w:rsidP="005B0F73">
            <w:pPr>
              <w:pStyle w:val="Default"/>
              <w:widowControl w:val="0"/>
              <w:numPr>
                <w:ilvl w:val="2"/>
                <w:numId w:val="33"/>
              </w:numPr>
              <w:spacing w:after="30"/>
              <w:ind w:left="360"/>
              <w:rPr>
                <w:rFonts w:ascii="Arial Narrow" w:hAnsi="Arial Narrow"/>
                <w:color w:val="auto"/>
                <w:sz w:val="20"/>
                <w:szCs w:val="20"/>
              </w:rPr>
            </w:pPr>
            <w:r w:rsidRPr="0076195B">
              <w:rPr>
                <w:rFonts w:ascii="Arial Narrow" w:hAnsi="Arial Narrow"/>
                <w:color w:val="auto"/>
                <w:sz w:val="20"/>
                <w:szCs w:val="20"/>
              </w:rPr>
              <w:t xml:space="preserve">(i) Provided by otolaryngologist and specialist plastic surgeons, who have undergone the Australian Medical Council (AMC) accredited training program </w:t>
            </w:r>
          </w:p>
          <w:p w14:paraId="59C5659A" w14:textId="77777777" w:rsidR="00100AB3" w:rsidRPr="0076195B" w:rsidRDefault="005B0F73" w:rsidP="005B0F73">
            <w:pPr>
              <w:pStyle w:val="Default"/>
              <w:widowControl w:val="0"/>
              <w:numPr>
                <w:ilvl w:val="2"/>
                <w:numId w:val="33"/>
              </w:numPr>
              <w:ind w:left="360"/>
              <w:rPr>
                <w:rFonts w:ascii="Arial Narrow" w:hAnsi="Arial Narrow"/>
                <w:color w:val="auto"/>
                <w:sz w:val="20"/>
                <w:lang w:eastAsia="ja-JP"/>
              </w:rPr>
            </w:pPr>
            <w:r w:rsidRPr="0076195B">
              <w:rPr>
                <w:rFonts w:ascii="Arial Narrow" w:hAnsi="Arial Narrow"/>
                <w:color w:val="auto"/>
                <w:sz w:val="20"/>
                <w:szCs w:val="20"/>
              </w:rPr>
              <w:t>(ii) Photographic and/or NOSE scale evidence demonstrating the clinical need for this service is documented in the patient notes</w:t>
            </w:r>
            <w:r w:rsidR="00100AB3" w:rsidRPr="0076195B">
              <w:rPr>
                <w:rFonts w:ascii="Arial Narrow" w:hAnsi="Arial Narrow"/>
                <w:color w:val="auto"/>
                <w:sz w:val="20"/>
                <w:szCs w:val="20"/>
              </w:rPr>
              <w:t>.</w:t>
            </w:r>
          </w:p>
          <w:p w14:paraId="5F834DAE" w14:textId="1AD059AC" w:rsidR="00776324" w:rsidRPr="007A0BFA" w:rsidRDefault="005D1BFE" w:rsidP="007A0BFA">
            <w:pPr>
              <w:pStyle w:val="Default"/>
              <w:widowControl w:val="0"/>
              <w:spacing w:before="240" w:after="240"/>
              <w:rPr>
                <w:rFonts w:ascii="Arial Narrow" w:hAnsi="Arial Narrow"/>
                <w:color w:val="auto"/>
                <w:sz w:val="20"/>
                <w:szCs w:val="20"/>
              </w:rPr>
            </w:pPr>
            <w:r w:rsidRPr="0076195B">
              <w:rPr>
                <w:rFonts w:ascii="Arial Narrow" w:hAnsi="Arial Narrow"/>
                <w:color w:val="auto"/>
                <w:sz w:val="20"/>
                <w:szCs w:val="20"/>
              </w:rPr>
              <w:t>(anaes)</w:t>
            </w:r>
          </w:p>
        </w:tc>
      </w:tr>
      <w:tr w:rsidR="005B0F73" w:rsidRPr="00DF7A1D" w14:paraId="0B85427E" w14:textId="77777777" w:rsidTr="2B1C9FCC">
        <w:trPr>
          <w:cantSplit/>
          <w:trHeight w:val="223"/>
          <w:tblHeader/>
        </w:trPr>
        <w:tc>
          <w:tcPr>
            <w:tcW w:w="9016" w:type="dxa"/>
          </w:tcPr>
          <w:p w14:paraId="24FFFC78" w14:textId="77777777" w:rsidR="005B0F73" w:rsidRPr="00DF7A1D" w:rsidRDefault="005B0F73" w:rsidP="00D578DE">
            <w:pPr>
              <w:pStyle w:val="TableText"/>
              <w:rPr>
                <w:snapToGrid w:val="0"/>
                <w:szCs w:val="20"/>
              </w:rPr>
            </w:pPr>
            <w:r w:rsidRPr="00DF7A1D">
              <w:rPr>
                <w:szCs w:val="20"/>
              </w:rPr>
              <w:t>Fee: $298.43 Benefit: 75% = $223.82; 85% = $253.67</w:t>
            </w:r>
          </w:p>
        </w:tc>
      </w:tr>
    </w:tbl>
    <w:p w14:paraId="12548669" w14:textId="77777777" w:rsidR="005B0F73" w:rsidRDefault="005B0F73" w:rsidP="005B0F73">
      <w:pPr>
        <w:rPr>
          <w:szCs w:val="24"/>
        </w:rPr>
      </w:pPr>
    </w:p>
    <w:tbl>
      <w:tblPr>
        <w:tblStyle w:val="TableGrid"/>
        <w:tblW w:w="0" w:type="auto"/>
        <w:tblLook w:val="04A0" w:firstRow="1" w:lastRow="0" w:firstColumn="1" w:lastColumn="0" w:noHBand="0" w:noVBand="1"/>
        <w:tblDescription w:val="Consumer summary of MSAC consideration"/>
      </w:tblPr>
      <w:tblGrid>
        <w:gridCol w:w="9016"/>
      </w:tblGrid>
      <w:tr w:rsidR="005B0F73" w:rsidRPr="00AF46D8" w14:paraId="74467706" w14:textId="77777777" w:rsidTr="0D203122">
        <w:trPr>
          <w:tblHeader/>
        </w:trPr>
        <w:tc>
          <w:tcPr>
            <w:tcW w:w="9016" w:type="dxa"/>
          </w:tcPr>
          <w:p w14:paraId="4FB52B2F" w14:textId="77777777" w:rsidR="005B0F73" w:rsidRPr="00AF46D8" w:rsidRDefault="005B0F73" w:rsidP="005B0F73">
            <w:pPr>
              <w:pStyle w:val="Heading3"/>
              <w:spacing w:before="120" w:after="120"/>
              <w:outlineLvl w:val="2"/>
              <w:rPr>
                <w:rFonts w:eastAsiaTheme="minorHAnsi" w:cstheme="minorBidi"/>
                <w:iCs/>
              </w:rPr>
            </w:pPr>
            <w:r w:rsidRPr="00AF46D8">
              <w:t>Consumer summary</w:t>
            </w:r>
          </w:p>
        </w:tc>
      </w:tr>
      <w:tr w:rsidR="005B0F73" w:rsidRPr="00AF46D8" w14:paraId="37B28CA4" w14:textId="77777777" w:rsidTr="0D203122">
        <w:tc>
          <w:tcPr>
            <w:tcW w:w="9016" w:type="dxa"/>
          </w:tcPr>
          <w:p w14:paraId="4E510FEC" w14:textId="69B8BBCF" w:rsidR="005B0F73" w:rsidRDefault="005B0F73" w:rsidP="00AE50EB">
            <w:pPr>
              <w:spacing w:after="120"/>
            </w:pPr>
            <w:r w:rsidRPr="00AF46D8">
              <w:t xml:space="preserve">This application from </w:t>
            </w:r>
            <w:r>
              <w:t>Stryker Australia</w:t>
            </w:r>
            <w:r w:rsidRPr="00AF46D8">
              <w:t xml:space="preserve"> </w:t>
            </w:r>
            <w:r w:rsidR="00FD1A1E">
              <w:t xml:space="preserve">Pty Ltd </w:t>
            </w:r>
            <w:r w:rsidRPr="00AF46D8">
              <w:t>request</w:t>
            </w:r>
            <w:r w:rsidR="00FD1A1E">
              <w:t>ed</w:t>
            </w:r>
            <w:r w:rsidRPr="00AF46D8">
              <w:t xml:space="preserve"> Medicare Benefits Schedule (MBS) listing </w:t>
            </w:r>
            <w:r>
              <w:t xml:space="preserve">for </w:t>
            </w:r>
            <w:r w:rsidR="008E4317">
              <w:t xml:space="preserve">the </w:t>
            </w:r>
            <w:r>
              <w:t>i</w:t>
            </w:r>
            <w:r w:rsidRPr="004536E5">
              <w:t xml:space="preserve">nsertion of a bioabsorbable implant </w:t>
            </w:r>
            <w:r w:rsidR="0076308F">
              <w:rPr>
                <w:rFonts w:cstheme="minorHAnsi"/>
                <w:iCs/>
                <w:szCs w:val="24"/>
              </w:rPr>
              <w:t>(LATERA</w:t>
            </w:r>
            <w:r w:rsidR="0076308F" w:rsidRPr="00155D42">
              <w:rPr>
                <w:rFonts w:cstheme="minorHAnsi"/>
                <w:iCs/>
                <w:szCs w:val="24"/>
                <w:vertAlign w:val="superscript"/>
              </w:rPr>
              <w:t>®</w:t>
            </w:r>
            <w:r w:rsidR="0076308F" w:rsidRPr="004C3DF2">
              <w:rPr>
                <w:rFonts w:cstheme="minorHAnsi"/>
                <w:iCs/>
                <w:szCs w:val="24"/>
              </w:rPr>
              <w:t>)</w:t>
            </w:r>
            <w:r w:rsidR="0076308F">
              <w:rPr>
                <w:rFonts w:cstheme="minorHAnsi"/>
                <w:iCs/>
                <w:szCs w:val="24"/>
              </w:rPr>
              <w:t xml:space="preserve"> </w:t>
            </w:r>
            <w:r w:rsidRPr="004536E5">
              <w:t>for nasal airway obstruction due to lateral wall insufficiency</w:t>
            </w:r>
            <w:r>
              <w:t>.</w:t>
            </w:r>
          </w:p>
          <w:p w14:paraId="16DCBC8F" w14:textId="7C11EF39" w:rsidR="005B0F73" w:rsidRDefault="005B0F73" w:rsidP="000B22CB">
            <w:pPr>
              <w:spacing w:before="0"/>
            </w:pPr>
            <w:r>
              <w:t xml:space="preserve">People who have nasal airway obstruction have trouble breathing through their nose. There can be many reasons for this, but this application focuses on lateral wall insufficiency. This means that the outside wall of the nostril collapses when the person breathes, which makes the nostril smaller, so it is harder to breathe. This can happen in one nostril or both nostrils. People with this condition can take medication or attach temporary strips to their nose to help their </w:t>
            </w:r>
            <w:r w:rsidR="00A04B9C">
              <w:t>breathing</w:t>
            </w:r>
            <w:r>
              <w:t xml:space="preserve">, but it does not work for everyone. If </w:t>
            </w:r>
            <w:r w:rsidR="000B22CB">
              <w:t>it</w:t>
            </w:r>
            <w:r>
              <w:t xml:space="preserve"> does not work, people can have surgery on their nose (called functional rhinoplasty) to help fix the problem.</w:t>
            </w:r>
          </w:p>
          <w:p w14:paraId="2D3A7C0A" w14:textId="6BA205FA" w:rsidR="005B0F73" w:rsidRDefault="005B0F73" w:rsidP="00D578DE">
            <w:r>
              <w:t xml:space="preserve">LATERA is a small </w:t>
            </w:r>
            <w:r w:rsidR="78C443B1">
              <w:t xml:space="preserve">synthetic </w:t>
            </w:r>
            <w:r>
              <w:t>rod that is implanted within the outside wall of the nostril. It is attached to the bone in the nose and supports the nostril to stay open, making it easier for the person to breathe. The implant is absorbed over time and the body replaces it with a type of harder tissue that gives ongoing support to the nostril.</w:t>
            </w:r>
          </w:p>
          <w:p w14:paraId="37B5470D" w14:textId="77195454" w:rsidR="005B0F73" w:rsidRDefault="005B0F73" w:rsidP="00D578DE">
            <w:r>
              <w:t xml:space="preserve">MSAC reviewed the evidence and </w:t>
            </w:r>
            <w:r w:rsidR="00430341">
              <w:t xml:space="preserve">considered </w:t>
            </w:r>
            <w:r>
              <w:t xml:space="preserve">that LATERA is just as safe and just as effective as functional rhinoplasty surgery. MSAC </w:t>
            </w:r>
            <w:r w:rsidR="00430341">
              <w:t>considered</w:t>
            </w:r>
            <w:r>
              <w:t xml:space="preserve"> that LATERA is not as safe as </w:t>
            </w:r>
            <w:r w:rsidR="007C2789">
              <w:t xml:space="preserve">non-operative </w:t>
            </w:r>
            <w:r>
              <w:t xml:space="preserve">management but is probably more effective. LATERA would be an option for people who are not getting better with </w:t>
            </w:r>
            <w:r w:rsidR="003738A7">
              <w:t>medication or attaching temporary strips to their nose</w:t>
            </w:r>
            <w:r>
              <w:t xml:space="preserve">, who cannot or do not want to have surgery, or who have had surgery but </w:t>
            </w:r>
            <w:r w:rsidR="00143BDC">
              <w:t xml:space="preserve">have </w:t>
            </w:r>
            <w:r>
              <w:t>not improved. LATERA might also save the health system money.</w:t>
            </w:r>
          </w:p>
          <w:p w14:paraId="40739923" w14:textId="6F43FA27" w:rsidR="005B0F73" w:rsidRPr="00AF46D8" w:rsidRDefault="005B0F73" w:rsidP="004F7FD4">
            <w:pPr>
              <w:pStyle w:val="Heading3"/>
              <w:spacing w:before="0"/>
              <w:outlineLvl w:val="2"/>
            </w:pPr>
            <w:r w:rsidRPr="00AF46D8">
              <w:lastRenderedPageBreak/>
              <w:t>MSAC’s advice to the Commonwealth Minister for Health</w:t>
            </w:r>
            <w:r w:rsidR="00CC5812">
              <w:t xml:space="preserve"> and Aged Care</w:t>
            </w:r>
          </w:p>
          <w:p w14:paraId="2DC69E45" w14:textId="53F2BEB2" w:rsidR="005B0F73" w:rsidRPr="00AF46D8" w:rsidRDefault="005B0F73" w:rsidP="00D578DE">
            <w:r w:rsidRPr="00AF46D8">
              <w:t>MSAC supported</w:t>
            </w:r>
            <w:r>
              <w:t xml:space="preserve"> MBS listing for</w:t>
            </w:r>
            <w:r w:rsidR="00962212">
              <w:t xml:space="preserve"> the</w:t>
            </w:r>
            <w:r>
              <w:t xml:space="preserve"> i</w:t>
            </w:r>
            <w:r w:rsidRPr="004536E5">
              <w:t>nsertion of a bioabsorbable implant for nasal airway obstruction due to lateral wall insufficiency</w:t>
            </w:r>
            <w:r>
              <w:t xml:space="preserve">. The implant gives patients another treatment option that is less invasive than surgery but just as safe and effective, and it might save </w:t>
            </w:r>
            <w:r w:rsidR="00183570">
              <w:t xml:space="preserve">the health system </w:t>
            </w:r>
            <w:r>
              <w:t>money.</w:t>
            </w:r>
          </w:p>
        </w:tc>
      </w:tr>
    </w:tbl>
    <w:p w14:paraId="1575AD6C" w14:textId="1B7DDB9F" w:rsidR="002C5802" w:rsidRDefault="002C5802" w:rsidP="002C5802">
      <w:pPr>
        <w:pStyle w:val="Heading2"/>
        <w:numPr>
          <w:ilvl w:val="0"/>
          <w:numId w:val="0"/>
        </w:numPr>
      </w:pPr>
      <w:r>
        <w:lastRenderedPageBreak/>
        <w:t>3.</w:t>
      </w:r>
      <w:r>
        <w:tab/>
        <w:t>Summary of consideration and rationale for MSAC’s advice</w:t>
      </w:r>
    </w:p>
    <w:p w14:paraId="43B6DBBD" w14:textId="377C108E" w:rsidR="00B942FA" w:rsidRDefault="00B942FA" w:rsidP="00B942FA">
      <w:bookmarkStart w:id="2" w:name="_Toc69491416"/>
      <w:bookmarkEnd w:id="1"/>
      <w:r w:rsidRPr="00516D4E">
        <w:t>MSAC</w:t>
      </w:r>
      <w:r>
        <w:t xml:space="preserve"> </w:t>
      </w:r>
      <w:r w:rsidRPr="007B22D0">
        <w:t>noted that the application sought MBS listing of services for the insertion of a bioabsorbable implant (LATERA</w:t>
      </w:r>
      <w:r w:rsidR="00873FDF" w:rsidRPr="00155D42">
        <w:rPr>
          <w:rFonts w:cstheme="minorHAnsi"/>
          <w:iCs/>
          <w:szCs w:val="24"/>
          <w:vertAlign w:val="superscript"/>
        </w:rPr>
        <w:t>®</w:t>
      </w:r>
      <w:r w:rsidRPr="007B22D0">
        <w:t xml:space="preserve">) for the treatment of NAO due to LWI. </w:t>
      </w:r>
      <w:r>
        <w:t>MSAC</w:t>
      </w:r>
      <w:r w:rsidRPr="007B22D0">
        <w:t xml:space="preserve"> noted that the applicant had also submitted an application to the Prostheses List Advisory Committee seeking listing of the LATERA implant on the Prostheses List (PL).</w:t>
      </w:r>
    </w:p>
    <w:p w14:paraId="5918B5F4" w14:textId="3BC174F3" w:rsidR="00B942FA" w:rsidRPr="00AD6951" w:rsidRDefault="00B942FA" w:rsidP="00AD6951">
      <w:r w:rsidRPr="2B1C9FCC">
        <w:t xml:space="preserve">MSAC confirmed that the item descriptors for implantation should specify a nasal obstruction symptom evaluation (NOSE) score of </w:t>
      </w:r>
      <w:r w:rsidR="00F86E0A">
        <w:t>≥</w:t>
      </w:r>
      <w:r w:rsidRPr="2B1C9FCC">
        <w:t>55, in line with the clinical evidence, and that evidence of this should be documented in the patient notes. The items should specify once per lifetime per nostril, be restricted to</w:t>
      </w:r>
      <w:r w:rsidR="2BA350F2" w:rsidRPr="2B1C9FCC">
        <w:t xml:space="preserve"> use by</w:t>
      </w:r>
      <w:r w:rsidRPr="2B1C9FCC">
        <w:t xml:space="preserve"> </w:t>
      </w:r>
      <w:r w:rsidR="40144980" w:rsidRPr="2B1C9FCC">
        <w:t>otolaryngolog</w:t>
      </w:r>
      <w:r w:rsidR="215F42F9" w:rsidRPr="2B1C9FCC">
        <w:t>y head and neck surgeons</w:t>
      </w:r>
      <w:r w:rsidRPr="2B1C9FCC">
        <w:t xml:space="preserve"> and plastic </w:t>
      </w:r>
      <w:r w:rsidR="00395FD6" w:rsidRPr="2B1C9FCC">
        <w:t>surgeons</w:t>
      </w:r>
      <w:r w:rsidR="00395FD6">
        <w:t xml:space="preserve"> and</w:t>
      </w:r>
      <w:r w:rsidRPr="2B1C9FCC">
        <w:t xml:space="preserve"> should include “(anaes)”</w:t>
      </w:r>
      <w:r w:rsidR="0C5A1FDD" w:rsidRPr="2B1C9FCC">
        <w:t xml:space="preserve"> to allow claiming of anaesthesia where required</w:t>
      </w:r>
      <w:r w:rsidRPr="2B1C9FCC">
        <w:t xml:space="preserve">.  </w:t>
      </w:r>
      <w:r w:rsidR="00B07815">
        <w:t xml:space="preserve">MSAC considered </w:t>
      </w:r>
      <w:r w:rsidR="005F4AD3">
        <w:t>t</w:t>
      </w:r>
      <w:r w:rsidR="00D4500D">
        <w:t xml:space="preserve">he restriction to </w:t>
      </w:r>
      <w:r w:rsidR="00FE0BF1" w:rsidRPr="2B1C9FCC">
        <w:t>otolaryngology head and neck surgeons</w:t>
      </w:r>
      <w:r w:rsidR="00D4500D">
        <w:t xml:space="preserve"> and plastic surgeons and the requirement for clinical evidence of need in the patient record should reduce the risk of misuse</w:t>
      </w:r>
      <w:r w:rsidR="00BC120C">
        <w:t xml:space="preserve"> </w:t>
      </w:r>
      <w:r w:rsidR="00F17044">
        <w:t>of the procedure in a broader population who may seek to undergo the procedure for cosmetic reasons</w:t>
      </w:r>
      <w:r w:rsidR="00D4500D">
        <w:t>.</w:t>
      </w:r>
      <w:r w:rsidR="00D4500D" w:rsidRPr="00AD6951">
        <w:t xml:space="preserve"> </w:t>
      </w:r>
      <w:r w:rsidRPr="2B1C9FCC">
        <w:t>MSAC noted that the most common complication following LATERA is implant retrieval/extrusion/migration (9% of patients), and therefore advised the Department that an MBS item number for revision or removal would be required.</w:t>
      </w:r>
    </w:p>
    <w:p w14:paraId="240938BE" w14:textId="6A379FB7" w:rsidR="00B942FA" w:rsidRDefault="00B942FA" w:rsidP="00B942FA">
      <w:r>
        <w:t>MSAC noted the proposed clinical management algorithm. This had been modified from the ratified PICO confirmation to allow patients to receive LATERA either as a second-line intervention after failed conservative management, or as a third-line intervention after failed functional rhinoplasty. MSAC considered that this modification was reasonable</w:t>
      </w:r>
      <w:r w:rsidR="008A2584">
        <w:t xml:space="preserve"> noting that i</w:t>
      </w:r>
      <w:r w:rsidR="002F3C02">
        <w:t>n one of the LATERA studies</w:t>
      </w:r>
      <w:r w:rsidR="002F3C02">
        <w:rPr>
          <w:rStyle w:val="FootnoteReference"/>
        </w:rPr>
        <w:footnoteReference w:id="2"/>
      </w:r>
      <w:r w:rsidR="00364C8F">
        <w:t xml:space="preserve">, 59% of patients had received prior nasal surgery </w:t>
      </w:r>
      <w:r w:rsidR="007559C5">
        <w:t xml:space="preserve">of which 13% had previously </w:t>
      </w:r>
      <w:r w:rsidR="009250B4">
        <w:t>undergone</w:t>
      </w:r>
      <w:r w:rsidR="007559C5">
        <w:t xml:space="preserve"> functional rhinoplasty.</w:t>
      </w:r>
      <w:r>
        <w:t xml:space="preserve"> </w:t>
      </w:r>
    </w:p>
    <w:p w14:paraId="10D2A878" w14:textId="4894101C" w:rsidR="00B942FA" w:rsidRDefault="00B942FA" w:rsidP="005863F4">
      <w:r>
        <w:t xml:space="preserve">MSAC noted the </w:t>
      </w:r>
      <w:r w:rsidR="00CD14BC">
        <w:t>applicant’s</w:t>
      </w:r>
      <w:r>
        <w:t xml:space="preserve"> proposed comparators of functional rhinoplasty (primary) and conservative management (secondary). MSAC noted </w:t>
      </w:r>
      <w:r w:rsidR="00681633">
        <w:t>advice</w:t>
      </w:r>
      <w:r>
        <w:t xml:space="preserve"> from ESC that conservative management was not an appropriate comparator, as patients would be eligible for LATERA only after they had failed conservative management. However, </w:t>
      </w:r>
      <w:r w:rsidR="0018306A">
        <w:t xml:space="preserve">MSAC accepted </w:t>
      </w:r>
      <w:r>
        <w:t>the applicant’s pre-MSAC response that t</w:t>
      </w:r>
      <w:r w:rsidRPr="00E97362">
        <w:t xml:space="preserve">he comparison against </w:t>
      </w:r>
      <w:r>
        <w:t xml:space="preserve">conservative management </w:t>
      </w:r>
      <w:r w:rsidRPr="00E97362">
        <w:t xml:space="preserve">is relevant because not all patients </w:t>
      </w:r>
      <w:r>
        <w:t xml:space="preserve">whose </w:t>
      </w:r>
      <w:r w:rsidRPr="00E97362">
        <w:t xml:space="preserve">symptoms </w:t>
      </w:r>
      <w:r>
        <w:t xml:space="preserve">continue </w:t>
      </w:r>
      <w:r w:rsidRPr="00E97362">
        <w:t xml:space="preserve">despite conservative management </w:t>
      </w:r>
      <w:r w:rsidR="00861930">
        <w:t xml:space="preserve">are able to or </w:t>
      </w:r>
      <w:r w:rsidRPr="00E97362">
        <w:t>will elect to undergo a functional rhinoplasty</w:t>
      </w:r>
      <w:r>
        <w:t xml:space="preserve">. MSAC also noted the advice from ESC that the primary comparator should be restricted to partial rhinoplasty only (MBS item 45632), as the other two rhinoplasty MBS items (45641 and 45644) are for total rhinoplasty that involves </w:t>
      </w:r>
      <w:r w:rsidRPr="0002668B">
        <w:t>correction of all bony and cartilaginous elements of the external nose</w:t>
      </w:r>
      <w:r>
        <w:t xml:space="preserve">. However, the applicant’s pre-MSAC response </w:t>
      </w:r>
      <w:r w:rsidR="00177251">
        <w:t>stated</w:t>
      </w:r>
      <w:r>
        <w:t xml:space="preserve"> that “l</w:t>
      </w:r>
      <w:r w:rsidRPr="00E97362">
        <w:t xml:space="preserve">imiting the comparator to MBS item </w:t>
      </w:r>
      <w:r w:rsidRPr="005863F4">
        <w:t>45632</w:t>
      </w:r>
      <w:r w:rsidRPr="00E97362">
        <w:t xml:space="preserve"> would infer that LATERA is only used for external valve collapse</w:t>
      </w:r>
      <w:r>
        <w:t xml:space="preserve"> (alar rim)</w:t>
      </w:r>
      <w:r w:rsidRPr="00E97362">
        <w:t xml:space="preserve"> for which MBS code </w:t>
      </w:r>
      <w:r w:rsidRPr="00441085">
        <w:t xml:space="preserve">45632 </w:t>
      </w:r>
      <w:r w:rsidRPr="00E97362">
        <w:t xml:space="preserve">is typically used. Neither the TGA </w:t>
      </w:r>
      <w:r w:rsidR="00455FE6">
        <w:t>(</w:t>
      </w:r>
      <w:r>
        <w:t>Therapeutic Goods Administration</w:t>
      </w:r>
      <w:r w:rsidR="00455FE6">
        <w:t>)</w:t>
      </w:r>
      <w:r>
        <w:t xml:space="preserve"> </w:t>
      </w:r>
      <w:r w:rsidRPr="00E97362">
        <w:t>approved indication nor the evidence base for LATERA limits use to alar rim.</w:t>
      </w:r>
      <w:r w:rsidR="005863F4">
        <w:t>”</w:t>
      </w:r>
      <w:r w:rsidRPr="00E97362">
        <w:t xml:space="preserve"> </w:t>
      </w:r>
      <w:r w:rsidR="00FA104F">
        <w:t xml:space="preserve">Hence, the applicant pre-MSAC response claimed </w:t>
      </w:r>
      <w:r w:rsidR="00D1521E">
        <w:t>it was</w:t>
      </w:r>
      <w:r w:rsidRPr="00E97362">
        <w:t xml:space="preserve"> </w:t>
      </w:r>
      <w:r w:rsidRPr="00E97362">
        <w:lastRenderedPageBreak/>
        <w:t xml:space="preserve">incorrect to suggest that all future candidates for LATERA currently receive partial rhinoplasty. </w:t>
      </w:r>
      <w:r w:rsidR="00D11355">
        <w:t>“</w:t>
      </w:r>
      <w:r w:rsidRPr="00E97362">
        <w:t>While correcting the underlying anatomical issues for these patients may not necessarily involve manipulation of bones, they often require grafting of cartilaginous tissues</w:t>
      </w:r>
      <w:r>
        <w:t xml:space="preserve"> (MBS items 45641 and 45644)”. MSAC confirmed that the appropriate primary comparator should include all three</w:t>
      </w:r>
      <w:r>
        <w:rPr>
          <w:lang w:eastAsia="ja-JP"/>
        </w:rPr>
        <w:t xml:space="preserve"> MBS items for functional </w:t>
      </w:r>
      <w:r>
        <w:t xml:space="preserve">rhinoplasty, as stated in the ratified PICO confirmation. </w:t>
      </w:r>
    </w:p>
    <w:p w14:paraId="7C95B618" w14:textId="733AE766" w:rsidR="00B942FA" w:rsidRDefault="00B942FA" w:rsidP="00241D50">
      <w:r>
        <w:t xml:space="preserve">MSAC </w:t>
      </w:r>
      <w:r w:rsidR="00122253">
        <w:t>considered</w:t>
      </w:r>
      <w:r>
        <w:t xml:space="preserve"> the evidence </w:t>
      </w:r>
      <w:r w:rsidR="00BC6214">
        <w:t xml:space="preserve">comparing LATERA with functional rhinoplasty </w:t>
      </w:r>
      <w:r>
        <w:t>were uncertain due to naive indirect comparisons using low-quality evidence with a moderate to high risk of bias</w:t>
      </w:r>
      <w:r w:rsidR="00470050">
        <w:t xml:space="preserve">. However, MSAC noted that </w:t>
      </w:r>
      <w:r w:rsidR="008A1B62">
        <w:t xml:space="preserve">the </w:t>
      </w:r>
      <w:r w:rsidR="00470050">
        <w:t>evidence for functional rhinoplasty (which is the current gold standard) in this population</w:t>
      </w:r>
      <w:r w:rsidR="00BD041B">
        <w:t xml:space="preserve"> was also of low-quality with a moderate to high risk of bias</w:t>
      </w:r>
      <w:r>
        <w:t>. Regarding comparative safety, MSAC considered that LATERA had inferior safety compared with conservative management, and at least non-inferior safety compared with functional rhinoplasty where this is performed without any adjunct procedures. MSAC noted that the long-term safety of LATERA beyond 2 years is unknown. Regarding comparative effectiveness, MSAC noted that the claims of non-inferior effectiveness compared with functional rhinoplasty, and superior effectiveness compared with conservative management, were uncertain. However, MSAC noted that patients showed greater improvements</w:t>
      </w:r>
      <w:r w:rsidR="004952BF">
        <w:t xml:space="preserve"> in </w:t>
      </w:r>
      <w:r w:rsidR="00F427F2">
        <w:t xml:space="preserve">the </w:t>
      </w:r>
      <w:r w:rsidR="00A95A7C">
        <w:t>NOSE score</w:t>
      </w:r>
      <w:r>
        <w:t xml:space="preserve"> </w:t>
      </w:r>
      <w:r w:rsidR="00F427F2">
        <w:t xml:space="preserve">outcome </w:t>
      </w:r>
      <w:r>
        <w:t xml:space="preserve">with LATERA </w:t>
      </w:r>
      <w:r w:rsidR="005863F4">
        <w:t xml:space="preserve">compared with functional rhinoplasty </w:t>
      </w:r>
      <w:r>
        <w:t>at</w:t>
      </w:r>
      <w:r w:rsidR="00241D50">
        <w:t xml:space="preserve"> 12 months and at 24 months</w:t>
      </w:r>
      <w:r>
        <w:t xml:space="preserve">. </w:t>
      </w:r>
    </w:p>
    <w:p w14:paraId="1677A0E5" w14:textId="771468BA" w:rsidR="00B942FA" w:rsidRDefault="00B942FA" w:rsidP="00B942FA">
      <w:r>
        <w:rPr>
          <w:lang w:eastAsia="ja-JP"/>
        </w:rPr>
        <w:t xml:space="preserve">MSAC noted the economic evaluation. The </w:t>
      </w:r>
      <w:r w:rsidR="007C61F1">
        <w:rPr>
          <w:lang w:eastAsia="ja-JP"/>
        </w:rPr>
        <w:t>ADAR</w:t>
      </w:r>
      <w:r w:rsidR="6E3FDED6">
        <w:rPr>
          <w:lang w:eastAsia="ja-JP"/>
        </w:rPr>
        <w:t xml:space="preserve"> </w:t>
      </w:r>
      <w:r>
        <w:rPr>
          <w:lang w:eastAsia="ja-JP"/>
        </w:rPr>
        <w:t xml:space="preserve">presented a cost-minimisation analysis </w:t>
      </w:r>
      <w:r w:rsidR="00FE4DC1">
        <w:rPr>
          <w:lang w:eastAsia="ja-JP"/>
        </w:rPr>
        <w:t xml:space="preserve">that </w:t>
      </w:r>
      <w:r>
        <w:rPr>
          <w:lang w:eastAsia="ja-JP"/>
        </w:rPr>
        <w:t xml:space="preserve">compared </w:t>
      </w:r>
      <w:r w:rsidR="00FE4DC1">
        <w:rPr>
          <w:lang w:eastAsia="ja-JP"/>
        </w:rPr>
        <w:t xml:space="preserve">LATERA </w:t>
      </w:r>
      <w:r>
        <w:rPr>
          <w:lang w:eastAsia="ja-JP"/>
        </w:rPr>
        <w:t xml:space="preserve">with functional rhinoplasty, which demonstrated cost savings for LATERA, including in the sensitivity analyses requested by ESC. MSAC noted the </w:t>
      </w:r>
      <w:r w:rsidR="006E4536">
        <w:rPr>
          <w:lang w:eastAsia="ja-JP"/>
        </w:rPr>
        <w:t xml:space="preserve">pre-MSAC response presented an </w:t>
      </w:r>
      <w:r>
        <w:rPr>
          <w:lang w:eastAsia="ja-JP"/>
        </w:rPr>
        <w:t>additional cost-minimisation analysis with a 2-year time horizon that captured revisions and subsequent surgery</w:t>
      </w:r>
      <w:r w:rsidR="006006FC">
        <w:rPr>
          <w:lang w:eastAsia="ja-JP"/>
        </w:rPr>
        <w:t xml:space="preserve"> (</w:t>
      </w:r>
      <w:r w:rsidR="0069717F">
        <w:rPr>
          <w:lang w:eastAsia="ja-JP"/>
        </w:rPr>
        <w:t xml:space="preserve">presented in </w:t>
      </w:r>
      <w:r w:rsidR="0069717F">
        <w:rPr>
          <w:lang w:eastAsia="ja-JP"/>
        </w:rPr>
        <w:fldChar w:fldCharType="begin"/>
      </w:r>
      <w:r w:rsidR="0069717F">
        <w:rPr>
          <w:lang w:eastAsia="ja-JP"/>
        </w:rPr>
        <w:instrText xml:space="preserve"> REF _Ref129768805 \h </w:instrText>
      </w:r>
      <w:r w:rsidR="0069717F">
        <w:rPr>
          <w:lang w:eastAsia="ja-JP"/>
        </w:rPr>
      </w:r>
      <w:r w:rsidR="0069717F">
        <w:rPr>
          <w:lang w:eastAsia="ja-JP"/>
        </w:rPr>
        <w:fldChar w:fldCharType="separate"/>
      </w:r>
      <w:r w:rsidR="0069717F">
        <w:t xml:space="preserve">Table </w:t>
      </w:r>
      <w:r w:rsidR="0069717F">
        <w:rPr>
          <w:noProof/>
        </w:rPr>
        <w:t>21</w:t>
      </w:r>
      <w:r w:rsidR="0069717F">
        <w:rPr>
          <w:lang w:eastAsia="ja-JP"/>
        </w:rPr>
        <w:fldChar w:fldCharType="end"/>
      </w:r>
      <w:r w:rsidR="0069717F">
        <w:rPr>
          <w:lang w:eastAsia="ja-JP"/>
        </w:rPr>
        <w:t>)</w:t>
      </w:r>
      <w:r>
        <w:rPr>
          <w:lang w:eastAsia="ja-JP"/>
        </w:rPr>
        <w:t>, and this still demonstrated that LATERA resulted in incremental cost savings. MSAC agreed with the pre-MSAC response that an 80% response rate does not equate to a 20% revision rate, as non-response is not synonymous with reintervention</w:t>
      </w:r>
      <w:r w:rsidR="003B0D29">
        <w:rPr>
          <w:lang w:eastAsia="ja-JP"/>
        </w:rPr>
        <w:t>, and is not a valid assumption for analysis</w:t>
      </w:r>
      <w:r>
        <w:rPr>
          <w:lang w:eastAsia="ja-JP"/>
        </w:rPr>
        <w:t xml:space="preserve">. The </w:t>
      </w:r>
      <w:r w:rsidR="00BD197A">
        <w:rPr>
          <w:lang w:eastAsia="ja-JP"/>
        </w:rPr>
        <w:t>ADAR</w:t>
      </w:r>
      <w:r>
        <w:rPr>
          <w:lang w:eastAsia="ja-JP"/>
        </w:rPr>
        <w:t xml:space="preserve"> also presented a cost-utility analysis compared with conservative management. MSAC noted and agreed with the concerns raised by ESC and the commentary, including that this analysis </w:t>
      </w:r>
      <w:r>
        <w:t>assumed the</w:t>
      </w:r>
      <w:r w:rsidRPr="00032675">
        <w:t xml:space="preserve"> comparator</w:t>
      </w:r>
      <w:r>
        <w:t xml:space="preserve"> had zero cost</w:t>
      </w:r>
      <w:r w:rsidRPr="00032675">
        <w:t xml:space="preserve">, </w:t>
      </w:r>
      <w:r>
        <w:t xml:space="preserve">used </w:t>
      </w:r>
      <w:r w:rsidRPr="00032675">
        <w:t>utility values from septorhinoplasty</w:t>
      </w:r>
      <w:r>
        <w:t xml:space="preserve"> with a different population to the LATERA studies</w:t>
      </w:r>
      <w:r w:rsidRPr="00032675">
        <w:t>,</w:t>
      </w:r>
      <w:r>
        <w:t xml:space="preserve"> did not include</w:t>
      </w:r>
      <w:r w:rsidRPr="00032675">
        <w:t xml:space="preserve"> revision rates or safety costs</w:t>
      </w:r>
      <w:r>
        <w:t>, and provided no evidence to support the 5-year time horizon.</w:t>
      </w:r>
    </w:p>
    <w:p w14:paraId="06643382" w14:textId="78353032" w:rsidR="00B942FA" w:rsidRDefault="00B942FA" w:rsidP="00B942FA">
      <w:r>
        <w:t>MSAC noted the</w:t>
      </w:r>
      <w:r w:rsidR="009F404B">
        <w:t xml:space="preserve"> estimated</w:t>
      </w:r>
      <w:r>
        <w:t xml:space="preserve"> financial and budgetary impacts. MSAC considered that the f</w:t>
      </w:r>
      <w:r w:rsidRPr="00B51598">
        <w:t xml:space="preserve">inancial estimates provided </w:t>
      </w:r>
      <w:r>
        <w:t>we</w:t>
      </w:r>
      <w:r w:rsidRPr="00B51598">
        <w:t>re highly uncertain and likely underestimated</w:t>
      </w:r>
      <w:r>
        <w:t>,</w:t>
      </w:r>
      <w:r w:rsidRPr="00B51598">
        <w:t xml:space="preserve"> as</w:t>
      </w:r>
      <w:r>
        <w:t xml:space="preserve"> the e</w:t>
      </w:r>
      <w:r w:rsidRPr="00B51598">
        <w:t xml:space="preserve">stimates </w:t>
      </w:r>
      <w:r>
        <w:t xml:space="preserve">do </w:t>
      </w:r>
      <w:r w:rsidRPr="00B51598">
        <w:t>not include revision or subsequent rhinoplasty</w:t>
      </w:r>
      <w:r>
        <w:t xml:space="preserve">, </w:t>
      </w:r>
      <w:r w:rsidRPr="00B51598">
        <w:t xml:space="preserve">evidence </w:t>
      </w:r>
      <w:r>
        <w:t>to support</w:t>
      </w:r>
      <w:r w:rsidRPr="00B51598">
        <w:t xml:space="preserve"> </w:t>
      </w:r>
      <w:r>
        <w:t xml:space="preserve">the </w:t>
      </w:r>
      <w:r w:rsidRPr="00B51598">
        <w:t>estimated uptake of LATERA</w:t>
      </w:r>
      <w:r>
        <w:t xml:space="preserve">, </w:t>
      </w:r>
      <w:r w:rsidRPr="00B51598">
        <w:t xml:space="preserve">potential use </w:t>
      </w:r>
      <w:r>
        <w:t xml:space="preserve">of LATERA </w:t>
      </w:r>
      <w:r w:rsidRPr="00B51598">
        <w:t xml:space="preserve">beyond </w:t>
      </w:r>
      <w:r>
        <w:t xml:space="preserve">the </w:t>
      </w:r>
      <w:r w:rsidRPr="00B51598">
        <w:t>evidence</w:t>
      </w:r>
      <w:r>
        <w:t xml:space="preserve"> base, or </w:t>
      </w:r>
      <w:r w:rsidRPr="00B51598">
        <w:t>NOSE score severity</w:t>
      </w:r>
      <w:r>
        <w:t>. The rate of bilateral implantation may be an underestimate. MSAC also noted that s</w:t>
      </w:r>
      <w:r w:rsidRPr="00B51598">
        <w:t xml:space="preserve">ensitivity analyses </w:t>
      </w:r>
      <w:r w:rsidR="001261EE">
        <w:t xml:space="preserve">requested by ESC </w:t>
      </w:r>
      <w:r w:rsidRPr="00B51598">
        <w:t xml:space="preserve">indicate </w:t>
      </w:r>
      <w:r>
        <w:t xml:space="preserve">that the </w:t>
      </w:r>
      <w:r w:rsidRPr="00B51598">
        <w:t xml:space="preserve">cost savings reported in </w:t>
      </w:r>
      <w:r>
        <w:t xml:space="preserve">the </w:t>
      </w:r>
      <w:r w:rsidRPr="00B51598">
        <w:t>ADAR may not be realised</w:t>
      </w:r>
      <w:r>
        <w:t xml:space="preserve">. </w:t>
      </w:r>
    </w:p>
    <w:p w14:paraId="4D18AC30" w14:textId="5F0B2178" w:rsidR="00B942FA" w:rsidRDefault="00B942FA" w:rsidP="00B942FA">
      <w:r>
        <w:t xml:space="preserve">MSAC noted that the cost of LATERA appears to be higher than other comparable bioabsorbable implants on the PL, although the pre-MSAC response </w:t>
      </w:r>
      <w:r w:rsidR="00E21C01">
        <w:t xml:space="preserve">argued </w:t>
      </w:r>
      <w:r>
        <w:t xml:space="preserve">that there are no comparable implants on the PL. </w:t>
      </w:r>
      <w:r w:rsidRPr="2B1C9FCC">
        <w:rPr>
          <w:lang w:eastAsia="ja-JP"/>
        </w:rPr>
        <w:t xml:space="preserve">MSAC confirmed that the LATERA procedure should be categorised as type C, as the procedure was designed to be used in consulting rooms. MSAC noted that, if LATERA is listed on the PL, this </w:t>
      </w:r>
      <w:r w:rsidR="46152AD5" w:rsidRPr="2B1C9FCC">
        <w:rPr>
          <w:lang w:eastAsia="ja-JP"/>
        </w:rPr>
        <w:t>may</w:t>
      </w:r>
      <w:r w:rsidRPr="2B1C9FCC">
        <w:rPr>
          <w:lang w:eastAsia="ja-JP"/>
        </w:rPr>
        <w:t xml:space="preserve"> provide a financial incentive to perform the procedure in hospitals. However, MSAC agreed with ESC that </w:t>
      </w:r>
      <w:r>
        <w:t xml:space="preserve">clinical factors, not financial incentives, should be used to determine the appropriate setting for the procedure. It was also noted that type C procedures can be performed in hospital if clinically indicated and with a clinician’s certificate. </w:t>
      </w:r>
    </w:p>
    <w:p w14:paraId="46927C7D" w14:textId="19E80FEE" w:rsidR="00B942FA" w:rsidRDefault="00B942FA" w:rsidP="00B942FA">
      <w:pPr>
        <w:rPr>
          <w:lang w:eastAsia="ja-JP"/>
        </w:rPr>
      </w:pPr>
      <w:r>
        <w:rPr>
          <w:lang w:eastAsia="ja-JP"/>
        </w:rPr>
        <w:t xml:space="preserve">Overall, MSAC considered that LATERA offers patients a minimally invasive alternative to rhinoplasty that is likely to be non-inferior in both safety and effectiveness. There is a clinical need in a small subset of patients who are unable or unwilling to undergo rhinoplasty, or who have failed rhinoplasty. LATERA has inferior safety and probably superior effectiveness compared </w:t>
      </w:r>
      <w:r>
        <w:rPr>
          <w:lang w:eastAsia="ja-JP"/>
        </w:rPr>
        <w:lastRenderedPageBreak/>
        <w:t>with conservative management. The financial impacts are modest. MSAC</w:t>
      </w:r>
      <w:r w:rsidR="007E7A9A">
        <w:rPr>
          <w:lang w:eastAsia="ja-JP"/>
        </w:rPr>
        <w:t xml:space="preserve"> </w:t>
      </w:r>
      <w:r>
        <w:rPr>
          <w:lang w:eastAsia="ja-JP"/>
        </w:rPr>
        <w:t>advised that utilisation of the item should be reviewed after 2 years.</w:t>
      </w:r>
    </w:p>
    <w:p w14:paraId="6710B69D" w14:textId="237763D4" w:rsidR="00772829" w:rsidRDefault="002C5802" w:rsidP="002A18BE">
      <w:pPr>
        <w:pStyle w:val="Heading2"/>
        <w:numPr>
          <w:ilvl w:val="0"/>
          <w:numId w:val="0"/>
        </w:numPr>
      </w:pPr>
      <w:r>
        <w:t>4</w:t>
      </w:r>
      <w:r w:rsidR="00C36633">
        <w:t>.</w:t>
      </w:r>
      <w:r w:rsidR="00C36633">
        <w:tab/>
      </w:r>
      <w:r w:rsidR="00772829" w:rsidRPr="00CE28E3">
        <w:t>Background</w:t>
      </w:r>
      <w:bookmarkEnd w:id="2"/>
    </w:p>
    <w:p w14:paraId="5C0917FF" w14:textId="7F2678A1" w:rsidR="00BE7F74" w:rsidRPr="005C0826" w:rsidRDefault="00BE7F74" w:rsidP="00FB0E96">
      <w:pPr>
        <w:jc w:val="both"/>
      </w:pPr>
      <w:r w:rsidRPr="005C0826">
        <w:t>MSAC has not previously considered LATERA for the treatment of NAO due to LWI.</w:t>
      </w:r>
    </w:p>
    <w:p w14:paraId="6F52500A" w14:textId="6EDC7B94" w:rsidR="00772829" w:rsidRDefault="002C5802" w:rsidP="00AB563A">
      <w:pPr>
        <w:pStyle w:val="Heading2"/>
        <w:numPr>
          <w:ilvl w:val="0"/>
          <w:numId w:val="0"/>
        </w:numPr>
      </w:pPr>
      <w:bookmarkStart w:id="3" w:name="_Toc69491417"/>
      <w:r>
        <w:t>5</w:t>
      </w:r>
      <w:r w:rsidR="00C36633">
        <w:t>.</w:t>
      </w:r>
      <w:r w:rsidR="00C36633">
        <w:tab/>
      </w:r>
      <w:r w:rsidR="00772829" w:rsidRPr="00CE28E3">
        <w:t>Prerequisites to implementation of any funding advice</w:t>
      </w:r>
      <w:bookmarkEnd w:id="3"/>
    </w:p>
    <w:p w14:paraId="007AE7D8" w14:textId="4886C0DD" w:rsidR="00AB0F96" w:rsidRPr="00617386" w:rsidRDefault="00A27D42" w:rsidP="2B1C9FCC">
      <w:pPr>
        <w:pStyle w:val="Instructionaltext"/>
        <w:rPr>
          <w:color w:val="auto"/>
        </w:rPr>
      </w:pPr>
      <w:r w:rsidRPr="2B1C9FCC">
        <w:rPr>
          <w:color w:val="auto"/>
        </w:rPr>
        <w:t xml:space="preserve">The </w:t>
      </w:r>
      <w:r w:rsidR="00534703" w:rsidRPr="2B1C9FCC">
        <w:rPr>
          <w:color w:val="auto"/>
        </w:rPr>
        <w:t xml:space="preserve">LATERA </w:t>
      </w:r>
      <w:r w:rsidRPr="2B1C9FCC">
        <w:rPr>
          <w:color w:val="auto"/>
        </w:rPr>
        <w:t xml:space="preserve">bioabsorbable nasal implant </w:t>
      </w:r>
      <w:r w:rsidR="005A566D" w:rsidRPr="2B1C9FCC">
        <w:rPr>
          <w:color w:val="auto"/>
        </w:rPr>
        <w:t xml:space="preserve">used in the proposed service </w:t>
      </w:r>
      <w:r w:rsidR="00534703" w:rsidRPr="2B1C9FCC">
        <w:rPr>
          <w:color w:val="auto"/>
        </w:rPr>
        <w:t xml:space="preserve">is </w:t>
      </w:r>
      <w:r w:rsidR="4D92516F" w:rsidRPr="2B1C9FCC">
        <w:rPr>
          <w:color w:val="auto"/>
        </w:rPr>
        <w:t>i</w:t>
      </w:r>
      <w:r w:rsidR="00534703" w:rsidRPr="2B1C9FCC">
        <w:rPr>
          <w:color w:val="auto"/>
        </w:rPr>
        <w:t xml:space="preserve">ncluded on the Australian Register of Therapeutic Goods (ARTG) </w:t>
      </w:r>
      <w:r w:rsidR="002041A9" w:rsidRPr="2B1C9FCC">
        <w:rPr>
          <w:color w:val="auto"/>
        </w:rPr>
        <w:t>(</w:t>
      </w:r>
      <w:r w:rsidR="0040656E" w:rsidRPr="2B1C9FCC">
        <w:rPr>
          <w:color w:val="auto"/>
          <w:shd w:val="clear" w:color="auto" w:fill="E6E6E6"/>
        </w:rPr>
        <w:fldChar w:fldCharType="begin"/>
      </w:r>
      <w:r w:rsidR="0040656E" w:rsidRPr="2B1C9FCC">
        <w:rPr>
          <w:color w:val="auto"/>
        </w:rPr>
        <w:instrText xml:space="preserve"> REF _Ref113268466 \h  \* MERGEFORMAT </w:instrText>
      </w:r>
      <w:r w:rsidR="0040656E" w:rsidRPr="2B1C9FCC">
        <w:rPr>
          <w:color w:val="auto"/>
          <w:shd w:val="clear" w:color="auto" w:fill="E6E6E6"/>
        </w:rPr>
      </w:r>
      <w:r w:rsidR="0040656E" w:rsidRPr="2B1C9FCC">
        <w:rPr>
          <w:color w:val="auto"/>
          <w:shd w:val="clear" w:color="auto" w:fill="E6E6E6"/>
        </w:rPr>
        <w:fldChar w:fldCharType="separate"/>
      </w:r>
      <w:r w:rsidR="003511D3" w:rsidRPr="00F57742">
        <w:rPr>
          <w:color w:val="auto"/>
        </w:rPr>
        <w:t xml:space="preserve">Table </w:t>
      </w:r>
      <w:r w:rsidR="003511D3" w:rsidRPr="00F57742">
        <w:rPr>
          <w:noProof/>
          <w:color w:val="auto"/>
        </w:rPr>
        <w:t>1</w:t>
      </w:r>
      <w:r w:rsidR="0040656E" w:rsidRPr="2B1C9FCC">
        <w:rPr>
          <w:color w:val="auto"/>
          <w:shd w:val="clear" w:color="auto" w:fill="E6E6E6"/>
        </w:rPr>
        <w:fldChar w:fldCharType="end"/>
      </w:r>
      <w:r w:rsidR="002041A9" w:rsidRPr="2B1C9FCC">
        <w:rPr>
          <w:color w:val="auto"/>
        </w:rPr>
        <w:t>)</w:t>
      </w:r>
      <w:r w:rsidR="0040656E" w:rsidRPr="2B1C9FCC">
        <w:rPr>
          <w:color w:val="auto"/>
        </w:rPr>
        <w:t>.</w:t>
      </w:r>
    </w:p>
    <w:p w14:paraId="3F03BB12" w14:textId="23663A17" w:rsidR="000E4520" w:rsidRDefault="000E4520" w:rsidP="009044C3">
      <w:pPr>
        <w:pStyle w:val="Caption"/>
      </w:pPr>
      <w:bookmarkStart w:id="4" w:name="_Ref113268466"/>
      <w:bookmarkStart w:id="5" w:name="_Toc115786835"/>
      <w:r>
        <w:t xml:space="preserve">Table </w:t>
      </w:r>
      <w:r>
        <w:fldChar w:fldCharType="begin"/>
      </w:r>
      <w:r>
        <w:instrText>SEQ Table \* ARABIC</w:instrText>
      </w:r>
      <w:r>
        <w:fldChar w:fldCharType="separate"/>
      </w:r>
      <w:r w:rsidR="003511D3">
        <w:rPr>
          <w:noProof/>
        </w:rPr>
        <w:t>1</w:t>
      </w:r>
      <w:r>
        <w:fldChar w:fldCharType="end"/>
      </w:r>
      <w:bookmarkEnd w:id="4"/>
      <w:r>
        <w:tab/>
        <w:t>Bioabsorbable nasal implant listed on the ARTG</w:t>
      </w:r>
      <w:bookmarkEnd w:id="5"/>
    </w:p>
    <w:tbl>
      <w:tblPr>
        <w:tblStyle w:val="TableGrid"/>
        <w:tblW w:w="5095" w:type="pct"/>
        <w:shd w:val="clear" w:color="auto" w:fill="FFFFFF" w:themeFill="background1"/>
        <w:tblLook w:val="04A0" w:firstRow="1" w:lastRow="0" w:firstColumn="1" w:lastColumn="0" w:noHBand="0" w:noVBand="1"/>
      </w:tblPr>
      <w:tblGrid>
        <w:gridCol w:w="1334"/>
        <w:gridCol w:w="2488"/>
        <w:gridCol w:w="3212"/>
        <w:gridCol w:w="2153"/>
      </w:tblGrid>
      <w:tr w:rsidR="009B293C" w:rsidRPr="00DE4E40" w14:paraId="6083BB2A" w14:textId="77777777" w:rsidTr="00AE4565">
        <w:trPr>
          <w:tblHeader/>
        </w:trPr>
        <w:tc>
          <w:tcPr>
            <w:tcW w:w="726" w:type="pct"/>
            <w:shd w:val="clear" w:color="auto" w:fill="FFFFFF" w:themeFill="background1"/>
          </w:tcPr>
          <w:p w14:paraId="793F81A2" w14:textId="77777777" w:rsidR="009B293C" w:rsidRPr="00DE4E40" w:rsidRDefault="009B293C" w:rsidP="00FB2141">
            <w:pPr>
              <w:pStyle w:val="TableHeading"/>
              <w:keepNext w:val="0"/>
              <w:widowControl w:val="0"/>
            </w:pPr>
            <w:r>
              <w:t>Product name &amp; Sponsor</w:t>
            </w:r>
          </w:p>
        </w:tc>
        <w:tc>
          <w:tcPr>
            <w:tcW w:w="1354" w:type="pct"/>
            <w:shd w:val="clear" w:color="auto" w:fill="FFFFFF" w:themeFill="background1"/>
          </w:tcPr>
          <w:p w14:paraId="145D1EA9" w14:textId="77777777" w:rsidR="009B293C" w:rsidRPr="00DE4E40" w:rsidRDefault="009B293C" w:rsidP="00FB2141">
            <w:pPr>
              <w:pStyle w:val="TableHeading"/>
              <w:keepNext w:val="0"/>
              <w:widowControl w:val="0"/>
            </w:pPr>
            <w:r>
              <w:t>ARTG summary</w:t>
            </w:r>
          </w:p>
        </w:tc>
        <w:tc>
          <w:tcPr>
            <w:tcW w:w="1748" w:type="pct"/>
            <w:shd w:val="clear" w:color="auto" w:fill="FFFFFF" w:themeFill="background1"/>
          </w:tcPr>
          <w:p w14:paraId="536E0825" w14:textId="77777777" w:rsidR="009B293C" w:rsidRPr="00DE4E40" w:rsidRDefault="009B293C" w:rsidP="00FB2141">
            <w:pPr>
              <w:pStyle w:val="TableHeading"/>
              <w:keepNext w:val="0"/>
              <w:widowControl w:val="0"/>
            </w:pPr>
            <w:r>
              <w:t>Functional description</w:t>
            </w:r>
          </w:p>
        </w:tc>
        <w:tc>
          <w:tcPr>
            <w:tcW w:w="1172" w:type="pct"/>
            <w:shd w:val="clear" w:color="auto" w:fill="FFFFFF" w:themeFill="background1"/>
          </w:tcPr>
          <w:p w14:paraId="3F3B499C" w14:textId="77777777" w:rsidR="009B293C" w:rsidRPr="00DE4E40" w:rsidRDefault="009B293C" w:rsidP="00FB2141">
            <w:pPr>
              <w:pStyle w:val="TableHeading"/>
              <w:keepNext w:val="0"/>
              <w:widowControl w:val="0"/>
            </w:pPr>
            <w:r>
              <w:t>Intended purpose</w:t>
            </w:r>
          </w:p>
        </w:tc>
      </w:tr>
      <w:tr w:rsidR="009B293C" w14:paraId="36FE8D69" w14:textId="77777777" w:rsidTr="00AE4565">
        <w:tc>
          <w:tcPr>
            <w:tcW w:w="726" w:type="pct"/>
            <w:shd w:val="clear" w:color="auto" w:fill="FFFFFF" w:themeFill="background1"/>
          </w:tcPr>
          <w:p w14:paraId="38B01DC3" w14:textId="77777777" w:rsidR="009B293C" w:rsidRPr="00EA32F5" w:rsidRDefault="009B293C" w:rsidP="00FB2141">
            <w:pPr>
              <w:pStyle w:val="Tabletext0"/>
              <w:widowControl w:val="0"/>
              <w:jc w:val="left"/>
            </w:pPr>
            <w:r w:rsidRPr="00A75D93">
              <w:t>L</w:t>
            </w:r>
            <w:r>
              <w:t>ATERA</w:t>
            </w:r>
            <w:r w:rsidRPr="00A75D93">
              <w:t xml:space="preserve"> Absorbable Nasal Implant Stryker Australia Pty Ltd</w:t>
            </w:r>
          </w:p>
        </w:tc>
        <w:tc>
          <w:tcPr>
            <w:tcW w:w="1354" w:type="pct"/>
            <w:shd w:val="clear" w:color="auto" w:fill="FFFFFF" w:themeFill="background1"/>
          </w:tcPr>
          <w:p w14:paraId="5772A412" w14:textId="77777777" w:rsidR="009B293C" w:rsidRDefault="009B293C" w:rsidP="00FB2141">
            <w:pPr>
              <w:pStyle w:val="Tabletext0"/>
              <w:widowControl w:val="0"/>
              <w:jc w:val="left"/>
            </w:pPr>
            <w:r w:rsidRPr="00EA32F5">
              <w:rPr>
                <w:b/>
                <w:bCs/>
              </w:rPr>
              <w:t>ARTG ID:</w:t>
            </w:r>
            <w:r>
              <w:t xml:space="preserve"> 389271</w:t>
            </w:r>
          </w:p>
          <w:p w14:paraId="640D2565" w14:textId="77777777" w:rsidR="009B293C" w:rsidRDefault="009B293C" w:rsidP="00FB2141">
            <w:pPr>
              <w:pStyle w:val="Tabletext0"/>
              <w:widowControl w:val="0"/>
              <w:jc w:val="left"/>
            </w:pPr>
            <w:r w:rsidRPr="00B31FAB">
              <w:rPr>
                <w:b/>
                <w:bCs/>
              </w:rPr>
              <w:t>Start date</w:t>
            </w:r>
            <w:r>
              <w:t>: 31/05</w:t>
            </w:r>
            <w:r w:rsidRPr="00EA32F5">
              <w:t>/202</w:t>
            </w:r>
            <w:r>
              <w:t>2</w:t>
            </w:r>
          </w:p>
          <w:p w14:paraId="6760923E" w14:textId="77777777" w:rsidR="009B293C" w:rsidRDefault="009B293C" w:rsidP="00FB2141">
            <w:pPr>
              <w:pStyle w:val="Tabletext0"/>
              <w:widowControl w:val="0"/>
              <w:jc w:val="left"/>
            </w:pPr>
            <w:r w:rsidRPr="00B31FAB">
              <w:rPr>
                <w:b/>
                <w:bCs/>
              </w:rPr>
              <w:t>Category</w:t>
            </w:r>
            <w:r>
              <w:t>: Class III</w:t>
            </w:r>
          </w:p>
          <w:p w14:paraId="7ED74CB4" w14:textId="77777777" w:rsidR="009B293C" w:rsidRPr="00EA32F5" w:rsidRDefault="009B293C" w:rsidP="00FB2141">
            <w:pPr>
              <w:pStyle w:val="Tabletext0"/>
              <w:widowControl w:val="0"/>
              <w:jc w:val="left"/>
              <w:rPr>
                <w:b/>
                <w:bCs/>
              </w:rPr>
            </w:pPr>
            <w:r w:rsidRPr="00B31FAB">
              <w:rPr>
                <w:b/>
                <w:bCs/>
              </w:rPr>
              <w:t>GMDN</w:t>
            </w:r>
            <w:r>
              <w:t xml:space="preserve">: </w:t>
            </w:r>
            <w:r w:rsidRPr="00E3524D">
              <w:t>62157 Nasal implant, synthetic polymer, bioabsorbable</w:t>
            </w:r>
          </w:p>
        </w:tc>
        <w:tc>
          <w:tcPr>
            <w:tcW w:w="1748" w:type="pct"/>
            <w:shd w:val="clear" w:color="auto" w:fill="FFFFFF" w:themeFill="background1"/>
          </w:tcPr>
          <w:p w14:paraId="24A6A315" w14:textId="77777777" w:rsidR="009B293C" w:rsidRDefault="009B293C" w:rsidP="00FB2141">
            <w:pPr>
              <w:pStyle w:val="Tabletext0"/>
              <w:widowControl w:val="0"/>
              <w:jc w:val="left"/>
            </w:pPr>
            <w:r w:rsidRPr="00A75D93">
              <w:t>The L</w:t>
            </w:r>
            <w:r>
              <w:t>ATERA</w:t>
            </w:r>
            <w:r w:rsidRPr="00A75D93">
              <w:t xml:space="preserve"> Absorbable Nasal Implant is used as part of the L</w:t>
            </w:r>
            <w:r>
              <w:t>ATERA</w:t>
            </w:r>
            <w:r w:rsidRPr="00A75D93">
              <w:t xml:space="preserve"> Absorbable Nasal Implant </w:t>
            </w:r>
            <w:r>
              <w:t>S</w:t>
            </w:r>
            <w:r w:rsidRPr="00A75D93">
              <w:t xml:space="preserve">ystem where the implant is inserted into the upper and/or lower lateral nasal cartilage using the delivery device to provide support to the cartilage by reinforcing the nasal wall. The </w:t>
            </w:r>
            <w:r>
              <w:t>i</w:t>
            </w:r>
            <w:r w:rsidRPr="00A75D93">
              <w:t>mplant is composed of a polymer. The implant is absorbed by the body over a period of approximately 18 months, during which the implant is replaced with tissue fibres that provide ongoing nasal wall support.</w:t>
            </w:r>
          </w:p>
        </w:tc>
        <w:tc>
          <w:tcPr>
            <w:tcW w:w="1172" w:type="pct"/>
            <w:shd w:val="clear" w:color="auto" w:fill="FFFFFF" w:themeFill="background1"/>
          </w:tcPr>
          <w:p w14:paraId="27CB22B0" w14:textId="77777777" w:rsidR="009B293C" w:rsidRPr="00EA32F5" w:rsidRDefault="009B293C" w:rsidP="00FB2141">
            <w:pPr>
              <w:pStyle w:val="Tabletext0"/>
              <w:widowControl w:val="0"/>
              <w:jc w:val="left"/>
            </w:pPr>
            <w:r w:rsidRPr="00A75D93">
              <w:t>L</w:t>
            </w:r>
            <w:r>
              <w:t>ATERA</w:t>
            </w:r>
            <w:r w:rsidRPr="00A75D93">
              <w:t xml:space="preserve"> Absorbable Nasal Implant is indicated for supporting upper and lower lateral nasal cartilage</w:t>
            </w:r>
          </w:p>
        </w:tc>
      </w:tr>
      <w:tr w:rsidR="009B293C" w14:paraId="0E630358" w14:textId="77777777" w:rsidTr="00AE4565">
        <w:tc>
          <w:tcPr>
            <w:tcW w:w="726" w:type="pct"/>
            <w:shd w:val="clear" w:color="auto" w:fill="FFFFFF" w:themeFill="background1"/>
          </w:tcPr>
          <w:p w14:paraId="5E83B5F5" w14:textId="77777777" w:rsidR="009B293C" w:rsidRDefault="009B293C" w:rsidP="00FB2141">
            <w:pPr>
              <w:pStyle w:val="Tabletext0"/>
              <w:widowControl w:val="0"/>
              <w:jc w:val="left"/>
            </w:pPr>
            <w:r w:rsidRPr="00EA32F5">
              <w:t>Nasal implant introducer</w:t>
            </w:r>
          </w:p>
          <w:p w14:paraId="7DE85669" w14:textId="77777777" w:rsidR="009B293C" w:rsidRPr="00FB1F8D" w:rsidRDefault="009B293C" w:rsidP="00FB2141">
            <w:pPr>
              <w:pStyle w:val="Tabletext0"/>
              <w:widowControl w:val="0"/>
              <w:jc w:val="left"/>
            </w:pPr>
            <w:r w:rsidRPr="00EA32F5">
              <w:t>Stryker Australia Pty Ltd</w:t>
            </w:r>
          </w:p>
        </w:tc>
        <w:tc>
          <w:tcPr>
            <w:tcW w:w="1354" w:type="pct"/>
            <w:shd w:val="clear" w:color="auto" w:fill="FFFFFF" w:themeFill="background1"/>
          </w:tcPr>
          <w:p w14:paraId="5547F540" w14:textId="77777777" w:rsidR="009B293C" w:rsidRDefault="009B293C" w:rsidP="00FB2141">
            <w:pPr>
              <w:pStyle w:val="Tabletext0"/>
              <w:widowControl w:val="0"/>
              <w:jc w:val="left"/>
            </w:pPr>
            <w:r w:rsidRPr="00EA32F5">
              <w:rPr>
                <w:b/>
                <w:bCs/>
              </w:rPr>
              <w:t>ARTG ID:</w:t>
            </w:r>
            <w:r>
              <w:t xml:space="preserve"> </w:t>
            </w:r>
            <w:r w:rsidRPr="00DA260A">
              <w:t>346524</w:t>
            </w:r>
          </w:p>
          <w:p w14:paraId="449882DF" w14:textId="77777777" w:rsidR="009B293C" w:rsidRDefault="009B293C" w:rsidP="00FB2141">
            <w:pPr>
              <w:pStyle w:val="Tabletext0"/>
              <w:widowControl w:val="0"/>
              <w:jc w:val="left"/>
            </w:pPr>
            <w:r w:rsidRPr="00B31FAB">
              <w:rPr>
                <w:b/>
                <w:bCs/>
              </w:rPr>
              <w:t>Start date</w:t>
            </w:r>
            <w:r>
              <w:t xml:space="preserve">: </w:t>
            </w:r>
            <w:r w:rsidRPr="00EA32F5">
              <w:t>23/10/2020</w:t>
            </w:r>
          </w:p>
          <w:p w14:paraId="29E1910F" w14:textId="77777777" w:rsidR="009B293C" w:rsidRDefault="009B293C" w:rsidP="00FB2141">
            <w:pPr>
              <w:pStyle w:val="Tabletext0"/>
              <w:widowControl w:val="0"/>
              <w:jc w:val="left"/>
            </w:pPr>
            <w:r w:rsidRPr="00B31FAB">
              <w:rPr>
                <w:b/>
                <w:bCs/>
              </w:rPr>
              <w:t>Category</w:t>
            </w:r>
            <w:r>
              <w:t>: Class IIa</w:t>
            </w:r>
          </w:p>
          <w:p w14:paraId="4D86C371" w14:textId="77777777" w:rsidR="009B293C" w:rsidRPr="00B31FAB" w:rsidRDefault="009B293C" w:rsidP="00FB2141">
            <w:pPr>
              <w:pStyle w:val="Tabletext0"/>
              <w:widowControl w:val="0"/>
              <w:jc w:val="left"/>
              <w:rPr>
                <w:b/>
                <w:bCs/>
              </w:rPr>
            </w:pPr>
            <w:r w:rsidRPr="00B31FAB">
              <w:rPr>
                <w:b/>
                <w:bCs/>
              </w:rPr>
              <w:t>GMDN</w:t>
            </w:r>
            <w:r>
              <w:t xml:space="preserve">: </w:t>
            </w:r>
            <w:r w:rsidRPr="00EA32F5">
              <w:t>62156 Nasal implant introducer</w:t>
            </w:r>
          </w:p>
        </w:tc>
        <w:tc>
          <w:tcPr>
            <w:tcW w:w="1748" w:type="pct"/>
            <w:shd w:val="clear" w:color="auto" w:fill="FFFFFF" w:themeFill="background1"/>
          </w:tcPr>
          <w:p w14:paraId="46049B78" w14:textId="77777777" w:rsidR="009B293C" w:rsidRDefault="009B293C" w:rsidP="00FB2141">
            <w:pPr>
              <w:pStyle w:val="Tabletext0"/>
              <w:widowControl w:val="0"/>
              <w:jc w:val="left"/>
            </w:pPr>
            <w:r>
              <w:t>–</w:t>
            </w:r>
          </w:p>
        </w:tc>
        <w:tc>
          <w:tcPr>
            <w:tcW w:w="1172" w:type="pct"/>
            <w:shd w:val="clear" w:color="auto" w:fill="FFFFFF" w:themeFill="background1"/>
          </w:tcPr>
          <w:p w14:paraId="39CD2722" w14:textId="77777777" w:rsidR="009B293C" w:rsidRDefault="009B293C" w:rsidP="00FB2141">
            <w:pPr>
              <w:pStyle w:val="Tabletext0"/>
              <w:widowControl w:val="0"/>
              <w:jc w:val="left"/>
            </w:pPr>
            <w:r w:rsidRPr="00EA32F5">
              <w:t>Intended to aid in the surgical implantation of the nasal implant.</w:t>
            </w:r>
          </w:p>
        </w:tc>
      </w:tr>
    </w:tbl>
    <w:p w14:paraId="13E271D0" w14:textId="77777777" w:rsidR="009B607B" w:rsidRDefault="009B607B" w:rsidP="009B607B">
      <w:pPr>
        <w:pStyle w:val="TableNote"/>
      </w:pPr>
      <w:r>
        <w:t xml:space="preserve">Source: Table 1, pg 20-21 of </w:t>
      </w:r>
      <w:r w:rsidRPr="003561F4">
        <w:t>MSAC 1719</w:t>
      </w:r>
      <w:r>
        <w:t xml:space="preserve"> ADAR </w:t>
      </w:r>
    </w:p>
    <w:p w14:paraId="3F4FFA44" w14:textId="7BCA1DB4" w:rsidR="00FD20A8" w:rsidRDefault="00A74554" w:rsidP="00AE4565">
      <w:pPr>
        <w:pStyle w:val="TableNote"/>
      </w:pPr>
      <w:r>
        <w:t xml:space="preserve">Abbreviations: </w:t>
      </w:r>
      <w:r w:rsidRPr="00A74554">
        <w:t>ARTG ID</w:t>
      </w:r>
      <w:r>
        <w:t>=</w:t>
      </w:r>
      <w:r w:rsidR="00BA142F" w:rsidRPr="00BA142F">
        <w:t xml:space="preserve"> Australian Register of Therapeutic Goods </w:t>
      </w:r>
      <w:r w:rsidR="00BA142F">
        <w:t xml:space="preserve">identification; </w:t>
      </w:r>
      <w:r>
        <w:t>GM</w:t>
      </w:r>
      <w:r w:rsidR="00BA142F">
        <w:t>DN=</w:t>
      </w:r>
      <w:r w:rsidR="00705445" w:rsidRPr="00705445">
        <w:t xml:space="preserve"> Global Medical Device Nomenclature</w:t>
      </w:r>
    </w:p>
    <w:p w14:paraId="44C3B242" w14:textId="3E450A5B" w:rsidR="00772829" w:rsidRDefault="002C5802" w:rsidP="002A18BE">
      <w:pPr>
        <w:pStyle w:val="Heading2"/>
        <w:numPr>
          <w:ilvl w:val="0"/>
          <w:numId w:val="0"/>
        </w:numPr>
      </w:pPr>
      <w:bookmarkStart w:id="6" w:name="_Toc69491418"/>
      <w:r>
        <w:t>6</w:t>
      </w:r>
      <w:r w:rsidR="00C36633">
        <w:t>.</w:t>
      </w:r>
      <w:r w:rsidR="00C36633">
        <w:tab/>
      </w:r>
      <w:r w:rsidR="00772829" w:rsidRPr="00CE28E3">
        <w:t>Proposal for public funding</w:t>
      </w:r>
      <w:bookmarkEnd w:id="6"/>
    </w:p>
    <w:p w14:paraId="264B0949" w14:textId="7F593A5F" w:rsidR="00EE0600" w:rsidRPr="006A5A00" w:rsidRDefault="004E3D4B" w:rsidP="00FB0E96">
      <w:pPr>
        <w:rPr>
          <w:rFonts w:cstheme="minorHAnsi"/>
        </w:rPr>
      </w:pPr>
      <w:r>
        <w:rPr>
          <w:rFonts w:cstheme="minorHAnsi"/>
        </w:rPr>
        <w:t>The</w:t>
      </w:r>
      <w:r w:rsidR="00DF64A7">
        <w:rPr>
          <w:rFonts w:cstheme="minorHAnsi"/>
        </w:rPr>
        <w:t xml:space="preserve"> ADAR proposed</w:t>
      </w:r>
      <w:r>
        <w:rPr>
          <w:rFonts w:cstheme="minorHAnsi"/>
        </w:rPr>
        <w:t xml:space="preserve"> </w:t>
      </w:r>
      <w:r w:rsidR="00E87960" w:rsidRPr="00E31445">
        <w:rPr>
          <w:rFonts w:cstheme="minorHAnsi"/>
        </w:rPr>
        <w:t xml:space="preserve">MBS item descriptors for </w:t>
      </w:r>
      <w:r w:rsidR="00CD7730" w:rsidRPr="00E31445">
        <w:rPr>
          <w:rFonts w:cstheme="minorHAnsi"/>
        </w:rPr>
        <w:t xml:space="preserve">the </w:t>
      </w:r>
      <w:r w:rsidR="00DF64A7">
        <w:rPr>
          <w:rFonts w:cstheme="minorHAnsi"/>
        </w:rPr>
        <w:t>unilateral and bilateral insertion of bioabsorbable implants for NAO due to LWI</w:t>
      </w:r>
      <w:r w:rsidR="00CD7730" w:rsidRPr="00E31445">
        <w:rPr>
          <w:rFonts w:cstheme="minorHAnsi"/>
        </w:rPr>
        <w:t xml:space="preserve">, </w:t>
      </w:r>
      <w:r>
        <w:rPr>
          <w:rFonts w:cstheme="minorHAnsi"/>
        </w:rPr>
        <w:t xml:space="preserve">are presented below. </w:t>
      </w:r>
      <w:r w:rsidR="002B0A84">
        <w:rPr>
          <w:rFonts w:cstheme="minorHAnsi"/>
        </w:rPr>
        <w:t>Modifications suggested by t</w:t>
      </w:r>
      <w:r>
        <w:rPr>
          <w:rFonts w:cstheme="minorHAnsi"/>
        </w:rPr>
        <w:t xml:space="preserve">he </w:t>
      </w:r>
      <w:r w:rsidR="00C81ABF">
        <w:rPr>
          <w:rFonts w:cstheme="minorHAnsi"/>
        </w:rPr>
        <w:t>c</w:t>
      </w:r>
      <w:r>
        <w:rPr>
          <w:rFonts w:cstheme="minorHAnsi"/>
        </w:rPr>
        <w:t>ommentary are included in italics.</w:t>
      </w:r>
      <w:r w:rsidR="007B3648" w:rsidRPr="006A5A00">
        <w:rPr>
          <w:rFonts w:cstheme="minorHAnsi"/>
        </w:rPr>
        <w:t xml:space="preserve"> </w:t>
      </w:r>
    </w:p>
    <w:p w14:paraId="4639A4DA" w14:textId="60C69627" w:rsidR="00C57321" w:rsidRDefault="00C57321" w:rsidP="00C57321">
      <w:pPr>
        <w:pStyle w:val="Caption"/>
      </w:pPr>
      <w:bookmarkStart w:id="7" w:name="_Ref123826257"/>
      <w:bookmarkStart w:id="8" w:name="_Ref117794389"/>
      <w:r>
        <w:lastRenderedPageBreak/>
        <w:t xml:space="preserve">Table </w:t>
      </w:r>
      <w:r>
        <w:fldChar w:fldCharType="begin"/>
      </w:r>
      <w:r>
        <w:instrText>SEQ Table \* ARABIC</w:instrText>
      </w:r>
      <w:r>
        <w:fldChar w:fldCharType="separate"/>
      </w:r>
      <w:r w:rsidR="003511D3">
        <w:rPr>
          <w:noProof/>
        </w:rPr>
        <w:t>2</w:t>
      </w:r>
      <w:r>
        <w:fldChar w:fldCharType="end"/>
      </w:r>
      <w:bookmarkEnd w:id="7"/>
      <w:r>
        <w:rPr>
          <w:noProof/>
        </w:rPr>
        <w:tab/>
      </w:r>
      <w:r w:rsidR="006E1EB5">
        <w:t>P</w:t>
      </w:r>
      <w:r w:rsidRPr="007F6674">
        <w:t xml:space="preserve">roposed item descriptor for the insertion of </w:t>
      </w:r>
      <w:r>
        <w:t xml:space="preserve">one </w:t>
      </w:r>
      <w:r w:rsidRPr="007F6674">
        <w:t>bioabsorbable nasal implant</w:t>
      </w:r>
      <w:r w:rsidR="006E1EB5">
        <w:t xml:space="preserve"> modified by </w:t>
      </w:r>
      <w:r w:rsidR="00C81ABF">
        <w:t>the c</w:t>
      </w:r>
      <w:r w:rsidR="006E1EB5">
        <w:t>ommentary</w:t>
      </w:r>
    </w:p>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Caption w:val="Proposed item descriptor for diagnostic testing"/>
        <w:tblDescription w:val="Proposed item descriptor for diagnostic testing"/>
      </w:tblPr>
      <w:tblGrid>
        <w:gridCol w:w="9016"/>
      </w:tblGrid>
      <w:tr w:rsidR="00C57321" w:rsidRPr="00494249" w14:paraId="4C2F22F9" w14:textId="77777777" w:rsidTr="00AE4565">
        <w:trPr>
          <w:cantSplit/>
          <w:trHeight w:val="350"/>
          <w:tblHeader/>
        </w:trPr>
        <w:tc>
          <w:tcPr>
            <w:tcW w:w="9016" w:type="dxa"/>
            <w:tcBorders>
              <w:top w:val="single" w:sz="4" w:space="0" w:color="auto"/>
              <w:bottom w:val="single" w:sz="4" w:space="0" w:color="auto"/>
            </w:tcBorders>
          </w:tcPr>
          <w:p w14:paraId="2C7629D2" w14:textId="77777777" w:rsidR="00C57321" w:rsidRPr="00494249" w:rsidRDefault="00C57321" w:rsidP="00744F46">
            <w:pPr>
              <w:pStyle w:val="TableText"/>
            </w:pPr>
            <w:r w:rsidRPr="00494249">
              <w:t>Category 3 – THERAPEUTIC PROCEDURES</w:t>
            </w:r>
          </w:p>
        </w:tc>
      </w:tr>
      <w:tr w:rsidR="00C57321" w:rsidRPr="00494249" w14:paraId="149150EC" w14:textId="77777777" w:rsidTr="00AE4565">
        <w:trPr>
          <w:cantSplit/>
          <w:tblHeader/>
        </w:trPr>
        <w:tc>
          <w:tcPr>
            <w:tcW w:w="9016" w:type="dxa"/>
            <w:tcBorders>
              <w:top w:val="single" w:sz="4" w:space="0" w:color="auto"/>
            </w:tcBorders>
          </w:tcPr>
          <w:p w14:paraId="475D8173" w14:textId="77777777" w:rsidR="00C57321" w:rsidRPr="00AE4565" w:rsidRDefault="00C57321" w:rsidP="00744F46">
            <w:pPr>
              <w:spacing w:after="120"/>
              <w:rPr>
                <w:rFonts w:ascii="Arial Narrow" w:hAnsi="Arial Narrow"/>
                <w:b/>
                <w:bCs/>
                <w:szCs w:val="20"/>
                <w:lang w:val="en-US" w:eastAsia="ja-JP"/>
              </w:rPr>
            </w:pPr>
            <w:r w:rsidRPr="00AE4565">
              <w:rPr>
                <w:rFonts w:ascii="Arial Narrow" w:hAnsi="Arial Narrow"/>
                <w:b/>
                <w:bCs/>
                <w:sz w:val="20"/>
                <w:szCs w:val="20"/>
                <w:lang w:val="en-US" w:eastAsia="ja-JP"/>
              </w:rPr>
              <w:t>MBS item XXXX</w:t>
            </w:r>
          </w:p>
          <w:p w14:paraId="693BEE32" w14:textId="273ABACA" w:rsidR="00C57321" w:rsidRPr="00DF64A7" w:rsidRDefault="00C57321" w:rsidP="00744F46">
            <w:pPr>
              <w:spacing w:after="120"/>
              <w:rPr>
                <w:rFonts w:ascii="Arial Narrow" w:hAnsi="Arial Narrow"/>
                <w:i/>
                <w:iCs/>
                <w:sz w:val="20"/>
                <w:szCs w:val="20"/>
                <w:lang w:val="en-US" w:eastAsia="ja-JP"/>
              </w:rPr>
            </w:pPr>
            <w:r w:rsidRPr="00494249">
              <w:rPr>
                <w:rFonts w:ascii="Arial Narrow" w:hAnsi="Arial Narrow"/>
                <w:sz w:val="20"/>
                <w:szCs w:val="20"/>
                <w:lang w:val="en-US" w:eastAsia="ja-JP"/>
              </w:rPr>
              <w:t xml:space="preserve">Unilateral insertion of bioabsorbable implant for nasal airway obstruction due to lateral wall insufficiency confirmed by positive modified Cottle manoeuvre and the patient has a self-reported NOSE scale score of greater than </w:t>
            </w:r>
            <w:r w:rsidRPr="008F1775">
              <w:rPr>
                <w:rFonts w:ascii="Arial Narrow" w:hAnsi="Arial Narrow"/>
                <w:i/>
                <w:iCs/>
                <w:strike/>
                <w:sz w:val="20"/>
                <w:szCs w:val="20"/>
                <w:lang w:val="en-US" w:eastAsia="ja-JP"/>
              </w:rPr>
              <w:t xml:space="preserve">45 </w:t>
            </w:r>
            <w:r w:rsidR="00146BB0">
              <w:rPr>
                <w:rFonts w:ascii="Arial Narrow" w:hAnsi="Arial Narrow"/>
                <w:i/>
                <w:iCs/>
                <w:strike/>
                <w:sz w:val="20"/>
                <w:szCs w:val="20"/>
                <w:lang w:val="en-US" w:eastAsia="ja-JP"/>
              </w:rPr>
              <w:t xml:space="preserve"> </w:t>
            </w:r>
            <w:r w:rsidR="00146BB0" w:rsidRPr="00146BB0">
              <w:rPr>
                <w:rFonts w:ascii="Arial Narrow" w:hAnsi="Arial Narrow"/>
                <w:i/>
                <w:iCs/>
                <w:sz w:val="20"/>
                <w:szCs w:val="20"/>
                <w:lang w:val="en-US" w:eastAsia="ja-JP"/>
              </w:rPr>
              <w:t>or equal to</w:t>
            </w:r>
            <w:r w:rsidR="00146BB0">
              <w:rPr>
                <w:rFonts w:ascii="Arial Narrow" w:hAnsi="Arial Narrow"/>
                <w:i/>
                <w:iCs/>
                <w:strike/>
                <w:sz w:val="20"/>
                <w:szCs w:val="20"/>
                <w:lang w:val="en-US" w:eastAsia="ja-JP"/>
              </w:rPr>
              <w:t xml:space="preserve"> </w:t>
            </w:r>
            <w:r w:rsidRPr="00AE4565">
              <w:rPr>
                <w:rFonts w:ascii="Arial Narrow" w:hAnsi="Arial Narrow"/>
                <w:i/>
                <w:iCs/>
                <w:sz w:val="20"/>
                <w:szCs w:val="20"/>
                <w:lang w:val="en-US" w:eastAsia="ja-JP"/>
              </w:rPr>
              <w:t xml:space="preserve">55 </w:t>
            </w:r>
            <w:r w:rsidRPr="00AE4565">
              <w:rPr>
                <w:rFonts w:ascii="Arial Narrow" w:hAnsi="Arial Narrow"/>
                <w:i/>
                <w:sz w:val="20"/>
                <w:lang w:val="en-US"/>
              </w:rPr>
              <w:t xml:space="preserve">if: </w:t>
            </w:r>
          </w:p>
          <w:p w14:paraId="3B2DD0B3" w14:textId="77777777" w:rsidR="00C57321" w:rsidRPr="00AE4565" w:rsidRDefault="00C57321" w:rsidP="00AE4565">
            <w:pPr>
              <w:numPr>
                <w:ilvl w:val="4"/>
                <w:numId w:val="1"/>
              </w:numPr>
              <w:spacing w:after="120" w:line="259" w:lineRule="auto"/>
              <w:ind w:left="447"/>
              <w:contextualSpacing/>
              <w:rPr>
                <w:rFonts w:ascii="Arial Narrow" w:hAnsi="Arial Narrow"/>
                <w:i/>
                <w:sz w:val="20"/>
                <w:lang w:val="en-US"/>
              </w:rPr>
            </w:pPr>
            <w:r w:rsidRPr="00AE4565">
              <w:rPr>
                <w:rFonts w:ascii="Arial Narrow" w:hAnsi="Arial Narrow"/>
                <w:i/>
                <w:sz w:val="20"/>
                <w:lang w:val="en-US"/>
              </w:rPr>
              <w:t>the indicated surgery is:</w:t>
            </w:r>
          </w:p>
          <w:p w14:paraId="1397AFA3" w14:textId="3C49DCF6" w:rsidR="004E3D4B" w:rsidRPr="00AE4565" w:rsidRDefault="00C57321" w:rsidP="00AE4565">
            <w:pPr>
              <w:pStyle w:val="ListParagraph"/>
              <w:numPr>
                <w:ilvl w:val="5"/>
                <w:numId w:val="1"/>
              </w:numPr>
              <w:spacing w:after="120"/>
              <w:ind w:left="873"/>
              <w:rPr>
                <w:rFonts w:ascii="Arial Narrow" w:hAnsi="Arial Narrow"/>
                <w:i/>
                <w:sz w:val="20"/>
                <w:lang w:val="en-US"/>
              </w:rPr>
            </w:pPr>
            <w:r w:rsidRPr="00AE4565">
              <w:rPr>
                <w:rFonts w:ascii="Arial Narrow" w:hAnsi="Arial Narrow"/>
                <w:i/>
                <w:sz w:val="20"/>
                <w:lang w:val="en-US"/>
              </w:rPr>
              <w:t>Provided by otolaryngologist and specialist plastic surgeons, who have undergone the Australian Medical Council (AMC) accredited training program</w:t>
            </w:r>
          </w:p>
          <w:p w14:paraId="5787ECB9" w14:textId="7810E5F1" w:rsidR="00C57321" w:rsidRPr="003F7A2C" w:rsidRDefault="00C57321" w:rsidP="003F7A2C">
            <w:pPr>
              <w:pStyle w:val="ListParagraph"/>
              <w:numPr>
                <w:ilvl w:val="5"/>
                <w:numId w:val="1"/>
              </w:numPr>
              <w:spacing w:after="120"/>
              <w:ind w:left="873"/>
              <w:rPr>
                <w:rFonts w:ascii="Arial Narrow" w:hAnsi="Arial Narrow"/>
                <w:i/>
                <w:sz w:val="20"/>
                <w:lang w:val="en-US"/>
              </w:rPr>
            </w:pPr>
            <w:r w:rsidRPr="00AE4565">
              <w:t xml:space="preserve"> </w:t>
            </w:r>
            <w:r w:rsidRPr="00AE4565">
              <w:rPr>
                <w:rFonts w:ascii="Arial Narrow" w:hAnsi="Arial Narrow"/>
                <w:i/>
                <w:sz w:val="20"/>
                <w:lang w:val="en-US"/>
              </w:rPr>
              <w:t>photographic and/or NOSE scale evidence demonstrating the clinical need for this service is documented in the patient notes</w:t>
            </w:r>
            <w:r w:rsidR="00B75D6B">
              <w:rPr>
                <w:rFonts w:ascii="Arial Narrow" w:hAnsi="Arial Narrow"/>
                <w:i/>
                <w:sz w:val="20"/>
                <w:lang w:val="en-US"/>
              </w:rPr>
              <w:t>.</w:t>
            </w:r>
            <w:r w:rsidRPr="00AE4565">
              <w:rPr>
                <w:rFonts w:ascii="Arial Narrow" w:hAnsi="Arial Narrow"/>
                <w:i/>
                <w:sz w:val="20"/>
                <w:lang w:val="en-US"/>
              </w:rPr>
              <w:t xml:space="preserve"> </w:t>
            </w:r>
          </w:p>
        </w:tc>
      </w:tr>
      <w:tr w:rsidR="00C57321" w:rsidRPr="00494249" w14:paraId="3E1BD090" w14:textId="77777777" w:rsidTr="00AE4565">
        <w:trPr>
          <w:cantSplit/>
          <w:trHeight w:val="223"/>
          <w:tblHeader/>
        </w:trPr>
        <w:tc>
          <w:tcPr>
            <w:tcW w:w="9016" w:type="dxa"/>
          </w:tcPr>
          <w:p w14:paraId="25DA2DCD" w14:textId="77777777" w:rsidR="00C57321" w:rsidRPr="00494249" w:rsidRDefault="00C57321" w:rsidP="00744F46">
            <w:pPr>
              <w:pStyle w:val="TableText"/>
              <w:rPr>
                <w:snapToGrid w:val="0"/>
                <w:szCs w:val="20"/>
              </w:rPr>
            </w:pPr>
            <w:r w:rsidRPr="00494249">
              <w:rPr>
                <w:szCs w:val="20"/>
              </w:rPr>
              <w:t>Fee: $198.95 Benefit: 75% = $149.20; 85% = $169.10</w:t>
            </w:r>
          </w:p>
        </w:tc>
      </w:tr>
      <w:tr w:rsidR="00C57321" w:rsidRPr="00494249" w14:paraId="44B832DF" w14:textId="77777777" w:rsidTr="00AE4565">
        <w:tblPrEx>
          <w:tblBorders>
            <w:bottom w:val="single" w:sz="4" w:space="0" w:color="auto"/>
            <w:insideV w:val="single" w:sz="4" w:space="0" w:color="auto"/>
          </w:tblBorders>
        </w:tblPrEx>
        <w:trPr>
          <w:cantSplit/>
          <w:tblHeader/>
        </w:trPr>
        <w:tc>
          <w:tcPr>
            <w:tcW w:w="9016" w:type="dxa"/>
          </w:tcPr>
          <w:p w14:paraId="4863CBA8" w14:textId="77777777" w:rsidR="00C57321" w:rsidRPr="00AE4565" w:rsidRDefault="00C57321" w:rsidP="00744F46">
            <w:pPr>
              <w:spacing w:after="120"/>
              <w:rPr>
                <w:rFonts w:ascii="Arial Narrow" w:hAnsi="Arial Narrow"/>
                <w:b/>
                <w:bCs/>
                <w:szCs w:val="20"/>
                <w:lang w:val="en-US" w:eastAsia="ja-JP"/>
              </w:rPr>
            </w:pPr>
            <w:r w:rsidRPr="00AE4565">
              <w:rPr>
                <w:rFonts w:ascii="Arial Narrow" w:hAnsi="Arial Narrow"/>
                <w:b/>
                <w:bCs/>
                <w:sz w:val="20"/>
                <w:szCs w:val="20"/>
                <w:lang w:val="en-US" w:eastAsia="ja-JP"/>
              </w:rPr>
              <w:t>MBS item XXXX</w:t>
            </w:r>
          </w:p>
          <w:p w14:paraId="3788D934" w14:textId="7F566FEC" w:rsidR="00C57321" w:rsidRPr="00AE4565" w:rsidRDefault="00C57321" w:rsidP="00744F46">
            <w:pPr>
              <w:spacing w:after="120"/>
              <w:rPr>
                <w:rFonts w:ascii="Arial Narrow" w:hAnsi="Arial Narrow"/>
                <w:sz w:val="20"/>
                <w:szCs w:val="20"/>
                <w:lang w:val="en-US" w:eastAsia="ja-JP"/>
              </w:rPr>
            </w:pPr>
            <w:r w:rsidRPr="00AE4565">
              <w:rPr>
                <w:rFonts w:ascii="Arial Narrow" w:hAnsi="Arial Narrow"/>
                <w:sz w:val="20"/>
                <w:szCs w:val="20"/>
                <w:lang w:val="en-US" w:eastAsia="ja-JP"/>
              </w:rPr>
              <w:t>Bi</w:t>
            </w:r>
            <w:r w:rsidRPr="008F1775">
              <w:rPr>
                <w:rFonts w:ascii="Arial Narrow" w:hAnsi="Arial Narrow"/>
                <w:sz w:val="20"/>
                <w:szCs w:val="20"/>
                <w:lang w:val="en-US" w:eastAsia="ja-JP"/>
              </w:rPr>
              <w:t>lat</w:t>
            </w:r>
            <w:r w:rsidRPr="00494249">
              <w:rPr>
                <w:rFonts w:ascii="Arial Narrow" w:hAnsi="Arial Narrow"/>
                <w:sz w:val="20"/>
                <w:szCs w:val="20"/>
                <w:lang w:val="en-US" w:eastAsia="ja-JP"/>
              </w:rPr>
              <w:t xml:space="preserve">eral insertion of bioabsorbable implant for nasal airway obstruction due to lateral wall insufficiency confirmed by positive modified Cottle manoeuvre and the patient has a self-reported NOSE scale score of greater than </w:t>
            </w:r>
            <w:r w:rsidRPr="008F1775">
              <w:rPr>
                <w:rFonts w:ascii="Arial Narrow" w:hAnsi="Arial Narrow"/>
                <w:i/>
                <w:iCs/>
                <w:strike/>
                <w:sz w:val="20"/>
                <w:szCs w:val="20"/>
                <w:lang w:val="en-US" w:eastAsia="ja-JP"/>
              </w:rPr>
              <w:t>45</w:t>
            </w:r>
            <w:r w:rsidR="0038587A" w:rsidRPr="00AE4565">
              <w:rPr>
                <w:rFonts w:ascii="Arial Narrow" w:hAnsi="Arial Narrow"/>
                <w:i/>
                <w:iCs/>
                <w:sz w:val="20"/>
                <w:szCs w:val="20"/>
                <w:lang w:val="en-US" w:eastAsia="ja-JP"/>
              </w:rPr>
              <w:t>or equal to</w:t>
            </w:r>
            <w:r w:rsidRPr="00AE4565">
              <w:rPr>
                <w:rFonts w:ascii="Arial Narrow" w:hAnsi="Arial Narrow"/>
                <w:i/>
                <w:sz w:val="20"/>
                <w:szCs w:val="20"/>
                <w:lang w:val="en-US" w:eastAsia="ja-JP"/>
              </w:rPr>
              <w:t xml:space="preserve"> </w:t>
            </w:r>
            <w:r w:rsidRPr="00AE4565">
              <w:rPr>
                <w:rFonts w:ascii="Arial Narrow" w:hAnsi="Arial Narrow"/>
                <w:i/>
                <w:iCs/>
                <w:sz w:val="20"/>
                <w:szCs w:val="20"/>
                <w:lang w:val="en-US" w:eastAsia="ja-JP"/>
              </w:rPr>
              <w:t>55)</w:t>
            </w:r>
            <w:r w:rsidRPr="00AE4565">
              <w:rPr>
                <w:rFonts w:ascii="Arial Narrow" w:hAnsi="Arial Narrow"/>
                <w:i/>
                <w:sz w:val="20"/>
                <w:lang w:val="en-US"/>
              </w:rPr>
              <w:t xml:space="preserve"> if:</w:t>
            </w:r>
            <w:r w:rsidRPr="00AE4565">
              <w:rPr>
                <w:rFonts w:ascii="Arial Narrow" w:hAnsi="Arial Narrow"/>
                <w:sz w:val="20"/>
                <w:lang w:val="en-US"/>
              </w:rPr>
              <w:t xml:space="preserve"> </w:t>
            </w:r>
          </w:p>
          <w:p w14:paraId="18016C52" w14:textId="77777777" w:rsidR="00C57321" w:rsidRPr="00AE4565" w:rsidRDefault="00C57321" w:rsidP="00AE4565">
            <w:pPr>
              <w:numPr>
                <w:ilvl w:val="4"/>
                <w:numId w:val="23"/>
              </w:numPr>
              <w:spacing w:after="120" w:line="259" w:lineRule="auto"/>
              <w:ind w:left="447"/>
              <w:contextualSpacing/>
              <w:rPr>
                <w:rFonts w:ascii="Arial Narrow" w:hAnsi="Arial Narrow"/>
                <w:i/>
                <w:sz w:val="20"/>
                <w:lang w:val="en-US"/>
              </w:rPr>
            </w:pPr>
            <w:r w:rsidRPr="00AE4565">
              <w:rPr>
                <w:rFonts w:ascii="Arial Narrow" w:hAnsi="Arial Narrow"/>
                <w:i/>
                <w:sz w:val="20"/>
                <w:lang w:val="en-US"/>
              </w:rPr>
              <w:t>the indicated surgery is:</w:t>
            </w:r>
          </w:p>
          <w:p w14:paraId="09A543C2" w14:textId="77777777" w:rsidR="00C57321" w:rsidRPr="00AE4565" w:rsidRDefault="00C57321" w:rsidP="00AE4565">
            <w:pPr>
              <w:numPr>
                <w:ilvl w:val="5"/>
                <w:numId w:val="1"/>
              </w:numPr>
              <w:spacing w:after="120" w:line="259" w:lineRule="auto"/>
              <w:ind w:left="873"/>
              <w:contextualSpacing/>
              <w:rPr>
                <w:rFonts w:ascii="Arial Narrow" w:hAnsi="Arial Narrow"/>
                <w:i/>
                <w:sz w:val="20"/>
                <w:lang w:val="en-US"/>
              </w:rPr>
            </w:pPr>
            <w:r w:rsidRPr="00AE4565">
              <w:rPr>
                <w:rFonts w:ascii="Arial Narrow" w:hAnsi="Arial Narrow"/>
                <w:i/>
                <w:sz w:val="20"/>
                <w:lang w:val="en-US"/>
              </w:rPr>
              <w:t>Provided by otolaryngologist and specialist plastic surgeons, who have undergone the Australian Medical Council (AMC) accredited training program</w:t>
            </w:r>
          </w:p>
          <w:p w14:paraId="24252545" w14:textId="41436F1F" w:rsidR="00C57321" w:rsidRPr="00AE4565" w:rsidRDefault="00C57321" w:rsidP="00AE4565">
            <w:pPr>
              <w:numPr>
                <w:ilvl w:val="5"/>
                <w:numId w:val="1"/>
              </w:numPr>
              <w:spacing w:after="120" w:line="259" w:lineRule="auto"/>
              <w:ind w:left="873"/>
              <w:contextualSpacing/>
              <w:rPr>
                <w:rFonts w:ascii="Arial Narrow" w:hAnsi="Arial Narrow"/>
                <w:i/>
                <w:sz w:val="20"/>
                <w:lang w:val="en-US"/>
              </w:rPr>
            </w:pPr>
            <w:r w:rsidRPr="00AE4565">
              <w:rPr>
                <w:rFonts w:ascii="Arial Narrow" w:hAnsi="Arial Narrow"/>
                <w:i/>
                <w:sz w:val="20"/>
                <w:lang w:val="en-US"/>
              </w:rPr>
              <w:t>Photographic and/or NOSE scale evidence demonstrating the clinical need for this service is documented in the patient notes</w:t>
            </w:r>
          </w:p>
          <w:p w14:paraId="4BEC5651" w14:textId="50C322DB" w:rsidR="00C57321" w:rsidRPr="003F7A2C" w:rsidRDefault="004E3D4B" w:rsidP="00CF5B0E">
            <w:pPr>
              <w:numPr>
                <w:ilvl w:val="5"/>
                <w:numId w:val="1"/>
              </w:numPr>
              <w:spacing w:after="120" w:line="259" w:lineRule="auto"/>
              <w:ind w:left="873"/>
              <w:contextualSpacing/>
              <w:rPr>
                <w:rFonts w:ascii="Arial Narrow" w:hAnsi="Arial Narrow"/>
                <w:i/>
                <w:sz w:val="20"/>
                <w:lang w:val="en-US"/>
              </w:rPr>
            </w:pPr>
            <w:r w:rsidRPr="00AE4565">
              <w:rPr>
                <w:rFonts w:ascii="Arial Narrow" w:hAnsi="Arial Narrow"/>
                <w:i/>
                <w:sz w:val="20"/>
                <w:lang w:val="en-US"/>
              </w:rPr>
              <w:t>in patients contra-indicated to general anesthetic</w:t>
            </w:r>
          </w:p>
        </w:tc>
      </w:tr>
      <w:tr w:rsidR="00C57321" w:rsidRPr="00494249" w14:paraId="1B29F583" w14:textId="77777777" w:rsidTr="00AE4565">
        <w:tblPrEx>
          <w:tblBorders>
            <w:bottom w:val="single" w:sz="4" w:space="0" w:color="auto"/>
            <w:insideV w:val="single" w:sz="4" w:space="0" w:color="auto"/>
          </w:tblBorders>
        </w:tblPrEx>
        <w:trPr>
          <w:cantSplit/>
          <w:trHeight w:val="223"/>
          <w:tblHeader/>
        </w:trPr>
        <w:tc>
          <w:tcPr>
            <w:tcW w:w="9016" w:type="dxa"/>
          </w:tcPr>
          <w:p w14:paraId="69847FDB" w14:textId="0B32CB84" w:rsidR="00C57321" w:rsidRPr="00494249" w:rsidRDefault="00C57321" w:rsidP="00744F46">
            <w:pPr>
              <w:pStyle w:val="TableText"/>
              <w:rPr>
                <w:snapToGrid w:val="0"/>
                <w:szCs w:val="20"/>
              </w:rPr>
            </w:pPr>
          </w:p>
        </w:tc>
      </w:tr>
    </w:tbl>
    <w:p w14:paraId="33BC6D38" w14:textId="77777777" w:rsidR="00C57321" w:rsidRPr="008F1775" w:rsidRDefault="00C57321" w:rsidP="00AE4565">
      <w:pPr>
        <w:pStyle w:val="TableNote"/>
      </w:pPr>
      <w:r w:rsidRPr="008F1775">
        <w:t>Source: Table 6, pg 44 of MSAC 1719 ADAR</w:t>
      </w:r>
    </w:p>
    <w:p w14:paraId="5EB6D3E2" w14:textId="77777777" w:rsidR="00C57321" w:rsidRPr="008F1775" w:rsidRDefault="00C57321" w:rsidP="00AE4565">
      <w:pPr>
        <w:pStyle w:val="TableNote"/>
      </w:pPr>
      <w:r w:rsidRPr="008F1775">
        <w:t>Note: Commentary suggestions and additions proposed are shown in</w:t>
      </w:r>
      <w:r w:rsidRPr="00FE4117">
        <w:rPr>
          <w:i/>
          <w:iCs/>
        </w:rPr>
        <w:t xml:space="preserve"> italics</w:t>
      </w:r>
      <w:r w:rsidRPr="008F1775">
        <w:t xml:space="preserve"> and deletions are in </w:t>
      </w:r>
      <w:r w:rsidRPr="008F1775">
        <w:rPr>
          <w:strike/>
        </w:rPr>
        <w:t>strikethrough.</w:t>
      </w:r>
    </w:p>
    <w:bookmarkEnd w:id="8"/>
    <w:p w14:paraId="381D14BE" w14:textId="51BDAD7D" w:rsidR="005A5783" w:rsidRPr="000B2397" w:rsidRDefault="00504B28" w:rsidP="00FB0E96">
      <w:pPr>
        <w:rPr>
          <w:rStyle w:val="Hyperlink"/>
          <w:rFonts w:cstheme="minorHAnsi"/>
          <w:color w:val="auto"/>
          <w:u w:val="none"/>
        </w:rPr>
      </w:pPr>
      <w:r>
        <w:rPr>
          <w:rFonts w:cstheme="minorHAnsi"/>
        </w:rPr>
        <w:t>The ADAR propose</w:t>
      </w:r>
      <w:r w:rsidR="005A030C">
        <w:rPr>
          <w:rFonts w:cstheme="minorHAnsi"/>
        </w:rPr>
        <w:t>d</w:t>
      </w:r>
      <w:r>
        <w:rPr>
          <w:rFonts w:cstheme="minorHAnsi"/>
        </w:rPr>
        <w:t xml:space="preserve"> </w:t>
      </w:r>
      <w:r w:rsidR="00572810">
        <w:rPr>
          <w:rFonts w:cstheme="minorHAnsi"/>
        </w:rPr>
        <w:t xml:space="preserve">the </w:t>
      </w:r>
      <w:r w:rsidR="00572810" w:rsidRPr="00572810">
        <w:rPr>
          <w:rFonts w:cstheme="minorHAnsi"/>
        </w:rPr>
        <w:t>MBS item descriptor</w:t>
      </w:r>
      <w:r w:rsidR="005A030C">
        <w:rPr>
          <w:rFonts w:cstheme="minorHAnsi"/>
        </w:rPr>
        <w:t>s be</w:t>
      </w:r>
      <w:r w:rsidR="00572810" w:rsidRPr="00572810">
        <w:rPr>
          <w:rFonts w:cstheme="minorHAnsi"/>
        </w:rPr>
        <w:t xml:space="preserve"> aligned with the existing </w:t>
      </w:r>
      <w:r w:rsidR="00EE6101">
        <w:rPr>
          <w:rFonts w:cstheme="minorHAnsi"/>
        </w:rPr>
        <w:t xml:space="preserve">MBS items for </w:t>
      </w:r>
      <w:r w:rsidR="00572810" w:rsidRPr="00572810">
        <w:rPr>
          <w:rFonts w:cstheme="minorHAnsi"/>
        </w:rPr>
        <w:t>rhinoplasty procedures</w:t>
      </w:r>
      <w:r w:rsidR="00572810">
        <w:rPr>
          <w:rFonts w:cstheme="minorHAnsi"/>
        </w:rPr>
        <w:t xml:space="preserve"> (MBS items </w:t>
      </w:r>
      <w:r w:rsidR="00FE685B" w:rsidRPr="00FE685B">
        <w:rPr>
          <w:rFonts w:cstheme="minorHAnsi"/>
        </w:rPr>
        <w:t>45632, 45641 and 45644</w:t>
      </w:r>
      <w:r w:rsidR="00572810">
        <w:rPr>
          <w:rFonts w:cstheme="minorHAnsi"/>
        </w:rPr>
        <w:t>)</w:t>
      </w:r>
      <w:r w:rsidR="00FE685B">
        <w:rPr>
          <w:rFonts w:cstheme="minorHAnsi"/>
        </w:rPr>
        <w:t xml:space="preserve">. </w:t>
      </w:r>
      <w:r w:rsidR="002C30B3">
        <w:rPr>
          <w:rFonts w:cstheme="minorHAnsi"/>
        </w:rPr>
        <w:t>The proposed item</w:t>
      </w:r>
      <w:r w:rsidR="00EE6101">
        <w:rPr>
          <w:rFonts w:cstheme="minorHAnsi"/>
        </w:rPr>
        <w:t>s</w:t>
      </w:r>
      <w:r w:rsidR="002C30B3">
        <w:rPr>
          <w:rFonts w:cstheme="minorHAnsi"/>
        </w:rPr>
        <w:t xml:space="preserve"> </w:t>
      </w:r>
      <w:r w:rsidR="00FE5AD2">
        <w:rPr>
          <w:rFonts w:cstheme="minorHAnsi"/>
        </w:rPr>
        <w:t xml:space="preserve">require </w:t>
      </w:r>
      <w:r w:rsidR="005A13F4" w:rsidRPr="005A13F4">
        <w:rPr>
          <w:rFonts w:cstheme="minorHAnsi"/>
        </w:rPr>
        <w:t>NAO due to LWI</w:t>
      </w:r>
      <w:r w:rsidR="005A13F4">
        <w:rPr>
          <w:rFonts w:cstheme="minorHAnsi"/>
        </w:rPr>
        <w:t xml:space="preserve"> </w:t>
      </w:r>
      <w:r w:rsidR="00FE5AD2">
        <w:rPr>
          <w:rFonts w:cstheme="minorHAnsi"/>
        </w:rPr>
        <w:t xml:space="preserve">to be confirmed </w:t>
      </w:r>
      <w:r w:rsidR="005A13F4">
        <w:rPr>
          <w:rFonts w:cstheme="minorHAnsi"/>
        </w:rPr>
        <w:t xml:space="preserve">by a positive </w:t>
      </w:r>
      <w:r w:rsidR="005A13F4" w:rsidRPr="005A13F4">
        <w:rPr>
          <w:rFonts w:cstheme="minorHAnsi"/>
        </w:rPr>
        <w:t xml:space="preserve">modified Cottle manoeuvre and the patient </w:t>
      </w:r>
      <w:r w:rsidR="00CC5D59">
        <w:rPr>
          <w:rFonts w:cstheme="minorHAnsi"/>
        </w:rPr>
        <w:t xml:space="preserve">must have </w:t>
      </w:r>
      <w:r w:rsidR="005A13F4" w:rsidRPr="005A13F4">
        <w:rPr>
          <w:rFonts w:cstheme="minorHAnsi"/>
        </w:rPr>
        <w:t>a self-reported NOSE scale score of greater than 45</w:t>
      </w:r>
      <w:r w:rsidR="005A13F4">
        <w:rPr>
          <w:rFonts w:cstheme="minorHAnsi"/>
        </w:rPr>
        <w:t xml:space="preserve">. </w:t>
      </w:r>
      <w:r w:rsidR="005A5783" w:rsidRPr="00EF2910">
        <w:rPr>
          <w:rFonts w:cstheme="minorHAnsi"/>
        </w:rPr>
        <w:t xml:space="preserve">For reference </w:t>
      </w:r>
      <w:r w:rsidR="005A5783">
        <w:rPr>
          <w:rFonts w:cstheme="minorHAnsi"/>
          <w:color w:val="2B579A"/>
          <w:shd w:val="clear" w:color="auto" w:fill="E6E6E6"/>
        </w:rPr>
        <w:fldChar w:fldCharType="begin"/>
      </w:r>
      <w:r w:rsidR="005A5783">
        <w:rPr>
          <w:rFonts w:cstheme="minorHAnsi"/>
        </w:rPr>
        <w:instrText xml:space="preserve"> REF _Ref119488283 \h </w:instrText>
      </w:r>
      <w:r w:rsidR="005A5783">
        <w:rPr>
          <w:rFonts w:cstheme="minorHAnsi"/>
          <w:color w:val="2B579A"/>
          <w:shd w:val="clear" w:color="auto" w:fill="E6E6E6"/>
        </w:rPr>
      </w:r>
      <w:r w:rsidR="005A5783">
        <w:rPr>
          <w:rFonts w:cstheme="minorHAnsi"/>
          <w:color w:val="2B579A"/>
          <w:shd w:val="clear" w:color="auto" w:fill="E6E6E6"/>
        </w:rPr>
        <w:fldChar w:fldCharType="separate"/>
      </w:r>
      <w:r w:rsidR="003511D3">
        <w:t xml:space="preserve">Table </w:t>
      </w:r>
      <w:r w:rsidR="003511D3">
        <w:rPr>
          <w:noProof/>
        </w:rPr>
        <w:t>3</w:t>
      </w:r>
      <w:r w:rsidR="005A5783">
        <w:rPr>
          <w:rFonts w:cstheme="minorHAnsi"/>
          <w:color w:val="2B579A"/>
          <w:shd w:val="clear" w:color="auto" w:fill="E6E6E6"/>
        </w:rPr>
        <w:fldChar w:fldCharType="end"/>
      </w:r>
      <w:r w:rsidR="005A5783">
        <w:rPr>
          <w:rFonts w:cstheme="minorHAnsi"/>
        </w:rPr>
        <w:t xml:space="preserve"> displays </w:t>
      </w:r>
      <w:r w:rsidR="005A5783" w:rsidRPr="00EF2910">
        <w:rPr>
          <w:rFonts w:cstheme="minorHAnsi"/>
        </w:rPr>
        <w:t>NOSE score</w:t>
      </w:r>
      <w:r w:rsidR="005A5783">
        <w:rPr>
          <w:rFonts w:cstheme="minorHAnsi"/>
        </w:rPr>
        <w:t xml:space="preserve"> categorisations. </w:t>
      </w:r>
    </w:p>
    <w:p w14:paraId="4EB1882D" w14:textId="7AE0E054" w:rsidR="005A5783" w:rsidRDefault="005A5783" w:rsidP="00AE4565">
      <w:pPr>
        <w:pStyle w:val="Caption"/>
      </w:pPr>
      <w:bookmarkStart w:id="9" w:name="_Ref119488283"/>
      <w:r>
        <w:t xml:space="preserve">Table </w:t>
      </w:r>
      <w:r>
        <w:fldChar w:fldCharType="begin"/>
      </w:r>
      <w:r>
        <w:instrText>SEQ Table \* ARABIC</w:instrText>
      </w:r>
      <w:r>
        <w:fldChar w:fldCharType="separate"/>
      </w:r>
      <w:r w:rsidR="003511D3">
        <w:rPr>
          <w:noProof/>
        </w:rPr>
        <w:t>3</w:t>
      </w:r>
      <w:r>
        <w:fldChar w:fldCharType="end"/>
      </w:r>
      <w:bookmarkEnd w:id="9"/>
      <w:r>
        <w:tab/>
      </w:r>
      <w:r w:rsidRPr="003304AF">
        <w:t>NOSE Score Severity Classification</w:t>
      </w:r>
    </w:p>
    <w:tbl>
      <w:tblPr>
        <w:tblStyle w:val="TableGrid"/>
        <w:tblW w:w="0" w:type="auto"/>
        <w:tblLook w:val="04A0" w:firstRow="1" w:lastRow="0" w:firstColumn="1" w:lastColumn="0" w:noHBand="0" w:noVBand="1"/>
      </w:tblPr>
      <w:tblGrid>
        <w:gridCol w:w="4508"/>
        <w:gridCol w:w="4508"/>
      </w:tblGrid>
      <w:tr w:rsidR="005A5783" w14:paraId="4B3B6E2D" w14:textId="77777777" w:rsidTr="00AE4565">
        <w:tc>
          <w:tcPr>
            <w:tcW w:w="4508" w:type="dxa"/>
            <w:shd w:val="clear" w:color="auto" w:fill="auto"/>
          </w:tcPr>
          <w:p w14:paraId="0BC2074F" w14:textId="77777777" w:rsidR="005A5783" w:rsidRPr="007A42CE" w:rsidRDefault="005A5783">
            <w:pPr>
              <w:pStyle w:val="Tabletext0"/>
              <w:rPr>
                <w:b/>
                <w:bCs/>
              </w:rPr>
            </w:pPr>
            <w:r w:rsidRPr="007A42CE">
              <w:rPr>
                <w:b/>
                <w:bCs/>
              </w:rPr>
              <w:t xml:space="preserve">Severity class </w:t>
            </w:r>
          </w:p>
        </w:tc>
        <w:tc>
          <w:tcPr>
            <w:tcW w:w="4508" w:type="dxa"/>
            <w:shd w:val="clear" w:color="auto" w:fill="auto"/>
          </w:tcPr>
          <w:p w14:paraId="2D9F16D3" w14:textId="77777777" w:rsidR="005A5783" w:rsidRPr="007A42CE" w:rsidRDefault="005A5783">
            <w:pPr>
              <w:pStyle w:val="Tabletext0"/>
              <w:rPr>
                <w:b/>
                <w:bCs/>
              </w:rPr>
            </w:pPr>
            <w:r w:rsidRPr="007A42CE">
              <w:rPr>
                <w:b/>
                <w:bCs/>
              </w:rPr>
              <w:t xml:space="preserve">NOSE score range </w:t>
            </w:r>
          </w:p>
        </w:tc>
      </w:tr>
      <w:tr w:rsidR="005A5783" w14:paraId="66AC358D" w14:textId="77777777">
        <w:tc>
          <w:tcPr>
            <w:tcW w:w="4508" w:type="dxa"/>
          </w:tcPr>
          <w:p w14:paraId="41FE7FCD" w14:textId="77777777" w:rsidR="005A5783" w:rsidRDefault="005A5783">
            <w:pPr>
              <w:pStyle w:val="Tabletext0"/>
            </w:pPr>
            <w:r>
              <w:t xml:space="preserve">Mild </w:t>
            </w:r>
          </w:p>
        </w:tc>
        <w:tc>
          <w:tcPr>
            <w:tcW w:w="4508" w:type="dxa"/>
          </w:tcPr>
          <w:p w14:paraId="5B79B1F0" w14:textId="77777777" w:rsidR="005A5783" w:rsidRDefault="005A5783">
            <w:pPr>
              <w:pStyle w:val="Tabletext0"/>
            </w:pPr>
            <w:r>
              <w:t>Range: 5-25</w:t>
            </w:r>
          </w:p>
        </w:tc>
      </w:tr>
      <w:tr w:rsidR="005A5783" w14:paraId="6E5EA97A" w14:textId="77777777">
        <w:tc>
          <w:tcPr>
            <w:tcW w:w="4508" w:type="dxa"/>
          </w:tcPr>
          <w:p w14:paraId="778F5B9A" w14:textId="77777777" w:rsidR="005A5783" w:rsidRDefault="005A5783">
            <w:pPr>
              <w:pStyle w:val="Tabletext0"/>
            </w:pPr>
            <w:r>
              <w:t xml:space="preserve">Moderate </w:t>
            </w:r>
          </w:p>
        </w:tc>
        <w:tc>
          <w:tcPr>
            <w:tcW w:w="4508" w:type="dxa"/>
          </w:tcPr>
          <w:p w14:paraId="51BA2D0A" w14:textId="77777777" w:rsidR="005A5783" w:rsidRDefault="005A5783">
            <w:pPr>
              <w:pStyle w:val="Tabletext0"/>
            </w:pPr>
            <w:r>
              <w:t>Range: 30-50</w:t>
            </w:r>
          </w:p>
        </w:tc>
      </w:tr>
      <w:tr w:rsidR="005A5783" w14:paraId="33706760" w14:textId="77777777">
        <w:tc>
          <w:tcPr>
            <w:tcW w:w="4508" w:type="dxa"/>
          </w:tcPr>
          <w:p w14:paraId="4098AD26" w14:textId="77777777" w:rsidR="005A5783" w:rsidRDefault="005A5783">
            <w:pPr>
              <w:pStyle w:val="Tabletext0"/>
            </w:pPr>
            <w:r>
              <w:t xml:space="preserve">Severe </w:t>
            </w:r>
          </w:p>
        </w:tc>
        <w:tc>
          <w:tcPr>
            <w:tcW w:w="4508" w:type="dxa"/>
          </w:tcPr>
          <w:p w14:paraId="3C376026" w14:textId="77777777" w:rsidR="005A5783" w:rsidRDefault="005A5783">
            <w:pPr>
              <w:pStyle w:val="Tabletext0"/>
            </w:pPr>
            <w:r>
              <w:t>Range: 55-75</w:t>
            </w:r>
          </w:p>
        </w:tc>
      </w:tr>
      <w:tr w:rsidR="005A5783" w14:paraId="64796243" w14:textId="77777777">
        <w:tc>
          <w:tcPr>
            <w:tcW w:w="4508" w:type="dxa"/>
          </w:tcPr>
          <w:p w14:paraId="7A3A91FB" w14:textId="77777777" w:rsidR="005A5783" w:rsidRDefault="005A5783">
            <w:pPr>
              <w:pStyle w:val="Tabletext0"/>
            </w:pPr>
            <w:r>
              <w:t xml:space="preserve">Extreme </w:t>
            </w:r>
          </w:p>
        </w:tc>
        <w:tc>
          <w:tcPr>
            <w:tcW w:w="4508" w:type="dxa"/>
          </w:tcPr>
          <w:p w14:paraId="33FF4EA8" w14:textId="77777777" w:rsidR="005A5783" w:rsidRDefault="005A5783">
            <w:pPr>
              <w:pStyle w:val="Tabletext0"/>
            </w:pPr>
            <w:r>
              <w:t>Range: 80-100</w:t>
            </w:r>
          </w:p>
        </w:tc>
      </w:tr>
    </w:tbl>
    <w:p w14:paraId="5E5C2D0A" w14:textId="4F63D669" w:rsidR="005A5783" w:rsidRPr="005A5783" w:rsidRDefault="005A5783" w:rsidP="005A5783">
      <w:pPr>
        <w:pStyle w:val="TableFooter"/>
      </w:pPr>
      <w:r>
        <w:t>Reference:</w:t>
      </w:r>
      <w:r w:rsidR="00F46E55">
        <w:t xml:space="preserve"> Stewart 2004</w:t>
      </w:r>
      <w:r w:rsidR="00CC17B0">
        <w:rPr>
          <w:rStyle w:val="FootnoteReference"/>
          <w:color w:val="0070C0"/>
          <w:u w:val="single"/>
        </w:rPr>
        <w:footnoteReference w:id="3"/>
      </w:r>
    </w:p>
    <w:p w14:paraId="62408581" w14:textId="4D591D72" w:rsidR="001064DA" w:rsidRPr="009611D4" w:rsidRDefault="001064DA" w:rsidP="00FB0E96">
      <w:r>
        <w:rPr>
          <w:rFonts w:cstheme="minorHAnsi"/>
        </w:rPr>
        <w:t>T</w:t>
      </w:r>
      <w:r w:rsidRPr="001064DA">
        <w:rPr>
          <w:rFonts w:cstheme="minorHAnsi"/>
        </w:rPr>
        <w:t xml:space="preserve">he proposed MBS population is broader </w:t>
      </w:r>
      <w:r w:rsidR="00392D7A">
        <w:rPr>
          <w:rFonts w:cstheme="minorHAnsi"/>
        </w:rPr>
        <w:t>(</w:t>
      </w:r>
      <w:r w:rsidR="003F49BA">
        <w:rPr>
          <w:rFonts w:cstheme="minorHAnsi"/>
        </w:rPr>
        <w:t>i.e.,</w:t>
      </w:r>
      <w:r w:rsidR="00392D7A">
        <w:rPr>
          <w:rFonts w:cstheme="minorHAnsi"/>
        </w:rPr>
        <w:t xml:space="preserve"> NOSE scale score &gt;45) </w:t>
      </w:r>
      <w:r w:rsidRPr="001064DA">
        <w:rPr>
          <w:rFonts w:cstheme="minorHAnsi"/>
        </w:rPr>
        <w:t xml:space="preserve">than the patient population included in the clinical evidence </w:t>
      </w:r>
      <w:r w:rsidR="00392D7A">
        <w:rPr>
          <w:rFonts w:cstheme="minorHAnsi"/>
        </w:rPr>
        <w:t>(</w:t>
      </w:r>
      <w:r w:rsidR="003F49BA">
        <w:rPr>
          <w:rFonts w:cstheme="minorHAnsi"/>
        </w:rPr>
        <w:t>i.e.,</w:t>
      </w:r>
      <w:r w:rsidR="00392D7A">
        <w:rPr>
          <w:rFonts w:cstheme="minorHAnsi"/>
        </w:rPr>
        <w:t xml:space="preserve"> NOSE scale score ≥55)</w:t>
      </w:r>
      <w:r w:rsidR="00AC03F6">
        <w:rPr>
          <w:rFonts w:cstheme="minorHAnsi"/>
        </w:rPr>
        <w:t>. T</w:t>
      </w:r>
      <w:r w:rsidRPr="001064DA">
        <w:rPr>
          <w:rFonts w:cstheme="minorHAnsi"/>
        </w:rPr>
        <w:t xml:space="preserve">his creates uncertainty in the applicability of the clinical evidence and the treatment effect reported to the proposed MBS population. </w:t>
      </w:r>
      <w:r w:rsidR="000C0A91">
        <w:t>As the clinical evidence for LATERA only included patients with a</w:t>
      </w:r>
      <w:r w:rsidR="000C0A91" w:rsidRPr="000C0A91">
        <w:t xml:space="preserve"> NOSE </w:t>
      </w:r>
      <w:r w:rsidR="000C0A91">
        <w:t xml:space="preserve">scale </w:t>
      </w:r>
      <w:r w:rsidR="000C0A91" w:rsidRPr="000C0A91">
        <w:t xml:space="preserve">score of 55 </w:t>
      </w:r>
      <w:r w:rsidR="000C0A91">
        <w:t>or greater, the commentary proposed amending</w:t>
      </w:r>
      <w:r w:rsidR="000C0A91" w:rsidRPr="5CE6E449">
        <w:t xml:space="preserve"> the MBS item descriptor</w:t>
      </w:r>
      <w:r w:rsidR="000C0A91">
        <w:t>s</w:t>
      </w:r>
      <w:r w:rsidR="000C0A91" w:rsidRPr="5CE6E449">
        <w:t xml:space="preserve"> </w:t>
      </w:r>
      <w:r w:rsidR="000C0A91">
        <w:t xml:space="preserve">to </w:t>
      </w:r>
      <w:r w:rsidR="000C0A91" w:rsidRPr="00614B9C">
        <w:t xml:space="preserve">increase the </w:t>
      </w:r>
      <w:r w:rsidR="000C0A91" w:rsidRPr="00614B9C">
        <w:lastRenderedPageBreak/>
        <w:t xml:space="preserve">NOSE threshold from </w:t>
      </w:r>
      <w:r w:rsidR="000C0A91">
        <w:t>&gt;</w:t>
      </w:r>
      <w:r w:rsidR="000C0A91" w:rsidRPr="00614B9C">
        <w:t xml:space="preserve">45 to </w:t>
      </w:r>
      <w:r w:rsidR="000C0A91">
        <w:t>≥55</w:t>
      </w:r>
      <w:r w:rsidR="000C0A91" w:rsidRPr="5CE6E449">
        <w:t xml:space="preserve">. </w:t>
      </w:r>
      <w:r w:rsidR="00D46C1B">
        <w:t xml:space="preserve">The applicant pre-ESC response </w:t>
      </w:r>
      <w:r w:rsidR="00D46C1B" w:rsidRPr="00904C8D">
        <w:t>acknowledge</w:t>
      </w:r>
      <w:r w:rsidR="00D46C1B">
        <w:t>d</w:t>
      </w:r>
      <w:r w:rsidR="00D46C1B" w:rsidRPr="00904C8D">
        <w:t xml:space="preserve"> that no data exists for those with a NOSE score of 45-54, given the NOSE score eligibility in the trial</w:t>
      </w:r>
      <w:r w:rsidR="00D46C1B">
        <w:t>s</w:t>
      </w:r>
      <w:r w:rsidR="00D46C1B" w:rsidRPr="00904C8D">
        <w:t xml:space="preserve"> </w:t>
      </w:r>
      <w:r w:rsidR="00D46C1B">
        <w:t>wa</w:t>
      </w:r>
      <w:r w:rsidR="00D46C1B" w:rsidRPr="00904C8D">
        <w:t>s ≥55 and consider that it would be reasonable to update the MBS item descriptor to ≥55 should MSAC consider this more appropriate</w:t>
      </w:r>
      <w:r w:rsidR="00D46C1B">
        <w:t>.</w:t>
      </w:r>
    </w:p>
    <w:p w14:paraId="6825E950" w14:textId="38237F02" w:rsidR="008A0EAD" w:rsidRDefault="00EB574F" w:rsidP="00FB0E96">
      <w:r>
        <w:t xml:space="preserve">The </w:t>
      </w:r>
      <w:r w:rsidR="007B6107">
        <w:t>c</w:t>
      </w:r>
      <w:r>
        <w:t xml:space="preserve">ommentary noted </w:t>
      </w:r>
      <w:r w:rsidR="001830D7" w:rsidRPr="5CE6E449">
        <w:t xml:space="preserve">PASC </w:t>
      </w:r>
      <w:r w:rsidR="00576A15">
        <w:t>advice that</w:t>
      </w:r>
      <w:r w:rsidR="001830D7" w:rsidRPr="5CE6E449">
        <w:t xml:space="preserve"> the service </w:t>
      </w:r>
      <w:r w:rsidR="006032C1">
        <w:t>can</w:t>
      </w:r>
      <w:r w:rsidR="001830D7" w:rsidRPr="5CE6E449">
        <w:t xml:space="preserve"> be provided by ear nose throat (ENT) specialists and Specialist Plastic surgeons</w:t>
      </w:r>
      <w:r w:rsidR="00E25468" w:rsidRPr="5CE6E449" w:rsidDel="0013417E">
        <w:t xml:space="preserve"> </w:t>
      </w:r>
      <w:r w:rsidR="001830D7" w:rsidRPr="5CE6E449">
        <w:t>who undergo the Australian Medical Council (AMC) accredited training program</w:t>
      </w:r>
      <w:r w:rsidR="0013417E">
        <w:t xml:space="preserve">. Therefore, </w:t>
      </w:r>
      <w:r w:rsidR="00466905">
        <w:t xml:space="preserve">the </w:t>
      </w:r>
      <w:r w:rsidR="007B6107">
        <w:t>c</w:t>
      </w:r>
      <w:r w:rsidR="00466905">
        <w:t>ommentary proposed</w:t>
      </w:r>
      <w:r w:rsidR="0013417E">
        <w:t xml:space="preserve"> amending the item to restrict </w:t>
      </w:r>
      <w:r w:rsidR="004F581B">
        <w:t>the service to</w:t>
      </w:r>
      <w:r w:rsidR="00A61D20">
        <w:t xml:space="preserve"> ‘</w:t>
      </w:r>
      <w:r w:rsidR="00C6526D">
        <w:t>o</w:t>
      </w:r>
      <w:r w:rsidR="00A61D20">
        <w:t xml:space="preserve">tolaryngologists and </w:t>
      </w:r>
      <w:r w:rsidR="00C6526D">
        <w:t xml:space="preserve">specialist </w:t>
      </w:r>
      <w:r w:rsidR="00ED098A">
        <w:t xml:space="preserve">plastic </w:t>
      </w:r>
      <w:r w:rsidR="00C6526D">
        <w:t>su</w:t>
      </w:r>
      <w:r w:rsidR="001D143A">
        <w:t>rgeons who have under</w:t>
      </w:r>
      <w:r w:rsidR="001E4B78">
        <w:t xml:space="preserve">gone the </w:t>
      </w:r>
      <w:r w:rsidR="001E4B78" w:rsidRPr="5CE6E449">
        <w:t>AMC accredited training program</w:t>
      </w:r>
      <w:r w:rsidR="001E4B78">
        <w:t xml:space="preserve">’. </w:t>
      </w:r>
      <w:r w:rsidR="000C0A91">
        <w:t xml:space="preserve">The </w:t>
      </w:r>
      <w:r w:rsidR="007B6107">
        <w:t>c</w:t>
      </w:r>
      <w:r w:rsidR="000C0A91">
        <w:t>ommentary also noted that</w:t>
      </w:r>
      <w:r w:rsidR="00E03289" w:rsidRPr="00E03289">
        <w:t xml:space="preserve"> MSAC</w:t>
      </w:r>
      <w:r w:rsidR="00DA7798" w:rsidRPr="00E03289">
        <w:t xml:space="preserve"> may</w:t>
      </w:r>
      <w:r w:rsidR="000C0A91">
        <w:t xml:space="preserve"> wish to</w:t>
      </w:r>
      <w:r w:rsidR="00DA7798" w:rsidRPr="00E03289">
        <w:t xml:space="preserve"> consider limiting the total number of </w:t>
      </w:r>
      <w:r w:rsidR="00065E76" w:rsidRPr="00E03289">
        <w:t xml:space="preserve">LATERA </w:t>
      </w:r>
      <w:r w:rsidR="00DA7798" w:rsidRPr="00E03289">
        <w:t>treatment</w:t>
      </w:r>
      <w:r w:rsidR="00065E76" w:rsidRPr="00E03289">
        <w:t>(s)</w:t>
      </w:r>
      <w:r w:rsidR="00DA7798" w:rsidRPr="00E03289">
        <w:t xml:space="preserve"> per patient</w:t>
      </w:r>
      <w:r w:rsidR="00C15B7A">
        <w:t>.</w:t>
      </w:r>
    </w:p>
    <w:p w14:paraId="24284543" w14:textId="6CD75947" w:rsidR="00193B27" w:rsidRDefault="00EC6428" w:rsidP="00525106">
      <w:pPr>
        <w:jc w:val="both"/>
      </w:pPr>
      <w:r w:rsidRPr="00BD7553">
        <w:t>The ADAR proposed an MBS item fee of $198.95 for unilateral LATERA insertion based on expert opinion that the duration and complexity of the LATERA procedure is similar to a core biopsy (citing MBS items 50200 and 52180). The ADAR proposed an MBS fee of $298.43 for bilateral LATERA insertion, based on the concept of the Multiple Operation Rule</w:t>
      </w:r>
      <w:r w:rsidRPr="00BD7553">
        <w:rPr>
          <w:rStyle w:val="FootnoteReference"/>
        </w:rPr>
        <w:footnoteReference w:id="4"/>
      </w:r>
      <w:r w:rsidRPr="00BD7553">
        <w:t xml:space="preserve"> (i.e., $198.95*1.5).</w:t>
      </w:r>
    </w:p>
    <w:p w14:paraId="15F99721" w14:textId="4E958A1E" w:rsidR="00193B27" w:rsidRDefault="00193B27" w:rsidP="00525106">
      <w:pPr>
        <w:pStyle w:val="Heading3"/>
      </w:pPr>
      <w:r>
        <w:t>Other funding</w:t>
      </w:r>
    </w:p>
    <w:p w14:paraId="19F58F12" w14:textId="13F21BB8" w:rsidR="00A260D7" w:rsidRDefault="00EF3110" w:rsidP="0082493D">
      <w:r>
        <w:t>An application for listing t</w:t>
      </w:r>
      <w:r w:rsidR="00A260D7">
        <w:t xml:space="preserve">he LATERA </w:t>
      </w:r>
      <w:r>
        <w:t>bioabsorbable implants,</w:t>
      </w:r>
      <w:r w:rsidR="00A260D7">
        <w:t xml:space="preserve"> including the LATERA implantation device</w:t>
      </w:r>
      <w:r>
        <w:t>,</w:t>
      </w:r>
      <w:r w:rsidR="00A260D7">
        <w:t xml:space="preserve"> </w:t>
      </w:r>
      <w:r w:rsidR="00193B27">
        <w:t>on the Prosthese</w:t>
      </w:r>
      <w:r w:rsidR="00525106">
        <w:t>s</w:t>
      </w:r>
      <w:r w:rsidR="00193B27">
        <w:t xml:space="preserve"> List (PL) </w:t>
      </w:r>
      <w:r>
        <w:t>has</w:t>
      </w:r>
      <w:r w:rsidR="00A260D7">
        <w:t xml:space="preserve"> been submitted for consideration by the Prothesis List Advisory Committee (PLAC) in September 2021. Therefore, the cost of the </w:t>
      </w:r>
      <w:r w:rsidR="00164238">
        <w:t>LATERA</w:t>
      </w:r>
      <w:r w:rsidR="00A260D7">
        <w:t xml:space="preserve"> implants is currently an out-of-pocket (OOP) cost borne by the patient</w:t>
      </w:r>
      <w:r w:rsidR="00164238">
        <w:t>s</w:t>
      </w:r>
      <w:r w:rsidR="00A260D7">
        <w:t xml:space="preserve">. The </w:t>
      </w:r>
      <w:r w:rsidR="007B6107">
        <w:t>c</w:t>
      </w:r>
      <w:r w:rsidR="00A260D7">
        <w:t>ommentary note</w:t>
      </w:r>
      <w:r w:rsidR="00164238">
        <w:t>d</w:t>
      </w:r>
      <w:r w:rsidR="00A260D7">
        <w:t xml:space="preserve"> that consumers may be concerned about the invasiveness and </w:t>
      </w:r>
      <w:r w:rsidR="0082493D">
        <w:t xml:space="preserve">general anaesthesia </w:t>
      </w:r>
      <w:r w:rsidR="00A260D7">
        <w:t xml:space="preserve">requirement of rhinoplasty and while LATERA could provide patients with an alternative procedure to treat NAO due to LWI thereby increasing patient choice, the potential OOP costs may present a barrier to many consumers. </w:t>
      </w:r>
      <w:r w:rsidR="0082493D">
        <w:t>It is also noted, that a</w:t>
      </w:r>
      <w:r w:rsidR="00A260D7">
        <w:t xml:space="preserve"> successful PL listing and subsequent Private Health Insurance (PHI) coverage would result in the reimbursement of LATERA device costs in the hospital setting but not in the consulting room setting.</w:t>
      </w:r>
    </w:p>
    <w:p w14:paraId="79694350" w14:textId="367F3BB3" w:rsidR="00BC129E" w:rsidRPr="00BC129E" w:rsidRDefault="002C5802" w:rsidP="003D0100">
      <w:pPr>
        <w:pStyle w:val="Heading2"/>
        <w:numPr>
          <w:ilvl w:val="0"/>
          <w:numId w:val="0"/>
        </w:numPr>
      </w:pPr>
      <w:bookmarkStart w:id="10" w:name="_Toc69491419"/>
      <w:r>
        <w:t>7</w:t>
      </w:r>
      <w:r w:rsidR="00C36633">
        <w:t>.</w:t>
      </w:r>
      <w:r w:rsidR="00C36633">
        <w:tab/>
      </w:r>
      <w:r w:rsidR="00772829" w:rsidRPr="00CE28E3">
        <w:t>Population</w:t>
      </w:r>
      <w:bookmarkEnd w:id="10"/>
      <w:r w:rsidR="00772829" w:rsidRPr="00CE28E3">
        <w:t xml:space="preserve"> </w:t>
      </w:r>
    </w:p>
    <w:p w14:paraId="1182FE24" w14:textId="0B446E27" w:rsidR="00D666AB" w:rsidRDefault="00D666AB" w:rsidP="00FB0E96">
      <w:pPr>
        <w:rPr>
          <w:rFonts w:cstheme="minorHAnsi"/>
        </w:rPr>
      </w:pPr>
      <w:r w:rsidRPr="53F72383">
        <w:t>The proposed population, NAO due to LWI, is a subgroup of patients with NAO. This subgroup is confirmed by a positive modified Cottle manoeuvre and a self-reported NOSE scale score of greater than 45.</w:t>
      </w:r>
    </w:p>
    <w:p w14:paraId="5ED18F1C" w14:textId="417DA46D" w:rsidR="006B736F" w:rsidRDefault="008F38A0" w:rsidP="00FB0E96">
      <w:r w:rsidRPr="00EC1A6C">
        <w:t xml:space="preserve">The ADAR </w:t>
      </w:r>
      <w:r w:rsidR="0061097B" w:rsidRPr="00EC1A6C">
        <w:t>state</w:t>
      </w:r>
      <w:r w:rsidR="00350C6F">
        <w:t>d</w:t>
      </w:r>
      <w:r w:rsidR="0061097B" w:rsidRPr="00EC1A6C">
        <w:t xml:space="preserve"> </w:t>
      </w:r>
      <w:r w:rsidR="009A507A" w:rsidRPr="00EC1A6C">
        <w:t xml:space="preserve">that the insertion of </w:t>
      </w:r>
      <w:r w:rsidRPr="00EC1A6C">
        <w:t xml:space="preserve">LATERA </w:t>
      </w:r>
      <w:r w:rsidR="009A507A" w:rsidRPr="00EC1A6C">
        <w:t xml:space="preserve">to treat NAO </w:t>
      </w:r>
      <w:r w:rsidR="00386AD1" w:rsidRPr="00EC1A6C">
        <w:t xml:space="preserve">due to LWI </w:t>
      </w:r>
      <w:r w:rsidR="00D91FBB" w:rsidRPr="00EC1A6C">
        <w:t xml:space="preserve">would be used in </w:t>
      </w:r>
      <w:r w:rsidR="00386AD1" w:rsidRPr="00EC1A6C">
        <w:t xml:space="preserve">the proposed population </w:t>
      </w:r>
      <w:r w:rsidRPr="00EC1A6C">
        <w:t xml:space="preserve">as an alternative to </w:t>
      </w:r>
      <w:r w:rsidR="00D9597E" w:rsidRPr="00EC1A6C">
        <w:t xml:space="preserve">the </w:t>
      </w:r>
      <w:r w:rsidR="00D91FBB" w:rsidRPr="00EC1A6C">
        <w:t>comparators</w:t>
      </w:r>
      <w:r w:rsidR="00A00141">
        <w:t xml:space="preserve"> (</w:t>
      </w:r>
      <w:r w:rsidR="00A00141" w:rsidRPr="00D5754F">
        <w:t>i.e., rhinoplasty or conservative management</w:t>
      </w:r>
      <w:r w:rsidR="00A00141">
        <w:t>)</w:t>
      </w:r>
      <w:r w:rsidR="00A00141" w:rsidRPr="00D5754F">
        <w:t xml:space="preserve">. </w:t>
      </w:r>
      <w:r w:rsidR="00865022" w:rsidRPr="00EC1A6C">
        <w:t xml:space="preserve">LATERA is also a nexus </w:t>
      </w:r>
      <w:r w:rsidR="0022265E" w:rsidRPr="00EC1A6C">
        <w:t>to definitive surgical treatment (</w:t>
      </w:r>
      <w:r w:rsidR="00EC1A6C" w:rsidRPr="00EC1A6C">
        <w:t>i.e.,</w:t>
      </w:r>
      <w:r w:rsidR="0022265E" w:rsidRPr="00EC1A6C">
        <w:t xml:space="preserve"> revision surgery)</w:t>
      </w:r>
      <w:r w:rsidR="000506B3" w:rsidRPr="00EC1A6C">
        <w:t xml:space="preserve">. </w:t>
      </w:r>
      <w:r w:rsidR="00A8375D" w:rsidRPr="00EC1A6C">
        <w:t xml:space="preserve">The proposed management </w:t>
      </w:r>
      <w:r w:rsidR="00CB7BE1" w:rsidRPr="00EC1A6C">
        <w:t>algorithm</w:t>
      </w:r>
      <w:r w:rsidR="008E6E20">
        <w:t xml:space="preserve"> for </w:t>
      </w:r>
      <w:r w:rsidR="00CF5B0E">
        <w:t>patients with NAO due to LWI, including insertion of LATERA as a treatment option,</w:t>
      </w:r>
      <w:r w:rsidR="00CB7BE1" w:rsidRPr="00EC1A6C">
        <w:t xml:space="preserve"> is shown below</w:t>
      </w:r>
      <w:r w:rsidR="00F44706" w:rsidRPr="00EC1A6C">
        <w:t xml:space="preserve"> (</w:t>
      </w:r>
      <w:r w:rsidR="00F44706" w:rsidRPr="00EC1A6C">
        <w:fldChar w:fldCharType="begin"/>
      </w:r>
      <w:r w:rsidR="00F44706" w:rsidRPr="00EC1A6C">
        <w:instrText xml:space="preserve"> REF _Ref122553067 \h </w:instrText>
      </w:r>
      <w:r w:rsidR="00EC1A6C">
        <w:instrText xml:space="preserve"> \* MERGEFORMAT </w:instrText>
      </w:r>
      <w:r w:rsidR="00F44706" w:rsidRPr="00EC1A6C">
        <w:fldChar w:fldCharType="separate"/>
      </w:r>
      <w:r w:rsidR="003511D3">
        <w:t xml:space="preserve">Figure </w:t>
      </w:r>
      <w:r w:rsidR="003511D3">
        <w:rPr>
          <w:noProof/>
        </w:rPr>
        <w:t>1</w:t>
      </w:r>
      <w:r w:rsidR="00F44706" w:rsidRPr="00EC1A6C">
        <w:fldChar w:fldCharType="end"/>
      </w:r>
      <w:r w:rsidR="00F44706" w:rsidRPr="00EC1A6C">
        <w:t>).</w:t>
      </w:r>
    </w:p>
    <w:p w14:paraId="5D992772" w14:textId="0136275C" w:rsidR="0004722D" w:rsidRDefault="00F44706" w:rsidP="006B736F">
      <w:pPr>
        <w:pStyle w:val="Caption"/>
      </w:pPr>
      <w:bookmarkStart w:id="11" w:name="_Ref122553067"/>
      <w:r>
        <w:lastRenderedPageBreak/>
        <w:t xml:space="preserve">Figure </w:t>
      </w:r>
      <w:r>
        <w:fldChar w:fldCharType="begin"/>
      </w:r>
      <w:r>
        <w:instrText>SEQ Figure \* ARABIC</w:instrText>
      </w:r>
      <w:r>
        <w:fldChar w:fldCharType="separate"/>
      </w:r>
      <w:r w:rsidR="003511D3">
        <w:rPr>
          <w:noProof/>
        </w:rPr>
        <w:t>1</w:t>
      </w:r>
      <w:r>
        <w:fldChar w:fldCharType="end"/>
      </w:r>
      <w:bookmarkEnd w:id="11"/>
      <w:r w:rsidR="002D162D">
        <w:rPr>
          <w:noProof/>
        </w:rPr>
        <w:tab/>
      </w:r>
      <w:r w:rsidR="00BE25D7" w:rsidRPr="00BE25D7">
        <w:t>Proposed management algorithm with the introduction of the proposed service</w:t>
      </w:r>
    </w:p>
    <w:p w14:paraId="51645684" w14:textId="77777777" w:rsidR="00FE02B1" w:rsidRDefault="00006BF3" w:rsidP="002C66E5">
      <w:pPr>
        <w:pStyle w:val="Tablenotes0"/>
      </w:pPr>
      <w:r>
        <w:rPr>
          <w:noProof/>
        </w:rPr>
        <w:drawing>
          <wp:inline distT="0" distB="0" distL="0" distR="0" wp14:anchorId="39D63022" wp14:editId="5314249F">
            <wp:extent cx="5137150" cy="4889500"/>
            <wp:effectExtent l="0" t="0" r="6350" b="6350"/>
            <wp:docPr id="1" name="Picture 1" descr="Proposed management algorithm with the introduction of the proposed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posed management algorithm with the introduction of the proposed service"/>
                    <pic:cNvPicPr/>
                  </pic:nvPicPr>
                  <pic:blipFill rotWithShape="1">
                    <a:blip r:embed="rId9"/>
                    <a:srcRect l="7312" t="2989" r="3058" b="1108"/>
                    <a:stretch/>
                  </pic:blipFill>
                  <pic:spPr bwMode="auto">
                    <a:xfrm>
                      <a:off x="0" y="0"/>
                      <a:ext cx="5137150" cy="4889500"/>
                    </a:xfrm>
                    <a:prstGeom prst="rect">
                      <a:avLst/>
                    </a:prstGeom>
                    <a:ln>
                      <a:noFill/>
                    </a:ln>
                    <a:extLst>
                      <a:ext uri="{53640926-AAD7-44D8-BBD7-CCE9431645EC}">
                        <a14:shadowObscured xmlns:a14="http://schemas.microsoft.com/office/drawing/2010/main"/>
                      </a:ext>
                    </a:extLst>
                  </pic:spPr>
                </pic:pic>
              </a:graphicData>
            </a:graphic>
          </wp:inline>
        </w:drawing>
      </w:r>
    </w:p>
    <w:p w14:paraId="62D40FB1" w14:textId="41C57FAE" w:rsidR="004C74AD" w:rsidRDefault="002A2EB9" w:rsidP="002C66E5">
      <w:pPr>
        <w:pStyle w:val="Tablenotes0"/>
      </w:pPr>
      <w:r>
        <w:t xml:space="preserve">Source: </w:t>
      </w:r>
      <w:r w:rsidR="00955E77">
        <w:t xml:space="preserve">Figure 12 </w:t>
      </w:r>
      <w:r w:rsidR="002C66E5">
        <w:t xml:space="preserve">p42 </w:t>
      </w:r>
      <w:r w:rsidR="00955E77" w:rsidRPr="00955E77">
        <w:t>of MSAC 1719 ADAR</w:t>
      </w:r>
    </w:p>
    <w:p w14:paraId="66BDFCC1" w14:textId="1840B495" w:rsidR="00772829" w:rsidRDefault="002C5802" w:rsidP="002A18BE">
      <w:pPr>
        <w:pStyle w:val="Heading2"/>
        <w:numPr>
          <w:ilvl w:val="0"/>
          <w:numId w:val="0"/>
        </w:numPr>
      </w:pPr>
      <w:bookmarkStart w:id="12" w:name="_Toc69491420"/>
      <w:r>
        <w:t>8</w:t>
      </w:r>
      <w:r w:rsidR="00C36633">
        <w:t>.</w:t>
      </w:r>
      <w:r w:rsidR="00C36633">
        <w:tab/>
      </w:r>
      <w:r w:rsidR="00772829" w:rsidRPr="00CE28E3">
        <w:t>Comparator</w:t>
      </w:r>
      <w:bookmarkEnd w:id="12"/>
    </w:p>
    <w:p w14:paraId="3B780416" w14:textId="768AF7C2" w:rsidR="006C550E" w:rsidRPr="00E15708" w:rsidRDefault="005637AF" w:rsidP="00FB0E96">
      <w:r>
        <w:t xml:space="preserve">The </w:t>
      </w:r>
      <w:r w:rsidR="00A10A0C">
        <w:t xml:space="preserve">comparators </w:t>
      </w:r>
      <w:r w:rsidR="007B1E38" w:rsidRPr="00E15708">
        <w:t xml:space="preserve">are </w:t>
      </w:r>
      <w:r w:rsidR="006C550E" w:rsidRPr="00E15708">
        <w:t>functional rhinoplasty</w:t>
      </w:r>
      <w:r w:rsidR="007B1E38" w:rsidRPr="00E15708">
        <w:t xml:space="preserve"> </w:t>
      </w:r>
      <w:r w:rsidR="00A10A0C">
        <w:t>(</w:t>
      </w:r>
      <w:r w:rsidR="00A86FD5">
        <w:t xml:space="preserve">primary) </w:t>
      </w:r>
      <w:r w:rsidR="007B1E38" w:rsidRPr="00E15708">
        <w:t xml:space="preserve">and </w:t>
      </w:r>
      <w:r w:rsidR="006C550E" w:rsidRPr="00E15708">
        <w:t>conservative management</w:t>
      </w:r>
      <w:r w:rsidR="00A86FD5">
        <w:t xml:space="preserve"> (secondary)</w:t>
      </w:r>
      <w:r w:rsidR="007B1E38" w:rsidRPr="00E15708">
        <w:t xml:space="preserve">. </w:t>
      </w:r>
    </w:p>
    <w:p w14:paraId="47FFF825" w14:textId="37C0656F" w:rsidR="00C86916" w:rsidRDefault="00C86916" w:rsidP="00756ACB">
      <w:pPr>
        <w:pStyle w:val="Heading3"/>
      </w:pPr>
      <w:r>
        <w:t>Functional rhinoplasty (primary comparator)</w:t>
      </w:r>
    </w:p>
    <w:p w14:paraId="1A9BA990" w14:textId="036E4F7E" w:rsidR="000830D5" w:rsidRDefault="00A04E54" w:rsidP="00FB0E96">
      <w:r>
        <w:t>F</w:t>
      </w:r>
      <w:r w:rsidR="000A1464">
        <w:t>unctional rhinoplasty</w:t>
      </w:r>
      <w:r w:rsidR="00C86916">
        <w:t xml:space="preserve"> </w:t>
      </w:r>
      <w:r w:rsidR="00B37384">
        <w:t>is</w:t>
      </w:r>
      <w:r w:rsidR="002C2117">
        <w:t xml:space="preserve"> </w:t>
      </w:r>
      <w:r w:rsidR="002C2117" w:rsidRPr="002C2117">
        <w:t>the gold standard treatment</w:t>
      </w:r>
      <w:r w:rsidR="005E7FBE">
        <w:t xml:space="preserve"> for NAO due to LWI.</w:t>
      </w:r>
      <w:r w:rsidR="000A1464">
        <w:t xml:space="preserve"> </w:t>
      </w:r>
      <w:r w:rsidR="000830D5">
        <w:t>Functional rhinoplasty</w:t>
      </w:r>
      <w:r w:rsidR="003C7A93">
        <w:t xml:space="preserve"> </w:t>
      </w:r>
      <w:r w:rsidR="00D202CE">
        <w:t xml:space="preserve">involves </w:t>
      </w:r>
      <w:r w:rsidR="0049293F">
        <w:t>treatment of the</w:t>
      </w:r>
      <w:r w:rsidR="0049293F" w:rsidRPr="0049293F">
        <w:t xml:space="preserve"> internal valve (reflecting the point of maximum narrowing of the internal nasal airway) and the external valve, with the external valve collapse reflecting a dynamic process. The components of the internal valve, or point of maximum narrowing of the nasal airway, include the anterior inferior turbinate and the septum as well as the relationship of the upper lateral cartilage and the septum. These three components are examined and treated as necessary including septoplasty to correct a deviated septum, turbinate reduction and functional rhinoplasty involving grafts.</w:t>
      </w:r>
    </w:p>
    <w:p w14:paraId="18311897" w14:textId="6262AA94" w:rsidR="000851B1" w:rsidRDefault="00EA0AFC" w:rsidP="00FB0E96">
      <w:r>
        <w:t>T</w:t>
      </w:r>
      <w:r w:rsidR="000851B1">
        <w:t>he main functional rhinoplasty strategies</w:t>
      </w:r>
      <w:r w:rsidR="000C0975">
        <w:t xml:space="preserve"> reportedly</w:t>
      </w:r>
      <w:r w:rsidR="000851B1">
        <w:t xml:space="preserve"> used in the management of NAO due to d</w:t>
      </w:r>
      <w:r w:rsidR="000851B1" w:rsidRPr="00EF7457">
        <w:t>ynamic collapse or LWI</w:t>
      </w:r>
      <w:r w:rsidR="000851B1">
        <w:t>, consistent with the proposed population,</w:t>
      </w:r>
      <w:r w:rsidR="000851B1" w:rsidRPr="00EF7457">
        <w:t xml:space="preserve"> include </w:t>
      </w:r>
      <w:r w:rsidR="000851B1">
        <w:t>the following:</w:t>
      </w:r>
    </w:p>
    <w:p w14:paraId="2E891B51" w14:textId="77777777" w:rsidR="000851B1" w:rsidRPr="002E06CA" w:rsidRDefault="000851B1" w:rsidP="00A16CAB">
      <w:pPr>
        <w:pStyle w:val="ListParagraph"/>
        <w:numPr>
          <w:ilvl w:val="0"/>
          <w:numId w:val="20"/>
        </w:numPr>
      </w:pPr>
      <w:r>
        <w:t xml:space="preserve">Alar </w:t>
      </w:r>
      <w:r w:rsidRPr="002E06CA">
        <w:t>batten grafts</w:t>
      </w:r>
    </w:p>
    <w:p w14:paraId="5CE9D0AF" w14:textId="77777777" w:rsidR="000851B1" w:rsidRPr="002E06CA" w:rsidRDefault="000851B1" w:rsidP="00A16CAB">
      <w:pPr>
        <w:pStyle w:val="ListParagraph"/>
        <w:numPr>
          <w:ilvl w:val="0"/>
          <w:numId w:val="20"/>
        </w:numPr>
      </w:pPr>
      <w:r w:rsidRPr="002E06CA">
        <w:lastRenderedPageBreak/>
        <w:t>Butterfly grafts</w:t>
      </w:r>
    </w:p>
    <w:p w14:paraId="10F7B6BF" w14:textId="77777777" w:rsidR="000851B1" w:rsidRPr="002E06CA" w:rsidRDefault="000851B1" w:rsidP="00A16CAB">
      <w:pPr>
        <w:pStyle w:val="ListParagraph"/>
        <w:numPr>
          <w:ilvl w:val="0"/>
          <w:numId w:val="20"/>
        </w:numPr>
      </w:pPr>
      <w:r w:rsidRPr="002E06CA">
        <w:t>Lateral crural strut grafts</w:t>
      </w:r>
    </w:p>
    <w:p w14:paraId="7BF812E0" w14:textId="29E45B2A" w:rsidR="000851B1" w:rsidRDefault="000851B1" w:rsidP="00A16CAB">
      <w:pPr>
        <w:pStyle w:val="ListParagraph"/>
        <w:numPr>
          <w:ilvl w:val="0"/>
          <w:numId w:val="20"/>
        </w:numPr>
      </w:pPr>
      <w:r w:rsidRPr="002E06CA">
        <w:t>Lateral nasal wall</w:t>
      </w:r>
      <w:r>
        <w:t xml:space="preserve"> suspension (suture technique)</w:t>
      </w:r>
      <w:r w:rsidR="003C7A93">
        <w:t>.</w:t>
      </w:r>
    </w:p>
    <w:p w14:paraId="6C9275D1" w14:textId="26F856F0" w:rsidR="00223EC2" w:rsidRDefault="001618A8" w:rsidP="00FB0E96">
      <w:r>
        <w:t>Functional rhinoplasty is often performed with concomitant procedures</w:t>
      </w:r>
      <w:r w:rsidR="00D12E27">
        <w:t xml:space="preserve"> such as s</w:t>
      </w:r>
      <w:r w:rsidR="00D12E27" w:rsidRPr="002C198A">
        <w:t xml:space="preserve">eptoplasty, septorhinoplasty, turbinate reduction, </w:t>
      </w:r>
      <w:r w:rsidR="00D12E27">
        <w:t xml:space="preserve">and </w:t>
      </w:r>
      <w:r w:rsidR="00D12E27" w:rsidRPr="002C198A">
        <w:t>graft harvesting from the septum</w:t>
      </w:r>
      <w:r w:rsidR="006B3D05">
        <w:t xml:space="preserve"> </w:t>
      </w:r>
      <w:r w:rsidR="00D12E27" w:rsidRPr="002770F1">
        <w:t>when addressing multiple aetiologies</w:t>
      </w:r>
      <w:r w:rsidR="007551C1">
        <w:t xml:space="preserve">, however the comparator </w:t>
      </w:r>
      <w:r w:rsidR="001A6AAC">
        <w:t xml:space="preserve">for this intervention is functional </w:t>
      </w:r>
      <w:r w:rsidR="00FF58A0">
        <w:t>rhinoplasty</w:t>
      </w:r>
      <w:r w:rsidR="00AC6793">
        <w:t xml:space="preserve"> alone</w:t>
      </w:r>
      <w:r w:rsidR="00A938A1">
        <w:t xml:space="preserve">, without adjuncts. </w:t>
      </w:r>
    </w:p>
    <w:p w14:paraId="30CE98A5" w14:textId="308DA854" w:rsidR="00C86916" w:rsidRPr="00E15708" w:rsidRDefault="00C86916" w:rsidP="00C86916">
      <w:pPr>
        <w:spacing w:before="40" w:after="40"/>
        <w:rPr>
          <w:rFonts w:eastAsia="Calibri" w:cs="Times New Roman"/>
        </w:rPr>
      </w:pPr>
      <w:r>
        <w:rPr>
          <w:rFonts w:cstheme="minorHAnsi"/>
          <w:color w:val="2B579A"/>
          <w:shd w:val="clear" w:color="auto" w:fill="E6E6E6"/>
        </w:rPr>
        <w:fldChar w:fldCharType="begin"/>
      </w:r>
      <w:r>
        <w:rPr>
          <w:rFonts w:cstheme="minorHAnsi"/>
        </w:rPr>
        <w:instrText xml:space="preserve"> REF _Ref120536288 \h </w:instrText>
      </w:r>
      <w:r>
        <w:rPr>
          <w:rFonts w:cstheme="minorHAnsi"/>
          <w:color w:val="2B579A"/>
          <w:shd w:val="clear" w:color="auto" w:fill="E6E6E6"/>
        </w:rPr>
        <w:instrText xml:space="preserve"> \* MERGEFORMAT </w:instrText>
      </w:r>
      <w:r>
        <w:rPr>
          <w:rFonts w:cstheme="minorHAnsi"/>
          <w:color w:val="2B579A"/>
          <w:shd w:val="clear" w:color="auto" w:fill="E6E6E6"/>
        </w:rPr>
      </w:r>
      <w:r>
        <w:rPr>
          <w:rFonts w:cstheme="minorHAnsi"/>
          <w:color w:val="2B579A"/>
          <w:shd w:val="clear" w:color="auto" w:fill="E6E6E6"/>
        </w:rPr>
        <w:fldChar w:fldCharType="separate"/>
      </w:r>
      <w:r w:rsidR="003511D3">
        <w:t xml:space="preserve">Table </w:t>
      </w:r>
      <w:r w:rsidR="003511D3">
        <w:rPr>
          <w:noProof/>
        </w:rPr>
        <w:t>4</w:t>
      </w:r>
      <w:r>
        <w:rPr>
          <w:rFonts w:cstheme="minorHAnsi"/>
          <w:color w:val="2B579A"/>
          <w:shd w:val="clear" w:color="auto" w:fill="E6E6E6"/>
        </w:rPr>
        <w:fldChar w:fldCharType="end"/>
      </w:r>
      <w:r>
        <w:rPr>
          <w:rFonts w:cstheme="minorHAnsi"/>
        </w:rPr>
        <w:t xml:space="preserve"> describes the </w:t>
      </w:r>
      <w:r w:rsidRPr="00E15708">
        <w:rPr>
          <w:rFonts w:eastAsia="Calibri" w:cs="Times New Roman"/>
        </w:rPr>
        <w:t>three MBS item numbers for the provision of functional rhinoplasty for the treatment of</w:t>
      </w:r>
      <w:r>
        <w:rPr>
          <w:rFonts w:eastAsia="Calibri" w:cs="Times New Roman"/>
        </w:rPr>
        <w:t xml:space="preserve"> NAO</w:t>
      </w:r>
      <w:r w:rsidRPr="00E15708">
        <w:rPr>
          <w:rFonts w:eastAsia="Calibri" w:cs="Times New Roman"/>
        </w:rPr>
        <w:t>.</w:t>
      </w:r>
      <w:r w:rsidR="00646D00">
        <w:rPr>
          <w:rFonts w:eastAsia="Calibri" w:cs="Times New Roman"/>
        </w:rPr>
        <w:t xml:space="preserve"> </w:t>
      </w:r>
    </w:p>
    <w:p w14:paraId="773AA2FD" w14:textId="343E0EEF" w:rsidR="00C86916" w:rsidRDefault="00646D00" w:rsidP="00FB0E96">
      <w:r>
        <w:t>In brief, MBS item 45632 is for p</w:t>
      </w:r>
      <w:r w:rsidRPr="00646D00">
        <w:t xml:space="preserve">artial rhinoplasty </w:t>
      </w:r>
      <w:r>
        <w:t>involving the</w:t>
      </w:r>
      <w:r w:rsidRPr="00646D00">
        <w:t xml:space="preserve"> correction of cartilage only </w:t>
      </w:r>
      <w:r>
        <w:t>(i.e.</w:t>
      </w:r>
      <w:r w:rsidR="00B67047">
        <w:t>,</w:t>
      </w:r>
      <w:r w:rsidRPr="00646D00">
        <w:t xml:space="preserve"> correction of one or both lateral cartilages, one or both alar cartilages or one or both lateral cartilages and alar cartilage</w:t>
      </w:r>
      <w:r>
        <w:t xml:space="preserve">). The </w:t>
      </w:r>
      <w:r w:rsidRPr="00646D00">
        <w:t xml:space="preserve">other two rhinoplasty MBS items are for total rhinoplasty that involves correction of all bony and cartilaginous elements of the external nose. MBS item 45641 </w:t>
      </w:r>
      <w:r w:rsidR="00310271">
        <w:t xml:space="preserve">is for </w:t>
      </w:r>
      <w:r w:rsidRPr="00646D00">
        <w:t xml:space="preserve">total rhinoplasty with or without autogenous cartilage or bone graft from a local site </w:t>
      </w:r>
      <w:r w:rsidR="00310271">
        <w:t>(</w:t>
      </w:r>
      <w:r w:rsidRPr="00646D00">
        <w:t>nose</w:t>
      </w:r>
      <w:r w:rsidR="00310271">
        <w:t>) and MBS</w:t>
      </w:r>
      <w:r w:rsidRPr="00646D00">
        <w:t xml:space="preserve"> item 45644 </w:t>
      </w:r>
      <w:r w:rsidR="00310271">
        <w:t xml:space="preserve">is for </w:t>
      </w:r>
      <w:r w:rsidRPr="00646D00">
        <w:t>total rhinoplasty with autogenous bone or cartilage graft obtained from distant donor site</w:t>
      </w:r>
      <w:r w:rsidR="00B67047">
        <w:t xml:space="preserve">. </w:t>
      </w:r>
      <w:r w:rsidR="00B67047" w:rsidRPr="00E73BEE">
        <w:t>MBS items 45632, 45641 and 45644 for rhinoplasty were introduced on the MBS from 01 December 1991.</w:t>
      </w:r>
    </w:p>
    <w:p w14:paraId="2424C2C1" w14:textId="726C189A" w:rsidR="000A5953" w:rsidRDefault="000A5953" w:rsidP="00756ACB">
      <w:pPr>
        <w:pStyle w:val="Heading3"/>
      </w:pPr>
      <w:r>
        <w:t>Conservative management (secondary comparator)</w:t>
      </w:r>
    </w:p>
    <w:p w14:paraId="0BF545A4" w14:textId="4BCFB8F2" w:rsidR="003C3925" w:rsidRPr="00E15708" w:rsidRDefault="00C655EA" w:rsidP="00FB0E96">
      <w:r>
        <w:t>C</w:t>
      </w:r>
      <w:r w:rsidR="000A1464" w:rsidRPr="000A1464">
        <w:t>onservative management</w:t>
      </w:r>
      <w:r>
        <w:t xml:space="preserve"> was included in the ratified PICO</w:t>
      </w:r>
      <w:r w:rsidR="00405306">
        <w:t xml:space="preserve"> as the comparator for the </w:t>
      </w:r>
      <w:r w:rsidR="00BB38B2" w:rsidRPr="00BB38B2">
        <w:t>population that meets eligibility for rhinoplasty, but who elect not to have the procedure or have a contraindication to the procedure</w:t>
      </w:r>
      <w:r w:rsidR="000A1464" w:rsidRPr="000A1464">
        <w:t xml:space="preserve">. </w:t>
      </w:r>
      <w:r w:rsidR="00E60FA5">
        <w:t>Conservative management in</w:t>
      </w:r>
      <w:r w:rsidR="00F64C6A">
        <w:t>cludes</w:t>
      </w:r>
      <w:r w:rsidR="00E60FA5">
        <w:t xml:space="preserve"> </w:t>
      </w:r>
      <w:r w:rsidR="00F64C6A">
        <w:t>medical management (</w:t>
      </w:r>
      <w:r w:rsidR="002355BD" w:rsidRPr="002355BD">
        <w:t>nasal steroids, antihistamines</w:t>
      </w:r>
      <w:r w:rsidR="00F64C6A">
        <w:t>)</w:t>
      </w:r>
      <w:r w:rsidR="002355BD" w:rsidRPr="002355BD">
        <w:t xml:space="preserve"> and temporary external supports (</w:t>
      </w:r>
      <w:r w:rsidR="008F1775" w:rsidRPr="002355BD">
        <w:t>e.g.,</w:t>
      </w:r>
      <w:r w:rsidR="002355BD" w:rsidRPr="002355BD">
        <w:t xml:space="preserve"> Breathe Right strips).</w:t>
      </w:r>
      <w:r w:rsidR="002355BD" w:rsidRPr="0014298E">
        <w:t xml:space="preserve"> </w:t>
      </w:r>
    </w:p>
    <w:p w14:paraId="19719DA6" w14:textId="1B0FF799" w:rsidR="006F7B95" w:rsidRPr="00F105D3" w:rsidRDefault="006F7B95" w:rsidP="006F7B95">
      <w:pPr>
        <w:pStyle w:val="Caption"/>
        <w:rPr>
          <w:rFonts w:eastAsia="Calibri"/>
        </w:rPr>
      </w:pPr>
      <w:bookmarkStart w:id="13" w:name="_Ref120536288"/>
      <w:r>
        <w:lastRenderedPageBreak/>
        <w:t xml:space="preserve">Table </w:t>
      </w:r>
      <w:r>
        <w:fldChar w:fldCharType="begin"/>
      </w:r>
      <w:r>
        <w:instrText>SEQ Table \* ARABIC</w:instrText>
      </w:r>
      <w:r>
        <w:fldChar w:fldCharType="separate"/>
      </w:r>
      <w:r w:rsidR="003511D3">
        <w:rPr>
          <w:noProof/>
        </w:rPr>
        <w:t>4</w:t>
      </w:r>
      <w:r>
        <w:fldChar w:fldCharType="end"/>
      </w:r>
      <w:bookmarkEnd w:id="13"/>
      <w:r>
        <w:tab/>
      </w:r>
      <w:r w:rsidR="00E83DF3" w:rsidRPr="00E83DF3">
        <w:rPr>
          <w:rFonts w:eastAsia="Calibri"/>
        </w:rPr>
        <w:t>MBS items claimed for the comparator services</w:t>
      </w:r>
    </w:p>
    <w:tbl>
      <w:tblPr>
        <w:tblStyle w:val="HealthConsult2"/>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F105D3" w:rsidRPr="00F105D3" w14:paraId="1441E1E1" w14:textId="77777777" w:rsidTr="006822A9">
        <w:trPr>
          <w:cantSplit/>
          <w:tblHeader/>
        </w:trPr>
        <w:tc>
          <w:tcPr>
            <w:tcW w:w="9016" w:type="dxa"/>
            <w:tcBorders>
              <w:top w:val="single" w:sz="4" w:space="0" w:color="auto"/>
              <w:left w:val="single" w:sz="4" w:space="0" w:color="auto"/>
              <w:bottom w:val="single" w:sz="4" w:space="0" w:color="auto"/>
              <w:right w:val="single" w:sz="4" w:space="0" w:color="auto"/>
            </w:tcBorders>
            <w:hideMark/>
          </w:tcPr>
          <w:p w14:paraId="3FCC1B58"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 xml:space="preserve">Category 3 </w:t>
            </w:r>
            <w:r w:rsidRPr="00F105D3">
              <w:rPr>
                <w:rFonts w:ascii="Calibri" w:eastAsia="Calibri" w:hAnsi="Calibri" w:cs="Times New Roman"/>
              </w:rPr>
              <w:t xml:space="preserve">– </w:t>
            </w:r>
            <w:r w:rsidRPr="00F105D3">
              <w:rPr>
                <w:rFonts w:ascii="Arial Narrow" w:eastAsia="Calibri" w:hAnsi="Arial Narrow" w:cs="Times New Roman"/>
                <w:sz w:val="20"/>
                <w:szCs w:val="20"/>
              </w:rPr>
              <w:t>THERAPEUTIC PROCEDURES</w:t>
            </w:r>
          </w:p>
        </w:tc>
      </w:tr>
      <w:tr w:rsidR="00F105D3" w:rsidRPr="00F105D3" w14:paraId="2108BF47" w14:textId="77777777" w:rsidTr="006822A9">
        <w:trPr>
          <w:cantSplit/>
          <w:tblHeader/>
        </w:trPr>
        <w:tc>
          <w:tcPr>
            <w:tcW w:w="9016" w:type="dxa"/>
            <w:tcBorders>
              <w:top w:val="single" w:sz="4" w:space="0" w:color="auto"/>
              <w:left w:val="single" w:sz="4" w:space="0" w:color="auto"/>
              <w:bottom w:val="nil"/>
              <w:right w:val="single" w:sz="4" w:space="0" w:color="auto"/>
            </w:tcBorders>
          </w:tcPr>
          <w:p w14:paraId="3E831F39" w14:textId="77777777" w:rsidR="00F105D3" w:rsidRPr="000328F3" w:rsidRDefault="00F105D3" w:rsidP="00F105D3">
            <w:pPr>
              <w:spacing w:before="40" w:after="40"/>
              <w:rPr>
                <w:rFonts w:ascii="Arial Narrow" w:eastAsia="Calibri" w:hAnsi="Arial Narrow" w:cs="Times New Roman"/>
                <w:b/>
                <w:bCs/>
                <w:sz w:val="20"/>
                <w:szCs w:val="20"/>
              </w:rPr>
            </w:pPr>
            <w:r w:rsidRPr="000328F3">
              <w:rPr>
                <w:rFonts w:ascii="Arial Narrow" w:eastAsia="Calibri" w:hAnsi="Arial Narrow" w:cs="Times New Roman"/>
                <w:b/>
                <w:bCs/>
                <w:sz w:val="20"/>
                <w:szCs w:val="20"/>
              </w:rPr>
              <w:t>MBS item 45632</w:t>
            </w:r>
          </w:p>
          <w:p w14:paraId="4751A72C"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Rhinoplasty, partial, involving correction of one or both lateral cartilages, one or both alar cartilages or one or both lateral cartilages and alar cartilages, if:</w:t>
            </w:r>
          </w:p>
          <w:p w14:paraId="2287182E"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(a) the indication for surgery is:</w:t>
            </w:r>
          </w:p>
          <w:p w14:paraId="33B76458" w14:textId="6F24B540" w:rsidR="00F105D3" w:rsidRPr="00F105D3" w:rsidRDefault="00F105D3" w:rsidP="00F105D3">
            <w:pPr>
              <w:spacing w:before="40" w:after="40"/>
              <w:ind w:left="720"/>
              <w:rPr>
                <w:rFonts w:ascii="Arial Narrow" w:eastAsia="Calibri" w:hAnsi="Arial Narrow" w:cs="Times New Roman"/>
                <w:sz w:val="20"/>
                <w:szCs w:val="20"/>
              </w:rPr>
            </w:pPr>
            <w:r w:rsidRPr="00F105D3">
              <w:rPr>
                <w:rFonts w:ascii="Arial Narrow" w:eastAsia="Calibri" w:hAnsi="Arial Narrow" w:cs="Times New Roman"/>
                <w:sz w:val="20"/>
                <w:szCs w:val="20"/>
              </w:rPr>
              <w:t xml:space="preserve">(i) airway obstruction and the patient has a </w:t>
            </w:r>
            <w:r w:rsidR="008F1775" w:rsidRPr="00F105D3">
              <w:rPr>
                <w:rFonts w:ascii="Arial Narrow" w:eastAsia="Calibri" w:hAnsi="Arial Narrow" w:cs="Times New Roman"/>
                <w:sz w:val="20"/>
                <w:szCs w:val="20"/>
              </w:rPr>
              <w:t>self-reported</w:t>
            </w:r>
            <w:r w:rsidRPr="00F105D3">
              <w:rPr>
                <w:rFonts w:ascii="Arial Narrow" w:eastAsia="Calibri" w:hAnsi="Arial Narrow" w:cs="Times New Roman"/>
                <w:sz w:val="20"/>
                <w:szCs w:val="20"/>
              </w:rPr>
              <w:t xml:space="preserve"> NOSE Scale score of greater than 45; or</w:t>
            </w:r>
          </w:p>
          <w:p w14:paraId="1D915053" w14:textId="77777777" w:rsidR="00F105D3" w:rsidRPr="00F105D3" w:rsidRDefault="00F105D3" w:rsidP="00F105D3">
            <w:pPr>
              <w:spacing w:before="40" w:after="40"/>
              <w:ind w:left="720"/>
              <w:rPr>
                <w:rFonts w:ascii="Arial Narrow" w:eastAsia="Calibri" w:hAnsi="Arial Narrow" w:cs="Times New Roman"/>
                <w:sz w:val="20"/>
                <w:szCs w:val="20"/>
              </w:rPr>
            </w:pPr>
            <w:r w:rsidRPr="00F105D3">
              <w:rPr>
                <w:rFonts w:ascii="Arial Narrow" w:eastAsia="Calibri" w:hAnsi="Arial Narrow" w:cs="Times New Roman"/>
                <w:sz w:val="20"/>
                <w:szCs w:val="20"/>
              </w:rPr>
              <w:t>(ii) significant acquired, congenital or developmental deformity; and</w:t>
            </w:r>
          </w:p>
          <w:p w14:paraId="6AC33726" w14:textId="77777777" w:rsidR="00F105D3" w:rsidRPr="00F105D3" w:rsidRDefault="00F105D3" w:rsidP="00AE4565">
            <w:pPr>
              <w:spacing w:before="40" w:after="40"/>
              <w:ind w:left="258" w:hanging="258"/>
              <w:rPr>
                <w:rFonts w:ascii="Arial Narrow" w:eastAsia="Calibri" w:hAnsi="Arial Narrow" w:cs="Times New Roman"/>
                <w:sz w:val="20"/>
                <w:szCs w:val="20"/>
              </w:rPr>
            </w:pPr>
            <w:r w:rsidRPr="00F105D3">
              <w:rPr>
                <w:rFonts w:ascii="Arial Narrow" w:eastAsia="Calibri" w:hAnsi="Arial Narrow" w:cs="Times New Roman"/>
                <w:sz w:val="20"/>
                <w:szCs w:val="20"/>
              </w:rPr>
              <w:t>(b) photographic and/or NOSE Scale evidence demonstrating the clinical need for this service is documented in the patient notes</w:t>
            </w:r>
          </w:p>
          <w:p w14:paraId="5E279315"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Multiple Operation Rule</w:t>
            </w:r>
          </w:p>
          <w:p w14:paraId="2F426426"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(Anaes.)</w:t>
            </w:r>
          </w:p>
        </w:tc>
      </w:tr>
      <w:tr w:rsidR="00F105D3" w:rsidRPr="00F105D3" w14:paraId="513145A8" w14:textId="77777777" w:rsidTr="006822A9">
        <w:trPr>
          <w:cantSplit/>
          <w:tblHeader/>
        </w:trPr>
        <w:tc>
          <w:tcPr>
            <w:tcW w:w="9016" w:type="dxa"/>
            <w:tcBorders>
              <w:top w:val="nil"/>
              <w:left w:val="single" w:sz="4" w:space="0" w:color="auto"/>
              <w:bottom w:val="single" w:sz="4" w:space="0" w:color="auto"/>
              <w:right w:val="single" w:sz="4" w:space="0" w:color="auto"/>
            </w:tcBorders>
            <w:vAlign w:val="center"/>
          </w:tcPr>
          <w:p w14:paraId="679EC67B"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Fee: $541.20 Benefit: 75% = $405.90 85% = $460.05</w:t>
            </w:r>
          </w:p>
        </w:tc>
      </w:tr>
      <w:tr w:rsidR="00F105D3" w:rsidRPr="00F105D3" w14:paraId="0D91F677" w14:textId="77777777" w:rsidTr="006822A9">
        <w:trPr>
          <w:cantSplit/>
          <w:tblHeader/>
        </w:trPr>
        <w:tc>
          <w:tcPr>
            <w:tcW w:w="9016" w:type="dxa"/>
            <w:tcBorders>
              <w:top w:val="single" w:sz="4" w:space="0" w:color="auto"/>
              <w:left w:val="single" w:sz="4" w:space="0" w:color="auto"/>
              <w:bottom w:val="nil"/>
              <w:right w:val="single" w:sz="4" w:space="0" w:color="auto"/>
            </w:tcBorders>
          </w:tcPr>
          <w:p w14:paraId="151BACA3" w14:textId="77777777" w:rsidR="00F105D3" w:rsidRPr="000328F3" w:rsidRDefault="00F105D3" w:rsidP="00F105D3">
            <w:pPr>
              <w:spacing w:before="40" w:after="40"/>
              <w:rPr>
                <w:rFonts w:ascii="Arial Narrow" w:eastAsia="Calibri" w:hAnsi="Arial Narrow" w:cs="Times New Roman"/>
                <w:b/>
                <w:bCs/>
                <w:sz w:val="20"/>
                <w:szCs w:val="20"/>
              </w:rPr>
            </w:pPr>
            <w:r w:rsidRPr="000328F3">
              <w:rPr>
                <w:rFonts w:ascii="Arial Narrow" w:eastAsia="Calibri" w:hAnsi="Arial Narrow" w:cs="Times New Roman"/>
                <w:b/>
                <w:bCs/>
                <w:sz w:val="20"/>
                <w:szCs w:val="20"/>
              </w:rPr>
              <w:t>MBS item 45641</w:t>
            </w:r>
          </w:p>
          <w:p w14:paraId="61BAA229"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Rhinoplasty, total, including correction of all bony and cartilaginous elements of the external nose, with or without autogenous cartilage or bone graft from a local site (nasal), if:</w:t>
            </w:r>
          </w:p>
          <w:p w14:paraId="4FEBDA88"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(a) the indication for surgery is:</w:t>
            </w:r>
          </w:p>
          <w:p w14:paraId="262B72DE" w14:textId="77777777" w:rsidR="00F105D3" w:rsidRPr="00F105D3" w:rsidRDefault="00F105D3" w:rsidP="00F105D3">
            <w:pPr>
              <w:spacing w:before="40" w:after="40"/>
              <w:ind w:left="720"/>
              <w:rPr>
                <w:rFonts w:ascii="Arial Narrow" w:eastAsia="Calibri" w:hAnsi="Arial Narrow" w:cs="Times New Roman"/>
                <w:sz w:val="20"/>
                <w:szCs w:val="20"/>
              </w:rPr>
            </w:pPr>
            <w:r w:rsidRPr="00F105D3">
              <w:rPr>
                <w:rFonts w:ascii="Arial Narrow" w:eastAsia="Calibri" w:hAnsi="Arial Narrow" w:cs="Times New Roman"/>
                <w:sz w:val="20"/>
                <w:szCs w:val="20"/>
              </w:rPr>
              <w:t>(i) airway obstruction and the patient has a self</w:t>
            </w:r>
            <w:r w:rsidRPr="00F105D3">
              <w:rPr>
                <w:rFonts w:ascii="Arial Narrow" w:eastAsia="Calibri" w:hAnsi="Arial Narrow" w:cs="Times New Roman"/>
                <w:sz w:val="20"/>
                <w:szCs w:val="20"/>
              </w:rPr>
              <w:noBreakHyphen/>
              <w:t>reported NOSE Scale score of greater than 45; or</w:t>
            </w:r>
          </w:p>
          <w:p w14:paraId="6BE271DB" w14:textId="77777777" w:rsidR="00F105D3" w:rsidRPr="00F105D3" w:rsidRDefault="00F105D3" w:rsidP="00F105D3">
            <w:pPr>
              <w:spacing w:before="40" w:after="40"/>
              <w:ind w:left="720"/>
              <w:rPr>
                <w:rFonts w:ascii="Arial Narrow" w:eastAsia="Calibri" w:hAnsi="Arial Narrow" w:cs="Times New Roman"/>
                <w:sz w:val="20"/>
                <w:szCs w:val="20"/>
              </w:rPr>
            </w:pPr>
            <w:r w:rsidRPr="00F105D3">
              <w:rPr>
                <w:rFonts w:ascii="Arial Narrow" w:eastAsia="Calibri" w:hAnsi="Arial Narrow" w:cs="Times New Roman"/>
                <w:sz w:val="20"/>
                <w:szCs w:val="20"/>
              </w:rPr>
              <w:t>(ii) significant acquired, congenital or developmental deformity; and</w:t>
            </w:r>
          </w:p>
          <w:p w14:paraId="6936DC23" w14:textId="77777777" w:rsidR="00F105D3" w:rsidRPr="00F105D3" w:rsidRDefault="00F105D3" w:rsidP="00AE4565">
            <w:pPr>
              <w:spacing w:before="40" w:after="40"/>
              <w:ind w:left="244" w:hanging="244"/>
              <w:rPr>
                <w:rFonts w:ascii="Arial Narrow" w:eastAsia="Calibri" w:hAnsi="Arial Narrow" w:cs="Times New Roman"/>
                <w:sz w:val="20"/>
                <w:szCs w:val="20"/>
              </w:rPr>
            </w:pPr>
            <w:r w:rsidRPr="00F105D3">
              <w:rPr>
                <w:rFonts w:ascii="Arial Narrow" w:eastAsia="Calibri" w:hAnsi="Arial Narrow" w:cs="Times New Roman"/>
                <w:sz w:val="20"/>
                <w:szCs w:val="20"/>
              </w:rPr>
              <w:t>(b) photographic and/or NOSE Scale evidence demonstrating the clinical need for this service is documented in the patient notes</w:t>
            </w:r>
          </w:p>
          <w:p w14:paraId="78A81509"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Multiple Operation Rule</w:t>
            </w:r>
          </w:p>
          <w:p w14:paraId="633BF0CE"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(Anaes.)</w:t>
            </w:r>
          </w:p>
        </w:tc>
      </w:tr>
      <w:tr w:rsidR="00F105D3" w:rsidRPr="00F105D3" w14:paraId="72DB1196" w14:textId="77777777" w:rsidTr="006822A9">
        <w:trPr>
          <w:cantSplit/>
          <w:tblHeader/>
        </w:trPr>
        <w:tc>
          <w:tcPr>
            <w:tcW w:w="9016" w:type="dxa"/>
            <w:tcBorders>
              <w:top w:val="nil"/>
              <w:left w:val="single" w:sz="4" w:space="0" w:color="auto"/>
              <w:bottom w:val="single" w:sz="4" w:space="0" w:color="auto"/>
              <w:right w:val="single" w:sz="4" w:space="0" w:color="auto"/>
            </w:tcBorders>
            <w:vAlign w:val="center"/>
          </w:tcPr>
          <w:p w14:paraId="33A8EEBA"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Fee: $1,126.95 Benefit: 75% = $845.25</w:t>
            </w:r>
          </w:p>
        </w:tc>
      </w:tr>
      <w:tr w:rsidR="00F105D3" w:rsidRPr="00F105D3" w14:paraId="5EAE0EF6" w14:textId="77777777" w:rsidTr="006822A9">
        <w:trPr>
          <w:cantSplit/>
          <w:tblHeader/>
        </w:trPr>
        <w:tc>
          <w:tcPr>
            <w:tcW w:w="9016" w:type="dxa"/>
            <w:tcBorders>
              <w:top w:val="single" w:sz="4" w:space="0" w:color="auto"/>
              <w:left w:val="single" w:sz="4" w:space="0" w:color="auto"/>
              <w:bottom w:val="nil"/>
              <w:right w:val="single" w:sz="4" w:space="0" w:color="auto"/>
            </w:tcBorders>
          </w:tcPr>
          <w:p w14:paraId="40EA6D8F" w14:textId="77777777" w:rsidR="00F105D3" w:rsidRPr="000328F3" w:rsidRDefault="00F105D3" w:rsidP="00F105D3">
            <w:pPr>
              <w:spacing w:before="40" w:after="40"/>
              <w:rPr>
                <w:rFonts w:ascii="Arial Narrow" w:eastAsia="Calibri" w:hAnsi="Arial Narrow" w:cs="Times New Roman"/>
                <w:b/>
                <w:bCs/>
                <w:sz w:val="20"/>
                <w:szCs w:val="20"/>
              </w:rPr>
            </w:pPr>
            <w:r w:rsidRPr="000328F3">
              <w:rPr>
                <w:rFonts w:ascii="Arial Narrow" w:eastAsia="Calibri" w:hAnsi="Arial Narrow" w:cs="Times New Roman"/>
                <w:b/>
                <w:bCs/>
                <w:sz w:val="20"/>
                <w:szCs w:val="20"/>
              </w:rPr>
              <w:t>MBS item 45644</w:t>
            </w:r>
          </w:p>
          <w:p w14:paraId="7C79F072"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Rhinoplasty, total, including correction of all bony and cartilaginous elements of the external nose involving autogenous bone or cartilage graft obtained from distant donor site, including obtaining of graft, if:</w:t>
            </w:r>
          </w:p>
          <w:p w14:paraId="6D0A3C06"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(a) the indication for surgery is:</w:t>
            </w:r>
          </w:p>
          <w:p w14:paraId="3CADA0B3" w14:textId="77777777" w:rsidR="00F105D3" w:rsidRPr="00F105D3" w:rsidRDefault="00F105D3" w:rsidP="00AE4565">
            <w:pPr>
              <w:spacing w:before="40" w:after="40"/>
              <w:ind w:left="720"/>
              <w:rPr>
                <w:rFonts w:ascii="Arial Narrow" w:eastAsia="Calibri" w:hAnsi="Arial Narrow" w:cs="Times New Roman"/>
                <w:sz w:val="20"/>
                <w:szCs w:val="20"/>
              </w:rPr>
            </w:pPr>
            <w:r w:rsidRPr="00F105D3">
              <w:rPr>
                <w:rFonts w:ascii="Arial Narrow" w:eastAsia="Calibri" w:hAnsi="Arial Narrow" w:cs="Times New Roman"/>
                <w:sz w:val="20"/>
                <w:szCs w:val="20"/>
              </w:rPr>
              <w:t>(i) airway obstruction and the patient has a self</w:t>
            </w:r>
            <w:r w:rsidRPr="00F105D3">
              <w:rPr>
                <w:rFonts w:ascii="Arial Narrow" w:eastAsia="Calibri" w:hAnsi="Arial Narrow" w:cs="Times New Roman"/>
                <w:sz w:val="20"/>
                <w:szCs w:val="20"/>
              </w:rPr>
              <w:noBreakHyphen/>
              <w:t>reported NOSE Scale score of greater than 45; or</w:t>
            </w:r>
          </w:p>
          <w:p w14:paraId="6BFAC9DE" w14:textId="77777777" w:rsidR="00F105D3" w:rsidRPr="00F105D3" w:rsidRDefault="00F105D3" w:rsidP="00AE4565">
            <w:pPr>
              <w:spacing w:before="40" w:after="40"/>
              <w:ind w:left="720"/>
              <w:rPr>
                <w:rFonts w:ascii="Arial Narrow" w:eastAsia="Calibri" w:hAnsi="Arial Narrow" w:cs="Times New Roman"/>
                <w:sz w:val="20"/>
                <w:szCs w:val="20"/>
              </w:rPr>
            </w:pPr>
            <w:r w:rsidRPr="00F105D3">
              <w:rPr>
                <w:rFonts w:ascii="Arial Narrow" w:eastAsia="Calibri" w:hAnsi="Arial Narrow" w:cs="Times New Roman"/>
                <w:sz w:val="20"/>
                <w:szCs w:val="20"/>
              </w:rPr>
              <w:t>(ii) significant acquired, congenital or developmental deformity; and</w:t>
            </w:r>
          </w:p>
          <w:p w14:paraId="0F1F377F" w14:textId="77777777" w:rsidR="00F105D3" w:rsidRPr="00F105D3" w:rsidRDefault="00F105D3" w:rsidP="00AE4565">
            <w:pPr>
              <w:spacing w:before="40" w:after="40"/>
              <w:ind w:left="244" w:hanging="244"/>
              <w:rPr>
                <w:rFonts w:ascii="Arial Narrow" w:eastAsia="Calibri" w:hAnsi="Arial Narrow" w:cs="Times New Roman"/>
                <w:sz w:val="20"/>
                <w:szCs w:val="20"/>
              </w:rPr>
            </w:pPr>
            <w:r w:rsidRPr="00F105D3">
              <w:rPr>
                <w:rFonts w:ascii="Arial Narrow" w:eastAsia="Calibri" w:hAnsi="Arial Narrow" w:cs="Times New Roman"/>
                <w:sz w:val="20"/>
                <w:szCs w:val="20"/>
              </w:rPr>
              <w:t>(b) photographic and/or NOSE Scale evidence demonstrating the clinical need for this service is documented in the patient notes</w:t>
            </w:r>
          </w:p>
          <w:p w14:paraId="3BA0C1B4"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Multiple Operation Rule</w:t>
            </w:r>
          </w:p>
          <w:p w14:paraId="2133E392"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(Anaes.) (Assist.)</w:t>
            </w:r>
          </w:p>
        </w:tc>
      </w:tr>
      <w:tr w:rsidR="00F105D3" w:rsidRPr="00F105D3" w14:paraId="271F127D" w14:textId="77777777" w:rsidTr="006822A9">
        <w:trPr>
          <w:cantSplit/>
          <w:tblHeader/>
        </w:trPr>
        <w:tc>
          <w:tcPr>
            <w:tcW w:w="9016" w:type="dxa"/>
            <w:tcBorders>
              <w:top w:val="nil"/>
              <w:left w:val="single" w:sz="4" w:space="0" w:color="auto"/>
              <w:bottom w:val="single" w:sz="4" w:space="0" w:color="auto"/>
              <w:right w:val="single" w:sz="4" w:space="0" w:color="auto"/>
            </w:tcBorders>
            <w:vAlign w:val="center"/>
          </w:tcPr>
          <w:p w14:paraId="5680D2AD" w14:textId="77777777" w:rsidR="00F105D3" w:rsidRPr="00F105D3" w:rsidRDefault="00F105D3" w:rsidP="00F105D3">
            <w:pPr>
              <w:spacing w:before="40" w:after="40"/>
              <w:rPr>
                <w:rFonts w:ascii="Arial Narrow" w:eastAsia="Calibri" w:hAnsi="Arial Narrow" w:cs="Times New Roman"/>
                <w:sz w:val="20"/>
                <w:szCs w:val="20"/>
              </w:rPr>
            </w:pPr>
            <w:r w:rsidRPr="00F105D3">
              <w:rPr>
                <w:rFonts w:ascii="Arial Narrow" w:eastAsia="Calibri" w:hAnsi="Arial Narrow" w:cs="Times New Roman"/>
                <w:sz w:val="20"/>
                <w:szCs w:val="20"/>
              </w:rPr>
              <w:t>Fee: $1,352.55 Benefit: 75% = $1,014.45</w:t>
            </w:r>
          </w:p>
        </w:tc>
      </w:tr>
    </w:tbl>
    <w:p w14:paraId="54CD9BB5" w14:textId="5CB27EF4" w:rsidR="00E73BEE" w:rsidRDefault="00F25506" w:rsidP="003E74CF">
      <w:pPr>
        <w:pStyle w:val="Tablenotes0"/>
      </w:pPr>
      <w:bookmarkStart w:id="14" w:name="_Toc69491421"/>
      <w:r>
        <w:t xml:space="preserve">Source: MBS </w:t>
      </w:r>
      <w:r w:rsidR="006F7B95">
        <w:t>online:</w:t>
      </w:r>
      <w:r>
        <w:t xml:space="preserve"> </w:t>
      </w:r>
      <w:hyperlink r:id="rId10" w:history="1">
        <w:r w:rsidR="006F7B95" w:rsidRPr="00481F28">
          <w:rPr>
            <w:rStyle w:val="Hyperlink"/>
          </w:rPr>
          <w:t>http://www.mbsonline.gov.au/internet/mbsonline/publishing.nsf/Content/Home</w:t>
        </w:r>
      </w:hyperlink>
      <w:r w:rsidR="006F7B95">
        <w:t xml:space="preserve"> </w:t>
      </w:r>
    </w:p>
    <w:p w14:paraId="47BC3A84" w14:textId="496A3F02" w:rsidR="00772829" w:rsidRPr="00CE28E3" w:rsidRDefault="002C5802" w:rsidP="002A18BE">
      <w:pPr>
        <w:pStyle w:val="Heading2"/>
        <w:numPr>
          <w:ilvl w:val="0"/>
          <w:numId w:val="0"/>
        </w:numPr>
      </w:pPr>
      <w:r>
        <w:t>9</w:t>
      </w:r>
      <w:r w:rsidR="00C36633">
        <w:t>.</w:t>
      </w:r>
      <w:r w:rsidR="00C36633">
        <w:tab/>
      </w:r>
      <w:r w:rsidR="00772829" w:rsidRPr="00CE28E3">
        <w:t xml:space="preserve">Summary of public consultation </w:t>
      </w:r>
      <w:r w:rsidR="0052575D">
        <w:t>input</w:t>
      </w:r>
      <w:bookmarkEnd w:id="14"/>
    </w:p>
    <w:p w14:paraId="79AB373B" w14:textId="77777777" w:rsidR="00783FE3" w:rsidRDefault="00783FE3" w:rsidP="00783FE3">
      <w:r w:rsidRPr="00410137">
        <w:t xml:space="preserve">Consultation input was received from </w:t>
      </w:r>
      <w:r>
        <w:t>four individual</w:t>
      </w:r>
      <w:r w:rsidRPr="00410137">
        <w:t xml:space="preserve"> health professional</w:t>
      </w:r>
      <w:r>
        <w:t xml:space="preserve">s, including two plastic surgeons and two Ear, Nose and Throat (ENT) surgeons. </w:t>
      </w:r>
      <w:r w:rsidRPr="00410137">
        <w:t xml:space="preserve"> </w:t>
      </w:r>
      <w:r>
        <w:t xml:space="preserve">The input was </w:t>
      </w:r>
      <w:r w:rsidRPr="00410137">
        <w:t>mostly supportive of public funding for the service</w:t>
      </w:r>
      <w:r>
        <w:t xml:space="preserve"> and agreed there is a clinical need for a minimally invasive procedure for patients with NAO due to LWI. </w:t>
      </w:r>
    </w:p>
    <w:p w14:paraId="3872CD77" w14:textId="77777777" w:rsidR="00783FE3" w:rsidRPr="00712328" w:rsidRDefault="00783FE3" w:rsidP="00783FE3">
      <w:r w:rsidRPr="00712328">
        <w:t>The health professional</w:t>
      </w:r>
      <w:r>
        <w:t>s</w:t>
      </w:r>
      <w:r w:rsidRPr="00712328">
        <w:t xml:space="preserve"> stated that the main benefit of the proposed service is a simple, quick, office procedure</w:t>
      </w:r>
      <w:r>
        <w:t xml:space="preserve"> that provides structural support of the lateral wall and compared to rhinoplasty, the service is less invasive, does not require grafts or manipulation of bones/cartilages and would have a quicker post-procedural recovery time</w:t>
      </w:r>
      <w:r w:rsidRPr="00712328">
        <w:t xml:space="preserve">. </w:t>
      </w:r>
      <w:r>
        <w:t>Feedback also</w:t>
      </w:r>
      <w:r w:rsidRPr="00712328">
        <w:t xml:space="preserve"> state</w:t>
      </w:r>
      <w:r>
        <w:t>d</w:t>
      </w:r>
      <w:r w:rsidRPr="00712328">
        <w:t xml:space="preserve"> that a further benefit to the proposed service is a reduced requirement for surgery. However, </w:t>
      </w:r>
      <w:r>
        <w:t xml:space="preserve">one respondent </w:t>
      </w:r>
      <w:r w:rsidRPr="00712328">
        <w:t xml:space="preserve">did express that longevity is a concern and that the natural history of absorbable implants is that the effect wears off with time. </w:t>
      </w:r>
    </w:p>
    <w:p w14:paraId="274131F6" w14:textId="77777777" w:rsidR="00783FE3" w:rsidRPr="00712328" w:rsidRDefault="00783FE3" w:rsidP="00783FE3">
      <w:r w:rsidRPr="00712328">
        <w:lastRenderedPageBreak/>
        <w:t>The health professional</w:t>
      </w:r>
      <w:r>
        <w:t>s</w:t>
      </w:r>
      <w:r w:rsidRPr="00712328">
        <w:t xml:space="preserve"> </w:t>
      </w:r>
      <w:r>
        <w:t xml:space="preserve">largely </w:t>
      </w:r>
      <w:r w:rsidRPr="00712328">
        <w:t xml:space="preserve">agreed with the </w:t>
      </w:r>
      <w:r>
        <w:t xml:space="preserve">proposed </w:t>
      </w:r>
      <w:r w:rsidRPr="00712328">
        <w:t xml:space="preserve">population, intervention, </w:t>
      </w:r>
      <w:r>
        <w:t>and</w:t>
      </w:r>
      <w:r w:rsidRPr="00712328">
        <w:t xml:space="preserve"> </w:t>
      </w:r>
      <w:r>
        <w:t xml:space="preserve">the primary </w:t>
      </w:r>
      <w:r w:rsidRPr="00712328">
        <w:t>comparator</w:t>
      </w:r>
      <w:r>
        <w:t xml:space="preserve"> (functional rhinoplasty)</w:t>
      </w:r>
      <w:r w:rsidRPr="00712328">
        <w:t xml:space="preserve"> in the application form</w:t>
      </w:r>
      <w:r>
        <w:t xml:space="preserve"> and PICO Confirmation</w:t>
      </w:r>
      <w:r w:rsidRPr="00712328">
        <w:t xml:space="preserve">. </w:t>
      </w:r>
      <w:r>
        <w:t>Respondents also considered that conservative management could also be an appropriate comparator for patients that meet eligibility for a rhinoplasty but who are contraindicated or choose not to have the procedure. Input largely agreed with the proposed service descriptor h</w:t>
      </w:r>
      <w:r w:rsidRPr="00712328">
        <w:t xml:space="preserve">owever, </w:t>
      </w:r>
      <w:r>
        <w:t>one respondent</w:t>
      </w:r>
      <w:r w:rsidRPr="00712328">
        <w:t xml:space="preserve"> </w:t>
      </w:r>
      <w:r>
        <w:t>considered</w:t>
      </w:r>
      <w:r w:rsidRPr="00712328">
        <w:t xml:space="preserve"> that a positive Cottle manoeuvre is a fairly non-discriminatory test, because in most people it is positive, and that if it</w:t>
      </w:r>
      <w:r>
        <w:t xml:space="preserve"> </w:t>
      </w:r>
      <w:r w:rsidRPr="40B37342">
        <w:t>is</w:t>
      </w:r>
      <w:r w:rsidRPr="00712328">
        <w:t xml:space="preserve"> negative, the obstruction is likely static and will not be affected by the device.</w:t>
      </w:r>
      <w:r>
        <w:t xml:space="preserve"> </w:t>
      </w:r>
    </w:p>
    <w:p w14:paraId="0B267B25" w14:textId="77777777" w:rsidR="00783FE3" w:rsidRPr="00423960" w:rsidRDefault="00783FE3" w:rsidP="00783FE3">
      <w:pPr>
        <w:rPr>
          <w:rFonts w:asciiTheme="minorHAnsi" w:hAnsiTheme="minorHAnsi" w:cstheme="minorHAnsi"/>
          <w:szCs w:val="16"/>
        </w:rPr>
      </w:pPr>
      <w:r>
        <w:t>Three respondents agreed with the clinical claim for LATERA versus functional rhinoplasty and conservative management. However, one respondent</w:t>
      </w:r>
      <w:r w:rsidRPr="00712328">
        <w:t xml:space="preserve"> disagreed with the clinical claim and stated that there are no comparisons v</w:t>
      </w:r>
      <w:r>
        <w:t>ersu</w:t>
      </w:r>
      <w:r w:rsidRPr="00712328">
        <w:t>s well performed rhinoplasty and that rhinoplasty does a lot more than the device can do. The</w:t>
      </w:r>
      <w:r>
        <w:t xml:space="preserve"> respondent</w:t>
      </w:r>
      <w:r w:rsidRPr="00712328">
        <w:t xml:space="preserve"> further stated that overall, for select cases, the proposed service may work. The </w:t>
      </w:r>
      <w:r>
        <w:t>respondent also noted</w:t>
      </w:r>
      <w:r w:rsidRPr="00712328">
        <w:t xml:space="preserve"> that the implant may be very useful in certain circumstances of valve collapse with no other issues</w:t>
      </w:r>
      <w:r>
        <w:t xml:space="preserve"> but </w:t>
      </w:r>
      <w:r w:rsidRPr="00712328">
        <w:t>state</w:t>
      </w:r>
      <w:r>
        <w:t>d</w:t>
      </w:r>
      <w:r w:rsidRPr="00712328">
        <w:t xml:space="preserve"> that the effect is unlikely to be permanent and that longer term studies are needed for this.</w:t>
      </w:r>
      <w:r>
        <w:t xml:space="preserve"> The respondent also considered</w:t>
      </w:r>
      <w:r w:rsidRPr="00712328">
        <w:t xml:space="preserve"> that Specialist Plastic Surgeons do a large number of rhinoplasties in Australia, and disagreed with using rhinologists as the reference group. The</w:t>
      </w:r>
      <w:r>
        <w:t xml:space="preserve"> feedback</w:t>
      </w:r>
      <w:r w:rsidRPr="00712328">
        <w:t xml:space="preserve"> further stated that Rhinoplasty surgeons would be the group that carry out the most rhinoplasties and consists of Specialist Otolaryngologist Head and Neck surgeons and Specialist Plastic surgeons.</w:t>
      </w:r>
    </w:p>
    <w:p w14:paraId="03C7A1F1" w14:textId="3C6AF129" w:rsidR="00772829" w:rsidRPr="00CE28E3" w:rsidRDefault="002C5802" w:rsidP="002A18BE">
      <w:pPr>
        <w:pStyle w:val="Heading2"/>
        <w:numPr>
          <w:ilvl w:val="0"/>
          <w:numId w:val="0"/>
        </w:numPr>
      </w:pPr>
      <w:bookmarkStart w:id="15" w:name="_Toc69491422"/>
      <w:r>
        <w:t>10</w:t>
      </w:r>
      <w:r w:rsidR="00C36633">
        <w:t>.</w:t>
      </w:r>
      <w:r w:rsidR="00C36633">
        <w:tab/>
      </w:r>
      <w:r w:rsidR="00772829" w:rsidRPr="00CE28E3">
        <w:t>Characteristics of the evidence base</w:t>
      </w:r>
      <w:bookmarkEnd w:id="15"/>
    </w:p>
    <w:p w14:paraId="3D28015D" w14:textId="77777777" w:rsidR="00A301E4" w:rsidRPr="00045F66" w:rsidRDefault="00A301E4" w:rsidP="00A301E4">
      <w:pPr>
        <w:pStyle w:val="Heading3"/>
      </w:pPr>
      <w:bookmarkStart w:id="16" w:name="_Hlk119351856"/>
      <w:r w:rsidRPr="00045F66">
        <w:t>LATERA v</w:t>
      </w:r>
      <w:r>
        <w:t>ersu</w:t>
      </w:r>
      <w:r w:rsidRPr="00045F66">
        <w:t xml:space="preserve">s </w:t>
      </w:r>
      <w:r>
        <w:t xml:space="preserve">functional </w:t>
      </w:r>
      <w:r w:rsidRPr="00045F66">
        <w:t>rhinoplasty</w:t>
      </w:r>
    </w:p>
    <w:p w14:paraId="2A00682D" w14:textId="77777777" w:rsidR="000E00C7" w:rsidRDefault="00A301E4" w:rsidP="00B11952">
      <w:pPr>
        <w:pStyle w:val="Instructionaltext"/>
        <w:rPr>
          <w:color w:val="auto"/>
        </w:rPr>
      </w:pPr>
      <w:r w:rsidRPr="00E15708">
        <w:rPr>
          <w:color w:val="auto"/>
        </w:rPr>
        <w:t xml:space="preserve">No </w:t>
      </w:r>
      <w:r>
        <w:rPr>
          <w:color w:val="auto"/>
        </w:rPr>
        <w:t>comparative evidence</w:t>
      </w:r>
      <w:r w:rsidRPr="00E15708">
        <w:rPr>
          <w:color w:val="auto"/>
        </w:rPr>
        <w:t xml:space="preserve"> </w:t>
      </w:r>
      <w:r>
        <w:rPr>
          <w:color w:val="auto"/>
        </w:rPr>
        <w:t>for</w:t>
      </w:r>
      <w:r w:rsidRPr="00E15708">
        <w:rPr>
          <w:color w:val="auto"/>
        </w:rPr>
        <w:t xml:space="preserve"> LATERA </w:t>
      </w:r>
      <w:r>
        <w:rPr>
          <w:color w:val="auto"/>
        </w:rPr>
        <w:t>versus functional</w:t>
      </w:r>
      <w:r w:rsidRPr="00E15708">
        <w:rPr>
          <w:color w:val="auto"/>
        </w:rPr>
        <w:t xml:space="preserve"> rhinoplasty </w:t>
      </w:r>
      <w:r>
        <w:rPr>
          <w:color w:val="auto"/>
        </w:rPr>
        <w:t>(</w:t>
      </w:r>
      <w:r w:rsidRPr="00E15708">
        <w:rPr>
          <w:color w:val="auto"/>
        </w:rPr>
        <w:t>when used alone</w:t>
      </w:r>
      <w:r w:rsidR="00461A84">
        <w:rPr>
          <w:color w:val="auto"/>
        </w:rPr>
        <w:t xml:space="preserve"> i.e., without any adjunct procedures</w:t>
      </w:r>
      <w:r>
        <w:rPr>
          <w:color w:val="auto"/>
        </w:rPr>
        <w:t>) was</w:t>
      </w:r>
      <w:r w:rsidRPr="00E15708">
        <w:rPr>
          <w:color w:val="auto"/>
        </w:rPr>
        <w:t xml:space="preserve"> identified</w:t>
      </w:r>
      <w:r w:rsidR="00F51D45">
        <w:rPr>
          <w:color w:val="auto"/>
        </w:rPr>
        <w:t xml:space="preserve">. </w:t>
      </w:r>
      <w:r w:rsidR="009F1BA7">
        <w:rPr>
          <w:color w:val="auto"/>
        </w:rPr>
        <w:t xml:space="preserve">Therefore, the </w:t>
      </w:r>
      <w:r w:rsidR="00966EF9">
        <w:rPr>
          <w:color w:val="auto"/>
        </w:rPr>
        <w:t xml:space="preserve">comparison of </w:t>
      </w:r>
      <w:r w:rsidR="00215E15" w:rsidRPr="00D402C8">
        <w:rPr>
          <w:color w:val="auto"/>
        </w:rPr>
        <w:t xml:space="preserve">LATERA versus rhinoplasty </w:t>
      </w:r>
      <w:bookmarkEnd w:id="16"/>
      <w:r w:rsidR="004B5540">
        <w:rPr>
          <w:color w:val="auto"/>
        </w:rPr>
        <w:t>was</w:t>
      </w:r>
      <w:r w:rsidR="004B5540" w:rsidRPr="00D402C8">
        <w:rPr>
          <w:color w:val="auto"/>
        </w:rPr>
        <w:t xml:space="preserve"> </w:t>
      </w:r>
      <w:r w:rsidR="00215E15" w:rsidRPr="00B11952">
        <w:rPr>
          <w:color w:val="auto"/>
        </w:rPr>
        <w:t>informed by</w:t>
      </w:r>
      <w:r w:rsidR="00B11952" w:rsidRPr="006A19DE">
        <w:rPr>
          <w:color w:val="auto"/>
        </w:rPr>
        <w:t xml:space="preserve"> a</w:t>
      </w:r>
      <w:r w:rsidR="005C1D7A">
        <w:rPr>
          <w:color w:val="auto"/>
        </w:rPr>
        <w:t xml:space="preserve"> </w:t>
      </w:r>
      <w:r w:rsidR="00215E15" w:rsidRPr="006A19DE">
        <w:rPr>
          <w:color w:val="auto"/>
        </w:rPr>
        <w:t xml:space="preserve">naïve indirect comparison of LATERA </w:t>
      </w:r>
      <w:r w:rsidR="006C1532" w:rsidRPr="006A19DE">
        <w:rPr>
          <w:color w:val="auto"/>
        </w:rPr>
        <w:t>(</w:t>
      </w:r>
      <w:r w:rsidR="00215E15" w:rsidRPr="006A19DE">
        <w:rPr>
          <w:color w:val="auto"/>
        </w:rPr>
        <w:t>alone</w:t>
      </w:r>
      <w:r w:rsidR="006C1532" w:rsidRPr="006A19DE">
        <w:rPr>
          <w:color w:val="auto"/>
        </w:rPr>
        <w:t>)</w:t>
      </w:r>
      <w:r w:rsidR="00215E15" w:rsidRPr="006A19DE">
        <w:rPr>
          <w:color w:val="auto"/>
        </w:rPr>
        <w:t xml:space="preserve"> versus rhinoplasty</w:t>
      </w:r>
      <w:r w:rsidR="006C1532" w:rsidRPr="006A19DE">
        <w:rPr>
          <w:color w:val="auto"/>
        </w:rPr>
        <w:t xml:space="preserve"> (</w:t>
      </w:r>
      <w:r w:rsidR="00215E15" w:rsidRPr="006A19DE">
        <w:rPr>
          <w:color w:val="auto"/>
        </w:rPr>
        <w:t>alone</w:t>
      </w:r>
      <w:r w:rsidR="006C1532" w:rsidRPr="006A19DE">
        <w:rPr>
          <w:color w:val="auto"/>
        </w:rPr>
        <w:t>)</w:t>
      </w:r>
      <w:r w:rsidR="00215E15" w:rsidRPr="006A19DE">
        <w:rPr>
          <w:color w:val="auto"/>
        </w:rPr>
        <w:t>, based on three LATERA studies (LATERA-RCT</w:t>
      </w:r>
      <w:r w:rsidR="001128D4">
        <w:rPr>
          <w:rStyle w:val="FootnoteReference"/>
          <w:color w:val="auto"/>
        </w:rPr>
        <w:footnoteReference w:id="5"/>
      </w:r>
      <w:r w:rsidR="00215E15" w:rsidRPr="006A19DE">
        <w:rPr>
          <w:color w:val="auto"/>
        </w:rPr>
        <w:t>, LATERA-OFFICE</w:t>
      </w:r>
      <w:r w:rsidR="00B24506" w:rsidRPr="006A19DE">
        <w:rPr>
          <w:rStyle w:val="FootnoteReference"/>
          <w:color w:val="auto"/>
        </w:rPr>
        <w:footnoteReference w:id="6"/>
      </w:r>
      <w:r w:rsidR="00215E15" w:rsidRPr="006A19DE">
        <w:rPr>
          <w:color w:val="auto"/>
        </w:rPr>
        <w:t>, Trial 4350-001</w:t>
      </w:r>
      <w:r w:rsidR="00B24506" w:rsidRPr="006A19DE">
        <w:rPr>
          <w:rStyle w:val="FootnoteReference"/>
          <w:color w:val="auto"/>
        </w:rPr>
        <w:footnoteReference w:id="7"/>
      </w:r>
      <w:r w:rsidR="00215E15" w:rsidRPr="006A19DE">
        <w:rPr>
          <w:color w:val="auto"/>
        </w:rPr>
        <w:t>) and six rhinoplasty studies (</w:t>
      </w:r>
      <w:r w:rsidR="00BB7D4F" w:rsidRPr="006A19DE">
        <w:rPr>
          <w:color w:val="auto"/>
        </w:rPr>
        <w:t>Most 2006</w:t>
      </w:r>
      <w:r w:rsidR="00B24506" w:rsidRPr="006A19DE">
        <w:rPr>
          <w:rStyle w:val="FootnoteReference"/>
          <w:color w:val="auto"/>
        </w:rPr>
        <w:footnoteReference w:id="8"/>
      </w:r>
      <w:r w:rsidR="00772DF9" w:rsidRPr="006A19DE">
        <w:rPr>
          <w:color w:val="auto"/>
        </w:rPr>
        <w:t>, Tan 2012</w:t>
      </w:r>
      <w:r w:rsidR="00B24506" w:rsidRPr="006A19DE">
        <w:rPr>
          <w:rStyle w:val="FootnoteReference"/>
          <w:color w:val="auto"/>
        </w:rPr>
        <w:footnoteReference w:id="9"/>
      </w:r>
      <w:r w:rsidR="00772DF9" w:rsidRPr="006A19DE">
        <w:rPr>
          <w:color w:val="auto"/>
        </w:rPr>
        <w:t xml:space="preserve">, </w:t>
      </w:r>
      <w:r w:rsidR="00215E15" w:rsidRPr="006A19DE">
        <w:rPr>
          <w:color w:val="auto"/>
        </w:rPr>
        <w:t>Palesy 2015</w:t>
      </w:r>
      <w:r w:rsidR="00B24506" w:rsidRPr="006A19DE">
        <w:rPr>
          <w:rStyle w:val="FootnoteReference"/>
          <w:color w:val="auto"/>
        </w:rPr>
        <w:footnoteReference w:id="10"/>
      </w:r>
      <w:r w:rsidR="00215E15" w:rsidRPr="006A19DE">
        <w:rPr>
          <w:color w:val="auto"/>
        </w:rPr>
        <w:t xml:space="preserve">, </w:t>
      </w:r>
      <w:r w:rsidR="00772DF9" w:rsidRPr="006A19DE">
        <w:rPr>
          <w:color w:val="auto"/>
        </w:rPr>
        <w:t>Rao 2016</w:t>
      </w:r>
      <w:r w:rsidR="00B24506" w:rsidRPr="006A19DE">
        <w:rPr>
          <w:rStyle w:val="FootnoteReference"/>
          <w:color w:val="auto"/>
        </w:rPr>
        <w:footnoteReference w:id="11"/>
      </w:r>
      <w:r w:rsidR="00772DF9" w:rsidRPr="006A19DE">
        <w:rPr>
          <w:color w:val="auto"/>
        </w:rPr>
        <w:t xml:space="preserve">, </w:t>
      </w:r>
      <w:r w:rsidR="00215E15" w:rsidRPr="006A19DE">
        <w:rPr>
          <w:color w:val="auto"/>
        </w:rPr>
        <w:t>Taha 2021</w:t>
      </w:r>
      <w:r w:rsidR="00B24506" w:rsidRPr="006A19DE">
        <w:rPr>
          <w:rStyle w:val="FootnoteReference"/>
          <w:color w:val="auto"/>
        </w:rPr>
        <w:footnoteReference w:id="12"/>
      </w:r>
      <w:r w:rsidR="00215E15" w:rsidRPr="006A19DE">
        <w:rPr>
          <w:color w:val="auto"/>
        </w:rPr>
        <w:t>, Sainio 2022</w:t>
      </w:r>
      <w:r w:rsidR="00B24506" w:rsidRPr="006A19DE">
        <w:rPr>
          <w:rStyle w:val="FootnoteReference"/>
          <w:color w:val="auto"/>
        </w:rPr>
        <w:footnoteReference w:id="13"/>
      </w:r>
      <w:r w:rsidR="00215E15" w:rsidRPr="006A19DE">
        <w:rPr>
          <w:color w:val="auto"/>
        </w:rPr>
        <w:t>)</w:t>
      </w:r>
      <w:r w:rsidR="000E00C7">
        <w:rPr>
          <w:color w:val="auto"/>
        </w:rPr>
        <w:t>.</w:t>
      </w:r>
    </w:p>
    <w:p w14:paraId="6CA9577E" w14:textId="37059005" w:rsidR="000E00C7" w:rsidRPr="002D162D" w:rsidRDefault="000E00C7" w:rsidP="000E00C7">
      <w:pPr>
        <w:pStyle w:val="Instructionaltext"/>
        <w:rPr>
          <w:color w:val="auto"/>
        </w:rPr>
      </w:pPr>
      <w:r w:rsidRPr="009B607B">
        <w:rPr>
          <w:color w:val="auto"/>
        </w:rPr>
        <w:fldChar w:fldCharType="begin"/>
      </w:r>
      <w:r w:rsidRPr="009B607B">
        <w:rPr>
          <w:color w:val="auto"/>
        </w:rPr>
        <w:instrText xml:space="preserve"> REF _Ref123497029 \h  \* MERGEFORMAT </w:instrText>
      </w:r>
      <w:r w:rsidRPr="009B607B">
        <w:rPr>
          <w:color w:val="auto"/>
        </w:rPr>
      </w:r>
      <w:r w:rsidRPr="009B607B">
        <w:rPr>
          <w:color w:val="auto"/>
        </w:rPr>
        <w:fldChar w:fldCharType="separate"/>
      </w:r>
      <w:r w:rsidR="003511D3" w:rsidRPr="00403D52">
        <w:rPr>
          <w:color w:val="auto"/>
        </w:rPr>
        <w:t xml:space="preserve">Table </w:t>
      </w:r>
      <w:r w:rsidR="003511D3" w:rsidRPr="00403D52">
        <w:rPr>
          <w:noProof/>
          <w:color w:val="auto"/>
        </w:rPr>
        <w:t>5</w:t>
      </w:r>
      <w:r w:rsidRPr="009B607B">
        <w:rPr>
          <w:color w:val="auto"/>
        </w:rPr>
        <w:fldChar w:fldCharType="end"/>
      </w:r>
      <w:r w:rsidRPr="002D162D">
        <w:rPr>
          <w:color w:val="auto"/>
        </w:rPr>
        <w:t xml:space="preserve"> summarises the key features of the evidence for LATERA versus functional rhinoplasty.  </w:t>
      </w:r>
    </w:p>
    <w:p w14:paraId="0965F8DC" w14:textId="31EAA508" w:rsidR="00B11952" w:rsidRDefault="00893FAF" w:rsidP="00B11952">
      <w:pPr>
        <w:pStyle w:val="Instructionaltext"/>
        <w:rPr>
          <w:color w:val="auto"/>
        </w:rPr>
      </w:pPr>
      <w:r w:rsidRPr="006A19DE">
        <w:rPr>
          <w:color w:val="auto"/>
        </w:rPr>
        <w:t xml:space="preserve">The LATERA-RCT compared LATERA versus sham, therefore the LATERA arm of the </w:t>
      </w:r>
      <w:r w:rsidR="006E1AB8" w:rsidRPr="006A19DE">
        <w:rPr>
          <w:color w:val="auto"/>
        </w:rPr>
        <w:t xml:space="preserve">LATERA-RCT was used only in the naïve comparison. </w:t>
      </w:r>
      <w:r w:rsidR="00CF6BCB" w:rsidRPr="006A19DE">
        <w:rPr>
          <w:color w:val="auto"/>
        </w:rPr>
        <w:t xml:space="preserve">As there was no direct comparative evidence for LATERA </w:t>
      </w:r>
      <w:r w:rsidR="00CF6BCB" w:rsidRPr="006A19DE">
        <w:rPr>
          <w:color w:val="auto"/>
        </w:rPr>
        <w:lastRenderedPageBreak/>
        <w:t xml:space="preserve">versus functional rhinoplasty, </w:t>
      </w:r>
      <w:r w:rsidR="00F26874" w:rsidRPr="006A19DE">
        <w:rPr>
          <w:color w:val="auto"/>
        </w:rPr>
        <w:t>t</w:t>
      </w:r>
      <w:r w:rsidR="00C27023" w:rsidRPr="006A19DE">
        <w:rPr>
          <w:color w:val="auto"/>
        </w:rPr>
        <w:t xml:space="preserve">he evidence supporting the </w:t>
      </w:r>
      <w:r w:rsidR="00C65512" w:rsidRPr="006A19DE">
        <w:rPr>
          <w:color w:val="auto"/>
        </w:rPr>
        <w:t>ADAR</w:t>
      </w:r>
      <w:r w:rsidR="00C27023" w:rsidRPr="006A19DE">
        <w:rPr>
          <w:color w:val="auto"/>
        </w:rPr>
        <w:t xml:space="preserve">’s claims is </w:t>
      </w:r>
      <w:r w:rsidR="00655BD7" w:rsidRPr="006A19DE">
        <w:rPr>
          <w:color w:val="auto"/>
        </w:rPr>
        <w:t>comprised</w:t>
      </w:r>
      <w:r w:rsidR="00C27023" w:rsidRPr="006A19DE">
        <w:rPr>
          <w:color w:val="auto"/>
        </w:rPr>
        <w:t xml:space="preserve"> </w:t>
      </w:r>
      <w:r w:rsidR="00655BD7" w:rsidRPr="006A19DE">
        <w:rPr>
          <w:color w:val="auto"/>
        </w:rPr>
        <w:t xml:space="preserve">of </w:t>
      </w:r>
      <w:r w:rsidR="00C27023" w:rsidRPr="006A19DE">
        <w:rPr>
          <w:color w:val="auto"/>
        </w:rPr>
        <w:t xml:space="preserve">single arm studies with historical controls only, with significant differences in populations between the </w:t>
      </w:r>
      <w:r w:rsidR="008427A8" w:rsidRPr="006A19DE">
        <w:rPr>
          <w:color w:val="auto"/>
        </w:rPr>
        <w:t xml:space="preserve">intervention </w:t>
      </w:r>
      <w:r w:rsidR="00C27023" w:rsidRPr="006A19DE">
        <w:rPr>
          <w:color w:val="auto"/>
        </w:rPr>
        <w:t>and control groups.</w:t>
      </w:r>
      <w:r w:rsidR="0099555A" w:rsidRPr="006A19DE">
        <w:rPr>
          <w:color w:val="auto"/>
        </w:rPr>
        <w:t xml:space="preserve"> </w:t>
      </w:r>
    </w:p>
    <w:p w14:paraId="530F2BB3" w14:textId="16542D7F" w:rsidR="00215E15" w:rsidRPr="006A19DE" w:rsidRDefault="00194D20" w:rsidP="006A19DE">
      <w:pPr>
        <w:pStyle w:val="Instructionaltext"/>
        <w:rPr>
          <w:color w:val="auto"/>
        </w:rPr>
      </w:pPr>
      <w:r w:rsidRPr="006A19DE">
        <w:rPr>
          <w:color w:val="auto"/>
        </w:rPr>
        <w:t xml:space="preserve">The </w:t>
      </w:r>
      <w:r w:rsidR="00113AB2" w:rsidRPr="006A19DE">
        <w:rPr>
          <w:color w:val="auto"/>
        </w:rPr>
        <w:t xml:space="preserve">LATERA studies included some patients who had received prior nasal surgery. </w:t>
      </w:r>
      <w:r w:rsidR="0099555A" w:rsidRPr="006A19DE">
        <w:rPr>
          <w:color w:val="auto"/>
        </w:rPr>
        <w:t xml:space="preserve">In the LATERA-RCT, 59% of participants had received prior nasal surgery. Trial 4350-001 reported previous nasal surgeries include septoplasty, conchotomy, septorhinoplasty, functional rhinoplasty, infundibulotomy, turbinoplasty, and minor outer skin resection of 66% (19/30). </w:t>
      </w:r>
      <w:r w:rsidR="00160180" w:rsidRPr="006A19DE">
        <w:rPr>
          <w:color w:val="auto"/>
        </w:rPr>
        <w:t>No subgroup analysis of patients who had or had not received prior nasal surgery was presented.</w:t>
      </w:r>
      <w:r w:rsidR="0099555A" w:rsidRPr="006A19DE">
        <w:rPr>
          <w:color w:val="auto"/>
        </w:rPr>
        <w:t xml:space="preserve"> </w:t>
      </w:r>
    </w:p>
    <w:p w14:paraId="080C4593" w14:textId="165E2864" w:rsidR="00215E15" w:rsidRDefault="00215E15" w:rsidP="006A19DE">
      <w:pPr>
        <w:pStyle w:val="EStext"/>
      </w:pPr>
      <w:r>
        <w:t xml:space="preserve">A comparison of LATERA and rhinoplasty, when used with adjunct procedures, </w:t>
      </w:r>
      <w:r w:rsidR="00C0762C">
        <w:t xml:space="preserve">was presented </w:t>
      </w:r>
      <w:r>
        <w:t xml:space="preserve">based on a </w:t>
      </w:r>
      <w:r w:rsidR="00F21575">
        <w:t xml:space="preserve">retrospective non-randomised </w:t>
      </w:r>
      <w:r>
        <w:t>comparative cohort study (Olson 2021</w:t>
      </w:r>
      <w:r w:rsidR="00F80E4E">
        <w:rPr>
          <w:rStyle w:val="FootnoteReference"/>
        </w:rPr>
        <w:footnoteReference w:id="14"/>
      </w:r>
      <w:r>
        <w:t xml:space="preserve">). </w:t>
      </w:r>
      <w:r w:rsidR="00EE2AEE">
        <w:t xml:space="preserve">In </w:t>
      </w:r>
      <w:r w:rsidR="003211DD">
        <w:t>Olson</w:t>
      </w:r>
      <w:r w:rsidR="00787BC8">
        <w:t xml:space="preserve"> </w:t>
      </w:r>
      <w:r w:rsidR="003211DD">
        <w:t xml:space="preserve">2021, </w:t>
      </w:r>
      <w:r w:rsidR="00EE2AEE" w:rsidRPr="00EE2AEE">
        <w:t xml:space="preserve">LATERA </w:t>
      </w:r>
      <w:r w:rsidR="003211DD">
        <w:t xml:space="preserve">was performed </w:t>
      </w:r>
      <w:r w:rsidR="00EE2AEE" w:rsidRPr="00EE2AEE">
        <w:t>in combination with septoplasty and turbinate</w:t>
      </w:r>
      <w:r w:rsidR="003014D3" w:rsidRPr="003014D3">
        <w:t xml:space="preserve"> </w:t>
      </w:r>
      <w:r w:rsidR="00A6441C">
        <w:t>s</w:t>
      </w:r>
      <w:r w:rsidR="003014D3" w:rsidRPr="003014D3">
        <w:t>ubmucous reduction</w:t>
      </w:r>
      <w:r w:rsidR="00EE2AEE" w:rsidRPr="00EE2AEE">
        <w:t xml:space="preserve"> </w:t>
      </w:r>
      <w:r w:rsidR="003014D3">
        <w:t>(</w:t>
      </w:r>
      <w:r w:rsidR="00EE2AEE" w:rsidRPr="00EE2AEE">
        <w:t>SMR</w:t>
      </w:r>
      <w:r w:rsidR="003014D3">
        <w:t>)</w:t>
      </w:r>
      <w:r w:rsidR="00EE2AEE" w:rsidRPr="00EE2AEE">
        <w:t xml:space="preserve"> and rhinoplasty </w:t>
      </w:r>
      <w:r w:rsidR="003211DD">
        <w:t>was performed i</w:t>
      </w:r>
      <w:r w:rsidR="00EE2AEE" w:rsidRPr="00EE2AEE">
        <w:t>n combination with lateral crural strut graft, bilateral spreader grafts or unilateral spreaders graft</w:t>
      </w:r>
      <w:r w:rsidR="003211DD">
        <w:t xml:space="preserve">. </w:t>
      </w:r>
      <w:r>
        <w:t xml:space="preserve">This comparison is likely </w:t>
      </w:r>
      <w:r w:rsidR="001A3024" w:rsidRPr="00C512F7">
        <w:t>confounded</w:t>
      </w:r>
      <w:r w:rsidR="001A3024">
        <w:t xml:space="preserve"> </w:t>
      </w:r>
      <w:r>
        <w:t xml:space="preserve">by the adjunct procedures, </w:t>
      </w:r>
      <w:r w:rsidR="008A7760">
        <w:t xml:space="preserve">so </w:t>
      </w:r>
      <w:r>
        <w:t xml:space="preserve">it is difficult to distinguish which intervention is causing the effect, </w:t>
      </w:r>
      <w:r w:rsidR="00B8153F">
        <w:t>although Ols</w:t>
      </w:r>
      <w:r w:rsidR="00F80E4E">
        <w:t>o</w:t>
      </w:r>
      <w:r w:rsidR="00B8153F">
        <w:t xml:space="preserve">n 2021 is presented in the ADAR for </w:t>
      </w:r>
      <w:r w:rsidR="002C79C9">
        <w:t xml:space="preserve">completeness, </w:t>
      </w:r>
      <w:r w:rsidR="00B8153F">
        <w:t xml:space="preserve">it is not used in the meta-analysis or economic model. </w:t>
      </w:r>
    </w:p>
    <w:p w14:paraId="02AB6168" w14:textId="1D1CA337" w:rsidR="00BE5247" w:rsidRPr="00015B19" w:rsidRDefault="00E55C74" w:rsidP="00EC04C1">
      <w:pPr>
        <w:pStyle w:val="Caption"/>
      </w:pPr>
      <w:bookmarkStart w:id="17" w:name="_Ref123497029"/>
      <w:r>
        <w:t xml:space="preserve">Table </w:t>
      </w:r>
      <w:r>
        <w:fldChar w:fldCharType="begin"/>
      </w:r>
      <w:r>
        <w:instrText>SEQ Table \* ARABIC</w:instrText>
      </w:r>
      <w:r>
        <w:fldChar w:fldCharType="separate"/>
      </w:r>
      <w:r w:rsidR="003511D3">
        <w:rPr>
          <w:noProof/>
        </w:rPr>
        <w:t>5</w:t>
      </w:r>
      <w:r>
        <w:fldChar w:fldCharType="end"/>
      </w:r>
      <w:bookmarkEnd w:id="17"/>
      <w:r w:rsidR="008A7760">
        <w:tab/>
      </w:r>
      <w:r w:rsidRPr="00E55C74">
        <w:t xml:space="preserve">Key features of the included evidence, LATERA vs. functional rhinoplasty  </w:t>
      </w:r>
    </w:p>
    <w:tbl>
      <w:tblPr>
        <w:tblStyle w:val="TableGrid1"/>
        <w:tblW w:w="5000" w:type="pct"/>
        <w:tblCellMar>
          <w:left w:w="28" w:type="dxa"/>
          <w:right w:w="28" w:type="dxa"/>
        </w:tblCellMar>
        <w:tblLook w:val="04A0" w:firstRow="1" w:lastRow="0" w:firstColumn="1" w:lastColumn="0" w:noHBand="0" w:noVBand="1"/>
      </w:tblPr>
      <w:tblGrid>
        <w:gridCol w:w="1517"/>
        <w:gridCol w:w="801"/>
        <w:gridCol w:w="1370"/>
        <w:gridCol w:w="1080"/>
        <w:gridCol w:w="1507"/>
        <w:gridCol w:w="1086"/>
        <w:gridCol w:w="1655"/>
      </w:tblGrid>
      <w:tr w:rsidR="008E716C" w:rsidRPr="00B356B7" w14:paraId="2A066EA5" w14:textId="77777777" w:rsidTr="00413804">
        <w:trPr>
          <w:cnfStyle w:val="100000000000" w:firstRow="1" w:lastRow="0" w:firstColumn="0" w:lastColumn="0" w:oddVBand="0" w:evenVBand="0" w:oddHBand="0" w:evenHBand="0" w:firstRowFirstColumn="0" w:firstRowLastColumn="0" w:lastRowFirstColumn="0" w:lastRowLastColumn="0"/>
          <w:cantSplit/>
        </w:trPr>
        <w:tc>
          <w:tcPr>
            <w:tcW w:w="841" w:type="pct"/>
            <w:shd w:val="clear" w:color="auto" w:fill="auto"/>
            <w:vAlign w:val="center"/>
          </w:tcPr>
          <w:p w14:paraId="1BFFD024" w14:textId="3CCB17BD" w:rsidR="00413804" w:rsidRPr="00A75B5D" w:rsidRDefault="00413804" w:rsidP="00413804">
            <w:pPr>
              <w:pStyle w:val="TableText"/>
              <w:rPr>
                <w:b/>
                <w:bCs/>
              </w:rPr>
            </w:pPr>
            <w:r w:rsidRPr="00A75B5D">
              <w:rPr>
                <w:b/>
                <w:bCs/>
              </w:rPr>
              <w:t>References</w:t>
            </w:r>
          </w:p>
        </w:tc>
        <w:tc>
          <w:tcPr>
            <w:tcW w:w="444" w:type="pct"/>
            <w:shd w:val="clear" w:color="auto" w:fill="auto"/>
            <w:vAlign w:val="center"/>
          </w:tcPr>
          <w:p w14:paraId="3FE0AC87" w14:textId="565A736B" w:rsidR="00413804" w:rsidRPr="00A75B5D" w:rsidRDefault="00413804" w:rsidP="00413804">
            <w:pPr>
              <w:pStyle w:val="TableText"/>
              <w:jc w:val="center"/>
              <w:rPr>
                <w:b/>
                <w:bCs/>
                <w:lang w:val="en-US"/>
              </w:rPr>
            </w:pPr>
            <w:r w:rsidRPr="00A75B5D">
              <w:rPr>
                <w:b/>
                <w:bCs/>
              </w:rPr>
              <w:t>N</w:t>
            </w:r>
          </w:p>
        </w:tc>
        <w:tc>
          <w:tcPr>
            <w:tcW w:w="760" w:type="pct"/>
            <w:shd w:val="clear" w:color="auto" w:fill="auto"/>
            <w:vAlign w:val="center"/>
          </w:tcPr>
          <w:p w14:paraId="29477A68" w14:textId="670AADD4" w:rsidR="00413804" w:rsidRPr="00A75B5D" w:rsidRDefault="00413804" w:rsidP="00413804">
            <w:pPr>
              <w:pStyle w:val="TableText"/>
              <w:jc w:val="center"/>
              <w:rPr>
                <w:b/>
                <w:bCs/>
                <w:lang w:val="en-US"/>
              </w:rPr>
            </w:pPr>
            <w:r w:rsidRPr="00A75B5D">
              <w:rPr>
                <w:b/>
                <w:bCs/>
              </w:rPr>
              <w:t>Design/duration</w:t>
            </w:r>
          </w:p>
        </w:tc>
        <w:tc>
          <w:tcPr>
            <w:tcW w:w="599" w:type="pct"/>
            <w:shd w:val="clear" w:color="auto" w:fill="auto"/>
            <w:vAlign w:val="center"/>
          </w:tcPr>
          <w:p w14:paraId="362FA692" w14:textId="1FBB95AE" w:rsidR="00413804" w:rsidRPr="00A75B5D" w:rsidRDefault="00413804" w:rsidP="00413804">
            <w:pPr>
              <w:pStyle w:val="TableText"/>
              <w:jc w:val="center"/>
              <w:rPr>
                <w:b/>
                <w:bCs/>
                <w:lang w:val="en-US"/>
              </w:rPr>
            </w:pPr>
            <w:r w:rsidRPr="00A75B5D">
              <w:rPr>
                <w:b/>
                <w:bCs/>
              </w:rPr>
              <w:t>Risk of bias</w:t>
            </w:r>
          </w:p>
        </w:tc>
        <w:tc>
          <w:tcPr>
            <w:tcW w:w="836" w:type="pct"/>
            <w:shd w:val="clear" w:color="auto" w:fill="auto"/>
            <w:vAlign w:val="center"/>
          </w:tcPr>
          <w:p w14:paraId="5D16111E" w14:textId="7A69EAC1" w:rsidR="00413804" w:rsidRPr="00A75B5D" w:rsidRDefault="00413804" w:rsidP="00413804">
            <w:pPr>
              <w:pStyle w:val="TableText"/>
              <w:jc w:val="center"/>
              <w:rPr>
                <w:b/>
                <w:bCs/>
                <w:lang w:val="en-US"/>
              </w:rPr>
            </w:pPr>
            <w:r w:rsidRPr="00A75B5D">
              <w:rPr>
                <w:b/>
                <w:bCs/>
              </w:rPr>
              <w:t>Patient population*</w:t>
            </w:r>
          </w:p>
        </w:tc>
        <w:tc>
          <w:tcPr>
            <w:tcW w:w="602" w:type="pct"/>
            <w:shd w:val="clear" w:color="auto" w:fill="auto"/>
            <w:vAlign w:val="center"/>
          </w:tcPr>
          <w:p w14:paraId="329BA32F" w14:textId="4C5FF74E" w:rsidR="00413804" w:rsidRPr="00A75B5D" w:rsidRDefault="00413804" w:rsidP="00413804">
            <w:pPr>
              <w:pStyle w:val="TableText"/>
              <w:jc w:val="center"/>
              <w:rPr>
                <w:b/>
                <w:bCs/>
                <w:lang w:val="en-US"/>
              </w:rPr>
            </w:pPr>
            <w:r w:rsidRPr="00A75B5D">
              <w:rPr>
                <w:b/>
                <w:bCs/>
              </w:rPr>
              <w:t>Outcome(s)</w:t>
            </w:r>
          </w:p>
        </w:tc>
        <w:tc>
          <w:tcPr>
            <w:tcW w:w="918" w:type="pct"/>
            <w:shd w:val="clear" w:color="auto" w:fill="auto"/>
            <w:vAlign w:val="center"/>
          </w:tcPr>
          <w:p w14:paraId="17D02282" w14:textId="189F5BA8" w:rsidR="00413804" w:rsidRPr="00A75B5D" w:rsidRDefault="00413804" w:rsidP="00413804">
            <w:pPr>
              <w:pStyle w:val="TableText"/>
              <w:jc w:val="center"/>
              <w:rPr>
                <w:b/>
                <w:bCs/>
                <w:lang w:val="en-US"/>
              </w:rPr>
            </w:pPr>
            <w:r w:rsidRPr="00A75B5D">
              <w:rPr>
                <w:b/>
                <w:bCs/>
              </w:rPr>
              <w:t>Use in modelled evaluation</w:t>
            </w:r>
          </w:p>
        </w:tc>
      </w:tr>
      <w:tr w:rsidR="00413804" w:rsidRPr="00B356B7" w14:paraId="5C91CEAF" w14:textId="77777777" w:rsidTr="00413804">
        <w:trPr>
          <w:cantSplit/>
        </w:trPr>
        <w:tc>
          <w:tcPr>
            <w:tcW w:w="5000" w:type="pct"/>
            <w:gridSpan w:val="7"/>
          </w:tcPr>
          <w:p w14:paraId="571505F1" w14:textId="3E3DD79C" w:rsidR="00413804" w:rsidRPr="00A75B5D" w:rsidRDefault="00413804" w:rsidP="00EC04C1">
            <w:pPr>
              <w:pStyle w:val="TableText"/>
              <w:rPr>
                <w:b/>
                <w:bCs/>
                <w:lang w:val="en-US"/>
              </w:rPr>
            </w:pPr>
            <w:r w:rsidRPr="00A75B5D">
              <w:rPr>
                <w:b/>
                <w:bCs/>
              </w:rPr>
              <w:t xml:space="preserve">LATERA vs. functional rhinoplasty  </w:t>
            </w:r>
          </w:p>
        </w:tc>
      </w:tr>
      <w:tr w:rsidR="00CE256F" w:rsidRPr="005843AD" w14:paraId="28DCF927" w14:textId="77777777" w:rsidTr="00890D75">
        <w:trPr>
          <w:cantSplit/>
        </w:trPr>
        <w:tc>
          <w:tcPr>
            <w:tcW w:w="841" w:type="pct"/>
            <w:shd w:val="clear" w:color="auto" w:fill="auto"/>
            <w:vAlign w:val="center"/>
          </w:tcPr>
          <w:p w14:paraId="0CEF4C9C" w14:textId="4E722FD5" w:rsidR="00CE256F" w:rsidRPr="00015B19" w:rsidRDefault="00CE256F" w:rsidP="00CE256F">
            <w:pPr>
              <w:pStyle w:val="TableText"/>
            </w:pPr>
            <w:r w:rsidRPr="001B7DA3">
              <w:rPr>
                <w:lang w:val="en-US"/>
              </w:rPr>
              <w:t xml:space="preserve">LATERA-RCT </w:t>
            </w:r>
          </w:p>
        </w:tc>
        <w:tc>
          <w:tcPr>
            <w:tcW w:w="444" w:type="pct"/>
            <w:shd w:val="clear" w:color="auto" w:fill="auto"/>
            <w:vAlign w:val="center"/>
          </w:tcPr>
          <w:p w14:paraId="535ABE4F" w14:textId="0DA1DC7E" w:rsidR="00CE256F" w:rsidRPr="00015B19" w:rsidRDefault="00CE256F" w:rsidP="00CE256F">
            <w:pPr>
              <w:pStyle w:val="TableText"/>
              <w:jc w:val="center"/>
              <w:rPr>
                <w:lang w:val="en-US"/>
              </w:rPr>
            </w:pPr>
            <w:r w:rsidRPr="001B7DA3">
              <w:rPr>
                <w:lang w:val="en-US"/>
              </w:rPr>
              <w:t>137</w:t>
            </w:r>
            <w:r>
              <w:rPr>
                <w:lang w:val="en-US"/>
              </w:rPr>
              <w:t xml:space="preserve"> </w:t>
            </w:r>
            <w:r w:rsidRPr="00406115">
              <w:rPr>
                <w:vertAlign w:val="superscript"/>
                <w:lang w:val="en-US"/>
              </w:rPr>
              <w:t>#</w:t>
            </w:r>
          </w:p>
        </w:tc>
        <w:tc>
          <w:tcPr>
            <w:tcW w:w="760" w:type="pct"/>
            <w:shd w:val="clear" w:color="auto" w:fill="auto"/>
            <w:vAlign w:val="center"/>
          </w:tcPr>
          <w:p w14:paraId="5B43BB08" w14:textId="159486A6" w:rsidR="00CE256F" w:rsidRPr="00015B19" w:rsidRDefault="00CE256F" w:rsidP="00CE256F">
            <w:pPr>
              <w:pStyle w:val="TableText"/>
              <w:jc w:val="center"/>
              <w:rPr>
                <w:lang w:val="en-US"/>
              </w:rPr>
            </w:pPr>
            <w:r w:rsidRPr="001B7DA3">
              <w:rPr>
                <w:lang w:val="en-US"/>
              </w:rPr>
              <w:t xml:space="preserve">RCT, sham control, MC, SB; 3 months  </w:t>
            </w:r>
          </w:p>
        </w:tc>
        <w:tc>
          <w:tcPr>
            <w:tcW w:w="599" w:type="pct"/>
            <w:shd w:val="clear" w:color="auto" w:fill="auto"/>
            <w:vAlign w:val="center"/>
          </w:tcPr>
          <w:p w14:paraId="506B160B" w14:textId="7DFE3C9B" w:rsidR="00CE256F" w:rsidRPr="00EC04C1" w:rsidRDefault="00CE256F" w:rsidP="00CE256F">
            <w:pPr>
              <w:pStyle w:val="TableText"/>
              <w:jc w:val="center"/>
              <w:rPr>
                <w:i/>
                <w:iCs/>
                <w:lang w:val="en-US"/>
              </w:rPr>
            </w:pPr>
            <w:r w:rsidRPr="001B7DA3">
              <w:rPr>
                <w:i/>
                <w:iCs/>
                <w:lang w:val="en-US"/>
              </w:rPr>
              <w:t>Moderate</w:t>
            </w:r>
            <w:r w:rsidRPr="001B7DA3">
              <w:rPr>
                <w:i/>
                <w:iCs/>
                <w:strike/>
                <w:lang w:val="en-US"/>
              </w:rPr>
              <w:t xml:space="preserve"> </w:t>
            </w:r>
            <w:r w:rsidRPr="001B7DA3">
              <w:rPr>
                <w:vertAlign w:val="superscript"/>
                <w:lang w:val="en-US"/>
              </w:rPr>
              <w:t>a</w:t>
            </w:r>
          </w:p>
        </w:tc>
        <w:tc>
          <w:tcPr>
            <w:tcW w:w="836" w:type="pct"/>
            <w:shd w:val="clear" w:color="auto" w:fill="auto"/>
            <w:vAlign w:val="center"/>
          </w:tcPr>
          <w:p w14:paraId="373992AB" w14:textId="1D681041" w:rsidR="00CE256F" w:rsidRPr="00015B19" w:rsidRDefault="00CE256F" w:rsidP="00CE256F">
            <w:pPr>
              <w:pStyle w:val="TableText"/>
              <w:jc w:val="center"/>
              <w:rPr>
                <w:lang w:val="en-US"/>
              </w:rPr>
            </w:pPr>
            <w:r w:rsidRPr="001B7DA3">
              <w:rPr>
                <w:lang w:val="en-US"/>
              </w:rPr>
              <w:t>Severe to extreme NOSE score</w:t>
            </w:r>
          </w:p>
        </w:tc>
        <w:tc>
          <w:tcPr>
            <w:tcW w:w="602" w:type="pct"/>
            <w:shd w:val="clear" w:color="auto" w:fill="auto"/>
            <w:vAlign w:val="center"/>
          </w:tcPr>
          <w:p w14:paraId="36BC6876" w14:textId="3C445086" w:rsidR="00CE256F" w:rsidRPr="00015B19" w:rsidRDefault="00CE256F" w:rsidP="00CE256F">
            <w:pPr>
              <w:pStyle w:val="TableText"/>
              <w:jc w:val="center"/>
              <w:rPr>
                <w:lang w:val="en-US"/>
              </w:rPr>
            </w:pPr>
            <w:r w:rsidRPr="001B7DA3">
              <w:rPr>
                <w:lang w:val="en-US"/>
              </w:rPr>
              <w:t xml:space="preserve">NOSE score, AEs, VAS </w:t>
            </w:r>
          </w:p>
        </w:tc>
        <w:tc>
          <w:tcPr>
            <w:tcW w:w="918" w:type="pct"/>
            <w:shd w:val="clear" w:color="auto" w:fill="auto"/>
            <w:vAlign w:val="center"/>
          </w:tcPr>
          <w:p w14:paraId="75005580" w14:textId="6E84ED66" w:rsidR="00CE256F" w:rsidRPr="00015B19" w:rsidRDefault="00CE256F" w:rsidP="00CE256F">
            <w:pPr>
              <w:pStyle w:val="TableText"/>
              <w:jc w:val="center"/>
              <w:rPr>
                <w:lang w:val="en-US"/>
              </w:rPr>
            </w:pPr>
            <w:r w:rsidRPr="001B7DA3">
              <w:rPr>
                <w:lang w:val="en-US"/>
              </w:rPr>
              <w:t>Response</w:t>
            </w:r>
            <w:r w:rsidRPr="001B7DA3">
              <w:rPr>
                <w:vertAlign w:val="superscript"/>
                <w:lang w:val="en-US"/>
              </w:rPr>
              <w:t xml:space="preserve"> </w:t>
            </w:r>
          </w:p>
        </w:tc>
      </w:tr>
      <w:tr w:rsidR="00CE256F" w:rsidRPr="005843AD" w14:paraId="6E09A00E" w14:textId="77777777" w:rsidTr="0085450D">
        <w:trPr>
          <w:cantSplit/>
        </w:trPr>
        <w:tc>
          <w:tcPr>
            <w:tcW w:w="841" w:type="pct"/>
          </w:tcPr>
          <w:p w14:paraId="0427EA5C" w14:textId="77777777" w:rsidR="00CE256F" w:rsidRPr="00015B19" w:rsidRDefault="00CE256F" w:rsidP="00CE256F">
            <w:pPr>
              <w:pStyle w:val="TableText"/>
              <w:rPr>
                <w:lang w:val="en-US"/>
              </w:rPr>
            </w:pPr>
            <w:r w:rsidRPr="00015B19">
              <w:t>LATERA-OFFICE</w:t>
            </w:r>
          </w:p>
        </w:tc>
        <w:tc>
          <w:tcPr>
            <w:tcW w:w="444" w:type="pct"/>
            <w:shd w:val="clear" w:color="auto" w:fill="auto"/>
            <w:vAlign w:val="center"/>
          </w:tcPr>
          <w:p w14:paraId="0A56746A" w14:textId="77777777" w:rsidR="00CE256F" w:rsidRPr="00015B19" w:rsidRDefault="00CE256F" w:rsidP="00CE256F">
            <w:pPr>
              <w:pStyle w:val="TableText"/>
              <w:jc w:val="center"/>
              <w:rPr>
                <w:lang w:val="en-US"/>
              </w:rPr>
            </w:pPr>
            <w:r w:rsidRPr="00015B19">
              <w:rPr>
                <w:lang w:val="en-US"/>
              </w:rPr>
              <w:t>166</w:t>
            </w:r>
          </w:p>
        </w:tc>
        <w:tc>
          <w:tcPr>
            <w:tcW w:w="760" w:type="pct"/>
            <w:shd w:val="clear" w:color="auto" w:fill="auto"/>
            <w:vAlign w:val="center"/>
          </w:tcPr>
          <w:p w14:paraId="31BCB854" w14:textId="77777777" w:rsidR="00CE256F" w:rsidRPr="00015B19" w:rsidRDefault="00CE256F" w:rsidP="00CE256F">
            <w:pPr>
              <w:pStyle w:val="TableText"/>
              <w:jc w:val="center"/>
              <w:rPr>
                <w:lang w:val="en-US"/>
              </w:rPr>
            </w:pPr>
            <w:r w:rsidRPr="00015B19">
              <w:rPr>
                <w:lang w:val="en-US"/>
              </w:rPr>
              <w:t xml:space="preserve">Single arm, prospective; 6 months </w:t>
            </w:r>
          </w:p>
        </w:tc>
        <w:tc>
          <w:tcPr>
            <w:tcW w:w="599" w:type="pct"/>
            <w:shd w:val="clear" w:color="auto" w:fill="auto"/>
            <w:vAlign w:val="center"/>
          </w:tcPr>
          <w:p w14:paraId="2FF83115" w14:textId="45EA0E34" w:rsidR="00CE256F" w:rsidRPr="00015B19" w:rsidRDefault="00CE256F" w:rsidP="00CE256F">
            <w:pPr>
              <w:pStyle w:val="TableText"/>
              <w:jc w:val="center"/>
              <w:rPr>
                <w:lang w:val="en-US"/>
              </w:rPr>
            </w:pPr>
            <w:r w:rsidRPr="00EC04C1">
              <w:rPr>
                <w:i/>
                <w:iCs/>
                <w:lang w:val="en-US"/>
              </w:rPr>
              <w:t>Moderate</w:t>
            </w:r>
            <w:r>
              <w:rPr>
                <w:lang w:val="en-US"/>
              </w:rPr>
              <w:t xml:space="preserve"> </w:t>
            </w:r>
            <w:r w:rsidRPr="00015B19">
              <w:rPr>
                <w:vertAlign w:val="superscript"/>
                <w:lang w:val="en-US"/>
              </w:rPr>
              <w:t>a</w:t>
            </w:r>
          </w:p>
        </w:tc>
        <w:tc>
          <w:tcPr>
            <w:tcW w:w="836" w:type="pct"/>
            <w:shd w:val="clear" w:color="auto" w:fill="auto"/>
            <w:vAlign w:val="center"/>
          </w:tcPr>
          <w:p w14:paraId="5F7FB8E9" w14:textId="77777777" w:rsidR="00CE256F" w:rsidRPr="00015B19" w:rsidRDefault="00CE256F" w:rsidP="00CE256F">
            <w:pPr>
              <w:pStyle w:val="TableText"/>
              <w:jc w:val="center"/>
              <w:rPr>
                <w:lang w:val="en-US"/>
              </w:rPr>
            </w:pPr>
            <w:r w:rsidRPr="00015B19">
              <w:rPr>
                <w:lang w:val="en-US"/>
              </w:rPr>
              <w:t>Severe to extreme NOSE score</w:t>
            </w:r>
          </w:p>
        </w:tc>
        <w:tc>
          <w:tcPr>
            <w:tcW w:w="602" w:type="pct"/>
            <w:shd w:val="clear" w:color="auto" w:fill="auto"/>
            <w:vAlign w:val="center"/>
          </w:tcPr>
          <w:p w14:paraId="41E5AB05" w14:textId="77777777" w:rsidR="00CE256F" w:rsidRPr="00015B19" w:rsidRDefault="00CE256F" w:rsidP="00CE256F">
            <w:pPr>
              <w:pStyle w:val="TableText"/>
              <w:jc w:val="center"/>
              <w:rPr>
                <w:lang w:val="en-US"/>
              </w:rPr>
            </w:pPr>
            <w:r w:rsidRPr="00015B19">
              <w:rPr>
                <w:lang w:val="en-US"/>
              </w:rPr>
              <w:t>NOSE score, AEs, VAS, ESS</w:t>
            </w:r>
          </w:p>
        </w:tc>
        <w:tc>
          <w:tcPr>
            <w:tcW w:w="918" w:type="pct"/>
            <w:shd w:val="clear" w:color="auto" w:fill="auto"/>
            <w:vAlign w:val="center"/>
          </w:tcPr>
          <w:p w14:paraId="22DEB9A2" w14:textId="77777777" w:rsidR="00CE256F" w:rsidRPr="00015B19" w:rsidRDefault="00CE256F" w:rsidP="00CE256F">
            <w:pPr>
              <w:pStyle w:val="TableText"/>
              <w:jc w:val="center"/>
              <w:rPr>
                <w:lang w:val="en-US"/>
              </w:rPr>
            </w:pPr>
            <w:r w:rsidRPr="00015B19">
              <w:rPr>
                <w:lang w:val="en-US"/>
              </w:rPr>
              <w:t>Not used</w:t>
            </w:r>
          </w:p>
        </w:tc>
      </w:tr>
      <w:tr w:rsidR="00CE256F" w:rsidRPr="005843AD" w14:paraId="363CBDFC" w14:textId="77777777" w:rsidTr="0085450D">
        <w:trPr>
          <w:cantSplit/>
        </w:trPr>
        <w:tc>
          <w:tcPr>
            <w:tcW w:w="841" w:type="pct"/>
          </w:tcPr>
          <w:p w14:paraId="4BF2F15C" w14:textId="77777777" w:rsidR="00CE256F" w:rsidRPr="00015B19" w:rsidRDefault="00CE256F" w:rsidP="00CE256F">
            <w:pPr>
              <w:pStyle w:val="TableText"/>
              <w:rPr>
                <w:lang w:val="en-US"/>
              </w:rPr>
            </w:pPr>
            <w:r w:rsidRPr="00015B19">
              <w:t>Trial 4350-001</w:t>
            </w:r>
          </w:p>
        </w:tc>
        <w:tc>
          <w:tcPr>
            <w:tcW w:w="444" w:type="pct"/>
            <w:shd w:val="clear" w:color="auto" w:fill="auto"/>
            <w:vAlign w:val="center"/>
          </w:tcPr>
          <w:p w14:paraId="42222984" w14:textId="77777777" w:rsidR="00CE256F" w:rsidRPr="00015B19" w:rsidRDefault="00CE256F" w:rsidP="00CE256F">
            <w:pPr>
              <w:pStyle w:val="TableText"/>
              <w:jc w:val="center"/>
              <w:rPr>
                <w:lang w:val="en-US"/>
              </w:rPr>
            </w:pPr>
            <w:r w:rsidRPr="00015B19">
              <w:rPr>
                <w:lang w:val="en-US"/>
              </w:rPr>
              <w:t>30</w:t>
            </w:r>
          </w:p>
        </w:tc>
        <w:tc>
          <w:tcPr>
            <w:tcW w:w="760" w:type="pct"/>
            <w:shd w:val="clear" w:color="auto" w:fill="auto"/>
            <w:vAlign w:val="center"/>
          </w:tcPr>
          <w:p w14:paraId="339F97A7" w14:textId="77777777" w:rsidR="00CE256F" w:rsidRPr="00015B19" w:rsidRDefault="00CE256F" w:rsidP="00CE256F">
            <w:pPr>
              <w:pStyle w:val="TableText"/>
              <w:jc w:val="center"/>
              <w:rPr>
                <w:lang w:val="en-US"/>
              </w:rPr>
            </w:pPr>
            <w:r w:rsidRPr="00015B19">
              <w:rPr>
                <w:lang w:val="en-US"/>
              </w:rPr>
              <w:t xml:space="preserve">Prospective, MC, single arm, first-in-man; 24 months </w:t>
            </w:r>
          </w:p>
        </w:tc>
        <w:tc>
          <w:tcPr>
            <w:tcW w:w="599" w:type="pct"/>
            <w:shd w:val="clear" w:color="auto" w:fill="auto"/>
            <w:vAlign w:val="center"/>
          </w:tcPr>
          <w:p w14:paraId="0C89AE53" w14:textId="77777777" w:rsidR="00CE256F" w:rsidRPr="00015B19" w:rsidRDefault="00CE256F" w:rsidP="00CE256F">
            <w:pPr>
              <w:pStyle w:val="TableText"/>
              <w:jc w:val="center"/>
              <w:rPr>
                <w:lang w:val="en-US"/>
              </w:rPr>
            </w:pPr>
            <w:r w:rsidRPr="00313593">
              <w:rPr>
                <w:i/>
                <w:iCs/>
                <w:lang w:val="en-US"/>
              </w:rPr>
              <w:t>Moderate</w:t>
            </w:r>
            <w:r>
              <w:rPr>
                <w:lang w:val="en-US"/>
              </w:rPr>
              <w:t xml:space="preserve"> </w:t>
            </w:r>
            <w:r w:rsidRPr="00015B19">
              <w:rPr>
                <w:vertAlign w:val="superscript"/>
                <w:lang w:val="en-US"/>
              </w:rPr>
              <w:t>a</w:t>
            </w:r>
          </w:p>
        </w:tc>
        <w:tc>
          <w:tcPr>
            <w:tcW w:w="836" w:type="pct"/>
            <w:shd w:val="clear" w:color="auto" w:fill="auto"/>
            <w:vAlign w:val="center"/>
          </w:tcPr>
          <w:p w14:paraId="18F152AA" w14:textId="77777777" w:rsidR="00CE256F" w:rsidRPr="00015B19" w:rsidRDefault="00CE256F" w:rsidP="00CE256F">
            <w:pPr>
              <w:pStyle w:val="TableText"/>
              <w:jc w:val="center"/>
              <w:rPr>
                <w:lang w:val="en-US"/>
              </w:rPr>
            </w:pPr>
            <w:r w:rsidRPr="00015B19">
              <w:rPr>
                <w:lang w:val="en-US"/>
              </w:rPr>
              <w:t>Severe to extreme NOSE score</w:t>
            </w:r>
          </w:p>
        </w:tc>
        <w:tc>
          <w:tcPr>
            <w:tcW w:w="602" w:type="pct"/>
            <w:shd w:val="clear" w:color="auto" w:fill="auto"/>
            <w:vAlign w:val="center"/>
          </w:tcPr>
          <w:p w14:paraId="7CFCF32F" w14:textId="77777777" w:rsidR="00CE256F" w:rsidRPr="00015B19" w:rsidRDefault="00CE256F" w:rsidP="00CE256F">
            <w:pPr>
              <w:pStyle w:val="TableText"/>
              <w:jc w:val="center"/>
              <w:rPr>
                <w:lang w:val="en-US"/>
              </w:rPr>
            </w:pPr>
            <w:r w:rsidRPr="00015B19">
              <w:rPr>
                <w:lang w:val="en-US"/>
              </w:rPr>
              <w:t>NOSE score, AEs, VAS</w:t>
            </w:r>
          </w:p>
        </w:tc>
        <w:tc>
          <w:tcPr>
            <w:tcW w:w="918" w:type="pct"/>
            <w:shd w:val="clear" w:color="auto" w:fill="auto"/>
            <w:vAlign w:val="center"/>
          </w:tcPr>
          <w:p w14:paraId="0F0A5175" w14:textId="77777777" w:rsidR="00CE256F" w:rsidRPr="00015B19" w:rsidRDefault="00CE256F" w:rsidP="00CE256F">
            <w:pPr>
              <w:pStyle w:val="TableText"/>
              <w:jc w:val="center"/>
              <w:rPr>
                <w:lang w:val="en-US"/>
              </w:rPr>
            </w:pPr>
            <w:r w:rsidRPr="00015B19">
              <w:rPr>
                <w:lang w:val="en-US"/>
              </w:rPr>
              <w:t>Not used</w:t>
            </w:r>
          </w:p>
        </w:tc>
      </w:tr>
      <w:tr w:rsidR="00CE256F" w:rsidRPr="005843AD" w14:paraId="55E72A5B" w14:textId="77777777" w:rsidTr="0085450D">
        <w:trPr>
          <w:cantSplit/>
        </w:trPr>
        <w:tc>
          <w:tcPr>
            <w:tcW w:w="841" w:type="pct"/>
          </w:tcPr>
          <w:p w14:paraId="4CA004D2" w14:textId="77777777" w:rsidR="00CE256F" w:rsidRPr="00015B19" w:rsidRDefault="00CE256F" w:rsidP="00CE256F">
            <w:pPr>
              <w:pStyle w:val="TableText"/>
              <w:rPr>
                <w:lang w:val="en-US"/>
              </w:rPr>
            </w:pPr>
            <w:r w:rsidRPr="00015B19">
              <w:t>Most 2006</w:t>
            </w:r>
          </w:p>
        </w:tc>
        <w:tc>
          <w:tcPr>
            <w:tcW w:w="444" w:type="pct"/>
            <w:shd w:val="clear" w:color="auto" w:fill="auto"/>
            <w:vAlign w:val="center"/>
          </w:tcPr>
          <w:p w14:paraId="31E5DCC2" w14:textId="7C944914" w:rsidR="00CE256F" w:rsidRPr="00015B19" w:rsidRDefault="00CE256F" w:rsidP="00CE256F">
            <w:pPr>
              <w:pStyle w:val="TableText"/>
              <w:jc w:val="center"/>
              <w:rPr>
                <w:lang w:val="en-US"/>
              </w:rPr>
            </w:pPr>
            <w:r w:rsidRPr="00015B19">
              <w:rPr>
                <w:lang w:val="en-US"/>
              </w:rPr>
              <w:t>41</w:t>
            </w:r>
            <w:r>
              <w:rPr>
                <w:lang w:val="en-US"/>
              </w:rPr>
              <w:t>(14)</w:t>
            </w:r>
            <w:r w:rsidRPr="00015B19">
              <w:rPr>
                <w:lang w:val="en-US"/>
              </w:rPr>
              <w:t xml:space="preserve"> </w:t>
            </w:r>
            <w:r>
              <w:rPr>
                <w:vertAlign w:val="superscript"/>
                <w:lang w:val="en-US"/>
              </w:rPr>
              <w:t>c</w:t>
            </w:r>
          </w:p>
        </w:tc>
        <w:tc>
          <w:tcPr>
            <w:tcW w:w="760" w:type="pct"/>
            <w:shd w:val="clear" w:color="auto" w:fill="auto"/>
            <w:vAlign w:val="center"/>
          </w:tcPr>
          <w:p w14:paraId="5A52CA9A" w14:textId="77777777" w:rsidR="00CE256F" w:rsidRPr="00015B19" w:rsidRDefault="00CE256F" w:rsidP="00CE256F">
            <w:pPr>
              <w:pStyle w:val="TableText"/>
              <w:jc w:val="center"/>
              <w:rPr>
                <w:lang w:val="en-US"/>
              </w:rPr>
            </w:pPr>
            <w:r w:rsidRPr="00015B19">
              <w:rPr>
                <w:lang w:val="en-US"/>
              </w:rPr>
              <w:t xml:space="preserve">Prospective case series; 338 days </w:t>
            </w:r>
            <w:r w:rsidRPr="00015B19">
              <w:rPr>
                <w:vertAlign w:val="superscript"/>
                <w:lang w:val="en-US"/>
              </w:rPr>
              <w:t xml:space="preserve">f </w:t>
            </w:r>
          </w:p>
        </w:tc>
        <w:tc>
          <w:tcPr>
            <w:tcW w:w="599" w:type="pct"/>
            <w:shd w:val="clear" w:color="auto" w:fill="auto"/>
            <w:vAlign w:val="center"/>
          </w:tcPr>
          <w:p w14:paraId="353364C4" w14:textId="77777777" w:rsidR="00CE256F" w:rsidRPr="00015B19" w:rsidRDefault="00CE256F" w:rsidP="00CE256F">
            <w:pPr>
              <w:pStyle w:val="TableText"/>
              <w:jc w:val="center"/>
              <w:rPr>
                <w:lang w:val="en-US"/>
              </w:rPr>
            </w:pPr>
            <w:r w:rsidRPr="00015B19">
              <w:rPr>
                <w:lang w:val="en-US"/>
              </w:rPr>
              <w:t xml:space="preserve">Moderate </w:t>
            </w:r>
            <w:r w:rsidRPr="00015B19">
              <w:rPr>
                <w:vertAlign w:val="superscript"/>
                <w:lang w:val="en-US"/>
              </w:rPr>
              <w:t>a</w:t>
            </w:r>
          </w:p>
        </w:tc>
        <w:tc>
          <w:tcPr>
            <w:tcW w:w="836" w:type="pct"/>
            <w:shd w:val="clear" w:color="auto" w:fill="auto"/>
            <w:vAlign w:val="center"/>
          </w:tcPr>
          <w:p w14:paraId="0FAD7F7C" w14:textId="77777777" w:rsidR="00CE256F" w:rsidRPr="00015B19" w:rsidRDefault="00CE256F" w:rsidP="00CE256F">
            <w:pPr>
              <w:pStyle w:val="TableText"/>
              <w:jc w:val="center"/>
              <w:rPr>
                <w:lang w:val="en-US"/>
              </w:rPr>
            </w:pPr>
            <w:r w:rsidRPr="00015B19">
              <w:rPr>
                <w:lang w:val="en-US"/>
              </w:rPr>
              <w:t xml:space="preserve">Moderate to severe NOSE score  </w:t>
            </w:r>
          </w:p>
        </w:tc>
        <w:tc>
          <w:tcPr>
            <w:tcW w:w="602" w:type="pct"/>
            <w:shd w:val="clear" w:color="auto" w:fill="auto"/>
            <w:vAlign w:val="center"/>
          </w:tcPr>
          <w:p w14:paraId="0E006814" w14:textId="77777777" w:rsidR="00CE256F" w:rsidRPr="00015B19" w:rsidRDefault="00CE256F" w:rsidP="00CE256F">
            <w:pPr>
              <w:pStyle w:val="TableText"/>
              <w:jc w:val="center"/>
              <w:rPr>
                <w:lang w:val="en-US"/>
              </w:rPr>
            </w:pPr>
            <w:r w:rsidRPr="00015B19">
              <w:rPr>
                <w:lang w:val="en-US"/>
              </w:rPr>
              <w:t xml:space="preserve">NOSE score </w:t>
            </w:r>
          </w:p>
        </w:tc>
        <w:tc>
          <w:tcPr>
            <w:tcW w:w="918" w:type="pct"/>
            <w:shd w:val="clear" w:color="auto" w:fill="auto"/>
            <w:vAlign w:val="center"/>
          </w:tcPr>
          <w:p w14:paraId="40A58B4D" w14:textId="77777777" w:rsidR="00CE256F" w:rsidRPr="00015B19" w:rsidRDefault="00CE256F" w:rsidP="00CE256F">
            <w:pPr>
              <w:pStyle w:val="TableText"/>
              <w:jc w:val="center"/>
              <w:rPr>
                <w:lang w:val="en-US"/>
              </w:rPr>
            </w:pPr>
            <w:r w:rsidRPr="00015B19">
              <w:rPr>
                <w:lang w:val="en-US"/>
              </w:rPr>
              <w:t>Not used</w:t>
            </w:r>
          </w:p>
        </w:tc>
      </w:tr>
      <w:tr w:rsidR="00CE256F" w:rsidRPr="005843AD" w14:paraId="3A6EA16C" w14:textId="77777777" w:rsidTr="0085450D">
        <w:trPr>
          <w:cantSplit/>
        </w:trPr>
        <w:tc>
          <w:tcPr>
            <w:tcW w:w="841" w:type="pct"/>
          </w:tcPr>
          <w:p w14:paraId="3FEB9BE4" w14:textId="77777777" w:rsidR="00CE256F" w:rsidRPr="00015B19" w:rsidRDefault="00CE256F" w:rsidP="00CE256F">
            <w:pPr>
              <w:pStyle w:val="TableText"/>
              <w:rPr>
                <w:lang w:val="en-US"/>
              </w:rPr>
            </w:pPr>
            <w:r w:rsidRPr="00015B19">
              <w:t>Palesy 2015</w:t>
            </w:r>
          </w:p>
        </w:tc>
        <w:tc>
          <w:tcPr>
            <w:tcW w:w="444" w:type="pct"/>
            <w:shd w:val="clear" w:color="auto" w:fill="auto"/>
            <w:vAlign w:val="center"/>
          </w:tcPr>
          <w:p w14:paraId="4CC84E1F" w14:textId="77777777" w:rsidR="00CE256F" w:rsidRPr="00015B19" w:rsidRDefault="00CE256F" w:rsidP="00CE256F">
            <w:pPr>
              <w:pStyle w:val="TableText"/>
              <w:jc w:val="center"/>
              <w:rPr>
                <w:lang w:val="en-US"/>
              </w:rPr>
            </w:pPr>
            <w:r w:rsidRPr="00015B19">
              <w:rPr>
                <w:lang w:val="en-US"/>
              </w:rPr>
              <w:t>19</w:t>
            </w:r>
          </w:p>
        </w:tc>
        <w:tc>
          <w:tcPr>
            <w:tcW w:w="760" w:type="pct"/>
            <w:shd w:val="clear" w:color="auto" w:fill="auto"/>
            <w:vAlign w:val="center"/>
          </w:tcPr>
          <w:p w14:paraId="3B69E25D" w14:textId="77777777" w:rsidR="00CE256F" w:rsidRPr="00015B19" w:rsidRDefault="00CE256F" w:rsidP="00CE256F">
            <w:pPr>
              <w:pStyle w:val="TableText"/>
              <w:jc w:val="center"/>
              <w:rPr>
                <w:lang w:val="en-US"/>
              </w:rPr>
            </w:pPr>
            <w:r w:rsidRPr="00015B19">
              <w:rPr>
                <w:lang w:val="en-US"/>
              </w:rPr>
              <w:t xml:space="preserve">Prospective case series; 6 months </w:t>
            </w:r>
          </w:p>
        </w:tc>
        <w:tc>
          <w:tcPr>
            <w:tcW w:w="599" w:type="pct"/>
            <w:shd w:val="clear" w:color="auto" w:fill="auto"/>
            <w:vAlign w:val="center"/>
          </w:tcPr>
          <w:p w14:paraId="681DE139" w14:textId="77777777" w:rsidR="00CE256F" w:rsidRPr="00015B19" w:rsidRDefault="00CE256F" w:rsidP="00CE256F">
            <w:pPr>
              <w:pStyle w:val="TableText"/>
              <w:jc w:val="center"/>
              <w:rPr>
                <w:lang w:val="en-US"/>
              </w:rPr>
            </w:pPr>
            <w:r w:rsidRPr="00015B19">
              <w:rPr>
                <w:lang w:val="en-US"/>
              </w:rPr>
              <w:t xml:space="preserve">Moderate </w:t>
            </w:r>
            <w:r w:rsidRPr="00015B19">
              <w:rPr>
                <w:vertAlign w:val="superscript"/>
                <w:lang w:val="en-US"/>
              </w:rPr>
              <w:t>a</w:t>
            </w:r>
          </w:p>
        </w:tc>
        <w:tc>
          <w:tcPr>
            <w:tcW w:w="836" w:type="pct"/>
            <w:shd w:val="clear" w:color="auto" w:fill="auto"/>
            <w:vAlign w:val="center"/>
          </w:tcPr>
          <w:p w14:paraId="5D5646EF" w14:textId="77777777" w:rsidR="00CE256F" w:rsidRPr="00015B19" w:rsidRDefault="00CE256F" w:rsidP="00CE256F">
            <w:pPr>
              <w:pStyle w:val="TableText"/>
              <w:jc w:val="center"/>
              <w:rPr>
                <w:lang w:val="en-US"/>
              </w:rPr>
            </w:pPr>
            <w:r w:rsidRPr="00015B19">
              <w:rPr>
                <w:lang w:val="en-US"/>
              </w:rPr>
              <w:t xml:space="preserve">Moderate to extreme NOSE score  </w:t>
            </w:r>
          </w:p>
        </w:tc>
        <w:tc>
          <w:tcPr>
            <w:tcW w:w="602" w:type="pct"/>
            <w:shd w:val="clear" w:color="auto" w:fill="auto"/>
            <w:vAlign w:val="center"/>
          </w:tcPr>
          <w:p w14:paraId="51EC28FF" w14:textId="77777777" w:rsidR="00CE256F" w:rsidRPr="00015B19" w:rsidRDefault="00CE256F" w:rsidP="00CE256F">
            <w:pPr>
              <w:pStyle w:val="TableText"/>
              <w:jc w:val="center"/>
              <w:rPr>
                <w:lang w:val="en-US"/>
              </w:rPr>
            </w:pPr>
            <w:r w:rsidRPr="00015B19">
              <w:rPr>
                <w:lang w:val="en-US"/>
              </w:rPr>
              <w:t>NOSE score, VAS</w:t>
            </w:r>
          </w:p>
        </w:tc>
        <w:tc>
          <w:tcPr>
            <w:tcW w:w="918" w:type="pct"/>
            <w:shd w:val="clear" w:color="auto" w:fill="auto"/>
            <w:vAlign w:val="center"/>
          </w:tcPr>
          <w:p w14:paraId="6BEDA73C" w14:textId="77777777" w:rsidR="00CE256F" w:rsidRPr="00015B19" w:rsidRDefault="00CE256F" w:rsidP="00CE256F">
            <w:pPr>
              <w:pStyle w:val="TableText"/>
              <w:jc w:val="center"/>
              <w:rPr>
                <w:lang w:val="en-US"/>
              </w:rPr>
            </w:pPr>
            <w:r w:rsidRPr="00015B19">
              <w:rPr>
                <w:lang w:val="en-US"/>
              </w:rPr>
              <w:t>Not used</w:t>
            </w:r>
          </w:p>
        </w:tc>
      </w:tr>
      <w:tr w:rsidR="00CE256F" w:rsidRPr="005843AD" w14:paraId="300358B7" w14:textId="77777777" w:rsidTr="0085450D">
        <w:trPr>
          <w:cantSplit/>
        </w:trPr>
        <w:tc>
          <w:tcPr>
            <w:tcW w:w="841" w:type="pct"/>
          </w:tcPr>
          <w:p w14:paraId="7E28D332" w14:textId="77777777" w:rsidR="00CE256F" w:rsidRPr="00015B19" w:rsidRDefault="00CE256F" w:rsidP="00CE256F">
            <w:pPr>
              <w:pStyle w:val="TableText"/>
              <w:rPr>
                <w:lang w:val="en-US"/>
              </w:rPr>
            </w:pPr>
            <w:r w:rsidRPr="00015B19">
              <w:t>Rao 2016</w:t>
            </w:r>
          </w:p>
        </w:tc>
        <w:tc>
          <w:tcPr>
            <w:tcW w:w="444" w:type="pct"/>
            <w:shd w:val="clear" w:color="auto" w:fill="auto"/>
            <w:vAlign w:val="center"/>
          </w:tcPr>
          <w:p w14:paraId="7F3B1DCC" w14:textId="77777777" w:rsidR="00CE256F" w:rsidRPr="00015B19" w:rsidRDefault="00CE256F" w:rsidP="00CE256F">
            <w:pPr>
              <w:pStyle w:val="TableText"/>
              <w:jc w:val="center"/>
              <w:rPr>
                <w:lang w:val="en-US"/>
              </w:rPr>
            </w:pPr>
            <w:r w:rsidRPr="00015B19">
              <w:rPr>
                <w:lang w:val="en-US"/>
              </w:rPr>
              <w:t>50</w:t>
            </w:r>
          </w:p>
        </w:tc>
        <w:tc>
          <w:tcPr>
            <w:tcW w:w="760" w:type="pct"/>
            <w:shd w:val="clear" w:color="auto" w:fill="auto"/>
            <w:vAlign w:val="center"/>
          </w:tcPr>
          <w:p w14:paraId="19F30609" w14:textId="77777777" w:rsidR="00CE256F" w:rsidRPr="00015B19" w:rsidRDefault="00CE256F" w:rsidP="00CE256F">
            <w:pPr>
              <w:pStyle w:val="TableText"/>
              <w:jc w:val="center"/>
              <w:rPr>
                <w:lang w:val="en-US"/>
              </w:rPr>
            </w:pPr>
            <w:r w:rsidRPr="00015B19">
              <w:rPr>
                <w:lang w:val="en-US"/>
              </w:rPr>
              <w:t xml:space="preserve">Poster; Retrospective chart review; 13.6 months </w:t>
            </w:r>
          </w:p>
        </w:tc>
        <w:tc>
          <w:tcPr>
            <w:tcW w:w="599" w:type="pct"/>
            <w:shd w:val="clear" w:color="auto" w:fill="auto"/>
            <w:vAlign w:val="center"/>
          </w:tcPr>
          <w:p w14:paraId="1B3B428A" w14:textId="7E945247" w:rsidR="00CE256F" w:rsidRPr="00015B19" w:rsidRDefault="00CE256F" w:rsidP="00CE256F">
            <w:pPr>
              <w:pStyle w:val="TableText"/>
              <w:jc w:val="center"/>
              <w:rPr>
                <w:lang w:val="en-US"/>
              </w:rPr>
            </w:pPr>
            <w:r>
              <w:rPr>
                <w:lang w:val="en-US"/>
              </w:rPr>
              <w:t xml:space="preserve">High </w:t>
            </w:r>
            <w:r w:rsidRPr="00015B19">
              <w:rPr>
                <w:vertAlign w:val="superscript"/>
                <w:lang w:val="en-US"/>
              </w:rPr>
              <w:t>a</w:t>
            </w:r>
          </w:p>
        </w:tc>
        <w:tc>
          <w:tcPr>
            <w:tcW w:w="836" w:type="pct"/>
            <w:shd w:val="clear" w:color="auto" w:fill="auto"/>
            <w:vAlign w:val="center"/>
          </w:tcPr>
          <w:p w14:paraId="4B74759C" w14:textId="77777777" w:rsidR="00CE256F" w:rsidRPr="00015B19" w:rsidRDefault="00CE256F" w:rsidP="00CE256F">
            <w:pPr>
              <w:pStyle w:val="TableText"/>
              <w:jc w:val="center"/>
              <w:rPr>
                <w:lang w:val="en-US"/>
              </w:rPr>
            </w:pPr>
            <w:r w:rsidRPr="00015B19">
              <w:rPr>
                <w:lang w:val="en-US"/>
              </w:rPr>
              <w:t xml:space="preserve">Severe NOSE score  </w:t>
            </w:r>
          </w:p>
        </w:tc>
        <w:tc>
          <w:tcPr>
            <w:tcW w:w="602" w:type="pct"/>
            <w:shd w:val="clear" w:color="auto" w:fill="auto"/>
            <w:vAlign w:val="center"/>
          </w:tcPr>
          <w:p w14:paraId="4DD0B478" w14:textId="77777777" w:rsidR="00CE256F" w:rsidRPr="00015B19" w:rsidRDefault="00CE256F" w:rsidP="00CE256F">
            <w:pPr>
              <w:pStyle w:val="TableText"/>
              <w:jc w:val="center"/>
              <w:rPr>
                <w:lang w:val="en-US"/>
              </w:rPr>
            </w:pPr>
            <w:r w:rsidRPr="00015B19">
              <w:rPr>
                <w:lang w:val="en-US"/>
              </w:rPr>
              <w:t xml:space="preserve">NOSE score </w:t>
            </w:r>
          </w:p>
        </w:tc>
        <w:tc>
          <w:tcPr>
            <w:tcW w:w="918" w:type="pct"/>
            <w:shd w:val="clear" w:color="auto" w:fill="auto"/>
            <w:vAlign w:val="center"/>
          </w:tcPr>
          <w:p w14:paraId="5AA82E6B" w14:textId="77777777" w:rsidR="00CE256F" w:rsidRPr="00015B19" w:rsidRDefault="00CE256F" w:rsidP="00CE256F">
            <w:pPr>
              <w:pStyle w:val="TableText"/>
              <w:jc w:val="center"/>
              <w:rPr>
                <w:lang w:val="en-US"/>
              </w:rPr>
            </w:pPr>
            <w:r w:rsidRPr="00015B19">
              <w:rPr>
                <w:lang w:val="en-US"/>
              </w:rPr>
              <w:t>Not used</w:t>
            </w:r>
          </w:p>
        </w:tc>
      </w:tr>
      <w:tr w:rsidR="00CE256F" w:rsidRPr="005843AD" w14:paraId="2AF7A15C" w14:textId="77777777" w:rsidTr="0085450D">
        <w:trPr>
          <w:cantSplit/>
        </w:trPr>
        <w:tc>
          <w:tcPr>
            <w:tcW w:w="841" w:type="pct"/>
          </w:tcPr>
          <w:p w14:paraId="68B2CA19" w14:textId="77777777" w:rsidR="00CE256F" w:rsidRPr="00015B19" w:rsidRDefault="00CE256F" w:rsidP="00CE256F">
            <w:pPr>
              <w:pStyle w:val="TableText"/>
              <w:rPr>
                <w:lang w:val="en-US"/>
              </w:rPr>
            </w:pPr>
            <w:r w:rsidRPr="00015B19">
              <w:t>Taha 2021</w:t>
            </w:r>
          </w:p>
        </w:tc>
        <w:tc>
          <w:tcPr>
            <w:tcW w:w="444" w:type="pct"/>
            <w:shd w:val="clear" w:color="auto" w:fill="auto"/>
            <w:vAlign w:val="center"/>
          </w:tcPr>
          <w:p w14:paraId="2E0004F7" w14:textId="77777777" w:rsidR="00CE256F" w:rsidRPr="00015B19" w:rsidRDefault="00CE256F" w:rsidP="00CE256F">
            <w:pPr>
              <w:pStyle w:val="TableText"/>
              <w:jc w:val="center"/>
              <w:rPr>
                <w:lang w:val="en-US"/>
              </w:rPr>
            </w:pPr>
            <w:r w:rsidRPr="00015B19">
              <w:rPr>
                <w:lang w:val="en-US"/>
              </w:rPr>
              <w:t>26</w:t>
            </w:r>
          </w:p>
        </w:tc>
        <w:tc>
          <w:tcPr>
            <w:tcW w:w="760" w:type="pct"/>
            <w:shd w:val="clear" w:color="auto" w:fill="auto"/>
            <w:vAlign w:val="center"/>
          </w:tcPr>
          <w:p w14:paraId="51CB3B8A" w14:textId="77777777" w:rsidR="00CE256F" w:rsidRPr="00015B19" w:rsidRDefault="00CE256F" w:rsidP="00CE256F">
            <w:pPr>
              <w:pStyle w:val="TableText"/>
              <w:jc w:val="center"/>
              <w:rPr>
                <w:lang w:val="en-US"/>
              </w:rPr>
            </w:pPr>
            <w:r w:rsidRPr="00015B19">
              <w:rPr>
                <w:lang w:val="en-US"/>
              </w:rPr>
              <w:t xml:space="preserve">Prospective cohort study; 14.58 months </w:t>
            </w:r>
          </w:p>
        </w:tc>
        <w:tc>
          <w:tcPr>
            <w:tcW w:w="599" w:type="pct"/>
            <w:shd w:val="clear" w:color="auto" w:fill="auto"/>
            <w:vAlign w:val="center"/>
          </w:tcPr>
          <w:p w14:paraId="7CB805BB" w14:textId="77777777" w:rsidR="00CE256F" w:rsidRPr="00015B19" w:rsidRDefault="00CE256F" w:rsidP="00CE256F">
            <w:pPr>
              <w:pStyle w:val="TableText"/>
              <w:jc w:val="center"/>
              <w:rPr>
                <w:lang w:val="en-US"/>
              </w:rPr>
            </w:pPr>
            <w:r w:rsidRPr="00015B19">
              <w:rPr>
                <w:lang w:val="en-US"/>
              </w:rPr>
              <w:t xml:space="preserve">Moderate </w:t>
            </w:r>
            <w:r w:rsidRPr="00015B19">
              <w:rPr>
                <w:vertAlign w:val="superscript"/>
                <w:lang w:val="en-US"/>
              </w:rPr>
              <w:t>a</w:t>
            </w:r>
          </w:p>
        </w:tc>
        <w:tc>
          <w:tcPr>
            <w:tcW w:w="836" w:type="pct"/>
            <w:shd w:val="clear" w:color="auto" w:fill="auto"/>
            <w:vAlign w:val="center"/>
          </w:tcPr>
          <w:p w14:paraId="3AC0C6A7" w14:textId="77777777" w:rsidR="00CE256F" w:rsidRPr="00015B19" w:rsidRDefault="00CE256F" w:rsidP="00CE256F">
            <w:pPr>
              <w:pStyle w:val="TableText"/>
              <w:jc w:val="center"/>
              <w:rPr>
                <w:lang w:val="en-US"/>
              </w:rPr>
            </w:pPr>
            <w:r w:rsidRPr="00015B19">
              <w:rPr>
                <w:lang w:val="en-US"/>
              </w:rPr>
              <w:t>Moderate to extreme</w:t>
            </w:r>
            <w:r w:rsidRPr="00015B19">
              <w:t xml:space="preserve"> </w:t>
            </w:r>
            <w:r w:rsidRPr="00015B19">
              <w:rPr>
                <w:lang w:val="en-US"/>
              </w:rPr>
              <w:t xml:space="preserve">NOSE score  </w:t>
            </w:r>
          </w:p>
        </w:tc>
        <w:tc>
          <w:tcPr>
            <w:tcW w:w="602" w:type="pct"/>
            <w:shd w:val="clear" w:color="auto" w:fill="auto"/>
            <w:vAlign w:val="center"/>
          </w:tcPr>
          <w:p w14:paraId="1091C7EB" w14:textId="77777777" w:rsidR="00CE256F" w:rsidRPr="00015B19" w:rsidRDefault="00CE256F" w:rsidP="00CE256F">
            <w:pPr>
              <w:pStyle w:val="TableText"/>
              <w:jc w:val="center"/>
              <w:rPr>
                <w:lang w:val="en-US"/>
              </w:rPr>
            </w:pPr>
            <w:r w:rsidRPr="00015B19">
              <w:rPr>
                <w:lang w:val="en-US"/>
              </w:rPr>
              <w:t xml:space="preserve">NOSE score </w:t>
            </w:r>
          </w:p>
        </w:tc>
        <w:tc>
          <w:tcPr>
            <w:tcW w:w="918" w:type="pct"/>
            <w:shd w:val="clear" w:color="auto" w:fill="auto"/>
            <w:vAlign w:val="center"/>
          </w:tcPr>
          <w:p w14:paraId="43AF2E47" w14:textId="77777777" w:rsidR="00CE256F" w:rsidRPr="00015B19" w:rsidRDefault="00CE256F" w:rsidP="00CE256F">
            <w:pPr>
              <w:pStyle w:val="TableText"/>
              <w:jc w:val="center"/>
              <w:rPr>
                <w:lang w:val="en-US"/>
              </w:rPr>
            </w:pPr>
            <w:r w:rsidRPr="00015B19">
              <w:rPr>
                <w:lang w:val="en-US"/>
              </w:rPr>
              <w:t>Not used</w:t>
            </w:r>
          </w:p>
        </w:tc>
      </w:tr>
      <w:tr w:rsidR="00CE256F" w:rsidRPr="005843AD" w14:paraId="05324123" w14:textId="77777777" w:rsidTr="0085450D">
        <w:trPr>
          <w:cantSplit/>
        </w:trPr>
        <w:tc>
          <w:tcPr>
            <w:tcW w:w="841" w:type="pct"/>
          </w:tcPr>
          <w:p w14:paraId="3D46424C" w14:textId="77777777" w:rsidR="00CE256F" w:rsidRPr="00015B19" w:rsidRDefault="00CE256F" w:rsidP="00CE256F">
            <w:pPr>
              <w:pStyle w:val="TableText"/>
              <w:rPr>
                <w:lang w:val="en-US"/>
              </w:rPr>
            </w:pPr>
            <w:r w:rsidRPr="00015B19">
              <w:t>Tan 2012</w:t>
            </w:r>
          </w:p>
        </w:tc>
        <w:tc>
          <w:tcPr>
            <w:tcW w:w="444" w:type="pct"/>
            <w:shd w:val="clear" w:color="auto" w:fill="auto"/>
            <w:vAlign w:val="center"/>
          </w:tcPr>
          <w:p w14:paraId="4B6A2C5C" w14:textId="77777777" w:rsidR="00CE256F" w:rsidRPr="00015B19" w:rsidRDefault="00CE256F" w:rsidP="00CE256F">
            <w:pPr>
              <w:pStyle w:val="TableText"/>
              <w:jc w:val="center"/>
              <w:rPr>
                <w:lang w:val="en-US"/>
              </w:rPr>
            </w:pPr>
            <w:r w:rsidRPr="00015B19">
              <w:rPr>
                <w:lang w:val="en-US"/>
              </w:rPr>
              <w:t>15</w:t>
            </w:r>
          </w:p>
        </w:tc>
        <w:tc>
          <w:tcPr>
            <w:tcW w:w="760" w:type="pct"/>
            <w:shd w:val="clear" w:color="auto" w:fill="auto"/>
            <w:vAlign w:val="center"/>
          </w:tcPr>
          <w:p w14:paraId="43349B97" w14:textId="77777777" w:rsidR="00CE256F" w:rsidRPr="00015B19" w:rsidRDefault="00CE256F" w:rsidP="00CE256F">
            <w:pPr>
              <w:pStyle w:val="TableText"/>
              <w:jc w:val="center"/>
              <w:rPr>
                <w:lang w:val="en-US"/>
              </w:rPr>
            </w:pPr>
            <w:r w:rsidRPr="00015B19">
              <w:rPr>
                <w:lang w:val="en-US"/>
              </w:rPr>
              <w:t xml:space="preserve">Prospective case series; 13 months </w:t>
            </w:r>
          </w:p>
        </w:tc>
        <w:tc>
          <w:tcPr>
            <w:tcW w:w="599" w:type="pct"/>
            <w:shd w:val="clear" w:color="auto" w:fill="auto"/>
            <w:vAlign w:val="center"/>
          </w:tcPr>
          <w:p w14:paraId="5441C559" w14:textId="77777777" w:rsidR="00CE256F" w:rsidRPr="00015B19" w:rsidRDefault="00CE256F" w:rsidP="00CE256F">
            <w:pPr>
              <w:pStyle w:val="TableText"/>
              <w:jc w:val="center"/>
              <w:rPr>
                <w:lang w:val="en-US"/>
              </w:rPr>
            </w:pPr>
            <w:r w:rsidRPr="00015B19">
              <w:rPr>
                <w:lang w:val="en-US"/>
              </w:rPr>
              <w:t>Moderate</w:t>
            </w:r>
            <w:r w:rsidRPr="00015B19">
              <w:rPr>
                <w:vertAlign w:val="superscript"/>
                <w:lang w:val="en-US"/>
              </w:rPr>
              <w:t xml:space="preserve"> a</w:t>
            </w:r>
          </w:p>
        </w:tc>
        <w:tc>
          <w:tcPr>
            <w:tcW w:w="836" w:type="pct"/>
            <w:shd w:val="clear" w:color="auto" w:fill="auto"/>
            <w:vAlign w:val="center"/>
          </w:tcPr>
          <w:p w14:paraId="7A3CCAD5" w14:textId="77777777" w:rsidR="00CE256F" w:rsidRPr="00015B19" w:rsidRDefault="00CE256F" w:rsidP="00CE256F">
            <w:pPr>
              <w:pStyle w:val="TableText"/>
              <w:jc w:val="center"/>
              <w:rPr>
                <w:lang w:val="en-US"/>
              </w:rPr>
            </w:pPr>
            <w:r w:rsidRPr="00015B19">
              <w:rPr>
                <w:lang w:val="en-US"/>
              </w:rPr>
              <w:t xml:space="preserve">Extreme NOSE score  </w:t>
            </w:r>
          </w:p>
        </w:tc>
        <w:tc>
          <w:tcPr>
            <w:tcW w:w="602" w:type="pct"/>
            <w:shd w:val="clear" w:color="auto" w:fill="auto"/>
            <w:vAlign w:val="center"/>
          </w:tcPr>
          <w:p w14:paraId="093E55FA" w14:textId="77777777" w:rsidR="00CE256F" w:rsidRPr="00015B19" w:rsidRDefault="00CE256F" w:rsidP="00CE256F">
            <w:pPr>
              <w:pStyle w:val="TableText"/>
              <w:jc w:val="center"/>
              <w:rPr>
                <w:lang w:val="en-US"/>
              </w:rPr>
            </w:pPr>
            <w:r w:rsidRPr="00015B19">
              <w:rPr>
                <w:lang w:val="en-US"/>
              </w:rPr>
              <w:t xml:space="preserve">NOSE score </w:t>
            </w:r>
          </w:p>
        </w:tc>
        <w:tc>
          <w:tcPr>
            <w:tcW w:w="918" w:type="pct"/>
            <w:shd w:val="clear" w:color="auto" w:fill="auto"/>
            <w:vAlign w:val="center"/>
          </w:tcPr>
          <w:p w14:paraId="37751064" w14:textId="77777777" w:rsidR="00CE256F" w:rsidRPr="00015B19" w:rsidRDefault="00CE256F" w:rsidP="00CE256F">
            <w:pPr>
              <w:pStyle w:val="TableText"/>
              <w:jc w:val="center"/>
              <w:rPr>
                <w:lang w:val="en-US"/>
              </w:rPr>
            </w:pPr>
            <w:r w:rsidRPr="00015B19">
              <w:rPr>
                <w:lang w:val="en-US"/>
              </w:rPr>
              <w:t>Not used</w:t>
            </w:r>
          </w:p>
        </w:tc>
      </w:tr>
      <w:tr w:rsidR="00CE256F" w:rsidRPr="005843AD" w14:paraId="401F13C7" w14:textId="77777777" w:rsidTr="0085450D">
        <w:trPr>
          <w:cantSplit/>
        </w:trPr>
        <w:tc>
          <w:tcPr>
            <w:tcW w:w="841" w:type="pct"/>
          </w:tcPr>
          <w:p w14:paraId="7E79A81B" w14:textId="77777777" w:rsidR="00CE256F" w:rsidRPr="00015B19" w:rsidRDefault="00CE256F" w:rsidP="00CE256F">
            <w:pPr>
              <w:pStyle w:val="TableText"/>
              <w:rPr>
                <w:lang w:val="en-US"/>
              </w:rPr>
            </w:pPr>
            <w:r w:rsidRPr="00015B19">
              <w:t>Sainio 2022</w:t>
            </w:r>
          </w:p>
        </w:tc>
        <w:tc>
          <w:tcPr>
            <w:tcW w:w="444" w:type="pct"/>
            <w:shd w:val="clear" w:color="auto" w:fill="auto"/>
            <w:vAlign w:val="center"/>
          </w:tcPr>
          <w:p w14:paraId="1C3321E0" w14:textId="77777777" w:rsidR="00CE256F" w:rsidRPr="00015B19" w:rsidRDefault="00CE256F" w:rsidP="00CE256F">
            <w:pPr>
              <w:pStyle w:val="TableText"/>
              <w:jc w:val="center"/>
              <w:rPr>
                <w:lang w:val="en-US"/>
              </w:rPr>
            </w:pPr>
            <w:r w:rsidRPr="00015B19">
              <w:rPr>
                <w:lang w:val="en-US"/>
              </w:rPr>
              <w:t>20</w:t>
            </w:r>
          </w:p>
        </w:tc>
        <w:tc>
          <w:tcPr>
            <w:tcW w:w="760" w:type="pct"/>
            <w:shd w:val="clear" w:color="auto" w:fill="auto"/>
            <w:vAlign w:val="center"/>
          </w:tcPr>
          <w:p w14:paraId="70A750D5" w14:textId="77777777" w:rsidR="00CE256F" w:rsidRPr="00015B19" w:rsidRDefault="00CE256F" w:rsidP="00CE256F">
            <w:pPr>
              <w:pStyle w:val="TableText"/>
              <w:jc w:val="center"/>
              <w:rPr>
                <w:lang w:val="en-US"/>
              </w:rPr>
            </w:pPr>
            <w:r w:rsidRPr="00015B19">
              <w:rPr>
                <w:lang w:val="en-US"/>
              </w:rPr>
              <w:t xml:space="preserve">Prospective, observational study; 12 months </w:t>
            </w:r>
          </w:p>
        </w:tc>
        <w:tc>
          <w:tcPr>
            <w:tcW w:w="599" w:type="pct"/>
            <w:shd w:val="clear" w:color="auto" w:fill="auto"/>
            <w:vAlign w:val="center"/>
          </w:tcPr>
          <w:p w14:paraId="5DD50000" w14:textId="77777777" w:rsidR="00CE256F" w:rsidRPr="00015B19" w:rsidRDefault="00CE256F" w:rsidP="00CE256F">
            <w:pPr>
              <w:pStyle w:val="TableText"/>
              <w:jc w:val="center"/>
              <w:rPr>
                <w:lang w:val="en-US"/>
              </w:rPr>
            </w:pPr>
            <w:r w:rsidRPr="00015B19">
              <w:rPr>
                <w:lang w:val="en-US"/>
              </w:rPr>
              <w:t xml:space="preserve">Moderate </w:t>
            </w:r>
            <w:r w:rsidRPr="00015B19">
              <w:rPr>
                <w:vertAlign w:val="superscript"/>
                <w:lang w:val="en-US"/>
              </w:rPr>
              <w:t>a</w:t>
            </w:r>
          </w:p>
        </w:tc>
        <w:tc>
          <w:tcPr>
            <w:tcW w:w="836" w:type="pct"/>
            <w:shd w:val="clear" w:color="auto" w:fill="auto"/>
            <w:vAlign w:val="center"/>
          </w:tcPr>
          <w:p w14:paraId="4F6DED52" w14:textId="77777777" w:rsidR="00CE256F" w:rsidRPr="00015B19" w:rsidRDefault="00CE256F" w:rsidP="00CE256F">
            <w:pPr>
              <w:pStyle w:val="TableText"/>
              <w:jc w:val="center"/>
              <w:rPr>
                <w:lang w:val="en-US"/>
              </w:rPr>
            </w:pPr>
            <w:r w:rsidRPr="00015B19">
              <w:rPr>
                <w:lang w:val="en-US"/>
              </w:rPr>
              <w:t>Severe</w:t>
            </w:r>
            <w:r w:rsidRPr="00015B19">
              <w:t xml:space="preserve"> </w:t>
            </w:r>
            <w:r w:rsidRPr="00015B19">
              <w:rPr>
                <w:lang w:val="en-US"/>
              </w:rPr>
              <w:t xml:space="preserve">NOSE score  </w:t>
            </w:r>
          </w:p>
        </w:tc>
        <w:tc>
          <w:tcPr>
            <w:tcW w:w="602" w:type="pct"/>
            <w:shd w:val="clear" w:color="auto" w:fill="auto"/>
            <w:vAlign w:val="center"/>
          </w:tcPr>
          <w:p w14:paraId="47363D27" w14:textId="77777777" w:rsidR="00CE256F" w:rsidRPr="00015B19" w:rsidRDefault="00CE256F" w:rsidP="00CE256F">
            <w:pPr>
              <w:pStyle w:val="TableText"/>
              <w:jc w:val="center"/>
              <w:rPr>
                <w:lang w:val="en-US"/>
              </w:rPr>
            </w:pPr>
            <w:r w:rsidRPr="00015B19">
              <w:rPr>
                <w:lang w:val="en-US"/>
              </w:rPr>
              <w:t xml:space="preserve">NOSE score </w:t>
            </w:r>
          </w:p>
        </w:tc>
        <w:tc>
          <w:tcPr>
            <w:tcW w:w="918" w:type="pct"/>
            <w:shd w:val="clear" w:color="auto" w:fill="auto"/>
            <w:vAlign w:val="center"/>
          </w:tcPr>
          <w:p w14:paraId="06D4DD42" w14:textId="77777777" w:rsidR="00CE256F" w:rsidRPr="00015B19" w:rsidRDefault="00CE256F" w:rsidP="00CE256F">
            <w:pPr>
              <w:pStyle w:val="TableText"/>
              <w:jc w:val="center"/>
              <w:rPr>
                <w:lang w:val="en-US"/>
              </w:rPr>
            </w:pPr>
            <w:r w:rsidRPr="00015B19">
              <w:rPr>
                <w:lang w:val="en-US"/>
              </w:rPr>
              <w:t>Not used</w:t>
            </w:r>
          </w:p>
        </w:tc>
      </w:tr>
      <w:tr w:rsidR="00CE256F" w:rsidRPr="005843AD" w14:paraId="137EAAC0" w14:textId="77777777" w:rsidTr="008D66DB">
        <w:trPr>
          <w:cantSplit/>
        </w:trPr>
        <w:tc>
          <w:tcPr>
            <w:tcW w:w="841" w:type="pct"/>
            <w:vMerge w:val="restart"/>
            <w:shd w:val="clear" w:color="auto" w:fill="auto"/>
            <w:vAlign w:val="center"/>
          </w:tcPr>
          <w:p w14:paraId="3563642A" w14:textId="77777777" w:rsidR="00CE256F" w:rsidRPr="00015B19" w:rsidRDefault="00CE256F" w:rsidP="00CE256F">
            <w:pPr>
              <w:pStyle w:val="TableText"/>
              <w:rPr>
                <w:highlight w:val="yellow"/>
              </w:rPr>
            </w:pPr>
            <w:r w:rsidRPr="00015B19">
              <w:lastRenderedPageBreak/>
              <w:t>Naïve IC</w:t>
            </w:r>
          </w:p>
        </w:tc>
        <w:tc>
          <w:tcPr>
            <w:tcW w:w="444" w:type="pct"/>
            <w:shd w:val="clear" w:color="auto" w:fill="auto"/>
            <w:vAlign w:val="center"/>
          </w:tcPr>
          <w:p w14:paraId="410678B9" w14:textId="77777777" w:rsidR="00CE256F" w:rsidRPr="00015B19" w:rsidRDefault="00CE256F" w:rsidP="00CE256F">
            <w:pPr>
              <w:pStyle w:val="TableText"/>
              <w:jc w:val="center"/>
              <w:rPr>
                <w:lang w:val="en-US"/>
              </w:rPr>
            </w:pPr>
            <w:r w:rsidRPr="00015B19">
              <w:rPr>
                <w:lang w:val="en-US"/>
              </w:rPr>
              <w:t>202</w:t>
            </w:r>
          </w:p>
        </w:tc>
        <w:tc>
          <w:tcPr>
            <w:tcW w:w="2797" w:type="pct"/>
            <w:gridSpan w:val="4"/>
            <w:shd w:val="clear" w:color="auto" w:fill="auto"/>
            <w:vAlign w:val="center"/>
          </w:tcPr>
          <w:p w14:paraId="30522667" w14:textId="77777777" w:rsidR="00CE256F" w:rsidRPr="00015B19" w:rsidRDefault="00CE256F" w:rsidP="00CE256F">
            <w:pPr>
              <w:pStyle w:val="TableText"/>
              <w:jc w:val="center"/>
              <w:rPr>
                <w:lang w:val="en-US"/>
              </w:rPr>
            </w:pPr>
            <w:r w:rsidRPr="00015B19">
              <w:rPr>
                <w:lang w:val="en-US"/>
              </w:rPr>
              <w:t>Included LATERA-RCT; LATERA-OFFICE; Trial 4350-001 assessed</w:t>
            </w:r>
            <w:r w:rsidRPr="00015B19">
              <w:t xml:space="preserve"> </w:t>
            </w:r>
            <w:r w:rsidRPr="00015B19">
              <w:rPr>
                <w:lang w:val="en-US"/>
              </w:rPr>
              <w:t>change in NOSE scores at 1 month</w:t>
            </w:r>
          </w:p>
        </w:tc>
        <w:tc>
          <w:tcPr>
            <w:tcW w:w="918" w:type="pct"/>
            <w:vMerge w:val="restart"/>
            <w:shd w:val="clear" w:color="auto" w:fill="auto"/>
            <w:vAlign w:val="center"/>
          </w:tcPr>
          <w:p w14:paraId="5A98050C" w14:textId="77777777" w:rsidR="00CE256F" w:rsidRPr="00015B19" w:rsidRDefault="00CE256F" w:rsidP="00CE256F">
            <w:pPr>
              <w:pStyle w:val="TableText"/>
              <w:jc w:val="center"/>
              <w:rPr>
                <w:highlight w:val="yellow"/>
                <w:lang w:val="en-US"/>
              </w:rPr>
            </w:pPr>
            <w:r w:rsidRPr="00015B19">
              <w:rPr>
                <w:lang w:val="en-US"/>
              </w:rPr>
              <w:t>NOSE score</w:t>
            </w:r>
          </w:p>
        </w:tc>
      </w:tr>
      <w:tr w:rsidR="00CE256F" w:rsidRPr="005843AD" w14:paraId="1CC6964E" w14:textId="77777777" w:rsidTr="008D66DB">
        <w:trPr>
          <w:cantSplit/>
        </w:trPr>
        <w:tc>
          <w:tcPr>
            <w:tcW w:w="841" w:type="pct"/>
            <w:vMerge/>
            <w:shd w:val="clear" w:color="auto" w:fill="auto"/>
            <w:vAlign w:val="center"/>
          </w:tcPr>
          <w:p w14:paraId="37D20644" w14:textId="77777777" w:rsidR="00CE256F" w:rsidRPr="00015B19" w:rsidRDefault="00CE256F" w:rsidP="00CE256F">
            <w:pPr>
              <w:pStyle w:val="TableText"/>
            </w:pPr>
          </w:p>
        </w:tc>
        <w:tc>
          <w:tcPr>
            <w:tcW w:w="444" w:type="pct"/>
            <w:shd w:val="clear" w:color="auto" w:fill="auto"/>
            <w:vAlign w:val="center"/>
          </w:tcPr>
          <w:p w14:paraId="0F471E9F" w14:textId="77777777" w:rsidR="00CE256F" w:rsidRPr="00015B19" w:rsidRDefault="00CE256F" w:rsidP="00CE256F">
            <w:pPr>
              <w:pStyle w:val="TableText"/>
              <w:jc w:val="center"/>
              <w:rPr>
                <w:lang w:val="en-US"/>
              </w:rPr>
            </w:pPr>
            <w:r w:rsidRPr="00015B19">
              <w:rPr>
                <w:lang w:val="en-US"/>
              </w:rPr>
              <w:t>223</w:t>
            </w:r>
          </w:p>
        </w:tc>
        <w:tc>
          <w:tcPr>
            <w:tcW w:w="2797" w:type="pct"/>
            <w:gridSpan w:val="4"/>
            <w:shd w:val="clear" w:color="auto" w:fill="auto"/>
            <w:vAlign w:val="center"/>
          </w:tcPr>
          <w:p w14:paraId="366E6AEA" w14:textId="77777777" w:rsidR="00CE256F" w:rsidRPr="00015B19" w:rsidRDefault="00CE256F" w:rsidP="00CE256F">
            <w:pPr>
              <w:pStyle w:val="TableText"/>
              <w:jc w:val="center"/>
              <w:rPr>
                <w:lang w:val="en-US"/>
              </w:rPr>
            </w:pPr>
            <w:r w:rsidRPr="00015B19">
              <w:rPr>
                <w:lang w:val="en-US"/>
              </w:rPr>
              <w:t>Included LATERA-RCT; LATERA-OFFICE; Trial 4350-001 vs. Most 2006, Sainio 2022 assessed change in NOSE scores at 3 months</w:t>
            </w:r>
          </w:p>
        </w:tc>
        <w:tc>
          <w:tcPr>
            <w:tcW w:w="918" w:type="pct"/>
            <w:vMerge/>
            <w:shd w:val="clear" w:color="auto" w:fill="auto"/>
            <w:vAlign w:val="center"/>
          </w:tcPr>
          <w:p w14:paraId="450872D7" w14:textId="77777777" w:rsidR="00CE256F" w:rsidRPr="00015B19" w:rsidRDefault="00CE256F" w:rsidP="00CE256F">
            <w:pPr>
              <w:pStyle w:val="TableText"/>
              <w:jc w:val="center"/>
              <w:rPr>
                <w:lang w:val="en-US"/>
              </w:rPr>
            </w:pPr>
          </w:p>
        </w:tc>
      </w:tr>
      <w:tr w:rsidR="00CE256F" w:rsidRPr="005843AD" w14:paraId="3DD25944" w14:textId="77777777" w:rsidTr="008D66DB">
        <w:trPr>
          <w:cantSplit/>
        </w:trPr>
        <w:tc>
          <w:tcPr>
            <w:tcW w:w="841" w:type="pct"/>
            <w:vMerge/>
            <w:shd w:val="clear" w:color="auto" w:fill="auto"/>
            <w:vAlign w:val="center"/>
          </w:tcPr>
          <w:p w14:paraId="2AB64F82" w14:textId="77777777" w:rsidR="00CE256F" w:rsidRPr="00015B19" w:rsidRDefault="00CE256F" w:rsidP="00CE256F">
            <w:pPr>
              <w:pStyle w:val="TableText"/>
            </w:pPr>
          </w:p>
        </w:tc>
        <w:tc>
          <w:tcPr>
            <w:tcW w:w="444" w:type="pct"/>
            <w:shd w:val="clear" w:color="auto" w:fill="auto"/>
            <w:vAlign w:val="center"/>
          </w:tcPr>
          <w:p w14:paraId="2F14F423" w14:textId="77777777" w:rsidR="00CE256F" w:rsidRPr="00015B19" w:rsidRDefault="00CE256F" w:rsidP="00CE256F">
            <w:pPr>
              <w:pStyle w:val="TableText"/>
              <w:jc w:val="center"/>
              <w:rPr>
                <w:lang w:val="en-US"/>
              </w:rPr>
            </w:pPr>
            <w:r w:rsidRPr="00015B19">
              <w:rPr>
                <w:lang w:val="en-US"/>
              </w:rPr>
              <w:t>227</w:t>
            </w:r>
          </w:p>
        </w:tc>
        <w:tc>
          <w:tcPr>
            <w:tcW w:w="2797" w:type="pct"/>
            <w:gridSpan w:val="4"/>
            <w:shd w:val="clear" w:color="auto" w:fill="auto"/>
            <w:vAlign w:val="center"/>
          </w:tcPr>
          <w:p w14:paraId="51E6A83F" w14:textId="77777777" w:rsidR="00CE256F" w:rsidRPr="00015B19" w:rsidRDefault="00CE256F" w:rsidP="00CE256F">
            <w:pPr>
              <w:pStyle w:val="TableText"/>
              <w:jc w:val="center"/>
              <w:rPr>
                <w:lang w:val="en-US"/>
              </w:rPr>
            </w:pPr>
            <w:r w:rsidRPr="00015B19">
              <w:rPr>
                <w:lang w:val="en-US"/>
              </w:rPr>
              <w:t xml:space="preserve">Included LATERA-RCT; LATERA-OFFICE; Trial 4350-001 vs. Palesy 2015, Sainio 2022 at 6 months </w:t>
            </w:r>
          </w:p>
        </w:tc>
        <w:tc>
          <w:tcPr>
            <w:tcW w:w="918" w:type="pct"/>
            <w:vMerge/>
            <w:shd w:val="clear" w:color="auto" w:fill="auto"/>
            <w:vAlign w:val="center"/>
          </w:tcPr>
          <w:p w14:paraId="18D1684F" w14:textId="77777777" w:rsidR="00CE256F" w:rsidRPr="00015B19" w:rsidRDefault="00CE256F" w:rsidP="00CE256F">
            <w:pPr>
              <w:pStyle w:val="TableText"/>
              <w:jc w:val="center"/>
              <w:rPr>
                <w:lang w:val="en-US"/>
              </w:rPr>
            </w:pPr>
          </w:p>
        </w:tc>
      </w:tr>
      <w:tr w:rsidR="00CE256F" w:rsidRPr="005843AD" w14:paraId="64F8C549" w14:textId="77777777" w:rsidTr="008D66DB">
        <w:trPr>
          <w:cantSplit/>
        </w:trPr>
        <w:tc>
          <w:tcPr>
            <w:tcW w:w="841" w:type="pct"/>
            <w:vMerge/>
            <w:shd w:val="clear" w:color="auto" w:fill="auto"/>
            <w:vAlign w:val="center"/>
          </w:tcPr>
          <w:p w14:paraId="463EF36C" w14:textId="77777777" w:rsidR="00CE256F" w:rsidRPr="00015B19" w:rsidRDefault="00CE256F" w:rsidP="00CE256F">
            <w:pPr>
              <w:pStyle w:val="TableText"/>
            </w:pPr>
          </w:p>
        </w:tc>
        <w:tc>
          <w:tcPr>
            <w:tcW w:w="444" w:type="pct"/>
            <w:shd w:val="clear" w:color="auto" w:fill="auto"/>
            <w:vAlign w:val="center"/>
          </w:tcPr>
          <w:p w14:paraId="780D63A0" w14:textId="77777777" w:rsidR="00CE256F" w:rsidRPr="00015B19" w:rsidRDefault="00CE256F" w:rsidP="00CE256F">
            <w:pPr>
              <w:pStyle w:val="TableText"/>
              <w:jc w:val="center"/>
              <w:rPr>
                <w:lang w:val="en-US"/>
              </w:rPr>
            </w:pPr>
            <w:r w:rsidRPr="00015B19">
              <w:rPr>
                <w:lang w:val="en-US"/>
              </w:rPr>
              <w:t>294</w:t>
            </w:r>
          </w:p>
        </w:tc>
        <w:tc>
          <w:tcPr>
            <w:tcW w:w="2797" w:type="pct"/>
            <w:gridSpan w:val="4"/>
            <w:shd w:val="clear" w:color="auto" w:fill="auto"/>
            <w:vAlign w:val="center"/>
          </w:tcPr>
          <w:p w14:paraId="34B3F8D2" w14:textId="77777777" w:rsidR="00CE256F" w:rsidRPr="00015B19" w:rsidRDefault="00CE256F" w:rsidP="00CE256F">
            <w:pPr>
              <w:pStyle w:val="TableText"/>
              <w:jc w:val="center"/>
              <w:rPr>
                <w:lang w:val="en-US"/>
              </w:rPr>
            </w:pPr>
            <w:r w:rsidRPr="00015B19">
              <w:rPr>
                <w:lang w:val="en-US"/>
              </w:rPr>
              <w:t>Included LATERA-RCT; LATERA-OFFICE; Trial 4350-001 vs. Taha 2021, Tan 2012, Rao 2016, Most 2006, Sainio 2022 at 12 months</w:t>
            </w:r>
          </w:p>
        </w:tc>
        <w:tc>
          <w:tcPr>
            <w:tcW w:w="918" w:type="pct"/>
            <w:vMerge/>
            <w:shd w:val="clear" w:color="auto" w:fill="auto"/>
            <w:vAlign w:val="center"/>
          </w:tcPr>
          <w:p w14:paraId="775D6854" w14:textId="77777777" w:rsidR="00CE256F" w:rsidRPr="00015B19" w:rsidRDefault="00CE256F" w:rsidP="00CE256F">
            <w:pPr>
              <w:pStyle w:val="TableText"/>
              <w:jc w:val="center"/>
              <w:rPr>
                <w:lang w:val="en-US"/>
              </w:rPr>
            </w:pPr>
          </w:p>
        </w:tc>
      </w:tr>
      <w:tr w:rsidR="00CE256F" w:rsidRPr="005843AD" w14:paraId="39817436" w14:textId="77777777" w:rsidTr="008D66DB">
        <w:trPr>
          <w:cantSplit/>
        </w:trPr>
        <w:tc>
          <w:tcPr>
            <w:tcW w:w="841" w:type="pct"/>
            <w:vMerge/>
            <w:shd w:val="clear" w:color="auto" w:fill="auto"/>
            <w:vAlign w:val="center"/>
          </w:tcPr>
          <w:p w14:paraId="028C5090" w14:textId="77777777" w:rsidR="00CE256F" w:rsidRPr="00015B19" w:rsidRDefault="00CE256F" w:rsidP="00CE256F">
            <w:pPr>
              <w:pStyle w:val="TableText"/>
            </w:pPr>
          </w:p>
        </w:tc>
        <w:tc>
          <w:tcPr>
            <w:tcW w:w="444" w:type="pct"/>
            <w:shd w:val="clear" w:color="auto" w:fill="auto"/>
            <w:vAlign w:val="center"/>
          </w:tcPr>
          <w:p w14:paraId="5BFB511E" w14:textId="77777777" w:rsidR="00CE256F" w:rsidRPr="00015B19" w:rsidRDefault="00CE256F" w:rsidP="00CE256F">
            <w:pPr>
              <w:pStyle w:val="TableText"/>
              <w:jc w:val="center"/>
              <w:rPr>
                <w:lang w:val="en-US"/>
              </w:rPr>
            </w:pPr>
            <w:r w:rsidRPr="00015B19">
              <w:rPr>
                <w:lang w:val="en-US"/>
              </w:rPr>
              <w:t>143</w:t>
            </w:r>
          </w:p>
        </w:tc>
        <w:tc>
          <w:tcPr>
            <w:tcW w:w="2797" w:type="pct"/>
            <w:gridSpan w:val="4"/>
            <w:shd w:val="clear" w:color="auto" w:fill="auto"/>
            <w:vAlign w:val="center"/>
          </w:tcPr>
          <w:p w14:paraId="5363DD91" w14:textId="77777777" w:rsidR="00CE256F" w:rsidRPr="00015B19" w:rsidRDefault="00CE256F" w:rsidP="00CE256F">
            <w:pPr>
              <w:pStyle w:val="TableText"/>
              <w:jc w:val="center"/>
              <w:rPr>
                <w:lang w:val="en-US"/>
              </w:rPr>
            </w:pPr>
            <w:r w:rsidRPr="00015B19">
              <w:rPr>
                <w:lang w:val="en-US"/>
              </w:rPr>
              <w:t>Included LATERA-RCT; LATERA-OFFICE; Trial 4350-001 at 18 months</w:t>
            </w:r>
          </w:p>
        </w:tc>
        <w:tc>
          <w:tcPr>
            <w:tcW w:w="918" w:type="pct"/>
            <w:vMerge/>
            <w:shd w:val="clear" w:color="auto" w:fill="auto"/>
            <w:vAlign w:val="center"/>
          </w:tcPr>
          <w:p w14:paraId="3937E336" w14:textId="77777777" w:rsidR="00CE256F" w:rsidRPr="00015B19" w:rsidRDefault="00CE256F" w:rsidP="00CE256F">
            <w:pPr>
              <w:pStyle w:val="TableText"/>
              <w:jc w:val="center"/>
              <w:rPr>
                <w:lang w:val="en-US"/>
              </w:rPr>
            </w:pPr>
          </w:p>
        </w:tc>
      </w:tr>
      <w:tr w:rsidR="00CE256F" w:rsidRPr="005843AD" w14:paraId="2AFCA5A7" w14:textId="77777777" w:rsidTr="008D66DB">
        <w:trPr>
          <w:cantSplit/>
        </w:trPr>
        <w:tc>
          <w:tcPr>
            <w:tcW w:w="841" w:type="pct"/>
            <w:vMerge/>
            <w:shd w:val="clear" w:color="auto" w:fill="auto"/>
            <w:vAlign w:val="center"/>
          </w:tcPr>
          <w:p w14:paraId="179F5D35" w14:textId="77777777" w:rsidR="00CE256F" w:rsidRPr="00015B19" w:rsidRDefault="00CE256F" w:rsidP="00CE256F">
            <w:pPr>
              <w:pStyle w:val="TableText"/>
            </w:pPr>
          </w:p>
        </w:tc>
        <w:tc>
          <w:tcPr>
            <w:tcW w:w="444" w:type="pct"/>
            <w:shd w:val="clear" w:color="auto" w:fill="auto"/>
            <w:vAlign w:val="center"/>
          </w:tcPr>
          <w:p w14:paraId="57C77E96" w14:textId="77777777" w:rsidR="00CE256F" w:rsidRPr="00015B19" w:rsidRDefault="00CE256F" w:rsidP="00CE256F">
            <w:pPr>
              <w:pStyle w:val="TableText"/>
              <w:jc w:val="center"/>
              <w:rPr>
                <w:lang w:val="en-US"/>
              </w:rPr>
            </w:pPr>
            <w:r w:rsidRPr="00015B19">
              <w:rPr>
                <w:lang w:val="en-US"/>
              </w:rPr>
              <w:t>133</w:t>
            </w:r>
          </w:p>
        </w:tc>
        <w:tc>
          <w:tcPr>
            <w:tcW w:w="2797" w:type="pct"/>
            <w:gridSpan w:val="4"/>
            <w:shd w:val="clear" w:color="auto" w:fill="auto"/>
            <w:vAlign w:val="center"/>
          </w:tcPr>
          <w:p w14:paraId="1B503382" w14:textId="77777777" w:rsidR="00CE256F" w:rsidRPr="00015B19" w:rsidRDefault="00CE256F" w:rsidP="00CE256F">
            <w:pPr>
              <w:pStyle w:val="TableText"/>
              <w:jc w:val="center"/>
              <w:rPr>
                <w:lang w:val="en-US"/>
              </w:rPr>
            </w:pPr>
            <w:r w:rsidRPr="00015B19">
              <w:rPr>
                <w:lang w:val="en-US"/>
              </w:rPr>
              <w:t>Included LATERA-RCT; LATERA-OFFICE; Trial 4350-001 at 24 months</w:t>
            </w:r>
          </w:p>
        </w:tc>
        <w:tc>
          <w:tcPr>
            <w:tcW w:w="918" w:type="pct"/>
            <w:vMerge/>
            <w:shd w:val="clear" w:color="auto" w:fill="auto"/>
            <w:vAlign w:val="center"/>
          </w:tcPr>
          <w:p w14:paraId="6ED4D518" w14:textId="77777777" w:rsidR="00CE256F" w:rsidRPr="00015B19" w:rsidRDefault="00CE256F" w:rsidP="00CE256F">
            <w:pPr>
              <w:pStyle w:val="TableText"/>
              <w:jc w:val="center"/>
              <w:rPr>
                <w:lang w:val="en-US"/>
              </w:rPr>
            </w:pPr>
          </w:p>
        </w:tc>
      </w:tr>
      <w:tr w:rsidR="00CE256F" w:rsidRPr="005843AD" w14:paraId="4E71016C" w14:textId="77777777" w:rsidTr="008D66DB">
        <w:trPr>
          <w:cantSplit/>
        </w:trPr>
        <w:tc>
          <w:tcPr>
            <w:tcW w:w="841" w:type="pct"/>
            <w:vMerge/>
            <w:shd w:val="clear" w:color="auto" w:fill="auto"/>
            <w:vAlign w:val="center"/>
          </w:tcPr>
          <w:p w14:paraId="77886B76" w14:textId="77777777" w:rsidR="00CE256F" w:rsidRPr="00015B19" w:rsidRDefault="00CE256F" w:rsidP="00CE256F">
            <w:pPr>
              <w:pStyle w:val="TableText"/>
            </w:pPr>
          </w:p>
        </w:tc>
        <w:tc>
          <w:tcPr>
            <w:tcW w:w="444" w:type="pct"/>
            <w:shd w:val="clear" w:color="auto" w:fill="auto"/>
            <w:vAlign w:val="center"/>
          </w:tcPr>
          <w:p w14:paraId="478F8D05" w14:textId="77777777" w:rsidR="00CE256F" w:rsidRPr="00015B19" w:rsidRDefault="00CE256F" w:rsidP="00CE256F">
            <w:pPr>
              <w:pStyle w:val="TableText"/>
              <w:jc w:val="center"/>
              <w:rPr>
                <w:lang w:val="en-US"/>
              </w:rPr>
            </w:pPr>
            <w:r w:rsidRPr="00015B19">
              <w:rPr>
                <w:lang w:val="en-US"/>
              </w:rPr>
              <w:t xml:space="preserve">NS </w:t>
            </w:r>
          </w:p>
        </w:tc>
        <w:tc>
          <w:tcPr>
            <w:tcW w:w="2797" w:type="pct"/>
            <w:gridSpan w:val="4"/>
            <w:shd w:val="clear" w:color="auto" w:fill="auto"/>
            <w:vAlign w:val="center"/>
          </w:tcPr>
          <w:p w14:paraId="6921DC18" w14:textId="77777777" w:rsidR="00CE256F" w:rsidRPr="00015B19" w:rsidRDefault="00CE256F" w:rsidP="00CE256F">
            <w:pPr>
              <w:pStyle w:val="TableText"/>
              <w:jc w:val="center"/>
              <w:rPr>
                <w:lang w:val="en-US"/>
              </w:rPr>
            </w:pPr>
            <w:r w:rsidRPr="00015B19">
              <w:rPr>
                <w:lang w:val="en-US"/>
              </w:rPr>
              <w:t>Included LATERA-RCT and LATERA-OFFICE at 24 months (last FU) vs. Most 2006, Palesy 2015, Taha 2021, Tan 2012, Rao 2016, Sainio 2022</w:t>
            </w:r>
          </w:p>
        </w:tc>
        <w:tc>
          <w:tcPr>
            <w:tcW w:w="918" w:type="pct"/>
            <w:vMerge/>
            <w:shd w:val="clear" w:color="auto" w:fill="auto"/>
            <w:vAlign w:val="center"/>
          </w:tcPr>
          <w:p w14:paraId="53057868" w14:textId="77777777" w:rsidR="00CE256F" w:rsidRPr="00015B19" w:rsidRDefault="00CE256F" w:rsidP="00CE256F">
            <w:pPr>
              <w:pStyle w:val="TableText"/>
              <w:jc w:val="center"/>
              <w:rPr>
                <w:lang w:val="en-US"/>
              </w:rPr>
            </w:pPr>
          </w:p>
        </w:tc>
      </w:tr>
      <w:tr w:rsidR="00CE256F" w:rsidRPr="005843AD" w14:paraId="3CDCE259" w14:textId="77777777" w:rsidTr="00744F46">
        <w:trPr>
          <w:cantSplit/>
        </w:trPr>
        <w:tc>
          <w:tcPr>
            <w:tcW w:w="5000" w:type="pct"/>
            <w:gridSpan w:val="7"/>
            <w:shd w:val="clear" w:color="auto" w:fill="auto"/>
            <w:vAlign w:val="center"/>
          </w:tcPr>
          <w:p w14:paraId="7071126D" w14:textId="77777777" w:rsidR="00CE256F" w:rsidRPr="00015B19" w:rsidRDefault="00CE256F" w:rsidP="00CE256F">
            <w:pPr>
              <w:pStyle w:val="TableText"/>
              <w:rPr>
                <w:lang w:val="en-US"/>
              </w:rPr>
            </w:pPr>
            <w:r w:rsidRPr="00015B19">
              <w:rPr>
                <w:b/>
                <w:bCs/>
              </w:rPr>
              <w:t>Comparison of LATERA vs rhinoplasty with adjunct treatments</w:t>
            </w:r>
          </w:p>
        </w:tc>
      </w:tr>
      <w:tr w:rsidR="00CE256F" w:rsidRPr="005843AD" w14:paraId="376010A5" w14:textId="77777777" w:rsidTr="0085450D">
        <w:trPr>
          <w:cantSplit/>
        </w:trPr>
        <w:tc>
          <w:tcPr>
            <w:tcW w:w="841" w:type="pct"/>
            <w:shd w:val="clear" w:color="auto" w:fill="auto"/>
            <w:vAlign w:val="center"/>
          </w:tcPr>
          <w:p w14:paraId="00E448D4" w14:textId="77777777" w:rsidR="00CE256F" w:rsidRPr="00015B19" w:rsidRDefault="00CE256F" w:rsidP="00CE256F">
            <w:pPr>
              <w:pStyle w:val="TableText"/>
              <w:rPr>
                <w:lang w:val="en-US"/>
              </w:rPr>
            </w:pPr>
            <w:r w:rsidRPr="00015B19">
              <w:rPr>
                <w:lang w:val="en-US"/>
              </w:rPr>
              <w:t>Olson 2021</w:t>
            </w:r>
          </w:p>
        </w:tc>
        <w:tc>
          <w:tcPr>
            <w:tcW w:w="444" w:type="pct"/>
            <w:shd w:val="clear" w:color="auto" w:fill="auto"/>
            <w:vAlign w:val="center"/>
          </w:tcPr>
          <w:p w14:paraId="50CA8DFC" w14:textId="77777777" w:rsidR="00CE256F" w:rsidRPr="00015B19" w:rsidRDefault="00CE256F" w:rsidP="00CE256F">
            <w:pPr>
              <w:pStyle w:val="TableText"/>
              <w:jc w:val="center"/>
              <w:rPr>
                <w:lang w:val="en-US"/>
              </w:rPr>
            </w:pPr>
            <w:r w:rsidRPr="00015B19">
              <w:rPr>
                <w:lang w:val="en-US"/>
              </w:rPr>
              <w:t>90</w:t>
            </w:r>
          </w:p>
        </w:tc>
        <w:tc>
          <w:tcPr>
            <w:tcW w:w="760" w:type="pct"/>
            <w:shd w:val="clear" w:color="auto" w:fill="auto"/>
            <w:vAlign w:val="center"/>
          </w:tcPr>
          <w:p w14:paraId="05B5D365" w14:textId="77777777" w:rsidR="00CE256F" w:rsidRPr="00015B19" w:rsidRDefault="00CE256F" w:rsidP="00CE256F">
            <w:pPr>
              <w:pStyle w:val="TableText"/>
              <w:jc w:val="center"/>
              <w:rPr>
                <w:lang w:val="en-US"/>
              </w:rPr>
            </w:pPr>
            <w:r w:rsidRPr="00015B19">
              <w:rPr>
                <w:lang w:val="en-US"/>
              </w:rPr>
              <w:t>Prospective, observational study; 146.6 days</w:t>
            </w:r>
          </w:p>
        </w:tc>
        <w:tc>
          <w:tcPr>
            <w:tcW w:w="599" w:type="pct"/>
            <w:shd w:val="clear" w:color="auto" w:fill="auto"/>
            <w:vAlign w:val="center"/>
          </w:tcPr>
          <w:p w14:paraId="2B7B7646" w14:textId="77777777" w:rsidR="00CE256F" w:rsidRPr="00015B19" w:rsidRDefault="00CE256F" w:rsidP="00CE256F">
            <w:pPr>
              <w:pStyle w:val="TableText"/>
              <w:jc w:val="center"/>
              <w:rPr>
                <w:lang w:val="en-US"/>
              </w:rPr>
            </w:pPr>
            <w:r w:rsidRPr="00313593">
              <w:rPr>
                <w:i/>
                <w:iCs/>
                <w:lang w:val="en-US"/>
              </w:rPr>
              <w:t xml:space="preserve">High </w:t>
            </w:r>
            <w:r w:rsidRPr="00015B19">
              <w:rPr>
                <w:vertAlign w:val="superscript"/>
                <w:lang w:val="en-US"/>
              </w:rPr>
              <w:t>b</w:t>
            </w:r>
          </w:p>
        </w:tc>
        <w:tc>
          <w:tcPr>
            <w:tcW w:w="836" w:type="pct"/>
            <w:shd w:val="clear" w:color="auto" w:fill="auto"/>
            <w:vAlign w:val="center"/>
          </w:tcPr>
          <w:p w14:paraId="3A753831" w14:textId="77777777" w:rsidR="00CE256F" w:rsidRPr="00015B19" w:rsidRDefault="00CE256F" w:rsidP="00CE256F">
            <w:pPr>
              <w:pStyle w:val="TableText"/>
              <w:jc w:val="center"/>
              <w:rPr>
                <w:lang w:val="en-US"/>
              </w:rPr>
            </w:pPr>
            <w:r w:rsidRPr="00015B19">
              <w:rPr>
                <w:lang w:val="en-US"/>
              </w:rPr>
              <w:t xml:space="preserve">Moderate to extreme NOSE score  </w:t>
            </w:r>
          </w:p>
        </w:tc>
        <w:tc>
          <w:tcPr>
            <w:tcW w:w="602" w:type="pct"/>
            <w:shd w:val="clear" w:color="auto" w:fill="auto"/>
            <w:vAlign w:val="center"/>
          </w:tcPr>
          <w:p w14:paraId="3DF984B2" w14:textId="77777777" w:rsidR="00CE256F" w:rsidRPr="00015B19" w:rsidRDefault="00CE256F" w:rsidP="00CE256F">
            <w:pPr>
              <w:pStyle w:val="TableText"/>
              <w:jc w:val="center"/>
              <w:rPr>
                <w:lang w:val="en-US"/>
              </w:rPr>
            </w:pPr>
            <w:r w:rsidRPr="00015B19">
              <w:rPr>
                <w:lang w:val="en-US"/>
              </w:rPr>
              <w:t xml:space="preserve">NOSE score </w:t>
            </w:r>
          </w:p>
        </w:tc>
        <w:tc>
          <w:tcPr>
            <w:tcW w:w="918" w:type="pct"/>
            <w:shd w:val="clear" w:color="auto" w:fill="auto"/>
            <w:vAlign w:val="center"/>
          </w:tcPr>
          <w:p w14:paraId="286472CA" w14:textId="77777777" w:rsidR="00CE256F" w:rsidRPr="00015B19" w:rsidRDefault="00CE256F" w:rsidP="00CE256F">
            <w:pPr>
              <w:pStyle w:val="TableText"/>
              <w:jc w:val="center"/>
              <w:rPr>
                <w:lang w:val="en-US"/>
              </w:rPr>
            </w:pPr>
            <w:r w:rsidRPr="00015B19">
              <w:rPr>
                <w:lang w:val="en-US"/>
              </w:rPr>
              <w:t>Not used</w:t>
            </w:r>
          </w:p>
        </w:tc>
      </w:tr>
    </w:tbl>
    <w:p w14:paraId="61D1CB01" w14:textId="2CD78223" w:rsidR="0085450D" w:rsidRPr="00441946" w:rsidRDefault="0085450D" w:rsidP="0085450D">
      <w:pPr>
        <w:pStyle w:val="NoSpacing"/>
        <w:rPr>
          <w:rFonts w:ascii="Arial Narrow" w:hAnsi="Arial Narrow"/>
          <w:i/>
          <w:iCs/>
          <w:sz w:val="18"/>
          <w:szCs w:val="18"/>
        </w:rPr>
      </w:pPr>
      <w:r>
        <w:rPr>
          <w:rFonts w:ascii="Arial Narrow" w:hAnsi="Arial Narrow"/>
          <w:sz w:val="18"/>
          <w:szCs w:val="18"/>
        </w:rPr>
        <w:t xml:space="preserve">Source: </w:t>
      </w:r>
      <w:r w:rsidR="006E77D1">
        <w:rPr>
          <w:rFonts w:ascii="Arial Narrow" w:hAnsi="Arial Narrow"/>
          <w:sz w:val="18"/>
          <w:szCs w:val="18"/>
        </w:rPr>
        <w:t>Commentary Table 4, pg 74 of MSAC 1719 ADAR+inline commentary</w:t>
      </w:r>
    </w:p>
    <w:p w14:paraId="4865CDAA" w14:textId="3C663292" w:rsidR="0085450D" w:rsidRPr="00543E7C" w:rsidRDefault="0085450D" w:rsidP="0085450D">
      <w:pPr>
        <w:pStyle w:val="NoSpacing"/>
        <w:rPr>
          <w:rFonts w:ascii="Arial Narrow" w:hAnsi="Arial Narrow"/>
          <w:sz w:val="18"/>
          <w:szCs w:val="18"/>
        </w:rPr>
      </w:pPr>
      <w:r w:rsidRPr="00543E7C">
        <w:rPr>
          <w:rFonts w:ascii="Arial Narrow" w:hAnsi="Arial Narrow"/>
          <w:sz w:val="18"/>
          <w:szCs w:val="18"/>
        </w:rPr>
        <w:t xml:space="preserve">Abbreviations: </w:t>
      </w:r>
      <w:r w:rsidRPr="00A53C22">
        <w:rPr>
          <w:rFonts w:ascii="Arial Narrow" w:hAnsi="Arial Narrow"/>
          <w:sz w:val="18"/>
          <w:szCs w:val="18"/>
        </w:rPr>
        <w:t>AE</w:t>
      </w:r>
      <w:r w:rsidR="00883453">
        <w:rPr>
          <w:rFonts w:ascii="Arial Narrow" w:hAnsi="Arial Narrow"/>
          <w:sz w:val="18"/>
          <w:szCs w:val="18"/>
        </w:rPr>
        <w:t>=</w:t>
      </w:r>
      <w:r w:rsidRPr="00A53C22">
        <w:rPr>
          <w:rFonts w:ascii="Arial Narrow" w:hAnsi="Arial Narrow"/>
          <w:sz w:val="18"/>
          <w:szCs w:val="18"/>
        </w:rPr>
        <w:t xml:space="preserve"> adverse event; </w:t>
      </w:r>
      <w:r>
        <w:rPr>
          <w:rFonts w:ascii="Arial Narrow" w:hAnsi="Arial Narrow"/>
          <w:sz w:val="18"/>
          <w:szCs w:val="18"/>
        </w:rPr>
        <w:t>FU</w:t>
      </w:r>
      <w:r w:rsidR="00883453">
        <w:rPr>
          <w:rFonts w:ascii="Arial Narrow" w:hAnsi="Arial Narrow"/>
          <w:sz w:val="18"/>
          <w:szCs w:val="18"/>
        </w:rPr>
        <w:t>=</w:t>
      </w:r>
      <w:r>
        <w:rPr>
          <w:rFonts w:ascii="Arial Narrow" w:hAnsi="Arial Narrow"/>
          <w:sz w:val="18"/>
          <w:szCs w:val="18"/>
        </w:rPr>
        <w:t xml:space="preserve"> follow up; IC</w:t>
      </w:r>
      <w:r w:rsidR="00883453">
        <w:rPr>
          <w:rFonts w:ascii="Arial Narrow" w:hAnsi="Arial Narrow"/>
          <w:sz w:val="18"/>
          <w:szCs w:val="18"/>
        </w:rPr>
        <w:t>=</w:t>
      </w:r>
      <w:r>
        <w:rPr>
          <w:rFonts w:ascii="Arial Narrow" w:hAnsi="Arial Narrow"/>
          <w:sz w:val="18"/>
          <w:szCs w:val="18"/>
        </w:rPr>
        <w:t xml:space="preserve"> Indirect Comparison; </w:t>
      </w:r>
      <w:r w:rsidRPr="00A53C22">
        <w:rPr>
          <w:rFonts w:ascii="Arial Narrow" w:hAnsi="Arial Narrow"/>
          <w:sz w:val="18"/>
          <w:szCs w:val="18"/>
        </w:rPr>
        <w:t>NOSE</w:t>
      </w:r>
      <w:r w:rsidR="00883453">
        <w:rPr>
          <w:rFonts w:ascii="Arial Narrow" w:hAnsi="Arial Narrow"/>
          <w:sz w:val="18"/>
          <w:szCs w:val="18"/>
        </w:rPr>
        <w:t>=</w:t>
      </w:r>
      <w:r w:rsidRPr="00A53C22">
        <w:rPr>
          <w:rFonts w:ascii="Arial Narrow" w:hAnsi="Arial Narrow"/>
          <w:sz w:val="18"/>
          <w:szCs w:val="18"/>
        </w:rPr>
        <w:t xml:space="preserve"> Nasal Obstruction Symptoms Evaluation; </w:t>
      </w:r>
      <w:r>
        <w:rPr>
          <w:rFonts w:ascii="Arial Narrow" w:hAnsi="Arial Narrow"/>
          <w:sz w:val="18"/>
          <w:szCs w:val="18"/>
        </w:rPr>
        <w:t>NS</w:t>
      </w:r>
      <w:r w:rsidR="00883453">
        <w:rPr>
          <w:rFonts w:ascii="Arial Narrow" w:hAnsi="Arial Narrow"/>
          <w:sz w:val="18"/>
          <w:szCs w:val="18"/>
        </w:rPr>
        <w:t>=</w:t>
      </w:r>
      <w:r>
        <w:rPr>
          <w:rFonts w:ascii="Arial Narrow" w:hAnsi="Arial Narrow"/>
          <w:sz w:val="18"/>
          <w:szCs w:val="18"/>
        </w:rPr>
        <w:t xml:space="preserve"> not stated; PP</w:t>
      </w:r>
      <w:r w:rsidR="00883453">
        <w:rPr>
          <w:rFonts w:ascii="Arial Narrow" w:hAnsi="Arial Narrow"/>
          <w:sz w:val="18"/>
          <w:szCs w:val="18"/>
        </w:rPr>
        <w:t>=</w:t>
      </w:r>
      <w:r>
        <w:rPr>
          <w:rFonts w:ascii="Arial Narrow" w:hAnsi="Arial Narrow"/>
          <w:sz w:val="18"/>
          <w:szCs w:val="18"/>
        </w:rPr>
        <w:t xml:space="preserve"> per protocol; </w:t>
      </w:r>
      <w:r w:rsidRPr="00A53C22">
        <w:rPr>
          <w:rFonts w:ascii="Arial Narrow" w:hAnsi="Arial Narrow"/>
          <w:sz w:val="18"/>
          <w:szCs w:val="18"/>
        </w:rPr>
        <w:t>RCT</w:t>
      </w:r>
      <w:r w:rsidR="00883453">
        <w:rPr>
          <w:rFonts w:ascii="Arial Narrow" w:hAnsi="Arial Narrow"/>
          <w:sz w:val="18"/>
          <w:szCs w:val="18"/>
        </w:rPr>
        <w:t>=</w:t>
      </w:r>
      <w:r w:rsidRPr="00A53C22">
        <w:rPr>
          <w:rFonts w:ascii="Arial Narrow" w:hAnsi="Arial Narrow"/>
          <w:sz w:val="18"/>
          <w:szCs w:val="18"/>
        </w:rPr>
        <w:t xml:space="preserve"> randomised controlled trial; VAS</w:t>
      </w:r>
      <w:r w:rsidR="00883453">
        <w:rPr>
          <w:rFonts w:ascii="Arial Narrow" w:hAnsi="Arial Narrow"/>
          <w:sz w:val="18"/>
          <w:szCs w:val="18"/>
        </w:rPr>
        <w:t>=</w:t>
      </w:r>
      <w:r w:rsidRPr="00A53C22">
        <w:rPr>
          <w:rFonts w:ascii="Arial Narrow" w:hAnsi="Arial Narrow"/>
          <w:sz w:val="18"/>
          <w:szCs w:val="18"/>
        </w:rPr>
        <w:t xml:space="preserve"> Visual Analogue Scale</w:t>
      </w:r>
    </w:p>
    <w:p w14:paraId="048FC69B" w14:textId="77777777" w:rsidR="0085450D" w:rsidRPr="00AE4565" w:rsidRDefault="0085450D" w:rsidP="0085450D">
      <w:pPr>
        <w:pStyle w:val="NoSpacing"/>
        <w:rPr>
          <w:rFonts w:ascii="Arial Narrow" w:hAnsi="Arial Narrow"/>
          <w:sz w:val="18"/>
          <w:szCs w:val="18"/>
        </w:rPr>
      </w:pPr>
      <w:r w:rsidRPr="00AE4565">
        <w:rPr>
          <w:rFonts w:ascii="Arial Narrow" w:hAnsi="Arial Narrow"/>
          <w:sz w:val="18"/>
          <w:szCs w:val="18"/>
        </w:rPr>
        <w:t>Note:</w:t>
      </w:r>
    </w:p>
    <w:p w14:paraId="1AC2E59A" w14:textId="77777777" w:rsidR="0085450D" w:rsidRPr="00AE4565" w:rsidRDefault="0085450D" w:rsidP="0085450D">
      <w:pPr>
        <w:pStyle w:val="NoSpacing"/>
        <w:ind w:left="142" w:hanging="142"/>
        <w:rPr>
          <w:rFonts w:ascii="Arial Narrow" w:hAnsi="Arial Narrow"/>
          <w:sz w:val="18"/>
          <w:szCs w:val="18"/>
        </w:rPr>
      </w:pPr>
      <w:r w:rsidRPr="00AE4565">
        <w:rPr>
          <w:rFonts w:ascii="Arial Narrow" w:hAnsi="Arial Narrow"/>
          <w:sz w:val="18"/>
          <w:szCs w:val="18"/>
        </w:rPr>
        <w:t xml:space="preserve">a Risk of bias assessment was based on the National Heart, Lung, and Blood (NHLBI) Study Quality Assessment Tools for RCTs or before and after studies. </w:t>
      </w:r>
    </w:p>
    <w:p w14:paraId="41EF0EC0" w14:textId="77777777" w:rsidR="0085450D" w:rsidRPr="00AE4565" w:rsidRDefault="0085450D" w:rsidP="0085450D">
      <w:pPr>
        <w:pStyle w:val="NoSpacing"/>
        <w:ind w:left="142" w:hanging="142"/>
        <w:rPr>
          <w:rFonts w:ascii="Arial Narrow" w:hAnsi="Arial Narrow"/>
          <w:sz w:val="18"/>
          <w:szCs w:val="18"/>
        </w:rPr>
      </w:pPr>
      <w:r w:rsidRPr="00AE4565">
        <w:rPr>
          <w:rFonts w:ascii="Arial Narrow" w:hAnsi="Arial Narrow"/>
          <w:sz w:val="18"/>
          <w:szCs w:val="18"/>
        </w:rPr>
        <w:t>b Risk of bias assessment was based on the NHLBI Study Quality Assessment Tools for Observational Cohort and Cross-Sectional Studies.</w:t>
      </w:r>
    </w:p>
    <w:p w14:paraId="2C4798B1" w14:textId="4E3B2711" w:rsidR="0085450D" w:rsidRPr="00AE4565" w:rsidRDefault="009558D4" w:rsidP="0085450D">
      <w:pPr>
        <w:pStyle w:val="NoSpacing"/>
        <w:ind w:left="142" w:hanging="142"/>
        <w:rPr>
          <w:rFonts w:ascii="Arial Narrow" w:hAnsi="Arial Narrow"/>
          <w:sz w:val="18"/>
          <w:szCs w:val="18"/>
        </w:rPr>
      </w:pPr>
      <w:r w:rsidRPr="00AE4565">
        <w:rPr>
          <w:rFonts w:ascii="Arial Narrow" w:hAnsi="Arial Narrow"/>
          <w:sz w:val="18"/>
          <w:szCs w:val="18"/>
        </w:rPr>
        <w:t>c</w:t>
      </w:r>
      <w:r w:rsidR="0085450D" w:rsidRPr="00AE4565">
        <w:rPr>
          <w:rFonts w:ascii="Arial Narrow" w:hAnsi="Arial Narrow"/>
          <w:sz w:val="18"/>
          <w:szCs w:val="18"/>
        </w:rPr>
        <w:t xml:space="preserve"> There were n = 41 patients in the total cohort however only n = 14 of these were applicable to the MSAC ADAR </w:t>
      </w:r>
      <w:r w:rsidR="00D824C9" w:rsidRPr="00AE4565">
        <w:rPr>
          <w:rFonts w:ascii="Arial Narrow" w:hAnsi="Arial Narrow"/>
          <w:sz w:val="18"/>
          <w:szCs w:val="18"/>
        </w:rPr>
        <w:t xml:space="preserve">1719 </w:t>
      </w:r>
      <w:r w:rsidR="0085450D" w:rsidRPr="00AE4565">
        <w:rPr>
          <w:rFonts w:ascii="Arial Narrow" w:hAnsi="Arial Narrow"/>
          <w:sz w:val="18"/>
          <w:szCs w:val="18"/>
        </w:rPr>
        <w:t>population: Spreader Grafting Without Turbinate Reduction (n = 7) and External Valve Suspension (n = 7)</w:t>
      </w:r>
    </w:p>
    <w:p w14:paraId="5D9EACC8" w14:textId="28859736" w:rsidR="000256DF" w:rsidRPr="00AE4565" w:rsidRDefault="000256DF" w:rsidP="0085450D">
      <w:pPr>
        <w:pStyle w:val="NoSpacing"/>
        <w:ind w:left="142" w:hanging="142"/>
        <w:rPr>
          <w:rFonts w:ascii="Arial Narrow" w:hAnsi="Arial Narrow"/>
          <w:sz w:val="18"/>
          <w:szCs w:val="18"/>
        </w:rPr>
      </w:pPr>
      <w:r w:rsidRPr="00AE4565">
        <w:rPr>
          <w:rFonts w:ascii="Arial Narrow" w:hAnsi="Arial Narrow"/>
          <w:sz w:val="18"/>
          <w:szCs w:val="18"/>
        </w:rPr>
        <w:t>d 338 days for spreader grafting without turbinate reduction; 110 days for external valve suspension</w:t>
      </w:r>
    </w:p>
    <w:p w14:paraId="332FA4DC" w14:textId="48FF3986" w:rsidR="007D602E" w:rsidRPr="00AE4565" w:rsidRDefault="007D602E" w:rsidP="007D602E">
      <w:pPr>
        <w:pStyle w:val="NoSpacing"/>
        <w:ind w:left="142" w:hanging="142"/>
        <w:rPr>
          <w:rFonts w:ascii="Arial Narrow" w:hAnsi="Arial Narrow"/>
          <w:sz w:val="18"/>
          <w:szCs w:val="18"/>
        </w:rPr>
      </w:pPr>
      <w:r w:rsidRPr="00AE4565">
        <w:rPr>
          <w:rFonts w:ascii="Arial Narrow" w:hAnsi="Arial Narrow"/>
          <w:sz w:val="18"/>
          <w:szCs w:val="18"/>
        </w:rPr>
        <w:t>*NOSE patients are categorised as follows: Mild (range, 5-25), Moderate (range, 30-50), Severe (range, 55-75), Extreme (range, 80-100)</w:t>
      </w:r>
    </w:p>
    <w:p w14:paraId="180A3833" w14:textId="4E56A7B8" w:rsidR="007D602E" w:rsidRPr="00AE4565" w:rsidRDefault="007D602E" w:rsidP="007D602E">
      <w:pPr>
        <w:pStyle w:val="NoSpacing"/>
        <w:ind w:left="142" w:hanging="142"/>
        <w:rPr>
          <w:rFonts w:ascii="Arial Narrow" w:hAnsi="Arial Narrow"/>
          <w:sz w:val="18"/>
          <w:szCs w:val="18"/>
        </w:rPr>
      </w:pPr>
      <w:r w:rsidRPr="00AE4565">
        <w:rPr>
          <w:rFonts w:ascii="Arial Narrow" w:hAnsi="Arial Narrow"/>
          <w:sz w:val="18"/>
          <w:szCs w:val="18"/>
        </w:rPr>
        <w:t>nasal obstruction</w:t>
      </w:r>
      <w:r w:rsidR="00330578" w:rsidRPr="00AE4565">
        <w:rPr>
          <w:rFonts w:ascii="Arial Narrow" w:hAnsi="Arial Narrow"/>
          <w:sz w:val="18"/>
          <w:szCs w:val="18"/>
        </w:rPr>
        <w:t>. [Response: % with at least 1 NOSE class improvement; or ≥20% reduction in NOSE score from baseline]</w:t>
      </w:r>
    </w:p>
    <w:p w14:paraId="116E9E74" w14:textId="5CBDE06F" w:rsidR="0085450D" w:rsidRPr="00AE4565" w:rsidRDefault="0085450D" w:rsidP="0085450D">
      <w:pPr>
        <w:pStyle w:val="NoSpacing"/>
        <w:ind w:left="142" w:hanging="142"/>
        <w:rPr>
          <w:rFonts w:ascii="Arial Narrow" w:hAnsi="Arial Narrow"/>
          <w:sz w:val="18"/>
          <w:szCs w:val="18"/>
        </w:rPr>
      </w:pPr>
      <w:r w:rsidRPr="00AE4565">
        <w:rPr>
          <w:rFonts w:ascii="Arial Narrow" w:hAnsi="Arial Narrow"/>
          <w:sz w:val="18"/>
          <w:szCs w:val="18"/>
        </w:rPr>
        <w:t>Italics represent correction during commentary.</w:t>
      </w:r>
      <w:r w:rsidRPr="009B607B">
        <w:t xml:space="preserve"> </w:t>
      </w:r>
      <w:r w:rsidR="00DA031C" w:rsidRPr="00AE4565">
        <w:rPr>
          <w:rFonts w:ascii="Arial Narrow" w:hAnsi="Arial Narrow"/>
          <w:sz w:val="18"/>
          <w:szCs w:val="18"/>
        </w:rPr>
        <w:t xml:space="preserve">LATERA-OFFICE and Trial 4350-001 could be moderate not low risk of bias </w:t>
      </w:r>
    </w:p>
    <w:p w14:paraId="7C610A95" w14:textId="1BD1F465" w:rsidR="00B3545B" w:rsidRPr="00AE4565" w:rsidRDefault="00B3545B" w:rsidP="0085450D">
      <w:pPr>
        <w:pStyle w:val="NoSpacing"/>
        <w:ind w:left="142" w:hanging="142"/>
        <w:rPr>
          <w:rFonts w:ascii="Arial Narrow" w:hAnsi="Arial Narrow"/>
          <w:sz w:val="18"/>
          <w:szCs w:val="18"/>
        </w:rPr>
      </w:pPr>
      <w:r w:rsidRPr="00AE4565">
        <w:rPr>
          <w:rFonts w:ascii="Arial Narrow" w:hAnsi="Arial Narrow"/>
          <w:sz w:val="18"/>
          <w:szCs w:val="18"/>
        </w:rPr>
        <w:t xml:space="preserve"># LATERA-RCT intervention arm only was analysed in the meta-analysis. At 6 months the arm contained 65 patients, at 12 months 5825 patients and at 24 months 43 patients  </w:t>
      </w:r>
    </w:p>
    <w:p w14:paraId="14AD56D5" w14:textId="61BC4F83" w:rsidR="00A301E4" w:rsidRDefault="00A301E4" w:rsidP="00A301E4">
      <w:pPr>
        <w:pStyle w:val="Heading3"/>
      </w:pPr>
      <w:r w:rsidRPr="0019667E">
        <w:t>LATERA v</w:t>
      </w:r>
      <w:r w:rsidR="00FD3E5D">
        <w:t>ersus</w:t>
      </w:r>
      <w:r w:rsidRPr="0019667E">
        <w:t xml:space="preserve"> conservative management </w:t>
      </w:r>
    </w:p>
    <w:p w14:paraId="7D06455C" w14:textId="301FD112" w:rsidR="00215E15" w:rsidRDefault="002B32C3" w:rsidP="00575E05">
      <w:pPr>
        <w:jc w:val="both"/>
      </w:pPr>
      <w:r w:rsidRPr="002B32C3">
        <w:t>T</w:t>
      </w:r>
      <w:r w:rsidR="00981EBE" w:rsidRPr="00EC04C1">
        <w:t>he comparison of</w:t>
      </w:r>
      <w:r w:rsidR="00215E15">
        <w:t xml:space="preserve"> LATERA v</w:t>
      </w:r>
      <w:r w:rsidR="00981EBE">
        <w:t>ers</w:t>
      </w:r>
      <w:r w:rsidR="003A4E8A">
        <w:t>u</w:t>
      </w:r>
      <w:r w:rsidR="00215E15">
        <w:t>s conservative management</w:t>
      </w:r>
      <w:r w:rsidR="00747F56">
        <w:t xml:space="preserve"> was</w:t>
      </w:r>
      <w:r w:rsidR="00215E15">
        <w:t xml:space="preserve"> informed by</w:t>
      </w:r>
      <w:r w:rsidR="00323DB9">
        <w:t xml:space="preserve"> a</w:t>
      </w:r>
      <w:r w:rsidR="00215E15">
        <w:t xml:space="preserve"> direct comparison </w:t>
      </w:r>
      <w:r w:rsidR="008718AC">
        <w:t xml:space="preserve">informed by one randomised clinical trial (RCT; </w:t>
      </w:r>
      <w:r w:rsidR="00215E15">
        <w:t>the LATERA-RCT</w:t>
      </w:r>
      <w:r w:rsidR="008718AC">
        <w:t>)</w:t>
      </w:r>
      <w:r w:rsidR="00215E15">
        <w:t xml:space="preserve">, where </w:t>
      </w:r>
      <w:r w:rsidR="006337EF">
        <w:t xml:space="preserve">LATERA was compared to </w:t>
      </w:r>
      <w:r w:rsidR="00215E15">
        <w:t xml:space="preserve">sham </w:t>
      </w:r>
      <w:r w:rsidR="006337EF">
        <w:t>(</w:t>
      </w:r>
      <w:r w:rsidR="00215E15">
        <w:t>a proxy for conservative management</w:t>
      </w:r>
      <w:r w:rsidR="006337EF">
        <w:t>)</w:t>
      </w:r>
      <w:r w:rsidR="00215E15">
        <w:t xml:space="preserve">. </w:t>
      </w:r>
    </w:p>
    <w:p w14:paraId="4D2179E8" w14:textId="01AB179D" w:rsidR="00D1739C" w:rsidRDefault="00225E6B" w:rsidP="00575E05">
      <w:pPr>
        <w:pStyle w:val="EStext"/>
        <w:jc w:val="both"/>
      </w:pPr>
      <w:r>
        <w:t>In addition,</w:t>
      </w:r>
      <w:r w:rsidR="00215E15" w:rsidRPr="00CB6C75">
        <w:t xml:space="preserve"> single arm studies (</w:t>
      </w:r>
      <w:r w:rsidR="00593FEA">
        <w:t xml:space="preserve">LATERA OFFICE, LATER-OR, Trial 4350-001 </w:t>
      </w:r>
      <w:r w:rsidR="00322573">
        <w:t xml:space="preserve">and </w:t>
      </w:r>
      <w:r w:rsidR="00593FEA">
        <w:t>Saadat 2018</w:t>
      </w:r>
      <w:r w:rsidR="00D02EF2">
        <w:rPr>
          <w:rStyle w:val="FootnoteReference"/>
        </w:rPr>
        <w:footnoteReference w:id="15"/>
      </w:r>
      <w:r w:rsidR="00215E15" w:rsidRPr="00CB6C75">
        <w:t xml:space="preserve">), </w:t>
      </w:r>
      <w:r>
        <w:t xml:space="preserve">were presented as additional </w:t>
      </w:r>
      <w:r w:rsidR="00215E15">
        <w:t>evidence</w:t>
      </w:r>
      <w:r w:rsidR="00F83909">
        <w:t xml:space="preserve"> to support the use of </w:t>
      </w:r>
      <w:r w:rsidR="00215E15">
        <w:t xml:space="preserve">LATERA alone or in combination with adjunct procedures, and </w:t>
      </w:r>
      <w:r w:rsidR="00F83909">
        <w:t xml:space="preserve">to provide </w:t>
      </w:r>
      <w:r w:rsidR="00215E15">
        <w:t xml:space="preserve">longer-term </w:t>
      </w:r>
      <w:r w:rsidR="00AE7337">
        <w:t xml:space="preserve">evidence for the </w:t>
      </w:r>
      <w:r w:rsidR="00215E15">
        <w:t xml:space="preserve">safety and effectiveness </w:t>
      </w:r>
      <w:r w:rsidR="00AE7337">
        <w:t xml:space="preserve">of LATERA </w:t>
      </w:r>
      <w:r w:rsidR="00215E15">
        <w:t xml:space="preserve">(up to 24 months). </w:t>
      </w:r>
    </w:p>
    <w:p w14:paraId="5334580A" w14:textId="55489BE4" w:rsidR="000E00C7" w:rsidRDefault="000E00C7" w:rsidP="000E00C7">
      <w:pPr>
        <w:jc w:val="both"/>
      </w:pPr>
      <w:r>
        <w:fldChar w:fldCharType="begin"/>
      </w:r>
      <w:r>
        <w:instrText xml:space="preserve"> REF _Ref123826498 \h </w:instrText>
      </w:r>
      <w:r>
        <w:fldChar w:fldCharType="separate"/>
      </w:r>
      <w:r w:rsidR="003511D3">
        <w:t xml:space="preserve">Table </w:t>
      </w:r>
      <w:r w:rsidR="003511D3">
        <w:rPr>
          <w:noProof/>
        </w:rPr>
        <w:t>6</w:t>
      </w:r>
      <w:r>
        <w:fldChar w:fldCharType="end"/>
      </w:r>
      <w:r>
        <w:t xml:space="preserve"> summarises</w:t>
      </w:r>
      <w:r w:rsidRPr="008454AB">
        <w:t xml:space="preserve"> the key features of </w:t>
      </w:r>
      <w:r>
        <w:t>the evidence for LATERA versus conservative management (sham surgery as proxy)</w:t>
      </w:r>
      <w:r w:rsidRPr="008454AB">
        <w:t>.</w:t>
      </w:r>
    </w:p>
    <w:p w14:paraId="4C99AF71" w14:textId="4FA4709C" w:rsidR="008B2C47" w:rsidRDefault="00D029FD" w:rsidP="00AE4565">
      <w:r>
        <w:t xml:space="preserve">In the </w:t>
      </w:r>
      <w:r w:rsidR="008B2C47" w:rsidRPr="0004271A">
        <w:t>LATERA-RCT</w:t>
      </w:r>
      <w:r>
        <w:t xml:space="preserve">, </w:t>
      </w:r>
      <w:r w:rsidR="008B2C47" w:rsidRPr="009B1D47">
        <w:t xml:space="preserve">137 </w:t>
      </w:r>
      <w:r w:rsidR="006C766F">
        <w:t xml:space="preserve">patients </w:t>
      </w:r>
      <w:r w:rsidR="004B12C5">
        <w:t>underwent</w:t>
      </w:r>
      <w:r w:rsidR="004B12C5" w:rsidRPr="009B1D47">
        <w:t xml:space="preserve"> </w:t>
      </w:r>
      <w:r w:rsidR="008B2C47" w:rsidRPr="009B1D47">
        <w:t>either the LATERA (</w:t>
      </w:r>
      <w:r w:rsidR="00DF19C0">
        <w:t>n</w:t>
      </w:r>
      <w:r w:rsidR="008B2C47" w:rsidRPr="009B1D47">
        <w:t>=</w:t>
      </w:r>
      <w:r w:rsidR="004B12C5" w:rsidRPr="009B1D47">
        <w:t>7</w:t>
      </w:r>
      <w:r w:rsidR="004B12C5">
        <w:t>1</w:t>
      </w:r>
      <w:r w:rsidR="008B2C47" w:rsidRPr="009B1D47">
        <w:t xml:space="preserve">) or sham </w:t>
      </w:r>
      <w:r w:rsidR="00D658A1">
        <w:t>procedure</w:t>
      </w:r>
      <w:r w:rsidR="008B2C47" w:rsidRPr="009B1D47">
        <w:t xml:space="preserve"> (</w:t>
      </w:r>
      <w:r w:rsidR="00DF19C0">
        <w:t>n</w:t>
      </w:r>
      <w:r w:rsidR="008B2C47" w:rsidRPr="009B1D47">
        <w:t>=</w:t>
      </w:r>
      <w:r w:rsidR="004B12C5" w:rsidRPr="009B1D47">
        <w:t>6</w:t>
      </w:r>
      <w:r w:rsidR="004B12C5">
        <w:t>6</w:t>
      </w:r>
      <w:r w:rsidR="008B2C47" w:rsidRPr="009B1D47">
        <w:t xml:space="preserve">). </w:t>
      </w:r>
      <w:r w:rsidR="004B12C5">
        <w:t xml:space="preserve">At </w:t>
      </w:r>
      <w:r w:rsidR="00770867">
        <w:t>3 months, p</w:t>
      </w:r>
      <w:r w:rsidR="0073177E">
        <w:t xml:space="preserve">atients in the sham arm were able to cross-over </w:t>
      </w:r>
      <w:r w:rsidR="00130287">
        <w:t xml:space="preserve">and undergo the </w:t>
      </w:r>
      <w:r w:rsidR="0073177E">
        <w:t xml:space="preserve">LATERA </w:t>
      </w:r>
      <w:r w:rsidR="00130287">
        <w:t xml:space="preserve">procedure (cross-over </w:t>
      </w:r>
      <w:r w:rsidR="0073177E">
        <w:t>arm</w:t>
      </w:r>
      <w:r w:rsidR="00130287">
        <w:t>)</w:t>
      </w:r>
      <w:r w:rsidR="006C4886">
        <w:t>.</w:t>
      </w:r>
      <w:r w:rsidR="00D426E7">
        <w:t xml:space="preserve"> </w:t>
      </w:r>
      <w:r w:rsidR="008B2C47">
        <w:t xml:space="preserve">The sham procedure </w:t>
      </w:r>
      <w:r w:rsidR="008B2C47" w:rsidRPr="00282293">
        <w:t>was identical to the LATERA procedure, except the implant was not deployed (</w:t>
      </w:r>
      <w:r w:rsidR="003F49BA" w:rsidRPr="00282293">
        <w:t>i</w:t>
      </w:r>
      <w:r w:rsidR="003F49BA">
        <w:t>.</w:t>
      </w:r>
      <w:r w:rsidR="003F49BA" w:rsidRPr="00282293">
        <w:t>e</w:t>
      </w:r>
      <w:r w:rsidR="003F49BA">
        <w:t>.,</w:t>
      </w:r>
      <w:r w:rsidR="008B2C47" w:rsidRPr="00282293">
        <w:t xml:space="preserve"> patients in sham arm had a cannula inserted into the nasal </w:t>
      </w:r>
      <w:r w:rsidR="008B2C47" w:rsidRPr="00282293">
        <w:lastRenderedPageBreak/>
        <w:t>lateral wall).</w:t>
      </w:r>
      <w:r w:rsidR="0058727F">
        <w:t xml:space="preserve"> </w:t>
      </w:r>
      <w:r w:rsidR="008B2C47" w:rsidRPr="00B7146E">
        <w:t>The primary outcome was the self-reported response NOSE score.</w:t>
      </w:r>
      <w:r w:rsidR="00E52AF9" w:rsidRPr="00E52AF9">
        <w:t xml:space="preserve"> </w:t>
      </w:r>
      <w:r w:rsidR="008B2C47">
        <w:t>The key inclusion criteria were:</w:t>
      </w:r>
    </w:p>
    <w:p w14:paraId="3EEC517A" w14:textId="77777777" w:rsidR="008B2C47" w:rsidRDefault="008B2C47" w:rsidP="00AE4565">
      <w:pPr>
        <w:pStyle w:val="ListParagraph"/>
        <w:numPr>
          <w:ilvl w:val="0"/>
          <w:numId w:val="14"/>
        </w:numPr>
      </w:pPr>
      <w:r w:rsidRPr="00BA1FBE">
        <w:t xml:space="preserve">NOSE scores ≥ 55 (severe, extreme) </w:t>
      </w:r>
    </w:p>
    <w:p w14:paraId="0AFE7D7B" w14:textId="33A67BB4" w:rsidR="008B2C47" w:rsidRDefault="008B2C47" w:rsidP="00AE4565">
      <w:pPr>
        <w:pStyle w:val="ListParagraph"/>
        <w:numPr>
          <w:ilvl w:val="0"/>
          <w:numId w:val="14"/>
        </w:numPr>
      </w:pPr>
      <w:r w:rsidRPr="00BA1FBE">
        <w:t>fail</w:t>
      </w:r>
      <w:r>
        <w:t>ure</w:t>
      </w:r>
      <w:r w:rsidRPr="00BA1FBE">
        <w:t xml:space="preserve"> to benefit from at least four weeks of </w:t>
      </w:r>
      <w:r>
        <w:t xml:space="preserve">conservative </w:t>
      </w:r>
      <w:r w:rsidRPr="00BA1FBE">
        <w:t>management (e</w:t>
      </w:r>
      <w:r w:rsidR="004D13C1">
        <w:t>.</w:t>
      </w:r>
      <w:r w:rsidRPr="00BA1FBE">
        <w:t>g</w:t>
      </w:r>
      <w:r w:rsidR="004D13C1">
        <w:t>.</w:t>
      </w:r>
      <w:r w:rsidRPr="00BA1FBE">
        <w:t>, nasal steroids or antihistamines), as evidenced by lack of efficacy or tolerability</w:t>
      </w:r>
      <w:r>
        <w:t>.</w:t>
      </w:r>
    </w:p>
    <w:p w14:paraId="19F9C97C" w14:textId="64DE9782" w:rsidR="004D13C1" w:rsidRDefault="008B2C47" w:rsidP="00AE4565">
      <w:pPr>
        <w:pStyle w:val="EStext"/>
      </w:pPr>
      <w:r>
        <w:t xml:space="preserve">There were no significant baseline and demographic differences </w:t>
      </w:r>
      <w:r w:rsidRPr="002833C5">
        <w:t xml:space="preserve">between the treatment and sham arms </w:t>
      </w:r>
      <w:r w:rsidRPr="00FF239E">
        <w:t>except</w:t>
      </w:r>
      <w:r w:rsidRPr="009072BB">
        <w:rPr>
          <w:i/>
          <w:iCs/>
        </w:rPr>
        <w:t xml:space="preserve"> </w:t>
      </w:r>
      <w:r w:rsidRPr="00DE5D7F">
        <w:t>for a slightly lower VAS score in the sham arm</w:t>
      </w:r>
      <w:r w:rsidRPr="002833C5">
        <w:t xml:space="preserve"> (LATERA: mean (SD) 76.6 (12.9) vs sham: 71.2 (15.8); p=0.038).</w:t>
      </w:r>
      <w:r>
        <w:t xml:space="preserve"> </w:t>
      </w:r>
      <w:r w:rsidRPr="00CD6186">
        <w:t>The baseline NOSE scores were balanced between groups (LATERA mean</w:t>
      </w:r>
      <w:r>
        <w:t xml:space="preserve"> (SD)</w:t>
      </w:r>
      <w:r w:rsidRPr="00CD6186">
        <w:t xml:space="preserve"> (77.4 (13.1) vs sham: 77.7 (15.1); p=0</w:t>
      </w:r>
      <w:r w:rsidRPr="009072BB">
        <w:t>.888),</w:t>
      </w:r>
      <w:r w:rsidRPr="009072BB">
        <w:rPr>
          <w:i/>
          <w:iCs/>
        </w:rPr>
        <w:t xml:space="preserve"> </w:t>
      </w:r>
      <w:r w:rsidRPr="00DE5D7F">
        <w:t>reflecting a population of people with persistent severe to extreme nasal obstruction</w:t>
      </w:r>
      <w:r w:rsidR="00BB4D53">
        <w:t>.</w:t>
      </w:r>
      <w:r w:rsidR="003A4792">
        <w:t xml:space="preserve"> </w:t>
      </w:r>
    </w:p>
    <w:p w14:paraId="692BCA4B" w14:textId="35C297AA" w:rsidR="00956ACE" w:rsidRPr="00356AD0" w:rsidRDefault="00B30D2E" w:rsidP="00B30D2E">
      <w:pPr>
        <w:pStyle w:val="Caption"/>
        <w:rPr>
          <w:color w:val="538135" w:themeColor="accent6" w:themeShade="BF"/>
          <w:sz w:val="16"/>
          <w:szCs w:val="16"/>
        </w:rPr>
      </w:pPr>
      <w:bookmarkStart w:id="18" w:name="_Ref123826498"/>
      <w:r>
        <w:t xml:space="preserve">Table </w:t>
      </w:r>
      <w:r>
        <w:fldChar w:fldCharType="begin"/>
      </w:r>
      <w:r>
        <w:instrText>SEQ Table \* ARABIC</w:instrText>
      </w:r>
      <w:r>
        <w:fldChar w:fldCharType="separate"/>
      </w:r>
      <w:r w:rsidR="003511D3">
        <w:rPr>
          <w:noProof/>
        </w:rPr>
        <w:t>6</w:t>
      </w:r>
      <w:r>
        <w:fldChar w:fldCharType="end"/>
      </w:r>
      <w:bookmarkEnd w:id="18"/>
      <w:r w:rsidR="002D162D">
        <w:rPr>
          <w:noProof/>
        </w:rPr>
        <w:tab/>
      </w:r>
      <w:r w:rsidR="00956ACE" w:rsidRPr="00356AD0">
        <w:t>Key features of the included evidence</w:t>
      </w:r>
      <w:r w:rsidR="00EA73B7" w:rsidRPr="00356AD0">
        <w:t xml:space="preserve">, LATERA vs. </w:t>
      </w:r>
      <w:r w:rsidR="005630BC">
        <w:t>conservative manag</w:t>
      </w:r>
      <w:r w:rsidR="009F18F1">
        <w:t>e</w:t>
      </w:r>
      <w:r w:rsidR="005630BC">
        <w:t>ment</w:t>
      </w:r>
      <w:r w:rsidR="00EA73B7" w:rsidRPr="00356AD0">
        <w:t xml:space="preserve"> </w:t>
      </w:r>
    </w:p>
    <w:tbl>
      <w:tblPr>
        <w:tblStyle w:val="TableGrid1"/>
        <w:tblW w:w="5000" w:type="pct"/>
        <w:tblCellMar>
          <w:left w:w="28" w:type="dxa"/>
          <w:right w:w="28" w:type="dxa"/>
        </w:tblCellMar>
        <w:tblLook w:val="04A0" w:firstRow="1" w:lastRow="0" w:firstColumn="1" w:lastColumn="0" w:noHBand="0" w:noVBand="1"/>
      </w:tblPr>
      <w:tblGrid>
        <w:gridCol w:w="1517"/>
        <w:gridCol w:w="676"/>
        <w:gridCol w:w="1306"/>
        <w:gridCol w:w="1706"/>
        <w:gridCol w:w="1444"/>
        <w:gridCol w:w="968"/>
        <w:gridCol w:w="1399"/>
      </w:tblGrid>
      <w:tr w:rsidR="00EC04C1" w:rsidRPr="005843AD" w14:paraId="475D8C60" w14:textId="77777777" w:rsidTr="00EC04C1">
        <w:trPr>
          <w:cnfStyle w:val="100000000000" w:firstRow="1" w:lastRow="0" w:firstColumn="0" w:lastColumn="0" w:oddVBand="0" w:evenVBand="0" w:oddHBand="0" w:evenHBand="0" w:firstRowFirstColumn="0" w:firstRowLastColumn="0" w:lastRowFirstColumn="0" w:lastRowLastColumn="0"/>
          <w:cantSplit/>
          <w:tblHeader/>
        </w:trPr>
        <w:tc>
          <w:tcPr>
            <w:tcW w:w="841" w:type="pct"/>
            <w:shd w:val="clear" w:color="auto" w:fill="auto"/>
            <w:vAlign w:val="center"/>
          </w:tcPr>
          <w:p w14:paraId="4FFC981B" w14:textId="77777777" w:rsidR="00956ACE" w:rsidRPr="00015B19" w:rsidRDefault="00956ACE" w:rsidP="00824458">
            <w:pPr>
              <w:pStyle w:val="In-tableHeading"/>
              <w:rPr>
                <w:szCs w:val="20"/>
              </w:rPr>
            </w:pPr>
            <w:bookmarkStart w:id="19" w:name="ColumnTitle_Table3"/>
            <w:bookmarkStart w:id="20" w:name="_Hlk68276112"/>
            <w:bookmarkEnd w:id="19"/>
            <w:r w:rsidRPr="00015B19">
              <w:rPr>
                <w:szCs w:val="20"/>
              </w:rPr>
              <w:t>References</w:t>
            </w:r>
          </w:p>
        </w:tc>
        <w:tc>
          <w:tcPr>
            <w:tcW w:w="375" w:type="pct"/>
            <w:shd w:val="clear" w:color="auto" w:fill="auto"/>
            <w:vAlign w:val="center"/>
          </w:tcPr>
          <w:p w14:paraId="28641D20" w14:textId="77777777" w:rsidR="00956ACE" w:rsidRPr="00015B19" w:rsidRDefault="00956ACE" w:rsidP="00824458">
            <w:pPr>
              <w:pStyle w:val="In-tableHeading"/>
              <w:jc w:val="center"/>
              <w:rPr>
                <w:szCs w:val="20"/>
              </w:rPr>
            </w:pPr>
            <w:r w:rsidRPr="00015B19">
              <w:rPr>
                <w:szCs w:val="20"/>
              </w:rPr>
              <w:t>N</w:t>
            </w:r>
          </w:p>
        </w:tc>
        <w:tc>
          <w:tcPr>
            <w:tcW w:w="724" w:type="pct"/>
            <w:shd w:val="clear" w:color="auto" w:fill="auto"/>
            <w:vAlign w:val="center"/>
          </w:tcPr>
          <w:p w14:paraId="23BE1BE2" w14:textId="0DE3768C" w:rsidR="00956ACE" w:rsidRPr="00015B19" w:rsidRDefault="00956ACE" w:rsidP="00824458">
            <w:pPr>
              <w:pStyle w:val="In-tableHeading"/>
              <w:jc w:val="center"/>
              <w:rPr>
                <w:szCs w:val="20"/>
              </w:rPr>
            </w:pPr>
            <w:r w:rsidRPr="00015B19">
              <w:rPr>
                <w:szCs w:val="20"/>
              </w:rPr>
              <w:t>Design/duration</w:t>
            </w:r>
          </w:p>
        </w:tc>
        <w:tc>
          <w:tcPr>
            <w:tcW w:w="946" w:type="pct"/>
            <w:shd w:val="clear" w:color="auto" w:fill="auto"/>
            <w:vAlign w:val="center"/>
          </w:tcPr>
          <w:p w14:paraId="4F407CF9" w14:textId="77777777" w:rsidR="00956ACE" w:rsidRPr="00015B19" w:rsidRDefault="00956ACE" w:rsidP="00824458">
            <w:pPr>
              <w:pStyle w:val="In-tableHeading"/>
              <w:jc w:val="center"/>
              <w:rPr>
                <w:szCs w:val="20"/>
              </w:rPr>
            </w:pPr>
            <w:r w:rsidRPr="00015B19">
              <w:rPr>
                <w:szCs w:val="20"/>
              </w:rPr>
              <w:t>Risk of bias</w:t>
            </w:r>
          </w:p>
        </w:tc>
        <w:tc>
          <w:tcPr>
            <w:tcW w:w="801" w:type="pct"/>
            <w:shd w:val="clear" w:color="auto" w:fill="auto"/>
            <w:vAlign w:val="center"/>
          </w:tcPr>
          <w:p w14:paraId="78074E6B" w14:textId="67B328A8" w:rsidR="00956ACE" w:rsidRPr="00015B19" w:rsidRDefault="00956ACE" w:rsidP="00824458">
            <w:pPr>
              <w:pStyle w:val="In-tableHeading"/>
              <w:jc w:val="center"/>
              <w:rPr>
                <w:szCs w:val="20"/>
              </w:rPr>
            </w:pPr>
            <w:r w:rsidRPr="00015B19">
              <w:rPr>
                <w:szCs w:val="20"/>
              </w:rPr>
              <w:t>Patient population</w:t>
            </w:r>
            <w:r w:rsidR="00CE744D">
              <w:rPr>
                <w:szCs w:val="20"/>
              </w:rPr>
              <w:t>*</w:t>
            </w:r>
          </w:p>
        </w:tc>
        <w:tc>
          <w:tcPr>
            <w:tcW w:w="537" w:type="pct"/>
            <w:shd w:val="clear" w:color="auto" w:fill="auto"/>
            <w:vAlign w:val="center"/>
          </w:tcPr>
          <w:p w14:paraId="4B5869A3" w14:textId="77777777" w:rsidR="00956ACE" w:rsidRPr="00015B19" w:rsidRDefault="00956ACE" w:rsidP="00824458">
            <w:pPr>
              <w:pStyle w:val="In-tableHeading"/>
              <w:jc w:val="center"/>
              <w:rPr>
                <w:szCs w:val="20"/>
              </w:rPr>
            </w:pPr>
            <w:r w:rsidRPr="00015B19">
              <w:rPr>
                <w:szCs w:val="20"/>
              </w:rPr>
              <w:t>Outcome(s)</w:t>
            </w:r>
          </w:p>
        </w:tc>
        <w:tc>
          <w:tcPr>
            <w:tcW w:w="777" w:type="pct"/>
            <w:shd w:val="clear" w:color="auto" w:fill="auto"/>
            <w:vAlign w:val="center"/>
          </w:tcPr>
          <w:p w14:paraId="19D97B58" w14:textId="77777777" w:rsidR="00956ACE" w:rsidRPr="00015B19" w:rsidRDefault="00956ACE" w:rsidP="00824458">
            <w:pPr>
              <w:pStyle w:val="In-tableHeading"/>
              <w:jc w:val="center"/>
              <w:rPr>
                <w:szCs w:val="20"/>
              </w:rPr>
            </w:pPr>
            <w:r w:rsidRPr="00015B19">
              <w:rPr>
                <w:szCs w:val="20"/>
              </w:rPr>
              <w:t>Use in modelled evaluation</w:t>
            </w:r>
          </w:p>
        </w:tc>
      </w:tr>
      <w:tr w:rsidR="00956ACE" w:rsidRPr="005843AD" w14:paraId="0C31313E" w14:textId="77777777" w:rsidTr="00824458">
        <w:trPr>
          <w:cantSplit/>
        </w:trPr>
        <w:tc>
          <w:tcPr>
            <w:tcW w:w="5000" w:type="pct"/>
            <w:gridSpan w:val="7"/>
            <w:shd w:val="clear" w:color="auto" w:fill="auto"/>
            <w:vAlign w:val="center"/>
          </w:tcPr>
          <w:p w14:paraId="6ADF1B8F" w14:textId="77AB6DB3" w:rsidR="00956ACE" w:rsidRPr="00015B19" w:rsidRDefault="00C7181E" w:rsidP="00824458">
            <w:pPr>
              <w:pStyle w:val="In-tableHeading"/>
              <w:rPr>
                <w:szCs w:val="20"/>
              </w:rPr>
            </w:pPr>
            <w:r w:rsidRPr="00015B19">
              <w:rPr>
                <w:szCs w:val="20"/>
              </w:rPr>
              <w:t xml:space="preserve">LATERA vs. Sham </w:t>
            </w:r>
          </w:p>
        </w:tc>
      </w:tr>
      <w:tr w:rsidR="00EC04C1" w:rsidRPr="005843AD" w14:paraId="7E776818" w14:textId="77777777" w:rsidTr="00EC04C1">
        <w:trPr>
          <w:cantSplit/>
        </w:trPr>
        <w:tc>
          <w:tcPr>
            <w:tcW w:w="841" w:type="pct"/>
            <w:shd w:val="clear" w:color="auto" w:fill="auto"/>
            <w:vAlign w:val="center"/>
          </w:tcPr>
          <w:p w14:paraId="563AC767" w14:textId="7075A9AA" w:rsidR="00956ACE" w:rsidRPr="00015B19" w:rsidRDefault="005039DF" w:rsidP="005039DF">
            <w:pPr>
              <w:pStyle w:val="TableText"/>
              <w:rPr>
                <w:lang w:val="en-US"/>
              </w:rPr>
            </w:pPr>
            <w:r w:rsidRPr="00015B19">
              <w:rPr>
                <w:lang w:val="en-US"/>
              </w:rPr>
              <w:t xml:space="preserve">LATERA-RCT </w:t>
            </w:r>
          </w:p>
        </w:tc>
        <w:tc>
          <w:tcPr>
            <w:tcW w:w="375" w:type="pct"/>
            <w:shd w:val="clear" w:color="auto" w:fill="auto"/>
            <w:vAlign w:val="center"/>
          </w:tcPr>
          <w:p w14:paraId="280096E2" w14:textId="6456658C" w:rsidR="00956ACE" w:rsidRPr="00015B19" w:rsidRDefault="005039DF" w:rsidP="00824458">
            <w:pPr>
              <w:pStyle w:val="TableText"/>
              <w:jc w:val="center"/>
              <w:rPr>
                <w:lang w:val="en-US"/>
              </w:rPr>
            </w:pPr>
            <w:r w:rsidRPr="00015B19">
              <w:rPr>
                <w:lang w:val="en-US"/>
              </w:rPr>
              <w:t>137</w:t>
            </w:r>
          </w:p>
        </w:tc>
        <w:tc>
          <w:tcPr>
            <w:tcW w:w="724" w:type="pct"/>
            <w:shd w:val="clear" w:color="auto" w:fill="auto"/>
            <w:vAlign w:val="center"/>
          </w:tcPr>
          <w:p w14:paraId="39A9151F" w14:textId="0A0C1C59" w:rsidR="00956ACE" w:rsidRPr="00015B19" w:rsidRDefault="00D91311" w:rsidP="00824458">
            <w:pPr>
              <w:pStyle w:val="TableText"/>
              <w:jc w:val="center"/>
              <w:rPr>
                <w:lang w:val="en-US"/>
              </w:rPr>
            </w:pPr>
            <w:r w:rsidRPr="00015B19">
              <w:rPr>
                <w:lang w:val="en-US"/>
              </w:rPr>
              <w:t>RCT, sham control, MC, SB;</w:t>
            </w:r>
            <w:r w:rsidR="00787281" w:rsidRPr="00015B19">
              <w:rPr>
                <w:lang w:val="en-US"/>
              </w:rPr>
              <w:t xml:space="preserve"> </w:t>
            </w:r>
            <w:r w:rsidR="00DD0527" w:rsidRPr="00015B19">
              <w:rPr>
                <w:lang w:val="en-US"/>
              </w:rPr>
              <w:t>3</w:t>
            </w:r>
            <w:r w:rsidR="00506B45" w:rsidRPr="00015B19">
              <w:rPr>
                <w:lang w:val="en-US"/>
              </w:rPr>
              <w:t xml:space="preserve"> months </w:t>
            </w:r>
            <w:r w:rsidRPr="00015B19">
              <w:rPr>
                <w:lang w:val="en-US"/>
              </w:rPr>
              <w:t xml:space="preserve"> </w:t>
            </w:r>
          </w:p>
        </w:tc>
        <w:tc>
          <w:tcPr>
            <w:tcW w:w="946" w:type="pct"/>
            <w:shd w:val="clear" w:color="auto" w:fill="auto"/>
            <w:vAlign w:val="center"/>
          </w:tcPr>
          <w:p w14:paraId="269C28DF" w14:textId="64EA7968" w:rsidR="00956ACE" w:rsidRPr="00015B19" w:rsidRDefault="00B02438" w:rsidP="00824458">
            <w:pPr>
              <w:pStyle w:val="TableText"/>
              <w:jc w:val="center"/>
              <w:rPr>
                <w:lang w:val="en-US"/>
              </w:rPr>
            </w:pPr>
            <w:r w:rsidRPr="00EC04C1">
              <w:rPr>
                <w:i/>
                <w:iCs/>
                <w:lang w:val="en-US"/>
              </w:rPr>
              <w:t>Moderate</w:t>
            </w:r>
            <w:r w:rsidRPr="00BA7069">
              <w:rPr>
                <w:i/>
                <w:iCs/>
                <w:lang w:val="en-US"/>
              </w:rPr>
              <w:t xml:space="preserve"> </w:t>
            </w:r>
            <w:r w:rsidR="00F07890" w:rsidRPr="00015B19">
              <w:rPr>
                <w:vertAlign w:val="superscript"/>
                <w:lang w:val="en-US"/>
              </w:rPr>
              <w:t>a</w:t>
            </w:r>
          </w:p>
        </w:tc>
        <w:tc>
          <w:tcPr>
            <w:tcW w:w="801" w:type="pct"/>
            <w:shd w:val="clear" w:color="auto" w:fill="auto"/>
            <w:vAlign w:val="center"/>
          </w:tcPr>
          <w:p w14:paraId="4FD8A7FC" w14:textId="5D1CA815" w:rsidR="00956ACE" w:rsidRPr="00015B19" w:rsidRDefault="00683B74" w:rsidP="00824458">
            <w:pPr>
              <w:pStyle w:val="TableText"/>
              <w:jc w:val="center"/>
              <w:rPr>
                <w:lang w:val="en-US"/>
              </w:rPr>
            </w:pPr>
            <w:r w:rsidRPr="00015B19">
              <w:rPr>
                <w:lang w:val="en-US"/>
              </w:rPr>
              <w:t xml:space="preserve">Severe to extreme </w:t>
            </w:r>
            <w:r w:rsidR="00535B85" w:rsidRPr="00015B19">
              <w:rPr>
                <w:lang w:val="en-US"/>
              </w:rPr>
              <w:t>NOSE score</w:t>
            </w:r>
          </w:p>
        </w:tc>
        <w:tc>
          <w:tcPr>
            <w:tcW w:w="537" w:type="pct"/>
            <w:shd w:val="clear" w:color="auto" w:fill="auto"/>
            <w:vAlign w:val="center"/>
          </w:tcPr>
          <w:p w14:paraId="45B1587F" w14:textId="058EE5A7" w:rsidR="00956ACE" w:rsidRPr="00015B19" w:rsidRDefault="00F52CD5" w:rsidP="00824458">
            <w:pPr>
              <w:pStyle w:val="TableText"/>
              <w:jc w:val="center"/>
              <w:rPr>
                <w:lang w:val="en-US"/>
              </w:rPr>
            </w:pPr>
            <w:r w:rsidRPr="00015B19">
              <w:rPr>
                <w:lang w:val="en-US"/>
              </w:rPr>
              <w:t>NOSE score</w:t>
            </w:r>
            <w:r w:rsidR="00F85C44" w:rsidRPr="00015B19">
              <w:rPr>
                <w:lang w:val="en-US"/>
              </w:rPr>
              <w:t xml:space="preserve">, </w:t>
            </w:r>
            <w:r w:rsidR="001B354B" w:rsidRPr="00015B19">
              <w:rPr>
                <w:lang w:val="en-US"/>
              </w:rPr>
              <w:t>AEs</w:t>
            </w:r>
            <w:r w:rsidR="00F85C44" w:rsidRPr="00015B19">
              <w:rPr>
                <w:lang w:val="en-US"/>
              </w:rPr>
              <w:t xml:space="preserve">, VAS </w:t>
            </w:r>
          </w:p>
        </w:tc>
        <w:tc>
          <w:tcPr>
            <w:tcW w:w="777" w:type="pct"/>
            <w:shd w:val="clear" w:color="auto" w:fill="auto"/>
            <w:vAlign w:val="center"/>
          </w:tcPr>
          <w:p w14:paraId="3F9CD3D5" w14:textId="124082E5" w:rsidR="00956ACE" w:rsidRPr="00015B19" w:rsidRDefault="00611375" w:rsidP="00824458">
            <w:pPr>
              <w:pStyle w:val="TableText"/>
              <w:jc w:val="center"/>
              <w:rPr>
                <w:highlight w:val="yellow"/>
                <w:lang w:val="en-US"/>
              </w:rPr>
            </w:pPr>
            <w:r w:rsidRPr="00015B19">
              <w:rPr>
                <w:lang w:val="en-US"/>
              </w:rPr>
              <w:t>Response</w:t>
            </w:r>
            <w:r w:rsidR="00A32032" w:rsidRPr="00015B19">
              <w:rPr>
                <w:lang w:val="en-US"/>
              </w:rPr>
              <w:t xml:space="preserve"> </w:t>
            </w:r>
            <w:r w:rsidR="00B16149">
              <w:rPr>
                <w:vertAlign w:val="superscript"/>
                <w:lang w:val="en-US"/>
              </w:rPr>
              <w:t>b</w:t>
            </w:r>
            <w:r w:rsidR="00C6298A" w:rsidRPr="00015B19">
              <w:rPr>
                <w:vertAlign w:val="superscript"/>
                <w:lang w:val="en-US"/>
              </w:rPr>
              <w:t xml:space="preserve"> </w:t>
            </w:r>
          </w:p>
        </w:tc>
      </w:tr>
      <w:tr w:rsidR="001C69DC" w:rsidRPr="005843AD" w14:paraId="691F3441" w14:textId="77777777" w:rsidTr="00EC04C1">
        <w:trPr>
          <w:cantSplit/>
        </w:trPr>
        <w:tc>
          <w:tcPr>
            <w:tcW w:w="841" w:type="pct"/>
            <w:shd w:val="clear" w:color="auto" w:fill="auto"/>
            <w:vAlign w:val="center"/>
          </w:tcPr>
          <w:p w14:paraId="44F5B716" w14:textId="77777777" w:rsidR="001C69DC" w:rsidRPr="00015B19" w:rsidRDefault="001C69DC" w:rsidP="001C69DC">
            <w:pPr>
              <w:pStyle w:val="TableText"/>
              <w:rPr>
                <w:lang w:val="en-US"/>
              </w:rPr>
            </w:pPr>
            <w:r w:rsidRPr="00015B19">
              <w:rPr>
                <w:lang w:val="en-US"/>
              </w:rPr>
              <w:t>Meta-analysis</w:t>
            </w:r>
          </w:p>
        </w:tc>
        <w:tc>
          <w:tcPr>
            <w:tcW w:w="375" w:type="pct"/>
            <w:shd w:val="clear" w:color="auto" w:fill="auto"/>
            <w:vAlign w:val="center"/>
          </w:tcPr>
          <w:p w14:paraId="217D8DCD" w14:textId="6DC77375" w:rsidR="001C69DC" w:rsidRPr="00015B19" w:rsidRDefault="006D2507" w:rsidP="001C69DC">
            <w:pPr>
              <w:pStyle w:val="TableText"/>
              <w:jc w:val="center"/>
              <w:rPr>
                <w:lang w:val="en-US"/>
              </w:rPr>
            </w:pPr>
            <w:r w:rsidRPr="00015B19">
              <w:rPr>
                <w:lang w:val="en-US"/>
              </w:rPr>
              <w:t>1</w:t>
            </w:r>
            <w:r w:rsidR="00274E51" w:rsidRPr="00015B19">
              <w:rPr>
                <w:lang w:val="en-US"/>
              </w:rPr>
              <w:t>2</w:t>
            </w:r>
            <w:r w:rsidRPr="00015B19">
              <w:rPr>
                <w:lang w:val="en-US"/>
              </w:rPr>
              <w:t>7</w:t>
            </w:r>
            <w:r w:rsidR="00A32032" w:rsidRPr="00015B19">
              <w:rPr>
                <w:lang w:val="en-US"/>
              </w:rPr>
              <w:t xml:space="preserve"> </w:t>
            </w:r>
            <w:r w:rsidR="00B16149">
              <w:rPr>
                <w:vertAlign w:val="superscript"/>
                <w:lang w:val="en-US"/>
              </w:rPr>
              <w:t>c</w:t>
            </w:r>
            <w:r w:rsidR="0037673B">
              <w:rPr>
                <w:vertAlign w:val="superscript"/>
                <w:lang w:val="en-US"/>
              </w:rPr>
              <w:t xml:space="preserve"> #</w:t>
            </w:r>
          </w:p>
        </w:tc>
        <w:tc>
          <w:tcPr>
            <w:tcW w:w="3007" w:type="pct"/>
            <w:gridSpan w:val="4"/>
            <w:shd w:val="clear" w:color="auto" w:fill="auto"/>
            <w:vAlign w:val="center"/>
          </w:tcPr>
          <w:p w14:paraId="68B5BDE6" w14:textId="01750DF2" w:rsidR="001C69DC" w:rsidRPr="00015B19" w:rsidRDefault="001C69DC" w:rsidP="001C69DC">
            <w:pPr>
              <w:pStyle w:val="TableText"/>
              <w:jc w:val="center"/>
              <w:rPr>
                <w:lang w:val="en-US"/>
              </w:rPr>
            </w:pPr>
            <w:r w:rsidRPr="00015B19">
              <w:rPr>
                <w:lang w:val="en-US"/>
              </w:rPr>
              <w:t xml:space="preserve">Included </w:t>
            </w:r>
            <w:r w:rsidR="001D28BF" w:rsidRPr="00015B19">
              <w:rPr>
                <w:lang w:val="en-US"/>
              </w:rPr>
              <w:t xml:space="preserve">LATERA-RCT </w:t>
            </w:r>
            <w:r w:rsidRPr="00015B19">
              <w:rPr>
                <w:lang w:val="en-US"/>
              </w:rPr>
              <w:t xml:space="preserve">assessed </w:t>
            </w:r>
            <w:r w:rsidR="006D2507" w:rsidRPr="00015B19">
              <w:rPr>
                <w:lang w:val="en-US"/>
              </w:rPr>
              <w:t>change from baseline in NOSE score – PP</w:t>
            </w:r>
            <w:r w:rsidR="00E86379" w:rsidRPr="00015B19">
              <w:rPr>
                <w:lang w:val="en-US"/>
              </w:rPr>
              <w:t xml:space="preserve"> at </w:t>
            </w:r>
            <w:r w:rsidR="00B25915" w:rsidRPr="00015B19">
              <w:rPr>
                <w:lang w:val="en-US"/>
              </w:rPr>
              <w:t xml:space="preserve">1 and </w:t>
            </w:r>
            <w:r w:rsidR="00E86379" w:rsidRPr="00015B19">
              <w:rPr>
                <w:lang w:val="en-US"/>
              </w:rPr>
              <w:t xml:space="preserve">3 months </w:t>
            </w:r>
          </w:p>
        </w:tc>
        <w:tc>
          <w:tcPr>
            <w:tcW w:w="777" w:type="pct"/>
            <w:shd w:val="clear" w:color="auto" w:fill="auto"/>
            <w:vAlign w:val="center"/>
          </w:tcPr>
          <w:p w14:paraId="1F4304E3" w14:textId="54AA3F1C" w:rsidR="001C69DC" w:rsidRPr="00015B19" w:rsidRDefault="008533A4" w:rsidP="001C69DC">
            <w:pPr>
              <w:pStyle w:val="TableText"/>
              <w:jc w:val="center"/>
              <w:rPr>
                <w:highlight w:val="yellow"/>
                <w:lang w:val="en-US"/>
              </w:rPr>
            </w:pPr>
            <w:r w:rsidRPr="00015B19">
              <w:rPr>
                <w:lang w:val="en-US"/>
              </w:rPr>
              <w:t xml:space="preserve">NOSE score </w:t>
            </w:r>
          </w:p>
        </w:tc>
      </w:tr>
      <w:tr w:rsidR="00A270DE" w:rsidRPr="005843AD" w14:paraId="581E5DE1" w14:textId="77777777" w:rsidTr="007310B1">
        <w:trPr>
          <w:cantSplit/>
        </w:trPr>
        <w:tc>
          <w:tcPr>
            <w:tcW w:w="5000" w:type="pct"/>
            <w:gridSpan w:val="7"/>
            <w:vAlign w:val="center"/>
          </w:tcPr>
          <w:p w14:paraId="0C70A2B3" w14:textId="7A8B2FE3" w:rsidR="00A270DE" w:rsidRPr="00015B19" w:rsidRDefault="00C95DC6" w:rsidP="00A270DE">
            <w:pPr>
              <w:pStyle w:val="TableText"/>
              <w:rPr>
                <w:lang w:val="en-US"/>
              </w:rPr>
            </w:pPr>
            <w:r>
              <w:rPr>
                <w:b/>
                <w:bCs/>
              </w:rPr>
              <w:t>Additional</w:t>
            </w:r>
            <w:r w:rsidRPr="00015B19">
              <w:rPr>
                <w:b/>
                <w:bCs/>
              </w:rPr>
              <w:t xml:space="preserve"> </w:t>
            </w:r>
            <w:r w:rsidR="00A270DE" w:rsidRPr="00015B19">
              <w:rPr>
                <w:b/>
                <w:bCs/>
              </w:rPr>
              <w:t>LATERA evidence</w:t>
            </w:r>
          </w:p>
        </w:tc>
      </w:tr>
      <w:tr w:rsidR="000A671D" w:rsidRPr="005843AD" w14:paraId="5645420D" w14:textId="77777777" w:rsidTr="003504A6">
        <w:trPr>
          <w:cantSplit/>
        </w:trPr>
        <w:tc>
          <w:tcPr>
            <w:tcW w:w="841" w:type="pct"/>
            <w:vAlign w:val="center"/>
          </w:tcPr>
          <w:p w14:paraId="20750D51" w14:textId="790AB5EC" w:rsidR="00A270DE" w:rsidRPr="00015B19" w:rsidRDefault="00A270DE" w:rsidP="003504A6">
            <w:pPr>
              <w:pStyle w:val="TableText"/>
              <w:rPr>
                <w:lang w:val="en-US"/>
              </w:rPr>
            </w:pPr>
            <w:r w:rsidRPr="00015B19">
              <w:t>LATER</w:t>
            </w:r>
            <w:r w:rsidR="00483778">
              <w:t>A</w:t>
            </w:r>
            <w:r w:rsidRPr="00015B19">
              <w:t>-OR</w:t>
            </w:r>
            <w:r w:rsidR="001C1E36">
              <w:t xml:space="preserve"> </w:t>
            </w:r>
            <w:r w:rsidR="00AA1E9F">
              <w:rPr>
                <w:vertAlign w:val="superscript"/>
              </w:rPr>
              <w:t>d</w:t>
            </w:r>
          </w:p>
        </w:tc>
        <w:tc>
          <w:tcPr>
            <w:tcW w:w="375" w:type="pct"/>
            <w:shd w:val="clear" w:color="auto" w:fill="auto"/>
            <w:vAlign w:val="center"/>
          </w:tcPr>
          <w:p w14:paraId="458CA388" w14:textId="21E8283A" w:rsidR="00A270DE" w:rsidRPr="00015B19" w:rsidRDefault="00A270DE" w:rsidP="00A270DE">
            <w:pPr>
              <w:pStyle w:val="TableText"/>
              <w:jc w:val="center"/>
              <w:rPr>
                <w:lang w:val="en-US"/>
              </w:rPr>
            </w:pPr>
            <w:r w:rsidRPr="00015B19">
              <w:rPr>
                <w:lang w:val="en-US"/>
              </w:rPr>
              <w:t>113</w:t>
            </w:r>
          </w:p>
        </w:tc>
        <w:tc>
          <w:tcPr>
            <w:tcW w:w="724" w:type="pct"/>
            <w:shd w:val="clear" w:color="auto" w:fill="auto"/>
            <w:vAlign w:val="center"/>
          </w:tcPr>
          <w:p w14:paraId="3F6A80B5" w14:textId="3BD3B56B" w:rsidR="00A270DE" w:rsidRPr="00015B19" w:rsidRDefault="00A270DE" w:rsidP="00A270DE">
            <w:pPr>
              <w:pStyle w:val="TableText"/>
              <w:jc w:val="center"/>
              <w:rPr>
                <w:lang w:val="en-US"/>
              </w:rPr>
            </w:pPr>
            <w:r w:rsidRPr="00015B19">
              <w:rPr>
                <w:lang w:val="en-US"/>
              </w:rPr>
              <w:t xml:space="preserve">Single arm, prospective; </w:t>
            </w:r>
            <w:r w:rsidR="00106CBF" w:rsidRPr="00015B19">
              <w:rPr>
                <w:lang w:val="en-US"/>
              </w:rPr>
              <w:t>24</w:t>
            </w:r>
            <w:r w:rsidRPr="00015B19">
              <w:rPr>
                <w:lang w:val="en-US"/>
              </w:rPr>
              <w:t xml:space="preserve"> months </w:t>
            </w:r>
          </w:p>
        </w:tc>
        <w:tc>
          <w:tcPr>
            <w:tcW w:w="946" w:type="pct"/>
            <w:shd w:val="clear" w:color="auto" w:fill="auto"/>
            <w:vAlign w:val="center"/>
          </w:tcPr>
          <w:p w14:paraId="73D87399" w14:textId="24A839CD" w:rsidR="00A270DE" w:rsidRPr="00015B19" w:rsidRDefault="000B5F1C" w:rsidP="00A270DE">
            <w:pPr>
              <w:pStyle w:val="TableText"/>
              <w:jc w:val="center"/>
              <w:rPr>
                <w:lang w:val="en-US"/>
              </w:rPr>
            </w:pPr>
            <w:r w:rsidRPr="00EC04C1">
              <w:rPr>
                <w:i/>
                <w:iCs/>
                <w:lang w:val="en-US"/>
              </w:rPr>
              <w:t xml:space="preserve">Moderate </w:t>
            </w:r>
            <w:r w:rsidR="00A270DE" w:rsidRPr="00015B19">
              <w:rPr>
                <w:vertAlign w:val="superscript"/>
                <w:lang w:val="en-US"/>
              </w:rPr>
              <w:t>a</w:t>
            </w:r>
          </w:p>
        </w:tc>
        <w:tc>
          <w:tcPr>
            <w:tcW w:w="801" w:type="pct"/>
            <w:shd w:val="clear" w:color="auto" w:fill="auto"/>
            <w:vAlign w:val="center"/>
          </w:tcPr>
          <w:p w14:paraId="51D7983C" w14:textId="04409CF0" w:rsidR="00A270DE" w:rsidRPr="00015B19" w:rsidRDefault="00A270DE" w:rsidP="00A270DE">
            <w:pPr>
              <w:pStyle w:val="TableText"/>
              <w:jc w:val="center"/>
              <w:rPr>
                <w:lang w:val="en-US"/>
              </w:rPr>
            </w:pPr>
            <w:r w:rsidRPr="00015B19">
              <w:rPr>
                <w:lang w:val="en-US"/>
              </w:rPr>
              <w:t>Severe to extreme NOSE score</w:t>
            </w:r>
          </w:p>
        </w:tc>
        <w:tc>
          <w:tcPr>
            <w:tcW w:w="537" w:type="pct"/>
            <w:shd w:val="clear" w:color="auto" w:fill="auto"/>
            <w:vAlign w:val="center"/>
          </w:tcPr>
          <w:p w14:paraId="56F8261D" w14:textId="2A94B1D9" w:rsidR="00A270DE" w:rsidRPr="00015B19" w:rsidRDefault="000621A9" w:rsidP="000621A9">
            <w:pPr>
              <w:pStyle w:val="TableText"/>
              <w:jc w:val="center"/>
              <w:rPr>
                <w:lang w:val="en-US"/>
              </w:rPr>
            </w:pPr>
            <w:r w:rsidRPr="00015B19">
              <w:rPr>
                <w:lang w:val="en-US"/>
              </w:rPr>
              <w:t xml:space="preserve">NOSE score, </w:t>
            </w:r>
            <w:r w:rsidR="00A270DE" w:rsidRPr="00015B19">
              <w:rPr>
                <w:lang w:val="en-US"/>
              </w:rPr>
              <w:t>AEs</w:t>
            </w:r>
            <w:r w:rsidR="007748D6" w:rsidRPr="00015B19">
              <w:rPr>
                <w:lang w:val="en-US"/>
              </w:rPr>
              <w:t>, VAS</w:t>
            </w:r>
          </w:p>
        </w:tc>
        <w:tc>
          <w:tcPr>
            <w:tcW w:w="777" w:type="pct"/>
            <w:shd w:val="clear" w:color="auto" w:fill="auto"/>
            <w:vAlign w:val="center"/>
          </w:tcPr>
          <w:p w14:paraId="08DB0B18" w14:textId="35D8B4EC" w:rsidR="00A270DE" w:rsidRPr="00015B19" w:rsidRDefault="00A270DE" w:rsidP="00A270DE">
            <w:pPr>
              <w:pStyle w:val="TableText"/>
              <w:jc w:val="center"/>
              <w:rPr>
                <w:lang w:val="en-US"/>
              </w:rPr>
            </w:pPr>
            <w:r w:rsidRPr="00015B19">
              <w:rPr>
                <w:lang w:val="en-US"/>
              </w:rPr>
              <w:t>Not used</w:t>
            </w:r>
          </w:p>
        </w:tc>
      </w:tr>
      <w:tr w:rsidR="000A671D" w:rsidRPr="005843AD" w14:paraId="6F926F4F" w14:textId="77777777" w:rsidTr="003504A6">
        <w:trPr>
          <w:cantSplit/>
        </w:trPr>
        <w:tc>
          <w:tcPr>
            <w:tcW w:w="841" w:type="pct"/>
            <w:vAlign w:val="center"/>
          </w:tcPr>
          <w:p w14:paraId="5FEE8870" w14:textId="5FE68489" w:rsidR="00A270DE" w:rsidRPr="00015B19" w:rsidRDefault="00A270DE" w:rsidP="003504A6">
            <w:pPr>
              <w:pStyle w:val="TableText"/>
              <w:rPr>
                <w:lang w:val="en-US"/>
              </w:rPr>
            </w:pPr>
            <w:r w:rsidRPr="00015B19">
              <w:t>Saadat 2018</w:t>
            </w:r>
          </w:p>
        </w:tc>
        <w:tc>
          <w:tcPr>
            <w:tcW w:w="375" w:type="pct"/>
            <w:shd w:val="clear" w:color="auto" w:fill="auto"/>
            <w:vAlign w:val="center"/>
          </w:tcPr>
          <w:p w14:paraId="5CF521C1" w14:textId="559D4894" w:rsidR="00A270DE" w:rsidRPr="00015B19" w:rsidRDefault="003B72A3" w:rsidP="00A270DE">
            <w:pPr>
              <w:pStyle w:val="TableText"/>
              <w:jc w:val="center"/>
              <w:rPr>
                <w:lang w:val="en-US"/>
              </w:rPr>
            </w:pPr>
            <w:r w:rsidRPr="00015B19">
              <w:rPr>
                <w:lang w:val="en-US"/>
              </w:rPr>
              <w:t>188</w:t>
            </w:r>
          </w:p>
        </w:tc>
        <w:tc>
          <w:tcPr>
            <w:tcW w:w="724" w:type="pct"/>
            <w:shd w:val="clear" w:color="auto" w:fill="auto"/>
            <w:vAlign w:val="center"/>
          </w:tcPr>
          <w:p w14:paraId="431CC6A0" w14:textId="7A0C1781" w:rsidR="00A270DE" w:rsidRPr="00015B19" w:rsidRDefault="004A455A" w:rsidP="00A270DE">
            <w:pPr>
              <w:pStyle w:val="TableText"/>
              <w:jc w:val="center"/>
              <w:rPr>
                <w:lang w:val="en-US"/>
              </w:rPr>
            </w:pPr>
            <w:r w:rsidRPr="00015B19">
              <w:rPr>
                <w:lang w:val="en-US"/>
              </w:rPr>
              <w:t xml:space="preserve">Conference abstract; </w:t>
            </w:r>
            <w:r w:rsidR="002009CB" w:rsidRPr="00015B19">
              <w:rPr>
                <w:lang w:val="en-US"/>
              </w:rPr>
              <w:t>Single arm, prospective</w:t>
            </w:r>
            <w:r w:rsidR="005F5399" w:rsidRPr="00015B19">
              <w:rPr>
                <w:lang w:val="en-US"/>
              </w:rPr>
              <w:t xml:space="preserve">; 3 months </w:t>
            </w:r>
          </w:p>
        </w:tc>
        <w:tc>
          <w:tcPr>
            <w:tcW w:w="946" w:type="pct"/>
            <w:shd w:val="clear" w:color="auto" w:fill="auto"/>
            <w:vAlign w:val="center"/>
          </w:tcPr>
          <w:p w14:paraId="41FCB5FA" w14:textId="7B57FA6E" w:rsidR="00A270DE" w:rsidRPr="00015B19" w:rsidRDefault="00DE2A94" w:rsidP="00A270DE">
            <w:pPr>
              <w:pStyle w:val="TableText"/>
              <w:jc w:val="center"/>
              <w:rPr>
                <w:lang w:val="en-US"/>
              </w:rPr>
            </w:pPr>
            <w:r w:rsidRPr="00EC04C1">
              <w:rPr>
                <w:i/>
                <w:iCs/>
                <w:lang w:val="en-US"/>
              </w:rPr>
              <w:t>High</w:t>
            </w:r>
            <w:r w:rsidRPr="00015B19">
              <w:rPr>
                <w:lang w:val="en-US"/>
              </w:rPr>
              <w:t xml:space="preserve"> </w:t>
            </w:r>
            <w:r w:rsidR="002009CB" w:rsidRPr="00015B19">
              <w:rPr>
                <w:vertAlign w:val="superscript"/>
                <w:lang w:val="en-US"/>
              </w:rPr>
              <w:t>a</w:t>
            </w:r>
          </w:p>
        </w:tc>
        <w:tc>
          <w:tcPr>
            <w:tcW w:w="801" w:type="pct"/>
            <w:shd w:val="clear" w:color="auto" w:fill="auto"/>
            <w:vAlign w:val="center"/>
          </w:tcPr>
          <w:p w14:paraId="16DE0719" w14:textId="2EF6783C" w:rsidR="00A270DE" w:rsidRPr="00015B19" w:rsidRDefault="00911768" w:rsidP="00A270DE">
            <w:pPr>
              <w:pStyle w:val="TableText"/>
              <w:jc w:val="center"/>
              <w:rPr>
                <w:lang w:val="en-US"/>
              </w:rPr>
            </w:pPr>
            <w:r w:rsidRPr="00015B19">
              <w:rPr>
                <w:lang w:val="en-US"/>
              </w:rPr>
              <w:t>Severe to extreme NOSE score</w:t>
            </w:r>
          </w:p>
        </w:tc>
        <w:tc>
          <w:tcPr>
            <w:tcW w:w="537" w:type="pct"/>
            <w:shd w:val="clear" w:color="auto" w:fill="auto"/>
            <w:vAlign w:val="center"/>
          </w:tcPr>
          <w:p w14:paraId="6730BC89" w14:textId="77777777" w:rsidR="00F2383E" w:rsidRPr="00015B19" w:rsidRDefault="00F2383E" w:rsidP="00F2383E">
            <w:pPr>
              <w:pStyle w:val="TableText"/>
              <w:jc w:val="center"/>
              <w:rPr>
                <w:lang w:val="en-US"/>
              </w:rPr>
            </w:pPr>
            <w:r w:rsidRPr="00015B19">
              <w:rPr>
                <w:lang w:val="en-US"/>
              </w:rPr>
              <w:t xml:space="preserve">NOSE Score </w:t>
            </w:r>
          </w:p>
          <w:p w14:paraId="5EC3044D" w14:textId="06D2C6F3" w:rsidR="00A270DE" w:rsidRPr="00015B19" w:rsidRDefault="00F2383E" w:rsidP="00F2383E">
            <w:pPr>
              <w:pStyle w:val="TableText"/>
              <w:jc w:val="center"/>
              <w:rPr>
                <w:lang w:val="en-US"/>
              </w:rPr>
            </w:pPr>
            <w:r w:rsidRPr="00015B19">
              <w:rPr>
                <w:lang w:val="en-US"/>
              </w:rPr>
              <w:t>and ESS</w:t>
            </w:r>
          </w:p>
        </w:tc>
        <w:tc>
          <w:tcPr>
            <w:tcW w:w="777" w:type="pct"/>
            <w:shd w:val="clear" w:color="auto" w:fill="auto"/>
            <w:vAlign w:val="center"/>
          </w:tcPr>
          <w:p w14:paraId="7A88DCFA" w14:textId="02C42B1B" w:rsidR="00A270DE" w:rsidRPr="00015B19" w:rsidRDefault="007A4EE1" w:rsidP="00A270DE">
            <w:pPr>
              <w:pStyle w:val="TableText"/>
              <w:jc w:val="center"/>
              <w:rPr>
                <w:lang w:val="en-US"/>
              </w:rPr>
            </w:pPr>
            <w:r w:rsidRPr="00015B19">
              <w:rPr>
                <w:lang w:val="en-US"/>
              </w:rPr>
              <w:t>Not used</w:t>
            </w:r>
          </w:p>
        </w:tc>
      </w:tr>
    </w:tbl>
    <w:p w14:paraId="4C8474C9" w14:textId="5EC7B52E" w:rsidR="00543E7C" w:rsidRPr="00441946" w:rsidRDefault="00ED3EB4" w:rsidP="00543E7C">
      <w:pPr>
        <w:pStyle w:val="NoSpacing"/>
        <w:rPr>
          <w:rFonts w:ascii="Arial Narrow" w:hAnsi="Arial Narrow"/>
          <w:i/>
          <w:iCs/>
          <w:sz w:val="18"/>
          <w:szCs w:val="18"/>
        </w:rPr>
      </w:pPr>
      <w:bookmarkStart w:id="21" w:name="_Hlk68276176"/>
      <w:bookmarkEnd w:id="20"/>
      <w:r>
        <w:rPr>
          <w:rFonts w:ascii="Arial Narrow" w:hAnsi="Arial Narrow"/>
          <w:sz w:val="18"/>
          <w:szCs w:val="18"/>
        </w:rPr>
        <w:t xml:space="preserve">Source: </w:t>
      </w:r>
      <w:r w:rsidR="00B6649F">
        <w:rPr>
          <w:rFonts w:ascii="Arial Narrow" w:hAnsi="Arial Narrow"/>
          <w:sz w:val="18"/>
          <w:szCs w:val="18"/>
        </w:rPr>
        <w:t>Commentary Table 9, pg 76 of MSAC 1719 ADAR+inline commentary</w:t>
      </w:r>
      <w:r w:rsidR="008D3292">
        <w:rPr>
          <w:rFonts w:ascii="Arial Narrow" w:hAnsi="Arial Narrow"/>
          <w:sz w:val="18"/>
          <w:szCs w:val="18"/>
        </w:rPr>
        <w:t xml:space="preserve">. </w:t>
      </w:r>
      <w:r w:rsidR="008D3292" w:rsidRPr="00AE4565">
        <w:rPr>
          <w:rFonts w:ascii="Arial Narrow" w:hAnsi="Arial Narrow"/>
          <w:sz w:val="18"/>
          <w:szCs w:val="18"/>
        </w:rPr>
        <w:t>Italics represent correction during commentary.</w:t>
      </w:r>
    </w:p>
    <w:p w14:paraId="09C7D980" w14:textId="3F108C4B" w:rsidR="00543E7C" w:rsidRPr="00543E7C" w:rsidRDefault="00543E7C" w:rsidP="00543E7C">
      <w:pPr>
        <w:pStyle w:val="NoSpacing"/>
        <w:rPr>
          <w:rFonts w:ascii="Arial Narrow" w:hAnsi="Arial Narrow"/>
          <w:sz w:val="18"/>
          <w:szCs w:val="18"/>
        </w:rPr>
      </w:pPr>
      <w:r w:rsidRPr="00543E7C">
        <w:rPr>
          <w:rFonts w:ascii="Arial Narrow" w:hAnsi="Arial Narrow"/>
          <w:sz w:val="18"/>
          <w:szCs w:val="18"/>
        </w:rPr>
        <w:t xml:space="preserve">Abbreviations: </w:t>
      </w:r>
      <w:r w:rsidR="00A53C22" w:rsidRPr="00A53C22">
        <w:rPr>
          <w:rFonts w:ascii="Arial Narrow" w:hAnsi="Arial Narrow"/>
          <w:sz w:val="18"/>
          <w:szCs w:val="18"/>
        </w:rPr>
        <w:t>AE</w:t>
      </w:r>
      <w:r w:rsidR="00883453">
        <w:rPr>
          <w:rFonts w:ascii="Arial Narrow" w:hAnsi="Arial Narrow"/>
          <w:sz w:val="18"/>
          <w:szCs w:val="18"/>
        </w:rPr>
        <w:t>=</w:t>
      </w:r>
      <w:r w:rsidR="00A53C22" w:rsidRPr="00A53C22">
        <w:rPr>
          <w:rFonts w:ascii="Arial Narrow" w:hAnsi="Arial Narrow"/>
          <w:sz w:val="18"/>
          <w:szCs w:val="18"/>
        </w:rPr>
        <w:t xml:space="preserve"> adverse event; </w:t>
      </w:r>
      <w:r w:rsidR="00FA19C3">
        <w:rPr>
          <w:rFonts w:ascii="Arial Narrow" w:hAnsi="Arial Narrow"/>
          <w:sz w:val="18"/>
          <w:szCs w:val="18"/>
        </w:rPr>
        <w:t>FU</w:t>
      </w:r>
      <w:r w:rsidR="00883453">
        <w:rPr>
          <w:rFonts w:ascii="Arial Narrow" w:hAnsi="Arial Narrow"/>
          <w:sz w:val="18"/>
          <w:szCs w:val="18"/>
        </w:rPr>
        <w:t>=</w:t>
      </w:r>
      <w:r w:rsidR="00FA19C3">
        <w:rPr>
          <w:rFonts w:ascii="Arial Narrow" w:hAnsi="Arial Narrow"/>
          <w:sz w:val="18"/>
          <w:szCs w:val="18"/>
        </w:rPr>
        <w:t xml:space="preserve"> follow up; </w:t>
      </w:r>
      <w:r w:rsidR="00C85540">
        <w:rPr>
          <w:rFonts w:ascii="Arial Narrow" w:hAnsi="Arial Narrow"/>
          <w:sz w:val="18"/>
          <w:szCs w:val="18"/>
        </w:rPr>
        <w:t>IC</w:t>
      </w:r>
      <w:r w:rsidR="00883453">
        <w:rPr>
          <w:rFonts w:ascii="Arial Narrow" w:hAnsi="Arial Narrow"/>
          <w:sz w:val="18"/>
          <w:szCs w:val="18"/>
        </w:rPr>
        <w:t>=</w:t>
      </w:r>
      <w:r w:rsidR="00C85540">
        <w:rPr>
          <w:rFonts w:ascii="Arial Narrow" w:hAnsi="Arial Narrow"/>
          <w:sz w:val="18"/>
          <w:szCs w:val="18"/>
        </w:rPr>
        <w:t xml:space="preserve"> Indirect Comparison; </w:t>
      </w:r>
      <w:r w:rsidR="00A53C22" w:rsidRPr="00A53C22">
        <w:rPr>
          <w:rFonts w:ascii="Arial Narrow" w:hAnsi="Arial Narrow"/>
          <w:sz w:val="18"/>
          <w:szCs w:val="18"/>
        </w:rPr>
        <w:t>NOSE</w:t>
      </w:r>
      <w:r w:rsidR="00883453">
        <w:rPr>
          <w:rFonts w:ascii="Arial Narrow" w:hAnsi="Arial Narrow"/>
          <w:sz w:val="18"/>
          <w:szCs w:val="18"/>
        </w:rPr>
        <w:t>=</w:t>
      </w:r>
      <w:r w:rsidR="00A53C22" w:rsidRPr="00A53C22">
        <w:rPr>
          <w:rFonts w:ascii="Arial Narrow" w:hAnsi="Arial Narrow"/>
          <w:sz w:val="18"/>
          <w:szCs w:val="18"/>
        </w:rPr>
        <w:t xml:space="preserve"> Nasal Obstruction Symptoms Evaluation; </w:t>
      </w:r>
      <w:r w:rsidR="006C4431">
        <w:rPr>
          <w:rFonts w:ascii="Arial Narrow" w:hAnsi="Arial Narrow"/>
          <w:sz w:val="18"/>
          <w:szCs w:val="18"/>
        </w:rPr>
        <w:t>NS</w:t>
      </w:r>
      <w:r w:rsidR="00883453">
        <w:rPr>
          <w:rFonts w:ascii="Arial Narrow" w:hAnsi="Arial Narrow"/>
          <w:sz w:val="18"/>
          <w:szCs w:val="18"/>
        </w:rPr>
        <w:t>=</w:t>
      </w:r>
      <w:r w:rsidR="006C4431">
        <w:rPr>
          <w:rFonts w:ascii="Arial Narrow" w:hAnsi="Arial Narrow"/>
          <w:sz w:val="18"/>
          <w:szCs w:val="18"/>
        </w:rPr>
        <w:t xml:space="preserve"> not stated; </w:t>
      </w:r>
      <w:r w:rsidR="00A55402">
        <w:rPr>
          <w:rFonts w:ascii="Arial Narrow" w:hAnsi="Arial Narrow"/>
          <w:sz w:val="18"/>
          <w:szCs w:val="18"/>
        </w:rPr>
        <w:t>PP</w:t>
      </w:r>
      <w:r w:rsidR="00883453">
        <w:rPr>
          <w:rFonts w:ascii="Arial Narrow" w:hAnsi="Arial Narrow"/>
          <w:sz w:val="18"/>
          <w:szCs w:val="18"/>
        </w:rPr>
        <w:t>=</w:t>
      </w:r>
      <w:r w:rsidR="00A55402">
        <w:rPr>
          <w:rFonts w:ascii="Arial Narrow" w:hAnsi="Arial Narrow"/>
          <w:sz w:val="18"/>
          <w:szCs w:val="18"/>
        </w:rPr>
        <w:t xml:space="preserve"> per protocol; </w:t>
      </w:r>
      <w:r w:rsidR="00A53C22" w:rsidRPr="00A53C22">
        <w:rPr>
          <w:rFonts w:ascii="Arial Narrow" w:hAnsi="Arial Narrow"/>
          <w:sz w:val="18"/>
          <w:szCs w:val="18"/>
        </w:rPr>
        <w:t>RCT</w:t>
      </w:r>
      <w:r w:rsidR="00883453">
        <w:rPr>
          <w:rFonts w:ascii="Arial Narrow" w:hAnsi="Arial Narrow"/>
          <w:sz w:val="18"/>
          <w:szCs w:val="18"/>
        </w:rPr>
        <w:t>=</w:t>
      </w:r>
      <w:r w:rsidR="00A53C22" w:rsidRPr="00A53C22">
        <w:rPr>
          <w:rFonts w:ascii="Arial Narrow" w:hAnsi="Arial Narrow"/>
          <w:sz w:val="18"/>
          <w:szCs w:val="18"/>
        </w:rPr>
        <w:t>randomised controlled trial; VAS</w:t>
      </w:r>
      <w:r w:rsidR="00883453">
        <w:rPr>
          <w:rFonts w:ascii="Arial Narrow" w:hAnsi="Arial Narrow"/>
          <w:sz w:val="18"/>
          <w:szCs w:val="18"/>
        </w:rPr>
        <w:t>=</w:t>
      </w:r>
      <w:r w:rsidR="00A53C22" w:rsidRPr="00A53C22">
        <w:rPr>
          <w:rFonts w:ascii="Arial Narrow" w:hAnsi="Arial Narrow"/>
          <w:sz w:val="18"/>
          <w:szCs w:val="18"/>
        </w:rPr>
        <w:t xml:space="preserve"> Visual Analogue Scale</w:t>
      </w:r>
    </w:p>
    <w:p w14:paraId="4322A7AE" w14:textId="2095B8DC" w:rsidR="00F07890" w:rsidRPr="00AE4565" w:rsidRDefault="00F07890" w:rsidP="00543E7C">
      <w:pPr>
        <w:pStyle w:val="NoSpacing"/>
        <w:rPr>
          <w:rFonts w:ascii="Arial Narrow" w:hAnsi="Arial Narrow"/>
          <w:sz w:val="18"/>
          <w:szCs w:val="18"/>
        </w:rPr>
      </w:pPr>
      <w:r w:rsidRPr="00AE4565">
        <w:rPr>
          <w:rFonts w:ascii="Arial Narrow" w:hAnsi="Arial Narrow"/>
          <w:sz w:val="18"/>
          <w:szCs w:val="18"/>
        </w:rPr>
        <w:t>Note:</w:t>
      </w:r>
    </w:p>
    <w:p w14:paraId="294C884A" w14:textId="5A747FAE" w:rsidR="00F07890" w:rsidRPr="00AE4565" w:rsidRDefault="00F07890" w:rsidP="00EC04C1">
      <w:pPr>
        <w:pStyle w:val="NoSpacing"/>
        <w:ind w:left="142" w:hanging="142"/>
        <w:rPr>
          <w:rFonts w:ascii="Arial Narrow" w:hAnsi="Arial Narrow"/>
          <w:sz w:val="18"/>
          <w:szCs w:val="18"/>
        </w:rPr>
      </w:pPr>
      <w:r w:rsidRPr="00AE4565">
        <w:rPr>
          <w:rFonts w:ascii="Arial Narrow" w:hAnsi="Arial Narrow"/>
          <w:sz w:val="18"/>
          <w:szCs w:val="18"/>
        </w:rPr>
        <w:t xml:space="preserve">a </w:t>
      </w:r>
      <w:r w:rsidR="00FB44FE" w:rsidRPr="00AE4565">
        <w:rPr>
          <w:rFonts w:ascii="Arial Narrow" w:hAnsi="Arial Narrow"/>
          <w:sz w:val="18"/>
          <w:szCs w:val="18"/>
        </w:rPr>
        <w:t>Risk of b</w:t>
      </w:r>
      <w:r w:rsidR="006E4BCF" w:rsidRPr="00AE4565">
        <w:rPr>
          <w:rFonts w:ascii="Arial Narrow" w:hAnsi="Arial Narrow"/>
          <w:sz w:val="18"/>
          <w:szCs w:val="18"/>
        </w:rPr>
        <w:t>i</w:t>
      </w:r>
      <w:r w:rsidR="00FB44FE" w:rsidRPr="00AE4565">
        <w:rPr>
          <w:rFonts w:ascii="Arial Narrow" w:hAnsi="Arial Narrow"/>
          <w:sz w:val="18"/>
          <w:szCs w:val="18"/>
        </w:rPr>
        <w:t xml:space="preserve">as assessment was based on </w:t>
      </w:r>
      <w:r w:rsidR="00F70A71" w:rsidRPr="00AE4565">
        <w:rPr>
          <w:rFonts w:ascii="Arial Narrow" w:hAnsi="Arial Narrow"/>
          <w:sz w:val="18"/>
          <w:szCs w:val="18"/>
        </w:rPr>
        <w:t>the National Heart, Lung, and Blood (NHLBI) Study Quality Assessment Tools for RCTs</w:t>
      </w:r>
      <w:r w:rsidR="00E95212" w:rsidRPr="00AE4565">
        <w:rPr>
          <w:rFonts w:ascii="Arial Narrow" w:hAnsi="Arial Narrow"/>
          <w:sz w:val="18"/>
          <w:szCs w:val="18"/>
        </w:rPr>
        <w:t xml:space="preserve"> or before and after studies</w:t>
      </w:r>
      <w:r w:rsidR="00FF53F3" w:rsidRPr="00AE4565">
        <w:rPr>
          <w:rFonts w:ascii="Arial Narrow" w:hAnsi="Arial Narrow"/>
          <w:sz w:val="18"/>
          <w:szCs w:val="18"/>
        </w:rPr>
        <w:t>.</w:t>
      </w:r>
      <w:r w:rsidR="00E95212" w:rsidRPr="00AE4565">
        <w:rPr>
          <w:rFonts w:ascii="Arial Narrow" w:hAnsi="Arial Narrow"/>
          <w:sz w:val="18"/>
          <w:szCs w:val="18"/>
        </w:rPr>
        <w:t xml:space="preserve"> </w:t>
      </w:r>
    </w:p>
    <w:p w14:paraId="242DBD7B" w14:textId="5BB22641" w:rsidR="00C6298A" w:rsidRPr="00AE4565" w:rsidRDefault="00B16149" w:rsidP="00EC04C1">
      <w:pPr>
        <w:pStyle w:val="NoSpacing"/>
        <w:ind w:left="142" w:hanging="142"/>
        <w:rPr>
          <w:rFonts w:ascii="Arial Narrow" w:hAnsi="Arial Narrow"/>
          <w:sz w:val="18"/>
          <w:szCs w:val="18"/>
        </w:rPr>
      </w:pPr>
      <w:r w:rsidRPr="00AE4565">
        <w:rPr>
          <w:rFonts w:ascii="Arial Narrow" w:hAnsi="Arial Narrow"/>
          <w:sz w:val="18"/>
          <w:szCs w:val="18"/>
        </w:rPr>
        <w:t>b</w:t>
      </w:r>
      <w:r w:rsidR="00A32032" w:rsidRPr="00AE4565">
        <w:rPr>
          <w:rFonts w:ascii="Arial Narrow" w:hAnsi="Arial Narrow"/>
          <w:sz w:val="18"/>
          <w:szCs w:val="18"/>
        </w:rPr>
        <w:t xml:space="preserve"> </w:t>
      </w:r>
      <w:r w:rsidR="00C6298A" w:rsidRPr="00AE4565">
        <w:rPr>
          <w:rFonts w:ascii="Arial Narrow" w:hAnsi="Arial Narrow"/>
          <w:sz w:val="18"/>
          <w:szCs w:val="18"/>
        </w:rPr>
        <w:t>NOSE score re</w:t>
      </w:r>
      <w:r w:rsidR="001D28BF" w:rsidRPr="00AE4565">
        <w:rPr>
          <w:rFonts w:ascii="Arial Narrow" w:hAnsi="Arial Narrow"/>
          <w:sz w:val="18"/>
          <w:szCs w:val="18"/>
        </w:rPr>
        <w:t>sponse</w:t>
      </w:r>
    </w:p>
    <w:p w14:paraId="7FD95481" w14:textId="5C7266F3" w:rsidR="00A32032" w:rsidRPr="00AE4565" w:rsidRDefault="00B16149" w:rsidP="009F5181">
      <w:pPr>
        <w:pStyle w:val="NoSpacing"/>
        <w:ind w:left="142" w:hanging="142"/>
        <w:rPr>
          <w:rFonts w:ascii="Arial Narrow" w:hAnsi="Arial Narrow"/>
          <w:sz w:val="18"/>
          <w:szCs w:val="18"/>
        </w:rPr>
      </w:pPr>
      <w:r w:rsidRPr="00AE4565">
        <w:rPr>
          <w:rFonts w:ascii="Arial Narrow" w:hAnsi="Arial Narrow"/>
          <w:sz w:val="18"/>
          <w:szCs w:val="18"/>
        </w:rPr>
        <w:t>c</w:t>
      </w:r>
      <w:r w:rsidR="00A32032" w:rsidRPr="00AE4565">
        <w:rPr>
          <w:rFonts w:ascii="Arial Narrow" w:hAnsi="Arial Narrow"/>
          <w:sz w:val="18"/>
          <w:szCs w:val="18"/>
        </w:rPr>
        <w:t xml:space="preserve"> </w:t>
      </w:r>
      <w:r w:rsidR="00C0788B" w:rsidRPr="00AE4565">
        <w:rPr>
          <w:rFonts w:ascii="Arial Narrow" w:hAnsi="Arial Narrow"/>
          <w:sz w:val="18"/>
          <w:szCs w:val="18"/>
        </w:rPr>
        <w:t xml:space="preserve">Per protocol </w:t>
      </w:r>
      <w:r w:rsidR="00ED1169" w:rsidRPr="00AE4565">
        <w:rPr>
          <w:rFonts w:ascii="Arial Narrow" w:hAnsi="Arial Narrow"/>
          <w:sz w:val="18"/>
          <w:szCs w:val="18"/>
        </w:rPr>
        <w:t xml:space="preserve">assessed at (1 month and) 3 months </w:t>
      </w:r>
    </w:p>
    <w:p w14:paraId="713C76FD" w14:textId="704074F7" w:rsidR="00B16149" w:rsidRPr="00AE4565" w:rsidRDefault="005A5EF2" w:rsidP="002458DA">
      <w:pPr>
        <w:pStyle w:val="NoSpacing"/>
        <w:ind w:left="142" w:hanging="142"/>
        <w:rPr>
          <w:rFonts w:ascii="Arial Narrow" w:hAnsi="Arial Narrow"/>
          <w:sz w:val="18"/>
          <w:szCs w:val="18"/>
        </w:rPr>
      </w:pPr>
      <w:r w:rsidRPr="00AE4565">
        <w:rPr>
          <w:rFonts w:ascii="Arial Narrow" w:hAnsi="Arial Narrow"/>
          <w:sz w:val="18"/>
          <w:szCs w:val="18"/>
        </w:rPr>
        <w:t>d LATERA-OR investigated LATERA with adjunct procedures (i.e. septoplasty and inferior turbinate reduction) and therefore not included in the naïve IC</w:t>
      </w:r>
    </w:p>
    <w:p w14:paraId="1250BBFD" w14:textId="1B824FCF" w:rsidR="00B16149" w:rsidRPr="00AE4565" w:rsidRDefault="00B16149" w:rsidP="00B16149">
      <w:pPr>
        <w:pStyle w:val="NoSpacing"/>
        <w:ind w:left="142" w:hanging="142"/>
        <w:rPr>
          <w:rFonts w:ascii="Arial Narrow" w:hAnsi="Arial Narrow"/>
          <w:sz w:val="18"/>
          <w:szCs w:val="18"/>
        </w:rPr>
      </w:pPr>
      <w:r w:rsidRPr="00AE4565">
        <w:rPr>
          <w:rFonts w:ascii="Arial Narrow" w:hAnsi="Arial Narrow"/>
          <w:sz w:val="18"/>
          <w:szCs w:val="18"/>
        </w:rPr>
        <w:t>*NOSE patients are categorised as follows: Mild (range, 5-25), Moderate (range, 30-50), Severe (range, 55-75), Extreme (range, 80-100)</w:t>
      </w:r>
    </w:p>
    <w:p w14:paraId="7B2DADC5" w14:textId="67FCAAD2" w:rsidR="00B16149" w:rsidRPr="00AE4565" w:rsidRDefault="00B16149" w:rsidP="00B16149">
      <w:pPr>
        <w:pStyle w:val="NoSpacing"/>
        <w:ind w:left="142" w:hanging="142"/>
        <w:rPr>
          <w:rFonts w:ascii="Arial Narrow" w:hAnsi="Arial Narrow"/>
          <w:sz w:val="18"/>
          <w:szCs w:val="18"/>
        </w:rPr>
      </w:pPr>
      <w:r w:rsidRPr="00AE4565">
        <w:rPr>
          <w:rFonts w:ascii="Arial Narrow" w:hAnsi="Arial Narrow"/>
          <w:sz w:val="18"/>
          <w:szCs w:val="18"/>
        </w:rPr>
        <w:t>nasal obstruction. [Response: % with at least 1 NOSE class improvement; or ≥20% reduction in NOSE score from baseline]</w:t>
      </w:r>
    </w:p>
    <w:p w14:paraId="1B500436" w14:textId="2EAFC07C" w:rsidR="00B16149" w:rsidRPr="00AE4565" w:rsidRDefault="00B16149" w:rsidP="00EC04C1">
      <w:pPr>
        <w:pStyle w:val="NoSpacing"/>
        <w:rPr>
          <w:rFonts w:ascii="Arial Narrow" w:hAnsi="Arial Narrow"/>
          <w:sz w:val="18"/>
          <w:szCs w:val="18"/>
        </w:rPr>
      </w:pPr>
      <w:r w:rsidRPr="00AE4565">
        <w:rPr>
          <w:rFonts w:ascii="Arial Narrow" w:hAnsi="Arial Narrow"/>
          <w:sz w:val="18"/>
          <w:szCs w:val="18"/>
        </w:rPr>
        <w:t xml:space="preserve"># LATERA-RCT intervention arm only was analysed in the meta-analysis. At 6 months the arm contained 65 patients, at 12 months 58 patients and at 24 months 43 patients  </w:t>
      </w:r>
    </w:p>
    <w:p w14:paraId="6B5D5907" w14:textId="6B541FDD" w:rsidR="00EB224F" w:rsidRPr="00AE4565" w:rsidRDefault="00F56C25" w:rsidP="00195FE6">
      <w:pPr>
        <w:pStyle w:val="NoSpacing"/>
        <w:ind w:left="142" w:hanging="142"/>
        <w:rPr>
          <w:rFonts w:ascii="Arial Narrow" w:hAnsi="Arial Narrow"/>
          <w:sz w:val="18"/>
          <w:szCs w:val="18"/>
        </w:rPr>
      </w:pPr>
      <w:r w:rsidRPr="00AE4565" w:rsidDel="008D3292">
        <w:rPr>
          <w:rFonts w:ascii="Arial Narrow" w:hAnsi="Arial Narrow"/>
          <w:sz w:val="18"/>
          <w:szCs w:val="18"/>
        </w:rPr>
        <w:t xml:space="preserve">Italics represent correction during </w:t>
      </w:r>
    </w:p>
    <w:p w14:paraId="27C2117D" w14:textId="000AFB8F" w:rsidR="009D3287" w:rsidRPr="00274AB0" w:rsidRDefault="004E3726" w:rsidP="003F7A2C">
      <w:pPr>
        <w:spacing w:before="240"/>
      </w:pPr>
      <w:r>
        <w:t xml:space="preserve">The </w:t>
      </w:r>
      <w:r w:rsidR="00B466F0">
        <w:t>c</w:t>
      </w:r>
      <w:r>
        <w:t xml:space="preserve">ommentary agreed with the </w:t>
      </w:r>
      <w:r w:rsidR="00412380">
        <w:t>ADAR</w:t>
      </w:r>
      <w:r>
        <w:t xml:space="preserve"> that the </w:t>
      </w:r>
      <w:r w:rsidRPr="00274AB0">
        <w:t xml:space="preserve">LATERA-RCT </w:t>
      </w:r>
      <w:r>
        <w:t>had</w:t>
      </w:r>
      <w:r w:rsidRPr="00274AB0">
        <w:t xml:space="preserve"> </w:t>
      </w:r>
      <w:r w:rsidR="00FB107D">
        <w:t xml:space="preserve">a </w:t>
      </w:r>
      <w:r w:rsidRPr="00274AB0">
        <w:t>moderate risk of bias</w:t>
      </w:r>
      <w:r>
        <w:t xml:space="preserve">, noting the </w:t>
      </w:r>
      <w:r w:rsidRPr="00274AB0">
        <w:t xml:space="preserve">LATERA-RCT outcomes were analysed on a </w:t>
      </w:r>
      <w:r>
        <w:t>per protocol</w:t>
      </w:r>
      <w:r w:rsidRPr="00274AB0">
        <w:t xml:space="preserve"> basis, not </w:t>
      </w:r>
      <w:r>
        <w:t>intention-to-treat</w:t>
      </w:r>
      <w:r w:rsidRPr="00274AB0">
        <w:t xml:space="preserve">. </w:t>
      </w:r>
      <w:r w:rsidR="00C95DC6">
        <w:t xml:space="preserve">The </w:t>
      </w:r>
      <w:r w:rsidR="00B466F0">
        <w:t>c</w:t>
      </w:r>
      <w:r w:rsidR="001857C6">
        <w:t xml:space="preserve">ommentary noted that the </w:t>
      </w:r>
      <w:r w:rsidR="00C95DC6">
        <w:t>additio</w:t>
      </w:r>
      <w:r w:rsidR="00C26B5F">
        <w:t>na</w:t>
      </w:r>
      <w:r w:rsidR="00C95DC6">
        <w:t>l</w:t>
      </w:r>
      <w:r w:rsidR="00C95DC6" w:rsidRPr="00274AB0">
        <w:t xml:space="preserve"> </w:t>
      </w:r>
      <w:r w:rsidR="009D3287" w:rsidRPr="00274AB0">
        <w:t xml:space="preserve">LATERA </w:t>
      </w:r>
      <w:r w:rsidR="001857C6">
        <w:t>studies</w:t>
      </w:r>
      <w:r w:rsidR="000B689B" w:rsidRPr="00274AB0">
        <w:t xml:space="preserve"> </w:t>
      </w:r>
      <w:r w:rsidR="009D2EB8" w:rsidRPr="00274AB0">
        <w:t xml:space="preserve">(LATERA-OFFICE, LATERA-OR, Trial 4350-001 and Saadat 2018) </w:t>
      </w:r>
      <w:r w:rsidR="000B689B" w:rsidRPr="00274AB0">
        <w:t xml:space="preserve">were open label </w:t>
      </w:r>
      <w:r w:rsidR="000958DB">
        <w:t>(unblinded)</w:t>
      </w:r>
      <w:r w:rsidR="00FC53E7">
        <w:t xml:space="preserve"> studies that are</w:t>
      </w:r>
      <w:r w:rsidR="00841CA9">
        <w:t xml:space="preserve"> prone to selection bias and confounding</w:t>
      </w:r>
      <w:r w:rsidR="000958DB">
        <w:t xml:space="preserve"> </w:t>
      </w:r>
      <w:r w:rsidR="007842D3">
        <w:t xml:space="preserve">(when LATERA performed </w:t>
      </w:r>
      <w:r w:rsidR="00BF0A53">
        <w:t xml:space="preserve">with adjunct procedures) </w:t>
      </w:r>
      <w:r w:rsidR="000B689B" w:rsidRPr="00274AB0">
        <w:t xml:space="preserve">and </w:t>
      </w:r>
      <w:r w:rsidR="00186028" w:rsidRPr="00274AB0">
        <w:t>all</w:t>
      </w:r>
      <w:r w:rsidR="000B689B" w:rsidRPr="00274AB0">
        <w:t xml:space="preserve"> </w:t>
      </w:r>
      <w:r w:rsidR="00186028" w:rsidRPr="00274AB0">
        <w:t xml:space="preserve">of the </w:t>
      </w:r>
      <w:r w:rsidR="00EE23CB" w:rsidRPr="00274AB0">
        <w:t>eff</w:t>
      </w:r>
      <w:r w:rsidR="00C26B5F">
        <w:t>ectiveness</w:t>
      </w:r>
      <w:r w:rsidR="00EE23CB" w:rsidRPr="00274AB0">
        <w:t xml:space="preserve"> </w:t>
      </w:r>
      <w:r w:rsidR="000B689B" w:rsidRPr="00274AB0">
        <w:t xml:space="preserve">outcomes were </w:t>
      </w:r>
      <w:r w:rsidR="00186028" w:rsidRPr="00274AB0">
        <w:t>subjective</w:t>
      </w:r>
      <w:r w:rsidR="008D7121" w:rsidRPr="00274AB0">
        <w:t xml:space="preserve">. </w:t>
      </w:r>
      <w:r w:rsidR="002A1AB2">
        <w:t>Therefore, t</w:t>
      </w:r>
      <w:r w:rsidR="008E6E20">
        <w:t xml:space="preserve">he </w:t>
      </w:r>
      <w:r w:rsidR="00B466F0">
        <w:t>c</w:t>
      </w:r>
      <w:r w:rsidR="008E6E20">
        <w:t xml:space="preserve">ommentary considered </w:t>
      </w:r>
      <w:r w:rsidR="000B689B" w:rsidRPr="00274AB0">
        <w:t xml:space="preserve">the risk of bias was </w:t>
      </w:r>
      <w:r w:rsidR="0083320C">
        <w:t>moderate</w:t>
      </w:r>
      <w:r w:rsidR="006C4B36" w:rsidRPr="00274AB0">
        <w:t xml:space="preserve"> </w:t>
      </w:r>
      <w:r w:rsidR="00BF0A53">
        <w:t xml:space="preserve">to high </w:t>
      </w:r>
      <w:r w:rsidR="006C4B36" w:rsidRPr="00274AB0">
        <w:t>n</w:t>
      </w:r>
      <w:r w:rsidR="00DF7F2D" w:rsidRPr="00274AB0">
        <w:t xml:space="preserve">ot </w:t>
      </w:r>
      <w:r w:rsidR="0083320C">
        <w:t xml:space="preserve">low </w:t>
      </w:r>
      <w:r w:rsidR="00BF0A53">
        <w:t>to moderate for these studies</w:t>
      </w:r>
      <w:r w:rsidR="000B689B" w:rsidRPr="00274AB0">
        <w:t>.</w:t>
      </w:r>
      <w:r w:rsidR="00A167B6">
        <w:t xml:space="preserve"> The </w:t>
      </w:r>
      <w:r w:rsidR="00B466F0">
        <w:t>c</w:t>
      </w:r>
      <w:r w:rsidR="00A167B6">
        <w:t xml:space="preserve">ommentary agreed </w:t>
      </w:r>
      <w:r w:rsidR="00453E4D">
        <w:t xml:space="preserve">with the ADAR that </w:t>
      </w:r>
      <w:r w:rsidR="00A167B6">
        <w:t>a</w:t>
      </w:r>
      <w:r w:rsidR="007A5789" w:rsidRPr="00274AB0">
        <w:t xml:space="preserve">ll single arm studies of functional rhinoplasty were </w:t>
      </w:r>
      <w:r w:rsidR="00F318D9">
        <w:t>at a</w:t>
      </w:r>
      <w:r w:rsidR="007A5789" w:rsidRPr="00274AB0">
        <w:t xml:space="preserve"> moderate risk of bias</w:t>
      </w:r>
      <w:r w:rsidR="00DA5227">
        <w:t>, except Rao 2016</w:t>
      </w:r>
      <w:r w:rsidR="00F318D9">
        <w:t xml:space="preserve"> </w:t>
      </w:r>
      <w:r w:rsidR="00F318D9">
        <w:lastRenderedPageBreak/>
        <w:t>(high risk)</w:t>
      </w:r>
      <w:r w:rsidR="00453E4D">
        <w:t xml:space="preserve">, </w:t>
      </w:r>
      <w:r w:rsidR="006C30B2" w:rsidRPr="00274AB0">
        <w:t>with potential for selection bias and confounding</w:t>
      </w:r>
      <w:r w:rsidR="00363525" w:rsidRPr="00274AB0">
        <w:t xml:space="preserve"> issues that are prevalent in single arm studies</w:t>
      </w:r>
      <w:r w:rsidR="00026C14" w:rsidRPr="00274AB0">
        <w:t xml:space="preserve"> due to lack of randomisation. </w:t>
      </w:r>
    </w:p>
    <w:p w14:paraId="0A73517C" w14:textId="791AC992" w:rsidR="004E0CD6" w:rsidRPr="00E15708" w:rsidRDefault="004E0CD6" w:rsidP="00AE4565">
      <w:r w:rsidRPr="00E15708">
        <w:t xml:space="preserve">Areas of uncertainty </w:t>
      </w:r>
      <w:r>
        <w:t>in</w:t>
      </w:r>
      <w:r w:rsidR="004304ED">
        <w:t xml:space="preserve"> the evidence for</w:t>
      </w:r>
      <w:r>
        <w:t xml:space="preserve"> both LATERA vs functional rhinoplasty and conservative management </w:t>
      </w:r>
      <w:r w:rsidRPr="00E15708">
        <w:t xml:space="preserve">are: </w:t>
      </w:r>
    </w:p>
    <w:p w14:paraId="0509AB69" w14:textId="77777777" w:rsidR="004E0CD6" w:rsidRPr="00E15708" w:rsidRDefault="004E0CD6" w:rsidP="00AE4565">
      <w:pPr>
        <w:pStyle w:val="ListParagraph"/>
        <w:numPr>
          <w:ilvl w:val="0"/>
          <w:numId w:val="21"/>
        </w:numPr>
      </w:pPr>
      <w:r w:rsidRPr="00E15708">
        <w:t xml:space="preserve">The patients enrolled in the trials were narrower than those for whom listing is sought. </w:t>
      </w:r>
    </w:p>
    <w:p w14:paraId="5F0198CF" w14:textId="74A1E56E" w:rsidR="004E0CD6" w:rsidRPr="00E15708" w:rsidRDefault="004E0CD6" w:rsidP="00AE4565">
      <w:pPr>
        <w:pStyle w:val="ListParagraph"/>
        <w:numPr>
          <w:ilvl w:val="0"/>
          <w:numId w:val="21"/>
        </w:numPr>
      </w:pPr>
      <w:r w:rsidRPr="00E15708">
        <w:t>The LATERA</w:t>
      </w:r>
      <w:r w:rsidR="00D0458F">
        <w:t>-</w:t>
      </w:r>
      <w:r w:rsidRPr="00E15708">
        <w:t xml:space="preserve">RCT mean NOSE score at baseline is 77. The study eligibility criteria is NOSE ≥55 (NOSE score severe: range 55-75) although the requested MBS item descriptor NOSE </w:t>
      </w:r>
      <w:r>
        <w:t>&gt;</w:t>
      </w:r>
      <w:r w:rsidRPr="00E15708">
        <w:t xml:space="preserve">45 </w:t>
      </w:r>
      <w:r>
        <w:t xml:space="preserve">which </w:t>
      </w:r>
      <w:r w:rsidRPr="00E15708">
        <w:t>is lower than the study inclusion criteria</w:t>
      </w:r>
      <w:r>
        <w:t xml:space="preserve"> (s</w:t>
      </w:r>
      <w:r w:rsidRPr="00E15708">
        <w:t xml:space="preserve">ee </w:t>
      </w:r>
      <w:r w:rsidR="00083BE6">
        <w:rPr>
          <w:color w:val="2B579A"/>
          <w:shd w:val="clear" w:color="auto" w:fill="E6E6E6"/>
        </w:rPr>
        <w:fldChar w:fldCharType="begin"/>
      </w:r>
      <w:r w:rsidR="00083BE6">
        <w:rPr>
          <w:color w:val="2B579A"/>
          <w:shd w:val="clear" w:color="auto" w:fill="E6E6E6"/>
        </w:rPr>
        <w:instrText xml:space="preserve"> REF _Ref123826595 \h </w:instrText>
      </w:r>
      <w:r w:rsidR="00FB0E96">
        <w:rPr>
          <w:color w:val="2B579A"/>
          <w:shd w:val="clear" w:color="auto" w:fill="E6E6E6"/>
        </w:rPr>
        <w:instrText xml:space="preserve"> \* MERGEFORMAT </w:instrText>
      </w:r>
      <w:r w:rsidR="00083BE6">
        <w:rPr>
          <w:color w:val="2B579A"/>
          <w:shd w:val="clear" w:color="auto" w:fill="E6E6E6"/>
        </w:rPr>
      </w:r>
      <w:r w:rsidR="00083BE6">
        <w:rPr>
          <w:color w:val="2B579A"/>
          <w:shd w:val="clear" w:color="auto" w:fill="E6E6E6"/>
        </w:rPr>
        <w:fldChar w:fldCharType="separate"/>
      </w:r>
      <w:r w:rsidR="003511D3">
        <w:t xml:space="preserve">Table </w:t>
      </w:r>
      <w:r w:rsidR="003511D3">
        <w:rPr>
          <w:noProof/>
        </w:rPr>
        <w:t>7</w:t>
      </w:r>
      <w:r w:rsidR="00083BE6">
        <w:rPr>
          <w:color w:val="2B579A"/>
          <w:shd w:val="clear" w:color="auto" w:fill="E6E6E6"/>
        </w:rPr>
        <w:fldChar w:fldCharType="end"/>
      </w:r>
      <w:r>
        <w:t>)</w:t>
      </w:r>
      <w:r w:rsidRPr="00E15708">
        <w:t>.</w:t>
      </w:r>
      <w:r>
        <w:t xml:space="preserve">  </w:t>
      </w:r>
    </w:p>
    <w:p w14:paraId="5B5029D8" w14:textId="6FC8C26B" w:rsidR="004E0CD6" w:rsidRPr="00E15708" w:rsidRDefault="004E0CD6">
      <w:pPr>
        <w:pStyle w:val="ListParagraph"/>
        <w:numPr>
          <w:ilvl w:val="0"/>
          <w:numId w:val="21"/>
        </w:numPr>
      </w:pPr>
      <w:r w:rsidRPr="00E15708">
        <w:t>The</w:t>
      </w:r>
      <w:r>
        <w:t xml:space="preserve">re is </w:t>
      </w:r>
      <w:r w:rsidRPr="00230875">
        <w:t>no evidence for LATERA for patients with a NOSE score of 45-55</w:t>
      </w:r>
      <w:r>
        <w:t xml:space="preserve"> </w:t>
      </w:r>
      <w:r w:rsidRPr="00E15708">
        <w:t>nasal obstruction, consistent with the proposed MBS item descriptor (see</w:t>
      </w:r>
      <w:r w:rsidR="00083BE6">
        <w:rPr>
          <w:color w:val="2B579A"/>
          <w:shd w:val="clear" w:color="auto" w:fill="E6E6E6"/>
        </w:rPr>
        <w:t xml:space="preserve"> </w:t>
      </w:r>
      <w:r w:rsidR="00083BE6">
        <w:rPr>
          <w:color w:val="2B579A"/>
          <w:shd w:val="clear" w:color="auto" w:fill="E6E6E6"/>
        </w:rPr>
        <w:fldChar w:fldCharType="begin"/>
      </w:r>
      <w:r w:rsidR="00083BE6">
        <w:rPr>
          <w:color w:val="2B579A"/>
          <w:shd w:val="clear" w:color="auto" w:fill="E6E6E6"/>
        </w:rPr>
        <w:instrText xml:space="preserve"> REF _Ref123826595 \h </w:instrText>
      </w:r>
      <w:r w:rsidR="00083BE6">
        <w:rPr>
          <w:color w:val="2B579A"/>
          <w:shd w:val="clear" w:color="auto" w:fill="E6E6E6"/>
        </w:rPr>
      </w:r>
      <w:r w:rsidR="00083BE6">
        <w:rPr>
          <w:color w:val="2B579A"/>
          <w:shd w:val="clear" w:color="auto" w:fill="E6E6E6"/>
        </w:rPr>
        <w:fldChar w:fldCharType="separate"/>
      </w:r>
      <w:r w:rsidR="003511D3">
        <w:t xml:space="preserve">Table </w:t>
      </w:r>
      <w:r w:rsidR="003511D3">
        <w:rPr>
          <w:noProof/>
        </w:rPr>
        <w:t>7</w:t>
      </w:r>
      <w:r w:rsidR="00083BE6">
        <w:rPr>
          <w:color w:val="2B579A"/>
          <w:shd w:val="clear" w:color="auto" w:fill="E6E6E6"/>
        </w:rPr>
        <w:fldChar w:fldCharType="end"/>
      </w:r>
      <w:r w:rsidRPr="00E15708">
        <w:t>).</w:t>
      </w:r>
    </w:p>
    <w:p w14:paraId="784B4FD7" w14:textId="756A0897" w:rsidR="00D0458F" w:rsidRPr="00E15708" w:rsidRDefault="00D0458F" w:rsidP="00AE4565">
      <w:pPr>
        <w:pStyle w:val="ListParagraph"/>
        <w:numPr>
          <w:ilvl w:val="0"/>
          <w:numId w:val="21"/>
        </w:numPr>
      </w:pPr>
      <w:r w:rsidRPr="00270AD0">
        <w:t>The inclusion of high severity patients in the LATERA studies would likely have impacted the eff</w:t>
      </w:r>
      <w:r>
        <w:t>ectiveness</w:t>
      </w:r>
      <w:r w:rsidRPr="00270AD0">
        <w:t xml:space="preserve"> results as patients with more extreme severity generally have a larger treatment effect.</w:t>
      </w:r>
    </w:p>
    <w:p w14:paraId="2D622BD8" w14:textId="4339330D" w:rsidR="004E0CD6" w:rsidRPr="00E15708" w:rsidRDefault="00083BE6" w:rsidP="00A75B5D">
      <w:pPr>
        <w:pStyle w:val="Caption"/>
      </w:pPr>
      <w:bookmarkStart w:id="22" w:name="_Ref123826595"/>
      <w:bookmarkStart w:id="23" w:name="_Ref123825182"/>
      <w:r>
        <w:t xml:space="preserve">Table </w:t>
      </w:r>
      <w:r>
        <w:fldChar w:fldCharType="begin"/>
      </w:r>
      <w:r>
        <w:instrText>SEQ Table \* ARABIC</w:instrText>
      </w:r>
      <w:r>
        <w:fldChar w:fldCharType="separate"/>
      </w:r>
      <w:r w:rsidR="003511D3">
        <w:rPr>
          <w:noProof/>
        </w:rPr>
        <w:t>7</w:t>
      </w:r>
      <w:r>
        <w:fldChar w:fldCharType="end"/>
      </w:r>
      <w:bookmarkEnd w:id="22"/>
      <w:bookmarkEnd w:id="23"/>
      <w:r w:rsidR="004E0CD6" w:rsidRPr="00E15708">
        <w:tab/>
        <w:t>NOSE score of proposed MBS item, study eligibility and MSAC 1719 ADAR evidence</w:t>
      </w:r>
    </w:p>
    <w:tbl>
      <w:tblPr>
        <w:tblStyle w:val="TableGrid"/>
        <w:tblW w:w="0" w:type="auto"/>
        <w:tblLook w:val="04A0" w:firstRow="1" w:lastRow="0" w:firstColumn="1" w:lastColumn="0" w:noHBand="0" w:noVBand="1"/>
      </w:tblPr>
      <w:tblGrid>
        <w:gridCol w:w="1271"/>
        <w:gridCol w:w="2192"/>
        <w:gridCol w:w="1851"/>
        <w:gridCol w:w="1851"/>
        <w:gridCol w:w="1851"/>
      </w:tblGrid>
      <w:tr w:rsidR="008E716C" w:rsidRPr="000C5E06" w14:paraId="2EA0ED87" w14:textId="77777777" w:rsidTr="00AE4565">
        <w:trPr>
          <w:trHeight w:val="1069"/>
        </w:trPr>
        <w:tc>
          <w:tcPr>
            <w:tcW w:w="1271" w:type="dxa"/>
            <w:shd w:val="clear" w:color="auto" w:fill="auto"/>
          </w:tcPr>
          <w:p w14:paraId="2A38D849" w14:textId="77777777" w:rsidR="004E0CD6" w:rsidRPr="00E15708" w:rsidRDefault="004E0CD6" w:rsidP="00744F46">
            <w:pPr>
              <w:pStyle w:val="Instructionaltext"/>
              <w:rPr>
                <w:rFonts w:ascii="Arial Narrow" w:hAnsi="Arial Narrow"/>
                <w:b/>
                <w:bCs/>
                <w:color w:val="auto"/>
                <w:sz w:val="20"/>
                <w:szCs w:val="20"/>
              </w:rPr>
            </w:pPr>
            <w:r>
              <w:rPr>
                <w:rFonts w:ascii="Arial Narrow" w:hAnsi="Arial Narrow"/>
                <w:b/>
                <w:bCs/>
                <w:color w:val="auto"/>
                <w:sz w:val="20"/>
                <w:szCs w:val="20"/>
              </w:rPr>
              <w:t xml:space="preserve">Outcome </w:t>
            </w:r>
          </w:p>
        </w:tc>
        <w:tc>
          <w:tcPr>
            <w:tcW w:w="2192" w:type="dxa"/>
            <w:shd w:val="clear" w:color="auto" w:fill="auto"/>
          </w:tcPr>
          <w:p w14:paraId="61CE21B0" w14:textId="77777777" w:rsidR="004E0CD6" w:rsidRPr="00E15708" w:rsidRDefault="004E0CD6" w:rsidP="00744F46">
            <w:pPr>
              <w:pStyle w:val="Instructionaltext"/>
              <w:rPr>
                <w:rFonts w:ascii="Arial Narrow" w:hAnsi="Arial Narrow"/>
                <w:b/>
                <w:bCs/>
                <w:color w:val="auto"/>
                <w:sz w:val="20"/>
                <w:szCs w:val="20"/>
              </w:rPr>
            </w:pPr>
            <w:r w:rsidRPr="00E15708">
              <w:rPr>
                <w:rFonts w:ascii="Arial Narrow" w:hAnsi="Arial Narrow"/>
                <w:b/>
                <w:bCs/>
                <w:color w:val="auto"/>
                <w:sz w:val="20"/>
                <w:szCs w:val="20"/>
              </w:rPr>
              <w:t>ADAR Proposed MBS item descriptor based on MBS item descriptor 45631;45641;45644</w:t>
            </w:r>
          </w:p>
        </w:tc>
        <w:tc>
          <w:tcPr>
            <w:tcW w:w="1851" w:type="dxa"/>
            <w:shd w:val="clear" w:color="auto" w:fill="auto"/>
          </w:tcPr>
          <w:p w14:paraId="3BEF4D7B" w14:textId="77777777" w:rsidR="004E0CD6" w:rsidRPr="00E15708" w:rsidRDefault="004E0CD6" w:rsidP="00744F46">
            <w:pPr>
              <w:pStyle w:val="Instructionaltext"/>
              <w:rPr>
                <w:rFonts w:ascii="Arial Narrow" w:hAnsi="Arial Narrow"/>
                <w:b/>
                <w:bCs/>
                <w:color w:val="auto"/>
                <w:sz w:val="20"/>
                <w:szCs w:val="20"/>
              </w:rPr>
            </w:pPr>
            <w:r w:rsidRPr="00E15708">
              <w:rPr>
                <w:rFonts w:ascii="Arial Narrow" w:hAnsi="Arial Narrow"/>
                <w:b/>
                <w:bCs/>
                <w:color w:val="auto"/>
                <w:sz w:val="20"/>
                <w:szCs w:val="20"/>
              </w:rPr>
              <w:t xml:space="preserve">LATERA-RCT NCT03400787 study eligibility  </w:t>
            </w:r>
          </w:p>
        </w:tc>
        <w:tc>
          <w:tcPr>
            <w:tcW w:w="1851" w:type="dxa"/>
            <w:shd w:val="clear" w:color="auto" w:fill="auto"/>
          </w:tcPr>
          <w:p w14:paraId="667C3AC7" w14:textId="77777777" w:rsidR="004E0CD6" w:rsidRPr="00E15708" w:rsidRDefault="004E0CD6" w:rsidP="00744F46">
            <w:pPr>
              <w:pStyle w:val="Instructionaltext"/>
              <w:rPr>
                <w:rFonts w:ascii="Arial Narrow" w:hAnsi="Arial Narrow"/>
                <w:b/>
                <w:bCs/>
                <w:color w:val="auto"/>
                <w:sz w:val="20"/>
                <w:szCs w:val="20"/>
              </w:rPr>
            </w:pPr>
            <w:r w:rsidRPr="00E15708">
              <w:rPr>
                <w:rFonts w:ascii="Arial Narrow" w:hAnsi="Arial Narrow"/>
                <w:b/>
                <w:bCs/>
                <w:color w:val="auto"/>
                <w:sz w:val="20"/>
                <w:szCs w:val="20"/>
              </w:rPr>
              <w:t>LATERA-RCT NCT03400787 Baseline NOSE score, mean (SD)</w:t>
            </w:r>
            <w:r>
              <w:rPr>
                <w:rFonts w:ascii="Arial Narrow" w:hAnsi="Arial Narrow"/>
                <w:b/>
                <w:bCs/>
                <w:color w:val="auto"/>
                <w:sz w:val="20"/>
                <w:szCs w:val="20"/>
              </w:rPr>
              <w:t xml:space="preserve">; (Range) </w:t>
            </w:r>
          </w:p>
        </w:tc>
        <w:tc>
          <w:tcPr>
            <w:tcW w:w="1851" w:type="dxa"/>
            <w:shd w:val="clear" w:color="auto" w:fill="auto"/>
          </w:tcPr>
          <w:p w14:paraId="46E7CEFE" w14:textId="77777777" w:rsidR="004E0CD6" w:rsidRPr="00E15708" w:rsidRDefault="004E0CD6" w:rsidP="00744F46">
            <w:pPr>
              <w:pStyle w:val="Instructionaltext"/>
              <w:rPr>
                <w:rFonts w:ascii="Arial Narrow" w:hAnsi="Arial Narrow"/>
                <w:b/>
                <w:bCs/>
                <w:color w:val="auto"/>
                <w:sz w:val="20"/>
                <w:szCs w:val="20"/>
              </w:rPr>
            </w:pPr>
            <w:r w:rsidRPr="00E15708">
              <w:rPr>
                <w:rFonts w:ascii="Arial Narrow" w:hAnsi="Arial Narrow"/>
                <w:b/>
                <w:bCs/>
                <w:color w:val="auto"/>
                <w:sz w:val="20"/>
                <w:szCs w:val="20"/>
              </w:rPr>
              <w:t>LATERA-RCT NCT03400787</w:t>
            </w:r>
          </w:p>
          <w:p w14:paraId="45FCB2ED" w14:textId="77777777" w:rsidR="004E0CD6" w:rsidRPr="00E15708" w:rsidRDefault="004E0CD6" w:rsidP="00744F46">
            <w:pPr>
              <w:pStyle w:val="Instructionaltext"/>
              <w:rPr>
                <w:rFonts w:ascii="Arial Narrow" w:hAnsi="Arial Narrow"/>
                <w:b/>
                <w:bCs/>
                <w:color w:val="auto"/>
                <w:sz w:val="20"/>
                <w:szCs w:val="20"/>
              </w:rPr>
            </w:pPr>
            <w:r w:rsidRPr="00E15708">
              <w:rPr>
                <w:rFonts w:ascii="Arial Narrow" w:hAnsi="Arial Narrow"/>
                <w:b/>
                <w:bCs/>
                <w:color w:val="auto"/>
                <w:sz w:val="20"/>
                <w:szCs w:val="20"/>
              </w:rPr>
              <w:t xml:space="preserve">Mean (95% CI) </w:t>
            </w:r>
          </w:p>
        </w:tc>
      </w:tr>
      <w:tr w:rsidR="008E716C" w:rsidRPr="000C5E06" w14:paraId="441DA646" w14:textId="77777777" w:rsidTr="00744F46">
        <w:trPr>
          <w:trHeight w:val="319"/>
        </w:trPr>
        <w:tc>
          <w:tcPr>
            <w:tcW w:w="1271" w:type="dxa"/>
          </w:tcPr>
          <w:p w14:paraId="7956FFE2" w14:textId="77777777" w:rsidR="004E0CD6" w:rsidRPr="001D55E0" w:rsidRDefault="004E0CD6" w:rsidP="00744F46">
            <w:pPr>
              <w:pStyle w:val="Instructionaltext"/>
              <w:rPr>
                <w:rFonts w:ascii="Arial Narrow" w:hAnsi="Arial Narrow"/>
                <w:color w:val="auto"/>
                <w:sz w:val="20"/>
                <w:szCs w:val="20"/>
              </w:rPr>
            </w:pPr>
            <w:r w:rsidRPr="00E15708">
              <w:rPr>
                <w:rFonts w:ascii="Arial Narrow" w:hAnsi="Arial Narrow"/>
                <w:b/>
                <w:bCs/>
                <w:color w:val="auto"/>
                <w:sz w:val="20"/>
                <w:szCs w:val="20"/>
              </w:rPr>
              <w:t>NOSE Score</w:t>
            </w:r>
          </w:p>
        </w:tc>
        <w:tc>
          <w:tcPr>
            <w:tcW w:w="2192" w:type="dxa"/>
          </w:tcPr>
          <w:p w14:paraId="19A3807B" w14:textId="77777777" w:rsidR="004E0CD6" w:rsidRPr="000E6880" w:rsidRDefault="004E0CD6" w:rsidP="00744F46">
            <w:pPr>
              <w:pStyle w:val="Instructionaltext"/>
              <w:rPr>
                <w:rFonts w:ascii="Arial Narrow" w:hAnsi="Arial Narrow"/>
                <w:color w:val="auto"/>
                <w:sz w:val="20"/>
                <w:szCs w:val="20"/>
              </w:rPr>
            </w:pPr>
            <w:r>
              <w:rPr>
                <w:rFonts w:ascii="Arial Narrow" w:hAnsi="Arial Narrow"/>
                <w:color w:val="auto"/>
                <w:sz w:val="20"/>
                <w:szCs w:val="20"/>
              </w:rPr>
              <w:t>&gt;</w:t>
            </w:r>
            <w:r w:rsidRPr="000E6880">
              <w:rPr>
                <w:rFonts w:ascii="Arial Narrow" w:hAnsi="Arial Narrow"/>
                <w:color w:val="auto"/>
                <w:sz w:val="20"/>
                <w:szCs w:val="20"/>
              </w:rPr>
              <w:t>45</w:t>
            </w:r>
          </w:p>
        </w:tc>
        <w:tc>
          <w:tcPr>
            <w:tcW w:w="1851" w:type="dxa"/>
          </w:tcPr>
          <w:p w14:paraId="3084C06E" w14:textId="77777777" w:rsidR="004E0CD6" w:rsidRPr="000E6880" w:rsidRDefault="004E0CD6" w:rsidP="00744F46">
            <w:pPr>
              <w:pStyle w:val="Instructionaltext"/>
              <w:rPr>
                <w:rFonts w:ascii="Arial Narrow" w:hAnsi="Arial Narrow"/>
                <w:color w:val="auto"/>
                <w:sz w:val="20"/>
                <w:szCs w:val="20"/>
              </w:rPr>
            </w:pPr>
            <w:r w:rsidRPr="000E6880">
              <w:rPr>
                <w:rFonts w:ascii="Arial Narrow" w:hAnsi="Arial Narrow"/>
                <w:color w:val="auto"/>
                <w:sz w:val="20"/>
                <w:szCs w:val="20"/>
              </w:rPr>
              <w:t>≥55</w:t>
            </w:r>
          </w:p>
        </w:tc>
        <w:tc>
          <w:tcPr>
            <w:tcW w:w="1851" w:type="dxa"/>
          </w:tcPr>
          <w:p w14:paraId="6FD71C51" w14:textId="77777777" w:rsidR="004E0CD6" w:rsidRDefault="004E0CD6" w:rsidP="00744F46">
            <w:pPr>
              <w:pStyle w:val="Instructionaltext"/>
              <w:rPr>
                <w:rFonts w:ascii="Arial Narrow" w:hAnsi="Arial Narrow"/>
                <w:color w:val="auto"/>
                <w:sz w:val="20"/>
                <w:szCs w:val="20"/>
              </w:rPr>
            </w:pPr>
            <w:r w:rsidRPr="000E6880">
              <w:rPr>
                <w:rFonts w:ascii="Arial Narrow" w:hAnsi="Arial Narrow"/>
                <w:color w:val="auto"/>
                <w:sz w:val="20"/>
                <w:szCs w:val="20"/>
              </w:rPr>
              <w:t>77.4 (13.4)</w:t>
            </w:r>
            <w:r>
              <w:rPr>
                <w:rFonts w:ascii="Arial Narrow" w:hAnsi="Arial Narrow"/>
                <w:color w:val="auto"/>
                <w:sz w:val="20"/>
                <w:szCs w:val="20"/>
              </w:rPr>
              <w:t xml:space="preserve"> </w:t>
            </w:r>
          </w:p>
          <w:p w14:paraId="2A663FE5" w14:textId="77777777" w:rsidR="004E0CD6" w:rsidRPr="000E6880" w:rsidRDefault="004E0CD6" w:rsidP="00744F46">
            <w:pPr>
              <w:pStyle w:val="Instructionaltext"/>
              <w:rPr>
                <w:rFonts w:ascii="Arial Narrow" w:hAnsi="Arial Narrow"/>
                <w:color w:val="auto"/>
                <w:sz w:val="20"/>
                <w:szCs w:val="20"/>
              </w:rPr>
            </w:pPr>
            <w:r>
              <w:rPr>
                <w:rFonts w:ascii="Arial Narrow" w:hAnsi="Arial Narrow"/>
                <w:color w:val="auto"/>
                <w:sz w:val="20"/>
                <w:szCs w:val="20"/>
              </w:rPr>
              <w:t xml:space="preserve">(Range: 55-100) </w:t>
            </w:r>
            <w:r w:rsidRPr="00032765">
              <w:rPr>
                <w:rFonts w:ascii="Arial Narrow" w:hAnsi="Arial Narrow"/>
                <w:color w:val="auto"/>
                <w:sz w:val="20"/>
                <w:szCs w:val="20"/>
                <w:vertAlign w:val="superscript"/>
              </w:rPr>
              <w:t>a</w:t>
            </w:r>
            <w:r>
              <w:rPr>
                <w:rFonts w:ascii="Arial Narrow" w:hAnsi="Arial Narrow"/>
                <w:color w:val="auto"/>
                <w:sz w:val="20"/>
                <w:szCs w:val="20"/>
              </w:rPr>
              <w:t xml:space="preserve"> </w:t>
            </w:r>
          </w:p>
        </w:tc>
        <w:tc>
          <w:tcPr>
            <w:tcW w:w="1851" w:type="dxa"/>
          </w:tcPr>
          <w:p w14:paraId="2FAE0065" w14:textId="77777777" w:rsidR="004E0CD6" w:rsidRPr="000E6880" w:rsidRDefault="004E0CD6" w:rsidP="00744F46">
            <w:pPr>
              <w:pStyle w:val="Instructionaltext"/>
              <w:rPr>
                <w:rFonts w:ascii="Arial Narrow" w:hAnsi="Arial Narrow"/>
                <w:color w:val="auto"/>
                <w:sz w:val="20"/>
                <w:szCs w:val="20"/>
              </w:rPr>
            </w:pPr>
            <w:r w:rsidRPr="000E6880">
              <w:rPr>
                <w:rFonts w:ascii="Arial Narrow" w:hAnsi="Arial Narrow"/>
                <w:color w:val="auto"/>
                <w:sz w:val="20"/>
                <w:szCs w:val="20"/>
              </w:rPr>
              <w:t>77.4 (</w:t>
            </w:r>
            <w:r w:rsidRPr="00BB1E80">
              <w:rPr>
                <w:rFonts w:ascii="Arial Narrow" w:hAnsi="Arial Narrow"/>
                <w:color w:val="auto"/>
                <w:sz w:val="20"/>
                <w:szCs w:val="20"/>
              </w:rPr>
              <w:t>75.14, 79.66</w:t>
            </w:r>
            <w:r w:rsidRPr="000E6880">
              <w:rPr>
                <w:rFonts w:ascii="Arial Narrow" w:hAnsi="Arial Narrow"/>
                <w:color w:val="auto"/>
                <w:sz w:val="20"/>
                <w:szCs w:val="20"/>
              </w:rPr>
              <w:t>)</w:t>
            </w:r>
            <w:r>
              <w:rPr>
                <w:rFonts w:ascii="Arial Narrow" w:hAnsi="Arial Narrow"/>
                <w:color w:val="auto"/>
                <w:sz w:val="20"/>
                <w:szCs w:val="20"/>
              </w:rPr>
              <w:t xml:space="preserve"> </w:t>
            </w:r>
            <w:r w:rsidRPr="00032765">
              <w:rPr>
                <w:rFonts w:ascii="Arial Narrow" w:hAnsi="Arial Narrow"/>
                <w:color w:val="auto"/>
                <w:sz w:val="20"/>
                <w:szCs w:val="20"/>
                <w:vertAlign w:val="superscript"/>
              </w:rPr>
              <w:t>b</w:t>
            </w:r>
          </w:p>
        </w:tc>
      </w:tr>
    </w:tbl>
    <w:p w14:paraId="086ED030" w14:textId="3C09F98D" w:rsidR="000C0B97" w:rsidRPr="00FB0E96" w:rsidRDefault="008E6E20" w:rsidP="00403D52">
      <w:pPr>
        <w:pStyle w:val="TableNote"/>
        <w:keepNext w:val="0"/>
        <w:keepLines w:val="0"/>
      </w:pPr>
      <w:r w:rsidRPr="00FB0E96">
        <w:t xml:space="preserve">Source: </w:t>
      </w:r>
      <w:r w:rsidR="00516E33">
        <w:t>Commentary Table 16, pg 89 of MSAC 1719 ADAR+inline commentary</w:t>
      </w:r>
      <w:r w:rsidR="004E0CD6" w:rsidRPr="00FB0E96">
        <w:t xml:space="preserve"> </w:t>
      </w:r>
    </w:p>
    <w:p w14:paraId="7874C935" w14:textId="5D0F434C" w:rsidR="00A773D0" w:rsidRPr="00FB0E96" w:rsidRDefault="004E0CD6" w:rsidP="00403D52">
      <w:pPr>
        <w:pStyle w:val="TableNote"/>
        <w:keepNext w:val="0"/>
        <w:keepLines w:val="0"/>
      </w:pPr>
      <w:r w:rsidRPr="00FB0E96">
        <w:t>a Reference: LATERA RCT Final Clinical Study Report p 53 to 57</w:t>
      </w:r>
    </w:p>
    <w:p w14:paraId="63B9DE38" w14:textId="2EB9CF98" w:rsidR="004E0CD6" w:rsidRPr="00FB0E96" w:rsidRDefault="004E0CD6" w:rsidP="00403D52">
      <w:pPr>
        <w:pStyle w:val="TableNote"/>
        <w:keepNext w:val="0"/>
        <w:keepLines w:val="0"/>
      </w:pPr>
      <w:r w:rsidRPr="00FB0E96">
        <w:t xml:space="preserve">b Calculated post hoc by </w:t>
      </w:r>
      <w:r w:rsidR="008E6E20" w:rsidRPr="00FB0E96">
        <w:t xml:space="preserve">the </w:t>
      </w:r>
      <w:r w:rsidR="00B466F0">
        <w:t>c</w:t>
      </w:r>
      <w:r w:rsidR="008E6E20" w:rsidRPr="00FB0E96">
        <w:t>ommentary</w:t>
      </w:r>
    </w:p>
    <w:p w14:paraId="2C66A089" w14:textId="1D8758D5" w:rsidR="00BF79E3" w:rsidRDefault="002C5802" w:rsidP="00343F27">
      <w:pPr>
        <w:pStyle w:val="Heading2"/>
        <w:numPr>
          <w:ilvl w:val="0"/>
          <w:numId w:val="0"/>
        </w:numPr>
      </w:pPr>
      <w:bookmarkStart w:id="24" w:name="_Toc69491423"/>
      <w:bookmarkEnd w:id="21"/>
      <w:r>
        <w:t>11</w:t>
      </w:r>
      <w:r w:rsidR="00C36633">
        <w:t>.</w:t>
      </w:r>
      <w:r w:rsidR="00C36633">
        <w:tab/>
      </w:r>
      <w:r w:rsidR="00772829" w:rsidRPr="00CE28E3">
        <w:t>Comparative safety</w:t>
      </w:r>
      <w:bookmarkEnd w:id="24"/>
    </w:p>
    <w:p w14:paraId="6ABAF363" w14:textId="555E786B" w:rsidR="00A04A87" w:rsidRPr="00EC04C1" w:rsidRDefault="00A04A87" w:rsidP="00EC04C1">
      <w:pPr>
        <w:pStyle w:val="Heading3"/>
      </w:pPr>
      <w:bookmarkStart w:id="25" w:name="_Hlk119429441"/>
      <w:r w:rsidRPr="00EC04C1">
        <w:t>LATERA v</w:t>
      </w:r>
      <w:r w:rsidR="00C6632D">
        <w:t>ersu</w:t>
      </w:r>
      <w:r w:rsidRPr="00EC04C1">
        <w:t xml:space="preserve">s </w:t>
      </w:r>
      <w:r w:rsidR="00F87093">
        <w:t>f</w:t>
      </w:r>
      <w:r w:rsidR="00C6632D">
        <w:t xml:space="preserve">unctional </w:t>
      </w:r>
      <w:r w:rsidRPr="00EC04C1">
        <w:t>rhinoplasty</w:t>
      </w:r>
    </w:p>
    <w:bookmarkEnd w:id="25"/>
    <w:p w14:paraId="31369505" w14:textId="374646FD" w:rsidR="00C157A5" w:rsidRDefault="00C157A5" w:rsidP="00FB0E96">
      <w:r>
        <w:t>Due to l</w:t>
      </w:r>
      <w:r w:rsidRPr="00804655">
        <w:t xml:space="preserve">imited </w:t>
      </w:r>
      <w:r w:rsidR="006525FD">
        <w:t xml:space="preserve">safety </w:t>
      </w:r>
      <w:r w:rsidRPr="00804655">
        <w:t>data from the included rhinoplasty studies</w:t>
      </w:r>
      <w:r w:rsidR="006525FD">
        <w:t>, the ADAR did not present</w:t>
      </w:r>
      <w:r w:rsidRPr="00804655">
        <w:t xml:space="preserve"> a naïve indirect comparison for safety.</w:t>
      </w:r>
      <w:r>
        <w:t xml:space="preserve"> </w:t>
      </w:r>
      <w:r w:rsidR="00E32648">
        <w:t xml:space="preserve">The ADAR </w:t>
      </w:r>
      <w:r w:rsidR="006525FD">
        <w:t>discussed</w:t>
      </w:r>
      <w:r w:rsidR="00E32648">
        <w:t xml:space="preserve"> safety data from the </w:t>
      </w:r>
      <w:r w:rsidR="003835BF">
        <w:t xml:space="preserve">LATERA </w:t>
      </w:r>
      <w:r w:rsidR="00893D2A">
        <w:t xml:space="preserve">RCT, LATERA office and Trial </w:t>
      </w:r>
      <w:r w:rsidR="00893D2A" w:rsidRPr="00893D2A">
        <w:t>4350-001</w:t>
      </w:r>
      <w:r w:rsidR="00893D2A">
        <w:t xml:space="preserve"> </w:t>
      </w:r>
      <w:r w:rsidR="006525FD">
        <w:t xml:space="preserve">studies and </w:t>
      </w:r>
      <w:r w:rsidR="00E4164C">
        <w:t xml:space="preserve">reported </w:t>
      </w:r>
      <w:r w:rsidR="006525FD">
        <w:t xml:space="preserve">that </w:t>
      </w:r>
      <w:r w:rsidR="00E4164C">
        <w:t>implant retrieval/</w:t>
      </w:r>
      <w:r w:rsidR="000A34E0">
        <w:t xml:space="preserve"> </w:t>
      </w:r>
      <w:r w:rsidR="00E4164C">
        <w:t>extrusion/</w:t>
      </w:r>
      <w:r w:rsidR="000A34E0">
        <w:t xml:space="preserve"> </w:t>
      </w:r>
      <w:r w:rsidR="00E4164C">
        <w:t>migration</w:t>
      </w:r>
      <w:r w:rsidR="00413092">
        <w:t>,</w:t>
      </w:r>
      <w:r w:rsidR="00E4164C">
        <w:t xml:space="preserve"> foreign body sensation</w:t>
      </w:r>
      <w:r w:rsidR="00413092">
        <w:t>,</w:t>
      </w:r>
      <w:r w:rsidR="00E4164C">
        <w:t xml:space="preserve"> implant palpable/bumps on nose followed by discomfort and pain </w:t>
      </w:r>
      <w:r w:rsidR="00E32648">
        <w:t xml:space="preserve">were </w:t>
      </w:r>
      <w:r w:rsidR="00E4164C">
        <w:t>the most commonly reported adverse events</w:t>
      </w:r>
      <w:r w:rsidR="00AE4FF3">
        <w:t xml:space="preserve"> up to 24 months as shown in </w:t>
      </w:r>
      <w:r w:rsidR="00C22ED9">
        <w:fldChar w:fldCharType="begin"/>
      </w:r>
      <w:r w:rsidR="00C22ED9">
        <w:instrText xml:space="preserve"> REF _Ref122604086 \h </w:instrText>
      </w:r>
      <w:r w:rsidR="00FB0E96">
        <w:instrText xml:space="preserve"> \* MERGEFORMAT </w:instrText>
      </w:r>
      <w:r w:rsidR="00C22ED9">
        <w:fldChar w:fldCharType="separate"/>
      </w:r>
      <w:r w:rsidR="003511D3">
        <w:t xml:space="preserve">Table </w:t>
      </w:r>
      <w:r w:rsidR="003511D3">
        <w:rPr>
          <w:noProof/>
        </w:rPr>
        <w:t>8</w:t>
      </w:r>
      <w:r w:rsidR="00C22ED9">
        <w:fldChar w:fldCharType="end"/>
      </w:r>
      <w:r w:rsidR="00117575">
        <w:t xml:space="preserve"> and </w:t>
      </w:r>
      <w:r w:rsidR="00117575">
        <w:fldChar w:fldCharType="begin"/>
      </w:r>
      <w:r w:rsidR="00117575">
        <w:instrText xml:space="preserve"> REF _Ref119358432 \h </w:instrText>
      </w:r>
      <w:r w:rsidR="00FB0E96">
        <w:instrText xml:space="preserve"> \* MERGEFORMAT </w:instrText>
      </w:r>
      <w:r w:rsidR="00117575">
        <w:fldChar w:fldCharType="separate"/>
      </w:r>
      <w:r w:rsidR="003511D3">
        <w:t xml:space="preserve">Table </w:t>
      </w:r>
      <w:r w:rsidR="003511D3">
        <w:rPr>
          <w:noProof/>
        </w:rPr>
        <w:t>9</w:t>
      </w:r>
      <w:r w:rsidR="00117575">
        <w:fldChar w:fldCharType="end"/>
      </w:r>
    </w:p>
    <w:p w14:paraId="7EBA68FD" w14:textId="2B68E0B0" w:rsidR="00B3735F" w:rsidRDefault="00E32648" w:rsidP="00FB0E96">
      <w:r>
        <w:t xml:space="preserve">Of the safety data available from the </w:t>
      </w:r>
      <w:r w:rsidR="00B3735F" w:rsidRPr="00831369">
        <w:t>functional rhinoplasty studies</w:t>
      </w:r>
      <w:r>
        <w:t>,</w:t>
      </w:r>
      <w:r w:rsidR="00B3735F" w:rsidRPr="009019EC">
        <w:t xml:space="preserve"> </w:t>
      </w:r>
      <w:r w:rsidR="00B3735F" w:rsidRPr="00B3735F">
        <w:t>Tan 2012 and Most 2006 reported no complications post-surgery</w:t>
      </w:r>
      <w:r>
        <w:t xml:space="preserve">. </w:t>
      </w:r>
      <w:r w:rsidR="008453C9" w:rsidRPr="008453C9">
        <w:t>Sainio 2022 reported one infection, one abscess and one re-surgery using an alar stent 13 months later.</w:t>
      </w:r>
      <w:r>
        <w:t xml:space="preserve"> </w:t>
      </w:r>
      <w:r w:rsidRPr="00B3735F">
        <w:t>Palesy 2015, Taha 2021 and Rao 2016 did not report safety results.</w:t>
      </w:r>
    </w:p>
    <w:p w14:paraId="2491F61F" w14:textId="5AE49712" w:rsidR="003835BF" w:rsidRDefault="003835BF" w:rsidP="00FB0E96">
      <w:r w:rsidRPr="003835BF">
        <w:t>Ols</w:t>
      </w:r>
      <w:r w:rsidR="006525FD">
        <w:t>o</w:t>
      </w:r>
      <w:r w:rsidRPr="003835BF">
        <w:t>n 2021</w:t>
      </w:r>
      <w:r w:rsidR="000933C0">
        <w:t xml:space="preserve">, which compared </w:t>
      </w:r>
      <w:r w:rsidR="000933C0" w:rsidRPr="000933C0">
        <w:t>LATERA vs rhinoplasty with adjunct treatments</w:t>
      </w:r>
      <w:r w:rsidR="000933C0">
        <w:t>,</w:t>
      </w:r>
      <w:r w:rsidRPr="003835BF">
        <w:t xml:space="preserve"> reported no extrusions or other implant-related complications for either intervention.</w:t>
      </w:r>
    </w:p>
    <w:p w14:paraId="57482DF5" w14:textId="46BD2675" w:rsidR="00111DCE" w:rsidRDefault="000F23A1" w:rsidP="00FB0E96">
      <w:r>
        <w:t>Regarding</w:t>
      </w:r>
      <w:r w:rsidR="006525FD">
        <w:t xml:space="preserve"> revision</w:t>
      </w:r>
      <w:r w:rsidR="00382340">
        <w:t xml:space="preserve"> rates</w:t>
      </w:r>
      <w:r w:rsidR="006525FD">
        <w:t>, the ADAR suggested s</w:t>
      </w:r>
      <w:r w:rsidR="006525FD" w:rsidRPr="00C1413D">
        <w:t xml:space="preserve">imilar rates of revision could be expected due to LATERA and rhinoplasty achieving similar symptom control. </w:t>
      </w:r>
      <w:r w:rsidR="006525FD">
        <w:t xml:space="preserve">However, the </w:t>
      </w:r>
      <w:r w:rsidR="00B466F0">
        <w:t>c</w:t>
      </w:r>
      <w:r w:rsidR="006525FD">
        <w:t xml:space="preserve">ommentary suggested the revision rates </w:t>
      </w:r>
      <w:r w:rsidR="00111DCE" w:rsidRPr="00C1413D">
        <w:t xml:space="preserve">could be from 5% </w:t>
      </w:r>
      <w:r w:rsidR="006525FD">
        <w:t xml:space="preserve">for functional rhinoplasty </w:t>
      </w:r>
      <w:r w:rsidR="00111DCE" w:rsidRPr="00C1413D">
        <w:t xml:space="preserve">(Sainio 2022) </w:t>
      </w:r>
      <w:r w:rsidR="006525FD">
        <w:t>and up to</w:t>
      </w:r>
      <w:r w:rsidR="00111DCE" w:rsidRPr="00C1413D">
        <w:t xml:space="preserve"> ~10% </w:t>
      </w:r>
      <w:r w:rsidR="00111DCE" w:rsidRPr="00C1413D">
        <w:lastRenderedPageBreak/>
        <w:t>based on</w:t>
      </w:r>
      <w:r w:rsidR="006525FD">
        <w:t xml:space="preserve"> the reported rates of </w:t>
      </w:r>
      <w:r w:rsidR="006525FD" w:rsidRPr="00C1413D">
        <w:t>implant retrieval/extrusion/migration</w:t>
      </w:r>
      <w:r w:rsidR="006525FD">
        <w:t xml:space="preserve"> in the</w:t>
      </w:r>
      <w:r w:rsidR="00111DCE" w:rsidRPr="00C1413D">
        <w:t xml:space="preserve"> LATERA-RCT study</w:t>
      </w:r>
      <w:r w:rsidR="00111DCE" w:rsidRPr="002132DB">
        <w:t>.</w:t>
      </w:r>
      <w:r w:rsidR="006525FD">
        <w:t xml:space="preserve"> </w:t>
      </w:r>
      <w:r w:rsidR="00382340">
        <w:t>L</w:t>
      </w:r>
      <w:r w:rsidR="00111DCE" w:rsidRPr="5CE6E449">
        <w:t>onger</w:t>
      </w:r>
      <w:r w:rsidR="006525FD">
        <w:t>-</w:t>
      </w:r>
      <w:r w:rsidR="00111DCE" w:rsidRPr="5CE6E449">
        <w:t>term studies</w:t>
      </w:r>
      <w:r w:rsidR="00382340">
        <w:t xml:space="preserve"> (&gt;</w:t>
      </w:r>
      <w:r w:rsidR="00111DCE">
        <w:t xml:space="preserve"> 24 months</w:t>
      </w:r>
      <w:r w:rsidR="00382340">
        <w:t>)</w:t>
      </w:r>
      <w:r w:rsidR="00111DCE">
        <w:t xml:space="preserve"> </w:t>
      </w:r>
      <w:r w:rsidR="00111DCE" w:rsidRPr="5CE6E449">
        <w:t xml:space="preserve">are needed to determine </w:t>
      </w:r>
      <w:r w:rsidR="00111DCE">
        <w:t xml:space="preserve">the longevity of the </w:t>
      </w:r>
      <w:r w:rsidR="00382340">
        <w:t xml:space="preserve">response to </w:t>
      </w:r>
      <w:r w:rsidR="00111DCE">
        <w:t>LATERA and</w:t>
      </w:r>
      <w:r w:rsidR="006525FD">
        <w:t xml:space="preserve"> </w:t>
      </w:r>
      <w:r w:rsidR="00111DCE" w:rsidRPr="5CE6E449">
        <w:t xml:space="preserve">if revision </w:t>
      </w:r>
      <w:r w:rsidR="00111DCE">
        <w:t xml:space="preserve">or subsequent intervention </w:t>
      </w:r>
      <w:r w:rsidR="00111DCE" w:rsidRPr="5CE6E449">
        <w:t>may be required.</w:t>
      </w:r>
    </w:p>
    <w:p w14:paraId="13334B29" w14:textId="61341B47" w:rsidR="006525FD" w:rsidRDefault="006525FD" w:rsidP="006525FD">
      <w:r>
        <w:t xml:space="preserve">In the absence of further </w:t>
      </w:r>
      <w:r w:rsidRPr="00765074">
        <w:t xml:space="preserve">data, </w:t>
      </w:r>
      <w:r>
        <w:t>the ADAR</w:t>
      </w:r>
      <w:r w:rsidRPr="00765074">
        <w:t xml:space="preserve"> concluded that </w:t>
      </w:r>
      <w:r>
        <w:t xml:space="preserve">the comparative safety of </w:t>
      </w:r>
      <w:r w:rsidRPr="00765074">
        <w:t xml:space="preserve">LATERA is at least non-inferior to functional rhinoplasty when performed without adjunct procedures. </w:t>
      </w:r>
    </w:p>
    <w:p w14:paraId="3169BE21" w14:textId="223A18E0" w:rsidR="00DF7F2D" w:rsidRDefault="00DF7F2D">
      <w:pPr>
        <w:pStyle w:val="Heading3"/>
      </w:pPr>
      <w:r w:rsidRPr="0019667E">
        <w:t>LATERA v</w:t>
      </w:r>
      <w:r w:rsidR="00FD3E5D">
        <w:t>ersus</w:t>
      </w:r>
      <w:r w:rsidRPr="0019667E">
        <w:t xml:space="preserve"> conservative management </w:t>
      </w:r>
    </w:p>
    <w:p w14:paraId="23B89710" w14:textId="7B993146" w:rsidR="00137578" w:rsidRDefault="00ED7590" w:rsidP="00882975">
      <w:r>
        <w:t xml:space="preserve">The </w:t>
      </w:r>
      <w:r w:rsidR="004747D1">
        <w:t>LATERA-RCT</w:t>
      </w:r>
      <w:r>
        <w:t>,</w:t>
      </w:r>
      <w:r w:rsidR="004747D1">
        <w:t xml:space="preserve"> </w:t>
      </w:r>
      <w:r>
        <w:t xml:space="preserve">which compared LATERA versus sham, reported </w:t>
      </w:r>
      <w:r w:rsidR="00691F90" w:rsidRPr="00BB1E80">
        <w:t>10</w:t>
      </w:r>
      <w:r w:rsidR="00691F90">
        <w:t xml:space="preserve"> </w:t>
      </w:r>
      <w:r w:rsidR="00882975">
        <w:t>se</w:t>
      </w:r>
      <w:r w:rsidR="009B607B">
        <w:t>rious</w:t>
      </w:r>
      <w:r w:rsidR="00882975">
        <w:t xml:space="preserve"> adverse events </w:t>
      </w:r>
      <w:r w:rsidR="00691F90">
        <w:t xml:space="preserve">in </w:t>
      </w:r>
      <w:r w:rsidR="00691F90" w:rsidRPr="00BB1E80">
        <w:t>10</w:t>
      </w:r>
      <w:r w:rsidR="00691F90">
        <w:t xml:space="preserve"> participants over the duration of the study</w:t>
      </w:r>
      <w:r w:rsidR="00882975">
        <w:t xml:space="preserve"> (24 months) but stated </w:t>
      </w:r>
      <w:r w:rsidR="00691F90">
        <w:t>none were</w:t>
      </w:r>
      <w:r w:rsidR="00882975" w:rsidRPr="00882975">
        <w:t xml:space="preserve"> related to the device or study procedure</w:t>
      </w:r>
      <w:r w:rsidR="00882975">
        <w:t>. Device</w:t>
      </w:r>
      <w:r w:rsidR="002165BF">
        <w:t xml:space="preserve"> and </w:t>
      </w:r>
      <w:r w:rsidR="00882975">
        <w:t>procedure related adverse events reported in the</w:t>
      </w:r>
      <w:r w:rsidR="00421A0F">
        <w:t xml:space="preserve"> LATERA-RCT</w:t>
      </w:r>
      <w:r w:rsidR="00882975">
        <w:t xml:space="preserve"> study are</w:t>
      </w:r>
      <w:r w:rsidR="00421A0F">
        <w:t xml:space="preserve"> summar</w:t>
      </w:r>
      <w:r w:rsidR="00882975">
        <w:t>ise</w:t>
      </w:r>
      <w:r w:rsidR="002165BF">
        <w:t>d</w:t>
      </w:r>
      <w:r w:rsidR="00421A0F">
        <w:t xml:space="preserve"> in </w:t>
      </w:r>
      <w:r w:rsidR="00252D5C">
        <w:fldChar w:fldCharType="begin"/>
      </w:r>
      <w:r w:rsidR="00252D5C">
        <w:instrText xml:space="preserve"> REF _Ref122604086 \h </w:instrText>
      </w:r>
      <w:r w:rsidR="00FB0E96">
        <w:instrText xml:space="preserve"> \* MERGEFORMAT </w:instrText>
      </w:r>
      <w:r w:rsidR="00252D5C">
        <w:fldChar w:fldCharType="separate"/>
      </w:r>
      <w:r w:rsidR="003511D3">
        <w:t xml:space="preserve">Table </w:t>
      </w:r>
      <w:r w:rsidR="003511D3">
        <w:rPr>
          <w:noProof/>
        </w:rPr>
        <w:t>8</w:t>
      </w:r>
      <w:r w:rsidR="00252D5C">
        <w:fldChar w:fldCharType="end"/>
      </w:r>
      <w:r w:rsidR="000551F4">
        <w:t xml:space="preserve">. </w:t>
      </w:r>
      <w:r w:rsidR="00137578" w:rsidRPr="00BB1E80">
        <w:t>One</w:t>
      </w:r>
      <w:r w:rsidR="00137578" w:rsidRPr="00E72530">
        <w:t xml:space="preserve"> cross over participant had </w:t>
      </w:r>
      <w:r w:rsidR="00137578">
        <w:t xml:space="preserve">bilateral </w:t>
      </w:r>
      <w:r w:rsidR="00137578" w:rsidRPr="00E72530">
        <w:t>nasal repair (</w:t>
      </w:r>
      <w:r w:rsidR="00137578" w:rsidRPr="00BB1E80">
        <w:t>0.9</w:t>
      </w:r>
      <w:r w:rsidR="00137578" w:rsidRPr="00E72530">
        <w:t xml:space="preserve">%), no other revisions were reported. The most commonly occurring non-serious </w:t>
      </w:r>
      <w:r w:rsidR="009B607B">
        <w:t>adverse</w:t>
      </w:r>
      <w:r w:rsidR="00882975">
        <w:t xml:space="preserve"> events</w:t>
      </w:r>
      <w:r w:rsidR="00882975" w:rsidRPr="00E72530">
        <w:t xml:space="preserve"> </w:t>
      </w:r>
      <w:r w:rsidR="00137578" w:rsidRPr="00E72530">
        <w:t>included device migration/extrusion/retrieval (</w:t>
      </w:r>
      <w:r w:rsidR="00137578" w:rsidRPr="00BB1E80">
        <w:t>9</w:t>
      </w:r>
      <w:r w:rsidR="00137578" w:rsidRPr="00E72530">
        <w:t>%</w:t>
      </w:r>
      <w:r w:rsidR="00882975">
        <w:t>),</w:t>
      </w:r>
      <w:r w:rsidR="00137578">
        <w:t xml:space="preserve"> </w:t>
      </w:r>
      <w:r w:rsidR="00137578" w:rsidRPr="00E72530">
        <w:t>pain or discomfort (</w:t>
      </w:r>
      <w:r w:rsidR="00137578" w:rsidRPr="00BB1E80">
        <w:t>4</w:t>
      </w:r>
      <w:r w:rsidR="006F0F06" w:rsidRPr="00BB1E80">
        <w:t>.5</w:t>
      </w:r>
      <w:r w:rsidR="00137578" w:rsidRPr="00E72530">
        <w:t xml:space="preserve">%), </w:t>
      </w:r>
      <w:r w:rsidR="00EA1EAD" w:rsidRPr="00EA1EAD">
        <w:t>bumps on the nose</w:t>
      </w:r>
      <w:r w:rsidR="00882975">
        <w:t xml:space="preserve"> (</w:t>
      </w:r>
      <w:r w:rsidR="00882975" w:rsidRPr="00BB1E80">
        <w:t>3.6</w:t>
      </w:r>
      <w:r w:rsidR="00882975">
        <w:t>%)</w:t>
      </w:r>
      <w:r w:rsidR="00EA1EAD" w:rsidRPr="00EA1EAD">
        <w:t xml:space="preserve"> </w:t>
      </w:r>
      <w:r w:rsidR="00EA1EAD">
        <w:t xml:space="preserve">and </w:t>
      </w:r>
      <w:r w:rsidR="00137578" w:rsidRPr="00E72530">
        <w:t>foreign body sensation (</w:t>
      </w:r>
      <w:r w:rsidR="00606FE4" w:rsidRPr="00BB1E80">
        <w:t>3.6</w:t>
      </w:r>
      <w:r w:rsidR="00137578" w:rsidRPr="00E72530">
        <w:t>%). The majority of device migration /extrusion events were mild in severity (80%) with remaining events moderate (20%), and the majority occurred within 10 days of the procedure (50%).</w:t>
      </w:r>
    </w:p>
    <w:p w14:paraId="64FE47E4" w14:textId="7567C437" w:rsidR="002640FA" w:rsidRDefault="00252D5C" w:rsidP="00AE4565">
      <w:pPr>
        <w:pStyle w:val="Caption"/>
        <w:keepNext w:val="0"/>
      </w:pPr>
      <w:bookmarkStart w:id="26" w:name="_Ref122604086"/>
      <w:r>
        <w:t xml:space="preserve">Table </w:t>
      </w:r>
      <w:r>
        <w:fldChar w:fldCharType="begin"/>
      </w:r>
      <w:r>
        <w:instrText>SEQ Table \* ARABIC</w:instrText>
      </w:r>
      <w:r>
        <w:fldChar w:fldCharType="separate"/>
      </w:r>
      <w:r w:rsidR="003511D3">
        <w:rPr>
          <w:noProof/>
        </w:rPr>
        <w:t>8</w:t>
      </w:r>
      <w:r>
        <w:fldChar w:fldCharType="end"/>
      </w:r>
      <w:bookmarkEnd w:id="26"/>
      <w:r w:rsidR="004853D9">
        <w:rPr>
          <w:noProof/>
        </w:rPr>
        <w:tab/>
      </w:r>
      <w:r w:rsidRPr="00252D5C">
        <w:t>Summary of</w:t>
      </w:r>
      <w:r>
        <w:t xml:space="preserve"> LATERA-RCT</w:t>
      </w:r>
      <w:r w:rsidRPr="00252D5C">
        <w:t xml:space="preserve"> device-/procedure-related </w:t>
      </w:r>
      <w:r w:rsidR="00883453">
        <w:t>adverse events</w:t>
      </w:r>
      <w:r w:rsidR="00883453" w:rsidRPr="00252D5C">
        <w:t xml:space="preserve"> </w:t>
      </w:r>
      <w:r w:rsidRPr="00252D5C">
        <w:t>over 24 months</w:t>
      </w:r>
    </w:p>
    <w:tbl>
      <w:tblPr>
        <w:tblStyle w:val="TableGrid"/>
        <w:tblW w:w="9493" w:type="dxa"/>
        <w:tblLayout w:type="fixed"/>
        <w:tblLook w:val="04A0" w:firstRow="1" w:lastRow="0" w:firstColumn="1" w:lastColumn="0" w:noHBand="0" w:noVBand="1"/>
      </w:tblPr>
      <w:tblGrid>
        <w:gridCol w:w="2556"/>
        <w:gridCol w:w="983"/>
        <w:gridCol w:w="1329"/>
        <w:gridCol w:w="1081"/>
        <w:gridCol w:w="1231"/>
        <w:gridCol w:w="1037"/>
        <w:gridCol w:w="1276"/>
      </w:tblGrid>
      <w:tr w:rsidR="002640FA" w14:paraId="4856A93A" w14:textId="77777777" w:rsidTr="00AE4565">
        <w:trPr>
          <w:trHeight w:val="56"/>
        </w:trPr>
        <w:tc>
          <w:tcPr>
            <w:tcW w:w="2556" w:type="dxa"/>
            <w:vMerge w:val="restart"/>
            <w:shd w:val="clear" w:color="auto" w:fill="auto"/>
          </w:tcPr>
          <w:p w14:paraId="4DCA8EA8" w14:textId="1357C6C9" w:rsidR="002640FA" w:rsidRPr="00B90925" w:rsidRDefault="00883453" w:rsidP="00744F46">
            <w:pPr>
              <w:pStyle w:val="TableText"/>
              <w:rPr>
                <w:b/>
                <w:bCs/>
              </w:rPr>
            </w:pPr>
            <w:r>
              <w:rPr>
                <w:b/>
                <w:bCs/>
              </w:rPr>
              <w:t>Adverse events</w:t>
            </w:r>
          </w:p>
        </w:tc>
        <w:tc>
          <w:tcPr>
            <w:tcW w:w="2312" w:type="dxa"/>
            <w:gridSpan w:val="2"/>
            <w:shd w:val="clear" w:color="auto" w:fill="auto"/>
          </w:tcPr>
          <w:p w14:paraId="6ECF9ED1" w14:textId="77777777" w:rsidR="002640FA" w:rsidRPr="00B90925" w:rsidRDefault="002640FA" w:rsidP="00744F46">
            <w:pPr>
              <w:pStyle w:val="TableText"/>
              <w:rPr>
                <w:b/>
                <w:bCs/>
              </w:rPr>
            </w:pPr>
            <w:r>
              <w:rPr>
                <w:b/>
                <w:bCs/>
              </w:rPr>
              <w:t>LATERA (N=71)</w:t>
            </w:r>
          </w:p>
        </w:tc>
        <w:tc>
          <w:tcPr>
            <w:tcW w:w="2312" w:type="dxa"/>
            <w:gridSpan w:val="2"/>
            <w:shd w:val="clear" w:color="auto" w:fill="auto"/>
          </w:tcPr>
          <w:p w14:paraId="2E0CA553" w14:textId="77777777" w:rsidR="002640FA" w:rsidRPr="00B90925" w:rsidRDefault="002640FA" w:rsidP="00744F46">
            <w:pPr>
              <w:pStyle w:val="TableText"/>
              <w:rPr>
                <w:b/>
                <w:bCs/>
              </w:rPr>
            </w:pPr>
            <w:r w:rsidRPr="00B90925">
              <w:rPr>
                <w:b/>
                <w:bCs/>
              </w:rPr>
              <w:t>Crossover</w:t>
            </w:r>
            <w:r>
              <w:rPr>
                <w:b/>
                <w:bCs/>
              </w:rPr>
              <w:t xml:space="preserve"> (N=40)</w:t>
            </w:r>
          </w:p>
        </w:tc>
        <w:tc>
          <w:tcPr>
            <w:tcW w:w="2313" w:type="dxa"/>
            <w:gridSpan w:val="2"/>
            <w:shd w:val="clear" w:color="auto" w:fill="auto"/>
          </w:tcPr>
          <w:p w14:paraId="362F1C1F" w14:textId="77777777" w:rsidR="002640FA" w:rsidRPr="00B90925" w:rsidRDefault="002640FA" w:rsidP="00744F46">
            <w:pPr>
              <w:pStyle w:val="TableText"/>
              <w:rPr>
                <w:b/>
                <w:bCs/>
              </w:rPr>
            </w:pPr>
            <w:r w:rsidRPr="00B90925">
              <w:rPr>
                <w:b/>
                <w:bCs/>
              </w:rPr>
              <w:t xml:space="preserve">All participants </w:t>
            </w:r>
            <w:r>
              <w:rPr>
                <w:b/>
                <w:bCs/>
              </w:rPr>
              <w:t>(N=111)</w:t>
            </w:r>
          </w:p>
        </w:tc>
      </w:tr>
      <w:tr w:rsidR="002640FA" w14:paraId="4DE1DED4" w14:textId="77777777" w:rsidTr="00AE4565">
        <w:trPr>
          <w:trHeight w:val="56"/>
        </w:trPr>
        <w:tc>
          <w:tcPr>
            <w:tcW w:w="2556" w:type="dxa"/>
            <w:vMerge/>
            <w:shd w:val="clear" w:color="auto" w:fill="auto"/>
          </w:tcPr>
          <w:p w14:paraId="3FA6F95A" w14:textId="77777777" w:rsidR="002640FA" w:rsidRPr="00B90925" w:rsidRDefault="002640FA" w:rsidP="00744F46">
            <w:pPr>
              <w:pStyle w:val="TableText"/>
              <w:rPr>
                <w:b/>
                <w:bCs/>
              </w:rPr>
            </w:pPr>
          </w:p>
        </w:tc>
        <w:tc>
          <w:tcPr>
            <w:tcW w:w="983" w:type="dxa"/>
            <w:shd w:val="clear" w:color="auto" w:fill="auto"/>
          </w:tcPr>
          <w:p w14:paraId="03B8BF06" w14:textId="77777777" w:rsidR="002640FA" w:rsidRPr="00B90925" w:rsidRDefault="002640FA" w:rsidP="00744F46">
            <w:pPr>
              <w:pStyle w:val="TableText"/>
              <w:rPr>
                <w:b/>
                <w:bCs/>
              </w:rPr>
            </w:pPr>
            <w:r w:rsidRPr="00B90925">
              <w:rPr>
                <w:b/>
                <w:bCs/>
              </w:rPr>
              <w:t>Event</w:t>
            </w:r>
            <w:r>
              <w:rPr>
                <w:b/>
                <w:bCs/>
              </w:rPr>
              <w:t>, n</w:t>
            </w:r>
            <w:r w:rsidRPr="00B90925">
              <w:rPr>
                <w:b/>
                <w:bCs/>
              </w:rPr>
              <w:t xml:space="preserve"> </w:t>
            </w:r>
          </w:p>
        </w:tc>
        <w:tc>
          <w:tcPr>
            <w:tcW w:w="1329" w:type="dxa"/>
            <w:shd w:val="clear" w:color="auto" w:fill="auto"/>
          </w:tcPr>
          <w:p w14:paraId="61850E09" w14:textId="77777777" w:rsidR="002640FA" w:rsidRPr="00B90925" w:rsidRDefault="002640FA" w:rsidP="00744F46">
            <w:pPr>
              <w:pStyle w:val="TableText"/>
              <w:rPr>
                <w:b/>
                <w:bCs/>
              </w:rPr>
            </w:pPr>
            <w:r w:rsidRPr="00B90925">
              <w:rPr>
                <w:b/>
                <w:bCs/>
              </w:rPr>
              <w:t>Participants</w:t>
            </w:r>
            <w:r>
              <w:rPr>
                <w:b/>
                <w:bCs/>
              </w:rPr>
              <w:t>, n (%)</w:t>
            </w:r>
            <w:r w:rsidRPr="00B90925">
              <w:rPr>
                <w:b/>
                <w:bCs/>
              </w:rPr>
              <w:t xml:space="preserve"> </w:t>
            </w:r>
          </w:p>
        </w:tc>
        <w:tc>
          <w:tcPr>
            <w:tcW w:w="1081" w:type="dxa"/>
            <w:shd w:val="clear" w:color="auto" w:fill="auto"/>
          </w:tcPr>
          <w:p w14:paraId="48786CB3" w14:textId="77777777" w:rsidR="002640FA" w:rsidRPr="00B90925" w:rsidRDefault="002640FA" w:rsidP="00744F46">
            <w:pPr>
              <w:pStyle w:val="TableText"/>
              <w:rPr>
                <w:b/>
                <w:bCs/>
              </w:rPr>
            </w:pPr>
            <w:r w:rsidRPr="00B90925">
              <w:rPr>
                <w:b/>
                <w:bCs/>
              </w:rPr>
              <w:t>Event</w:t>
            </w:r>
            <w:r>
              <w:rPr>
                <w:b/>
                <w:bCs/>
              </w:rPr>
              <w:t>, n</w:t>
            </w:r>
          </w:p>
        </w:tc>
        <w:tc>
          <w:tcPr>
            <w:tcW w:w="1231" w:type="dxa"/>
            <w:shd w:val="clear" w:color="auto" w:fill="auto"/>
          </w:tcPr>
          <w:p w14:paraId="4EEEEB6A" w14:textId="77777777" w:rsidR="002640FA" w:rsidRPr="00B90925" w:rsidRDefault="002640FA" w:rsidP="00744F46">
            <w:pPr>
              <w:pStyle w:val="TableText"/>
              <w:rPr>
                <w:b/>
                <w:bCs/>
              </w:rPr>
            </w:pPr>
            <w:r w:rsidRPr="00B90925">
              <w:rPr>
                <w:b/>
                <w:bCs/>
              </w:rPr>
              <w:t>Participants</w:t>
            </w:r>
            <w:r>
              <w:rPr>
                <w:b/>
                <w:bCs/>
              </w:rPr>
              <w:t>, n (%)</w:t>
            </w:r>
          </w:p>
        </w:tc>
        <w:tc>
          <w:tcPr>
            <w:tcW w:w="1037" w:type="dxa"/>
            <w:shd w:val="clear" w:color="auto" w:fill="auto"/>
          </w:tcPr>
          <w:p w14:paraId="3ECA19EC" w14:textId="77777777" w:rsidR="002640FA" w:rsidRPr="00B90925" w:rsidRDefault="002640FA" w:rsidP="00744F46">
            <w:pPr>
              <w:pStyle w:val="TableText"/>
              <w:rPr>
                <w:b/>
                <w:bCs/>
              </w:rPr>
            </w:pPr>
            <w:r w:rsidRPr="00B90925">
              <w:rPr>
                <w:b/>
                <w:bCs/>
              </w:rPr>
              <w:t>Event</w:t>
            </w:r>
            <w:r>
              <w:rPr>
                <w:b/>
                <w:bCs/>
              </w:rPr>
              <w:t>, n</w:t>
            </w:r>
          </w:p>
        </w:tc>
        <w:tc>
          <w:tcPr>
            <w:tcW w:w="1276" w:type="dxa"/>
            <w:shd w:val="clear" w:color="auto" w:fill="auto"/>
          </w:tcPr>
          <w:p w14:paraId="6A515975" w14:textId="77777777" w:rsidR="002640FA" w:rsidRPr="00B90925" w:rsidRDefault="002640FA" w:rsidP="00744F46">
            <w:pPr>
              <w:pStyle w:val="TableText"/>
              <w:rPr>
                <w:b/>
                <w:bCs/>
              </w:rPr>
            </w:pPr>
            <w:r w:rsidRPr="00B90925">
              <w:rPr>
                <w:b/>
                <w:bCs/>
              </w:rPr>
              <w:t>Participants</w:t>
            </w:r>
            <w:r>
              <w:rPr>
                <w:b/>
                <w:bCs/>
              </w:rPr>
              <w:t>, n (%)</w:t>
            </w:r>
          </w:p>
        </w:tc>
      </w:tr>
      <w:tr w:rsidR="002640FA" w:rsidRPr="00BB1E80" w14:paraId="6BF8DAAB" w14:textId="77777777" w:rsidTr="00AE4565">
        <w:trPr>
          <w:trHeight w:val="348"/>
        </w:trPr>
        <w:tc>
          <w:tcPr>
            <w:tcW w:w="2556" w:type="dxa"/>
          </w:tcPr>
          <w:p w14:paraId="6D2E587C" w14:textId="77777777" w:rsidR="002640FA" w:rsidRPr="00BB1E80" w:rsidRDefault="002640FA" w:rsidP="00744F46">
            <w:pPr>
              <w:pStyle w:val="TableText"/>
            </w:pPr>
            <w:r w:rsidRPr="00BB1E80">
              <w:t>Device migration/extrusion/retrieval</w:t>
            </w:r>
          </w:p>
        </w:tc>
        <w:tc>
          <w:tcPr>
            <w:tcW w:w="983" w:type="dxa"/>
          </w:tcPr>
          <w:p w14:paraId="26057559" w14:textId="77777777" w:rsidR="002640FA" w:rsidRPr="00BB1E80" w:rsidRDefault="002640FA" w:rsidP="00744F46">
            <w:pPr>
              <w:pStyle w:val="TableText"/>
            </w:pPr>
            <w:r w:rsidRPr="00BB1E80">
              <w:t>7</w:t>
            </w:r>
          </w:p>
        </w:tc>
        <w:tc>
          <w:tcPr>
            <w:tcW w:w="1329" w:type="dxa"/>
          </w:tcPr>
          <w:p w14:paraId="3A73AB2D" w14:textId="77777777" w:rsidR="002640FA" w:rsidRPr="00BB1E80" w:rsidRDefault="002640FA" w:rsidP="00744F46">
            <w:pPr>
              <w:pStyle w:val="TableText"/>
            </w:pPr>
            <w:r w:rsidRPr="00BB1E80">
              <w:t>7 (9.9)</w:t>
            </w:r>
          </w:p>
        </w:tc>
        <w:tc>
          <w:tcPr>
            <w:tcW w:w="1081" w:type="dxa"/>
          </w:tcPr>
          <w:p w14:paraId="027AC102" w14:textId="77777777" w:rsidR="002640FA" w:rsidRPr="00BB1E80" w:rsidRDefault="002640FA" w:rsidP="00744F46">
            <w:pPr>
              <w:pStyle w:val="TableText"/>
            </w:pPr>
            <w:r w:rsidRPr="00BB1E80">
              <w:t>3</w:t>
            </w:r>
          </w:p>
        </w:tc>
        <w:tc>
          <w:tcPr>
            <w:tcW w:w="1231" w:type="dxa"/>
          </w:tcPr>
          <w:p w14:paraId="3A4B0D2B" w14:textId="77777777" w:rsidR="002640FA" w:rsidRPr="00BB1E80" w:rsidRDefault="002640FA" w:rsidP="00744F46">
            <w:pPr>
              <w:pStyle w:val="TableText"/>
            </w:pPr>
            <w:r w:rsidRPr="00BB1E80">
              <w:t>3 (7.5)</w:t>
            </w:r>
          </w:p>
        </w:tc>
        <w:tc>
          <w:tcPr>
            <w:tcW w:w="1037" w:type="dxa"/>
          </w:tcPr>
          <w:p w14:paraId="6C45013D" w14:textId="77777777" w:rsidR="002640FA" w:rsidRPr="00BB1E80" w:rsidRDefault="002640FA" w:rsidP="00744F46">
            <w:pPr>
              <w:pStyle w:val="TableText"/>
            </w:pPr>
            <w:r w:rsidRPr="00BB1E80">
              <w:t>10</w:t>
            </w:r>
          </w:p>
        </w:tc>
        <w:tc>
          <w:tcPr>
            <w:tcW w:w="1276" w:type="dxa"/>
          </w:tcPr>
          <w:p w14:paraId="2E4D711B" w14:textId="77777777" w:rsidR="002640FA" w:rsidRPr="00BB1E80" w:rsidRDefault="002640FA" w:rsidP="00744F46">
            <w:pPr>
              <w:pStyle w:val="TableText"/>
            </w:pPr>
            <w:r w:rsidRPr="00BB1E80">
              <w:t>10 (9.0)</w:t>
            </w:r>
            <w:r w:rsidRPr="00BB1E80">
              <w:rPr>
                <w:vertAlign w:val="superscript"/>
              </w:rPr>
              <w:t>b</w:t>
            </w:r>
          </w:p>
        </w:tc>
      </w:tr>
      <w:tr w:rsidR="002640FA" w:rsidRPr="00BB1E80" w14:paraId="5A17AFD3" w14:textId="77777777" w:rsidTr="00AE4565">
        <w:trPr>
          <w:trHeight w:val="200"/>
        </w:trPr>
        <w:tc>
          <w:tcPr>
            <w:tcW w:w="2556" w:type="dxa"/>
          </w:tcPr>
          <w:p w14:paraId="44E9C55C" w14:textId="77777777" w:rsidR="002640FA" w:rsidRPr="00BB1E80" w:rsidRDefault="002640FA" w:rsidP="00744F46">
            <w:pPr>
              <w:pStyle w:val="TableText"/>
            </w:pPr>
            <w:r w:rsidRPr="00BB1E80">
              <w:t>Pain or discomfort</w:t>
            </w:r>
          </w:p>
        </w:tc>
        <w:tc>
          <w:tcPr>
            <w:tcW w:w="983" w:type="dxa"/>
          </w:tcPr>
          <w:p w14:paraId="57454259" w14:textId="77777777" w:rsidR="002640FA" w:rsidRPr="00BB1E80" w:rsidRDefault="002640FA" w:rsidP="00744F46">
            <w:pPr>
              <w:pStyle w:val="TableText"/>
            </w:pPr>
            <w:r w:rsidRPr="00BB1E80">
              <w:t>3</w:t>
            </w:r>
          </w:p>
        </w:tc>
        <w:tc>
          <w:tcPr>
            <w:tcW w:w="1329" w:type="dxa"/>
          </w:tcPr>
          <w:p w14:paraId="170F27B4" w14:textId="77777777" w:rsidR="002640FA" w:rsidRPr="00BB1E80" w:rsidRDefault="002640FA" w:rsidP="00744F46">
            <w:pPr>
              <w:pStyle w:val="TableText"/>
            </w:pPr>
            <w:r w:rsidRPr="00BB1E80">
              <w:t>3 (4.2)</w:t>
            </w:r>
          </w:p>
        </w:tc>
        <w:tc>
          <w:tcPr>
            <w:tcW w:w="1081" w:type="dxa"/>
          </w:tcPr>
          <w:p w14:paraId="3B72CFED" w14:textId="77777777" w:rsidR="002640FA" w:rsidRPr="00BB1E80" w:rsidRDefault="002640FA" w:rsidP="00744F46">
            <w:pPr>
              <w:pStyle w:val="TableText"/>
            </w:pPr>
            <w:r w:rsidRPr="00BB1E80">
              <w:t>2</w:t>
            </w:r>
          </w:p>
        </w:tc>
        <w:tc>
          <w:tcPr>
            <w:tcW w:w="1231" w:type="dxa"/>
          </w:tcPr>
          <w:p w14:paraId="3E9F7F07" w14:textId="77777777" w:rsidR="002640FA" w:rsidRPr="00BB1E80" w:rsidRDefault="002640FA" w:rsidP="00744F46">
            <w:pPr>
              <w:pStyle w:val="TableText"/>
            </w:pPr>
            <w:r w:rsidRPr="00BB1E80">
              <w:t>2 (5.0)</w:t>
            </w:r>
          </w:p>
        </w:tc>
        <w:tc>
          <w:tcPr>
            <w:tcW w:w="1037" w:type="dxa"/>
          </w:tcPr>
          <w:p w14:paraId="07D917C6" w14:textId="77777777" w:rsidR="002640FA" w:rsidRPr="00BB1E80" w:rsidRDefault="002640FA" w:rsidP="00744F46">
            <w:pPr>
              <w:pStyle w:val="TableText"/>
            </w:pPr>
            <w:r w:rsidRPr="00BB1E80">
              <w:t>5</w:t>
            </w:r>
          </w:p>
        </w:tc>
        <w:tc>
          <w:tcPr>
            <w:tcW w:w="1276" w:type="dxa"/>
          </w:tcPr>
          <w:p w14:paraId="2E71AD72" w14:textId="77777777" w:rsidR="002640FA" w:rsidRPr="00BB1E80" w:rsidRDefault="002640FA" w:rsidP="00744F46">
            <w:pPr>
              <w:pStyle w:val="TableText"/>
            </w:pPr>
            <w:r w:rsidRPr="00BB1E80">
              <w:t>5 (4.5)</w:t>
            </w:r>
          </w:p>
        </w:tc>
      </w:tr>
      <w:tr w:rsidR="002640FA" w:rsidRPr="00BB1E80" w14:paraId="1F42EB37" w14:textId="77777777" w:rsidTr="00AE4565">
        <w:trPr>
          <w:trHeight w:val="193"/>
        </w:trPr>
        <w:tc>
          <w:tcPr>
            <w:tcW w:w="2556" w:type="dxa"/>
          </w:tcPr>
          <w:p w14:paraId="59C12172" w14:textId="77777777" w:rsidR="002640FA" w:rsidRPr="00BB1E80" w:rsidRDefault="002640FA" w:rsidP="00744F46">
            <w:pPr>
              <w:pStyle w:val="TableText"/>
            </w:pPr>
            <w:r w:rsidRPr="00BB1E80">
              <w:t>Bumps on nose</w:t>
            </w:r>
          </w:p>
        </w:tc>
        <w:tc>
          <w:tcPr>
            <w:tcW w:w="983" w:type="dxa"/>
          </w:tcPr>
          <w:p w14:paraId="612CEC8D" w14:textId="77777777" w:rsidR="002640FA" w:rsidRPr="00BB1E80" w:rsidRDefault="002640FA" w:rsidP="00744F46">
            <w:pPr>
              <w:pStyle w:val="TableText"/>
            </w:pPr>
            <w:r w:rsidRPr="00BB1E80">
              <w:t>3</w:t>
            </w:r>
          </w:p>
        </w:tc>
        <w:tc>
          <w:tcPr>
            <w:tcW w:w="1329" w:type="dxa"/>
          </w:tcPr>
          <w:p w14:paraId="137BCAC5" w14:textId="77777777" w:rsidR="002640FA" w:rsidRPr="00BB1E80" w:rsidRDefault="002640FA" w:rsidP="00744F46">
            <w:pPr>
              <w:pStyle w:val="TableText"/>
            </w:pPr>
            <w:r w:rsidRPr="00BB1E80">
              <w:t>3 (4.2)</w:t>
            </w:r>
          </w:p>
        </w:tc>
        <w:tc>
          <w:tcPr>
            <w:tcW w:w="1081" w:type="dxa"/>
          </w:tcPr>
          <w:p w14:paraId="0F1EB07A" w14:textId="77777777" w:rsidR="002640FA" w:rsidRPr="00BB1E80" w:rsidRDefault="002640FA" w:rsidP="00744F46">
            <w:pPr>
              <w:pStyle w:val="TableText"/>
            </w:pPr>
            <w:r w:rsidRPr="00BB1E80">
              <w:t>1</w:t>
            </w:r>
          </w:p>
        </w:tc>
        <w:tc>
          <w:tcPr>
            <w:tcW w:w="1231" w:type="dxa"/>
          </w:tcPr>
          <w:p w14:paraId="2764E1AF" w14:textId="77777777" w:rsidR="002640FA" w:rsidRPr="00BB1E80" w:rsidRDefault="002640FA" w:rsidP="00744F46">
            <w:pPr>
              <w:pStyle w:val="TableText"/>
            </w:pPr>
            <w:r w:rsidRPr="00BB1E80">
              <w:t>1 (2.5)</w:t>
            </w:r>
          </w:p>
        </w:tc>
        <w:tc>
          <w:tcPr>
            <w:tcW w:w="1037" w:type="dxa"/>
          </w:tcPr>
          <w:p w14:paraId="6432B43D" w14:textId="77777777" w:rsidR="002640FA" w:rsidRPr="00BB1E80" w:rsidRDefault="002640FA" w:rsidP="00744F46">
            <w:pPr>
              <w:pStyle w:val="TableText"/>
            </w:pPr>
            <w:r w:rsidRPr="00BB1E80">
              <w:t>4</w:t>
            </w:r>
          </w:p>
        </w:tc>
        <w:tc>
          <w:tcPr>
            <w:tcW w:w="1276" w:type="dxa"/>
          </w:tcPr>
          <w:p w14:paraId="083974CF" w14:textId="77777777" w:rsidR="002640FA" w:rsidRPr="00BB1E80" w:rsidRDefault="002640FA" w:rsidP="00744F46">
            <w:pPr>
              <w:pStyle w:val="TableText"/>
            </w:pPr>
            <w:r w:rsidRPr="00BB1E80">
              <w:t>4 (3.6)</w:t>
            </w:r>
          </w:p>
        </w:tc>
      </w:tr>
      <w:tr w:rsidR="002640FA" w:rsidRPr="00BB1E80" w14:paraId="22D4AA02" w14:textId="77777777" w:rsidTr="00AE4565">
        <w:trPr>
          <w:trHeight w:val="200"/>
        </w:trPr>
        <w:tc>
          <w:tcPr>
            <w:tcW w:w="2556" w:type="dxa"/>
          </w:tcPr>
          <w:p w14:paraId="6546516E" w14:textId="77777777" w:rsidR="002640FA" w:rsidRPr="00BB1E80" w:rsidRDefault="002640FA" w:rsidP="00744F46">
            <w:pPr>
              <w:pStyle w:val="TableText"/>
            </w:pPr>
            <w:r w:rsidRPr="00BB1E80">
              <w:t>Foreign body sensation</w:t>
            </w:r>
          </w:p>
        </w:tc>
        <w:tc>
          <w:tcPr>
            <w:tcW w:w="983" w:type="dxa"/>
          </w:tcPr>
          <w:p w14:paraId="55AEC87E" w14:textId="77777777" w:rsidR="002640FA" w:rsidRPr="00BB1E80" w:rsidRDefault="002640FA" w:rsidP="00744F46">
            <w:pPr>
              <w:pStyle w:val="TableText"/>
            </w:pPr>
            <w:r w:rsidRPr="00BB1E80">
              <w:t>3</w:t>
            </w:r>
          </w:p>
        </w:tc>
        <w:tc>
          <w:tcPr>
            <w:tcW w:w="1329" w:type="dxa"/>
          </w:tcPr>
          <w:p w14:paraId="2D4E7A51" w14:textId="77777777" w:rsidR="002640FA" w:rsidRPr="00BB1E80" w:rsidRDefault="002640FA" w:rsidP="00744F46">
            <w:pPr>
              <w:pStyle w:val="TableText"/>
            </w:pPr>
            <w:r w:rsidRPr="00BB1E80">
              <w:t>3 (4.2)</w:t>
            </w:r>
          </w:p>
        </w:tc>
        <w:tc>
          <w:tcPr>
            <w:tcW w:w="1081" w:type="dxa"/>
          </w:tcPr>
          <w:p w14:paraId="36B74886" w14:textId="77777777" w:rsidR="002640FA" w:rsidRPr="00BB1E80" w:rsidRDefault="002640FA" w:rsidP="00744F46">
            <w:pPr>
              <w:pStyle w:val="TableText"/>
            </w:pPr>
            <w:r w:rsidRPr="00BB1E80">
              <w:t>1</w:t>
            </w:r>
          </w:p>
        </w:tc>
        <w:tc>
          <w:tcPr>
            <w:tcW w:w="1231" w:type="dxa"/>
          </w:tcPr>
          <w:p w14:paraId="30660104" w14:textId="77777777" w:rsidR="002640FA" w:rsidRPr="00BB1E80" w:rsidRDefault="002640FA" w:rsidP="00744F46">
            <w:pPr>
              <w:pStyle w:val="TableText"/>
            </w:pPr>
            <w:r w:rsidRPr="00BB1E80">
              <w:t>1 (2.5)</w:t>
            </w:r>
          </w:p>
        </w:tc>
        <w:tc>
          <w:tcPr>
            <w:tcW w:w="1037" w:type="dxa"/>
          </w:tcPr>
          <w:p w14:paraId="5441C31B" w14:textId="77777777" w:rsidR="002640FA" w:rsidRPr="00BB1E80" w:rsidRDefault="002640FA" w:rsidP="00744F46">
            <w:pPr>
              <w:pStyle w:val="TableText"/>
            </w:pPr>
            <w:r w:rsidRPr="00BB1E80">
              <w:t>4</w:t>
            </w:r>
          </w:p>
        </w:tc>
        <w:tc>
          <w:tcPr>
            <w:tcW w:w="1276" w:type="dxa"/>
          </w:tcPr>
          <w:p w14:paraId="79E6B5AD" w14:textId="77777777" w:rsidR="002640FA" w:rsidRPr="00BB1E80" w:rsidRDefault="002640FA" w:rsidP="00744F46">
            <w:pPr>
              <w:pStyle w:val="TableText"/>
            </w:pPr>
            <w:r w:rsidRPr="00BB1E80">
              <w:t>4 (3.6)</w:t>
            </w:r>
          </w:p>
        </w:tc>
      </w:tr>
      <w:tr w:rsidR="002640FA" w:rsidRPr="00BB1E80" w14:paraId="0C3C06ED" w14:textId="77777777" w:rsidTr="00AE4565">
        <w:trPr>
          <w:trHeight w:val="200"/>
        </w:trPr>
        <w:tc>
          <w:tcPr>
            <w:tcW w:w="2556" w:type="dxa"/>
          </w:tcPr>
          <w:p w14:paraId="538AC174" w14:textId="77777777" w:rsidR="002640FA" w:rsidRPr="00BB1E80" w:rsidRDefault="002640FA" w:rsidP="00744F46">
            <w:pPr>
              <w:pStyle w:val="TableText"/>
            </w:pPr>
            <w:r w:rsidRPr="00BB1E80">
              <w:t>Headache</w:t>
            </w:r>
          </w:p>
        </w:tc>
        <w:tc>
          <w:tcPr>
            <w:tcW w:w="983" w:type="dxa"/>
          </w:tcPr>
          <w:p w14:paraId="0D2C57DC" w14:textId="77777777" w:rsidR="002640FA" w:rsidRPr="00BB1E80" w:rsidRDefault="002640FA" w:rsidP="00744F46">
            <w:pPr>
              <w:pStyle w:val="TableText"/>
            </w:pPr>
            <w:r w:rsidRPr="00BB1E80">
              <w:t>2</w:t>
            </w:r>
          </w:p>
        </w:tc>
        <w:tc>
          <w:tcPr>
            <w:tcW w:w="1329" w:type="dxa"/>
          </w:tcPr>
          <w:p w14:paraId="793348CB" w14:textId="77777777" w:rsidR="002640FA" w:rsidRPr="00BB1E80" w:rsidRDefault="002640FA" w:rsidP="00744F46">
            <w:pPr>
              <w:pStyle w:val="TableText"/>
            </w:pPr>
            <w:r w:rsidRPr="00BB1E80">
              <w:t>2 (2.8)</w:t>
            </w:r>
          </w:p>
        </w:tc>
        <w:tc>
          <w:tcPr>
            <w:tcW w:w="1081" w:type="dxa"/>
          </w:tcPr>
          <w:p w14:paraId="3F7C8497" w14:textId="77777777" w:rsidR="002640FA" w:rsidRPr="00BB1E80" w:rsidRDefault="002640FA" w:rsidP="00744F46">
            <w:pPr>
              <w:pStyle w:val="TableText"/>
            </w:pPr>
            <w:r w:rsidRPr="00BB1E80">
              <w:t>0</w:t>
            </w:r>
          </w:p>
        </w:tc>
        <w:tc>
          <w:tcPr>
            <w:tcW w:w="1231" w:type="dxa"/>
          </w:tcPr>
          <w:p w14:paraId="26F75D9D" w14:textId="77777777" w:rsidR="002640FA" w:rsidRPr="00BB1E80" w:rsidRDefault="002640FA" w:rsidP="00744F46">
            <w:pPr>
              <w:pStyle w:val="TableText"/>
            </w:pPr>
            <w:r w:rsidRPr="00BB1E80">
              <w:t>0</w:t>
            </w:r>
          </w:p>
        </w:tc>
        <w:tc>
          <w:tcPr>
            <w:tcW w:w="1037" w:type="dxa"/>
          </w:tcPr>
          <w:p w14:paraId="7ACF11D2" w14:textId="77777777" w:rsidR="002640FA" w:rsidRPr="00BB1E80" w:rsidRDefault="002640FA" w:rsidP="00744F46">
            <w:pPr>
              <w:pStyle w:val="TableText"/>
            </w:pPr>
            <w:r w:rsidRPr="00BB1E80">
              <w:t>2</w:t>
            </w:r>
          </w:p>
        </w:tc>
        <w:tc>
          <w:tcPr>
            <w:tcW w:w="1276" w:type="dxa"/>
          </w:tcPr>
          <w:p w14:paraId="74EB918F" w14:textId="77777777" w:rsidR="002640FA" w:rsidRPr="00BB1E80" w:rsidRDefault="002640FA" w:rsidP="00744F46">
            <w:pPr>
              <w:pStyle w:val="TableText"/>
            </w:pPr>
            <w:r w:rsidRPr="00BB1E80">
              <w:t>2 (1.8)</w:t>
            </w:r>
          </w:p>
        </w:tc>
      </w:tr>
      <w:tr w:rsidR="002640FA" w:rsidRPr="00BB1E80" w14:paraId="07AB795B" w14:textId="77777777" w:rsidTr="00AE4565">
        <w:trPr>
          <w:trHeight w:val="200"/>
        </w:trPr>
        <w:tc>
          <w:tcPr>
            <w:tcW w:w="2556" w:type="dxa"/>
          </w:tcPr>
          <w:p w14:paraId="75E25BD4" w14:textId="77777777" w:rsidR="002640FA" w:rsidRPr="00BB1E80" w:rsidRDefault="002640FA" w:rsidP="00744F46">
            <w:pPr>
              <w:pStyle w:val="TableText"/>
            </w:pPr>
            <w:r w:rsidRPr="00BB1E80">
              <w:t>Inflammation</w:t>
            </w:r>
          </w:p>
        </w:tc>
        <w:tc>
          <w:tcPr>
            <w:tcW w:w="983" w:type="dxa"/>
          </w:tcPr>
          <w:p w14:paraId="07E9DAE4" w14:textId="77777777" w:rsidR="002640FA" w:rsidRPr="00BB1E80" w:rsidRDefault="002640FA" w:rsidP="00744F46">
            <w:pPr>
              <w:pStyle w:val="TableText"/>
            </w:pPr>
            <w:r w:rsidRPr="00BB1E80">
              <w:t>2</w:t>
            </w:r>
          </w:p>
        </w:tc>
        <w:tc>
          <w:tcPr>
            <w:tcW w:w="1329" w:type="dxa"/>
          </w:tcPr>
          <w:p w14:paraId="317F0E82" w14:textId="77777777" w:rsidR="002640FA" w:rsidRPr="00BB1E80" w:rsidRDefault="002640FA" w:rsidP="00744F46">
            <w:pPr>
              <w:pStyle w:val="TableText"/>
            </w:pPr>
            <w:r w:rsidRPr="00BB1E80">
              <w:t>2 (2.8)</w:t>
            </w:r>
          </w:p>
        </w:tc>
        <w:tc>
          <w:tcPr>
            <w:tcW w:w="1081" w:type="dxa"/>
          </w:tcPr>
          <w:p w14:paraId="725C551C" w14:textId="77777777" w:rsidR="002640FA" w:rsidRPr="00BB1E80" w:rsidRDefault="002640FA" w:rsidP="00744F46">
            <w:pPr>
              <w:pStyle w:val="TableText"/>
            </w:pPr>
            <w:r w:rsidRPr="00BB1E80">
              <w:t>1</w:t>
            </w:r>
          </w:p>
        </w:tc>
        <w:tc>
          <w:tcPr>
            <w:tcW w:w="1231" w:type="dxa"/>
          </w:tcPr>
          <w:p w14:paraId="5B3A02BD" w14:textId="77777777" w:rsidR="002640FA" w:rsidRPr="00BB1E80" w:rsidRDefault="002640FA" w:rsidP="00744F46">
            <w:pPr>
              <w:pStyle w:val="TableText"/>
            </w:pPr>
            <w:r w:rsidRPr="00BB1E80">
              <w:t>1 (2.5)</w:t>
            </w:r>
          </w:p>
        </w:tc>
        <w:tc>
          <w:tcPr>
            <w:tcW w:w="1037" w:type="dxa"/>
          </w:tcPr>
          <w:p w14:paraId="5B87F855" w14:textId="77777777" w:rsidR="002640FA" w:rsidRPr="00BB1E80" w:rsidRDefault="002640FA" w:rsidP="00744F46">
            <w:pPr>
              <w:pStyle w:val="TableText"/>
            </w:pPr>
            <w:r w:rsidRPr="00BB1E80">
              <w:t>3</w:t>
            </w:r>
          </w:p>
        </w:tc>
        <w:tc>
          <w:tcPr>
            <w:tcW w:w="1276" w:type="dxa"/>
          </w:tcPr>
          <w:p w14:paraId="0A4EAF65" w14:textId="77777777" w:rsidR="002640FA" w:rsidRPr="00BB1E80" w:rsidRDefault="002640FA" w:rsidP="00744F46">
            <w:pPr>
              <w:pStyle w:val="TableText"/>
            </w:pPr>
            <w:r w:rsidRPr="00BB1E80">
              <w:t>3 (2.7)</w:t>
            </w:r>
          </w:p>
        </w:tc>
      </w:tr>
      <w:tr w:rsidR="002640FA" w:rsidRPr="00BB1E80" w14:paraId="34E914CD" w14:textId="77777777" w:rsidTr="00AE4565">
        <w:trPr>
          <w:trHeight w:val="193"/>
        </w:trPr>
        <w:tc>
          <w:tcPr>
            <w:tcW w:w="2556" w:type="dxa"/>
          </w:tcPr>
          <w:p w14:paraId="585B4C5B" w14:textId="77777777" w:rsidR="002640FA" w:rsidRPr="00BB1E80" w:rsidRDefault="002640FA" w:rsidP="00744F46">
            <w:pPr>
              <w:pStyle w:val="TableText"/>
            </w:pPr>
            <w:r w:rsidRPr="00BB1E80">
              <w:t>Pin prick/pinching sensation</w:t>
            </w:r>
          </w:p>
        </w:tc>
        <w:tc>
          <w:tcPr>
            <w:tcW w:w="983" w:type="dxa"/>
          </w:tcPr>
          <w:p w14:paraId="418D3705" w14:textId="77777777" w:rsidR="002640FA" w:rsidRPr="00BB1E80" w:rsidRDefault="002640FA" w:rsidP="00744F46">
            <w:pPr>
              <w:pStyle w:val="TableText"/>
            </w:pPr>
            <w:r w:rsidRPr="00BB1E80">
              <w:t>2</w:t>
            </w:r>
          </w:p>
        </w:tc>
        <w:tc>
          <w:tcPr>
            <w:tcW w:w="1329" w:type="dxa"/>
          </w:tcPr>
          <w:p w14:paraId="61848D3C" w14:textId="77777777" w:rsidR="002640FA" w:rsidRPr="00BB1E80" w:rsidRDefault="002640FA" w:rsidP="00744F46">
            <w:pPr>
              <w:pStyle w:val="TableText"/>
            </w:pPr>
            <w:r w:rsidRPr="00BB1E80">
              <w:t>2 (2.8)</w:t>
            </w:r>
          </w:p>
        </w:tc>
        <w:tc>
          <w:tcPr>
            <w:tcW w:w="1081" w:type="dxa"/>
          </w:tcPr>
          <w:p w14:paraId="352B2F82" w14:textId="77777777" w:rsidR="002640FA" w:rsidRPr="00BB1E80" w:rsidRDefault="002640FA" w:rsidP="00744F46">
            <w:pPr>
              <w:pStyle w:val="TableText"/>
            </w:pPr>
            <w:r w:rsidRPr="00BB1E80">
              <w:t>0</w:t>
            </w:r>
          </w:p>
        </w:tc>
        <w:tc>
          <w:tcPr>
            <w:tcW w:w="1231" w:type="dxa"/>
          </w:tcPr>
          <w:p w14:paraId="54CA599A" w14:textId="77777777" w:rsidR="002640FA" w:rsidRPr="00BB1E80" w:rsidRDefault="002640FA" w:rsidP="00744F46">
            <w:pPr>
              <w:pStyle w:val="TableText"/>
            </w:pPr>
            <w:r w:rsidRPr="00BB1E80">
              <w:t>0</w:t>
            </w:r>
          </w:p>
        </w:tc>
        <w:tc>
          <w:tcPr>
            <w:tcW w:w="1037" w:type="dxa"/>
          </w:tcPr>
          <w:p w14:paraId="71DC5ECE" w14:textId="77777777" w:rsidR="002640FA" w:rsidRPr="00BB1E80" w:rsidRDefault="002640FA" w:rsidP="00744F46">
            <w:pPr>
              <w:pStyle w:val="TableText"/>
            </w:pPr>
            <w:r w:rsidRPr="00BB1E80">
              <w:t>2</w:t>
            </w:r>
          </w:p>
        </w:tc>
        <w:tc>
          <w:tcPr>
            <w:tcW w:w="1276" w:type="dxa"/>
          </w:tcPr>
          <w:p w14:paraId="2E2DFA53" w14:textId="77777777" w:rsidR="002640FA" w:rsidRPr="00BB1E80" w:rsidRDefault="002640FA" w:rsidP="00744F46">
            <w:pPr>
              <w:pStyle w:val="TableText"/>
            </w:pPr>
            <w:r w:rsidRPr="00BB1E80">
              <w:t>2 (1.8)</w:t>
            </w:r>
          </w:p>
        </w:tc>
      </w:tr>
      <w:tr w:rsidR="002640FA" w:rsidRPr="00BB1E80" w14:paraId="0DC29D01" w14:textId="77777777" w:rsidTr="00AE4565">
        <w:trPr>
          <w:trHeight w:val="200"/>
        </w:trPr>
        <w:tc>
          <w:tcPr>
            <w:tcW w:w="2556" w:type="dxa"/>
          </w:tcPr>
          <w:p w14:paraId="6CCFBD5C" w14:textId="77777777" w:rsidR="002640FA" w:rsidRPr="00BB1E80" w:rsidRDefault="002640FA" w:rsidP="00744F46">
            <w:pPr>
              <w:pStyle w:val="TableText"/>
            </w:pPr>
            <w:r w:rsidRPr="00BB1E80">
              <w:t>Vasovagal response</w:t>
            </w:r>
          </w:p>
        </w:tc>
        <w:tc>
          <w:tcPr>
            <w:tcW w:w="983" w:type="dxa"/>
          </w:tcPr>
          <w:p w14:paraId="78A057CC" w14:textId="77777777" w:rsidR="002640FA" w:rsidRPr="00BB1E80" w:rsidRDefault="002640FA" w:rsidP="00744F46">
            <w:pPr>
              <w:pStyle w:val="TableText"/>
            </w:pPr>
            <w:r w:rsidRPr="00BB1E80">
              <w:t>2</w:t>
            </w:r>
          </w:p>
        </w:tc>
        <w:tc>
          <w:tcPr>
            <w:tcW w:w="1329" w:type="dxa"/>
          </w:tcPr>
          <w:p w14:paraId="3A55242C" w14:textId="77777777" w:rsidR="002640FA" w:rsidRPr="00BB1E80" w:rsidRDefault="002640FA" w:rsidP="00744F46">
            <w:pPr>
              <w:pStyle w:val="TableText"/>
            </w:pPr>
            <w:r w:rsidRPr="00BB1E80">
              <w:t>2 (2.8)</w:t>
            </w:r>
          </w:p>
        </w:tc>
        <w:tc>
          <w:tcPr>
            <w:tcW w:w="1081" w:type="dxa"/>
          </w:tcPr>
          <w:p w14:paraId="6F597796" w14:textId="77777777" w:rsidR="002640FA" w:rsidRPr="00BB1E80" w:rsidRDefault="002640FA" w:rsidP="00744F46">
            <w:pPr>
              <w:pStyle w:val="TableText"/>
            </w:pPr>
            <w:r w:rsidRPr="00BB1E80">
              <w:t>0</w:t>
            </w:r>
          </w:p>
        </w:tc>
        <w:tc>
          <w:tcPr>
            <w:tcW w:w="1231" w:type="dxa"/>
          </w:tcPr>
          <w:p w14:paraId="564D99E5" w14:textId="77777777" w:rsidR="002640FA" w:rsidRPr="00BB1E80" w:rsidRDefault="002640FA" w:rsidP="00744F46">
            <w:pPr>
              <w:pStyle w:val="TableText"/>
            </w:pPr>
            <w:r w:rsidRPr="00BB1E80">
              <w:t>0</w:t>
            </w:r>
          </w:p>
        </w:tc>
        <w:tc>
          <w:tcPr>
            <w:tcW w:w="1037" w:type="dxa"/>
          </w:tcPr>
          <w:p w14:paraId="7A15CF50" w14:textId="77777777" w:rsidR="002640FA" w:rsidRPr="00BB1E80" w:rsidRDefault="002640FA" w:rsidP="00744F46">
            <w:pPr>
              <w:pStyle w:val="TableText"/>
            </w:pPr>
            <w:r w:rsidRPr="00BB1E80">
              <w:t>2</w:t>
            </w:r>
          </w:p>
        </w:tc>
        <w:tc>
          <w:tcPr>
            <w:tcW w:w="1276" w:type="dxa"/>
          </w:tcPr>
          <w:p w14:paraId="31BF2A32" w14:textId="77777777" w:rsidR="002640FA" w:rsidRPr="00BB1E80" w:rsidRDefault="002640FA" w:rsidP="00744F46">
            <w:pPr>
              <w:pStyle w:val="TableText"/>
            </w:pPr>
            <w:r w:rsidRPr="00BB1E80">
              <w:t>2 (1.8)</w:t>
            </w:r>
          </w:p>
        </w:tc>
      </w:tr>
      <w:tr w:rsidR="002640FA" w:rsidRPr="00BB1E80" w14:paraId="0E42793F" w14:textId="77777777" w:rsidTr="00AE4565">
        <w:trPr>
          <w:trHeight w:val="348"/>
        </w:trPr>
        <w:tc>
          <w:tcPr>
            <w:tcW w:w="2556" w:type="dxa"/>
          </w:tcPr>
          <w:p w14:paraId="7E0DE4DC" w14:textId="77777777" w:rsidR="002640FA" w:rsidRPr="00BB1E80" w:rsidRDefault="002640FA" w:rsidP="00744F46">
            <w:pPr>
              <w:pStyle w:val="TableText"/>
            </w:pPr>
            <w:r w:rsidRPr="00BB1E80">
              <w:t>Skin puncture with device delivery needle (not implant)</w:t>
            </w:r>
          </w:p>
        </w:tc>
        <w:tc>
          <w:tcPr>
            <w:tcW w:w="983" w:type="dxa"/>
          </w:tcPr>
          <w:p w14:paraId="7611C048" w14:textId="77777777" w:rsidR="002640FA" w:rsidRPr="00BB1E80" w:rsidRDefault="002640FA" w:rsidP="00744F46">
            <w:pPr>
              <w:pStyle w:val="TableText"/>
            </w:pPr>
            <w:r w:rsidRPr="00BB1E80">
              <w:t>1</w:t>
            </w:r>
          </w:p>
        </w:tc>
        <w:tc>
          <w:tcPr>
            <w:tcW w:w="1329" w:type="dxa"/>
          </w:tcPr>
          <w:p w14:paraId="220A8DCF" w14:textId="77777777" w:rsidR="002640FA" w:rsidRPr="00BB1E80" w:rsidRDefault="002640FA" w:rsidP="00744F46">
            <w:pPr>
              <w:pStyle w:val="TableText"/>
            </w:pPr>
            <w:r w:rsidRPr="00BB1E80">
              <w:t>1 (1.4)</w:t>
            </w:r>
          </w:p>
        </w:tc>
        <w:tc>
          <w:tcPr>
            <w:tcW w:w="1081" w:type="dxa"/>
          </w:tcPr>
          <w:p w14:paraId="09EEF739" w14:textId="77777777" w:rsidR="002640FA" w:rsidRPr="00BB1E80" w:rsidRDefault="002640FA" w:rsidP="00744F46">
            <w:pPr>
              <w:pStyle w:val="TableText"/>
            </w:pPr>
            <w:r w:rsidRPr="00BB1E80">
              <w:t>0</w:t>
            </w:r>
          </w:p>
        </w:tc>
        <w:tc>
          <w:tcPr>
            <w:tcW w:w="1231" w:type="dxa"/>
          </w:tcPr>
          <w:p w14:paraId="2F8F01F3" w14:textId="77777777" w:rsidR="002640FA" w:rsidRPr="00BB1E80" w:rsidRDefault="002640FA" w:rsidP="00744F46">
            <w:pPr>
              <w:pStyle w:val="TableText"/>
            </w:pPr>
            <w:r w:rsidRPr="00BB1E80">
              <w:t>0</w:t>
            </w:r>
          </w:p>
        </w:tc>
        <w:tc>
          <w:tcPr>
            <w:tcW w:w="1037" w:type="dxa"/>
          </w:tcPr>
          <w:p w14:paraId="1C4AA29E" w14:textId="77777777" w:rsidR="002640FA" w:rsidRPr="00BB1E80" w:rsidRDefault="002640FA" w:rsidP="00744F46">
            <w:pPr>
              <w:pStyle w:val="TableText"/>
            </w:pPr>
            <w:r w:rsidRPr="00BB1E80">
              <w:t>1</w:t>
            </w:r>
          </w:p>
        </w:tc>
        <w:tc>
          <w:tcPr>
            <w:tcW w:w="1276" w:type="dxa"/>
          </w:tcPr>
          <w:p w14:paraId="764D4AFB" w14:textId="77777777" w:rsidR="002640FA" w:rsidRPr="00BB1E80" w:rsidRDefault="002640FA" w:rsidP="00744F46">
            <w:pPr>
              <w:pStyle w:val="TableText"/>
            </w:pPr>
            <w:r w:rsidRPr="00BB1E80">
              <w:t>1 (0.9)</w:t>
            </w:r>
          </w:p>
        </w:tc>
      </w:tr>
      <w:tr w:rsidR="002640FA" w:rsidRPr="00BB1E80" w14:paraId="45117B30" w14:textId="77777777" w:rsidTr="00AE4565">
        <w:trPr>
          <w:trHeight w:val="193"/>
        </w:trPr>
        <w:tc>
          <w:tcPr>
            <w:tcW w:w="2556" w:type="dxa"/>
          </w:tcPr>
          <w:p w14:paraId="27321551" w14:textId="77777777" w:rsidR="002640FA" w:rsidRPr="00BB1E80" w:rsidRDefault="002640FA" w:rsidP="00744F46">
            <w:pPr>
              <w:pStyle w:val="TableText"/>
            </w:pPr>
            <w:r w:rsidRPr="00BB1E80">
              <w:t>Bilateral nasal repair</w:t>
            </w:r>
          </w:p>
        </w:tc>
        <w:tc>
          <w:tcPr>
            <w:tcW w:w="983" w:type="dxa"/>
          </w:tcPr>
          <w:p w14:paraId="47689D71" w14:textId="77777777" w:rsidR="002640FA" w:rsidRPr="00BB1E80" w:rsidRDefault="002640FA" w:rsidP="00744F46">
            <w:pPr>
              <w:pStyle w:val="TableText"/>
            </w:pPr>
            <w:r w:rsidRPr="00BB1E80">
              <w:t>0</w:t>
            </w:r>
          </w:p>
        </w:tc>
        <w:tc>
          <w:tcPr>
            <w:tcW w:w="1329" w:type="dxa"/>
          </w:tcPr>
          <w:p w14:paraId="136CC9CD" w14:textId="77777777" w:rsidR="002640FA" w:rsidRPr="00BB1E80" w:rsidRDefault="002640FA" w:rsidP="00744F46">
            <w:pPr>
              <w:pStyle w:val="TableText"/>
            </w:pPr>
            <w:r w:rsidRPr="00BB1E80">
              <w:t>0</w:t>
            </w:r>
          </w:p>
        </w:tc>
        <w:tc>
          <w:tcPr>
            <w:tcW w:w="1081" w:type="dxa"/>
          </w:tcPr>
          <w:p w14:paraId="4F867777" w14:textId="77777777" w:rsidR="002640FA" w:rsidRPr="00BB1E80" w:rsidRDefault="002640FA" w:rsidP="00744F46">
            <w:pPr>
              <w:pStyle w:val="TableText"/>
            </w:pPr>
            <w:r w:rsidRPr="00BB1E80">
              <w:t>1</w:t>
            </w:r>
          </w:p>
        </w:tc>
        <w:tc>
          <w:tcPr>
            <w:tcW w:w="1231" w:type="dxa"/>
          </w:tcPr>
          <w:p w14:paraId="74A200B2" w14:textId="77777777" w:rsidR="002640FA" w:rsidRPr="00BB1E80" w:rsidRDefault="002640FA" w:rsidP="00744F46">
            <w:pPr>
              <w:pStyle w:val="TableText"/>
            </w:pPr>
            <w:r w:rsidRPr="00BB1E80">
              <w:t>1 (2.5)</w:t>
            </w:r>
          </w:p>
        </w:tc>
        <w:tc>
          <w:tcPr>
            <w:tcW w:w="1037" w:type="dxa"/>
          </w:tcPr>
          <w:p w14:paraId="06019F29" w14:textId="77777777" w:rsidR="002640FA" w:rsidRPr="00BB1E80" w:rsidRDefault="002640FA" w:rsidP="00744F46">
            <w:pPr>
              <w:pStyle w:val="TableText"/>
            </w:pPr>
            <w:r w:rsidRPr="00BB1E80">
              <w:t>1</w:t>
            </w:r>
          </w:p>
        </w:tc>
        <w:tc>
          <w:tcPr>
            <w:tcW w:w="1276" w:type="dxa"/>
          </w:tcPr>
          <w:p w14:paraId="074389FE" w14:textId="77777777" w:rsidR="002640FA" w:rsidRPr="00BB1E80" w:rsidRDefault="002640FA" w:rsidP="00744F46">
            <w:pPr>
              <w:pStyle w:val="TableText"/>
            </w:pPr>
            <w:r w:rsidRPr="00BB1E80">
              <w:t>1 (0.9)</w:t>
            </w:r>
          </w:p>
        </w:tc>
      </w:tr>
      <w:tr w:rsidR="002640FA" w:rsidRPr="00BB1E80" w14:paraId="3A854BC5" w14:textId="77777777" w:rsidTr="00AE4565">
        <w:trPr>
          <w:trHeight w:val="200"/>
        </w:trPr>
        <w:tc>
          <w:tcPr>
            <w:tcW w:w="2556" w:type="dxa"/>
          </w:tcPr>
          <w:p w14:paraId="4AAFB6D4" w14:textId="77777777" w:rsidR="002640FA" w:rsidRPr="00BB1E80" w:rsidRDefault="002640FA" w:rsidP="00744F46">
            <w:pPr>
              <w:pStyle w:val="TableText"/>
              <w:rPr>
                <w:b/>
                <w:bCs/>
              </w:rPr>
            </w:pPr>
            <w:r w:rsidRPr="00BB1E80">
              <w:rPr>
                <w:b/>
                <w:bCs/>
              </w:rPr>
              <w:t xml:space="preserve">Total </w:t>
            </w:r>
          </w:p>
        </w:tc>
        <w:tc>
          <w:tcPr>
            <w:tcW w:w="983" w:type="dxa"/>
          </w:tcPr>
          <w:p w14:paraId="5205CD6A" w14:textId="77777777" w:rsidR="002640FA" w:rsidRPr="00BB1E80" w:rsidRDefault="002640FA" w:rsidP="00744F46">
            <w:pPr>
              <w:pStyle w:val="TableText"/>
              <w:rPr>
                <w:b/>
                <w:bCs/>
              </w:rPr>
            </w:pPr>
            <w:r w:rsidRPr="00BB1E80">
              <w:rPr>
                <w:b/>
                <w:bCs/>
              </w:rPr>
              <w:t>25</w:t>
            </w:r>
          </w:p>
        </w:tc>
        <w:tc>
          <w:tcPr>
            <w:tcW w:w="1329" w:type="dxa"/>
          </w:tcPr>
          <w:p w14:paraId="43A632A6" w14:textId="77777777" w:rsidR="002640FA" w:rsidRPr="00BB1E80" w:rsidRDefault="002640FA" w:rsidP="00744F46">
            <w:pPr>
              <w:pStyle w:val="TableText"/>
              <w:rPr>
                <w:b/>
                <w:bCs/>
                <w:vertAlign w:val="superscript"/>
              </w:rPr>
            </w:pPr>
            <w:r w:rsidRPr="00BB1E80">
              <w:rPr>
                <w:b/>
                <w:bCs/>
              </w:rPr>
              <w:t xml:space="preserve">18 (25.4) </w:t>
            </w:r>
            <w:r w:rsidRPr="00BB1E80">
              <w:rPr>
                <w:b/>
                <w:bCs/>
                <w:vertAlign w:val="superscript"/>
              </w:rPr>
              <w:t>a</w:t>
            </w:r>
          </w:p>
        </w:tc>
        <w:tc>
          <w:tcPr>
            <w:tcW w:w="1081" w:type="dxa"/>
          </w:tcPr>
          <w:p w14:paraId="59F1EDA9" w14:textId="77777777" w:rsidR="002640FA" w:rsidRPr="00BB1E80" w:rsidRDefault="002640FA" w:rsidP="00744F46">
            <w:pPr>
              <w:pStyle w:val="TableText"/>
              <w:rPr>
                <w:b/>
                <w:bCs/>
              </w:rPr>
            </w:pPr>
            <w:r w:rsidRPr="00BB1E80">
              <w:rPr>
                <w:b/>
                <w:bCs/>
              </w:rPr>
              <w:t>9</w:t>
            </w:r>
          </w:p>
        </w:tc>
        <w:tc>
          <w:tcPr>
            <w:tcW w:w="1231" w:type="dxa"/>
          </w:tcPr>
          <w:p w14:paraId="313740B1" w14:textId="77777777" w:rsidR="002640FA" w:rsidRPr="00BB1E80" w:rsidRDefault="002640FA" w:rsidP="00744F46">
            <w:pPr>
              <w:pStyle w:val="TableText"/>
              <w:rPr>
                <w:b/>
                <w:bCs/>
                <w:vertAlign w:val="superscript"/>
              </w:rPr>
            </w:pPr>
            <w:r w:rsidRPr="00BB1E80">
              <w:rPr>
                <w:b/>
                <w:bCs/>
              </w:rPr>
              <w:t xml:space="preserve">8 (20) </w:t>
            </w:r>
            <w:r w:rsidRPr="00BB1E80">
              <w:rPr>
                <w:b/>
                <w:bCs/>
                <w:vertAlign w:val="superscript"/>
              </w:rPr>
              <w:t>a</w:t>
            </w:r>
          </w:p>
        </w:tc>
        <w:tc>
          <w:tcPr>
            <w:tcW w:w="1037" w:type="dxa"/>
          </w:tcPr>
          <w:p w14:paraId="2FB9870A" w14:textId="77777777" w:rsidR="002640FA" w:rsidRPr="00BB1E80" w:rsidRDefault="002640FA" w:rsidP="00744F46">
            <w:pPr>
              <w:pStyle w:val="TableText"/>
              <w:rPr>
                <w:b/>
                <w:bCs/>
              </w:rPr>
            </w:pPr>
            <w:r w:rsidRPr="00BB1E80">
              <w:rPr>
                <w:b/>
                <w:bCs/>
              </w:rPr>
              <w:t>34</w:t>
            </w:r>
          </w:p>
        </w:tc>
        <w:tc>
          <w:tcPr>
            <w:tcW w:w="1276" w:type="dxa"/>
          </w:tcPr>
          <w:p w14:paraId="7B7E6212" w14:textId="77777777" w:rsidR="002640FA" w:rsidRPr="00BB1E80" w:rsidRDefault="002640FA" w:rsidP="00744F46">
            <w:pPr>
              <w:pStyle w:val="TableText"/>
              <w:rPr>
                <w:b/>
                <w:bCs/>
                <w:vertAlign w:val="superscript"/>
              </w:rPr>
            </w:pPr>
            <w:r w:rsidRPr="00BB1E80">
              <w:rPr>
                <w:b/>
                <w:bCs/>
              </w:rPr>
              <w:t xml:space="preserve">26 (23.4) </w:t>
            </w:r>
            <w:r w:rsidRPr="00BB1E80">
              <w:rPr>
                <w:b/>
                <w:bCs/>
                <w:vertAlign w:val="superscript"/>
              </w:rPr>
              <w:t>a</w:t>
            </w:r>
          </w:p>
        </w:tc>
      </w:tr>
    </w:tbl>
    <w:p w14:paraId="49C9D8A2" w14:textId="4A8AD825" w:rsidR="00CA51D4" w:rsidRDefault="00CA51D4" w:rsidP="00AE4565">
      <w:pPr>
        <w:pStyle w:val="TableNote"/>
        <w:keepNext w:val="0"/>
      </w:pPr>
      <w:r>
        <w:t xml:space="preserve">Source: </w:t>
      </w:r>
      <w:r w:rsidR="00997247">
        <w:t>Commentary Table 10, pg 118 of MSAC ADAR 1719+inline commentary</w:t>
      </w:r>
    </w:p>
    <w:p w14:paraId="190B50CF" w14:textId="77777777" w:rsidR="00CA51D4" w:rsidRDefault="00CA51D4" w:rsidP="00AE4565">
      <w:pPr>
        <w:pStyle w:val="TableNote"/>
        <w:keepNext w:val="0"/>
      </w:pPr>
      <w:r>
        <w:t>Notes:</w:t>
      </w:r>
    </w:p>
    <w:p w14:paraId="6227CC7F" w14:textId="77777777" w:rsidR="00CA51D4" w:rsidRDefault="00CA51D4" w:rsidP="00AE4565">
      <w:pPr>
        <w:pStyle w:val="TableNote"/>
        <w:keepNext w:val="0"/>
      </w:pPr>
      <w:r>
        <w:t xml:space="preserve">a </w:t>
      </w:r>
      <w:r w:rsidRPr="00B90925">
        <w:t xml:space="preserve">The total for participants is not the sum of the rows because </w:t>
      </w:r>
      <w:r>
        <w:t>one</w:t>
      </w:r>
      <w:r w:rsidRPr="00B90925">
        <w:t xml:space="preserve"> participant may have experienced more than </w:t>
      </w:r>
      <w:r>
        <w:t>one</w:t>
      </w:r>
      <w:r w:rsidRPr="00B90925">
        <w:t xml:space="preserve"> event.</w:t>
      </w:r>
    </w:p>
    <w:p w14:paraId="73B5D85D" w14:textId="6CA740ED" w:rsidR="004F4551" w:rsidRDefault="00CA51D4" w:rsidP="00AE4565">
      <w:pPr>
        <w:pStyle w:val="TableNote"/>
        <w:keepNext w:val="0"/>
        <w:ind w:left="142" w:hanging="142"/>
      </w:pPr>
      <w:r>
        <w:t>b Note, based on data in Appendix 12.2, it was found that these 10 events were experienced by nine patients, because one patient experienced two of these events. Thus the proportion of patients experiencing at least one device migration/extrusion/retrieval was 8.1% (9/111).</w:t>
      </w:r>
    </w:p>
    <w:p w14:paraId="630F247C" w14:textId="36DBF178" w:rsidR="00833A6A" w:rsidRDefault="00DF7F2D" w:rsidP="00FB0E96">
      <w:r w:rsidRPr="002F0AA4">
        <w:t>Based on the safety data from the</w:t>
      </w:r>
      <w:r w:rsidR="009B607B">
        <w:t xml:space="preserve"> other</w:t>
      </w:r>
      <w:r w:rsidRPr="002F0AA4">
        <w:t xml:space="preserve"> LATERA </w:t>
      </w:r>
      <w:r w:rsidRPr="00E72530">
        <w:t>studies (</w:t>
      </w:r>
      <w:r w:rsidRPr="00E72530">
        <w:rPr>
          <w:color w:val="2B579A"/>
          <w:shd w:val="clear" w:color="auto" w:fill="E6E6E6"/>
        </w:rPr>
        <w:fldChar w:fldCharType="begin"/>
      </w:r>
      <w:r w:rsidRPr="00E72530">
        <w:instrText xml:space="preserve"> REF _Ref119358432 \h  \* MERGEFORMAT </w:instrText>
      </w:r>
      <w:r w:rsidRPr="00E72530">
        <w:rPr>
          <w:color w:val="2B579A"/>
          <w:shd w:val="clear" w:color="auto" w:fill="E6E6E6"/>
        </w:rPr>
      </w:r>
      <w:r w:rsidRPr="00E72530">
        <w:rPr>
          <w:color w:val="2B579A"/>
          <w:shd w:val="clear" w:color="auto" w:fill="E6E6E6"/>
        </w:rPr>
        <w:fldChar w:fldCharType="separate"/>
      </w:r>
      <w:r w:rsidR="003511D3">
        <w:t xml:space="preserve">Table </w:t>
      </w:r>
      <w:r w:rsidR="003511D3">
        <w:rPr>
          <w:noProof/>
        </w:rPr>
        <w:t>9</w:t>
      </w:r>
      <w:r w:rsidRPr="00E72530">
        <w:rPr>
          <w:color w:val="2B579A"/>
          <w:shd w:val="clear" w:color="auto" w:fill="E6E6E6"/>
        </w:rPr>
        <w:fldChar w:fldCharType="end"/>
      </w:r>
      <w:r w:rsidRPr="00E72530">
        <w:t xml:space="preserve">) there were no </w:t>
      </w:r>
      <w:r w:rsidR="009B607B" w:rsidRPr="00E72530">
        <w:t>se</w:t>
      </w:r>
      <w:r w:rsidR="009B607B">
        <w:t>rious</w:t>
      </w:r>
      <w:r w:rsidR="009B607B" w:rsidRPr="00E72530">
        <w:t xml:space="preserve"> </w:t>
      </w:r>
      <w:r w:rsidR="000A06A0" w:rsidRPr="00E72530">
        <w:t xml:space="preserve">adverse events </w:t>
      </w:r>
      <w:r w:rsidRPr="00E72530">
        <w:t xml:space="preserve">related to the procedure or implant. </w:t>
      </w:r>
      <w:r w:rsidR="00E72530" w:rsidRPr="00E72530">
        <w:t>All</w:t>
      </w:r>
      <w:r w:rsidRPr="00E72530">
        <w:t xml:space="preserve"> the non-serious </w:t>
      </w:r>
      <w:r w:rsidR="00680DF2" w:rsidRPr="00E72530">
        <w:t xml:space="preserve">adverse events </w:t>
      </w:r>
      <w:r w:rsidRPr="00E72530">
        <w:t>occurring over 24 months were mild to moderate in severity and resolved without clinical sequelae or were ongoing but stable at study completion.</w:t>
      </w:r>
      <w:r w:rsidR="00833A6A">
        <w:t xml:space="preserve"> </w:t>
      </w:r>
      <w:r w:rsidR="00B94941">
        <w:t xml:space="preserve">The most commonly occurring </w:t>
      </w:r>
      <w:r w:rsidR="009B607B">
        <w:t xml:space="preserve">adverse events </w:t>
      </w:r>
      <w:r w:rsidR="00B94941">
        <w:t>included i</w:t>
      </w:r>
      <w:r w:rsidR="0032366A" w:rsidRPr="0032366A">
        <w:t>mplant retrieval/extrusion/migration</w:t>
      </w:r>
      <w:r w:rsidR="00B94941">
        <w:t xml:space="preserve"> (range, </w:t>
      </w:r>
      <w:r w:rsidR="00B94941" w:rsidRPr="00BB1E80">
        <w:t>3.1% to 4.7%</w:t>
      </w:r>
      <w:r w:rsidR="00B94941">
        <w:t>)</w:t>
      </w:r>
      <w:r w:rsidR="009B607B">
        <w:t>,</w:t>
      </w:r>
      <w:r w:rsidR="00B94941">
        <w:t xml:space="preserve"> </w:t>
      </w:r>
      <w:r w:rsidR="00137578">
        <w:t xml:space="preserve">foreign body sensation, implant palpable/bumps on nose, infection and skin irritation/inflammation. </w:t>
      </w:r>
    </w:p>
    <w:p w14:paraId="32A753FC" w14:textId="45584A51" w:rsidR="00DF7F2D" w:rsidRDefault="00DF7F2D" w:rsidP="00DF7F2D">
      <w:pPr>
        <w:pStyle w:val="Caption"/>
        <w:rPr>
          <w:u w:val="single"/>
        </w:rPr>
      </w:pPr>
      <w:bookmarkStart w:id="27" w:name="_Ref119358432"/>
      <w:r>
        <w:lastRenderedPageBreak/>
        <w:t xml:space="preserve">Table </w:t>
      </w:r>
      <w:r>
        <w:fldChar w:fldCharType="begin"/>
      </w:r>
      <w:r>
        <w:instrText>SEQ Table \* ARABIC</w:instrText>
      </w:r>
      <w:r>
        <w:fldChar w:fldCharType="separate"/>
      </w:r>
      <w:r w:rsidR="003511D3">
        <w:rPr>
          <w:noProof/>
        </w:rPr>
        <w:t>9</w:t>
      </w:r>
      <w:r>
        <w:fldChar w:fldCharType="end"/>
      </w:r>
      <w:bookmarkEnd w:id="27"/>
      <w:r>
        <w:tab/>
        <w:t>Summary of Device-/Procedure-related AEs in LATERA studies</w:t>
      </w:r>
    </w:p>
    <w:tbl>
      <w:tblPr>
        <w:tblStyle w:val="TableGrid"/>
        <w:tblW w:w="5000" w:type="pct"/>
        <w:tblLook w:val="04A0" w:firstRow="1" w:lastRow="0" w:firstColumn="1" w:lastColumn="0" w:noHBand="0" w:noVBand="1"/>
      </w:tblPr>
      <w:tblGrid>
        <w:gridCol w:w="2896"/>
        <w:gridCol w:w="1199"/>
        <w:gridCol w:w="1203"/>
        <w:gridCol w:w="1320"/>
        <w:gridCol w:w="1199"/>
        <w:gridCol w:w="1199"/>
      </w:tblGrid>
      <w:tr w:rsidR="002165BF" w14:paraId="1F86C805" w14:textId="77777777" w:rsidTr="00AE4565">
        <w:trPr>
          <w:trHeight w:val="20"/>
          <w:tblHeader/>
        </w:trPr>
        <w:tc>
          <w:tcPr>
            <w:tcW w:w="1606" w:type="pct"/>
            <w:shd w:val="clear" w:color="auto" w:fill="auto"/>
          </w:tcPr>
          <w:p w14:paraId="584DB21A" w14:textId="38D401DB" w:rsidR="002165BF" w:rsidRPr="00AF1736" w:rsidRDefault="002165BF">
            <w:pPr>
              <w:pStyle w:val="Tabletext0"/>
              <w:jc w:val="left"/>
              <w:rPr>
                <w:b/>
                <w:bCs/>
              </w:rPr>
            </w:pPr>
            <w:r>
              <w:rPr>
                <w:b/>
                <w:bCs/>
              </w:rPr>
              <w:t>Adverse events, n (%)</w:t>
            </w:r>
          </w:p>
        </w:tc>
        <w:tc>
          <w:tcPr>
            <w:tcW w:w="1332" w:type="pct"/>
            <w:gridSpan w:val="2"/>
            <w:shd w:val="clear" w:color="auto" w:fill="auto"/>
          </w:tcPr>
          <w:p w14:paraId="6EA0E848" w14:textId="34AC0BEC" w:rsidR="002165BF" w:rsidRDefault="002165BF">
            <w:pPr>
              <w:pStyle w:val="Tabletext0"/>
              <w:jc w:val="center"/>
              <w:rPr>
                <w:b/>
                <w:bCs/>
              </w:rPr>
            </w:pPr>
            <w:r>
              <w:rPr>
                <w:b/>
                <w:bCs/>
              </w:rPr>
              <w:t>LATERA-OFFICE</w:t>
            </w:r>
          </w:p>
          <w:p w14:paraId="2DFBF80F" w14:textId="77777777" w:rsidR="002165BF" w:rsidRPr="00AF1736" w:rsidRDefault="002165BF">
            <w:pPr>
              <w:pStyle w:val="Tabletext0"/>
              <w:jc w:val="center"/>
              <w:rPr>
                <w:b/>
                <w:bCs/>
              </w:rPr>
            </w:pPr>
            <w:r>
              <w:rPr>
                <w:b/>
                <w:bCs/>
              </w:rPr>
              <w:t>(N=166)</w:t>
            </w:r>
          </w:p>
        </w:tc>
        <w:tc>
          <w:tcPr>
            <w:tcW w:w="1397" w:type="pct"/>
            <w:gridSpan w:val="2"/>
            <w:shd w:val="clear" w:color="auto" w:fill="auto"/>
          </w:tcPr>
          <w:p w14:paraId="6722E682" w14:textId="77777777" w:rsidR="002165BF" w:rsidRDefault="002165BF">
            <w:pPr>
              <w:pStyle w:val="Tabletext0"/>
              <w:jc w:val="center"/>
              <w:rPr>
                <w:b/>
                <w:bCs/>
              </w:rPr>
            </w:pPr>
            <w:r>
              <w:rPr>
                <w:b/>
                <w:bCs/>
              </w:rPr>
              <w:t>LATERA-OR</w:t>
            </w:r>
          </w:p>
          <w:p w14:paraId="2E16A840" w14:textId="40F1F593" w:rsidR="002165BF" w:rsidRDefault="002165BF">
            <w:pPr>
              <w:pStyle w:val="Tabletext0"/>
              <w:jc w:val="center"/>
              <w:rPr>
                <w:b/>
                <w:bCs/>
              </w:rPr>
            </w:pPr>
            <w:r>
              <w:rPr>
                <w:b/>
                <w:bCs/>
              </w:rPr>
              <w:t>(N=113)</w:t>
            </w:r>
          </w:p>
        </w:tc>
        <w:tc>
          <w:tcPr>
            <w:tcW w:w="665" w:type="pct"/>
            <w:shd w:val="clear" w:color="auto" w:fill="auto"/>
          </w:tcPr>
          <w:p w14:paraId="16A3803B" w14:textId="7EFC3F55" w:rsidR="002165BF" w:rsidRDefault="002165BF">
            <w:pPr>
              <w:pStyle w:val="Tabletext0"/>
              <w:jc w:val="center"/>
              <w:rPr>
                <w:b/>
                <w:bCs/>
              </w:rPr>
            </w:pPr>
            <w:r>
              <w:rPr>
                <w:b/>
                <w:bCs/>
              </w:rPr>
              <w:t>Trial 4350-001</w:t>
            </w:r>
          </w:p>
          <w:p w14:paraId="197B054B" w14:textId="77777777" w:rsidR="002165BF" w:rsidRPr="00AF1736" w:rsidRDefault="002165BF">
            <w:pPr>
              <w:pStyle w:val="Tabletext0"/>
              <w:jc w:val="center"/>
              <w:rPr>
                <w:b/>
                <w:bCs/>
              </w:rPr>
            </w:pPr>
            <w:r>
              <w:rPr>
                <w:b/>
                <w:bCs/>
              </w:rPr>
              <w:t>(N=30)</w:t>
            </w:r>
          </w:p>
        </w:tc>
      </w:tr>
      <w:tr w:rsidR="00AE2CF8" w:rsidRPr="00BB1E80" w14:paraId="314E504A" w14:textId="77777777" w:rsidTr="00AE4565">
        <w:trPr>
          <w:trHeight w:val="20"/>
          <w:tblHeader/>
        </w:trPr>
        <w:tc>
          <w:tcPr>
            <w:tcW w:w="1606" w:type="pct"/>
            <w:shd w:val="clear" w:color="auto" w:fill="auto"/>
          </w:tcPr>
          <w:p w14:paraId="10B41D05" w14:textId="77777777" w:rsidR="00AE2CF8" w:rsidRPr="00BB1E80" w:rsidRDefault="00AE2CF8">
            <w:pPr>
              <w:pStyle w:val="Tabletext0"/>
              <w:jc w:val="left"/>
              <w:rPr>
                <w:b/>
                <w:bCs/>
              </w:rPr>
            </w:pPr>
            <w:r w:rsidRPr="00BB1E80">
              <w:rPr>
                <w:b/>
                <w:bCs/>
              </w:rPr>
              <w:t>Number of implants</w:t>
            </w:r>
          </w:p>
        </w:tc>
        <w:tc>
          <w:tcPr>
            <w:tcW w:w="1332" w:type="pct"/>
            <w:gridSpan w:val="2"/>
            <w:shd w:val="clear" w:color="auto" w:fill="auto"/>
          </w:tcPr>
          <w:p w14:paraId="27ACDD3F" w14:textId="0E112067" w:rsidR="00AE2CF8" w:rsidRPr="00BB1E80" w:rsidRDefault="00AE2CF8">
            <w:pPr>
              <w:pStyle w:val="Tabletext0"/>
              <w:jc w:val="center"/>
              <w:rPr>
                <w:b/>
                <w:bCs/>
              </w:rPr>
            </w:pPr>
            <w:r w:rsidRPr="00BB1E80">
              <w:rPr>
                <w:b/>
                <w:bCs/>
              </w:rPr>
              <w:t>319</w:t>
            </w:r>
          </w:p>
        </w:tc>
        <w:tc>
          <w:tcPr>
            <w:tcW w:w="1397" w:type="pct"/>
            <w:gridSpan w:val="2"/>
            <w:shd w:val="clear" w:color="auto" w:fill="auto"/>
          </w:tcPr>
          <w:p w14:paraId="066DD473" w14:textId="30422A63" w:rsidR="00AE2CF8" w:rsidRPr="00BB1E80" w:rsidRDefault="00AE2CF8">
            <w:pPr>
              <w:pStyle w:val="Tabletext0"/>
              <w:jc w:val="center"/>
              <w:rPr>
                <w:b/>
                <w:bCs/>
              </w:rPr>
            </w:pPr>
            <w:r w:rsidRPr="00BB1E80">
              <w:rPr>
                <w:b/>
                <w:bCs/>
              </w:rPr>
              <w:t>224</w:t>
            </w:r>
          </w:p>
        </w:tc>
        <w:tc>
          <w:tcPr>
            <w:tcW w:w="665" w:type="pct"/>
            <w:shd w:val="clear" w:color="auto" w:fill="auto"/>
          </w:tcPr>
          <w:p w14:paraId="69AD1D6A" w14:textId="36416935" w:rsidR="00AE2CF8" w:rsidRPr="00BB1E80" w:rsidRDefault="00AE2CF8">
            <w:pPr>
              <w:pStyle w:val="Tabletext0"/>
              <w:jc w:val="center"/>
              <w:rPr>
                <w:b/>
                <w:bCs/>
              </w:rPr>
            </w:pPr>
            <w:r w:rsidRPr="00BB1E80">
              <w:rPr>
                <w:b/>
                <w:bCs/>
              </w:rPr>
              <w:t>56</w:t>
            </w:r>
          </w:p>
        </w:tc>
      </w:tr>
      <w:tr w:rsidR="002165BF" w14:paraId="4932F37B" w14:textId="77777777" w:rsidTr="00AE4565">
        <w:trPr>
          <w:trHeight w:val="20"/>
          <w:tblHeader/>
        </w:trPr>
        <w:tc>
          <w:tcPr>
            <w:tcW w:w="1606" w:type="pct"/>
            <w:shd w:val="clear" w:color="auto" w:fill="auto"/>
          </w:tcPr>
          <w:p w14:paraId="246AE620" w14:textId="77777777" w:rsidR="002165BF" w:rsidRPr="00AF1736" w:rsidRDefault="002165BF">
            <w:pPr>
              <w:pStyle w:val="Tabletext0"/>
              <w:jc w:val="left"/>
              <w:rPr>
                <w:b/>
                <w:bCs/>
              </w:rPr>
            </w:pPr>
            <w:r>
              <w:rPr>
                <w:b/>
                <w:bCs/>
              </w:rPr>
              <w:t>Follow-up</w:t>
            </w:r>
          </w:p>
        </w:tc>
        <w:tc>
          <w:tcPr>
            <w:tcW w:w="665" w:type="pct"/>
            <w:shd w:val="clear" w:color="auto" w:fill="auto"/>
          </w:tcPr>
          <w:p w14:paraId="28C2DBF2" w14:textId="63427547" w:rsidR="002165BF" w:rsidRPr="00AF1736" w:rsidRDefault="002165BF">
            <w:pPr>
              <w:pStyle w:val="Tabletext0"/>
              <w:jc w:val="center"/>
              <w:rPr>
                <w:b/>
                <w:bCs/>
              </w:rPr>
            </w:pPr>
            <w:r>
              <w:rPr>
                <w:b/>
                <w:bCs/>
              </w:rPr>
              <w:t>6 months</w:t>
            </w:r>
          </w:p>
        </w:tc>
        <w:tc>
          <w:tcPr>
            <w:tcW w:w="667" w:type="pct"/>
            <w:shd w:val="clear" w:color="auto" w:fill="auto"/>
          </w:tcPr>
          <w:p w14:paraId="567C8F3B" w14:textId="77777777" w:rsidR="002165BF" w:rsidRPr="00AF1736" w:rsidRDefault="002165BF">
            <w:pPr>
              <w:pStyle w:val="Tabletext0"/>
              <w:jc w:val="center"/>
              <w:rPr>
                <w:b/>
                <w:bCs/>
              </w:rPr>
            </w:pPr>
            <w:r>
              <w:rPr>
                <w:b/>
                <w:bCs/>
              </w:rPr>
              <w:t>24 months</w:t>
            </w:r>
          </w:p>
        </w:tc>
        <w:tc>
          <w:tcPr>
            <w:tcW w:w="732" w:type="pct"/>
            <w:shd w:val="clear" w:color="auto" w:fill="auto"/>
          </w:tcPr>
          <w:p w14:paraId="038FACBE" w14:textId="77777777" w:rsidR="002165BF" w:rsidRDefault="002165BF">
            <w:pPr>
              <w:pStyle w:val="Tabletext0"/>
              <w:jc w:val="center"/>
              <w:rPr>
                <w:b/>
                <w:bCs/>
              </w:rPr>
            </w:pPr>
            <w:r>
              <w:rPr>
                <w:b/>
                <w:bCs/>
              </w:rPr>
              <w:t>6 months</w:t>
            </w:r>
          </w:p>
        </w:tc>
        <w:tc>
          <w:tcPr>
            <w:tcW w:w="665" w:type="pct"/>
            <w:shd w:val="clear" w:color="auto" w:fill="auto"/>
          </w:tcPr>
          <w:p w14:paraId="32D12610" w14:textId="6C5900E2" w:rsidR="002165BF" w:rsidRDefault="002165BF">
            <w:pPr>
              <w:pStyle w:val="Tabletext0"/>
              <w:jc w:val="center"/>
              <w:rPr>
                <w:b/>
                <w:bCs/>
              </w:rPr>
            </w:pPr>
            <w:r>
              <w:rPr>
                <w:b/>
                <w:bCs/>
              </w:rPr>
              <w:t>24 months</w:t>
            </w:r>
          </w:p>
        </w:tc>
        <w:tc>
          <w:tcPr>
            <w:tcW w:w="665" w:type="pct"/>
            <w:shd w:val="clear" w:color="auto" w:fill="auto"/>
          </w:tcPr>
          <w:p w14:paraId="39E2B47D" w14:textId="3E7BEA1D" w:rsidR="002165BF" w:rsidRDefault="002165BF">
            <w:pPr>
              <w:pStyle w:val="Tabletext0"/>
              <w:jc w:val="center"/>
              <w:rPr>
                <w:b/>
                <w:bCs/>
              </w:rPr>
            </w:pPr>
            <w:r>
              <w:rPr>
                <w:b/>
                <w:bCs/>
              </w:rPr>
              <w:t xml:space="preserve">6 months </w:t>
            </w:r>
          </w:p>
        </w:tc>
      </w:tr>
      <w:tr w:rsidR="002165BF" w:rsidRPr="00BB1E80" w14:paraId="659EACDA" w14:textId="77777777" w:rsidTr="00AE4565">
        <w:trPr>
          <w:trHeight w:val="20"/>
        </w:trPr>
        <w:tc>
          <w:tcPr>
            <w:tcW w:w="1606" w:type="pct"/>
          </w:tcPr>
          <w:p w14:paraId="42B387E1" w14:textId="77777777" w:rsidR="002165BF" w:rsidRPr="00BB1E80" w:rsidRDefault="002165BF" w:rsidP="00D66D65">
            <w:pPr>
              <w:pStyle w:val="Tabletext0"/>
              <w:jc w:val="left"/>
            </w:pPr>
            <w:r w:rsidRPr="00BB1E80">
              <w:t>Implant retrieval/extrusion/migration</w:t>
            </w:r>
          </w:p>
        </w:tc>
        <w:tc>
          <w:tcPr>
            <w:tcW w:w="665" w:type="pct"/>
          </w:tcPr>
          <w:p w14:paraId="08B1FA3E" w14:textId="2A96EA1D" w:rsidR="002165BF" w:rsidRPr="00BB1E80" w:rsidRDefault="002165BF" w:rsidP="00D66D65">
            <w:pPr>
              <w:pStyle w:val="Tabletext0"/>
              <w:jc w:val="center"/>
            </w:pPr>
            <w:r w:rsidRPr="00BB1E80">
              <w:t>14/319 (4.4)</w:t>
            </w:r>
          </w:p>
        </w:tc>
        <w:tc>
          <w:tcPr>
            <w:tcW w:w="667" w:type="pct"/>
          </w:tcPr>
          <w:p w14:paraId="2ED9C49D" w14:textId="77777777" w:rsidR="002165BF" w:rsidRPr="00BB1E80" w:rsidRDefault="002165BF" w:rsidP="00D66D65">
            <w:pPr>
              <w:pStyle w:val="Tabletext0"/>
              <w:jc w:val="center"/>
            </w:pPr>
            <w:r w:rsidRPr="00BB1E80">
              <w:t>15/319 (4.7)</w:t>
            </w:r>
          </w:p>
        </w:tc>
        <w:tc>
          <w:tcPr>
            <w:tcW w:w="732" w:type="pct"/>
          </w:tcPr>
          <w:p w14:paraId="73587554" w14:textId="77777777" w:rsidR="002165BF" w:rsidRPr="00BB1E80" w:rsidRDefault="002165BF" w:rsidP="00D66D65">
            <w:pPr>
              <w:pStyle w:val="Tabletext0"/>
              <w:jc w:val="center"/>
            </w:pPr>
            <w:r w:rsidRPr="00BB1E80">
              <w:t>7/224 (3.1)</w:t>
            </w:r>
          </w:p>
        </w:tc>
        <w:tc>
          <w:tcPr>
            <w:tcW w:w="665" w:type="pct"/>
          </w:tcPr>
          <w:p w14:paraId="5CD88B21" w14:textId="7F5DCFD1" w:rsidR="002165BF" w:rsidRPr="00BB1E80" w:rsidRDefault="00EB6591" w:rsidP="00EB6591">
            <w:pPr>
              <w:pStyle w:val="Tabletext0"/>
              <w:jc w:val="center"/>
            </w:pPr>
            <w:r w:rsidRPr="00BB1E80">
              <w:t>7/224 (3.1)</w:t>
            </w:r>
          </w:p>
        </w:tc>
        <w:tc>
          <w:tcPr>
            <w:tcW w:w="665" w:type="pct"/>
          </w:tcPr>
          <w:p w14:paraId="2399FD7F" w14:textId="1CAE1140" w:rsidR="002165BF" w:rsidRPr="00BB1E80" w:rsidRDefault="002165BF" w:rsidP="00D66D65">
            <w:pPr>
              <w:pStyle w:val="Tabletext0"/>
              <w:jc w:val="center"/>
            </w:pPr>
            <w:r w:rsidRPr="00BB1E80">
              <w:t>3/56 (5.4)</w:t>
            </w:r>
          </w:p>
        </w:tc>
      </w:tr>
      <w:tr w:rsidR="002165BF" w:rsidRPr="00BB1E80" w14:paraId="176D6B43" w14:textId="77777777" w:rsidTr="00AE4565">
        <w:trPr>
          <w:trHeight w:val="20"/>
        </w:trPr>
        <w:tc>
          <w:tcPr>
            <w:tcW w:w="1606" w:type="pct"/>
          </w:tcPr>
          <w:p w14:paraId="135A1E7C" w14:textId="77777777" w:rsidR="002165BF" w:rsidRPr="00BB1E80" w:rsidRDefault="002165BF" w:rsidP="00D66D65">
            <w:pPr>
              <w:pStyle w:val="Tabletext0"/>
              <w:jc w:val="left"/>
            </w:pPr>
            <w:r w:rsidRPr="00BB1E80">
              <w:t>Foreign body sensation</w:t>
            </w:r>
          </w:p>
        </w:tc>
        <w:tc>
          <w:tcPr>
            <w:tcW w:w="665" w:type="pct"/>
          </w:tcPr>
          <w:p w14:paraId="371290F9" w14:textId="0FB5728C" w:rsidR="002165BF" w:rsidRPr="00BB1E80" w:rsidRDefault="002165BF" w:rsidP="00D66D65">
            <w:pPr>
              <w:pStyle w:val="Tabletext0"/>
              <w:jc w:val="center"/>
            </w:pPr>
            <w:r w:rsidRPr="00BB1E80">
              <w:t>6/319 (1.9)</w:t>
            </w:r>
          </w:p>
        </w:tc>
        <w:tc>
          <w:tcPr>
            <w:tcW w:w="667" w:type="pct"/>
          </w:tcPr>
          <w:p w14:paraId="5E506877" w14:textId="77777777" w:rsidR="002165BF" w:rsidRPr="00BB1E80" w:rsidRDefault="002165BF" w:rsidP="00D66D65">
            <w:pPr>
              <w:pStyle w:val="Tabletext0"/>
              <w:jc w:val="center"/>
            </w:pPr>
            <w:r w:rsidRPr="00BB1E80">
              <w:t>6/319 (1.9)</w:t>
            </w:r>
          </w:p>
        </w:tc>
        <w:tc>
          <w:tcPr>
            <w:tcW w:w="732" w:type="pct"/>
          </w:tcPr>
          <w:p w14:paraId="4DC47D10" w14:textId="77777777" w:rsidR="002165BF" w:rsidRPr="00BB1E80" w:rsidRDefault="002165BF" w:rsidP="00D66D65">
            <w:pPr>
              <w:pStyle w:val="Tabletext0"/>
              <w:jc w:val="center"/>
            </w:pPr>
            <w:r w:rsidRPr="00BB1E80">
              <w:t>0</w:t>
            </w:r>
          </w:p>
        </w:tc>
        <w:tc>
          <w:tcPr>
            <w:tcW w:w="665" w:type="pct"/>
          </w:tcPr>
          <w:p w14:paraId="13320199" w14:textId="41FD76DE" w:rsidR="002165BF" w:rsidRPr="00BB1E80" w:rsidRDefault="00EB6591" w:rsidP="00D66D65">
            <w:pPr>
              <w:pStyle w:val="Tabletext0"/>
              <w:jc w:val="center"/>
            </w:pPr>
            <w:r w:rsidRPr="00BB1E80">
              <w:t>0</w:t>
            </w:r>
          </w:p>
        </w:tc>
        <w:tc>
          <w:tcPr>
            <w:tcW w:w="665" w:type="pct"/>
          </w:tcPr>
          <w:p w14:paraId="05FEB4DE" w14:textId="7A5E6ABE" w:rsidR="002165BF" w:rsidRPr="00BB1E80" w:rsidRDefault="002165BF" w:rsidP="00D66D65">
            <w:pPr>
              <w:pStyle w:val="Tabletext0"/>
              <w:jc w:val="center"/>
            </w:pPr>
            <w:r w:rsidRPr="00BB1E80">
              <w:t>0</w:t>
            </w:r>
          </w:p>
        </w:tc>
      </w:tr>
      <w:tr w:rsidR="002165BF" w:rsidRPr="00BB1E80" w14:paraId="6FB50E7F" w14:textId="77777777" w:rsidTr="00AE4565">
        <w:trPr>
          <w:trHeight w:val="20"/>
        </w:trPr>
        <w:tc>
          <w:tcPr>
            <w:tcW w:w="1606" w:type="pct"/>
          </w:tcPr>
          <w:p w14:paraId="5BB8AF2C" w14:textId="77777777" w:rsidR="002165BF" w:rsidRPr="00BB1E80" w:rsidRDefault="002165BF" w:rsidP="00D66D65">
            <w:pPr>
              <w:pStyle w:val="Tabletext0"/>
              <w:jc w:val="left"/>
            </w:pPr>
            <w:r w:rsidRPr="00BB1E80">
              <w:t>Implant palpable/bumps on nose</w:t>
            </w:r>
          </w:p>
        </w:tc>
        <w:tc>
          <w:tcPr>
            <w:tcW w:w="665" w:type="pct"/>
          </w:tcPr>
          <w:p w14:paraId="43E0512F" w14:textId="364888EE" w:rsidR="002165BF" w:rsidRPr="00BB1E80" w:rsidRDefault="002165BF" w:rsidP="00D66D65">
            <w:pPr>
              <w:pStyle w:val="Tabletext0"/>
              <w:jc w:val="center"/>
            </w:pPr>
            <w:r w:rsidRPr="00BB1E80">
              <w:t>5/319 (1.6)</w:t>
            </w:r>
          </w:p>
        </w:tc>
        <w:tc>
          <w:tcPr>
            <w:tcW w:w="667" w:type="pct"/>
          </w:tcPr>
          <w:p w14:paraId="0F97555D" w14:textId="77777777" w:rsidR="002165BF" w:rsidRPr="00BB1E80" w:rsidRDefault="002165BF" w:rsidP="00D66D65">
            <w:pPr>
              <w:pStyle w:val="Tabletext0"/>
              <w:jc w:val="center"/>
            </w:pPr>
            <w:r w:rsidRPr="00BB1E80">
              <w:t>5/319 (1.6)</w:t>
            </w:r>
          </w:p>
        </w:tc>
        <w:tc>
          <w:tcPr>
            <w:tcW w:w="732" w:type="pct"/>
          </w:tcPr>
          <w:p w14:paraId="3BB289BB" w14:textId="77777777" w:rsidR="002165BF" w:rsidRPr="00BB1E80" w:rsidRDefault="002165BF" w:rsidP="00D66D65">
            <w:pPr>
              <w:pStyle w:val="Tabletext0"/>
              <w:jc w:val="center"/>
            </w:pPr>
            <w:r w:rsidRPr="00BB1E80">
              <w:t>1/224 (0.4)</w:t>
            </w:r>
          </w:p>
        </w:tc>
        <w:tc>
          <w:tcPr>
            <w:tcW w:w="665" w:type="pct"/>
          </w:tcPr>
          <w:p w14:paraId="7E33C81E" w14:textId="440A0BF0" w:rsidR="002165BF" w:rsidRPr="00BB1E80" w:rsidRDefault="00EB6591" w:rsidP="00D66D65">
            <w:pPr>
              <w:pStyle w:val="Tabletext0"/>
              <w:jc w:val="center"/>
            </w:pPr>
            <w:r w:rsidRPr="00BB1E80">
              <w:t>2/224 (0.9)</w:t>
            </w:r>
          </w:p>
        </w:tc>
        <w:tc>
          <w:tcPr>
            <w:tcW w:w="665" w:type="pct"/>
          </w:tcPr>
          <w:p w14:paraId="4B5AA692" w14:textId="007406C1" w:rsidR="002165BF" w:rsidRPr="00BB1E80" w:rsidRDefault="002165BF" w:rsidP="00D66D65">
            <w:pPr>
              <w:pStyle w:val="Tabletext0"/>
              <w:jc w:val="center"/>
            </w:pPr>
            <w:r w:rsidRPr="00BB1E80">
              <w:t>0</w:t>
            </w:r>
          </w:p>
        </w:tc>
      </w:tr>
      <w:tr w:rsidR="002165BF" w:rsidRPr="00BB1E80" w14:paraId="21054301" w14:textId="77777777" w:rsidTr="00AE4565">
        <w:trPr>
          <w:trHeight w:val="20"/>
        </w:trPr>
        <w:tc>
          <w:tcPr>
            <w:tcW w:w="1606" w:type="pct"/>
          </w:tcPr>
          <w:p w14:paraId="0FFA07B7" w14:textId="77777777" w:rsidR="002165BF" w:rsidRPr="00BB1E80" w:rsidRDefault="002165BF" w:rsidP="00D66D65">
            <w:pPr>
              <w:pStyle w:val="Tabletext0"/>
              <w:jc w:val="left"/>
            </w:pPr>
            <w:r w:rsidRPr="00BB1E80">
              <w:t>Infection</w:t>
            </w:r>
          </w:p>
        </w:tc>
        <w:tc>
          <w:tcPr>
            <w:tcW w:w="665" w:type="pct"/>
          </w:tcPr>
          <w:p w14:paraId="48778F13" w14:textId="4BE6DF13" w:rsidR="002165BF" w:rsidRPr="00BB1E80" w:rsidRDefault="002165BF" w:rsidP="00D66D65">
            <w:pPr>
              <w:pStyle w:val="Tabletext0"/>
              <w:jc w:val="center"/>
            </w:pPr>
            <w:r w:rsidRPr="00BB1E80">
              <w:t>5/319 (1.6)</w:t>
            </w:r>
          </w:p>
        </w:tc>
        <w:tc>
          <w:tcPr>
            <w:tcW w:w="667" w:type="pct"/>
          </w:tcPr>
          <w:p w14:paraId="2DB897F5" w14:textId="77777777" w:rsidR="002165BF" w:rsidRPr="00BB1E80" w:rsidRDefault="002165BF" w:rsidP="00D66D65">
            <w:pPr>
              <w:pStyle w:val="Tabletext0"/>
              <w:jc w:val="center"/>
            </w:pPr>
            <w:r w:rsidRPr="00BB1E80">
              <w:t>5/319 (1.6)</w:t>
            </w:r>
          </w:p>
        </w:tc>
        <w:tc>
          <w:tcPr>
            <w:tcW w:w="732" w:type="pct"/>
          </w:tcPr>
          <w:p w14:paraId="1DAA537E" w14:textId="77777777" w:rsidR="002165BF" w:rsidRPr="00BB1E80" w:rsidRDefault="002165BF" w:rsidP="00D66D65">
            <w:pPr>
              <w:pStyle w:val="Tabletext0"/>
              <w:jc w:val="center"/>
            </w:pPr>
            <w:r w:rsidRPr="00BB1E80">
              <w:t>2/224 (0.9)</w:t>
            </w:r>
          </w:p>
        </w:tc>
        <w:tc>
          <w:tcPr>
            <w:tcW w:w="665" w:type="pct"/>
          </w:tcPr>
          <w:p w14:paraId="0FDE4D08" w14:textId="132F8611" w:rsidR="002165BF" w:rsidRPr="00BB1E80" w:rsidRDefault="00EB6591" w:rsidP="00D66D65">
            <w:pPr>
              <w:pStyle w:val="Tabletext0"/>
              <w:jc w:val="center"/>
            </w:pPr>
            <w:r w:rsidRPr="00BB1E80">
              <w:t>2/224 (0.9)</w:t>
            </w:r>
          </w:p>
        </w:tc>
        <w:tc>
          <w:tcPr>
            <w:tcW w:w="665" w:type="pct"/>
          </w:tcPr>
          <w:p w14:paraId="2A51D92C" w14:textId="239114F9" w:rsidR="002165BF" w:rsidRPr="00BB1E80" w:rsidRDefault="002165BF" w:rsidP="00D66D65">
            <w:pPr>
              <w:pStyle w:val="Tabletext0"/>
              <w:jc w:val="center"/>
            </w:pPr>
            <w:r w:rsidRPr="00BB1E80">
              <w:t>0</w:t>
            </w:r>
          </w:p>
        </w:tc>
      </w:tr>
      <w:tr w:rsidR="002165BF" w:rsidRPr="00BB1E80" w14:paraId="709D8681" w14:textId="77777777" w:rsidTr="00AE4565">
        <w:trPr>
          <w:trHeight w:val="20"/>
        </w:trPr>
        <w:tc>
          <w:tcPr>
            <w:tcW w:w="1606" w:type="pct"/>
          </w:tcPr>
          <w:p w14:paraId="61E844EB" w14:textId="77777777" w:rsidR="002165BF" w:rsidRPr="00BB1E80" w:rsidRDefault="002165BF" w:rsidP="00D66D65">
            <w:pPr>
              <w:pStyle w:val="Tabletext0"/>
              <w:jc w:val="left"/>
            </w:pPr>
            <w:r w:rsidRPr="00BB1E80">
              <w:t>Skin irritation/inflammation</w:t>
            </w:r>
          </w:p>
        </w:tc>
        <w:tc>
          <w:tcPr>
            <w:tcW w:w="665" w:type="pct"/>
          </w:tcPr>
          <w:p w14:paraId="36517B62" w14:textId="38FF917E" w:rsidR="002165BF" w:rsidRPr="00BB1E80" w:rsidRDefault="002165BF" w:rsidP="00D66D65">
            <w:pPr>
              <w:pStyle w:val="Tabletext0"/>
              <w:jc w:val="center"/>
            </w:pPr>
            <w:r w:rsidRPr="00BB1E80">
              <w:t>1/319 (0.3)</w:t>
            </w:r>
          </w:p>
        </w:tc>
        <w:tc>
          <w:tcPr>
            <w:tcW w:w="667" w:type="pct"/>
          </w:tcPr>
          <w:p w14:paraId="6EF71E23" w14:textId="77777777" w:rsidR="002165BF" w:rsidRPr="00BB1E80" w:rsidRDefault="002165BF" w:rsidP="00D66D65">
            <w:pPr>
              <w:pStyle w:val="Tabletext0"/>
              <w:jc w:val="center"/>
            </w:pPr>
            <w:r w:rsidRPr="00BB1E80">
              <w:t>1/319 (0.3)</w:t>
            </w:r>
          </w:p>
        </w:tc>
        <w:tc>
          <w:tcPr>
            <w:tcW w:w="732" w:type="pct"/>
          </w:tcPr>
          <w:p w14:paraId="194C261E" w14:textId="77777777" w:rsidR="002165BF" w:rsidRPr="00BB1E80" w:rsidRDefault="002165BF" w:rsidP="00D66D65">
            <w:pPr>
              <w:pStyle w:val="Tabletext0"/>
              <w:jc w:val="center"/>
            </w:pPr>
            <w:r w:rsidRPr="00BB1E80">
              <w:t>1/224 (0.4)</w:t>
            </w:r>
          </w:p>
        </w:tc>
        <w:tc>
          <w:tcPr>
            <w:tcW w:w="665" w:type="pct"/>
          </w:tcPr>
          <w:p w14:paraId="077B9B18" w14:textId="247C948B" w:rsidR="002165BF" w:rsidRPr="00BB1E80" w:rsidRDefault="002165BF" w:rsidP="00D66D65">
            <w:pPr>
              <w:pStyle w:val="Tabletext0"/>
              <w:jc w:val="center"/>
            </w:pPr>
            <w:r w:rsidRPr="00BB1E80">
              <w:t>1</w:t>
            </w:r>
            <w:r w:rsidR="00EB6591" w:rsidRPr="00BB1E80">
              <w:t>/224 (0.4)</w:t>
            </w:r>
          </w:p>
        </w:tc>
        <w:tc>
          <w:tcPr>
            <w:tcW w:w="665" w:type="pct"/>
          </w:tcPr>
          <w:p w14:paraId="195F1B0D" w14:textId="5E3DE4B3" w:rsidR="002165BF" w:rsidRPr="00BB1E80" w:rsidRDefault="002165BF" w:rsidP="00D66D65">
            <w:pPr>
              <w:pStyle w:val="Tabletext0"/>
              <w:jc w:val="center"/>
            </w:pPr>
            <w:r w:rsidRPr="00BB1E80">
              <w:t>1/56 (1.8)</w:t>
            </w:r>
          </w:p>
        </w:tc>
      </w:tr>
      <w:tr w:rsidR="002165BF" w:rsidRPr="00BB1E80" w14:paraId="7610D3BB" w14:textId="77777777" w:rsidTr="00AE4565">
        <w:trPr>
          <w:trHeight w:val="20"/>
        </w:trPr>
        <w:tc>
          <w:tcPr>
            <w:tcW w:w="1606" w:type="pct"/>
          </w:tcPr>
          <w:p w14:paraId="663DF953" w14:textId="77777777" w:rsidR="002165BF" w:rsidRPr="00BB1E80" w:rsidRDefault="002165BF" w:rsidP="00D66D65">
            <w:pPr>
              <w:pStyle w:val="Tabletext0"/>
              <w:jc w:val="left"/>
            </w:pPr>
            <w:r w:rsidRPr="00BB1E80">
              <w:t>Discomfort/pain</w:t>
            </w:r>
          </w:p>
        </w:tc>
        <w:tc>
          <w:tcPr>
            <w:tcW w:w="665" w:type="pct"/>
          </w:tcPr>
          <w:p w14:paraId="03B89C4F" w14:textId="7601344E" w:rsidR="002165BF" w:rsidRPr="00BB1E80" w:rsidRDefault="002165BF" w:rsidP="00D66D65">
            <w:pPr>
              <w:pStyle w:val="Tabletext0"/>
              <w:jc w:val="center"/>
            </w:pPr>
            <w:r w:rsidRPr="00BB1E80">
              <w:t>2/319 (0.6)</w:t>
            </w:r>
          </w:p>
        </w:tc>
        <w:tc>
          <w:tcPr>
            <w:tcW w:w="667" w:type="pct"/>
          </w:tcPr>
          <w:p w14:paraId="5C514276" w14:textId="77777777" w:rsidR="002165BF" w:rsidRPr="00BB1E80" w:rsidRDefault="002165BF" w:rsidP="00D66D65">
            <w:pPr>
              <w:pStyle w:val="Tabletext0"/>
              <w:jc w:val="center"/>
            </w:pPr>
            <w:r w:rsidRPr="00BB1E80">
              <w:t>4/319 (1.3)</w:t>
            </w:r>
          </w:p>
        </w:tc>
        <w:tc>
          <w:tcPr>
            <w:tcW w:w="732" w:type="pct"/>
          </w:tcPr>
          <w:p w14:paraId="346F98D0" w14:textId="77777777" w:rsidR="002165BF" w:rsidRPr="00BB1E80" w:rsidRDefault="002165BF" w:rsidP="00D66D65">
            <w:pPr>
              <w:pStyle w:val="Tabletext0"/>
              <w:jc w:val="center"/>
            </w:pPr>
            <w:r w:rsidRPr="00BB1E80">
              <w:t>0</w:t>
            </w:r>
          </w:p>
        </w:tc>
        <w:tc>
          <w:tcPr>
            <w:tcW w:w="665" w:type="pct"/>
          </w:tcPr>
          <w:p w14:paraId="23D766EA" w14:textId="5A3F16B8" w:rsidR="002165BF" w:rsidRPr="00BB1E80" w:rsidRDefault="00EB6591" w:rsidP="00D66D65">
            <w:pPr>
              <w:pStyle w:val="Tabletext0"/>
              <w:jc w:val="center"/>
            </w:pPr>
            <w:r w:rsidRPr="00BB1E80">
              <w:t>0</w:t>
            </w:r>
          </w:p>
        </w:tc>
        <w:tc>
          <w:tcPr>
            <w:tcW w:w="665" w:type="pct"/>
          </w:tcPr>
          <w:p w14:paraId="38462547" w14:textId="2BF9A90F" w:rsidR="002165BF" w:rsidRPr="00BB1E80" w:rsidRDefault="002165BF" w:rsidP="00D66D65">
            <w:pPr>
              <w:pStyle w:val="Tabletext0"/>
              <w:jc w:val="center"/>
            </w:pPr>
            <w:r w:rsidRPr="00BB1E80">
              <w:t>0</w:t>
            </w:r>
          </w:p>
        </w:tc>
      </w:tr>
      <w:tr w:rsidR="002165BF" w:rsidRPr="00BB1E80" w14:paraId="12035994" w14:textId="77777777" w:rsidTr="00AE4565">
        <w:trPr>
          <w:trHeight w:val="20"/>
        </w:trPr>
        <w:tc>
          <w:tcPr>
            <w:tcW w:w="1606" w:type="pct"/>
          </w:tcPr>
          <w:p w14:paraId="7E979CF3" w14:textId="77777777" w:rsidR="002165BF" w:rsidRPr="00BB1E80" w:rsidRDefault="002165BF" w:rsidP="00D66D65">
            <w:pPr>
              <w:pStyle w:val="Tabletext0"/>
              <w:jc w:val="left"/>
            </w:pPr>
            <w:r w:rsidRPr="00BB1E80">
              <w:t>Mucous production/postnasal drip</w:t>
            </w:r>
          </w:p>
        </w:tc>
        <w:tc>
          <w:tcPr>
            <w:tcW w:w="665" w:type="pct"/>
          </w:tcPr>
          <w:p w14:paraId="0674DBEC" w14:textId="0652CF2D" w:rsidR="002165BF" w:rsidRPr="00BB1E80" w:rsidRDefault="002165BF" w:rsidP="00D66D65">
            <w:pPr>
              <w:pStyle w:val="Tabletext0"/>
              <w:jc w:val="center"/>
            </w:pPr>
            <w:r w:rsidRPr="00BB1E80">
              <w:t>2/319 (0.6)</w:t>
            </w:r>
          </w:p>
        </w:tc>
        <w:tc>
          <w:tcPr>
            <w:tcW w:w="667" w:type="pct"/>
          </w:tcPr>
          <w:p w14:paraId="4C25933F" w14:textId="77777777" w:rsidR="002165BF" w:rsidRPr="00BB1E80" w:rsidRDefault="002165BF" w:rsidP="00D66D65">
            <w:pPr>
              <w:pStyle w:val="Tabletext0"/>
              <w:jc w:val="center"/>
            </w:pPr>
            <w:r w:rsidRPr="00BB1E80">
              <w:t>2/319 (0.6)</w:t>
            </w:r>
          </w:p>
        </w:tc>
        <w:tc>
          <w:tcPr>
            <w:tcW w:w="732" w:type="pct"/>
          </w:tcPr>
          <w:p w14:paraId="588EBFA9" w14:textId="77777777" w:rsidR="002165BF" w:rsidRPr="00BB1E80" w:rsidRDefault="002165BF" w:rsidP="00D66D65">
            <w:pPr>
              <w:pStyle w:val="Tabletext0"/>
              <w:jc w:val="center"/>
            </w:pPr>
            <w:r w:rsidRPr="00BB1E80">
              <w:t>0</w:t>
            </w:r>
          </w:p>
        </w:tc>
        <w:tc>
          <w:tcPr>
            <w:tcW w:w="665" w:type="pct"/>
          </w:tcPr>
          <w:p w14:paraId="57A84916" w14:textId="4DA758B4" w:rsidR="002165BF" w:rsidRPr="00BB1E80" w:rsidRDefault="00EB6591" w:rsidP="00D66D65">
            <w:pPr>
              <w:pStyle w:val="Tabletext0"/>
              <w:jc w:val="center"/>
            </w:pPr>
            <w:r w:rsidRPr="00BB1E80">
              <w:t>0</w:t>
            </w:r>
          </w:p>
        </w:tc>
        <w:tc>
          <w:tcPr>
            <w:tcW w:w="665" w:type="pct"/>
          </w:tcPr>
          <w:p w14:paraId="775BA62F" w14:textId="1993D6E8" w:rsidR="002165BF" w:rsidRPr="00BB1E80" w:rsidRDefault="002165BF" w:rsidP="00D66D65">
            <w:pPr>
              <w:pStyle w:val="Tabletext0"/>
              <w:jc w:val="center"/>
            </w:pPr>
            <w:r w:rsidRPr="00BB1E80">
              <w:t>0</w:t>
            </w:r>
          </w:p>
        </w:tc>
      </w:tr>
      <w:tr w:rsidR="002165BF" w:rsidRPr="00BB1E80" w14:paraId="0696DD15" w14:textId="77777777" w:rsidTr="00AE4565">
        <w:trPr>
          <w:trHeight w:val="20"/>
        </w:trPr>
        <w:tc>
          <w:tcPr>
            <w:tcW w:w="1606" w:type="pct"/>
          </w:tcPr>
          <w:p w14:paraId="25904A06" w14:textId="77777777" w:rsidR="002165BF" w:rsidRPr="00BB1E80" w:rsidRDefault="002165BF" w:rsidP="00D66D65">
            <w:pPr>
              <w:pStyle w:val="Tabletext0"/>
              <w:jc w:val="left"/>
            </w:pPr>
            <w:r w:rsidRPr="00BB1E80">
              <w:t>Haematoma</w:t>
            </w:r>
          </w:p>
        </w:tc>
        <w:tc>
          <w:tcPr>
            <w:tcW w:w="665" w:type="pct"/>
          </w:tcPr>
          <w:p w14:paraId="32FA1CB1" w14:textId="428FBDF4" w:rsidR="002165BF" w:rsidRPr="00BB1E80" w:rsidRDefault="002165BF" w:rsidP="00D66D65">
            <w:pPr>
              <w:pStyle w:val="Tabletext0"/>
              <w:jc w:val="center"/>
            </w:pPr>
            <w:r w:rsidRPr="00BB1E80">
              <w:t>1/319 (0.3)</w:t>
            </w:r>
          </w:p>
        </w:tc>
        <w:tc>
          <w:tcPr>
            <w:tcW w:w="667" w:type="pct"/>
          </w:tcPr>
          <w:p w14:paraId="402B7057" w14:textId="77777777" w:rsidR="002165BF" w:rsidRPr="00BB1E80" w:rsidRDefault="002165BF" w:rsidP="00D66D65">
            <w:pPr>
              <w:pStyle w:val="Tabletext0"/>
              <w:jc w:val="center"/>
            </w:pPr>
            <w:r w:rsidRPr="00BB1E80">
              <w:t>1/319 (0.3)</w:t>
            </w:r>
          </w:p>
        </w:tc>
        <w:tc>
          <w:tcPr>
            <w:tcW w:w="732" w:type="pct"/>
          </w:tcPr>
          <w:p w14:paraId="5D81A2BA" w14:textId="77777777" w:rsidR="002165BF" w:rsidRPr="00BB1E80" w:rsidRDefault="002165BF" w:rsidP="00D66D65">
            <w:pPr>
              <w:pStyle w:val="Tabletext0"/>
              <w:jc w:val="center"/>
            </w:pPr>
            <w:r w:rsidRPr="00BB1E80">
              <w:t>0</w:t>
            </w:r>
          </w:p>
        </w:tc>
        <w:tc>
          <w:tcPr>
            <w:tcW w:w="665" w:type="pct"/>
          </w:tcPr>
          <w:p w14:paraId="614BB3FC" w14:textId="495E45C7" w:rsidR="002165BF" w:rsidRPr="00BB1E80" w:rsidRDefault="00EB6591" w:rsidP="00D66D65">
            <w:pPr>
              <w:pStyle w:val="Tabletext0"/>
              <w:jc w:val="center"/>
            </w:pPr>
            <w:r w:rsidRPr="00BB1E80">
              <w:t>0</w:t>
            </w:r>
          </w:p>
        </w:tc>
        <w:tc>
          <w:tcPr>
            <w:tcW w:w="665" w:type="pct"/>
          </w:tcPr>
          <w:p w14:paraId="514CB3B4" w14:textId="6E08C3C8" w:rsidR="002165BF" w:rsidRPr="00BB1E80" w:rsidRDefault="002165BF" w:rsidP="00D66D65">
            <w:pPr>
              <w:pStyle w:val="Tabletext0"/>
              <w:jc w:val="center"/>
            </w:pPr>
            <w:r w:rsidRPr="00BB1E80">
              <w:t>1/56 (1.8)</w:t>
            </w:r>
          </w:p>
        </w:tc>
      </w:tr>
      <w:tr w:rsidR="002165BF" w:rsidRPr="00BB1E80" w14:paraId="14C25E38" w14:textId="77777777" w:rsidTr="00AE4565">
        <w:trPr>
          <w:trHeight w:val="20"/>
        </w:trPr>
        <w:tc>
          <w:tcPr>
            <w:tcW w:w="1606" w:type="pct"/>
          </w:tcPr>
          <w:p w14:paraId="64AC1630" w14:textId="77777777" w:rsidR="002165BF" w:rsidRPr="00BB1E80" w:rsidRDefault="002165BF" w:rsidP="00D66D65">
            <w:pPr>
              <w:pStyle w:val="Tabletext0"/>
              <w:jc w:val="left"/>
            </w:pPr>
            <w:r w:rsidRPr="00BB1E80">
              <w:t>Loss of smell/taste</w:t>
            </w:r>
          </w:p>
        </w:tc>
        <w:tc>
          <w:tcPr>
            <w:tcW w:w="665" w:type="pct"/>
          </w:tcPr>
          <w:p w14:paraId="71927E74" w14:textId="50913DDE" w:rsidR="002165BF" w:rsidRPr="00BB1E80" w:rsidRDefault="002165BF" w:rsidP="00D66D65">
            <w:pPr>
              <w:pStyle w:val="Tabletext0"/>
              <w:jc w:val="center"/>
            </w:pPr>
            <w:r w:rsidRPr="00BB1E80">
              <w:t>1/319 (0.3)</w:t>
            </w:r>
          </w:p>
        </w:tc>
        <w:tc>
          <w:tcPr>
            <w:tcW w:w="667" w:type="pct"/>
          </w:tcPr>
          <w:p w14:paraId="1C0A2DE4" w14:textId="77777777" w:rsidR="002165BF" w:rsidRPr="00BB1E80" w:rsidRDefault="002165BF" w:rsidP="00D66D65">
            <w:pPr>
              <w:pStyle w:val="Tabletext0"/>
              <w:jc w:val="center"/>
            </w:pPr>
            <w:r w:rsidRPr="00BB1E80">
              <w:t>1/319 (0.3)</w:t>
            </w:r>
          </w:p>
        </w:tc>
        <w:tc>
          <w:tcPr>
            <w:tcW w:w="732" w:type="pct"/>
          </w:tcPr>
          <w:p w14:paraId="4D8F4025" w14:textId="77777777" w:rsidR="002165BF" w:rsidRPr="00BB1E80" w:rsidRDefault="002165BF" w:rsidP="00D66D65">
            <w:pPr>
              <w:pStyle w:val="Tabletext0"/>
              <w:jc w:val="center"/>
            </w:pPr>
            <w:r w:rsidRPr="00BB1E80">
              <w:t>0</w:t>
            </w:r>
          </w:p>
        </w:tc>
        <w:tc>
          <w:tcPr>
            <w:tcW w:w="665" w:type="pct"/>
          </w:tcPr>
          <w:p w14:paraId="55A52D27" w14:textId="7843FC5A" w:rsidR="002165BF" w:rsidRPr="00BB1E80" w:rsidRDefault="00EB6591" w:rsidP="00D66D65">
            <w:pPr>
              <w:pStyle w:val="Tabletext0"/>
              <w:jc w:val="center"/>
            </w:pPr>
            <w:r w:rsidRPr="00BB1E80">
              <w:t>0</w:t>
            </w:r>
          </w:p>
        </w:tc>
        <w:tc>
          <w:tcPr>
            <w:tcW w:w="665" w:type="pct"/>
          </w:tcPr>
          <w:p w14:paraId="0B9CADC0" w14:textId="3044ACC7" w:rsidR="002165BF" w:rsidRPr="00BB1E80" w:rsidRDefault="002165BF" w:rsidP="00D66D65">
            <w:pPr>
              <w:pStyle w:val="Tabletext0"/>
              <w:jc w:val="center"/>
            </w:pPr>
            <w:r w:rsidRPr="00BB1E80">
              <w:t>0</w:t>
            </w:r>
          </w:p>
        </w:tc>
      </w:tr>
      <w:tr w:rsidR="002165BF" w:rsidRPr="00BB1E80" w14:paraId="117D283D" w14:textId="77777777" w:rsidTr="00AE4565">
        <w:trPr>
          <w:trHeight w:val="20"/>
        </w:trPr>
        <w:tc>
          <w:tcPr>
            <w:tcW w:w="1606" w:type="pct"/>
          </w:tcPr>
          <w:p w14:paraId="7FA5380C" w14:textId="77777777" w:rsidR="002165BF" w:rsidRPr="00BB1E80" w:rsidRDefault="002165BF" w:rsidP="00D66D65">
            <w:pPr>
              <w:pStyle w:val="Tabletext0"/>
              <w:jc w:val="left"/>
            </w:pPr>
            <w:r w:rsidRPr="00BB1E80">
              <w:t>Unintended perforation of the skin</w:t>
            </w:r>
          </w:p>
        </w:tc>
        <w:tc>
          <w:tcPr>
            <w:tcW w:w="665" w:type="pct"/>
          </w:tcPr>
          <w:p w14:paraId="1BB64741" w14:textId="07693D36" w:rsidR="002165BF" w:rsidRPr="00BB1E80" w:rsidRDefault="002165BF" w:rsidP="00D66D65">
            <w:pPr>
              <w:pStyle w:val="Tabletext0"/>
              <w:jc w:val="center"/>
            </w:pPr>
            <w:r w:rsidRPr="00BB1E80">
              <w:t>0</w:t>
            </w:r>
          </w:p>
        </w:tc>
        <w:tc>
          <w:tcPr>
            <w:tcW w:w="667" w:type="pct"/>
          </w:tcPr>
          <w:p w14:paraId="3AD840F6" w14:textId="77777777" w:rsidR="002165BF" w:rsidRPr="00BB1E80" w:rsidRDefault="002165BF" w:rsidP="00D66D65">
            <w:pPr>
              <w:pStyle w:val="Tabletext0"/>
              <w:jc w:val="center"/>
            </w:pPr>
            <w:r w:rsidRPr="00BB1E80">
              <w:t>1/319 (0.3)</w:t>
            </w:r>
          </w:p>
        </w:tc>
        <w:tc>
          <w:tcPr>
            <w:tcW w:w="732" w:type="pct"/>
          </w:tcPr>
          <w:p w14:paraId="1540F603" w14:textId="77777777" w:rsidR="002165BF" w:rsidRPr="00BB1E80" w:rsidRDefault="002165BF" w:rsidP="00D66D65">
            <w:pPr>
              <w:pStyle w:val="Tabletext0"/>
              <w:jc w:val="center"/>
            </w:pPr>
            <w:r w:rsidRPr="00BB1E80">
              <w:t>0</w:t>
            </w:r>
          </w:p>
        </w:tc>
        <w:tc>
          <w:tcPr>
            <w:tcW w:w="665" w:type="pct"/>
          </w:tcPr>
          <w:p w14:paraId="7AEDE03E" w14:textId="2E37DF50" w:rsidR="002165BF" w:rsidRPr="00BB1E80" w:rsidRDefault="00EB6591" w:rsidP="00D66D65">
            <w:pPr>
              <w:pStyle w:val="Tabletext0"/>
              <w:jc w:val="center"/>
            </w:pPr>
            <w:r w:rsidRPr="00BB1E80">
              <w:t>0</w:t>
            </w:r>
          </w:p>
        </w:tc>
        <w:tc>
          <w:tcPr>
            <w:tcW w:w="665" w:type="pct"/>
          </w:tcPr>
          <w:p w14:paraId="782A7FFE" w14:textId="3CC2095C" w:rsidR="002165BF" w:rsidRPr="00BB1E80" w:rsidRDefault="002165BF" w:rsidP="00D66D65">
            <w:pPr>
              <w:pStyle w:val="Tabletext0"/>
              <w:jc w:val="center"/>
            </w:pPr>
            <w:r w:rsidRPr="00BB1E80">
              <w:t>0</w:t>
            </w:r>
          </w:p>
        </w:tc>
      </w:tr>
      <w:tr w:rsidR="002165BF" w:rsidRPr="00BB1E80" w14:paraId="32FD7A1B" w14:textId="77777777" w:rsidTr="00AE4565">
        <w:trPr>
          <w:trHeight w:val="20"/>
        </w:trPr>
        <w:tc>
          <w:tcPr>
            <w:tcW w:w="1606" w:type="pct"/>
          </w:tcPr>
          <w:p w14:paraId="097D7478" w14:textId="77777777" w:rsidR="002165BF" w:rsidRPr="00BB1E80" w:rsidRDefault="002165BF" w:rsidP="00D66D65">
            <w:pPr>
              <w:pStyle w:val="Tabletext0"/>
              <w:jc w:val="left"/>
            </w:pPr>
            <w:r w:rsidRPr="00BB1E80">
              <w:t xml:space="preserve">Implant bent/fractured </w:t>
            </w:r>
          </w:p>
        </w:tc>
        <w:tc>
          <w:tcPr>
            <w:tcW w:w="665" w:type="pct"/>
          </w:tcPr>
          <w:p w14:paraId="22F3F876" w14:textId="43D2898B" w:rsidR="002165BF" w:rsidRPr="00BB1E80" w:rsidRDefault="002165BF" w:rsidP="00D66D65">
            <w:pPr>
              <w:pStyle w:val="Tabletext0"/>
              <w:jc w:val="center"/>
            </w:pPr>
            <w:r w:rsidRPr="00BB1E80">
              <w:t>0</w:t>
            </w:r>
          </w:p>
        </w:tc>
        <w:tc>
          <w:tcPr>
            <w:tcW w:w="667" w:type="pct"/>
          </w:tcPr>
          <w:p w14:paraId="048F8A28" w14:textId="77777777" w:rsidR="002165BF" w:rsidRPr="00BB1E80" w:rsidRDefault="002165BF" w:rsidP="00D66D65">
            <w:pPr>
              <w:pStyle w:val="Tabletext0"/>
              <w:jc w:val="center"/>
            </w:pPr>
            <w:r w:rsidRPr="00BB1E80">
              <w:t>0</w:t>
            </w:r>
          </w:p>
        </w:tc>
        <w:tc>
          <w:tcPr>
            <w:tcW w:w="732" w:type="pct"/>
          </w:tcPr>
          <w:p w14:paraId="11B3D85B" w14:textId="77777777" w:rsidR="002165BF" w:rsidRPr="00BB1E80" w:rsidRDefault="002165BF" w:rsidP="00D66D65">
            <w:pPr>
              <w:pStyle w:val="Tabletext0"/>
              <w:jc w:val="center"/>
            </w:pPr>
            <w:r w:rsidRPr="00BB1E80">
              <w:t>1/224 (0.4)</w:t>
            </w:r>
          </w:p>
        </w:tc>
        <w:tc>
          <w:tcPr>
            <w:tcW w:w="665" w:type="pct"/>
          </w:tcPr>
          <w:p w14:paraId="00A81E42" w14:textId="341A5435" w:rsidR="002165BF" w:rsidRPr="00BB1E80" w:rsidRDefault="002165BF" w:rsidP="00D66D65">
            <w:pPr>
              <w:pStyle w:val="Tabletext0"/>
              <w:jc w:val="center"/>
            </w:pPr>
            <w:r w:rsidRPr="00BB1E80">
              <w:t>1</w:t>
            </w:r>
          </w:p>
        </w:tc>
        <w:tc>
          <w:tcPr>
            <w:tcW w:w="665" w:type="pct"/>
          </w:tcPr>
          <w:p w14:paraId="3B7FDAE6" w14:textId="12C091DA" w:rsidR="002165BF" w:rsidRPr="00BB1E80" w:rsidRDefault="002165BF" w:rsidP="00D66D65">
            <w:pPr>
              <w:pStyle w:val="Tabletext0"/>
              <w:jc w:val="center"/>
            </w:pPr>
            <w:r w:rsidRPr="00BB1E80">
              <w:t>0</w:t>
            </w:r>
          </w:p>
        </w:tc>
      </w:tr>
      <w:tr w:rsidR="00EB6591" w:rsidRPr="00BB1E80" w14:paraId="48305D3A" w14:textId="77777777" w:rsidTr="00AE4565">
        <w:trPr>
          <w:trHeight w:val="20"/>
        </w:trPr>
        <w:tc>
          <w:tcPr>
            <w:tcW w:w="1606" w:type="pct"/>
          </w:tcPr>
          <w:p w14:paraId="41421B66" w14:textId="77777777" w:rsidR="00EB6591" w:rsidRPr="00BB1E80" w:rsidRDefault="00EB6591" w:rsidP="00EB6591">
            <w:pPr>
              <w:pStyle w:val="Tabletext0"/>
              <w:jc w:val="left"/>
            </w:pPr>
            <w:r w:rsidRPr="00BB1E80">
              <w:t>Headache</w:t>
            </w:r>
          </w:p>
        </w:tc>
        <w:tc>
          <w:tcPr>
            <w:tcW w:w="665" w:type="pct"/>
          </w:tcPr>
          <w:p w14:paraId="530FDB6E" w14:textId="2EB58D7F" w:rsidR="00EB6591" w:rsidRPr="00BB1E80" w:rsidRDefault="00EB6591" w:rsidP="00EB6591">
            <w:pPr>
              <w:pStyle w:val="Tabletext0"/>
              <w:jc w:val="center"/>
            </w:pPr>
            <w:r w:rsidRPr="00BB1E80">
              <w:t>NR</w:t>
            </w:r>
          </w:p>
        </w:tc>
        <w:tc>
          <w:tcPr>
            <w:tcW w:w="667" w:type="pct"/>
          </w:tcPr>
          <w:p w14:paraId="2261E567" w14:textId="77777777" w:rsidR="00EB6591" w:rsidRPr="00BB1E80" w:rsidRDefault="00EB6591" w:rsidP="00EB6591">
            <w:pPr>
              <w:pStyle w:val="Tabletext0"/>
              <w:jc w:val="center"/>
            </w:pPr>
            <w:r w:rsidRPr="00BB1E80">
              <w:t>NR</w:t>
            </w:r>
          </w:p>
        </w:tc>
        <w:tc>
          <w:tcPr>
            <w:tcW w:w="732" w:type="pct"/>
          </w:tcPr>
          <w:p w14:paraId="20AA5D1D" w14:textId="77777777" w:rsidR="00EB6591" w:rsidRPr="00BB1E80" w:rsidRDefault="00EB6591" w:rsidP="00EB6591">
            <w:pPr>
              <w:pStyle w:val="Tabletext0"/>
              <w:jc w:val="center"/>
            </w:pPr>
            <w:r w:rsidRPr="00BB1E80">
              <w:t>NR</w:t>
            </w:r>
          </w:p>
        </w:tc>
        <w:tc>
          <w:tcPr>
            <w:tcW w:w="665" w:type="pct"/>
          </w:tcPr>
          <w:p w14:paraId="4FEE47CE" w14:textId="772D8B0D" w:rsidR="00EB6591" w:rsidRPr="00BB1E80" w:rsidRDefault="00EB6591" w:rsidP="00EB6591">
            <w:pPr>
              <w:pStyle w:val="Tabletext0"/>
              <w:jc w:val="center"/>
            </w:pPr>
            <w:r w:rsidRPr="00BB1E80">
              <w:t>NR</w:t>
            </w:r>
          </w:p>
        </w:tc>
        <w:tc>
          <w:tcPr>
            <w:tcW w:w="665" w:type="pct"/>
          </w:tcPr>
          <w:p w14:paraId="42C2D9F5" w14:textId="4C9D7715" w:rsidR="00EB6591" w:rsidRPr="00BB1E80" w:rsidRDefault="00EB6591" w:rsidP="00EB6591">
            <w:pPr>
              <w:pStyle w:val="Tabletext0"/>
              <w:jc w:val="center"/>
            </w:pPr>
            <w:r w:rsidRPr="00BB1E80">
              <w:t>NR</w:t>
            </w:r>
          </w:p>
        </w:tc>
      </w:tr>
      <w:tr w:rsidR="00EB6591" w:rsidRPr="00BB1E80" w14:paraId="75D56FF5" w14:textId="77777777" w:rsidTr="00AE4565">
        <w:trPr>
          <w:trHeight w:val="20"/>
        </w:trPr>
        <w:tc>
          <w:tcPr>
            <w:tcW w:w="1606" w:type="pct"/>
          </w:tcPr>
          <w:p w14:paraId="02755004" w14:textId="77777777" w:rsidR="00EB6591" w:rsidRPr="00BB1E80" w:rsidRDefault="00EB6591" w:rsidP="00EB6591">
            <w:pPr>
              <w:pStyle w:val="Tabletext0"/>
              <w:jc w:val="left"/>
            </w:pPr>
            <w:r w:rsidRPr="00BB1E80">
              <w:t>Pin pricking/pinching sensation</w:t>
            </w:r>
          </w:p>
        </w:tc>
        <w:tc>
          <w:tcPr>
            <w:tcW w:w="665" w:type="pct"/>
          </w:tcPr>
          <w:p w14:paraId="246FF181" w14:textId="17DE3B00" w:rsidR="00EB6591" w:rsidRPr="00BB1E80" w:rsidRDefault="00EB6591" w:rsidP="00EB6591">
            <w:pPr>
              <w:pStyle w:val="Tabletext0"/>
              <w:jc w:val="center"/>
            </w:pPr>
            <w:r w:rsidRPr="00BB1E80">
              <w:t>NR</w:t>
            </w:r>
          </w:p>
        </w:tc>
        <w:tc>
          <w:tcPr>
            <w:tcW w:w="667" w:type="pct"/>
          </w:tcPr>
          <w:p w14:paraId="7590B39B" w14:textId="77777777" w:rsidR="00EB6591" w:rsidRPr="00BB1E80" w:rsidRDefault="00EB6591" w:rsidP="00EB6591">
            <w:pPr>
              <w:pStyle w:val="Tabletext0"/>
              <w:jc w:val="center"/>
            </w:pPr>
            <w:r w:rsidRPr="00BB1E80">
              <w:t>NR</w:t>
            </w:r>
          </w:p>
        </w:tc>
        <w:tc>
          <w:tcPr>
            <w:tcW w:w="732" w:type="pct"/>
          </w:tcPr>
          <w:p w14:paraId="4B474808" w14:textId="77777777" w:rsidR="00EB6591" w:rsidRPr="00BB1E80" w:rsidRDefault="00EB6591" w:rsidP="00EB6591">
            <w:pPr>
              <w:pStyle w:val="Tabletext0"/>
              <w:jc w:val="center"/>
            </w:pPr>
            <w:r w:rsidRPr="00BB1E80">
              <w:t>NR</w:t>
            </w:r>
          </w:p>
        </w:tc>
        <w:tc>
          <w:tcPr>
            <w:tcW w:w="665" w:type="pct"/>
          </w:tcPr>
          <w:p w14:paraId="1F4079D9" w14:textId="293C5754" w:rsidR="00EB6591" w:rsidRPr="00BB1E80" w:rsidRDefault="00EB6591" w:rsidP="00EB6591">
            <w:pPr>
              <w:pStyle w:val="Tabletext0"/>
              <w:jc w:val="center"/>
            </w:pPr>
            <w:r w:rsidRPr="00BB1E80">
              <w:t>NR</w:t>
            </w:r>
          </w:p>
        </w:tc>
        <w:tc>
          <w:tcPr>
            <w:tcW w:w="665" w:type="pct"/>
          </w:tcPr>
          <w:p w14:paraId="08A3252A" w14:textId="034593B7" w:rsidR="00EB6591" w:rsidRPr="00BB1E80" w:rsidRDefault="00EB6591" w:rsidP="00EB6591">
            <w:pPr>
              <w:pStyle w:val="Tabletext0"/>
              <w:jc w:val="center"/>
            </w:pPr>
            <w:r w:rsidRPr="00BB1E80">
              <w:t>NR</w:t>
            </w:r>
          </w:p>
        </w:tc>
      </w:tr>
      <w:tr w:rsidR="00EB6591" w:rsidRPr="00BB1E80" w14:paraId="0582A582" w14:textId="77777777" w:rsidTr="00AE4565">
        <w:trPr>
          <w:trHeight w:val="20"/>
        </w:trPr>
        <w:tc>
          <w:tcPr>
            <w:tcW w:w="1606" w:type="pct"/>
          </w:tcPr>
          <w:p w14:paraId="1834F095" w14:textId="77777777" w:rsidR="00EB6591" w:rsidRPr="00BB1E80" w:rsidRDefault="00EB6591" w:rsidP="00EB6591">
            <w:pPr>
              <w:pStyle w:val="Tabletext0"/>
              <w:jc w:val="left"/>
            </w:pPr>
            <w:r w:rsidRPr="00BB1E80">
              <w:t>Vasovagal response</w:t>
            </w:r>
          </w:p>
        </w:tc>
        <w:tc>
          <w:tcPr>
            <w:tcW w:w="665" w:type="pct"/>
          </w:tcPr>
          <w:p w14:paraId="547F1AC0" w14:textId="5601E8AF" w:rsidR="00EB6591" w:rsidRPr="00BB1E80" w:rsidRDefault="00EB6591" w:rsidP="00EB6591">
            <w:pPr>
              <w:pStyle w:val="Tabletext0"/>
              <w:jc w:val="center"/>
            </w:pPr>
            <w:r w:rsidRPr="00BB1E80">
              <w:t>NR</w:t>
            </w:r>
          </w:p>
        </w:tc>
        <w:tc>
          <w:tcPr>
            <w:tcW w:w="667" w:type="pct"/>
          </w:tcPr>
          <w:p w14:paraId="2B321B2E" w14:textId="77777777" w:rsidR="00EB6591" w:rsidRPr="00BB1E80" w:rsidRDefault="00EB6591" w:rsidP="00EB6591">
            <w:pPr>
              <w:pStyle w:val="Tabletext0"/>
              <w:jc w:val="center"/>
            </w:pPr>
            <w:r w:rsidRPr="00BB1E80">
              <w:t>NR</w:t>
            </w:r>
          </w:p>
        </w:tc>
        <w:tc>
          <w:tcPr>
            <w:tcW w:w="732" w:type="pct"/>
          </w:tcPr>
          <w:p w14:paraId="3C498EF9" w14:textId="77777777" w:rsidR="00EB6591" w:rsidRPr="00BB1E80" w:rsidRDefault="00EB6591" w:rsidP="00EB6591">
            <w:pPr>
              <w:pStyle w:val="Tabletext0"/>
              <w:jc w:val="center"/>
            </w:pPr>
            <w:r w:rsidRPr="00BB1E80">
              <w:t>NR</w:t>
            </w:r>
          </w:p>
        </w:tc>
        <w:tc>
          <w:tcPr>
            <w:tcW w:w="665" w:type="pct"/>
          </w:tcPr>
          <w:p w14:paraId="1ACA1860" w14:textId="0AEEF0AF" w:rsidR="00EB6591" w:rsidRPr="00BB1E80" w:rsidRDefault="00EB6591" w:rsidP="00EB6591">
            <w:pPr>
              <w:pStyle w:val="Tabletext0"/>
              <w:jc w:val="center"/>
            </w:pPr>
            <w:r w:rsidRPr="00BB1E80">
              <w:t>NR</w:t>
            </w:r>
          </w:p>
        </w:tc>
        <w:tc>
          <w:tcPr>
            <w:tcW w:w="665" w:type="pct"/>
          </w:tcPr>
          <w:p w14:paraId="6CFEC96F" w14:textId="078F2D50" w:rsidR="00EB6591" w:rsidRPr="00BB1E80" w:rsidRDefault="00EB6591" w:rsidP="00EB6591">
            <w:pPr>
              <w:pStyle w:val="Tabletext0"/>
              <w:jc w:val="center"/>
            </w:pPr>
            <w:r w:rsidRPr="00BB1E80">
              <w:t>NR</w:t>
            </w:r>
          </w:p>
        </w:tc>
      </w:tr>
      <w:tr w:rsidR="00EB6591" w:rsidRPr="00BB1E80" w14:paraId="6F745C75" w14:textId="77777777" w:rsidTr="00AE4565">
        <w:trPr>
          <w:trHeight w:val="20"/>
        </w:trPr>
        <w:tc>
          <w:tcPr>
            <w:tcW w:w="1606" w:type="pct"/>
          </w:tcPr>
          <w:p w14:paraId="00141B36" w14:textId="77777777" w:rsidR="00EB6591" w:rsidRPr="00BB1E80" w:rsidRDefault="00EB6591" w:rsidP="00EB6591">
            <w:pPr>
              <w:pStyle w:val="Tabletext0"/>
              <w:jc w:val="left"/>
            </w:pPr>
            <w:r w:rsidRPr="00BB1E80">
              <w:t>Skin puncture with device delivery needle (not implant)</w:t>
            </w:r>
          </w:p>
        </w:tc>
        <w:tc>
          <w:tcPr>
            <w:tcW w:w="665" w:type="pct"/>
          </w:tcPr>
          <w:p w14:paraId="13D483C4" w14:textId="7E477ECE" w:rsidR="00EB6591" w:rsidRPr="00BB1E80" w:rsidRDefault="00EB6591" w:rsidP="00EB6591">
            <w:pPr>
              <w:pStyle w:val="Tabletext0"/>
              <w:jc w:val="center"/>
            </w:pPr>
            <w:r w:rsidRPr="00BB1E80">
              <w:t>NR</w:t>
            </w:r>
          </w:p>
        </w:tc>
        <w:tc>
          <w:tcPr>
            <w:tcW w:w="667" w:type="pct"/>
          </w:tcPr>
          <w:p w14:paraId="5ACFBB96" w14:textId="77777777" w:rsidR="00EB6591" w:rsidRPr="00BB1E80" w:rsidRDefault="00EB6591" w:rsidP="00EB6591">
            <w:pPr>
              <w:pStyle w:val="Tabletext0"/>
              <w:jc w:val="center"/>
            </w:pPr>
            <w:r w:rsidRPr="00BB1E80">
              <w:t>NR</w:t>
            </w:r>
          </w:p>
        </w:tc>
        <w:tc>
          <w:tcPr>
            <w:tcW w:w="732" w:type="pct"/>
          </w:tcPr>
          <w:p w14:paraId="6E5C4AF9" w14:textId="77777777" w:rsidR="00EB6591" w:rsidRPr="00BB1E80" w:rsidRDefault="00EB6591" w:rsidP="00EB6591">
            <w:pPr>
              <w:pStyle w:val="Tabletext0"/>
              <w:jc w:val="center"/>
            </w:pPr>
            <w:r w:rsidRPr="00BB1E80">
              <w:t>NR</w:t>
            </w:r>
          </w:p>
        </w:tc>
        <w:tc>
          <w:tcPr>
            <w:tcW w:w="665" w:type="pct"/>
          </w:tcPr>
          <w:p w14:paraId="21ECD294" w14:textId="0B9421C6" w:rsidR="00EB6591" w:rsidRPr="00BB1E80" w:rsidRDefault="00EB6591" w:rsidP="00EB6591">
            <w:pPr>
              <w:pStyle w:val="Tabletext0"/>
              <w:jc w:val="center"/>
            </w:pPr>
            <w:r w:rsidRPr="00BB1E80">
              <w:t>NR</w:t>
            </w:r>
          </w:p>
        </w:tc>
        <w:tc>
          <w:tcPr>
            <w:tcW w:w="665" w:type="pct"/>
          </w:tcPr>
          <w:p w14:paraId="65B5185C" w14:textId="5615EB32" w:rsidR="00EB6591" w:rsidRPr="00BB1E80" w:rsidRDefault="00EB6591" w:rsidP="00EB6591">
            <w:pPr>
              <w:pStyle w:val="Tabletext0"/>
              <w:jc w:val="center"/>
            </w:pPr>
            <w:r w:rsidRPr="00BB1E80">
              <w:t>NR</w:t>
            </w:r>
          </w:p>
        </w:tc>
      </w:tr>
      <w:tr w:rsidR="00EB6591" w:rsidRPr="00BB1E80" w14:paraId="7333155F" w14:textId="77777777" w:rsidTr="00AE4565">
        <w:trPr>
          <w:trHeight w:val="20"/>
        </w:trPr>
        <w:tc>
          <w:tcPr>
            <w:tcW w:w="1606" w:type="pct"/>
          </w:tcPr>
          <w:p w14:paraId="5E0BE8F1" w14:textId="77777777" w:rsidR="00EB6591" w:rsidRPr="00BB1E80" w:rsidRDefault="00EB6591" w:rsidP="00EB6591">
            <w:pPr>
              <w:pStyle w:val="Tabletext0"/>
              <w:jc w:val="left"/>
            </w:pPr>
            <w:r w:rsidRPr="00BB1E80">
              <w:t>Bilateral nasal repair</w:t>
            </w:r>
          </w:p>
        </w:tc>
        <w:tc>
          <w:tcPr>
            <w:tcW w:w="665" w:type="pct"/>
          </w:tcPr>
          <w:p w14:paraId="7BC31EE4" w14:textId="4B0433B4" w:rsidR="00EB6591" w:rsidRPr="00BB1E80" w:rsidRDefault="00EB6591" w:rsidP="00EB6591">
            <w:pPr>
              <w:pStyle w:val="Tabletext0"/>
              <w:jc w:val="center"/>
            </w:pPr>
            <w:r w:rsidRPr="00BB1E80">
              <w:t>NR</w:t>
            </w:r>
          </w:p>
        </w:tc>
        <w:tc>
          <w:tcPr>
            <w:tcW w:w="667" w:type="pct"/>
          </w:tcPr>
          <w:p w14:paraId="07850F16" w14:textId="77777777" w:rsidR="00EB6591" w:rsidRPr="00BB1E80" w:rsidRDefault="00EB6591" w:rsidP="00EB6591">
            <w:pPr>
              <w:pStyle w:val="Tabletext0"/>
              <w:jc w:val="center"/>
            </w:pPr>
            <w:r w:rsidRPr="00BB1E80">
              <w:t>NR</w:t>
            </w:r>
          </w:p>
        </w:tc>
        <w:tc>
          <w:tcPr>
            <w:tcW w:w="732" w:type="pct"/>
          </w:tcPr>
          <w:p w14:paraId="16A07505" w14:textId="77777777" w:rsidR="00EB6591" w:rsidRPr="00BB1E80" w:rsidRDefault="00EB6591" w:rsidP="00EB6591">
            <w:pPr>
              <w:pStyle w:val="Tabletext0"/>
              <w:jc w:val="center"/>
            </w:pPr>
            <w:r w:rsidRPr="00BB1E80">
              <w:t>NR</w:t>
            </w:r>
          </w:p>
        </w:tc>
        <w:tc>
          <w:tcPr>
            <w:tcW w:w="665" w:type="pct"/>
          </w:tcPr>
          <w:p w14:paraId="4FC3316C" w14:textId="4CE0653F" w:rsidR="00EB6591" w:rsidRPr="00BB1E80" w:rsidRDefault="00EB6591" w:rsidP="00EB6591">
            <w:pPr>
              <w:pStyle w:val="Tabletext0"/>
              <w:jc w:val="center"/>
            </w:pPr>
            <w:r w:rsidRPr="00BB1E80">
              <w:t>NR</w:t>
            </w:r>
          </w:p>
        </w:tc>
        <w:tc>
          <w:tcPr>
            <w:tcW w:w="665" w:type="pct"/>
          </w:tcPr>
          <w:p w14:paraId="24B5F2DF" w14:textId="15574372" w:rsidR="00EB6591" w:rsidRPr="00BB1E80" w:rsidRDefault="00EB6591" w:rsidP="00EB6591">
            <w:pPr>
              <w:pStyle w:val="Tabletext0"/>
              <w:jc w:val="center"/>
            </w:pPr>
            <w:r w:rsidRPr="00BB1E80">
              <w:t>NR</w:t>
            </w:r>
          </w:p>
        </w:tc>
      </w:tr>
      <w:tr w:rsidR="00EB6591" w:rsidRPr="00BB1E80" w14:paraId="4F93273F" w14:textId="77777777" w:rsidTr="00AE4565">
        <w:trPr>
          <w:trHeight w:val="20"/>
        </w:trPr>
        <w:tc>
          <w:tcPr>
            <w:tcW w:w="1606" w:type="pct"/>
          </w:tcPr>
          <w:p w14:paraId="09C7DED7" w14:textId="77777777" w:rsidR="00EB6591" w:rsidRPr="00BB1E80" w:rsidRDefault="00EB6591" w:rsidP="00EB6591">
            <w:pPr>
              <w:pStyle w:val="Tabletext0"/>
              <w:jc w:val="left"/>
              <w:rPr>
                <w:b/>
                <w:bCs/>
              </w:rPr>
            </w:pPr>
            <w:r w:rsidRPr="00BB1E80">
              <w:rPr>
                <w:b/>
                <w:bCs/>
              </w:rPr>
              <w:t>Total</w:t>
            </w:r>
          </w:p>
        </w:tc>
        <w:tc>
          <w:tcPr>
            <w:tcW w:w="665" w:type="pct"/>
          </w:tcPr>
          <w:p w14:paraId="0720B0AA" w14:textId="5A755238" w:rsidR="00EB6591" w:rsidRPr="00BB1E80" w:rsidRDefault="00EB6591" w:rsidP="00EB6591">
            <w:pPr>
              <w:pStyle w:val="Tabletext0"/>
              <w:jc w:val="center"/>
              <w:rPr>
                <w:b/>
                <w:bCs/>
              </w:rPr>
            </w:pPr>
            <w:r w:rsidRPr="00BB1E80">
              <w:rPr>
                <w:b/>
                <w:bCs/>
              </w:rPr>
              <w:t>37/319 (11.6)</w:t>
            </w:r>
          </w:p>
        </w:tc>
        <w:tc>
          <w:tcPr>
            <w:tcW w:w="667" w:type="pct"/>
          </w:tcPr>
          <w:p w14:paraId="0C260F00" w14:textId="77777777" w:rsidR="00EB6591" w:rsidRPr="00BB1E80" w:rsidRDefault="00EB6591" w:rsidP="00EB6591">
            <w:pPr>
              <w:pStyle w:val="Tabletext0"/>
              <w:jc w:val="center"/>
              <w:rPr>
                <w:b/>
                <w:bCs/>
              </w:rPr>
            </w:pPr>
            <w:r w:rsidRPr="00BB1E80">
              <w:rPr>
                <w:b/>
                <w:bCs/>
              </w:rPr>
              <w:t>41/319 (12.9)</w:t>
            </w:r>
          </w:p>
        </w:tc>
        <w:tc>
          <w:tcPr>
            <w:tcW w:w="732" w:type="pct"/>
          </w:tcPr>
          <w:p w14:paraId="2B1A310B" w14:textId="77777777" w:rsidR="00EB6591" w:rsidRPr="00BB1E80" w:rsidRDefault="00EB6591" w:rsidP="00EB6591">
            <w:pPr>
              <w:pStyle w:val="Tabletext0"/>
              <w:jc w:val="center"/>
              <w:rPr>
                <w:b/>
                <w:bCs/>
              </w:rPr>
            </w:pPr>
            <w:r w:rsidRPr="00BB1E80">
              <w:rPr>
                <w:b/>
                <w:bCs/>
              </w:rPr>
              <w:t>12/224 (5.4)</w:t>
            </w:r>
          </w:p>
        </w:tc>
        <w:tc>
          <w:tcPr>
            <w:tcW w:w="665" w:type="pct"/>
          </w:tcPr>
          <w:p w14:paraId="100CB54F" w14:textId="03AFEC36" w:rsidR="00EB6591" w:rsidRPr="00BB1E80" w:rsidRDefault="00EB6591" w:rsidP="00EB6591">
            <w:pPr>
              <w:pStyle w:val="Tabletext0"/>
              <w:jc w:val="center"/>
              <w:rPr>
                <w:b/>
                <w:bCs/>
              </w:rPr>
            </w:pPr>
            <w:r w:rsidRPr="00BB1E80">
              <w:rPr>
                <w:b/>
                <w:bCs/>
              </w:rPr>
              <w:t>13/224 (5.8)</w:t>
            </w:r>
          </w:p>
        </w:tc>
        <w:tc>
          <w:tcPr>
            <w:tcW w:w="665" w:type="pct"/>
          </w:tcPr>
          <w:p w14:paraId="26D835C2" w14:textId="0E4BE13E" w:rsidR="00EB6591" w:rsidRPr="00BB1E80" w:rsidRDefault="00EB6591" w:rsidP="00EB6591">
            <w:pPr>
              <w:pStyle w:val="Tabletext0"/>
              <w:jc w:val="center"/>
              <w:rPr>
                <w:b/>
                <w:bCs/>
              </w:rPr>
            </w:pPr>
            <w:r w:rsidRPr="00BB1E80">
              <w:rPr>
                <w:b/>
                <w:bCs/>
              </w:rPr>
              <w:t>5/56 (8.9)</w:t>
            </w:r>
          </w:p>
        </w:tc>
      </w:tr>
    </w:tbl>
    <w:p w14:paraId="1D8AA371" w14:textId="5DB1766E" w:rsidR="000C0B97" w:rsidRDefault="00883453" w:rsidP="000C0B97">
      <w:pPr>
        <w:pStyle w:val="TableNote"/>
        <w:keepNext w:val="0"/>
        <w:keepLines w:val="0"/>
      </w:pPr>
      <w:r w:rsidRPr="000470FB">
        <w:t xml:space="preserve">Source: </w:t>
      </w:r>
      <w:r w:rsidR="00997247">
        <w:t>Commentary Table 11, pg 119 of MSAC 1719 ADAR+inline commentary</w:t>
      </w:r>
      <w:r w:rsidR="000C0B97">
        <w:t xml:space="preserve"> </w:t>
      </w:r>
    </w:p>
    <w:p w14:paraId="5B557892" w14:textId="587F0FB6" w:rsidR="00DF7F2D" w:rsidRPr="000470FB" w:rsidRDefault="00883453" w:rsidP="00FF239E">
      <w:pPr>
        <w:pStyle w:val="TableNote"/>
        <w:keepNext w:val="0"/>
        <w:keepLines w:val="0"/>
      </w:pPr>
      <w:r>
        <w:t xml:space="preserve">Abbreviations: </w:t>
      </w:r>
      <w:r w:rsidR="752E8CB0">
        <w:t>NR</w:t>
      </w:r>
      <w:r>
        <w:t>=</w:t>
      </w:r>
      <w:r w:rsidR="752E8CB0">
        <w:t xml:space="preserve"> not reported</w:t>
      </w:r>
    </w:p>
    <w:p w14:paraId="53948D14" w14:textId="1DB71B70" w:rsidR="00DF7F2D" w:rsidRPr="00C1413D" w:rsidDel="00733A18" w:rsidRDefault="00EB6591" w:rsidP="00FB0E96">
      <w:r>
        <w:t xml:space="preserve">The ADAR concluded that the </w:t>
      </w:r>
      <w:r w:rsidR="00DF7F2D" w:rsidRPr="00C1413D" w:rsidDel="00733A18">
        <w:t xml:space="preserve">LATERA </w:t>
      </w:r>
      <w:r>
        <w:t>adverse events</w:t>
      </w:r>
      <w:r w:rsidR="00DF7F2D" w:rsidRPr="00C1413D" w:rsidDel="00733A18">
        <w:t xml:space="preserve"> were typically localised with mild to moderate intensity and transient in nature. </w:t>
      </w:r>
      <w:r w:rsidR="008F5A6B">
        <w:t xml:space="preserve">However, </w:t>
      </w:r>
      <w:r w:rsidR="00DF7F2D" w:rsidRPr="00C1413D" w:rsidDel="008F5A6B">
        <w:t>o</w:t>
      </w:r>
      <w:r w:rsidR="00DF7F2D" w:rsidRPr="00C1413D" w:rsidDel="00733A18">
        <w:t xml:space="preserve">wing to lack of data the ADAR </w:t>
      </w:r>
      <w:r w:rsidR="002165BF">
        <w:t xml:space="preserve">concluded that the comparative safety of </w:t>
      </w:r>
      <w:r w:rsidR="00DF7F2D" w:rsidRPr="00C1413D" w:rsidDel="00733A18">
        <w:t xml:space="preserve">LATERA is inferior to conservative management. </w:t>
      </w:r>
    </w:p>
    <w:p w14:paraId="49EF1F8F" w14:textId="14A45D4D" w:rsidR="008950F7" w:rsidRDefault="002A7465" w:rsidP="00AE4565">
      <w:pPr>
        <w:pStyle w:val="Heading3"/>
      </w:pPr>
      <w:r w:rsidRPr="00EC04C1">
        <w:t xml:space="preserve">Extended harms </w:t>
      </w:r>
      <w:r w:rsidR="008950F7">
        <w:t>assessment</w:t>
      </w:r>
      <w:r w:rsidRPr="00EC04C1">
        <w:t xml:space="preserve"> </w:t>
      </w:r>
    </w:p>
    <w:p w14:paraId="45EB8666" w14:textId="2CF3D61C" w:rsidR="00210D7B" w:rsidRPr="00210D7B" w:rsidRDefault="008950F7" w:rsidP="00210D7B">
      <w:r w:rsidRPr="00C1413D">
        <w:t xml:space="preserve">A scan of the literature by the </w:t>
      </w:r>
      <w:r w:rsidR="004C281C">
        <w:t>c</w:t>
      </w:r>
      <w:r>
        <w:t xml:space="preserve">ommentary </w:t>
      </w:r>
      <w:r w:rsidRPr="00C1413D">
        <w:t>identified Wakefield 2020</w:t>
      </w:r>
      <w:r w:rsidR="00AD4B10" w:rsidRPr="00C1413D">
        <w:rPr>
          <w:rStyle w:val="FootnoteReference"/>
        </w:rPr>
        <w:footnoteReference w:id="16"/>
      </w:r>
      <w:r w:rsidRPr="00C1413D">
        <w:t xml:space="preserve"> wh</w:t>
      </w:r>
      <w:r w:rsidR="00AD4B10">
        <w:t>ich</w:t>
      </w:r>
      <w:r w:rsidRPr="00C1413D">
        <w:t xml:space="preserve"> reviewed the FDA sponsored database, ‘manufacturer and user facility device experience’ (MAUDE) between 2016 and 2019 for LATERA </w:t>
      </w:r>
      <w:r>
        <w:t>adverse events</w:t>
      </w:r>
      <w:r w:rsidRPr="00C1413D">
        <w:t xml:space="preserve">. The authors found cases of infection, were second to implant removal. The authors further mentioned the likelihood of under reporting on outcomes associated with absorbable implants. </w:t>
      </w:r>
      <w:r w:rsidR="00210D7B">
        <w:br w:type="page"/>
      </w:r>
    </w:p>
    <w:p w14:paraId="7782C7F7" w14:textId="51124B9C" w:rsidR="00CA1AE5" w:rsidRPr="00CA1AE5" w:rsidRDefault="00CA1AE5" w:rsidP="00AE4565">
      <w:pPr>
        <w:pStyle w:val="Heading2"/>
        <w:numPr>
          <w:ilvl w:val="0"/>
          <w:numId w:val="0"/>
        </w:numPr>
      </w:pPr>
      <w:r>
        <w:lastRenderedPageBreak/>
        <w:t>1</w:t>
      </w:r>
      <w:r w:rsidR="002C5802">
        <w:t>2</w:t>
      </w:r>
      <w:r>
        <w:t xml:space="preserve">. </w:t>
      </w:r>
      <w:r w:rsidRPr="00CA1AE5">
        <w:t xml:space="preserve">Comparative effectiveness  </w:t>
      </w:r>
    </w:p>
    <w:p w14:paraId="72FF7050" w14:textId="2F7C4D50" w:rsidR="00F031EA" w:rsidRPr="00F031EA" w:rsidRDefault="00F031EA" w:rsidP="00FB0E96">
      <w:pPr>
        <w:pStyle w:val="Heading3"/>
      </w:pPr>
      <w:r w:rsidRPr="00F031EA">
        <w:t>LATERA v</w:t>
      </w:r>
      <w:r w:rsidR="004838ED">
        <w:t>ersus</w:t>
      </w:r>
      <w:r w:rsidRPr="00F031EA">
        <w:t xml:space="preserve"> </w:t>
      </w:r>
      <w:r w:rsidR="008B7C44">
        <w:t xml:space="preserve">functional </w:t>
      </w:r>
      <w:r w:rsidRPr="00F031EA">
        <w:t>rhinoplasty</w:t>
      </w:r>
    </w:p>
    <w:p w14:paraId="71396AA9" w14:textId="1E4E021A" w:rsidR="00D24C9A" w:rsidRDefault="007172D9" w:rsidP="00FB0E96">
      <w:r>
        <w:t>T</w:t>
      </w:r>
      <w:r w:rsidR="00B83229" w:rsidRPr="005D7E9B">
        <w:t xml:space="preserve">he ADAR </w:t>
      </w:r>
      <w:r w:rsidR="009E0A86" w:rsidRPr="005D7E9B">
        <w:t xml:space="preserve">presented a series </w:t>
      </w:r>
      <w:r w:rsidR="002210AF" w:rsidRPr="005D7E9B">
        <w:t xml:space="preserve">of naïve </w:t>
      </w:r>
      <w:r w:rsidR="00E32648">
        <w:t>indirect comparison</w:t>
      </w:r>
      <w:r>
        <w:t>s</w:t>
      </w:r>
      <w:r w:rsidR="00E32648" w:rsidRPr="005D7E9B">
        <w:t xml:space="preserve"> </w:t>
      </w:r>
      <w:r w:rsidR="00AC34B0" w:rsidRPr="005D7E9B">
        <w:t xml:space="preserve">between LATERA and </w:t>
      </w:r>
      <w:r w:rsidR="00B84FA4" w:rsidRPr="005D7E9B">
        <w:t xml:space="preserve">rhinoplasty for </w:t>
      </w:r>
      <w:r w:rsidR="00961139" w:rsidRPr="005D7E9B">
        <w:t xml:space="preserve">the NOSE score outcome </w:t>
      </w:r>
      <w:r w:rsidR="00BF7D6C" w:rsidRPr="005D7E9B">
        <w:t xml:space="preserve">at months </w:t>
      </w:r>
      <w:r w:rsidR="00BB005A" w:rsidRPr="005D7E9B">
        <w:t>1</w:t>
      </w:r>
      <w:r w:rsidR="005D69FC" w:rsidRPr="005D7E9B">
        <w:t xml:space="preserve">, </w:t>
      </w:r>
      <w:r w:rsidR="00BB005A" w:rsidRPr="005D7E9B">
        <w:t>3</w:t>
      </w:r>
      <w:r w:rsidR="005D69FC" w:rsidRPr="005D7E9B">
        <w:t xml:space="preserve">, </w:t>
      </w:r>
      <w:r w:rsidR="00BB005A" w:rsidRPr="005D7E9B">
        <w:t>6</w:t>
      </w:r>
      <w:r w:rsidR="005D69FC" w:rsidRPr="005D7E9B">
        <w:t xml:space="preserve">, </w:t>
      </w:r>
      <w:r w:rsidR="00BB005A" w:rsidRPr="005D7E9B">
        <w:t>12</w:t>
      </w:r>
      <w:r w:rsidR="005D69FC" w:rsidRPr="005D7E9B">
        <w:t xml:space="preserve">, </w:t>
      </w:r>
      <w:r w:rsidR="00BB005A" w:rsidRPr="005D7E9B">
        <w:t>18</w:t>
      </w:r>
      <w:r w:rsidR="005D69FC" w:rsidRPr="005D7E9B">
        <w:t xml:space="preserve">, </w:t>
      </w:r>
      <w:r w:rsidR="00BB005A" w:rsidRPr="005D7E9B">
        <w:t>24</w:t>
      </w:r>
      <w:r w:rsidR="005D69FC" w:rsidRPr="005D7E9B">
        <w:t xml:space="preserve"> and b</w:t>
      </w:r>
      <w:r w:rsidR="00BB005A" w:rsidRPr="005D7E9B">
        <w:t xml:space="preserve">aseline to last </w:t>
      </w:r>
      <w:r w:rsidR="005D69FC" w:rsidRPr="005D7E9B">
        <w:t>follow up (</w:t>
      </w:r>
      <w:r w:rsidR="00BB005A" w:rsidRPr="005D7E9B">
        <w:t>FU</w:t>
      </w:r>
      <w:r w:rsidR="005D69FC" w:rsidRPr="005D7E9B">
        <w:t>)</w:t>
      </w:r>
      <w:r w:rsidR="00110397" w:rsidRPr="005D7E9B">
        <w:t xml:space="preserve"> in the severe </w:t>
      </w:r>
      <w:r w:rsidR="00B43226" w:rsidRPr="005D7E9B">
        <w:t xml:space="preserve">and extreme </w:t>
      </w:r>
      <w:r w:rsidR="00B43226" w:rsidRPr="00444766">
        <w:t xml:space="preserve">population for LATERA and </w:t>
      </w:r>
      <w:r w:rsidR="00455F34" w:rsidRPr="00444766">
        <w:t>a broader</w:t>
      </w:r>
      <w:r w:rsidR="00322E25" w:rsidRPr="00444766">
        <w:t>, moderate to extreme population for rhinoplasty</w:t>
      </w:r>
      <w:r w:rsidR="007942F5" w:rsidRPr="00444766">
        <w:t xml:space="preserve"> (</w:t>
      </w:r>
      <w:r w:rsidR="002457FF" w:rsidRPr="00444766">
        <w:t xml:space="preserve">see </w:t>
      </w:r>
      <w:r w:rsidR="00977F46" w:rsidRPr="00444766">
        <w:rPr>
          <w:color w:val="2B579A"/>
          <w:shd w:val="clear" w:color="auto" w:fill="E6E6E6"/>
        </w:rPr>
        <w:fldChar w:fldCharType="begin"/>
      </w:r>
      <w:r w:rsidR="00977F46" w:rsidRPr="00444766">
        <w:instrText xml:space="preserve"> REF _Ref119452479 \h </w:instrText>
      </w:r>
      <w:r w:rsidR="002457FF" w:rsidRPr="00444766">
        <w:instrText xml:space="preserve"> \* MERGEFORMAT </w:instrText>
      </w:r>
      <w:r w:rsidR="00977F46" w:rsidRPr="00444766">
        <w:rPr>
          <w:color w:val="2B579A"/>
          <w:shd w:val="clear" w:color="auto" w:fill="E6E6E6"/>
        </w:rPr>
      </w:r>
      <w:r w:rsidR="00977F46" w:rsidRPr="00444766">
        <w:rPr>
          <w:color w:val="2B579A"/>
          <w:shd w:val="clear" w:color="auto" w:fill="E6E6E6"/>
        </w:rPr>
        <w:fldChar w:fldCharType="separate"/>
      </w:r>
      <w:r w:rsidR="003511D3">
        <w:t xml:space="preserve">Table </w:t>
      </w:r>
      <w:r w:rsidR="003511D3">
        <w:rPr>
          <w:noProof/>
        </w:rPr>
        <w:t>10</w:t>
      </w:r>
      <w:r w:rsidR="00977F46" w:rsidRPr="00444766">
        <w:rPr>
          <w:color w:val="2B579A"/>
          <w:shd w:val="clear" w:color="auto" w:fill="E6E6E6"/>
        </w:rPr>
        <w:fldChar w:fldCharType="end"/>
      </w:r>
      <w:r w:rsidR="00977F46" w:rsidRPr="00444766">
        <w:t xml:space="preserve"> and</w:t>
      </w:r>
      <w:r w:rsidR="006641F6" w:rsidRPr="00444766">
        <w:t xml:space="preserve"> </w:t>
      </w:r>
      <w:r w:rsidR="00F71CE8" w:rsidRPr="00890D75">
        <w:rPr>
          <w:color w:val="2B579A"/>
          <w:shd w:val="clear" w:color="auto" w:fill="E6E6E6"/>
        </w:rPr>
        <w:fldChar w:fldCharType="begin"/>
      </w:r>
      <w:r w:rsidR="00F71CE8" w:rsidRPr="00890D75">
        <w:instrText xml:space="preserve"> REF _Ref120697359 \h </w:instrText>
      </w:r>
      <w:r w:rsidR="006276E3" w:rsidRPr="00890D75">
        <w:rPr>
          <w:color w:val="2B579A"/>
          <w:shd w:val="clear" w:color="auto" w:fill="E6E6E6"/>
        </w:rPr>
        <w:instrText xml:space="preserve"> \* MERGEFORMAT </w:instrText>
      </w:r>
      <w:r w:rsidR="00F71CE8" w:rsidRPr="00890D75">
        <w:rPr>
          <w:color w:val="2B579A"/>
          <w:shd w:val="clear" w:color="auto" w:fill="E6E6E6"/>
        </w:rPr>
      </w:r>
      <w:r w:rsidR="00F71CE8" w:rsidRPr="00890D75">
        <w:rPr>
          <w:color w:val="2B579A"/>
          <w:shd w:val="clear" w:color="auto" w:fill="E6E6E6"/>
        </w:rPr>
        <w:fldChar w:fldCharType="separate"/>
      </w:r>
      <w:r w:rsidR="003511D3">
        <w:t xml:space="preserve">Figure </w:t>
      </w:r>
      <w:r w:rsidR="003511D3">
        <w:rPr>
          <w:noProof/>
        </w:rPr>
        <w:t>2</w:t>
      </w:r>
      <w:r w:rsidR="00F71CE8" w:rsidRPr="00890D75">
        <w:rPr>
          <w:color w:val="2B579A"/>
          <w:shd w:val="clear" w:color="auto" w:fill="E6E6E6"/>
        </w:rPr>
        <w:fldChar w:fldCharType="end"/>
      </w:r>
      <w:r w:rsidR="00977F46" w:rsidRPr="00890D75">
        <w:t>)</w:t>
      </w:r>
      <w:r w:rsidR="00AC2F01" w:rsidRPr="00890D75">
        <w:t>.</w:t>
      </w:r>
    </w:p>
    <w:p w14:paraId="2CE47324" w14:textId="5AF27CE4" w:rsidR="00797EC1" w:rsidRPr="005D7E9B" w:rsidRDefault="00797EC1" w:rsidP="00FB0E96">
      <w:r>
        <w:t xml:space="preserve">The pooled mean change </w:t>
      </w:r>
      <w:r w:rsidRPr="00BC0DD5">
        <w:t xml:space="preserve">in NOSE score </w:t>
      </w:r>
      <w:r>
        <w:t xml:space="preserve">was </w:t>
      </w:r>
      <w:r w:rsidRPr="00BB1E80">
        <w:t>-43.68</w:t>
      </w:r>
      <w:r w:rsidR="00092876" w:rsidRPr="00BB1E80">
        <w:t>,</w:t>
      </w:r>
      <w:r w:rsidRPr="00531005">
        <w:t xml:space="preserve"> </w:t>
      </w:r>
      <w:r w:rsidRPr="00BB1E80">
        <w:t>p=0.76</w:t>
      </w:r>
      <w:r>
        <w:t xml:space="preserve"> for LATERA versus </w:t>
      </w:r>
      <w:r w:rsidRPr="003E2BD7">
        <w:t>-38.58</w:t>
      </w:r>
      <w:r w:rsidR="00092876">
        <w:t>,</w:t>
      </w:r>
      <w:r w:rsidRPr="003E2BD7">
        <w:t xml:space="preserve"> p=0.08</w:t>
      </w:r>
      <w:r>
        <w:t xml:space="preserve"> for functional rhinoplasty at 12 months. The pooled mean change in NOSE scores was </w:t>
      </w:r>
      <w:r w:rsidRPr="00D66472">
        <w:t>-</w:t>
      </w:r>
      <w:r w:rsidRPr="00BB1E80">
        <w:t>45.59</w:t>
      </w:r>
      <w:r w:rsidR="00D630FC" w:rsidRPr="00BB1E80">
        <w:t>,</w:t>
      </w:r>
      <w:r w:rsidRPr="00BB1E80">
        <w:t xml:space="preserve"> p=0.76</w:t>
      </w:r>
      <w:r>
        <w:t xml:space="preserve"> for LATERA versus </w:t>
      </w:r>
      <w:r w:rsidRPr="00843F6C">
        <w:t>-36.74</w:t>
      </w:r>
      <w:r w:rsidR="00D630FC">
        <w:t>,</w:t>
      </w:r>
      <w:r w:rsidRPr="00843F6C">
        <w:t xml:space="preserve"> p=0.05</w:t>
      </w:r>
      <w:r>
        <w:t xml:space="preserve"> for rhinoplasty at 24 months (last follow up). </w:t>
      </w:r>
    </w:p>
    <w:p w14:paraId="31B58FC9" w14:textId="4CC283EC" w:rsidR="00F33A16" w:rsidRPr="00BA0201" w:rsidRDefault="00276FEB" w:rsidP="00FB0E96">
      <w:r>
        <w:t xml:space="preserve">Given there was no </w:t>
      </w:r>
      <w:r w:rsidR="00F33A16" w:rsidRPr="00BA0201">
        <w:t>common</w:t>
      </w:r>
      <w:r w:rsidR="006F578C" w:rsidRPr="00BA0201">
        <w:t xml:space="preserve"> </w:t>
      </w:r>
      <w:r w:rsidR="00745421" w:rsidRPr="00BA0201">
        <w:t>reference</w:t>
      </w:r>
      <w:r w:rsidR="006F578C" w:rsidRPr="00BA0201">
        <w:t xml:space="preserve"> arm</w:t>
      </w:r>
      <w:r w:rsidR="00F41D22">
        <w:t xml:space="preserve"> </w:t>
      </w:r>
      <w:r w:rsidR="00642875">
        <w:t>(</w:t>
      </w:r>
      <w:r w:rsidR="004D4533" w:rsidRPr="00BA0201">
        <w:t>i.e.,</w:t>
      </w:r>
      <w:r w:rsidR="006F578C" w:rsidRPr="00BA0201">
        <w:t xml:space="preserve"> placebo or active treatment</w:t>
      </w:r>
      <w:r w:rsidR="00642875">
        <w:t>)</w:t>
      </w:r>
      <w:r w:rsidR="006F578C" w:rsidRPr="00BA0201">
        <w:t xml:space="preserve"> there is </w:t>
      </w:r>
      <w:r>
        <w:t xml:space="preserve">a </w:t>
      </w:r>
      <w:r w:rsidR="006F578C" w:rsidRPr="00BA0201">
        <w:t>high potential for co</w:t>
      </w:r>
      <w:r w:rsidR="00DF3381" w:rsidRPr="00BA0201">
        <w:t xml:space="preserve">nfounding due to differences in </w:t>
      </w:r>
      <w:r w:rsidR="00642875" w:rsidRPr="00BA0201">
        <w:t>aetiolog</w:t>
      </w:r>
      <w:r w:rsidR="00642875">
        <w:t>ical</w:t>
      </w:r>
      <w:r w:rsidR="00642875" w:rsidRPr="00BA0201">
        <w:t xml:space="preserve"> </w:t>
      </w:r>
      <w:r w:rsidR="00DF3381" w:rsidRPr="00BA0201">
        <w:t>factors across single arms of different studies</w:t>
      </w:r>
      <w:r>
        <w:t xml:space="preserve">. </w:t>
      </w:r>
    </w:p>
    <w:p w14:paraId="6306E23D" w14:textId="2E924EAA" w:rsidR="00A720E2" w:rsidRPr="00BA0201" w:rsidRDefault="00193ADD" w:rsidP="00FB0E96">
      <w:r>
        <w:t xml:space="preserve">The </w:t>
      </w:r>
      <w:r w:rsidR="004C281C">
        <w:t>c</w:t>
      </w:r>
      <w:r>
        <w:t>ommentary noted t</w:t>
      </w:r>
      <w:r w:rsidR="00A63D3C" w:rsidRPr="00BA0201">
        <w:t>he</w:t>
      </w:r>
      <w:r w:rsidR="00BD0BED" w:rsidRPr="00BA0201">
        <w:t xml:space="preserve">re is </w:t>
      </w:r>
      <w:r w:rsidR="00772367" w:rsidRPr="00BA0201">
        <w:t>substantial heterogeneity</w:t>
      </w:r>
      <w:r w:rsidR="00447197" w:rsidRPr="00BA0201">
        <w:rPr>
          <w:rStyle w:val="FootnoteReference"/>
        </w:rPr>
        <w:footnoteReference w:id="17"/>
      </w:r>
      <w:r w:rsidR="00772367" w:rsidRPr="00BA0201">
        <w:t xml:space="preserve"> </w:t>
      </w:r>
      <w:r w:rsidR="002F6326" w:rsidRPr="00BA0201">
        <w:t xml:space="preserve">which </w:t>
      </w:r>
      <w:r w:rsidR="000A117D">
        <w:t>approaches significance</w:t>
      </w:r>
      <w:r w:rsidR="002F6326" w:rsidRPr="00BA0201">
        <w:t xml:space="preserve"> </w:t>
      </w:r>
      <w:r w:rsidR="004D4836" w:rsidRPr="00BA0201">
        <w:t>in</w:t>
      </w:r>
      <w:r w:rsidR="002F6326" w:rsidRPr="00BA0201">
        <w:t xml:space="preserve"> </w:t>
      </w:r>
      <w:r w:rsidR="749B6AF0" w:rsidRPr="00BA0201">
        <w:t xml:space="preserve">the </w:t>
      </w:r>
      <w:r w:rsidR="00651CB1" w:rsidRPr="00BA0201">
        <w:t>LATERA</w:t>
      </w:r>
      <w:r w:rsidR="0616F2C9" w:rsidRPr="00BA0201">
        <w:t xml:space="preserve"> studies</w:t>
      </w:r>
      <w:r w:rsidR="00651CB1" w:rsidRPr="00BA0201">
        <w:t xml:space="preserve"> </w:t>
      </w:r>
      <w:r w:rsidR="00B65C98" w:rsidRPr="00BA0201">
        <w:t xml:space="preserve">at </w:t>
      </w:r>
      <w:r w:rsidR="0017041B" w:rsidRPr="00BA0201">
        <w:t>1</w:t>
      </w:r>
      <w:r w:rsidR="00651CB1" w:rsidRPr="00BA0201">
        <w:t xml:space="preserve"> month</w:t>
      </w:r>
      <w:r w:rsidR="00D74468" w:rsidRPr="00BA0201">
        <w:t xml:space="preserve"> and in the </w:t>
      </w:r>
      <w:r w:rsidR="000F66FA" w:rsidRPr="00BA0201">
        <w:t xml:space="preserve">pooled </w:t>
      </w:r>
      <w:r w:rsidR="004C50A2" w:rsidRPr="00BA0201">
        <w:t>studies of functional rhinoplasty</w:t>
      </w:r>
      <w:r w:rsidR="00BA6042" w:rsidRPr="00BA0201">
        <w:t xml:space="preserve"> therefore </w:t>
      </w:r>
      <w:r w:rsidR="00F41730" w:rsidRPr="00BA0201">
        <w:t>demonstrat</w:t>
      </w:r>
      <w:r w:rsidR="000F66FA" w:rsidRPr="00BA0201">
        <w:t>ing</w:t>
      </w:r>
      <w:r w:rsidR="00F41730" w:rsidRPr="00BA0201">
        <w:t xml:space="preserve"> </w:t>
      </w:r>
      <w:r w:rsidR="00BA6042" w:rsidRPr="00BA0201">
        <w:t xml:space="preserve">inconsistency across studies. </w:t>
      </w:r>
      <w:r w:rsidR="00F21914">
        <w:t xml:space="preserve">Regarding lost to follow up, at 24 months in LATERA-RCT there was 60% lost to follow up </w:t>
      </w:r>
      <w:r w:rsidR="00EB054E">
        <w:t>and the</w:t>
      </w:r>
      <w:r w:rsidR="00EB054E" w:rsidRPr="00F21914">
        <w:t xml:space="preserve"> small number of patients increases uncertainty</w:t>
      </w:r>
      <w:r w:rsidR="00F21914">
        <w:t>.</w:t>
      </w:r>
      <w:r w:rsidR="00F8195F">
        <w:t xml:space="preserve"> </w:t>
      </w:r>
      <w:r w:rsidR="003B6DC6" w:rsidRPr="00AE4565">
        <w:t>LATERA-RCT intervention arm only was analysed in the meta-analysis</w:t>
      </w:r>
      <w:r w:rsidR="00B5287A">
        <w:t xml:space="preserve"> (i.e. the cross-over arm </w:t>
      </w:r>
      <w:r w:rsidR="00B130B2">
        <w:t xml:space="preserve">from the LATERA-RCT </w:t>
      </w:r>
      <w:r w:rsidR="00B5287A">
        <w:t>was not included)</w:t>
      </w:r>
      <w:r w:rsidR="003B6DC6" w:rsidRPr="00AE4565">
        <w:t xml:space="preserve">. </w:t>
      </w:r>
      <w:r w:rsidR="008A2620">
        <w:t>T</w:t>
      </w:r>
      <w:r w:rsidR="003B6DC6" w:rsidRPr="00AE4565">
        <w:t xml:space="preserve">he </w:t>
      </w:r>
      <w:r w:rsidR="00DA46BF">
        <w:t xml:space="preserve">LATERA </w:t>
      </w:r>
      <w:r w:rsidR="003B6DC6" w:rsidRPr="00AE4565">
        <w:t xml:space="preserve">arm contained </w:t>
      </w:r>
      <w:r w:rsidR="008A2620">
        <w:t xml:space="preserve">71, </w:t>
      </w:r>
      <w:r w:rsidR="003B6DC6" w:rsidRPr="00AE4565">
        <w:t>65</w:t>
      </w:r>
      <w:r w:rsidR="00DA46BF">
        <w:t>, 58 and 43</w:t>
      </w:r>
      <w:r w:rsidR="003B6DC6" w:rsidRPr="00AE4565">
        <w:t xml:space="preserve"> patients at </w:t>
      </w:r>
      <w:r w:rsidR="008A2620">
        <w:t xml:space="preserve">0, 6, 12 and </w:t>
      </w:r>
      <w:r w:rsidR="003B6DC6" w:rsidRPr="00AE4565">
        <w:t xml:space="preserve">24 months </w:t>
      </w:r>
      <w:r w:rsidR="008A2620">
        <w:t>respectively</w:t>
      </w:r>
      <w:r w:rsidR="003172BC">
        <w:t>, although it is noted that the lost to follow up included patients that crossed over to undergo the LATERA procedure</w:t>
      </w:r>
      <w:r w:rsidR="003B6DC6">
        <w:rPr>
          <w:i/>
          <w:iCs/>
        </w:rPr>
        <w:t xml:space="preserve">. </w:t>
      </w:r>
      <w:r w:rsidR="00675430" w:rsidRPr="00BA0201">
        <w:t xml:space="preserve">There was no formal </w:t>
      </w:r>
      <w:r w:rsidR="00676E20" w:rsidRPr="00BA0201">
        <w:t>statistical testing</w:t>
      </w:r>
      <w:r w:rsidR="00B5095A" w:rsidRPr="00BA0201">
        <w:t xml:space="preserve"> presented</w:t>
      </w:r>
      <w:r w:rsidR="00676E20" w:rsidRPr="00BA0201">
        <w:t xml:space="preserve"> for effect sizes such as </w:t>
      </w:r>
      <w:r w:rsidR="00FB6BDC" w:rsidRPr="00BA0201">
        <w:t xml:space="preserve">Cohens d </w:t>
      </w:r>
      <w:r w:rsidR="00AA70A8" w:rsidRPr="00BA0201">
        <w:t>small (d = 0.2), medium (d = 0.5), and large (d = 0.8)</w:t>
      </w:r>
      <w:r w:rsidR="00B71ACE" w:rsidRPr="00BA0201">
        <w:t xml:space="preserve"> for standard mean difference (SMD)</w:t>
      </w:r>
      <w:r w:rsidR="00B5095A" w:rsidRPr="00BA0201">
        <w:t xml:space="preserve">. </w:t>
      </w:r>
    </w:p>
    <w:p w14:paraId="051554B3" w14:textId="6AB273F9" w:rsidR="00322E25" w:rsidRDefault="007172D9" w:rsidP="00FB0E96">
      <w:r>
        <w:t>The r</w:t>
      </w:r>
      <w:r w:rsidR="00C07380" w:rsidRPr="00BA0201">
        <w:t>hinoplasty studies d</w:t>
      </w:r>
      <w:r w:rsidR="00276518">
        <w:t>id</w:t>
      </w:r>
      <w:r w:rsidR="00C07380" w:rsidRPr="00BA0201">
        <w:t xml:space="preserve"> not provide </w:t>
      </w:r>
      <w:r w:rsidR="00735F15" w:rsidRPr="00BA0201">
        <w:t xml:space="preserve">standard deviation (SD) </w:t>
      </w:r>
      <w:r w:rsidR="00437F06" w:rsidRPr="00BA0201">
        <w:t xml:space="preserve">therefore conversion to standard error (SE) </w:t>
      </w:r>
      <w:r w:rsidR="00A62AFC" w:rsidRPr="00BA0201">
        <w:t xml:space="preserve">and </w:t>
      </w:r>
      <w:r w:rsidR="00437F06" w:rsidRPr="00BA0201">
        <w:t xml:space="preserve">95% </w:t>
      </w:r>
      <w:r w:rsidR="00D630FC">
        <w:t>confidence interval (</w:t>
      </w:r>
      <w:r w:rsidR="00437F06" w:rsidRPr="00BA0201">
        <w:t>CI</w:t>
      </w:r>
      <w:r w:rsidR="00D630FC">
        <w:t>)</w:t>
      </w:r>
      <w:r w:rsidR="00437F06" w:rsidRPr="00BA0201">
        <w:t xml:space="preserve"> </w:t>
      </w:r>
      <w:r w:rsidRPr="00BA0201">
        <w:t>c</w:t>
      </w:r>
      <w:r>
        <w:t>ould not</w:t>
      </w:r>
      <w:r w:rsidRPr="00BA0201">
        <w:t xml:space="preserve"> </w:t>
      </w:r>
      <w:r w:rsidR="00353C95" w:rsidRPr="00BA0201">
        <w:t xml:space="preserve">be </w:t>
      </w:r>
      <w:r w:rsidR="00566F9E" w:rsidRPr="00BA0201">
        <w:t>undertaken</w:t>
      </w:r>
      <w:r w:rsidR="001B066D">
        <w:t xml:space="preserve">. </w:t>
      </w:r>
      <w:r w:rsidR="007D2348" w:rsidRPr="00BA0201">
        <w:t xml:space="preserve">Sensitivity </w:t>
      </w:r>
      <w:r w:rsidR="008824EC" w:rsidRPr="00BA0201">
        <w:t xml:space="preserve">analysis for LATERA OFFICE and Trial </w:t>
      </w:r>
      <w:r w:rsidR="0070568B" w:rsidRPr="00BA0201">
        <w:t>4350-001 vs.</w:t>
      </w:r>
      <w:r w:rsidR="003E3267" w:rsidRPr="00BA0201">
        <w:t xml:space="preserve"> </w:t>
      </w:r>
      <w:r w:rsidR="0070568B" w:rsidRPr="00BA0201">
        <w:t xml:space="preserve">Taha </w:t>
      </w:r>
      <w:r w:rsidR="00660E83" w:rsidRPr="00BA0201">
        <w:t>2021-primary, Taha 2021-rev</w:t>
      </w:r>
      <w:r w:rsidR="007C190F">
        <w:t>i</w:t>
      </w:r>
      <w:r w:rsidR="00660E83" w:rsidRPr="00BA0201">
        <w:t xml:space="preserve">sion </w:t>
      </w:r>
      <w:r w:rsidR="00620547" w:rsidRPr="00BA0201">
        <w:t>at</w:t>
      </w:r>
      <w:r w:rsidR="00660E83" w:rsidRPr="00BA0201">
        <w:t xml:space="preserve"> 12 months could be conducted with and without P</w:t>
      </w:r>
      <w:r w:rsidR="00C847B1" w:rsidRPr="00BA0201">
        <w:t>al</w:t>
      </w:r>
      <w:r w:rsidR="00334574" w:rsidRPr="00BA0201">
        <w:t>es</w:t>
      </w:r>
      <w:r w:rsidR="00C847B1" w:rsidRPr="00BA0201">
        <w:t>y 2015 (6 months).</w:t>
      </w:r>
      <w:r w:rsidR="00620547" w:rsidRPr="00BA0201">
        <w:t xml:space="preserve"> The </w:t>
      </w:r>
      <w:r w:rsidR="009432C2" w:rsidRPr="00BA0201">
        <w:t xml:space="preserve">CI </w:t>
      </w:r>
      <w:r w:rsidR="001D54D9" w:rsidRPr="00BA0201">
        <w:t xml:space="preserve">around the point estimate </w:t>
      </w:r>
      <w:r w:rsidR="001F1EF7" w:rsidRPr="00BA0201">
        <w:t xml:space="preserve">in </w:t>
      </w:r>
      <w:r w:rsidR="00620547" w:rsidRPr="00BA0201">
        <w:t>Taha</w:t>
      </w:r>
      <w:r w:rsidR="001B3706" w:rsidRPr="00BA0201">
        <w:t xml:space="preserve"> 2021-primary </w:t>
      </w:r>
      <w:r w:rsidR="00570EC8" w:rsidRPr="00BA0201">
        <w:t xml:space="preserve">appears to be more precise than </w:t>
      </w:r>
      <w:r w:rsidR="001D2B0A" w:rsidRPr="00BA0201">
        <w:t xml:space="preserve">the </w:t>
      </w:r>
      <w:r w:rsidR="00570EC8" w:rsidRPr="00BA0201">
        <w:t xml:space="preserve">LATERA studies. Of note, the CI for </w:t>
      </w:r>
      <w:r w:rsidR="009A6440" w:rsidRPr="00BA0201">
        <w:t xml:space="preserve">LATERA-OFFICE, Trial 4350-001, </w:t>
      </w:r>
      <w:r w:rsidR="00AD2965" w:rsidRPr="00BA0201">
        <w:t>T</w:t>
      </w:r>
      <w:r w:rsidR="00212586" w:rsidRPr="00BA0201">
        <w:t>a</w:t>
      </w:r>
      <w:r w:rsidR="00AD2965" w:rsidRPr="00BA0201">
        <w:t xml:space="preserve">ha 2021-primary and Taha 2021 </w:t>
      </w:r>
      <w:r w:rsidR="00212586" w:rsidRPr="00BA0201">
        <w:t>revision</w:t>
      </w:r>
      <w:r w:rsidR="00AD2965" w:rsidRPr="00BA0201">
        <w:t xml:space="preserve"> </w:t>
      </w:r>
      <w:r w:rsidR="00B5237A" w:rsidRPr="00BA0201">
        <w:t xml:space="preserve">appear to </w:t>
      </w:r>
      <w:r w:rsidR="00AD2965" w:rsidRPr="00BA0201">
        <w:t>all crossover demonstrating non-inferiority</w:t>
      </w:r>
      <w:r w:rsidR="00B5237A" w:rsidRPr="00BA0201">
        <w:t xml:space="preserve"> in the current analysis</w:t>
      </w:r>
      <w:r w:rsidR="001410D1" w:rsidRPr="00BA0201">
        <w:t xml:space="preserve"> (</w:t>
      </w:r>
      <w:r w:rsidR="00370866" w:rsidRPr="00BA0201">
        <w:t>-43.68 (-47.59, -39.78), I</w:t>
      </w:r>
      <w:r w:rsidR="00370866" w:rsidRPr="00F21914">
        <w:rPr>
          <w:vertAlign w:val="superscript"/>
        </w:rPr>
        <w:t>2</w:t>
      </w:r>
      <w:r w:rsidR="00370866" w:rsidRPr="00BA0201">
        <w:t xml:space="preserve">=0%, p=0.76 vs </w:t>
      </w:r>
      <w:r w:rsidR="00147CFC" w:rsidRPr="00BA0201">
        <w:t>-38.58 (-49.48, -27.68), I</w:t>
      </w:r>
      <w:r w:rsidR="00147CFC" w:rsidRPr="00F21914">
        <w:rPr>
          <w:vertAlign w:val="superscript"/>
        </w:rPr>
        <w:t>2</w:t>
      </w:r>
      <w:r w:rsidR="00147CFC" w:rsidRPr="00BA0201">
        <w:t xml:space="preserve">=67%, p=0.08 at 12 months). </w:t>
      </w:r>
    </w:p>
    <w:p w14:paraId="7CD2E85C" w14:textId="46B84A40" w:rsidR="00653FD9" w:rsidRDefault="00CA1DCC" w:rsidP="00FB0E96">
      <w:r w:rsidRPr="000F6702" w:rsidDel="00C56FE2">
        <w:t xml:space="preserve">Additionally, </w:t>
      </w:r>
      <w:r w:rsidR="00443C4B">
        <w:t xml:space="preserve">the ADAR also presented the findings of </w:t>
      </w:r>
      <w:r w:rsidRPr="000F6702" w:rsidDel="00C56FE2">
        <w:t>Ols</w:t>
      </w:r>
      <w:r w:rsidR="00AE1531">
        <w:t>o</w:t>
      </w:r>
      <w:r w:rsidRPr="000F6702" w:rsidDel="00C56FE2">
        <w:t xml:space="preserve">n 2021 </w:t>
      </w:r>
      <w:r w:rsidR="00443C4B">
        <w:t>(a retrospective study that compared LATERA+adjunct procedures versus</w:t>
      </w:r>
      <w:r w:rsidR="00A95FBE">
        <w:t xml:space="preserve"> rhinoplasty+adjunct procedures) which reported the</w:t>
      </w:r>
      <w:r w:rsidRPr="000F6702" w:rsidDel="00C56FE2">
        <w:t xml:space="preserve"> change in NOSE scores was similar for both groups (LATERA: –40.5 vs functional rhinoplasty –40.3)</w:t>
      </w:r>
      <w:r w:rsidR="00A95FBE">
        <w:t>. The ADA</w:t>
      </w:r>
      <w:r w:rsidR="00551C31">
        <w:t>R</w:t>
      </w:r>
      <w:r w:rsidR="00A95FBE">
        <w:t xml:space="preserve"> stated this confirmed the</w:t>
      </w:r>
      <w:r w:rsidR="00280552">
        <w:t xml:space="preserve"> </w:t>
      </w:r>
      <w:r w:rsidRPr="000F6702" w:rsidDel="00C56FE2">
        <w:t xml:space="preserve">non-inferiority </w:t>
      </w:r>
      <w:r w:rsidR="00551C31">
        <w:t>of LATERA versus rhinoplasty</w:t>
      </w:r>
      <w:r w:rsidRPr="000F6702" w:rsidDel="00C56FE2">
        <w:t xml:space="preserve"> when used with </w:t>
      </w:r>
      <w:r w:rsidR="00551C31">
        <w:t xml:space="preserve">adjunct </w:t>
      </w:r>
      <w:r w:rsidRPr="000F6702" w:rsidDel="00C56FE2">
        <w:t>septoplasty and inferior turbinate SMR</w:t>
      </w:r>
      <w:r w:rsidR="00551C31">
        <w:t xml:space="preserve"> procedures</w:t>
      </w:r>
      <w:r w:rsidDel="00C56FE2">
        <w:t>.</w:t>
      </w:r>
      <w:r w:rsidR="00653FD9">
        <w:t xml:space="preserve"> </w:t>
      </w:r>
    </w:p>
    <w:p w14:paraId="5E95E738" w14:textId="32ACEB54" w:rsidR="006D7000" w:rsidRDefault="004061C8" w:rsidP="00BE4F0B">
      <w:r>
        <w:t xml:space="preserve">The </w:t>
      </w:r>
      <w:r w:rsidR="004C281C">
        <w:t>c</w:t>
      </w:r>
      <w:r>
        <w:t>ommentary highlighted that t</w:t>
      </w:r>
      <w:r w:rsidR="008672E3" w:rsidRPr="00BA0201" w:rsidDel="00CE2EA2">
        <w:t xml:space="preserve">here is limited applicability of the three single-arm studies on LATERA due to the inconsistency between the presented evidence </w:t>
      </w:r>
      <w:r w:rsidR="000D04E5">
        <w:t>(</w:t>
      </w:r>
      <w:r w:rsidR="00C90819">
        <w:t xml:space="preserve">i.e. patients in the LATERA </w:t>
      </w:r>
      <w:r w:rsidR="00C90819">
        <w:lastRenderedPageBreak/>
        <w:t xml:space="preserve">studies had a </w:t>
      </w:r>
      <w:r w:rsidR="00325A8D">
        <w:t xml:space="preserve">NOSE </w:t>
      </w:r>
      <w:r w:rsidR="00C90819">
        <w:t>score of ≥55</w:t>
      </w:r>
      <w:r w:rsidR="00325A8D">
        <w:t>)</w:t>
      </w:r>
      <w:r w:rsidR="00C90819">
        <w:t xml:space="preserve"> </w:t>
      </w:r>
      <w:r w:rsidR="008672E3" w:rsidRPr="00BA0201" w:rsidDel="00CE2EA2">
        <w:t xml:space="preserve">and the </w:t>
      </w:r>
      <w:r w:rsidR="008672E3" w:rsidDel="00CE2EA2">
        <w:t xml:space="preserve">ADAR proposed </w:t>
      </w:r>
      <w:r w:rsidR="008672E3" w:rsidRPr="00BA0201" w:rsidDel="00CE2EA2">
        <w:t xml:space="preserve">MBS </w:t>
      </w:r>
      <w:r w:rsidR="008672E3" w:rsidDel="00CE2EA2">
        <w:t xml:space="preserve">item </w:t>
      </w:r>
      <w:r w:rsidR="008672E3" w:rsidRPr="00BA0201" w:rsidDel="00CE2EA2">
        <w:t>descriptor</w:t>
      </w:r>
      <w:r w:rsidR="00325A8D">
        <w:t xml:space="preserve"> (NOSE score of &gt;45)</w:t>
      </w:r>
      <w:r w:rsidR="008672E3" w:rsidRPr="00BA0201" w:rsidDel="00CE2EA2">
        <w:t xml:space="preserve">. </w:t>
      </w:r>
      <w:r>
        <w:t>Therefore</w:t>
      </w:r>
      <w:r w:rsidR="00A7603D" w:rsidRPr="00BA0201">
        <w:t xml:space="preserve">, </w:t>
      </w:r>
      <w:r w:rsidR="00A95FBE">
        <w:t xml:space="preserve">the </w:t>
      </w:r>
      <w:r w:rsidR="004C281C">
        <w:t>c</w:t>
      </w:r>
      <w:r w:rsidR="00653FD9">
        <w:t xml:space="preserve">ommentary concluded that </w:t>
      </w:r>
      <w:r w:rsidR="00A7603D" w:rsidRPr="00BA0201">
        <w:t xml:space="preserve">the evidence presented in the ADAR did not clearly demonstrate a benefit for </w:t>
      </w:r>
      <w:r w:rsidR="006E5D33" w:rsidRPr="00BA0201">
        <w:t xml:space="preserve">LATERA </w:t>
      </w:r>
      <w:r w:rsidR="00E3367D">
        <w:t>for all patients who would be eli</w:t>
      </w:r>
      <w:r w:rsidR="00E865AA">
        <w:t xml:space="preserve">gible for LATERA </w:t>
      </w:r>
      <w:r w:rsidR="006E5D33" w:rsidRPr="00BA0201">
        <w:t xml:space="preserve">in </w:t>
      </w:r>
      <w:r w:rsidR="00A7603D" w:rsidRPr="00BA0201">
        <w:t>the proposed MBS item descriptor</w:t>
      </w:r>
      <w:r w:rsidR="0067565D" w:rsidRPr="00BA0201">
        <w:t xml:space="preserve"> (</w:t>
      </w:r>
      <w:r w:rsidR="004D4533" w:rsidRPr="00BA0201">
        <w:t>i.e.,</w:t>
      </w:r>
      <w:r w:rsidR="0067565D" w:rsidRPr="00BA0201">
        <w:t xml:space="preserve"> </w:t>
      </w:r>
      <w:r w:rsidR="00115779">
        <w:t xml:space="preserve">moderate population </w:t>
      </w:r>
      <w:r w:rsidR="0067565D" w:rsidRPr="00BA0201">
        <w:t xml:space="preserve">NOSE score </w:t>
      </w:r>
      <w:r w:rsidR="008B58A2">
        <w:t>&gt;</w:t>
      </w:r>
      <w:r w:rsidR="0067565D" w:rsidRPr="00BA0201">
        <w:t>45</w:t>
      </w:r>
      <w:r w:rsidR="00E865AA">
        <w:t>-55</w:t>
      </w:r>
      <w:r w:rsidR="00702835" w:rsidRPr="00BA0201">
        <w:t>)</w:t>
      </w:r>
      <w:r w:rsidR="00A7603D" w:rsidRPr="00BA0201">
        <w:t xml:space="preserve">. </w:t>
      </w:r>
      <w:r w:rsidR="00263E07">
        <w:t>Further, t</w:t>
      </w:r>
      <w:r w:rsidR="00EA1890" w:rsidRPr="00BA0201">
        <w:t>he</w:t>
      </w:r>
      <w:r w:rsidR="00551C31">
        <w:t xml:space="preserve"> </w:t>
      </w:r>
      <w:r w:rsidR="004C281C">
        <w:t>c</w:t>
      </w:r>
      <w:r w:rsidR="00D17D46">
        <w:t xml:space="preserve">ommentary </w:t>
      </w:r>
      <w:r w:rsidR="0073540D">
        <w:t xml:space="preserve">highlighted that the </w:t>
      </w:r>
      <w:r w:rsidR="00EA1890" w:rsidRPr="00BA0201">
        <w:t>results of the naïve</w:t>
      </w:r>
      <w:r w:rsidR="00E32648">
        <w:t xml:space="preserve"> indirect comparison</w:t>
      </w:r>
      <w:r w:rsidR="00702835" w:rsidRPr="00BA0201">
        <w:t xml:space="preserve"> </w:t>
      </w:r>
      <w:r w:rsidR="00EA1890" w:rsidRPr="00BA0201">
        <w:t>should be interpreted with caution, given differences in the trial populations and differences in the timing of assessments</w:t>
      </w:r>
      <w:r w:rsidR="008762C0">
        <w:t>,</w:t>
      </w:r>
      <w:r w:rsidR="001E160D">
        <w:t xml:space="preserve"> and therefore the claim of non-inferior effectiveness for LATERA compared to functional rhinoplasty is of low certainty</w:t>
      </w:r>
      <w:r w:rsidR="00EA1890" w:rsidRPr="00BA0201">
        <w:t>.</w:t>
      </w:r>
    </w:p>
    <w:p w14:paraId="445EE39C" w14:textId="77777777" w:rsidR="00F06855" w:rsidRDefault="00F06855" w:rsidP="00670650">
      <w:pPr>
        <w:pStyle w:val="Guidelinescross-ref"/>
        <w:keepNext/>
        <w:sectPr w:rsidR="00F06855" w:rsidSect="00CC16A4">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docGrid w:linePitch="360"/>
        </w:sectPr>
      </w:pPr>
    </w:p>
    <w:p w14:paraId="05C556CA" w14:textId="756A64ED" w:rsidR="00081C17" w:rsidRDefault="00B758DA" w:rsidP="00B758DA">
      <w:pPr>
        <w:pStyle w:val="Caption"/>
      </w:pPr>
      <w:bookmarkStart w:id="28" w:name="_Ref119452479"/>
      <w:r>
        <w:lastRenderedPageBreak/>
        <w:t xml:space="preserve">Table </w:t>
      </w:r>
      <w:r>
        <w:fldChar w:fldCharType="begin"/>
      </w:r>
      <w:r>
        <w:instrText>SEQ Table \* ARABIC</w:instrText>
      </w:r>
      <w:r>
        <w:fldChar w:fldCharType="separate"/>
      </w:r>
      <w:r w:rsidR="003511D3">
        <w:rPr>
          <w:noProof/>
        </w:rPr>
        <w:t>10</w:t>
      </w:r>
      <w:r>
        <w:fldChar w:fldCharType="end"/>
      </w:r>
      <w:bookmarkEnd w:id="28"/>
      <w:r>
        <w:tab/>
      </w:r>
      <w:r w:rsidR="003F076A" w:rsidRPr="003F076A">
        <w:t>Naïve indirect comparison of change in NOSE scores at 1 to 24 months follow-up</w:t>
      </w:r>
    </w:p>
    <w:tbl>
      <w:tblPr>
        <w:tblStyle w:val="TableGrid"/>
        <w:tblW w:w="14460" w:type="dxa"/>
        <w:tblLook w:val="04A0" w:firstRow="1" w:lastRow="0" w:firstColumn="1" w:lastColumn="0" w:noHBand="0" w:noVBand="1"/>
      </w:tblPr>
      <w:tblGrid>
        <w:gridCol w:w="1065"/>
        <w:gridCol w:w="2191"/>
        <w:gridCol w:w="1651"/>
        <w:gridCol w:w="1653"/>
        <w:gridCol w:w="1653"/>
        <w:gridCol w:w="1700"/>
        <w:gridCol w:w="1248"/>
        <w:gridCol w:w="1652"/>
        <w:gridCol w:w="1647"/>
      </w:tblGrid>
      <w:tr w:rsidR="00FB0964" w14:paraId="4C7EF6D1" w14:textId="77777777" w:rsidTr="00AE4565">
        <w:trPr>
          <w:trHeight w:val="278"/>
          <w:tblHeader/>
        </w:trPr>
        <w:tc>
          <w:tcPr>
            <w:tcW w:w="1065" w:type="dxa"/>
            <w:vMerge w:val="restart"/>
            <w:shd w:val="clear" w:color="auto" w:fill="auto"/>
          </w:tcPr>
          <w:p w14:paraId="61C189AD" w14:textId="77777777" w:rsidR="00FB0964" w:rsidRPr="000864EF" w:rsidRDefault="00FB0964" w:rsidP="00FB2141">
            <w:pPr>
              <w:pStyle w:val="TableText"/>
              <w:rPr>
                <w:b/>
                <w:bCs/>
              </w:rPr>
            </w:pPr>
            <w:r w:rsidRPr="000864EF">
              <w:rPr>
                <w:b/>
                <w:bCs/>
              </w:rPr>
              <w:t>FU post procedure</w:t>
            </w:r>
            <w:r>
              <w:rPr>
                <w:b/>
                <w:bCs/>
              </w:rPr>
              <w:t>, months</w:t>
            </w:r>
          </w:p>
        </w:tc>
        <w:tc>
          <w:tcPr>
            <w:tcW w:w="7148" w:type="dxa"/>
            <w:gridSpan w:val="4"/>
            <w:shd w:val="clear" w:color="auto" w:fill="auto"/>
          </w:tcPr>
          <w:p w14:paraId="58CB98DF" w14:textId="77777777" w:rsidR="00FB0964" w:rsidRPr="000864EF" w:rsidRDefault="00FB0964" w:rsidP="00FB2141">
            <w:pPr>
              <w:pStyle w:val="TableText"/>
              <w:rPr>
                <w:b/>
                <w:bCs/>
              </w:rPr>
            </w:pPr>
            <w:r>
              <w:rPr>
                <w:b/>
                <w:bCs/>
              </w:rPr>
              <w:t>LATERA NOSE score, mean (SD)</w:t>
            </w:r>
          </w:p>
        </w:tc>
        <w:tc>
          <w:tcPr>
            <w:tcW w:w="6247" w:type="dxa"/>
            <w:gridSpan w:val="4"/>
            <w:shd w:val="clear" w:color="auto" w:fill="auto"/>
          </w:tcPr>
          <w:p w14:paraId="15B499DA" w14:textId="77777777" w:rsidR="00FB0964" w:rsidRPr="000864EF" w:rsidRDefault="00FB0964" w:rsidP="00FB2141">
            <w:pPr>
              <w:pStyle w:val="TableText"/>
              <w:rPr>
                <w:b/>
                <w:bCs/>
              </w:rPr>
            </w:pPr>
            <w:r w:rsidRPr="000864EF">
              <w:rPr>
                <w:b/>
                <w:bCs/>
              </w:rPr>
              <w:t xml:space="preserve">Functional rhinoplasty </w:t>
            </w:r>
            <w:r>
              <w:rPr>
                <w:b/>
                <w:bCs/>
              </w:rPr>
              <w:t>NOSE score, mean (SD)</w:t>
            </w:r>
          </w:p>
        </w:tc>
      </w:tr>
      <w:tr w:rsidR="00BD7553" w14:paraId="16FA1D4B" w14:textId="77777777" w:rsidTr="00AE4565">
        <w:trPr>
          <w:trHeight w:val="272"/>
          <w:tblHeader/>
        </w:trPr>
        <w:tc>
          <w:tcPr>
            <w:tcW w:w="1065" w:type="dxa"/>
            <w:vMerge/>
            <w:shd w:val="clear" w:color="auto" w:fill="auto"/>
          </w:tcPr>
          <w:p w14:paraId="3DCF99BA" w14:textId="77777777" w:rsidR="00FB0964" w:rsidRPr="000864EF" w:rsidRDefault="00FB0964" w:rsidP="00FB2141">
            <w:pPr>
              <w:pStyle w:val="TableText"/>
              <w:rPr>
                <w:b/>
                <w:bCs/>
              </w:rPr>
            </w:pPr>
          </w:p>
        </w:tc>
        <w:tc>
          <w:tcPr>
            <w:tcW w:w="2191" w:type="dxa"/>
            <w:shd w:val="clear" w:color="auto" w:fill="auto"/>
          </w:tcPr>
          <w:p w14:paraId="60493A54" w14:textId="77777777" w:rsidR="00FB0964" w:rsidRPr="000864EF" w:rsidRDefault="00FB0964" w:rsidP="00FB2141">
            <w:pPr>
              <w:pStyle w:val="TableText"/>
              <w:rPr>
                <w:b/>
                <w:bCs/>
              </w:rPr>
            </w:pPr>
            <w:r w:rsidRPr="000864EF">
              <w:rPr>
                <w:b/>
                <w:bCs/>
              </w:rPr>
              <w:t>Trial ID</w:t>
            </w:r>
          </w:p>
        </w:tc>
        <w:tc>
          <w:tcPr>
            <w:tcW w:w="1651" w:type="dxa"/>
            <w:shd w:val="clear" w:color="auto" w:fill="auto"/>
          </w:tcPr>
          <w:p w14:paraId="744F8679" w14:textId="77777777" w:rsidR="00FB0964" w:rsidRPr="000864EF" w:rsidRDefault="00FB0964" w:rsidP="00FB2141">
            <w:pPr>
              <w:pStyle w:val="TableText"/>
              <w:rPr>
                <w:b/>
                <w:bCs/>
              </w:rPr>
            </w:pPr>
            <w:r w:rsidRPr="000864EF">
              <w:rPr>
                <w:b/>
                <w:bCs/>
              </w:rPr>
              <w:t xml:space="preserve">Baseline </w:t>
            </w:r>
          </w:p>
        </w:tc>
        <w:tc>
          <w:tcPr>
            <w:tcW w:w="1653" w:type="dxa"/>
            <w:shd w:val="clear" w:color="auto" w:fill="auto"/>
          </w:tcPr>
          <w:p w14:paraId="29E6C79F" w14:textId="77777777" w:rsidR="00FB0964" w:rsidRPr="000864EF" w:rsidRDefault="00FB0964" w:rsidP="00FB2141">
            <w:pPr>
              <w:pStyle w:val="TableText"/>
              <w:rPr>
                <w:b/>
                <w:bCs/>
              </w:rPr>
            </w:pPr>
            <w:r w:rsidRPr="000864EF">
              <w:rPr>
                <w:b/>
                <w:bCs/>
              </w:rPr>
              <w:t xml:space="preserve">Post </w:t>
            </w:r>
            <w:r>
              <w:rPr>
                <w:b/>
                <w:bCs/>
              </w:rPr>
              <w:t>procedure</w:t>
            </w:r>
          </w:p>
        </w:tc>
        <w:tc>
          <w:tcPr>
            <w:tcW w:w="1653" w:type="dxa"/>
            <w:shd w:val="clear" w:color="auto" w:fill="auto"/>
          </w:tcPr>
          <w:p w14:paraId="1584D563" w14:textId="77777777" w:rsidR="00FB0964" w:rsidRPr="000864EF" w:rsidRDefault="00FB0964" w:rsidP="00FB2141">
            <w:pPr>
              <w:pStyle w:val="TableText"/>
              <w:rPr>
                <w:b/>
                <w:bCs/>
              </w:rPr>
            </w:pPr>
            <w:r w:rsidRPr="000864EF">
              <w:rPr>
                <w:b/>
                <w:bCs/>
              </w:rPr>
              <w:t xml:space="preserve">Change </w:t>
            </w:r>
          </w:p>
        </w:tc>
        <w:tc>
          <w:tcPr>
            <w:tcW w:w="1700" w:type="dxa"/>
            <w:shd w:val="clear" w:color="auto" w:fill="auto"/>
          </w:tcPr>
          <w:p w14:paraId="23FAFA67" w14:textId="77777777" w:rsidR="00FB0964" w:rsidRPr="000864EF" w:rsidRDefault="00FB0964" w:rsidP="00FB2141">
            <w:pPr>
              <w:pStyle w:val="TableText"/>
              <w:rPr>
                <w:b/>
                <w:bCs/>
              </w:rPr>
            </w:pPr>
            <w:r w:rsidRPr="000864EF">
              <w:rPr>
                <w:b/>
                <w:bCs/>
              </w:rPr>
              <w:t>Trial ID</w:t>
            </w:r>
          </w:p>
        </w:tc>
        <w:tc>
          <w:tcPr>
            <w:tcW w:w="1248" w:type="dxa"/>
            <w:shd w:val="clear" w:color="auto" w:fill="auto"/>
          </w:tcPr>
          <w:p w14:paraId="6E65072C" w14:textId="77777777" w:rsidR="00FB0964" w:rsidRPr="000864EF" w:rsidRDefault="00FB0964" w:rsidP="00FB2141">
            <w:pPr>
              <w:pStyle w:val="TableText"/>
              <w:rPr>
                <w:b/>
                <w:bCs/>
              </w:rPr>
            </w:pPr>
            <w:r w:rsidRPr="000864EF">
              <w:rPr>
                <w:b/>
                <w:bCs/>
              </w:rPr>
              <w:t xml:space="preserve">Baseline </w:t>
            </w:r>
          </w:p>
        </w:tc>
        <w:tc>
          <w:tcPr>
            <w:tcW w:w="1652" w:type="dxa"/>
            <w:shd w:val="clear" w:color="auto" w:fill="auto"/>
          </w:tcPr>
          <w:p w14:paraId="34D1274F" w14:textId="77777777" w:rsidR="00FB0964" w:rsidRPr="000864EF" w:rsidRDefault="00FB0964" w:rsidP="00FB2141">
            <w:pPr>
              <w:pStyle w:val="TableText"/>
              <w:rPr>
                <w:b/>
                <w:bCs/>
              </w:rPr>
            </w:pPr>
            <w:r w:rsidRPr="000864EF">
              <w:rPr>
                <w:b/>
                <w:bCs/>
              </w:rPr>
              <w:t xml:space="preserve">Post operation </w:t>
            </w:r>
          </w:p>
        </w:tc>
        <w:tc>
          <w:tcPr>
            <w:tcW w:w="1647" w:type="dxa"/>
            <w:shd w:val="clear" w:color="auto" w:fill="auto"/>
          </w:tcPr>
          <w:p w14:paraId="56DDD325" w14:textId="77777777" w:rsidR="00FB0964" w:rsidRPr="000864EF" w:rsidRDefault="00FB0964" w:rsidP="00FB2141">
            <w:pPr>
              <w:pStyle w:val="TableText"/>
              <w:rPr>
                <w:b/>
                <w:bCs/>
              </w:rPr>
            </w:pPr>
            <w:r w:rsidRPr="000864EF">
              <w:rPr>
                <w:b/>
                <w:bCs/>
              </w:rPr>
              <w:t xml:space="preserve">Change </w:t>
            </w:r>
          </w:p>
        </w:tc>
      </w:tr>
      <w:tr w:rsidR="00FB0964" w:rsidRPr="00BB1E80" w14:paraId="166902CE" w14:textId="77777777" w:rsidTr="00FB2141">
        <w:trPr>
          <w:trHeight w:val="159"/>
        </w:trPr>
        <w:tc>
          <w:tcPr>
            <w:tcW w:w="1065" w:type="dxa"/>
            <w:vMerge w:val="restart"/>
          </w:tcPr>
          <w:p w14:paraId="14427A79" w14:textId="77777777" w:rsidR="00FB0964" w:rsidRPr="00BB1E80" w:rsidRDefault="00FB0964" w:rsidP="00FB2141">
            <w:pPr>
              <w:pStyle w:val="TableText"/>
            </w:pPr>
            <w:r w:rsidRPr="00BB1E80">
              <w:t>1</w:t>
            </w:r>
          </w:p>
        </w:tc>
        <w:tc>
          <w:tcPr>
            <w:tcW w:w="2191" w:type="dxa"/>
            <w:tcBorders>
              <w:bottom w:val="dotted" w:sz="4" w:space="0" w:color="auto"/>
            </w:tcBorders>
          </w:tcPr>
          <w:p w14:paraId="55613E96" w14:textId="77777777" w:rsidR="00FB0964" w:rsidRPr="00BB1E80" w:rsidRDefault="00FB0964" w:rsidP="00FB2141">
            <w:pPr>
              <w:pStyle w:val="TableText"/>
            </w:pPr>
            <w:r w:rsidRPr="00BB1E80">
              <w:t>LATERA-RCT (N=69)</w:t>
            </w:r>
          </w:p>
        </w:tc>
        <w:tc>
          <w:tcPr>
            <w:tcW w:w="1651" w:type="dxa"/>
            <w:tcBorders>
              <w:bottom w:val="dotted" w:sz="4" w:space="0" w:color="auto"/>
            </w:tcBorders>
          </w:tcPr>
          <w:p w14:paraId="0EAAD70A" w14:textId="77777777" w:rsidR="00FB0964" w:rsidRPr="00BB1E80" w:rsidRDefault="00FB0964" w:rsidP="00FB2141">
            <w:pPr>
              <w:pStyle w:val="TableText"/>
            </w:pPr>
            <w:r w:rsidRPr="00BB1E80">
              <w:t>76.2 (13.1)</w:t>
            </w:r>
          </w:p>
        </w:tc>
        <w:tc>
          <w:tcPr>
            <w:tcW w:w="1653" w:type="dxa"/>
            <w:tcBorders>
              <w:bottom w:val="dotted" w:sz="4" w:space="0" w:color="auto"/>
            </w:tcBorders>
          </w:tcPr>
          <w:p w14:paraId="4B08463E" w14:textId="77777777" w:rsidR="00FB0964" w:rsidRPr="00BB1E80" w:rsidRDefault="00FB0964" w:rsidP="00FB2141">
            <w:pPr>
              <w:pStyle w:val="TableText"/>
            </w:pPr>
            <w:r w:rsidRPr="00BB1E80">
              <w:t>40 (21.9)</w:t>
            </w:r>
          </w:p>
        </w:tc>
        <w:tc>
          <w:tcPr>
            <w:tcW w:w="1653" w:type="dxa"/>
            <w:tcBorders>
              <w:bottom w:val="dotted" w:sz="4" w:space="0" w:color="auto"/>
            </w:tcBorders>
          </w:tcPr>
          <w:p w14:paraId="177B876D" w14:textId="77777777" w:rsidR="00FB0964" w:rsidRPr="00BB1E80" w:rsidRDefault="00FB0964" w:rsidP="00FB2141">
            <w:pPr>
              <w:pStyle w:val="TableText"/>
            </w:pPr>
            <w:r w:rsidRPr="00BB1E80">
              <w:t>-36.2 (25.8)</w:t>
            </w:r>
          </w:p>
        </w:tc>
        <w:tc>
          <w:tcPr>
            <w:tcW w:w="1700" w:type="dxa"/>
            <w:vMerge w:val="restart"/>
          </w:tcPr>
          <w:p w14:paraId="79071E56" w14:textId="77777777" w:rsidR="00FB0964" w:rsidRPr="00BB1E80" w:rsidRDefault="00FB0964" w:rsidP="00FB2141">
            <w:pPr>
              <w:pStyle w:val="TableText"/>
            </w:pPr>
            <w:r w:rsidRPr="00BB1E80">
              <w:t>NR</w:t>
            </w:r>
          </w:p>
        </w:tc>
        <w:tc>
          <w:tcPr>
            <w:tcW w:w="1248" w:type="dxa"/>
            <w:vMerge w:val="restart"/>
          </w:tcPr>
          <w:p w14:paraId="2123BCDC" w14:textId="77777777" w:rsidR="00FB0964" w:rsidRPr="00BB1E80" w:rsidRDefault="00FB0964" w:rsidP="00FB2141">
            <w:pPr>
              <w:pStyle w:val="TableText"/>
            </w:pPr>
            <w:r w:rsidRPr="00BB1E80">
              <w:t>NR</w:t>
            </w:r>
          </w:p>
        </w:tc>
        <w:tc>
          <w:tcPr>
            <w:tcW w:w="1652" w:type="dxa"/>
            <w:vMerge w:val="restart"/>
          </w:tcPr>
          <w:p w14:paraId="731101E3" w14:textId="77777777" w:rsidR="00FB0964" w:rsidRPr="00BB1E80" w:rsidRDefault="00FB0964" w:rsidP="00FB2141">
            <w:pPr>
              <w:pStyle w:val="TableText"/>
            </w:pPr>
            <w:r w:rsidRPr="00BB1E80">
              <w:t>NR</w:t>
            </w:r>
          </w:p>
        </w:tc>
        <w:tc>
          <w:tcPr>
            <w:tcW w:w="1647" w:type="dxa"/>
            <w:vMerge w:val="restart"/>
          </w:tcPr>
          <w:p w14:paraId="6E82439E" w14:textId="77777777" w:rsidR="00FB0964" w:rsidRPr="00BB1E80" w:rsidRDefault="00FB0964" w:rsidP="00FB2141">
            <w:pPr>
              <w:pStyle w:val="TableText"/>
            </w:pPr>
            <w:r w:rsidRPr="00BB1E80">
              <w:t>NR</w:t>
            </w:r>
          </w:p>
        </w:tc>
      </w:tr>
      <w:tr w:rsidR="00FB0964" w:rsidRPr="00BB1E80" w14:paraId="058FDBCC" w14:textId="77777777" w:rsidTr="00FB2141">
        <w:trPr>
          <w:trHeight w:val="159"/>
        </w:trPr>
        <w:tc>
          <w:tcPr>
            <w:tcW w:w="1065" w:type="dxa"/>
            <w:vMerge/>
          </w:tcPr>
          <w:p w14:paraId="559D5CCB" w14:textId="77777777" w:rsidR="00FB0964" w:rsidRPr="00BB1E80" w:rsidRDefault="00FB0964" w:rsidP="00FB2141">
            <w:pPr>
              <w:pStyle w:val="TableText"/>
            </w:pPr>
          </w:p>
        </w:tc>
        <w:tc>
          <w:tcPr>
            <w:tcW w:w="2191" w:type="dxa"/>
            <w:tcBorders>
              <w:top w:val="dotted" w:sz="4" w:space="0" w:color="auto"/>
              <w:bottom w:val="dotted" w:sz="4" w:space="0" w:color="auto"/>
            </w:tcBorders>
          </w:tcPr>
          <w:p w14:paraId="10FDCE49" w14:textId="77777777" w:rsidR="00FB0964" w:rsidRPr="00BB1E80" w:rsidRDefault="00FB0964" w:rsidP="00FB2141">
            <w:pPr>
              <w:pStyle w:val="TableText"/>
            </w:pPr>
            <w:r w:rsidRPr="00BB1E80">
              <w:t>LATERA-OFFICE (N=103)</w:t>
            </w:r>
          </w:p>
        </w:tc>
        <w:tc>
          <w:tcPr>
            <w:tcW w:w="1651" w:type="dxa"/>
            <w:tcBorders>
              <w:top w:val="dotted" w:sz="4" w:space="0" w:color="auto"/>
              <w:bottom w:val="dotted" w:sz="4" w:space="0" w:color="auto"/>
            </w:tcBorders>
          </w:tcPr>
          <w:p w14:paraId="73DF87A1" w14:textId="77777777" w:rsidR="00FB0964" w:rsidRPr="00BB1E80" w:rsidRDefault="00FB0964" w:rsidP="00FB2141">
            <w:pPr>
              <w:pStyle w:val="TableText"/>
              <w:rPr>
                <w:vertAlign w:val="superscript"/>
              </w:rPr>
            </w:pPr>
            <w:r w:rsidRPr="00BB1E80">
              <w:t xml:space="preserve">77.8 (13.5) </w:t>
            </w:r>
            <w:r w:rsidRPr="00BB1E80">
              <w:rPr>
                <w:vertAlign w:val="superscript"/>
              </w:rPr>
              <w:t>b</w:t>
            </w:r>
          </w:p>
        </w:tc>
        <w:tc>
          <w:tcPr>
            <w:tcW w:w="1653" w:type="dxa"/>
            <w:tcBorders>
              <w:top w:val="dotted" w:sz="4" w:space="0" w:color="auto"/>
              <w:bottom w:val="dotted" w:sz="4" w:space="0" w:color="auto"/>
            </w:tcBorders>
          </w:tcPr>
          <w:p w14:paraId="616325C5" w14:textId="77777777" w:rsidR="00FB0964" w:rsidRPr="00BB1E80" w:rsidRDefault="00FB0964" w:rsidP="00FB2141">
            <w:pPr>
              <w:pStyle w:val="TableText"/>
            </w:pPr>
            <w:r w:rsidRPr="00BB1E80">
              <w:t xml:space="preserve">37.1 (NR) </w:t>
            </w:r>
            <w:r w:rsidRPr="00BB1E80">
              <w:rPr>
                <w:vertAlign w:val="superscript"/>
              </w:rPr>
              <w:t>c</w:t>
            </w:r>
          </w:p>
        </w:tc>
        <w:tc>
          <w:tcPr>
            <w:tcW w:w="1653" w:type="dxa"/>
            <w:tcBorders>
              <w:top w:val="dotted" w:sz="4" w:space="0" w:color="auto"/>
              <w:bottom w:val="dotted" w:sz="4" w:space="0" w:color="auto"/>
            </w:tcBorders>
          </w:tcPr>
          <w:p w14:paraId="33ACE131" w14:textId="77777777" w:rsidR="00FB0964" w:rsidRPr="00BB1E80" w:rsidRDefault="00FB0964" w:rsidP="00FB2141">
            <w:pPr>
              <w:pStyle w:val="TableText"/>
            </w:pPr>
            <w:r w:rsidRPr="00BB1E80">
              <w:t>-40.7 (24.5)</w:t>
            </w:r>
          </w:p>
        </w:tc>
        <w:tc>
          <w:tcPr>
            <w:tcW w:w="1700" w:type="dxa"/>
            <w:vMerge/>
          </w:tcPr>
          <w:p w14:paraId="0A47DA7D" w14:textId="77777777" w:rsidR="00FB0964" w:rsidRPr="00BB1E80" w:rsidRDefault="00FB0964" w:rsidP="00FB2141">
            <w:pPr>
              <w:pStyle w:val="TableText"/>
            </w:pPr>
          </w:p>
        </w:tc>
        <w:tc>
          <w:tcPr>
            <w:tcW w:w="1248" w:type="dxa"/>
            <w:vMerge/>
          </w:tcPr>
          <w:p w14:paraId="01959E0B" w14:textId="77777777" w:rsidR="00FB0964" w:rsidRPr="00BB1E80" w:rsidRDefault="00FB0964" w:rsidP="00FB2141">
            <w:pPr>
              <w:pStyle w:val="TableText"/>
            </w:pPr>
          </w:p>
        </w:tc>
        <w:tc>
          <w:tcPr>
            <w:tcW w:w="1652" w:type="dxa"/>
            <w:vMerge/>
          </w:tcPr>
          <w:p w14:paraId="63DCBB0D" w14:textId="77777777" w:rsidR="00FB0964" w:rsidRPr="00BB1E80" w:rsidRDefault="00FB0964" w:rsidP="00FB2141">
            <w:pPr>
              <w:pStyle w:val="TableText"/>
            </w:pPr>
          </w:p>
        </w:tc>
        <w:tc>
          <w:tcPr>
            <w:tcW w:w="1647" w:type="dxa"/>
            <w:vMerge/>
          </w:tcPr>
          <w:p w14:paraId="2600BE43" w14:textId="77777777" w:rsidR="00FB0964" w:rsidRPr="00BB1E80" w:rsidRDefault="00FB0964" w:rsidP="00FB2141">
            <w:pPr>
              <w:pStyle w:val="TableText"/>
            </w:pPr>
          </w:p>
        </w:tc>
      </w:tr>
      <w:tr w:rsidR="00FB0964" w14:paraId="11D0ED73" w14:textId="77777777" w:rsidTr="00FB2141">
        <w:trPr>
          <w:trHeight w:val="159"/>
        </w:trPr>
        <w:tc>
          <w:tcPr>
            <w:tcW w:w="1065" w:type="dxa"/>
            <w:vMerge/>
          </w:tcPr>
          <w:p w14:paraId="7AEFD136" w14:textId="77777777" w:rsidR="00FB0964" w:rsidRDefault="00FB0964" w:rsidP="00FB2141">
            <w:pPr>
              <w:pStyle w:val="TableText"/>
            </w:pPr>
          </w:p>
        </w:tc>
        <w:tc>
          <w:tcPr>
            <w:tcW w:w="2191" w:type="dxa"/>
            <w:tcBorders>
              <w:top w:val="dotted" w:sz="4" w:space="0" w:color="auto"/>
            </w:tcBorders>
          </w:tcPr>
          <w:p w14:paraId="5D39F5FB" w14:textId="77777777" w:rsidR="00FB0964" w:rsidRDefault="00FB0964" w:rsidP="00FB2141">
            <w:pPr>
              <w:pStyle w:val="TableText"/>
            </w:pPr>
            <w:r>
              <w:t>Trial 4350-001 (N=30)</w:t>
            </w:r>
          </w:p>
        </w:tc>
        <w:tc>
          <w:tcPr>
            <w:tcW w:w="1651" w:type="dxa"/>
            <w:tcBorders>
              <w:top w:val="dotted" w:sz="4" w:space="0" w:color="auto"/>
            </w:tcBorders>
          </w:tcPr>
          <w:p w14:paraId="139E97A5" w14:textId="77777777" w:rsidR="00FB0964" w:rsidRDefault="00FB0964" w:rsidP="00FB2141">
            <w:pPr>
              <w:pStyle w:val="TableText"/>
            </w:pPr>
            <w:r>
              <w:t xml:space="preserve">76.7 (14.8) </w:t>
            </w:r>
            <w:r w:rsidRPr="00D36E20">
              <w:rPr>
                <w:vertAlign w:val="superscript"/>
              </w:rPr>
              <w:t>b</w:t>
            </w:r>
          </w:p>
        </w:tc>
        <w:tc>
          <w:tcPr>
            <w:tcW w:w="1653" w:type="dxa"/>
            <w:tcBorders>
              <w:top w:val="dotted" w:sz="4" w:space="0" w:color="auto"/>
            </w:tcBorders>
          </w:tcPr>
          <w:p w14:paraId="462C5947" w14:textId="77777777" w:rsidR="00FB0964" w:rsidRDefault="00FB0964" w:rsidP="00FB2141">
            <w:pPr>
              <w:pStyle w:val="TableText"/>
            </w:pPr>
            <w:r w:rsidRPr="00BB1E80">
              <w:t xml:space="preserve">27 (NR) </w:t>
            </w:r>
            <w:r w:rsidRPr="00BB1E80">
              <w:rPr>
                <w:vertAlign w:val="superscript"/>
              </w:rPr>
              <w:t>c</w:t>
            </w:r>
          </w:p>
        </w:tc>
        <w:tc>
          <w:tcPr>
            <w:tcW w:w="1653" w:type="dxa"/>
            <w:tcBorders>
              <w:top w:val="dotted" w:sz="4" w:space="0" w:color="auto"/>
            </w:tcBorders>
          </w:tcPr>
          <w:p w14:paraId="2E69C572" w14:textId="77777777" w:rsidR="00FB0964" w:rsidRPr="005155DA" w:rsidRDefault="00FB0964" w:rsidP="00FB2141">
            <w:pPr>
              <w:pStyle w:val="TableText"/>
            </w:pPr>
            <w:r w:rsidRPr="00BB1E80">
              <w:t>-49.7 (25.6)</w:t>
            </w:r>
          </w:p>
        </w:tc>
        <w:tc>
          <w:tcPr>
            <w:tcW w:w="1700" w:type="dxa"/>
            <w:vMerge/>
          </w:tcPr>
          <w:p w14:paraId="2AC87949" w14:textId="77777777" w:rsidR="00FB0964" w:rsidRDefault="00FB0964" w:rsidP="00FB2141">
            <w:pPr>
              <w:pStyle w:val="TableText"/>
            </w:pPr>
          </w:p>
        </w:tc>
        <w:tc>
          <w:tcPr>
            <w:tcW w:w="1248" w:type="dxa"/>
            <w:vMerge/>
          </w:tcPr>
          <w:p w14:paraId="67E1BB4F" w14:textId="77777777" w:rsidR="00FB0964" w:rsidRDefault="00FB0964" w:rsidP="00FB2141">
            <w:pPr>
              <w:pStyle w:val="TableText"/>
            </w:pPr>
          </w:p>
        </w:tc>
        <w:tc>
          <w:tcPr>
            <w:tcW w:w="1652" w:type="dxa"/>
            <w:vMerge/>
          </w:tcPr>
          <w:p w14:paraId="59DBC513" w14:textId="77777777" w:rsidR="00FB0964" w:rsidRDefault="00FB0964" w:rsidP="00FB2141">
            <w:pPr>
              <w:pStyle w:val="TableText"/>
            </w:pPr>
          </w:p>
        </w:tc>
        <w:tc>
          <w:tcPr>
            <w:tcW w:w="1647" w:type="dxa"/>
            <w:vMerge/>
          </w:tcPr>
          <w:p w14:paraId="5F246203" w14:textId="77777777" w:rsidR="00FB0964" w:rsidRDefault="00FB0964" w:rsidP="00FB2141">
            <w:pPr>
              <w:pStyle w:val="TableText"/>
            </w:pPr>
          </w:p>
        </w:tc>
      </w:tr>
      <w:tr w:rsidR="00FB0964" w14:paraId="6D6FAE09" w14:textId="77777777" w:rsidTr="00FB2141">
        <w:trPr>
          <w:trHeight w:val="159"/>
        </w:trPr>
        <w:tc>
          <w:tcPr>
            <w:tcW w:w="1065" w:type="dxa"/>
            <w:vMerge/>
            <w:tcBorders>
              <w:bottom w:val="single" w:sz="18" w:space="0" w:color="auto"/>
            </w:tcBorders>
          </w:tcPr>
          <w:p w14:paraId="17321EE2" w14:textId="77777777" w:rsidR="00FB0964" w:rsidRDefault="00FB0964" w:rsidP="00FB2141">
            <w:pPr>
              <w:pStyle w:val="TableText"/>
            </w:pPr>
          </w:p>
        </w:tc>
        <w:tc>
          <w:tcPr>
            <w:tcW w:w="2191" w:type="dxa"/>
            <w:tcBorders>
              <w:bottom w:val="single" w:sz="18" w:space="0" w:color="auto"/>
            </w:tcBorders>
          </w:tcPr>
          <w:p w14:paraId="78D7903A" w14:textId="77777777" w:rsidR="00FB0964" w:rsidRDefault="00FB0964" w:rsidP="00FB2141">
            <w:pPr>
              <w:pStyle w:val="TableText"/>
            </w:pPr>
            <w:r>
              <w:t>MA (95% CI)</w:t>
            </w:r>
          </w:p>
        </w:tc>
        <w:tc>
          <w:tcPr>
            <w:tcW w:w="4957" w:type="dxa"/>
            <w:gridSpan w:val="3"/>
          </w:tcPr>
          <w:p w14:paraId="00C4EFE5" w14:textId="77777777" w:rsidR="00FB0964" w:rsidRPr="00A44A5C" w:rsidRDefault="00FB0964" w:rsidP="00FB2141">
            <w:pPr>
              <w:pStyle w:val="TableText"/>
              <w:jc w:val="right"/>
              <w:rPr>
                <w:b/>
                <w:bCs/>
              </w:rPr>
            </w:pPr>
            <w:r w:rsidRPr="00BB1E80">
              <w:rPr>
                <w:b/>
                <w:bCs/>
              </w:rPr>
              <w:t>-41.54 (-48.87, -34.21), I</w:t>
            </w:r>
            <w:r w:rsidRPr="00BB1E80">
              <w:rPr>
                <w:b/>
                <w:bCs/>
                <w:vertAlign w:val="superscript"/>
              </w:rPr>
              <w:t>2</w:t>
            </w:r>
            <w:r w:rsidRPr="00BB1E80">
              <w:rPr>
                <w:b/>
                <w:bCs/>
              </w:rPr>
              <w:t>=66%, p=0.06</w:t>
            </w:r>
            <w:r>
              <w:rPr>
                <w:b/>
                <w:bCs/>
              </w:rPr>
              <w:t xml:space="preserve"> </w:t>
            </w:r>
          </w:p>
        </w:tc>
        <w:tc>
          <w:tcPr>
            <w:tcW w:w="1700" w:type="dxa"/>
            <w:vMerge/>
            <w:tcBorders>
              <w:bottom w:val="single" w:sz="18" w:space="0" w:color="auto"/>
            </w:tcBorders>
          </w:tcPr>
          <w:p w14:paraId="1E33CA2F" w14:textId="77777777" w:rsidR="00FB0964" w:rsidRDefault="00FB0964" w:rsidP="00FB2141">
            <w:pPr>
              <w:pStyle w:val="TableText"/>
            </w:pPr>
          </w:p>
        </w:tc>
        <w:tc>
          <w:tcPr>
            <w:tcW w:w="1248" w:type="dxa"/>
            <w:vMerge/>
            <w:tcBorders>
              <w:bottom w:val="single" w:sz="18" w:space="0" w:color="auto"/>
            </w:tcBorders>
          </w:tcPr>
          <w:p w14:paraId="43E02413" w14:textId="77777777" w:rsidR="00FB0964" w:rsidRDefault="00FB0964" w:rsidP="00FB2141">
            <w:pPr>
              <w:pStyle w:val="TableText"/>
            </w:pPr>
          </w:p>
        </w:tc>
        <w:tc>
          <w:tcPr>
            <w:tcW w:w="1652" w:type="dxa"/>
            <w:vMerge/>
            <w:tcBorders>
              <w:bottom w:val="single" w:sz="18" w:space="0" w:color="auto"/>
            </w:tcBorders>
          </w:tcPr>
          <w:p w14:paraId="08D4B852" w14:textId="77777777" w:rsidR="00FB0964" w:rsidRDefault="00FB0964" w:rsidP="00FB2141">
            <w:pPr>
              <w:pStyle w:val="TableText"/>
            </w:pPr>
          </w:p>
        </w:tc>
        <w:tc>
          <w:tcPr>
            <w:tcW w:w="1647" w:type="dxa"/>
            <w:vMerge/>
            <w:tcBorders>
              <w:bottom w:val="single" w:sz="18" w:space="0" w:color="auto"/>
            </w:tcBorders>
          </w:tcPr>
          <w:p w14:paraId="63AFE1A0" w14:textId="77777777" w:rsidR="00FB0964" w:rsidRDefault="00FB0964" w:rsidP="00FB2141">
            <w:pPr>
              <w:pStyle w:val="TableText"/>
            </w:pPr>
          </w:p>
        </w:tc>
      </w:tr>
      <w:tr w:rsidR="00FB0964" w:rsidRPr="00BB1E80" w14:paraId="2F44940C" w14:textId="77777777" w:rsidTr="00FB2141">
        <w:trPr>
          <w:trHeight w:val="159"/>
        </w:trPr>
        <w:tc>
          <w:tcPr>
            <w:tcW w:w="1065" w:type="dxa"/>
            <w:vMerge w:val="restart"/>
            <w:tcBorders>
              <w:top w:val="single" w:sz="18" w:space="0" w:color="auto"/>
            </w:tcBorders>
          </w:tcPr>
          <w:p w14:paraId="70747339" w14:textId="77777777" w:rsidR="00FB0964" w:rsidRPr="00BB1E80" w:rsidRDefault="00FB0964" w:rsidP="00FB2141">
            <w:pPr>
              <w:pStyle w:val="TableText"/>
            </w:pPr>
            <w:r w:rsidRPr="00BB1E80">
              <w:t xml:space="preserve">3 </w:t>
            </w:r>
          </w:p>
        </w:tc>
        <w:tc>
          <w:tcPr>
            <w:tcW w:w="2191" w:type="dxa"/>
            <w:tcBorders>
              <w:top w:val="single" w:sz="18" w:space="0" w:color="auto"/>
              <w:bottom w:val="dotted" w:sz="4" w:space="0" w:color="auto"/>
            </w:tcBorders>
          </w:tcPr>
          <w:p w14:paraId="3E753789" w14:textId="77777777" w:rsidR="00FB0964" w:rsidRPr="00BB1E80" w:rsidRDefault="00FB0964" w:rsidP="00FB2141">
            <w:pPr>
              <w:pStyle w:val="TableText"/>
            </w:pPr>
            <w:r w:rsidRPr="00BB1E80">
              <w:t>LATERA-RCT (N=70)</w:t>
            </w:r>
          </w:p>
        </w:tc>
        <w:tc>
          <w:tcPr>
            <w:tcW w:w="1651" w:type="dxa"/>
            <w:tcBorders>
              <w:top w:val="single" w:sz="18" w:space="0" w:color="auto"/>
              <w:bottom w:val="dotted" w:sz="4" w:space="0" w:color="auto"/>
            </w:tcBorders>
          </w:tcPr>
          <w:p w14:paraId="31E056EA" w14:textId="77777777" w:rsidR="00FB0964" w:rsidRPr="00BB1E80" w:rsidRDefault="00FB0964" w:rsidP="00FB2141">
            <w:pPr>
              <w:pStyle w:val="TableText"/>
            </w:pPr>
            <w:r w:rsidRPr="00BB1E80">
              <w:t>76.2 (13.3)</w:t>
            </w:r>
          </w:p>
        </w:tc>
        <w:tc>
          <w:tcPr>
            <w:tcW w:w="1653" w:type="dxa"/>
            <w:tcBorders>
              <w:top w:val="single" w:sz="18" w:space="0" w:color="auto"/>
              <w:bottom w:val="dotted" w:sz="4" w:space="0" w:color="auto"/>
            </w:tcBorders>
          </w:tcPr>
          <w:p w14:paraId="0673282D" w14:textId="77777777" w:rsidR="00FB0964" w:rsidRPr="00BB1E80" w:rsidRDefault="00FB0964" w:rsidP="00FB2141">
            <w:pPr>
              <w:pStyle w:val="TableText"/>
            </w:pPr>
            <w:r w:rsidRPr="00BB1E80">
              <w:t>40 (21.9)</w:t>
            </w:r>
          </w:p>
        </w:tc>
        <w:tc>
          <w:tcPr>
            <w:tcW w:w="1653" w:type="dxa"/>
            <w:tcBorders>
              <w:top w:val="single" w:sz="18" w:space="0" w:color="auto"/>
              <w:bottom w:val="dotted" w:sz="4" w:space="0" w:color="auto"/>
            </w:tcBorders>
          </w:tcPr>
          <w:p w14:paraId="0AD8FFAC" w14:textId="77777777" w:rsidR="00FB0964" w:rsidRPr="00BB1E80" w:rsidRDefault="00FB0964" w:rsidP="00FB2141">
            <w:pPr>
              <w:pStyle w:val="TableText"/>
            </w:pPr>
            <w:r w:rsidRPr="00BB1E80">
              <w:t>-41.7 (24.2)</w:t>
            </w:r>
          </w:p>
        </w:tc>
        <w:tc>
          <w:tcPr>
            <w:tcW w:w="1700" w:type="dxa"/>
            <w:vMerge w:val="restart"/>
            <w:tcBorders>
              <w:top w:val="single" w:sz="18" w:space="0" w:color="auto"/>
            </w:tcBorders>
          </w:tcPr>
          <w:p w14:paraId="41D51B3D" w14:textId="77777777" w:rsidR="00FB0964" w:rsidRPr="00BB1E80" w:rsidRDefault="00FB0964" w:rsidP="00FB2141">
            <w:pPr>
              <w:pStyle w:val="TableText"/>
            </w:pPr>
            <w:r w:rsidRPr="00BB1E80">
              <w:t>Most 2006 – external valve suspension (N=7)</w:t>
            </w:r>
          </w:p>
        </w:tc>
        <w:tc>
          <w:tcPr>
            <w:tcW w:w="1248" w:type="dxa"/>
            <w:vMerge w:val="restart"/>
            <w:tcBorders>
              <w:top w:val="single" w:sz="18" w:space="0" w:color="auto"/>
            </w:tcBorders>
          </w:tcPr>
          <w:p w14:paraId="2782BE04" w14:textId="77777777" w:rsidR="00FB0964" w:rsidRPr="00BB1E80" w:rsidRDefault="00FB0964" w:rsidP="00FB2141">
            <w:pPr>
              <w:pStyle w:val="TableText"/>
            </w:pPr>
            <w:r w:rsidRPr="00BB1E80">
              <w:t>66.3 (7.3)</w:t>
            </w:r>
          </w:p>
        </w:tc>
        <w:tc>
          <w:tcPr>
            <w:tcW w:w="1652" w:type="dxa"/>
            <w:vMerge w:val="restart"/>
            <w:tcBorders>
              <w:top w:val="single" w:sz="18" w:space="0" w:color="auto"/>
            </w:tcBorders>
          </w:tcPr>
          <w:p w14:paraId="5DC06489" w14:textId="77777777" w:rsidR="00FB0964" w:rsidRPr="00BB1E80" w:rsidRDefault="00FB0964" w:rsidP="00FB2141">
            <w:pPr>
              <w:pStyle w:val="TableText"/>
            </w:pPr>
            <w:r w:rsidRPr="00BB1E80">
              <w:t>20 (20.1)</w:t>
            </w:r>
          </w:p>
        </w:tc>
        <w:tc>
          <w:tcPr>
            <w:tcW w:w="1647" w:type="dxa"/>
            <w:vMerge w:val="restart"/>
            <w:tcBorders>
              <w:top w:val="single" w:sz="18" w:space="0" w:color="auto"/>
            </w:tcBorders>
          </w:tcPr>
          <w:p w14:paraId="38DDC7BE" w14:textId="77777777" w:rsidR="00FB0964" w:rsidRPr="00BB1E80" w:rsidRDefault="00FB0964" w:rsidP="00FB2141">
            <w:pPr>
              <w:pStyle w:val="TableText"/>
              <w:rPr>
                <w:b/>
                <w:bCs/>
              </w:rPr>
            </w:pPr>
            <w:r w:rsidRPr="00BB1E80">
              <w:rPr>
                <w:b/>
                <w:bCs/>
              </w:rPr>
              <w:t>-46.3 (NR); p&lt;0.01</w:t>
            </w:r>
          </w:p>
        </w:tc>
      </w:tr>
      <w:tr w:rsidR="00FB0964" w:rsidRPr="00BB1E80" w14:paraId="1EB19F86" w14:textId="77777777" w:rsidTr="00FB2141">
        <w:trPr>
          <w:trHeight w:val="159"/>
        </w:trPr>
        <w:tc>
          <w:tcPr>
            <w:tcW w:w="1065" w:type="dxa"/>
            <w:vMerge/>
          </w:tcPr>
          <w:p w14:paraId="74F069E5" w14:textId="77777777" w:rsidR="00FB0964" w:rsidRPr="00BB1E80" w:rsidRDefault="00FB0964" w:rsidP="00FB2141">
            <w:pPr>
              <w:pStyle w:val="TableText"/>
            </w:pPr>
          </w:p>
        </w:tc>
        <w:tc>
          <w:tcPr>
            <w:tcW w:w="2191" w:type="dxa"/>
            <w:tcBorders>
              <w:top w:val="dotted" w:sz="4" w:space="0" w:color="auto"/>
              <w:bottom w:val="dotted" w:sz="4" w:space="0" w:color="auto"/>
            </w:tcBorders>
          </w:tcPr>
          <w:p w14:paraId="461B78B7" w14:textId="77777777" w:rsidR="00FB0964" w:rsidRPr="00BB1E80" w:rsidRDefault="00FB0964" w:rsidP="00FB2141">
            <w:pPr>
              <w:pStyle w:val="TableText"/>
            </w:pPr>
            <w:r w:rsidRPr="00BB1E80">
              <w:t>LATERA-OFFICE (N=100)</w:t>
            </w:r>
          </w:p>
        </w:tc>
        <w:tc>
          <w:tcPr>
            <w:tcW w:w="1651" w:type="dxa"/>
            <w:tcBorders>
              <w:top w:val="dotted" w:sz="4" w:space="0" w:color="auto"/>
              <w:bottom w:val="dotted" w:sz="4" w:space="0" w:color="auto"/>
            </w:tcBorders>
          </w:tcPr>
          <w:p w14:paraId="26F2EE81" w14:textId="77777777" w:rsidR="00FB0964" w:rsidRPr="00BB1E80" w:rsidRDefault="00FB0964" w:rsidP="00FB2141">
            <w:pPr>
              <w:pStyle w:val="TableText"/>
            </w:pPr>
            <w:r w:rsidRPr="00BB1E80">
              <w:t xml:space="preserve">77.8 (13.5) </w:t>
            </w:r>
            <w:r w:rsidRPr="00BB1E80">
              <w:rPr>
                <w:vertAlign w:val="superscript"/>
              </w:rPr>
              <w:t>b</w:t>
            </w:r>
          </w:p>
        </w:tc>
        <w:tc>
          <w:tcPr>
            <w:tcW w:w="1653" w:type="dxa"/>
            <w:tcBorders>
              <w:top w:val="dotted" w:sz="4" w:space="0" w:color="auto"/>
              <w:bottom w:val="dotted" w:sz="4" w:space="0" w:color="auto"/>
            </w:tcBorders>
          </w:tcPr>
          <w:p w14:paraId="50B4A587" w14:textId="77777777" w:rsidR="00FB0964" w:rsidRPr="00BB1E80" w:rsidRDefault="00FB0964" w:rsidP="00FB2141">
            <w:pPr>
              <w:pStyle w:val="TableText"/>
            </w:pPr>
            <w:r w:rsidRPr="00BB1E80">
              <w:t xml:space="preserve">33.9 (NR) </w:t>
            </w:r>
            <w:r w:rsidRPr="00BB1E80">
              <w:rPr>
                <w:vertAlign w:val="superscript"/>
              </w:rPr>
              <w:t>c</w:t>
            </w:r>
          </w:p>
        </w:tc>
        <w:tc>
          <w:tcPr>
            <w:tcW w:w="1653" w:type="dxa"/>
            <w:tcBorders>
              <w:top w:val="dotted" w:sz="4" w:space="0" w:color="auto"/>
              <w:bottom w:val="dotted" w:sz="4" w:space="0" w:color="auto"/>
            </w:tcBorders>
          </w:tcPr>
          <w:p w14:paraId="3D3EFDA4" w14:textId="77777777" w:rsidR="00FB0964" w:rsidRPr="00BB1E80" w:rsidRDefault="00FB0964" w:rsidP="00FB2141">
            <w:pPr>
              <w:pStyle w:val="TableText"/>
            </w:pPr>
            <w:r w:rsidRPr="00BB1E80">
              <w:t>-43.9 (25.7)</w:t>
            </w:r>
          </w:p>
        </w:tc>
        <w:tc>
          <w:tcPr>
            <w:tcW w:w="1700" w:type="dxa"/>
            <w:vMerge/>
          </w:tcPr>
          <w:p w14:paraId="34954F00" w14:textId="77777777" w:rsidR="00FB0964" w:rsidRPr="00BB1E80" w:rsidRDefault="00FB0964" w:rsidP="00FB2141">
            <w:pPr>
              <w:pStyle w:val="TableText"/>
            </w:pPr>
          </w:p>
        </w:tc>
        <w:tc>
          <w:tcPr>
            <w:tcW w:w="1248" w:type="dxa"/>
            <w:vMerge/>
          </w:tcPr>
          <w:p w14:paraId="5F048558" w14:textId="77777777" w:rsidR="00FB0964" w:rsidRPr="00BB1E80" w:rsidRDefault="00FB0964" w:rsidP="00FB2141">
            <w:pPr>
              <w:pStyle w:val="TableText"/>
            </w:pPr>
          </w:p>
        </w:tc>
        <w:tc>
          <w:tcPr>
            <w:tcW w:w="1652" w:type="dxa"/>
            <w:vMerge/>
          </w:tcPr>
          <w:p w14:paraId="4B7C72B6" w14:textId="77777777" w:rsidR="00FB0964" w:rsidRPr="00BB1E80" w:rsidRDefault="00FB0964" w:rsidP="00FB2141">
            <w:pPr>
              <w:pStyle w:val="TableText"/>
            </w:pPr>
          </w:p>
        </w:tc>
        <w:tc>
          <w:tcPr>
            <w:tcW w:w="1647" w:type="dxa"/>
            <w:vMerge/>
          </w:tcPr>
          <w:p w14:paraId="00497F9F" w14:textId="77777777" w:rsidR="00FB0964" w:rsidRPr="00BB1E80" w:rsidRDefault="00FB0964" w:rsidP="00FB2141">
            <w:pPr>
              <w:pStyle w:val="TableText"/>
            </w:pPr>
          </w:p>
        </w:tc>
      </w:tr>
      <w:tr w:rsidR="00FB0964" w14:paraId="2DEE064F" w14:textId="77777777" w:rsidTr="00FB2141">
        <w:trPr>
          <w:trHeight w:val="279"/>
        </w:trPr>
        <w:tc>
          <w:tcPr>
            <w:tcW w:w="1065" w:type="dxa"/>
            <w:vMerge/>
          </w:tcPr>
          <w:p w14:paraId="1F41AA54" w14:textId="77777777" w:rsidR="00FB0964" w:rsidRDefault="00FB0964" w:rsidP="00FB2141">
            <w:pPr>
              <w:pStyle w:val="TableText"/>
            </w:pPr>
          </w:p>
        </w:tc>
        <w:tc>
          <w:tcPr>
            <w:tcW w:w="2191" w:type="dxa"/>
            <w:tcBorders>
              <w:top w:val="dotted" w:sz="4" w:space="0" w:color="auto"/>
            </w:tcBorders>
          </w:tcPr>
          <w:p w14:paraId="353027CA" w14:textId="77777777" w:rsidR="00FB0964" w:rsidRDefault="00FB0964" w:rsidP="00FB2141">
            <w:pPr>
              <w:pStyle w:val="TableText"/>
            </w:pPr>
            <w:r>
              <w:t>Trial 4350-001 (N=29)</w:t>
            </w:r>
          </w:p>
        </w:tc>
        <w:tc>
          <w:tcPr>
            <w:tcW w:w="1651" w:type="dxa"/>
            <w:tcBorders>
              <w:top w:val="dotted" w:sz="4" w:space="0" w:color="auto"/>
            </w:tcBorders>
          </w:tcPr>
          <w:p w14:paraId="137350F8" w14:textId="77777777" w:rsidR="00FB0964" w:rsidRDefault="00FB0964" w:rsidP="00FB2141">
            <w:pPr>
              <w:pStyle w:val="TableText"/>
            </w:pPr>
            <w:r>
              <w:t xml:space="preserve">76.7 (14.8) </w:t>
            </w:r>
            <w:r w:rsidRPr="00D36E20">
              <w:rPr>
                <w:vertAlign w:val="superscript"/>
              </w:rPr>
              <w:t>b</w:t>
            </w:r>
          </w:p>
        </w:tc>
        <w:tc>
          <w:tcPr>
            <w:tcW w:w="1653" w:type="dxa"/>
            <w:tcBorders>
              <w:top w:val="dotted" w:sz="4" w:space="0" w:color="auto"/>
            </w:tcBorders>
          </w:tcPr>
          <w:p w14:paraId="49F5F2BD" w14:textId="77777777" w:rsidR="00FB0964" w:rsidRDefault="00FB0964" w:rsidP="00FB2141">
            <w:pPr>
              <w:pStyle w:val="TableText"/>
            </w:pPr>
            <w:r>
              <w:t xml:space="preserve">28.3 (NR) </w:t>
            </w:r>
            <w:r w:rsidRPr="00B16CE2">
              <w:rPr>
                <w:vertAlign w:val="superscript"/>
              </w:rPr>
              <w:t>c</w:t>
            </w:r>
          </w:p>
        </w:tc>
        <w:tc>
          <w:tcPr>
            <w:tcW w:w="1653" w:type="dxa"/>
            <w:tcBorders>
              <w:top w:val="dotted" w:sz="4" w:space="0" w:color="auto"/>
            </w:tcBorders>
          </w:tcPr>
          <w:p w14:paraId="7B6E22C9" w14:textId="77777777" w:rsidR="00FB0964" w:rsidRPr="00604D9F" w:rsidRDefault="00FB0964" w:rsidP="00FB2141">
            <w:pPr>
              <w:pStyle w:val="TableText"/>
            </w:pPr>
            <w:r>
              <w:t>-</w:t>
            </w:r>
            <w:r w:rsidRPr="00390594">
              <w:t>48.4 (27.8)</w:t>
            </w:r>
          </w:p>
        </w:tc>
        <w:tc>
          <w:tcPr>
            <w:tcW w:w="1700" w:type="dxa"/>
            <w:vMerge/>
            <w:tcBorders>
              <w:bottom w:val="dotted" w:sz="4" w:space="0" w:color="auto"/>
            </w:tcBorders>
          </w:tcPr>
          <w:p w14:paraId="4B3968F6" w14:textId="77777777" w:rsidR="00FB0964" w:rsidRDefault="00FB0964" w:rsidP="00FB2141">
            <w:pPr>
              <w:pStyle w:val="TableText"/>
            </w:pPr>
          </w:p>
        </w:tc>
        <w:tc>
          <w:tcPr>
            <w:tcW w:w="1248" w:type="dxa"/>
            <w:vMerge/>
            <w:tcBorders>
              <w:bottom w:val="dotted" w:sz="4" w:space="0" w:color="auto"/>
            </w:tcBorders>
          </w:tcPr>
          <w:p w14:paraId="747C8D97" w14:textId="77777777" w:rsidR="00FB0964" w:rsidRDefault="00FB0964" w:rsidP="00FB2141">
            <w:pPr>
              <w:pStyle w:val="TableText"/>
            </w:pPr>
          </w:p>
        </w:tc>
        <w:tc>
          <w:tcPr>
            <w:tcW w:w="1652" w:type="dxa"/>
            <w:vMerge/>
            <w:tcBorders>
              <w:bottom w:val="dotted" w:sz="4" w:space="0" w:color="auto"/>
            </w:tcBorders>
          </w:tcPr>
          <w:p w14:paraId="6950CD18" w14:textId="77777777" w:rsidR="00FB0964" w:rsidRDefault="00FB0964" w:rsidP="00FB2141">
            <w:pPr>
              <w:pStyle w:val="TableText"/>
            </w:pPr>
          </w:p>
        </w:tc>
        <w:tc>
          <w:tcPr>
            <w:tcW w:w="1647" w:type="dxa"/>
            <w:vMerge/>
            <w:tcBorders>
              <w:bottom w:val="dotted" w:sz="4" w:space="0" w:color="auto"/>
            </w:tcBorders>
          </w:tcPr>
          <w:p w14:paraId="5BD8F9A5" w14:textId="77777777" w:rsidR="00FB0964" w:rsidRDefault="00FB0964" w:rsidP="00FB2141">
            <w:pPr>
              <w:pStyle w:val="TableText"/>
            </w:pPr>
          </w:p>
        </w:tc>
      </w:tr>
      <w:tr w:rsidR="00FB0964" w14:paraId="49B56AE0" w14:textId="77777777" w:rsidTr="00FB2141">
        <w:trPr>
          <w:trHeight w:val="279"/>
        </w:trPr>
        <w:tc>
          <w:tcPr>
            <w:tcW w:w="1065" w:type="dxa"/>
            <w:vMerge/>
          </w:tcPr>
          <w:p w14:paraId="1F74D699" w14:textId="77777777" w:rsidR="00FB0964" w:rsidRDefault="00FB0964" w:rsidP="00FB2141">
            <w:pPr>
              <w:pStyle w:val="TableText"/>
            </w:pPr>
          </w:p>
        </w:tc>
        <w:tc>
          <w:tcPr>
            <w:tcW w:w="2191" w:type="dxa"/>
            <w:vMerge w:val="restart"/>
            <w:tcBorders>
              <w:top w:val="dotted" w:sz="4" w:space="0" w:color="auto"/>
            </w:tcBorders>
          </w:tcPr>
          <w:p w14:paraId="60597383" w14:textId="77777777" w:rsidR="00FB0964" w:rsidRDefault="00FB0964" w:rsidP="00FB2141">
            <w:pPr>
              <w:pStyle w:val="TableText"/>
            </w:pPr>
            <w:r>
              <w:t>MA (95% CI)</w:t>
            </w:r>
          </w:p>
        </w:tc>
        <w:tc>
          <w:tcPr>
            <w:tcW w:w="4957" w:type="dxa"/>
            <w:gridSpan w:val="3"/>
            <w:vMerge w:val="restart"/>
            <w:tcBorders>
              <w:top w:val="dotted" w:sz="4" w:space="0" w:color="auto"/>
            </w:tcBorders>
          </w:tcPr>
          <w:p w14:paraId="62B150D0" w14:textId="77777777" w:rsidR="00FB0964" w:rsidRDefault="00FB0964" w:rsidP="00FB2141">
            <w:pPr>
              <w:pStyle w:val="TableText"/>
              <w:jc w:val="right"/>
            </w:pPr>
            <w:r w:rsidRPr="00BB1E80">
              <w:rPr>
                <w:b/>
                <w:bCs/>
              </w:rPr>
              <w:t>-43.59 (-47.12, -40.07), I</w:t>
            </w:r>
            <w:r w:rsidRPr="00BB1E80">
              <w:rPr>
                <w:b/>
                <w:bCs/>
                <w:vertAlign w:val="superscript"/>
              </w:rPr>
              <w:t>2</w:t>
            </w:r>
            <w:r w:rsidRPr="00BB1E80">
              <w:rPr>
                <w:b/>
                <w:bCs/>
              </w:rPr>
              <w:t>=0%, p=0.52</w:t>
            </w:r>
          </w:p>
        </w:tc>
        <w:tc>
          <w:tcPr>
            <w:tcW w:w="1700" w:type="dxa"/>
            <w:tcBorders>
              <w:top w:val="dotted" w:sz="4" w:space="0" w:color="auto"/>
            </w:tcBorders>
          </w:tcPr>
          <w:p w14:paraId="47762ECD" w14:textId="77777777" w:rsidR="00FB0964" w:rsidRDefault="00FB0964" w:rsidP="00FB2141">
            <w:pPr>
              <w:pStyle w:val="TableText"/>
            </w:pPr>
            <w:r>
              <w:t>Sainio 2022 (N=17)</w:t>
            </w:r>
          </w:p>
        </w:tc>
        <w:tc>
          <w:tcPr>
            <w:tcW w:w="1248" w:type="dxa"/>
            <w:tcBorders>
              <w:top w:val="dotted" w:sz="4" w:space="0" w:color="auto"/>
            </w:tcBorders>
          </w:tcPr>
          <w:p w14:paraId="1BEE5640" w14:textId="77777777" w:rsidR="00FB0964" w:rsidRDefault="00FB0964" w:rsidP="00FB2141">
            <w:pPr>
              <w:pStyle w:val="TableText"/>
            </w:pPr>
            <w:r>
              <w:t>70.0 (range: 30, 95)</w:t>
            </w:r>
          </w:p>
        </w:tc>
        <w:tc>
          <w:tcPr>
            <w:tcW w:w="1652" w:type="dxa"/>
            <w:tcBorders>
              <w:top w:val="dotted" w:sz="4" w:space="0" w:color="auto"/>
            </w:tcBorders>
          </w:tcPr>
          <w:p w14:paraId="216F9EAF" w14:textId="77777777" w:rsidR="00FB0964" w:rsidRDefault="00FB0964" w:rsidP="00FB2141">
            <w:pPr>
              <w:pStyle w:val="TableText"/>
            </w:pPr>
            <w:r>
              <w:t>39.4 (range: 5, 80)</w:t>
            </w:r>
          </w:p>
        </w:tc>
        <w:tc>
          <w:tcPr>
            <w:tcW w:w="1647" w:type="dxa"/>
            <w:tcBorders>
              <w:top w:val="dotted" w:sz="4" w:space="0" w:color="auto"/>
            </w:tcBorders>
          </w:tcPr>
          <w:p w14:paraId="52275359" w14:textId="77777777" w:rsidR="00FB0964" w:rsidRDefault="00FB0964" w:rsidP="00FB2141">
            <w:pPr>
              <w:pStyle w:val="TableText"/>
            </w:pPr>
            <w:r>
              <w:rPr>
                <w:b/>
                <w:bCs/>
              </w:rPr>
              <w:t>-30.6 (NR)</w:t>
            </w:r>
          </w:p>
        </w:tc>
      </w:tr>
      <w:tr w:rsidR="00FB0964" w14:paraId="0189B42B" w14:textId="77777777" w:rsidTr="00FB2141">
        <w:trPr>
          <w:trHeight w:val="159"/>
        </w:trPr>
        <w:tc>
          <w:tcPr>
            <w:tcW w:w="1065" w:type="dxa"/>
            <w:vMerge/>
            <w:tcBorders>
              <w:bottom w:val="single" w:sz="18" w:space="0" w:color="auto"/>
            </w:tcBorders>
          </w:tcPr>
          <w:p w14:paraId="4FD202A5" w14:textId="77777777" w:rsidR="00FB0964" w:rsidRDefault="00FB0964" w:rsidP="00FB2141">
            <w:pPr>
              <w:pStyle w:val="TableText"/>
            </w:pPr>
          </w:p>
        </w:tc>
        <w:tc>
          <w:tcPr>
            <w:tcW w:w="2191" w:type="dxa"/>
            <w:vMerge/>
            <w:tcBorders>
              <w:bottom w:val="single" w:sz="18" w:space="0" w:color="auto"/>
            </w:tcBorders>
          </w:tcPr>
          <w:p w14:paraId="46BC43AA" w14:textId="77777777" w:rsidR="00FB0964" w:rsidRDefault="00FB0964" w:rsidP="00FB2141">
            <w:pPr>
              <w:pStyle w:val="TableText"/>
            </w:pPr>
          </w:p>
        </w:tc>
        <w:tc>
          <w:tcPr>
            <w:tcW w:w="4957" w:type="dxa"/>
            <w:gridSpan w:val="3"/>
            <w:vMerge/>
          </w:tcPr>
          <w:p w14:paraId="3F7CB4CA" w14:textId="77777777" w:rsidR="00FB0964" w:rsidRPr="00A44A5C" w:rsidRDefault="00FB0964" w:rsidP="00FB2141">
            <w:pPr>
              <w:pStyle w:val="TableText"/>
              <w:jc w:val="right"/>
              <w:rPr>
                <w:b/>
                <w:bCs/>
              </w:rPr>
            </w:pPr>
          </w:p>
        </w:tc>
        <w:tc>
          <w:tcPr>
            <w:tcW w:w="1700" w:type="dxa"/>
            <w:tcBorders>
              <w:bottom w:val="single" w:sz="18" w:space="0" w:color="auto"/>
            </w:tcBorders>
          </w:tcPr>
          <w:p w14:paraId="2E306FAB" w14:textId="77777777" w:rsidR="00FB0964" w:rsidRDefault="00FB0964" w:rsidP="00FB2141">
            <w:pPr>
              <w:pStyle w:val="TableText"/>
            </w:pPr>
            <w:r>
              <w:t>MA</w:t>
            </w:r>
          </w:p>
        </w:tc>
        <w:tc>
          <w:tcPr>
            <w:tcW w:w="4547" w:type="dxa"/>
            <w:gridSpan w:val="3"/>
          </w:tcPr>
          <w:p w14:paraId="1338B523" w14:textId="77777777" w:rsidR="00FB0964" w:rsidRDefault="00FB0964" w:rsidP="00FB2141">
            <w:pPr>
              <w:pStyle w:val="TableText"/>
            </w:pPr>
            <w:r>
              <w:t>NE</w:t>
            </w:r>
          </w:p>
        </w:tc>
      </w:tr>
      <w:tr w:rsidR="00FB0964" w:rsidRPr="00BB1E80" w14:paraId="6F4F6C3D" w14:textId="77777777" w:rsidTr="00FB2141">
        <w:trPr>
          <w:trHeight w:val="159"/>
        </w:trPr>
        <w:tc>
          <w:tcPr>
            <w:tcW w:w="1065" w:type="dxa"/>
            <w:vMerge w:val="restart"/>
            <w:tcBorders>
              <w:top w:val="single" w:sz="18" w:space="0" w:color="auto"/>
            </w:tcBorders>
          </w:tcPr>
          <w:p w14:paraId="1AD18ECB" w14:textId="77777777" w:rsidR="00FB0964" w:rsidRPr="00BB1E80" w:rsidRDefault="00FB0964" w:rsidP="00FB2141">
            <w:pPr>
              <w:pStyle w:val="TableText"/>
            </w:pPr>
            <w:r w:rsidRPr="00BB1E80">
              <w:t>6</w:t>
            </w:r>
          </w:p>
        </w:tc>
        <w:tc>
          <w:tcPr>
            <w:tcW w:w="2191" w:type="dxa"/>
            <w:tcBorders>
              <w:top w:val="single" w:sz="18" w:space="0" w:color="auto"/>
              <w:bottom w:val="dotted" w:sz="4" w:space="0" w:color="auto"/>
            </w:tcBorders>
          </w:tcPr>
          <w:p w14:paraId="745FCBEC" w14:textId="77777777" w:rsidR="00FB0964" w:rsidRPr="00BB1E80" w:rsidRDefault="00FB0964" w:rsidP="00FB2141">
            <w:pPr>
              <w:pStyle w:val="TableText"/>
            </w:pPr>
            <w:r w:rsidRPr="00BB1E80">
              <w:t>LATERA-RCT (N=65)</w:t>
            </w:r>
          </w:p>
        </w:tc>
        <w:tc>
          <w:tcPr>
            <w:tcW w:w="1651" w:type="dxa"/>
            <w:tcBorders>
              <w:top w:val="single" w:sz="18" w:space="0" w:color="auto"/>
              <w:bottom w:val="dotted" w:sz="4" w:space="0" w:color="auto"/>
            </w:tcBorders>
          </w:tcPr>
          <w:p w14:paraId="1A1F21B3" w14:textId="77777777" w:rsidR="00FB0964" w:rsidRPr="00BB1E80" w:rsidRDefault="00FB0964" w:rsidP="00FB2141">
            <w:pPr>
              <w:pStyle w:val="TableText"/>
            </w:pPr>
            <w:r w:rsidRPr="00BB1E80">
              <w:t>76.2 (13.1)</w:t>
            </w:r>
          </w:p>
        </w:tc>
        <w:tc>
          <w:tcPr>
            <w:tcW w:w="1653" w:type="dxa"/>
            <w:tcBorders>
              <w:top w:val="single" w:sz="18" w:space="0" w:color="auto"/>
              <w:bottom w:val="dotted" w:sz="4" w:space="0" w:color="auto"/>
            </w:tcBorders>
          </w:tcPr>
          <w:p w14:paraId="375C7CC3" w14:textId="77777777" w:rsidR="00FB0964" w:rsidRPr="00BB1E80" w:rsidRDefault="00FB0964" w:rsidP="00FB2141">
            <w:pPr>
              <w:pStyle w:val="TableText"/>
            </w:pPr>
            <w:r w:rsidRPr="00BB1E80">
              <w:t>28.9 (22.5)</w:t>
            </w:r>
          </w:p>
        </w:tc>
        <w:tc>
          <w:tcPr>
            <w:tcW w:w="1653" w:type="dxa"/>
            <w:tcBorders>
              <w:top w:val="single" w:sz="18" w:space="0" w:color="auto"/>
              <w:bottom w:val="dotted" w:sz="4" w:space="0" w:color="auto"/>
            </w:tcBorders>
          </w:tcPr>
          <w:p w14:paraId="722B092C" w14:textId="77777777" w:rsidR="00FB0964" w:rsidRPr="00BB1E80" w:rsidRDefault="00FB0964" w:rsidP="00FB2141">
            <w:pPr>
              <w:pStyle w:val="TableText"/>
            </w:pPr>
            <w:r w:rsidRPr="00BB1E80">
              <w:t>-47.3 (24)</w:t>
            </w:r>
          </w:p>
        </w:tc>
        <w:tc>
          <w:tcPr>
            <w:tcW w:w="1700" w:type="dxa"/>
            <w:vMerge w:val="restart"/>
            <w:tcBorders>
              <w:top w:val="single" w:sz="18" w:space="0" w:color="auto"/>
            </w:tcBorders>
          </w:tcPr>
          <w:p w14:paraId="780BCFFF" w14:textId="77777777" w:rsidR="00FB0964" w:rsidRPr="00BB1E80" w:rsidRDefault="00FB0964" w:rsidP="00FB2141">
            <w:pPr>
              <w:pStyle w:val="TableText"/>
            </w:pPr>
            <w:r w:rsidRPr="00BB1E80">
              <w:t>Palesy 2015</w:t>
            </w:r>
          </w:p>
          <w:p w14:paraId="783762F1" w14:textId="77777777" w:rsidR="00FB0964" w:rsidRPr="00BB1E80" w:rsidRDefault="00FB0964" w:rsidP="00FB2141">
            <w:pPr>
              <w:pStyle w:val="TableText"/>
            </w:pPr>
            <w:r w:rsidRPr="00BB1E80">
              <w:t>(N=19)</w:t>
            </w:r>
          </w:p>
        </w:tc>
        <w:tc>
          <w:tcPr>
            <w:tcW w:w="1248" w:type="dxa"/>
            <w:vMerge w:val="restart"/>
            <w:tcBorders>
              <w:top w:val="single" w:sz="18" w:space="0" w:color="auto"/>
            </w:tcBorders>
          </w:tcPr>
          <w:p w14:paraId="7FDBBABF" w14:textId="77777777" w:rsidR="00FB0964" w:rsidRPr="00BB1E80" w:rsidRDefault="00FB0964" w:rsidP="00FB2141">
            <w:pPr>
              <w:pStyle w:val="TableText"/>
            </w:pPr>
            <w:r w:rsidRPr="00BB1E80">
              <w:t>60.53 (21.9)</w:t>
            </w:r>
          </w:p>
        </w:tc>
        <w:tc>
          <w:tcPr>
            <w:tcW w:w="1652" w:type="dxa"/>
            <w:vMerge w:val="restart"/>
            <w:tcBorders>
              <w:top w:val="single" w:sz="18" w:space="0" w:color="auto"/>
            </w:tcBorders>
          </w:tcPr>
          <w:p w14:paraId="2B9833B0" w14:textId="77777777" w:rsidR="00FB0964" w:rsidRPr="00BB1E80" w:rsidRDefault="00FB0964" w:rsidP="00FB2141">
            <w:pPr>
              <w:pStyle w:val="TableText"/>
            </w:pPr>
            <w:r w:rsidRPr="00BB1E80">
              <w:t>30 (22.24)</w:t>
            </w:r>
          </w:p>
        </w:tc>
        <w:tc>
          <w:tcPr>
            <w:tcW w:w="1647" w:type="dxa"/>
            <w:vMerge w:val="restart"/>
            <w:tcBorders>
              <w:top w:val="single" w:sz="18" w:space="0" w:color="auto"/>
            </w:tcBorders>
          </w:tcPr>
          <w:p w14:paraId="0903BBFC" w14:textId="77777777" w:rsidR="00FB0964" w:rsidRPr="00BB1E80" w:rsidRDefault="00FB0964" w:rsidP="00FB2141">
            <w:pPr>
              <w:pStyle w:val="TableText"/>
              <w:rPr>
                <w:b/>
                <w:bCs/>
              </w:rPr>
            </w:pPr>
            <w:r w:rsidRPr="00BB1E80">
              <w:rPr>
                <w:b/>
                <w:bCs/>
              </w:rPr>
              <w:t>-30.53 (26.14); p&lt;0.01</w:t>
            </w:r>
          </w:p>
        </w:tc>
      </w:tr>
      <w:tr w:rsidR="00FB0964" w:rsidRPr="00BB1E80" w14:paraId="5604F081" w14:textId="77777777" w:rsidTr="00FB2141">
        <w:trPr>
          <w:trHeight w:val="159"/>
        </w:trPr>
        <w:tc>
          <w:tcPr>
            <w:tcW w:w="1065" w:type="dxa"/>
            <w:vMerge/>
          </w:tcPr>
          <w:p w14:paraId="54F85B1E" w14:textId="77777777" w:rsidR="00FB0964" w:rsidRPr="00BB1E80" w:rsidRDefault="00FB0964" w:rsidP="00FB2141">
            <w:pPr>
              <w:pStyle w:val="TableText"/>
            </w:pPr>
          </w:p>
        </w:tc>
        <w:tc>
          <w:tcPr>
            <w:tcW w:w="2191" w:type="dxa"/>
            <w:tcBorders>
              <w:top w:val="dotted" w:sz="4" w:space="0" w:color="auto"/>
              <w:bottom w:val="dotted" w:sz="4" w:space="0" w:color="auto"/>
            </w:tcBorders>
          </w:tcPr>
          <w:p w14:paraId="56CC6A95" w14:textId="77777777" w:rsidR="00FB0964" w:rsidRPr="00BB1E80" w:rsidRDefault="00FB0964" w:rsidP="00FB2141">
            <w:pPr>
              <w:pStyle w:val="TableText"/>
            </w:pPr>
            <w:r w:rsidRPr="00BB1E80">
              <w:t>LATERA-OFFICE (N=95)</w:t>
            </w:r>
          </w:p>
        </w:tc>
        <w:tc>
          <w:tcPr>
            <w:tcW w:w="1651" w:type="dxa"/>
            <w:tcBorders>
              <w:top w:val="dotted" w:sz="4" w:space="0" w:color="auto"/>
              <w:bottom w:val="dotted" w:sz="4" w:space="0" w:color="auto"/>
            </w:tcBorders>
          </w:tcPr>
          <w:p w14:paraId="7B21CA6A" w14:textId="77777777" w:rsidR="00FB0964" w:rsidRPr="00BB1E80" w:rsidRDefault="00FB0964" w:rsidP="00FB2141">
            <w:pPr>
              <w:pStyle w:val="TableText"/>
            </w:pPr>
            <w:r w:rsidRPr="00BB1E80">
              <w:t xml:space="preserve">77.8 (13.5) </w:t>
            </w:r>
            <w:r w:rsidRPr="00BB1E80">
              <w:rPr>
                <w:vertAlign w:val="superscript"/>
              </w:rPr>
              <w:t>b</w:t>
            </w:r>
          </w:p>
        </w:tc>
        <w:tc>
          <w:tcPr>
            <w:tcW w:w="1653" w:type="dxa"/>
            <w:tcBorders>
              <w:top w:val="dotted" w:sz="4" w:space="0" w:color="auto"/>
              <w:bottom w:val="dotted" w:sz="4" w:space="0" w:color="auto"/>
            </w:tcBorders>
          </w:tcPr>
          <w:p w14:paraId="5A5F411D" w14:textId="77777777" w:rsidR="00FB0964" w:rsidRPr="00BB1E80" w:rsidRDefault="00FB0964" w:rsidP="00FB2141">
            <w:pPr>
              <w:pStyle w:val="TableText"/>
            </w:pPr>
            <w:r w:rsidRPr="00BB1E80">
              <w:t xml:space="preserve">32.6 (NR) </w:t>
            </w:r>
            <w:r w:rsidRPr="00BB1E80">
              <w:rPr>
                <w:vertAlign w:val="superscript"/>
              </w:rPr>
              <w:t>c</w:t>
            </w:r>
          </w:p>
        </w:tc>
        <w:tc>
          <w:tcPr>
            <w:tcW w:w="1653" w:type="dxa"/>
            <w:tcBorders>
              <w:top w:val="dotted" w:sz="4" w:space="0" w:color="auto"/>
              <w:bottom w:val="dotted" w:sz="4" w:space="0" w:color="auto"/>
            </w:tcBorders>
          </w:tcPr>
          <w:p w14:paraId="1351D213" w14:textId="77777777" w:rsidR="00FB0964" w:rsidRPr="00BB1E80" w:rsidRDefault="00FB0964" w:rsidP="00FB2141">
            <w:pPr>
              <w:pStyle w:val="TableText"/>
            </w:pPr>
            <w:r w:rsidRPr="00BB1E80">
              <w:t>-45.2 (25.3)</w:t>
            </w:r>
          </w:p>
        </w:tc>
        <w:tc>
          <w:tcPr>
            <w:tcW w:w="1700" w:type="dxa"/>
            <w:vMerge/>
          </w:tcPr>
          <w:p w14:paraId="44F4E2E4" w14:textId="77777777" w:rsidR="00FB0964" w:rsidRPr="00BB1E80" w:rsidRDefault="00FB0964" w:rsidP="00FB2141">
            <w:pPr>
              <w:pStyle w:val="TableText"/>
            </w:pPr>
          </w:p>
        </w:tc>
        <w:tc>
          <w:tcPr>
            <w:tcW w:w="1248" w:type="dxa"/>
            <w:vMerge/>
          </w:tcPr>
          <w:p w14:paraId="01B12351" w14:textId="77777777" w:rsidR="00FB0964" w:rsidRPr="00BB1E80" w:rsidRDefault="00FB0964" w:rsidP="00FB2141">
            <w:pPr>
              <w:pStyle w:val="TableText"/>
            </w:pPr>
          </w:p>
        </w:tc>
        <w:tc>
          <w:tcPr>
            <w:tcW w:w="1652" w:type="dxa"/>
            <w:vMerge/>
          </w:tcPr>
          <w:p w14:paraId="03A48FC7" w14:textId="77777777" w:rsidR="00FB0964" w:rsidRPr="00BB1E80" w:rsidRDefault="00FB0964" w:rsidP="00FB2141">
            <w:pPr>
              <w:pStyle w:val="TableText"/>
            </w:pPr>
          </w:p>
        </w:tc>
        <w:tc>
          <w:tcPr>
            <w:tcW w:w="1647" w:type="dxa"/>
            <w:vMerge/>
          </w:tcPr>
          <w:p w14:paraId="5B2C855C" w14:textId="77777777" w:rsidR="00FB0964" w:rsidRPr="00BB1E80" w:rsidRDefault="00FB0964" w:rsidP="00FB2141">
            <w:pPr>
              <w:pStyle w:val="TableText"/>
            </w:pPr>
          </w:p>
        </w:tc>
      </w:tr>
      <w:tr w:rsidR="00FB0964" w14:paraId="111859AB" w14:textId="77777777" w:rsidTr="00FB2141">
        <w:trPr>
          <w:trHeight w:val="159"/>
        </w:trPr>
        <w:tc>
          <w:tcPr>
            <w:tcW w:w="1065" w:type="dxa"/>
            <w:vMerge/>
          </w:tcPr>
          <w:p w14:paraId="168B6A78" w14:textId="77777777" w:rsidR="00FB0964" w:rsidRDefault="00FB0964" w:rsidP="00FB2141">
            <w:pPr>
              <w:pStyle w:val="TableText"/>
            </w:pPr>
          </w:p>
        </w:tc>
        <w:tc>
          <w:tcPr>
            <w:tcW w:w="2191" w:type="dxa"/>
            <w:tcBorders>
              <w:top w:val="dotted" w:sz="4" w:space="0" w:color="auto"/>
            </w:tcBorders>
          </w:tcPr>
          <w:p w14:paraId="7D803CC1" w14:textId="77777777" w:rsidR="00FB0964" w:rsidRDefault="00FB0964" w:rsidP="00FB2141">
            <w:pPr>
              <w:pStyle w:val="TableText"/>
            </w:pPr>
            <w:r>
              <w:t>Trial 4350-001 (N=30)</w:t>
            </w:r>
          </w:p>
        </w:tc>
        <w:tc>
          <w:tcPr>
            <w:tcW w:w="1651" w:type="dxa"/>
            <w:tcBorders>
              <w:top w:val="dotted" w:sz="4" w:space="0" w:color="auto"/>
            </w:tcBorders>
          </w:tcPr>
          <w:p w14:paraId="3BA7BD09" w14:textId="77777777" w:rsidR="00FB0964" w:rsidRDefault="00FB0964" w:rsidP="00FB2141">
            <w:pPr>
              <w:pStyle w:val="TableText"/>
            </w:pPr>
            <w:r>
              <w:t xml:space="preserve">76.7 (14.8) </w:t>
            </w:r>
            <w:r w:rsidRPr="00D36E20">
              <w:rPr>
                <w:vertAlign w:val="superscript"/>
              </w:rPr>
              <w:t>b</w:t>
            </w:r>
          </w:p>
        </w:tc>
        <w:tc>
          <w:tcPr>
            <w:tcW w:w="1653" w:type="dxa"/>
            <w:tcBorders>
              <w:top w:val="dotted" w:sz="4" w:space="0" w:color="auto"/>
            </w:tcBorders>
          </w:tcPr>
          <w:p w14:paraId="2D0BE51A" w14:textId="77777777" w:rsidR="00FB0964" w:rsidRDefault="00FB0964" w:rsidP="00FB2141">
            <w:pPr>
              <w:pStyle w:val="TableText"/>
            </w:pPr>
            <w:r>
              <w:t xml:space="preserve">33.4 (NR) </w:t>
            </w:r>
            <w:r w:rsidRPr="00B16CE2">
              <w:rPr>
                <w:vertAlign w:val="superscript"/>
              </w:rPr>
              <w:t>c</w:t>
            </w:r>
          </w:p>
        </w:tc>
        <w:tc>
          <w:tcPr>
            <w:tcW w:w="1653" w:type="dxa"/>
            <w:tcBorders>
              <w:top w:val="dotted" w:sz="4" w:space="0" w:color="auto"/>
            </w:tcBorders>
          </w:tcPr>
          <w:p w14:paraId="3C60E053" w14:textId="77777777" w:rsidR="00FB0964" w:rsidRPr="00604D9F" w:rsidRDefault="00FB0964" w:rsidP="00FB2141">
            <w:pPr>
              <w:pStyle w:val="TableText"/>
            </w:pPr>
            <w:r>
              <w:t>-</w:t>
            </w:r>
            <w:r w:rsidRPr="00390594">
              <w:t>43.3 (31.3)</w:t>
            </w:r>
          </w:p>
        </w:tc>
        <w:tc>
          <w:tcPr>
            <w:tcW w:w="1700" w:type="dxa"/>
            <w:vMerge/>
            <w:tcBorders>
              <w:bottom w:val="dotted" w:sz="4" w:space="0" w:color="auto"/>
            </w:tcBorders>
          </w:tcPr>
          <w:p w14:paraId="6B8AADBC" w14:textId="77777777" w:rsidR="00FB0964" w:rsidRDefault="00FB0964" w:rsidP="00FB2141">
            <w:pPr>
              <w:pStyle w:val="TableText"/>
            </w:pPr>
          </w:p>
        </w:tc>
        <w:tc>
          <w:tcPr>
            <w:tcW w:w="1248" w:type="dxa"/>
            <w:vMerge/>
            <w:tcBorders>
              <w:bottom w:val="dotted" w:sz="4" w:space="0" w:color="auto"/>
            </w:tcBorders>
          </w:tcPr>
          <w:p w14:paraId="4238007B" w14:textId="77777777" w:rsidR="00FB0964" w:rsidRDefault="00FB0964" w:rsidP="00FB2141">
            <w:pPr>
              <w:pStyle w:val="TableText"/>
            </w:pPr>
          </w:p>
        </w:tc>
        <w:tc>
          <w:tcPr>
            <w:tcW w:w="1652" w:type="dxa"/>
            <w:vMerge/>
            <w:tcBorders>
              <w:bottom w:val="dotted" w:sz="4" w:space="0" w:color="auto"/>
            </w:tcBorders>
          </w:tcPr>
          <w:p w14:paraId="797739D5" w14:textId="77777777" w:rsidR="00FB0964" w:rsidRDefault="00FB0964" w:rsidP="00FB2141">
            <w:pPr>
              <w:pStyle w:val="TableText"/>
            </w:pPr>
          </w:p>
        </w:tc>
        <w:tc>
          <w:tcPr>
            <w:tcW w:w="1647" w:type="dxa"/>
            <w:vMerge/>
            <w:tcBorders>
              <w:bottom w:val="dotted" w:sz="4" w:space="0" w:color="auto"/>
            </w:tcBorders>
          </w:tcPr>
          <w:p w14:paraId="6DF2A7B2" w14:textId="77777777" w:rsidR="00FB0964" w:rsidRDefault="00FB0964" w:rsidP="00FB2141">
            <w:pPr>
              <w:pStyle w:val="TableText"/>
            </w:pPr>
          </w:p>
        </w:tc>
      </w:tr>
      <w:tr w:rsidR="00FB0964" w14:paraId="51DDEC4B" w14:textId="77777777" w:rsidTr="00FB2141">
        <w:trPr>
          <w:trHeight w:val="159"/>
        </w:trPr>
        <w:tc>
          <w:tcPr>
            <w:tcW w:w="1065" w:type="dxa"/>
            <w:vMerge/>
          </w:tcPr>
          <w:p w14:paraId="6E34AE4A" w14:textId="77777777" w:rsidR="00FB0964" w:rsidRDefault="00FB0964" w:rsidP="00FB2141">
            <w:pPr>
              <w:pStyle w:val="TableText"/>
            </w:pPr>
          </w:p>
        </w:tc>
        <w:tc>
          <w:tcPr>
            <w:tcW w:w="2191" w:type="dxa"/>
            <w:vMerge w:val="restart"/>
            <w:tcBorders>
              <w:top w:val="dotted" w:sz="4" w:space="0" w:color="auto"/>
            </w:tcBorders>
          </w:tcPr>
          <w:p w14:paraId="760F3D6C" w14:textId="77777777" w:rsidR="00FB0964" w:rsidRDefault="00FB0964" w:rsidP="00FB2141">
            <w:pPr>
              <w:pStyle w:val="TableText"/>
            </w:pPr>
            <w:r>
              <w:t>MA (95% CI)</w:t>
            </w:r>
          </w:p>
        </w:tc>
        <w:tc>
          <w:tcPr>
            <w:tcW w:w="4957" w:type="dxa"/>
            <w:gridSpan w:val="3"/>
            <w:vMerge w:val="restart"/>
            <w:tcBorders>
              <w:top w:val="dotted" w:sz="4" w:space="0" w:color="auto"/>
            </w:tcBorders>
          </w:tcPr>
          <w:p w14:paraId="41B451D8" w14:textId="77777777" w:rsidR="00FB0964" w:rsidRDefault="00FB0964" w:rsidP="00FB2141">
            <w:pPr>
              <w:pStyle w:val="TableText"/>
              <w:jc w:val="right"/>
            </w:pPr>
            <w:r w:rsidRPr="00BB1E80">
              <w:rPr>
                <w:b/>
                <w:bCs/>
              </w:rPr>
              <w:t>-45.81 (-49.44, -42.18), I</w:t>
            </w:r>
            <w:r w:rsidRPr="00BB1E80">
              <w:rPr>
                <w:b/>
                <w:bCs/>
                <w:vertAlign w:val="superscript"/>
              </w:rPr>
              <w:t>2</w:t>
            </w:r>
            <w:r w:rsidRPr="00BB1E80">
              <w:rPr>
                <w:b/>
                <w:bCs/>
              </w:rPr>
              <w:t>=0%, p=0.78</w:t>
            </w:r>
          </w:p>
        </w:tc>
        <w:tc>
          <w:tcPr>
            <w:tcW w:w="1700" w:type="dxa"/>
            <w:tcBorders>
              <w:top w:val="dotted" w:sz="4" w:space="0" w:color="auto"/>
            </w:tcBorders>
          </w:tcPr>
          <w:p w14:paraId="3DB49DD1" w14:textId="77777777" w:rsidR="00FB0964" w:rsidRDefault="00FB0964" w:rsidP="00FB2141">
            <w:pPr>
              <w:pStyle w:val="TableText"/>
            </w:pPr>
            <w:r>
              <w:t>Sainio 2022 (N=18)</w:t>
            </w:r>
          </w:p>
        </w:tc>
        <w:tc>
          <w:tcPr>
            <w:tcW w:w="1248" w:type="dxa"/>
            <w:tcBorders>
              <w:top w:val="dotted" w:sz="4" w:space="0" w:color="auto"/>
            </w:tcBorders>
          </w:tcPr>
          <w:p w14:paraId="5517264D" w14:textId="77777777" w:rsidR="00FB0964" w:rsidRDefault="00FB0964" w:rsidP="00FB2141">
            <w:pPr>
              <w:pStyle w:val="TableText"/>
            </w:pPr>
            <w:r>
              <w:t>70.3 (range: 30, 95)</w:t>
            </w:r>
          </w:p>
        </w:tc>
        <w:tc>
          <w:tcPr>
            <w:tcW w:w="1652" w:type="dxa"/>
            <w:tcBorders>
              <w:top w:val="dotted" w:sz="4" w:space="0" w:color="auto"/>
            </w:tcBorders>
          </w:tcPr>
          <w:p w14:paraId="74254DD5" w14:textId="77777777" w:rsidR="00FB0964" w:rsidRDefault="00FB0964" w:rsidP="00FB2141">
            <w:pPr>
              <w:pStyle w:val="TableText"/>
            </w:pPr>
            <w:r>
              <w:t>41.7 (range: 10, 90)</w:t>
            </w:r>
          </w:p>
        </w:tc>
        <w:tc>
          <w:tcPr>
            <w:tcW w:w="1647" w:type="dxa"/>
            <w:tcBorders>
              <w:top w:val="dotted" w:sz="4" w:space="0" w:color="auto"/>
            </w:tcBorders>
          </w:tcPr>
          <w:p w14:paraId="5627D9DE" w14:textId="77777777" w:rsidR="00FB0964" w:rsidRDefault="00FB0964" w:rsidP="00FB2141">
            <w:pPr>
              <w:pStyle w:val="TableText"/>
            </w:pPr>
            <w:r>
              <w:rPr>
                <w:b/>
                <w:bCs/>
              </w:rPr>
              <w:t>-28.6 (NR)</w:t>
            </w:r>
          </w:p>
        </w:tc>
      </w:tr>
      <w:tr w:rsidR="00FB0964" w14:paraId="747E509F" w14:textId="77777777" w:rsidTr="00FB2141">
        <w:trPr>
          <w:trHeight w:val="159"/>
        </w:trPr>
        <w:tc>
          <w:tcPr>
            <w:tcW w:w="1065" w:type="dxa"/>
            <w:vMerge/>
            <w:tcBorders>
              <w:bottom w:val="single" w:sz="18" w:space="0" w:color="auto"/>
            </w:tcBorders>
          </w:tcPr>
          <w:p w14:paraId="49BEE07F" w14:textId="77777777" w:rsidR="00FB0964" w:rsidRDefault="00FB0964" w:rsidP="00FB2141">
            <w:pPr>
              <w:pStyle w:val="TableText"/>
            </w:pPr>
          </w:p>
        </w:tc>
        <w:tc>
          <w:tcPr>
            <w:tcW w:w="2191" w:type="dxa"/>
            <w:vMerge/>
            <w:tcBorders>
              <w:bottom w:val="single" w:sz="18" w:space="0" w:color="auto"/>
            </w:tcBorders>
          </w:tcPr>
          <w:p w14:paraId="3AB74D84" w14:textId="77777777" w:rsidR="00FB0964" w:rsidRDefault="00FB0964" w:rsidP="00FB2141">
            <w:pPr>
              <w:pStyle w:val="TableText"/>
            </w:pPr>
          </w:p>
        </w:tc>
        <w:tc>
          <w:tcPr>
            <w:tcW w:w="4957" w:type="dxa"/>
            <w:gridSpan w:val="3"/>
            <w:vMerge/>
          </w:tcPr>
          <w:p w14:paraId="25259194" w14:textId="77777777" w:rsidR="00FB0964" w:rsidRPr="00A44A5C" w:rsidRDefault="00FB0964" w:rsidP="00FB2141">
            <w:pPr>
              <w:pStyle w:val="TableText"/>
              <w:jc w:val="right"/>
              <w:rPr>
                <w:b/>
                <w:bCs/>
              </w:rPr>
            </w:pPr>
          </w:p>
        </w:tc>
        <w:tc>
          <w:tcPr>
            <w:tcW w:w="1700" w:type="dxa"/>
            <w:tcBorders>
              <w:bottom w:val="single" w:sz="18" w:space="0" w:color="auto"/>
            </w:tcBorders>
          </w:tcPr>
          <w:p w14:paraId="2D4E9F54" w14:textId="77777777" w:rsidR="00FB0964" w:rsidRDefault="00FB0964" w:rsidP="00FB2141">
            <w:pPr>
              <w:pStyle w:val="TableText"/>
            </w:pPr>
            <w:r>
              <w:t>MA</w:t>
            </w:r>
          </w:p>
        </w:tc>
        <w:tc>
          <w:tcPr>
            <w:tcW w:w="4547" w:type="dxa"/>
            <w:gridSpan w:val="3"/>
            <w:tcBorders>
              <w:bottom w:val="single" w:sz="18" w:space="0" w:color="auto"/>
            </w:tcBorders>
          </w:tcPr>
          <w:p w14:paraId="3C4314B6" w14:textId="77777777" w:rsidR="00FB0964" w:rsidRPr="00C30CEC" w:rsidRDefault="00FB0964" w:rsidP="00FB2141">
            <w:pPr>
              <w:pStyle w:val="TableText"/>
            </w:pPr>
            <w:r w:rsidRPr="00C30CEC">
              <w:t>NE</w:t>
            </w:r>
          </w:p>
        </w:tc>
      </w:tr>
      <w:tr w:rsidR="00FB0964" w:rsidRPr="00BB1E80" w14:paraId="1817059D" w14:textId="77777777" w:rsidTr="00FB2141">
        <w:trPr>
          <w:trHeight w:val="154"/>
        </w:trPr>
        <w:tc>
          <w:tcPr>
            <w:tcW w:w="1065" w:type="dxa"/>
            <w:vMerge w:val="restart"/>
            <w:tcBorders>
              <w:top w:val="single" w:sz="18" w:space="0" w:color="auto"/>
            </w:tcBorders>
          </w:tcPr>
          <w:p w14:paraId="2CE7E10B" w14:textId="77777777" w:rsidR="00FB0964" w:rsidRPr="00BB1E80" w:rsidRDefault="00FB0964" w:rsidP="00FB2141">
            <w:pPr>
              <w:pStyle w:val="TableText"/>
            </w:pPr>
            <w:r w:rsidRPr="00BB1E80">
              <w:t>12</w:t>
            </w:r>
          </w:p>
        </w:tc>
        <w:tc>
          <w:tcPr>
            <w:tcW w:w="2191" w:type="dxa"/>
            <w:tcBorders>
              <w:top w:val="single" w:sz="18" w:space="0" w:color="auto"/>
              <w:bottom w:val="dotted" w:sz="4" w:space="0" w:color="auto"/>
            </w:tcBorders>
          </w:tcPr>
          <w:p w14:paraId="56B13172" w14:textId="77777777" w:rsidR="00FB0964" w:rsidRPr="00BB1E80" w:rsidRDefault="00FB0964" w:rsidP="00FB2141">
            <w:pPr>
              <w:pStyle w:val="TableText"/>
            </w:pPr>
            <w:r w:rsidRPr="00BB1E80">
              <w:t>LATERA-RCT (N=58)</w:t>
            </w:r>
          </w:p>
        </w:tc>
        <w:tc>
          <w:tcPr>
            <w:tcW w:w="1651" w:type="dxa"/>
            <w:tcBorders>
              <w:top w:val="single" w:sz="18" w:space="0" w:color="auto"/>
              <w:bottom w:val="dotted" w:sz="4" w:space="0" w:color="auto"/>
            </w:tcBorders>
          </w:tcPr>
          <w:p w14:paraId="66C2C312" w14:textId="77777777" w:rsidR="00FB0964" w:rsidRPr="00BB1E80" w:rsidRDefault="00FB0964" w:rsidP="00FB2141">
            <w:pPr>
              <w:pStyle w:val="TableText"/>
            </w:pPr>
            <w:r w:rsidRPr="00BB1E80">
              <w:t>76.8 (13)</w:t>
            </w:r>
          </w:p>
        </w:tc>
        <w:tc>
          <w:tcPr>
            <w:tcW w:w="1653" w:type="dxa"/>
            <w:tcBorders>
              <w:top w:val="single" w:sz="18" w:space="0" w:color="auto"/>
              <w:bottom w:val="dotted" w:sz="4" w:space="0" w:color="auto"/>
            </w:tcBorders>
          </w:tcPr>
          <w:p w14:paraId="58C26F84" w14:textId="77777777" w:rsidR="00FB0964" w:rsidRPr="00BB1E80" w:rsidRDefault="00FB0964" w:rsidP="00FB2141">
            <w:pPr>
              <w:pStyle w:val="TableText"/>
            </w:pPr>
            <w:r w:rsidRPr="00BB1E80">
              <w:t>31.8 (23.4)</w:t>
            </w:r>
          </w:p>
        </w:tc>
        <w:tc>
          <w:tcPr>
            <w:tcW w:w="1653" w:type="dxa"/>
            <w:tcBorders>
              <w:top w:val="single" w:sz="18" w:space="0" w:color="auto"/>
              <w:bottom w:val="dotted" w:sz="4" w:space="0" w:color="auto"/>
            </w:tcBorders>
          </w:tcPr>
          <w:p w14:paraId="363CFCF6" w14:textId="77777777" w:rsidR="00FB0964" w:rsidRPr="00BB1E80" w:rsidRDefault="00FB0964" w:rsidP="00FB2141">
            <w:pPr>
              <w:pStyle w:val="TableText"/>
            </w:pPr>
            <w:r w:rsidRPr="00BB1E80">
              <w:t>-45 (25.2)</w:t>
            </w:r>
          </w:p>
        </w:tc>
        <w:tc>
          <w:tcPr>
            <w:tcW w:w="1700" w:type="dxa"/>
            <w:tcBorders>
              <w:top w:val="single" w:sz="18" w:space="0" w:color="auto"/>
              <w:bottom w:val="dotted" w:sz="4" w:space="0" w:color="auto"/>
            </w:tcBorders>
          </w:tcPr>
          <w:p w14:paraId="5CC13352" w14:textId="77777777" w:rsidR="00FB0964" w:rsidRPr="00BB1E80" w:rsidRDefault="00FB0964" w:rsidP="00FB2141">
            <w:pPr>
              <w:pStyle w:val="TableText"/>
            </w:pPr>
            <w:r w:rsidRPr="00BB1E80">
              <w:t>Taha 2021 – primary (N=10)</w:t>
            </w:r>
          </w:p>
        </w:tc>
        <w:tc>
          <w:tcPr>
            <w:tcW w:w="1248" w:type="dxa"/>
            <w:tcBorders>
              <w:top w:val="single" w:sz="18" w:space="0" w:color="auto"/>
              <w:bottom w:val="dotted" w:sz="4" w:space="0" w:color="auto"/>
            </w:tcBorders>
          </w:tcPr>
          <w:p w14:paraId="7ADAB557" w14:textId="77777777" w:rsidR="00FB0964" w:rsidRPr="00BB1E80" w:rsidRDefault="00FB0964" w:rsidP="00FB2141">
            <w:pPr>
              <w:pStyle w:val="TableText"/>
            </w:pPr>
            <w:r w:rsidRPr="00BB1E80">
              <w:t>80.1 (5.79)</w:t>
            </w:r>
          </w:p>
        </w:tc>
        <w:tc>
          <w:tcPr>
            <w:tcW w:w="1652" w:type="dxa"/>
            <w:tcBorders>
              <w:top w:val="single" w:sz="18" w:space="0" w:color="auto"/>
              <w:bottom w:val="dotted" w:sz="4" w:space="0" w:color="auto"/>
            </w:tcBorders>
          </w:tcPr>
          <w:p w14:paraId="336BC1AB" w14:textId="77777777" w:rsidR="00FB0964" w:rsidRPr="00BB1E80" w:rsidRDefault="00FB0964" w:rsidP="00FB2141">
            <w:pPr>
              <w:pStyle w:val="TableText"/>
            </w:pPr>
            <w:r w:rsidRPr="00BB1E80">
              <w:t>37.3 (NR)</w:t>
            </w:r>
          </w:p>
        </w:tc>
        <w:tc>
          <w:tcPr>
            <w:tcW w:w="1647" w:type="dxa"/>
            <w:tcBorders>
              <w:top w:val="single" w:sz="18" w:space="0" w:color="auto"/>
              <w:bottom w:val="dotted" w:sz="4" w:space="0" w:color="auto"/>
            </w:tcBorders>
          </w:tcPr>
          <w:p w14:paraId="47F188B9" w14:textId="77777777" w:rsidR="00FB0964" w:rsidRPr="00BB1E80" w:rsidRDefault="00FB0964" w:rsidP="00FB2141">
            <w:pPr>
              <w:pStyle w:val="TableText"/>
            </w:pPr>
            <w:r w:rsidRPr="00BB1E80">
              <w:t>-42.8 (6.49); NR</w:t>
            </w:r>
          </w:p>
        </w:tc>
      </w:tr>
      <w:tr w:rsidR="00FB0964" w:rsidRPr="00BB1E80" w14:paraId="43D96CC7" w14:textId="77777777" w:rsidTr="00FB2141">
        <w:trPr>
          <w:trHeight w:val="154"/>
        </w:trPr>
        <w:tc>
          <w:tcPr>
            <w:tcW w:w="1065" w:type="dxa"/>
            <w:vMerge/>
          </w:tcPr>
          <w:p w14:paraId="463F1ACC" w14:textId="77777777" w:rsidR="00FB0964" w:rsidRPr="00BB1E80" w:rsidRDefault="00FB0964" w:rsidP="00FB2141">
            <w:pPr>
              <w:pStyle w:val="TableText"/>
            </w:pPr>
          </w:p>
        </w:tc>
        <w:tc>
          <w:tcPr>
            <w:tcW w:w="2191" w:type="dxa"/>
            <w:tcBorders>
              <w:top w:val="dotted" w:sz="4" w:space="0" w:color="auto"/>
              <w:bottom w:val="dotted" w:sz="4" w:space="0" w:color="auto"/>
            </w:tcBorders>
          </w:tcPr>
          <w:p w14:paraId="7DF3D7E0" w14:textId="77777777" w:rsidR="00FB0964" w:rsidRPr="00BB1E80" w:rsidRDefault="00FB0964" w:rsidP="00FB2141">
            <w:pPr>
              <w:pStyle w:val="TableText"/>
            </w:pPr>
            <w:r w:rsidRPr="00BB1E80">
              <w:t>LATERA-OFFICE (N=90)</w:t>
            </w:r>
          </w:p>
        </w:tc>
        <w:tc>
          <w:tcPr>
            <w:tcW w:w="1651" w:type="dxa"/>
            <w:tcBorders>
              <w:top w:val="dotted" w:sz="4" w:space="0" w:color="auto"/>
              <w:bottom w:val="dotted" w:sz="4" w:space="0" w:color="auto"/>
            </w:tcBorders>
          </w:tcPr>
          <w:p w14:paraId="0EADAF6E" w14:textId="77777777" w:rsidR="00FB0964" w:rsidRPr="00BB1E80" w:rsidRDefault="00FB0964" w:rsidP="00FB2141">
            <w:pPr>
              <w:pStyle w:val="TableText"/>
            </w:pPr>
            <w:r w:rsidRPr="00BB1E80">
              <w:t xml:space="preserve">77.8 (13.5) </w:t>
            </w:r>
            <w:r w:rsidRPr="00BB1E80">
              <w:rPr>
                <w:vertAlign w:val="superscript"/>
              </w:rPr>
              <w:t>b</w:t>
            </w:r>
          </w:p>
        </w:tc>
        <w:tc>
          <w:tcPr>
            <w:tcW w:w="1653" w:type="dxa"/>
            <w:tcBorders>
              <w:top w:val="dotted" w:sz="4" w:space="0" w:color="auto"/>
              <w:bottom w:val="dotted" w:sz="4" w:space="0" w:color="auto"/>
            </w:tcBorders>
          </w:tcPr>
          <w:p w14:paraId="382FB699" w14:textId="77777777" w:rsidR="00FB0964" w:rsidRPr="00BB1E80" w:rsidRDefault="00FB0964" w:rsidP="00FB2141">
            <w:pPr>
              <w:pStyle w:val="TableText"/>
            </w:pPr>
            <w:r w:rsidRPr="00BB1E80">
              <w:t xml:space="preserve">34.2 (NR) </w:t>
            </w:r>
            <w:r w:rsidRPr="00BB1E80">
              <w:rPr>
                <w:vertAlign w:val="superscript"/>
              </w:rPr>
              <w:t>c</w:t>
            </w:r>
          </w:p>
        </w:tc>
        <w:tc>
          <w:tcPr>
            <w:tcW w:w="1653" w:type="dxa"/>
            <w:tcBorders>
              <w:top w:val="dotted" w:sz="4" w:space="0" w:color="auto"/>
              <w:bottom w:val="dotted" w:sz="4" w:space="0" w:color="auto"/>
            </w:tcBorders>
          </w:tcPr>
          <w:p w14:paraId="197CE8CC" w14:textId="77777777" w:rsidR="00FB0964" w:rsidRPr="00BB1E80" w:rsidRDefault="00FB0964" w:rsidP="00FB2141">
            <w:pPr>
              <w:pStyle w:val="TableText"/>
            </w:pPr>
            <w:r w:rsidRPr="00BB1E80">
              <w:t>-43.6 (26.4)</w:t>
            </w:r>
          </w:p>
        </w:tc>
        <w:tc>
          <w:tcPr>
            <w:tcW w:w="1700" w:type="dxa"/>
            <w:vMerge w:val="restart"/>
            <w:tcBorders>
              <w:top w:val="dotted" w:sz="4" w:space="0" w:color="auto"/>
            </w:tcBorders>
          </w:tcPr>
          <w:p w14:paraId="67FB8C16" w14:textId="77777777" w:rsidR="00FB0964" w:rsidRPr="00BB1E80" w:rsidRDefault="00FB0964" w:rsidP="00FB2141">
            <w:pPr>
              <w:pStyle w:val="TableText"/>
            </w:pPr>
            <w:r w:rsidRPr="00BB1E80">
              <w:t>Taha 2021 – revision (N=16)</w:t>
            </w:r>
          </w:p>
        </w:tc>
        <w:tc>
          <w:tcPr>
            <w:tcW w:w="1248" w:type="dxa"/>
            <w:vMerge w:val="restart"/>
            <w:tcBorders>
              <w:top w:val="dotted" w:sz="4" w:space="0" w:color="auto"/>
            </w:tcBorders>
          </w:tcPr>
          <w:p w14:paraId="383A07C0" w14:textId="77777777" w:rsidR="00FB0964" w:rsidRPr="00BB1E80" w:rsidRDefault="00FB0964" w:rsidP="00FB2141">
            <w:pPr>
              <w:pStyle w:val="TableText"/>
            </w:pPr>
            <w:r w:rsidRPr="00BB1E80">
              <w:t>70 (19.05)</w:t>
            </w:r>
          </w:p>
        </w:tc>
        <w:tc>
          <w:tcPr>
            <w:tcW w:w="1652" w:type="dxa"/>
            <w:vMerge w:val="restart"/>
            <w:tcBorders>
              <w:top w:val="dotted" w:sz="4" w:space="0" w:color="auto"/>
            </w:tcBorders>
          </w:tcPr>
          <w:p w14:paraId="25482FD6" w14:textId="77777777" w:rsidR="00FB0964" w:rsidRPr="00BB1E80" w:rsidRDefault="00FB0964" w:rsidP="00FB2141">
            <w:pPr>
              <w:pStyle w:val="TableText"/>
            </w:pPr>
            <w:r w:rsidRPr="00BB1E80">
              <w:t>38.75 (NR)</w:t>
            </w:r>
          </w:p>
        </w:tc>
        <w:tc>
          <w:tcPr>
            <w:tcW w:w="1647" w:type="dxa"/>
            <w:vMerge w:val="restart"/>
            <w:tcBorders>
              <w:top w:val="dotted" w:sz="4" w:space="0" w:color="auto"/>
            </w:tcBorders>
          </w:tcPr>
          <w:p w14:paraId="5D5FEB79" w14:textId="77777777" w:rsidR="00FB0964" w:rsidRPr="00BB1E80" w:rsidRDefault="00FB0964" w:rsidP="00FB2141">
            <w:pPr>
              <w:pStyle w:val="TableText"/>
            </w:pPr>
            <w:r w:rsidRPr="00BB1E80">
              <w:t>-31.25 (25.33); NR</w:t>
            </w:r>
          </w:p>
        </w:tc>
      </w:tr>
      <w:tr w:rsidR="00FB0964" w:rsidRPr="00BB1E80" w14:paraId="47A2E0E4" w14:textId="77777777" w:rsidTr="00FB2141">
        <w:trPr>
          <w:trHeight w:val="121"/>
        </w:trPr>
        <w:tc>
          <w:tcPr>
            <w:tcW w:w="1065" w:type="dxa"/>
            <w:vMerge/>
          </w:tcPr>
          <w:p w14:paraId="072EF6BF" w14:textId="77777777" w:rsidR="00FB0964" w:rsidRPr="00BB1E80" w:rsidRDefault="00FB0964" w:rsidP="00FB2141">
            <w:pPr>
              <w:pStyle w:val="TableText"/>
            </w:pPr>
          </w:p>
        </w:tc>
        <w:tc>
          <w:tcPr>
            <w:tcW w:w="2191" w:type="dxa"/>
            <w:tcBorders>
              <w:top w:val="dotted" w:sz="4" w:space="0" w:color="auto"/>
            </w:tcBorders>
          </w:tcPr>
          <w:p w14:paraId="2FBCB8CE" w14:textId="77777777" w:rsidR="00FB0964" w:rsidRPr="00BB1E80" w:rsidRDefault="00FB0964" w:rsidP="00FB2141">
            <w:pPr>
              <w:pStyle w:val="TableText"/>
            </w:pPr>
            <w:r w:rsidRPr="00BB1E80">
              <w:t>Trial 4350-001 (N=30)</w:t>
            </w:r>
          </w:p>
        </w:tc>
        <w:tc>
          <w:tcPr>
            <w:tcW w:w="1651" w:type="dxa"/>
            <w:tcBorders>
              <w:top w:val="dotted" w:sz="4" w:space="0" w:color="auto"/>
            </w:tcBorders>
          </w:tcPr>
          <w:p w14:paraId="760A923F" w14:textId="77777777" w:rsidR="00FB0964" w:rsidRPr="00BB1E80" w:rsidRDefault="00FB0964" w:rsidP="00FB2141">
            <w:pPr>
              <w:pStyle w:val="TableText"/>
            </w:pPr>
            <w:r w:rsidRPr="00BB1E80">
              <w:t xml:space="preserve">76.7 (14.8) </w:t>
            </w:r>
            <w:r w:rsidRPr="00BB1E80">
              <w:rPr>
                <w:vertAlign w:val="superscript"/>
              </w:rPr>
              <w:t>b</w:t>
            </w:r>
          </w:p>
        </w:tc>
        <w:tc>
          <w:tcPr>
            <w:tcW w:w="1653" w:type="dxa"/>
            <w:tcBorders>
              <w:top w:val="dotted" w:sz="4" w:space="0" w:color="auto"/>
            </w:tcBorders>
          </w:tcPr>
          <w:p w14:paraId="0E996BCF" w14:textId="77777777" w:rsidR="00FB0964" w:rsidRPr="00BB1E80" w:rsidRDefault="00FB0964" w:rsidP="00FB2141">
            <w:pPr>
              <w:pStyle w:val="TableText"/>
            </w:pPr>
            <w:r w:rsidRPr="00BB1E80">
              <w:t xml:space="preserve">36.5 (NR) </w:t>
            </w:r>
            <w:r w:rsidRPr="00BB1E80">
              <w:rPr>
                <w:vertAlign w:val="superscript"/>
              </w:rPr>
              <w:t>c</w:t>
            </w:r>
          </w:p>
        </w:tc>
        <w:tc>
          <w:tcPr>
            <w:tcW w:w="1653" w:type="dxa"/>
            <w:tcBorders>
              <w:top w:val="dotted" w:sz="4" w:space="0" w:color="auto"/>
            </w:tcBorders>
          </w:tcPr>
          <w:p w14:paraId="2EC98D7C" w14:textId="77777777" w:rsidR="00FB0964" w:rsidRPr="00BB1E80" w:rsidRDefault="00FB0964" w:rsidP="00FB2141">
            <w:pPr>
              <w:pStyle w:val="TableText"/>
            </w:pPr>
            <w:r w:rsidRPr="00BB1E80">
              <w:t>-40.2 (30.9)</w:t>
            </w:r>
          </w:p>
        </w:tc>
        <w:tc>
          <w:tcPr>
            <w:tcW w:w="1700" w:type="dxa"/>
            <w:vMerge/>
            <w:tcBorders>
              <w:bottom w:val="dotted" w:sz="4" w:space="0" w:color="auto"/>
            </w:tcBorders>
          </w:tcPr>
          <w:p w14:paraId="0545AB1D" w14:textId="77777777" w:rsidR="00FB0964" w:rsidRPr="00BB1E80" w:rsidRDefault="00FB0964" w:rsidP="00FB2141">
            <w:pPr>
              <w:pStyle w:val="TableText"/>
            </w:pPr>
          </w:p>
        </w:tc>
        <w:tc>
          <w:tcPr>
            <w:tcW w:w="1248" w:type="dxa"/>
            <w:vMerge/>
            <w:tcBorders>
              <w:bottom w:val="dotted" w:sz="4" w:space="0" w:color="auto"/>
            </w:tcBorders>
          </w:tcPr>
          <w:p w14:paraId="5CC21B93" w14:textId="77777777" w:rsidR="00FB0964" w:rsidRPr="00BB1E80" w:rsidRDefault="00FB0964" w:rsidP="00FB2141">
            <w:pPr>
              <w:pStyle w:val="TableText"/>
            </w:pPr>
          </w:p>
        </w:tc>
        <w:tc>
          <w:tcPr>
            <w:tcW w:w="1652" w:type="dxa"/>
            <w:vMerge/>
            <w:tcBorders>
              <w:bottom w:val="dotted" w:sz="4" w:space="0" w:color="auto"/>
            </w:tcBorders>
          </w:tcPr>
          <w:p w14:paraId="1DA8BE68" w14:textId="77777777" w:rsidR="00FB0964" w:rsidRPr="00BB1E80" w:rsidRDefault="00FB0964" w:rsidP="00FB2141">
            <w:pPr>
              <w:pStyle w:val="TableText"/>
            </w:pPr>
          </w:p>
        </w:tc>
        <w:tc>
          <w:tcPr>
            <w:tcW w:w="1647" w:type="dxa"/>
            <w:vMerge/>
            <w:tcBorders>
              <w:bottom w:val="dotted" w:sz="4" w:space="0" w:color="auto"/>
            </w:tcBorders>
          </w:tcPr>
          <w:p w14:paraId="6D9D53C0" w14:textId="77777777" w:rsidR="00FB0964" w:rsidRPr="00BB1E80" w:rsidRDefault="00FB0964" w:rsidP="00FB2141">
            <w:pPr>
              <w:pStyle w:val="TableText"/>
            </w:pPr>
          </w:p>
        </w:tc>
      </w:tr>
      <w:tr w:rsidR="00FB0964" w14:paraId="123CE82B" w14:textId="77777777" w:rsidTr="00FB2141">
        <w:trPr>
          <w:trHeight w:val="154"/>
        </w:trPr>
        <w:tc>
          <w:tcPr>
            <w:tcW w:w="1065" w:type="dxa"/>
            <w:vMerge/>
          </w:tcPr>
          <w:p w14:paraId="4E9A5349" w14:textId="77777777" w:rsidR="00FB0964" w:rsidRDefault="00FB0964" w:rsidP="00FB2141">
            <w:pPr>
              <w:pStyle w:val="TableText"/>
            </w:pPr>
          </w:p>
        </w:tc>
        <w:tc>
          <w:tcPr>
            <w:tcW w:w="2191" w:type="dxa"/>
            <w:vMerge w:val="restart"/>
          </w:tcPr>
          <w:p w14:paraId="1179E3CD" w14:textId="77777777" w:rsidR="00FB0964" w:rsidRDefault="00FB0964" w:rsidP="00FB2141">
            <w:pPr>
              <w:pStyle w:val="TableText"/>
            </w:pPr>
            <w:r>
              <w:t>MA (95% CI)</w:t>
            </w:r>
          </w:p>
        </w:tc>
        <w:tc>
          <w:tcPr>
            <w:tcW w:w="4957" w:type="dxa"/>
            <w:gridSpan w:val="3"/>
            <w:vMerge w:val="restart"/>
          </w:tcPr>
          <w:p w14:paraId="0C24DF81" w14:textId="77777777" w:rsidR="00FB0964" w:rsidRPr="000A4CCC" w:rsidRDefault="00FB0964" w:rsidP="00FB2141">
            <w:pPr>
              <w:pStyle w:val="TableText"/>
              <w:jc w:val="right"/>
              <w:rPr>
                <w:b/>
                <w:bCs/>
              </w:rPr>
            </w:pPr>
            <w:r w:rsidRPr="00BB1E80">
              <w:rPr>
                <w:b/>
                <w:bCs/>
              </w:rPr>
              <w:t>-43.68 (-47.59, -39.78), I</w:t>
            </w:r>
            <w:r w:rsidRPr="00BB1E80">
              <w:rPr>
                <w:b/>
                <w:bCs/>
                <w:vertAlign w:val="superscript"/>
              </w:rPr>
              <w:t>2</w:t>
            </w:r>
            <w:r w:rsidRPr="00BB1E80">
              <w:rPr>
                <w:b/>
                <w:bCs/>
              </w:rPr>
              <w:t>=0%, p=0.76</w:t>
            </w:r>
          </w:p>
        </w:tc>
        <w:tc>
          <w:tcPr>
            <w:tcW w:w="1700" w:type="dxa"/>
            <w:tcBorders>
              <w:top w:val="dotted" w:sz="4" w:space="0" w:color="auto"/>
              <w:bottom w:val="dotted" w:sz="4" w:space="0" w:color="auto"/>
            </w:tcBorders>
          </w:tcPr>
          <w:p w14:paraId="7D9F1BE5" w14:textId="77777777" w:rsidR="00FB0964" w:rsidRDefault="00FB0964" w:rsidP="00FB2141">
            <w:pPr>
              <w:pStyle w:val="TableText"/>
            </w:pPr>
            <w:r>
              <w:t xml:space="preserve">Tan 2012 (N=15) </w:t>
            </w:r>
            <w:r w:rsidRPr="0046388E">
              <w:rPr>
                <w:vertAlign w:val="superscript"/>
              </w:rPr>
              <w:t>a</w:t>
            </w:r>
          </w:p>
        </w:tc>
        <w:tc>
          <w:tcPr>
            <w:tcW w:w="1248" w:type="dxa"/>
            <w:tcBorders>
              <w:top w:val="dotted" w:sz="4" w:space="0" w:color="auto"/>
              <w:bottom w:val="dotted" w:sz="4" w:space="0" w:color="auto"/>
            </w:tcBorders>
          </w:tcPr>
          <w:p w14:paraId="5BFE1DB2" w14:textId="77777777" w:rsidR="00FB0964" w:rsidRDefault="00FB0964" w:rsidP="00FB2141">
            <w:pPr>
              <w:pStyle w:val="TableText"/>
            </w:pPr>
            <w:r>
              <w:t>86.5 (8)</w:t>
            </w:r>
          </w:p>
        </w:tc>
        <w:tc>
          <w:tcPr>
            <w:tcW w:w="1652" w:type="dxa"/>
            <w:tcBorders>
              <w:top w:val="dotted" w:sz="4" w:space="0" w:color="auto"/>
              <w:bottom w:val="dotted" w:sz="4" w:space="0" w:color="auto"/>
            </w:tcBorders>
          </w:tcPr>
          <w:p w14:paraId="3EC61918" w14:textId="77777777" w:rsidR="00FB0964" w:rsidRDefault="00FB0964" w:rsidP="00FB2141">
            <w:pPr>
              <w:pStyle w:val="TableText"/>
            </w:pPr>
            <w:r>
              <w:t>26.5 (11.5)</w:t>
            </w:r>
          </w:p>
        </w:tc>
        <w:tc>
          <w:tcPr>
            <w:tcW w:w="1647" w:type="dxa"/>
            <w:tcBorders>
              <w:top w:val="dotted" w:sz="4" w:space="0" w:color="auto"/>
              <w:bottom w:val="dotted" w:sz="4" w:space="0" w:color="auto"/>
            </w:tcBorders>
          </w:tcPr>
          <w:p w14:paraId="50BD88FB" w14:textId="77777777" w:rsidR="00FB0964" w:rsidRDefault="00FB0964" w:rsidP="00FB2141">
            <w:pPr>
              <w:pStyle w:val="TableText"/>
            </w:pPr>
            <w:r>
              <w:t>-60 (NR); p&lt;0.001</w:t>
            </w:r>
          </w:p>
        </w:tc>
      </w:tr>
      <w:tr w:rsidR="00FB0964" w14:paraId="2527EABD" w14:textId="77777777" w:rsidTr="00FB2141">
        <w:trPr>
          <w:trHeight w:val="154"/>
        </w:trPr>
        <w:tc>
          <w:tcPr>
            <w:tcW w:w="1065" w:type="dxa"/>
            <w:vMerge/>
          </w:tcPr>
          <w:p w14:paraId="45A36B13" w14:textId="77777777" w:rsidR="00FB0964" w:rsidRDefault="00FB0964" w:rsidP="00FB2141">
            <w:pPr>
              <w:pStyle w:val="TableText"/>
            </w:pPr>
          </w:p>
        </w:tc>
        <w:tc>
          <w:tcPr>
            <w:tcW w:w="2191" w:type="dxa"/>
            <w:vMerge/>
          </w:tcPr>
          <w:p w14:paraId="294F8D3F" w14:textId="77777777" w:rsidR="00FB0964" w:rsidRDefault="00FB0964" w:rsidP="00FB2141">
            <w:pPr>
              <w:pStyle w:val="TableText"/>
            </w:pPr>
          </w:p>
        </w:tc>
        <w:tc>
          <w:tcPr>
            <w:tcW w:w="4957" w:type="dxa"/>
            <w:gridSpan w:val="3"/>
            <w:vMerge/>
          </w:tcPr>
          <w:p w14:paraId="6BEA7F74" w14:textId="77777777" w:rsidR="00FB0964" w:rsidRDefault="00FB0964" w:rsidP="00FB2141">
            <w:pPr>
              <w:pStyle w:val="TableText"/>
            </w:pPr>
          </w:p>
        </w:tc>
        <w:tc>
          <w:tcPr>
            <w:tcW w:w="1700" w:type="dxa"/>
            <w:tcBorders>
              <w:top w:val="dotted" w:sz="4" w:space="0" w:color="auto"/>
              <w:bottom w:val="dotted" w:sz="4" w:space="0" w:color="auto"/>
            </w:tcBorders>
          </w:tcPr>
          <w:p w14:paraId="1E286F9E" w14:textId="77777777" w:rsidR="00FB0964" w:rsidRDefault="00FB0964" w:rsidP="00FB2141">
            <w:pPr>
              <w:pStyle w:val="TableText"/>
            </w:pPr>
            <w:r>
              <w:t xml:space="preserve">Rao 2016 (N=50) </w:t>
            </w:r>
            <w:r w:rsidRPr="0046388E">
              <w:rPr>
                <w:vertAlign w:val="superscript"/>
              </w:rPr>
              <w:t>a</w:t>
            </w:r>
          </w:p>
        </w:tc>
        <w:tc>
          <w:tcPr>
            <w:tcW w:w="1248" w:type="dxa"/>
            <w:tcBorders>
              <w:top w:val="dotted" w:sz="4" w:space="0" w:color="auto"/>
              <w:bottom w:val="dotted" w:sz="4" w:space="0" w:color="auto"/>
            </w:tcBorders>
          </w:tcPr>
          <w:p w14:paraId="104EB839" w14:textId="77777777" w:rsidR="00FB0964" w:rsidRDefault="00FB0964" w:rsidP="00FB2141">
            <w:pPr>
              <w:pStyle w:val="TableText"/>
            </w:pPr>
            <w:r>
              <w:t>55 (NR)</w:t>
            </w:r>
          </w:p>
        </w:tc>
        <w:tc>
          <w:tcPr>
            <w:tcW w:w="1652" w:type="dxa"/>
            <w:tcBorders>
              <w:top w:val="dotted" w:sz="4" w:space="0" w:color="auto"/>
              <w:bottom w:val="dotted" w:sz="4" w:space="0" w:color="auto"/>
            </w:tcBorders>
          </w:tcPr>
          <w:p w14:paraId="36FE228C" w14:textId="77777777" w:rsidR="00FB0964" w:rsidRDefault="00FB0964" w:rsidP="00FB2141">
            <w:pPr>
              <w:pStyle w:val="TableText"/>
            </w:pPr>
            <w:r>
              <w:t>23 (NR)</w:t>
            </w:r>
          </w:p>
        </w:tc>
        <w:tc>
          <w:tcPr>
            <w:tcW w:w="1647" w:type="dxa"/>
            <w:tcBorders>
              <w:top w:val="dotted" w:sz="4" w:space="0" w:color="auto"/>
              <w:bottom w:val="dotted" w:sz="4" w:space="0" w:color="auto"/>
            </w:tcBorders>
          </w:tcPr>
          <w:p w14:paraId="4E802568" w14:textId="77777777" w:rsidR="00FB0964" w:rsidRDefault="00FB0964" w:rsidP="00FB2141">
            <w:pPr>
              <w:pStyle w:val="TableText"/>
            </w:pPr>
            <w:r>
              <w:t>-32 (NR); p&lt;0.0005</w:t>
            </w:r>
          </w:p>
        </w:tc>
      </w:tr>
      <w:tr w:rsidR="00FB0964" w14:paraId="22E95F22" w14:textId="77777777" w:rsidTr="00FB2141">
        <w:trPr>
          <w:trHeight w:val="154"/>
        </w:trPr>
        <w:tc>
          <w:tcPr>
            <w:tcW w:w="1065" w:type="dxa"/>
            <w:vMerge/>
          </w:tcPr>
          <w:p w14:paraId="076513FA" w14:textId="77777777" w:rsidR="00FB0964" w:rsidRDefault="00FB0964" w:rsidP="00FB2141">
            <w:pPr>
              <w:pStyle w:val="TableText"/>
            </w:pPr>
          </w:p>
        </w:tc>
        <w:tc>
          <w:tcPr>
            <w:tcW w:w="2191" w:type="dxa"/>
            <w:vMerge/>
          </w:tcPr>
          <w:p w14:paraId="4BBC23F4" w14:textId="77777777" w:rsidR="00FB0964" w:rsidRDefault="00FB0964" w:rsidP="00FB2141">
            <w:pPr>
              <w:pStyle w:val="TableText"/>
            </w:pPr>
          </w:p>
        </w:tc>
        <w:tc>
          <w:tcPr>
            <w:tcW w:w="4957" w:type="dxa"/>
            <w:gridSpan w:val="3"/>
            <w:vMerge/>
          </w:tcPr>
          <w:p w14:paraId="0BBC2215" w14:textId="77777777" w:rsidR="00FB0964" w:rsidRDefault="00FB0964" w:rsidP="00FB2141">
            <w:pPr>
              <w:pStyle w:val="TableText"/>
            </w:pPr>
          </w:p>
        </w:tc>
        <w:tc>
          <w:tcPr>
            <w:tcW w:w="1700" w:type="dxa"/>
            <w:tcBorders>
              <w:top w:val="dotted" w:sz="4" w:space="0" w:color="auto"/>
              <w:bottom w:val="dotted" w:sz="4" w:space="0" w:color="auto"/>
            </w:tcBorders>
          </w:tcPr>
          <w:p w14:paraId="4B743C52" w14:textId="77777777" w:rsidR="00FB0964" w:rsidRDefault="00FB0964" w:rsidP="00FB2141">
            <w:pPr>
              <w:pStyle w:val="TableText"/>
            </w:pPr>
            <w:r>
              <w:t xml:space="preserve">Most 2006 – spreading grafting </w:t>
            </w:r>
            <w:r>
              <w:lastRenderedPageBreak/>
              <w:t>without turbinate reduction (n=7)</w:t>
            </w:r>
          </w:p>
        </w:tc>
        <w:tc>
          <w:tcPr>
            <w:tcW w:w="1248" w:type="dxa"/>
            <w:tcBorders>
              <w:top w:val="dotted" w:sz="4" w:space="0" w:color="auto"/>
              <w:bottom w:val="dotted" w:sz="4" w:space="0" w:color="auto"/>
            </w:tcBorders>
          </w:tcPr>
          <w:p w14:paraId="453AF493" w14:textId="77777777" w:rsidR="00FB0964" w:rsidRDefault="00FB0964" w:rsidP="00FB2141">
            <w:pPr>
              <w:pStyle w:val="TableText"/>
            </w:pPr>
            <w:r>
              <w:lastRenderedPageBreak/>
              <w:t>62.3 (12)</w:t>
            </w:r>
          </w:p>
        </w:tc>
        <w:tc>
          <w:tcPr>
            <w:tcW w:w="1652" w:type="dxa"/>
            <w:tcBorders>
              <w:top w:val="dotted" w:sz="4" w:space="0" w:color="auto"/>
              <w:bottom w:val="dotted" w:sz="4" w:space="0" w:color="auto"/>
            </w:tcBorders>
          </w:tcPr>
          <w:p w14:paraId="01C57CA1" w14:textId="77777777" w:rsidR="00FB0964" w:rsidRDefault="00FB0964" w:rsidP="00FB2141">
            <w:pPr>
              <w:pStyle w:val="TableText"/>
            </w:pPr>
            <w:r>
              <w:t>24.3 (17.8)</w:t>
            </w:r>
          </w:p>
        </w:tc>
        <w:tc>
          <w:tcPr>
            <w:tcW w:w="1647" w:type="dxa"/>
            <w:tcBorders>
              <w:top w:val="dotted" w:sz="4" w:space="0" w:color="auto"/>
              <w:bottom w:val="dotted" w:sz="4" w:space="0" w:color="auto"/>
            </w:tcBorders>
          </w:tcPr>
          <w:p w14:paraId="104ADC12" w14:textId="77777777" w:rsidR="00FB0964" w:rsidRDefault="00FB0964" w:rsidP="00FB2141">
            <w:pPr>
              <w:pStyle w:val="TableText"/>
            </w:pPr>
            <w:r>
              <w:t>-38 (NR); p&lt;0.01</w:t>
            </w:r>
          </w:p>
        </w:tc>
      </w:tr>
      <w:tr w:rsidR="00FB0964" w14:paraId="331271EF" w14:textId="77777777" w:rsidTr="00FB2141">
        <w:trPr>
          <w:trHeight w:val="154"/>
        </w:trPr>
        <w:tc>
          <w:tcPr>
            <w:tcW w:w="1065" w:type="dxa"/>
            <w:vMerge/>
          </w:tcPr>
          <w:p w14:paraId="6DF3557E" w14:textId="77777777" w:rsidR="00FB0964" w:rsidRDefault="00FB0964" w:rsidP="00FB2141">
            <w:pPr>
              <w:pStyle w:val="TableText"/>
            </w:pPr>
          </w:p>
        </w:tc>
        <w:tc>
          <w:tcPr>
            <w:tcW w:w="2191" w:type="dxa"/>
            <w:vMerge/>
          </w:tcPr>
          <w:p w14:paraId="2B23C12E" w14:textId="77777777" w:rsidR="00FB0964" w:rsidRDefault="00FB0964" w:rsidP="00FB2141">
            <w:pPr>
              <w:pStyle w:val="TableText"/>
            </w:pPr>
          </w:p>
        </w:tc>
        <w:tc>
          <w:tcPr>
            <w:tcW w:w="4957" w:type="dxa"/>
            <w:gridSpan w:val="3"/>
            <w:vMerge/>
          </w:tcPr>
          <w:p w14:paraId="15B6C5AC" w14:textId="77777777" w:rsidR="00FB0964" w:rsidRDefault="00FB0964" w:rsidP="00FB2141">
            <w:pPr>
              <w:pStyle w:val="TableText"/>
            </w:pPr>
          </w:p>
        </w:tc>
        <w:tc>
          <w:tcPr>
            <w:tcW w:w="1700" w:type="dxa"/>
            <w:tcBorders>
              <w:top w:val="dotted" w:sz="4" w:space="0" w:color="auto"/>
            </w:tcBorders>
          </w:tcPr>
          <w:p w14:paraId="1FCA27A9" w14:textId="77777777" w:rsidR="00FB0964" w:rsidRDefault="00FB0964" w:rsidP="00FB2141">
            <w:pPr>
              <w:pStyle w:val="TableText"/>
            </w:pPr>
            <w:r>
              <w:t>Sainio 2022 (N=18)</w:t>
            </w:r>
          </w:p>
        </w:tc>
        <w:tc>
          <w:tcPr>
            <w:tcW w:w="1248" w:type="dxa"/>
            <w:tcBorders>
              <w:top w:val="dotted" w:sz="4" w:space="0" w:color="auto"/>
            </w:tcBorders>
          </w:tcPr>
          <w:p w14:paraId="29603F82" w14:textId="77777777" w:rsidR="00FB0964" w:rsidRDefault="00FB0964" w:rsidP="00FB2141">
            <w:pPr>
              <w:pStyle w:val="TableText"/>
            </w:pPr>
            <w:r>
              <w:t>70.3 (range: 30, 95)</w:t>
            </w:r>
          </w:p>
        </w:tc>
        <w:tc>
          <w:tcPr>
            <w:tcW w:w="1652" w:type="dxa"/>
            <w:tcBorders>
              <w:top w:val="dotted" w:sz="4" w:space="0" w:color="auto"/>
            </w:tcBorders>
          </w:tcPr>
          <w:p w14:paraId="6C713225" w14:textId="77777777" w:rsidR="00FB0964" w:rsidRDefault="00FB0964" w:rsidP="00FB2141">
            <w:pPr>
              <w:pStyle w:val="TableText"/>
            </w:pPr>
            <w:r>
              <w:t>42.5 (range: 5, 100)</w:t>
            </w:r>
          </w:p>
        </w:tc>
        <w:tc>
          <w:tcPr>
            <w:tcW w:w="1647" w:type="dxa"/>
            <w:tcBorders>
              <w:top w:val="dotted" w:sz="4" w:space="0" w:color="auto"/>
            </w:tcBorders>
          </w:tcPr>
          <w:p w14:paraId="4D9DA010" w14:textId="77777777" w:rsidR="00FB0964" w:rsidRPr="00642186" w:rsidRDefault="00FB0964" w:rsidP="00FB2141">
            <w:pPr>
              <w:pStyle w:val="TableText"/>
            </w:pPr>
            <w:r w:rsidRPr="00642186">
              <w:t>-27.8 (NR)</w:t>
            </w:r>
          </w:p>
        </w:tc>
      </w:tr>
      <w:tr w:rsidR="00FB0964" w14:paraId="2BE31530" w14:textId="77777777" w:rsidTr="00FB2141">
        <w:trPr>
          <w:trHeight w:val="154"/>
        </w:trPr>
        <w:tc>
          <w:tcPr>
            <w:tcW w:w="1065" w:type="dxa"/>
            <w:vMerge/>
            <w:tcBorders>
              <w:bottom w:val="single" w:sz="18" w:space="0" w:color="auto"/>
            </w:tcBorders>
          </w:tcPr>
          <w:p w14:paraId="65A9BBC8" w14:textId="77777777" w:rsidR="00FB0964" w:rsidRDefault="00FB0964" w:rsidP="00FB2141">
            <w:pPr>
              <w:pStyle w:val="TableText"/>
            </w:pPr>
          </w:p>
        </w:tc>
        <w:tc>
          <w:tcPr>
            <w:tcW w:w="2191" w:type="dxa"/>
            <w:vMerge/>
            <w:tcBorders>
              <w:bottom w:val="single" w:sz="18" w:space="0" w:color="auto"/>
            </w:tcBorders>
          </w:tcPr>
          <w:p w14:paraId="3B95DF51" w14:textId="77777777" w:rsidR="00FB0964" w:rsidRDefault="00FB0964" w:rsidP="00FB2141">
            <w:pPr>
              <w:pStyle w:val="TableText"/>
            </w:pPr>
          </w:p>
        </w:tc>
        <w:tc>
          <w:tcPr>
            <w:tcW w:w="4957" w:type="dxa"/>
            <w:gridSpan w:val="3"/>
            <w:vMerge/>
          </w:tcPr>
          <w:p w14:paraId="7FA50355" w14:textId="77777777" w:rsidR="00FB0964" w:rsidRDefault="00FB0964" w:rsidP="00FB2141">
            <w:pPr>
              <w:pStyle w:val="TableText"/>
            </w:pPr>
          </w:p>
        </w:tc>
        <w:tc>
          <w:tcPr>
            <w:tcW w:w="1700" w:type="dxa"/>
            <w:tcBorders>
              <w:bottom w:val="single" w:sz="18" w:space="0" w:color="auto"/>
            </w:tcBorders>
          </w:tcPr>
          <w:p w14:paraId="787DDD12" w14:textId="77777777" w:rsidR="00FB0964" w:rsidRDefault="00FB0964" w:rsidP="00FB2141">
            <w:pPr>
              <w:pStyle w:val="TableText"/>
            </w:pPr>
            <w:r>
              <w:t>MA</w:t>
            </w:r>
          </w:p>
        </w:tc>
        <w:tc>
          <w:tcPr>
            <w:tcW w:w="4547" w:type="dxa"/>
            <w:gridSpan w:val="3"/>
            <w:tcBorders>
              <w:bottom w:val="single" w:sz="18" w:space="0" w:color="auto"/>
            </w:tcBorders>
          </w:tcPr>
          <w:p w14:paraId="0F96EBDC" w14:textId="77777777" w:rsidR="00FB0964" w:rsidRPr="000A4CCC" w:rsidRDefault="00FB0964" w:rsidP="00FB2141">
            <w:pPr>
              <w:pStyle w:val="TableText"/>
              <w:jc w:val="right"/>
              <w:rPr>
                <w:b/>
                <w:bCs/>
              </w:rPr>
            </w:pPr>
            <w:r w:rsidRPr="000A4CCC">
              <w:rPr>
                <w:b/>
                <w:bCs/>
              </w:rPr>
              <w:t>-</w:t>
            </w:r>
            <w:r>
              <w:rPr>
                <w:b/>
                <w:bCs/>
              </w:rPr>
              <w:t xml:space="preserve">38.58 </w:t>
            </w:r>
            <w:r w:rsidRPr="000A4CCC">
              <w:rPr>
                <w:b/>
                <w:bCs/>
              </w:rPr>
              <w:t>(-</w:t>
            </w:r>
            <w:r>
              <w:rPr>
                <w:b/>
                <w:bCs/>
              </w:rPr>
              <w:t>49.48</w:t>
            </w:r>
            <w:r w:rsidRPr="000A4CCC">
              <w:rPr>
                <w:b/>
                <w:bCs/>
              </w:rPr>
              <w:t>, -</w:t>
            </w:r>
            <w:r>
              <w:rPr>
                <w:b/>
                <w:bCs/>
              </w:rPr>
              <w:t>27.68</w:t>
            </w:r>
            <w:r w:rsidRPr="000A4CCC">
              <w:rPr>
                <w:b/>
                <w:bCs/>
              </w:rPr>
              <w:t>)</w:t>
            </w:r>
            <w:r>
              <w:rPr>
                <w:b/>
                <w:bCs/>
              </w:rPr>
              <w:t>, I</w:t>
            </w:r>
            <w:r>
              <w:rPr>
                <w:b/>
                <w:bCs/>
                <w:vertAlign w:val="superscript"/>
              </w:rPr>
              <w:t>2</w:t>
            </w:r>
            <w:r>
              <w:rPr>
                <w:b/>
                <w:bCs/>
              </w:rPr>
              <w:t>=67%, p=0.08</w:t>
            </w:r>
          </w:p>
        </w:tc>
      </w:tr>
      <w:tr w:rsidR="00FB0964" w:rsidRPr="00BB1E80" w14:paraId="065FC1C3" w14:textId="77777777" w:rsidTr="00FB2141">
        <w:trPr>
          <w:trHeight w:val="159"/>
        </w:trPr>
        <w:tc>
          <w:tcPr>
            <w:tcW w:w="1065" w:type="dxa"/>
            <w:vMerge w:val="restart"/>
            <w:tcBorders>
              <w:top w:val="single" w:sz="18" w:space="0" w:color="auto"/>
            </w:tcBorders>
          </w:tcPr>
          <w:p w14:paraId="41B0AA1B" w14:textId="77777777" w:rsidR="00FB0964" w:rsidRPr="00BB1E80" w:rsidRDefault="00FB0964" w:rsidP="00FB2141">
            <w:pPr>
              <w:pStyle w:val="TableText"/>
            </w:pPr>
            <w:r w:rsidRPr="00BB1E80">
              <w:t>18</w:t>
            </w:r>
          </w:p>
        </w:tc>
        <w:tc>
          <w:tcPr>
            <w:tcW w:w="2191" w:type="dxa"/>
            <w:tcBorders>
              <w:top w:val="single" w:sz="18" w:space="0" w:color="auto"/>
              <w:bottom w:val="dotted" w:sz="4" w:space="0" w:color="auto"/>
            </w:tcBorders>
          </w:tcPr>
          <w:p w14:paraId="317A9537" w14:textId="77777777" w:rsidR="00FB0964" w:rsidRPr="00BB1E80" w:rsidRDefault="00FB0964" w:rsidP="00FB2141">
            <w:pPr>
              <w:pStyle w:val="TableText"/>
            </w:pPr>
            <w:r w:rsidRPr="00BB1E80">
              <w:t>LATERA-RCT (N=48)</w:t>
            </w:r>
          </w:p>
        </w:tc>
        <w:tc>
          <w:tcPr>
            <w:tcW w:w="1651" w:type="dxa"/>
            <w:tcBorders>
              <w:top w:val="single" w:sz="18" w:space="0" w:color="auto"/>
              <w:bottom w:val="dotted" w:sz="4" w:space="0" w:color="auto"/>
            </w:tcBorders>
          </w:tcPr>
          <w:p w14:paraId="46BB3CCA" w14:textId="77777777" w:rsidR="00FB0964" w:rsidRPr="00BB1E80" w:rsidRDefault="00FB0964" w:rsidP="00FB2141">
            <w:pPr>
              <w:pStyle w:val="TableText"/>
            </w:pPr>
            <w:r w:rsidRPr="00BB1E80">
              <w:t>78.4 (12.1)</w:t>
            </w:r>
          </w:p>
        </w:tc>
        <w:tc>
          <w:tcPr>
            <w:tcW w:w="1653" w:type="dxa"/>
            <w:tcBorders>
              <w:top w:val="single" w:sz="18" w:space="0" w:color="auto"/>
              <w:bottom w:val="dotted" w:sz="4" w:space="0" w:color="auto"/>
            </w:tcBorders>
          </w:tcPr>
          <w:p w14:paraId="1817FB1C" w14:textId="77777777" w:rsidR="00FB0964" w:rsidRPr="00BB1E80" w:rsidRDefault="00FB0964" w:rsidP="00FB2141">
            <w:pPr>
              <w:pStyle w:val="TableText"/>
            </w:pPr>
            <w:r w:rsidRPr="00BB1E80">
              <w:t>31.8 (21.7)</w:t>
            </w:r>
          </w:p>
        </w:tc>
        <w:tc>
          <w:tcPr>
            <w:tcW w:w="1653" w:type="dxa"/>
            <w:tcBorders>
              <w:top w:val="single" w:sz="18" w:space="0" w:color="auto"/>
              <w:bottom w:val="dotted" w:sz="4" w:space="0" w:color="auto"/>
            </w:tcBorders>
          </w:tcPr>
          <w:p w14:paraId="6B091FF6" w14:textId="77777777" w:rsidR="00FB0964" w:rsidRPr="00BB1E80" w:rsidRDefault="00FB0964" w:rsidP="00FB2141">
            <w:pPr>
              <w:pStyle w:val="TableText"/>
            </w:pPr>
            <w:r w:rsidRPr="00BB1E80">
              <w:t>-46.7 (24.6)</w:t>
            </w:r>
          </w:p>
        </w:tc>
        <w:tc>
          <w:tcPr>
            <w:tcW w:w="1700" w:type="dxa"/>
            <w:vMerge w:val="restart"/>
            <w:tcBorders>
              <w:top w:val="single" w:sz="18" w:space="0" w:color="auto"/>
            </w:tcBorders>
          </w:tcPr>
          <w:p w14:paraId="581C0272" w14:textId="77777777" w:rsidR="00FB0964" w:rsidRPr="00BB1E80" w:rsidRDefault="00FB0964" w:rsidP="00FB2141">
            <w:pPr>
              <w:pStyle w:val="TableText"/>
            </w:pPr>
            <w:r w:rsidRPr="00BB1E80">
              <w:t>NR</w:t>
            </w:r>
          </w:p>
        </w:tc>
        <w:tc>
          <w:tcPr>
            <w:tcW w:w="1248" w:type="dxa"/>
            <w:vMerge w:val="restart"/>
            <w:tcBorders>
              <w:top w:val="single" w:sz="18" w:space="0" w:color="auto"/>
            </w:tcBorders>
          </w:tcPr>
          <w:p w14:paraId="4596C6C6" w14:textId="77777777" w:rsidR="00FB0964" w:rsidRPr="00BB1E80" w:rsidRDefault="00FB0964" w:rsidP="00FB2141">
            <w:pPr>
              <w:pStyle w:val="TableText"/>
            </w:pPr>
            <w:r w:rsidRPr="00BB1E80">
              <w:t>NR</w:t>
            </w:r>
          </w:p>
        </w:tc>
        <w:tc>
          <w:tcPr>
            <w:tcW w:w="1652" w:type="dxa"/>
            <w:vMerge w:val="restart"/>
            <w:tcBorders>
              <w:top w:val="single" w:sz="18" w:space="0" w:color="auto"/>
            </w:tcBorders>
          </w:tcPr>
          <w:p w14:paraId="44548155" w14:textId="77777777" w:rsidR="00FB0964" w:rsidRPr="00BB1E80" w:rsidRDefault="00FB0964" w:rsidP="00FB2141">
            <w:pPr>
              <w:pStyle w:val="TableText"/>
            </w:pPr>
            <w:r w:rsidRPr="00BB1E80">
              <w:t>NR</w:t>
            </w:r>
          </w:p>
        </w:tc>
        <w:tc>
          <w:tcPr>
            <w:tcW w:w="1647" w:type="dxa"/>
            <w:vMerge w:val="restart"/>
            <w:tcBorders>
              <w:top w:val="single" w:sz="18" w:space="0" w:color="auto"/>
            </w:tcBorders>
          </w:tcPr>
          <w:p w14:paraId="78F266D4" w14:textId="77777777" w:rsidR="00FB0964" w:rsidRPr="00BB1E80" w:rsidRDefault="00FB0964" w:rsidP="00FB2141">
            <w:pPr>
              <w:pStyle w:val="TableText"/>
            </w:pPr>
            <w:r w:rsidRPr="00BB1E80">
              <w:t>NR</w:t>
            </w:r>
          </w:p>
        </w:tc>
      </w:tr>
      <w:tr w:rsidR="00FB0964" w:rsidRPr="00BB1E80" w14:paraId="7AAAAB52" w14:textId="77777777" w:rsidTr="00FB2141">
        <w:trPr>
          <w:trHeight w:val="159"/>
        </w:trPr>
        <w:tc>
          <w:tcPr>
            <w:tcW w:w="1065" w:type="dxa"/>
            <w:vMerge/>
          </w:tcPr>
          <w:p w14:paraId="22991B4D" w14:textId="77777777" w:rsidR="00FB0964" w:rsidRPr="00BB1E80" w:rsidRDefault="00FB0964" w:rsidP="00FB2141">
            <w:pPr>
              <w:pStyle w:val="TableText"/>
            </w:pPr>
          </w:p>
        </w:tc>
        <w:tc>
          <w:tcPr>
            <w:tcW w:w="2191" w:type="dxa"/>
            <w:tcBorders>
              <w:top w:val="dotted" w:sz="4" w:space="0" w:color="auto"/>
              <w:bottom w:val="dotted" w:sz="4" w:space="0" w:color="auto"/>
            </w:tcBorders>
          </w:tcPr>
          <w:p w14:paraId="66B91B0F" w14:textId="77777777" w:rsidR="00FB0964" w:rsidRPr="00BB1E80" w:rsidRDefault="00FB0964" w:rsidP="00FB2141">
            <w:pPr>
              <w:pStyle w:val="TableText"/>
            </w:pPr>
            <w:r w:rsidRPr="00BB1E80">
              <w:t>LATERA-OFFICE (N=69)</w:t>
            </w:r>
          </w:p>
        </w:tc>
        <w:tc>
          <w:tcPr>
            <w:tcW w:w="1651" w:type="dxa"/>
            <w:tcBorders>
              <w:top w:val="dotted" w:sz="4" w:space="0" w:color="auto"/>
              <w:bottom w:val="dotted" w:sz="4" w:space="0" w:color="auto"/>
            </w:tcBorders>
          </w:tcPr>
          <w:p w14:paraId="664FF03B" w14:textId="77777777" w:rsidR="00FB0964" w:rsidRPr="00BB1E80" w:rsidRDefault="00FB0964" w:rsidP="00FB2141">
            <w:pPr>
              <w:pStyle w:val="TableText"/>
            </w:pPr>
            <w:r w:rsidRPr="00BB1E80">
              <w:t xml:space="preserve">77.8 (13.5) </w:t>
            </w:r>
            <w:r w:rsidRPr="00BB1E80">
              <w:rPr>
                <w:vertAlign w:val="superscript"/>
              </w:rPr>
              <w:t>b</w:t>
            </w:r>
          </w:p>
        </w:tc>
        <w:tc>
          <w:tcPr>
            <w:tcW w:w="1653" w:type="dxa"/>
            <w:tcBorders>
              <w:top w:val="dotted" w:sz="4" w:space="0" w:color="auto"/>
              <w:bottom w:val="dotted" w:sz="4" w:space="0" w:color="auto"/>
            </w:tcBorders>
          </w:tcPr>
          <w:p w14:paraId="23BFE2D9" w14:textId="77777777" w:rsidR="00FB0964" w:rsidRPr="00BB1E80" w:rsidRDefault="00FB0964" w:rsidP="00FB2141">
            <w:pPr>
              <w:pStyle w:val="TableText"/>
            </w:pPr>
            <w:r w:rsidRPr="00BB1E80">
              <w:t xml:space="preserve">30.6 (NR) </w:t>
            </w:r>
            <w:r w:rsidRPr="00BB1E80">
              <w:rPr>
                <w:vertAlign w:val="superscript"/>
              </w:rPr>
              <w:t>c</w:t>
            </w:r>
          </w:p>
        </w:tc>
        <w:tc>
          <w:tcPr>
            <w:tcW w:w="1653" w:type="dxa"/>
            <w:tcBorders>
              <w:top w:val="dotted" w:sz="4" w:space="0" w:color="auto"/>
              <w:bottom w:val="dotted" w:sz="4" w:space="0" w:color="auto"/>
            </w:tcBorders>
          </w:tcPr>
          <w:p w14:paraId="136E6964" w14:textId="77777777" w:rsidR="00FB0964" w:rsidRPr="00BB1E80" w:rsidRDefault="00FB0964" w:rsidP="00FB2141">
            <w:pPr>
              <w:pStyle w:val="TableText"/>
            </w:pPr>
            <w:r w:rsidRPr="00BB1E80">
              <w:t>-47.2 (24.6)</w:t>
            </w:r>
          </w:p>
        </w:tc>
        <w:tc>
          <w:tcPr>
            <w:tcW w:w="1700" w:type="dxa"/>
            <w:vMerge/>
          </w:tcPr>
          <w:p w14:paraId="0DCDCA8B" w14:textId="77777777" w:rsidR="00FB0964" w:rsidRPr="00BB1E80" w:rsidRDefault="00FB0964" w:rsidP="00FB2141">
            <w:pPr>
              <w:pStyle w:val="TableText"/>
            </w:pPr>
          </w:p>
        </w:tc>
        <w:tc>
          <w:tcPr>
            <w:tcW w:w="1248" w:type="dxa"/>
            <w:vMerge/>
          </w:tcPr>
          <w:p w14:paraId="2ADFE63A" w14:textId="77777777" w:rsidR="00FB0964" w:rsidRPr="00BB1E80" w:rsidRDefault="00FB0964" w:rsidP="00FB2141">
            <w:pPr>
              <w:pStyle w:val="TableText"/>
            </w:pPr>
          </w:p>
        </w:tc>
        <w:tc>
          <w:tcPr>
            <w:tcW w:w="1652" w:type="dxa"/>
            <w:vMerge/>
          </w:tcPr>
          <w:p w14:paraId="6A900D98" w14:textId="77777777" w:rsidR="00FB0964" w:rsidRPr="00BB1E80" w:rsidRDefault="00FB0964" w:rsidP="00FB2141">
            <w:pPr>
              <w:pStyle w:val="TableText"/>
            </w:pPr>
          </w:p>
        </w:tc>
        <w:tc>
          <w:tcPr>
            <w:tcW w:w="1647" w:type="dxa"/>
            <w:vMerge/>
          </w:tcPr>
          <w:p w14:paraId="336667D8" w14:textId="77777777" w:rsidR="00FB0964" w:rsidRPr="00BB1E80" w:rsidRDefault="00FB0964" w:rsidP="00FB2141">
            <w:pPr>
              <w:pStyle w:val="TableText"/>
            </w:pPr>
          </w:p>
        </w:tc>
      </w:tr>
      <w:tr w:rsidR="00FB0964" w14:paraId="018695BB" w14:textId="77777777" w:rsidTr="00FB2141">
        <w:trPr>
          <w:trHeight w:val="159"/>
        </w:trPr>
        <w:tc>
          <w:tcPr>
            <w:tcW w:w="1065" w:type="dxa"/>
            <w:vMerge/>
          </w:tcPr>
          <w:p w14:paraId="007B718A" w14:textId="77777777" w:rsidR="00FB0964" w:rsidRDefault="00FB0964" w:rsidP="00FB2141">
            <w:pPr>
              <w:pStyle w:val="TableText"/>
            </w:pPr>
          </w:p>
        </w:tc>
        <w:tc>
          <w:tcPr>
            <w:tcW w:w="2191" w:type="dxa"/>
            <w:tcBorders>
              <w:top w:val="dotted" w:sz="4" w:space="0" w:color="auto"/>
              <w:bottom w:val="single" w:sz="4" w:space="0" w:color="auto"/>
            </w:tcBorders>
          </w:tcPr>
          <w:p w14:paraId="1ABF5B48" w14:textId="77777777" w:rsidR="00FB0964" w:rsidRDefault="00FB0964" w:rsidP="00FB2141">
            <w:pPr>
              <w:pStyle w:val="TableText"/>
            </w:pPr>
            <w:r>
              <w:t>Trial 4350-001 (N=26)</w:t>
            </w:r>
          </w:p>
        </w:tc>
        <w:tc>
          <w:tcPr>
            <w:tcW w:w="1651" w:type="dxa"/>
            <w:tcBorders>
              <w:top w:val="dotted" w:sz="4" w:space="0" w:color="auto"/>
              <w:bottom w:val="dotted" w:sz="4" w:space="0" w:color="auto"/>
            </w:tcBorders>
          </w:tcPr>
          <w:p w14:paraId="3A1D89B6" w14:textId="77777777" w:rsidR="00FB0964" w:rsidRDefault="00FB0964" w:rsidP="00FB2141">
            <w:pPr>
              <w:pStyle w:val="TableText"/>
            </w:pPr>
            <w:r>
              <w:t xml:space="preserve">76.7 (14.8) </w:t>
            </w:r>
            <w:r w:rsidRPr="00D36E20">
              <w:rPr>
                <w:vertAlign w:val="superscript"/>
              </w:rPr>
              <w:t>b</w:t>
            </w:r>
          </w:p>
        </w:tc>
        <w:tc>
          <w:tcPr>
            <w:tcW w:w="1653" w:type="dxa"/>
            <w:tcBorders>
              <w:top w:val="dotted" w:sz="4" w:space="0" w:color="auto"/>
            </w:tcBorders>
          </w:tcPr>
          <w:p w14:paraId="1A38E512" w14:textId="77777777" w:rsidR="00FB0964" w:rsidRDefault="00FB0964" w:rsidP="00FB2141">
            <w:pPr>
              <w:pStyle w:val="TableText"/>
            </w:pPr>
            <w:r>
              <w:t xml:space="preserve">35.5 (NR) </w:t>
            </w:r>
            <w:r w:rsidRPr="00B16CE2">
              <w:rPr>
                <w:vertAlign w:val="superscript"/>
              </w:rPr>
              <w:t>c</w:t>
            </w:r>
            <w:r>
              <w:rPr>
                <w:vertAlign w:val="superscript"/>
              </w:rPr>
              <w:t xml:space="preserve"> </w:t>
            </w:r>
          </w:p>
        </w:tc>
        <w:tc>
          <w:tcPr>
            <w:tcW w:w="1653" w:type="dxa"/>
            <w:tcBorders>
              <w:top w:val="dotted" w:sz="4" w:space="0" w:color="auto"/>
            </w:tcBorders>
          </w:tcPr>
          <w:p w14:paraId="13B8AC86" w14:textId="77777777" w:rsidR="00FB0964" w:rsidRPr="002274CF" w:rsidRDefault="00FB0964" w:rsidP="00FB2141">
            <w:pPr>
              <w:pStyle w:val="TableText"/>
            </w:pPr>
            <w:r>
              <w:t>-</w:t>
            </w:r>
            <w:r w:rsidRPr="00390594">
              <w:t>41.2 (32.8)</w:t>
            </w:r>
          </w:p>
        </w:tc>
        <w:tc>
          <w:tcPr>
            <w:tcW w:w="1700" w:type="dxa"/>
            <w:vMerge/>
          </w:tcPr>
          <w:p w14:paraId="2EBF4103" w14:textId="77777777" w:rsidR="00FB0964" w:rsidRDefault="00FB0964" w:rsidP="00FB2141">
            <w:pPr>
              <w:pStyle w:val="TableText"/>
            </w:pPr>
          </w:p>
        </w:tc>
        <w:tc>
          <w:tcPr>
            <w:tcW w:w="1248" w:type="dxa"/>
            <w:vMerge/>
          </w:tcPr>
          <w:p w14:paraId="7A2DC9A2" w14:textId="77777777" w:rsidR="00FB0964" w:rsidRDefault="00FB0964" w:rsidP="00FB2141">
            <w:pPr>
              <w:pStyle w:val="TableText"/>
            </w:pPr>
          </w:p>
        </w:tc>
        <w:tc>
          <w:tcPr>
            <w:tcW w:w="1652" w:type="dxa"/>
            <w:vMerge/>
          </w:tcPr>
          <w:p w14:paraId="499D38DF" w14:textId="77777777" w:rsidR="00FB0964" w:rsidRDefault="00FB0964" w:rsidP="00FB2141">
            <w:pPr>
              <w:pStyle w:val="TableText"/>
            </w:pPr>
          </w:p>
        </w:tc>
        <w:tc>
          <w:tcPr>
            <w:tcW w:w="1647" w:type="dxa"/>
            <w:vMerge/>
          </w:tcPr>
          <w:p w14:paraId="2F9BA7F1" w14:textId="77777777" w:rsidR="00FB0964" w:rsidRDefault="00FB0964" w:rsidP="00FB2141">
            <w:pPr>
              <w:pStyle w:val="TableText"/>
            </w:pPr>
          </w:p>
        </w:tc>
      </w:tr>
      <w:tr w:rsidR="00FB0964" w14:paraId="64CD1B61" w14:textId="77777777" w:rsidTr="00FB2141">
        <w:trPr>
          <w:trHeight w:val="159"/>
        </w:trPr>
        <w:tc>
          <w:tcPr>
            <w:tcW w:w="1065" w:type="dxa"/>
            <w:vMerge/>
            <w:tcBorders>
              <w:bottom w:val="single" w:sz="18" w:space="0" w:color="auto"/>
            </w:tcBorders>
          </w:tcPr>
          <w:p w14:paraId="232ADDDC" w14:textId="77777777" w:rsidR="00FB0964" w:rsidRDefault="00FB0964" w:rsidP="00FB2141">
            <w:pPr>
              <w:pStyle w:val="TableText"/>
            </w:pPr>
          </w:p>
        </w:tc>
        <w:tc>
          <w:tcPr>
            <w:tcW w:w="2191" w:type="dxa"/>
            <w:tcBorders>
              <w:top w:val="single" w:sz="4" w:space="0" w:color="auto"/>
              <w:bottom w:val="single" w:sz="18" w:space="0" w:color="auto"/>
            </w:tcBorders>
          </w:tcPr>
          <w:p w14:paraId="3E8DF9DE" w14:textId="77777777" w:rsidR="00FB0964" w:rsidRDefault="00FB0964" w:rsidP="00FB2141">
            <w:pPr>
              <w:pStyle w:val="TableText"/>
            </w:pPr>
            <w:r>
              <w:t>MA (95% CI)</w:t>
            </w:r>
          </w:p>
        </w:tc>
        <w:tc>
          <w:tcPr>
            <w:tcW w:w="4957" w:type="dxa"/>
            <w:gridSpan w:val="3"/>
            <w:tcBorders>
              <w:bottom w:val="single" w:sz="18" w:space="0" w:color="auto"/>
            </w:tcBorders>
          </w:tcPr>
          <w:p w14:paraId="67B7A0C9" w14:textId="77777777" w:rsidR="00FB0964" w:rsidRPr="000A4CCC" w:rsidRDefault="00FB0964" w:rsidP="00FB2141">
            <w:pPr>
              <w:pStyle w:val="TableText"/>
              <w:jc w:val="right"/>
              <w:rPr>
                <w:b/>
                <w:bCs/>
              </w:rPr>
            </w:pPr>
            <w:r w:rsidRPr="00BB1E80">
              <w:rPr>
                <w:b/>
                <w:bCs/>
              </w:rPr>
              <w:t>-46.35 (-50.55, -42.15), I</w:t>
            </w:r>
            <w:r w:rsidRPr="00BB1E80">
              <w:rPr>
                <w:b/>
                <w:bCs/>
                <w:vertAlign w:val="superscript"/>
              </w:rPr>
              <w:t>2</w:t>
            </w:r>
            <w:r w:rsidRPr="00BB1E80">
              <w:rPr>
                <w:b/>
                <w:bCs/>
              </w:rPr>
              <w:t>=0%, p=0.69</w:t>
            </w:r>
          </w:p>
        </w:tc>
        <w:tc>
          <w:tcPr>
            <w:tcW w:w="1700" w:type="dxa"/>
            <w:vMerge/>
            <w:tcBorders>
              <w:bottom w:val="single" w:sz="18" w:space="0" w:color="auto"/>
            </w:tcBorders>
          </w:tcPr>
          <w:p w14:paraId="0AA02D2B" w14:textId="77777777" w:rsidR="00FB0964" w:rsidRDefault="00FB0964" w:rsidP="00FB2141">
            <w:pPr>
              <w:pStyle w:val="TableText"/>
            </w:pPr>
          </w:p>
        </w:tc>
        <w:tc>
          <w:tcPr>
            <w:tcW w:w="1248" w:type="dxa"/>
            <w:vMerge/>
            <w:tcBorders>
              <w:bottom w:val="single" w:sz="18" w:space="0" w:color="auto"/>
            </w:tcBorders>
          </w:tcPr>
          <w:p w14:paraId="3DF17E8C" w14:textId="77777777" w:rsidR="00FB0964" w:rsidRDefault="00FB0964" w:rsidP="00FB2141">
            <w:pPr>
              <w:pStyle w:val="TableText"/>
            </w:pPr>
          </w:p>
        </w:tc>
        <w:tc>
          <w:tcPr>
            <w:tcW w:w="1652" w:type="dxa"/>
            <w:vMerge/>
            <w:tcBorders>
              <w:bottom w:val="single" w:sz="18" w:space="0" w:color="auto"/>
            </w:tcBorders>
          </w:tcPr>
          <w:p w14:paraId="749095FA" w14:textId="77777777" w:rsidR="00FB0964" w:rsidRDefault="00FB0964" w:rsidP="00FB2141">
            <w:pPr>
              <w:pStyle w:val="TableText"/>
            </w:pPr>
          </w:p>
        </w:tc>
        <w:tc>
          <w:tcPr>
            <w:tcW w:w="1647" w:type="dxa"/>
            <w:vMerge/>
            <w:tcBorders>
              <w:bottom w:val="single" w:sz="18" w:space="0" w:color="auto"/>
            </w:tcBorders>
          </w:tcPr>
          <w:p w14:paraId="69D67ED8" w14:textId="77777777" w:rsidR="00FB0964" w:rsidRDefault="00FB0964" w:rsidP="00FB2141">
            <w:pPr>
              <w:pStyle w:val="TableText"/>
            </w:pPr>
          </w:p>
        </w:tc>
      </w:tr>
      <w:tr w:rsidR="00FB0964" w:rsidRPr="00BB1E80" w14:paraId="2BDA5C7E" w14:textId="77777777" w:rsidTr="00FB2141">
        <w:trPr>
          <w:trHeight w:val="159"/>
        </w:trPr>
        <w:tc>
          <w:tcPr>
            <w:tcW w:w="1065" w:type="dxa"/>
            <w:vMerge w:val="restart"/>
            <w:tcBorders>
              <w:top w:val="single" w:sz="18" w:space="0" w:color="auto"/>
            </w:tcBorders>
          </w:tcPr>
          <w:p w14:paraId="2BA03C32" w14:textId="77777777" w:rsidR="00FB0964" w:rsidRPr="00BB1E80" w:rsidRDefault="00FB0964" w:rsidP="00FB2141">
            <w:pPr>
              <w:pStyle w:val="TableText"/>
            </w:pPr>
            <w:r w:rsidRPr="00BB1E80">
              <w:t>24</w:t>
            </w:r>
          </w:p>
        </w:tc>
        <w:tc>
          <w:tcPr>
            <w:tcW w:w="2191" w:type="dxa"/>
            <w:tcBorders>
              <w:top w:val="single" w:sz="18" w:space="0" w:color="auto"/>
              <w:bottom w:val="dotted" w:sz="4" w:space="0" w:color="auto"/>
            </w:tcBorders>
          </w:tcPr>
          <w:p w14:paraId="3D32097B" w14:textId="07022A6F" w:rsidR="00FB0964" w:rsidRPr="00BB1E80" w:rsidRDefault="00FB0964" w:rsidP="00FB2141">
            <w:pPr>
              <w:pStyle w:val="TableText"/>
            </w:pPr>
            <w:r w:rsidRPr="00BB1E80">
              <w:t>LATERA-RCT (N=43)</w:t>
            </w:r>
          </w:p>
        </w:tc>
        <w:tc>
          <w:tcPr>
            <w:tcW w:w="1651" w:type="dxa"/>
            <w:tcBorders>
              <w:top w:val="single" w:sz="18" w:space="0" w:color="auto"/>
              <w:bottom w:val="dotted" w:sz="4" w:space="0" w:color="auto"/>
            </w:tcBorders>
          </w:tcPr>
          <w:p w14:paraId="43A279D1" w14:textId="77777777" w:rsidR="00FB0964" w:rsidRPr="00BB1E80" w:rsidRDefault="00FB0964" w:rsidP="00FB2141">
            <w:pPr>
              <w:pStyle w:val="TableText"/>
            </w:pPr>
            <w:r w:rsidRPr="00BB1E80">
              <w:t>78.8 (12.1)</w:t>
            </w:r>
          </w:p>
        </w:tc>
        <w:tc>
          <w:tcPr>
            <w:tcW w:w="1653" w:type="dxa"/>
            <w:tcBorders>
              <w:top w:val="single" w:sz="18" w:space="0" w:color="auto"/>
              <w:bottom w:val="dotted" w:sz="4" w:space="0" w:color="auto"/>
            </w:tcBorders>
          </w:tcPr>
          <w:p w14:paraId="4B28215D" w14:textId="77777777" w:rsidR="00FB0964" w:rsidRPr="00BB1E80" w:rsidRDefault="00FB0964" w:rsidP="00FB2141">
            <w:pPr>
              <w:pStyle w:val="TableText"/>
            </w:pPr>
            <w:r w:rsidRPr="00BB1E80">
              <w:t>35 (25.5)</w:t>
            </w:r>
          </w:p>
        </w:tc>
        <w:tc>
          <w:tcPr>
            <w:tcW w:w="1653" w:type="dxa"/>
            <w:tcBorders>
              <w:top w:val="single" w:sz="18" w:space="0" w:color="auto"/>
              <w:bottom w:val="dotted" w:sz="4" w:space="0" w:color="auto"/>
            </w:tcBorders>
          </w:tcPr>
          <w:p w14:paraId="5D94CFD7" w14:textId="77777777" w:rsidR="00FB0964" w:rsidRPr="00BB1E80" w:rsidRDefault="00FB0964" w:rsidP="00FB2141">
            <w:pPr>
              <w:pStyle w:val="TableText"/>
            </w:pPr>
            <w:r w:rsidRPr="00BB1E80">
              <w:t>-43.8 (26.4)</w:t>
            </w:r>
          </w:p>
        </w:tc>
        <w:tc>
          <w:tcPr>
            <w:tcW w:w="1700" w:type="dxa"/>
            <w:vMerge w:val="restart"/>
            <w:tcBorders>
              <w:top w:val="single" w:sz="18" w:space="0" w:color="auto"/>
            </w:tcBorders>
          </w:tcPr>
          <w:p w14:paraId="30F649E4" w14:textId="77777777" w:rsidR="00FB0964" w:rsidRPr="00BB1E80" w:rsidRDefault="00FB0964" w:rsidP="00FB2141">
            <w:pPr>
              <w:pStyle w:val="TableText"/>
            </w:pPr>
            <w:r w:rsidRPr="00BB1E80">
              <w:t>NR</w:t>
            </w:r>
          </w:p>
        </w:tc>
        <w:tc>
          <w:tcPr>
            <w:tcW w:w="1248" w:type="dxa"/>
            <w:vMerge w:val="restart"/>
            <w:tcBorders>
              <w:top w:val="single" w:sz="18" w:space="0" w:color="auto"/>
            </w:tcBorders>
          </w:tcPr>
          <w:p w14:paraId="737D810C" w14:textId="77777777" w:rsidR="00FB0964" w:rsidRPr="00BB1E80" w:rsidRDefault="00FB0964" w:rsidP="00FB2141">
            <w:pPr>
              <w:pStyle w:val="TableText"/>
            </w:pPr>
            <w:r w:rsidRPr="00BB1E80">
              <w:t>NR</w:t>
            </w:r>
          </w:p>
        </w:tc>
        <w:tc>
          <w:tcPr>
            <w:tcW w:w="1652" w:type="dxa"/>
            <w:vMerge w:val="restart"/>
            <w:tcBorders>
              <w:top w:val="single" w:sz="18" w:space="0" w:color="auto"/>
            </w:tcBorders>
          </w:tcPr>
          <w:p w14:paraId="30CCA5AB" w14:textId="77777777" w:rsidR="00FB0964" w:rsidRPr="00BB1E80" w:rsidRDefault="00FB0964" w:rsidP="00FB2141">
            <w:pPr>
              <w:pStyle w:val="TableText"/>
            </w:pPr>
            <w:r w:rsidRPr="00BB1E80">
              <w:t>NR</w:t>
            </w:r>
          </w:p>
        </w:tc>
        <w:tc>
          <w:tcPr>
            <w:tcW w:w="1647" w:type="dxa"/>
            <w:vMerge w:val="restart"/>
            <w:tcBorders>
              <w:top w:val="single" w:sz="18" w:space="0" w:color="auto"/>
            </w:tcBorders>
          </w:tcPr>
          <w:p w14:paraId="35FC51C9" w14:textId="77777777" w:rsidR="00FB0964" w:rsidRPr="00BB1E80" w:rsidRDefault="00FB0964" w:rsidP="00FB2141">
            <w:pPr>
              <w:pStyle w:val="TableText"/>
            </w:pPr>
            <w:r w:rsidRPr="00BB1E80">
              <w:t>NR</w:t>
            </w:r>
          </w:p>
        </w:tc>
      </w:tr>
      <w:tr w:rsidR="00FB0964" w:rsidRPr="00BB1E80" w14:paraId="7435DD40" w14:textId="77777777" w:rsidTr="00FB2141">
        <w:trPr>
          <w:trHeight w:val="159"/>
        </w:trPr>
        <w:tc>
          <w:tcPr>
            <w:tcW w:w="1065" w:type="dxa"/>
            <w:vMerge/>
          </w:tcPr>
          <w:p w14:paraId="731B2AC2" w14:textId="77777777" w:rsidR="00FB0964" w:rsidRPr="00BB1E80" w:rsidRDefault="00FB0964" w:rsidP="00FB2141">
            <w:pPr>
              <w:pStyle w:val="TableText"/>
            </w:pPr>
          </w:p>
        </w:tc>
        <w:tc>
          <w:tcPr>
            <w:tcW w:w="2191" w:type="dxa"/>
            <w:tcBorders>
              <w:top w:val="dotted" w:sz="4" w:space="0" w:color="auto"/>
              <w:bottom w:val="dotted" w:sz="4" w:space="0" w:color="auto"/>
            </w:tcBorders>
          </w:tcPr>
          <w:p w14:paraId="74443E46" w14:textId="77777777" w:rsidR="00FB0964" w:rsidRPr="00BB1E80" w:rsidRDefault="00FB0964" w:rsidP="00FB2141">
            <w:pPr>
              <w:pStyle w:val="TableText"/>
            </w:pPr>
            <w:r w:rsidRPr="00BB1E80">
              <w:t>LATERA-OFFICE (N=65)</w:t>
            </w:r>
          </w:p>
        </w:tc>
        <w:tc>
          <w:tcPr>
            <w:tcW w:w="1651" w:type="dxa"/>
            <w:tcBorders>
              <w:top w:val="dotted" w:sz="4" w:space="0" w:color="auto"/>
              <w:bottom w:val="dotted" w:sz="4" w:space="0" w:color="auto"/>
            </w:tcBorders>
          </w:tcPr>
          <w:p w14:paraId="7915EF8C" w14:textId="77777777" w:rsidR="00FB0964" w:rsidRPr="00BB1E80" w:rsidRDefault="00FB0964" w:rsidP="00FB2141">
            <w:pPr>
              <w:pStyle w:val="TableText"/>
            </w:pPr>
            <w:r w:rsidRPr="00BB1E80">
              <w:t xml:space="preserve">77.8 (13.5) </w:t>
            </w:r>
            <w:r w:rsidRPr="00BB1E80">
              <w:rPr>
                <w:vertAlign w:val="superscript"/>
              </w:rPr>
              <w:t>b</w:t>
            </w:r>
          </w:p>
        </w:tc>
        <w:tc>
          <w:tcPr>
            <w:tcW w:w="1653" w:type="dxa"/>
            <w:tcBorders>
              <w:top w:val="dotted" w:sz="4" w:space="0" w:color="auto"/>
              <w:bottom w:val="dotted" w:sz="4" w:space="0" w:color="auto"/>
            </w:tcBorders>
          </w:tcPr>
          <w:p w14:paraId="5993D242" w14:textId="77777777" w:rsidR="00FB0964" w:rsidRPr="00BB1E80" w:rsidRDefault="00FB0964" w:rsidP="00FB2141">
            <w:pPr>
              <w:pStyle w:val="TableText"/>
            </w:pPr>
            <w:r w:rsidRPr="00BB1E80">
              <w:t xml:space="preserve">30.4 (NR) </w:t>
            </w:r>
            <w:r w:rsidRPr="00BB1E80">
              <w:rPr>
                <w:vertAlign w:val="superscript"/>
              </w:rPr>
              <w:t>c</w:t>
            </w:r>
          </w:p>
        </w:tc>
        <w:tc>
          <w:tcPr>
            <w:tcW w:w="1653" w:type="dxa"/>
            <w:tcBorders>
              <w:top w:val="dotted" w:sz="4" w:space="0" w:color="auto"/>
              <w:bottom w:val="dotted" w:sz="4" w:space="0" w:color="auto"/>
            </w:tcBorders>
          </w:tcPr>
          <w:p w14:paraId="16F60652" w14:textId="77777777" w:rsidR="00FB0964" w:rsidRPr="00BB1E80" w:rsidRDefault="00FB0964" w:rsidP="00FB2141">
            <w:pPr>
              <w:pStyle w:val="TableText"/>
            </w:pPr>
            <w:r w:rsidRPr="00BB1E80">
              <w:t>-47.4 (27.8)</w:t>
            </w:r>
          </w:p>
        </w:tc>
        <w:tc>
          <w:tcPr>
            <w:tcW w:w="1700" w:type="dxa"/>
            <w:vMerge/>
          </w:tcPr>
          <w:p w14:paraId="775D312E" w14:textId="77777777" w:rsidR="00FB0964" w:rsidRPr="00BB1E80" w:rsidRDefault="00FB0964" w:rsidP="00FB2141">
            <w:pPr>
              <w:pStyle w:val="TableText"/>
            </w:pPr>
          </w:p>
        </w:tc>
        <w:tc>
          <w:tcPr>
            <w:tcW w:w="1248" w:type="dxa"/>
            <w:vMerge/>
          </w:tcPr>
          <w:p w14:paraId="4D34B728" w14:textId="77777777" w:rsidR="00FB0964" w:rsidRPr="00BB1E80" w:rsidRDefault="00FB0964" w:rsidP="00FB2141">
            <w:pPr>
              <w:pStyle w:val="TableText"/>
            </w:pPr>
          </w:p>
        </w:tc>
        <w:tc>
          <w:tcPr>
            <w:tcW w:w="1652" w:type="dxa"/>
            <w:vMerge/>
          </w:tcPr>
          <w:p w14:paraId="7A6366B3" w14:textId="77777777" w:rsidR="00FB0964" w:rsidRPr="00BB1E80" w:rsidRDefault="00FB0964" w:rsidP="00FB2141">
            <w:pPr>
              <w:pStyle w:val="TableText"/>
            </w:pPr>
          </w:p>
        </w:tc>
        <w:tc>
          <w:tcPr>
            <w:tcW w:w="1647" w:type="dxa"/>
            <w:vMerge/>
          </w:tcPr>
          <w:p w14:paraId="5267D3D1" w14:textId="77777777" w:rsidR="00FB0964" w:rsidRPr="00BB1E80" w:rsidRDefault="00FB0964" w:rsidP="00FB2141">
            <w:pPr>
              <w:pStyle w:val="TableText"/>
            </w:pPr>
          </w:p>
        </w:tc>
      </w:tr>
      <w:tr w:rsidR="00FB0964" w14:paraId="7EF541AE" w14:textId="77777777" w:rsidTr="00FB2141">
        <w:trPr>
          <w:trHeight w:val="159"/>
        </w:trPr>
        <w:tc>
          <w:tcPr>
            <w:tcW w:w="1065" w:type="dxa"/>
            <w:vMerge/>
          </w:tcPr>
          <w:p w14:paraId="5175E8C5" w14:textId="77777777" w:rsidR="00FB0964" w:rsidRDefault="00FB0964" w:rsidP="00FB2141">
            <w:pPr>
              <w:pStyle w:val="TableText"/>
            </w:pPr>
          </w:p>
        </w:tc>
        <w:tc>
          <w:tcPr>
            <w:tcW w:w="2191" w:type="dxa"/>
            <w:tcBorders>
              <w:top w:val="dotted" w:sz="4" w:space="0" w:color="auto"/>
            </w:tcBorders>
          </w:tcPr>
          <w:p w14:paraId="336FA59C" w14:textId="77777777" w:rsidR="00FB0964" w:rsidRDefault="00FB0964" w:rsidP="00FB2141">
            <w:pPr>
              <w:pStyle w:val="TableText"/>
            </w:pPr>
            <w:r>
              <w:t>Trial 4350-001 (N=25)</w:t>
            </w:r>
          </w:p>
        </w:tc>
        <w:tc>
          <w:tcPr>
            <w:tcW w:w="1651" w:type="dxa"/>
            <w:tcBorders>
              <w:top w:val="dotted" w:sz="4" w:space="0" w:color="auto"/>
            </w:tcBorders>
          </w:tcPr>
          <w:p w14:paraId="5D31158E" w14:textId="77777777" w:rsidR="00FB0964" w:rsidRDefault="00FB0964" w:rsidP="00FB2141">
            <w:pPr>
              <w:pStyle w:val="TableText"/>
            </w:pPr>
            <w:r>
              <w:t xml:space="preserve">76.7 (14.8) </w:t>
            </w:r>
            <w:r w:rsidRPr="00D36E20">
              <w:rPr>
                <w:vertAlign w:val="superscript"/>
              </w:rPr>
              <w:t>b</w:t>
            </w:r>
          </w:p>
        </w:tc>
        <w:tc>
          <w:tcPr>
            <w:tcW w:w="1653" w:type="dxa"/>
            <w:tcBorders>
              <w:top w:val="dotted" w:sz="4" w:space="0" w:color="auto"/>
            </w:tcBorders>
          </w:tcPr>
          <w:p w14:paraId="3F14D828" w14:textId="77777777" w:rsidR="00FB0964" w:rsidRDefault="00FB0964" w:rsidP="00FB2141">
            <w:pPr>
              <w:pStyle w:val="TableText"/>
            </w:pPr>
            <w:r>
              <w:t xml:space="preserve">32.7 (NR) </w:t>
            </w:r>
            <w:r w:rsidRPr="00B16CE2">
              <w:rPr>
                <w:vertAlign w:val="superscript"/>
              </w:rPr>
              <w:t>c</w:t>
            </w:r>
          </w:p>
        </w:tc>
        <w:tc>
          <w:tcPr>
            <w:tcW w:w="1653" w:type="dxa"/>
            <w:tcBorders>
              <w:top w:val="dotted" w:sz="4" w:space="0" w:color="auto"/>
            </w:tcBorders>
          </w:tcPr>
          <w:p w14:paraId="1DB53BC4" w14:textId="77777777" w:rsidR="00FB0964" w:rsidRPr="002274CF" w:rsidRDefault="00FB0964" w:rsidP="00FB2141">
            <w:pPr>
              <w:pStyle w:val="TableText"/>
            </w:pPr>
            <w:r>
              <w:t>-</w:t>
            </w:r>
            <w:r w:rsidRPr="00390594">
              <w:t>44.0 (31.1)</w:t>
            </w:r>
          </w:p>
        </w:tc>
        <w:tc>
          <w:tcPr>
            <w:tcW w:w="1700" w:type="dxa"/>
            <w:vMerge/>
          </w:tcPr>
          <w:p w14:paraId="4CC2A1BF" w14:textId="77777777" w:rsidR="00FB0964" w:rsidRDefault="00FB0964" w:rsidP="00FB2141">
            <w:pPr>
              <w:pStyle w:val="TableText"/>
            </w:pPr>
          </w:p>
        </w:tc>
        <w:tc>
          <w:tcPr>
            <w:tcW w:w="1248" w:type="dxa"/>
            <w:vMerge/>
          </w:tcPr>
          <w:p w14:paraId="61C40A88" w14:textId="77777777" w:rsidR="00FB0964" w:rsidRDefault="00FB0964" w:rsidP="00FB2141">
            <w:pPr>
              <w:pStyle w:val="TableText"/>
            </w:pPr>
          </w:p>
        </w:tc>
        <w:tc>
          <w:tcPr>
            <w:tcW w:w="1652" w:type="dxa"/>
            <w:vMerge/>
          </w:tcPr>
          <w:p w14:paraId="38D4DDB2" w14:textId="77777777" w:rsidR="00FB0964" w:rsidRDefault="00FB0964" w:rsidP="00FB2141">
            <w:pPr>
              <w:pStyle w:val="TableText"/>
            </w:pPr>
          </w:p>
        </w:tc>
        <w:tc>
          <w:tcPr>
            <w:tcW w:w="1647" w:type="dxa"/>
            <w:vMerge/>
          </w:tcPr>
          <w:p w14:paraId="5949CAC8" w14:textId="77777777" w:rsidR="00FB0964" w:rsidRDefault="00FB0964" w:rsidP="00FB2141">
            <w:pPr>
              <w:pStyle w:val="TableText"/>
            </w:pPr>
          </w:p>
        </w:tc>
      </w:tr>
      <w:tr w:rsidR="00FB0964" w14:paraId="763E9B58" w14:textId="77777777" w:rsidTr="00FB2141">
        <w:trPr>
          <w:trHeight w:val="159"/>
        </w:trPr>
        <w:tc>
          <w:tcPr>
            <w:tcW w:w="1065" w:type="dxa"/>
            <w:vMerge/>
          </w:tcPr>
          <w:p w14:paraId="21E5A70D" w14:textId="77777777" w:rsidR="00FB0964" w:rsidRDefault="00FB0964" w:rsidP="00FB2141">
            <w:pPr>
              <w:pStyle w:val="TableText"/>
            </w:pPr>
          </w:p>
        </w:tc>
        <w:tc>
          <w:tcPr>
            <w:tcW w:w="2191" w:type="dxa"/>
            <w:tcBorders>
              <w:bottom w:val="single" w:sz="18" w:space="0" w:color="auto"/>
            </w:tcBorders>
          </w:tcPr>
          <w:p w14:paraId="02465480" w14:textId="77777777" w:rsidR="00FB0964" w:rsidRDefault="00FB0964" w:rsidP="00FB2141">
            <w:pPr>
              <w:pStyle w:val="TableText"/>
            </w:pPr>
            <w:r>
              <w:t>MA (95% CI)</w:t>
            </w:r>
          </w:p>
        </w:tc>
        <w:tc>
          <w:tcPr>
            <w:tcW w:w="4957" w:type="dxa"/>
            <w:gridSpan w:val="3"/>
            <w:tcBorders>
              <w:bottom w:val="single" w:sz="18" w:space="0" w:color="auto"/>
            </w:tcBorders>
          </w:tcPr>
          <w:p w14:paraId="5F245D82" w14:textId="77777777" w:rsidR="00FB0964" w:rsidRPr="000A4CCC" w:rsidRDefault="00FB0964" w:rsidP="00FB2141">
            <w:pPr>
              <w:pStyle w:val="TableText"/>
              <w:jc w:val="right"/>
              <w:rPr>
                <w:b/>
                <w:bCs/>
              </w:rPr>
            </w:pPr>
            <w:r w:rsidRPr="00BB1E80">
              <w:rPr>
                <w:b/>
                <w:bCs/>
              </w:rPr>
              <w:t>-45.59 (-50.32, -40.86), I</w:t>
            </w:r>
            <w:r w:rsidRPr="00BB1E80">
              <w:rPr>
                <w:b/>
                <w:bCs/>
                <w:vertAlign w:val="superscript"/>
              </w:rPr>
              <w:t>2</w:t>
            </w:r>
            <w:r w:rsidRPr="00BB1E80">
              <w:rPr>
                <w:b/>
                <w:bCs/>
              </w:rPr>
              <w:t>=0%, p=0.76</w:t>
            </w:r>
          </w:p>
        </w:tc>
        <w:tc>
          <w:tcPr>
            <w:tcW w:w="1700" w:type="dxa"/>
            <w:vMerge/>
            <w:tcBorders>
              <w:bottom w:val="single" w:sz="18" w:space="0" w:color="auto"/>
            </w:tcBorders>
          </w:tcPr>
          <w:p w14:paraId="1124281D" w14:textId="77777777" w:rsidR="00FB0964" w:rsidRDefault="00FB0964" w:rsidP="00FB2141">
            <w:pPr>
              <w:pStyle w:val="TableText"/>
            </w:pPr>
          </w:p>
        </w:tc>
        <w:tc>
          <w:tcPr>
            <w:tcW w:w="1248" w:type="dxa"/>
            <w:vMerge/>
            <w:tcBorders>
              <w:bottom w:val="single" w:sz="18" w:space="0" w:color="auto"/>
            </w:tcBorders>
          </w:tcPr>
          <w:p w14:paraId="33238986" w14:textId="77777777" w:rsidR="00FB0964" w:rsidRDefault="00FB0964" w:rsidP="00FB2141">
            <w:pPr>
              <w:pStyle w:val="TableText"/>
            </w:pPr>
          </w:p>
        </w:tc>
        <w:tc>
          <w:tcPr>
            <w:tcW w:w="1652" w:type="dxa"/>
            <w:vMerge/>
            <w:tcBorders>
              <w:bottom w:val="single" w:sz="18" w:space="0" w:color="auto"/>
            </w:tcBorders>
          </w:tcPr>
          <w:p w14:paraId="755F9ADD" w14:textId="77777777" w:rsidR="00FB0964" w:rsidRDefault="00FB0964" w:rsidP="00FB2141">
            <w:pPr>
              <w:pStyle w:val="TableText"/>
            </w:pPr>
          </w:p>
        </w:tc>
        <w:tc>
          <w:tcPr>
            <w:tcW w:w="1647" w:type="dxa"/>
            <w:vMerge/>
            <w:tcBorders>
              <w:bottom w:val="single" w:sz="18" w:space="0" w:color="auto"/>
            </w:tcBorders>
          </w:tcPr>
          <w:p w14:paraId="6FC51189" w14:textId="77777777" w:rsidR="00FB0964" w:rsidRDefault="00FB0964" w:rsidP="00FB2141">
            <w:pPr>
              <w:pStyle w:val="TableText"/>
            </w:pPr>
          </w:p>
        </w:tc>
      </w:tr>
      <w:tr w:rsidR="00FB0964" w14:paraId="715CB547" w14:textId="77777777" w:rsidTr="00FB2141">
        <w:trPr>
          <w:trHeight w:val="159"/>
        </w:trPr>
        <w:tc>
          <w:tcPr>
            <w:tcW w:w="1065" w:type="dxa"/>
            <w:tcBorders>
              <w:top w:val="single" w:sz="18" w:space="0" w:color="auto"/>
            </w:tcBorders>
          </w:tcPr>
          <w:p w14:paraId="5ADA726F" w14:textId="77777777" w:rsidR="00FB0964" w:rsidRDefault="00FB0964" w:rsidP="00FB2141">
            <w:pPr>
              <w:pStyle w:val="TableText"/>
            </w:pPr>
            <w:r>
              <w:t>Baseline to last FU</w:t>
            </w:r>
          </w:p>
        </w:tc>
        <w:tc>
          <w:tcPr>
            <w:tcW w:w="2191" w:type="dxa"/>
            <w:tcBorders>
              <w:top w:val="single" w:sz="18" w:space="0" w:color="auto"/>
            </w:tcBorders>
          </w:tcPr>
          <w:p w14:paraId="0964E2B8" w14:textId="77777777" w:rsidR="00FB0964" w:rsidRDefault="00FB0964" w:rsidP="00FB2141">
            <w:pPr>
              <w:pStyle w:val="TableText"/>
            </w:pPr>
            <w:r>
              <w:t xml:space="preserve">LATERA-RCT and LATERA-OFFICE at 24 months FU </w:t>
            </w:r>
          </w:p>
        </w:tc>
        <w:tc>
          <w:tcPr>
            <w:tcW w:w="4957" w:type="dxa"/>
            <w:gridSpan w:val="3"/>
            <w:tcBorders>
              <w:top w:val="single" w:sz="18" w:space="0" w:color="auto"/>
            </w:tcBorders>
          </w:tcPr>
          <w:p w14:paraId="7E5A70E0" w14:textId="77777777" w:rsidR="00FB0964" w:rsidRDefault="00FB0964" w:rsidP="00FB2141">
            <w:pPr>
              <w:pStyle w:val="TableText"/>
            </w:pPr>
            <w:r>
              <w:t>MA of mean change in NOSE score (95% CI):</w:t>
            </w:r>
          </w:p>
          <w:p w14:paraId="6EA93EE1" w14:textId="77777777" w:rsidR="00FB0964" w:rsidRDefault="00FB0964" w:rsidP="00FB2141">
            <w:pPr>
              <w:pStyle w:val="TableText"/>
              <w:jc w:val="right"/>
            </w:pPr>
            <w:r w:rsidRPr="00BB1E80">
              <w:rPr>
                <w:b/>
                <w:bCs/>
              </w:rPr>
              <w:t>-45.59 (-50.32, -40.86), I</w:t>
            </w:r>
            <w:r w:rsidRPr="00BB1E80">
              <w:rPr>
                <w:b/>
                <w:bCs/>
                <w:vertAlign w:val="superscript"/>
              </w:rPr>
              <w:t>2</w:t>
            </w:r>
            <w:r w:rsidRPr="00BB1E80">
              <w:rPr>
                <w:b/>
                <w:bCs/>
              </w:rPr>
              <w:t>=0%, p=0.76</w:t>
            </w:r>
          </w:p>
        </w:tc>
        <w:tc>
          <w:tcPr>
            <w:tcW w:w="1700" w:type="dxa"/>
            <w:tcBorders>
              <w:top w:val="single" w:sz="18" w:space="0" w:color="auto"/>
            </w:tcBorders>
          </w:tcPr>
          <w:p w14:paraId="6DDE212A" w14:textId="77777777" w:rsidR="00FB0964" w:rsidRDefault="00FB0964" w:rsidP="00FB2141">
            <w:pPr>
              <w:pStyle w:val="TableText"/>
            </w:pPr>
            <w:r>
              <w:t xml:space="preserve">All studies of functional rhinoplasty </w:t>
            </w:r>
          </w:p>
        </w:tc>
        <w:tc>
          <w:tcPr>
            <w:tcW w:w="4547" w:type="dxa"/>
            <w:gridSpan w:val="3"/>
            <w:tcBorders>
              <w:top w:val="single" w:sz="18" w:space="0" w:color="auto"/>
            </w:tcBorders>
          </w:tcPr>
          <w:p w14:paraId="7DAB49F5" w14:textId="77777777" w:rsidR="00FB0964" w:rsidRDefault="00FB0964" w:rsidP="00FB2141">
            <w:pPr>
              <w:pStyle w:val="TableText"/>
            </w:pPr>
            <w:r>
              <w:t>MA of mean change in NOSE score (95% CI):</w:t>
            </w:r>
          </w:p>
          <w:p w14:paraId="2F412607" w14:textId="77777777" w:rsidR="00FB0964" w:rsidRPr="000A4CCC" w:rsidRDefault="00FB0964" w:rsidP="00FB2141">
            <w:pPr>
              <w:pStyle w:val="TableText"/>
              <w:jc w:val="right"/>
              <w:rPr>
                <w:b/>
                <w:bCs/>
              </w:rPr>
            </w:pPr>
            <w:r w:rsidRPr="000A4CCC">
              <w:rPr>
                <w:b/>
                <w:bCs/>
              </w:rPr>
              <w:t xml:space="preserve">- </w:t>
            </w:r>
            <w:r>
              <w:rPr>
                <w:b/>
                <w:bCs/>
              </w:rPr>
              <w:t xml:space="preserve">36.74 </w:t>
            </w:r>
            <w:r w:rsidRPr="000A4CCC">
              <w:rPr>
                <w:b/>
                <w:bCs/>
              </w:rPr>
              <w:t>(-</w:t>
            </w:r>
            <w:r>
              <w:rPr>
                <w:b/>
                <w:bCs/>
              </w:rPr>
              <w:t>45.00</w:t>
            </w:r>
            <w:r w:rsidRPr="000A4CCC">
              <w:rPr>
                <w:b/>
                <w:bCs/>
              </w:rPr>
              <w:t>, -</w:t>
            </w:r>
            <w:r>
              <w:rPr>
                <w:b/>
                <w:bCs/>
              </w:rPr>
              <w:t>28.74</w:t>
            </w:r>
            <w:r w:rsidRPr="000A4CCC">
              <w:rPr>
                <w:b/>
                <w:bCs/>
              </w:rPr>
              <w:t xml:space="preserve">), </w:t>
            </w:r>
            <w:bookmarkStart w:id="29" w:name="_Hlk114835412"/>
            <w:r w:rsidRPr="000A4CCC">
              <w:rPr>
                <w:b/>
                <w:bCs/>
              </w:rPr>
              <w:t>I</w:t>
            </w:r>
            <w:r w:rsidRPr="000A4CCC">
              <w:rPr>
                <w:b/>
                <w:bCs/>
                <w:vertAlign w:val="superscript"/>
              </w:rPr>
              <w:t>2</w:t>
            </w:r>
            <w:r w:rsidRPr="000A4CCC">
              <w:rPr>
                <w:b/>
                <w:bCs/>
              </w:rPr>
              <w:t>=</w:t>
            </w:r>
            <w:r>
              <w:rPr>
                <w:b/>
                <w:bCs/>
              </w:rPr>
              <w:t>67</w:t>
            </w:r>
            <w:r w:rsidRPr="000A4CCC">
              <w:rPr>
                <w:b/>
                <w:bCs/>
              </w:rPr>
              <w:t>%</w:t>
            </w:r>
            <w:r>
              <w:rPr>
                <w:b/>
                <w:bCs/>
              </w:rPr>
              <w:t>, p=0.</w:t>
            </w:r>
            <w:bookmarkEnd w:id="29"/>
            <w:r>
              <w:rPr>
                <w:b/>
                <w:bCs/>
              </w:rPr>
              <w:t>05</w:t>
            </w:r>
          </w:p>
        </w:tc>
      </w:tr>
    </w:tbl>
    <w:p w14:paraId="642A5435" w14:textId="77777777" w:rsidR="007172D9" w:rsidRDefault="007172D9" w:rsidP="00AE4565">
      <w:pPr>
        <w:pStyle w:val="TableNote"/>
      </w:pPr>
      <w:r>
        <w:t xml:space="preserve">Source: Table 36, pg 113-114 </w:t>
      </w:r>
      <w:r w:rsidRPr="00A633FA">
        <w:t>of MSAC 1719 ADAR</w:t>
      </w:r>
      <w:r>
        <w:t>; LATERA-RCT CSR Table 10, LATERA-OFFICE CSR Table 6, Trial 4350-001 Table 7, Most 2006, Palesy 2015, Taha 2021, Tan 2012, Rao 2016, Sainio 2022.</w:t>
      </w:r>
    </w:p>
    <w:p w14:paraId="1B038AFA" w14:textId="67EF4557" w:rsidR="00A13870" w:rsidRDefault="007172D9" w:rsidP="00AE4565">
      <w:pPr>
        <w:pStyle w:val="TableNote"/>
      </w:pPr>
      <w:r>
        <w:t xml:space="preserve">Abbreviations: </w:t>
      </w:r>
      <w:r w:rsidR="00A13870">
        <w:t>CI</w:t>
      </w:r>
      <w:r>
        <w:t>=</w:t>
      </w:r>
      <w:r w:rsidR="00A13870">
        <w:t xml:space="preserve"> confidence interval; FU</w:t>
      </w:r>
      <w:r>
        <w:t>=</w:t>
      </w:r>
      <w:r w:rsidR="00A13870">
        <w:t xml:space="preserve"> follow-up; MA</w:t>
      </w:r>
      <w:r>
        <w:t>=</w:t>
      </w:r>
      <w:r w:rsidR="00A13870">
        <w:t xml:space="preserve"> meta-analysis; NA</w:t>
      </w:r>
      <w:r>
        <w:t>=</w:t>
      </w:r>
      <w:r w:rsidR="00A13870">
        <w:t xml:space="preserve"> not applicable; NE</w:t>
      </w:r>
      <w:r>
        <w:t>=</w:t>
      </w:r>
      <w:r w:rsidR="00A13870">
        <w:t xml:space="preserve"> not estimable; NOSE</w:t>
      </w:r>
      <w:r>
        <w:t>=</w:t>
      </w:r>
      <w:r w:rsidR="00A13870">
        <w:t xml:space="preserve"> Nasal Obstruction Symptom Evaluation; NR</w:t>
      </w:r>
      <w:r>
        <w:t>=</w:t>
      </w:r>
      <w:r w:rsidR="00A13870">
        <w:t xml:space="preserve"> not reported.</w:t>
      </w:r>
    </w:p>
    <w:p w14:paraId="371A1293" w14:textId="77777777" w:rsidR="00A13870" w:rsidRDefault="00A13870" w:rsidP="00AE4565">
      <w:pPr>
        <w:pStyle w:val="TableNote"/>
      </w:pPr>
      <w:r>
        <w:t>Note:</w:t>
      </w:r>
    </w:p>
    <w:p w14:paraId="7E476DA3" w14:textId="77777777" w:rsidR="00A13870" w:rsidRDefault="00A13870" w:rsidP="00AE4565">
      <w:pPr>
        <w:pStyle w:val="TableNote"/>
      </w:pPr>
      <w:r>
        <w:t>a NOSE score calculated from raw scores reported in publications.</w:t>
      </w:r>
    </w:p>
    <w:p w14:paraId="1545F70F" w14:textId="77777777" w:rsidR="00A13870" w:rsidRDefault="00A13870" w:rsidP="00AE4565">
      <w:pPr>
        <w:pStyle w:val="TableNote"/>
      </w:pPr>
      <w:r>
        <w:t>b Baseline NOSE scores in LATERA-OFFICE based on the LATERA only arm (</w:t>
      </w:r>
      <w:r w:rsidRPr="00F5616E">
        <w:t>N=105</w:t>
      </w:r>
      <w:r>
        <w:t>) at enrolment and in Trial 4350-001 based on N=30 at enrolment.</w:t>
      </w:r>
    </w:p>
    <w:p w14:paraId="3823C335" w14:textId="42FD40E8" w:rsidR="00A13870" w:rsidRDefault="00A13870" w:rsidP="007172D9">
      <w:pPr>
        <w:pStyle w:val="TableNote"/>
      </w:pPr>
      <w:r>
        <w:t>c NOSE scores post procedure were calculated by subtracting change in NOSE scores from the baseline NOSE scores, as they were not reported in the CSRs for LATERA-OFFICE and Trial 4350-001.</w:t>
      </w:r>
    </w:p>
    <w:p w14:paraId="08AFDA87" w14:textId="77777777" w:rsidR="007172D9" w:rsidRDefault="007172D9" w:rsidP="007172D9">
      <w:pPr>
        <w:pStyle w:val="Tablenotes0"/>
      </w:pPr>
    </w:p>
    <w:p w14:paraId="7ED0FCCA" w14:textId="5A205E7F" w:rsidR="006641F6" w:rsidRPr="00BB1E80" w:rsidRDefault="006641F6" w:rsidP="006641F6">
      <w:pPr>
        <w:pStyle w:val="Caption"/>
      </w:pPr>
      <w:bookmarkStart w:id="30" w:name="_Ref120697359"/>
      <w:r w:rsidRPr="00BB1E80">
        <w:lastRenderedPageBreak/>
        <w:t xml:space="preserve">Figure </w:t>
      </w:r>
      <w:r w:rsidRPr="00BB1E80">
        <w:fldChar w:fldCharType="begin"/>
      </w:r>
      <w:r w:rsidRPr="00BB1E80">
        <w:instrText>SEQ Figure \* ARABIC</w:instrText>
      </w:r>
      <w:r w:rsidRPr="00BB1E80">
        <w:fldChar w:fldCharType="separate"/>
      </w:r>
      <w:r w:rsidR="003511D3" w:rsidRPr="00BB1E80">
        <w:rPr>
          <w:noProof/>
        </w:rPr>
        <w:t>2</w:t>
      </w:r>
      <w:r w:rsidRPr="00BB1E80">
        <w:fldChar w:fldCharType="end"/>
      </w:r>
      <w:bookmarkEnd w:id="30"/>
      <w:r w:rsidR="002E35E6" w:rsidRPr="00BB1E80">
        <w:tab/>
      </w:r>
      <w:r w:rsidR="00D14BC6" w:rsidRPr="00BB1E80">
        <w:t xml:space="preserve">Meta-analysis </w:t>
      </w:r>
      <w:r w:rsidRPr="00BB1E80">
        <w:t>of LATERA vs functional rhinoplasty at 12 months and last follow-up (NOSE score)</w:t>
      </w:r>
    </w:p>
    <w:p w14:paraId="2A637BF4" w14:textId="21788C2A" w:rsidR="003B68CA" w:rsidRDefault="6D380021" w:rsidP="00670650">
      <w:pPr>
        <w:pStyle w:val="Guidelinescross-ref"/>
        <w:keepNext/>
      </w:pPr>
      <w:r w:rsidRPr="00BB1E80">
        <w:rPr>
          <w:noProof/>
        </w:rPr>
        <w:drawing>
          <wp:inline distT="0" distB="0" distL="0" distR="0" wp14:anchorId="28A5F6FC" wp14:editId="3772C910">
            <wp:extent cx="8863330" cy="3600450"/>
            <wp:effectExtent l="0" t="0" r="0" b="0"/>
            <wp:docPr id="25" name="Picture 25" descr="Meta-analysis of LATERA vs functional rhinoplasty at 12 months and last follow-up (NOSE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Meta-analysis of LATERA vs functional rhinoplasty at 12 months and last follow-up (NOSE score)"/>
                    <pic:cNvPicPr/>
                  </pic:nvPicPr>
                  <pic:blipFill>
                    <a:blip r:embed="rId17">
                      <a:extLst>
                        <a:ext uri="{28A0092B-C50C-407E-A947-70E740481C1C}">
                          <a14:useLocalDpi xmlns:a14="http://schemas.microsoft.com/office/drawing/2010/main" val="0"/>
                        </a:ext>
                      </a:extLst>
                    </a:blip>
                    <a:stretch>
                      <a:fillRect/>
                    </a:stretch>
                  </pic:blipFill>
                  <pic:spPr>
                    <a:xfrm>
                      <a:off x="0" y="0"/>
                      <a:ext cx="8863330" cy="3600450"/>
                    </a:xfrm>
                    <a:prstGeom prst="rect">
                      <a:avLst/>
                    </a:prstGeom>
                  </pic:spPr>
                </pic:pic>
              </a:graphicData>
            </a:graphic>
          </wp:inline>
        </w:drawing>
      </w:r>
    </w:p>
    <w:p w14:paraId="22D88241" w14:textId="6A0231A0" w:rsidR="00456854" w:rsidRDefault="00DA154D" w:rsidP="00AE4565">
      <w:pPr>
        <w:pStyle w:val="TableNote"/>
      </w:pPr>
      <w:r w:rsidRPr="00DA154D">
        <w:t>Source: Figure 21</w:t>
      </w:r>
      <w:r w:rsidR="007172D9">
        <w:t>,</w:t>
      </w:r>
      <w:r>
        <w:t xml:space="preserve"> </w:t>
      </w:r>
      <w:r w:rsidRPr="00DA154D">
        <w:t>pg 11</w:t>
      </w:r>
      <w:r w:rsidR="00000887">
        <w:t>5</w:t>
      </w:r>
      <w:r w:rsidRPr="00DA154D">
        <w:t xml:space="preserve"> </w:t>
      </w:r>
      <w:r w:rsidR="00A633FA" w:rsidRPr="00A633FA">
        <w:t>of MSAC 1719 ADAR</w:t>
      </w:r>
    </w:p>
    <w:p w14:paraId="33821317" w14:textId="698A34C9" w:rsidR="007172D9" w:rsidRDefault="007172D9" w:rsidP="00AE4565">
      <w:pPr>
        <w:pStyle w:val="TableNote"/>
      </w:pPr>
      <w:r>
        <w:t>Abbreviations: CI=</w:t>
      </w:r>
      <w:r w:rsidRPr="007172D9">
        <w:t xml:space="preserve"> </w:t>
      </w:r>
      <w:r w:rsidRPr="00CC60BF">
        <w:t xml:space="preserve">confidence interval; MD= </w:t>
      </w:r>
      <w:r w:rsidR="00492B85" w:rsidRPr="00CC60BF">
        <w:t>mean difference</w:t>
      </w:r>
      <w:r w:rsidRPr="00CC60BF">
        <w:t xml:space="preserve">; SE= </w:t>
      </w:r>
      <w:r w:rsidR="003B7CEA" w:rsidRPr="00CC60BF">
        <w:t>standard erro</w:t>
      </w:r>
      <w:r w:rsidR="00CC60BF">
        <w:t>r</w:t>
      </w:r>
      <w:r w:rsidRPr="00CC60BF">
        <w:t>; SMD=</w:t>
      </w:r>
      <w:r w:rsidR="00CC60BF" w:rsidRPr="00CC60BF">
        <w:t xml:space="preserve"> standard</w:t>
      </w:r>
      <w:r w:rsidR="00CC60BF">
        <w:t xml:space="preserve"> mean difference</w:t>
      </w:r>
    </w:p>
    <w:p w14:paraId="54F3A5D5" w14:textId="77777777" w:rsidR="005C09B0" w:rsidRDefault="005C09B0" w:rsidP="00DA154D">
      <w:pPr>
        <w:pStyle w:val="NoSpacing"/>
        <w:rPr>
          <w:rFonts w:ascii="Arial Narrow" w:hAnsi="Arial Narrow"/>
          <w:sz w:val="18"/>
          <w:szCs w:val="18"/>
        </w:rPr>
        <w:sectPr w:rsidR="005C09B0" w:rsidSect="00F06855">
          <w:pgSz w:w="16838" w:h="11906" w:orient="landscape"/>
          <w:pgMar w:top="1440" w:right="1440" w:bottom="1440" w:left="1440" w:header="708" w:footer="708" w:gutter="0"/>
          <w:cols w:space="708"/>
          <w:docGrid w:linePitch="360"/>
        </w:sectPr>
      </w:pPr>
    </w:p>
    <w:p w14:paraId="79006702" w14:textId="050BBC4F" w:rsidR="0031173A" w:rsidRDefault="0031173A" w:rsidP="0031173A">
      <w:bookmarkStart w:id="31" w:name="_Hlk102138094"/>
      <w:r>
        <w:lastRenderedPageBreak/>
        <w:t xml:space="preserve">Based on the evidence presented and summarised in </w:t>
      </w:r>
      <w:r w:rsidR="00B154BB">
        <w:fldChar w:fldCharType="begin"/>
      </w:r>
      <w:r w:rsidR="00B154BB">
        <w:instrText xml:space="preserve"> REF _Ref128383350 \h </w:instrText>
      </w:r>
      <w:r w:rsidR="00B154BB">
        <w:fldChar w:fldCharType="separate"/>
      </w:r>
      <w:r w:rsidR="003511D3">
        <w:t xml:space="preserve">Table </w:t>
      </w:r>
      <w:r w:rsidR="003511D3">
        <w:rPr>
          <w:noProof/>
        </w:rPr>
        <w:t>11</w:t>
      </w:r>
      <w:r w:rsidR="00B154BB">
        <w:fldChar w:fldCharType="end"/>
      </w:r>
      <w:r>
        <w:t xml:space="preserve">, the </w:t>
      </w:r>
      <w:r w:rsidR="00261794">
        <w:t xml:space="preserve">ADAR claimed that LATERA was non-inferior to </w:t>
      </w:r>
      <w:r w:rsidR="00B17DEA">
        <w:t>functional rhinoplasty.</w:t>
      </w:r>
    </w:p>
    <w:p w14:paraId="1D0A1678" w14:textId="6D36012C" w:rsidR="00790133" w:rsidRDefault="00B154BB" w:rsidP="00B154BB">
      <w:pPr>
        <w:pStyle w:val="Caption"/>
      </w:pPr>
      <w:bookmarkStart w:id="32" w:name="_Ref128383350"/>
      <w:bookmarkStart w:id="33" w:name="_Toc123849564"/>
      <w:r>
        <w:t xml:space="preserve">Table </w:t>
      </w:r>
      <w:r>
        <w:fldChar w:fldCharType="begin"/>
      </w:r>
      <w:r>
        <w:instrText>SEQ Table \* ARABIC</w:instrText>
      </w:r>
      <w:r>
        <w:fldChar w:fldCharType="separate"/>
      </w:r>
      <w:r w:rsidR="003511D3">
        <w:rPr>
          <w:noProof/>
        </w:rPr>
        <w:t>11</w:t>
      </w:r>
      <w:r>
        <w:fldChar w:fldCharType="end"/>
      </w:r>
      <w:bookmarkEnd w:id="32"/>
      <w:r>
        <w:t xml:space="preserve"> </w:t>
      </w:r>
      <w:r w:rsidR="00790133" w:rsidRPr="00FD1F0F">
        <w:t xml:space="preserve">Summary of evidence table: </w:t>
      </w:r>
      <w:r w:rsidR="00790133">
        <w:t>LATERA</w:t>
      </w:r>
      <w:r w:rsidR="00790133" w:rsidRPr="00FD1F0F">
        <w:t xml:space="preserve"> versus </w:t>
      </w:r>
      <w:r w:rsidR="00790133">
        <w:t>functional rhinoplasty</w:t>
      </w:r>
      <w:bookmarkEnd w:id="33"/>
      <w:r w:rsidR="00790133">
        <w:t xml:space="preserve"> </w:t>
      </w:r>
    </w:p>
    <w:tbl>
      <w:tblPr>
        <w:tblStyle w:val="TableGrid1"/>
        <w:tblW w:w="5423" w:type="pct"/>
        <w:tblCellMar>
          <w:top w:w="75" w:type="dxa"/>
          <w:left w:w="75" w:type="dxa"/>
          <w:bottom w:w="75" w:type="dxa"/>
          <w:right w:w="75" w:type="dxa"/>
        </w:tblCellMar>
        <w:tblLook w:val="04A0" w:firstRow="1" w:lastRow="0" w:firstColumn="1" w:lastColumn="0" w:noHBand="0" w:noVBand="1"/>
      </w:tblPr>
      <w:tblGrid>
        <w:gridCol w:w="1190"/>
        <w:gridCol w:w="1784"/>
        <w:gridCol w:w="1704"/>
        <w:gridCol w:w="1416"/>
        <w:gridCol w:w="1275"/>
        <w:gridCol w:w="2410"/>
      </w:tblGrid>
      <w:tr w:rsidR="00790133" w:rsidRPr="0077040A" w14:paraId="79DE2CE8" w14:textId="77777777" w:rsidTr="004D443B">
        <w:trPr>
          <w:cnfStyle w:val="100000000000" w:firstRow="1" w:lastRow="0" w:firstColumn="0" w:lastColumn="0" w:oddVBand="0" w:evenVBand="0" w:oddHBand="0" w:evenHBand="0" w:firstRowFirstColumn="0" w:firstRowLastColumn="0" w:lastRowFirstColumn="0" w:lastRowLastColumn="0"/>
          <w:cantSplit/>
          <w:tblHeader/>
        </w:trPr>
        <w:tc>
          <w:tcPr>
            <w:tcW w:w="609" w:type="pct"/>
            <w:vMerge w:val="restart"/>
            <w:shd w:val="clear" w:color="auto" w:fill="auto"/>
            <w:vAlign w:val="bottom"/>
            <w:hideMark/>
          </w:tcPr>
          <w:p w14:paraId="270CCB45" w14:textId="77777777" w:rsidR="00790133" w:rsidRPr="0077040A" w:rsidRDefault="00790133" w:rsidP="00D578DE">
            <w:pPr>
              <w:pStyle w:val="Tabletext0"/>
              <w:keepNext/>
              <w:keepLines/>
              <w:widowControl w:val="0"/>
              <w:jc w:val="left"/>
              <w:rPr>
                <w:b/>
                <w:bCs/>
              </w:rPr>
            </w:pPr>
            <w:r w:rsidRPr="0077040A">
              <w:rPr>
                <w:b/>
                <w:bCs/>
              </w:rPr>
              <w:t>Outcomes</w:t>
            </w:r>
          </w:p>
        </w:tc>
        <w:tc>
          <w:tcPr>
            <w:tcW w:w="1783" w:type="pct"/>
            <w:gridSpan w:val="2"/>
            <w:shd w:val="clear" w:color="auto" w:fill="auto"/>
            <w:vAlign w:val="bottom"/>
            <w:hideMark/>
          </w:tcPr>
          <w:p w14:paraId="30DED498" w14:textId="77777777" w:rsidR="00790133" w:rsidRPr="0077040A" w:rsidRDefault="00790133" w:rsidP="00D578DE">
            <w:pPr>
              <w:pStyle w:val="Tabletext0"/>
              <w:keepNext/>
              <w:keepLines/>
              <w:widowControl w:val="0"/>
              <w:jc w:val="left"/>
              <w:rPr>
                <w:b/>
                <w:bCs/>
              </w:rPr>
            </w:pPr>
            <w:r w:rsidRPr="0077040A">
              <w:rPr>
                <w:b/>
                <w:bCs/>
              </w:rPr>
              <w:t>Anticipated absolute effects</w:t>
            </w:r>
          </w:p>
        </w:tc>
        <w:tc>
          <w:tcPr>
            <w:tcW w:w="724" w:type="pct"/>
            <w:vMerge w:val="restart"/>
            <w:shd w:val="clear" w:color="auto" w:fill="auto"/>
            <w:vAlign w:val="bottom"/>
            <w:hideMark/>
          </w:tcPr>
          <w:p w14:paraId="6F8EA817" w14:textId="77777777" w:rsidR="00790133" w:rsidRPr="0077040A" w:rsidRDefault="00790133" w:rsidP="00D578DE">
            <w:pPr>
              <w:pStyle w:val="Tabletext0"/>
              <w:keepNext/>
              <w:keepLines/>
              <w:widowControl w:val="0"/>
              <w:jc w:val="left"/>
              <w:rPr>
                <w:b/>
                <w:bCs/>
              </w:rPr>
            </w:pPr>
            <w:r w:rsidRPr="0077040A">
              <w:rPr>
                <w:b/>
                <w:bCs/>
              </w:rPr>
              <w:t>№ of participants</w:t>
            </w:r>
            <w:r w:rsidRPr="0077040A">
              <w:rPr>
                <w:b/>
                <w:bCs/>
              </w:rPr>
              <w:br/>
              <w:t>(studies)</w:t>
            </w:r>
          </w:p>
        </w:tc>
        <w:tc>
          <w:tcPr>
            <w:tcW w:w="652" w:type="pct"/>
            <w:vMerge w:val="restart"/>
            <w:shd w:val="clear" w:color="auto" w:fill="auto"/>
            <w:vAlign w:val="bottom"/>
            <w:hideMark/>
          </w:tcPr>
          <w:p w14:paraId="4ED36CE2" w14:textId="77777777" w:rsidR="00790133" w:rsidRPr="0077040A" w:rsidRDefault="00790133" w:rsidP="00D578DE">
            <w:pPr>
              <w:pStyle w:val="Tabletext0"/>
              <w:keepNext/>
              <w:keepLines/>
              <w:widowControl w:val="0"/>
              <w:jc w:val="left"/>
              <w:rPr>
                <w:b/>
                <w:bCs/>
              </w:rPr>
            </w:pPr>
            <w:r w:rsidRPr="0077040A">
              <w:rPr>
                <w:b/>
                <w:bCs/>
              </w:rPr>
              <w:t>Certainty of the evidence</w:t>
            </w:r>
            <w:r w:rsidRPr="0077040A">
              <w:rPr>
                <w:b/>
                <w:bCs/>
              </w:rPr>
              <w:br/>
              <w:t>(GRADE)</w:t>
            </w:r>
          </w:p>
        </w:tc>
        <w:tc>
          <w:tcPr>
            <w:tcW w:w="1232" w:type="pct"/>
            <w:vMerge w:val="restart"/>
            <w:shd w:val="clear" w:color="auto" w:fill="auto"/>
            <w:vAlign w:val="bottom"/>
            <w:hideMark/>
          </w:tcPr>
          <w:p w14:paraId="2004F956" w14:textId="77777777" w:rsidR="00790133" w:rsidRPr="0077040A" w:rsidRDefault="00790133" w:rsidP="00D578DE">
            <w:pPr>
              <w:pStyle w:val="Tabletext0"/>
              <w:keepNext/>
              <w:keepLines/>
              <w:widowControl w:val="0"/>
              <w:jc w:val="left"/>
              <w:rPr>
                <w:b/>
                <w:bCs/>
              </w:rPr>
            </w:pPr>
            <w:r w:rsidRPr="0077040A">
              <w:rPr>
                <w:b/>
                <w:bCs/>
              </w:rPr>
              <w:t>Comments</w:t>
            </w:r>
          </w:p>
        </w:tc>
      </w:tr>
      <w:tr w:rsidR="00790133" w:rsidRPr="0077040A" w14:paraId="5F512B15" w14:textId="77777777" w:rsidTr="004D443B">
        <w:trPr>
          <w:cnfStyle w:val="100000000000" w:firstRow="1" w:lastRow="0" w:firstColumn="0" w:lastColumn="0" w:oddVBand="0" w:evenVBand="0" w:oddHBand="0" w:evenHBand="0" w:firstRowFirstColumn="0" w:firstRowLastColumn="0" w:lastRowFirstColumn="0" w:lastRowLastColumn="0"/>
          <w:cantSplit/>
          <w:tblHeader/>
        </w:trPr>
        <w:tc>
          <w:tcPr>
            <w:tcW w:w="609" w:type="pct"/>
            <w:vMerge/>
            <w:shd w:val="clear" w:color="auto" w:fill="auto"/>
            <w:vAlign w:val="center"/>
            <w:hideMark/>
          </w:tcPr>
          <w:p w14:paraId="5B6DCA39" w14:textId="77777777" w:rsidR="00790133" w:rsidRPr="0077040A" w:rsidRDefault="00790133" w:rsidP="00D578DE">
            <w:pPr>
              <w:pStyle w:val="Tabletext0"/>
              <w:widowControl w:val="0"/>
              <w:jc w:val="left"/>
            </w:pPr>
          </w:p>
        </w:tc>
        <w:tc>
          <w:tcPr>
            <w:tcW w:w="912" w:type="pct"/>
            <w:shd w:val="clear" w:color="auto" w:fill="auto"/>
            <w:vAlign w:val="bottom"/>
            <w:hideMark/>
          </w:tcPr>
          <w:p w14:paraId="1DF3D5FC" w14:textId="77777777" w:rsidR="00790133" w:rsidRPr="0077040A" w:rsidRDefault="00790133" w:rsidP="00D578DE">
            <w:pPr>
              <w:pStyle w:val="Tabletext0"/>
              <w:widowControl w:val="0"/>
              <w:jc w:val="left"/>
            </w:pPr>
            <w:r>
              <w:t>MD</w:t>
            </w:r>
            <w:r w:rsidRPr="0077040A">
              <w:t xml:space="preserve"> with </w:t>
            </w:r>
            <w:r>
              <w:t>LATERA</w:t>
            </w:r>
          </w:p>
        </w:tc>
        <w:tc>
          <w:tcPr>
            <w:tcW w:w="871" w:type="pct"/>
            <w:shd w:val="clear" w:color="auto" w:fill="auto"/>
            <w:vAlign w:val="bottom"/>
            <w:hideMark/>
          </w:tcPr>
          <w:p w14:paraId="2E64DFE4" w14:textId="77777777" w:rsidR="00790133" w:rsidRPr="0077040A" w:rsidRDefault="00790133" w:rsidP="00D578DE">
            <w:pPr>
              <w:pStyle w:val="Tabletext0"/>
              <w:widowControl w:val="0"/>
              <w:jc w:val="left"/>
            </w:pPr>
            <w:r>
              <w:t>MD</w:t>
            </w:r>
            <w:r w:rsidRPr="0077040A">
              <w:t xml:space="preserve"> with </w:t>
            </w:r>
            <w:r>
              <w:t>rhinoplasty</w:t>
            </w:r>
          </w:p>
        </w:tc>
        <w:tc>
          <w:tcPr>
            <w:tcW w:w="724" w:type="pct"/>
            <w:vMerge/>
            <w:shd w:val="clear" w:color="auto" w:fill="auto"/>
            <w:vAlign w:val="center"/>
            <w:hideMark/>
          </w:tcPr>
          <w:p w14:paraId="6EEE0245" w14:textId="77777777" w:rsidR="00790133" w:rsidRPr="0077040A" w:rsidRDefault="00790133" w:rsidP="00D578DE">
            <w:pPr>
              <w:pStyle w:val="Tabletext0"/>
              <w:widowControl w:val="0"/>
            </w:pPr>
          </w:p>
        </w:tc>
        <w:tc>
          <w:tcPr>
            <w:tcW w:w="652" w:type="pct"/>
            <w:vMerge/>
            <w:shd w:val="clear" w:color="auto" w:fill="auto"/>
            <w:vAlign w:val="center"/>
            <w:hideMark/>
          </w:tcPr>
          <w:p w14:paraId="3BDA061B" w14:textId="77777777" w:rsidR="00790133" w:rsidRPr="0077040A" w:rsidRDefault="00790133" w:rsidP="00D578DE">
            <w:pPr>
              <w:pStyle w:val="Tabletext0"/>
              <w:widowControl w:val="0"/>
            </w:pPr>
          </w:p>
        </w:tc>
        <w:tc>
          <w:tcPr>
            <w:tcW w:w="1232" w:type="pct"/>
            <w:vMerge/>
            <w:shd w:val="clear" w:color="auto" w:fill="auto"/>
            <w:vAlign w:val="center"/>
            <w:hideMark/>
          </w:tcPr>
          <w:p w14:paraId="36290929" w14:textId="77777777" w:rsidR="00790133" w:rsidRPr="0077040A" w:rsidRDefault="00790133" w:rsidP="00D578DE">
            <w:pPr>
              <w:pStyle w:val="Tabletext0"/>
              <w:widowControl w:val="0"/>
            </w:pPr>
          </w:p>
        </w:tc>
      </w:tr>
      <w:tr w:rsidR="00790133" w:rsidRPr="0077040A" w14:paraId="286A7175" w14:textId="77777777" w:rsidTr="004D443B">
        <w:trPr>
          <w:cantSplit/>
        </w:trPr>
        <w:tc>
          <w:tcPr>
            <w:tcW w:w="5000" w:type="pct"/>
            <w:gridSpan w:val="6"/>
            <w:shd w:val="clear" w:color="auto" w:fill="auto"/>
            <w:vAlign w:val="center"/>
          </w:tcPr>
          <w:p w14:paraId="47EE9F84" w14:textId="77777777" w:rsidR="00790133" w:rsidRDefault="00790133" w:rsidP="00D578DE">
            <w:pPr>
              <w:pStyle w:val="Tabletext0"/>
              <w:widowControl w:val="0"/>
              <w:jc w:val="left"/>
            </w:pPr>
            <w:r>
              <w:rPr>
                <w:rStyle w:val="label"/>
                <w:rFonts w:eastAsiaTheme="majorEastAsia"/>
                <w:bCs/>
              </w:rPr>
              <w:t>LATERA vs functional rhinoplasty alone</w:t>
            </w:r>
          </w:p>
        </w:tc>
      </w:tr>
      <w:tr w:rsidR="00790133" w:rsidRPr="0077040A" w14:paraId="61FFF016" w14:textId="77777777" w:rsidTr="004D443B">
        <w:trPr>
          <w:cantSplit/>
        </w:trPr>
        <w:tc>
          <w:tcPr>
            <w:tcW w:w="609" w:type="pct"/>
            <w:shd w:val="clear" w:color="auto" w:fill="auto"/>
            <w:vAlign w:val="center"/>
          </w:tcPr>
          <w:p w14:paraId="168F5B91" w14:textId="77777777" w:rsidR="00790133" w:rsidRPr="00770D31" w:rsidRDefault="00790133" w:rsidP="00D578DE">
            <w:pPr>
              <w:pStyle w:val="Tabletext0"/>
              <w:widowControl w:val="0"/>
              <w:jc w:val="left"/>
            </w:pPr>
            <w:r w:rsidRPr="00770D31">
              <w:rPr>
                <w:rStyle w:val="label"/>
                <w:rFonts w:eastAsiaTheme="majorEastAsia"/>
              </w:rPr>
              <w:t>Change in NOSE score at 3 months</w:t>
            </w:r>
          </w:p>
        </w:tc>
        <w:tc>
          <w:tcPr>
            <w:tcW w:w="912" w:type="pct"/>
            <w:shd w:val="clear" w:color="auto" w:fill="auto"/>
          </w:tcPr>
          <w:p w14:paraId="14B876C9" w14:textId="77777777" w:rsidR="00790133" w:rsidRPr="0077040A" w:rsidRDefault="00790133" w:rsidP="00D578DE">
            <w:pPr>
              <w:pStyle w:val="Tabletext0"/>
              <w:widowControl w:val="0"/>
              <w:jc w:val="left"/>
            </w:pPr>
            <w:r>
              <w:t xml:space="preserve">The pooled mean change in NOSE score was </w:t>
            </w:r>
            <w:r w:rsidRPr="00BB1E80">
              <w:t>-43.59</w:t>
            </w:r>
          </w:p>
        </w:tc>
        <w:tc>
          <w:tcPr>
            <w:tcW w:w="871" w:type="pct"/>
            <w:shd w:val="clear" w:color="auto" w:fill="auto"/>
          </w:tcPr>
          <w:p w14:paraId="03B1BDD6" w14:textId="77777777" w:rsidR="00790133" w:rsidRPr="0077040A" w:rsidRDefault="00790133" w:rsidP="00D578DE">
            <w:pPr>
              <w:pStyle w:val="Tabletext0"/>
              <w:widowControl w:val="0"/>
              <w:jc w:val="left"/>
            </w:pPr>
            <w:r>
              <w:t xml:space="preserve">Range in mean change in NOSE was </w:t>
            </w:r>
            <w:r w:rsidRPr="00671322">
              <w:t>–30.6</w:t>
            </w:r>
            <w:r>
              <w:t xml:space="preserve"> to </w:t>
            </w:r>
            <w:r w:rsidRPr="00671322">
              <w:t>–46.3</w:t>
            </w:r>
            <w:r>
              <w:t xml:space="preserve"> </w:t>
            </w:r>
          </w:p>
        </w:tc>
        <w:tc>
          <w:tcPr>
            <w:tcW w:w="724" w:type="pct"/>
            <w:shd w:val="clear" w:color="auto" w:fill="auto"/>
            <w:vAlign w:val="center"/>
          </w:tcPr>
          <w:p w14:paraId="54CC72CA" w14:textId="77777777" w:rsidR="00790133" w:rsidRDefault="00790133" w:rsidP="00D578DE">
            <w:pPr>
              <w:pStyle w:val="Tabletext0"/>
              <w:widowControl w:val="0"/>
              <w:jc w:val="left"/>
            </w:pPr>
            <w:r>
              <w:t>223</w:t>
            </w:r>
          </w:p>
          <w:p w14:paraId="425C8420" w14:textId="77777777" w:rsidR="00790133" w:rsidRPr="0077040A" w:rsidRDefault="00790133" w:rsidP="00D578DE">
            <w:pPr>
              <w:pStyle w:val="Tabletext0"/>
              <w:widowControl w:val="0"/>
              <w:jc w:val="left"/>
            </w:pPr>
            <w:r>
              <w:t>(LATERA: 3; rhinoplasty: 2)</w:t>
            </w:r>
          </w:p>
        </w:tc>
        <w:tc>
          <w:tcPr>
            <w:tcW w:w="652" w:type="pct"/>
            <w:shd w:val="clear" w:color="auto" w:fill="auto"/>
            <w:vAlign w:val="center"/>
          </w:tcPr>
          <w:p w14:paraId="7245AA2C" w14:textId="77777777" w:rsidR="00790133" w:rsidRPr="002D6732" w:rsidRDefault="00790133" w:rsidP="00D578DE">
            <w:pPr>
              <w:pStyle w:val="Tabletext0"/>
              <w:widowControl w:val="0"/>
              <w:rPr>
                <w:rStyle w:val="quality-sign"/>
              </w:rPr>
            </w:pPr>
            <w:r w:rsidRPr="002D6732">
              <w:rPr>
                <w:rStyle w:val="quality-sign"/>
                <w:rFonts w:ascii="Cambria Math" w:hAnsi="Cambria Math" w:cs="Cambria Math"/>
              </w:rPr>
              <w:t>⨁◯◯◯</w:t>
            </w:r>
          </w:p>
          <w:p w14:paraId="759E3F0F" w14:textId="77777777" w:rsidR="00790133" w:rsidRPr="0077040A" w:rsidRDefault="00790133" w:rsidP="00D578DE">
            <w:pPr>
              <w:pStyle w:val="Tabletext0"/>
              <w:widowControl w:val="0"/>
              <w:jc w:val="left"/>
            </w:pPr>
            <w:r>
              <w:rPr>
                <w:rStyle w:val="quality-sign"/>
              </w:rPr>
              <w:t>Very l</w:t>
            </w:r>
            <w:r w:rsidRPr="002D6732">
              <w:rPr>
                <w:rStyle w:val="quality-sign"/>
              </w:rPr>
              <w:t>ow</w:t>
            </w:r>
          </w:p>
        </w:tc>
        <w:tc>
          <w:tcPr>
            <w:tcW w:w="1232" w:type="pct"/>
            <w:shd w:val="clear" w:color="auto" w:fill="auto"/>
            <w:vAlign w:val="center"/>
          </w:tcPr>
          <w:p w14:paraId="52E62400" w14:textId="77777777" w:rsidR="00790133" w:rsidRPr="0077040A" w:rsidRDefault="00790133" w:rsidP="00D578DE">
            <w:pPr>
              <w:pStyle w:val="Tabletext0"/>
              <w:widowControl w:val="0"/>
              <w:jc w:val="left"/>
            </w:pPr>
            <w:r>
              <w:t>LATERA likely to be non-inferior to functional rhinoplasty.</w:t>
            </w:r>
          </w:p>
        </w:tc>
      </w:tr>
      <w:tr w:rsidR="00790133" w:rsidRPr="0077040A" w14:paraId="298C234B" w14:textId="77777777" w:rsidTr="004D443B">
        <w:trPr>
          <w:cantSplit/>
        </w:trPr>
        <w:tc>
          <w:tcPr>
            <w:tcW w:w="609" w:type="pct"/>
            <w:shd w:val="clear" w:color="auto" w:fill="auto"/>
            <w:vAlign w:val="center"/>
          </w:tcPr>
          <w:p w14:paraId="32AA5EE6" w14:textId="77777777" w:rsidR="00790133" w:rsidRPr="00770D31" w:rsidRDefault="00790133" w:rsidP="00D578DE">
            <w:pPr>
              <w:pStyle w:val="Tabletext0"/>
              <w:widowControl w:val="0"/>
              <w:jc w:val="left"/>
            </w:pPr>
            <w:r w:rsidRPr="00770D31">
              <w:rPr>
                <w:rStyle w:val="label"/>
                <w:rFonts w:eastAsiaTheme="majorEastAsia"/>
              </w:rPr>
              <w:t>Change in NOSE score at 6 months</w:t>
            </w:r>
          </w:p>
        </w:tc>
        <w:tc>
          <w:tcPr>
            <w:tcW w:w="912" w:type="pct"/>
            <w:shd w:val="clear" w:color="auto" w:fill="auto"/>
          </w:tcPr>
          <w:p w14:paraId="4D076E67" w14:textId="77777777" w:rsidR="00790133" w:rsidRPr="0077040A" w:rsidRDefault="00790133" w:rsidP="00D578DE">
            <w:pPr>
              <w:pStyle w:val="Tabletext0"/>
              <w:widowControl w:val="0"/>
              <w:jc w:val="left"/>
            </w:pPr>
            <w:r>
              <w:t xml:space="preserve">The pooled mean change in NOSE score was </w:t>
            </w:r>
            <w:r w:rsidRPr="00BB1E80">
              <w:t>-45.81</w:t>
            </w:r>
          </w:p>
        </w:tc>
        <w:tc>
          <w:tcPr>
            <w:tcW w:w="871" w:type="pct"/>
            <w:shd w:val="clear" w:color="auto" w:fill="auto"/>
          </w:tcPr>
          <w:p w14:paraId="31233EE2" w14:textId="77777777" w:rsidR="00790133" w:rsidRPr="0077040A" w:rsidRDefault="00790133" w:rsidP="00D578DE">
            <w:pPr>
              <w:pStyle w:val="Tabletext0"/>
              <w:widowControl w:val="0"/>
              <w:jc w:val="left"/>
            </w:pPr>
            <w:r>
              <w:t>Range in mean change in NOSE was –28.6 to –30.53</w:t>
            </w:r>
          </w:p>
        </w:tc>
        <w:tc>
          <w:tcPr>
            <w:tcW w:w="724" w:type="pct"/>
            <w:shd w:val="clear" w:color="auto" w:fill="auto"/>
            <w:vAlign w:val="center"/>
          </w:tcPr>
          <w:p w14:paraId="3030394C" w14:textId="77777777" w:rsidR="00790133" w:rsidRDefault="00790133" w:rsidP="00D578DE">
            <w:pPr>
              <w:pStyle w:val="Tabletext0"/>
              <w:widowControl w:val="0"/>
              <w:jc w:val="left"/>
            </w:pPr>
            <w:r>
              <w:t>227</w:t>
            </w:r>
          </w:p>
          <w:p w14:paraId="4512E03E" w14:textId="77777777" w:rsidR="00790133" w:rsidRPr="0077040A" w:rsidRDefault="00790133" w:rsidP="00D578DE">
            <w:pPr>
              <w:pStyle w:val="Tabletext0"/>
              <w:widowControl w:val="0"/>
              <w:jc w:val="left"/>
            </w:pPr>
            <w:r>
              <w:t>(LATERA: 3; rhinoplasty: 2)</w:t>
            </w:r>
          </w:p>
        </w:tc>
        <w:tc>
          <w:tcPr>
            <w:tcW w:w="652" w:type="pct"/>
            <w:shd w:val="clear" w:color="auto" w:fill="auto"/>
            <w:vAlign w:val="center"/>
          </w:tcPr>
          <w:p w14:paraId="003176E1" w14:textId="77777777" w:rsidR="00790133" w:rsidRPr="002D6732" w:rsidRDefault="00790133" w:rsidP="00D578DE">
            <w:pPr>
              <w:pStyle w:val="Tabletext0"/>
              <w:widowControl w:val="0"/>
              <w:rPr>
                <w:rStyle w:val="quality-sign"/>
              </w:rPr>
            </w:pPr>
            <w:r w:rsidRPr="002D6732">
              <w:rPr>
                <w:rStyle w:val="quality-sign"/>
                <w:rFonts w:ascii="Cambria Math" w:hAnsi="Cambria Math" w:cs="Cambria Math"/>
              </w:rPr>
              <w:t>⨁◯◯◯</w:t>
            </w:r>
          </w:p>
          <w:p w14:paraId="04AA4CBD" w14:textId="77777777" w:rsidR="00790133" w:rsidRPr="0077040A" w:rsidRDefault="00790133" w:rsidP="00D578DE">
            <w:pPr>
              <w:pStyle w:val="Tabletext0"/>
              <w:widowControl w:val="0"/>
              <w:jc w:val="left"/>
            </w:pPr>
            <w:r>
              <w:rPr>
                <w:rStyle w:val="quality-sign"/>
              </w:rPr>
              <w:t>Very l</w:t>
            </w:r>
            <w:r w:rsidRPr="002D6732">
              <w:rPr>
                <w:rStyle w:val="quality-sign"/>
              </w:rPr>
              <w:t>ow</w:t>
            </w:r>
          </w:p>
        </w:tc>
        <w:tc>
          <w:tcPr>
            <w:tcW w:w="1232" w:type="pct"/>
            <w:shd w:val="clear" w:color="auto" w:fill="auto"/>
            <w:vAlign w:val="center"/>
          </w:tcPr>
          <w:p w14:paraId="144EAE94" w14:textId="77777777" w:rsidR="00790133" w:rsidRPr="0077040A" w:rsidRDefault="00790133" w:rsidP="00D578DE">
            <w:pPr>
              <w:pStyle w:val="Tabletext0"/>
              <w:widowControl w:val="0"/>
              <w:jc w:val="left"/>
            </w:pPr>
            <w:r>
              <w:t>Potentially greater NOSE score reduction with LATERA compared to functional rhinoplasty.</w:t>
            </w:r>
          </w:p>
        </w:tc>
      </w:tr>
      <w:tr w:rsidR="00790133" w:rsidRPr="0077040A" w14:paraId="3876B18F" w14:textId="77777777" w:rsidTr="004D443B">
        <w:trPr>
          <w:cantSplit/>
        </w:trPr>
        <w:tc>
          <w:tcPr>
            <w:tcW w:w="609" w:type="pct"/>
            <w:shd w:val="clear" w:color="auto" w:fill="auto"/>
            <w:vAlign w:val="center"/>
          </w:tcPr>
          <w:p w14:paraId="0032B866" w14:textId="77777777" w:rsidR="00790133" w:rsidRPr="00770D31" w:rsidRDefault="00790133" w:rsidP="00D578DE">
            <w:pPr>
              <w:pStyle w:val="Tabletext0"/>
              <w:widowControl w:val="0"/>
              <w:jc w:val="left"/>
            </w:pPr>
            <w:r w:rsidRPr="00770D31">
              <w:rPr>
                <w:rStyle w:val="label"/>
                <w:rFonts w:eastAsiaTheme="majorEastAsia"/>
              </w:rPr>
              <w:t>Change in NOSE score at 12 months</w:t>
            </w:r>
          </w:p>
        </w:tc>
        <w:tc>
          <w:tcPr>
            <w:tcW w:w="912" w:type="pct"/>
            <w:shd w:val="clear" w:color="auto" w:fill="auto"/>
          </w:tcPr>
          <w:p w14:paraId="34D8C91B" w14:textId="77777777" w:rsidR="00790133" w:rsidRPr="0077040A" w:rsidRDefault="00790133" w:rsidP="00D578DE">
            <w:pPr>
              <w:pStyle w:val="Tabletext0"/>
              <w:widowControl w:val="0"/>
              <w:jc w:val="left"/>
            </w:pPr>
            <w:r>
              <w:t xml:space="preserve">The pooled mean change in NOSE score was </w:t>
            </w:r>
            <w:r w:rsidRPr="00BB1E80">
              <w:t>-43.68</w:t>
            </w:r>
          </w:p>
        </w:tc>
        <w:tc>
          <w:tcPr>
            <w:tcW w:w="871" w:type="pct"/>
            <w:shd w:val="clear" w:color="auto" w:fill="auto"/>
          </w:tcPr>
          <w:p w14:paraId="7BA7DACC" w14:textId="77777777" w:rsidR="00790133" w:rsidRDefault="00790133" w:rsidP="00D578DE">
            <w:pPr>
              <w:pStyle w:val="Tabletext0"/>
              <w:widowControl w:val="0"/>
              <w:jc w:val="left"/>
            </w:pPr>
            <w:r>
              <w:t>The pooled mean change in NOSE score was -38.58</w:t>
            </w:r>
          </w:p>
          <w:p w14:paraId="7181CDB6" w14:textId="77777777" w:rsidR="00790133" w:rsidRPr="0077040A" w:rsidRDefault="00790133" w:rsidP="00D578DE">
            <w:pPr>
              <w:pStyle w:val="Tabletext0"/>
              <w:widowControl w:val="0"/>
              <w:jc w:val="left"/>
            </w:pPr>
            <w:r>
              <w:t>(range:–27.8 to –60)</w:t>
            </w:r>
            <w:r w:rsidRPr="00A004CA">
              <w:rPr>
                <w:vertAlign w:val="superscript"/>
              </w:rPr>
              <w:t>a</w:t>
            </w:r>
          </w:p>
        </w:tc>
        <w:tc>
          <w:tcPr>
            <w:tcW w:w="724" w:type="pct"/>
            <w:shd w:val="clear" w:color="auto" w:fill="auto"/>
            <w:vAlign w:val="center"/>
          </w:tcPr>
          <w:p w14:paraId="1BBDC29E" w14:textId="77777777" w:rsidR="00790133" w:rsidRDefault="00790133" w:rsidP="00D578DE">
            <w:pPr>
              <w:pStyle w:val="Tabletext0"/>
              <w:widowControl w:val="0"/>
              <w:jc w:val="left"/>
            </w:pPr>
            <w:r>
              <w:t>276</w:t>
            </w:r>
          </w:p>
          <w:p w14:paraId="59DFF8D8" w14:textId="77777777" w:rsidR="00790133" w:rsidRPr="0077040A" w:rsidRDefault="00790133" w:rsidP="00D578DE">
            <w:pPr>
              <w:pStyle w:val="Tabletext0"/>
              <w:widowControl w:val="0"/>
              <w:jc w:val="left"/>
            </w:pPr>
            <w:r>
              <w:t xml:space="preserve">(LATERA: 3; rhinoplasty: 5 </w:t>
            </w:r>
            <w:r w:rsidRPr="009B35CF">
              <w:rPr>
                <w:vertAlign w:val="superscript"/>
              </w:rPr>
              <w:t>a</w:t>
            </w:r>
            <w:r>
              <w:t>)</w:t>
            </w:r>
          </w:p>
        </w:tc>
        <w:tc>
          <w:tcPr>
            <w:tcW w:w="652" w:type="pct"/>
            <w:shd w:val="clear" w:color="auto" w:fill="auto"/>
            <w:vAlign w:val="center"/>
          </w:tcPr>
          <w:p w14:paraId="005A6152" w14:textId="77777777" w:rsidR="00790133" w:rsidRPr="002D6732" w:rsidRDefault="00790133" w:rsidP="00D578DE">
            <w:pPr>
              <w:pStyle w:val="Tabletext0"/>
              <w:widowControl w:val="0"/>
              <w:rPr>
                <w:rStyle w:val="quality-sign"/>
              </w:rPr>
            </w:pPr>
            <w:r w:rsidRPr="002D6732">
              <w:rPr>
                <w:rStyle w:val="quality-sign"/>
                <w:rFonts w:ascii="Cambria Math" w:hAnsi="Cambria Math" w:cs="Cambria Math"/>
              </w:rPr>
              <w:t>⨁◯◯◯</w:t>
            </w:r>
          </w:p>
          <w:p w14:paraId="26543B04" w14:textId="77777777" w:rsidR="00790133" w:rsidRPr="0077040A" w:rsidRDefault="00790133" w:rsidP="00D578DE">
            <w:pPr>
              <w:pStyle w:val="Tabletext0"/>
              <w:widowControl w:val="0"/>
              <w:jc w:val="left"/>
            </w:pPr>
            <w:r w:rsidRPr="002D6732">
              <w:rPr>
                <w:rStyle w:val="quality-sign"/>
              </w:rPr>
              <w:t>Very low</w:t>
            </w:r>
          </w:p>
        </w:tc>
        <w:tc>
          <w:tcPr>
            <w:tcW w:w="1232" w:type="pct"/>
            <w:shd w:val="clear" w:color="auto" w:fill="auto"/>
            <w:vAlign w:val="center"/>
          </w:tcPr>
          <w:p w14:paraId="0868D316" w14:textId="77777777" w:rsidR="00790133" w:rsidRPr="0077040A" w:rsidRDefault="00790133" w:rsidP="00D578DE">
            <w:pPr>
              <w:pStyle w:val="Tabletext0"/>
              <w:widowControl w:val="0"/>
              <w:jc w:val="left"/>
            </w:pPr>
            <w:r>
              <w:t>Potentially greater NOSE score reduction with LATERA compared to functional rhinoplasty.</w:t>
            </w:r>
          </w:p>
        </w:tc>
      </w:tr>
      <w:tr w:rsidR="00790133" w:rsidRPr="0077040A" w14:paraId="271F13B5" w14:textId="77777777" w:rsidTr="004D443B">
        <w:trPr>
          <w:cantSplit/>
        </w:trPr>
        <w:tc>
          <w:tcPr>
            <w:tcW w:w="609" w:type="pct"/>
            <w:shd w:val="clear" w:color="auto" w:fill="auto"/>
            <w:vAlign w:val="center"/>
          </w:tcPr>
          <w:p w14:paraId="3C868820" w14:textId="77777777" w:rsidR="00790133" w:rsidRPr="00770D31" w:rsidRDefault="00790133" w:rsidP="00D578DE">
            <w:pPr>
              <w:pStyle w:val="Tabletext0"/>
              <w:widowControl w:val="0"/>
              <w:jc w:val="left"/>
              <w:rPr>
                <w:rStyle w:val="label"/>
                <w:rFonts w:eastAsiaTheme="majorEastAsia"/>
              </w:rPr>
            </w:pPr>
            <w:r w:rsidRPr="00770D31">
              <w:rPr>
                <w:rStyle w:val="cell-value"/>
                <w:rFonts w:eastAsiaTheme="majorEastAsia"/>
              </w:rPr>
              <w:t>Change in NOSE score at last follow-up</w:t>
            </w:r>
          </w:p>
        </w:tc>
        <w:tc>
          <w:tcPr>
            <w:tcW w:w="912" w:type="pct"/>
            <w:shd w:val="clear" w:color="auto" w:fill="auto"/>
          </w:tcPr>
          <w:p w14:paraId="102110EA" w14:textId="77777777" w:rsidR="00790133" w:rsidRDefault="00790133" w:rsidP="00D578DE">
            <w:pPr>
              <w:pStyle w:val="Tabletext0"/>
              <w:widowControl w:val="0"/>
              <w:jc w:val="left"/>
            </w:pPr>
            <w:r>
              <w:t xml:space="preserve">The pooled mean change in NOSE score was </w:t>
            </w:r>
            <w:r w:rsidRPr="00BB1E80">
              <w:t>-45.59</w:t>
            </w:r>
          </w:p>
        </w:tc>
        <w:tc>
          <w:tcPr>
            <w:tcW w:w="871" w:type="pct"/>
            <w:shd w:val="clear" w:color="auto" w:fill="auto"/>
          </w:tcPr>
          <w:p w14:paraId="5F9299F4" w14:textId="77777777" w:rsidR="00790133" w:rsidRDefault="00790133" w:rsidP="00D578DE">
            <w:pPr>
              <w:pStyle w:val="Tabletext0"/>
              <w:widowControl w:val="0"/>
              <w:jc w:val="left"/>
            </w:pPr>
            <w:r>
              <w:t>The pooled mean change in NOSE score was –36.74</w:t>
            </w:r>
          </w:p>
        </w:tc>
        <w:tc>
          <w:tcPr>
            <w:tcW w:w="724" w:type="pct"/>
            <w:shd w:val="clear" w:color="auto" w:fill="auto"/>
            <w:vAlign w:val="center"/>
          </w:tcPr>
          <w:p w14:paraId="16290148" w14:textId="77777777" w:rsidR="00790133" w:rsidRDefault="00790133" w:rsidP="00D578DE">
            <w:pPr>
              <w:pStyle w:val="Tabletext0"/>
              <w:widowControl w:val="0"/>
              <w:jc w:val="left"/>
            </w:pPr>
            <w:r>
              <w:t>257</w:t>
            </w:r>
          </w:p>
          <w:p w14:paraId="3E22E041" w14:textId="77777777" w:rsidR="00790133" w:rsidRDefault="00790133" w:rsidP="00D578DE">
            <w:pPr>
              <w:pStyle w:val="Tabletext0"/>
              <w:widowControl w:val="0"/>
              <w:jc w:val="left"/>
            </w:pPr>
            <w:r>
              <w:t xml:space="preserve">(LATERA: 3; rhinoplasty: </w:t>
            </w:r>
            <w:r w:rsidRPr="009B35CF">
              <w:t>7</w:t>
            </w:r>
            <w:r>
              <w:t xml:space="preserve"> </w:t>
            </w:r>
            <w:r w:rsidRPr="009B35CF">
              <w:rPr>
                <w:vertAlign w:val="superscript"/>
              </w:rPr>
              <w:t>a</w:t>
            </w:r>
            <w:r>
              <w:t>)</w:t>
            </w:r>
          </w:p>
        </w:tc>
        <w:tc>
          <w:tcPr>
            <w:tcW w:w="652" w:type="pct"/>
            <w:shd w:val="clear" w:color="auto" w:fill="auto"/>
            <w:vAlign w:val="center"/>
          </w:tcPr>
          <w:p w14:paraId="5B01E0D3" w14:textId="77777777" w:rsidR="00790133" w:rsidRPr="002D6732" w:rsidRDefault="00790133" w:rsidP="00D578DE">
            <w:pPr>
              <w:pStyle w:val="Tabletext0"/>
              <w:widowControl w:val="0"/>
              <w:rPr>
                <w:rStyle w:val="quality-sign"/>
              </w:rPr>
            </w:pPr>
            <w:r w:rsidRPr="002D6732">
              <w:rPr>
                <w:rStyle w:val="quality-sign"/>
                <w:rFonts w:ascii="Cambria Math" w:hAnsi="Cambria Math" w:cs="Cambria Math"/>
              </w:rPr>
              <w:t>⨁◯◯◯</w:t>
            </w:r>
          </w:p>
          <w:p w14:paraId="721AD5DE" w14:textId="77777777" w:rsidR="00790133" w:rsidRPr="002D6732" w:rsidRDefault="00790133" w:rsidP="00D578DE">
            <w:pPr>
              <w:pStyle w:val="Tabletext0"/>
              <w:widowControl w:val="0"/>
              <w:rPr>
                <w:rStyle w:val="quality-sign"/>
                <w:rFonts w:ascii="Cambria Math" w:hAnsi="Cambria Math" w:cs="Cambria Math"/>
              </w:rPr>
            </w:pPr>
            <w:r w:rsidRPr="002D6732">
              <w:rPr>
                <w:rStyle w:val="quality-sign"/>
              </w:rPr>
              <w:t>Very low</w:t>
            </w:r>
          </w:p>
        </w:tc>
        <w:tc>
          <w:tcPr>
            <w:tcW w:w="1232" w:type="pct"/>
            <w:shd w:val="clear" w:color="auto" w:fill="auto"/>
            <w:vAlign w:val="center"/>
          </w:tcPr>
          <w:p w14:paraId="0A8B8FFA" w14:textId="77777777" w:rsidR="00790133" w:rsidRPr="0077040A" w:rsidRDefault="00790133" w:rsidP="00D578DE">
            <w:pPr>
              <w:pStyle w:val="Tabletext0"/>
              <w:widowControl w:val="0"/>
              <w:jc w:val="left"/>
            </w:pPr>
            <w:r>
              <w:t>Potentially greater NOSE score reduction with LATERA compared to functional rhinoplasty.</w:t>
            </w:r>
          </w:p>
        </w:tc>
      </w:tr>
      <w:tr w:rsidR="00790133" w:rsidRPr="0077040A" w14:paraId="3A62B78B" w14:textId="77777777" w:rsidTr="004D443B">
        <w:trPr>
          <w:cantSplit/>
        </w:trPr>
        <w:tc>
          <w:tcPr>
            <w:tcW w:w="5000" w:type="pct"/>
            <w:gridSpan w:val="6"/>
            <w:shd w:val="clear" w:color="auto" w:fill="auto"/>
            <w:vAlign w:val="center"/>
          </w:tcPr>
          <w:p w14:paraId="6E43CED5" w14:textId="77777777" w:rsidR="00790133" w:rsidRDefault="00790133" w:rsidP="00D578DE">
            <w:pPr>
              <w:pStyle w:val="Tabletext0"/>
              <w:widowControl w:val="0"/>
              <w:jc w:val="left"/>
            </w:pPr>
            <w:r>
              <w:rPr>
                <w:rStyle w:val="label"/>
                <w:rFonts w:eastAsiaTheme="majorEastAsia"/>
                <w:bCs/>
              </w:rPr>
              <w:t>LATERA vs functional rhinoplasty with adjunct procedures</w:t>
            </w:r>
          </w:p>
        </w:tc>
      </w:tr>
      <w:tr w:rsidR="00790133" w:rsidRPr="0077040A" w14:paraId="5BB89F25" w14:textId="77777777" w:rsidTr="004D443B">
        <w:trPr>
          <w:cantSplit/>
        </w:trPr>
        <w:tc>
          <w:tcPr>
            <w:tcW w:w="609" w:type="pct"/>
            <w:shd w:val="clear" w:color="auto" w:fill="auto"/>
            <w:vAlign w:val="center"/>
          </w:tcPr>
          <w:p w14:paraId="78281434" w14:textId="77777777" w:rsidR="00790133" w:rsidRPr="00770D31" w:rsidRDefault="00790133" w:rsidP="00D578DE">
            <w:pPr>
              <w:pStyle w:val="Tabletext0"/>
              <w:widowControl w:val="0"/>
              <w:jc w:val="left"/>
            </w:pPr>
            <w:r w:rsidRPr="00770D31">
              <w:rPr>
                <w:rStyle w:val="cell-value"/>
                <w:rFonts w:eastAsiaTheme="majorEastAsia"/>
              </w:rPr>
              <w:t>Change in NOSE score at follow-up</w:t>
            </w:r>
            <w:r>
              <w:rPr>
                <w:rStyle w:val="cell-value"/>
                <w:rFonts w:eastAsiaTheme="majorEastAsia"/>
              </w:rPr>
              <w:t xml:space="preserve"> (3.1-4.8 mts)</w:t>
            </w:r>
          </w:p>
        </w:tc>
        <w:tc>
          <w:tcPr>
            <w:tcW w:w="912" w:type="pct"/>
            <w:shd w:val="clear" w:color="auto" w:fill="auto"/>
          </w:tcPr>
          <w:p w14:paraId="349BFE63" w14:textId="77777777" w:rsidR="00790133" w:rsidRDefault="00790133" w:rsidP="00D578DE">
            <w:pPr>
              <w:pStyle w:val="Tabletext0"/>
              <w:widowControl w:val="0"/>
              <w:jc w:val="left"/>
            </w:pPr>
            <w:r>
              <w:t xml:space="preserve">Mean change in NOSE score was </w:t>
            </w:r>
            <w:r>
              <w:br/>
              <w:t>–40.5</w:t>
            </w:r>
          </w:p>
        </w:tc>
        <w:tc>
          <w:tcPr>
            <w:tcW w:w="871" w:type="pct"/>
            <w:shd w:val="clear" w:color="auto" w:fill="auto"/>
          </w:tcPr>
          <w:p w14:paraId="5F7ADA3B" w14:textId="77777777" w:rsidR="00790133" w:rsidRDefault="00790133" w:rsidP="00D578DE">
            <w:pPr>
              <w:pStyle w:val="Tabletext0"/>
              <w:widowControl w:val="0"/>
              <w:jc w:val="left"/>
            </w:pPr>
            <w:r>
              <w:t xml:space="preserve">Mean change in NOSE score was </w:t>
            </w:r>
            <w:r>
              <w:br/>
              <w:t>–40.3</w:t>
            </w:r>
          </w:p>
        </w:tc>
        <w:tc>
          <w:tcPr>
            <w:tcW w:w="724" w:type="pct"/>
            <w:shd w:val="clear" w:color="auto" w:fill="auto"/>
            <w:vAlign w:val="center"/>
          </w:tcPr>
          <w:p w14:paraId="0712E11A" w14:textId="77777777" w:rsidR="00790133" w:rsidRDefault="00790133" w:rsidP="00D578DE">
            <w:pPr>
              <w:pStyle w:val="Tabletext0"/>
              <w:widowControl w:val="0"/>
              <w:jc w:val="left"/>
            </w:pPr>
            <w:r>
              <w:t>90 (1 study)</w:t>
            </w:r>
          </w:p>
        </w:tc>
        <w:tc>
          <w:tcPr>
            <w:tcW w:w="652" w:type="pct"/>
            <w:shd w:val="clear" w:color="auto" w:fill="auto"/>
            <w:vAlign w:val="center"/>
          </w:tcPr>
          <w:p w14:paraId="7A5269D9" w14:textId="77777777" w:rsidR="00790133" w:rsidRPr="002D6732" w:rsidRDefault="00790133" w:rsidP="00D578DE">
            <w:pPr>
              <w:pStyle w:val="Tabletext0"/>
              <w:widowControl w:val="0"/>
              <w:rPr>
                <w:rStyle w:val="quality-sign"/>
              </w:rPr>
            </w:pPr>
            <w:r w:rsidRPr="002D6732">
              <w:rPr>
                <w:rStyle w:val="quality-sign"/>
                <w:rFonts w:ascii="Cambria Math" w:hAnsi="Cambria Math" w:cs="Cambria Math"/>
              </w:rPr>
              <w:t>⨁◯◯◯</w:t>
            </w:r>
          </w:p>
          <w:p w14:paraId="46B3AE01" w14:textId="77777777" w:rsidR="00790133" w:rsidRPr="002D6732" w:rsidRDefault="00790133" w:rsidP="00D578DE">
            <w:pPr>
              <w:pStyle w:val="Tabletext0"/>
              <w:widowControl w:val="0"/>
              <w:rPr>
                <w:rStyle w:val="quality-sign"/>
                <w:rFonts w:ascii="Cambria Math" w:hAnsi="Cambria Math" w:cs="Cambria Math"/>
              </w:rPr>
            </w:pPr>
            <w:r w:rsidRPr="002D6732">
              <w:rPr>
                <w:rStyle w:val="quality-sign"/>
              </w:rPr>
              <w:t>Very low</w:t>
            </w:r>
          </w:p>
        </w:tc>
        <w:tc>
          <w:tcPr>
            <w:tcW w:w="1232" w:type="pct"/>
            <w:shd w:val="clear" w:color="auto" w:fill="auto"/>
            <w:vAlign w:val="center"/>
          </w:tcPr>
          <w:p w14:paraId="76274616" w14:textId="77777777" w:rsidR="00790133" w:rsidRPr="004C4D0C" w:rsidRDefault="00790133" w:rsidP="00D578DE">
            <w:pPr>
              <w:pStyle w:val="Tabletext0"/>
              <w:widowControl w:val="0"/>
              <w:jc w:val="left"/>
              <w:rPr>
                <w:highlight w:val="yellow"/>
              </w:rPr>
            </w:pPr>
            <w:r>
              <w:t>LATERA</w:t>
            </w:r>
            <w:r w:rsidRPr="0077040A">
              <w:t xml:space="preserve"> </w:t>
            </w:r>
            <w:r>
              <w:t>likely produces similar improvement in the NOSE score to rhinoplasty when used with adjunct procedures.</w:t>
            </w:r>
          </w:p>
        </w:tc>
      </w:tr>
    </w:tbl>
    <w:p w14:paraId="40B77C6E" w14:textId="77777777" w:rsidR="00FB73A6" w:rsidRDefault="00FB73A6" w:rsidP="00790133">
      <w:pPr>
        <w:pStyle w:val="Tablenotes0"/>
        <w:widowControl w:val="0"/>
      </w:pPr>
      <w:r>
        <w:t>Source: Table E3, pg12 of MSAC 1719 ADAR+inline commentary</w:t>
      </w:r>
    </w:p>
    <w:p w14:paraId="4E746FC8" w14:textId="13E983D0" w:rsidR="00FB73A6" w:rsidRDefault="00FB73A6" w:rsidP="00790133">
      <w:pPr>
        <w:pStyle w:val="Tablenotes0"/>
        <w:widowControl w:val="0"/>
      </w:pPr>
      <w:r>
        <w:t xml:space="preserve">Abbreviations: </w:t>
      </w:r>
      <w:r w:rsidR="00676678">
        <w:t xml:space="preserve">MD= mean difference, </w:t>
      </w:r>
      <w:r w:rsidR="00790133" w:rsidRPr="00502E24">
        <w:t>NOSE</w:t>
      </w:r>
      <w:r w:rsidR="007754FE">
        <w:t>=</w:t>
      </w:r>
      <w:r w:rsidR="00790133" w:rsidRPr="00502E24">
        <w:t xml:space="preserve"> nasal obstruction symptom evaluation</w:t>
      </w:r>
      <w:r w:rsidR="00790133">
        <w:t xml:space="preserve">. </w:t>
      </w:r>
    </w:p>
    <w:p w14:paraId="265CFFFC" w14:textId="0549A111" w:rsidR="00B17DEA" w:rsidRDefault="00790133" w:rsidP="00407757">
      <w:pPr>
        <w:pStyle w:val="Tablenotes0"/>
        <w:widowControl w:val="0"/>
      </w:pPr>
      <w:r>
        <w:t>a</w:t>
      </w:r>
      <w:r w:rsidR="00FB73A6">
        <w:t xml:space="preserve"> </w:t>
      </w:r>
      <w:r>
        <w:t xml:space="preserve">All studies reporting mean changes. </w:t>
      </w:r>
    </w:p>
    <w:p w14:paraId="04232252" w14:textId="7F8DABAF" w:rsidR="007A7AC0" w:rsidRDefault="00A720E2" w:rsidP="00EC04C1">
      <w:pPr>
        <w:pStyle w:val="Heading4"/>
      </w:pPr>
      <w:r>
        <w:t>T</w:t>
      </w:r>
      <w:r w:rsidR="007A7AC0" w:rsidRPr="007A7AC0">
        <w:t>ransitivity</w:t>
      </w:r>
      <w:r w:rsidR="007A7AC0">
        <w:t>/exchang</w:t>
      </w:r>
      <w:r w:rsidR="009831F3">
        <w:t>eability</w:t>
      </w:r>
      <w:r w:rsidR="007A7AC0" w:rsidRPr="007A7AC0">
        <w:t xml:space="preserve"> issues </w:t>
      </w:r>
      <w:r w:rsidR="00AB2518">
        <w:t>with the naïve indirect compariso</w:t>
      </w:r>
      <w:r w:rsidR="00FF4358">
        <w:t>n of LATERA versus functional rhinoplasty</w:t>
      </w:r>
    </w:p>
    <w:p w14:paraId="2B10F9C0" w14:textId="16216A38" w:rsidR="00503306" w:rsidRPr="00DD3464" w:rsidRDefault="008268F2" w:rsidP="00FB0E96">
      <w:r w:rsidRPr="00DD3464">
        <w:t xml:space="preserve">The </w:t>
      </w:r>
      <w:r w:rsidR="004C281C">
        <w:t>c</w:t>
      </w:r>
      <w:r w:rsidR="00185539">
        <w:t xml:space="preserve">ommentary </w:t>
      </w:r>
      <w:r w:rsidR="00CD2BCA">
        <w:t xml:space="preserve">noted </w:t>
      </w:r>
      <w:r w:rsidR="00C27D2C">
        <w:t>the following</w:t>
      </w:r>
      <w:r w:rsidR="00503306" w:rsidRPr="00DD3464">
        <w:t xml:space="preserve"> transitivity issues</w:t>
      </w:r>
      <w:r w:rsidR="00EF2DED" w:rsidRPr="00DD3464">
        <w:t xml:space="preserve"> </w:t>
      </w:r>
      <w:r w:rsidR="00C27D2C" w:rsidRPr="00DD3464">
        <w:t xml:space="preserve">for the </w:t>
      </w:r>
      <w:r w:rsidR="00C27D2C">
        <w:t xml:space="preserve">naïve indirect </w:t>
      </w:r>
      <w:r w:rsidR="00C27D2C" w:rsidRPr="00DD3464">
        <w:t>comparison</w:t>
      </w:r>
      <w:r w:rsidR="00C27D2C">
        <w:t xml:space="preserve"> of LATERA versus functional rhinoplasty</w:t>
      </w:r>
      <w:r w:rsidR="00503306" w:rsidRPr="00DD3464">
        <w:t>:</w:t>
      </w:r>
    </w:p>
    <w:p w14:paraId="2A60D6FE" w14:textId="12F2DFD8" w:rsidR="00CB4E7D" w:rsidRPr="00DD3464" w:rsidRDefault="00CB4E7D" w:rsidP="00FB0E96">
      <w:pPr>
        <w:pStyle w:val="ListParagraph"/>
        <w:numPr>
          <w:ilvl w:val="0"/>
          <w:numId w:val="16"/>
        </w:numPr>
      </w:pPr>
      <w:r w:rsidRPr="00DD3464">
        <w:t>P</w:t>
      </w:r>
      <w:r w:rsidR="008268F2" w:rsidRPr="00DD3464">
        <w:t>atients in the rhinoplasty arm were not well defined given that rhinoplasty is used for a broader range of aetiologies</w:t>
      </w:r>
      <w:r w:rsidR="00282548">
        <w:t>.</w:t>
      </w:r>
      <w:r w:rsidR="0056311B" w:rsidRPr="00DD3464">
        <w:t xml:space="preserve"> </w:t>
      </w:r>
    </w:p>
    <w:p w14:paraId="3494D67A" w14:textId="4404CE32" w:rsidR="003018B9" w:rsidRPr="00DD3464" w:rsidRDefault="00B96494" w:rsidP="00FB0E96">
      <w:pPr>
        <w:pStyle w:val="ListParagraph"/>
        <w:numPr>
          <w:ilvl w:val="0"/>
          <w:numId w:val="16"/>
        </w:numPr>
      </w:pPr>
      <w:r w:rsidRPr="00DD3464">
        <w:t xml:space="preserve">The indication </w:t>
      </w:r>
      <w:r w:rsidR="005D1ADE" w:rsidRPr="00DD3464">
        <w:t xml:space="preserve">being sought ‘NAO due to LWI’ </w:t>
      </w:r>
      <w:r w:rsidRPr="00DD3464">
        <w:t xml:space="preserve">is confounded by </w:t>
      </w:r>
      <w:r w:rsidR="009072DE" w:rsidRPr="00DD3464">
        <w:t>collapse caused by a multitude of anatomical structures</w:t>
      </w:r>
      <w:r w:rsidR="00B3592F">
        <w:t>:</w:t>
      </w:r>
      <w:r w:rsidR="00B3592F" w:rsidRPr="00DD3464">
        <w:t xml:space="preserve"> </w:t>
      </w:r>
      <w:r w:rsidR="009072DE" w:rsidRPr="00DD3464">
        <w:t>static such as septum and turbinates (not relevant to this ADAR), or dynamic such as the lateral wall with the upper cartilage in it (relevant to this ADAR)</w:t>
      </w:r>
      <w:r w:rsidR="00E80B9D" w:rsidRPr="00DD3464">
        <w:t xml:space="preserve"> in rhinoplasty studies</w:t>
      </w:r>
      <w:r w:rsidR="00282548">
        <w:t>.</w:t>
      </w:r>
      <w:r w:rsidR="00E80B9D" w:rsidRPr="00DD3464">
        <w:t xml:space="preserve"> </w:t>
      </w:r>
    </w:p>
    <w:p w14:paraId="039D8831" w14:textId="4DB2D379" w:rsidR="00B23EBF" w:rsidRPr="00DD3464" w:rsidRDefault="003F42E3" w:rsidP="00FB0E96">
      <w:pPr>
        <w:pStyle w:val="ListParagraph"/>
        <w:numPr>
          <w:ilvl w:val="0"/>
          <w:numId w:val="16"/>
        </w:numPr>
      </w:pPr>
      <w:r w:rsidRPr="00DD3464">
        <w:lastRenderedPageBreak/>
        <w:t xml:space="preserve">Rhinoplasty studies had a </w:t>
      </w:r>
      <w:r w:rsidR="00B23EBF" w:rsidRPr="00DD3464">
        <w:t xml:space="preserve">wider range of pre-treatment </w:t>
      </w:r>
      <w:r w:rsidR="126DFA20">
        <w:t xml:space="preserve">mean </w:t>
      </w:r>
      <w:r w:rsidR="00B23EBF" w:rsidRPr="00DD3464">
        <w:t>NOSE scores (55-86) compare</w:t>
      </w:r>
      <w:r w:rsidR="00D95A14" w:rsidRPr="00DD3464">
        <w:t>d</w:t>
      </w:r>
      <w:r w:rsidR="00B23EBF" w:rsidRPr="00DD3464">
        <w:t xml:space="preserve"> with LATERA studies (</w:t>
      </w:r>
      <w:r w:rsidR="002268D4">
        <w:t>mean</w:t>
      </w:r>
      <w:r w:rsidR="4C065062">
        <w:t xml:space="preserve"> NOSE score</w:t>
      </w:r>
      <w:r w:rsidR="002268D4">
        <w:t xml:space="preserve">, </w:t>
      </w:r>
      <w:r w:rsidR="00B23EBF" w:rsidRPr="00DD3464">
        <w:t xml:space="preserve">76-78) </w:t>
      </w:r>
      <w:r w:rsidR="00BD7553" w:rsidRPr="00DD3464">
        <w:t>albeit</w:t>
      </w:r>
      <w:r w:rsidR="00B23EBF" w:rsidRPr="00DD3464">
        <w:t xml:space="preserve"> </w:t>
      </w:r>
      <w:r w:rsidR="00D95A14" w:rsidRPr="00DD3464">
        <w:t xml:space="preserve">rhinoplasty studies included </w:t>
      </w:r>
      <w:r w:rsidR="16C56364">
        <w:t>the</w:t>
      </w:r>
      <w:r w:rsidR="43DF1B65">
        <w:t xml:space="preserve"> </w:t>
      </w:r>
      <w:r w:rsidR="001B06DF">
        <w:t xml:space="preserve">proposed MBS descriptor </w:t>
      </w:r>
      <w:r w:rsidR="5E9758AD">
        <w:t>population</w:t>
      </w:r>
      <w:r w:rsidR="00AC0F04">
        <w:t>.</w:t>
      </w:r>
      <w:r w:rsidR="00D95A14" w:rsidRPr="00DD3464">
        <w:t xml:space="preserve"> </w:t>
      </w:r>
    </w:p>
    <w:p w14:paraId="52F7B4AA" w14:textId="69A26387" w:rsidR="00B23EBF" w:rsidRPr="00DD3464" w:rsidRDefault="00AD35AA" w:rsidP="00FB0E96">
      <w:pPr>
        <w:pStyle w:val="ListParagraph"/>
        <w:numPr>
          <w:ilvl w:val="0"/>
          <w:numId w:val="16"/>
        </w:numPr>
      </w:pPr>
      <w:r>
        <w:t xml:space="preserve">The rhinoplasty study by </w:t>
      </w:r>
      <w:r w:rsidR="00546447" w:rsidRPr="00DD3464">
        <w:t>Most</w:t>
      </w:r>
      <w:r w:rsidR="00D95A14" w:rsidRPr="00DD3464">
        <w:t xml:space="preserve"> </w:t>
      </w:r>
      <w:r w:rsidR="00546447" w:rsidRPr="00DD3464">
        <w:t xml:space="preserve">2006 included a </w:t>
      </w:r>
      <w:r w:rsidR="00A130CE" w:rsidRPr="00A130CE">
        <w:t>broader population than the population in the LATERA studies (and for whom listing for LATERA is sought</w:t>
      </w:r>
      <w:r w:rsidR="00BD7553" w:rsidRPr="00A130CE">
        <w:t>)</w:t>
      </w:r>
      <w:r w:rsidR="00BD7553">
        <w:t>; that</w:t>
      </w:r>
      <w:r w:rsidR="00546447" w:rsidRPr="00DD3464">
        <w:t xml:space="preserve"> is patients with NAO due to ‘identifiable anatomical cause’ such as septal deviation, turbinate hypertrophy, </w:t>
      </w:r>
      <w:r w:rsidR="004D44D9" w:rsidRPr="00DD3464">
        <w:t>internal valve collapse (</w:t>
      </w:r>
      <w:r w:rsidR="00546447" w:rsidRPr="00DD3464">
        <w:t>IVC</w:t>
      </w:r>
      <w:r w:rsidR="004D44D9" w:rsidRPr="00DD3464">
        <w:t>)</w:t>
      </w:r>
      <w:r w:rsidR="00546447" w:rsidRPr="00DD3464">
        <w:t>, or external nasal valve collapse. Of these aetiologies, external nasal valve collapse and potentially IVC (if due to LWI) are relevant aetiologies</w:t>
      </w:r>
      <w:r w:rsidR="00282548">
        <w:t>.</w:t>
      </w:r>
    </w:p>
    <w:p w14:paraId="2191BAC8" w14:textId="7FA0DB4D" w:rsidR="00043277" w:rsidRDefault="00F13B3A" w:rsidP="00FB0E96">
      <w:pPr>
        <w:pStyle w:val="ListParagraph"/>
        <w:numPr>
          <w:ilvl w:val="0"/>
          <w:numId w:val="16"/>
        </w:numPr>
      </w:pPr>
      <w:r w:rsidRPr="00DD3464">
        <w:t xml:space="preserve">In </w:t>
      </w:r>
      <w:r w:rsidR="00813395">
        <w:t xml:space="preserve">some of </w:t>
      </w:r>
      <w:r w:rsidRPr="00DD3464">
        <w:t>the LATERA studies participants had received prior nasal surgery (</w:t>
      </w:r>
      <w:r w:rsidR="00760EAD" w:rsidRPr="00BB1E80">
        <w:t>59</w:t>
      </w:r>
      <w:r w:rsidR="005B735C">
        <w:t xml:space="preserve">% in </w:t>
      </w:r>
      <w:r w:rsidRPr="00DD3464">
        <w:t>LATERA-RCT</w:t>
      </w:r>
      <w:r w:rsidR="00760EAD">
        <w:t xml:space="preserve">, </w:t>
      </w:r>
      <w:r w:rsidR="008F492B" w:rsidRPr="00BB1E80">
        <w:t>70</w:t>
      </w:r>
      <w:r w:rsidR="005B735C">
        <w:t xml:space="preserve">% in </w:t>
      </w:r>
      <w:r w:rsidRPr="00DD3464">
        <w:t xml:space="preserve">LATERA-OFFICE, </w:t>
      </w:r>
      <w:r w:rsidR="00E44F14">
        <w:t>66</w:t>
      </w:r>
      <w:r w:rsidR="005B735C">
        <w:t xml:space="preserve">% </w:t>
      </w:r>
      <w:r w:rsidRPr="00DD3464">
        <w:t xml:space="preserve">Trial 4350-001), and may be considered to have received LATERA as ‘revision’. Data was not stratified by </w:t>
      </w:r>
      <w:r w:rsidR="00146507">
        <w:t xml:space="preserve">primary </w:t>
      </w:r>
      <w:r w:rsidRPr="00DD3464">
        <w:t xml:space="preserve">or revision treatment. </w:t>
      </w:r>
    </w:p>
    <w:p w14:paraId="510AE181" w14:textId="3821E5D0" w:rsidR="00F61281" w:rsidRPr="00DD3464" w:rsidRDefault="00F13B3A" w:rsidP="00FB0E96">
      <w:pPr>
        <w:pStyle w:val="ListParagraph"/>
        <w:numPr>
          <w:ilvl w:val="0"/>
          <w:numId w:val="16"/>
        </w:numPr>
      </w:pPr>
      <w:r w:rsidRPr="00DD3464">
        <w:t>Taha (2021) reports that 60% of participants had functional rhinoplasty in the revision setting</w:t>
      </w:r>
      <w:r w:rsidR="00282548">
        <w:t>.</w:t>
      </w:r>
      <w:r w:rsidR="002A6404">
        <w:t xml:space="preserve"> Other rhinoplasty studies </w:t>
      </w:r>
      <w:r w:rsidR="009709F9">
        <w:t xml:space="preserve">did not report proportion of primary and revision procedures. </w:t>
      </w:r>
      <w:r w:rsidR="004D5FBF">
        <w:t xml:space="preserve">The rates of revision were </w:t>
      </w:r>
      <w:r w:rsidR="00BA4CFF">
        <w:t xml:space="preserve">somewhat </w:t>
      </w:r>
      <w:r w:rsidR="004D5FBF">
        <w:t xml:space="preserve">similar between LATERA and </w:t>
      </w:r>
      <w:r w:rsidR="00646426">
        <w:t xml:space="preserve">the </w:t>
      </w:r>
      <w:r w:rsidR="004D5FBF">
        <w:t>rhinoplasty stud</w:t>
      </w:r>
      <w:r w:rsidR="009E0C0C">
        <w:t>y</w:t>
      </w:r>
      <w:r w:rsidR="00F63FCB">
        <w:t xml:space="preserve"> </w:t>
      </w:r>
      <w:r w:rsidR="00646426">
        <w:t xml:space="preserve">population. The </w:t>
      </w:r>
      <w:r w:rsidR="00BD7553">
        <w:t>proportion of</w:t>
      </w:r>
      <w:r w:rsidR="00561D43">
        <w:t xml:space="preserve"> treatment experienced population</w:t>
      </w:r>
      <w:r w:rsidR="00BA4CFF">
        <w:t xml:space="preserve"> being ~60-70%.</w:t>
      </w:r>
      <w:r w:rsidR="004D5FBF">
        <w:t xml:space="preserve"> </w:t>
      </w:r>
    </w:p>
    <w:bookmarkEnd w:id="31"/>
    <w:p w14:paraId="1BF605A2" w14:textId="73ECB13A" w:rsidR="00D55B06" w:rsidRPr="00DD3464" w:rsidRDefault="004D4533" w:rsidP="00FB0E96">
      <w:r w:rsidRPr="00DD3464">
        <w:t>Overall,</w:t>
      </w:r>
      <w:r w:rsidR="007806C3" w:rsidRPr="00DD3464">
        <w:t xml:space="preserve"> t</w:t>
      </w:r>
      <w:r w:rsidR="00AB3C36" w:rsidRPr="00DD3464">
        <w:t xml:space="preserve">he </w:t>
      </w:r>
      <w:r w:rsidR="004C281C">
        <w:t>c</w:t>
      </w:r>
      <w:r w:rsidR="003727AC">
        <w:t xml:space="preserve">ommentary considered that </w:t>
      </w:r>
      <w:r w:rsidR="007806C3" w:rsidRPr="00DD3464">
        <w:t>t</w:t>
      </w:r>
      <w:r w:rsidR="00AB3C36" w:rsidRPr="00DD3464">
        <w:t xml:space="preserve">he results </w:t>
      </w:r>
      <w:r w:rsidR="003727AC">
        <w:t>comparing the effectiveness of LATERA with functional rhinoplasty</w:t>
      </w:r>
      <w:r w:rsidR="00AB3C36" w:rsidRPr="00DD3464">
        <w:t xml:space="preserve"> should be interpreted with caution as the comparison was naïve </w:t>
      </w:r>
      <w:r w:rsidR="00A607B6" w:rsidRPr="00DD3464">
        <w:t xml:space="preserve">therefore </w:t>
      </w:r>
      <w:r w:rsidR="00563259" w:rsidRPr="00DD3464">
        <w:t>of low certainty</w:t>
      </w:r>
      <w:r w:rsidR="00EF40A9" w:rsidRPr="00DD3464">
        <w:t xml:space="preserve">, </w:t>
      </w:r>
      <w:r w:rsidR="00AB3C36" w:rsidRPr="00DD3464">
        <w:t>due to the transitivity issues discussed above</w:t>
      </w:r>
      <w:r w:rsidR="007806C3" w:rsidRPr="00DD3464">
        <w:t xml:space="preserve"> and</w:t>
      </w:r>
      <w:r w:rsidR="00724A22">
        <w:t xml:space="preserve"> </w:t>
      </w:r>
      <w:r w:rsidR="00BC4565">
        <w:t xml:space="preserve">the </w:t>
      </w:r>
      <w:r w:rsidR="00316244">
        <w:t>statistically</w:t>
      </w:r>
      <w:r w:rsidR="00665B44">
        <w:t xml:space="preserve"> high</w:t>
      </w:r>
      <w:r w:rsidR="007806C3" w:rsidRPr="00DD3464">
        <w:t xml:space="preserve"> heterogeneity</w:t>
      </w:r>
      <w:r w:rsidR="0039039F">
        <w:t xml:space="preserve"> </w:t>
      </w:r>
      <w:r w:rsidR="005566E5" w:rsidRPr="00DD3464">
        <w:t xml:space="preserve">in the </w:t>
      </w:r>
      <w:r w:rsidR="00A607B6" w:rsidRPr="00DD3464">
        <w:t>rhinoplasty</w:t>
      </w:r>
      <w:r w:rsidR="005566E5" w:rsidRPr="00DD3464">
        <w:t xml:space="preserve"> studies</w:t>
      </w:r>
      <w:r w:rsidR="00030B93">
        <w:t xml:space="preserve"> </w:t>
      </w:r>
      <w:r w:rsidR="00CA46A4">
        <w:t xml:space="preserve">not </w:t>
      </w:r>
      <w:r w:rsidR="006930CC">
        <w:t>significan</w:t>
      </w:r>
      <w:r w:rsidR="00030B93">
        <w:t>t</w:t>
      </w:r>
      <w:r w:rsidR="006930CC">
        <w:t xml:space="preserve"> at </w:t>
      </w:r>
      <w:r w:rsidR="0085507B">
        <w:t>12 months</w:t>
      </w:r>
      <w:r w:rsidR="001D0B43" w:rsidRPr="00DD3464">
        <w:t xml:space="preserve"> </w:t>
      </w:r>
      <w:r w:rsidR="0085507B">
        <w:t>(</w:t>
      </w:r>
      <w:r w:rsidR="001D0B43" w:rsidRPr="00DD3464">
        <w:t>I</w:t>
      </w:r>
      <w:r w:rsidR="001D0B43" w:rsidRPr="00DD3464">
        <w:rPr>
          <w:vertAlign w:val="superscript"/>
        </w:rPr>
        <w:t>2</w:t>
      </w:r>
      <w:r w:rsidR="001D0B43" w:rsidRPr="00DD3464">
        <w:t>=67%, p=0.08)</w:t>
      </w:r>
      <w:r w:rsidR="00BF579B">
        <w:t xml:space="preserve"> and significan</w:t>
      </w:r>
      <w:r w:rsidR="00EB5771">
        <w:t>t</w:t>
      </w:r>
      <w:r w:rsidR="00BF579B">
        <w:t xml:space="preserve"> at 24 months </w:t>
      </w:r>
      <w:r w:rsidR="00BB36EB">
        <w:t>(</w:t>
      </w:r>
      <w:r w:rsidR="00BB36EB" w:rsidRPr="00BB36EB">
        <w:t>I</w:t>
      </w:r>
      <w:r w:rsidR="00BB36EB" w:rsidRPr="00724A22">
        <w:rPr>
          <w:vertAlign w:val="superscript"/>
        </w:rPr>
        <w:t>2</w:t>
      </w:r>
      <w:r w:rsidR="00BB36EB" w:rsidRPr="00BB36EB">
        <w:t>=67%, p=0.0</w:t>
      </w:r>
      <w:r w:rsidR="00833AF9">
        <w:t xml:space="preserve">5). </w:t>
      </w:r>
    </w:p>
    <w:p w14:paraId="33295425" w14:textId="6C2158FB" w:rsidR="00C517B1" w:rsidRPr="003A609D" w:rsidRDefault="00C517B1" w:rsidP="00EC04C1">
      <w:pPr>
        <w:pStyle w:val="Heading3"/>
      </w:pPr>
      <w:r w:rsidRPr="003A609D">
        <w:t>LATERA vs. conservative management</w:t>
      </w:r>
    </w:p>
    <w:p w14:paraId="2CE607B9" w14:textId="23196E83" w:rsidR="00342742" w:rsidRDefault="00097C9E" w:rsidP="00FB0E96">
      <w:r>
        <w:t xml:space="preserve">The results of the primary endpoint, </w:t>
      </w:r>
      <w:r w:rsidR="00244C1A">
        <w:t xml:space="preserve">NOSE </w:t>
      </w:r>
      <w:r w:rsidR="00BD7553">
        <w:t>score,</w:t>
      </w:r>
      <w:r>
        <w:t xml:space="preserve"> </w:t>
      </w:r>
      <w:r w:rsidR="00626777">
        <w:t xml:space="preserve">from the LATERA-RCT comparing LATERA versus sham procedure, </w:t>
      </w:r>
      <w:r w:rsidR="00027637">
        <w:t xml:space="preserve">are </w:t>
      </w:r>
      <w:r w:rsidR="00626777">
        <w:t>presented</w:t>
      </w:r>
      <w:r>
        <w:t xml:space="preserve"> in </w:t>
      </w:r>
      <w:r w:rsidR="00614A9C">
        <w:fldChar w:fldCharType="begin"/>
      </w:r>
      <w:r w:rsidR="00614A9C">
        <w:instrText xml:space="preserve"> REF _Ref119440268 \h </w:instrText>
      </w:r>
      <w:r w:rsidR="00FB0E96">
        <w:instrText xml:space="preserve"> \* MERGEFORMAT </w:instrText>
      </w:r>
      <w:r w:rsidR="00614A9C">
        <w:fldChar w:fldCharType="separate"/>
      </w:r>
      <w:r w:rsidR="003511D3">
        <w:t xml:space="preserve">Table </w:t>
      </w:r>
      <w:r w:rsidR="003511D3">
        <w:rPr>
          <w:noProof/>
        </w:rPr>
        <w:t>12</w:t>
      </w:r>
      <w:r w:rsidR="00614A9C">
        <w:fldChar w:fldCharType="end"/>
      </w:r>
      <w:r w:rsidR="00614A9C">
        <w:t>. A</w:t>
      </w:r>
      <w:r w:rsidR="00342742" w:rsidRPr="008602F0">
        <w:t xml:space="preserve">t </w:t>
      </w:r>
      <w:r w:rsidR="00D07870">
        <w:t>one-</w:t>
      </w:r>
      <w:r w:rsidR="00342742" w:rsidRPr="008602F0">
        <w:t>month</w:t>
      </w:r>
      <w:r w:rsidR="00951DB6">
        <w:t xml:space="preserve"> post procedure</w:t>
      </w:r>
      <w:r w:rsidR="00342742" w:rsidRPr="008602F0">
        <w:t xml:space="preserve">, </w:t>
      </w:r>
      <w:r w:rsidR="00C268B4">
        <w:t>patients</w:t>
      </w:r>
      <w:r w:rsidR="00C268B4" w:rsidRPr="008602F0">
        <w:t xml:space="preserve"> </w:t>
      </w:r>
      <w:r w:rsidR="00342742" w:rsidRPr="008602F0">
        <w:t>in the LATERA arm experienced a greater reduction in NOSE score</w:t>
      </w:r>
      <w:r w:rsidR="00776042">
        <w:t xml:space="preserve"> than the sham arm</w:t>
      </w:r>
      <w:r w:rsidR="00342742" w:rsidRPr="008602F0">
        <w:t xml:space="preserve">, albeit the </w:t>
      </w:r>
      <w:r w:rsidR="00BA01DC">
        <w:t>mean difference</w:t>
      </w:r>
      <w:r w:rsidR="00342742">
        <w:t xml:space="preserve"> </w:t>
      </w:r>
      <w:r w:rsidR="00342742" w:rsidRPr="008602F0">
        <w:t xml:space="preserve">was not statistically different </w:t>
      </w:r>
      <w:r w:rsidR="00557FE4">
        <w:t>p</w:t>
      </w:r>
      <w:r w:rsidR="00A176F4">
        <w:t>=0.29</w:t>
      </w:r>
      <w:r w:rsidR="00342742" w:rsidRPr="008602F0">
        <w:t>.</w:t>
      </w:r>
      <w:r w:rsidR="00342742">
        <w:t xml:space="preserve"> The</w:t>
      </w:r>
      <w:r w:rsidR="00E75985">
        <w:t xml:space="preserve"> ADAR suggested that the</w:t>
      </w:r>
      <w:r w:rsidR="00342742">
        <w:t xml:space="preserve"> ‘placebo effect’ at 1 month</w:t>
      </w:r>
      <w:r w:rsidR="00776042">
        <w:t>, observed</w:t>
      </w:r>
      <w:r w:rsidR="00342742">
        <w:t xml:space="preserve"> </w:t>
      </w:r>
      <w:r w:rsidR="00394E20">
        <w:t>in the sham arm</w:t>
      </w:r>
      <w:r w:rsidR="00776042">
        <w:t>,</w:t>
      </w:r>
      <w:r w:rsidR="00394E20">
        <w:t xml:space="preserve"> </w:t>
      </w:r>
      <w:r w:rsidR="00342742" w:rsidRPr="00CA79A0">
        <w:t>is likely explained by minor scarring tissue as a consequence of the cannula insertion, resulting in temporary support and hence improvement</w:t>
      </w:r>
      <w:r w:rsidR="00342742">
        <w:t xml:space="preserve">, </w:t>
      </w:r>
      <w:r w:rsidR="00342742" w:rsidRPr="00DE5D7F">
        <w:t>rather than the regression to the mean phenomenon.</w:t>
      </w:r>
    </w:p>
    <w:p w14:paraId="0FC31296" w14:textId="4B090945" w:rsidR="00342742" w:rsidRDefault="00951DB6" w:rsidP="00FB0E96">
      <w:r>
        <w:t>At t</w:t>
      </w:r>
      <w:r w:rsidR="00D07870" w:rsidRPr="008602F0">
        <w:t>hree-month</w:t>
      </w:r>
      <w:r>
        <w:t>s</w:t>
      </w:r>
      <w:r w:rsidR="00342742" w:rsidRPr="008602F0">
        <w:t xml:space="preserve"> post procedure, on average, subjects in the LATERA arm had statistically greater improvement in NOSE scores than the sham arm, with a mean difference of –19.7 points (95% CI: –28.65, –10.75; p&lt;0.0001).</w:t>
      </w:r>
    </w:p>
    <w:p w14:paraId="7EE1614F" w14:textId="43ADE7E5" w:rsidR="00C517B1" w:rsidDel="00097C9E" w:rsidRDefault="00342742" w:rsidP="00FB0E96">
      <w:r w:rsidDel="00097C9E">
        <w:t xml:space="preserve">The results of the primary endpoint, NOSE response, based on </w:t>
      </w:r>
      <w:r w:rsidR="00A74977">
        <w:t xml:space="preserve">per protocol </w:t>
      </w:r>
      <w:r w:rsidDel="00097C9E">
        <w:t xml:space="preserve">and an indicative </w:t>
      </w:r>
      <w:r w:rsidR="00A74977">
        <w:t>intention-to-treat</w:t>
      </w:r>
      <w:r w:rsidDel="00097C9E">
        <w:t xml:space="preserve"> analysis constructed for the </w:t>
      </w:r>
      <w:r w:rsidR="006C3DDF">
        <w:t>ADAR</w:t>
      </w:r>
      <w:r w:rsidDel="00097C9E">
        <w:t>, based on individual patient level data are displayed in</w:t>
      </w:r>
      <w:r w:rsidR="005C67BE">
        <w:t xml:space="preserve"> </w:t>
      </w:r>
      <w:r w:rsidR="006C3DDF">
        <w:fldChar w:fldCharType="begin"/>
      </w:r>
      <w:r w:rsidR="006C3DDF">
        <w:instrText xml:space="preserve"> REF _Ref127975851 \h </w:instrText>
      </w:r>
      <w:r w:rsidR="006C3DDF">
        <w:fldChar w:fldCharType="separate"/>
      </w:r>
      <w:r w:rsidR="003511D3">
        <w:t xml:space="preserve">Table </w:t>
      </w:r>
      <w:r w:rsidR="003511D3">
        <w:rPr>
          <w:noProof/>
        </w:rPr>
        <w:t>13</w:t>
      </w:r>
      <w:r w:rsidR="006C3DDF">
        <w:fldChar w:fldCharType="end"/>
      </w:r>
      <w:r w:rsidR="002C67E1" w:rsidDel="00097C9E">
        <w:t>.</w:t>
      </w:r>
    </w:p>
    <w:p w14:paraId="5EE110BD" w14:textId="7A7B0F5A" w:rsidR="00012316" w:rsidRPr="007064F9" w:rsidRDefault="00012316" w:rsidP="00FB0E96">
      <w:r w:rsidRPr="007064F9">
        <w:t xml:space="preserve">The </w:t>
      </w:r>
      <w:r w:rsidR="004C281C">
        <w:t>c</w:t>
      </w:r>
      <w:r w:rsidR="006F5910">
        <w:t>ommentary consider</w:t>
      </w:r>
      <w:r w:rsidR="00592D7A">
        <w:t xml:space="preserve">ed the </w:t>
      </w:r>
      <w:r w:rsidRPr="007064F9">
        <w:t xml:space="preserve">applicability of results from the LATERA-RCT to the population for whom listing is sought is highly uncertain because (i) no patient recruited to the LATERA-RCT trial would be considered representative of the </w:t>
      </w:r>
      <w:r w:rsidR="007C754D">
        <w:t xml:space="preserve">moderate </w:t>
      </w:r>
      <w:r w:rsidRPr="007064F9">
        <w:t xml:space="preserve">population of patients for whom LATERA is being sought </w:t>
      </w:r>
      <w:r>
        <w:t>(</w:t>
      </w:r>
      <w:r w:rsidRPr="007064F9">
        <w:t xml:space="preserve">i.e. patients who are moderate NOSE score </w:t>
      </w:r>
      <w:r w:rsidR="00DA66A4" w:rsidRPr="00DA66A4">
        <w:t>of 45-54</w:t>
      </w:r>
      <w:r w:rsidR="00DA66A4">
        <w:t xml:space="preserve"> </w:t>
      </w:r>
      <w:r w:rsidRPr="007064F9">
        <w:t>were not recruited</w:t>
      </w:r>
      <w:r>
        <w:t>)</w:t>
      </w:r>
      <w:r w:rsidRPr="007064F9">
        <w:t xml:space="preserve"> (ii) the Sham </w:t>
      </w:r>
      <w:r w:rsidR="00A828A1">
        <w:t xml:space="preserve">procedure </w:t>
      </w:r>
      <w:r w:rsidRPr="007064F9">
        <w:t>is not reflective of conservative management, although the incremental treatment effect between LATERA and conservative management is biased against LATERA</w:t>
      </w:r>
      <w:r w:rsidR="00B67D70">
        <w:t xml:space="preserve"> with </w:t>
      </w:r>
      <w:r w:rsidR="0051207A">
        <w:t xml:space="preserve">demonstrated </w:t>
      </w:r>
      <w:r w:rsidR="006431A4">
        <w:t xml:space="preserve"> treatment </w:t>
      </w:r>
      <w:r w:rsidR="00B67D70">
        <w:t xml:space="preserve">effect </w:t>
      </w:r>
      <w:r w:rsidR="005407E4">
        <w:t xml:space="preserve">at </w:t>
      </w:r>
      <w:r w:rsidR="00846E53">
        <w:t>one</w:t>
      </w:r>
      <w:r w:rsidR="005407E4">
        <w:t xml:space="preserve"> month MD </w:t>
      </w:r>
      <w:r w:rsidR="005407E4" w:rsidRPr="005407E4">
        <w:t>-4.80 (</w:t>
      </w:r>
      <w:r w:rsidR="005407E4">
        <w:t>95% CI</w:t>
      </w:r>
      <w:r w:rsidR="00846E53">
        <w:t xml:space="preserve"> </w:t>
      </w:r>
      <w:r w:rsidR="005407E4" w:rsidRPr="005407E4">
        <w:t>-13.76, 4.16); p=0.29</w:t>
      </w:r>
      <w:r w:rsidR="007E5DB6" w:rsidRPr="007E5DB6">
        <w:t xml:space="preserve"> although not significant</w:t>
      </w:r>
      <w:r w:rsidR="007E5DB6">
        <w:t>.</w:t>
      </w:r>
      <w:r w:rsidR="00C65DEC" w:rsidRPr="00C65DEC">
        <w:t xml:space="preserve"> </w:t>
      </w:r>
      <w:r w:rsidR="007C4D36">
        <w:t>It is understood that t</w:t>
      </w:r>
      <w:r w:rsidR="00C65DEC">
        <w:t xml:space="preserve">he insertion of the canula </w:t>
      </w:r>
      <w:r w:rsidR="00C65DEC" w:rsidRPr="00C65DEC">
        <w:t>triggered temporary mechanical support caused by the scar tissue within the lateral wall, resulting in the observed sham benefits.</w:t>
      </w:r>
    </w:p>
    <w:p w14:paraId="776B1F2A" w14:textId="2ABE5860" w:rsidR="00C517B1" w:rsidRDefault="00C517B1" w:rsidP="00C517B1">
      <w:pPr>
        <w:pStyle w:val="Caption"/>
      </w:pPr>
      <w:bookmarkStart w:id="34" w:name="_Ref119440268"/>
      <w:r>
        <w:lastRenderedPageBreak/>
        <w:t xml:space="preserve">Table </w:t>
      </w:r>
      <w:r>
        <w:fldChar w:fldCharType="begin"/>
      </w:r>
      <w:r>
        <w:instrText>SEQ Table \* ARABIC</w:instrText>
      </w:r>
      <w:r>
        <w:fldChar w:fldCharType="separate"/>
      </w:r>
      <w:r w:rsidR="003511D3">
        <w:rPr>
          <w:noProof/>
        </w:rPr>
        <w:t>12</w:t>
      </w:r>
      <w:r>
        <w:fldChar w:fldCharType="end"/>
      </w:r>
      <w:bookmarkEnd w:id="34"/>
      <w:r>
        <w:tab/>
        <w:t xml:space="preserve">Change from baseline in NOSE score </w:t>
      </w:r>
    </w:p>
    <w:tbl>
      <w:tblPr>
        <w:tblStyle w:val="TableGrid"/>
        <w:tblW w:w="5113" w:type="pct"/>
        <w:tblLayout w:type="fixed"/>
        <w:tblLook w:val="04A0" w:firstRow="1" w:lastRow="0" w:firstColumn="1" w:lastColumn="0" w:noHBand="0" w:noVBand="1"/>
      </w:tblPr>
      <w:tblGrid>
        <w:gridCol w:w="902"/>
        <w:gridCol w:w="492"/>
        <w:gridCol w:w="730"/>
        <w:gridCol w:w="422"/>
        <w:gridCol w:w="708"/>
        <w:gridCol w:w="481"/>
        <w:gridCol w:w="723"/>
        <w:gridCol w:w="11"/>
        <w:gridCol w:w="417"/>
        <w:gridCol w:w="666"/>
        <w:gridCol w:w="11"/>
        <w:gridCol w:w="446"/>
        <w:gridCol w:w="692"/>
        <w:gridCol w:w="11"/>
        <w:gridCol w:w="420"/>
        <w:gridCol w:w="843"/>
        <w:gridCol w:w="1245"/>
      </w:tblGrid>
      <w:tr w:rsidR="00715455" w14:paraId="2FAB307B" w14:textId="77777777" w:rsidTr="00AE4565">
        <w:tc>
          <w:tcPr>
            <w:tcW w:w="489" w:type="pct"/>
            <w:vMerge w:val="restart"/>
            <w:tcBorders>
              <w:top w:val="single" w:sz="4" w:space="0" w:color="auto"/>
            </w:tcBorders>
            <w:shd w:val="clear" w:color="auto" w:fill="auto"/>
            <w:vAlign w:val="bottom"/>
          </w:tcPr>
          <w:p w14:paraId="487DC6B2" w14:textId="4A319837" w:rsidR="00715455" w:rsidRDefault="00715455" w:rsidP="00715455">
            <w:pPr>
              <w:pStyle w:val="Tabletext0"/>
              <w:jc w:val="left"/>
            </w:pPr>
            <w:r>
              <w:rPr>
                <w:b/>
                <w:bCs/>
              </w:rPr>
              <w:t>Follow-up</w:t>
            </w:r>
            <w:r w:rsidRPr="00600A0A">
              <w:rPr>
                <w:b/>
                <w:bCs/>
              </w:rPr>
              <w:t xml:space="preserve"> / analysis</w:t>
            </w:r>
            <w:r>
              <w:rPr>
                <w:b/>
                <w:bCs/>
              </w:rPr>
              <w:t xml:space="preserve"> set</w:t>
            </w:r>
          </w:p>
        </w:tc>
        <w:tc>
          <w:tcPr>
            <w:tcW w:w="3836" w:type="pct"/>
            <w:gridSpan w:val="15"/>
            <w:shd w:val="clear" w:color="auto" w:fill="auto"/>
          </w:tcPr>
          <w:p w14:paraId="1C3C86CA" w14:textId="77777777" w:rsidR="00715455" w:rsidRPr="009713B4" w:rsidRDefault="00715455" w:rsidP="00E2534A">
            <w:pPr>
              <w:pStyle w:val="Tabletext0"/>
              <w:jc w:val="center"/>
              <w:rPr>
                <w:b/>
              </w:rPr>
            </w:pPr>
            <w:r>
              <w:rPr>
                <w:b/>
              </w:rPr>
              <w:t>LATERA-RCT</w:t>
            </w:r>
          </w:p>
        </w:tc>
        <w:tc>
          <w:tcPr>
            <w:tcW w:w="675" w:type="pct"/>
            <w:tcBorders>
              <w:top w:val="single" w:sz="4" w:space="0" w:color="auto"/>
              <w:bottom w:val="nil"/>
            </w:tcBorders>
            <w:shd w:val="clear" w:color="auto" w:fill="auto"/>
          </w:tcPr>
          <w:p w14:paraId="590BAAFA" w14:textId="77777777" w:rsidR="00715455" w:rsidRPr="009713B4" w:rsidRDefault="00715455" w:rsidP="00E2534A">
            <w:pPr>
              <w:pStyle w:val="Tabletext0"/>
              <w:jc w:val="left"/>
              <w:rPr>
                <w:b/>
                <w:bCs/>
              </w:rPr>
            </w:pPr>
          </w:p>
        </w:tc>
      </w:tr>
      <w:tr w:rsidR="00715455" w14:paraId="474A5C3A" w14:textId="77777777" w:rsidTr="00AE4565">
        <w:tc>
          <w:tcPr>
            <w:tcW w:w="489" w:type="pct"/>
            <w:vMerge/>
            <w:shd w:val="clear" w:color="auto" w:fill="auto"/>
          </w:tcPr>
          <w:p w14:paraId="556FBB98" w14:textId="1E221612" w:rsidR="00715455" w:rsidRDefault="00715455" w:rsidP="00E2534A">
            <w:pPr>
              <w:pStyle w:val="Tabletext0"/>
              <w:jc w:val="left"/>
            </w:pPr>
          </w:p>
        </w:tc>
        <w:tc>
          <w:tcPr>
            <w:tcW w:w="1934" w:type="pct"/>
            <w:gridSpan w:val="7"/>
            <w:shd w:val="clear" w:color="auto" w:fill="auto"/>
          </w:tcPr>
          <w:p w14:paraId="3A7C990D" w14:textId="77777777" w:rsidR="00715455" w:rsidRPr="009713B4" w:rsidRDefault="00715455" w:rsidP="00E2534A">
            <w:pPr>
              <w:pStyle w:val="Tabletext0"/>
              <w:jc w:val="center"/>
              <w:rPr>
                <w:b/>
              </w:rPr>
            </w:pPr>
            <w:r>
              <w:rPr>
                <w:b/>
              </w:rPr>
              <w:t>LATERA</w:t>
            </w:r>
          </w:p>
        </w:tc>
        <w:tc>
          <w:tcPr>
            <w:tcW w:w="1901" w:type="pct"/>
            <w:gridSpan w:val="8"/>
            <w:shd w:val="clear" w:color="auto" w:fill="auto"/>
          </w:tcPr>
          <w:p w14:paraId="5908519A" w14:textId="77777777" w:rsidR="00715455" w:rsidRPr="009713B4" w:rsidRDefault="00715455" w:rsidP="00E2534A">
            <w:pPr>
              <w:pStyle w:val="Tabletext0"/>
              <w:jc w:val="center"/>
              <w:rPr>
                <w:b/>
              </w:rPr>
            </w:pPr>
            <w:r w:rsidRPr="009713B4">
              <w:rPr>
                <w:b/>
              </w:rPr>
              <w:t>Sham</w:t>
            </w:r>
          </w:p>
        </w:tc>
        <w:tc>
          <w:tcPr>
            <w:tcW w:w="675" w:type="pct"/>
            <w:vMerge w:val="restart"/>
            <w:tcBorders>
              <w:top w:val="single" w:sz="4" w:space="0" w:color="auto"/>
            </w:tcBorders>
            <w:shd w:val="clear" w:color="auto" w:fill="auto"/>
          </w:tcPr>
          <w:p w14:paraId="2F2F5E88" w14:textId="33892EC7" w:rsidR="00715455" w:rsidRPr="009713B4" w:rsidRDefault="00715455" w:rsidP="00E2534A">
            <w:pPr>
              <w:pStyle w:val="Tabletext0"/>
              <w:jc w:val="left"/>
              <w:rPr>
                <w:b/>
                <w:bCs/>
              </w:rPr>
            </w:pPr>
            <w:r>
              <w:rPr>
                <w:b/>
                <w:bCs/>
              </w:rPr>
              <w:t>LATERA vs Sham</w:t>
            </w:r>
          </w:p>
        </w:tc>
      </w:tr>
      <w:tr w:rsidR="00715455" w14:paraId="689BB495" w14:textId="77777777" w:rsidTr="00AE4565">
        <w:tc>
          <w:tcPr>
            <w:tcW w:w="489" w:type="pct"/>
            <w:vMerge/>
            <w:shd w:val="clear" w:color="auto" w:fill="auto"/>
          </w:tcPr>
          <w:p w14:paraId="0AC0E83A" w14:textId="7FBE7DF3" w:rsidR="00715455" w:rsidRDefault="00715455" w:rsidP="00E2534A">
            <w:pPr>
              <w:pStyle w:val="Tabletext0"/>
              <w:jc w:val="left"/>
            </w:pPr>
          </w:p>
        </w:tc>
        <w:tc>
          <w:tcPr>
            <w:tcW w:w="663" w:type="pct"/>
            <w:gridSpan w:val="2"/>
            <w:shd w:val="clear" w:color="auto" w:fill="auto"/>
          </w:tcPr>
          <w:p w14:paraId="2599B3AB" w14:textId="77777777" w:rsidR="00715455" w:rsidRPr="009713B4" w:rsidRDefault="00715455" w:rsidP="00E2534A">
            <w:pPr>
              <w:pStyle w:val="Tabletext0"/>
              <w:jc w:val="center"/>
              <w:rPr>
                <w:b/>
              </w:rPr>
            </w:pPr>
            <w:r w:rsidRPr="009713B4">
              <w:rPr>
                <w:b/>
              </w:rPr>
              <w:t>Baseline</w:t>
            </w:r>
          </w:p>
        </w:tc>
        <w:tc>
          <w:tcPr>
            <w:tcW w:w="613" w:type="pct"/>
            <w:gridSpan w:val="2"/>
            <w:shd w:val="clear" w:color="auto" w:fill="auto"/>
          </w:tcPr>
          <w:p w14:paraId="148E5C40" w14:textId="77777777" w:rsidR="00715455" w:rsidRPr="009713B4" w:rsidRDefault="00715455" w:rsidP="00E2534A">
            <w:pPr>
              <w:pStyle w:val="Tabletext0"/>
              <w:jc w:val="center"/>
              <w:rPr>
                <w:b/>
              </w:rPr>
            </w:pPr>
            <w:r>
              <w:rPr>
                <w:b/>
              </w:rPr>
              <w:t>Follow-up</w:t>
            </w:r>
            <w:r w:rsidRPr="009713B4">
              <w:rPr>
                <w:b/>
              </w:rPr>
              <w:t xml:space="preserve"> </w:t>
            </w:r>
          </w:p>
        </w:tc>
        <w:tc>
          <w:tcPr>
            <w:tcW w:w="653" w:type="pct"/>
            <w:gridSpan w:val="2"/>
            <w:shd w:val="clear" w:color="auto" w:fill="auto"/>
          </w:tcPr>
          <w:p w14:paraId="3475AE69" w14:textId="77777777" w:rsidR="00715455" w:rsidRPr="009713B4" w:rsidRDefault="00715455" w:rsidP="00E2534A">
            <w:pPr>
              <w:pStyle w:val="Tabletext0"/>
              <w:jc w:val="left"/>
              <w:rPr>
                <w:b/>
              </w:rPr>
            </w:pPr>
            <w:r w:rsidRPr="009713B4">
              <w:rPr>
                <w:b/>
              </w:rPr>
              <w:t xml:space="preserve">Change </w:t>
            </w:r>
          </w:p>
        </w:tc>
        <w:tc>
          <w:tcPr>
            <w:tcW w:w="593" w:type="pct"/>
            <w:gridSpan w:val="3"/>
            <w:shd w:val="clear" w:color="auto" w:fill="auto"/>
          </w:tcPr>
          <w:p w14:paraId="21B0BD99" w14:textId="77777777" w:rsidR="00715455" w:rsidRPr="009713B4" w:rsidRDefault="00715455" w:rsidP="00E2534A">
            <w:pPr>
              <w:pStyle w:val="Tabletext0"/>
              <w:jc w:val="left"/>
              <w:rPr>
                <w:b/>
              </w:rPr>
            </w:pPr>
            <w:r w:rsidRPr="009713B4">
              <w:rPr>
                <w:b/>
              </w:rPr>
              <w:t>Baseline</w:t>
            </w:r>
          </w:p>
        </w:tc>
        <w:tc>
          <w:tcPr>
            <w:tcW w:w="623" w:type="pct"/>
            <w:gridSpan w:val="3"/>
            <w:shd w:val="clear" w:color="auto" w:fill="auto"/>
          </w:tcPr>
          <w:p w14:paraId="14666D0D" w14:textId="77777777" w:rsidR="00715455" w:rsidRPr="009713B4" w:rsidRDefault="00715455" w:rsidP="00E2534A">
            <w:pPr>
              <w:pStyle w:val="Tabletext0"/>
              <w:jc w:val="left"/>
              <w:rPr>
                <w:b/>
              </w:rPr>
            </w:pPr>
            <w:r>
              <w:rPr>
                <w:b/>
              </w:rPr>
              <w:t>Follow-up</w:t>
            </w:r>
            <w:r w:rsidRPr="009713B4">
              <w:rPr>
                <w:b/>
              </w:rPr>
              <w:t xml:space="preserve"> </w:t>
            </w:r>
          </w:p>
        </w:tc>
        <w:tc>
          <w:tcPr>
            <w:tcW w:w="691" w:type="pct"/>
            <w:gridSpan w:val="3"/>
            <w:shd w:val="clear" w:color="auto" w:fill="auto"/>
          </w:tcPr>
          <w:p w14:paraId="387256BA" w14:textId="77777777" w:rsidR="00715455" w:rsidRPr="009713B4" w:rsidRDefault="00715455" w:rsidP="00E2534A">
            <w:pPr>
              <w:pStyle w:val="Tabletext0"/>
              <w:jc w:val="left"/>
              <w:rPr>
                <w:b/>
              </w:rPr>
            </w:pPr>
            <w:r w:rsidRPr="009713B4">
              <w:rPr>
                <w:b/>
              </w:rPr>
              <w:t xml:space="preserve">Change </w:t>
            </w:r>
          </w:p>
        </w:tc>
        <w:tc>
          <w:tcPr>
            <w:tcW w:w="675" w:type="pct"/>
            <w:vMerge/>
            <w:tcBorders>
              <w:bottom w:val="nil"/>
            </w:tcBorders>
            <w:shd w:val="clear" w:color="auto" w:fill="auto"/>
          </w:tcPr>
          <w:p w14:paraId="1575F098" w14:textId="41C27716" w:rsidR="00715455" w:rsidRPr="009713B4" w:rsidRDefault="00715455" w:rsidP="00E2534A">
            <w:pPr>
              <w:pStyle w:val="Tabletext0"/>
              <w:jc w:val="left"/>
              <w:rPr>
                <w:b/>
                <w:bCs/>
              </w:rPr>
            </w:pPr>
          </w:p>
        </w:tc>
      </w:tr>
      <w:tr w:rsidR="00715455" w14:paraId="0D49EAEE" w14:textId="77777777" w:rsidTr="00AE4565">
        <w:tc>
          <w:tcPr>
            <w:tcW w:w="489" w:type="pct"/>
            <w:vMerge/>
            <w:shd w:val="clear" w:color="auto" w:fill="auto"/>
          </w:tcPr>
          <w:p w14:paraId="386BAF44" w14:textId="1F445856" w:rsidR="00715455" w:rsidRPr="00600A0A" w:rsidRDefault="00715455" w:rsidP="00E2534A">
            <w:pPr>
              <w:pStyle w:val="Tabletext0"/>
              <w:jc w:val="left"/>
              <w:rPr>
                <w:b/>
                <w:bCs/>
              </w:rPr>
            </w:pPr>
          </w:p>
        </w:tc>
        <w:tc>
          <w:tcPr>
            <w:tcW w:w="267" w:type="pct"/>
            <w:shd w:val="clear" w:color="auto" w:fill="auto"/>
          </w:tcPr>
          <w:p w14:paraId="162F9634" w14:textId="77777777" w:rsidR="00715455" w:rsidRPr="004275AF" w:rsidRDefault="00715455" w:rsidP="00E2534A">
            <w:pPr>
              <w:pStyle w:val="Tabletext0"/>
              <w:jc w:val="center"/>
              <w:rPr>
                <w:bCs/>
              </w:rPr>
            </w:pPr>
            <w:r w:rsidRPr="004275AF">
              <w:rPr>
                <w:bCs/>
              </w:rPr>
              <w:t>n</w:t>
            </w:r>
          </w:p>
        </w:tc>
        <w:tc>
          <w:tcPr>
            <w:tcW w:w="396" w:type="pct"/>
            <w:shd w:val="clear" w:color="auto" w:fill="auto"/>
          </w:tcPr>
          <w:p w14:paraId="3AA1FBD8" w14:textId="77777777" w:rsidR="00715455" w:rsidRPr="004275AF" w:rsidRDefault="00715455" w:rsidP="00E2534A">
            <w:pPr>
              <w:pStyle w:val="Tabletext0"/>
              <w:jc w:val="center"/>
              <w:rPr>
                <w:bCs/>
              </w:rPr>
            </w:pPr>
            <w:r w:rsidRPr="004275AF">
              <w:rPr>
                <w:bCs/>
              </w:rPr>
              <w:t>Mean</w:t>
            </w:r>
            <w:r>
              <w:t>±SD</w:t>
            </w:r>
          </w:p>
        </w:tc>
        <w:tc>
          <w:tcPr>
            <w:tcW w:w="229" w:type="pct"/>
            <w:shd w:val="clear" w:color="auto" w:fill="auto"/>
          </w:tcPr>
          <w:p w14:paraId="734754B9" w14:textId="77777777" w:rsidR="00715455" w:rsidRPr="004275AF" w:rsidRDefault="00715455" w:rsidP="00E2534A">
            <w:pPr>
              <w:pStyle w:val="Tabletext0"/>
              <w:jc w:val="center"/>
              <w:rPr>
                <w:bCs/>
              </w:rPr>
            </w:pPr>
            <w:r w:rsidRPr="004275AF">
              <w:rPr>
                <w:bCs/>
              </w:rPr>
              <w:t>N</w:t>
            </w:r>
          </w:p>
        </w:tc>
        <w:tc>
          <w:tcPr>
            <w:tcW w:w="384" w:type="pct"/>
            <w:shd w:val="clear" w:color="auto" w:fill="auto"/>
          </w:tcPr>
          <w:p w14:paraId="128A3372" w14:textId="77777777" w:rsidR="00715455" w:rsidRPr="004275AF" w:rsidRDefault="00715455" w:rsidP="00E2534A">
            <w:pPr>
              <w:pStyle w:val="Tabletext0"/>
              <w:jc w:val="center"/>
              <w:rPr>
                <w:bCs/>
              </w:rPr>
            </w:pPr>
            <w:r w:rsidRPr="004275AF">
              <w:rPr>
                <w:bCs/>
              </w:rPr>
              <w:t>Mean</w:t>
            </w:r>
            <w:r>
              <w:t>±SD</w:t>
            </w:r>
          </w:p>
        </w:tc>
        <w:tc>
          <w:tcPr>
            <w:tcW w:w="261" w:type="pct"/>
            <w:shd w:val="clear" w:color="auto" w:fill="auto"/>
          </w:tcPr>
          <w:p w14:paraId="5AE4682A" w14:textId="77777777" w:rsidR="00715455" w:rsidRPr="004275AF" w:rsidRDefault="00715455" w:rsidP="00E2534A">
            <w:pPr>
              <w:pStyle w:val="Tabletext0"/>
              <w:jc w:val="left"/>
              <w:rPr>
                <w:bCs/>
              </w:rPr>
            </w:pPr>
            <w:r w:rsidRPr="004275AF">
              <w:rPr>
                <w:bCs/>
              </w:rPr>
              <w:t>n</w:t>
            </w:r>
          </w:p>
        </w:tc>
        <w:tc>
          <w:tcPr>
            <w:tcW w:w="398" w:type="pct"/>
            <w:gridSpan w:val="2"/>
            <w:shd w:val="clear" w:color="auto" w:fill="auto"/>
          </w:tcPr>
          <w:p w14:paraId="077D059A" w14:textId="77777777" w:rsidR="00715455" w:rsidRPr="004275AF" w:rsidRDefault="00715455" w:rsidP="00E2534A">
            <w:pPr>
              <w:pStyle w:val="Tabletext0"/>
              <w:jc w:val="left"/>
              <w:rPr>
                <w:bCs/>
              </w:rPr>
            </w:pPr>
            <w:r w:rsidRPr="004275AF">
              <w:rPr>
                <w:bCs/>
              </w:rPr>
              <w:t>Mean</w:t>
            </w:r>
            <w:r>
              <w:t>±SD</w:t>
            </w:r>
          </w:p>
        </w:tc>
        <w:tc>
          <w:tcPr>
            <w:tcW w:w="226" w:type="pct"/>
            <w:shd w:val="clear" w:color="auto" w:fill="auto"/>
          </w:tcPr>
          <w:p w14:paraId="624C9F76" w14:textId="77777777" w:rsidR="00715455" w:rsidRPr="004275AF" w:rsidRDefault="00715455" w:rsidP="00E2534A">
            <w:pPr>
              <w:pStyle w:val="Tabletext0"/>
              <w:jc w:val="left"/>
              <w:rPr>
                <w:bCs/>
              </w:rPr>
            </w:pPr>
            <w:r w:rsidRPr="004275AF">
              <w:rPr>
                <w:bCs/>
              </w:rPr>
              <w:t>n</w:t>
            </w:r>
          </w:p>
        </w:tc>
        <w:tc>
          <w:tcPr>
            <w:tcW w:w="367" w:type="pct"/>
            <w:gridSpan w:val="2"/>
            <w:shd w:val="clear" w:color="auto" w:fill="auto"/>
          </w:tcPr>
          <w:p w14:paraId="308E6CC0" w14:textId="77777777" w:rsidR="00715455" w:rsidRPr="004275AF" w:rsidRDefault="00715455" w:rsidP="00E2534A">
            <w:pPr>
              <w:pStyle w:val="Tabletext0"/>
              <w:jc w:val="left"/>
              <w:rPr>
                <w:bCs/>
              </w:rPr>
            </w:pPr>
            <w:r w:rsidRPr="004275AF">
              <w:rPr>
                <w:bCs/>
              </w:rPr>
              <w:t>Mean</w:t>
            </w:r>
            <w:r>
              <w:t>±SD</w:t>
            </w:r>
          </w:p>
        </w:tc>
        <w:tc>
          <w:tcPr>
            <w:tcW w:w="242" w:type="pct"/>
            <w:shd w:val="clear" w:color="auto" w:fill="auto"/>
          </w:tcPr>
          <w:p w14:paraId="62EED764" w14:textId="77777777" w:rsidR="00715455" w:rsidRPr="004275AF" w:rsidRDefault="00715455" w:rsidP="00E2534A">
            <w:pPr>
              <w:pStyle w:val="Tabletext0"/>
              <w:jc w:val="left"/>
              <w:rPr>
                <w:bCs/>
              </w:rPr>
            </w:pPr>
            <w:r w:rsidRPr="004275AF">
              <w:rPr>
                <w:bCs/>
              </w:rPr>
              <w:t>n</w:t>
            </w:r>
          </w:p>
        </w:tc>
        <w:tc>
          <w:tcPr>
            <w:tcW w:w="381" w:type="pct"/>
            <w:gridSpan w:val="2"/>
            <w:shd w:val="clear" w:color="auto" w:fill="auto"/>
          </w:tcPr>
          <w:p w14:paraId="7FCA08C4" w14:textId="77777777" w:rsidR="00715455" w:rsidRPr="004275AF" w:rsidRDefault="00715455" w:rsidP="00E2534A">
            <w:pPr>
              <w:pStyle w:val="Tabletext0"/>
              <w:jc w:val="left"/>
              <w:rPr>
                <w:bCs/>
              </w:rPr>
            </w:pPr>
            <w:r w:rsidRPr="004275AF">
              <w:rPr>
                <w:bCs/>
              </w:rPr>
              <w:t>Mean</w:t>
            </w:r>
            <w:r>
              <w:t>±SD</w:t>
            </w:r>
          </w:p>
        </w:tc>
        <w:tc>
          <w:tcPr>
            <w:tcW w:w="228" w:type="pct"/>
            <w:shd w:val="clear" w:color="auto" w:fill="auto"/>
          </w:tcPr>
          <w:p w14:paraId="04BF478F" w14:textId="77777777" w:rsidR="00715455" w:rsidRPr="004275AF" w:rsidRDefault="00715455" w:rsidP="00E2534A">
            <w:pPr>
              <w:pStyle w:val="Tabletext0"/>
              <w:jc w:val="left"/>
              <w:rPr>
                <w:bCs/>
              </w:rPr>
            </w:pPr>
            <w:r w:rsidRPr="004275AF">
              <w:rPr>
                <w:bCs/>
              </w:rPr>
              <w:t>n</w:t>
            </w:r>
          </w:p>
        </w:tc>
        <w:tc>
          <w:tcPr>
            <w:tcW w:w="457" w:type="pct"/>
            <w:shd w:val="clear" w:color="auto" w:fill="auto"/>
          </w:tcPr>
          <w:p w14:paraId="3928F245" w14:textId="77777777" w:rsidR="00715455" w:rsidRPr="004275AF" w:rsidRDefault="00715455" w:rsidP="00E2534A">
            <w:pPr>
              <w:pStyle w:val="Tabletext0"/>
              <w:jc w:val="left"/>
              <w:rPr>
                <w:bCs/>
              </w:rPr>
            </w:pPr>
            <w:r w:rsidRPr="004275AF">
              <w:rPr>
                <w:bCs/>
              </w:rPr>
              <w:t>Mean</w:t>
            </w:r>
            <w:r>
              <w:rPr>
                <w:bCs/>
              </w:rPr>
              <w:t xml:space="preserve"> change </w:t>
            </w:r>
            <w:r>
              <w:t>±SD</w:t>
            </w:r>
          </w:p>
        </w:tc>
        <w:tc>
          <w:tcPr>
            <w:tcW w:w="675" w:type="pct"/>
            <w:tcBorders>
              <w:top w:val="nil"/>
            </w:tcBorders>
            <w:shd w:val="clear" w:color="auto" w:fill="auto"/>
          </w:tcPr>
          <w:p w14:paraId="72E3192E" w14:textId="77777777" w:rsidR="00715455" w:rsidRPr="009713B4" w:rsidRDefault="00715455" w:rsidP="00E2534A">
            <w:pPr>
              <w:pStyle w:val="Tabletext0"/>
              <w:jc w:val="left"/>
              <w:rPr>
                <w:b/>
                <w:bCs/>
              </w:rPr>
            </w:pPr>
            <w:r w:rsidRPr="009713B4">
              <w:rPr>
                <w:b/>
                <w:bCs/>
              </w:rPr>
              <w:t>MD (95% CI); p value</w:t>
            </w:r>
            <w:r w:rsidRPr="009713B4">
              <w:rPr>
                <w:b/>
                <w:bCs/>
                <w:vertAlign w:val="superscript"/>
              </w:rPr>
              <w:t>a</w:t>
            </w:r>
          </w:p>
        </w:tc>
      </w:tr>
      <w:tr w:rsidR="00E40674" w14:paraId="79D19C70" w14:textId="77777777" w:rsidTr="00AE4565">
        <w:tc>
          <w:tcPr>
            <w:tcW w:w="489" w:type="pct"/>
          </w:tcPr>
          <w:p w14:paraId="67C6719E" w14:textId="77777777" w:rsidR="00E40674" w:rsidRDefault="00E40674" w:rsidP="00E2534A">
            <w:pPr>
              <w:pStyle w:val="Tabletext0"/>
              <w:jc w:val="left"/>
            </w:pPr>
            <w:r>
              <w:t>1 months – PP</w:t>
            </w:r>
          </w:p>
        </w:tc>
        <w:tc>
          <w:tcPr>
            <w:tcW w:w="267" w:type="pct"/>
          </w:tcPr>
          <w:p w14:paraId="4301AD57" w14:textId="77777777" w:rsidR="00E40674" w:rsidRDefault="00E40674" w:rsidP="00E2534A">
            <w:pPr>
              <w:pStyle w:val="Tabletext0"/>
              <w:jc w:val="center"/>
            </w:pPr>
            <w:r>
              <w:t>61</w:t>
            </w:r>
          </w:p>
        </w:tc>
        <w:tc>
          <w:tcPr>
            <w:tcW w:w="396" w:type="pct"/>
          </w:tcPr>
          <w:p w14:paraId="3263AE82" w14:textId="77777777" w:rsidR="00E40674" w:rsidRPr="00557F28" w:rsidRDefault="00E40674" w:rsidP="00E2534A">
            <w:pPr>
              <w:pStyle w:val="Tabletext0"/>
              <w:jc w:val="center"/>
            </w:pPr>
            <w:r w:rsidRPr="00600A0A">
              <w:t>77.5±12.9</w:t>
            </w:r>
          </w:p>
        </w:tc>
        <w:tc>
          <w:tcPr>
            <w:tcW w:w="229" w:type="pct"/>
          </w:tcPr>
          <w:p w14:paraId="352A8B24" w14:textId="77777777" w:rsidR="00E40674" w:rsidRDefault="00E40674" w:rsidP="00E2534A">
            <w:pPr>
              <w:pStyle w:val="Tabletext0"/>
              <w:jc w:val="center"/>
            </w:pPr>
            <w:r>
              <w:t>61</w:t>
            </w:r>
          </w:p>
        </w:tc>
        <w:tc>
          <w:tcPr>
            <w:tcW w:w="384" w:type="pct"/>
          </w:tcPr>
          <w:p w14:paraId="3C28BCB8" w14:textId="77777777" w:rsidR="00E40674" w:rsidRDefault="00E40674" w:rsidP="00E2534A">
            <w:pPr>
              <w:pStyle w:val="Tabletext0"/>
              <w:jc w:val="center"/>
            </w:pPr>
            <w:r w:rsidRPr="00251FB3">
              <w:t>40.9±21.0</w:t>
            </w:r>
          </w:p>
        </w:tc>
        <w:tc>
          <w:tcPr>
            <w:tcW w:w="261" w:type="pct"/>
          </w:tcPr>
          <w:p w14:paraId="01DCB41E" w14:textId="77777777" w:rsidR="00E40674" w:rsidRDefault="00E40674" w:rsidP="00E2534A">
            <w:pPr>
              <w:pStyle w:val="Tabletext0"/>
              <w:jc w:val="left"/>
            </w:pPr>
            <w:r>
              <w:t>61</w:t>
            </w:r>
          </w:p>
        </w:tc>
        <w:tc>
          <w:tcPr>
            <w:tcW w:w="398" w:type="pct"/>
            <w:gridSpan w:val="2"/>
          </w:tcPr>
          <w:p w14:paraId="0AF68B23" w14:textId="77777777" w:rsidR="00E40674" w:rsidRDefault="00E40674" w:rsidP="00E2534A">
            <w:pPr>
              <w:pStyle w:val="Tabletext0"/>
              <w:jc w:val="left"/>
            </w:pPr>
            <w:r w:rsidRPr="00251FB3">
              <w:t>−36.6±24.8</w:t>
            </w:r>
          </w:p>
        </w:tc>
        <w:tc>
          <w:tcPr>
            <w:tcW w:w="226" w:type="pct"/>
            <w:tcBorders>
              <w:bottom w:val="single" w:sz="4" w:space="0" w:color="auto"/>
            </w:tcBorders>
          </w:tcPr>
          <w:p w14:paraId="2F4485F3" w14:textId="77777777" w:rsidR="00E40674" w:rsidRDefault="00E40674" w:rsidP="00E2534A">
            <w:pPr>
              <w:pStyle w:val="Tabletext0"/>
              <w:jc w:val="left"/>
            </w:pPr>
            <w:r>
              <w:t>60</w:t>
            </w:r>
          </w:p>
        </w:tc>
        <w:tc>
          <w:tcPr>
            <w:tcW w:w="367" w:type="pct"/>
            <w:gridSpan w:val="2"/>
            <w:tcBorders>
              <w:bottom w:val="single" w:sz="4" w:space="0" w:color="auto"/>
            </w:tcBorders>
          </w:tcPr>
          <w:p w14:paraId="72D389A4" w14:textId="77777777" w:rsidR="00E40674" w:rsidRDefault="00E40674" w:rsidP="00E2534A">
            <w:pPr>
              <w:pStyle w:val="Tabletext0"/>
              <w:jc w:val="left"/>
            </w:pPr>
            <w:r w:rsidRPr="00251FB3">
              <w:t>77.4±15.0</w:t>
            </w:r>
          </w:p>
        </w:tc>
        <w:tc>
          <w:tcPr>
            <w:tcW w:w="242" w:type="pct"/>
            <w:tcBorders>
              <w:bottom w:val="single" w:sz="4" w:space="0" w:color="auto"/>
            </w:tcBorders>
          </w:tcPr>
          <w:p w14:paraId="38544962" w14:textId="77777777" w:rsidR="00E40674" w:rsidRDefault="00E40674" w:rsidP="00E2534A">
            <w:pPr>
              <w:pStyle w:val="Tabletext0"/>
              <w:jc w:val="left"/>
            </w:pPr>
            <w:r>
              <w:t>60</w:t>
            </w:r>
          </w:p>
        </w:tc>
        <w:tc>
          <w:tcPr>
            <w:tcW w:w="381" w:type="pct"/>
            <w:gridSpan w:val="2"/>
            <w:tcBorders>
              <w:bottom w:val="single" w:sz="4" w:space="0" w:color="auto"/>
            </w:tcBorders>
          </w:tcPr>
          <w:p w14:paraId="14900CF2" w14:textId="77777777" w:rsidR="00E40674" w:rsidRDefault="00E40674" w:rsidP="00E2534A">
            <w:pPr>
              <w:pStyle w:val="Tabletext0"/>
              <w:jc w:val="left"/>
            </w:pPr>
            <w:r w:rsidRPr="00251FB3">
              <w:t>45.6 ± 24.2</w:t>
            </w:r>
          </w:p>
        </w:tc>
        <w:tc>
          <w:tcPr>
            <w:tcW w:w="228" w:type="pct"/>
            <w:tcBorders>
              <w:bottom w:val="single" w:sz="4" w:space="0" w:color="auto"/>
            </w:tcBorders>
          </w:tcPr>
          <w:p w14:paraId="754D594E" w14:textId="77777777" w:rsidR="00E40674" w:rsidRDefault="00E40674" w:rsidP="00E2534A">
            <w:pPr>
              <w:pStyle w:val="Tabletext0"/>
              <w:jc w:val="left"/>
            </w:pPr>
            <w:r>
              <w:t>60</w:t>
            </w:r>
          </w:p>
        </w:tc>
        <w:tc>
          <w:tcPr>
            <w:tcW w:w="457" w:type="pct"/>
            <w:tcBorders>
              <w:bottom w:val="single" w:sz="4" w:space="0" w:color="auto"/>
            </w:tcBorders>
          </w:tcPr>
          <w:p w14:paraId="33680AC9" w14:textId="14755357" w:rsidR="00E40674" w:rsidRDefault="00E40674" w:rsidP="00E2534A">
            <w:pPr>
              <w:pStyle w:val="Tabletext0"/>
              <w:jc w:val="left"/>
            </w:pPr>
            <w:r w:rsidRPr="00251FB3">
              <w:t>−31.8 ±25.5</w:t>
            </w:r>
          </w:p>
        </w:tc>
        <w:tc>
          <w:tcPr>
            <w:tcW w:w="675" w:type="pct"/>
          </w:tcPr>
          <w:p w14:paraId="397287D4" w14:textId="77777777" w:rsidR="00E40674" w:rsidRPr="00D75C2C" w:rsidRDefault="00E40674" w:rsidP="00E2534A">
            <w:pPr>
              <w:pStyle w:val="Tabletext0"/>
              <w:jc w:val="left"/>
            </w:pPr>
            <w:r w:rsidRPr="00251FB3">
              <w:t xml:space="preserve">-4.80 </w:t>
            </w:r>
            <w:r>
              <w:t>(</w:t>
            </w:r>
            <w:r w:rsidRPr="00251FB3">
              <w:t>-13.76, 4.16</w:t>
            </w:r>
            <w:r>
              <w:t>); p=0.29</w:t>
            </w:r>
          </w:p>
        </w:tc>
      </w:tr>
      <w:tr w:rsidR="00E40674" w14:paraId="6676739B" w14:textId="77777777" w:rsidTr="00AE4565">
        <w:tc>
          <w:tcPr>
            <w:tcW w:w="489" w:type="pct"/>
          </w:tcPr>
          <w:p w14:paraId="796B7F60" w14:textId="01EABEFF" w:rsidR="00E40674" w:rsidRDefault="00E40674" w:rsidP="00E2534A">
            <w:pPr>
              <w:pStyle w:val="Tabletext0"/>
              <w:jc w:val="left"/>
            </w:pPr>
            <w:r>
              <w:t xml:space="preserve">3 </w:t>
            </w:r>
            <w:r w:rsidR="009F4087">
              <w:t>m</w:t>
            </w:r>
            <w:r>
              <w:t xml:space="preserve">onths – PP </w:t>
            </w:r>
          </w:p>
        </w:tc>
        <w:tc>
          <w:tcPr>
            <w:tcW w:w="267" w:type="pct"/>
          </w:tcPr>
          <w:p w14:paraId="2C028E79" w14:textId="77777777" w:rsidR="00E40674" w:rsidRDefault="00E40674" w:rsidP="00E2534A">
            <w:pPr>
              <w:pStyle w:val="Tabletext0"/>
              <w:jc w:val="center"/>
            </w:pPr>
            <w:r>
              <w:t>63</w:t>
            </w:r>
          </w:p>
        </w:tc>
        <w:tc>
          <w:tcPr>
            <w:tcW w:w="396" w:type="pct"/>
          </w:tcPr>
          <w:p w14:paraId="79207086" w14:textId="77777777" w:rsidR="00E40674" w:rsidRDefault="00E40674" w:rsidP="00E2534A">
            <w:pPr>
              <w:pStyle w:val="Tabletext0"/>
              <w:jc w:val="center"/>
            </w:pPr>
            <w:r w:rsidRPr="00557F28">
              <w:t>77.</w:t>
            </w:r>
            <w:r>
              <w:t>4±13.1</w:t>
            </w:r>
          </w:p>
        </w:tc>
        <w:tc>
          <w:tcPr>
            <w:tcW w:w="229" w:type="pct"/>
          </w:tcPr>
          <w:p w14:paraId="6C89CA33" w14:textId="77777777" w:rsidR="00E40674" w:rsidRDefault="00E40674" w:rsidP="00E2534A">
            <w:pPr>
              <w:pStyle w:val="Tabletext0"/>
              <w:jc w:val="center"/>
            </w:pPr>
            <w:r>
              <w:t>63</w:t>
            </w:r>
          </w:p>
        </w:tc>
        <w:tc>
          <w:tcPr>
            <w:tcW w:w="384" w:type="pct"/>
          </w:tcPr>
          <w:p w14:paraId="7D1EFABD" w14:textId="77777777" w:rsidR="00E40674" w:rsidRDefault="00E40674" w:rsidP="00E2534A">
            <w:pPr>
              <w:pStyle w:val="Tabletext0"/>
              <w:jc w:val="center"/>
            </w:pPr>
            <w:r>
              <w:t>35.0±22.6</w:t>
            </w:r>
          </w:p>
        </w:tc>
        <w:tc>
          <w:tcPr>
            <w:tcW w:w="261" w:type="pct"/>
          </w:tcPr>
          <w:p w14:paraId="28861A60" w14:textId="77777777" w:rsidR="00E40674" w:rsidRDefault="00E40674" w:rsidP="00E2534A">
            <w:pPr>
              <w:pStyle w:val="Tabletext0"/>
              <w:jc w:val="left"/>
            </w:pPr>
            <w:r>
              <w:t>63</w:t>
            </w:r>
          </w:p>
        </w:tc>
        <w:tc>
          <w:tcPr>
            <w:tcW w:w="398" w:type="pct"/>
            <w:gridSpan w:val="2"/>
          </w:tcPr>
          <w:p w14:paraId="3BAE9623" w14:textId="5DF7586E" w:rsidR="00E40674" w:rsidRDefault="00E40674" w:rsidP="00E2534A">
            <w:pPr>
              <w:pStyle w:val="Tabletext0"/>
              <w:jc w:val="left"/>
            </w:pPr>
            <w:r>
              <w:t>–42.4 ±23.4</w:t>
            </w:r>
          </w:p>
        </w:tc>
        <w:tc>
          <w:tcPr>
            <w:tcW w:w="226" w:type="pct"/>
            <w:tcBorders>
              <w:bottom w:val="single" w:sz="4" w:space="0" w:color="auto"/>
            </w:tcBorders>
          </w:tcPr>
          <w:p w14:paraId="33C29E92" w14:textId="77777777" w:rsidR="00E40674" w:rsidRDefault="00E40674" w:rsidP="00E2534A">
            <w:pPr>
              <w:pStyle w:val="Tabletext0"/>
              <w:jc w:val="left"/>
            </w:pPr>
            <w:r>
              <w:t>64</w:t>
            </w:r>
          </w:p>
        </w:tc>
        <w:tc>
          <w:tcPr>
            <w:tcW w:w="367" w:type="pct"/>
            <w:gridSpan w:val="2"/>
            <w:tcBorders>
              <w:bottom w:val="single" w:sz="4" w:space="0" w:color="auto"/>
            </w:tcBorders>
          </w:tcPr>
          <w:p w14:paraId="4C4A296B" w14:textId="77777777" w:rsidR="00E40674" w:rsidRDefault="00E40674" w:rsidP="00E2534A">
            <w:pPr>
              <w:pStyle w:val="Tabletext0"/>
              <w:jc w:val="left"/>
            </w:pPr>
            <w:r>
              <w:t>77.7±15.1</w:t>
            </w:r>
          </w:p>
        </w:tc>
        <w:tc>
          <w:tcPr>
            <w:tcW w:w="242" w:type="pct"/>
            <w:tcBorders>
              <w:bottom w:val="single" w:sz="4" w:space="0" w:color="auto"/>
            </w:tcBorders>
          </w:tcPr>
          <w:p w14:paraId="5423DAAB" w14:textId="77777777" w:rsidR="00E40674" w:rsidRDefault="00E40674" w:rsidP="00E2534A">
            <w:pPr>
              <w:pStyle w:val="Tabletext0"/>
              <w:jc w:val="left"/>
            </w:pPr>
            <w:r>
              <w:t>64</w:t>
            </w:r>
          </w:p>
        </w:tc>
        <w:tc>
          <w:tcPr>
            <w:tcW w:w="381" w:type="pct"/>
            <w:gridSpan w:val="2"/>
            <w:tcBorders>
              <w:bottom w:val="single" w:sz="4" w:space="0" w:color="auto"/>
            </w:tcBorders>
          </w:tcPr>
          <w:p w14:paraId="7E88A211" w14:textId="77777777" w:rsidR="00E40674" w:rsidRDefault="00E40674" w:rsidP="00E2534A">
            <w:pPr>
              <w:pStyle w:val="Tabletext0"/>
              <w:jc w:val="left"/>
            </w:pPr>
            <w:r>
              <w:t>55.0±25.2</w:t>
            </w:r>
          </w:p>
        </w:tc>
        <w:tc>
          <w:tcPr>
            <w:tcW w:w="228" w:type="pct"/>
            <w:tcBorders>
              <w:bottom w:val="single" w:sz="4" w:space="0" w:color="auto"/>
            </w:tcBorders>
          </w:tcPr>
          <w:p w14:paraId="5ABE5F1C" w14:textId="77777777" w:rsidR="00E40674" w:rsidRDefault="00E40674" w:rsidP="00E2534A">
            <w:pPr>
              <w:pStyle w:val="Tabletext0"/>
              <w:jc w:val="left"/>
            </w:pPr>
            <w:r>
              <w:t>64</w:t>
            </w:r>
          </w:p>
        </w:tc>
        <w:tc>
          <w:tcPr>
            <w:tcW w:w="457" w:type="pct"/>
            <w:tcBorders>
              <w:bottom w:val="single" w:sz="4" w:space="0" w:color="auto"/>
            </w:tcBorders>
          </w:tcPr>
          <w:p w14:paraId="5453959B" w14:textId="7C02DA15" w:rsidR="00E40674" w:rsidRDefault="00E40674" w:rsidP="00E2534A">
            <w:pPr>
              <w:pStyle w:val="Tabletext0"/>
              <w:jc w:val="left"/>
            </w:pPr>
            <w:r>
              <w:t>–22.7 ±27.9</w:t>
            </w:r>
          </w:p>
        </w:tc>
        <w:tc>
          <w:tcPr>
            <w:tcW w:w="675" w:type="pct"/>
          </w:tcPr>
          <w:p w14:paraId="259F2C62" w14:textId="1F373F50" w:rsidR="00E40674" w:rsidRDefault="00E40674" w:rsidP="00E2534A">
            <w:pPr>
              <w:pStyle w:val="Tabletext0"/>
              <w:jc w:val="left"/>
            </w:pPr>
            <w:r w:rsidRPr="00D75C2C">
              <w:t xml:space="preserve">-19.70 </w:t>
            </w:r>
            <w:r w:rsidR="0093279F">
              <w:t>(</w:t>
            </w:r>
            <w:r w:rsidRPr="00D75C2C">
              <w:t>-28.6</w:t>
            </w:r>
            <w:r>
              <w:t>5</w:t>
            </w:r>
            <w:r w:rsidRPr="00D75C2C">
              <w:t>, -10.7</w:t>
            </w:r>
            <w:r>
              <w:t>5</w:t>
            </w:r>
            <w:r w:rsidR="009F4087">
              <w:t>)</w:t>
            </w:r>
            <w:r>
              <w:t>; &lt;0.0001</w:t>
            </w:r>
          </w:p>
        </w:tc>
      </w:tr>
      <w:tr w:rsidR="00E40674" w:rsidRPr="00BB1E80" w14:paraId="6A84561D" w14:textId="77777777" w:rsidTr="00AE4565">
        <w:tc>
          <w:tcPr>
            <w:tcW w:w="489" w:type="pct"/>
          </w:tcPr>
          <w:p w14:paraId="693DF080" w14:textId="77777777" w:rsidR="00E40674" w:rsidRPr="00BB1E80" w:rsidRDefault="00E40674" w:rsidP="00E2534A">
            <w:pPr>
              <w:pStyle w:val="Tabletext0"/>
              <w:jc w:val="left"/>
            </w:pPr>
            <w:r w:rsidRPr="00BB1E80">
              <w:t>3 months – TS</w:t>
            </w:r>
          </w:p>
        </w:tc>
        <w:tc>
          <w:tcPr>
            <w:tcW w:w="267" w:type="pct"/>
          </w:tcPr>
          <w:p w14:paraId="08404D9F" w14:textId="77777777" w:rsidR="00E40674" w:rsidRPr="00BB1E80" w:rsidRDefault="00E40674" w:rsidP="00E2534A">
            <w:pPr>
              <w:pStyle w:val="Tabletext0"/>
              <w:jc w:val="center"/>
            </w:pPr>
            <w:r w:rsidRPr="00BB1E80">
              <w:t>70</w:t>
            </w:r>
          </w:p>
        </w:tc>
        <w:tc>
          <w:tcPr>
            <w:tcW w:w="396" w:type="pct"/>
          </w:tcPr>
          <w:p w14:paraId="25EE8E8D" w14:textId="77777777" w:rsidR="00E40674" w:rsidRPr="00BB1E80" w:rsidRDefault="00E40674" w:rsidP="00E2534A">
            <w:pPr>
              <w:pStyle w:val="Tabletext0"/>
              <w:jc w:val="center"/>
            </w:pPr>
            <w:r w:rsidRPr="00BB1E80">
              <w:t>76.2±13.3</w:t>
            </w:r>
          </w:p>
        </w:tc>
        <w:tc>
          <w:tcPr>
            <w:tcW w:w="229" w:type="pct"/>
          </w:tcPr>
          <w:p w14:paraId="4BDF7D21" w14:textId="77777777" w:rsidR="00E40674" w:rsidRPr="00BB1E80" w:rsidRDefault="00E40674" w:rsidP="00E2534A">
            <w:pPr>
              <w:pStyle w:val="Tabletext0"/>
              <w:jc w:val="center"/>
            </w:pPr>
            <w:r w:rsidRPr="00BB1E80">
              <w:t>70</w:t>
            </w:r>
          </w:p>
        </w:tc>
        <w:tc>
          <w:tcPr>
            <w:tcW w:w="384" w:type="pct"/>
          </w:tcPr>
          <w:p w14:paraId="57D046E2" w14:textId="77777777" w:rsidR="00E40674" w:rsidRPr="00BB1E80" w:rsidRDefault="00E40674" w:rsidP="00E2534A">
            <w:pPr>
              <w:pStyle w:val="Tabletext0"/>
              <w:jc w:val="center"/>
            </w:pPr>
            <w:r w:rsidRPr="00BB1E80">
              <w:t>34.5±22.5</w:t>
            </w:r>
          </w:p>
        </w:tc>
        <w:tc>
          <w:tcPr>
            <w:tcW w:w="261" w:type="pct"/>
          </w:tcPr>
          <w:p w14:paraId="6C3C3B84" w14:textId="77777777" w:rsidR="00E40674" w:rsidRPr="00BB1E80" w:rsidRDefault="00E40674" w:rsidP="00E2534A">
            <w:pPr>
              <w:pStyle w:val="Tabletext0"/>
              <w:jc w:val="left"/>
            </w:pPr>
            <w:r w:rsidRPr="00BB1E80">
              <w:t>63</w:t>
            </w:r>
          </w:p>
        </w:tc>
        <w:tc>
          <w:tcPr>
            <w:tcW w:w="398" w:type="pct"/>
            <w:gridSpan w:val="2"/>
          </w:tcPr>
          <w:p w14:paraId="5DC43AFA" w14:textId="41DD32EC" w:rsidR="00E40674" w:rsidRPr="00BB1E80" w:rsidRDefault="00E40674" w:rsidP="00E2534A">
            <w:pPr>
              <w:pStyle w:val="Tabletext0"/>
              <w:jc w:val="left"/>
            </w:pPr>
            <w:r w:rsidRPr="00BB1E80">
              <w:t>-41.7 ±24.2</w:t>
            </w:r>
          </w:p>
        </w:tc>
        <w:tc>
          <w:tcPr>
            <w:tcW w:w="226" w:type="pct"/>
            <w:tcBorders>
              <w:right w:val="nil"/>
            </w:tcBorders>
          </w:tcPr>
          <w:p w14:paraId="4C1764C2" w14:textId="77777777" w:rsidR="00E40674" w:rsidRPr="00BB1E80" w:rsidRDefault="00E40674" w:rsidP="00E2534A">
            <w:pPr>
              <w:pStyle w:val="Tabletext0"/>
              <w:jc w:val="left"/>
            </w:pPr>
          </w:p>
        </w:tc>
        <w:tc>
          <w:tcPr>
            <w:tcW w:w="367" w:type="pct"/>
            <w:gridSpan w:val="2"/>
            <w:tcBorders>
              <w:left w:val="nil"/>
              <w:right w:val="nil"/>
            </w:tcBorders>
          </w:tcPr>
          <w:p w14:paraId="38813B72" w14:textId="77777777" w:rsidR="00E40674" w:rsidRPr="00BB1E80" w:rsidRDefault="00E40674" w:rsidP="00E2534A">
            <w:pPr>
              <w:pStyle w:val="Tabletext0"/>
              <w:jc w:val="left"/>
            </w:pPr>
          </w:p>
        </w:tc>
        <w:tc>
          <w:tcPr>
            <w:tcW w:w="242" w:type="pct"/>
            <w:tcBorders>
              <w:left w:val="nil"/>
              <w:right w:val="nil"/>
            </w:tcBorders>
          </w:tcPr>
          <w:p w14:paraId="50D25D81" w14:textId="77777777" w:rsidR="00E40674" w:rsidRPr="00BB1E80" w:rsidRDefault="00E40674" w:rsidP="00E2534A">
            <w:pPr>
              <w:pStyle w:val="Tabletext0"/>
              <w:jc w:val="left"/>
            </w:pPr>
          </w:p>
        </w:tc>
        <w:tc>
          <w:tcPr>
            <w:tcW w:w="381" w:type="pct"/>
            <w:gridSpan w:val="2"/>
            <w:tcBorders>
              <w:left w:val="nil"/>
              <w:right w:val="nil"/>
            </w:tcBorders>
          </w:tcPr>
          <w:p w14:paraId="3159F694" w14:textId="77777777" w:rsidR="00E40674" w:rsidRPr="00BB1E80" w:rsidRDefault="00E40674" w:rsidP="00E2534A">
            <w:pPr>
              <w:pStyle w:val="Tabletext0"/>
              <w:jc w:val="left"/>
            </w:pPr>
            <w:r w:rsidRPr="00BB1E80">
              <w:t>NR</w:t>
            </w:r>
          </w:p>
        </w:tc>
        <w:tc>
          <w:tcPr>
            <w:tcW w:w="228" w:type="pct"/>
            <w:tcBorders>
              <w:left w:val="nil"/>
              <w:right w:val="nil"/>
            </w:tcBorders>
          </w:tcPr>
          <w:p w14:paraId="63556800" w14:textId="77777777" w:rsidR="00E40674" w:rsidRPr="00BB1E80" w:rsidRDefault="00E40674" w:rsidP="00E2534A">
            <w:pPr>
              <w:pStyle w:val="Tabletext0"/>
              <w:jc w:val="left"/>
            </w:pPr>
          </w:p>
        </w:tc>
        <w:tc>
          <w:tcPr>
            <w:tcW w:w="457" w:type="pct"/>
            <w:tcBorders>
              <w:left w:val="nil"/>
            </w:tcBorders>
          </w:tcPr>
          <w:p w14:paraId="5E83B8D7" w14:textId="77777777" w:rsidR="00E40674" w:rsidRPr="00BB1E80" w:rsidRDefault="00E40674" w:rsidP="00E2534A">
            <w:pPr>
              <w:pStyle w:val="Tabletext0"/>
              <w:jc w:val="left"/>
            </w:pPr>
          </w:p>
        </w:tc>
        <w:tc>
          <w:tcPr>
            <w:tcW w:w="675" w:type="pct"/>
          </w:tcPr>
          <w:p w14:paraId="7E56FF12" w14:textId="77777777" w:rsidR="00E40674" w:rsidRPr="00BB1E80" w:rsidRDefault="00E40674" w:rsidP="00E2534A">
            <w:pPr>
              <w:pStyle w:val="Tabletext0"/>
              <w:jc w:val="left"/>
            </w:pPr>
            <w:r w:rsidRPr="00BB1E80">
              <w:t>NR</w:t>
            </w:r>
          </w:p>
        </w:tc>
      </w:tr>
    </w:tbl>
    <w:p w14:paraId="1299A878" w14:textId="25849CE8" w:rsidR="00C517B1" w:rsidRDefault="00C517B1" w:rsidP="00AE4565">
      <w:pPr>
        <w:pStyle w:val="TableNote"/>
      </w:pPr>
      <w:r w:rsidRPr="009F11F1">
        <w:t>Source: Table 18</w:t>
      </w:r>
      <w:r w:rsidR="009744F1">
        <w:t>,</w:t>
      </w:r>
      <w:r w:rsidRPr="009F11F1">
        <w:t xml:space="preserve"> </w:t>
      </w:r>
      <w:bookmarkStart w:id="35" w:name="_Hlk119593620"/>
      <w:r w:rsidRPr="009F11F1">
        <w:t>pg 86 of MSAC 1719 ADAR</w:t>
      </w:r>
      <w:bookmarkEnd w:id="35"/>
      <w:r w:rsidRPr="009F11F1">
        <w:t>; LATERA-RCT CSR 5254-001 Table 9 pg 22, Table 10 pg. 23.</w:t>
      </w:r>
    </w:p>
    <w:p w14:paraId="2BE0CFF2" w14:textId="4C120482" w:rsidR="00C517B1" w:rsidRDefault="001361D9">
      <w:pPr>
        <w:pStyle w:val="TableNote"/>
      </w:pPr>
      <w:r>
        <w:t xml:space="preserve">Abbreviations: </w:t>
      </w:r>
      <w:r w:rsidR="00C517B1">
        <w:t>CI</w:t>
      </w:r>
      <w:r>
        <w:t>=</w:t>
      </w:r>
      <w:r w:rsidR="00C517B1">
        <w:t xml:space="preserve"> confidence interval; MD</w:t>
      </w:r>
      <w:r>
        <w:t>=</w:t>
      </w:r>
      <w:r w:rsidR="00C517B1">
        <w:t xml:space="preserve"> mean difference; NOSE</w:t>
      </w:r>
      <w:r>
        <w:t>=</w:t>
      </w:r>
      <w:r w:rsidR="00C517B1">
        <w:t xml:space="preserve"> </w:t>
      </w:r>
      <w:r w:rsidR="00C517B1" w:rsidRPr="00CB7CD8">
        <w:t>nasal obstruction symptom evaluation</w:t>
      </w:r>
      <w:r w:rsidR="00C517B1" w:rsidRPr="004275AF">
        <w:t>;</w:t>
      </w:r>
      <w:r w:rsidR="00C517B1">
        <w:t xml:space="preserve"> PP</w:t>
      </w:r>
      <w:r>
        <w:t>=</w:t>
      </w:r>
      <w:r w:rsidR="00C517B1">
        <w:t xml:space="preserve"> per protocol; SD</w:t>
      </w:r>
      <w:r>
        <w:t>=</w:t>
      </w:r>
      <w:r w:rsidR="00C517B1">
        <w:t xml:space="preserve"> standard deviation; TS</w:t>
      </w:r>
      <w:r>
        <w:t>=</w:t>
      </w:r>
      <w:r w:rsidR="00C517B1">
        <w:t xml:space="preserve"> treated set.</w:t>
      </w:r>
    </w:p>
    <w:p w14:paraId="7198DD75" w14:textId="16BA49F5" w:rsidR="002D0E09" w:rsidRDefault="002D0E09" w:rsidP="00AE4565">
      <w:pPr>
        <w:pStyle w:val="TableNote"/>
      </w:pPr>
      <w:r>
        <w:t xml:space="preserve">Note: </w:t>
      </w:r>
      <w:r w:rsidR="00E35779">
        <w:t xml:space="preserve">Risk of bias was rated moderate by the </w:t>
      </w:r>
      <w:r w:rsidR="004C281C">
        <w:t>c</w:t>
      </w:r>
      <w:r w:rsidR="00E35779">
        <w:t>omme</w:t>
      </w:r>
      <w:r w:rsidR="00304205">
        <w:t>nt</w:t>
      </w:r>
      <w:r w:rsidR="00E35779">
        <w:t>ary</w:t>
      </w:r>
      <w:r>
        <w:t xml:space="preserve"> </w:t>
      </w:r>
    </w:p>
    <w:p w14:paraId="6A965446" w14:textId="6A43DBCC" w:rsidR="00C517B1" w:rsidRDefault="00C517B1" w:rsidP="00AE4565">
      <w:pPr>
        <w:pStyle w:val="TableNote"/>
      </w:pPr>
      <w:r w:rsidRPr="00AE4565">
        <w:rPr>
          <w:vertAlign w:val="superscript"/>
        </w:rPr>
        <w:t>a</w:t>
      </w:r>
      <w:r w:rsidR="001361D9" w:rsidRPr="00AE4565">
        <w:rPr>
          <w:vertAlign w:val="superscript"/>
        </w:rPr>
        <w:t xml:space="preserve"> </w:t>
      </w:r>
      <w:r>
        <w:t>Calculated using Review Manager 5.4</w:t>
      </w:r>
    </w:p>
    <w:p w14:paraId="6E3D0585" w14:textId="329FDA3D" w:rsidR="00F3328A" w:rsidRDefault="00F3328A" w:rsidP="00F3328A">
      <w:pPr>
        <w:pStyle w:val="Caption"/>
      </w:pPr>
      <w:bookmarkStart w:id="36" w:name="_Ref127975851"/>
      <w:r>
        <w:t xml:space="preserve">Table </w:t>
      </w:r>
      <w:r>
        <w:fldChar w:fldCharType="begin"/>
      </w:r>
      <w:r>
        <w:instrText>SEQ Table \* ARABIC</w:instrText>
      </w:r>
      <w:r>
        <w:fldChar w:fldCharType="separate"/>
      </w:r>
      <w:r w:rsidR="003511D3">
        <w:rPr>
          <w:noProof/>
        </w:rPr>
        <w:t>13</w:t>
      </w:r>
      <w:r>
        <w:fldChar w:fldCharType="end"/>
      </w:r>
      <w:bookmarkEnd w:id="36"/>
      <w:r>
        <w:tab/>
        <w:t>Response* based on the NOSE score in the LATERA-RCT: LATERA vs sham at 3 months</w:t>
      </w:r>
    </w:p>
    <w:tbl>
      <w:tblPr>
        <w:tblStyle w:val="TableGrid"/>
        <w:tblW w:w="5000" w:type="pct"/>
        <w:tblLook w:val="04A0" w:firstRow="1" w:lastRow="0" w:firstColumn="1" w:lastColumn="0" w:noHBand="0" w:noVBand="1"/>
      </w:tblPr>
      <w:tblGrid>
        <w:gridCol w:w="1237"/>
        <w:gridCol w:w="909"/>
        <w:gridCol w:w="1374"/>
        <w:gridCol w:w="1374"/>
        <w:gridCol w:w="1374"/>
        <w:gridCol w:w="1374"/>
        <w:gridCol w:w="1374"/>
      </w:tblGrid>
      <w:tr w:rsidR="00F3328A" w14:paraId="6D8C4DF4" w14:textId="77777777" w:rsidTr="00E2534A">
        <w:tc>
          <w:tcPr>
            <w:tcW w:w="686" w:type="pct"/>
            <w:tcBorders>
              <w:bottom w:val="nil"/>
            </w:tcBorders>
            <w:shd w:val="clear" w:color="auto" w:fill="A6A6A6" w:themeFill="background1" w:themeFillShade="A6"/>
          </w:tcPr>
          <w:p w14:paraId="3609B28F" w14:textId="77777777" w:rsidR="00F3328A" w:rsidRDefault="00F3328A" w:rsidP="00E2534A">
            <w:pPr>
              <w:pStyle w:val="TableHeadingCA"/>
              <w:keepNext/>
              <w:keepLines/>
              <w:widowControl w:val="0"/>
            </w:pPr>
          </w:p>
        </w:tc>
        <w:tc>
          <w:tcPr>
            <w:tcW w:w="4314" w:type="pct"/>
            <w:gridSpan w:val="6"/>
            <w:tcBorders>
              <w:bottom w:val="single" w:sz="4" w:space="0" w:color="auto"/>
            </w:tcBorders>
            <w:shd w:val="clear" w:color="auto" w:fill="A6A6A6" w:themeFill="background1" w:themeFillShade="A6"/>
          </w:tcPr>
          <w:p w14:paraId="2D13D983" w14:textId="77777777" w:rsidR="00F3328A" w:rsidRDefault="00F3328A" w:rsidP="00E2534A">
            <w:pPr>
              <w:pStyle w:val="TableHeadingCA"/>
              <w:keepNext/>
              <w:keepLines/>
              <w:widowControl w:val="0"/>
            </w:pPr>
            <w:r>
              <w:t>LATERA-RCT</w:t>
            </w:r>
          </w:p>
        </w:tc>
      </w:tr>
      <w:tr w:rsidR="00F3328A" w:rsidRPr="00921DA8" w14:paraId="69971E8C" w14:textId="77777777" w:rsidTr="00E2534A">
        <w:tc>
          <w:tcPr>
            <w:tcW w:w="686" w:type="pct"/>
            <w:tcBorders>
              <w:top w:val="nil"/>
              <w:bottom w:val="single" w:sz="4" w:space="0" w:color="auto"/>
            </w:tcBorders>
            <w:shd w:val="clear" w:color="auto" w:fill="A6A6A6" w:themeFill="background1" w:themeFillShade="A6"/>
          </w:tcPr>
          <w:p w14:paraId="3A9781E7" w14:textId="77777777" w:rsidR="00F3328A" w:rsidRPr="00921DA8" w:rsidRDefault="00F3328A" w:rsidP="00E2534A">
            <w:pPr>
              <w:pStyle w:val="TableHeadingCA"/>
              <w:keepNext/>
              <w:keepLines/>
              <w:widowControl w:val="0"/>
              <w:jc w:val="left"/>
            </w:pPr>
            <w:r>
              <w:t>Outcome</w:t>
            </w:r>
          </w:p>
        </w:tc>
        <w:tc>
          <w:tcPr>
            <w:tcW w:w="504" w:type="pct"/>
            <w:tcBorders>
              <w:bottom w:val="single" w:sz="4" w:space="0" w:color="auto"/>
            </w:tcBorders>
            <w:shd w:val="clear" w:color="auto" w:fill="A6A6A6" w:themeFill="background1" w:themeFillShade="A6"/>
          </w:tcPr>
          <w:p w14:paraId="615F42EC" w14:textId="77777777" w:rsidR="00F3328A" w:rsidRDefault="00F3328A" w:rsidP="00E2534A">
            <w:pPr>
              <w:pStyle w:val="TableHeadingCA"/>
              <w:keepNext/>
              <w:keepLines/>
              <w:widowControl w:val="0"/>
            </w:pPr>
            <w:r>
              <w:t>Bias</w:t>
            </w:r>
          </w:p>
        </w:tc>
        <w:tc>
          <w:tcPr>
            <w:tcW w:w="762" w:type="pct"/>
            <w:tcBorders>
              <w:bottom w:val="single" w:sz="4" w:space="0" w:color="auto"/>
            </w:tcBorders>
            <w:shd w:val="clear" w:color="auto" w:fill="A6A6A6" w:themeFill="background1" w:themeFillShade="A6"/>
          </w:tcPr>
          <w:p w14:paraId="1E9746EE" w14:textId="77777777" w:rsidR="00F3328A" w:rsidRDefault="00F3328A" w:rsidP="00E2534A">
            <w:pPr>
              <w:pStyle w:val="TableHeadingCA"/>
              <w:keepNext/>
              <w:keepLines/>
              <w:widowControl w:val="0"/>
            </w:pPr>
            <w:r>
              <w:t>LATERA</w:t>
            </w:r>
          </w:p>
          <w:p w14:paraId="2C88E138" w14:textId="77777777" w:rsidR="00F3328A" w:rsidRPr="00921DA8" w:rsidRDefault="00F3328A" w:rsidP="00E2534A">
            <w:pPr>
              <w:pStyle w:val="TableHeadingCA"/>
              <w:keepNext/>
              <w:keepLines/>
              <w:widowControl w:val="0"/>
            </w:pPr>
            <w:r>
              <w:t>n/N (%)</w:t>
            </w:r>
          </w:p>
        </w:tc>
        <w:tc>
          <w:tcPr>
            <w:tcW w:w="762" w:type="pct"/>
            <w:tcBorders>
              <w:bottom w:val="single" w:sz="4" w:space="0" w:color="auto"/>
            </w:tcBorders>
            <w:shd w:val="clear" w:color="auto" w:fill="A6A6A6" w:themeFill="background1" w:themeFillShade="A6"/>
          </w:tcPr>
          <w:p w14:paraId="1A34E322" w14:textId="77777777" w:rsidR="00F3328A" w:rsidRDefault="00F3328A" w:rsidP="00E2534A">
            <w:pPr>
              <w:pStyle w:val="TableHeadingCA"/>
              <w:keepNext/>
              <w:keepLines/>
              <w:widowControl w:val="0"/>
            </w:pPr>
            <w:r>
              <w:t>Sham</w:t>
            </w:r>
          </w:p>
          <w:p w14:paraId="79FA5542" w14:textId="77777777" w:rsidR="00F3328A" w:rsidRPr="00921DA8" w:rsidRDefault="00F3328A" w:rsidP="00E2534A">
            <w:pPr>
              <w:pStyle w:val="TableHeadingCA"/>
              <w:keepNext/>
              <w:keepLines/>
              <w:widowControl w:val="0"/>
            </w:pPr>
            <w:r>
              <w:t>n/N (%)</w:t>
            </w:r>
          </w:p>
        </w:tc>
        <w:tc>
          <w:tcPr>
            <w:tcW w:w="762" w:type="pct"/>
            <w:tcBorders>
              <w:top w:val="nil"/>
              <w:bottom w:val="single" w:sz="4" w:space="0" w:color="auto"/>
            </w:tcBorders>
            <w:shd w:val="clear" w:color="auto" w:fill="A6A6A6" w:themeFill="background1" w:themeFillShade="A6"/>
          </w:tcPr>
          <w:p w14:paraId="13A5B0E0" w14:textId="77777777" w:rsidR="00F3328A" w:rsidRDefault="00F3328A" w:rsidP="00E2534A">
            <w:pPr>
              <w:pStyle w:val="TableHeadingCA"/>
              <w:keepNext/>
              <w:keepLines/>
              <w:widowControl w:val="0"/>
            </w:pPr>
            <w:r>
              <w:t>OR [95% CI]</w:t>
            </w:r>
            <w:r w:rsidRPr="0013257A">
              <w:rPr>
                <w:vertAlign w:val="superscript"/>
              </w:rPr>
              <w:t>a</w:t>
            </w:r>
            <w:r>
              <w:t>; p value</w:t>
            </w:r>
          </w:p>
        </w:tc>
        <w:tc>
          <w:tcPr>
            <w:tcW w:w="762" w:type="pct"/>
            <w:tcBorders>
              <w:top w:val="nil"/>
              <w:bottom w:val="single" w:sz="4" w:space="0" w:color="auto"/>
            </w:tcBorders>
            <w:shd w:val="clear" w:color="auto" w:fill="A6A6A6" w:themeFill="background1" w:themeFillShade="A6"/>
          </w:tcPr>
          <w:p w14:paraId="567F4A6E" w14:textId="77777777" w:rsidR="00F3328A" w:rsidRDefault="00F3328A" w:rsidP="00E2534A">
            <w:pPr>
              <w:pStyle w:val="TableHeadingCA"/>
              <w:keepNext/>
              <w:keepLines/>
              <w:widowControl w:val="0"/>
            </w:pPr>
            <w:r>
              <w:t>RR [95% CI]</w:t>
            </w:r>
            <w:r w:rsidRPr="0013257A">
              <w:rPr>
                <w:vertAlign w:val="superscript"/>
              </w:rPr>
              <w:t xml:space="preserve"> a</w:t>
            </w:r>
            <w:r>
              <w:t>; p value</w:t>
            </w:r>
          </w:p>
        </w:tc>
        <w:tc>
          <w:tcPr>
            <w:tcW w:w="762" w:type="pct"/>
            <w:tcBorders>
              <w:top w:val="nil"/>
              <w:bottom w:val="single" w:sz="4" w:space="0" w:color="auto"/>
            </w:tcBorders>
            <w:shd w:val="clear" w:color="auto" w:fill="A6A6A6" w:themeFill="background1" w:themeFillShade="A6"/>
          </w:tcPr>
          <w:p w14:paraId="6C573B9E" w14:textId="77777777" w:rsidR="00F3328A" w:rsidRDefault="00F3328A" w:rsidP="00E2534A">
            <w:pPr>
              <w:pStyle w:val="TableHeadingCA"/>
              <w:keepNext/>
              <w:keepLines/>
              <w:widowControl w:val="0"/>
            </w:pPr>
            <w:r>
              <w:t>RD [95% CI]</w:t>
            </w:r>
            <w:r w:rsidRPr="0013257A">
              <w:rPr>
                <w:vertAlign w:val="superscript"/>
              </w:rPr>
              <w:t xml:space="preserve"> a</w:t>
            </w:r>
            <w:r>
              <w:t>; p value</w:t>
            </w:r>
          </w:p>
        </w:tc>
      </w:tr>
      <w:tr w:rsidR="00F3328A" w14:paraId="2E22DE54" w14:textId="77777777" w:rsidTr="00E2534A">
        <w:tc>
          <w:tcPr>
            <w:tcW w:w="686" w:type="pct"/>
          </w:tcPr>
          <w:p w14:paraId="657BCE54" w14:textId="77777777" w:rsidR="00F3328A" w:rsidRDefault="00F3328A" w:rsidP="00E2534A">
            <w:pPr>
              <w:pStyle w:val="Tabletext0"/>
              <w:keepNext/>
              <w:keepLines/>
              <w:widowControl w:val="0"/>
              <w:jc w:val="left"/>
            </w:pPr>
            <w:r>
              <w:t>Response at 3 months - PP</w:t>
            </w:r>
          </w:p>
        </w:tc>
        <w:tc>
          <w:tcPr>
            <w:tcW w:w="504" w:type="pct"/>
          </w:tcPr>
          <w:p w14:paraId="59A754D1" w14:textId="77777777" w:rsidR="00F3328A" w:rsidRDefault="00F3328A" w:rsidP="00E2534A">
            <w:pPr>
              <w:pStyle w:val="Tabletext0"/>
              <w:keepNext/>
              <w:keepLines/>
              <w:widowControl w:val="0"/>
              <w:jc w:val="center"/>
            </w:pPr>
            <w:r>
              <w:t>Moderate</w:t>
            </w:r>
          </w:p>
        </w:tc>
        <w:tc>
          <w:tcPr>
            <w:tcW w:w="762" w:type="pct"/>
          </w:tcPr>
          <w:p w14:paraId="036DA9C6" w14:textId="77777777" w:rsidR="00F3328A" w:rsidRDefault="00F3328A" w:rsidP="00E2534A">
            <w:pPr>
              <w:pStyle w:val="Tabletext0"/>
              <w:keepNext/>
              <w:keepLines/>
              <w:widowControl w:val="0"/>
              <w:jc w:val="center"/>
            </w:pPr>
            <w:r>
              <w:t>52/63 (82.5)</w:t>
            </w:r>
          </w:p>
        </w:tc>
        <w:tc>
          <w:tcPr>
            <w:tcW w:w="762" w:type="pct"/>
          </w:tcPr>
          <w:p w14:paraId="2116CE39" w14:textId="77777777" w:rsidR="00F3328A" w:rsidRDefault="00F3328A" w:rsidP="00E2534A">
            <w:pPr>
              <w:pStyle w:val="Tabletext0"/>
              <w:keepNext/>
              <w:keepLines/>
              <w:widowControl w:val="0"/>
              <w:jc w:val="center"/>
            </w:pPr>
            <w:r>
              <w:t>35/64 (54.7)</w:t>
            </w:r>
          </w:p>
        </w:tc>
        <w:tc>
          <w:tcPr>
            <w:tcW w:w="762" w:type="pct"/>
          </w:tcPr>
          <w:p w14:paraId="02F22A84" w14:textId="77777777" w:rsidR="00F3328A" w:rsidRDefault="00F3328A" w:rsidP="00E2534A">
            <w:pPr>
              <w:pStyle w:val="Tabletext0"/>
              <w:keepNext/>
              <w:keepLines/>
              <w:widowControl w:val="0"/>
              <w:jc w:val="center"/>
            </w:pPr>
            <w:r w:rsidRPr="0013257A">
              <w:t>3.92 [1.73, 8.85]</w:t>
            </w:r>
            <w:r>
              <w:t>; p=0.001</w:t>
            </w:r>
          </w:p>
        </w:tc>
        <w:tc>
          <w:tcPr>
            <w:tcW w:w="762" w:type="pct"/>
          </w:tcPr>
          <w:p w14:paraId="1F55BA36" w14:textId="77777777" w:rsidR="00F3328A" w:rsidRDefault="00F3328A" w:rsidP="00E2534A">
            <w:pPr>
              <w:pStyle w:val="Tabletext0"/>
              <w:keepNext/>
              <w:keepLines/>
              <w:widowControl w:val="0"/>
              <w:jc w:val="center"/>
            </w:pPr>
            <w:r w:rsidRPr="0013257A">
              <w:t>1.51 [1.18, 1.94]</w:t>
            </w:r>
            <w:r>
              <w:t>; p=0.001</w:t>
            </w:r>
          </w:p>
        </w:tc>
        <w:tc>
          <w:tcPr>
            <w:tcW w:w="762" w:type="pct"/>
          </w:tcPr>
          <w:p w14:paraId="36D55C32" w14:textId="77777777" w:rsidR="00F3328A" w:rsidRDefault="00F3328A" w:rsidP="00E2534A">
            <w:pPr>
              <w:pStyle w:val="Tabletext0"/>
              <w:keepNext/>
              <w:keepLines/>
              <w:widowControl w:val="0"/>
              <w:jc w:val="center"/>
            </w:pPr>
            <w:r w:rsidRPr="0013257A">
              <w:t>0.28 [0.12, 0.43]</w:t>
            </w:r>
            <w:r>
              <w:t>; p=0.0004</w:t>
            </w:r>
          </w:p>
          <w:p w14:paraId="323ECBF2" w14:textId="77777777" w:rsidR="00F3328A" w:rsidRDefault="00F3328A" w:rsidP="00E2534A">
            <w:pPr>
              <w:pStyle w:val="Tabletext0"/>
              <w:keepNext/>
              <w:keepLines/>
              <w:widowControl w:val="0"/>
              <w:jc w:val="center"/>
            </w:pPr>
            <w:r>
              <w:t>NNT=4</w:t>
            </w:r>
          </w:p>
        </w:tc>
      </w:tr>
      <w:tr w:rsidR="00F3328A" w14:paraId="6295CD19" w14:textId="77777777" w:rsidTr="00E2534A">
        <w:tc>
          <w:tcPr>
            <w:tcW w:w="686" w:type="pct"/>
          </w:tcPr>
          <w:p w14:paraId="0AB80713" w14:textId="3B984EAC" w:rsidR="00F3328A" w:rsidRDefault="00F3328A" w:rsidP="00E2534A">
            <w:pPr>
              <w:pStyle w:val="Tabletext0"/>
              <w:keepNext/>
              <w:keepLines/>
              <w:widowControl w:val="0"/>
              <w:jc w:val="left"/>
            </w:pPr>
            <w:r>
              <w:t>Response at 3 months – ITT</w:t>
            </w:r>
            <w:r w:rsidRPr="007D2292">
              <w:rPr>
                <w:vertAlign w:val="superscript"/>
              </w:rPr>
              <w:t>b</w:t>
            </w:r>
            <w:r w:rsidR="00B525A6">
              <w:rPr>
                <w:vertAlign w:val="superscript"/>
              </w:rPr>
              <w:t>, c</w:t>
            </w:r>
          </w:p>
        </w:tc>
        <w:tc>
          <w:tcPr>
            <w:tcW w:w="504" w:type="pct"/>
          </w:tcPr>
          <w:p w14:paraId="50F40D1D" w14:textId="77777777" w:rsidR="00F3328A" w:rsidRDefault="00F3328A" w:rsidP="00E2534A">
            <w:pPr>
              <w:pStyle w:val="Tabletext0"/>
              <w:keepNext/>
              <w:keepLines/>
              <w:widowControl w:val="0"/>
              <w:jc w:val="center"/>
            </w:pPr>
            <w:r>
              <w:t>Moderate</w:t>
            </w:r>
          </w:p>
        </w:tc>
        <w:tc>
          <w:tcPr>
            <w:tcW w:w="762" w:type="pct"/>
          </w:tcPr>
          <w:p w14:paraId="3DA7E7A1" w14:textId="77777777" w:rsidR="00F3328A" w:rsidRPr="009E299F" w:rsidRDefault="00F3328A" w:rsidP="00E2534A">
            <w:pPr>
              <w:pStyle w:val="Tabletext0"/>
              <w:keepNext/>
              <w:keepLines/>
              <w:widowControl w:val="0"/>
              <w:jc w:val="center"/>
            </w:pPr>
            <w:r w:rsidRPr="009E299F">
              <w:t>61/71 (85.9)</w:t>
            </w:r>
          </w:p>
        </w:tc>
        <w:tc>
          <w:tcPr>
            <w:tcW w:w="762" w:type="pct"/>
          </w:tcPr>
          <w:p w14:paraId="6D6DDA03" w14:textId="77777777" w:rsidR="00F3328A" w:rsidRPr="009E299F" w:rsidRDefault="00F3328A" w:rsidP="00E2534A">
            <w:pPr>
              <w:pStyle w:val="Tabletext0"/>
              <w:keepNext/>
              <w:keepLines/>
              <w:widowControl w:val="0"/>
              <w:jc w:val="center"/>
            </w:pPr>
            <w:r w:rsidRPr="009E299F">
              <w:t>43/66 (65.2)</w:t>
            </w:r>
          </w:p>
        </w:tc>
        <w:tc>
          <w:tcPr>
            <w:tcW w:w="762" w:type="pct"/>
          </w:tcPr>
          <w:p w14:paraId="2A518CB8" w14:textId="77777777" w:rsidR="00F3328A" w:rsidRPr="009E299F" w:rsidRDefault="00F3328A" w:rsidP="00E2534A">
            <w:pPr>
              <w:pStyle w:val="Tabletext0"/>
              <w:keepNext/>
              <w:keepLines/>
              <w:widowControl w:val="0"/>
              <w:jc w:val="center"/>
            </w:pPr>
            <w:r w:rsidRPr="009E299F">
              <w:t>3.26 [1.41, 7.55]; p=0.006</w:t>
            </w:r>
          </w:p>
        </w:tc>
        <w:tc>
          <w:tcPr>
            <w:tcW w:w="762" w:type="pct"/>
          </w:tcPr>
          <w:p w14:paraId="15902A6A" w14:textId="77777777" w:rsidR="00F3328A" w:rsidRPr="009E299F" w:rsidRDefault="00F3328A" w:rsidP="00E2534A">
            <w:pPr>
              <w:pStyle w:val="Tabletext0"/>
              <w:keepNext/>
              <w:keepLines/>
              <w:widowControl w:val="0"/>
              <w:jc w:val="center"/>
            </w:pPr>
            <w:r w:rsidRPr="009E299F">
              <w:t>1.32 [1.08, 1.61]; p=0.007</w:t>
            </w:r>
          </w:p>
        </w:tc>
        <w:tc>
          <w:tcPr>
            <w:tcW w:w="762" w:type="pct"/>
          </w:tcPr>
          <w:p w14:paraId="56B7E77E" w14:textId="77777777" w:rsidR="00F3328A" w:rsidRPr="009E299F" w:rsidRDefault="00F3328A" w:rsidP="00E2534A">
            <w:pPr>
              <w:pStyle w:val="Tabletext0"/>
              <w:keepNext/>
              <w:keepLines/>
              <w:widowControl w:val="0"/>
              <w:jc w:val="center"/>
            </w:pPr>
            <w:r w:rsidRPr="009E299F">
              <w:t>0.21 [0.07, 0.35</w:t>
            </w:r>
            <w:r w:rsidRPr="009E299F" w:rsidDel="00900D4E">
              <w:t>]</w:t>
            </w:r>
            <w:r w:rsidRPr="009E299F">
              <w:t>; p=0.004</w:t>
            </w:r>
          </w:p>
          <w:p w14:paraId="6838B572" w14:textId="77777777" w:rsidR="00F3328A" w:rsidRPr="009E299F" w:rsidRDefault="00F3328A" w:rsidP="00E2534A">
            <w:pPr>
              <w:pStyle w:val="Tabletext0"/>
              <w:keepNext/>
              <w:keepLines/>
              <w:widowControl w:val="0"/>
              <w:jc w:val="center"/>
            </w:pPr>
            <w:r w:rsidRPr="009E299F">
              <w:t>NNT=5</w:t>
            </w:r>
          </w:p>
        </w:tc>
      </w:tr>
    </w:tbl>
    <w:p w14:paraId="27EA2D7F" w14:textId="5BE81FF8" w:rsidR="00F3328A" w:rsidRDefault="00F3328A" w:rsidP="00F3328A">
      <w:pPr>
        <w:pStyle w:val="Tablenotes"/>
      </w:pPr>
      <w:r w:rsidRPr="009F11F1">
        <w:t>Source: Table 2</w:t>
      </w:r>
      <w:r w:rsidR="004601AA">
        <w:t>1</w:t>
      </w:r>
      <w:r>
        <w:t>,</w:t>
      </w:r>
      <w:r w:rsidRPr="009F11F1">
        <w:t xml:space="preserve"> pg</w:t>
      </w:r>
      <w:r>
        <w:t xml:space="preserve"> </w:t>
      </w:r>
      <w:r w:rsidR="004601AA">
        <w:t>111</w:t>
      </w:r>
      <w:r w:rsidRPr="009F11F1">
        <w:t xml:space="preserve"> of MSAC 1719 ADAR</w:t>
      </w:r>
      <w:r w:rsidR="004601AA">
        <w:t>+inline commentary</w:t>
      </w:r>
    </w:p>
    <w:p w14:paraId="5DE02CD0" w14:textId="77777777" w:rsidR="00F3328A" w:rsidRDefault="00F3328A" w:rsidP="00F3328A">
      <w:pPr>
        <w:pStyle w:val="Tablenotes"/>
      </w:pPr>
      <w:r>
        <w:t>Abbreviations: CI= confidence interval; ITT= intention to treat; NNT= number needed to treat; OR= odds ratio; PP= per protocol; RD= risk difference; RR= relative risk.</w:t>
      </w:r>
    </w:p>
    <w:p w14:paraId="7C2412EE" w14:textId="77777777" w:rsidR="00F3328A" w:rsidRDefault="00F3328A" w:rsidP="00F3328A">
      <w:pPr>
        <w:pStyle w:val="Tablenotes"/>
      </w:pPr>
      <w:r>
        <w:t>a Calculated using Review Manager 5.4</w:t>
      </w:r>
    </w:p>
    <w:p w14:paraId="0EF73FD5" w14:textId="52CB90B3" w:rsidR="00F3328A" w:rsidRDefault="00F3328A" w:rsidP="00F3328A">
      <w:pPr>
        <w:pStyle w:val="Tablenotes"/>
        <w:ind w:left="142" w:hanging="142"/>
      </w:pPr>
      <w:r>
        <w:t xml:space="preserve">b Calculated based on individual patient data as per </w:t>
      </w:r>
      <w:r w:rsidRPr="00F51FBD">
        <w:t>Table 23</w:t>
      </w:r>
      <w:r>
        <w:t xml:space="preserve"> of Section </w:t>
      </w:r>
      <w:r w:rsidRPr="00612C37">
        <w:t>12.4 Listing of NOSE Scores by Participant at Follow-ups pg 53</w:t>
      </w:r>
      <w:r>
        <w:t xml:space="preserve"> of the LATERA-RCT CSR. Responders and non-responders were tallied up; data for response at 1 month was carried forward to 3 months for patients with missing response category data at 3 months (N=5 patients). Patients were analysed according to randomised treatment groups, hence, as stipulated elsewhere in the CSR, it is known that one sham patient was accidentally implanted with LATERA (it is not clear from the listing which patient this was). (Refer to Attachment 3 - NOSE response_IPD for ITT analysis.xls for extracted data).</w:t>
      </w:r>
    </w:p>
    <w:p w14:paraId="71CD6324" w14:textId="1ABCFE5A" w:rsidR="00B525A6" w:rsidRDefault="00B525A6" w:rsidP="00F3328A">
      <w:pPr>
        <w:pStyle w:val="Tablenotes"/>
        <w:ind w:left="142" w:hanging="142"/>
      </w:pPr>
      <w:r>
        <w:t xml:space="preserve">c </w:t>
      </w:r>
      <w:r w:rsidRPr="009A7C22">
        <w:t xml:space="preserve">The ‘Response at 3 months – ITT’ results presented in Table </w:t>
      </w:r>
      <w:r w:rsidR="00472113">
        <w:t xml:space="preserve">13 </w:t>
      </w:r>
      <w:r w:rsidRPr="009A7C22">
        <w:t>are derived from ad-hoc/ post-hoc analyses provided specifically for the purposes of informing the MSAC consideration. These analyses were not part of the pre-specified statistical plan for the LATERA-RCT trial. Interpretation of the results and their application should therefore be limited to seeking to understand the basis for the MSAC outcome and should not be used for any other purpose.</w:t>
      </w:r>
    </w:p>
    <w:p w14:paraId="7EDC793F" w14:textId="4F748259" w:rsidR="00477548" w:rsidRDefault="00F3328A" w:rsidP="00D80DFD">
      <w:pPr>
        <w:pStyle w:val="Tablenotes"/>
        <w:spacing w:after="240"/>
        <w:ind w:left="142" w:hanging="142"/>
        <w:contextualSpacing w:val="0"/>
      </w:pPr>
      <w:r>
        <w:t xml:space="preserve">* </w:t>
      </w:r>
      <w:r w:rsidRPr="002439CE">
        <w:t xml:space="preserve">Response was defined as a participant who has at least one NOSE class improvement (5-25=mild; 30-50=moderate; 55-75=severe; 80-100=extreme) or at least 20% NOSE score reduction from baseline. </w:t>
      </w:r>
    </w:p>
    <w:p w14:paraId="58FE4286" w14:textId="66D33CC7" w:rsidR="00A45B8A" w:rsidDel="00C0083D" w:rsidRDefault="00A45B8A" w:rsidP="00A45B8A">
      <w:r w:rsidDel="00C0083D">
        <w:t xml:space="preserve">In the LATERA-RCT, </w:t>
      </w:r>
      <w:r>
        <w:t>patients</w:t>
      </w:r>
      <w:r w:rsidRPr="00A118A2" w:rsidDel="00C0083D">
        <w:t xml:space="preserve"> assigned to the sham control arm ha</w:t>
      </w:r>
      <w:r w:rsidDel="00C0083D">
        <w:t>d</w:t>
      </w:r>
      <w:r w:rsidRPr="00A118A2" w:rsidDel="00C0083D">
        <w:t xml:space="preserve"> the option to crossover to receive the implant after 3-month follow-up.</w:t>
      </w:r>
      <w:r w:rsidDel="00C0083D">
        <w:t xml:space="preserve"> </w:t>
      </w:r>
      <w:r w:rsidRPr="00591DFA" w:rsidDel="00C0083D">
        <w:t xml:space="preserve">While the trial was uncontrolled </w:t>
      </w:r>
      <w:r w:rsidRPr="00EB425E" w:rsidDel="00C0083D">
        <w:t xml:space="preserve">beyond 3 months, the mean NOSE scores </w:t>
      </w:r>
      <w:r w:rsidR="00A87105">
        <w:t xml:space="preserve">and response rate </w:t>
      </w:r>
      <w:r w:rsidRPr="00EB425E" w:rsidDel="00C0083D">
        <w:t>in the LATERA arm is available over 24 months</w:t>
      </w:r>
      <w:r w:rsidR="005F6E9F">
        <w:t xml:space="preserve"> (</w:t>
      </w:r>
      <w:r w:rsidR="00A87105">
        <w:fldChar w:fldCharType="begin"/>
      </w:r>
      <w:r w:rsidR="00A87105">
        <w:instrText xml:space="preserve"> REF _Ref127955539 \h </w:instrText>
      </w:r>
      <w:r w:rsidR="00A87105">
        <w:fldChar w:fldCharType="separate"/>
      </w:r>
      <w:r w:rsidR="000C200B">
        <w:t xml:space="preserve">Table </w:t>
      </w:r>
      <w:r w:rsidR="000C200B">
        <w:rPr>
          <w:noProof/>
        </w:rPr>
        <w:t>14</w:t>
      </w:r>
      <w:r w:rsidR="00A87105">
        <w:fldChar w:fldCharType="end"/>
      </w:r>
      <w:r w:rsidR="007105B3">
        <w:t xml:space="preserve"> and </w:t>
      </w:r>
      <w:r w:rsidR="005F6E9F" w:rsidDel="00C0083D">
        <w:rPr>
          <w:color w:val="2B579A"/>
          <w:shd w:val="clear" w:color="auto" w:fill="E6E6E6"/>
        </w:rPr>
        <w:fldChar w:fldCharType="begin"/>
      </w:r>
      <w:r w:rsidR="005F6E9F" w:rsidDel="00C0083D">
        <w:instrText xml:space="preserve"> REF _Ref119579219 \h </w:instrText>
      </w:r>
      <w:r w:rsidR="005F6E9F" w:rsidDel="00C0083D">
        <w:rPr>
          <w:color w:val="2B579A"/>
          <w:shd w:val="clear" w:color="auto" w:fill="E6E6E6"/>
        </w:rPr>
        <w:instrText xml:space="preserve"> \* MERGEFORMAT </w:instrText>
      </w:r>
      <w:r w:rsidR="005F6E9F" w:rsidDel="00C0083D">
        <w:rPr>
          <w:color w:val="2B579A"/>
          <w:shd w:val="clear" w:color="auto" w:fill="E6E6E6"/>
        </w:rPr>
      </w:r>
      <w:r w:rsidR="005F6E9F" w:rsidDel="00C0083D">
        <w:rPr>
          <w:color w:val="2B579A"/>
          <w:shd w:val="clear" w:color="auto" w:fill="E6E6E6"/>
        </w:rPr>
        <w:fldChar w:fldCharType="end"/>
      </w:r>
      <w:r w:rsidR="007105B3">
        <w:rPr>
          <w:color w:val="2B579A"/>
          <w:shd w:val="clear" w:color="auto" w:fill="E6E6E6"/>
        </w:rPr>
        <w:fldChar w:fldCharType="begin"/>
      </w:r>
      <w:r w:rsidR="007105B3">
        <w:rPr>
          <w:color w:val="2B579A"/>
          <w:shd w:val="clear" w:color="auto" w:fill="E6E6E6"/>
        </w:rPr>
        <w:instrText xml:space="preserve"> REF _Ref114566521 </w:instrText>
      </w:r>
      <w:r w:rsidR="007105B3">
        <w:rPr>
          <w:color w:val="2B579A"/>
          <w:shd w:val="clear" w:color="auto" w:fill="E6E6E6"/>
        </w:rPr>
        <w:lastRenderedPageBreak/>
        <w:instrText xml:space="preserve">\h </w:instrText>
      </w:r>
      <w:r w:rsidR="007105B3">
        <w:rPr>
          <w:color w:val="2B579A"/>
          <w:shd w:val="clear" w:color="auto" w:fill="E6E6E6"/>
        </w:rPr>
      </w:r>
      <w:r w:rsidR="007105B3">
        <w:rPr>
          <w:color w:val="2B579A"/>
          <w:shd w:val="clear" w:color="auto" w:fill="E6E6E6"/>
        </w:rPr>
        <w:fldChar w:fldCharType="separate"/>
      </w:r>
      <w:r w:rsidR="000C200B">
        <w:t xml:space="preserve">Table </w:t>
      </w:r>
      <w:r w:rsidR="000C200B">
        <w:rPr>
          <w:noProof/>
        </w:rPr>
        <w:t>15</w:t>
      </w:r>
      <w:r w:rsidR="007105B3">
        <w:rPr>
          <w:color w:val="2B579A"/>
          <w:shd w:val="clear" w:color="auto" w:fill="E6E6E6"/>
        </w:rPr>
        <w:fldChar w:fldCharType="end"/>
      </w:r>
      <w:r w:rsidR="00D47956">
        <w:t>)</w:t>
      </w:r>
      <w:r w:rsidR="00BD3218">
        <w:t xml:space="preserve">. </w:t>
      </w:r>
      <w:r w:rsidR="007105B3">
        <w:fldChar w:fldCharType="begin"/>
      </w:r>
      <w:r w:rsidR="007105B3">
        <w:instrText xml:space="preserve"> REF _Ref127955539 \h </w:instrText>
      </w:r>
      <w:r w:rsidR="007105B3">
        <w:fldChar w:fldCharType="separate"/>
      </w:r>
      <w:r w:rsidR="003511D3">
        <w:t xml:space="preserve">Table </w:t>
      </w:r>
      <w:r w:rsidR="003511D3">
        <w:rPr>
          <w:noProof/>
        </w:rPr>
        <w:t>14</w:t>
      </w:r>
      <w:r w:rsidR="007105B3">
        <w:fldChar w:fldCharType="end"/>
      </w:r>
      <w:r w:rsidR="00BD3218">
        <w:t xml:space="preserve"> i</w:t>
      </w:r>
      <w:r w:rsidR="0034294E">
        <w:t>ndicates</w:t>
      </w:r>
      <w:r w:rsidRPr="00EB425E" w:rsidDel="00C0083D">
        <w:t xml:space="preserve"> the</w:t>
      </w:r>
      <w:r w:rsidRPr="00591DFA" w:rsidDel="00C0083D">
        <w:t xml:space="preserve"> treatment benefit was maintained in the LATERA arm over 24 months, </w:t>
      </w:r>
      <w:r w:rsidR="0034294E">
        <w:t xml:space="preserve">which the ADAR </w:t>
      </w:r>
      <w:r w:rsidDel="00C0083D">
        <w:t>suggest</w:t>
      </w:r>
      <w:r w:rsidR="0034294E">
        <w:t>ed demonstrated the</w:t>
      </w:r>
      <w:r w:rsidDel="00C0083D">
        <w:t xml:space="preserve"> durability</w:t>
      </w:r>
      <w:r w:rsidRPr="00591DFA" w:rsidDel="00C0083D">
        <w:t xml:space="preserve"> of effect</w:t>
      </w:r>
      <w:r w:rsidDel="00C0083D">
        <w:t xml:space="preserve"> although</w:t>
      </w:r>
      <w:r w:rsidRPr="002A0610" w:rsidDel="00C0083D">
        <w:t xml:space="preserve"> </w:t>
      </w:r>
      <w:r w:rsidDel="00C0083D">
        <w:t>t</w:t>
      </w:r>
      <w:r w:rsidRPr="002A0610" w:rsidDel="00C0083D">
        <w:t>he implant is reabsorbed over 18</w:t>
      </w:r>
      <w:r w:rsidDel="00C0083D">
        <w:t xml:space="preserve"> </w:t>
      </w:r>
      <w:r w:rsidRPr="002A0610" w:rsidDel="00C0083D">
        <w:t>m</w:t>
      </w:r>
      <w:r w:rsidDel="00C0083D">
        <w:t>on</w:t>
      </w:r>
      <w:r w:rsidRPr="002A0610" w:rsidDel="00C0083D">
        <w:t>ths</w:t>
      </w:r>
      <w:r w:rsidDel="00C0083D">
        <w:t xml:space="preserve">. </w:t>
      </w:r>
      <w:r w:rsidR="00BD3218">
        <w:fldChar w:fldCharType="begin"/>
      </w:r>
      <w:r w:rsidR="00BD3218">
        <w:instrText xml:space="preserve"> REF _Ref128466013 \h </w:instrText>
      </w:r>
      <w:r w:rsidR="00BD3218">
        <w:fldChar w:fldCharType="separate"/>
      </w:r>
      <w:r w:rsidR="003511D3">
        <w:t xml:space="preserve">Figure </w:t>
      </w:r>
      <w:r w:rsidR="003511D3">
        <w:rPr>
          <w:noProof/>
        </w:rPr>
        <w:t>3</w:t>
      </w:r>
      <w:r w:rsidR="00BD3218">
        <w:fldChar w:fldCharType="end"/>
      </w:r>
      <w:r w:rsidR="00BD3218">
        <w:t xml:space="preserve"> </w:t>
      </w:r>
      <w:r w:rsidR="00AB14EB">
        <w:t xml:space="preserve">shows the mean NOSE score for the LATERA and cross-over </w:t>
      </w:r>
      <w:r w:rsidR="00F471E8">
        <w:t>arm</w:t>
      </w:r>
      <w:r w:rsidR="008C5A6C">
        <w:t>s</w:t>
      </w:r>
      <w:r w:rsidR="00F471E8">
        <w:t xml:space="preserve"> over 24 months. </w:t>
      </w:r>
      <w:r w:rsidR="0034294E">
        <w:t xml:space="preserve">Data for the </w:t>
      </w:r>
      <w:r w:rsidRPr="001C2274" w:rsidDel="00C0083D">
        <w:t xml:space="preserve">cross-over </w:t>
      </w:r>
      <w:r w:rsidR="0034294E">
        <w:t>arm indicated</w:t>
      </w:r>
      <w:r w:rsidDel="00C0083D">
        <w:t xml:space="preserve"> that</w:t>
      </w:r>
      <w:r w:rsidR="00D53204">
        <w:t>,</w:t>
      </w:r>
      <w:r w:rsidDel="00C0083D">
        <w:t xml:space="preserve"> </w:t>
      </w:r>
      <w:r w:rsidR="00D53204">
        <w:t xml:space="preserve">similar to the LATERA arm, </w:t>
      </w:r>
      <w:r w:rsidRPr="001C2274" w:rsidDel="00C0083D">
        <w:t xml:space="preserve">there is a drop </w:t>
      </w:r>
      <w:r w:rsidR="0034294E">
        <w:t xml:space="preserve">in the mean NOSE score </w:t>
      </w:r>
      <w:r w:rsidRPr="001C2274" w:rsidDel="00C0083D">
        <w:t xml:space="preserve">from </w:t>
      </w:r>
      <w:r w:rsidRPr="00BB1E80" w:rsidDel="00C0083D">
        <w:t>70</w:t>
      </w:r>
      <w:r w:rsidR="0034294E">
        <w:t xml:space="preserve"> (baseline)</w:t>
      </w:r>
      <w:r w:rsidRPr="001C2274" w:rsidDel="00C0083D">
        <w:t xml:space="preserve"> to </w:t>
      </w:r>
      <w:r w:rsidRPr="00BB1E80" w:rsidDel="00C0083D">
        <w:t>~45</w:t>
      </w:r>
      <w:r w:rsidRPr="001C2274" w:rsidDel="00C0083D">
        <w:t xml:space="preserve"> at 1 m</w:t>
      </w:r>
      <w:r w:rsidDel="00C0083D">
        <w:t>on</w:t>
      </w:r>
      <w:r w:rsidRPr="001C2274" w:rsidDel="00C0083D">
        <w:t xml:space="preserve">th and then </w:t>
      </w:r>
      <w:r w:rsidRPr="00BB1E80" w:rsidDel="00C0083D">
        <w:t>~40</w:t>
      </w:r>
      <w:r w:rsidRPr="001C2274" w:rsidDel="00C0083D">
        <w:t xml:space="preserve"> at 3 m</w:t>
      </w:r>
      <w:r w:rsidDel="00C0083D">
        <w:t>on</w:t>
      </w:r>
      <w:r w:rsidRPr="001C2274" w:rsidDel="00C0083D">
        <w:t>th</w:t>
      </w:r>
      <w:r w:rsidDel="00C0083D">
        <w:t>s. The</w:t>
      </w:r>
      <w:r w:rsidR="00430565">
        <w:t xml:space="preserve"> </w:t>
      </w:r>
      <w:r w:rsidR="004C281C">
        <w:t>c</w:t>
      </w:r>
      <w:r w:rsidR="00430565">
        <w:t>ommentary noted that it was not clear if the</w:t>
      </w:r>
      <w:r w:rsidDel="00C0083D">
        <w:t xml:space="preserve"> </w:t>
      </w:r>
      <w:r w:rsidRPr="001C2274" w:rsidDel="00C0083D">
        <w:t>baseline</w:t>
      </w:r>
      <w:r w:rsidR="000D0E32">
        <w:t>, 1 month and 3 month</w:t>
      </w:r>
      <w:r w:rsidRPr="001C2274" w:rsidDel="00C0083D">
        <w:t xml:space="preserve"> </w:t>
      </w:r>
      <w:r w:rsidR="000D0E32">
        <w:t xml:space="preserve">NOSE score </w:t>
      </w:r>
      <w:r w:rsidR="00430565">
        <w:t>for the cross</w:t>
      </w:r>
      <w:r w:rsidR="00241BBC">
        <w:t xml:space="preserve">-over </w:t>
      </w:r>
      <w:r w:rsidRPr="001C2274" w:rsidDel="00C0083D">
        <w:t>p</w:t>
      </w:r>
      <w:r w:rsidDel="00C0083D">
        <w:t>atien</w:t>
      </w:r>
      <w:r w:rsidRPr="001C2274" w:rsidDel="00C0083D">
        <w:t xml:space="preserve">ts </w:t>
      </w:r>
      <w:r w:rsidR="00241BBC">
        <w:t>was</w:t>
      </w:r>
      <w:r w:rsidRPr="001C2274" w:rsidDel="00C0083D">
        <w:t xml:space="preserve"> from when these p</w:t>
      </w:r>
      <w:r w:rsidDel="00C0083D">
        <w:t>atien</w:t>
      </w:r>
      <w:r w:rsidRPr="001C2274" w:rsidDel="00C0083D">
        <w:t>ts entered the study as sham p</w:t>
      </w:r>
      <w:r w:rsidDel="00C0083D">
        <w:t>atien</w:t>
      </w:r>
      <w:r w:rsidRPr="001C2274" w:rsidDel="00C0083D">
        <w:t xml:space="preserve">ts or </w:t>
      </w:r>
      <w:r w:rsidR="009E67E4">
        <w:t>from</w:t>
      </w:r>
      <w:r w:rsidRPr="001C2274" w:rsidDel="00C0083D">
        <w:t xml:space="preserve"> when the</w:t>
      </w:r>
      <w:r w:rsidR="00241BBC">
        <w:t xml:space="preserve"> patients</w:t>
      </w:r>
      <w:r w:rsidRPr="001C2274" w:rsidDel="00C0083D">
        <w:t xml:space="preserve"> crossed over and received the LATERA</w:t>
      </w:r>
      <w:r w:rsidR="00241BBC">
        <w:t>.</w:t>
      </w:r>
      <w:r w:rsidR="00FB349A">
        <w:t xml:space="preserve"> </w:t>
      </w:r>
      <w:r w:rsidR="00811377">
        <w:t>The LATERA-RCT final clinical study report did not present</w:t>
      </w:r>
      <w:r w:rsidR="00050E16">
        <w:t xml:space="preserve"> </w:t>
      </w:r>
      <w:r w:rsidR="00F22F20">
        <w:t xml:space="preserve">1 and 3 month </w:t>
      </w:r>
      <w:r w:rsidR="00050E16">
        <w:t xml:space="preserve">individual patient level data </w:t>
      </w:r>
      <w:r w:rsidR="00F22F20">
        <w:t>for</w:t>
      </w:r>
      <w:r w:rsidR="00E9743F">
        <w:t xml:space="preserve"> the</w:t>
      </w:r>
      <w:r w:rsidR="00007861">
        <w:t xml:space="preserve"> cross-over </w:t>
      </w:r>
      <w:r w:rsidR="00726635">
        <w:t xml:space="preserve">study arm (i.e. </w:t>
      </w:r>
      <w:r w:rsidR="003A11AC">
        <w:t xml:space="preserve">the tables in CSR only presented the </w:t>
      </w:r>
      <w:r w:rsidR="00D46226">
        <w:t xml:space="preserve">individual patient </w:t>
      </w:r>
      <w:r w:rsidR="00726635">
        <w:t xml:space="preserve">NOSE scores for cross-over </w:t>
      </w:r>
      <w:r w:rsidR="004848AD">
        <w:t xml:space="preserve">study arm </w:t>
      </w:r>
      <w:r w:rsidR="00D46226">
        <w:t>at 6, 12, 18 and 24 month follow up)</w:t>
      </w:r>
      <w:r w:rsidDel="00C0083D">
        <w:t xml:space="preserve">. </w:t>
      </w:r>
    </w:p>
    <w:p w14:paraId="1CC7170C" w14:textId="420705EE" w:rsidR="005F6E9F" w:rsidRDefault="005F6E9F" w:rsidP="005F6E9F">
      <w:pPr>
        <w:pStyle w:val="Caption"/>
      </w:pPr>
      <w:bookmarkStart w:id="37" w:name="_Ref127955539"/>
      <w:r>
        <w:t xml:space="preserve">Table </w:t>
      </w:r>
      <w:r>
        <w:fldChar w:fldCharType="begin"/>
      </w:r>
      <w:r>
        <w:instrText>SEQ Table \* ARABIC</w:instrText>
      </w:r>
      <w:r>
        <w:fldChar w:fldCharType="separate"/>
      </w:r>
      <w:r w:rsidR="003511D3">
        <w:rPr>
          <w:noProof/>
        </w:rPr>
        <w:t>14</w:t>
      </w:r>
      <w:r>
        <w:fldChar w:fldCharType="end"/>
      </w:r>
      <w:bookmarkEnd w:id="37"/>
      <w:r>
        <w:tab/>
        <w:t>Change in NOSE score over time for patients randomised to LATERA</w:t>
      </w:r>
      <w:r w:rsidR="00047485">
        <w:t xml:space="preserve"> in the LATERA-RCT</w:t>
      </w:r>
    </w:p>
    <w:tbl>
      <w:tblPr>
        <w:tblStyle w:val="TableGrid"/>
        <w:tblW w:w="5003" w:type="pct"/>
        <w:tblInd w:w="-5" w:type="dxa"/>
        <w:tblLook w:val="04A0" w:firstRow="1" w:lastRow="0" w:firstColumn="1" w:lastColumn="0" w:noHBand="0" w:noVBand="1"/>
      </w:tblPr>
      <w:tblGrid>
        <w:gridCol w:w="2127"/>
        <w:gridCol w:w="971"/>
        <w:gridCol w:w="1721"/>
        <w:gridCol w:w="1719"/>
        <w:gridCol w:w="1606"/>
        <w:gridCol w:w="877"/>
      </w:tblGrid>
      <w:tr w:rsidR="00D14442" w:rsidRPr="00921DA8" w14:paraId="5BFD1E5A" w14:textId="77777777" w:rsidTr="00561B54">
        <w:trPr>
          <w:trHeight w:val="60"/>
          <w:tblHeader/>
        </w:trPr>
        <w:tc>
          <w:tcPr>
            <w:tcW w:w="1179" w:type="pct"/>
            <w:tcBorders>
              <w:top w:val="single" w:sz="4" w:space="0" w:color="auto"/>
              <w:bottom w:val="nil"/>
            </w:tcBorders>
            <w:shd w:val="clear" w:color="auto" w:fill="auto"/>
          </w:tcPr>
          <w:p w14:paraId="1CCBDF7C" w14:textId="77777777" w:rsidR="005F6E9F" w:rsidRPr="00921DA8" w:rsidRDefault="005F6E9F" w:rsidP="00D578DE">
            <w:pPr>
              <w:pStyle w:val="TableHeadingCA"/>
            </w:pPr>
          </w:p>
        </w:tc>
        <w:tc>
          <w:tcPr>
            <w:tcW w:w="538" w:type="pct"/>
            <w:tcBorders>
              <w:bottom w:val="single" w:sz="4" w:space="0" w:color="auto"/>
              <w:right w:val="nil"/>
            </w:tcBorders>
            <w:shd w:val="clear" w:color="auto" w:fill="auto"/>
          </w:tcPr>
          <w:p w14:paraId="54494D65" w14:textId="77777777" w:rsidR="005F6E9F" w:rsidRDefault="005F6E9F" w:rsidP="00D578DE">
            <w:pPr>
              <w:pStyle w:val="TableHeadingCA"/>
            </w:pPr>
          </w:p>
        </w:tc>
        <w:tc>
          <w:tcPr>
            <w:tcW w:w="3283" w:type="pct"/>
            <w:gridSpan w:val="4"/>
            <w:tcBorders>
              <w:left w:val="nil"/>
              <w:bottom w:val="single" w:sz="4" w:space="0" w:color="auto"/>
            </w:tcBorders>
            <w:shd w:val="clear" w:color="auto" w:fill="auto"/>
          </w:tcPr>
          <w:p w14:paraId="1B2B021F" w14:textId="77777777" w:rsidR="005F6E9F" w:rsidRDefault="005F6E9F" w:rsidP="00D578DE">
            <w:pPr>
              <w:pStyle w:val="TableHeadingCA"/>
            </w:pPr>
            <w:r>
              <w:t xml:space="preserve">Participant randomised to LATERA </w:t>
            </w:r>
          </w:p>
        </w:tc>
      </w:tr>
      <w:tr w:rsidR="005E1D09" w:rsidRPr="00EC0DC8" w14:paraId="654071B6" w14:textId="77777777" w:rsidTr="00561B54">
        <w:trPr>
          <w:tblHeader/>
        </w:trPr>
        <w:tc>
          <w:tcPr>
            <w:tcW w:w="1179" w:type="pct"/>
            <w:tcBorders>
              <w:top w:val="nil"/>
              <w:bottom w:val="single" w:sz="4" w:space="0" w:color="auto"/>
            </w:tcBorders>
            <w:shd w:val="clear" w:color="auto" w:fill="auto"/>
          </w:tcPr>
          <w:p w14:paraId="18823A4A" w14:textId="77777777" w:rsidR="005F6E9F" w:rsidRPr="00EC0DC8" w:rsidRDefault="005F6E9F" w:rsidP="00D578DE">
            <w:pPr>
              <w:pStyle w:val="TableHeadingCA"/>
            </w:pPr>
            <w:r>
              <w:t>Follow-up</w:t>
            </w:r>
          </w:p>
        </w:tc>
        <w:tc>
          <w:tcPr>
            <w:tcW w:w="538" w:type="pct"/>
            <w:tcBorders>
              <w:bottom w:val="single" w:sz="4" w:space="0" w:color="auto"/>
            </w:tcBorders>
            <w:shd w:val="clear" w:color="auto" w:fill="auto"/>
          </w:tcPr>
          <w:p w14:paraId="5702E952" w14:textId="77777777" w:rsidR="005F6E9F" w:rsidRDefault="005F6E9F" w:rsidP="00D578DE">
            <w:pPr>
              <w:pStyle w:val="TableHeadingCA"/>
            </w:pPr>
            <w:r>
              <w:t>n</w:t>
            </w:r>
          </w:p>
        </w:tc>
        <w:tc>
          <w:tcPr>
            <w:tcW w:w="954" w:type="pct"/>
            <w:tcBorders>
              <w:bottom w:val="single" w:sz="4" w:space="0" w:color="auto"/>
            </w:tcBorders>
            <w:shd w:val="clear" w:color="auto" w:fill="auto"/>
          </w:tcPr>
          <w:p w14:paraId="25BDD0B9" w14:textId="77777777" w:rsidR="005F6E9F" w:rsidRDefault="005F6E9F" w:rsidP="00D578DE">
            <w:pPr>
              <w:pStyle w:val="TableHeadingCA"/>
            </w:pPr>
            <w:r>
              <w:t>Baseline</w:t>
            </w:r>
          </w:p>
          <w:p w14:paraId="7DFD0C31" w14:textId="77777777" w:rsidR="005F6E9F" w:rsidRPr="00EC0DC8" w:rsidRDefault="005F6E9F" w:rsidP="00D578DE">
            <w:pPr>
              <w:pStyle w:val="TableHeadingCA"/>
            </w:pPr>
            <w:r>
              <w:t>Mean ± SD</w:t>
            </w:r>
          </w:p>
        </w:tc>
        <w:tc>
          <w:tcPr>
            <w:tcW w:w="953" w:type="pct"/>
            <w:tcBorders>
              <w:bottom w:val="single" w:sz="4" w:space="0" w:color="auto"/>
            </w:tcBorders>
            <w:shd w:val="clear" w:color="auto" w:fill="auto"/>
          </w:tcPr>
          <w:p w14:paraId="6FC99C79" w14:textId="77777777" w:rsidR="005F6E9F" w:rsidRPr="00EC0DC8" w:rsidRDefault="005F6E9F" w:rsidP="00D578DE">
            <w:pPr>
              <w:pStyle w:val="TableHeadingCA"/>
            </w:pPr>
            <w:r>
              <w:t xml:space="preserve">Visit </w:t>
            </w:r>
          </w:p>
        </w:tc>
        <w:tc>
          <w:tcPr>
            <w:tcW w:w="890" w:type="pct"/>
            <w:tcBorders>
              <w:bottom w:val="single" w:sz="4" w:space="0" w:color="auto"/>
            </w:tcBorders>
            <w:shd w:val="clear" w:color="auto" w:fill="auto"/>
          </w:tcPr>
          <w:p w14:paraId="2484C4B8" w14:textId="77777777" w:rsidR="005F6E9F" w:rsidRDefault="005F6E9F" w:rsidP="00D578DE">
            <w:pPr>
              <w:pStyle w:val="TableHeadingCA"/>
            </w:pPr>
            <w:r>
              <w:t xml:space="preserve">Change </w:t>
            </w:r>
          </w:p>
        </w:tc>
        <w:tc>
          <w:tcPr>
            <w:tcW w:w="486" w:type="pct"/>
            <w:tcBorders>
              <w:bottom w:val="single" w:sz="4" w:space="0" w:color="auto"/>
            </w:tcBorders>
            <w:shd w:val="clear" w:color="auto" w:fill="auto"/>
          </w:tcPr>
          <w:p w14:paraId="147B9CF0" w14:textId="77777777" w:rsidR="005F6E9F" w:rsidRDefault="005F6E9F" w:rsidP="00D578DE">
            <w:pPr>
              <w:pStyle w:val="TableHeadingCA"/>
            </w:pPr>
            <w:r>
              <w:t>P value</w:t>
            </w:r>
          </w:p>
        </w:tc>
      </w:tr>
      <w:tr w:rsidR="005F6E9F" w:rsidRPr="00BB1E80" w14:paraId="78524754" w14:textId="77777777" w:rsidTr="00AA793B">
        <w:tc>
          <w:tcPr>
            <w:tcW w:w="1179" w:type="pct"/>
          </w:tcPr>
          <w:p w14:paraId="74573ABD" w14:textId="77777777" w:rsidR="005F6E9F" w:rsidRPr="00BB1E80" w:rsidRDefault="005F6E9F" w:rsidP="00D578DE">
            <w:pPr>
              <w:pStyle w:val="Tabletext0"/>
              <w:jc w:val="left"/>
            </w:pPr>
            <w:r w:rsidRPr="00BB1E80">
              <w:t>1 month</w:t>
            </w:r>
          </w:p>
        </w:tc>
        <w:tc>
          <w:tcPr>
            <w:tcW w:w="538" w:type="pct"/>
          </w:tcPr>
          <w:p w14:paraId="51756CE1" w14:textId="77777777" w:rsidR="005F6E9F" w:rsidRPr="00BB1E80" w:rsidRDefault="005F6E9F" w:rsidP="00D578DE">
            <w:pPr>
              <w:pStyle w:val="Tabletext0"/>
              <w:jc w:val="center"/>
            </w:pPr>
            <w:r w:rsidRPr="00BB1E80">
              <w:t>69</w:t>
            </w:r>
          </w:p>
        </w:tc>
        <w:tc>
          <w:tcPr>
            <w:tcW w:w="954" w:type="pct"/>
          </w:tcPr>
          <w:p w14:paraId="20DED645" w14:textId="77777777" w:rsidR="005F6E9F" w:rsidRPr="00BB1E80" w:rsidRDefault="005F6E9F" w:rsidP="00D578DE">
            <w:pPr>
              <w:pStyle w:val="Tabletext0"/>
              <w:jc w:val="center"/>
            </w:pPr>
            <w:r w:rsidRPr="00BB1E80">
              <w:t>76.2 ± 13.1</w:t>
            </w:r>
          </w:p>
        </w:tc>
        <w:tc>
          <w:tcPr>
            <w:tcW w:w="953" w:type="pct"/>
          </w:tcPr>
          <w:p w14:paraId="1FCEE970" w14:textId="77777777" w:rsidR="005F6E9F" w:rsidRPr="00BB1E80" w:rsidRDefault="005F6E9F" w:rsidP="00D578DE">
            <w:pPr>
              <w:pStyle w:val="Tabletext0"/>
              <w:jc w:val="center"/>
            </w:pPr>
            <w:r w:rsidRPr="00BB1E80">
              <w:t>40.0 ± 21.9</w:t>
            </w:r>
          </w:p>
        </w:tc>
        <w:tc>
          <w:tcPr>
            <w:tcW w:w="890" w:type="pct"/>
          </w:tcPr>
          <w:p w14:paraId="5FDE3564" w14:textId="77777777" w:rsidR="005F6E9F" w:rsidRPr="00BB1E80" w:rsidRDefault="005F6E9F" w:rsidP="00D578DE">
            <w:pPr>
              <w:pStyle w:val="Tabletext0"/>
              <w:jc w:val="center"/>
            </w:pPr>
            <w:r w:rsidRPr="00BB1E80">
              <w:t>−36.2 ± 25.8</w:t>
            </w:r>
          </w:p>
        </w:tc>
        <w:tc>
          <w:tcPr>
            <w:tcW w:w="486" w:type="pct"/>
          </w:tcPr>
          <w:p w14:paraId="6AB33702" w14:textId="77777777" w:rsidR="005F6E9F" w:rsidRPr="00BB1E80" w:rsidRDefault="005F6E9F" w:rsidP="00D578DE">
            <w:pPr>
              <w:pStyle w:val="Tabletext0"/>
              <w:jc w:val="center"/>
            </w:pPr>
            <w:r w:rsidRPr="00BB1E80">
              <w:t>&lt;0.001</w:t>
            </w:r>
          </w:p>
        </w:tc>
      </w:tr>
      <w:tr w:rsidR="005F6E9F" w:rsidRPr="00BB1E80" w14:paraId="70CA44C3" w14:textId="77777777" w:rsidTr="00AA793B">
        <w:tc>
          <w:tcPr>
            <w:tcW w:w="1179" w:type="pct"/>
          </w:tcPr>
          <w:p w14:paraId="0787482C" w14:textId="77777777" w:rsidR="005F6E9F" w:rsidRPr="00BB1E80" w:rsidRDefault="005F6E9F" w:rsidP="00D578DE">
            <w:pPr>
              <w:pStyle w:val="Tabletext0"/>
              <w:jc w:val="left"/>
            </w:pPr>
            <w:r w:rsidRPr="00BB1E80">
              <w:t>3 months</w:t>
            </w:r>
          </w:p>
        </w:tc>
        <w:tc>
          <w:tcPr>
            <w:tcW w:w="538" w:type="pct"/>
          </w:tcPr>
          <w:p w14:paraId="6BE86DC3" w14:textId="77777777" w:rsidR="005F6E9F" w:rsidRPr="00BB1E80" w:rsidRDefault="005F6E9F" w:rsidP="00D578DE">
            <w:pPr>
              <w:pStyle w:val="Tabletext0"/>
              <w:jc w:val="center"/>
            </w:pPr>
            <w:r w:rsidRPr="00BB1E80">
              <w:t>70</w:t>
            </w:r>
          </w:p>
        </w:tc>
        <w:tc>
          <w:tcPr>
            <w:tcW w:w="954" w:type="pct"/>
          </w:tcPr>
          <w:p w14:paraId="4EC7D15E" w14:textId="77777777" w:rsidR="005F6E9F" w:rsidRPr="00BB1E80" w:rsidRDefault="005F6E9F" w:rsidP="00D578DE">
            <w:pPr>
              <w:pStyle w:val="Tabletext0"/>
              <w:jc w:val="center"/>
            </w:pPr>
            <w:r w:rsidRPr="00BB1E80">
              <w:t>76.2 ± 13.3</w:t>
            </w:r>
          </w:p>
        </w:tc>
        <w:tc>
          <w:tcPr>
            <w:tcW w:w="953" w:type="pct"/>
          </w:tcPr>
          <w:p w14:paraId="62B7E2FB" w14:textId="77777777" w:rsidR="005F6E9F" w:rsidRPr="00BB1E80" w:rsidRDefault="005F6E9F" w:rsidP="00D578DE">
            <w:pPr>
              <w:pStyle w:val="Tabletext0"/>
              <w:jc w:val="center"/>
            </w:pPr>
            <w:r w:rsidRPr="00BB1E80">
              <w:t>34.5 ± 22.5</w:t>
            </w:r>
          </w:p>
        </w:tc>
        <w:tc>
          <w:tcPr>
            <w:tcW w:w="890" w:type="pct"/>
          </w:tcPr>
          <w:p w14:paraId="438B9D3C" w14:textId="77777777" w:rsidR="005F6E9F" w:rsidRPr="00BB1E80" w:rsidRDefault="005F6E9F" w:rsidP="00D578DE">
            <w:pPr>
              <w:pStyle w:val="Tabletext0"/>
              <w:jc w:val="center"/>
            </w:pPr>
            <w:r w:rsidRPr="00BB1E80">
              <w:t>−41.7 ± 24.2</w:t>
            </w:r>
          </w:p>
        </w:tc>
        <w:tc>
          <w:tcPr>
            <w:tcW w:w="486" w:type="pct"/>
          </w:tcPr>
          <w:p w14:paraId="5E1BEFC5" w14:textId="77777777" w:rsidR="005F6E9F" w:rsidRPr="00BB1E80" w:rsidRDefault="005F6E9F" w:rsidP="00D578DE">
            <w:pPr>
              <w:pStyle w:val="Tabletext0"/>
              <w:jc w:val="center"/>
            </w:pPr>
            <w:r w:rsidRPr="00BB1E80">
              <w:t>&lt;0.001</w:t>
            </w:r>
          </w:p>
        </w:tc>
      </w:tr>
      <w:tr w:rsidR="005F6E9F" w:rsidRPr="00BB1E80" w14:paraId="7A7B2900" w14:textId="77777777" w:rsidTr="00AA793B">
        <w:tc>
          <w:tcPr>
            <w:tcW w:w="1179" w:type="pct"/>
          </w:tcPr>
          <w:p w14:paraId="1ABCD1C5" w14:textId="77777777" w:rsidR="005F6E9F" w:rsidRPr="00BB1E80" w:rsidRDefault="005F6E9F" w:rsidP="00D578DE">
            <w:pPr>
              <w:pStyle w:val="Tabletext0"/>
              <w:jc w:val="left"/>
            </w:pPr>
            <w:r w:rsidRPr="00BB1E80">
              <w:t>6 months</w:t>
            </w:r>
          </w:p>
        </w:tc>
        <w:tc>
          <w:tcPr>
            <w:tcW w:w="538" w:type="pct"/>
          </w:tcPr>
          <w:p w14:paraId="58C83FD1" w14:textId="77777777" w:rsidR="005F6E9F" w:rsidRPr="00BB1E80" w:rsidRDefault="005F6E9F" w:rsidP="00D578DE">
            <w:pPr>
              <w:pStyle w:val="Tabletext0"/>
              <w:jc w:val="center"/>
            </w:pPr>
            <w:r w:rsidRPr="00BB1E80">
              <w:t>65</w:t>
            </w:r>
          </w:p>
        </w:tc>
        <w:tc>
          <w:tcPr>
            <w:tcW w:w="954" w:type="pct"/>
          </w:tcPr>
          <w:p w14:paraId="1545192F" w14:textId="77777777" w:rsidR="005F6E9F" w:rsidRPr="00BB1E80" w:rsidRDefault="005F6E9F" w:rsidP="00D578DE">
            <w:pPr>
              <w:pStyle w:val="Tabletext0"/>
              <w:jc w:val="center"/>
            </w:pPr>
            <w:r w:rsidRPr="00BB1E80">
              <w:t>76.2 ± 13.1</w:t>
            </w:r>
          </w:p>
        </w:tc>
        <w:tc>
          <w:tcPr>
            <w:tcW w:w="953" w:type="pct"/>
          </w:tcPr>
          <w:p w14:paraId="16E3D4E7" w14:textId="77777777" w:rsidR="005F6E9F" w:rsidRPr="00BB1E80" w:rsidRDefault="005F6E9F" w:rsidP="00D578DE">
            <w:pPr>
              <w:pStyle w:val="Tabletext0"/>
              <w:jc w:val="center"/>
            </w:pPr>
            <w:r w:rsidRPr="00BB1E80">
              <w:t>28.9 ± 22.5</w:t>
            </w:r>
          </w:p>
        </w:tc>
        <w:tc>
          <w:tcPr>
            <w:tcW w:w="890" w:type="pct"/>
          </w:tcPr>
          <w:p w14:paraId="3D6B5791" w14:textId="77777777" w:rsidR="005F6E9F" w:rsidRPr="00BB1E80" w:rsidRDefault="005F6E9F" w:rsidP="00D578DE">
            <w:pPr>
              <w:pStyle w:val="Tabletext0"/>
              <w:jc w:val="center"/>
            </w:pPr>
            <w:r w:rsidRPr="00BB1E80">
              <w:t>−47.3 ± 24.0</w:t>
            </w:r>
          </w:p>
        </w:tc>
        <w:tc>
          <w:tcPr>
            <w:tcW w:w="486" w:type="pct"/>
          </w:tcPr>
          <w:p w14:paraId="5A0B319D" w14:textId="77777777" w:rsidR="005F6E9F" w:rsidRPr="00BB1E80" w:rsidRDefault="005F6E9F" w:rsidP="00D578DE">
            <w:pPr>
              <w:pStyle w:val="Tabletext0"/>
              <w:jc w:val="center"/>
            </w:pPr>
            <w:r w:rsidRPr="00BB1E80">
              <w:t>&lt;0.001</w:t>
            </w:r>
          </w:p>
        </w:tc>
      </w:tr>
      <w:tr w:rsidR="005F6E9F" w:rsidRPr="00BB1E80" w14:paraId="60E4D593" w14:textId="77777777" w:rsidTr="00AA793B">
        <w:tc>
          <w:tcPr>
            <w:tcW w:w="1179" w:type="pct"/>
          </w:tcPr>
          <w:p w14:paraId="61E0E474" w14:textId="77777777" w:rsidR="005F6E9F" w:rsidRPr="00BB1E80" w:rsidRDefault="005F6E9F" w:rsidP="00D578DE">
            <w:pPr>
              <w:pStyle w:val="Tabletext0"/>
              <w:jc w:val="left"/>
            </w:pPr>
            <w:r w:rsidRPr="00BB1E80">
              <w:t>12 months</w:t>
            </w:r>
          </w:p>
        </w:tc>
        <w:tc>
          <w:tcPr>
            <w:tcW w:w="538" w:type="pct"/>
          </w:tcPr>
          <w:p w14:paraId="0BA90EEF" w14:textId="77777777" w:rsidR="005F6E9F" w:rsidRPr="00BB1E80" w:rsidRDefault="005F6E9F" w:rsidP="00D578DE">
            <w:pPr>
              <w:pStyle w:val="Tabletext0"/>
              <w:jc w:val="center"/>
            </w:pPr>
            <w:r w:rsidRPr="00BB1E80">
              <w:t>58</w:t>
            </w:r>
          </w:p>
        </w:tc>
        <w:tc>
          <w:tcPr>
            <w:tcW w:w="954" w:type="pct"/>
          </w:tcPr>
          <w:p w14:paraId="6FAEA3AA" w14:textId="77777777" w:rsidR="005F6E9F" w:rsidRPr="00BB1E80" w:rsidRDefault="005F6E9F" w:rsidP="00D578DE">
            <w:pPr>
              <w:pStyle w:val="Tabletext0"/>
              <w:jc w:val="center"/>
            </w:pPr>
            <w:r w:rsidRPr="00BB1E80">
              <w:t>76.8 ± 13.0</w:t>
            </w:r>
          </w:p>
        </w:tc>
        <w:tc>
          <w:tcPr>
            <w:tcW w:w="953" w:type="pct"/>
          </w:tcPr>
          <w:p w14:paraId="19C99D7B" w14:textId="77777777" w:rsidR="005F6E9F" w:rsidRPr="00BB1E80" w:rsidRDefault="005F6E9F" w:rsidP="00D578DE">
            <w:pPr>
              <w:pStyle w:val="Tabletext0"/>
              <w:jc w:val="center"/>
            </w:pPr>
            <w:r w:rsidRPr="00BB1E80">
              <w:t>31.8 ± 23.4</w:t>
            </w:r>
          </w:p>
        </w:tc>
        <w:tc>
          <w:tcPr>
            <w:tcW w:w="890" w:type="pct"/>
          </w:tcPr>
          <w:p w14:paraId="66AB40BD" w14:textId="77777777" w:rsidR="005F6E9F" w:rsidRPr="00BB1E80" w:rsidRDefault="005F6E9F" w:rsidP="00D578DE">
            <w:pPr>
              <w:pStyle w:val="Tabletext0"/>
              <w:jc w:val="center"/>
            </w:pPr>
            <w:r w:rsidRPr="00BB1E80">
              <w:t>−45.0 ± 25.2</w:t>
            </w:r>
          </w:p>
        </w:tc>
        <w:tc>
          <w:tcPr>
            <w:tcW w:w="486" w:type="pct"/>
          </w:tcPr>
          <w:p w14:paraId="52DF7052" w14:textId="77777777" w:rsidR="005F6E9F" w:rsidRPr="00BB1E80" w:rsidRDefault="005F6E9F" w:rsidP="00D578DE">
            <w:pPr>
              <w:pStyle w:val="Tabletext0"/>
              <w:jc w:val="center"/>
            </w:pPr>
            <w:r w:rsidRPr="00BB1E80">
              <w:t>&lt;0.001</w:t>
            </w:r>
          </w:p>
        </w:tc>
      </w:tr>
      <w:tr w:rsidR="005F6E9F" w:rsidRPr="00BB1E80" w14:paraId="231BC89E" w14:textId="77777777" w:rsidTr="00AA793B">
        <w:tc>
          <w:tcPr>
            <w:tcW w:w="1179" w:type="pct"/>
          </w:tcPr>
          <w:p w14:paraId="45E255CC" w14:textId="77777777" w:rsidR="005F6E9F" w:rsidRPr="00BB1E80" w:rsidRDefault="005F6E9F" w:rsidP="00D578DE">
            <w:pPr>
              <w:pStyle w:val="Tabletext0"/>
              <w:jc w:val="left"/>
            </w:pPr>
            <w:r w:rsidRPr="00BB1E80">
              <w:t>18 months</w:t>
            </w:r>
          </w:p>
        </w:tc>
        <w:tc>
          <w:tcPr>
            <w:tcW w:w="538" w:type="pct"/>
          </w:tcPr>
          <w:p w14:paraId="17025472" w14:textId="77777777" w:rsidR="005F6E9F" w:rsidRPr="00BB1E80" w:rsidRDefault="005F6E9F" w:rsidP="00D578DE">
            <w:pPr>
              <w:pStyle w:val="Tabletext0"/>
              <w:jc w:val="center"/>
            </w:pPr>
            <w:r w:rsidRPr="00BB1E80">
              <w:t>48</w:t>
            </w:r>
          </w:p>
        </w:tc>
        <w:tc>
          <w:tcPr>
            <w:tcW w:w="954" w:type="pct"/>
          </w:tcPr>
          <w:p w14:paraId="4F6E4B04" w14:textId="77777777" w:rsidR="005F6E9F" w:rsidRPr="00BB1E80" w:rsidRDefault="005F6E9F" w:rsidP="00D578DE">
            <w:pPr>
              <w:pStyle w:val="Tabletext0"/>
              <w:jc w:val="center"/>
            </w:pPr>
            <w:r w:rsidRPr="00BB1E80">
              <w:t>78.4 ± 12.1</w:t>
            </w:r>
          </w:p>
        </w:tc>
        <w:tc>
          <w:tcPr>
            <w:tcW w:w="953" w:type="pct"/>
          </w:tcPr>
          <w:p w14:paraId="5540BBBB" w14:textId="77777777" w:rsidR="005F6E9F" w:rsidRPr="00BB1E80" w:rsidRDefault="005F6E9F" w:rsidP="00D578DE">
            <w:pPr>
              <w:pStyle w:val="Tabletext0"/>
              <w:jc w:val="center"/>
            </w:pPr>
            <w:r w:rsidRPr="00BB1E80">
              <w:t>31.8 ± 21.7</w:t>
            </w:r>
          </w:p>
        </w:tc>
        <w:tc>
          <w:tcPr>
            <w:tcW w:w="890" w:type="pct"/>
          </w:tcPr>
          <w:p w14:paraId="2F6EE8A0" w14:textId="77777777" w:rsidR="005F6E9F" w:rsidRPr="00BB1E80" w:rsidRDefault="005F6E9F" w:rsidP="00D578DE">
            <w:pPr>
              <w:pStyle w:val="Tabletext0"/>
              <w:jc w:val="center"/>
            </w:pPr>
            <w:r w:rsidRPr="00BB1E80">
              <w:t>−46.7 ± 24.6</w:t>
            </w:r>
          </w:p>
        </w:tc>
        <w:tc>
          <w:tcPr>
            <w:tcW w:w="486" w:type="pct"/>
          </w:tcPr>
          <w:p w14:paraId="4CDF06FC" w14:textId="77777777" w:rsidR="005F6E9F" w:rsidRPr="00BB1E80" w:rsidRDefault="005F6E9F" w:rsidP="00D578DE">
            <w:pPr>
              <w:pStyle w:val="Tabletext0"/>
              <w:jc w:val="center"/>
            </w:pPr>
            <w:r w:rsidRPr="00BB1E80">
              <w:t>&lt;0.001</w:t>
            </w:r>
          </w:p>
        </w:tc>
      </w:tr>
      <w:tr w:rsidR="005F6E9F" w:rsidRPr="00BB1E80" w14:paraId="02376B60" w14:textId="77777777" w:rsidTr="00AA793B">
        <w:tc>
          <w:tcPr>
            <w:tcW w:w="1179" w:type="pct"/>
          </w:tcPr>
          <w:p w14:paraId="7BEC0B6B" w14:textId="77777777" w:rsidR="005F6E9F" w:rsidRPr="00BB1E80" w:rsidRDefault="005F6E9F" w:rsidP="00D578DE">
            <w:pPr>
              <w:pStyle w:val="Tabletext0"/>
              <w:jc w:val="left"/>
            </w:pPr>
            <w:r w:rsidRPr="00BB1E80">
              <w:t>24 months</w:t>
            </w:r>
          </w:p>
        </w:tc>
        <w:tc>
          <w:tcPr>
            <w:tcW w:w="538" w:type="pct"/>
          </w:tcPr>
          <w:p w14:paraId="297F06A7" w14:textId="77777777" w:rsidR="005F6E9F" w:rsidRPr="00BB1E80" w:rsidRDefault="005F6E9F" w:rsidP="00D578DE">
            <w:pPr>
              <w:pStyle w:val="Tabletext0"/>
              <w:jc w:val="center"/>
            </w:pPr>
            <w:r w:rsidRPr="00BB1E80">
              <w:t>43</w:t>
            </w:r>
          </w:p>
        </w:tc>
        <w:tc>
          <w:tcPr>
            <w:tcW w:w="954" w:type="pct"/>
          </w:tcPr>
          <w:p w14:paraId="092EF509" w14:textId="77777777" w:rsidR="005F6E9F" w:rsidRPr="00BB1E80" w:rsidRDefault="005F6E9F" w:rsidP="00D578DE">
            <w:pPr>
              <w:pStyle w:val="Tabletext0"/>
              <w:jc w:val="center"/>
            </w:pPr>
            <w:r w:rsidRPr="00BB1E80">
              <w:t>78.8 ± 12.1</w:t>
            </w:r>
          </w:p>
        </w:tc>
        <w:tc>
          <w:tcPr>
            <w:tcW w:w="953" w:type="pct"/>
          </w:tcPr>
          <w:p w14:paraId="697B0EDE" w14:textId="77777777" w:rsidR="005F6E9F" w:rsidRPr="00BB1E80" w:rsidRDefault="005F6E9F" w:rsidP="00D578DE">
            <w:pPr>
              <w:pStyle w:val="Tabletext0"/>
              <w:jc w:val="center"/>
            </w:pPr>
            <w:r w:rsidRPr="00BB1E80">
              <w:t>35.0 ± 25.5</w:t>
            </w:r>
          </w:p>
        </w:tc>
        <w:tc>
          <w:tcPr>
            <w:tcW w:w="890" w:type="pct"/>
          </w:tcPr>
          <w:p w14:paraId="30F6481F" w14:textId="77777777" w:rsidR="005F6E9F" w:rsidRPr="00BB1E80" w:rsidRDefault="005F6E9F" w:rsidP="00D578DE">
            <w:pPr>
              <w:pStyle w:val="Tabletext0"/>
              <w:jc w:val="center"/>
            </w:pPr>
            <w:r w:rsidRPr="00BB1E80">
              <w:t>−43.8 ± 26.4</w:t>
            </w:r>
          </w:p>
        </w:tc>
        <w:tc>
          <w:tcPr>
            <w:tcW w:w="486" w:type="pct"/>
          </w:tcPr>
          <w:p w14:paraId="73398F32" w14:textId="77777777" w:rsidR="005F6E9F" w:rsidRPr="00BB1E80" w:rsidRDefault="005F6E9F" w:rsidP="00D578DE">
            <w:pPr>
              <w:pStyle w:val="Tabletext0"/>
              <w:jc w:val="center"/>
            </w:pPr>
            <w:r w:rsidRPr="00BB1E80">
              <w:t>&lt;0.001</w:t>
            </w:r>
          </w:p>
        </w:tc>
      </w:tr>
    </w:tbl>
    <w:p w14:paraId="231EFF3E" w14:textId="2508E3D5" w:rsidR="005F6E9F" w:rsidRDefault="005F6E9F" w:rsidP="005F6E9F">
      <w:pPr>
        <w:pStyle w:val="Tablenotes"/>
      </w:pPr>
      <w:r w:rsidRPr="009F11F1">
        <w:t xml:space="preserve">Source: Table </w:t>
      </w:r>
      <w:r w:rsidR="007150F5">
        <w:t>20, pg 109 of MSAC 1719 ADAR+inline commentary</w:t>
      </w:r>
    </w:p>
    <w:p w14:paraId="7732BE4C" w14:textId="77777777" w:rsidR="005F6E9F" w:rsidRDefault="005F6E9F" w:rsidP="005F6E9F">
      <w:pPr>
        <w:pStyle w:val="Tablenotes"/>
      </w:pPr>
      <w:r>
        <w:t>Abbreviations: SD= standard deviation.</w:t>
      </w:r>
    </w:p>
    <w:p w14:paraId="273F51E3" w14:textId="4D55F133" w:rsidR="00EF084D" w:rsidRDefault="00EF084D" w:rsidP="00EF084D">
      <w:pPr>
        <w:pStyle w:val="Caption"/>
      </w:pPr>
      <w:bookmarkStart w:id="38" w:name="_Ref114566521"/>
      <w:bookmarkStart w:id="39" w:name="_Toc123849591"/>
      <w:r>
        <w:t xml:space="preserve">Table </w:t>
      </w:r>
      <w:r>
        <w:fldChar w:fldCharType="begin"/>
      </w:r>
      <w:r>
        <w:instrText>SEQ Table \* ARABIC</w:instrText>
      </w:r>
      <w:r>
        <w:fldChar w:fldCharType="separate"/>
      </w:r>
      <w:r w:rsidR="003511D3">
        <w:rPr>
          <w:noProof/>
        </w:rPr>
        <w:t>15</w:t>
      </w:r>
      <w:r>
        <w:fldChar w:fldCharType="end"/>
      </w:r>
      <w:bookmarkEnd w:id="38"/>
      <w:r>
        <w:tab/>
        <w:t xml:space="preserve">Response rate over time </w:t>
      </w:r>
      <w:bookmarkEnd w:id="39"/>
      <w:r w:rsidR="00320876">
        <w:t>for patients randomised to LATERA in the LATERA-RCT</w:t>
      </w:r>
    </w:p>
    <w:tbl>
      <w:tblPr>
        <w:tblStyle w:val="TableGrid"/>
        <w:tblW w:w="5003" w:type="pct"/>
        <w:tblInd w:w="-5" w:type="dxa"/>
        <w:tblLook w:val="04A0" w:firstRow="1" w:lastRow="0" w:firstColumn="1" w:lastColumn="0" w:noHBand="0" w:noVBand="1"/>
      </w:tblPr>
      <w:tblGrid>
        <w:gridCol w:w="1275"/>
        <w:gridCol w:w="1418"/>
        <w:gridCol w:w="1985"/>
        <w:gridCol w:w="4343"/>
      </w:tblGrid>
      <w:tr w:rsidR="00A916C2" w:rsidRPr="00921DA8" w14:paraId="4C66E3C3" w14:textId="77777777" w:rsidTr="00561B54">
        <w:trPr>
          <w:trHeight w:val="60"/>
          <w:tblHeader/>
        </w:trPr>
        <w:tc>
          <w:tcPr>
            <w:tcW w:w="707" w:type="pct"/>
            <w:tcBorders>
              <w:top w:val="single" w:sz="4" w:space="0" w:color="auto"/>
              <w:bottom w:val="nil"/>
            </w:tcBorders>
            <w:shd w:val="clear" w:color="auto" w:fill="auto"/>
          </w:tcPr>
          <w:p w14:paraId="433537AC" w14:textId="77777777" w:rsidR="00EF084D" w:rsidRPr="00921DA8" w:rsidRDefault="00EF084D" w:rsidP="00D578DE">
            <w:pPr>
              <w:pStyle w:val="TableHeadingCA"/>
            </w:pPr>
            <w:r>
              <w:t>Follow-up</w:t>
            </w:r>
          </w:p>
        </w:tc>
        <w:tc>
          <w:tcPr>
            <w:tcW w:w="4293" w:type="pct"/>
            <w:gridSpan w:val="3"/>
            <w:tcBorders>
              <w:bottom w:val="single" w:sz="4" w:space="0" w:color="auto"/>
            </w:tcBorders>
            <w:shd w:val="clear" w:color="auto" w:fill="auto"/>
          </w:tcPr>
          <w:p w14:paraId="6BA5A2E4" w14:textId="77777777" w:rsidR="00EF084D" w:rsidRPr="00921DA8" w:rsidRDefault="00EF084D" w:rsidP="00D578DE">
            <w:pPr>
              <w:pStyle w:val="TableHeadingCA"/>
            </w:pPr>
            <w:r>
              <w:t>LATERA Randomised subjects</w:t>
            </w:r>
          </w:p>
        </w:tc>
      </w:tr>
      <w:tr w:rsidR="005E1D09" w:rsidRPr="00EC0DC8" w14:paraId="29224A52" w14:textId="77777777" w:rsidTr="00320876">
        <w:trPr>
          <w:tblHeader/>
        </w:trPr>
        <w:tc>
          <w:tcPr>
            <w:tcW w:w="707" w:type="pct"/>
            <w:tcBorders>
              <w:top w:val="nil"/>
              <w:bottom w:val="single" w:sz="4" w:space="0" w:color="auto"/>
            </w:tcBorders>
            <w:shd w:val="clear" w:color="auto" w:fill="auto"/>
          </w:tcPr>
          <w:p w14:paraId="223C8F13" w14:textId="77777777" w:rsidR="00EF084D" w:rsidRPr="00EC0DC8" w:rsidRDefault="00EF084D" w:rsidP="00D578DE">
            <w:pPr>
              <w:pStyle w:val="TableHeadingCA"/>
            </w:pPr>
          </w:p>
        </w:tc>
        <w:tc>
          <w:tcPr>
            <w:tcW w:w="786" w:type="pct"/>
            <w:tcBorders>
              <w:bottom w:val="single" w:sz="4" w:space="0" w:color="auto"/>
            </w:tcBorders>
            <w:shd w:val="clear" w:color="auto" w:fill="auto"/>
          </w:tcPr>
          <w:p w14:paraId="0849A093" w14:textId="77777777" w:rsidR="00EF084D" w:rsidRPr="00EC0DC8" w:rsidRDefault="00EF084D" w:rsidP="00D578DE">
            <w:pPr>
              <w:pStyle w:val="TableHeadingCA"/>
            </w:pPr>
            <w:r>
              <w:t>Risk of bias</w:t>
            </w:r>
          </w:p>
        </w:tc>
        <w:tc>
          <w:tcPr>
            <w:tcW w:w="1100" w:type="pct"/>
            <w:tcBorders>
              <w:bottom w:val="single" w:sz="4" w:space="0" w:color="auto"/>
            </w:tcBorders>
            <w:shd w:val="clear" w:color="auto" w:fill="auto"/>
          </w:tcPr>
          <w:p w14:paraId="0BA1E49F" w14:textId="77777777" w:rsidR="00EF084D" w:rsidRPr="00EC0DC8" w:rsidRDefault="00EF084D" w:rsidP="00D578DE">
            <w:pPr>
              <w:pStyle w:val="TableHeadingCA"/>
            </w:pPr>
            <w:r w:rsidRPr="00EC0DC8">
              <w:t xml:space="preserve">n/N </w:t>
            </w:r>
          </w:p>
        </w:tc>
        <w:tc>
          <w:tcPr>
            <w:tcW w:w="2407" w:type="pct"/>
            <w:tcBorders>
              <w:bottom w:val="single" w:sz="4" w:space="0" w:color="auto"/>
            </w:tcBorders>
            <w:shd w:val="clear" w:color="auto" w:fill="auto"/>
          </w:tcPr>
          <w:p w14:paraId="5CCC6A99" w14:textId="77777777" w:rsidR="00EF084D" w:rsidRPr="00EC0DC8" w:rsidRDefault="00EF084D" w:rsidP="00D578DE">
            <w:pPr>
              <w:pStyle w:val="TableHeadingCA"/>
            </w:pPr>
            <w:r>
              <w:t>Response rate</w:t>
            </w:r>
            <w:r w:rsidRPr="00EC0DC8">
              <w:t xml:space="preserve"> (95% CI)</w:t>
            </w:r>
          </w:p>
        </w:tc>
      </w:tr>
      <w:tr w:rsidR="00EF084D" w:rsidRPr="00BB1E80" w14:paraId="58386C5E" w14:textId="77777777" w:rsidTr="00AE4565">
        <w:tc>
          <w:tcPr>
            <w:tcW w:w="707" w:type="pct"/>
          </w:tcPr>
          <w:p w14:paraId="238A045B" w14:textId="77777777" w:rsidR="00EF084D" w:rsidRPr="00BB1E80" w:rsidRDefault="00EF084D" w:rsidP="00D578DE">
            <w:pPr>
              <w:pStyle w:val="Tabletext0"/>
              <w:jc w:val="left"/>
            </w:pPr>
            <w:r w:rsidRPr="00BB1E80">
              <w:t>1 month</w:t>
            </w:r>
          </w:p>
        </w:tc>
        <w:tc>
          <w:tcPr>
            <w:tcW w:w="786" w:type="pct"/>
          </w:tcPr>
          <w:p w14:paraId="00D5E55D" w14:textId="77777777" w:rsidR="00EF084D" w:rsidRPr="00BB1E80" w:rsidRDefault="00EF084D" w:rsidP="00D578DE">
            <w:pPr>
              <w:pStyle w:val="Tabletext0"/>
              <w:jc w:val="center"/>
            </w:pPr>
            <w:r w:rsidRPr="00BB1E80">
              <w:t>Moderate</w:t>
            </w:r>
          </w:p>
        </w:tc>
        <w:tc>
          <w:tcPr>
            <w:tcW w:w="1100" w:type="pct"/>
          </w:tcPr>
          <w:p w14:paraId="28CCCD25" w14:textId="77777777" w:rsidR="00EF084D" w:rsidRPr="00BB1E80" w:rsidRDefault="00EF084D" w:rsidP="00D578DE">
            <w:pPr>
              <w:pStyle w:val="Tabletext0"/>
              <w:jc w:val="center"/>
            </w:pPr>
            <w:r w:rsidRPr="00BB1E80">
              <w:t>59/69</w:t>
            </w:r>
          </w:p>
        </w:tc>
        <w:tc>
          <w:tcPr>
            <w:tcW w:w="2407" w:type="pct"/>
          </w:tcPr>
          <w:p w14:paraId="53E6CC4C" w14:textId="77777777" w:rsidR="00EF084D" w:rsidRPr="00BB1E80" w:rsidRDefault="00EF084D" w:rsidP="00D578DE">
            <w:pPr>
              <w:pStyle w:val="Tabletext0"/>
              <w:jc w:val="center"/>
            </w:pPr>
            <w:r w:rsidRPr="00BB1E80">
              <w:t>85.5% (75.0%, 92.8%)</w:t>
            </w:r>
          </w:p>
        </w:tc>
      </w:tr>
      <w:tr w:rsidR="00EF084D" w:rsidRPr="00BB1E80" w14:paraId="4FF38A7A" w14:textId="77777777" w:rsidTr="00AE4565">
        <w:tc>
          <w:tcPr>
            <w:tcW w:w="707" w:type="pct"/>
          </w:tcPr>
          <w:p w14:paraId="07A231C3" w14:textId="77777777" w:rsidR="00EF084D" w:rsidRPr="00BB1E80" w:rsidRDefault="00EF084D" w:rsidP="00D578DE">
            <w:pPr>
              <w:pStyle w:val="Tabletext0"/>
              <w:jc w:val="left"/>
            </w:pPr>
            <w:r w:rsidRPr="00BB1E80">
              <w:t>3 months</w:t>
            </w:r>
          </w:p>
        </w:tc>
        <w:tc>
          <w:tcPr>
            <w:tcW w:w="786" w:type="pct"/>
          </w:tcPr>
          <w:p w14:paraId="745BB09F" w14:textId="77777777" w:rsidR="00EF084D" w:rsidRPr="00BB1E80" w:rsidRDefault="00EF084D" w:rsidP="00D578DE">
            <w:pPr>
              <w:pStyle w:val="Tabletext0"/>
              <w:jc w:val="center"/>
            </w:pPr>
            <w:r w:rsidRPr="00BB1E80">
              <w:t xml:space="preserve">Moderate </w:t>
            </w:r>
          </w:p>
        </w:tc>
        <w:tc>
          <w:tcPr>
            <w:tcW w:w="1100" w:type="pct"/>
          </w:tcPr>
          <w:p w14:paraId="7C93B919" w14:textId="77777777" w:rsidR="00EF084D" w:rsidRPr="00BB1E80" w:rsidRDefault="00EF084D" w:rsidP="00D578DE">
            <w:pPr>
              <w:pStyle w:val="Tabletext0"/>
              <w:jc w:val="center"/>
            </w:pPr>
            <w:r w:rsidRPr="00BB1E80">
              <w:t>62/70</w:t>
            </w:r>
          </w:p>
        </w:tc>
        <w:tc>
          <w:tcPr>
            <w:tcW w:w="2407" w:type="pct"/>
          </w:tcPr>
          <w:p w14:paraId="4A30DF4E" w14:textId="77777777" w:rsidR="00EF084D" w:rsidRPr="00BB1E80" w:rsidRDefault="00EF084D" w:rsidP="00D578DE">
            <w:pPr>
              <w:pStyle w:val="Tabletext0"/>
              <w:jc w:val="center"/>
            </w:pPr>
            <w:r w:rsidRPr="00BB1E80">
              <w:t>88.6% (78.7%, 94.9%)</w:t>
            </w:r>
          </w:p>
        </w:tc>
      </w:tr>
      <w:tr w:rsidR="00EF084D" w:rsidRPr="00BB1E80" w14:paraId="70B74B08" w14:textId="77777777" w:rsidTr="00AE4565">
        <w:tc>
          <w:tcPr>
            <w:tcW w:w="707" w:type="pct"/>
          </w:tcPr>
          <w:p w14:paraId="4D144DAD" w14:textId="77777777" w:rsidR="00EF084D" w:rsidRPr="00BB1E80" w:rsidRDefault="00EF084D" w:rsidP="00D578DE">
            <w:pPr>
              <w:pStyle w:val="Tabletext0"/>
              <w:jc w:val="left"/>
            </w:pPr>
            <w:r w:rsidRPr="00BB1E80">
              <w:t>6 months</w:t>
            </w:r>
          </w:p>
        </w:tc>
        <w:tc>
          <w:tcPr>
            <w:tcW w:w="786" w:type="pct"/>
          </w:tcPr>
          <w:p w14:paraId="1EF4BA25" w14:textId="77777777" w:rsidR="00EF084D" w:rsidRPr="00BB1E80" w:rsidRDefault="00EF084D" w:rsidP="00D578DE">
            <w:pPr>
              <w:pStyle w:val="Tabletext0"/>
              <w:jc w:val="center"/>
            </w:pPr>
            <w:r w:rsidRPr="00BB1E80">
              <w:t xml:space="preserve">Moderate </w:t>
            </w:r>
          </w:p>
        </w:tc>
        <w:tc>
          <w:tcPr>
            <w:tcW w:w="1100" w:type="pct"/>
          </w:tcPr>
          <w:p w14:paraId="2D95DE2E" w14:textId="77777777" w:rsidR="00EF084D" w:rsidRPr="00BB1E80" w:rsidRDefault="00EF084D" w:rsidP="00D578DE">
            <w:pPr>
              <w:pStyle w:val="Tabletext0"/>
              <w:jc w:val="center"/>
            </w:pPr>
            <w:r w:rsidRPr="00BB1E80">
              <w:t>61/65</w:t>
            </w:r>
          </w:p>
        </w:tc>
        <w:tc>
          <w:tcPr>
            <w:tcW w:w="2407" w:type="pct"/>
          </w:tcPr>
          <w:p w14:paraId="69796226" w14:textId="77777777" w:rsidR="00EF084D" w:rsidRPr="00BB1E80" w:rsidRDefault="00EF084D" w:rsidP="00D578DE">
            <w:pPr>
              <w:pStyle w:val="Tabletext0"/>
              <w:jc w:val="center"/>
            </w:pPr>
            <w:r w:rsidRPr="00BB1E80">
              <w:t>93.8% (85.0%, 98.3%)</w:t>
            </w:r>
          </w:p>
        </w:tc>
      </w:tr>
      <w:tr w:rsidR="00EF084D" w:rsidRPr="00BB1E80" w14:paraId="5455B546" w14:textId="77777777" w:rsidTr="00AE4565">
        <w:tc>
          <w:tcPr>
            <w:tcW w:w="707" w:type="pct"/>
          </w:tcPr>
          <w:p w14:paraId="42C65C14" w14:textId="77777777" w:rsidR="00EF084D" w:rsidRPr="00BB1E80" w:rsidRDefault="00EF084D" w:rsidP="00D578DE">
            <w:pPr>
              <w:pStyle w:val="Tabletext0"/>
              <w:jc w:val="left"/>
            </w:pPr>
            <w:r w:rsidRPr="00BB1E80">
              <w:t>12 months</w:t>
            </w:r>
          </w:p>
        </w:tc>
        <w:tc>
          <w:tcPr>
            <w:tcW w:w="786" w:type="pct"/>
          </w:tcPr>
          <w:p w14:paraId="4EC753F1" w14:textId="77777777" w:rsidR="00EF084D" w:rsidRPr="00BB1E80" w:rsidRDefault="00EF084D" w:rsidP="00D578DE">
            <w:pPr>
              <w:pStyle w:val="Tabletext0"/>
              <w:jc w:val="center"/>
            </w:pPr>
            <w:r w:rsidRPr="00BB1E80">
              <w:t>Moderate</w:t>
            </w:r>
          </w:p>
        </w:tc>
        <w:tc>
          <w:tcPr>
            <w:tcW w:w="1100" w:type="pct"/>
          </w:tcPr>
          <w:p w14:paraId="4FEC14E0" w14:textId="77777777" w:rsidR="00EF084D" w:rsidRPr="00BB1E80" w:rsidRDefault="00EF084D" w:rsidP="00D578DE">
            <w:pPr>
              <w:pStyle w:val="Tabletext0"/>
              <w:jc w:val="center"/>
            </w:pPr>
            <w:r w:rsidRPr="00BB1E80">
              <w:t>53/58</w:t>
            </w:r>
          </w:p>
        </w:tc>
        <w:tc>
          <w:tcPr>
            <w:tcW w:w="2407" w:type="pct"/>
          </w:tcPr>
          <w:p w14:paraId="2EE9A46D" w14:textId="77777777" w:rsidR="00EF084D" w:rsidRPr="00BB1E80" w:rsidRDefault="00EF084D" w:rsidP="00D578DE">
            <w:pPr>
              <w:pStyle w:val="Tabletext0"/>
              <w:jc w:val="center"/>
            </w:pPr>
            <w:r w:rsidRPr="00BB1E80">
              <w:t>91.4% (81.0%, 97.1%)</w:t>
            </w:r>
          </w:p>
        </w:tc>
      </w:tr>
      <w:tr w:rsidR="00EF084D" w:rsidRPr="00BB1E80" w14:paraId="3EEB9E3F" w14:textId="77777777" w:rsidTr="00AE4565">
        <w:tc>
          <w:tcPr>
            <w:tcW w:w="707" w:type="pct"/>
          </w:tcPr>
          <w:p w14:paraId="771829CD" w14:textId="77777777" w:rsidR="00EF084D" w:rsidRPr="00BB1E80" w:rsidRDefault="00EF084D" w:rsidP="00D578DE">
            <w:pPr>
              <w:pStyle w:val="Tabletext0"/>
              <w:jc w:val="left"/>
            </w:pPr>
            <w:r w:rsidRPr="00BB1E80">
              <w:t>18 months</w:t>
            </w:r>
          </w:p>
        </w:tc>
        <w:tc>
          <w:tcPr>
            <w:tcW w:w="786" w:type="pct"/>
          </w:tcPr>
          <w:p w14:paraId="75088279" w14:textId="77777777" w:rsidR="00EF084D" w:rsidRPr="00BB1E80" w:rsidRDefault="00EF084D" w:rsidP="00D578DE">
            <w:pPr>
              <w:pStyle w:val="Tabletext0"/>
              <w:jc w:val="center"/>
            </w:pPr>
            <w:r w:rsidRPr="00BB1E80">
              <w:t xml:space="preserve">Moderate </w:t>
            </w:r>
          </w:p>
        </w:tc>
        <w:tc>
          <w:tcPr>
            <w:tcW w:w="1100" w:type="pct"/>
          </w:tcPr>
          <w:p w14:paraId="62825677" w14:textId="77777777" w:rsidR="00EF084D" w:rsidRPr="00BB1E80" w:rsidRDefault="00EF084D" w:rsidP="00D578DE">
            <w:pPr>
              <w:pStyle w:val="Tabletext0"/>
              <w:jc w:val="center"/>
            </w:pPr>
            <w:r w:rsidRPr="00BB1E80">
              <w:t>46/48</w:t>
            </w:r>
          </w:p>
        </w:tc>
        <w:tc>
          <w:tcPr>
            <w:tcW w:w="2407" w:type="pct"/>
          </w:tcPr>
          <w:p w14:paraId="3D3BEC78" w14:textId="77777777" w:rsidR="00EF084D" w:rsidRPr="00BB1E80" w:rsidRDefault="00EF084D" w:rsidP="00D578DE">
            <w:pPr>
              <w:pStyle w:val="Tabletext0"/>
              <w:jc w:val="center"/>
            </w:pPr>
            <w:r w:rsidRPr="00BB1E80">
              <w:t>95.8% (85.7%, 99.5%)</w:t>
            </w:r>
          </w:p>
        </w:tc>
      </w:tr>
      <w:tr w:rsidR="00EF084D" w:rsidRPr="00BB1E80" w14:paraId="0102ADA4" w14:textId="77777777" w:rsidTr="00AE4565">
        <w:tc>
          <w:tcPr>
            <w:tcW w:w="707" w:type="pct"/>
          </w:tcPr>
          <w:p w14:paraId="7022AAE1" w14:textId="77777777" w:rsidR="00EF084D" w:rsidRPr="00BB1E80" w:rsidRDefault="00EF084D" w:rsidP="00D578DE">
            <w:pPr>
              <w:pStyle w:val="Tabletext0"/>
              <w:jc w:val="left"/>
            </w:pPr>
            <w:r w:rsidRPr="00BB1E80">
              <w:t>24 months</w:t>
            </w:r>
          </w:p>
        </w:tc>
        <w:tc>
          <w:tcPr>
            <w:tcW w:w="786" w:type="pct"/>
          </w:tcPr>
          <w:p w14:paraId="7D026B53" w14:textId="77777777" w:rsidR="00EF084D" w:rsidRPr="00BB1E80" w:rsidRDefault="00EF084D" w:rsidP="00D578DE">
            <w:pPr>
              <w:pStyle w:val="Tabletext0"/>
              <w:jc w:val="center"/>
            </w:pPr>
            <w:r w:rsidRPr="00BB1E80">
              <w:t xml:space="preserve">Moderate </w:t>
            </w:r>
          </w:p>
        </w:tc>
        <w:tc>
          <w:tcPr>
            <w:tcW w:w="1100" w:type="pct"/>
          </w:tcPr>
          <w:p w14:paraId="60DC5D71" w14:textId="77777777" w:rsidR="00EF084D" w:rsidRPr="00BB1E80" w:rsidRDefault="00EF084D" w:rsidP="00D578DE">
            <w:pPr>
              <w:pStyle w:val="Tabletext0"/>
              <w:jc w:val="center"/>
            </w:pPr>
            <w:r w:rsidRPr="00BB1E80">
              <w:t>39/43</w:t>
            </w:r>
          </w:p>
        </w:tc>
        <w:tc>
          <w:tcPr>
            <w:tcW w:w="2407" w:type="pct"/>
          </w:tcPr>
          <w:p w14:paraId="00F98F7F" w14:textId="77777777" w:rsidR="00EF084D" w:rsidRPr="00BB1E80" w:rsidRDefault="00EF084D" w:rsidP="00D578DE">
            <w:pPr>
              <w:pStyle w:val="Tabletext0"/>
              <w:jc w:val="center"/>
            </w:pPr>
            <w:r w:rsidRPr="00BB1E80">
              <w:t>90.7% (77.9%, 97.4%)</w:t>
            </w:r>
          </w:p>
        </w:tc>
      </w:tr>
    </w:tbl>
    <w:p w14:paraId="6622F860" w14:textId="692B559D" w:rsidR="00561B54" w:rsidRDefault="00561B54" w:rsidP="00561B54">
      <w:pPr>
        <w:pStyle w:val="Tablenotes"/>
      </w:pPr>
      <w:r>
        <w:t xml:space="preserve">Source: </w:t>
      </w:r>
      <w:r w:rsidR="003D7B35">
        <w:t>Table 22, p111 of MSAC 1719 ADAR</w:t>
      </w:r>
      <w:r w:rsidR="007150F5">
        <w:t>+inline commentary</w:t>
      </w:r>
    </w:p>
    <w:p w14:paraId="206A40A9" w14:textId="66D110EE" w:rsidR="00EF084D" w:rsidRDefault="00561B54" w:rsidP="005F6E9F">
      <w:pPr>
        <w:pStyle w:val="Tablenotes"/>
      </w:pPr>
      <w:r>
        <w:t xml:space="preserve">Abbreviations: </w:t>
      </w:r>
      <w:r w:rsidR="00EF084D" w:rsidRPr="00451245">
        <w:t>CI</w:t>
      </w:r>
      <w:r>
        <w:t>=</w:t>
      </w:r>
      <w:r w:rsidR="00EF084D" w:rsidRPr="00451245">
        <w:t xml:space="preserve"> confidence interval</w:t>
      </w:r>
      <w:r w:rsidR="00EF084D">
        <w:t>.</w:t>
      </w:r>
    </w:p>
    <w:p w14:paraId="6CE0625C" w14:textId="1944B41E" w:rsidR="00C3427C" w:rsidRPr="00BB1E80" w:rsidRDefault="00C3427C" w:rsidP="00C3427C">
      <w:pPr>
        <w:pStyle w:val="Caption"/>
        <w:widowControl w:val="0"/>
      </w:pPr>
      <w:bookmarkStart w:id="40" w:name="_Ref128466013"/>
      <w:r w:rsidRPr="00BB1E80">
        <w:lastRenderedPageBreak/>
        <w:t xml:space="preserve">Figure </w:t>
      </w:r>
      <w:r w:rsidRPr="00BB1E80">
        <w:fldChar w:fldCharType="begin"/>
      </w:r>
      <w:r w:rsidRPr="00BB1E80">
        <w:instrText>SEQ Figure \* ARABIC</w:instrText>
      </w:r>
      <w:r w:rsidRPr="00BB1E80">
        <w:fldChar w:fldCharType="separate"/>
      </w:r>
      <w:r w:rsidR="003511D3" w:rsidRPr="00BB1E80">
        <w:rPr>
          <w:noProof/>
        </w:rPr>
        <w:t>3</w:t>
      </w:r>
      <w:r w:rsidRPr="00BB1E80">
        <w:fldChar w:fldCharType="end"/>
      </w:r>
      <w:bookmarkEnd w:id="40"/>
      <w:r w:rsidRPr="00BB1E80">
        <w:tab/>
        <w:t xml:space="preserve"> Mean NOSE scores over time with LATERA</w:t>
      </w:r>
    </w:p>
    <w:p w14:paraId="772A499F" w14:textId="77777777" w:rsidR="00C3427C" w:rsidRPr="00BB1E80" w:rsidRDefault="00C3427C" w:rsidP="00C3427C">
      <w:pPr>
        <w:widowControl w:val="0"/>
      </w:pPr>
      <w:r w:rsidRPr="00BB1E80">
        <w:rPr>
          <w:noProof/>
        </w:rPr>
        <w:drawing>
          <wp:inline distT="0" distB="0" distL="0" distR="0" wp14:anchorId="3FB2E887" wp14:editId="1087D87A">
            <wp:extent cx="4705502" cy="2695432"/>
            <wp:effectExtent l="0" t="0" r="0" b="0"/>
            <wp:docPr id="3" name="Picture 3" descr="Mean NOSE scores over time with LA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an NOSE scores over time with LATERA"/>
                    <pic:cNvPicPr/>
                  </pic:nvPicPr>
                  <pic:blipFill>
                    <a:blip r:embed="rId18">
                      <a:extLst>
                        <a:ext uri="{28A0092B-C50C-407E-A947-70E740481C1C}">
                          <a14:useLocalDpi xmlns:a14="http://schemas.microsoft.com/office/drawing/2010/main" val="0"/>
                        </a:ext>
                      </a:extLst>
                    </a:blip>
                    <a:stretch>
                      <a:fillRect/>
                    </a:stretch>
                  </pic:blipFill>
                  <pic:spPr>
                    <a:xfrm>
                      <a:off x="0" y="0"/>
                      <a:ext cx="4705502" cy="2695432"/>
                    </a:xfrm>
                    <a:prstGeom prst="rect">
                      <a:avLst/>
                    </a:prstGeom>
                  </pic:spPr>
                </pic:pic>
              </a:graphicData>
            </a:graphic>
          </wp:inline>
        </w:drawing>
      </w:r>
    </w:p>
    <w:p w14:paraId="2C574FAD" w14:textId="397652B3" w:rsidR="00C3427C" w:rsidRDefault="00C3427C" w:rsidP="00C3427C">
      <w:pPr>
        <w:pStyle w:val="Tablenotes0"/>
      </w:pPr>
      <w:r w:rsidRPr="00BB1E80">
        <w:t xml:space="preserve">Source: Figure 14, pg </w:t>
      </w:r>
      <w:r w:rsidR="001B026C" w:rsidRPr="00BB1E80">
        <w:t>108</w:t>
      </w:r>
      <w:r w:rsidRPr="00BB1E80">
        <w:t xml:space="preserve"> of MSAC 1719 ADAR</w:t>
      </w:r>
      <w:r w:rsidR="001B026C" w:rsidRPr="00BB1E80">
        <w:t>+inline commentary</w:t>
      </w:r>
      <w:r w:rsidRPr="00BB1E80">
        <w:t>.</w:t>
      </w:r>
    </w:p>
    <w:p w14:paraId="2C985D84" w14:textId="77777777" w:rsidR="00C3427C" w:rsidRDefault="00C3427C" w:rsidP="00C3427C">
      <w:pPr>
        <w:pStyle w:val="Tablenotes0"/>
      </w:pPr>
      <w:r>
        <w:t xml:space="preserve">Abbreviations: </w:t>
      </w:r>
      <w:r w:rsidRPr="00E77DC9">
        <w:t>NOSE</w:t>
      </w:r>
      <w:r>
        <w:t>=</w:t>
      </w:r>
      <w:r w:rsidRPr="00E77DC9">
        <w:t xml:space="preserve"> nasal obstruction symptom evaluation. </w:t>
      </w:r>
    </w:p>
    <w:p w14:paraId="5B741FC0" w14:textId="0449B48F" w:rsidR="001D4BD8" w:rsidRDefault="00C3427C" w:rsidP="00C3427C">
      <w:pPr>
        <w:pStyle w:val="Tablenotes0"/>
      </w:pPr>
      <w:r w:rsidRPr="00E77DC9">
        <w:t xml:space="preserve">Error bars represent </w:t>
      </w:r>
      <w:r>
        <w:t>standard deviation (SD)</w:t>
      </w:r>
      <w:r w:rsidRPr="00E77DC9">
        <w:t xml:space="preserve">. </w:t>
      </w:r>
    </w:p>
    <w:p w14:paraId="41824ADB" w14:textId="7C194AF3" w:rsidR="001D4BD8" w:rsidRDefault="001D4BD8" w:rsidP="001D4BD8">
      <w:r>
        <w:t xml:space="preserve">Based on the evidence presented and summarised in </w:t>
      </w:r>
      <w:r w:rsidR="00C21AA8">
        <w:fldChar w:fldCharType="begin"/>
      </w:r>
      <w:r w:rsidR="00C21AA8">
        <w:instrText xml:space="preserve"> REF _Ref128383543 \h </w:instrText>
      </w:r>
      <w:r w:rsidR="00C21AA8">
        <w:fldChar w:fldCharType="separate"/>
      </w:r>
      <w:r w:rsidR="00C21AA8">
        <w:t xml:space="preserve">Table </w:t>
      </w:r>
      <w:r w:rsidR="00C21AA8">
        <w:rPr>
          <w:noProof/>
        </w:rPr>
        <w:t>16</w:t>
      </w:r>
      <w:r w:rsidR="00C21AA8">
        <w:fldChar w:fldCharType="end"/>
      </w:r>
      <w:r>
        <w:t xml:space="preserve">, the ADAR claimed that LATERA </w:t>
      </w:r>
      <w:r w:rsidR="002307CB">
        <w:t xml:space="preserve">had superior effectiveness and </w:t>
      </w:r>
      <w:r w:rsidR="00FB56D5">
        <w:t xml:space="preserve">inferior safety compared </w:t>
      </w:r>
      <w:r>
        <w:t xml:space="preserve">to </w:t>
      </w:r>
      <w:r w:rsidR="00FB56D5">
        <w:t>conservative management</w:t>
      </w:r>
      <w:r>
        <w:t>.</w:t>
      </w:r>
    </w:p>
    <w:p w14:paraId="34BD5FAD" w14:textId="42E55478" w:rsidR="005C2258" w:rsidRDefault="005C2258" w:rsidP="005C2258">
      <w:pPr>
        <w:pStyle w:val="Caption"/>
      </w:pPr>
      <w:bookmarkStart w:id="41" w:name="_Ref128383543"/>
      <w:bookmarkStart w:id="42" w:name="_Toc123849565"/>
      <w:r>
        <w:t xml:space="preserve">Table </w:t>
      </w:r>
      <w:r>
        <w:fldChar w:fldCharType="begin"/>
      </w:r>
      <w:r>
        <w:instrText>SEQ Table \* ARABIC</w:instrText>
      </w:r>
      <w:r>
        <w:fldChar w:fldCharType="separate"/>
      </w:r>
      <w:r w:rsidR="003511D3">
        <w:rPr>
          <w:noProof/>
        </w:rPr>
        <w:t>16</w:t>
      </w:r>
      <w:r>
        <w:fldChar w:fldCharType="end"/>
      </w:r>
      <w:bookmarkEnd w:id="41"/>
      <w:r>
        <w:t xml:space="preserve"> </w:t>
      </w:r>
      <w:r w:rsidRPr="00DD5635">
        <w:t xml:space="preserve">Summary of evidence table: </w:t>
      </w:r>
      <w:r>
        <w:t>LATERA</w:t>
      </w:r>
      <w:r w:rsidRPr="00DD5635">
        <w:t xml:space="preserve"> versus </w:t>
      </w:r>
      <w:r>
        <w:t>sham (as a proxy for conservative management)</w:t>
      </w:r>
      <w:bookmarkEnd w:id="42"/>
    </w:p>
    <w:tbl>
      <w:tblPr>
        <w:tblStyle w:val="TableGrid1"/>
        <w:tblW w:w="5187" w:type="pct"/>
        <w:tblCellMar>
          <w:top w:w="75" w:type="dxa"/>
          <w:left w:w="75" w:type="dxa"/>
          <w:bottom w:w="75" w:type="dxa"/>
          <w:right w:w="75" w:type="dxa"/>
        </w:tblCellMar>
        <w:tblLook w:val="04A0" w:firstRow="1" w:lastRow="0" w:firstColumn="1" w:lastColumn="0" w:noHBand="0" w:noVBand="1"/>
      </w:tblPr>
      <w:tblGrid>
        <w:gridCol w:w="1208"/>
        <w:gridCol w:w="1066"/>
        <w:gridCol w:w="1410"/>
        <w:gridCol w:w="1216"/>
        <w:gridCol w:w="1080"/>
        <w:gridCol w:w="1265"/>
        <w:gridCol w:w="2108"/>
      </w:tblGrid>
      <w:tr w:rsidR="005C2258" w:rsidRPr="0077040A" w14:paraId="6F39078F" w14:textId="77777777" w:rsidTr="004669F0">
        <w:trPr>
          <w:cnfStyle w:val="100000000000" w:firstRow="1" w:lastRow="0" w:firstColumn="0" w:lastColumn="0" w:oddVBand="0" w:evenVBand="0" w:oddHBand="0" w:evenHBand="0" w:firstRowFirstColumn="0" w:firstRowLastColumn="0" w:lastRowFirstColumn="0" w:lastRowLastColumn="0"/>
          <w:cantSplit/>
          <w:tblHeader/>
        </w:trPr>
        <w:tc>
          <w:tcPr>
            <w:tcW w:w="646" w:type="pct"/>
            <w:vMerge w:val="restart"/>
            <w:shd w:val="clear" w:color="auto" w:fill="auto"/>
            <w:vAlign w:val="bottom"/>
            <w:hideMark/>
          </w:tcPr>
          <w:p w14:paraId="600C500E" w14:textId="77777777" w:rsidR="005C2258" w:rsidRPr="0077040A" w:rsidRDefault="005C2258" w:rsidP="00D578DE">
            <w:pPr>
              <w:pStyle w:val="Tabletext0"/>
              <w:widowControl w:val="0"/>
              <w:jc w:val="left"/>
              <w:rPr>
                <w:b/>
                <w:bCs/>
              </w:rPr>
            </w:pPr>
            <w:r w:rsidRPr="0077040A">
              <w:rPr>
                <w:b/>
                <w:bCs/>
              </w:rPr>
              <w:t>Outcomes</w:t>
            </w:r>
          </w:p>
        </w:tc>
        <w:tc>
          <w:tcPr>
            <w:tcW w:w="1324" w:type="pct"/>
            <w:gridSpan w:val="2"/>
            <w:shd w:val="clear" w:color="auto" w:fill="auto"/>
            <w:vAlign w:val="bottom"/>
            <w:hideMark/>
          </w:tcPr>
          <w:p w14:paraId="53680B9E" w14:textId="77777777" w:rsidR="005C2258" w:rsidRPr="0077040A" w:rsidRDefault="005C2258" w:rsidP="00D578DE">
            <w:pPr>
              <w:pStyle w:val="Tabletext0"/>
              <w:widowControl w:val="0"/>
              <w:jc w:val="left"/>
              <w:rPr>
                <w:b/>
                <w:bCs/>
              </w:rPr>
            </w:pPr>
            <w:r w:rsidRPr="0077040A">
              <w:rPr>
                <w:b/>
                <w:bCs/>
              </w:rPr>
              <w:t>Anticipated absolute effects (95% CI)</w:t>
            </w:r>
          </w:p>
        </w:tc>
        <w:tc>
          <w:tcPr>
            <w:tcW w:w="650" w:type="pct"/>
            <w:vMerge w:val="restart"/>
            <w:shd w:val="clear" w:color="auto" w:fill="auto"/>
            <w:vAlign w:val="bottom"/>
            <w:hideMark/>
          </w:tcPr>
          <w:p w14:paraId="599280C4" w14:textId="77777777" w:rsidR="005C2258" w:rsidRPr="0077040A" w:rsidRDefault="005C2258" w:rsidP="00D578DE">
            <w:pPr>
              <w:pStyle w:val="Tabletext0"/>
              <w:widowControl w:val="0"/>
              <w:jc w:val="left"/>
              <w:rPr>
                <w:b/>
                <w:bCs/>
              </w:rPr>
            </w:pPr>
            <w:r>
              <w:rPr>
                <w:b/>
                <w:bCs/>
              </w:rPr>
              <w:t xml:space="preserve">RR </w:t>
            </w:r>
            <w:r w:rsidRPr="0077040A">
              <w:rPr>
                <w:b/>
                <w:bCs/>
              </w:rPr>
              <w:t>(95% CI)</w:t>
            </w:r>
          </w:p>
        </w:tc>
        <w:tc>
          <w:tcPr>
            <w:tcW w:w="577" w:type="pct"/>
            <w:vMerge w:val="restart"/>
            <w:shd w:val="clear" w:color="auto" w:fill="auto"/>
            <w:vAlign w:val="bottom"/>
            <w:hideMark/>
          </w:tcPr>
          <w:p w14:paraId="6462CD45" w14:textId="77777777" w:rsidR="005C2258" w:rsidRPr="0077040A" w:rsidRDefault="005C2258" w:rsidP="00D578DE">
            <w:pPr>
              <w:pStyle w:val="Tabletext0"/>
              <w:widowControl w:val="0"/>
              <w:jc w:val="left"/>
              <w:rPr>
                <w:b/>
                <w:bCs/>
              </w:rPr>
            </w:pPr>
            <w:r w:rsidRPr="0077040A">
              <w:rPr>
                <w:b/>
                <w:bCs/>
              </w:rPr>
              <w:t>№ of participants</w:t>
            </w:r>
            <w:r w:rsidRPr="0077040A">
              <w:rPr>
                <w:b/>
                <w:bCs/>
              </w:rPr>
              <w:br/>
              <w:t>(studies)</w:t>
            </w:r>
          </w:p>
        </w:tc>
        <w:tc>
          <w:tcPr>
            <w:tcW w:w="676" w:type="pct"/>
            <w:vMerge w:val="restart"/>
            <w:shd w:val="clear" w:color="auto" w:fill="auto"/>
            <w:vAlign w:val="bottom"/>
            <w:hideMark/>
          </w:tcPr>
          <w:p w14:paraId="3D69C9C0" w14:textId="77777777" w:rsidR="005C2258" w:rsidRPr="0077040A" w:rsidRDefault="005C2258" w:rsidP="00D578DE">
            <w:pPr>
              <w:pStyle w:val="Tabletext0"/>
              <w:widowControl w:val="0"/>
              <w:jc w:val="left"/>
              <w:rPr>
                <w:b/>
                <w:bCs/>
              </w:rPr>
            </w:pPr>
            <w:r w:rsidRPr="0077040A">
              <w:rPr>
                <w:b/>
                <w:bCs/>
              </w:rPr>
              <w:t>Certainty of the evidence</w:t>
            </w:r>
            <w:r w:rsidRPr="0077040A">
              <w:rPr>
                <w:b/>
                <w:bCs/>
              </w:rPr>
              <w:br/>
              <w:t>(GRADE)</w:t>
            </w:r>
          </w:p>
        </w:tc>
        <w:tc>
          <w:tcPr>
            <w:tcW w:w="1127" w:type="pct"/>
            <w:vMerge w:val="restart"/>
            <w:shd w:val="clear" w:color="auto" w:fill="auto"/>
            <w:vAlign w:val="bottom"/>
            <w:hideMark/>
          </w:tcPr>
          <w:p w14:paraId="1E6DA3FE" w14:textId="77777777" w:rsidR="005C2258" w:rsidRPr="0077040A" w:rsidRDefault="005C2258" w:rsidP="00D578DE">
            <w:pPr>
              <w:pStyle w:val="Tabletext0"/>
              <w:widowControl w:val="0"/>
              <w:jc w:val="left"/>
              <w:rPr>
                <w:b/>
                <w:bCs/>
              </w:rPr>
            </w:pPr>
            <w:r w:rsidRPr="0077040A">
              <w:rPr>
                <w:b/>
                <w:bCs/>
              </w:rPr>
              <w:t>Comments</w:t>
            </w:r>
          </w:p>
        </w:tc>
      </w:tr>
      <w:tr w:rsidR="005C2258" w:rsidRPr="0077040A" w14:paraId="5901638E" w14:textId="77777777" w:rsidTr="004669F0">
        <w:trPr>
          <w:cnfStyle w:val="100000000000" w:firstRow="1" w:lastRow="0" w:firstColumn="0" w:lastColumn="0" w:oddVBand="0" w:evenVBand="0" w:oddHBand="0" w:evenHBand="0" w:firstRowFirstColumn="0" w:firstRowLastColumn="0" w:lastRowFirstColumn="0" w:lastRowLastColumn="0"/>
          <w:cantSplit/>
          <w:tblHeader/>
        </w:trPr>
        <w:tc>
          <w:tcPr>
            <w:tcW w:w="646" w:type="pct"/>
            <w:vMerge/>
            <w:shd w:val="clear" w:color="auto" w:fill="auto"/>
            <w:vAlign w:val="center"/>
            <w:hideMark/>
          </w:tcPr>
          <w:p w14:paraId="79E3F34E" w14:textId="77777777" w:rsidR="005C2258" w:rsidRPr="0077040A" w:rsidRDefault="005C2258" w:rsidP="00D578DE">
            <w:pPr>
              <w:pStyle w:val="Tabletext0"/>
              <w:widowControl w:val="0"/>
              <w:jc w:val="left"/>
            </w:pPr>
          </w:p>
        </w:tc>
        <w:tc>
          <w:tcPr>
            <w:tcW w:w="570" w:type="pct"/>
            <w:shd w:val="clear" w:color="auto" w:fill="auto"/>
            <w:vAlign w:val="bottom"/>
            <w:hideMark/>
          </w:tcPr>
          <w:p w14:paraId="38F9E901" w14:textId="77777777" w:rsidR="005C2258" w:rsidRPr="0077040A" w:rsidRDefault="005C2258" w:rsidP="00D578DE">
            <w:pPr>
              <w:pStyle w:val="Tabletext0"/>
              <w:widowControl w:val="0"/>
              <w:jc w:val="left"/>
            </w:pPr>
            <w:r w:rsidRPr="0077040A">
              <w:t>Risk with sham</w:t>
            </w:r>
          </w:p>
        </w:tc>
        <w:tc>
          <w:tcPr>
            <w:tcW w:w="754" w:type="pct"/>
            <w:shd w:val="clear" w:color="auto" w:fill="auto"/>
            <w:vAlign w:val="bottom"/>
            <w:hideMark/>
          </w:tcPr>
          <w:p w14:paraId="666C93F7" w14:textId="77777777" w:rsidR="005C2258" w:rsidRPr="0077040A" w:rsidRDefault="005C2258" w:rsidP="00D578DE">
            <w:pPr>
              <w:pStyle w:val="Tabletext0"/>
              <w:widowControl w:val="0"/>
              <w:jc w:val="left"/>
            </w:pPr>
            <w:r w:rsidRPr="0077040A">
              <w:t xml:space="preserve">Risk with </w:t>
            </w:r>
            <w:r>
              <w:t>LATERA</w:t>
            </w:r>
          </w:p>
        </w:tc>
        <w:tc>
          <w:tcPr>
            <w:tcW w:w="650" w:type="pct"/>
            <w:vMerge/>
            <w:shd w:val="clear" w:color="auto" w:fill="auto"/>
            <w:vAlign w:val="center"/>
            <w:hideMark/>
          </w:tcPr>
          <w:p w14:paraId="6E756B4E" w14:textId="77777777" w:rsidR="005C2258" w:rsidRPr="0077040A" w:rsidRDefault="005C2258" w:rsidP="00D578DE">
            <w:pPr>
              <w:pStyle w:val="Tabletext0"/>
              <w:widowControl w:val="0"/>
            </w:pPr>
          </w:p>
        </w:tc>
        <w:tc>
          <w:tcPr>
            <w:tcW w:w="577" w:type="pct"/>
            <w:vMerge/>
            <w:shd w:val="clear" w:color="auto" w:fill="auto"/>
            <w:vAlign w:val="center"/>
            <w:hideMark/>
          </w:tcPr>
          <w:p w14:paraId="29A283DA" w14:textId="77777777" w:rsidR="005C2258" w:rsidRPr="0077040A" w:rsidRDefault="005C2258" w:rsidP="00D578DE">
            <w:pPr>
              <w:pStyle w:val="Tabletext0"/>
              <w:widowControl w:val="0"/>
            </w:pPr>
          </w:p>
        </w:tc>
        <w:tc>
          <w:tcPr>
            <w:tcW w:w="676" w:type="pct"/>
            <w:vMerge/>
            <w:shd w:val="clear" w:color="auto" w:fill="auto"/>
            <w:vAlign w:val="center"/>
            <w:hideMark/>
          </w:tcPr>
          <w:p w14:paraId="5AA9070E" w14:textId="77777777" w:rsidR="005C2258" w:rsidRPr="0077040A" w:rsidRDefault="005C2258" w:rsidP="00D578DE">
            <w:pPr>
              <w:pStyle w:val="Tabletext0"/>
              <w:widowControl w:val="0"/>
            </w:pPr>
          </w:p>
        </w:tc>
        <w:tc>
          <w:tcPr>
            <w:tcW w:w="1127" w:type="pct"/>
            <w:vMerge/>
            <w:shd w:val="clear" w:color="auto" w:fill="auto"/>
            <w:vAlign w:val="center"/>
            <w:hideMark/>
          </w:tcPr>
          <w:p w14:paraId="21807B28" w14:textId="77777777" w:rsidR="005C2258" w:rsidRPr="0077040A" w:rsidRDefault="005C2258" w:rsidP="00D578DE">
            <w:pPr>
              <w:pStyle w:val="Tabletext0"/>
              <w:widowControl w:val="0"/>
            </w:pPr>
          </w:p>
        </w:tc>
      </w:tr>
      <w:tr w:rsidR="005C2258" w:rsidRPr="0077040A" w14:paraId="45CAFBCF" w14:textId="77777777" w:rsidTr="004669F0">
        <w:trPr>
          <w:cantSplit/>
        </w:trPr>
        <w:tc>
          <w:tcPr>
            <w:tcW w:w="646" w:type="pct"/>
            <w:shd w:val="clear" w:color="auto" w:fill="auto"/>
            <w:vAlign w:val="center"/>
            <w:hideMark/>
          </w:tcPr>
          <w:p w14:paraId="25551701" w14:textId="77777777" w:rsidR="005C2258" w:rsidRPr="0077040A" w:rsidRDefault="005C2258" w:rsidP="00D578DE">
            <w:pPr>
              <w:pStyle w:val="Tabletext0"/>
              <w:widowControl w:val="0"/>
              <w:jc w:val="left"/>
            </w:pPr>
            <w:r w:rsidRPr="0077040A">
              <w:rPr>
                <w:rStyle w:val="label"/>
                <w:rFonts w:eastAsiaTheme="majorEastAsia"/>
              </w:rPr>
              <w:t>Change in NOSE score at 3 months</w:t>
            </w:r>
          </w:p>
        </w:tc>
        <w:tc>
          <w:tcPr>
            <w:tcW w:w="570" w:type="pct"/>
            <w:shd w:val="clear" w:color="auto" w:fill="auto"/>
            <w:vAlign w:val="center"/>
            <w:hideMark/>
          </w:tcPr>
          <w:p w14:paraId="4C6041BA" w14:textId="77777777" w:rsidR="005C2258" w:rsidRPr="0077040A" w:rsidRDefault="005C2258" w:rsidP="00D578DE">
            <w:pPr>
              <w:pStyle w:val="Tabletext0"/>
              <w:widowControl w:val="0"/>
              <w:jc w:val="left"/>
            </w:pPr>
            <w:r>
              <w:rPr>
                <w:rStyle w:val="cell-value"/>
                <w:rFonts w:eastAsiaTheme="majorEastAsia"/>
              </w:rPr>
              <w:t>M</w:t>
            </w:r>
            <w:r w:rsidRPr="0077040A">
              <w:rPr>
                <w:rStyle w:val="cell-value"/>
                <w:rFonts w:eastAsiaTheme="majorEastAsia"/>
              </w:rPr>
              <w:t>ean change</w:t>
            </w:r>
            <w:r>
              <w:rPr>
                <w:rStyle w:val="cell-value"/>
                <w:rFonts w:eastAsiaTheme="majorEastAsia"/>
              </w:rPr>
              <w:t>:</w:t>
            </w:r>
            <w:r>
              <w:rPr>
                <w:rStyle w:val="cell-value"/>
                <w:rFonts w:eastAsiaTheme="majorEastAsia"/>
              </w:rPr>
              <w:br/>
              <w:t>–</w:t>
            </w:r>
            <w:r w:rsidRPr="0077040A">
              <w:rPr>
                <w:rStyle w:val="cell-value"/>
                <w:rFonts w:eastAsiaTheme="majorEastAsia"/>
              </w:rPr>
              <w:t>22.7</w:t>
            </w:r>
          </w:p>
        </w:tc>
        <w:tc>
          <w:tcPr>
            <w:tcW w:w="754" w:type="pct"/>
            <w:shd w:val="clear" w:color="auto" w:fill="auto"/>
            <w:hideMark/>
          </w:tcPr>
          <w:p w14:paraId="23C65789" w14:textId="77777777" w:rsidR="005C2258" w:rsidRPr="0077040A" w:rsidRDefault="005C2258" w:rsidP="00D578DE">
            <w:pPr>
              <w:pStyle w:val="Tabletext0"/>
              <w:widowControl w:val="0"/>
              <w:jc w:val="left"/>
            </w:pPr>
            <w:r w:rsidRPr="0077040A">
              <w:rPr>
                <w:rStyle w:val="cell-value"/>
                <w:rFonts w:eastAsiaTheme="majorEastAsia"/>
              </w:rPr>
              <w:t>MD 19.7 lower</w:t>
            </w:r>
            <w:r w:rsidRPr="0077040A">
              <w:br/>
            </w:r>
            <w:r w:rsidRPr="0077040A">
              <w:rPr>
                <w:rStyle w:val="cell-value"/>
                <w:rFonts w:eastAsiaTheme="majorEastAsia"/>
              </w:rPr>
              <w:t>(28.65 lower to 10.75 lower)</w:t>
            </w:r>
          </w:p>
        </w:tc>
        <w:tc>
          <w:tcPr>
            <w:tcW w:w="650" w:type="pct"/>
            <w:shd w:val="clear" w:color="auto" w:fill="auto"/>
            <w:vAlign w:val="center"/>
            <w:hideMark/>
          </w:tcPr>
          <w:p w14:paraId="0B18E9E1" w14:textId="77777777" w:rsidR="005C2258" w:rsidRPr="0077040A" w:rsidRDefault="005C2258" w:rsidP="00D578DE">
            <w:pPr>
              <w:pStyle w:val="Tabletext0"/>
              <w:widowControl w:val="0"/>
              <w:jc w:val="left"/>
            </w:pPr>
            <w:r>
              <w:rPr>
                <w:rStyle w:val="cell"/>
              </w:rPr>
              <w:t>–</w:t>
            </w:r>
          </w:p>
        </w:tc>
        <w:tc>
          <w:tcPr>
            <w:tcW w:w="577" w:type="pct"/>
            <w:shd w:val="clear" w:color="auto" w:fill="auto"/>
            <w:vAlign w:val="center"/>
            <w:hideMark/>
          </w:tcPr>
          <w:p w14:paraId="55D11EAD" w14:textId="77777777" w:rsidR="005C2258" w:rsidRPr="0077040A" w:rsidRDefault="005C2258" w:rsidP="00D578DE">
            <w:pPr>
              <w:pStyle w:val="Tabletext0"/>
              <w:widowControl w:val="0"/>
              <w:jc w:val="left"/>
            </w:pPr>
            <w:r w:rsidRPr="0077040A">
              <w:t>127</w:t>
            </w:r>
            <w:r w:rsidRPr="0077040A">
              <w:br/>
              <w:t>(1 RCT)</w:t>
            </w:r>
          </w:p>
        </w:tc>
        <w:tc>
          <w:tcPr>
            <w:tcW w:w="676" w:type="pct"/>
            <w:shd w:val="clear" w:color="auto" w:fill="auto"/>
            <w:vAlign w:val="center"/>
            <w:hideMark/>
          </w:tcPr>
          <w:p w14:paraId="5292A6B1" w14:textId="5D5F09DB" w:rsidR="005C2258" w:rsidRPr="0077040A" w:rsidRDefault="005C2258" w:rsidP="00D578DE">
            <w:pPr>
              <w:pStyle w:val="Tabletext0"/>
              <w:widowControl w:val="0"/>
              <w:jc w:val="left"/>
            </w:pPr>
            <w:r w:rsidRPr="0077040A">
              <w:rPr>
                <w:rStyle w:val="quality-sign"/>
                <w:rFonts w:ascii="Cambria Math" w:hAnsi="Cambria Math" w:cs="Cambria Math"/>
              </w:rPr>
              <w:t>⨁⨁⨁◯</w:t>
            </w:r>
            <w:r w:rsidRPr="0077040A">
              <w:br/>
            </w:r>
            <w:r w:rsidRPr="0077040A">
              <w:rPr>
                <w:rStyle w:val="quality-text"/>
              </w:rPr>
              <w:t>Moderate</w:t>
            </w:r>
          </w:p>
        </w:tc>
        <w:tc>
          <w:tcPr>
            <w:tcW w:w="1127" w:type="pct"/>
            <w:shd w:val="clear" w:color="auto" w:fill="auto"/>
            <w:vAlign w:val="center"/>
            <w:hideMark/>
          </w:tcPr>
          <w:p w14:paraId="5F11B7F4" w14:textId="77777777" w:rsidR="005C2258" w:rsidRPr="0077040A" w:rsidRDefault="005C2258" w:rsidP="00D578DE">
            <w:pPr>
              <w:pStyle w:val="Tabletext0"/>
              <w:widowControl w:val="0"/>
              <w:jc w:val="left"/>
            </w:pPr>
            <w:r>
              <w:t>LATERA</w:t>
            </w:r>
            <w:r w:rsidRPr="0077040A">
              <w:t xml:space="preserve"> likely reduces change in NOSE score at 3 months.</w:t>
            </w:r>
          </w:p>
        </w:tc>
      </w:tr>
      <w:tr w:rsidR="005C2258" w:rsidRPr="00BB1E80" w14:paraId="1077AEBD" w14:textId="77777777" w:rsidTr="004669F0">
        <w:trPr>
          <w:cantSplit/>
        </w:trPr>
        <w:tc>
          <w:tcPr>
            <w:tcW w:w="646" w:type="pct"/>
            <w:shd w:val="clear" w:color="auto" w:fill="auto"/>
            <w:vAlign w:val="center"/>
            <w:hideMark/>
          </w:tcPr>
          <w:p w14:paraId="172B0AD2" w14:textId="77777777" w:rsidR="005C2258" w:rsidRPr="00BB1E80" w:rsidRDefault="005C2258" w:rsidP="00D578DE">
            <w:pPr>
              <w:pStyle w:val="Tabletext0"/>
              <w:widowControl w:val="0"/>
              <w:jc w:val="left"/>
            </w:pPr>
            <w:r w:rsidRPr="00BB1E80">
              <w:rPr>
                <w:rStyle w:val="label"/>
                <w:rFonts w:eastAsiaTheme="majorEastAsia"/>
              </w:rPr>
              <w:t>Responders at 3 months</w:t>
            </w:r>
          </w:p>
        </w:tc>
        <w:tc>
          <w:tcPr>
            <w:tcW w:w="570" w:type="pct"/>
            <w:shd w:val="clear" w:color="auto" w:fill="auto"/>
            <w:vAlign w:val="center"/>
            <w:hideMark/>
          </w:tcPr>
          <w:p w14:paraId="694ACCDD" w14:textId="77777777" w:rsidR="005C2258" w:rsidRPr="00BB1E80" w:rsidRDefault="005C2258" w:rsidP="00D578DE">
            <w:pPr>
              <w:pStyle w:val="Tabletext0"/>
              <w:widowControl w:val="0"/>
              <w:jc w:val="left"/>
            </w:pPr>
            <w:r w:rsidRPr="00BB1E80">
              <w:t>547 per 1,000</w:t>
            </w:r>
          </w:p>
        </w:tc>
        <w:tc>
          <w:tcPr>
            <w:tcW w:w="754" w:type="pct"/>
            <w:shd w:val="clear" w:color="auto" w:fill="auto"/>
            <w:hideMark/>
          </w:tcPr>
          <w:p w14:paraId="75A22B6D" w14:textId="77777777" w:rsidR="005C2258" w:rsidRPr="00BB1E80" w:rsidRDefault="005C2258" w:rsidP="00D578DE">
            <w:pPr>
              <w:pStyle w:val="Tabletext0"/>
              <w:widowControl w:val="0"/>
              <w:jc w:val="left"/>
            </w:pPr>
            <w:r w:rsidRPr="00BB1E80">
              <w:rPr>
                <w:rStyle w:val="cell-value"/>
                <w:rFonts w:eastAsiaTheme="majorEastAsia"/>
              </w:rPr>
              <w:t>826 per 1,000</w:t>
            </w:r>
            <w:r w:rsidRPr="00BB1E80">
              <w:br/>
            </w:r>
            <w:r w:rsidRPr="00BB1E80">
              <w:rPr>
                <w:rStyle w:val="cell-value"/>
                <w:rFonts w:eastAsiaTheme="majorEastAsia"/>
              </w:rPr>
              <w:t>(645 to 1,000)</w:t>
            </w:r>
          </w:p>
        </w:tc>
        <w:tc>
          <w:tcPr>
            <w:tcW w:w="650" w:type="pct"/>
            <w:shd w:val="clear" w:color="auto" w:fill="auto"/>
            <w:vAlign w:val="center"/>
            <w:hideMark/>
          </w:tcPr>
          <w:p w14:paraId="6968D913" w14:textId="77777777" w:rsidR="005C2258" w:rsidRPr="00BB1E80" w:rsidRDefault="005C2258" w:rsidP="00D578DE">
            <w:pPr>
              <w:pStyle w:val="Tabletext0"/>
              <w:widowControl w:val="0"/>
              <w:jc w:val="left"/>
            </w:pPr>
            <w:r w:rsidRPr="00BB1E80">
              <w:rPr>
                <w:rStyle w:val="block"/>
              </w:rPr>
              <w:t>1.51</w:t>
            </w:r>
            <w:r w:rsidRPr="00BB1E80">
              <w:br/>
            </w:r>
            <w:r w:rsidRPr="00BB1E80">
              <w:rPr>
                <w:rStyle w:val="cell"/>
              </w:rPr>
              <w:t>(1.18 to 1.94)</w:t>
            </w:r>
          </w:p>
        </w:tc>
        <w:tc>
          <w:tcPr>
            <w:tcW w:w="577" w:type="pct"/>
            <w:shd w:val="clear" w:color="auto" w:fill="auto"/>
            <w:vAlign w:val="center"/>
            <w:hideMark/>
          </w:tcPr>
          <w:p w14:paraId="765C9E11" w14:textId="77777777" w:rsidR="005C2258" w:rsidRPr="00BB1E80" w:rsidRDefault="005C2258" w:rsidP="00D578DE">
            <w:pPr>
              <w:pStyle w:val="Tabletext0"/>
              <w:widowControl w:val="0"/>
              <w:jc w:val="left"/>
            </w:pPr>
            <w:r w:rsidRPr="00BB1E80">
              <w:t>127</w:t>
            </w:r>
            <w:r w:rsidRPr="00BB1E80">
              <w:br/>
              <w:t>(1 RCT)</w:t>
            </w:r>
          </w:p>
        </w:tc>
        <w:tc>
          <w:tcPr>
            <w:tcW w:w="676" w:type="pct"/>
            <w:shd w:val="clear" w:color="auto" w:fill="auto"/>
            <w:vAlign w:val="center"/>
            <w:hideMark/>
          </w:tcPr>
          <w:p w14:paraId="5A28EF28" w14:textId="220A06A7" w:rsidR="005C2258" w:rsidRPr="00BB1E80" w:rsidRDefault="005C2258" w:rsidP="00D578DE">
            <w:pPr>
              <w:pStyle w:val="Tabletext0"/>
              <w:widowControl w:val="0"/>
              <w:jc w:val="left"/>
            </w:pPr>
            <w:r w:rsidRPr="00BB1E80">
              <w:rPr>
                <w:rStyle w:val="quality-sign"/>
                <w:rFonts w:ascii="Cambria Math" w:hAnsi="Cambria Math" w:cs="Cambria Math"/>
              </w:rPr>
              <w:t>⨁⨁⨁◯</w:t>
            </w:r>
            <w:r w:rsidRPr="00BB1E80">
              <w:br/>
            </w:r>
            <w:r w:rsidRPr="00BB1E80">
              <w:rPr>
                <w:rStyle w:val="quality-text"/>
              </w:rPr>
              <w:t>Moderate</w:t>
            </w:r>
          </w:p>
        </w:tc>
        <w:tc>
          <w:tcPr>
            <w:tcW w:w="1127" w:type="pct"/>
            <w:shd w:val="clear" w:color="auto" w:fill="auto"/>
            <w:vAlign w:val="center"/>
            <w:hideMark/>
          </w:tcPr>
          <w:p w14:paraId="6F6BAA78" w14:textId="77777777" w:rsidR="005C2258" w:rsidRPr="00BB1E80" w:rsidRDefault="005C2258" w:rsidP="00D578DE">
            <w:pPr>
              <w:pStyle w:val="Tabletext0"/>
              <w:widowControl w:val="0"/>
              <w:jc w:val="left"/>
            </w:pPr>
            <w:r w:rsidRPr="00BB1E80">
              <w:t>LATERA likely increases responders at 3 months.</w:t>
            </w:r>
          </w:p>
        </w:tc>
      </w:tr>
      <w:tr w:rsidR="005C2258" w:rsidRPr="0077040A" w14:paraId="76982E33" w14:textId="77777777" w:rsidTr="004669F0">
        <w:trPr>
          <w:cantSplit/>
        </w:trPr>
        <w:tc>
          <w:tcPr>
            <w:tcW w:w="646" w:type="pct"/>
            <w:shd w:val="clear" w:color="auto" w:fill="auto"/>
            <w:vAlign w:val="center"/>
            <w:hideMark/>
          </w:tcPr>
          <w:p w14:paraId="5A7746ED" w14:textId="77777777" w:rsidR="005C2258" w:rsidRPr="0077040A" w:rsidRDefault="005C2258" w:rsidP="00D578DE">
            <w:pPr>
              <w:pStyle w:val="Tabletext0"/>
              <w:widowControl w:val="0"/>
              <w:jc w:val="left"/>
            </w:pPr>
            <w:r w:rsidRPr="0077040A">
              <w:rPr>
                <w:rStyle w:val="label"/>
                <w:rFonts w:eastAsiaTheme="majorEastAsia"/>
              </w:rPr>
              <w:t>Change in VAS score at 3 months</w:t>
            </w:r>
          </w:p>
        </w:tc>
        <w:tc>
          <w:tcPr>
            <w:tcW w:w="570" w:type="pct"/>
            <w:shd w:val="clear" w:color="auto" w:fill="auto"/>
            <w:vAlign w:val="center"/>
            <w:hideMark/>
          </w:tcPr>
          <w:p w14:paraId="2CE8C9C4" w14:textId="77777777" w:rsidR="005C2258" w:rsidRPr="0077040A" w:rsidRDefault="005C2258" w:rsidP="00D578DE">
            <w:pPr>
              <w:pStyle w:val="Tabletext0"/>
              <w:widowControl w:val="0"/>
              <w:jc w:val="left"/>
            </w:pPr>
            <w:r>
              <w:rPr>
                <w:rStyle w:val="cell-value"/>
                <w:rFonts w:eastAsiaTheme="majorEastAsia"/>
              </w:rPr>
              <w:t>M</w:t>
            </w:r>
            <w:r w:rsidRPr="0077040A">
              <w:rPr>
                <w:rStyle w:val="cell-value"/>
                <w:rFonts w:eastAsiaTheme="majorEastAsia"/>
              </w:rPr>
              <w:t xml:space="preserve">ean change </w:t>
            </w:r>
            <w:r>
              <w:rPr>
                <w:rStyle w:val="cell-value"/>
                <w:rFonts w:eastAsiaTheme="majorEastAsia"/>
              </w:rPr>
              <w:br/>
              <w:t>–</w:t>
            </w:r>
            <w:r w:rsidRPr="0077040A">
              <w:rPr>
                <w:rStyle w:val="cell-value"/>
                <w:rFonts w:eastAsiaTheme="majorEastAsia"/>
              </w:rPr>
              <w:t>13.3</w:t>
            </w:r>
          </w:p>
        </w:tc>
        <w:tc>
          <w:tcPr>
            <w:tcW w:w="754" w:type="pct"/>
            <w:shd w:val="clear" w:color="auto" w:fill="auto"/>
            <w:hideMark/>
          </w:tcPr>
          <w:p w14:paraId="79912B9B" w14:textId="77777777" w:rsidR="005C2258" w:rsidRPr="0077040A" w:rsidRDefault="005C2258" w:rsidP="00D578DE">
            <w:pPr>
              <w:pStyle w:val="Tabletext0"/>
              <w:widowControl w:val="0"/>
              <w:jc w:val="left"/>
            </w:pPr>
            <w:r w:rsidRPr="00BB1E80">
              <w:rPr>
                <w:rStyle w:val="cell-value"/>
                <w:rFonts w:eastAsiaTheme="majorEastAsia"/>
              </w:rPr>
              <w:t>MD 25.7 lower</w:t>
            </w:r>
            <w:r w:rsidRPr="00BB1E80">
              <w:br/>
            </w:r>
            <w:r w:rsidRPr="00BB1E80">
              <w:rPr>
                <w:rStyle w:val="cell-value"/>
                <w:rFonts w:eastAsiaTheme="majorEastAsia"/>
              </w:rPr>
              <w:t>(36.08 lower to 15.32 lower)</w:t>
            </w:r>
          </w:p>
        </w:tc>
        <w:tc>
          <w:tcPr>
            <w:tcW w:w="650" w:type="pct"/>
            <w:shd w:val="clear" w:color="auto" w:fill="auto"/>
            <w:vAlign w:val="center"/>
            <w:hideMark/>
          </w:tcPr>
          <w:p w14:paraId="5142DD7B" w14:textId="77777777" w:rsidR="005C2258" w:rsidRPr="0077040A" w:rsidRDefault="005C2258" w:rsidP="00D578DE">
            <w:pPr>
              <w:pStyle w:val="Tabletext0"/>
              <w:widowControl w:val="0"/>
              <w:jc w:val="left"/>
            </w:pPr>
            <w:r>
              <w:rPr>
                <w:rStyle w:val="cell"/>
              </w:rPr>
              <w:t>–</w:t>
            </w:r>
          </w:p>
        </w:tc>
        <w:tc>
          <w:tcPr>
            <w:tcW w:w="577" w:type="pct"/>
            <w:shd w:val="clear" w:color="auto" w:fill="auto"/>
            <w:vAlign w:val="center"/>
            <w:hideMark/>
          </w:tcPr>
          <w:p w14:paraId="0D37A169" w14:textId="77777777" w:rsidR="005C2258" w:rsidRPr="0077040A" w:rsidRDefault="005C2258" w:rsidP="00D578DE">
            <w:pPr>
              <w:pStyle w:val="Tabletext0"/>
              <w:widowControl w:val="0"/>
              <w:jc w:val="left"/>
            </w:pPr>
            <w:r w:rsidRPr="0077040A">
              <w:t>127</w:t>
            </w:r>
            <w:r w:rsidRPr="0077040A">
              <w:br/>
              <w:t>(1 RCT)</w:t>
            </w:r>
          </w:p>
        </w:tc>
        <w:tc>
          <w:tcPr>
            <w:tcW w:w="676" w:type="pct"/>
            <w:shd w:val="clear" w:color="auto" w:fill="auto"/>
            <w:vAlign w:val="center"/>
            <w:hideMark/>
          </w:tcPr>
          <w:p w14:paraId="2A37F7F0" w14:textId="75AE0450" w:rsidR="005C2258" w:rsidRPr="0077040A" w:rsidRDefault="005C2258" w:rsidP="00D578DE">
            <w:pPr>
              <w:pStyle w:val="Tabletext0"/>
              <w:widowControl w:val="0"/>
              <w:jc w:val="left"/>
            </w:pPr>
            <w:r w:rsidRPr="0077040A">
              <w:rPr>
                <w:rStyle w:val="quality-sign"/>
                <w:rFonts w:ascii="Cambria Math" w:hAnsi="Cambria Math" w:cs="Cambria Math"/>
              </w:rPr>
              <w:t>⨁⨁⨁◯</w:t>
            </w:r>
            <w:r w:rsidRPr="0077040A">
              <w:br/>
            </w:r>
            <w:r w:rsidRPr="0077040A">
              <w:rPr>
                <w:rStyle w:val="quality-text"/>
              </w:rPr>
              <w:t>Moderate</w:t>
            </w:r>
          </w:p>
        </w:tc>
        <w:tc>
          <w:tcPr>
            <w:tcW w:w="1127" w:type="pct"/>
            <w:shd w:val="clear" w:color="auto" w:fill="auto"/>
            <w:vAlign w:val="center"/>
            <w:hideMark/>
          </w:tcPr>
          <w:p w14:paraId="402F6DE8" w14:textId="77777777" w:rsidR="005C2258" w:rsidRPr="0077040A" w:rsidRDefault="005C2258" w:rsidP="00D578DE">
            <w:pPr>
              <w:pStyle w:val="Tabletext0"/>
              <w:widowControl w:val="0"/>
              <w:jc w:val="left"/>
            </w:pPr>
            <w:r>
              <w:t>LATERA</w:t>
            </w:r>
            <w:r w:rsidRPr="0077040A">
              <w:t xml:space="preserve"> likely reduces change in VAS score at 3 months.</w:t>
            </w:r>
          </w:p>
        </w:tc>
      </w:tr>
    </w:tbl>
    <w:p w14:paraId="6C8A2D11" w14:textId="77777777" w:rsidR="007754FE" w:rsidRDefault="00AC2822" w:rsidP="005C2258">
      <w:pPr>
        <w:pStyle w:val="Tablenotes"/>
        <w:ind w:right="-330"/>
      </w:pPr>
      <w:r>
        <w:t xml:space="preserve">Source: </w:t>
      </w:r>
      <w:r w:rsidR="001E3E10">
        <w:t xml:space="preserve">Table </w:t>
      </w:r>
      <w:r w:rsidR="00135936">
        <w:t xml:space="preserve">E.4, pg </w:t>
      </w:r>
      <w:r w:rsidR="007754FE">
        <w:t>14 of MSAC 1719 ADAR+inline commentary</w:t>
      </w:r>
    </w:p>
    <w:p w14:paraId="4AB536E8" w14:textId="2B6F6BE0" w:rsidR="00AC2822" w:rsidRDefault="007B7709" w:rsidP="005C2258">
      <w:pPr>
        <w:pStyle w:val="Tablenotes"/>
        <w:ind w:right="-330"/>
      </w:pPr>
      <w:r>
        <w:t xml:space="preserve">Abbreviations: </w:t>
      </w:r>
      <w:r w:rsidR="005C2258">
        <w:t>CI</w:t>
      </w:r>
      <w:r>
        <w:t>=</w:t>
      </w:r>
      <w:r w:rsidR="005C2258">
        <w:t xml:space="preserve"> confidence interval; MD</w:t>
      </w:r>
      <w:r>
        <w:t>=</w:t>
      </w:r>
      <w:r w:rsidR="005C2258">
        <w:t xml:space="preserve"> mean difference; </w:t>
      </w:r>
      <w:r w:rsidR="005C2258" w:rsidRPr="00502E24">
        <w:t>NOSE</w:t>
      </w:r>
      <w:r>
        <w:t>=</w:t>
      </w:r>
      <w:r w:rsidR="005C2258" w:rsidRPr="00502E24">
        <w:t xml:space="preserve"> nasal obstruction symptom evaluation</w:t>
      </w:r>
      <w:r w:rsidR="005C2258">
        <w:t>; RR</w:t>
      </w:r>
      <w:r>
        <w:t>=</w:t>
      </w:r>
      <w:r w:rsidR="005C2258">
        <w:t xml:space="preserve"> relative risk, RCT</w:t>
      </w:r>
      <w:r>
        <w:t>=</w:t>
      </w:r>
      <w:r w:rsidR="005C2258">
        <w:t xml:space="preserve"> randomised controlled trial; </w:t>
      </w:r>
      <w:r w:rsidR="005C2258" w:rsidRPr="00502E24">
        <w:t>VAS</w:t>
      </w:r>
      <w:r>
        <w:t>=</w:t>
      </w:r>
      <w:r w:rsidR="005C2258" w:rsidRPr="00502E24">
        <w:t xml:space="preserve"> visual analogue scale</w:t>
      </w:r>
      <w:r w:rsidR="005C2258">
        <w:t xml:space="preserve">. </w:t>
      </w:r>
    </w:p>
    <w:p w14:paraId="53F3A99C" w14:textId="03D04412" w:rsidR="001D4BD8" w:rsidRDefault="005C2258" w:rsidP="009352C9">
      <w:pPr>
        <w:pStyle w:val="Tablenotes"/>
        <w:ind w:right="-330"/>
      </w:pPr>
      <w:r w:rsidRPr="00AC0DC0">
        <w:t>Moderate certainty: moderately confident in the effect estimate: the true effect is likely to be close to the estimate of the effect, but there is a possibility that it is substantially different.</w:t>
      </w:r>
    </w:p>
    <w:p w14:paraId="04C75807" w14:textId="77777777" w:rsidR="00AA5808" w:rsidRPr="00B54D3C" w:rsidRDefault="00AA5808" w:rsidP="00AE4565">
      <w:pPr>
        <w:pStyle w:val="Heading3"/>
      </w:pPr>
      <w:bookmarkStart w:id="43" w:name="_Ref119441587"/>
      <w:bookmarkStart w:id="44" w:name="_Ref120541613"/>
      <w:r w:rsidRPr="00B54D3C">
        <w:lastRenderedPageBreak/>
        <w:t xml:space="preserve">Minimal clinically important </w:t>
      </w:r>
      <w:r w:rsidRPr="00CF5B0E">
        <w:t>difference</w:t>
      </w:r>
      <w:r w:rsidRPr="00B54D3C">
        <w:t xml:space="preserve"> (MCID) </w:t>
      </w:r>
    </w:p>
    <w:p w14:paraId="6E88B65E" w14:textId="52B213BF" w:rsidR="00AA5808" w:rsidRPr="00F71CE8" w:rsidRDefault="00AA5808" w:rsidP="00FB0E96">
      <w:r w:rsidRPr="003E5148">
        <w:t>The ADAR presented three studies attempting to inform the MCID in the NOSE score</w:t>
      </w:r>
      <w:r>
        <w:t>. N</w:t>
      </w:r>
      <w:r w:rsidRPr="003E5148">
        <w:t xml:space="preserve">one </w:t>
      </w:r>
      <w:r w:rsidR="005E7360">
        <w:t>of the MCID studies</w:t>
      </w:r>
      <w:r w:rsidRPr="003E5148">
        <w:t xml:space="preserve"> were conducted in patients with NAO due to </w:t>
      </w:r>
      <w:r w:rsidRPr="00D70683">
        <w:t xml:space="preserve">LWI. </w:t>
      </w:r>
      <w:r w:rsidRPr="00F71CE8">
        <w:t xml:space="preserve"> Stewart 2004</w:t>
      </w:r>
      <w:r w:rsidR="000F2517">
        <w:rPr>
          <w:rStyle w:val="FootnoteReference"/>
        </w:rPr>
        <w:footnoteReference w:id="18"/>
      </w:r>
      <w:r w:rsidRPr="00F71CE8">
        <w:t xml:space="preserve"> and Lodder</w:t>
      </w:r>
      <w:r w:rsidR="000F2517">
        <w:rPr>
          <w:rStyle w:val="FootnoteReference"/>
        </w:rPr>
        <w:footnoteReference w:id="19"/>
      </w:r>
      <w:r w:rsidRPr="00F71CE8">
        <w:t xml:space="preserve"> 2018 used the anchored approach to patients who underwent septoplasty alone or with adjunct turbinectomy</w:t>
      </w:r>
      <w:r w:rsidR="008714F9">
        <w:t xml:space="preserve"> and proposed an MCID of 19.4 and </w:t>
      </w:r>
      <w:r w:rsidR="001C0CA5">
        <w:t>39.2 points respectively</w:t>
      </w:r>
      <w:r w:rsidRPr="00F71CE8">
        <w:t>. Patients undergoing rhinoplasty were excluded</w:t>
      </w:r>
      <w:r w:rsidR="001C0CA5">
        <w:t xml:space="preserve"> in these studies</w:t>
      </w:r>
      <w:r w:rsidRPr="00F71CE8">
        <w:t>. Kandathil 2019</w:t>
      </w:r>
      <w:r w:rsidR="000F2517">
        <w:rPr>
          <w:rStyle w:val="FootnoteReference"/>
        </w:rPr>
        <w:footnoteReference w:id="20"/>
      </w:r>
      <w:r w:rsidRPr="00F71CE8">
        <w:t xml:space="preserve"> </w:t>
      </w:r>
      <w:r w:rsidR="001C0CA5">
        <w:t xml:space="preserve">proposed an </w:t>
      </w:r>
      <w:r w:rsidRPr="00F71CE8">
        <w:t xml:space="preserve">MCID </w:t>
      </w:r>
      <w:r w:rsidR="001C0CA5">
        <w:t xml:space="preserve">of 24.4 points, which </w:t>
      </w:r>
      <w:r w:rsidRPr="00F71CE8">
        <w:t xml:space="preserve">was anchored to a survey and the </w:t>
      </w:r>
      <w:r w:rsidR="00E45DEC" w:rsidRPr="00E45DEC">
        <w:t xml:space="preserve">Standardised Cosmesis and Health Nasal Outcomes Survey </w:t>
      </w:r>
      <w:r w:rsidR="00E45DEC">
        <w:t>(</w:t>
      </w:r>
      <w:r w:rsidRPr="00F71CE8">
        <w:t>SCHNOS</w:t>
      </w:r>
      <w:r w:rsidR="00E45DEC">
        <w:t>)</w:t>
      </w:r>
      <w:r w:rsidRPr="00F71CE8">
        <w:t xml:space="preserve"> questionnaire in patients who underwent cosmetic, functional or combined cosmetic/functional rhinoplasty. </w:t>
      </w:r>
    </w:p>
    <w:p w14:paraId="79B6A034" w14:textId="762AC855" w:rsidR="00AA5808" w:rsidRPr="003E5148" w:rsidRDefault="00D47956" w:rsidP="00FB0E96">
      <w:r>
        <w:t xml:space="preserve">Based on the Stewart 2004 study, the </w:t>
      </w:r>
      <w:r w:rsidR="00AA5808" w:rsidRPr="003E5148">
        <w:t>ADAR nominated 19.4 point</w:t>
      </w:r>
      <w:r w:rsidR="00AA5808">
        <w:t>s</w:t>
      </w:r>
      <w:r w:rsidR="00AA5808" w:rsidRPr="003E5148">
        <w:t xml:space="preserve"> </w:t>
      </w:r>
      <w:r w:rsidR="0021082E">
        <w:t>as the</w:t>
      </w:r>
      <w:r w:rsidR="00AA5808" w:rsidRPr="003E5148">
        <w:t xml:space="preserve"> MCID</w:t>
      </w:r>
      <w:r w:rsidR="0021082E" w:rsidRPr="0021082E">
        <w:t xml:space="preserve"> </w:t>
      </w:r>
      <w:r w:rsidR="0021082E" w:rsidRPr="003E5148">
        <w:t>in the NOSE score</w:t>
      </w:r>
      <w:r w:rsidR="00AA5808" w:rsidRPr="003E5148">
        <w:t xml:space="preserve">. </w:t>
      </w:r>
    </w:p>
    <w:p w14:paraId="6E2CD73C" w14:textId="71F0D614" w:rsidR="00AA5808" w:rsidRPr="003E5148" w:rsidRDefault="0021082E" w:rsidP="00FB0E96">
      <w:r>
        <w:t xml:space="preserve">The </w:t>
      </w:r>
      <w:r w:rsidR="004C281C">
        <w:t>c</w:t>
      </w:r>
      <w:r>
        <w:t xml:space="preserve">ommentary noted that </w:t>
      </w:r>
      <w:r w:rsidR="00AA5808" w:rsidRPr="003E5148">
        <w:t xml:space="preserve">given that the </w:t>
      </w:r>
      <w:r w:rsidR="005B420C">
        <w:t xml:space="preserve">change in the NOSE score </w:t>
      </w:r>
      <w:r w:rsidR="00AA5808" w:rsidRPr="003E5148">
        <w:t xml:space="preserve">in the sham arm </w:t>
      </w:r>
      <w:r w:rsidR="00425F9B">
        <w:t>of the</w:t>
      </w:r>
      <w:r w:rsidR="00AA5808" w:rsidRPr="003E5148">
        <w:t xml:space="preserve"> LATERA-RCT </w:t>
      </w:r>
      <w:r w:rsidR="00F023B8">
        <w:t xml:space="preserve">at 1 month </w:t>
      </w:r>
      <w:r w:rsidR="00AA5808" w:rsidRPr="003E5148">
        <w:t xml:space="preserve">(mean change ±SD −31.8 ± 25.5) and at 3 months (-22.7±27.9) </w:t>
      </w:r>
      <w:r w:rsidR="00F023B8" w:rsidRPr="003E5148">
        <w:t>exceeds the MCID</w:t>
      </w:r>
      <w:r w:rsidR="00F023B8">
        <w:t>,</w:t>
      </w:r>
      <w:r w:rsidR="00F023B8" w:rsidRPr="003E5148">
        <w:t xml:space="preserve"> </w:t>
      </w:r>
      <w:r w:rsidR="00AA5808" w:rsidRPr="003E5148">
        <w:t xml:space="preserve">the MCID may not be applicable. Further </w:t>
      </w:r>
      <w:r w:rsidR="00D93894">
        <w:t xml:space="preserve">while </w:t>
      </w:r>
      <w:r w:rsidR="00F023B8">
        <w:t xml:space="preserve">the </w:t>
      </w:r>
      <w:r w:rsidR="00D93894">
        <w:t>mean difference in the NOSE score</w:t>
      </w:r>
      <w:r w:rsidR="00AA5808" w:rsidRPr="003E5148">
        <w:t xml:space="preserve"> at 3 months </w:t>
      </w:r>
      <w:r w:rsidR="00D93894">
        <w:t xml:space="preserve">for </w:t>
      </w:r>
      <w:r w:rsidR="00AA5808" w:rsidRPr="003E5148">
        <w:t xml:space="preserve">LATERA vs. Sham </w:t>
      </w:r>
      <w:r w:rsidR="00D93894">
        <w:t xml:space="preserve">is </w:t>
      </w:r>
      <w:r w:rsidR="00AA5808" w:rsidRPr="003E5148">
        <w:t xml:space="preserve">-19.70 </w:t>
      </w:r>
      <w:r w:rsidR="002B6036">
        <w:t>(</w:t>
      </w:r>
      <w:r w:rsidR="00AA5808" w:rsidRPr="003E5148">
        <w:t>-28.65, -10.75</w:t>
      </w:r>
      <w:r w:rsidR="002B6036">
        <w:t>)</w:t>
      </w:r>
      <w:r w:rsidR="00AA5808" w:rsidRPr="003E5148">
        <w:t xml:space="preserve"> just exceed</w:t>
      </w:r>
      <w:r w:rsidR="004B0A4C">
        <w:t xml:space="preserve">s </w:t>
      </w:r>
      <w:r w:rsidR="00AA5808" w:rsidRPr="003E5148">
        <w:t xml:space="preserve">the </w:t>
      </w:r>
      <w:r w:rsidR="004B0A4C">
        <w:t>nominated MCID, it</w:t>
      </w:r>
      <w:r w:rsidR="00AA5808" w:rsidRPr="003E5148">
        <w:t xml:space="preserve"> is within the upper 95% CI. </w:t>
      </w:r>
    </w:p>
    <w:bookmarkEnd w:id="43"/>
    <w:bookmarkEnd w:id="44"/>
    <w:p w14:paraId="7769F492" w14:textId="57A26EA7" w:rsidR="00C517B1" w:rsidRPr="007256A8" w:rsidRDefault="00AE1531" w:rsidP="00AE4565">
      <w:pPr>
        <w:pStyle w:val="Heading3"/>
      </w:pPr>
      <w:r>
        <w:t xml:space="preserve">Additional </w:t>
      </w:r>
      <w:r w:rsidR="008931E9">
        <w:t xml:space="preserve">LATERA </w:t>
      </w:r>
      <w:r w:rsidR="00C517B1" w:rsidRPr="007256A8">
        <w:t xml:space="preserve">evidence </w:t>
      </w:r>
    </w:p>
    <w:p w14:paraId="6FF5C08B" w14:textId="6186ECF9" w:rsidR="00880A44" w:rsidRDefault="00B93B15" w:rsidP="00AE1531">
      <w:r>
        <w:t>The ADAR also presented a</w:t>
      </w:r>
      <w:r w:rsidR="00C517B1" w:rsidRPr="002C67E1">
        <w:t xml:space="preserve">dditional evidence </w:t>
      </w:r>
      <w:r>
        <w:t>for LATERA</w:t>
      </w:r>
      <w:r w:rsidR="00880A44">
        <w:t>, i.e., the data</w:t>
      </w:r>
      <w:r w:rsidR="00C517B1" w:rsidRPr="002C67E1">
        <w:t xml:space="preserve"> </w:t>
      </w:r>
      <w:r w:rsidR="00AE1531">
        <w:t xml:space="preserve">from the other arms of the LATERA studies </w:t>
      </w:r>
      <w:r w:rsidR="00C517B1" w:rsidRPr="00A85D98">
        <w:t>that assessed effectiveness of LATERA when used with septoplasty ± turbinate reduction</w:t>
      </w:r>
      <w:r w:rsidR="00727C74">
        <w:t xml:space="preserve"> (</w:t>
      </w:r>
      <w:r w:rsidR="00BD7553" w:rsidRPr="00A85D98">
        <w:t>i.e</w:t>
      </w:r>
      <w:r w:rsidR="00BD7553">
        <w:t>.,</w:t>
      </w:r>
      <w:r w:rsidR="00C517B1">
        <w:t xml:space="preserve"> </w:t>
      </w:r>
      <w:r w:rsidR="00C517B1" w:rsidRPr="00A85D98">
        <w:t>the relevant cohort from LATERA-OFFICE, the LATERA-OR study and Saadat 2018)</w:t>
      </w:r>
      <w:r w:rsidR="00880A44">
        <w:t xml:space="preserve">. This was </w:t>
      </w:r>
      <w:r w:rsidR="00C517B1" w:rsidRPr="00A85D98">
        <w:t>presented to support the effectiveness of LATERA when used with adjunct procedures.</w:t>
      </w:r>
      <w:r w:rsidR="00AE1531">
        <w:t xml:space="preserve"> </w:t>
      </w:r>
    </w:p>
    <w:p w14:paraId="22BEE93A" w14:textId="1DF93049" w:rsidR="00C56FE2" w:rsidRPr="00B54D3C" w:rsidRDefault="00C517B1" w:rsidP="00AE4565">
      <w:r w:rsidRPr="00B54D3C">
        <w:t>At baseline all participants were in the severe or extreme NOSE score range. None were in the broader population of patients for whom LATERA is being sought (</w:t>
      </w:r>
      <w:r w:rsidR="00BD7553" w:rsidRPr="00B54D3C">
        <w:t>i.e.,</w:t>
      </w:r>
      <w:r w:rsidRPr="00B54D3C">
        <w:t xml:space="preserve"> moderate). At 24 months, the improvement in NOSE score was between </w:t>
      </w:r>
      <w:r w:rsidRPr="00BB1E80">
        <w:t>44 to 49.5</w:t>
      </w:r>
      <w:r w:rsidRPr="00B54D3C">
        <w:t xml:space="preserve"> in </w:t>
      </w:r>
      <w:r w:rsidR="00783755" w:rsidRPr="00B54D3C">
        <w:t>most</w:t>
      </w:r>
      <w:r w:rsidRPr="00B54D3C">
        <w:t xml:space="preserve"> studies, with LATERA-OR reporting a larger reduction of 61 points improvement. LATERA-OR was the only study that included septoplasty with or without turbinate reduction, suggesting septoplasty may have contributed to the improvement in NOSE score. </w:t>
      </w:r>
    </w:p>
    <w:p w14:paraId="4896CF52" w14:textId="6B4558DB" w:rsidR="007358E5" w:rsidRDefault="00C517B1" w:rsidP="00FB0E96">
      <w:r w:rsidRPr="002C67E1">
        <w:t>The</w:t>
      </w:r>
      <w:r w:rsidR="00B93B15">
        <w:t xml:space="preserve"> ADAR reported that the response rate</w:t>
      </w:r>
      <w:r w:rsidRPr="002C67E1">
        <w:t xml:space="preserve"> results </w:t>
      </w:r>
      <w:r w:rsidR="00B93B15">
        <w:t xml:space="preserve">in the additional </w:t>
      </w:r>
      <w:r w:rsidR="00917846">
        <w:t xml:space="preserve">LATERA </w:t>
      </w:r>
      <w:r w:rsidR="00B93B15">
        <w:t>studies were</w:t>
      </w:r>
      <w:r w:rsidR="00B93B15" w:rsidRPr="002C67E1">
        <w:t xml:space="preserve"> </w:t>
      </w:r>
      <w:r w:rsidRPr="002C67E1">
        <w:t>similar to those observe</w:t>
      </w:r>
      <w:r w:rsidR="00407122" w:rsidRPr="002C67E1">
        <w:t>d</w:t>
      </w:r>
      <w:r w:rsidRPr="002C67E1">
        <w:t xml:space="preserve"> with LATERA in the LATERA-RCT study, where a response rate of </w:t>
      </w:r>
      <w:r w:rsidRPr="00BB1E80">
        <w:t>90.7</w:t>
      </w:r>
      <w:r w:rsidRPr="002C67E1">
        <w:t xml:space="preserve">% was reported at 24 months in participants randomised to LATERA except in Trial 4350-001 where response was not a primary endpoint and LATERA was used alone. </w:t>
      </w:r>
    </w:p>
    <w:p w14:paraId="612DBB34" w14:textId="2D50DC5C" w:rsidR="003716FD" w:rsidRDefault="003716FD" w:rsidP="008141C9">
      <w:pPr>
        <w:pStyle w:val="Caption"/>
      </w:pPr>
      <w:bookmarkStart w:id="45" w:name="_Ref120630635"/>
      <w:bookmarkStart w:id="46" w:name="_Ref121924862"/>
      <w:r>
        <w:lastRenderedPageBreak/>
        <w:t xml:space="preserve">Table </w:t>
      </w:r>
      <w:r>
        <w:fldChar w:fldCharType="begin"/>
      </w:r>
      <w:r>
        <w:instrText>SEQ Table \* ARABIC</w:instrText>
      </w:r>
      <w:r>
        <w:fldChar w:fldCharType="separate"/>
      </w:r>
      <w:r w:rsidR="003511D3">
        <w:rPr>
          <w:noProof/>
        </w:rPr>
        <w:t>17</w:t>
      </w:r>
      <w:r>
        <w:fldChar w:fldCharType="end"/>
      </w:r>
      <w:bookmarkEnd w:id="45"/>
      <w:bookmarkEnd w:id="46"/>
      <w:r w:rsidR="00EB047D">
        <w:tab/>
      </w:r>
      <w:r w:rsidR="006A6B10" w:rsidRPr="006A6B10">
        <w:t xml:space="preserve">Response rate </w:t>
      </w:r>
      <w:r w:rsidR="006917F3">
        <w:t>at 24 months across</w:t>
      </w:r>
      <w:r w:rsidR="006A6B10" w:rsidRPr="006A6B10">
        <w:t xml:space="preserve"> LATERA studies </w:t>
      </w:r>
    </w:p>
    <w:tbl>
      <w:tblPr>
        <w:tblStyle w:val="TableGrid"/>
        <w:tblW w:w="8075" w:type="dxa"/>
        <w:tblLook w:val="04A0" w:firstRow="1" w:lastRow="0" w:firstColumn="1" w:lastColumn="0" w:noHBand="0" w:noVBand="1"/>
      </w:tblPr>
      <w:tblGrid>
        <w:gridCol w:w="3476"/>
        <w:gridCol w:w="1436"/>
        <w:gridCol w:w="718"/>
        <w:gridCol w:w="2445"/>
      </w:tblGrid>
      <w:tr w:rsidR="006917F3" w14:paraId="5B1ED412" w14:textId="77777777" w:rsidTr="006917F3">
        <w:trPr>
          <w:cantSplit/>
          <w:trHeight w:val="187"/>
        </w:trPr>
        <w:tc>
          <w:tcPr>
            <w:tcW w:w="3476" w:type="dxa"/>
            <w:shd w:val="clear" w:color="auto" w:fill="A6A6A6" w:themeFill="background1" w:themeFillShade="A6"/>
          </w:tcPr>
          <w:p w14:paraId="6B6CB411" w14:textId="343E5E9D" w:rsidR="006917F3" w:rsidRPr="00400F96" w:rsidRDefault="006917F3" w:rsidP="00E2534A">
            <w:pPr>
              <w:pStyle w:val="Tabletext0"/>
              <w:keepNext/>
              <w:keepLines/>
              <w:widowControl w:val="0"/>
              <w:rPr>
                <w:b/>
                <w:bCs/>
              </w:rPr>
            </w:pPr>
            <w:r>
              <w:rPr>
                <w:b/>
                <w:bCs/>
              </w:rPr>
              <w:t>LATERA study</w:t>
            </w:r>
          </w:p>
        </w:tc>
        <w:tc>
          <w:tcPr>
            <w:tcW w:w="1436" w:type="dxa"/>
            <w:shd w:val="clear" w:color="auto" w:fill="A6A6A6" w:themeFill="background1" w:themeFillShade="A6"/>
          </w:tcPr>
          <w:p w14:paraId="2405C824" w14:textId="77777777" w:rsidR="006917F3" w:rsidRPr="00400F96" w:rsidRDefault="006917F3" w:rsidP="00E2534A">
            <w:pPr>
              <w:pStyle w:val="Tabletext0"/>
              <w:keepNext/>
              <w:keepLines/>
              <w:widowControl w:val="0"/>
              <w:rPr>
                <w:b/>
                <w:bCs/>
              </w:rPr>
            </w:pPr>
            <w:r w:rsidRPr="00400F96">
              <w:rPr>
                <w:b/>
                <w:bCs/>
              </w:rPr>
              <w:t xml:space="preserve">Subgroup </w:t>
            </w:r>
          </w:p>
        </w:tc>
        <w:tc>
          <w:tcPr>
            <w:tcW w:w="718" w:type="dxa"/>
            <w:shd w:val="clear" w:color="auto" w:fill="A6A6A6" w:themeFill="background1" w:themeFillShade="A6"/>
          </w:tcPr>
          <w:p w14:paraId="0CDBDF81" w14:textId="77777777" w:rsidR="006917F3" w:rsidRPr="00400F96" w:rsidRDefault="006917F3" w:rsidP="00E2534A">
            <w:pPr>
              <w:pStyle w:val="Tabletext0"/>
              <w:keepNext/>
              <w:keepLines/>
              <w:widowControl w:val="0"/>
              <w:rPr>
                <w:b/>
                <w:bCs/>
              </w:rPr>
            </w:pPr>
            <w:r w:rsidRPr="00400F96">
              <w:rPr>
                <w:b/>
                <w:bCs/>
              </w:rPr>
              <w:t>n/N</w:t>
            </w:r>
          </w:p>
        </w:tc>
        <w:tc>
          <w:tcPr>
            <w:tcW w:w="2445" w:type="dxa"/>
            <w:shd w:val="clear" w:color="auto" w:fill="A6A6A6" w:themeFill="background1" w:themeFillShade="A6"/>
          </w:tcPr>
          <w:p w14:paraId="6A1A03D8" w14:textId="77777777" w:rsidR="006917F3" w:rsidRPr="00400F96" w:rsidRDefault="006917F3" w:rsidP="00E2534A">
            <w:pPr>
              <w:pStyle w:val="Tabletext0"/>
              <w:keepNext/>
              <w:keepLines/>
              <w:widowControl w:val="0"/>
              <w:rPr>
                <w:b/>
                <w:bCs/>
              </w:rPr>
            </w:pPr>
            <w:r w:rsidRPr="00400F96">
              <w:rPr>
                <w:b/>
                <w:bCs/>
              </w:rPr>
              <w:t>Response rate (95% CI)</w:t>
            </w:r>
          </w:p>
        </w:tc>
      </w:tr>
      <w:tr w:rsidR="009E497B" w:rsidRPr="00BB1E80" w14:paraId="583D7B2B" w14:textId="77777777" w:rsidTr="006917F3">
        <w:trPr>
          <w:cantSplit/>
          <w:trHeight w:val="250"/>
        </w:trPr>
        <w:tc>
          <w:tcPr>
            <w:tcW w:w="3476" w:type="dxa"/>
            <w:vMerge w:val="restart"/>
          </w:tcPr>
          <w:p w14:paraId="32875C3E" w14:textId="27B803D1" w:rsidR="009E497B" w:rsidRPr="00BB1E80" w:rsidRDefault="009E497B" w:rsidP="006917F3">
            <w:pPr>
              <w:pStyle w:val="Tabletext0"/>
              <w:keepNext/>
              <w:keepLines/>
              <w:widowControl w:val="0"/>
              <w:jc w:val="left"/>
            </w:pPr>
            <w:r w:rsidRPr="00BB1E80">
              <w:t>LATERA-RCT -24 months</w:t>
            </w:r>
          </w:p>
        </w:tc>
        <w:tc>
          <w:tcPr>
            <w:tcW w:w="1436" w:type="dxa"/>
          </w:tcPr>
          <w:p w14:paraId="78B16879" w14:textId="0DCDA692" w:rsidR="009E497B" w:rsidRPr="00BB1E80" w:rsidRDefault="009E497B" w:rsidP="00E2534A">
            <w:pPr>
              <w:pStyle w:val="Tabletext0"/>
              <w:keepNext/>
              <w:keepLines/>
              <w:widowControl w:val="0"/>
            </w:pPr>
            <w:r w:rsidRPr="00BB1E80">
              <w:t>All participants</w:t>
            </w:r>
          </w:p>
        </w:tc>
        <w:tc>
          <w:tcPr>
            <w:tcW w:w="718" w:type="dxa"/>
          </w:tcPr>
          <w:p w14:paraId="4901EE5B" w14:textId="557BBFE2" w:rsidR="009E497B" w:rsidRPr="00BB1E80" w:rsidRDefault="009E497B" w:rsidP="00E2534A">
            <w:pPr>
              <w:pStyle w:val="Tabletext0"/>
              <w:keepNext/>
              <w:keepLines/>
              <w:widowControl w:val="0"/>
            </w:pPr>
            <w:r w:rsidRPr="00BB1E80">
              <w:t>60/68</w:t>
            </w:r>
          </w:p>
        </w:tc>
        <w:tc>
          <w:tcPr>
            <w:tcW w:w="2445" w:type="dxa"/>
          </w:tcPr>
          <w:p w14:paraId="6A21F166" w14:textId="76CE275B" w:rsidR="009E497B" w:rsidRPr="00BB1E80" w:rsidRDefault="009E497B" w:rsidP="00E2534A">
            <w:pPr>
              <w:pStyle w:val="Tabletext0"/>
              <w:keepNext/>
              <w:keepLines/>
              <w:widowControl w:val="0"/>
            </w:pPr>
            <w:r w:rsidRPr="00BB1E80">
              <w:t>88.2% (78.1%, 94.8%)</w:t>
            </w:r>
          </w:p>
        </w:tc>
      </w:tr>
      <w:tr w:rsidR="009E497B" w:rsidRPr="00BB1E80" w14:paraId="6BDD7A0E" w14:textId="77777777" w:rsidTr="006917F3">
        <w:trPr>
          <w:cantSplit/>
          <w:trHeight w:val="250"/>
        </w:trPr>
        <w:tc>
          <w:tcPr>
            <w:tcW w:w="3476" w:type="dxa"/>
            <w:vMerge/>
          </w:tcPr>
          <w:p w14:paraId="47008C6C" w14:textId="77777777" w:rsidR="009E497B" w:rsidRPr="00BB1E80" w:rsidRDefault="009E497B" w:rsidP="006917F3">
            <w:pPr>
              <w:pStyle w:val="Tabletext0"/>
              <w:keepNext/>
              <w:keepLines/>
              <w:widowControl w:val="0"/>
              <w:jc w:val="left"/>
            </w:pPr>
          </w:p>
        </w:tc>
        <w:tc>
          <w:tcPr>
            <w:tcW w:w="1436" w:type="dxa"/>
          </w:tcPr>
          <w:p w14:paraId="7B17DE2D" w14:textId="2CB65AF4" w:rsidR="009E497B" w:rsidRPr="00BB1E80" w:rsidRDefault="009E497B" w:rsidP="00E2534A">
            <w:pPr>
              <w:pStyle w:val="Tabletext0"/>
              <w:keepNext/>
              <w:keepLines/>
              <w:widowControl w:val="0"/>
            </w:pPr>
            <w:r w:rsidRPr="00BB1E80">
              <w:t>Treatment</w:t>
            </w:r>
          </w:p>
        </w:tc>
        <w:tc>
          <w:tcPr>
            <w:tcW w:w="718" w:type="dxa"/>
          </w:tcPr>
          <w:p w14:paraId="5DB36778" w14:textId="4FED5502" w:rsidR="009E497B" w:rsidRPr="00BB1E80" w:rsidRDefault="009E497B" w:rsidP="00E2534A">
            <w:pPr>
              <w:pStyle w:val="Tabletext0"/>
              <w:keepNext/>
              <w:keepLines/>
              <w:widowControl w:val="0"/>
            </w:pPr>
            <w:r w:rsidRPr="00BB1E80">
              <w:t>21/25</w:t>
            </w:r>
          </w:p>
        </w:tc>
        <w:tc>
          <w:tcPr>
            <w:tcW w:w="2445" w:type="dxa"/>
          </w:tcPr>
          <w:p w14:paraId="46956200" w14:textId="2531E138" w:rsidR="009E497B" w:rsidRPr="00BB1E80" w:rsidRDefault="009E497B" w:rsidP="00E2534A">
            <w:pPr>
              <w:pStyle w:val="Tabletext0"/>
              <w:keepNext/>
              <w:keepLines/>
              <w:widowControl w:val="0"/>
            </w:pPr>
            <w:r w:rsidRPr="00BB1E80">
              <w:t>90.7% (77.9%, 97.4%)</w:t>
            </w:r>
          </w:p>
        </w:tc>
      </w:tr>
      <w:tr w:rsidR="009E497B" w:rsidRPr="00BB1E80" w14:paraId="02702573" w14:textId="77777777" w:rsidTr="006917F3">
        <w:trPr>
          <w:cantSplit/>
          <w:trHeight w:val="250"/>
        </w:trPr>
        <w:tc>
          <w:tcPr>
            <w:tcW w:w="3476" w:type="dxa"/>
            <w:vMerge/>
          </w:tcPr>
          <w:p w14:paraId="2A08187D" w14:textId="77777777" w:rsidR="009E497B" w:rsidRPr="00BB1E80" w:rsidRDefault="009E497B" w:rsidP="006917F3">
            <w:pPr>
              <w:pStyle w:val="Tabletext0"/>
              <w:keepNext/>
              <w:keepLines/>
              <w:widowControl w:val="0"/>
              <w:jc w:val="left"/>
            </w:pPr>
          </w:p>
        </w:tc>
        <w:tc>
          <w:tcPr>
            <w:tcW w:w="1436" w:type="dxa"/>
          </w:tcPr>
          <w:p w14:paraId="13A02C95" w14:textId="15DA476C" w:rsidR="009E497B" w:rsidRPr="00BB1E80" w:rsidRDefault="009E497B" w:rsidP="00E2534A">
            <w:pPr>
              <w:pStyle w:val="Tabletext0"/>
              <w:keepNext/>
              <w:keepLines/>
              <w:widowControl w:val="0"/>
            </w:pPr>
            <w:r w:rsidRPr="00BB1E80">
              <w:t>Crossover</w:t>
            </w:r>
          </w:p>
        </w:tc>
        <w:tc>
          <w:tcPr>
            <w:tcW w:w="718" w:type="dxa"/>
          </w:tcPr>
          <w:p w14:paraId="02DB1A50" w14:textId="0B4EBBFF" w:rsidR="009E497B" w:rsidRPr="00BB1E80" w:rsidRDefault="009E497B" w:rsidP="00E2534A">
            <w:pPr>
              <w:pStyle w:val="Tabletext0"/>
              <w:keepNext/>
              <w:keepLines/>
              <w:widowControl w:val="0"/>
            </w:pPr>
            <w:r w:rsidRPr="00BB1E80">
              <w:t>39/43</w:t>
            </w:r>
          </w:p>
        </w:tc>
        <w:tc>
          <w:tcPr>
            <w:tcW w:w="2445" w:type="dxa"/>
          </w:tcPr>
          <w:p w14:paraId="2A8D1BCC" w14:textId="706D8F78" w:rsidR="009E497B" w:rsidRPr="00BB1E80" w:rsidRDefault="009E497B" w:rsidP="00E2534A">
            <w:pPr>
              <w:pStyle w:val="Tabletext0"/>
              <w:keepNext/>
              <w:keepLines/>
              <w:widowControl w:val="0"/>
            </w:pPr>
            <w:r w:rsidRPr="00BB1E80">
              <w:t>84.0% (63.9%, 95.5%)</w:t>
            </w:r>
          </w:p>
        </w:tc>
      </w:tr>
      <w:tr w:rsidR="006917F3" w:rsidRPr="00BB1E80" w14:paraId="01F5D03E" w14:textId="77777777" w:rsidTr="006917F3">
        <w:trPr>
          <w:cantSplit/>
          <w:trHeight w:val="250"/>
        </w:trPr>
        <w:tc>
          <w:tcPr>
            <w:tcW w:w="3476" w:type="dxa"/>
            <w:vMerge w:val="restart"/>
          </w:tcPr>
          <w:p w14:paraId="291C95F5" w14:textId="7211039F" w:rsidR="006917F3" w:rsidRPr="00BB1E80" w:rsidRDefault="006917F3" w:rsidP="00AE4565">
            <w:pPr>
              <w:pStyle w:val="Tabletext0"/>
              <w:keepNext/>
              <w:keepLines/>
              <w:widowControl w:val="0"/>
              <w:jc w:val="left"/>
            </w:pPr>
            <w:r w:rsidRPr="00BB1E80">
              <w:t>LATERA-OFFICE - 24 months</w:t>
            </w:r>
          </w:p>
        </w:tc>
        <w:tc>
          <w:tcPr>
            <w:tcW w:w="1436" w:type="dxa"/>
          </w:tcPr>
          <w:p w14:paraId="6082855C" w14:textId="77777777" w:rsidR="006917F3" w:rsidRPr="00BB1E80" w:rsidRDefault="006917F3" w:rsidP="00E2534A">
            <w:pPr>
              <w:pStyle w:val="Tabletext0"/>
              <w:keepNext/>
              <w:keepLines/>
              <w:widowControl w:val="0"/>
            </w:pPr>
            <w:r w:rsidRPr="00BB1E80">
              <w:t>All participants</w:t>
            </w:r>
          </w:p>
        </w:tc>
        <w:tc>
          <w:tcPr>
            <w:tcW w:w="718" w:type="dxa"/>
          </w:tcPr>
          <w:p w14:paraId="0A43037A" w14:textId="77777777" w:rsidR="006917F3" w:rsidRPr="00BB1E80" w:rsidRDefault="006917F3" w:rsidP="00E2534A">
            <w:pPr>
              <w:pStyle w:val="Tabletext0"/>
              <w:keepNext/>
              <w:keepLines/>
              <w:widowControl w:val="0"/>
            </w:pPr>
            <w:r w:rsidRPr="00BB1E80">
              <w:t>93/102</w:t>
            </w:r>
          </w:p>
        </w:tc>
        <w:tc>
          <w:tcPr>
            <w:tcW w:w="2445" w:type="dxa"/>
          </w:tcPr>
          <w:p w14:paraId="47E905C2" w14:textId="77777777" w:rsidR="006917F3" w:rsidRPr="00BB1E80" w:rsidRDefault="006917F3" w:rsidP="00E2534A">
            <w:pPr>
              <w:pStyle w:val="Tabletext0"/>
              <w:keepNext/>
              <w:keepLines/>
              <w:widowControl w:val="0"/>
            </w:pPr>
            <w:r w:rsidRPr="00BB1E80">
              <w:t>91.2% (83.9%, 95.9%)</w:t>
            </w:r>
          </w:p>
        </w:tc>
      </w:tr>
      <w:tr w:rsidR="006917F3" w:rsidRPr="00BB1E80" w14:paraId="04B65E45" w14:textId="77777777" w:rsidTr="006917F3">
        <w:trPr>
          <w:cantSplit/>
          <w:trHeight w:val="250"/>
        </w:trPr>
        <w:tc>
          <w:tcPr>
            <w:tcW w:w="3476" w:type="dxa"/>
            <w:vMerge/>
          </w:tcPr>
          <w:p w14:paraId="6D0CF211" w14:textId="77777777" w:rsidR="006917F3" w:rsidRPr="00BB1E80" w:rsidRDefault="006917F3" w:rsidP="00AE4565">
            <w:pPr>
              <w:pStyle w:val="Tabletext0"/>
              <w:keepNext/>
              <w:keepLines/>
              <w:widowControl w:val="0"/>
              <w:jc w:val="left"/>
            </w:pPr>
          </w:p>
        </w:tc>
        <w:tc>
          <w:tcPr>
            <w:tcW w:w="1436" w:type="dxa"/>
          </w:tcPr>
          <w:p w14:paraId="7A5A5930" w14:textId="77777777" w:rsidR="006917F3" w:rsidRPr="00BB1E80" w:rsidRDefault="006917F3" w:rsidP="00E2534A">
            <w:pPr>
              <w:pStyle w:val="Tabletext0"/>
              <w:keepNext/>
              <w:keepLines/>
              <w:widowControl w:val="0"/>
            </w:pPr>
            <w:r w:rsidRPr="00BB1E80">
              <w:t xml:space="preserve">LATERA only </w:t>
            </w:r>
          </w:p>
        </w:tc>
        <w:tc>
          <w:tcPr>
            <w:tcW w:w="718" w:type="dxa"/>
          </w:tcPr>
          <w:p w14:paraId="771C71E2" w14:textId="77777777" w:rsidR="006917F3" w:rsidRPr="00BB1E80" w:rsidRDefault="006917F3" w:rsidP="00E2534A">
            <w:pPr>
              <w:pStyle w:val="Tabletext0"/>
              <w:keepNext/>
              <w:keepLines/>
              <w:widowControl w:val="0"/>
            </w:pPr>
            <w:r w:rsidRPr="00BB1E80">
              <w:t>58/65</w:t>
            </w:r>
          </w:p>
        </w:tc>
        <w:tc>
          <w:tcPr>
            <w:tcW w:w="2445" w:type="dxa"/>
          </w:tcPr>
          <w:p w14:paraId="1949D73A" w14:textId="77777777" w:rsidR="006917F3" w:rsidRPr="00BB1E80" w:rsidRDefault="006917F3" w:rsidP="00E2534A">
            <w:pPr>
              <w:pStyle w:val="Tabletext0"/>
              <w:keepNext/>
              <w:keepLines/>
              <w:widowControl w:val="0"/>
            </w:pPr>
            <w:r w:rsidRPr="00BB1E80">
              <w:t>89.2% (79.1%, 95.6%)</w:t>
            </w:r>
          </w:p>
        </w:tc>
      </w:tr>
      <w:tr w:rsidR="006917F3" w:rsidRPr="00BB1E80" w14:paraId="325D0E87" w14:textId="77777777" w:rsidTr="006917F3">
        <w:trPr>
          <w:cantSplit/>
          <w:trHeight w:val="250"/>
        </w:trPr>
        <w:tc>
          <w:tcPr>
            <w:tcW w:w="3476" w:type="dxa"/>
            <w:vMerge/>
          </w:tcPr>
          <w:p w14:paraId="6714E849" w14:textId="77777777" w:rsidR="006917F3" w:rsidRPr="00BB1E80" w:rsidRDefault="006917F3" w:rsidP="00AE4565">
            <w:pPr>
              <w:pStyle w:val="Tabletext0"/>
              <w:keepNext/>
              <w:keepLines/>
              <w:widowControl w:val="0"/>
              <w:jc w:val="left"/>
            </w:pPr>
          </w:p>
        </w:tc>
        <w:tc>
          <w:tcPr>
            <w:tcW w:w="1436" w:type="dxa"/>
          </w:tcPr>
          <w:p w14:paraId="7704A4B0" w14:textId="77777777" w:rsidR="006917F3" w:rsidRPr="00BB1E80" w:rsidRDefault="006917F3" w:rsidP="00E2534A">
            <w:pPr>
              <w:pStyle w:val="Tabletext0"/>
              <w:keepNext/>
              <w:keepLines/>
              <w:widowControl w:val="0"/>
            </w:pPr>
            <w:r w:rsidRPr="00BB1E80">
              <w:t>LATERA + ITR</w:t>
            </w:r>
          </w:p>
        </w:tc>
        <w:tc>
          <w:tcPr>
            <w:tcW w:w="718" w:type="dxa"/>
          </w:tcPr>
          <w:p w14:paraId="082EE0AA" w14:textId="77777777" w:rsidR="006917F3" w:rsidRPr="00BB1E80" w:rsidRDefault="006917F3" w:rsidP="00E2534A">
            <w:pPr>
              <w:pStyle w:val="Tabletext0"/>
              <w:keepNext/>
              <w:keepLines/>
              <w:widowControl w:val="0"/>
            </w:pPr>
            <w:r w:rsidRPr="00BB1E80">
              <w:t>35/37</w:t>
            </w:r>
          </w:p>
        </w:tc>
        <w:tc>
          <w:tcPr>
            <w:tcW w:w="2445" w:type="dxa"/>
          </w:tcPr>
          <w:p w14:paraId="096D7C74" w14:textId="77777777" w:rsidR="006917F3" w:rsidRPr="00BB1E80" w:rsidRDefault="006917F3" w:rsidP="00E2534A">
            <w:pPr>
              <w:pStyle w:val="Tabletext0"/>
              <w:keepNext/>
              <w:keepLines/>
              <w:widowControl w:val="0"/>
            </w:pPr>
            <w:r w:rsidRPr="00BB1E80">
              <w:t>94.6% (81.8%, 99.3%)</w:t>
            </w:r>
          </w:p>
        </w:tc>
      </w:tr>
      <w:tr w:rsidR="006917F3" w:rsidRPr="00BB1E80" w14:paraId="494B373A" w14:textId="77777777" w:rsidTr="006917F3">
        <w:trPr>
          <w:cantSplit/>
          <w:trHeight w:val="212"/>
        </w:trPr>
        <w:tc>
          <w:tcPr>
            <w:tcW w:w="3476" w:type="dxa"/>
          </w:tcPr>
          <w:p w14:paraId="3AED8E72" w14:textId="07FBEFD4" w:rsidR="006917F3" w:rsidRPr="00BB1E80" w:rsidRDefault="006917F3" w:rsidP="00AE4565">
            <w:pPr>
              <w:pStyle w:val="Tabletext0"/>
              <w:jc w:val="left"/>
            </w:pPr>
            <w:r w:rsidRPr="00BB1E80">
              <w:t>LATERA-OR (all participants: LATERA ± septoplasty/ITR) - 24 months</w:t>
            </w:r>
          </w:p>
        </w:tc>
        <w:tc>
          <w:tcPr>
            <w:tcW w:w="1436" w:type="dxa"/>
          </w:tcPr>
          <w:p w14:paraId="7D9D0DDC" w14:textId="77777777" w:rsidR="006917F3" w:rsidRPr="00BB1E80" w:rsidRDefault="006917F3" w:rsidP="00E2534A">
            <w:pPr>
              <w:pStyle w:val="Tabletext0"/>
              <w:rPr>
                <w:i/>
                <w:iCs/>
              </w:rPr>
            </w:pPr>
            <w:r w:rsidRPr="00BB1E80">
              <w:rPr>
                <w:i/>
                <w:iCs/>
              </w:rPr>
              <w:t>N/A</w:t>
            </w:r>
          </w:p>
        </w:tc>
        <w:tc>
          <w:tcPr>
            <w:tcW w:w="718" w:type="dxa"/>
          </w:tcPr>
          <w:p w14:paraId="0D29BB65" w14:textId="77777777" w:rsidR="006917F3" w:rsidRPr="00BB1E80" w:rsidRDefault="006917F3" w:rsidP="00E2534A">
            <w:pPr>
              <w:pStyle w:val="Tabletext0"/>
            </w:pPr>
            <w:r w:rsidRPr="00BB1E80">
              <w:t xml:space="preserve">72/75 </w:t>
            </w:r>
          </w:p>
        </w:tc>
        <w:tc>
          <w:tcPr>
            <w:tcW w:w="2445" w:type="dxa"/>
          </w:tcPr>
          <w:p w14:paraId="1506B895" w14:textId="77777777" w:rsidR="006917F3" w:rsidRPr="00BB1E80" w:rsidRDefault="006917F3" w:rsidP="00E2534A">
            <w:pPr>
              <w:pStyle w:val="Tabletext0"/>
            </w:pPr>
            <w:r w:rsidRPr="00BB1E80">
              <w:t>96.0% (NR)</w:t>
            </w:r>
          </w:p>
        </w:tc>
      </w:tr>
      <w:tr w:rsidR="006917F3" w:rsidRPr="00BB1E80" w14:paraId="11F6CF19" w14:textId="77777777" w:rsidTr="006917F3">
        <w:trPr>
          <w:cantSplit/>
          <w:trHeight w:val="212"/>
        </w:trPr>
        <w:tc>
          <w:tcPr>
            <w:tcW w:w="3476" w:type="dxa"/>
          </w:tcPr>
          <w:p w14:paraId="7867023F" w14:textId="24F75C40" w:rsidR="006917F3" w:rsidRPr="00BB1E80" w:rsidRDefault="006917F3" w:rsidP="00AE4565">
            <w:pPr>
              <w:pStyle w:val="Tabletext0"/>
              <w:keepNext/>
              <w:keepLines/>
              <w:widowControl w:val="0"/>
              <w:jc w:val="left"/>
            </w:pPr>
            <w:r w:rsidRPr="00BB1E80">
              <w:t>Trial 4350-001 (LATERA only) - 24 months</w:t>
            </w:r>
          </w:p>
        </w:tc>
        <w:tc>
          <w:tcPr>
            <w:tcW w:w="1436" w:type="dxa"/>
          </w:tcPr>
          <w:p w14:paraId="58697958" w14:textId="77777777" w:rsidR="006917F3" w:rsidRPr="00BB1E80" w:rsidRDefault="006917F3" w:rsidP="00E2534A">
            <w:pPr>
              <w:pStyle w:val="Tabletext0"/>
              <w:keepNext/>
              <w:keepLines/>
              <w:widowControl w:val="0"/>
              <w:rPr>
                <w:i/>
                <w:iCs/>
              </w:rPr>
            </w:pPr>
            <w:r w:rsidRPr="00BB1E80">
              <w:rPr>
                <w:i/>
                <w:iCs/>
              </w:rPr>
              <w:t>N/A</w:t>
            </w:r>
          </w:p>
        </w:tc>
        <w:tc>
          <w:tcPr>
            <w:tcW w:w="718" w:type="dxa"/>
          </w:tcPr>
          <w:p w14:paraId="6161179B" w14:textId="77777777" w:rsidR="006917F3" w:rsidRPr="00BB1E80" w:rsidRDefault="006917F3" w:rsidP="00E2534A">
            <w:pPr>
              <w:pStyle w:val="Tabletext0"/>
              <w:keepNext/>
              <w:keepLines/>
              <w:widowControl w:val="0"/>
            </w:pPr>
            <w:r w:rsidRPr="00BB1E80">
              <w:t>20/25</w:t>
            </w:r>
          </w:p>
        </w:tc>
        <w:tc>
          <w:tcPr>
            <w:tcW w:w="2445" w:type="dxa"/>
          </w:tcPr>
          <w:p w14:paraId="64D39210" w14:textId="77777777" w:rsidR="006917F3" w:rsidRPr="00BB1E80" w:rsidRDefault="006917F3" w:rsidP="00E2534A">
            <w:pPr>
              <w:pStyle w:val="Tabletext0"/>
              <w:keepNext/>
              <w:keepLines/>
              <w:widowControl w:val="0"/>
            </w:pPr>
            <w:r w:rsidRPr="00BB1E80">
              <w:t>80.0% (NR)</w:t>
            </w:r>
          </w:p>
        </w:tc>
      </w:tr>
    </w:tbl>
    <w:p w14:paraId="2B4BDEDE" w14:textId="6EE3C014" w:rsidR="009E497B" w:rsidRPr="00E5235B" w:rsidRDefault="009E497B" w:rsidP="00AE4565">
      <w:pPr>
        <w:pStyle w:val="TableNote"/>
      </w:pPr>
      <w:r>
        <w:t xml:space="preserve">Source: </w:t>
      </w:r>
      <w:r w:rsidR="000D62C6">
        <w:t xml:space="preserve">Compiled from Table 22, </w:t>
      </w:r>
      <w:r w:rsidR="008545B1">
        <w:t>33, 34</w:t>
      </w:r>
      <w:r w:rsidR="00B202DA">
        <w:t xml:space="preserve"> and 35 of MSAC ADAR 1719+inline commentary </w:t>
      </w:r>
    </w:p>
    <w:p w14:paraId="18B1AB2A" w14:textId="5F3784D8" w:rsidR="009E497B" w:rsidRPr="00E5235B" w:rsidRDefault="009E497B" w:rsidP="00AE4565">
      <w:pPr>
        <w:pStyle w:val="TableNote"/>
      </w:pPr>
      <w:r>
        <w:t xml:space="preserve">Abbreviations: </w:t>
      </w:r>
      <w:r w:rsidRPr="00E5235B">
        <w:t>CI</w:t>
      </w:r>
      <w:r>
        <w:t>=</w:t>
      </w:r>
      <w:r w:rsidRPr="00E5235B">
        <w:t xml:space="preserve"> confidence interval; ITR</w:t>
      </w:r>
      <w:r>
        <w:t>=</w:t>
      </w:r>
      <w:r w:rsidRPr="00E5235B">
        <w:t xml:space="preserve"> inferior turbinate reduction; NA</w:t>
      </w:r>
      <w:r>
        <w:t>=</w:t>
      </w:r>
      <w:r w:rsidRPr="00E5235B">
        <w:t xml:space="preserve"> not applicable; NR</w:t>
      </w:r>
      <w:r>
        <w:t>=</w:t>
      </w:r>
      <w:r w:rsidRPr="00E5235B">
        <w:t xml:space="preserve"> not reported.</w:t>
      </w:r>
    </w:p>
    <w:p w14:paraId="2E96255F" w14:textId="0936E9FF" w:rsidR="0062467E" w:rsidRDefault="0003355C" w:rsidP="00AE4565">
      <w:pPr>
        <w:pStyle w:val="Heading3"/>
      </w:pPr>
      <w:r>
        <w:t>C</w:t>
      </w:r>
      <w:r w:rsidR="000D4888" w:rsidRPr="000D4888">
        <w:t>linical</w:t>
      </w:r>
      <w:r w:rsidR="00655D0E">
        <w:t xml:space="preserve"> claim</w:t>
      </w:r>
    </w:p>
    <w:p w14:paraId="12DD10E7" w14:textId="26CAF83A" w:rsidR="004D4799" w:rsidRDefault="003D4736" w:rsidP="00AE4565">
      <w:pPr>
        <w:pStyle w:val="Heading4"/>
      </w:pPr>
      <w:r w:rsidRPr="003D4736">
        <w:t>LATERA versus functional rhinoplasty</w:t>
      </w:r>
    </w:p>
    <w:p w14:paraId="60F3E55A" w14:textId="27CA4495" w:rsidR="00400C34" w:rsidRDefault="00E04BBC" w:rsidP="00FB0E96">
      <w:r>
        <w:t>The</w:t>
      </w:r>
      <w:r w:rsidR="004234CE">
        <w:t xml:space="preserve"> ADAR claimed that LATERA (i.e</w:t>
      </w:r>
      <w:r w:rsidR="00CC08A1">
        <w:t>.,</w:t>
      </w:r>
      <w:r w:rsidR="004234CE">
        <w:t xml:space="preserve"> insertion of </w:t>
      </w:r>
      <w:r w:rsidR="00E306D5">
        <w:t>bioabsorbable implants) had</w:t>
      </w:r>
      <w:r w:rsidR="00536613" w:rsidRPr="00536613">
        <w:t xml:space="preserve"> non-inferior clinical effectiveness and safety compared with rhinoplasty based on the primary outcome of: % </w:t>
      </w:r>
      <w:r>
        <w:t xml:space="preserve">of treated patients </w:t>
      </w:r>
      <w:r w:rsidR="00536613" w:rsidRPr="00536613">
        <w:t>with at least 1 NOSE class improvement; or ≥20% reduction in NOSE score from baseline.</w:t>
      </w:r>
    </w:p>
    <w:p w14:paraId="4551E486" w14:textId="5B6DDD36" w:rsidR="00105942" w:rsidRDefault="001677D6" w:rsidP="00FB0E96">
      <w:r w:rsidRPr="009B03C3">
        <w:t xml:space="preserve">The </w:t>
      </w:r>
      <w:r w:rsidR="004C281C">
        <w:t>c</w:t>
      </w:r>
      <w:r w:rsidR="004375A3">
        <w:t>ommentary noted that</w:t>
      </w:r>
      <w:r w:rsidRPr="009B03C3">
        <w:t xml:space="preserve"> claim of non-inferior </w:t>
      </w:r>
      <w:r w:rsidR="00544BB2" w:rsidRPr="009B03C3">
        <w:t>clinical</w:t>
      </w:r>
      <w:r w:rsidRPr="009B03C3">
        <w:t xml:space="preserve"> </w:t>
      </w:r>
      <w:r w:rsidR="00544BB2" w:rsidRPr="009B03C3">
        <w:t>efficacy</w:t>
      </w:r>
      <w:r w:rsidRPr="009B03C3">
        <w:t xml:space="preserve"> of </w:t>
      </w:r>
      <w:r w:rsidR="00544BB2" w:rsidRPr="009B03C3">
        <w:t xml:space="preserve">LATERA was supported </w:t>
      </w:r>
      <w:r w:rsidR="00F452F6" w:rsidRPr="009B03C3">
        <w:t xml:space="preserve">by the available evidence albeit in the </w:t>
      </w:r>
      <w:r w:rsidR="0024723D" w:rsidRPr="009B03C3">
        <w:t xml:space="preserve">severe and extreme </w:t>
      </w:r>
      <w:r w:rsidR="00400086" w:rsidRPr="009B03C3">
        <w:t xml:space="preserve">LATERA </w:t>
      </w:r>
      <w:r w:rsidR="0024723D" w:rsidRPr="009B03C3">
        <w:t xml:space="preserve">population not </w:t>
      </w:r>
      <w:r w:rsidR="00707E01">
        <w:t xml:space="preserve">in </w:t>
      </w:r>
      <w:r w:rsidR="0024723D" w:rsidRPr="009B03C3">
        <w:t>the moderate population</w:t>
      </w:r>
      <w:r w:rsidR="0093569D" w:rsidRPr="009B03C3">
        <w:t xml:space="preserve"> based on NOSE score</w:t>
      </w:r>
      <w:r w:rsidR="0024723D" w:rsidRPr="009B03C3">
        <w:t>.</w:t>
      </w:r>
      <w:r w:rsidR="0024723D" w:rsidRPr="00B54D3C">
        <w:t xml:space="preserve"> </w:t>
      </w:r>
      <w:r w:rsidR="00AD3F4E" w:rsidRPr="00B54D3C">
        <w:t xml:space="preserve">At </w:t>
      </w:r>
      <w:r w:rsidR="00EA7E77">
        <w:t>12</w:t>
      </w:r>
      <w:r w:rsidR="00AD3F4E" w:rsidRPr="00B54D3C">
        <w:t xml:space="preserve"> months, reductions in the NOSE score were </w:t>
      </w:r>
      <w:r w:rsidR="00DF08D9">
        <w:t xml:space="preserve">greater with </w:t>
      </w:r>
      <w:r w:rsidR="00AD3F4E" w:rsidRPr="00B54D3C">
        <w:t>LATERA</w:t>
      </w:r>
      <w:r w:rsidR="00DF08D9">
        <w:t xml:space="preserve"> than </w:t>
      </w:r>
      <w:r w:rsidR="00AD3F4E" w:rsidRPr="00B54D3C">
        <w:t xml:space="preserve">functional rhinoplasty </w:t>
      </w:r>
      <w:r w:rsidR="00AD3F4E" w:rsidRPr="00BB1E80">
        <w:t>(–</w:t>
      </w:r>
      <w:r w:rsidR="00EB7D28" w:rsidRPr="00BB1E80">
        <w:t>43.68</w:t>
      </w:r>
      <w:r w:rsidR="00546520" w:rsidRPr="00BB1E80">
        <w:t xml:space="preserve"> </w:t>
      </w:r>
      <w:r w:rsidR="00546520" w:rsidRPr="00F716EA">
        <w:t xml:space="preserve">vs </w:t>
      </w:r>
      <w:r w:rsidR="00900D4E" w:rsidRPr="00F716EA">
        <w:t>-</w:t>
      </w:r>
      <w:r w:rsidR="00546520" w:rsidRPr="00F716EA">
        <w:t>38.58</w:t>
      </w:r>
      <w:r w:rsidR="005E5E5B" w:rsidRPr="00F716EA">
        <w:t>)</w:t>
      </w:r>
      <w:r w:rsidR="00B35150" w:rsidRPr="00F716EA">
        <w:t xml:space="preserve"> </w:t>
      </w:r>
      <w:r w:rsidR="00AD3F4E" w:rsidRPr="00F716EA">
        <w:t>respectively</w:t>
      </w:r>
      <w:r w:rsidR="005E5E5B">
        <w:t xml:space="preserve">, </w:t>
      </w:r>
      <w:r w:rsidR="00DF08D9">
        <w:t xml:space="preserve">however </w:t>
      </w:r>
      <w:r w:rsidR="00EB7D28">
        <w:t>confidence</w:t>
      </w:r>
      <w:r w:rsidR="00DF08D9">
        <w:t xml:space="preserve"> </w:t>
      </w:r>
      <w:r w:rsidR="00EB7D28">
        <w:t>intervals</w:t>
      </w:r>
      <w:r w:rsidR="00DF08D9">
        <w:t xml:space="preserve"> crossed over demonstrating non-inferiority</w:t>
      </w:r>
      <w:r w:rsidR="005E5E5B">
        <w:t>.</w:t>
      </w:r>
      <w:r w:rsidR="00EB7D28">
        <w:t xml:space="preserve"> </w:t>
      </w:r>
      <w:r w:rsidR="005E5E5B">
        <w:t>T</w:t>
      </w:r>
      <w:r w:rsidR="003964B0" w:rsidRPr="009B03C3">
        <w:t>hese results should be interpreted with caution.</w:t>
      </w:r>
      <w:r w:rsidR="0016112D">
        <w:t xml:space="preserve"> At 2</w:t>
      </w:r>
      <w:r w:rsidR="00EA7E77">
        <w:t>4</w:t>
      </w:r>
      <w:r w:rsidR="0016112D">
        <w:t xml:space="preserve"> months</w:t>
      </w:r>
      <w:r w:rsidR="00EA7E77">
        <w:t xml:space="preserve">, </w:t>
      </w:r>
      <w:r w:rsidR="00EA7E77" w:rsidRPr="00EA7E77">
        <w:t xml:space="preserve">reductions in the NOSE score were greater with LATERA than functional rhinoplasty </w:t>
      </w:r>
      <w:r w:rsidR="00EA7E77" w:rsidRPr="00BB1E80">
        <w:t>(</w:t>
      </w:r>
      <w:r w:rsidR="00A22ACD" w:rsidRPr="00BB1E80">
        <w:t>-45.59</w:t>
      </w:r>
      <w:r w:rsidR="00A22ACD" w:rsidRPr="00F716EA">
        <w:t xml:space="preserve"> vs </w:t>
      </w:r>
      <w:r w:rsidR="00C96FC8" w:rsidRPr="00F716EA">
        <w:t>-36.74)</w:t>
      </w:r>
      <w:r w:rsidR="005F2BA2" w:rsidRPr="00F716EA">
        <w:t>.</w:t>
      </w:r>
      <w:r w:rsidR="005F2BA2">
        <w:t xml:space="preserve"> </w:t>
      </w:r>
    </w:p>
    <w:p w14:paraId="4044F5DB" w14:textId="095E4D0E" w:rsidR="003D4736" w:rsidRPr="00890D75" w:rsidRDefault="00204116" w:rsidP="00AE4565">
      <w:pPr>
        <w:pStyle w:val="Heading4"/>
      </w:pPr>
      <w:r w:rsidRPr="00890D75">
        <w:t>LATERA versus conservative management</w:t>
      </w:r>
    </w:p>
    <w:p w14:paraId="6C87A2B1" w14:textId="35DEDC09" w:rsidR="006C4DCD" w:rsidRPr="00B54D3C" w:rsidRDefault="00BB60E4" w:rsidP="00FB0E96">
      <w:r>
        <w:t>T</w:t>
      </w:r>
      <w:r w:rsidR="007E4388" w:rsidRPr="005719DB">
        <w:t xml:space="preserve">he </w:t>
      </w:r>
      <w:r w:rsidR="000D65DC">
        <w:t>ADAR</w:t>
      </w:r>
      <w:r w:rsidR="007E4388" w:rsidRPr="005719DB">
        <w:t xml:space="preserve"> claim</w:t>
      </w:r>
      <w:r w:rsidR="000D65DC">
        <w:t>ed that LATERA (</w:t>
      </w:r>
      <w:r w:rsidR="00CC08A1">
        <w:t>i.e.,</w:t>
      </w:r>
      <w:r w:rsidR="000D65DC">
        <w:t xml:space="preserve"> insertion of bioabsorbable implants) had</w:t>
      </w:r>
      <w:r w:rsidR="007E4388" w:rsidRPr="005719DB">
        <w:t xml:space="preserve"> superior clinical effectiveness and inferior safety compared with conservative management based on the primary outcome of</w:t>
      </w:r>
      <w:r w:rsidR="007E4388" w:rsidRPr="00BF1CDC">
        <w:t xml:space="preserve">: </w:t>
      </w:r>
      <w:r w:rsidR="007E4388" w:rsidRPr="00E15708">
        <w:t xml:space="preserve">% with at least 1 NOSE class improvement; or ≥20% reduction in NOSE score from baseline, at three months. </w:t>
      </w:r>
    </w:p>
    <w:p w14:paraId="53C5E3A6" w14:textId="41AC20D5" w:rsidR="00FD71CD" w:rsidRPr="00B54D3C" w:rsidRDefault="007B1B8D" w:rsidP="00FB0E96">
      <w:r w:rsidRPr="00B54D3C">
        <w:t xml:space="preserve">The </w:t>
      </w:r>
      <w:r w:rsidR="004C281C">
        <w:t>c</w:t>
      </w:r>
      <w:r w:rsidR="00D06F22">
        <w:t>ommentary noted that the</w:t>
      </w:r>
      <w:r w:rsidRPr="00B54D3C">
        <w:t xml:space="preserve"> </w:t>
      </w:r>
      <w:r w:rsidRPr="00B35150">
        <w:t>claim of</w:t>
      </w:r>
      <w:r w:rsidR="004E33AC" w:rsidRPr="00B35150">
        <w:t xml:space="preserve"> superior</w:t>
      </w:r>
      <w:r w:rsidRPr="00B35150">
        <w:t xml:space="preserve"> clinical efficacy </w:t>
      </w:r>
      <w:r w:rsidR="004E33AC" w:rsidRPr="00B35150">
        <w:t xml:space="preserve">of LATERA was reasonably supported </w:t>
      </w:r>
      <w:r w:rsidR="00FC4E65" w:rsidRPr="00B35150">
        <w:t xml:space="preserve">by the available evidence. </w:t>
      </w:r>
      <w:r w:rsidR="001C7FEC" w:rsidRPr="00B35150">
        <w:t xml:space="preserve">Although </w:t>
      </w:r>
      <w:r w:rsidR="0064351E" w:rsidRPr="00B35150">
        <w:t xml:space="preserve">clinical evidence </w:t>
      </w:r>
      <w:r w:rsidR="008B58A2">
        <w:t xml:space="preserve">aligned to </w:t>
      </w:r>
      <w:r w:rsidR="0064351E" w:rsidRPr="00B35150">
        <w:t>the proposed MBS item description</w:t>
      </w:r>
      <w:r w:rsidR="008B58A2">
        <w:t xml:space="preserve"> (</w:t>
      </w:r>
      <w:r w:rsidR="00CC08A1">
        <w:t>i.e.,</w:t>
      </w:r>
      <w:r w:rsidR="008B58A2">
        <w:t xml:space="preserve"> </w:t>
      </w:r>
      <w:r w:rsidR="0064351E" w:rsidRPr="00B35150">
        <w:t>a</w:t>
      </w:r>
      <w:r w:rsidR="001C7FEC" w:rsidRPr="00B35150">
        <w:t xml:space="preserve"> </w:t>
      </w:r>
      <w:r w:rsidR="00E248A1" w:rsidRPr="00B35150">
        <w:t xml:space="preserve">moderate population NOSE score </w:t>
      </w:r>
      <w:r w:rsidR="008B58A2">
        <w:t>&gt;</w:t>
      </w:r>
      <w:r w:rsidR="00E248A1" w:rsidRPr="00B35150">
        <w:t xml:space="preserve">45) </w:t>
      </w:r>
      <w:r w:rsidR="00AA0000" w:rsidRPr="00B35150">
        <w:t xml:space="preserve">at baseline was not </w:t>
      </w:r>
      <w:r w:rsidR="00B35150" w:rsidRPr="00B35150">
        <w:t xml:space="preserve">presented. </w:t>
      </w:r>
      <w:r w:rsidR="00A43177" w:rsidRPr="00B35150">
        <w:t>However</w:t>
      </w:r>
      <w:r w:rsidR="00A43177" w:rsidRPr="009B03C3">
        <w:t xml:space="preserve">, it should be noted that analysis in the </w:t>
      </w:r>
      <w:r w:rsidR="00043A95" w:rsidRPr="009B03C3">
        <w:t xml:space="preserve">severe to extreme </w:t>
      </w:r>
      <w:r w:rsidR="00BE5564" w:rsidRPr="009B03C3">
        <w:t xml:space="preserve">population </w:t>
      </w:r>
      <w:r w:rsidR="004C4A2B" w:rsidRPr="009B03C3">
        <w:t xml:space="preserve">showed </w:t>
      </w:r>
      <w:r w:rsidR="00F954BE" w:rsidRPr="009B03C3">
        <w:t xml:space="preserve">a higher proportion of patients treated with </w:t>
      </w:r>
      <w:r w:rsidR="00042ECA" w:rsidRPr="009B03C3">
        <w:t xml:space="preserve">LATERA achieve a reduction in NOSE score </w:t>
      </w:r>
      <w:r w:rsidR="00AB56A7" w:rsidRPr="009B03C3">
        <w:t xml:space="preserve">at 3 months compared to patients </w:t>
      </w:r>
      <w:r w:rsidR="009F7A6B" w:rsidRPr="009B03C3">
        <w:t>in the sham arm</w:t>
      </w:r>
      <w:r w:rsidR="009F7A6B" w:rsidRPr="00B54D3C">
        <w:t xml:space="preserve"> (</w:t>
      </w:r>
      <w:r w:rsidR="00900D4E">
        <w:noBreakHyphen/>
      </w:r>
      <w:r w:rsidR="00D34D1C" w:rsidRPr="00B54D3C">
        <w:t>19.70 [-28.65, -10.75]; p&lt;0.0001</w:t>
      </w:r>
      <w:r w:rsidR="009F7A6B" w:rsidRPr="00B54D3C">
        <w:t>)</w:t>
      </w:r>
      <w:r w:rsidR="00167722">
        <w:t xml:space="preserve"> </w:t>
      </w:r>
      <w:r w:rsidR="00F413AA">
        <w:t xml:space="preserve">in the PP population. </w:t>
      </w:r>
      <w:r w:rsidR="009F7A6B" w:rsidRPr="00B54D3C">
        <w:t xml:space="preserve"> </w:t>
      </w:r>
    </w:p>
    <w:p w14:paraId="5B9705C8" w14:textId="3C325BF4" w:rsidR="008C6AEF" w:rsidRDefault="00FD71CD" w:rsidP="008C6AEF">
      <w:r w:rsidRPr="009B03C3">
        <w:t>The claim of a comparable safety profile with conservative management is supported by the available evidence. Moreover, the sham treatment (given via canula insertion) in the clinical trials is not a true reflection of conservative management (no insertion) in clinical practice.</w:t>
      </w:r>
      <w:r w:rsidR="008C6AEF">
        <w:br w:type="page"/>
      </w:r>
    </w:p>
    <w:p w14:paraId="4AB452DA" w14:textId="20C90A26" w:rsidR="002C1694" w:rsidRDefault="002C1694" w:rsidP="00FB0E96">
      <w:r>
        <w:lastRenderedPageBreak/>
        <w:t xml:space="preserve">The </w:t>
      </w:r>
      <w:r w:rsidR="004C281C">
        <w:t>c</w:t>
      </w:r>
      <w:r>
        <w:t>ommentary highlighted the following limitations</w:t>
      </w:r>
      <w:r w:rsidR="000B7DD1">
        <w:t xml:space="preserve"> with the clinical claims</w:t>
      </w:r>
      <w:r>
        <w:t>:</w:t>
      </w:r>
    </w:p>
    <w:p w14:paraId="000AF28F" w14:textId="5D4377AD" w:rsidR="002C1694" w:rsidRDefault="00F254C2" w:rsidP="002C1694">
      <w:pPr>
        <w:pStyle w:val="ListParagraph"/>
        <w:numPr>
          <w:ilvl w:val="0"/>
          <w:numId w:val="28"/>
        </w:numPr>
      </w:pPr>
      <w:r>
        <w:t xml:space="preserve">The applicability of the clinical evidence for LATERA to the proposed </w:t>
      </w:r>
      <w:r w:rsidR="00643E49">
        <w:t xml:space="preserve">MBS population is uncertain. That is, the patient population </w:t>
      </w:r>
      <w:r w:rsidR="009C3C3E">
        <w:t xml:space="preserve">included in the LATERA evidence base had a NOSE score of ≥55 </w:t>
      </w:r>
      <w:r w:rsidR="00A97AB4">
        <w:t>(</w:t>
      </w:r>
      <w:r w:rsidR="00CC08A1">
        <w:t>i.e.,</w:t>
      </w:r>
      <w:r w:rsidR="00A97AB4">
        <w:t xml:space="preserve"> severe to extreme</w:t>
      </w:r>
      <w:r w:rsidR="00EE7241">
        <w:t xml:space="preserve"> NOSE score</w:t>
      </w:r>
      <w:r w:rsidR="00A97AB4">
        <w:t>) which is narrower than the proposed MBS population which includes patient</w:t>
      </w:r>
      <w:r w:rsidR="00EE7241">
        <w:t>s with a moderate NOSE score (</w:t>
      </w:r>
      <w:r w:rsidR="00CC08A1">
        <w:t>i.e.,</w:t>
      </w:r>
      <w:r w:rsidR="00EE7241">
        <w:t xml:space="preserve"> NOSE score of &gt;45). </w:t>
      </w:r>
    </w:p>
    <w:p w14:paraId="21714AA3" w14:textId="77777777" w:rsidR="00C3307F" w:rsidRPr="008335C7" w:rsidRDefault="00C3307F" w:rsidP="00C3307F">
      <w:pPr>
        <w:pStyle w:val="ListParagraph"/>
        <w:numPr>
          <w:ilvl w:val="0"/>
          <w:numId w:val="28"/>
        </w:numPr>
        <w:rPr>
          <w:rFonts w:cstheme="minorHAnsi"/>
        </w:rPr>
      </w:pPr>
      <w:r w:rsidRPr="00EC04C1">
        <w:t xml:space="preserve">A </w:t>
      </w:r>
      <w:r w:rsidRPr="008335C7">
        <w:rPr>
          <w:rFonts w:cstheme="minorHAnsi"/>
        </w:rPr>
        <w:t>positive Cottle manoeuvre is a non-discriminatory test (input from a healthcare professional in the PASC ratified PICO confirmation). In most people it is positive, and if it’s negative, the obstruction is likely static and will not be affected by the device</w:t>
      </w:r>
      <w:r w:rsidRPr="00EC04C1">
        <w:rPr>
          <w:rFonts w:cstheme="minorHAnsi"/>
        </w:rPr>
        <w:t xml:space="preserve">, hence affecting the reliability of the test. </w:t>
      </w:r>
    </w:p>
    <w:p w14:paraId="3CBDAA7A" w14:textId="049676B7" w:rsidR="00EE7241" w:rsidRDefault="004D421B" w:rsidP="002C1694">
      <w:pPr>
        <w:pStyle w:val="ListParagraph"/>
        <w:numPr>
          <w:ilvl w:val="0"/>
          <w:numId w:val="28"/>
        </w:numPr>
      </w:pPr>
      <w:r>
        <w:t xml:space="preserve">The transitivity/exchangeability </w:t>
      </w:r>
      <w:r w:rsidR="006703AD" w:rsidRPr="006703AD">
        <w:t>issues with the naïve indirect comparison of LATERA versus functional rhinoplasty</w:t>
      </w:r>
      <w:r w:rsidR="00803101">
        <w:t>.</w:t>
      </w:r>
      <w:r w:rsidR="00906F88">
        <w:t xml:space="preserve"> Of note, t</w:t>
      </w:r>
      <w:r w:rsidR="00906F88" w:rsidRPr="5CE6E449">
        <w:t xml:space="preserve">he </w:t>
      </w:r>
      <w:r w:rsidR="00906F88">
        <w:t>mean</w:t>
      </w:r>
      <w:r w:rsidR="00906F88" w:rsidRPr="5CE6E449">
        <w:t xml:space="preserve"> </w:t>
      </w:r>
      <w:r w:rsidR="00906F88">
        <w:t xml:space="preserve">NOSE score </w:t>
      </w:r>
      <w:r w:rsidR="00906F88" w:rsidRPr="5CE6E449">
        <w:t xml:space="preserve">at baseline </w:t>
      </w:r>
      <w:r w:rsidR="00906F88">
        <w:t xml:space="preserve">in the LATERA studies was </w:t>
      </w:r>
      <w:r w:rsidR="00906F88" w:rsidRPr="00BB1E80">
        <w:t>77</w:t>
      </w:r>
      <w:r w:rsidR="003E63BD" w:rsidRPr="00BB1E80">
        <w:t>-78</w:t>
      </w:r>
      <w:r w:rsidR="00906F88">
        <w:t xml:space="preserve"> (range 55 to 100)</w:t>
      </w:r>
      <w:r w:rsidR="00906F88" w:rsidRPr="5CE6E449">
        <w:t xml:space="preserve"> compared to the functional rhinoplasty studies mean </w:t>
      </w:r>
      <w:r w:rsidR="00906F88">
        <w:t xml:space="preserve">NOSE score </w:t>
      </w:r>
      <w:r w:rsidR="00906F88" w:rsidRPr="5CE6E449">
        <w:t>55-86</w:t>
      </w:r>
      <w:r w:rsidR="00906F88">
        <w:t xml:space="preserve"> (range 38 to 94).</w:t>
      </w:r>
    </w:p>
    <w:p w14:paraId="149CA4D5" w14:textId="3EB0484D" w:rsidR="00803101" w:rsidRDefault="00530E1D" w:rsidP="002C1694">
      <w:pPr>
        <w:pStyle w:val="ListParagraph"/>
        <w:numPr>
          <w:ilvl w:val="0"/>
          <w:numId w:val="28"/>
        </w:numPr>
      </w:pPr>
      <w:r>
        <w:t xml:space="preserve">The claim of non-inferiority of LATERA versus functional rhinoplasty is based on a naïve indirect comparison </w:t>
      </w:r>
      <w:r w:rsidR="00C4516F">
        <w:t>of low certainty which should be interpreted with caution.</w:t>
      </w:r>
    </w:p>
    <w:p w14:paraId="060CC562" w14:textId="1FBE0A24" w:rsidR="004D5050" w:rsidRDefault="004D5050" w:rsidP="002C1694">
      <w:pPr>
        <w:pStyle w:val="ListParagraph"/>
        <w:numPr>
          <w:ilvl w:val="0"/>
          <w:numId w:val="28"/>
        </w:numPr>
      </w:pPr>
      <w:r>
        <w:t xml:space="preserve">The </w:t>
      </w:r>
      <w:r w:rsidR="0026496E">
        <w:t>long-term safety and effectiveness of LATERA</w:t>
      </w:r>
      <w:r>
        <w:t xml:space="preserve"> (</w:t>
      </w:r>
      <w:r w:rsidR="00CC08A1">
        <w:t>i.e.,</w:t>
      </w:r>
      <w:r>
        <w:t xml:space="preserve"> after 24 months</w:t>
      </w:r>
      <w:r w:rsidR="0026496E">
        <w:t>)</w:t>
      </w:r>
      <w:r>
        <w:t xml:space="preserve"> is unknown.</w:t>
      </w:r>
    </w:p>
    <w:p w14:paraId="142D2714" w14:textId="09D8630D" w:rsidR="0059561A" w:rsidRPr="00BD7553" w:rsidRDefault="0059561A" w:rsidP="0059561A">
      <w:pPr>
        <w:pStyle w:val="ListParagraph"/>
        <w:numPr>
          <w:ilvl w:val="0"/>
          <w:numId w:val="19"/>
        </w:numPr>
      </w:pPr>
      <w:r w:rsidRPr="00BD7553">
        <w:t xml:space="preserve">There is insufficient data </w:t>
      </w:r>
      <w:r w:rsidR="00CC08A1">
        <w:t>on</w:t>
      </w:r>
      <w:r w:rsidRPr="00BD7553">
        <w:t xml:space="preserve"> whether the procedure could be delivered once per lifetime or over multiple occasions.</w:t>
      </w:r>
    </w:p>
    <w:p w14:paraId="019DDB58" w14:textId="75D12C8C" w:rsidR="004D0114" w:rsidRDefault="00FA1F2E" w:rsidP="004D0114">
      <w:pPr>
        <w:pStyle w:val="Heading2"/>
        <w:numPr>
          <w:ilvl w:val="0"/>
          <w:numId w:val="0"/>
        </w:numPr>
      </w:pPr>
      <w:r>
        <w:t>1</w:t>
      </w:r>
      <w:r w:rsidR="002C5802">
        <w:t>3</w:t>
      </w:r>
      <w:r>
        <w:t xml:space="preserve">. </w:t>
      </w:r>
      <w:r w:rsidR="004D0114" w:rsidRPr="00CE28E3">
        <w:t>Economic evaluation</w:t>
      </w:r>
    </w:p>
    <w:p w14:paraId="1FF48255" w14:textId="3D8B43EC" w:rsidR="004D0114" w:rsidRDefault="004D0114" w:rsidP="00FB0E96">
      <w:r w:rsidRPr="00B54D3C">
        <w:t xml:space="preserve">The ADAR </w:t>
      </w:r>
      <w:r w:rsidR="009A3F93">
        <w:t>claimed that LATERA ha</w:t>
      </w:r>
      <w:r w:rsidR="0082733E">
        <w:t>d</w:t>
      </w:r>
      <w:r w:rsidR="009A3F93">
        <w:t xml:space="preserve"> non-inferior safety and effectiveness compared to functional rhinoplasty (primary comparator) and therefore,</w:t>
      </w:r>
      <w:r w:rsidRPr="00B54D3C">
        <w:t xml:space="preserve"> presented a cost-minimisation analysis (CMA) </w:t>
      </w:r>
      <w:r w:rsidR="004B301F">
        <w:t xml:space="preserve">for LATERA versus </w:t>
      </w:r>
      <w:r w:rsidR="00011686">
        <w:t>rhinoplasty</w:t>
      </w:r>
      <w:r w:rsidR="009A3F93">
        <w:t>. In addition, based on the clinical claim that LATERA ha</w:t>
      </w:r>
      <w:r w:rsidR="0082733E">
        <w:t>d</w:t>
      </w:r>
      <w:r w:rsidR="009A3F93">
        <w:t xml:space="preserve"> inferior safety and superior effectiveness compared the </w:t>
      </w:r>
      <w:r w:rsidR="00AA4D19">
        <w:t xml:space="preserve">conservative management (secondary comparator), the ADAR also presented </w:t>
      </w:r>
      <w:r w:rsidR="00895D3D">
        <w:t xml:space="preserve">a </w:t>
      </w:r>
      <w:r w:rsidRPr="00B54D3C">
        <w:t>cost-</w:t>
      </w:r>
      <w:r w:rsidR="00895D3D">
        <w:t>utility</w:t>
      </w:r>
      <w:r w:rsidR="00895D3D" w:rsidRPr="00B54D3C">
        <w:t xml:space="preserve"> </w:t>
      </w:r>
      <w:r w:rsidRPr="00B54D3C">
        <w:t>analysis (</w:t>
      </w:r>
      <w:r w:rsidR="00895D3D" w:rsidRPr="00B54D3C">
        <w:t>C</w:t>
      </w:r>
      <w:r w:rsidR="00895D3D">
        <w:t>U</w:t>
      </w:r>
      <w:r w:rsidR="00895D3D" w:rsidRPr="00B54D3C">
        <w:t>A</w:t>
      </w:r>
      <w:r w:rsidRPr="00B54D3C">
        <w:t>)</w:t>
      </w:r>
      <w:r w:rsidR="00375BC7">
        <w:t xml:space="preserve"> comparing LATERA </w:t>
      </w:r>
      <w:r w:rsidR="0003782E">
        <w:t>and</w:t>
      </w:r>
      <w:r w:rsidR="00331206">
        <w:t xml:space="preserve"> </w:t>
      </w:r>
      <w:r w:rsidR="002A615F">
        <w:t>extended conservative management (ECM)</w:t>
      </w:r>
      <w:r w:rsidRPr="00B54D3C">
        <w:t xml:space="preserve">. </w:t>
      </w:r>
    </w:p>
    <w:p w14:paraId="0238B5AD" w14:textId="7977240C" w:rsidR="004D0114" w:rsidRPr="00B54D3C" w:rsidRDefault="004D0114" w:rsidP="00AE4565">
      <w:pPr>
        <w:pStyle w:val="Heading3"/>
      </w:pPr>
      <w:r w:rsidRPr="00B54D3C">
        <w:t>CMA</w:t>
      </w:r>
      <w:r w:rsidR="002F5FE4">
        <w:t xml:space="preserve"> – LATERA versus functional rhinoplasty</w:t>
      </w:r>
    </w:p>
    <w:p w14:paraId="62160885" w14:textId="7567C434" w:rsidR="00670B5B" w:rsidRDefault="004D0114" w:rsidP="00FB0E96">
      <w:pPr>
        <w:tabs>
          <w:tab w:val="left" w:pos="6521"/>
        </w:tabs>
      </w:pPr>
      <w:r w:rsidRPr="004D4533">
        <w:t xml:space="preserve">The CMA compared total cost of LATERA </w:t>
      </w:r>
      <w:r>
        <w:t xml:space="preserve">(performed </w:t>
      </w:r>
      <w:r w:rsidR="00FB0808">
        <w:t xml:space="preserve">in </w:t>
      </w:r>
      <w:r w:rsidR="00D3765B">
        <w:t>a same-day hospital</w:t>
      </w:r>
      <w:r w:rsidR="0000133B" w:rsidDel="00020647">
        <w:t xml:space="preserve"> </w:t>
      </w:r>
      <w:r w:rsidR="00D3765B">
        <w:t>setting</w:t>
      </w:r>
      <w:r w:rsidDel="00020647">
        <w:t>)</w:t>
      </w:r>
      <w:r w:rsidR="00C53762" w:rsidDel="00020647">
        <w:t xml:space="preserve"> </w:t>
      </w:r>
      <w:r w:rsidR="00FB0808">
        <w:t xml:space="preserve">versus </w:t>
      </w:r>
      <w:r w:rsidRPr="004D4533">
        <w:t>total cost of a functional rhinoplasty</w:t>
      </w:r>
      <w:r w:rsidR="00CA7B4E">
        <w:t xml:space="preserve"> (the cost comprises of partial rhinoplasty and</w:t>
      </w:r>
      <w:r w:rsidR="00CA7B4E" w:rsidDel="00693AC0">
        <w:t xml:space="preserve"> full-</w:t>
      </w:r>
      <w:r w:rsidR="5916941F">
        <w:t>rhinoplasty</w:t>
      </w:r>
      <w:r w:rsidR="00FF6490">
        <w:t xml:space="preserve"> procedures</w:t>
      </w:r>
      <w:r w:rsidR="00CA7B4E">
        <w:t>)</w:t>
      </w:r>
      <w:r>
        <w:t xml:space="preserve">. </w:t>
      </w:r>
      <w:r w:rsidR="00DE551F">
        <w:t xml:space="preserve">Based on the results of the CMA, the ADAR claimed that </w:t>
      </w:r>
      <w:r w:rsidR="005A0EFC">
        <w:t>LATERA provide</w:t>
      </w:r>
      <w:r w:rsidR="00B22C21">
        <w:t>d</w:t>
      </w:r>
      <w:r w:rsidR="005A0EFC">
        <w:t xml:space="preserve"> a cost-saving of ~$</w:t>
      </w:r>
      <w:r w:rsidR="007639ED" w:rsidRPr="007639ED">
        <w:rPr>
          <w:b/>
          <w:bCs/>
        </w:rPr>
        <w:t>redacted</w:t>
      </w:r>
      <w:r w:rsidR="005A0EFC">
        <w:t xml:space="preserve"> compared to functional rhinoplasty (</w:t>
      </w:r>
      <w:r w:rsidR="005A0EFC">
        <w:fldChar w:fldCharType="begin"/>
      </w:r>
      <w:r w:rsidR="005A0EFC">
        <w:instrText xml:space="preserve"> REF _Ref113368853 \h </w:instrText>
      </w:r>
      <w:r w:rsidR="005A0EFC">
        <w:fldChar w:fldCharType="separate"/>
      </w:r>
      <w:r w:rsidR="003511D3" w:rsidRPr="00F63105">
        <w:t xml:space="preserve">Table </w:t>
      </w:r>
      <w:r w:rsidR="003511D3">
        <w:rPr>
          <w:noProof/>
        </w:rPr>
        <w:t>18</w:t>
      </w:r>
      <w:r w:rsidR="005A0EFC">
        <w:fldChar w:fldCharType="end"/>
      </w:r>
      <w:r w:rsidR="005A0EFC">
        <w:t xml:space="preserve">). </w:t>
      </w:r>
      <w:r w:rsidR="00C66F36">
        <w:t>The main cost components for the CMA are shown i</w:t>
      </w:r>
      <w:r w:rsidR="00C806FC">
        <w:t xml:space="preserve">n </w:t>
      </w:r>
      <w:r w:rsidR="00E5546A">
        <w:fldChar w:fldCharType="begin"/>
      </w:r>
      <w:r w:rsidR="00E5546A">
        <w:instrText xml:space="preserve"> REF _Ref127963163 \h </w:instrText>
      </w:r>
      <w:r w:rsidR="00E5546A">
        <w:fldChar w:fldCharType="separate"/>
      </w:r>
      <w:r w:rsidR="003511D3" w:rsidRPr="00F63105">
        <w:t xml:space="preserve">Table </w:t>
      </w:r>
      <w:r w:rsidR="003511D3">
        <w:rPr>
          <w:noProof/>
        </w:rPr>
        <w:t>19</w:t>
      </w:r>
      <w:r w:rsidR="00E5546A">
        <w:fldChar w:fldCharType="end"/>
      </w:r>
      <w:r w:rsidR="00C806FC">
        <w:t>.</w:t>
      </w:r>
      <w:r>
        <w:t xml:space="preserve"> </w:t>
      </w:r>
      <w:r w:rsidRPr="004D4533">
        <w:t>As LATERA provides a less-invasive procedure</w:t>
      </w:r>
      <w:r w:rsidR="00950FC7">
        <w:t xml:space="preserve">, </w:t>
      </w:r>
      <w:r w:rsidR="0034766A">
        <w:t>the</w:t>
      </w:r>
      <w:r w:rsidR="009E405A">
        <w:t xml:space="preserve"> procedure allow</w:t>
      </w:r>
      <w:r w:rsidR="002057D7">
        <w:t>s</w:t>
      </w:r>
      <w:r w:rsidR="009E405A">
        <w:t xml:space="preserve"> for local anaesthe</w:t>
      </w:r>
      <w:r w:rsidR="00CE4805">
        <w:t xml:space="preserve">sia and technically </w:t>
      </w:r>
      <w:r w:rsidR="00F64E74">
        <w:t>can be performed in-office rather in hospital setting</w:t>
      </w:r>
      <w:r w:rsidR="00950FC7">
        <w:t>.</w:t>
      </w:r>
      <w:r w:rsidR="00C806FC" w:rsidRPr="00C806FC">
        <w:t xml:space="preserve"> </w:t>
      </w:r>
      <w:r w:rsidR="00C806FC" w:rsidRPr="00BD495D">
        <w:t>Other costs that may be incurred</w:t>
      </w:r>
      <w:r w:rsidR="00C806FC">
        <w:t xml:space="preserve"> </w:t>
      </w:r>
      <w:r w:rsidR="00C806FC" w:rsidRPr="00BD495D" w:rsidDel="0027157E">
        <w:t xml:space="preserve">include </w:t>
      </w:r>
      <w:r w:rsidR="00C806FC" w:rsidRPr="00BD495D">
        <w:t xml:space="preserve">prior consultations to confirm eligibility. This would also be true for rhinoplasty. As both would incur a consultation fee for assessing eligibility, it </w:t>
      </w:r>
      <w:r w:rsidR="00950FC7">
        <w:t>was</w:t>
      </w:r>
      <w:r w:rsidR="00C806FC" w:rsidRPr="00BD495D">
        <w:t xml:space="preserve"> assumed that these costs would have been incurred regardless of the intervention as a result of standard healthcare services – whereby the patient is exploring options to resolve a presenting complaint.</w:t>
      </w:r>
      <w:r w:rsidR="00C806FC">
        <w:t xml:space="preserve"> </w:t>
      </w:r>
      <w:r w:rsidR="00C806FC" w:rsidRPr="00BD495D">
        <w:t xml:space="preserve">On that basis, </w:t>
      </w:r>
      <w:r w:rsidR="00950FC7">
        <w:t>the costs for prior consultations</w:t>
      </w:r>
      <w:r w:rsidR="00C806FC" w:rsidRPr="00BD495D">
        <w:t xml:space="preserve"> </w:t>
      </w:r>
      <w:r w:rsidR="00C806FC">
        <w:t>would be the same for both arms</w:t>
      </w:r>
      <w:r w:rsidR="00C806FC" w:rsidRPr="00BD495D">
        <w:t xml:space="preserve"> and have not been included. If, however, there was a bespoke work-up of the patient for the LATERA procedure then these costs would </w:t>
      </w:r>
      <w:r w:rsidR="00C806FC">
        <w:t>need to be included</w:t>
      </w:r>
      <w:r w:rsidR="00C806FC" w:rsidRPr="00BD495D">
        <w:t xml:space="preserve">. However, no information </w:t>
      </w:r>
      <w:r w:rsidR="00C806FC">
        <w:t xml:space="preserve">was presented </w:t>
      </w:r>
      <w:r w:rsidR="00C806FC" w:rsidRPr="00BD495D">
        <w:t xml:space="preserve">to suggest </w:t>
      </w:r>
      <w:r w:rsidR="00C806FC">
        <w:t>this</w:t>
      </w:r>
      <w:r w:rsidR="00C806FC" w:rsidRPr="00BD495D">
        <w:t>.</w:t>
      </w:r>
    </w:p>
    <w:p w14:paraId="6BCF454E" w14:textId="18C59E62" w:rsidR="00F63105" w:rsidRPr="00F63105" w:rsidRDefault="00F63105">
      <w:pPr>
        <w:pStyle w:val="Caption"/>
      </w:pPr>
      <w:bookmarkStart w:id="47" w:name="_Ref113368853"/>
      <w:bookmarkStart w:id="48" w:name="_Toc120731502"/>
      <w:r w:rsidRPr="00F63105">
        <w:lastRenderedPageBreak/>
        <w:t xml:space="preserve">Table </w:t>
      </w:r>
      <w:r w:rsidRPr="00F63105">
        <w:fldChar w:fldCharType="begin"/>
      </w:r>
      <w:r w:rsidRPr="00F63105">
        <w:instrText>SEQ Table \* ARABIC</w:instrText>
      </w:r>
      <w:r w:rsidRPr="00F63105">
        <w:fldChar w:fldCharType="separate"/>
      </w:r>
      <w:r w:rsidR="003511D3">
        <w:rPr>
          <w:noProof/>
        </w:rPr>
        <w:t>18</w:t>
      </w:r>
      <w:r w:rsidRPr="00F63105">
        <w:fldChar w:fldCharType="end"/>
      </w:r>
      <w:bookmarkEnd w:id="47"/>
      <w:r w:rsidR="004C443A">
        <w:t xml:space="preserve"> </w:t>
      </w:r>
      <w:r w:rsidR="005A0EFC">
        <w:t xml:space="preserve">ADAR </w:t>
      </w:r>
      <w:r w:rsidRPr="00F63105">
        <w:t>Cost-minimisation analysis of LATERA vs functional rhinoplasty</w:t>
      </w:r>
      <w:r w:rsidR="00185534">
        <w:t xml:space="preserve"> </w:t>
      </w:r>
      <w:r w:rsidRPr="00F63105">
        <w:t xml:space="preserve">for the treatment of </w:t>
      </w:r>
      <w:r w:rsidR="00C43418" w:rsidRPr="00F63105">
        <w:t>N</w:t>
      </w:r>
      <w:r w:rsidR="00C43418">
        <w:t>AO</w:t>
      </w:r>
      <w:r w:rsidR="00C43418" w:rsidRPr="00F63105">
        <w:t xml:space="preserve"> </w:t>
      </w:r>
      <w:r w:rsidRPr="00F63105">
        <w:t>due to LWI</w:t>
      </w:r>
      <w:bookmarkEnd w:id="48"/>
    </w:p>
    <w:tbl>
      <w:tblPr>
        <w:tblStyle w:val="TableGrid"/>
        <w:tblW w:w="9471" w:type="dxa"/>
        <w:tblLayout w:type="fixed"/>
        <w:tblLook w:val="04A0" w:firstRow="1" w:lastRow="0" w:firstColumn="1" w:lastColumn="0" w:noHBand="0" w:noVBand="1"/>
      </w:tblPr>
      <w:tblGrid>
        <w:gridCol w:w="1271"/>
        <w:gridCol w:w="992"/>
        <w:gridCol w:w="1134"/>
        <w:gridCol w:w="1560"/>
        <w:gridCol w:w="1559"/>
        <w:gridCol w:w="1134"/>
        <w:gridCol w:w="1821"/>
      </w:tblGrid>
      <w:tr w:rsidR="00BD31C6" w14:paraId="0870A511" w14:textId="77777777" w:rsidTr="00BD31C6">
        <w:trPr>
          <w:trHeight w:val="307"/>
        </w:trPr>
        <w:tc>
          <w:tcPr>
            <w:tcW w:w="1271" w:type="dxa"/>
            <w:vMerge w:val="restart"/>
          </w:tcPr>
          <w:p w14:paraId="099DEC61" w14:textId="77777777" w:rsidR="003E4293" w:rsidRPr="006A526E" w:rsidRDefault="003E4293" w:rsidP="00D578DE">
            <w:pPr>
              <w:pStyle w:val="TableText"/>
              <w:keepNext/>
              <w:keepLines/>
              <w:widowControl w:val="0"/>
              <w:rPr>
                <w:b/>
                <w:bCs/>
              </w:rPr>
            </w:pPr>
            <w:r w:rsidRPr="006A526E">
              <w:rPr>
                <w:b/>
                <w:bCs/>
              </w:rPr>
              <w:t>Treatment strategy</w:t>
            </w:r>
          </w:p>
        </w:tc>
        <w:tc>
          <w:tcPr>
            <w:tcW w:w="992" w:type="dxa"/>
            <w:vMerge w:val="restart"/>
            <w:vAlign w:val="center"/>
          </w:tcPr>
          <w:p w14:paraId="0A81FFE9" w14:textId="4AB9E07A" w:rsidR="003E4293" w:rsidRPr="006A526E" w:rsidRDefault="003E4293" w:rsidP="00D578DE">
            <w:pPr>
              <w:pStyle w:val="TableText"/>
              <w:keepNext/>
              <w:keepLines/>
              <w:widowControl w:val="0"/>
              <w:jc w:val="center"/>
              <w:rPr>
                <w:b/>
                <w:bCs/>
              </w:rPr>
            </w:pPr>
            <w:r w:rsidRPr="006A526E">
              <w:rPr>
                <w:b/>
                <w:bCs/>
              </w:rPr>
              <w:t>LATERA</w:t>
            </w:r>
            <w:r w:rsidR="00217B1C" w:rsidRPr="00AE4565">
              <w:rPr>
                <w:b/>
                <w:bCs/>
                <w:vertAlign w:val="superscript"/>
              </w:rPr>
              <w:t>#</w:t>
            </w:r>
          </w:p>
        </w:tc>
        <w:tc>
          <w:tcPr>
            <w:tcW w:w="7208" w:type="dxa"/>
            <w:gridSpan w:val="5"/>
          </w:tcPr>
          <w:p w14:paraId="384349BD" w14:textId="77777777" w:rsidR="003E4293" w:rsidRPr="006A526E" w:rsidRDefault="003E4293" w:rsidP="00D578DE">
            <w:pPr>
              <w:pStyle w:val="TableText"/>
              <w:keepNext/>
              <w:keepLines/>
              <w:widowControl w:val="0"/>
              <w:jc w:val="center"/>
              <w:rPr>
                <w:b/>
                <w:bCs/>
              </w:rPr>
            </w:pPr>
            <w:r w:rsidRPr="006A526E">
              <w:rPr>
                <w:b/>
                <w:bCs/>
              </w:rPr>
              <w:t>Rhinoplasty</w:t>
            </w:r>
          </w:p>
        </w:tc>
      </w:tr>
      <w:tr w:rsidR="00BD31C6" w14:paraId="3BF163A3" w14:textId="77777777" w:rsidTr="00BD31C6">
        <w:trPr>
          <w:trHeight w:val="568"/>
        </w:trPr>
        <w:tc>
          <w:tcPr>
            <w:tcW w:w="1271" w:type="dxa"/>
            <w:vMerge/>
          </w:tcPr>
          <w:p w14:paraId="647922A3" w14:textId="77777777" w:rsidR="003E4293" w:rsidRPr="006A526E" w:rsidRDefault="003E4293" w:rsidP="00D578DE">
            <w:pPr>
              <w:pStyle w:val="TableText"/>
              <w:keepNext/>
              <w:keepLines/>
              <w:widowControl w:val="0"/>
              <w:rPr>
                <w:b/>
                <w:bCs/>
              </w:rPr>
            </w:pPr>
          </w:p>
        </w:tc>
        <w:tc>
          <w:tcPr>
            <w:tcW w:w="992" w:type="dxa"/>
            <w:vMerge/>
            <w:vAlign w:val="center"/>
          </w:tcPr>
          <w:p w14:paraId="1632C087" w14:textId="77777777" w:rsidR="003E4293" w:rsidRPr="006A526E" w:rsidRDefault="003E4293" w:rsidP="00D578DE">
            <w:pPr>
              <w:pStyle w:val="TableText"/>
              <w:keepNext/>
              <w:keepLines/>
              <w:widowControl w:val="0"/>
              <w:jc w:val="center"/>
              <w:rPr>
                <w:b/>
                <w:bCs/>
              </w:rPr>
            </w:pPr>
          </w:p>
        </w:tc>
        <w:tc>
          <w:tcPr>
            <w:tcW w:w="1134" w:type="dxa"/>
          </w:tcPr>
          <w:p w14:paraId="3410B171" w14:textId="77777777" w:rsidR="003E4293" w:rsidRPr="006A526E" w:rsidRDefault="003E4293" w:rsidP="00D578DE">
            <w:pPr>
              <w:pStyle w:val="TableText"/>
              <w:keepNext/>
              <w:keepLines/>
              <w:widowControl w:val="0"/>
              <w:jc w:val="center"/>
              <w:rPr>
                <w:b/>
                <w:bCs/>
              </w:rPr>
            </w:pPr>
            <w:r w:rsidRPr="006A526E">
              <w:rPr>
                <w:b/>
                <w:bCs/>
              </w:rPr>
              <w:t>Partial rhinoplasty</w:t>
            </w:r>
          </w:p>
        </w:tc>
        <w:tc>
          <w:tcPr>
            <w:tcW w:w="1560" w:type="dxa"/>
          </w:tcPr>
          <w:p w14:paraId="7F7410F1" w14:textId="77777777" w:rsidR="003E4293" w:rsidRPr="006A526E" w:rsidRDefault="003E4293" w:rsidP="00D578DE">
            <w:pPr>
              <w:pStyle w:val="TableText"/>
              <w:keepNext/>
              <w:keepLines/>
              <w:widowControl w:val="0"/>
              <w:jc w:val="center"/>
              <w:rPr>
                <w:b/>
                <w:bCs/>
              </w:rPr>
            </w:pPr>
            <w:r w:rsidRPr="006A526E">
              <w:rPr>
                <w:b/>
                <w:bCs/>
              </w:rPr>
              <w:t>Total rhinoplasty, local graft</w:t>
            </w:r>
          </w:p>
        </w:tc>
        <w:tc>
          <w:tcPr>
            <w:tcW w:w="1559" w:type="dxa"/>
          </w:tcPr>
          <w:p w14:paraId="22BAE60A" w14:textId="77777777" w:rsidR="003E4293" w:rsidRPr="006A526E" w:rsidRDefault="003E4293" w:rsidP="00D578DE">
            <w:pPr>
              <w:pStyle w:val="TableText"/>
              <w:keepNext/>
              <w:keepLines/>
              <w:widowControl w:val="0"/>
              <w:jc w:val="center"/>
              <w:rPr>
                <w:b/>
                <w:bCs/>
              </w:rPr>
            </w:pPr>
            <w:r w:rsidRPr="006A526E">
              <w:rPr>
                <w:b/>
                <w:bCs/>
              </w:rPr>
              <w:t>Total rhinoplasty, distant graft</w:t>
            </w:r>
          </w:p>
        </w:tc>
        <w:tc>
          <w:tcPr>
            <w:tcW w:w="1134" w:type="dxa"/>
          </w:tcPr>
          <w:p w14:paraId="7717C41A" w14:textId="77777777" w:rsidR="003E4293" w:rsidRPr="006A526E" w:rsidRDefault="003E4293" w:rsidP="00D578DE">
            <w:pPr>
              <w:pStyle w:val="TableText"/>
              <w:keepNext/>
              <w:keepLines/>
              <w:widowControl w:val="0"/>
              <w:jc w:val="center"/>
              <w:rPr>
                <w:b/>
                <w:bCs/>
              </w:rPr>
            </w:pPr>
            <w:r w:rsidRPr="006A526E">
              <w:rPr>
                <w:b/>
                <w:bCs/>
              </w:rPr>
              <w:t>Weighted average</w:t>
            </w:r>
            <w:r>
              <w:rPr>
                <w:b/>
                <w:bCs/>
              </w:rPr>
              <w:t>*</w:t>
            </w:r>
          </w:p>
        </w:tc>
        <w:tc>
          <w:tcPr>
            <w:tcW w:w="1821" w:type="dxa"/>
          </w:tcPr>
          <w:p w14:paraId="65CB1BAB" w14:textId="77777777" w:rsidR="003E4293" w:rsidRPr="006A526E" w:rsidRDefault="003E4293" w:rsidP="00D578DE">
            <w:pPr>
              <w:pStyle w:val="TableText"/>
              <w:keepNext/>
              <w:keepLines/>
              <w:widowControl w:val="0"/>
              <w:jc w:val="center"/>
              <w:rPr>
                <w:b/>
                <w:bCs/>
              </w:rPr>
            </w:pPr>
            <w:r w:rsidRPr="006A526E">
              <w:rPr>
                <w:b/>
                <w:bCs/>
              </w:rPr>
              <w:t>Weighted average, total rhinoplasty only</w:t>
            </w:r>
            <w:r>
              <w:rPr>
                <w:b/>
                <w:bCs/>
              </w:rPr>
              <w:t>*</w:t>
            </w:r>
          </w:p>
        </w:tc>
      </w:tr>
      <w:tr w:rsidR="00BD31C6" w14:paraId="3F0EC72A" w14:textId="77777777" w:rsidTr="00BD31C6">
        <w:trPr>
          <w:trHeight w:val="783"/>
        </w:trPr>
        <w:tc>
          <w:tcPr>
            <w:tcW w:w="1271" w:type="dxa"/>
          </w:tcPr>
          <w:p w14:paraId="36882900" w14:textId="77777777" w:rsidR="003E4293" w:rsidRDefault="003E4293" w:rsidP="00D578DE">
            <w:pPr>
              <w:pStyle w:val="TableText"/>
              <w:keepNext/>
              <w:keepLines/>
              <w:widowControl w:val="0"/>
            </w:pPr>
            <w:r>
              <w:t>Total cost, per procedure</w:t>
            </w:r>
          </w:p>
        </w:tc>
        <w:tc>
          <w:tcPr>
            <w:tcW w:w="992" w:type="dxa"/>
          </w:tcPr>
          <w:p w14:paraId="2099B51A" w14:textId="0DAAF05E" w:rsidR="003E4293" w:rsidRDefault="003E4293" w:rsidP="00D578DE">
            <w:pPr>
              <w:pStyle w:val="TableText"/>
              <w:keepNext/>
              <w:keepLines/>
              <w:widowControl w:val="0"/>
              <w:jc w:val="center"/>
            </w:pPr>
            <w:r w:rsidRPr="006139F7">
              <w:t>$</w:t>
            </w:r>
            <w:r w:rsidR="007639ED" w:rsidRPr="007639ED">
              <w:rPr>
                <w:b/>
                <w:bCs/>
              </w:rPr>
              <w:t>redacted</w:t>
            </w:r>
          </w:p>
        </w:tc>
        <w:tc>
          <w:tcPr>
            <w:tcW w:w="1134" w:type="dxa"/>
          </w:tcPr>
          <w:p w14:paraId="43C56097" w14:textId="77777777" w:rsidR="003E4293" w:rsidRDefault="003E4293" w:rsidP="00D578DE">
            <w:pPr>
              <w:pStyle w:val="TableText"/>
              <w:keepNext/>
              <w:keepLines/>
              <w:widowControl w:val="0"/>
              <w:jc w:val="center"/>
            </w:pPr>
            <w:r w:rsidRPr="006139F7">
              <w:t>$2,783.17</w:t>
            </w:r>
          </w:p>
        </w:tc>
        <w:tc>
          <w:tcPr>
            <w:tcW w:w="1560" w:type="dxa"/>
          </w:tcPr>
          <w:p w14:paraId="061758E6" w14:textId="77777777" w:rsidR="003E4293" w:rsidRDefault="003E4293" w:rsidP="00D578DE">
            <w:pPr>
              <w:pStyle w:val="TableText"/>
              <w:keepNext/>
              <w:keepLines/>
              <w:widowControl w:val="0"/>
              <w:jc w:val="center"/>
            </w:pPr>
            <w:r w:rsidRPr="006139F7">
              <w:t>$3,828.56</w:t>
            </w:r>
          </w:p>
        </w:tc>
        <w:tc>
          <w:tcPr>
            <w:tcW w:w="1559" w:type="dxa"/>
          </w:tcPr>
          <w:p w14:paraId="48BA3371" w14:textId="77777777" w:rsidR="003E4293" w:rsidRDefault="003E4293" w:rsidP="00D578DE">
            <w:pPr>
              <w:pStyle w:val="TableText"/>
              <w:keepNext/>
              <w:keepLines/>
              <w:widowControl w:val="0"/>
              <w:jc w:val="center"/>
            </w:pPr>
            <w:r w:rsidRPr="006139F7">
              <w:t>$4,474.45</w:t>
            </w:r>
          </w:p>
        </w:tc>
        <w:tc>
          <w:tcPr>
            <w:tcW w:w="1134" w:type="dxa"/>
          </w:tcPr>
          <w:p w14:paraId="2A543F42" w14:textId="77777777" w:rsidR="003E4293" w:rsidRDefault="003E4293" w:rsidP="00D578DE">
            <w:pPr>
              <w:pStyle w:val="TableText"/>
              <w:keepNext/>
              <w:keepLines/>
              <w:widowControl w:val="0"/>
              <w:jc w:val="center"/>
            </w:pPr>
            <w:r w:rsidRPr="006139F7">
              <w:t>$3,829.03</w:t>
            </w:r>
          </w:p>
        </w:tc>
        <w:tc>
          <w:tcPr>
            <w:tcW w:w="1821" w:type="dxa"/>
          </w:tcPr>
          <w:p w14:paraId="7D0B8C35" w14:textId="77777777" w:rsidR="003E4293" w:rsidRPr="002A3331" w:rsidRDefault="003E4293" w:rsidP="00D578DE">
            <w:pPr>
              <w:pStyle w:val="TableText"/>
              <w:keepNext/>
              <w:keepLines/>
              <w:widowControl w:val="0"/>
              <w:jc w:val="center"/>
            </w:pPr>
            <w:r w:rsidRPr="006139F7">
              <w:t>$3,935.35</w:t>
            </w:r>
          </w:p>
        </w:tc>
      </w:tr>
      <w:tr w:rsidR="00BD31C6" w:rsidRPr="00BB1E80" w14:paraId="78F5F8E9" w14:textId="77777777" w:rsidTr="00BD31C6">
        <w:trPr>
          <w:trHeight w:val="768"/>
        </w:trPr>
        <w:tc>
          <w:tcPr>
            <w:tcW w:w="1271" w:type="dxa"/>
          </w:tcPr>
          <w:p w14:paraId="34FB5E1D" w14:textId="77777777" w:rsidR="003E4293" w:rsidRPr="00BB1E80" w:rsidRDefault="003E4293" w:rsidP="00D578DE">
            <w:pPr>
              <w:pStyle w:val="TableText"/>
            </w:pPr>
            <w:r w:rsidRPr="00BB1E80">
              <w:t>Cost saving for LATERA</w:t>
            </w:r>
          </w:p>
        </w:tc>
        <w:tc>
          <w:tcPr>
            <w:tcW w:w="992" w:type="dxa"/>
          </w:tcPr>
          <w:p w14:paraId="2A565FCB" w14:textId="77777777" w:rsidR="003E4293" w:rsidRPr="00BB1E80" w:rsidRDefault="003E4293" w:rsidP="00D578DE">
            <w:pPr>
              <w:pStyle w:val="TableText"/>
              <w:jc w:val="center"/>
            </w:pPr>
            <w:r w:rsidRPr="00BB1E80">
              <w:t>Reference</w:t>
            </w:r>
          </w:p>
        </w:tc>
        <w:tc>
          <w:tcPr>
            <w:tcW w:w="1134" w:type="dxa"/>
          </w:tcPr>
          <w:p w14:paraId="4EA5BFBE" w14:textId="71D40B3B" w:rsidR="003E4293" w:rsidRPr="00BB1E80" w:rsidRDefault="003E4293" w:rsidP="00D578DE">
            <w:pPr>
              <w:pStyle w:val="TableText"/>
              <w:jc w:val="center"/>
            </w:pPr>
            <w:r w:rsidRPr="00BB1E80">
              <w:t>-$</w:t>
            </w:r>
            <w:r w:rsidR="007639ED" w:rsidRPr="00BB1E80">
              <w:rPr>
                <w:b/>
                <w:bCs/>
              </w:rPr>
              <w:t>redacted</w:t>
            </w:r>
          </w:p>
        </w:tc>
        <w:tc>
          <w:tcPr>
            <w:tcW w:w="1560" w:type="dxa"/>
          </w:tcPr>
          <w:p w14:paraId="47B9C36D" w14:textId="6EBFC267" w:rsidR="003E4293" w:rsidRPr="00BB1E80" w:rsidRDefault="003E4293" w:rsidP="00D578DE">
            <w:pPr>
              <w:pStyle w:val="TableText"/>
              <w:jc w:val="center"/>
            </w:pPr>
            <w:r w:rsidRPr="00BB1E80">
              <w:t>-$</w:t>
            </w:r>
            <w:r w:rsidR="007639ED" w:rsidRPr="00BB1E80">
              <w:rPr>
                <w:b/>
                <w:bCs/>
              </w:rPr>
              <w:t>redacted</w:t>
            </w:r>
          </w:p>
        </w:tc>
        <w:tc>
          <w:tcPr>
            <w:tcW w:w="1559" w:type="dxa"/>
          </w:tcPr>
          <w:p w14:paraId="3C8AF98D" w14:textId="4D91DFE1" w:rsidR="003E4293" w:rsidRPr="00BB1E80" w:rsidRDefault="003E4293" w:rsidP="00D578DE">
            <w:pPr>
              <w:pStyle w:val="TableText"/>
              <w:jc w:val="center"/>
            </w:pPr>
            <w:r w:rsidRPr="00BB1E80">
              <w:t>-$</w:t>
            </w:r>
            <w:r w:rsidR="007639ED" w:rsidRPr="00BB1E80">
              <w:rPr>
                <w:b/>
                <w:bCs/>
              </w:rPr>
              <w:t>redacted</w:t>
            </w:r>
          </w:p>
        </w:tc>
        <w:tc>
          <w:tcPr>
            <w:tcW w:w="1134" w:type="dxa"/>
          </w:tcPr>
          <w:p w14:paraId="3A945E9B" w14:textId="70469B51" w:rsidR="003E4293" w:rsidRPr="00BB1E80" w:rsidRDefault="003E4293" w:rsidP="00D578DE">
            <w:pPr>
              <w:pStyle w:val="TableText"/>
              <w:jc w:val="center"/>
            </w:pPr>
            <w:r w:rsidRPr="00BB1E80">
              <w:t>-$</w:t>
            </w:r>
            <w:r w:rsidR="007639ED" w:rsidRPr="00BB1E80">
              <w:rPr>
                <w:b/>
                <w:bCs/>
              </w:rPr>
              <w:t>redacted</w:t>
            </w:r>
          </w:p>
        </w:tc>
        <w:tc>
          <w:tcPr>
            <w:tcW w:w="1821" w:type="dxa"/>
          </w:tcPr>
          <w:p w14:paraId="68FE259D" w14:textId="5FC177CC" w:rsidR="003E4293" w:rsidRPr="00BB1E80" w:rsidRDefault="003E4293" w:rsidP="00D578DE">
            <w:pPr>
              <w:pStyle w:val="TableText"/>
              <w:jc w:val="center"/>
            </w:pPr>
            <w:r w:rsidRPr="00BB1E80">
              <w:t>-$</w:t>
            </w:r>
            <w:r w:rsidR="007639ED" w:rsidRPr="00BB1E80">
              <w:rPr>
                <w:b/>
                <w:bCs/>
              </w:rPr>
              <w:t>redacted</w:t>
            </w:r>
          </w:p>
        </w:tc>
      </w:tr>
    </w:tbl>
    <w:p w14:paraId="0F5AECAC" w14:textId="75844C95" w:rsidR="003E4293" w:rsidRDefault="00C806FC" w:rsidP="003E4293">
      <w:pPr>
        <w:pStyle w:val="TableNote"/>
      </w:pPr>
      <w:r>
        <w:t xml:space="preserve">Source: Table </w:t>
      </w:r>
      <w:r w:rsidR="00EA2AA0">
        <w:t>63, pg 173 of MSAC 1719 ADAR+inline commentary</w:t>
      </w:r>
    </w:p>
    <w:p w14:paraId="2E3636DC" w14:textId="3B9C070C" w:rsidR="003E4293" w:rsidRDefault="003E4293" w:rsidP="003E4293">
      <w:pPr>
        <w:pStyle w:val="TableNote"/>
      </w:pPr>
      <w:r>
        <w:t xml:space="preserve">* Weighting across the three </w:t>
      </w:r>
      <w:r w:rsidR="00473D79">
        <w:t xml:space="preserve">rhinoplasty </w:t>
      </w:r>
      <w:r>
        <w:t>surgery types was based on the 2021 MBS statistics</w:t>
      </w:r>
      <w:r w:rsidR="00F71082">
        <w:t>; 9% for partial rhinoplasty (M</w:t>
      </w:r>
      <w:r w:rsidR="00763E54">
        <w:t>B</w:t>
      </w:r>
      <w:r w:rsidR="00F71082">
        <w:t xml:space="preserve">S item </w:t>
      </w:r>
      <w:r w:rsidR="00350A36">
        <w:t>45632</w:t>
      </w:r>
      <w:r w:rsidR="00F71082">
        <w:t xml:space="preserve">), 75% for </w:t>
      </w:r>
      <w:r w:rsidR="00763E54">
        <w:t xml:space="preserve">total rhinoplasty local graft (MBS item </w:t>
      </w:r>
      <w:r w:rsidR="00350A36">
        <w:t>45641</w:t>
      </w:r>
      <w:r w:rsidR="00763E54">
        <w:t xml:space="preserve">) and 11% for total rhinoplasty distant graft (MBS item </w:t>
      </w:r>
      <w:r w:rsidR="00350A36">
        <w:t>45644</w:t>
      </w:r>
      <w:r w:rsidR="00763E54">
        <w:t>)</w:t>
      </w:r>
      <w:r>
        <w:t>.</w:t>
      </w:r>
    </w:p>
    <w:p w14:paraId="4404CC43" w14:textId="22BBF91B" w:rsidR="004C443A" w:rsidRDefault="00217B1C" w:rsidP="00AE4565">
      <w:pPr>
        <w:pStyle w:val="TableNote"/>
      </w:pPr>
      <w:r>
        <w:t xml:space="preserve"># </w:t>
      </w:r>
      <w:r w:rsidR="00867115">
        <w:t xml:space="preserve">Total cost for LATERA is a weighted cost based on the assumption that </w:t>
      </w:r>
      <w:r w:rsidRPr="00217B1C">
        <w:t xml:space="preserve">16% unilateral and 84% bilateral </w:t>
      </w:r>
      <w:r w:rsidR="00B25871">
        <w:t>LATERA procedures (</w:t>
      </w:r>
      <w:r w:rsidRPr="00217B1C">
        <w:t>based on Clark 2018</w:t>
      </w:r>
      <w:r w:rsidR="00B25871">
        <w:t>)</w:t>
      </w:r>
    </w:p>
    <w:p w14:paraId="1E48638D" w14:textId="6D22F595" w:rsidR="004C443A" w:rsidRDefault="004C443A" w:rsidP="00314F8A">
      <w:pPr>
        <w:pStyle w:val="Caption"/>
        <w:spacing w:before="240"/>
      </w:pPr>
      <w:bookmarkStart w:id="49" w:name="_Ref127963163"/>
      <w:r w:rsidRPr="00F63105">
        <w:t xml:space="preserve">Table </w:t>
      </w:r>
      <w:r w:rsidRPr="00F63105">
        <w:fldChar w:fldCharType="begin"/>
      </w:r>
      <w:r w:rsidRPr="00F63105">
        <w:instrText>SEQ Table \* ARABIC</w:instrText>
      </w:r>
      <w:r w:rsidRPr="00F63105">
        <w:fldChar w:fldCharType="separate"/>
      </w:r>
      <w:r w:rsidR="003511D3">
        <w:rPr>
          <w:noProof/>
        </w:rPr>
        <w:t>19</w:t>
      </w:r>
      <w:r w:rsidRPr="00F63105">
        <w:fldChar w:fldCharType="end"/>
      </w:r>
      <w:bookmarkEnd w:id="49"/>
      <w:r>
        <w:t xml:space="preserve"> Summary of cost components for LATERA and functional rhinoplasty used in the ADAR </w:t>
      </w:r>
      <w:r w:rsidR="00DB416B">
        <w:t>cost-minimisation analysis</w:t>
      </w:r>
    </w:p>
    <w:tbl>
      <w:tblPr>
        <w:tblStyle w:val="TableGrid"/>
        <w:tblW w:w="9351" w:type="dxa"/>
        <w:tblLook w:val="04A0" w:firstRow="1" w:lastRow="0" w:firstColumn="1" w:lastColumn="0" w:noHBand="0" w:noVBand="1"/>
      </w:tblPr>
      <w:tblGrid>
        <w:gridCol w:w="2033"/>
        <w:gridCol w:w="1262"/>
        <w:gridCol w:w="2088"/>
        <w:gridCol w:w="3968"/>
      </w:tblGrid>
      <w:tr w:rsidR="0000558E" w:rsidRPr="004F3B0B" w14:paraId="4F4C3A8C" w14:textId="77777777" w:rsidTr="00185041">
        <w:tc>
          <w:tcPr>
            <w:tcW w:w="0" w:type="auto"/>
            <w:hideMark/>
          </w:tcPr>
          <w:p w14:paraId="6E03B051" w14:textId="2FE31C33" w:rsidR="004F3B0B" w:rsidRPr="00675214" w:rsidRDefault="008F39E8" w:rsidP="00314F8A">
            <w:pPr>
              <w:pStyle w:val="Tabletext0"/>
              <w:spacing w:before="0" w:after="0"/>
              <w:rPr>
                <w:b/>
                <w:bCs/>
              </w:rPr>
            </w:pPr>
            <w:r w:rsidRPr="00675214">
              <w:rPr>
                <w:b/>
                <w:bCs/>
              </w:rPr>
              <w:t>Resource item</w:t>
            </w:r>
          </w:p>
        </w:tc>
        <w:tc>
          <w:tcPr>
            <w:tcW w:w="1262" w:type="dxa"/>
            <w:hideMark/>
          </w:tcPr>
          <w:p w14:paraId="1E900BD7" w14:textId="77777777" w:rsidR="004F3B0B" w:rsidRPr="00675214" w:rsidRDefault="004F3B0B" w:rsidP="00314F8A">
            <w:pPr>
              <w:pStyle w:val="Tabletext0"/>
              <w:spacing w:before="0" w:after="0"/>
              <w:rPr>
                <w:b/>
                <w:bCs/>
              </w:rPr>
            </w:pPr>
            <w:r w:rsidRPr="00675214">
              <w:rPr>
                <w:b/>
                <w:bCs/>
              </w:rPr>
              <w:t>LATERA</w:t>
            </w:r>
          </w:p>
        </w:tc>
        <w:tc>
          <w:tcPr>
            <w:tcW w:w="2088" w:type="dxa"/>
            <w:hideMark/>
          </w:tcPr>
          <w:p w14:paraId="1722E6B0" w14:textId="50F53153" w:rsidR="004F3B0B" w:rsidRPr="00675214" w:rsidRDefault="004C443A" w:rsidP="00314F8A">
            <w:pPr>
              <w:pStyle w:val="Tabletext0"/>
              <w:spacing w:before="0" w:after="0"/>
              <w:rPr>
                <w:b/>
                <w:bCs/>
              </w:rPr>
            </w:pPr>
            <w:r>
              <w:rPr>
                <w:b/>
                <w:bCs/>
              </w:rPr>
              <w:t xml:space="preserve">Functional </w:t>
            </w:r>
            <w:r w:rsidR="004F3B0B" w:rsidRPr="00675214">
              <w:rPr>
                <w:b/>
                <w:bCs/>
              </w:rPr>
              <w:t>Rhinoplasty</w:t>
            </w:r>
          </w:p>
        </w:tc>
        <w:tc>
          <w:tcPr>
            <w:tcW w:w="3968" w:type="dxa"/>
            <w:hideMark/>
          </w:tcPr>
          <w:p w14:paraId="30F8AE87" w14:textId="609BEF37" w:rsidR="004F3B0B" w:rsidRPr="00675214" w:rsidRDefault="008F39E8" w:rsidP="00314F8A">
            <w:pPr>
              <w:pStyle w:val="Tabletext0"/>
              <w:spacing w:before="0" w:after="0"/>
              <w:rPr>
                <w:b/>
                <w:bCs/>
              </w:rPr>
            </w:pPr>
            <w:r w:rsidRPr="00675214">
              <w:rPr>
                <w:b/>
                <w:bCs/>
              </w:rPr>
              <w:t>Source / notes</w:t>
            </w:r>
          </w:p>
        </w:tc>
      </w:tr>
      <w:tr w:rsidR="001252D3" w:rsidRPr="004F3B0B" w14:paraId="6FC47FF0" w14:textId="77777777" w:rsidTr="00185041">
        <w:tc>
          <w:tcPr>
            <w:tcW w:w="2033" w:type="dxa"/>
            <w:hideMark/>
          </w:tcPr>
          <w:p w14:paraId="3A6EEDF8" w14:textId="77777777" w:rsidR="004F3B0B" w:rsidRPr="00675214" w:rsidRDefault="004F3B0B" w:rsidP="00314F8A">
            <w:pPr>
              <w:pStyle w:val="Tabletext0"/>
              <w:spacing w:before="0" w:after="0"/>
              <w:jc w:val="left"/>
              <w:rPr>
                <w:b/>
                <w:bCs/>
              </w:rPr>
            </w:pPr>
            <w:r w:rsidRPr="00675214">
              <w:rPr>
                <w:b/>
                <w:bCs/>
              </w:rPr>
              <w:t>Prosthesis (implant)</w:t>
            </w:r>
          </w:p>
        </w:tc>
        <w:tc>
          <w:tcPr>
            <w:tcW w:w="1262" w:type="dxa"/>
            <w:hideMark/>
          </w:tcPr>
          <w:p w14:paraId="4CAC0627" w14:textId="3A71F4BE" w:rsidR="004F3B0B" w:rsidRPr="004F3B0B" w:rsidRDefault="004F3B0B" w:rsidP="00314F8A">
            <w:pPr>
              <w:pStyle w:val="Tabletext0"/>
              <w:spacing w:before="0" w:after="0"/>
            </w:pPr>
            <w:r w:rsidRPr="00BB1E80">
              <w:rPr>
                <w:rFonts w:eastAsia="Calibri"/>
              </w:rPr>
              <w:t>$</w:t>
            </w:r>
            <w:r w:rsidR="00BD31C6" w:rsidRPr="00395FD6">
              <w:rPr>
                <w:rFonts w:eastAsia="Calibri"/>
                <w:b/>
                <w:bCs/>
              </w:rPr>
              <w:t>redacted</w:t>
            </w:r>
          </w:p>
        </w:tc>
        <w:tc>
          <w:tcPr>
            <w:tcW w:w="2088" w:type="dxa"/>
            <w:hideMark/>
          </w:tcPr>
          <w:p w14:paraId="7E74F5CF" w14:textId="77777777" w:rsidR="004F3B0B" w:rsidRPr="004F3B0B" w:rsidRDefault="004F3B0B" w:rsidP="00314F8A">
            <w:pPr>
              <w:pStyle w:val="Tabletext0"/>
              <w:spacing w:before="0" w:after="0"/>
            </w:pPr>
            <w:r w:rsidRPr="004F3B0B">
              <w:t>N/A</w:t>
            </w:r>
          </w:p>
        </w:tc>
        <w:tc>
          <w:tcPr>
            <w:tcW w:w="3968" w:type="dxa"/>
            <w:hideMark/>
          </w:tcPr>
          <w:p w14:paraId="6806F8C3" w14:textId="77777777" w:rsidR="004F3B0B" w:rsidRPr="004F3B0B" w:rsidRDefault="004F3B0B" w:rsidP="00314F8A">
            <w:pPr>
              <w:pStyle w:val="Tabletext0"/>
              <w:spacing w:before="0" w:after="0"/>
              <w:jc w:val="left"/>
            </w:pPr>
            <w:r w:rsidRPr="004F3B0B">
              <w:t>Costing based on the proposed price of LATERA.</w:t>
            </w:r>
          </w:p>
          <w:p w14:paraId="6E8246B3" w14:textId="77777777" w:rsidR="004F3B0B" w:rsidRPr="004F3B0B" w:rsidRDefault="004F3B0B" w:rsidP="00314F8A">
            <w:pPr>
              <w:pStyle w:val="Tabletext0"/>
              <w:spacing w:before="0" w:after="0"/>
              <w:jc w:val="left"/>
            </w:pPr>
            <w:r w:rsidRPr="004F3B0B">
              <w:t>No implant use assumed for conventional surgery.</w:t>
            </w:r>
          </w:p>
        </w:tc>
      </w:tr>
      <w:tr w:rsidR="00B25871" w:rsidRPr="004F3B0B" w14:paraId="62A904D4" w14:textId="77777777" w:rsidTr="00185041">
        <w:tc>
          <w:tcPr>
            <w:tcW w:w="9351" w:type="dxa"/>
            <w:gridSpan w:val="4"/>
            <w:hideMark/>
          </w:tcPr>
          <w:p w14:paraId="38DEFF1A" w14:textId="05C6A8A0" w:rsidR="00B25871" w:rsidRPr="00B25871" w:rsidRDefault="00B25871" w:rsidP="00314F8A">
            <w:pPr>
              <w:pStyle w:val="Tabletext0"/>
              <w:spacing w:before="0" w:after="0"/>
              <w:jc w:val="left"/>
              <w:rPr>
                <w:b/>
                <w:bCs/>
              </w:rPr>
            </w:pPr>
            <w:r w:rsidRPr="004C443A">
              <w:rPr>
                <w:b/>
                <w:bCs/>
              </w:rPr>
              <w:t>Professional services</w:t>
            </w:r>
          </w:p>
        </w:tc>
      </w:tr>
      <w:tr w:rsidR="001252D3" w:rsidRPr="004F3B0B" w14:paraId="2813C987" w14:textId="77777777" w:rsidTr="00185041">
        <w:tc>
          <w:tcPr>
            <w:tcW w:w="2033" w:type="dxa"/>
            <w:hideMark/>
          </w:tcPr>
          <w:p w14:paraId="73B000EB" w14:textId="77777777" w:rsidR="004F3B0B" w:rsidRPr="004C443A" w:rsidRDefault="004F3B0B" w:rsidP="00314F8A">
            <w:pPr>
              <w:pStyle w:val="Tabletext0"/>
              <w:spacing w:before="0" w:after="0"/>
              <w:jc w:val="left"/>
              <w:rPr>
                <w:b/>
                <w:bCs/>
              </w:rPr>
            </w:pPr>
            <w:r w:rsidRPr="004C443A">
              <w:rPr>
                <w:b/>
                <w:bCs/>
              </w:rPr>
              <w:t xml:space="preserve">Anaesthetist </w:t>
            </w:r>
          </w:p>
        </w:tc>
        <w:tc>
          <w:tcPr>
            <w:tcW w:w="1262" w:type="dxa"/>
            <w:hideMark/>
          </w:tcPr>
          <w:p w14:paraId="4220243E" w14:textId="77777777" w:rsidR="004F3B0B" w:rsidRPr="004F3B0B" w:rsidRDefault="004F3B0B" w:rsidP="00314F8A">
            <w:pPr>
              <w:pStyle w:val="Tabletext0"/>
              <w:spacing w:before="0" w:after="0"/>
              <w:jc w:val="left"/>
            </w:pPr>
            <w:r w:rsidRPr="004F3B0B">
              <w:t>N/A (local only)</w:t>
            </w:r>
          </w:p>
        </w:tc>
        <w:tc>
          <w:tcPr>
            <w:tcW w:w="2088" w:type="dxa"/>
            <w:hideMark/>
          </w:tcPr>
          <w:p w14:paraId="661B3583" w14:textId="1CEF8E56" w:rsidR="004F3B0B" w:rsidRPr="004F3B0B" w:rsidRDefault="004F3B0B" w:rsidP="00314F8A">
            <w:pPr>
              <w:pStyle w:val="Tabletext0"/>
              <w:spacing w:before="0" w:after="0"/>
            </w:pPr>
            <w:r w:rsidRPr="004F3B0B">
              <w:rPr>
                <w:rFonts w:eastAsia="Calibri"/>
              </w:rPr>
              <w:t>$30</w:t>
            </w:r>
            <w:r w:rsidR="000B1543">
              <w:rPr>
                <w:rFonts w:eastAsia="Calibri"/>
              </w:rPr>
              <w:t>9</w:t>
            </w:r>
          </w:p>
          <w:p w14:paraId="3CE0DE5F" w14:textId="77777777" w:rsidR="004F3B0B" w:rsidRPr="004F3B0B" w:rsidRDefault="004F3B0B" w:rsidP="00314F8A">
            <w:pPr>
              <w:pStyle w:val="Tabletext0"/>
              <w:spacing w:before="0" w:after="0"/>
            </w:pPr>
            <w:r w:rsidRPr="004F3B0B">
              <w:rPr>
                <w:rFonts w:eastAsia="Calibri"/>
              </w:rPr>
              <w:t>$432</w:t>
            </w:r>
          </w:p>
          <w:p w14:paraId="19BFBF0D" w14:textId="77777777" w:rsidR="004F3B0B" w:rsidRPr="004F3B0B" w:rsidRDefault="004F3B0B" w:rsidP="00314F8A">
            <w:pPr>
              <w:pStyle w:val="Tabletext0"/>
              <w:spacing w:before="0" w:after="0"/>
            </w:pPr>
            <w:r w:rsidRPr="004F3B0B">
              <w:rPr>
                <w:rFonts w:eastAsia="Calibri"/>
              </w:rPr>
              <w:t>$432</w:t>
            </w:r>
          </w:p>
        </w:tc>
        <w:tc>
          <w:tcPr>
            <w:tcW w:w="3968" w:type="dxa"/>
            <w:hideMark/>
          </w:tcPr>
          <w:p w14:paraId="6C1115B6" w14:textId="70B4D88D" w:rsidR="004F3B0B" w:rsidRPr="004F3B0B" w:rsidRDefault="004F3B0B" w:rsidP="00314F8A">
            <w:pPr>
              <w:pStyle w:val="Tabletext0"/>
              <w:spacing w:before="0" w:after="0"/>
              <w:jc w:val="left"/>
            </w:pPr>
            <w:r w:rsidRPr="004F3B0B">
              <w:t>Costing based on the current MBS fees</w:t>
            </w:r>
            <w:r w:rsidR="00E61383">
              <w:t xml:space="preserve"> for MBS items</w:t>
            </w:r>
            <w:r w:rsidRPr="004F3B0B">
              <w:t>.</w:t>
            </w:r>
          </w:p>
          <w:p w14:paraId="667AC59A" w14:textId="77777777" w:rsidR="004F3B0B" w:rsidRPr="004F3B0B" w:rsidRDefault="004F3B0B" w:rsidP="00314F8A">
            <w:pPr>
              <w:pStyle w:val="Tabletext0"/>
              <w:spacing w:before="0" w:after="0"/>
              <w:jc w:val="left"/>
            </w:pPr>
            <w:r w:rsidRPr="004F3B0B">
              <w:t xml:space="preserve">LATERA implantation is performed with local anaesthesia (given by the same surgeon performing the implantation). </w:t>
            </w:r>
          </w:p>
        </w:tc>
      </w:tr>
      <w:tr w:rsidR="001252D3" w:rsidRPr="004F3B0B" w14:paraId="424EE812" w14:textId="77777777" w:rsidTr="00185041">
        <w:tc>
          <w:tcPr>
            <w:tcW w:w="2033" w:type="dxa"/>
            <w:hideMark/>
          </w:tcPr>
          <w:p w14:paraId="61867354" w14:textId="77777777" w:rsidR="004F3B0B" w:rsidRPr="004C443A" w:rsidRDefault="004F3B0B" w:rsidP="00314F8A">
            <w:pPr>
              <w:pStyle w:val="Tabletext0"/>
              <w:spacing w:before="0" w:after="0"/>
              <w:jc w:val="left"/>
              <w:rPr>
                <w:b/>
                <w:bCs/>
              </w:rPr>
            </w:pPr>
            <w:r w:rsidRPr="004C443A">
              <w:rPr>
                <w:b/>
                <w:bCs/>
              </w:rPr>
              <w:t>ENT surgeon / rhinologist</w:t>
            </w:r>
          </w:p>
        </w:tc>
        <w:tc>
          <w:tcPr>
            <w:tcW w:w="1262" w:type="dxa"/>
            <w:hideMark/>
          </w:tcPr>
          <w:p w14:paraId="7E033ED8" w14:textId="7DBDFDE2" w:rsidR="004F3B0B" w:rsidRPr="004F3B0B" w:rsidRDefault="0000558E" w:rsidP="00314F8A">
            <w:pPr>
              <w:pStyle w:val="Tabletext0"/>
              <w:spacing w:before="0" w:after="0"/>
            </w:pPr>
            <w:r>
              <w:rPr>
                <w:rFonts w:eastAsia="Calibri"/>
              </w:rPr>
              <w:t xml:space="preserve">$198.95 </w:t>
            </w:r>
            <w:r w:rsidR="004F3B0B" w:rsidRPr="004F3B0B">
              <w:rPr>
                <w:rFonts w:eastAsia="Calibri"/>
              </w:rPr>
              <w:t>$282.51</w:t>
            </w:r>
          </w:p>
        </w:tc>
        <w:tc>
          <w:tcPr>
            <w:tcW w:w="2088" w:type="dxa"/>
            <w:hideMark/>
          </w:tcPr>
          <w:p w14:paraId="5D8EE2CC" w14:textId="77777777" w:rsidR="004F3B0B" w:rsidRPr="004F3B0B" w:rsidRDefault="004F3B0B" w:rsidP="00314F8A">
            <w:pPr>
              <w:pStyle w:val="Tabletext0"/>
              <w:spacing w:before="0" w:after="0"/>
            </w:pPr>
            <w:r w:rsidRPr="004F3B0B">
              <w:rPr>
                <w:rFonts w:eastAsia="Calibri"/>
              </w:rPr>
              <w:t>$541</w:t>
            </w:r>
          </w:p>
          <w:p w14:paraId="4D9F8F8A" w14:textId="77777777" w:rsidR="004F3B0B" w:rsidRPr="004F3B0B" w:rsidRDefault="004F3B0B" w:rsidP="00314F8A">
            <w:pPr>
              <w:pStyle w:val="Tabletext0"/>
              <w:spacing w:before="0" w:after="0"/>
            </w:pPr>
            <w:r w:rsidRPr="004F3B0B">
              <w:rPr>
                <w:rFonts w:eastAsia="Calibri"/>
              </w:rPr>
              <w:t>$1126</w:t>
            </w:r>
          </w:p>
          <w:p w14:paraId="7D527C64" w14:textId="460731D9" w:rsidR="004F3B0B" w:rsidRPr="004F3B0B" w:rsidRDefault="004F3B0B" w:rsidP="00314F8A">
            <w:pPr>
              <w:pStyle w:val="Tabletext0"/>
              <w:spacing w:before="0" w:after="0"/>
            </w:pPr>
            <w:r w:rsidRPr="004F3B0B">
              <w:rPr>
                <w:rFonts w:eastAsia="Calibri"/>
              </w:rPr>
              <w:t>$1</w:t>
            </w:r>
            <w:r w:rsidR="001F697E">
              <w:rPr>
                <w:rFonts w:eastAsia="Calibri"/>
              </w:rPr>
              <w:t>623</w:t>
            </w:r>
          </w:p>
        </w:tc>
        <w:tc>
          <w:tcPr>
            <w:tcW w:w="3968" w:type="dxa"/>
            <w:hideMark/>
          </w:tcPr>
          <w:p w14:paraId="69F6B7FE" w14:textId="66C72158" w:rsidR="001252D3" w:rsidRDefault="004F3B0B" w:rsidP="00314F8A">
            <w:pPr>
              <w:pStyle w:val="Tabletext0"/>
              <w:spacing w:before="0" w:after="0"/>
              <w:jc w:val="left"/>
            </w:pPr>
            <w:r w:rsidRPr="004F3B0B">
              <w:t xml:space="preserve">Costing based on the proposed fee for LATERA </w:t>
            </w:r>
            <w:r w:rsidR="0000558E">
              <w:t>(unilateral and bilateral)</w:t>
            </w:r>
            <w:r w:rsidR="00473D79">
              <w:t xml:space="preserve"> </w:t>
            </w:r>
          </w:p>
          <w:p w14:paraId="607B11AC" w14:textId="0DFE32F7" w:rsidR="004F3B0B" w:rsidRPr="004F3B0B" w:rsidRDefault="001252D3" w:rsidP="00314F8A">
            <w:pPr>
              <w:pStyle w:val="Tabletext0"/>
              <w:spacing w:before="0" w:after="0"/>
              <w:jc w:val="left"/>
            </w:pPr>
            <w:r>
              <w:t>Costing for rhinoplasty based on</w:t>
            </w:r>
            <w:r w:rsidR="004F3B0B" w:rsidRPr="004F3B0B">
              <w:t xml:space="preserve"> the current MBS fees </w:t>
            </w:r>
            <w:r>
              <w:t>(</w:t>
            </w:r>
            <w:r w:rsidRPr="001252D3">
              <w:t>45632, 45641 and 45644, respectively</w:t>
            </w:r>
            <w:r>
              <w:t>)</w:t>
            </w:r>
            <w:r w:rsidR="008D3F4A">
              <w:t xml:space="preserve"> and assistant for total rhinoplas</w:t>
            </w:r>
            <w:r w:rsidR="007B1C12">
              <w:t>ty distant graft</w:t>
            </w:r>
            <w:r w:rsidR="001F697E">
              <w:t>.</w:t>
            </w:r>
            <w:r w:rsidR="00E255E7">
              <w:t xml:space="preserve"> </w:t>
            </w:r>
          </w:p>
        </w:tc>
      </w:tr>
      <w:tr w:rsidR="00B25871" w:rsidRPr="004F3B0B" w14:paraId="4C497125" w14:textId="77777777" w:rsidTr="00185041">
        <w:tc>
          <w:tcPr>
            <w:tcW w:w="9351" w:type="dxa"/>
            <w:gridSpan w:val="4"/>
          </w:tcPr>
          <w:p w14:paraId="50B8600B" w14:textId="3E1C56C4" w:rsidR="00B25871" w:rsidRPr="004F3B0B" w:rsidRDefault="00B25871" w:rsidP="00314F8A">
            <w:pPr>
              <w:pStyle w:val="Tabletext0"/>
              <w:spacing w:before="0" w:after="0"/>
              <w:jc w:val="left"/>
            </w:pPr>
            <w:r w:rsidRPr="004C443A">
              <w:rPr>
                <w:b/>
                <w:bCs/>
              </w:rPr>
              <w:t>Other hospital resource use</w:t>
            </w:r>
          </w:p>
        </w:tc>
      </w:tr>
      <w:tr w:rsidR="001252D3" w:rsidRPr="004F3B0B" w14:paraId="215B6A8A" w14:textId="77777777" w:rsidTr="00185041">
        <w:trPr>
          <w:trHeight w:val="547"/>
        </w:trPr>
        <w:tc>
          <w:tcPr>
            <w:tcW w:w="2033" w:type="dxa"/>
            <w:hideMark/>
          </w:tcPr>
          <w:p w14:paraId="2627F107" w14:textId="77777777" w:rsidR="004F3B0B" w:rsidRPr="004C443A" w:rsidRDefault="004F3B0B" w:rsidP="00314F8A">
            <w:pPr>
              <w:pStyle w:val="Tabletext0"/>
              <w:spacing w:before="0" w:after="0"/>
              <w:jc w:val="left"/>
              <w:rPr>
                <w:b/>
                <w:bCs/>
              </w:rPr>
            </w:pPr>
            <w:r w:rsidRPr="004C443A">
              <w:rPr>
                <w:b/>
                <w:bCs/>
              </w:rPr>
              <w:t>Hospital stay (ie, hotel cost)</w:t>
            </w:r>
          </w:p>
        </w:tc>
        <w:tc>
          <w:tcPr>
            <w:tcW w:w="1262" w:type="dxa"/>
            <w:hideMark/>
          </w:tcPr>
          <w:p w14:paraId="655654BC" w14:textId="77777777" w:rsidR="004F3B0B" w:rsidRPr="004F3B0B" w:rsidRDefault="004F3B0B" w:rsidP="00314F8A">
            <w:pPr>
              <w:pStyle w:val="Tabletext0"/>
              <w:spacing w:before="0" w:after="0"/>
            </w:pPr>
            <w:r w:rsidRPr="004F3B0B">
              <w:t>N/A</w:t>
            </w:r>
          </w:p>
        </w:tc>
        <w:tc>
          <w:tcPr>
            <w:tcW w:w="2088" w:type="dxa"/>
            <w:hideMark/>
          </w:tcPr>
          <w:p w14:paraId="3BFD9D2B" w14:textId="77777777" w:rsidR="004F3B0B" w:rsidRPr="004F3B0B" w:rsidRDefault="004F3B0B" w:rsidP="00314F8A">
            <w:pPr>
              <w:pStyle w:val="Tabletext0"/>
              <w:spacing w:before="0" w:after="0"/>
            </w:pPr>
            <w:r w:rsidRPr="004F3B0B">
              <w:rPr>
                <w:rFonts w:eastAsia="Calibri"/>
              </w:rPr>
              <w:t>$435</w:t>
            </w:r>
          </w:p>
          <w:p w14:paraId="0B83518B" w14:textId="77777777" w:rsidR="004F3B0B" w:rsidRPr="004F3B0B" w:rsidRDefault="004F3B0B" w:rsidP="00314F8A">
            <w:pPr>
              <w:pStyle w:val="Tabletext0"/>
              <w:spacing w:before="0" w:after="0"/>
            </w:pPr>
            <w:r w:rsidRPr="004F3B0B">
              <w:rPr>
                <w:rFonts w:eastAsia="Calibri"/>
              </w:rPr>
              <w:t>$522</w:t>
            </w:r>
          </w:p>
          <w:p w14:paraId="47DBE995" w14:textId="77777777" w:rsidR="004F3B0B" w:rsidRPr="004F3B0B" w:rsidRDefault="004F3B0B" w:rsidP="00314F8A">
            <w:pPr>
              <w:pStyle w:val="Tabletext0"/>
              <w:spacing w:before="0" w:after="0"/>
            </w:pPr>
            <w:r w:rsidRPr="004F3B0B">
              <w:rPr>
                <w:rFonts w:eastAsia="Calibri"/>
              </w:rPr>
              <w:t>$671</w:t>
            </w:r>
          </w:p>
        </w:tc>
        <w:tc>
          <w:tcPr>
            <w:tcW w:w="3968" w:type="dxa"/>
            <w:hideMark/>
          </w:tcPr>
          <w:p w14:paraId="5A9CD9C9" w14:textId="07A4A632" w:rsidR="004F3B0B" w:rsidRPr="004F3B0B" w:rsidRDefault="004F3B0B" w:rsidP="00314F8A">
            <w:pPr>
              <w:pStyle w:val="Tabletext0"/>
              <w:spacing w:before="0" w:after="0"/>
              <w:jc w:val="left"/>
            </w:pPr>
            <w:r w:rsidRPr="004F3B0B">
              <w:t>Costing based on the SIRA 2019 Private Hospital Fee Schedule</w:t>
            </w:r>
            <w:r w:rsidR="006D169E">
              <w:t xml:space="preserve"> and adjusted f</w:t>
            </w:r>
            <w:r w:rsidR="00A22A02">
              <w:t>or proportion of overnight stay according to ACHI data</w:t>
            </w:r>
            <w:r w:rsidRPr="004F3B0B">
              <w:t>.</w:t>
            </w:r>
          </w:p>
          <w:p w14:paraId="4E5BD9FF" w14:textId="77777777" w:rsidR="004F3B0B" w:rsidRPr="004F3B0B" w:rsidRDefault="004F3B0B" w:rsidP="00314F8A">
            <w:pPr>
              <w:pStyle w:val="Tabletext0"/>
              <w:spacing w:before="0" w:after="0"/>
              <w:jc w:val="left"/>
            </w:pPr>
            <w:r w:rsidRPr="004F3B0B">
              <w:t xml:space="preserve">LATERA does not require an overnight stay. </w:t>
            </w:r>
          </w:p>
        </w:tc>
      </w:tr>
      <w:tr w:rsidR="001252D3" w:rsidRPr="004F3B0B" w14:paraId="32BAADD4" w14:textId="77777777" w:rsidTr="00185041">
        <w:tc>
          <w:tcPr>
            <w:tcW w:w="2033" w:type="dxa"/>
            <w:hideMark/>
          </w:tcPr>
          <w:p w14:paraId="4E979CE5" w14:textId="77777777" w:rsidR="004F3B0B" w:rsidRPr="004C443A" w:rsidRDefault="004F3B0B" w:rsidP="00314F8A">
            <w:pPr>
              <w:pStyle w:val="Tabletext0"/>
              <w:spacing w:before="0" w:after="0"/>
              <w:jc w:val="left"/>
              <w:rPr>
                <w:b/>
                <w:bCs/>
              </w:rPr>
            </w:pPr>
            <w:r w:rsidRPr="004C443A">
              <w:rPr>
                <w:b/>
                <w:bCs/>
              </w:rPr>
              <w:t>Other consumables / theatre time / overheads</w:t>
            </w:r>
          </w:p>
        </w:tc>
        <w:tc>
          <w:tcPr>
            <w:tcW w:w="1262" w:type="dxa"/>
            <w:hideMark/>
          </w:tcPr>
          <w:p w14:paraId="296AE1BF" w14:textId="77777777" w:rsidR="004F3B0B" w:rsidRPr="004F3B0B" w:rsidRDefault="004F3B0B" w:rsidP="00314F8A">
            <w:pPr>
              <w:pStyle w:val="Tabletext0"/>
              <w:spacing w:before="0" w:after="0"/>
            </w:pPr>
            <w:r w:rsidRPr="004F3B0B">
              <w:rPr>
                <w:rFonts w:eastAsia="Calibri"/>
              </w:rPr>
              <w:t>$630.90</w:t>
            </w:r>
          </w:p>
        </w:tc>
        <w:tc>
          <w:tcPr>
            <w:tcW w:w="2088" w:type="dxa"/>
            <w:hideMark/>
          </w:tcPr>
          <w:p w14:paraId="04632D17" w14:textId="77777777" w:rsidR="004F3B0B" w:rsidRPr="004F3B0B" w:rsidRDefault="004F3B0B" w:rsidP="00314F8A">
            <w:pPr>
              <w:pStyle w:val="Tabletext0"/>
              <w:spacing w:before="0" w:after="0"/>
            </w:pPr>
            <w:r w:rsidRPr="004F3B0B">
              <w:rPr>
                <w:rFonts w:eastAsia="Calibri"/>
              </w:rPr>
              <w:t>$1534</w:t>
            </w:r>
          </w:p>
          <w:p w14:paraId="6BC57084" w14:textId="77777777" w:rsidR="004F3B0B" w:rsidRPr="004F3B0B" w:rsidRDefault="004F3B0B" w:rsidP="00314F8A">
            <w:pPr>
              <w:pStyle w:val="Tabletext0"/>
              <w:spacing w:before="0" w:after="0"/>
            </w:pPr>
            <w:r w:rsidRPr="004F3B0B">
              <w:rPr>
                <w:rFonts w:eastAsia="Calibri"/>
              </w:rPr>
              <w:t>$1760</w:t>
            </w:r>
          </w:p>
          <w:p w14:paraId="107A7BC1" w14:textId="77777777" w:rsidR="004F3B0B" w:rsidRPr="004F3B0B" w:rsidRDefault="004F3B0B" w:rsidP="00314F8A">
            <w:pPr>
              <w:pStyle w:val="Tabletext0"/>
              <w:spacing w:before="0" w:after="0"/>
            </w:pPr>
            <w:r w:rsidRPr="004F3B0B">
              <w:rPr>
                <w:rFonts w:eastAsia="Calibri"/>
              </w:rPr>
              <w:t>$1760</w:t>
            </w:r>
          </w:p>
        </w:tc>
        <w:tc>
          <w:tcPr>
            <w:tcW w:w="3968" w:type="dxa"/>
            <w:hideMark/>
          </w:tcPr>
          <w:p w14:paraId="45EA6212" w14:textId="77777777" w:rsidR="004F3B0B" w:rsidRPr="004F3B0B" w:rsidRDefault="004F3B0B" w:rsidP="00314F8A">
            <w:pPr>
              <w:pStyle w:val="Tabletext0"/>
              <w:spacing w:before="0" w:after="0"/>
              <w:jc w:val="left"/>
            </w:pPr>
            <w:r w:rsidRPr="004F3B0B">
              <w:t>Costing based on the SIRA 2019 Private Hospital Fee Schedule.</w:t>
            </w:r>
          </w:p>
          <w:p w14:paraId="4BC126E7" w14:textId="77777777" w:rsidR="004F3B0B" w:rsidRPr="004F3B0B" w:rsidRDefault="004F3B0B" w:rsidP="00314F8A">
            <w:pPr>
              <w:pStyle w:val="Tabletext0"/>
              <w:spacing w:before="0" w:after="0"/>
              <w:jc w:val="left"/>
            </w:pPr>
            <w:r w:rsidRPr="004F3B0B">
              <w:t> </w:t>
            </w:r>
          </w:p>
        </w:tc>
      </w:tr>
    </w:tbl>
    <w:p w14:paraId="6337C772" w14:textId="1BB3C8E1" w:rsidR="00F63105" w:rsidRPr="00F63105" w:rsidRDefault="00B34871" w:rsidP="00F63105">
      <w:pPr>
        <w:keepNext/>
        <w:keepLines/>
        <w:spacing w:before="0" w:after="0" w:line="240" w:lineRule="auto"/>
        <w:rPr>
          <w:rFonts w:ascii="Arial Narrow" w:eastAsia="Calibri" w:hAnsi="Arial Narrow" w:cs="Arial"/>
          <w:sz w:val="16"/>
          <w:szCs w:val="16"/>
        </w:rPr>
      </w:pPr>
      <w:r>
        <w:rPr>
          <w:rFonts w:ascii="Arial Narrow" w:eastAsia="Calibri" w:hAnsi="Arial Narrow" w:cs="Arial"/>
          <w:sz w:val="16"/>
          <w:szCs w:val="16"/>
        </w:rPr>
        <w:t>Source</w:t>
      </w:r>
      <w:r w:rsidR="00F63105" w:rsidRPr="00F63105">
        <w:rPr>
          <w:rFonts w:ascii="Arial Narrow" w:eastAsia="Calibri" w:hAnsi="Arial Narrow" w:cs="Arial"/>
          <w:sz w:val="16"/>
          <w:szCs w:val="16"/>
        </w:rPr>
        <w:t xml:space="preserve">: </w:t>
      </w:r>
      <w:r w:rsidR="00D43636">
        <w:rPr>
          <w:rFonts w:ascii="Arial Narrow" w:eastAsia="Calibri" w:hAnsi="Arial Narrow" w:cs="Arial"/>
          <w:sz w:val="16"/>
          <w:szCs w:val="16"/>
        </w:rPr>
        <w:t xml:space="preserve">Compiled from </w:t>
      </w:r>
      <w:r w:rsidR="002C1849">
        <w:rPr>
          <w:rFonts w:ascii="Arial Narrow" w:eastAsia="Calibri" w:hAnsi="Arial Narrow" w:cs="Arial"/>
          <w:sz w:val="16"/>
          <w:szCs w:val="16"/>
        </w:rPr>
        <w:t xml:space="preserve">Table </w:t>
      </w:r>
      <w:r w:rsidR="00A7330E">
        <w:rPr>
          <w:rFonts w:ascii="Arial Narrow" w:eastAsia="Calibri" w:hAnsi="Arial Narrow" w:cs="Arial"/>
          <w:sz w:val="16"/>
          <w:szCs w:val="16"/>
        </w:rPr>
        <w:t>56 and</w:t>
      </w:r>
      <w:r w:rsidR="006D35AB">
        <w:rPr>
          <w:rFonts w:ascii="Arial Narrow" w:eastAsia="Calibri" w:hAnsi="Arial Narrow" w:cs="Arial"/>
          <w:sz w:val="16"/>
          <w:szCs w:val="16"/>
        </w:rPr>
        <w:t xml:space="preserve"> </w:t>
      </w:r>
      <w:r w:rsidR="00F05905">
        <w:rPr>
          <w:rFonts w:ascii="Arial Narrow" w:eastAsia="Calibri" w:hAnsi="Arial Narrow" w:cs="Arial"/>
          <w:sz w:val="16"/>
          <w:szCs w:val="16"/>
        </w:rPr>
        <w:t>58</w:t>
      </w:r>
      <w:r w:rsidR="00A7330E">
        <w:rPr>
          <w:rFonts w:ascii="Arial Narrow" w:eastAsia="Calibri" w:hAnsi="Arial Narrow" w:cs="Arial"/>
          <w:sz w:val="16"/>
          <w:szCs w:val="16"/>
        </w:rPr>
        <w:t xml:space="preserve"> of MSAC 1719 ADAR+inline commentary</w:t>
      </w:r>
    </w:p>
    <w:p w14:paraId="27B44B79" w14:textId="23D9BE91" w:rsidR="00956CAA" w:rsidRPr="004D4533" w:rsidRDefault="004D0114" w:rsidP="009352C9">
      <w:pPr>
        <w:tabs>
          <w:tab w:val="left" w:pos="6521"/>
        </w:tabs>
        <w:spacing w:before="240"/>
      </w:pPr>
      <w:r w:rsidRPr="004D4533">
        <w:t>The commentary highlight</w:t>
      </w:r>
      <w:r w:rsidR="00980491">
        <w:t>ed</w:t>
      </w:r>
      <w:r w:rsidRPr="004D4533">
        <w:t xml:space="preserve"> t</w:t>
      </w:r>
      <w:r w:rsidR="008942BE">
        <w:t xml:space="preserve">hat </w:t>
      </w:r>
      <w:r w:rsidR="00D152F0">
        <w:t>f</w:t>
      </w:r>
      <w:r w:rsidRPr="004D4533">
        <w:t xml:space="preserve">unctional rhinoplasty is always performed in hospital and therefore includes hospital admission and theatre time for the procedure. </w:t>
      </w:r>
      <w:r w:rsidR="00362863">
        <w:t xml:space="preserve">Although LATERA could be performed in a consulting room, the ADAR </w:t>
      </w:r>
      <w:r w:rsidR="00C60A1D">
        <w:t>states it has costed the LATERA procedure as a same-day hospital procedure</w:t>
      </w:r>
      <w:r w:rsidR="0082191E">
        <w:t xml:space="preserve">. The pre-ESC response </w:t>
      </w:r>
      <w:r w:rsidR="00F97374">
        <w:t>clarified that</w:t>
      </w:r>
      <w:r w:rsidR="004866FE">
        <w:t xml:space="preserve"> the applicant considered that</w:t>
      </w:r>
      <w:r w:rsidR="00F97374">
        <w:t xml:space="preserve"> the use of LATERA as an outpatient consultation room procedure in Australia would be rare and that </w:t>
      </w:r>
      <w:r w:rsidR="005B78C3">
        <w:t xml:space="preserve">the applicant considered that </w:t>
      </w:r>
      <w:r w:rsidR="00F97374">
        <w:t>the decision to perform the LATERA procedure as a same-day hospital procedure is</w:t>
      </w:r>
      <w:r w:rsidR="004F0EC8">
        <w:t xml:space="preserve"> not a</w:t>
      </w:r>
      <w:r w:rsidR="004F0EC8" w:rsidRPr="004F0EC8">
        <w:t xml:space="preserve"> clinical decision / requirement but more a financial decision for patients (and doctors) as the prosthesis subsidisation</w:t>
      </w:r>
      <w:r w:rsidR="00794265">
        <w:t xml:space="preserve"> </w:t>
      </w:r>
      <w:r w:rsidR="00930A60">
        <w:t>(</w:t>
      </w:r>
      <w:r w:rsidR="00794265">
        <w:t>i.e. if LATERA implant is included on the Prostheses List</w:t>
      </w:r>
      <w:r w:rsidR="00930A60">
        <w:t>)</w:t>
      </w:r>
      <w:r w:rsidR="004F0EC8" w:rsidRPr="004F0EC8">
        <w:t xml:space="preserve"> w</w:t>
      </w:r>
      <w:r w:rsidR="00794265">
        <w:t xml:space="preserve">ould not </w:t>
      </w:r>
      <w:r w:rsidR="004F0EC8" w:rsidRPr="004F0EC8">
        <w:t xml:space="preserve">be provided for the LATERA implant if the service is delivered in a consultation room. </w:t>
      </w:r>
      <w:r w:rsidR="00773725">
        <w:t xml:space="preserve">Sensitivity analyses </w:t>
      </w:r>
      <w:r w:rsidR="007049EE">
        <w:t xml:space="preserve">requested by ESC and additional sensitivity analyses presented in the pre-MSAC response are </w:t>
      </w:r>
      <w:r w:rsidR="00331F6A">
        <w:t xml:space="preserve">shown in </w:t>
      </w:r>
      <w:r w:rsidR="00331F6A">
        <w:fldChar w:fldCharType="begin"/>
      </w:r>
      <w:r w:rsidR="00331F6A">
        <w:instrText xml:space="preserve"> REF _Ref128143264 \h </w:instrText>
      </w:r>
      <w:r w:rsidR="00331F6A">
        <w:fldChar w:fldCharType="separate"/>
      </w:r>
      <w:r w:rsidR="00331F6A" w:rsidRPr="00F63105">
        <w:t xml:space="preserve">Table </w:t>
      </w:r>
      <w:r w:rsidR="00331F6A">
        <w:rPr>
          <w:noProof/>
        </w:rPr>
        <w:t>20</w:t>
      </w:r>
      <w:r w:rsidR="00331F6A">
        <w:fldChar w:fldCharType="end"/>
      </w:r>
      <w:r w:rsidR="00331F6A">
        <w:t xml:space="preserve"> and </w:t>
      </w:r>
      <w:r w:rsidR="00331F6A">
        <w:fldChar w:fldCharType="begin"/>
      </w:r>
      <w:r w:rsidR="00331F6A">
        <w:instrText xml:space="preserve"> REF _Ref129768805 \h </w:instrText>
      </w:r>
      <w:r w:rsidR="00331F6A">
        <w:fldChar w:fldCharType="separate"/>
      </w:r>
      <w:r w:rsidR="00331F6A">
        <w:t xml:space="preserve">Table </w:t>
      </w:r>
      <w:r w:rsidR="00331F6A">
        <w:rPr>
          <w:noProof/>
        </w:rPr>
        <w:t>21</w:t>
      </w:r>
      <w:r w:rsidR="00331F6A">
        <w:fldChar w:fldCharType="end"/>
      </w:r>
      <w:r w:rsidR="00331F6A">
        <w:t>, respectively.</w:t>
      </w:r>
    </w:p>
    <w:p w14:paraId="341EFC02" w14:textId="5D43F6A9" w:rsidR="00F617B3" w:rsidRDefault="00F617B3" w:rsidP="00F617B3">
      <w:pPr>
        <w:pStyle w:val="Caption"/>
      </w:pPr>
      <w:bookmarkStart w:id="50" w:name="_Ref128143264"/>
      <w:r w:rsidRPr="00F63105">
        <w:lastRenderedPageBreak/>
        <w:t xml:space="preserve">Table </w:t>
      </w:r>
      <w:r w:rsidRPr="00F63105">
        <w:fldChar w:fldCharType="begin"/>
      </w:r>
      <w:r w:rsidRPr="00F63105">
        <w:instrText>SEQ Table \* ARABIC</w:instrText>
      </w:r>
      <w:r w:rsidRPr="00F63105">
        <w:fldChar w:fldCharType="separate"/>
      </w:r>
      <w:r w:rsidR="003511D3">
        <w:rPr>
          <w:noProof/>
        </w:rPr>
        <w:t>20</w:t>
      </w:r>
      <w:r w:rsidRPr="00F63105">
        <w:fldChar w:fldCharType="end"/>
      </w:r>
      <w:bookmarkEnd w:id="50"/>
      <w:r>
        <w:t xml:space="preserve"> Sensitivity analyses </w:t>
      </w:r>
      <w:r w:rsidR="005B0284">
        <w:t xml:space="preserve">requested by ESC </w:t>
      </w:r>
    </w:p>
    <w:tbl>
      <w:tblPr>
        <w:tblStyle w:val="TableGrid1"/>
        <w:tblW w:w="9918" w:type="dxa"/>
        <w:tblLayout w:type="fixed"/>
        <w:tblLook w:val="04A0" w:firstRow="1" w:lastRow="0" w:firstColumn="1" w:lastColumn="0" w:noHBand="0" w:noVBand="1"/>
      </w:tblPr>
      <w:tblGrid>
        <w:gridCol w:w="5881"/>
        <w:gridCol w:w="1541"/>
        <w:gridCol w:w="1302"/>
        <w:gridCol w:w="1194"/>
      </w:tblGrid>
      <w:tr w:rsidR="00836FE9" w:rsidRPr="00836FE9" w14:paraId="314E8B7C"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58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02FCF" w14:textId="77777777" w:rsidR="00836FE9" w:rsidRPr="00BF0EC7" w:rsidRDefault="00836FE9" w:rsidP="00836FE9">
            <w:pPr>
              <w:pStyle w:val="Tabletext0"/>
              <w:rPr>
                <w:b/>
                <w:bCs/>
              </w:rPr>
            </w:pPr>
            <w:r w:rsidRPr="00BF0EC7">
              <w:rPr>
                <w:b/>
                <w:bCs/>
              </w:rPr>
              <w:t> </w:t>
            </w:r>
          </w:p>
        </w:tc>
        <w:tc>
          <w:tcPr>
            <w:tcW w:w="2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C6C708" w14:textId="77777777" w:rsidR="00836FE9" w:rsidRPr="00BF0EC7" w:rsidRDefault="00836FE9" w:rsidP="00836FE9">
            <w:pPr>
              <w:pStyle w:val="Tabletext0"/>
              <w:rPr>
                <w:b/>
                <w:bCs/>
              </w:rPr>
            </w:pPr>
            <w:r w:rsidRPr="00BF0EC7">
              <w:rPr>
                <w:b/>
                <w:bCs/>
              </w:rPr>
              <w:t>Total cost, per procedure</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E458A" w14:textId="77777777" w:rsidR="00836FE9" w:rsidRPr="00BF0EC7" w:rsidRDefault="00836FE9" w:rsidP="00836FE9">
            <w:pPr>
              <w:pStyle w:val="Tabletext0"/>
              <w:rPr>
                <w:b/>
                <w:bCs/>
              </w:rPr>
            </w:pPr>
            <w:r w:rsidRPr="00BF0EC7">
              <w:rPr>
                <w:b/>
                <w:bCs/>
              </w:rPr>
              <w:t>Difference</w:t>
            </w:r>
          </w:p>
        </w:tc>
      </w:tr>
      <w:tr w:rsidR="00836FE9" w:rsidRPr="00836FE9" w14:paraId="05CD645E"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5881" w:type="dxa"/>
            <w:vMerge/>
            <w:tcBorders>
              <w:top w:val="single" w:sz="4" w:space="0" w:color="auto"/>
              <w:left w:val="single" w:sz="4" w:space="0" w:color="auto"/>
              <w:bottom w:val="single" w:sz="4" w:space="0" w:color="auto"/>
              <w:right w:val="single" w:sz="4" w:space="0" w:color="auto"/>
            </w:tcBorders>
            <w:vAlign w:val="center"/>
            <w:hideMark/>
          </w:tcPr>
          <w:p w14:paraId="2D49F169" w14:textId="77777777" w:rsidR="00836FE9" w:rsidRPr="00BF0EC7" w:rsidRDefault="00836FE9" w:rsidP="00836FE9">
            <w:pPr>
              <w:pStyle w:val="Tabletext0"/>
              <w:rPr>
                <w:b/>
                <w:bCs/>
              </w:rPr>
            </w:pPr>
          </w:p>
        </w:tc>
        <w:tc>
          <w:tcPr>
            <w:tcW w:w="1541" w:type="dxa"/>
            <w:tcBorders>
              <w:top w:val="nil"/>
              <w:left w:val="nil"/>
              <w:bottom w:val="single" w:sz="4" w:space="0" w:color="auto"/>
              <w:right w:val="single" w:sz="4" w:space="0" w:color="auto"/>
            </w:tcBorders>
            <w:shd w:val="clear" w:color="auto" w:fill="auto"/>
            <w:noWrap/>
            <w:vAlign w:val="bottom"/>
            <w:hideMark/>
          </w:tcPr>
          <w:p w14:paraId="08BF0910" w14:textId="77777777" w:rsidR="00836FE9" w:rsidRPr="00BF0EC7" w:rsidRDefault="00836FE9" w:rsidP="00836FE9">
            <w:pPr>
              <w:pStyle w:val="Tabletext0"/>
              <w:rPr>
                <w:b/>
                <w:bCs/>
              </w:rPr>
            </w:pPr>
            <w:r w:rsidRPr="00BF0EC7">
              <w:rPr>
                <w:b/>
                <w:bCs/>
              </w:rPr>
              <w:t>Latera</w:t>
            </w:r>
          </w:p>
        </w:tc>
        <w:tc>
          <w:tcPr>
            <w:tcW w:w="1302" w:type="dxa"/>
            <w:tcBorders>
              <w:top w:val="nil"/>
              <w:left w:val="nil"/>
              <w:bottom w:val="single" w:sz="4" w:space="0" w:color="auto"/>
              <w:right w:val="single" w:sz="4" w:space="0" w:color="auto"/>
            </w:tcBorders>
            <w:shd w:val="clear" w:color="auto" w:fill="auto"/>
            <w:noWrap/>
            <w:vAlign w:val="bottom"/>
            <w:hideMark/>
          </w:tcPr>
          <w:p w14:paraId="23CB5BF8" w14:textId="77777777" w:rsidR="00836FE9" w:rsidRPr="00BF0EC7" w:rsidRDefault="00836FE9" w:rsidP="00836FE9">
            <w:pPr>
              <w:pStyle w:val="Tabletext0"/>
              <w:rPr>
                <w:b/>
                <w:bCs/>
              </w:rPr>
            </w:pPr>
            <w:r w:rsidRPr="00BF0EC7">
              <w:rPr>
                <w:b/>
                <w:bCs/>
              </w:rPr>
              <w:t>Rhinoplasty</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B93F290" w14:textId="77777777" w:rsidR="00836FE9" w:rsidRPr="00BF0EC7" w:rsidRDefault="00836FE9" w:rsidP="00836FE9">
            <w:pPr>
              <w:pStyle w:val="Tabletext0"/>
              <w:rPr>
                <w:b/>
                <w:bCs/>
              </w:rPr>
            </w:pPr>
          </w:p>
        </w:tc>
      </w:tr>
      <w:tr w:rsidR="00836FE9" w:rsidRPr="00BB1E80" w14:paraId="73D1CF02" w14:textId="77777777" w:rsidTr="009E299F">
        <w:trPr>
          <w:cnfStyle w:val="100000000000" w:firstRow="1" w:lastRow="0" w:firstColumn="0" w:lastColumn="0" w:oddVBand="0" w:evenVBand="0" w:oddHBand="0" w:evenHBand="0" w:firstRowFirstColumn="0" w:firstRowLastColumn="0" w:lastRowFirstColumn="0" w:lastRowLastColumn="0"/>
          <w:trHeight w:val="267"/>
          <w:tblHeader/>
        </w:trPr>
        <w:tc>
          <w:tcPr>
            <w:tcW w:w="5881" w:type="dxa"/>
            <w:tcBorders>
              <w:top w:val="nil"/>
              <w:left w:val="single" w:sz="4" w:space="0" w:color="auto"/>
              <w:bottom w:val="single" w:sz="4" w:space="0" w:color="auto"/>
              <w:right w:val="single" w:sz="4" w:space="0" w:color="auto"/>
            </w:tcBorders>
            <w:shd w:val="clear" w:color="auto" w:fill="auto"/>
            <w:noWrap/>
            <w:hideMark/>
          </w:tcPr>
          <w:p w14:paraId="33902CC3" w14:textId="77777777" w:rsidR="00836FE9" w:rsidRPr="00BB1E80" w:rsidRDefault="00836FE9" w:rsidP="00836FE9">
            <w:pPr>
              <w:pStyle w:val="Tabletext0"/>
              <w:jc w:val="left"/>
              <w:rPr>
                <w:b/>
                <w:bCs/>
              </w:rPr>
            </w:pPr>
            <w:r w:rsidRPr="00BB1E80">
              <w:rPr>
                <w:b/>
                <w:bCs/>
              </w:rPr>
              <w:t>Base case</w:t>
            </w:r>
          </w:p>
        </w:tc>
        <w:tc>
          <w:tcPr>
            <w:tcW w:w="1541" w:type="dxa"/>
            <w:tcBorders>
              <w:top w:val="nil"/>
              <w:left w:val="nil"/>
              <w:bottom w:val="single" w:sz="4" w:space="0" w:color="auto"/>
              <w:right w:val="single" w:sz="4" w:space="0" w:color="auto"/>
            </w:tcBorders>
            <w:shd w:val="clear" w:color="auto" w:fill="auto"/>
            <w:noWrap/>
            <w:hideMark/>
          </w:tcPr>
          <w:p w14:paraId="3D11FAAC" w14:textId="40C6DEBC" w:rsidR="00836FE9" w:rsidRPr="00BB1E80" w:rsidRDefault="00836FE9" w:rsidP="00836FE9">
            <w:pPr>
              <w:pStyle w:val="Tabletext0"/>
              <w:jc w:val="left"/>
              <w:rPr>
                <w:b/>
                <w:bCs/>
              </w:rPr>
            </w:pPr>
            <w:r w:rsidRPr="00BB1E80">
              <w:rPr>
                <w:b/>
                <w:bCs/>
              </w:rPr>
              <w:t>$</w:t>
            </w:r>
            <w:r w:rsidR="009B60AF"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75CA7D69" w14:textId="77777777" w:rsidR="00836FE9" w:rsidRPr="00BB1E80" w:rsidRDefault="00836FE9" w:rsidP="00836FE9">
            <w:pPr>
              <w:pStyle w:val="Tabletext0"/>
              <w:jc w:val="left"/>
              <w:rPr>
                <w:b/>
                <w:bCs/>
              </w:rPr>
            </w:pPr>
            <w:r w:rsidRPr="00BB1E80">
              <w:rPr>
                <w:b/>
                <w:bCs/>
              </w:rPr>
              <w:t>$3,829.03</w:t>
            </w:r>
          </w:p>
        </w:tc>
        <w:tc>
          <w:tcPr>
            <w:tcW w:w="1194" w:type="dxa"/>
            <w:tcBorders>
              <w:top w:val="nil"/>
              <w:left w:val="nil"/>
              <w:bottom w:val="single" w:sz="4" w:space="0" w:color="auto"/>
              <w:right w:val="single" w:sz="4" w:space="0" w:color="auto"/>
            </w:tcBorders>
            <w:shd w:val="clear" w:color="auto" w:fill="auto"/>
            <w:noWrap/>
            <w:hideMark/>
          </w:tcPr>
          <w:p w14:paraId="743A18AE" w14:textId="285BB79A" w:rsidR="00836FE9" w:rsidRPr="00BB1E80" w:rsidRDefault="009B60AF" w:rsidP="00836FE9">
            <w:pPr>
              <w:pStyle w:val="Tabletext0"/>
              <w:jc w:val="left"/>
              <w:rPr>
                <w:b/>
                <w:bCs/>
              </w:rPr>
            </w:pPr>
            <w:r w:rsidRPr="00BB1E80">
              <w:rPr>
                <w:b/>
                <w:bCs/>
              </w:rPr>
              <w:t>$redacted</w:t>
            </w:r>
          </w:p>
        </w:tc>
      </w:tr>
      <w:tr w:rsidR="00836FE9" w:rsidRPr="00836FE9" w14:paraId="711CD137"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9918" w:type="dxa"/>
            <w:gridSpan w:val="4"/>
            <w:tcBorders>
              <w:top w:val="nil"/>
              <w:left w:val="single" w:sz="4" w:space="0" w:color="auto"/>
              <w:bottom w:val="single" w:sz="4" w:space="0" w:color="auto"/>
              <w:right w:val="single" w:sz="4" w:space="0" w:color="auto"/>
            </w:tcBorders>
            <w:shd w:val="clear" w:color="auto" w:fill="auto"/>
            <w:noWrap/>
            <w:hideMark/>
          </w:tcPr>
          <w:p w14:paraId="596E220A" w14:textId="7856DBDD" w:rsidR="00836FE9" w:rsidRPr="00E42CAC" w:rsidRDefault="00836FE9" w:rsidP="00836FE9">
            <w:pPr>
              <w:pStyle w:val="Tabletext0"/>
              <w:jc w:val="left"/>
            </w:pPr>
            <w:r w:rsidRPr="00E42CAC">
              <w:t>Weighted average across Rhinoplasty procedures (base case: across all 3 procedures) </w:t>
            </w:r>
          </w:p>
        </w:tc>
      </w:tr>
      <w:tr w:rsidR="00836FE9" w:rsidRPr="00BB1E80" w14:paraId="162173FA" w14:textId="77777777" w:rsidTr="009E299F">
        <w:trPr>
          <w:cnfStyle w:val="100000000000" w:firstRow="1" w:lastRow="0" w:firstColumn="0" w:lastColumn="0" w:oddVBand="0" w:evenVBand="0" w:oddHBand="0" w:evenHBand="0" w:firstRowFirstColumn="0" w:firstRowLastColumn="0" w:lastRowFirstColumn="0" w:lastRowLastColumn="0"/>
          <w:trHeight w:val="344"/>
          <w:tblHeader/>
        </w:trPr>
        <w:tc>
          <w:tcPr>
            <w:tcW w:w="5881" w:type="dxa"/>
            <w:tcBorders>
              <w:top w:val="nil"/>
              <w:left w:val="single" w:sz="4" w:space="0" w:color="auto"/>
              <w:bottom w:val="single" w:sz="4" w:space="0" w:color="auto"/>
              <w:right w:val="single" w:sz="4" w:space="0" w:color="auto"/>
            </w:tcBorders>
            <w:shd w:val="clear" w:color="auto" w:fill="auto"/>
            <w:hideMark/>
          </w:tcPr>
          <w:p w14:paraId="79932749" w14:textId="77777777" w:rsidR="00836FE9" w:rsidRPr="00BB1E80" w:rsidRDefault="00836FE9" w:rsidP="00BF0EC7">
            <w:pPr>
              <w:pStyle w:val="Tabletext0"/>
              <w:ind w:left="164"/>
              <w:jc w:val="left"/>
            </w:pPr>
            <w:r w:rsidRPr="00BB1E80">
              <w:t>#1 - Latera only compared against partial rhinoplasty</w:t>
            </w:r>
          </w:p>
        </w:tc>
        <w:tc>
          <w:tcPr>
            <w:tcW w:w="1541" w:type="dxa"/>
            <w:tcBorders>
              <w:top w:val="nil"/>
              <w:left w:val="nil"/>
              <w:bottom w:val="single" w:sz="4" w:space="0" w:color="auto"/>
              <w:right w:val="single" w:sz="4" w:space="0" w:color="auto"/>
            </w:tcBorders>
            <w:shd w:val="clear" w:color="auto" w:fill="auto"/>
            <w:noWrap/>
            <w:hideMark/>
          </w:tcPr>
          <w:p w14:paraId="1D57028C" w14:textId="619F5899"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2E098569" w14:textId="77777777" w:rsidR="00836FE9" w:rsidRPr="00BB1E80" w:rsidRDefault="00836FE9" w:rsidP="00836FE9">
            <w:pPr>
              <w:pStyle w:val="Tabletext0"/>
              <w:jc w:val="left"/>
            </w:pPr>
            <w:r w:rsidRPr="00BB1E80">
              <w:t>$2,783.17</w:t>
            </w:r>
          </w:p>
        </w:tc>
        <w:tc>
          <w:tcPr>
            <w:tcW w:w="1194" w:type="dxa"/>
            <w:tcBorders>
              <w:top w:val="nil"/>
              <w:left w:val="nil"/>
              <w:bottom w:val="single" w:sz="4" w:space="0" w:color="auto"/>
              <w:right w:val="single" w:sz="4" w:space="0" w:color="auto"/>
            </w:tcBorders>
            <w:shd w:val="clear" w:color="auto" w:fill="auto"/>
            <w:noWrap/>
            <w:hideMark/>
          </w:tcPr>
          <w:p w14:paraId="3E4FCABC" w14:textId="3916D4A0" w:rsidR="00836FE9" w:rsidRPr="00BB1E80" w:rsidRDefault="009B60AF" w:rsidP="00836FE9">
            <w:pPr>
              <w:pStyle w:val="Tabletext0"/>
              <w:jc w:val="left"/>
            </w:pPr>
            <w:r w:rsidRPr="00BB1E80">
              <w:rPr>
                <w:b/>
                <w:bCs/>
              </w:rPr>
              <w:t>-$redacted</w:t>
            </w:r>
          </w:p>
        </w:tc>
      </w:tr>
      <w:tr w:rsidR="00836FE9" w:rsidRPr="00836FE9" w14:paraId="3CAA5CA0" w14:textId="77777777" w:rsidTr="009E299F">
        <w:trPr>
          <w:cnfStyle w:val="100000000000" w:firstRow="1" w:lastRow="0" w:firstColumn="0" w:lastColumn="0" w:oddVBand="0" w:evenVBand="0" w:oddHBand="0" w:evenHBand="0" w:firstRowFirstColumn="0" w:firstRowLastColumn="0" w:lastRowFirstColumn="0" w:lastRowLastColumn="0"/>
          <w:trHeight w:val="292"/>
          <w:tblHeader/>
        </w:trPr>
        <w:tc>
          <w:tcPr>
            <w:tcW w:w="9918" w:type="dxa"/>
            <w:gridSpan w:val="4"/>
            <w:tcBorders>
              <w:top w:val="nil"/>
              <w:left w:val="single" w:sz="4" w:space="0" w:color="auto"/>
              <w:bottom w:val="single" w:sz="4" w:space="0" w:color="auto"/>
              <w:right w:val="single" w:sz="4" w:space="0" w:color="auto"/>
            </w:tcBorders>
            <w:shd w:val="clear" w:color="auto" w:fill="auto"/>
            <w:hideMark/>
          </w:tcPr>
          <w:p w14:paraId="17A55493" w14:textId="6A144E94" w:rsidR="00836FE9" w:rsidRPr="00E42CAC" w:rsidRDefault="00836FE9" w:rsidP="00836FE9">
            <w:pPr>
              <w:pStyle w:val="Tabletext0"/>
              <w:jc w:val="left"/>
            </w:pPr>
            <w:r w:rsidRPr="00E42CAC">
              <w:t>Rhinoplasty overnight stay (base case: 46% same day) </w:t>
            </w:r>
          </w:p>
        </w:tc>
      </w:tr>
      <w:tr w:rsidR="00836FE9" w:rsidRPr="00BB1E80" w14:paraId="0E38DCD1"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5881" w:type="dxa"/>
            <w:tcBorders>
              <w:top w:val="nil"/>
              <w:left w:val="single" w:sz="4" w:space="0" w:color="auto"/>
              <w:bottom w:val="single" w:sz="4" w:space="0" w:color="auto"/>
              <w:right w:val="single" w:sz="4" w:space="0" w:color="auto"/>
            </w:tcBorders>
            <w:shd w:val="clear" w:color="auto" w:fill="auto"/>
            <w:noWrap/>
            <w:hideMark/>
          </w:tcPr>
          <w:p w14:paraId="6EB03C11" w14:textId="77777777" w:rsidR="00836FE9" w:rsidRPr="00BB1E80" w:rsidRDefault="00836FE9" w:rsidP="00BF0EC7">
            <w:pPr>
              <w:pStyle w:val="Tabletext0"/>
              <w:ind w:left="164"/>
              <w:jc w:val="left"/>
            </w:pPr>
            <w:r w:rsidRPr="00BB1E80">
              <w:t>#2 - 100% same day - Partial rhinoplasty</w:t>
            </w:r>
          </w:p>
        </w:tc>
        <w:tc>
          <w:tcPr>
            <w:tcW w:w="1541" w:type="dxa"/>
            <w:tcBorders>
              <w:top w:val="nil"/>
              <w:left w:val="nil"/>
              <w:bottom w:val="single" w:sz="4" w:space="0" w:color="auto"/>
              <w:right w:val="single" w:sz="4" w:space="0" w:color="auto"/>
            </w:tcBorders>
            <w:shd w:val="clear" w:color="auto" w:fill="auto"/>
            <w:noWrap/>
            <w:hideMark/>
          </w:tcPr>
          <w:p w14:paraId="79FD3F20" w14:textId="3BE7DF4F"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036B9EA6" w14:textId="77777777" w:rsidR="00836FE9" w:rsidRPr="00BB1E80" w:rsidRDefault="00836FE9" w:rsidP="00836FE9">
            <w:pPr>
              <w:pStyle w:val="Tabletext0"/>
              <w:jc w:val="left"/>
            </w:pPr>
            <w:r w:rsidRPr="00BB1E80">
              <w:t>$1,534.50</w:t>
            </w:r>
          </w:p>
        </w:tc>
        <w:tc>
          <w:tcPr>
            <w:tcW w:w="1194" w:type="dxa"/>
            <w:tcBorders>
              <w:top w:val="nil"/>
              <w:left w:val="nil"/>
              <w:bottom w:val="single" w:sz="4" w:space="0" w:color="auto"/>
              <w:right w:val="single" w:sz="4" w:space="0" w:color="auto"/>
            </w:tcBorders>
            <w:shd w:val="clear" w:color="auto" w:fill="auto"/>
            <w:noWrap/>
            <w:hideMark/>
          </w:tcPr>
          <w:p w14:paraId="52B1E8B2" w14:textId="496EA3BA" w:rsidR="00836FE9" w:rsidRPr="00BB1E80" w:rsidRDefault="009B60AF" w:rsidP="00836FE9">
            <w:pPr>
              <w:pStyle w:val="Tabletext0"/>
              <w:jc w:val="left"/>
            </w:pPr>
            <w:r w:rsidRPr="00BB1E80">
              <w:rPr>
                <w:b/>
                <w:bCs/>
              </w:rPr>
              <w:t>$redacted</w:t>
            </w:r>
          </w:p>
        </w:tc>
      </w:tr>
      <w:tr w:rsidR="00836FE9" w:rsidRPr="00BB1E80" w14:paraId="6093C98F"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5881" w:type="dxa"/>
            <w:tcBorders>
              <w:top w:val="nil"/>
              <w:left w:val="single" w:sz="4" w:space="0" w:color="auto"/>
              <w:bottom w:val="single" w:sz="4" w:space="0" w:color="auto"/>
              <w:right w:val="single" w:sz="4" w:space="0" w:color="auto"/>
            </w:tcBorders>
            <w:shd w:val="clear" w:color="auto" w:fill="auto"/>
            <w:noWrap/>
            <w:hideMark/>
          </w:tcPr>
          <w:p w14:paraId="367C03D6" w14:textId="682BE740" w:rsidR="00836FE9" w:rsidRPr="00BB1E80" w:rsidRDefault="00836FE9" w:rsidP="00BF0EC7">
            <w:pPr>
              <w:pStyle w:val="Tabletext0"/>
              <w:ind w:left="164"/>
              <w:jc w:val="left"/>
            </w:pPr>
            <w:r w:rsidRPr="00BB1E80">
              <w:t>#3 - 100% same day - weighted rhinoplast</w:t>
            </w:r>
            <w:r w:rsidR="008E4E23" w:rsidRPr="00BB1E80">
              <w:t>y</w:t>
            </w:r>
            <w:r w:rsidRPr="00BB1E80">
              <w:t xml:space="preserve"> across all 3 procedures</w:t>
            </w:r>
          </w:p>
        </w:tc>
        <w:tc>
          <w:tcPr>
            <w:tcW w:w="1541" w:type="dxa"/>
            <w:tcBorders>
              <w:top w:val="nil"/>
              <w:left w:val="nil"/>
              <w:bottom w:val="single" w:sz="4" w:space="0" w:color="auto"/>
              <w:right w:val="single" w:sz="4" w:space="0" w:color="auto"/>
            </w:tcBorders>
            <w:shd w:val="clear" w:color="auto" w:fill="auto"/>
            <w:noWrap/>
            <w:hideMark/>
          </w:tcPr>
          <w:p w14:paraId="4EABEE46" w14:textId="348C0218"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34E0E2D9" w14:textId="7ECB4C11" w:rsidR="00836FE9" w:rsidRPr="00BB1E80" w:rsidRDefault="00836FE9" w:rsidP="00836FE9">
            <w:pPr>
              <w:pStyle w:val="Tabletext0"/>
              <w:jc w:val="left"/>
            </w:pPr>
            <w:r w:rsidRPr="00BB1E80">
              <w:t xml:space="preserve">$3,292.47 </w:t>
            </w:r>
          </w:p>
        </w:tc>
        <w:tc>
          <w:tcPr>
            <w:tcW w:w="1194" w:type="dxa"/>
            <w:tcBorders>
              <w:top w:val="nil"/>
              <w:left w:val="nil"/>
              <w:bottom w:val="single" w:sz="4" w:space="0" w:color="auto"/>
              <w:right w:val="single" w:sz="4" w:space="0" w:color="auto"/>
            </w:tcBorders>
            <w:shd w:val="clear" w:color="auto" w:fill="auto"/>
            <w:noWrap/>
            <w:hideMark/>
          </w:tcPr>
          <w:p w14:paraId="326B7C7E" w14:textId="7A391F4B" w:rsidR="00836FE9" w:rsidRPr="00BB1E80" w:rsidRDefault="009B60AF" w:rsidP="00836FE9">
            <w:pPr>
              <w:pStyle w:val="Tabletext0"/>
              <w:jc w:val="left"/>
            </w:pPr>
            <w:r w:rsidRPr="00BB1E80">
              <w:rPr>
                <w:b/>
                <w:bCs/>
              </w:rPr>
              <w:t>-$redacted</w:t>
            </w:r>
          </w:p>
        </w:tc>
      </w:tr>
      <w:tr w:rsidR="00836FE9" w:rsidRPr="00836FE9" w14:paraId="30E198AA"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9918" w:type="dxa"/>
            <w:gridSpan w:val="4"/>
            <w:tcBorders>
              <w:top w:val="nil"/>
              <w:left w:val="single" w:sz="4" w:space="0" w:color="auto"/>
              <w:bottom w:val="single" w:sz="4" w:space="0" w:color="auto"/>
              <w:right w:val="single" w:sz="4" w:space="0" w:color="auto"/>
            </w:tcBorders>
            <w:shd w:val="clear" w:color="auto" w:fill="auto"/>
            <w:hideMark/>
          </w:tcPr>
          <w:p w14:paraId="14C0509F" w14:textId="343C7280" w:rsidR="00836FE9" w:rsidRPr="00E42CAC" w:rsidRDefault="00836FE9" w:rsidP="00836FE9">
            <w:pPr>
              <w:pStyle w:val="Tabletext0"/>
              <w:jc w:val="left"/>
            </w:pPr>
            <w:r w:rsidRPr="00E42CAC">
              <w:t>Rhinoplasty theatre time &amp; costs (base case: partial rhinoplasty - 1.5hr/band 5, total rhinoplasty - 3 hours/Band 6) </w:t>
            </w:r>
          </w:p>
        </w:tc>
      </w:tr>
      <w:tr w:rsidR="00836FE9" w:rsidRPr="00BB1E80" w14:paraId="71559B91"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5881" w:type="dxa"/>
            <w:tcBorders>
              <w:top w:val="nil"/>
              <w:left w:val="single" w:sz="4" w:space="0" w:color="auto"/>
              <w:bottom w:val="single" w:sz="4" w:space="0" w:color="auto"/>
              <w:right w:val="single" w:sz="4" w:space="0" w:color="auto"/>
            </w:tcBorders>
            <w:shd w:val="clear" w:color="auto" w:fill="auto"/>
            <w:hideMark/>
          </w:tcPr>
          <w:p w14:paraId="59AA6E60" w14:textId="77777777" w:rsidR="00836FE9" w:rsidRPr="00BB1E80" w:rsidRDefault="00836FE9" w:rsidP="00BF0EC7">
            <w:pPr>
              <w:pStyle w:val="Tabletext0"/>
              <w:ind w:left="164"/>
              <w:jc w:val="left"/>
            </w:pPr>
            <w:r w:rsidRPr="00BB1E80">
              <w:t>#4 - All three rhinoplasty procedures 1.5hr/band 5</w:t>
            </w:r>
          </w:p>
        </w:tc>
        <w:tc>
          <w:tcPr>
            <w:tcW w:w="1541" w:type="dxa"/>
            <w:tcBorders>
              <w:top w:val="nil"/>
              <w:left w:val="nil"/>
              <w:bottom w:val="single" w:sz="4" w:space="0" w:color="auto"/>
              <w:right w:val="single" w:sz="4" w:space="0" w:color="auto"/>
            </w:tcBorders>
            <w:shd w:val="clear" w:color="auto" w:fill="auto"/>
            <w:hideMark/>
          </w:tcPr>
          <w:p w14:paraId="7A5930B0" w14:textId="7C727282"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hideMark/>
          </w:tcPr>
          <w:p w14:paraId="4AADCBA5" w14:textId="6B56214B" w:rsidR="00836FE9" w:rsidRPr="00BB1E80" w:rsidRDefault="00836FE9" w:rsidP="00836FE9">
            <w:pPr>
              <w:pStyle w:val="Tabletext0"/>
              <w:jc w:val="left"/>
            </w:pPr>
            <w:r w:rsidRPr="00BB1E80">
              <w:t xml:space="preserve">$3,490.77 </w:t>
            </w:r>
          </w:p>
        </w:tc>
        <w:tc>
          <w:tcPr>
            <w:tcW w:w="1194" w:type="dxa"/>
            <w:tcBorders>
              <w:top w:val="nil"/>
              <w:left w:val="nil"/>
              <w:bottom w:val="single" w:sz="4" w:space="0" w:color="auto"/>
              <w:right w:val="single" w:sz="4" w:space="0" w:color="auto"/>
            </w:tcBorders>
            <w:shd w:val="clear" w:color="auto" w:fill="auto"/>
            <w:hideMark/>
          </w:tcPr>
          <w:p w14:paraId="086A4E97" w14:textId="77777777" w:rsidR="00836FE9" w:rsidRPr="00BB1E80" w:rsidRDefault="00836FE9" w:rsidP="00836FE9">
            <w:pPr>
              <w:pStyle w:val="Tabletext0"/>
              <w:jc w:val="left"/>
            </w:pPr>
            <w:r w:rsidRPr="00BB1E80">
              <w:t> </w:t>
            </w:r>
          </w:p>
        </w:tc>
      </w:tr>
      <w:tr w:rsidR="00836FE9" w:rsidRPr="00836FE9" w14:paraId="486B2F17"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9918" w:type="dxa"/>
            <w:gridSpan w:val="4"/>
            <w:tcBorders>
              <w:top w:val="nil"/>
              <w:left w:val="single" w:sz="4" w:space="0" w:color="auto"/>
              <w:bottom w:val="single" w:sz="4" w:space="0" w:color="auto"/>
              <w:right w:val="single" w:sz="4" w:space="0" w:color="auto"/>
            </w:tcBorders>
            <w:shd w:val="clear" w:color="auto" w:fill="auto"/>
            <w:hideMark/>
          </w:tcPr>
          <w:p w14:paraId="60701F3C" w14:textId="05DC7AE5" w:rsidR="00836FE9" w:rsidRPr="00E42CAC" w:rsidRDefault="00836FE9" w:rsidP="00836FE9">
            <w:pPr>
              <w:pStyle w:val="Tabletext0"/>
              <w:jc w:val="left"/>
            </w:pPr>
            <w:r w:rsidRPr="00E42CAC">
              <w:t>Weight average across unilateral and bilateral LATERA procedures (base case: 16% unilateral, 84% bilateral) </w:t>
            </w:r>
          </w:p>
        </w:tc>
      </w:tr>
      <w:tr w:rsidR="00836FE9" w:rsidRPr="00BB1E80" w14:paraId="42ED8B3C" w14:textId="77777777" w:rsidTr="009E299F">
        <w:trPr>
          <w:cnfStyle w:val="100000000000" w:firstRow="1" w:lastRow="0" w:firstColumn="0" w:lastColumn="0" w:oddVBand="0" w:evenVBand="0" w:oddHBand="0" w:evenHBand="0" w:firstRowFirstColumn="0" w:firstRowLastColumn="0" w:lastRowFirstColumn="0" w:lastRowLastColumn="0"/>
          <w:trHeight w:val="565"/>
          <w:tblHeader/>
        </w:trPr>
        <w:tc>
          <w:tcPr>
            <w:tcW w:w="5881" w:type="dxa"/>
            <w:tcBorders>
              <w:top w:val="nil"/>
              <w:left w:val="single" w:sz="4" w:space="0" w:color="auto"/>
              <w:bottom w:val="single" w:sz="4" w:space="0" w:color="auto"/>
              <w:right w:val="single" w:sz="4" w:space="0" w:color="auto"/>
            </w:tcBorders>
            <w:shd w:val="clear" w:color="auto" w:fill="auto"/>
            <w:hideMark/>
          </w:tcPr>
          <w:p w14:paraId="52FA6D94" w14:textId="1E93E730" w:rsidR="00836FE9" w:rsidRPr="00BB1E80" w:rsidRDefault="00836FE9" w:rsidP="00BF0EC7">
            <w:pPr>
              <w:pStyle w:val="Tabletext0"/>
              <w:ind w:left="164"/>
              <w:jc w:val="left"/>
            </w:pPr>
            <w:r w:rsidRPr="00BB1E80">
              <w:t>#5 - 100% bilateral LATERA procedures, weighted rhinoplast</w:t>
            </w:r>
            <w:r w:rsidR="008E4E23" w:rsidRPr="00BB1E80">
              <w:t>y</w:t>
            </w:r>
            <w:r w:rsidRPr="00BB1E80">
              <w:t xml:space="preserve"> across all 3 procedures</w:t>
            </w:r>
          </w:p>
        </w:tc>
        <w:tc>
          <w:tcPr>
            <w:tcW w:w="1541" w:type="dxa"/>
            <w:tcBorders>
              <w:top w:val="nil"/>
              <w:left w:val="nil"/>
              <w:bottom w:val="single" w:sz="4" w:space="0" w:color="auto"/>
              <w:right w:val="single" w:sz="4" w:space="0" w:color="auto"/>
            </w:tcBorders>
            <w:shd w:val="clear" w:color="auto" w:fill="auto"/>
            <w:noWrap/>
            <w:hideMark/>
          </w:tcPr>
          <w:p w14:paraId="6C4ABA01" w14:textId="4D9FE594"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09CEA025" w14:textId="77777777" w:rsidR="00836FE9" w:rsidRPr="00BB1E80" w:rsidRDefault="00836FE9" w:rsidP="00836FE9">
            <w:pPr>
              <w:pStyle w:val="Tabletext0"/>
              <w:jc w:val="left"/>
            </w:pPr>
            <w:r w:rsidRPr="00BB1E80">
              <w:t>$3,829.03</w:t>
            </w:r>
          </w:p>
        </w:tc>
        <w:tc>
          <w:tcPr>
            <w:tcW w:w="1194" w:type="dxa"/>
            <w:tcBorders>
              <w:top w:val="nil"/>
              <w:left w:val="nil"/>
              <w:bottom w:val="single" w:sz="4" w:space="0" w:color="auto"/>
              <w:right w:val="single" w:sz="4" w:space="0" w:color="auto"/>
            </w:tcBorders>
            <w:shd w:val="clear" w:color="auto" w:fill="auto"/>
            <w:noWrap/>
            <w:hideMark/>
          </w:tcPr>
          <w:p w14:paraId="56E24E95" w14:textId="0A373E74" w:rsidR="00836FE9" w:rsidRPr="00BB1E80" w:rsidRDefault="009B60AF" w:rsidP="00836FE9">
            <w:pPr>
              <w:pStyle w:val="Tabletext0"/>
              <w:jc w:val="left"/>
            </w:pPr>
            <w:r w:rsidRPr="00BB1E80">
              <w:rPr>
                <w:b/>
                <w:bCs/>
              </w:rPr>
              <w:t>-$redacted</w:t>
            </w:r>
          </w:p>
        </w:tc>
      </w:tr>
      <w:tr w:rsidR="00836FE9" w:rsidRPr="00BB1E80" w14:paraId="59789B86"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5881" w:type="dxa"/>
            <w:tcBorders>
              <w:top w:val="nil"/>
              <w:left w:val="single" w:sz="4" w:space="0" w:color="auto"/>
              <w:bottom w:val="single" w:sz="4" w:space="0" w:color="auto"/>
              <w:right w:val="single" w:sz="4" w:space="0" w:color="auto"/>
            </w:tcBorders>
            <w:shd w:val="clear" w:color="auto" w:fill="auto"/>
            <w:noWrap/>
            <w:hideMark/>
          </w:tcPr>
          <w:p w14:paraId="2E036639" w14:textId="77777777" w:rsidR="00836FE9" w:rsidRPr="00BB1E80" w:rsidRDefault="00836FE9" w:rsidP="00BF0EC7">
            <w:pPr>
              <w:pStyle w:val="Tabletext0"/>
              <w:ind w:left="164"/>
              <w:jc w:val="left"/>
            </w:pPr>
            <w:r w:rsidRPr="00BB1E80">
              <w:t>#6 - 100% bilateral LATERA procedures, partial rhinoplasty only</w:t>
            </w:r>
          </w:p>
        </w:tc>
        <w:tc>
          <w:tcPr>
            <w:tcW w:w="1541" w:type="dxa"/>
            <w:tcBorders>
              <w:top w:val="nil"/>
              <w:left w:val="nil"/>
              <w:bottom w:val="single" w:sz="4" w:space="0" w:color="auto"/>
              <w:right w:val="single" w:sz="4" w:space="0" w:color="auto"/>
            </w:tcBorders>
            <w:shd w:val="clear" w:color="auto" w:fill="auto"/>
            <w:noWrap/>
            <w:hideMark/>
          </w:tcPr>
          <w:p w14:paraId="537561FC" w14:textId="046399E6"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593CF31C" w14:textId="77777777" w:rsidR="00836FE9" w:rsidRPr="00BB1E80" w:rsidRDefault="00836FE9" w:rsidP="00836FE9">
            <w:pPr>
              <w:pStyle w:val="Tabletext0"/>
              <w:jc w:val="left"/>
            </w:pPr>
            <w:r w:rsidRPr="00BB1E80">
              <w:t>$2,783.17</w:t>
            </w:r>
          </w:p>
        </w:tc>
        <w:tc>
          <w:tcPr>
            <w:tcW w:w="1194" w:type="dxa"/>
            <w:tcBorders>
              <w:top w:val="nil"/>
              <w:left w:val="nil"/>
              <w:bottom w:val="single" w:sz="4" w:space="0" w:color="auto"/>
              <w:right w:val="single" w:sz="4" w:space="0" w:color="auto"/>
            </w:tcBorders>
            <w:shd w:val="clear" w:color="auto" w:fill="auto"/>
            <w:noWrap/>
            <w:hideMark/>
          </w:tcPr>
          <w:p w14:paraId="12476EF6" w14:textId="7C13B10B" w:rsidR="00836FE9" w:rsidRPr="00BB1E80" w:rsidRDefault="009B60AF" w:rsidP="00836FE9">
            <w:pPr>
              <w:pStyle w:val="Tabletext0"/>
              <w:jc w:val="left"/>
            </w:pPr>
            <w:r w:rsidRPr="00BB1E80">
              <w:rPr>
                <w:b/>
                <w:bCs/>
              </w:rPr>
              <w:t>-$redacted</w:t>
            </w:r>
          </w:p>
        </w:tc>
      </w:tr>
      <w:tr w:rsidR="00836FE9" w:rsidRPr="00836FE9" w14:paraId="457A0573"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9918" w:type="dxa"/>
            <w:gridSpan w:val="4"/>
            <w:tcBorders>
              <w:top w:val="nil"/>
              <w:left w:val="single" w:sz="4" w:space="0" w:color="auto"/>
              <w:bottom w:val="single" w:sz="4" w:space="0" w:color="auto"/>
              <w:right w:val="single" w:sz="4" w:space="0" w:color="auto"/>
            </w:tcBorders>
            <w:shd w:val="clear" w:color="auto" w:fill="auto"/>
            <w:hideMark/>
          </w:tcPr>
          <w:p w14:paraId="566395E3" w14:textId="55A93FC7" w:rsidR="00836FE9" w:rsidRPr="00E42CAC" w:rsidRDefault="00836FE9" w:rsidP="00836FE9">
            <w:pPr>
              <w:pStyle w:val="Tabletext0"/>
              <w:jc w:val="left"/>
            </w:pPr>
            <w:r w:rsidRPr="00E42CAC">
              <w:t>No response to LATERA subsequent rhino/ revision of rhino (base case: did not include) </w:t>
            </w:r>
          </w:p>
        </w:tc>
      </w:tr>
      <w:tr w:rsidR="00836FE9" w:rsidRPr="00BB1E80" w14:paraId="3AD6706F" w14:textId="77777777" w:rsidTr="009E299F">
        <w:trPr>
          <w:cnfStyle w:val="100000000000" w:firstRow="1" w:lastRow="0" w:firstColumn="0" w:lastColumn="0" w:oddVBand="0" w:evenVBand="0" w:oddHBand="0" w:evenHBand="0" w:firstRowFirstColumn="0" w:firstRowLastColumn="0" w:lastRowFirstColumn="0" w:lastRowLastColumn="0"/>
          <w:trHeight w:val="575"/>
          <w:tblHeader/>
        </w:trPr>
        <w:tc>
          <w:tcPr>
            <w:tcW w:w="5881" w:type="dxa"/>
            <w:tcBorders>
              <w:top w:val="nil"/>
              <w:left w:val="single" w:sz="4" w:space="0" w:color="auto"/>
              <w:bottom w:val="single" w:sz="4" w:space="0" w:color="auto"/>
              <w:right w:val="single" w:sz="4" w:space="0" w:color="auto"/>
            </w:tcBorders>
            <w:shd w:val="clear" w:color="auto" w:fill="auto"/>
            <w:hideMark/>
          </w:tcPr>
          <w:p w14:paraId="752FDA66" w14:textId="77777777" w:rsidR="00836FE9" w:rsidRPr="00BB1E80" w:rsidRDefault="00836FE9" w:rsidP="00BF0EC7">
            <w:pPr>
              <w:pStyle w:val="Tabletext0"/>
              <w:ind w:left="164"/>
              <w:jc w:val="left"/>
            </w:pPr>
            <w:r w:rsidRPr="00BB1E80">
              <w:t>#7 - 4.5% LATERA reintervention, base case rhinoplasty costs</w:t>
            </w:r>
          </w:p>
        </w:tc>
        <w:tc>
          <w:tcPr>
            <w:tcW w:w="1541" w:type="dxa"/>
            <w:tcBorders>
              <w:top w:val="nil"/>
              <w:left w:val="nil"/>
              <w:bottom w:val="single" w:sz="4" w:space="0" w:color="auto"/>
              <w:right w:val="single" w:sz="4" w:space="0" w:color="auto"/>
            </w:tcBorders>
            <w:shd w:val="clear" w:color="auto" w:fill="auto"/>
            <w:hideMark/>
          </w:tcPr>
          <w:p w14:paraId="47DA8226" w14:textId="1A7BDE72"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hideMark/>
          </w:tcPr>
          <w:p w14:paraId="24BFD8D4" w14:textId="77777777" w:rsidR="00836FE9" w:rsidRPr="00BB1E80" w:rsidRDefault="00836FE9" w:rsidP="00836FE9">
            <w:pPr>
              <w:pStyle w:val="Tabletext0"/>
              <w:jc w:val="left"/>
            </w:pPr>
            <w:r w:rsidRPr="00BB1E80">
              <w:t>$3,829.03</w:t>
            </w:r>
          </w:p>
        </w:tc>
        <w:tc>
          <w:tcPr>
            <w:tcW w:w="1194" w:type="dxa"/>
            <w:tcBorders>
              <w:top w:val="nil"/>
              <w:left w:val="nil"/>
              <w:bottom w:val="single" w:sz="4" w:space="0" w:color="auto"/>
              <w:right w:val="single" w:sz="4" w:space="0" w:color="auto"/>
            </w:tcBorders>
            <w:shd w:val="clear" w:color="auto" w:fill="auto"/>
            <w:noWrap/>
            <w:hideMark/>
          </w:tcPr>
          <w:p w14:paraId="6EEDFB81" w14:textId="1D11812D" w:rsidR="00836FE9" w:rsidRPr="00BB1E80" w:rsidRDefault="009B60AF" w:rsidP="00836FE9">
            <w:pPr>
              <w:pStyle w:val="Tabletext0"/>
              <w:jc w:val="left"/>
            </w:pPr>
            <w:r w:rsidRPr="00BB1E80">
              <w:rPr>
                <w:b/>
                <w:bCs/>
              </w:rPr>
              <w:t>-$redacted</w:t>
            </w:r>
          </w:p>
        </w:tc>
      </w:tr>
      <w:tr w:rsidR="00836FE9" w:rsidRPr="00BB1E80" w14:paraId="6177129F" w14:textId="77777777" w:rsidTr="009E299F">
        <w:trPr>
          <w:cnfStyle w:val="100000000000" w:firstRow="1" w:lastRow="0" w:firstColumn="0" w:lastColumn="0" w:oddVBand="0" w:evenVBand="0" w:oddHBand="0" w:evenHBand="0" w:firstRowFirstColumn="0" w:firstRowLastColumn="0" w:lastRowFirstColumn="0" w:lastRowLastColumn="0"/>
          <w:trHeight w:val="575"/>
          <w:tblHeader/>
        </w:trPr>
        <w:tc>
          <w:tcPr>
            <w:tcW w:w="5881" w:type="dxa"/>
            <w:tcBorders>
              <w:top w:val="nil"/>
              <w:left w:val="single" w:sz="4" w:space="0" w:color="auto"/>
              <w:bottom w:val="single" w:sz="4" w:space="0" w:color="auto"/>
              <w:right w:val="single" w:sz="4" w:space="0" w:color="auto"/>
            </w:tcBorders>
            <w:shd w:val="clear" w:color="auto" w:fill="auto"/>
            <w:hideMark/>
          </w:tcPr>
          <w:p w14:paraId="4FA433CE" w14:textId="77777777" w:rsidR="00836FE9" w:rsidRPr="00BB1E80" w:rsidRDefault="00836FE9" w:rsidP="00BF0EC7">
            <w:pPr>
              <w:pStyle w:val="Tabletext0"/>
              <w:ind w:left="164"/>
              <w:jc w:val="left"/>
            </w:pPr>
            <w:r w:rsidRPr="00BB1E80">
              <w:t>#8 - 4.5% LATERA reintervention, partial rhinoplasty costs</w:t>
            </w:r>
          </w:p>
        </w:tc>
        <w:tc>
          <w:tcPr>
            <w:tcW w:w="1541" w:type="dxa"/>
            <w:tcBorders>
              <w:top w:val="nil"/>
              <w:left w:val="nil"/>
              <w:bottom w:val="single" w:sz="4" w:space="0" w:color="auto"/>
              <w:right w:val="single" w:sz="4" w:space="0" w:color="auto"/>
            </w:tcBorders>
            <w:shd w:val="clear" w:color="auto" w:fill="auto"/>
            <w:hideMark/>
          </w:tcPr>
          <w:p w14:paraId="69644BBC" w14:textId="439552F2"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hideMark/>
          </w:tcPr>
          <w:p w14:paraId="47BA6CB3" w14:textId="77777777" w:rsidR="00836FE9" w:rsidRPr="00BB1E80" w:rsidRDefault="00836FE9" w:rsidP="00836FE9">
            <w:pPr>
              <w:pStyle w:val="Tabletext0"/>
              <w:jc w:val="left"/>
            </w:pPr>
            <w:r w:rsidRPr="00BB1E80">
              <w:t>$2,783.17</w:t>
            </w:r>
          </w:p>
        </w:tc>
        <w:tc>
          <w:tcPr>
            <w:tcW w:w="1194" w:type="dxa"/>
            <w:tcBorders>
              <w:top w:val="nil"/>
              <w:left w:val="nil"/>
              <w:bottom w:val="single" w:sz="4" w:space="0" w:color="auto"/>
              <w:right w:val="single" w:sz="4" w:space="0" w:color="auto"/>
            </w:tcBorders>
            <w:shd w:val="clear" w:color="auto" w:fill="auto"/>
            <w:noWrap/>
            <w:hideMark/>
          </w:tcPr>
          <w:p w14:paraId="55E8DD1A" w14:textId="529BDF36" w:rsidR="00836FE9" w:rsidRPr="00BB1E80" w:rsidRDefault="009B60AF" w:rsidP="00836FE9">
            <w:pPr>
              <w:pStyle w:val="Tabletext0"/>
              <w:jc w:val="left"/>
            </w:pPr>
            <w:r w:rsidRPr="00BB1E80">
              <w:rPr>
                <w:b/>
                <w:bCs/>
              </w:rPr>
              <w:t>-$redacted</w:t>
            </w:r>
          </w:p>
        </w:tc>
      </w:tr>
      <w:tr w:rsidR="00836FE9" w:rsidRPr="00BB1E80" w14:paraId="34624DAD" w14:textId="77777777" w:rsidTr="009E299F">
        <w:trPr>
          <w:cnfStyle w:val="100000000000" w:firstRow="1" w:lastRow="0" w:firstColumn="0" w:lastColumn="0" w:oddVBand="0" w:evenVBand="0" w:oddHBand="0" w:evenHBand="0" w:firstRowFirstColumn="0" w:firstRowLastColumn="0" w:lastRowFirstColumn="0" w:lastRowLastColumn="0"/>
          <w:trHeight w:val="594"/>
          <w:tblHeader/>
        </w:trPr>
        <w:tc>
          <w:tcPr>
            <w:tcW w:w="5881" w:type="dxa"/>
            <w:tcBorders>
              <w:top w:val="nil"/>
              <w:left w:val="single" w:sz="4" w:space="0" w:color="auto"/>
              <w:bottom w:val="single" w:sz="4" w:space="0" w:color="auto"/>
              <w:right w:val="single" w:sz="4" w:space="0" w:color="auto"/>
            </w:tcBorders>
            <w:shd w:val="clear" w:color="auto" w:fill="auto"/>
            <w:hideMark/>
          </w:tcPr>
          <w:p w14:paraId="30125858" w14:textId="77777777" w:rsidR="00836FE9" w:rsidRPr="00BB1E80" w:rsidRDefault="00836FE9" w:rsidP="00BF0EC7">
            <w:pPr>
              <w:pStyle w:val="Tabletext0"/>
              <w:ind w:left="164"/>
              <w:jc w:val="left"/>
            </w:pPr>
            <w:r w:rsidRPr="00BB1E80">
              <w:t>#9 - 3.6% LATERA undergo subsequent rhinoplasty revision and 5.6% rhinoplasty procedures undergo revision</w:t>
            </w:r>
          </w:p>
        </w:tc>
        <w:tc>
          <w:tcPr>
            <w:tcW w:w="1541" w:type="dxa"/>
            <w:tcBorders>
              <w:top w:val="nil"/>
              <w:left w:val="nil"/>
              <w:bottom w:val="single" w:sz="4" w:space="0" w:color="auto"/>
              <w:right w:val="single" w:sz="4" w:space="0" w:color="auto"/>
            </w:tcBorders>
            <w:shd w:val="clear" w:color="auto" w:fill="auto"/>
            <w:noWrap/>
            <w:hideMark/>
          </w:tcPr>
          <w:p w14:paraId="4AD4081A" w14:textId="40CEF787"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4347A902" w14:textId="77777777" w:rsidR="00836FE9" w:rsidRPr="00BB1E80" w:rsidRDefault="00836FE9" w:rsidP="00836FE9">
            <w:pPr>
              <w:pStyle w:val="Tabletext0"/>
              <w:jc w:val="left"/>
            </w:pPr>
            <w:r w:rsidRPr="00BB1E80">
              <w:t>$3,984.13</w:t>
            </w:r>
          </w:p>
        </w:tc>
        <w:tc>
          <w:tcPr>
            <w:tcW w:w="1194" w:type="dxa"/>
            <w:tcBorders>
              <w:top w:val="nil"/>
              <w:left w:val="nil"/>
              <w:bottom w:val="single" w:sz="4" w:space="0" w:color="auto"/>
              <w:right w:val="single" w:sz="4" w:space="0" w:color="auto"/>
            </w:tcBorders>
            <w:shd w:val="clear" w:color="auto" w:fill="auto"/>
            <w:noWrap/>
            <w:hideMark/>
          </w:tcPr>
          <w:p w14:paraId="2F2B8A38" w14:textId="5EFAD8DF" w:rsidR="00836FE9" w:rsidRPr="00BB1E80" w:rsidRDefault="009B60AF" w:rsidP="00836FE9">
            <w:pPr>
              <w:pStyle w:val="Tabletext0"/>
              <w:jc w:val="left"/>
            </w:pPr>
            <w:r w:rsidRPr="00BB1E80">
              <w:rPr>
                <w:b/>
                <w:bCs/>
              </w:rPr>
              <w:t>-$redacted</w:t>
            </w:r>
          </w:p>
        </w:tc>
      </w:tr>
      <w:tr w:rsidR="00836FE9" w:rsidRPr="00BB1E80" w14:paraId="0F58F6A1" w14:textId="77777777" w:rsidTr="009E299F">
        <w:trPr>
          <w:cnfStyle w:val="100000000000" w:firstRow="1" w:lastRow="0" w:firstColumn="0" w:lastColumn="0" w:oddVBand="0" w:evenVBand="0" w:oddHBand="0" w:evenHBand="0" w:firstRowFirstColumn="0" w:firstRowLastColumn="0" w:lastRowFirstColumn="0" w:lastRowLastColumn="0"/>
          <w:trHeight w:val="594"/>
          <w:tblHeader/>
        </w:trPr>
        <w:tc>
          <w:tcPr>
            <w:tcW w:w="5881" w:type="dxa"/>
            <w:tcBorders>
              <w:top w:val="nil"/>
              <w:left w:val="single" w:sz="4" w:space="0" w:color="auto"/>
              <w:bottom w:val="single" w:sz="4" w:space="0" w:color="auto"/>
              <w:right w:val="single" w:sz="4" w:space="0" w:color="auto"/>
            </w:tcBorders>
            <w:shd w:val="clear" w:color="auto" w:fill="auto"/>
            <w:hideMark/>
          </w:tcPr>
          <w:p w14:paraId="3A4ABCB1" w14:textId="77777777" w:rsidR="00836FE9" w:rsidRPr="00BB1E80" w:rsidRDefault="00836FE9" w:rsidP="00BF0EC7">
            <w:pPr>
              <w:pStyle w:val="Tabletext0"/>
              <w:ind w:left="164"/>
              <w:jc w:val="left"/>
            </w:pPr>
            <w:r w:rsidRPr="00BB1E80">
              <w:t>#10 - 3.6% LATERA undergo subsequent rhinoplasty revision and 5.6% partial rhinoplasty procedures undergo revision</w:t>
            </w:r>
          </w:p>
        </w:tc>
        <w:tc>
          <w:tcPr>
            <w:tcW w:w="1541" w:type="dxa"/>
            <w:tcBorders>
              <w:top w:val="nil"/>
              <w:left w:val="nil"/>
              <w:bottom w:val="single" w:sz="4" w:space="0" w:color="auto"/>
              <w:right w:val="single" w:sz="4" w:space="0" w:color="auto"/>
            </w:tcBorders>
            <w:shd w:val="clear" w:color="auto" w:fill="auto"/>
            <w:noWrap/>
            <w:hideMark/>
          </w:tcPr>
          <w:p w14:paraId="603599C8" w14:textId="585ED341"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03597270" w14:textId="77777777" w:rsidR="00836FE9" w:rsidRPr="00BB1E80" w:rsidRDefault="00836FE9" w:rsidP="00836FE9">
            <w:pPr>
              <w:pStyle w:val="Tabletext0"/>
              <w:jc w:val="left"/>
            </w:pPr>
            <w:r w:rsidRPr="00BB1E80">
              <w:t>$2,938.27</w:t>
            </w:r>
          </w:p>
        </w:tc>
        <w:tc>
          <w:tcPr>
            <w:tcW w:w="1194" w:type="dxa"/>
            <w:tcBorders>
              <w:top w:val="nil"/>
              <w:left w:val="nil"/>
              <w:bottom w:val="single" w:sz="4" w:space="0" w:color="auto"/>
              <w:right w:val="single" w:sz="4" w:space="0" w:color="auto"/>
            </w:tcBorders>
            <w:shd w:val="clear" w:color="auto" w:fill="auto"/>
            <w:noWrap/>
            <w:hideMark/>
          </w:tcPr>
          <w:p w14:paraId="1987F1EE" w14:textId="48DB4233" w:rsidR="00836FE9" w:rsidRPr="00BB1E80" w:rsidRDefault="009B60AF" w:rsidP="00836FE9">
            <w:pPr>
              <w:pStyle w:val="Tabletext0"/>
              <w:jc w:val="left"/>
            </w:pPr>
            <w:r w:rsidRPr="00BB1E80">
              <w:rPr>
                <w:b/>
                <w:bCs/>
              </w:rPr>
              <w:t>-$redacted</w:t>
            </w:r>
          </w:p>
        </w:tc>
      </w:tr>
      <w:tr w:rsidR="00836FE9" w:rsidRPr="00BB1E80" w14:paraId="1CA67A9A" w14:textId="77777777" w:rsidTr="009E299F">
        <w:trPr>
          <w:cnfStyle w:val="100000000000" w:firstRow="1" w:lastRow="0" w:firstColumn="0" w:lastColumn="0" w:oddVBand="0" w:evenVBand="0" w:oddHBand="0" w:evenHBand="0" w:firstRowFirstColumn="0" w:firstRowLastColumn="0" w:lastRowFirstColumn="0" w:lastRowLastColumn="0"/>
          <w:trHeight w:val="565"/>
          <w:tblHeader/>
        </w:trPr>
        <w:tc>
          <w:tcPr>
            <w:tcW w:w="5881" w:type="dxa"/>
            <w:tcBorders>
              <w:top w:val="nil"/>
              <w:left w:val="single" w:sz="4" w:space="0" w:color="auto"/>
              <w:bottom w:val="single" w:sz="4" w:space="0" w:color="auto"/>
              <w:right w:val="single" w:sz="4" w:space="0" w:color="auto"/>
            </w:tcBorders>
            <w:shd w:val="clear" w:color="auto" w:fill="auto"/>
            <w:hideMark/>
          </w:tcPr>
          <w:p w14:paraId="62FA36AF" w14:textId="77777777" w:rsidR="00836FE9" w:rsidRPr="00BB1E80" w:rsidRDefault="00836FE9" w:rsidP="00BF0EC7">
            <w:pPr>
              <w:pStyle w:val="Tabletext0"/>
              <w:ind w:left="164"/>
              <w:jc w:val="left"/>
            </w:pPr>
            <w:r w:rsidRPr="00BB1E80">
              <w:t>#11 - 20% no response to LATERA have subsequent rhinoplasty and 5.6% rhinoplasty procedures undergo revision</w:t>
            </w:r>
          </w:p>
        </w:tc>
        <w:tc>
          <w:tcPr>
            <w:tcW w:w="1541" w:type="dxa"/>
            <w:tcBorders>
              <w:top w:val="nil"/>
              <w:left w:val="nil"/>
              <w:bottom w:val="single" w:sz="4" w:space="0" w:color="auto"/>
              <w:right w:val="single" w:sz="4" w:space="0" w:color="auto"/>
            </w:tcBorders>
            <w:shd w:val="clear" w:color="auto" w:fill="auto"/>
            <w:noWrap/>
            <w:hideMark/>
          </w:tcPr>
          <w:p w14:paraId="3410BA41" w14:textId="1E877359"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00C631EC" w14:textId="77777777" w:rsidR="00836FE9" w:rsidRPr="00BB1E80" w:rsidRDefault="00836FE9" w:rsidP="00836FE9">
            <w:pPr>
              <w:pStyle w:val="Tabletext0"/>
              <w:jc w:val="left"/>
            </w:pPr>
            <w:r w:rsidRPr="00BB1E80">
              <w:t>$2,938.27</w:t>
            </w:r>
          </w:p>
        </w:tc>
        <w:tc>
          <w:tcPr>
            <w:tcW w:w="1194" w:type="dxa"/>
            <w:tcBorders>
              <w:top w:val="nil"/>
              <w:left w:val="nil"/>
              <w:bottom w:val="single" w:sz="4" w:space="0" w:color="auto"/>
              <w:right w:val="single" w:sz="4" w:space="0" w:color="auto"/>
            </w:tcBorders>
            <w:shd w:val="clear" w:color="auto" w:fill="auto"/>
            <w:noWrap/>
            <w:hideMark/>
          </w:tcPr>
          <w:p w14:paraId="4E75EA33" w14:textId="4D60E87C" w:rsidR="00836FE9" w:rsidRPr="00BB1E80" w:rsidRDefault="009B60AF" w:rsidP="00836FE9">
            <w:pPr>
              <w:pStyle w:val="Tabletext0"/>
              <w:jc w:val="left"/>
            </w:pPr>
            <w:r w:rsidRPr="00BB1E80">
              <w:rPr>
                <w:b/>
                <w:bCs/>
              </w:rPr>
              <w:t>$redacted</w:t>
            </w:r>
          </w:p>
        </w:tc>
      </w:tr>
      <w:tr w:rsidR="00836FE9" w:rsidRPr="00BB1E80" w14:paraId="77086BAF" w14:textId="77777777" w:rsidTr="009E299F">
        <w:trPr>
          <w:cnfStyle w:val="100000000000" w:firstRow="1" w:lastRow="0" w:firstColumn="0" w:lastColumn="0" w:oddVBand="0" w:evenVBand="0" w:oddHBand="0" w:evenHBand="0" w:firstRowFirstColumn="0" w:firstRowLastColumn="0" w:lastRowFirstColumn="0" w:lastRowLastColumn="0"/>
          <w:trHeight w:val="565"/>
          <w:tblHeader/>
        </w:trPr>
        <w:tc>
          <w:tcPr>
            <w:tcW w:w="5881" w:type="dxa"/>
            <w:tcBorders>
              <w:top w:val="nil"/>
              <w:left w:val="single" w:sz="4" w:space="0" w:color="auto"/>
              <w:bottom w:val="single" w:sz="4" w:space="0" w:color="auto"/>
              <w:right w:val="single" w:sz="4" w:space="0" w:color="auto"/>
            </w:tcBorders>
            <w:shd w:val="clear" w:color="auto" w:fill="auto"/>
            <w:hideMark/>
          </w:tcPr>
          <w:p w14:paraId="39BA1D3E" w14:textId="77777777" w:rsidR="00836FE9" w:rsidRPr="00BB1E80" w:rsidRDefault="00836FE9" w:rsidP="00BF0EC7">
            <w:pPr>
              <w:pStyle w:val="Tabletext0"/>
              <w:ind w:left="164"/>
              <w:jc w:val="left"/>
            </w:pPr>
            <w:r w:rsidRPr="00BB1E80">
              <w:t>#12 - 20% no response to LATERA have subsequent rhinoplasty and 5.6% partial rhinoplasty procedures undergo revision</w:t>
            </w:r>
          </w:p>
        </w:tc>
        <w:tc>
          <w:tcPr>
            <w:tcW w:w="1541" w:type="dxa"/>
            <w:tcBorders>
              <w:top w:val="nil"/>
              <w:left w:val="nil"/>
              <w:bottom w:val="single" w:sz="4" w:space="0" w:color="auto"/>
              <w:right w:val="single" w:sz="4" w:space="0" w:color="auto"/>
            </w:tcBorders>
            <w:shd w:val="clear" w:color="auto" w:fill="auto"/>
            <w:noWrap/>
            <w:hideMark/>
          </w:tcPr>
          <w:p w14:paraId="3400AF50" w14:textId="19C3BE02"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19525719" w14:textId="77777777" w:rsidR="00836FE9" w:rsidRPr="00BB1E80" w:rsidRDefault="00836FE9" w:rsidP="00836FE9">
            <w:pPr>
              <w:pStyle w:val="Tabletext0"/>
              <w:jc w:val="left"/>
            </w:pPr>
            <w:r w:rsidRPr="00BB1E80">
              <w:t>$2,938.27</w:t>
            </w:r>
          </w:p>
        </w:tc>
        <w:tc>
          <w:tcPr>
            <w:tcW w:w="1194" w:type="dxa"/>
            <w:tcBorders>
              <w:top w:val="nil"/>
              <w:left w:val="nil"/>
              <w:bottom w:val="single" w:sz="4" w:space="0" w:color="auto"/>
              <w:right w:val="single" w:sz="4" w:space="0" w:color="auto"/>
            </w:tcBorders>
            <w:shd w:val="clear" w:color="auto" w:fill="auto"/>
            <w:noWrap/>
            <w:hideMark/>
          </w:tcPr>
          <w:p w14:paraId="06E4150E" w14:textId="055D07DB" w:rsidR="00836FE9" w:rsidRPr="00BB1E80" w:rsidRDefault="009B60AF" w:rsidP="00836FE9">
            <w:pPr>
              <w:pStyle w:val="Tabletext0"/>
              <w:jc w:val="left"/>
            </w:pPr>
            <w:r w:rsidRPr="00BB1E80">
              <w:rPr>
                <w:b/>
                <w:bCs/>
              </w:rPr>
              <w:t>$redacted</w:t>
            </w:r>
          </w:p>
        </w:tc>
      </w:tr>
      <w:tr w:rsidR="00836FE9" w:rsidRPr="00836FE9" w14:paraId="39CEEAEF" w14:textId="77777777" w:rsidTr="009E299F">
        <w:trPr>
          <w:cnfStyle w:val="100000000000" w:firstRow="1" w:lastRow="0" w:firstColumn="0" w:lastColumn="0" w:oddVBand="0" w:evenVBand="0" w:oddHBand="0" w:evenHBand="0" w:firstRowFirstColumn="0" w:firstRowLastColumn="0" w:lastRowFirstColumn="0" w:lastRowLastColumn="0"/>
          <w:trHeight w:val="282"/>
          <w:tblHeader/>
        </w:trPr>
        <w:tc>
          <w:tcPr>
            <w:tcW w:w="9918" w:type="dxa"/>
            <w:gridSpan w:val="4"/>
            <w:tcBorders>
              <w:top w:val="nil"/>
              <w:left w:val="single" w:sz="4" w:space="0" w:color="auto"/>
              <w:bottom w:val="single" w:sz="4" w:space="0" w:color="auto"/>
              <w:right w:val="single" w:sz="4" w:space="0" w:color="auto"/>
            </w:tcBorders>
            <w:shd w:val="clear" w:color="auto" w:fill="auto"/>
            <w:hideMark/>
          </w:tcPr>
          <w:p w14:paraId="74DC12EC" w14:textId="588F8C2B" w:rsidR="00836FE9" w:rsidRPr="00836FE9" w:rsidRDefault="00836FE9" w:rsidP="00836FE9">
            <w:pPr>
              <w:pStyle w:val="Tabletext0"/>
              <w:jc w:val="left"/>
            </w:pPr>
            <w:r w:rsidRPr="00836FE9">
              <w:t>Multiway</w:t>
            </w:r>
            <w:r>
              <w:t xml:space="preserve"> sensitivity analyses</w:t>
            </w:r>
            <w:r w:rsidRPr="00836FE9">
              <w:t> </w:t>
            </w:r>
          </w:p>
        </w:tc>
      </w:tr>
      <w:tr w:rsidR="00836FE9" w:rsidRPr="00BB1E80" w14:paraId="3FFB19C4" w14:textId="77777777" w:rsidTr="009E299F">
        <w:trPr>
          <w:cnfStyle w:val="100000000000" w:firstRow="1" w:lastRow="0" w:firstColumn="0" w:lastColumn="0" w:oddVBand="0" w:evenVBand="0" w:oddHBand="0" w:evenHBand="0" w:firstRowFirstColumn="0" w:firstRowLastColumn="0" w:lastRowFirstColumn="0" w:lastRowLastColumn="0"/>
          <w:trHeight w:val="1234"/>
          <w:tblHeader/>
        </w:trPr>
        <w:tc>
          <w:tcPr>
            <w:tcW w:w="5881" w:type="dxa"/>
            <w:tcBorders>
              <w:top w:val="nil"/>
              <w:left w:val="single" w:sz="4" w:space="0" w:color="auto"/>
              <w:bottom w:val="single" w:sz="4" w:space="0" w:color="auto"/>
              <w:right w:val="single" w:sz="4" w:space="0" w:color="auto"/>
            </w:tcBorders>
            <w:shd w:val="clear" w:color="auto" w:fill="auto"/>
            <w:hideMark/>
          </w:tcPr>
          <w:p w14:paraId="5217AEC3" w14:textId="4916A037" w:rsidR="00836FE9" w:rsidRPr="00BB1E80" w:rsidRDefault="00836FE9" w:rsidP="00BF0EC7">
            <w:pPr>
              <w:pStyle w:val="Tabletext0"/>
              <w:ind w:left="164"/>
              <w:jc w:val="left"/>
            </w:pPr>
            <w:r w:rsidRPr="00BB1E80">
              <w:t xml:space="preserve">#13 </w:t>
            </w:r>
            <w:r w:rsidRPr="00BB1E80">
              <w:br/>
              <w:t xml:space="preserve"> - Partial rhinoplasty only</w:t>
            </w:r>
            <w:r w:rsidRPr="00BB1E80">
              <w:br/>
              <w:t xml:space="preserve"> - 100% same day, both LATERA and partial rhinoplasty</w:t>
            </w:r>
            <w:r w:rsidRPr="00BB1E80">
              <w:br/>
              <w:t xml:space="preserve"> - 100% bilateral LATERA procedures</w:t>
            </w:r>
            <w:r w:rsidRPr="00BB1E80">
              <w:br/>
              <w:t xml:space="preserve"> - 4.5% LATERA reintervention</w:t>
            </w:r>
          </w:p>
        </w:tc>
        <w:tc>
          <w:tcPr>
            <w:tcW w:w="1541" w:type="dxa"/>
            <w:tcBorders>
              <w:top w:val="nil"/>
              <w:left w:val="nil"/>
              <w:bottom w:val="single" w:sz="4" w:space="0" w:color="auto"/>
              <w:right w:val="single" w:sz="4" w:space="0" w:color="auto"/>
            </w:tcBorders>
            <w:shd w:val="clear" w:color="auto" w:fill="auto"/>
            <w:noWrap/>
            <w:hideMark/>
          </w:tcPr>
          <w:p w14:paraId="719843CE" w14:textId="5D0307B7"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796E3549" w14:textId="77777777" w:rsidR="00836FE9" w:rsidRPr="00BB1E80" w:rsidRDefault="00836FE9" w:rsidP="00836FE9">
            <w:pPr>
              <w:pStyle w:val="Tabletext0"/>
              <w:jc w:val="left"/>
            </w:pPr>
            <w:r w:rsidRPr="00BB1E80">
              <w:t>$1,534.50</w:t>
            </w:r>
          </w:p>
        </w:tc>
        <w:tc>
          <w:tcPr>
            <w:tcW w:w="1194" w:type="dxa"/>
            <w:tcBorders>
              <w:top w:val="nil"/>
              <w:left w:val="nil"/>
              <w:bottom w:val="single" w:sz="4" w:space="0" w:color="auto"/>
              <w:right w:val="single" w:sz="4" w:space="0" w:color="auto"/>
            </w:tcBorders>
            <w:shd w:val="clear" w:color="auto" w:fill="auto"/>
            <w:noWrap/>
            <w:hideMark/>
          </w:tcPr>
          <w:p w14:paraId="13FF30AD" w14:textId="584BE94C" w:rsidR="00836FE9" w:rsidRPr="00BB1E80" w:rsidRDefault="009B60AF" w:rsidP="00836FE9">
            <w:pPr>
              <w:pStyle w:val="Tabletext0"/>
              <w:jc w:val="left"/>
            </w:pPr>
            <w:r w:rsidRPr="00BB1E80">
              <w:rPr>
                <w:b/>
                <w:bCs/>
              </w:rPr>
              <w:t>$redacted</w:t>
            </w:r>
          </w:p>
        </w:tc>
      </w:tr>
      <w:tr w:rsidR="00836FE9" w:rsidRPr="00BB1E80" w14:paraId="4685FF8F" w14:textId="77777777" w:rsidTr="009E299F">
        <w:trPr>
          <w:cnfStyle w:val="100000000000" w:firstRow="1" w:lastRow="0" w:firstColumn="0" w:lastColumn="0" w:oddVBand="0" w:evenVBand="0" w:oddHBand="0" w:evenHBand="0" w:firstRowFirstColumn="0" w:firstRowLastColumn="0" w:lastRowFirstColumn="0" w:lastRowLastColumn="0"/>
          <w:trHeight w:val="1501"/>
          <w:tblHeader/>
        </w:trPr>
        <w:tc>
          <w:tcPr>
            <w:tcW w:w="5881" w:type="dxa"/>
            <w:tcBorders>
              <w:top w:val="nil"/>
              <w:left w:val="single" w:sz="4" w:space="0" w:color="auto"/>
              <w:bottom w:val="single" w:sz="4" w:space="0" w:color="auto"/>
              <w:right w:val="single" w:sz="4" w:space="0" w:color="auto"/>
            </w:tcBorders>
            <w:shd w:val="clear" w:color="auto" w:fill="auto"/>
            <w:hideMark/>
          </w:tcPr>
          <w:p w14:paraId="1F184188" w14:textId="0A2624D6" w:rsidR="00836FE9" w:rsidRPr="00BB1E80" w:rsidRDefault="00836FE9" w:rsidP="00BF0EC7">
            <w:pPr>
              <w:pStyle w:val="Tabletext0"/>
              <w:ind w:left="164"/>
              <w:jc w:val="left"/>
            </w:pPr>
            <w:r w:rsidRPr="00BB1E80">
              <w:t xml:space="preserve">#14 </w:t>
            </w:r>
            <w:r w:rsidRPr="00BB1E80">
              <w:br/>
              <w:t xml:space="preserve"> - Partial rhinoplasty only</w:t>
            </w:r>
            <w:r w:rsidRPr="00BB1E80">
              <w:br/>
              <w:t xml:space="preserve"> - 100% same day, both LATERA and partial rhinoplasty</w:t>
            </w:r>
            <w:r w:rsidRPr="00BB1E80">
              <w:br/>
              <w:t xml:space="preserve"> - 100% bilateral LATERA procedures</w:t>
            </w:r>
            <w:r w:rsidRPr="00BB1E80">
              <w:br/>
              <w:t xml:space="preserve"> - 3.6% of LATERA procedures have subsequent rhinoplasty </w:t>
            </w:r>
            <w:r w:rsidRPr="00BB1E80">
              <w:br/>
              <w:t xml:space="preserve"> - 5.6% partial rhinoplasty undergo revision</w:t>
            </w:r>
          </w:p>
        </w:tc>
        <w:tc>
          <w:tcPr>
            <w:tcW w:w="1541" w:type="dxa"/>
            <w:tcBorders>
              <w:top w:val="nil"/>
              <w:left w:val="nil"/>
              <w:bottom w:val="single" w:sz="4" w:space="0" w:color="auto"/>
              <w:right w:val="single" w:sz="4" w:space="0" w:color="auto"/>
            </w:tcBorders>
            <w:shd w:val="clear" w:color="auto" w:fill="auto"/>
            <w:noWrap/>
            <w:hideMark/>
          </w:tcPr>
          <w:p w14:paraId="0096C345" w14:textId="7341DF13"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32CDDEC5" w14:textId="77777777" w:rsidR="00836FE9" w:rsidRPr="00BB1E80" w:rsidRDefault="00836FE9" w:rsidP="00836FE9">
            <w:pPr>
              <w:pStyle w:val="Tabletext0"/>
              <w:jc w:val="left"/>
            </w:pPr>
            <w:r w:rsidRPr="00BB1E80">
              <w:t>$1,689.59</w:t>
            </w:r>
          </w:p>
        </w:tc>
        <w:tc>
          <w:tcPr>
            <w:tcW w:w="1194" w:type="dxa"/>
            <w:tcBorders>
              <w:top w:val="nil"/>
              <w:left w:val="nil"/>
              <w:bottom w:val="single" w:sz="4" w:space="0" w:color="auto"/>
              <w:right w:val="single" w:sz="4" w:space="0" w:color="auto"/>
            </w:tcBorders>
            <w:shd w:val="clear" w:color="auto" w:fill="auto"/>
            <w:noWrap/>
            <w:hideMark/>
          </w:tcPr>
          <w:p w14:paraId="1EE807F5" w14:textId="4117CD45" w:rsidR="00836FE9" w:rsidRPr="00BB1E80" w:rsidRDefault="009B60AF" w:rsidP="00836FE9">
            <w:pPr>
              <w:pStyle w:val="Tabletext0"/>
              <w:jc w:val="left"/>
            </w:pPr>
            <w:r w:rsidRPr="00BB1E80">
              <w:rPr>
                <w:b/>
                <w:bCs/>
              </w:rPr>
              <w:t>$redacted</w:t>
            </w:r>
          </w:p>
        </w:tc>
      </w:tr>
      <w:tr w:rsidR="00836FE9" w:rsidRPr="00BB1E80" w14:paraId="67A0DB0B" w14:textId="77777777" w:rsidTr="009E299F">
        <w:trPr>
          <w:cnfStyle w:val="100000000000" w:firstRow="1" w:lastRow="0" w:firstColumn="0" w:lastColumn="0" w:oddVBand="0" w:evenVBand="0" w:oddHBand="0" w:evenHBand="0" w:firstRowFirstColumn="0" w:firstRowLastColumn="0" w:lastRowFirstColumn="0" w:lastRowLastColumn="0"/>
          <w:trHeight w:val="1384"/>
          <w:tblHeader/>
        </w:trPr>
        <w:tc>
          <w:tcPr>
            <w:tcW w:w="5881" w:type="dxa"/>
            <w:tcBorders>
              <w:top w:val="nil"/>
              <w:left w:val="single" w:sz="4" w:space="0" w:color="auto"/>
              <w:bottom w:val="single" w:sz="4" w:space="0" w:color="auto"/>
              <w:right w:val="single" w:sz="4" w:space="0" w:color="auto"/>
            </w:tcBorders>
            <w:shd w:val="clear" w:color="auto" w:fill="auto"/>
            <w:hideMark/>
          </w:tcPr>
          <w:p w14:paraId="1DA9DFF7" w14:textId="60FC9904" w:rsidR="00836FE9" w:rsidRPr="00BB1E80" w:rsidRDefault="00836FE9" w:rsidP="00BF0EC7">
            <w:pPr>
              <w:pStyle w:val="Tabletext0"/>
              <w:ind w:left="164"/>
              <w:jc w:val="left"/>
            </w:pPr>
            <w:r w:rsidRPr="00BB1E80">
              <w:t xml:space="preserve">#15 </w:t>
            </w:r>
            <w:r w:rsidRPr="00BB1E80">
              <w:br/>
              <w:t xml:space="preserve"> - Partial rhinoplasty only</w:t>
            </w:r>
            <w:r w:rsidRPr="00BB1E80">
              <w:br/>
              <w:t xml:space="preserve"> - 100% same day, both LATERA and partial rhinoplasty</w:t>
            </w:r>
            <w:r w:rsidRPr="00BB1E80">
              <w:br/>
              <w:t xml:space="preserve"> - 100% bilateral LATERA procedures</w:t>
            </w:r>
            <w:r w:rsidRPr="00BB1E80">
              <w:br/>
              <w:t xml:space="preserve"> - 20% no response to LATERA have subsequent rhinoplasty </w:t>
            </w:r>
            <w:r w:rsidRPr="00BB1E80">
              <w:br/>
              <w:t xml:space="preserve"> - 5.6% partial rhinoplasty undergo revision</w:t>
            </w:r>
          </w:p>
        </w:tc>
        <w:tc>
          <w:tcPr>
            <w:tcW w:w="1541" w:type="dxa"/>
            <w:tcBorders>
              <w:top w:val="nil"/>
              <w:left w:val="nil"/>
              <w:bottom w:val="single" w:sz="4" w:space="0" w:color="auto"/>
              <w:right w:val="single" w:sz="4" w:space="0" w:color="auto"/>
            </w:tcBorders>
            <w:shd w:val="clear" w:color="auto" w:fill="auto"/>
            <w:noWrap/>
            <w:hideMark/>
          </w:tcPr>
          <w:p w14:paraId="1901BBC8" w14:textId="492AA329" w:rsidR="00836FE9" w:rsidRPr="00BB1E80" w:rsidRDefault="009B60AF" w:rsidP="00836FE9">
            <w:pPr>
              <w:pStyle w:val="Tabletext0"/>
              <w:jc w:val="left"/>
            </w:pPr>
            <w:r w:rsidRPr="00BB1E80">
              <w:rPr>
                <w:b/>
                <w:bCs/>
              </w:rPr>
              <w:t>$redacted</w:t>
            </w:r>
          </w:p>
        </w:tc>
        <w:tc>
          <w:tcPr>
            <w:tcW w:w="1302" w:type="dxa"/>
            <w:tcBorders>
              <w:top w:val="nil"/>
              <w:left w:val="nil"/>
              <w:bottom w:val="single" w:sz="4" w:space="0" w:color="auto"/>
              <w:right w:val="single" w:sz="4" w:space="0" w:color="auto"/>
            </w:tcBorders>
            <w:shd w:val="clear" w:color="auto" w:fill="auto"/>
            <w:noWrap/>
            <w:hideMark/>
          </w:tcPr>
          <w:p w14:paraId="728DB235" w14:textId="77777777" w:rsidR="00836FE9" w:rsidRPr="00BB1E80" w:rsidRDefault="00836FE9" w:rsidP="00836FE9">
            <w:pPr>
              <w:pStyle w:val="Tabletext0"/>
              <w:jc w:val="left"/>
            </w:pPr>
            <w:r w:rsidRPr="00BB1E80">
              <w:t>$1,689.59</w:t>
            </w:r>
          </w:p>
        </w:tc>
        <w:tc>
          <w:tcPr>
            <w:tcW w:w="1194" w:type="dxa"/>
            <w:tcBorders>
              <w:top w:val="nil"/>
              <w:left w:val="nil"/>
              <w:bottom w:val="single" w:sz="4" w:space="0" w:color="auto"/>
              <w:right w:val="single" w:sz="4" w:space="0" w:color="auto"/>
            </w:tcBorders>
            <w:shd w:val="clear" w:color="auto" w:fill="auto"/>
            <w:noWrap/>
            <w:hideMark/>
          </w:tcPr>
          <w:p w14:paraId="40FA9131" w14:textId="03C24699" w:rsidR="00836FE9" w:rsidRPr="00BB1E80" w:rsidRDefault="009B60AF" w:rsidP="00836FE9">
            <w:pPr>
              <w:pStyle w:val="Tabletext0"/>
              <w:jc w:val="left"/>
            </w:pPr>
            <w:r w:rsidRPr="00BB1E80">
              <w:rPr>
                <w:b/>
                <w:bCs/>
              </w:rPr>
              <w:t>$redacted</w:t>
            </w:r>
          </w:p>
        </w:tc>
      </w:tr>
    </w:tbl>
    <w:p w14:paraId="10B227C3" w14:textId="249CEAC8" w:rsidR="001D7637" w:rsidRDefault="001D7637" w:rsidP="001D7637">
      <w:pPr>
        <w:pStyle w:val="Caption"/>
        <w:jc w:val="both"/>
      </w:pPr>
      <w:bookmarkStart w:id="51" w:name="_Ref129768805"/>
      <w:r>
        <w:lastRenderedPageBreak/>
        <w:t xml:space="preserve">Table </w:t>
      </w:r>
      <w:r>
        <w:fldChar w:fldCharType="begin"/>
      </w:r>
      <w:r>
        <w:instrText>SEQ Table \* ARABIC</w:instrText>
      </w:r>
      <w:r>
        <w:fldChar w:fldCharType="separate"/>
      </w:r>
      <w:r w:rsidR="003511D3">
        <w:rPr>
          <w:noProof/>
        </w:rPr>
        <w:t>21</w:t>
      </w:r>
      <w:r>
        <w:fldChar w:fldCharType="end"/>
      </w:r>
      <w:bookmarkEnd w:id="51"/>
      <w:r>
        <w:t xml:space="preserve"> </w:t>
      </w:r>
      <w:r w:rsidR="00364508">
        <w:t xml:space="preserve">Pre-MSAC response: </w:t>
      </w:r>
      <w:r>
        <w:t>Additional cost-minimisation analyses with 2-year time horizon, discounted at 5% pa</w:t>
      </w:r>
    </w:p>
    <w:tbl>
      <w:tblPr>
        <w:tblStyle w:val="TableGrid"/>
        <w:tblW w:w="5265" w:type="pct"/>
        <w:tblLayout w:type="fixed"/>
        <w:tblLook w:val="04A0" w:firstRow="1" w:lastRow="0" w:firstColumn="1" w:lastColumn="0" w:noHBand="0" w:noVBand="1"/>
      </w:tblPr>
      <w:tblGrid>
        <w:gridCol w:w="5949"/>
        <w:gridCol w:w="991"/>
        <w:gridCol w:w="1185"/>
        <w:gridCol w:w="1369"/>
      </w:tblGrid>
      <w:tr w:rsidR="00FF3AD2" w14:paraId="576A7838" w14:textId="77777777" w:rsidTr="00FF239E">
        <w:tc>
          <w:tcPr>
            <w:tcW w:w="3133" w:type="pct"/>
            <w:tcBorders>
              <w:bottom w:val="nil"/>
            </w:tcBorders>
          </w:tcPr>
          <w:p w14:paraId="1DAC0B7B" w14:textId="77777777" w:rsidR="00FF3AD2" w:rsidRPr="00706060" w:rsidRDefault="00FF3AD2" w:rsidP="00D578DE">
            <w:pPr>
              <w:pStyle w:val="Tabletext0"/>
              <w:rPr>
                <w:b/>
                <w:bCs/>
                <w:lang w:val="en-GB" w:eastAsia="ja-JP"/>
              </w:rPr>
            </w:pPr>
            <w:r w:rsidRPr="00706060">
              <w:rPr>
                <w:b/>
                <w:lang w:val="en-GB" w:eastAsia="ja-JP"/>
              </w:rPr>
              <w:t>Scenario</w:t>
            </w:r>
          </w:p>
        </w:tc>
        <w:tc>
          <w:tcPr>
            <w:tcW w:w="1146" w:type="pct"/>
            <w:gridSpan w:val="2"/>
          </w:tcPr>
          <w:p w14:paraId="6C412487" w14:textId="77777777" w:rsidR="00FF3AD2" w:rsidRPr="00706060" w:rsidRDefault="00FF3AD2" w:rsidP="00D578DE">
            <w:pPr>
              <w:pStyle w:val="Tabletext0"/>
              <w:jc w:val="center"/>
              <w:rPr>
                <w:b/>
                <w:bCs/>
                <w:lang w:val="en-GB" w:eastAsia="ja-JP"/>
              </w:rPr>
            </w:pPr>
            <w:r w:rsidRPr="00706060">
              <w:rPr>
                <w:b/>
                <w:lang w:val="en-GB" w:eastAsia="ja-JP"/>
              </w:rPr>
              <w:t>Total cost, two years</w:t>
            </w:r>
          </w:p>
        </w:tc>
        <w:tc>
          <w:tcPr>
            <w:tcW w:w="721" w:type="pct"/>
            <w:vMerge w:val="restart"/>
          </w:tcPr>
          <w:p w14:paraId="1A234DC0" w14:textId="77777777" w:rsidR="00FF3AD2" w:rsidRPr="00706060" w:rsidRDefault="00FF3AD2" w:rsidP="00D578DE">
            <w:pPr>
              <w:pStyle w:val="Tabletext0"/>
              <w:jc w:val="center"/>
              <w:rPr>
                <w:b/>
                <w:bCs/>
                <w:lang w:val="en-GB" w:eastAsia="ja-JP"/>
              </w:rPr>
            </w:pPr>
            <w:r w:rsidRPr="00706060">
              <w:rPr>
                <w:b/>
                <w:lang w:val="en-GB" w:eastAsia="ja-JP"/>
              </w:rPr>
              <w:t>Incremental cost</w:t>
            </w:r>
          </w:p>
        </w:tc>
      </w:tr>
      <w:tr w:rsidR="00FF3AD2" w14:paraId="742B3536" w14:textId="77777777" w:rsidTr="009E299F">
        <w:tc>
          <w:tcPr>
            <w:tcW w:w="3133" w:type="pct"/>
            <w:tcBorders>
              <w:top w:val="nil"/>
            </w:tcBorders>
          </w:tcPr>
          <w:p w14:paraId="2A92E266" w14:textId="77777777" w:rsidR="00FF3AD2" w:rsidRPr="00706060" w:rsidRDefault="00FF3AD2" w:rsidP="00D578DE">
            <w:pPr>
              <w:pStyle w:val="Tabletext0"/>
              <w:rPr>
                <w:b/>
                <w:bCs/>
                <w:lang w:val="en-GB" w:eastAsia="ja-JP"/>
              </w:rPr>
            </w:pPr>
            <w:r w:rsidRPr="00706060">
              <w:rPr>
                <w:b/>
                <w:lang w:val="en-GB" w:eastAsia="ja-JP"/>
              </w:rPr>
              <w:t xml:space="preserve"> </w:t>
            </w:r>
          </w:p>
        </w:tc>
        <w:tc>
          <w:tcPr>
            <w:tcW w:w="522" w:type="pct"/>
          </w:tcPr>
          <w:p w14:paraId="600425AA" w14:textId="77777777" w:rsidR="00FF3AD2" w:rsidRPr="00706060" w:rsidRDefault="00FF3AD2" w:rsidP="00D578DE">
            <w:pPr>
              <w:pStyle w:val="Tabletext0"/>
              <w:jc w:val="center"/>
              <w:rPr>
                <w:b/>
                <w:bCs/>
                <w:lang w:val="en-GB" w:eastAsia="ja-JP"/>
              </w:rPr>
            </w:pPr>
            <w:r w:rsidRPr="00706060">
              <w:rPr>
                <w:b/>
                <w:lang w:val="en-GB" w:eastAsia="ja-JP"/>
              </w:rPr>
              <w:t>LATERA</w:t>
            </w:r>
          </w:p>
        </w:tc>
        <w:tc>
          <w:tcPr>
            <w:tcW w:w="624" w:type="pct"/>
          </w:tcPr>
          <w:p w14:paraId="1A25D6F5" w14:textId="77777777" w:rsidR="00FF3AD2" w:rsidRPr="00706060" w:rsidRDefault="00FF3AD2" w:rsidP="00D578DE">
            <w:pPr>
              <w:pStyle w:val="Tabletext0"/>
              <w:jc w:val="center"/>
              <w:rPr>
                <w:b/>
                <w:bCs/>
                <w:lang w:val="en-GB" w:eastAsia="ja-JP"/>
              </w:rPr>
            </w:pPr>
            <w:r w:rsidRPr="00706060">
              <w:rPr>
                <w:b/>
                <w:lang w:val="en-GB" w:eastAsia="ja-JP"/>
              </w:rPr>
              <w:t>Rhinoplasty</w:t>
            </w:r>
          </w:p>
        </w:tc>
        <w:tc>
          <w:tcPr>
            <w:tcW w:w="721" w:type="pct"/>
            <w:vMerge/>
          </w:tcPr>
          <w:p w14:paraId="38B43392" w14:textId="77777777" w:rsidR="00FF3AD2" w:rsidRPr="00706060" w:rsidRDefault="00FF3AD2" w:rsidP="00D578DE">
            <w:pPr>
              <w:pStyle w:val="Tabletext0"/>
              <w:jc w:val="center"/>
              <w:rPr>
                <w:b/>
                <w:bCs/>
                <w:lang w:val="en-GB" w:eastAsia="ja-JP"/>
              </w:rPr>
            </w:pPr>
          </w:p>
        </w:tc>
      </w:tr>
      <w:tr w:rsidR="00FF3AD2" w:rsidRPr="00BB1E80" w14:paraId="6F5E1EC3" w14:textId="77777777" w:rsidTr="009E299F">
        <w:tc>
          <w:tcPr>
            <w:tcW w:w="3133" w:type="pct"/>
          </w:tcPr>
          <w:p w14:paraId="38A55C44" w14:textId="77777777" w:rsidR="001D7637" w:rsidRPr="00BB1E80" w:rsidRDefault="001D7637" w:rsidP="00D578DE">
            <w:pPr>
              <w:pStyle w:val="Tabletext0"/>
              <w:rPr>
                <w:lang w:val="en-GB" w:eastAsia="ja-JP"/>
              </w:rPr>
            </w:pPr>
            <w:r w:rsidRPr="00BB1E80">
              <w:rPr>
                <w:lang w:val="en-GB" w:eastAsia="ja-JP"/>
              </w:rPr>
              <w:t>vs all rhinoplasty items (weighted; as per the ADAR)</w:t>
            </w:r>
          </w:p>
          <w:p w14:paraId="3AD17C16" w14:textId="77777777" w:rsidR="001D7637" w:rsidRPr="00BB1E80" w:rsidRDefault="001D7637" w:rsidP="00D578DE">
            <w:pPr>
              <w:pStyle w:val="Tabletext0"/>
              <w:rPr>
                <w:lang w:val="en-GB" w:eastAsia="ja-JP"/>
              </w:rPr>
            </w:pPr>
            <w:r w:rsidRPr="00BB1E80">
              <w:rPr>
                <w:lang w:val="en-GB" w:eastAsia="ja-JP"/>
              </w:rPr>
              <w:t>Reintervention rate (annual) =4.5%/5.6% for LATERA/rhinoplasty (as per ESC)</w:t>
            </w:r>
          </w:p>
          <w:p w14:paraId="11923A9A" w14:textId="4F1B01DF" w:rsidR="001D7637" w:rsidRPr="00BB1E80" w:rsidRDefault="001D7637" w:rsidP="00D578DE">
            <w:pPr>
              <w:pStyle w:val="Tabletext0"/>
              <w:rPr>
                <w:lang w:val="en-GB" w:eastAsia="ja-JP"/>
              </w:rPr>
            </w:pPr>
            <w:r w:rsidRPr="00BB1E80">
              <w:rPr>
                <w:lang w:val="en-GB" w:eastAsia="ja-JP"/>
              </w:rPr>
              <w:t xml:space="preserve">Reintervention cost = </w:t>
            </w:r>
            <w:r w:rsidR="009B60AF" w:rsidRPr="00BB1E80">
              <w:rPr>
                <w:b/>
                <w:bCs/>
              </w:rPr>
              <w:t>$redacted</w:t>
            </w:r>
            <w:r w:rsidR="009B60AF" w:rsidRPr="00BB1E80" w:rsidDel="009B60AF">
              <w:rPr>
                <w:lang w:val="en-GB" w:eastAsia="ja-JP"/>
              </w:rPr>
              <w:t xml:space="preserve"> </w:t>
            </w:r>
            <w:r w:rsidRPr="00BB1E80">
              <w:rPr>
                <w:lang w:val="en-GB" w:eastAsia="ja-JP"/>
              </w:rPr>
              <w:t>/$3,829.03 for LATERA/rhinoplasty (as per the ADAR)</w:t>
            </w:r>
          </w:p>
        </w:tc>
        <w:tc>
          <w:tcPr>
            <w:tcW w:w="522" w:type="pct"/>
          </w:tcPr>
          <w:p w14:paraId="31DEDAEC" w14:textId="5A239AE2" w:rsidR="001D7637" w:rsidRPr="00BB1E80" w:rsidRDefault="009B60AF" w:rsidP="00D578DE">
            <w:pPr>
              <w:pStyle w:val="Tabletext0"/>
              <w:jc w:val="center"/>
              <w:rPr>
                <w:lang w:val="en-GB" w:eastAsia="ja-JP"/>
              </w:rPr>
            </w:pPr>
            <w:r w:rsidRPr="00BB1E80">
              <w:rPr>
                <w:b/>
                <w:bCs/>
              </w:rPr>
              <w:t>$redacted</w:t>
            </w:r>
          </w:p>
        </w:tc>
        <w:tc>
          <w:tcPr>
            <w:tcW w:w="624" w:type="pct"/>
          </w:tcPr>
          <w:p w14:paraId="4D815352" w14:textId="77777777" w:rsidR="001D7637" w:rsidRPr="00BB1E80" w:rsidRDefault="001D7637" w:rsidP="00D578DE">
            <w:pPr>
              <w:pStyle w:val="Tabletext0"/>
              <w:jc w:val="center"/>
              <w:rPr>
                <w:lang w:val="en-GB" w:eastAsia="ja-JP"/>
              </w:rPr>
            </w:pPr>
            <w:r w:rsidRPr="00BB1E80">
              <w:t>$4,248</w:t>
            </w:r>
          </w:p>
        </w:tc>
        <w:tc>
          <w:tcPr>
            <w:tcW w:w="721" w:type="pct"/>
          </w:tcPr>
          <w:p w14:paraId="7566447B" w14:textId="22F9A5E6" w:rsidR="001D7637" w:rsidRPr="00BB1E80" w:rsidRDefault="009B60AF" w:rsidP="00D578DE">
            <w:pPr>
              <w:pStyle w:val="Tabletext0"/>
              <w:jc w:val="center"/>
              <w:rPr>
                <w:lang w:val="en-GB" w:eastAsia="ja-JP"/>
              </w:rPr>
            </w:pPr>
            <w:r w:rsidRPr="00BB1E80">
              <w:rPr>
                <w:b/>
                <w:bCs/>
              </w:rPr>
              <w:t>-$redacted</w:t>
            </w:r>
          </w:p>
        </w:tc>
      </w:tr>
      <w:tr w:rsidR="00FF3AD2" w:rsidRPr="00BB1E80" w14:paraId="7DF53329" w14:textId="77777777" w:rsidTr="009E299F">
        <w:tc>
          <w:tcPr>
            <w:tcW w:w="3133" w:type="pct"/>
          </w:tcPr>
          <w:p w14:paraId="08CF1741" w14:textId="77777777" w:rsidR="001D7637" w:rsidRPr="00BB1E80" w:rsidRDefault="001D7637" w:rsidP="00D578DE">
            <w:pPr>
              <w:pStyle w:val="Tabletext0"/>
              <w:rPr>
                <w:lang w:val="en-GB" w:eastAsia="ja-JP"/>
              </w:rPr>
            </w:pPr>
            <w:r w:rsidRPr="00BB1E80">
              <w:rPr>
                <w:lang w:val="en-GB" w:eastAsia="ja-JP"/>
              </w:rPr>
              <w:t>vs partial rhinoplasty (as per ESC)</w:t>
            </w:r>
          </w:p>
          <w:p w14:paraId="0BBBC832" w14:textId="77777777" w:rsidR="001D7637" w:rsidRPr="00BB1E80" w:rsidRDefault="001D7637" w:rsidP="00D578DE">
            <w:pPr>
              <w:pStyle w:val="Tabletext0"/>
              <w:rPr>
                <w:lang w:val="en-GB" w:eastAsia="ja-JP"/>
              </w:rPr>
            </w:pPr>
            <w:r w:rsidRPr="00BB1E80">
              <w:rPr>
                <w:lang w:val="en-GB" w:eastAsia="ja-JP"/>
              </w:rPr>
              <w:t>Reintervention rate (annual) =4.5%/5.6% for LATERA/rhinoplasty (as per ESC)</w:t>
            </w:r>
          </w:p>
          <w:p w14:paraId="3DFBE6C1" w14:textId="5E5E1B34" w:rsidR="001D7637" w:rsidRPr="00BB1E80" w:rsidRDefault="001D7637" w:rsidP="00D578DE">
            <w:pPr>
              <w:pStyle w:val="Tabletext0"/>
              <w:rPr>
                <w:lang w:val="en-GB" w:eastAsia="ja-JP"/>
              </w:rPr>
            </w:pPr>
            <w:r w:rsidRPr="00BB1E80">
              <w:rPr>
                <w:lang w:val="en-GB" w:eastAsia="ja-JP"/>
              </w:rPr>
              <w:t xml:space="preserve">Reintervention cost = </w:t>
            </w:r>
            <w:r w:rsidR="009B60AF" w:rsidRPr="00BB1E80">
              <w:rPr>
                <w:b/>
                <w:bCs/>
              </w:rPr>
              <w:t>$redacted</w:t>
            </w:r>
            <w:r w:rsidR="009B60AF" w:rsidRPr="00BB1E80" w:rsidDel="009B60AF">
              <w:rPr>
                <w:lang w:val="en-GB" w:eastAsia="ja-JP"/>
              </w:rPr>
              <w:t xml:space="preserve"> </w:t>
            </w:r>
            <w:r w:rsidRPr="00BB1E80">
              <w:rPr>
                <w:lang w:val="en-GB" w:eastAsia="ja-JP"/>
              </w:rPr>
              <w:t xml:space="preserve">/$2,783.17 for LATERA/rhinoplasty </w:t>
            </w:r>
          </w:p>
        </w:tc>
        <w:tc>
          <w:tcPr>
            <w:tcW w:w="522" w:type="pct"/>
          </w:tcPr>
          <w:p w14:paraId="03D0439F" w14:textId="5B469200" w:rsidR="001D7637" w:rsidRPr="00BB1E80" w:rsidRDefault="009B60AF" w:rsidP="00D578DE">
            <w:pPr>
              <w:pStyle w:val="Tabletext0"/>
              <w:jc w:val="center"/>
              <w:rPr>
                <w:lang w:val="en-GB" w:eastAsia="ja-JP"/>
              </w:rPr>
            </w:pPr>
            <w:r w:rsidRPr="00BB1E80">
              <w:rPr>
                <w:b/>
                <w:bCs/>
              </w:rPr>
              <w:t>$redacted</w:t>
            </w:r>
          </w:p>
        </w:tc>
        <w:tc>
          <w:tcPr>
            <w:tcW w:w="624" w:type="pct"/>
          </w:tcPr>
          <w:p w14:paraId="67BEE581" w14:textId="77777777" w:rsidR="001D7637" w:rsidRPr="00BB1E80" w:rsidRDefault="001D7637" w:rsidP="00D578DE">
            <w:pPr>
              <w:pStyle w:val="Tabletext0"/>
              <w:jc w:val="center"/>
              <w:rPr>
                <w:lang w:val="en-GB" w:eastAsia="ja-JP"/>
              </w:rPr>
            </w:pPr>
            <w:r w:rsidRPr="00BB1E80">
              <w:t>$3,087</w:t>
            </w:r>
          </w:p>
        </w:tc>
        <w:tc>
          <w:tcPr>
            <w:tcW w:w="721" w:type="pct"/>
          </w:tcPr>
          <w:p w14:paraId="21776F4A" w14:textId="3D5BEA5C" w:rsidR="001D7637" w:rsidRPr="00BB1E80" w:rsidRDefault="009B60AF" w:rsidP="00D578DE">
            <w:pPr>
              <w:pStyle w:val="Tabletext0"/>
              <w:jc w:val="center"/>
              <w:rPr>
                <w:lang w:val="en-GB" w:eastAsia="ja-JP"/>
              </w:rPr>
            </w:pPr>
            <w:r w:rsidRPr="00BB1E80">
              <w:rPr>
                <w:b/>
                <w:bCs/>
              </w:rPr>
              <w:t>-$redacted</w:t>
            </w:r>
          </w:p>
        </w:tc>
      </w:tr>
      <w:tr w:rsidR="00FF3AD2" w:rsidRPr="00BB1E80" w14:paraId="5852CD7B" w14:textId="77777777" w:rsidTr="009E299F">
        <w:tc>
          <w:tcPr>
            <w:tcW w:w="3133" w:type="pct"/>
          </w:tcPr>
          <w:p w14:paraId="42B89E76" w14:textId="77777777" w:rsidR="001D7637" w:rsidRPr="00BB1E80" w:rsidRDefault="001D7637" w:rsidP="00D578DE">
            <w:pPr>
              <w:pStyle w:val="Tabletext0"/>
              <w:rPr>
                <w:lang w:val="en-GB" w:eastAsia="ja-JP"/>
              </w:rPr>
            </w:pPr>
            <w:r w:rsidRPr="00BB1E80">
              <w:rPr>
                <w:lang w:val="en-GB" w:eastAsia="ja-JP"/>
              </w:rPr>
              <w:t>vs partial rhinoplasty (as per ESC)</w:t>
            </w:r>
          </w:p>
          <w:p w14:paraId="3FA3E45E" w14:textId="77777777" w:rsidR="001D7637" w:rsidRPr="00BB1E80" w:rsidRDefault="001D7637" w:rsidP="00D578DE">
            <w:pPr>
              <w:pStyle w:val="Tabletext0"/>
              <w:rPr>
                <w:lang w:val="en-GB" w:eastAsia="ja-JP"/>
              </w:rPr>
            </w:pPr>
            <w:r w:rsidRPr="00BB1E80">
              <w:rPr>
                <w:lang w:val="en-GB" w:eastAsia="ja-JP"/>
              </w:rPr>
              <w:t>Reintervention rate (annual) =3.6%/5.6% for LATERA/rhinoplasty (as per ESC; any rhinoplasty provided as reintervention)</w:t>
            </w:r>
          </w:p>
          <w:p w14:paraId="0D7CB947" w14:textId="0A3A9588" w:rsidR="001D7637" w:rsidRPr="00BB1E80" w:rsidRDefault="001D7637" w:rsidP="00D578DE">
            <w:pPr>
              <w:pStyle w:val="Tabletext0"/>
              <w:rPr>
                <w:lang w:val="en-GB" w:eastAsia="ja-JP"/>
              </w:rPr>
            </w:pPr>
            <w:r w:rsidRPr="00BB1E80">
              <w:rPr>
                <w:lang w:val="en-GB" w:eastAsia="ja-JP"/>
              </w:rPr>
              <w:t xml:space="preserve">Reintervention cost = </w:t>
            </w:r>
            <w:r w:rsidR="009B60AF" w:rsidRPr="00BB1E80">
              <w:rPr>
                <w:b/>
                <w:bCs/>
              </w:rPr>
              <w:t>$redacted</w:t>
            </w:r>
            <w:r w:rsidR="009B60AF" w:rsidRPr="00BB1E80" w:rsidDel="009B60AF">
              <w:rPr>
                <w:lang w:val="en-GB" w:eastAsia="ja-JP"/>
              </w:rPr>
              <w:t xml:space="preserve"> </w:t>
            </w:r>
            <w:r w:rsidRPr="00BB1E80">
              <w:rPr>
                <w:lang w:val="en-GB" w:eastAsia="ja-JP"/>
              </w:rPr>
              <w:t xml:space="preserve">/$3,829.03 for LATERA/rhinoplasty </w:t>
            </w:r>
          </w:p>
        </w:tc>
        <w:tc>
          <w:tcPr>
            <w:tcW w:w="522" w:type="pct"/>
          </w:tcPr>
          <w:p w14:paraId="04DC8514" w14:textId="0487282D" w:rsidR="001D7637" w:rsidRPr="00BB1E80" w:rsidRDefault="009B60AF" w:rsidP="00D578DE">
            <w:pPr>
              <w:pStyle w:val="Tabletext0"/>
              <w:jc w:val="center"/>
              <w:rPr>
                <w:lang w:val="en-GB" w:eastAsia="ja-JP"/>
              </w:rPr>
            </w:pPr>
            <w:r w:rsidRPr="00BB1E80">
              <w:rPr>
                <w:b/>
                <w:bCs/>
              </w:rPr>
              <w:t>$redacted</w:t>
            </w:r>
          </w:p>
        </w:tc>
        <w:tc>
          <w:tcPr>
            <w:tcW w:w="624" w:type="pct"/>
          </w:tcPr>
          <w:p w14:paraId="1AEA1128" w14:textId="77777777" w:rsidR="001D7637" w:rsidRPr="00BB1E80" w:rsidRDefault="001D7637" w:rsidP="00D578DE">
            <w:pPr>
              <w:pStyle w:val="Tabletext0"/>
              <w:jc w:val="center"/>
              <w:rPr>
                <w:lang w:val="en-GB" w:eastAsia="ja-JP"/>
              </w:rPr>
            </w:pPr>
            <w:r w:rsidRPr="00BB1E80">
              <w:t>$3,202</w:t>
            </w:r>
          </w:p>
        </w:tc>
        <w:tc>
          <w:tcPr>
            <w:tcW w:w="721" w:type="pct"/>
          </w:tcPr>
          <w:p w14:paraId="20A0EA8C" w14:textId="501CE870" w:rsidR="001D7637" w:rsidRPr="00BB1E80" w:rsidRDefault="009B60AF" w:rsidP="00D578DE">
            <w:pPr>
              <w:pStyle w:val="Tabletext0"/>
              <w:jc w:val="center"/>
              <w:rPr>
                <w:lang w:val="en-GB" w:eastAsia="ja-JP"/>
              </w:rPr>
            </w:pPr>
            <w:r w:rsidRPr="00BB1E80">
              <w:rPr>
                <w:b/>
                <w:bCs/>
              </w:rPr>
              <w:t>-$redacted</w:t>
            </w:r>
          </w:p>
        </w:tc>
      </w:tr>
      <w:tr w:rsidR="00FF3AD2" w:rsidRPr="00BB1E80" w14:paraId="2A36A04A" w14:textId="77777777" w:rsidTr="009E299F">
        <w:tc>
          <w:tcPr>
            <w:tcW w:w="3133" w:type="pct"/>
          </w:tcPr>
          <w:p w14:paraId="7BA1D29A" w14:textId="77777777" w:rsidR="001D7637" w:rsidRPr="00BB1E80" w:rsidRDefault="001D7637" w:rsidP="00D578DE">
            <w:pPr>
              <w:pStyle w:val="Tabletext0"/>
              <w:rPr>
                <w:lang w:val="en-GB" w:eastAsia="ja-JP"/>
              </w:rPr>
            </w:pPr>
            <w:r w:rsidRPr="00BB1E80">
              <w:rPr>
                <w:lang w:val="en-GB" w:eastAsia="ja-JP"/>
              </w:rPr>
              <w:t>vs partial rhinoplasty (as per ESC)</w:t>
            </w:r>
          </w:p>
          <w:p w14:paraId="0A1965DE" w14:textId="77777777" w:rsidR="001D7637" w:rsidRPr="00BB1E80" w:rsidRDefault="001D7637" w:rsidP="00D578DE">
            <w:pPr>
              <w:pStyle w:val="Tabletext0"/>
              <w:rPr>
                <w:lang w:val="en-GB" w:eastAsia="ja-JP"/>
              </w:rPr>
            </w:pPr>
            <w:r w:rsidRPr="00BB1E80">
              <w:rPr>
                <w:lang w:val="en-GB" w:eastAsia="ja-JP"/>
              </w:rPr>
              <w:t>Reintervention rate (annual) =3.6%/5.6% for LATERA/rhinoplasty (as per ESC; partial rhinoplasty provided as reintervention)</w:t>
            </w:r>
          </w:p>
          <w:p w14:paraId="0B65BC4F" w14:textId="000E0355" w:rsidR="001D7637" w:rsidRPr="00BB1E80" w:rsidRDefault="001D7637" w:rsidP="00D578DE">
            <w:pPr>
              <w:pStyle w:val="Tabletext0"/>
              <w:rPr>
                <w:lang w:val="en-GB" w:eastAsia="ja-JP"/>
              </w:rPr>
            </w:pPr>
            <w:r w:rsidRPr="00BB1E80">
              <w:rPr>
                <w:lang w:val="en-GB" w:eastAsia="ja-JP"/>
              </w:rPr>
              <w:t xml:space="preserve">Reintervention cost = </w:t>
            </w:r>
            <w:r w:rsidR="009B60AF" w:rsidRPr="00BB1E80">
              <w:rPr>
                <w:b/>
                <w:bCs/>
              </w:rPr>
              <w:t>$redacted</w:t>
            </w:r>
            <w:r w:rsidR="009B60AF" w:rsidRPr="00BB1E80" w:rsidDel="009B60AF">
              <w:rPr>
                <w:lang w:val="en-GB" w:eastAsia="ja-JP"/>
              </w:rPr>
              <w:t xml:space="preserve"> </w:t>
            </w:r>
            <w:r w:rsidRPr="00BB1E80">
              <w:rPr>
                <w:lang w:val="en-GB" w:eastAsia="ja-JP"/>
              </w:rPr>
              <w:t xml:space="preserve">/$2,783.17 for LATERA/rhinoplasty </w:t>
            </w:r>
          </w:p>
        </w:tc>
        <w:tc>
          <w:tcPr>
            <w:tcW w:w="522" w:type="pct"/>
          </w:tcPr>
          <w:p w14:paraId="58F5E130" w14:textId="34A283E9" w:rsidR="001D7637" w:rsidRPr="00BB1E80" w:rsidRDefault="009B60AF" w:rsidP="00D578DE">
            <w:pPr>
              <w:pStyle w:val="Tabletext0"/>
              <w:jc w:val="center"/>
              <w:rPr>
                <w:lang w:val="en-GB" w:eastAsia="ja-JP"/>
              </w:rPr>
            </w:pPr>
            <w:r w:rsidRPr="00BB1E80">
              <w:rPr>
                <w:b/>
                <w:bCs/>
              </w:rPr>
              <w:t>$redacted</w:t>
            </w:r>
          </w:p>
        </w:tc>
        <w:tc>
          <w:tcPr>
            <w:tcW w:w="624" w:type="pct"/>
          </w:tcPr>
          <w:p w14:paraId="6BCCDB02" w14:textId="77777777" w:rsidR="001D7637" w:rsidRPr="00BB1E80" w:rsidRDefault="001D7637" w:rsidP="00D578DE">
            <w:pPr>
              <w:pStyle w:val="Tabletext0"/>
              <w:jc w:val="center"/>
              <w:rPr>
                <w:lang w:val="en-GB" w:eastAsia="ja-JP"/>
              </w:rPr>
            </w:pPr>
            <w:r w:rsidRPr="00BB1E80">
              <w:t>$3,087</w:t>
            </w:r>
          </w:p>
        </w:tc>
        <w:tc>
          <w:tcPr>
            <w:tcW w:w="721" w:type="pct"/>
          </w:tcPr>
          <w:p w14:paraId="2CFABD23" w14:textId="59AB45AE" w:rsidR="001D7637" w:rsidRPr="00BB1E80" w:rsidRDefault="009B60AF" w:rsidP="00D578DE">
            <w:pPr>
              <w:pStyle w:val="Tabletext0"/>
              <w:jc w:val="center"/>
              <w:rPr>
                <w:lang w:val="en-GB" w:eastAsia="ja-JP"/>
              </w:rPr>
            </w:pPr>
            <w:r w:rsidRPr="00BB1E80">
              <w:rPr>
                <w:b/>
                <w:bCs/>
              </w:rPr>
              <w:t>-$redacted</w:t>
            </w:r>
          </w:p>
        </w:tc>
      </w:tr>
      <w:tr w:rsidR="00FF3AD2" w:rsidRPr="00BB1E80" w14:paraId="0BF8F633" w14:textId="77777777" w:rsidTr="009E299F">
        <w:tc>
          <w:tcPr>
            <w:tcW w:w="3133" w:type="pct"/>
          </w:tcPr>
          <w:p w14:paraId="0CAFEFAF" w14:textId="77777777" w:rsidR="001D7637" w:rsidRPr="00BB1E80" w:rsidRDefault="001D7637" w:rsidP="00D578DE">
            <w:pPr>
              <w:pStyle w:val="Tabletext0"/>
              <w:rPr>
                <w:lang w:val="en-GB" w:eastAsia="ja-JP"/>
              </w:rPr>
            </w:pPr>
            <w:r w:rsidRPr="00BB1E80">
              <w:rPr>
                <w:lang w:val="en-GB" w:eastAsia="ja-JP"/>
              </w:rPr>
              <w:t>vs partial rhinoplasty (as per ESC)</w:t>
            </w:r>
          </w:p>
          <w:p w14:paraId="548AB3E9" w14:textId="77777777" w:rsidR="001D7637" w:rsidRPr="00BB1E80" w:rsidRDefault="001D7637" w:rsidP="00D578DE">
            <w:pPr>
              <w:pStyle w:val="Tabletext0"/>
              <w:rPr>
                <w:lang w:val="en-GB" w:eastAsia="ja-JP"/>
              </w:rPr>
            </w:pPr>
            <w:r w:rsidRPr="00BB1E80">
              <w:rPr>
                <w:lang w:val="en-GB" w:eastAsia="ja-JP"/>
              </w:rPr>
              <w:t>Reintervention rate (annual) =10%*/5.6% for LATERA/rhinoplasty (as per ESC; any rhinoplasty provided as reintervention)</w:t>
            </w:r>
          </w:p>
          <w:p w14:paraId="6824D958" w14:textId="1A9D08FE" w:rsidR="001D7637" w:rsidRPr="00BB1E80" w:rsidRDefault="001D7637" w:rsidP="00D578DE">
            <w:pPr>
              <w:pStyle w:val="Tabletext0"/>
              <w:rPr>
                <w:lang w:val="en-GB" w:eastAsia="ja-JP"/>
              </w:rPr>
            </w:pPr>
            <w:r w:rsidRPr="00BB1E80">
              <w:rPr>
                <w:lang w:val="en-GB" w:eastAsia="ja-JP"/>
              </w:rPr>
              <w:t xml:space="preserve">Reintervention cost = </w:t>
            </w:r>
            <w:r w:rsidR="009B60AF" w:rsidRPr="00BB1E80">
              <w:rPr>
                <w:b/>
                <w:bCs/>
              </w:rPr>
              <w:t>$redacted</w:t>
            </w:r>
            <w:r w:rsidR="009B60AF" w:rsidRPr="00BB1E80" w:rsidDel="009B60AF">
              <w:rPr>
                <w:lang w:val="en-GB" w:eastAsia="ja-JP"/>
              </w:rPr>
              <w:t xml:space="preserve"> </w:t>
            </w:r>
            <w:r w:rsidRPr="00BB1E80">
              <w:rPr>
                <w:lang w:val="en-GB" w:eastAsia="ja-JP"/>
              </w:rPr>
              <w:t xml:space="preserve">/$3,829.03 for LATERA/rhinoplasty </w:t>
            </w:r>
          </w:p>
        </w:tc>
        <w:tc>
          <w:tcPr>
            <w:tcW w:w="522" w:type="pct"/>
          </w:tcPr>
          <w:p w14:paraId="68B2EDCB" w14:textId="156EB784" w:rsidR="001D7637" w:rsidRPr="00BB1E80" w:rsidRDefault="009B60AF" w:rsidP="00D578DE">
            <w:pPr>
              <w:pStyle w:val="Tabletext0"/>
              <w:jc w:val="center"/>
              <w:rPr>
                <w:lang w:val="en-GB" w:eastAsia="ja-JP"/>
              </w:rPr>
            </w:pPr>
            <w:r w:rsidRPr="00BB1E80">
              <w:rPr>
                <w:b/>
                <w:bCs/>
              </w:rPr>
              <w:t>$redacted</w:t>
            </w:r>
          </w:p>
        </w:tc>
        <w:tc>
          <w:tcPr>
            <w:tcW w:w="624" w:type="pct"/>
          </w:tcPr>
          <w:p w14:paraId="33596302" w14:textId="77777777" w:rsidR="001D7637" w:rsidRPr="00BB1E80" w:rsidRDefault="001D7637" w:rsidP="00D578DE">
            <w:pPr>
              <w:pStyle w:val="Tabletext0"/>
              <w:jc w:val="center"/>
              <w:rPr>
                <w:lang w:val="en-GB" w:eastAsia="ja-JP"/>
              </w:rPr>
            </w:pPr>
            <w:r w:rsidRPr="00BB1E80">
              <w:t>$3,202</w:t>
            </w:r>
          </w:p>
        </w:tc>
        <w:tc>
          <w:tcPr>
            <w:tcW w:w="721" w:type="pct"/>
          </w:tcPr>
          <w:p w14:paraId="07380A8A" w14:textId="5383021E" w:rsidR="001D7637" w:rsidRPr="00BB1E80" w:rsidRDefault="009B60AF" w:rsidP="00D578DE">
            <w:pPr>
              <w:pStyle w:val="Tabletext0"/>
              <w:jc w:val="center"/>
              <w:rPr>
                <w:lang w:val="en-GB" w:eastAsia="ja-JP"/>
              </w:rPr>
            </w:pPr>
            <w:r w:rsidRPr="00BB1E80">
              <w:rPr>
                <w:b/>
                <w:bCs/>
              </w:rPr>
              <w:t>-$redacted</w:t>
            </w:r>
          </w:p>
        </w:tc>
      </w:tr>
      <w:tr w:rsidR="00FF3AD2" w:rsidRPr="00BB1E80" w14:paraId="7B84B3F7" w14:textId="77777777" w:rsidTr="009E299F">
        <w:tc>
          <w:tcPr>
            <w:tcW w:w="3133" w:type="pct"/>
          </w:tcPr>
          <w:p w14:paraId="6909C07E" w14:textId="77777777" w:rsidR="001D7637" w:rsidRPr="00BB1E80" w:rsidRDefault="001D7637" w:rsidP="00D578DE">
            <w:pPr>
              <w:pStyle w:val="Tabletext0"/>
              <w:rPr>
                <w:lang w:val="en-GB" w:eastAsia="ja-JP"/>
              </w:rPr>
            </w:pPr>
            <w:r w:rsidRPr="00BB1E80">
              <w:rPr>
                <w:lang w:val="en-GB" w:eastAsia="ja-JP"/>
              </w:rPr>
              <w:t>vs partial rhinoplasty (as per ESC)</w:t>
            </w:r>
          </w:p>
          <w:p w14:paraId="362A83EE" w14:textId="77777777" w:rsidR="001D7637" w:rsidRPr="00BB1E80" w:rsidRDefault="001D7637" w:rsidP="00D578DE">
            <w:pPr>
              <w:pStyle w:val="Tabletext0"/>
              <w:rPr>
                <w:lang w:val="en-GB" w:eastAsia="ja-JP"/>
              </w:rPr>
            </w:pPr>
            <w:r w:rsidRPr="00BB1E80">
              <w:rPr>
                <w:lang w:val="en-GB" w:eastAsia="ja-JP"/>
              </w:rPr>
              <w:t>Reintervention rate (annual) =10%*/5.6% for LATERA/rhinoplasty (as per ESC; partial rhinoplasty provided as reintervention)</w:t>
            </w:r>
          </w:p>
          <w:p w14:paraId="1814195B" w14:textId="63F51775" w:rsidR="001D7637" w:rsidRPr="00BB1E80" w:rsidRDefault="001D7637" w:rsidP="00D578DE">
            <w:pPr>
              <w:pStyle w:val="Tabletext0"/>
              <w:rPr>
                <w:lang w:val="en-GB" w:eastAsia="ja-JP"/>
              </w:rPr>
            </w:pPr>
            <w:r w:rsidRPr="00BB1E80">
              <w:rPr>
                <w:lang w:val="en-GB" w:eastAsia="ja-JP"/>
              </w:rPr>
              <w:t xml:space="preserve">Reintervention cost = </w:t>
            </w:r>
            <w:r w:rsidR="009B60AF" w:rsidRPr="00BB1E80">
              <w:rPr>
                <w:b/>
                <w:bCs/>
              </w:rPr>
              <w:t>$redacted</w:t>
            </w:r>
            <w:r w:rsidR="009B60AF" w:rsidRPr="00BB1E80" w:rsidDel="009B60AF">
              <w:rPr>
                <w:lang w:val="en-GB" w:eastAsia="ja-JP"/>
              </w:rPr>
              <w:t xml:space="preserve"> </w:t>
            </w:r>
            <w:r w:rsidRPr="00BB1E80">
              <w:rPr>
                <w:lang w:val="en-GB" w:eastAsia="ja-JP"/>
              </w:rPr>
              <w:t xml:space="preserve">/$2,783.17 for LATERA/rhinoplasty </w:t>
            </w:r>
          </w:p>
        </w:tc>
        <w:tc>
          <w:tcPr>
            <w:tcW w:w="522" w:type="pct"/>
          </w:tcPr>
          <w:p w14:paraId="561D6E02" w14:textId="4C91C62F" w:rsidR="001D7637" w:rsidRPr="00BB1E80" w:rsidRDefault="009B60AF" w:rsidP="00D578DE">
            <w:pPr>
              <w:pStyle w:val="Tabletext0"/>
              <w:jc w:val="center"/>
              <w:rPr>
                <w:lang w:val="en-GB" w:eastAsia="ja-JP"/>
              </w:rPr>
            </w:pPr>
            <w:r w:rsidRPr="00BB1E80">
              <w:rPr>
                <w:b/>
                <w:bCs/>
              </w:rPr>
              <w:t>$redacted</w:t>
            </w:r>
          </w:p>
        </w:tc>
        <w:tc>
          <w:tcPr>
            <w:tcW w:w="624" w:type="pct"/>
          </w:tcPr>
          <w:p w14:paraId="4212142C" w14:textId="77777777" w:rsidR="001D7637" w:rsidRPr="00BB1E80" w:rsidRDefault="001D7637" w:rsidP="00D578DE">
            <w:pPr>
              <w:pStyle w:val="Tabletext0"/>
              <w:jc w:val="center"/>
              <w:rPr>
                <w:lang w:val="en-GB" w:eastAsia="ja-JP"/>
              </w:rPr>
            </w:pPr>
            <w:r w:rsidRPr="00BB1E80">
              <w:t>$3,087</w:t>
            </w:r>
          </w:p>
        </w:tc>
        <w:tc>
          <w:tcPr>
            <w:tcW w:w="721" w:type="pct"/>
          </w:tcPr>
          <w:p w14:paraId="4A9CC6D5" w14:textId="0F6CDB62" w:rsidR="001D7637" w:rsidRPr="00BB1E80" w:rsidRDefault="009B60AF" w:rsidP="00D578DE">
            <w:pPr>
              <w:pStyle w:val="Tabletext0"/>
              <w:jc w:val="center"/>
              <w:rPr>
                <w:lang w:val="en-GB" w:eastAsia="ja-JP"/>
              </w:rPr>
            </w:pPr>
            <w:r w:rsidRPr="00BB1E80">
              <w:rPr>
                <w:b/>
                <w:bCs/>
              </w:rPr>
              <w:t>-$redacted</w:t>
            </w:r>
          </w:p>
        </w:tc>
      </w:tr>
    </w:tbl>
    <w:p w14:paraId="7993E626" w14:textId="77777777" w:rsidR="00364508" w:rsidRDefault="00364508" w:rsidP="001D7637">
      <w:pPr>
        <w:pStyle w:val="Tablenotes0"/>
        <w:rPr>
          <w:lang w:val="en-GB" w:eastAsia="ja-JP"/>
        </w:rPr>
      </w:pPr>
      <w:r>
        <w:rPr>
          <w:lang w:val="en-GB" w:eastAsia="ja-JP"/>
        </w:rPr>
        <w:t>Source: Table 2 of MSAC 1719 Pre-MSAC response</w:t>
      </w:r>
    </w:p>
    <w:p w14:paraId="2CF8FBB9" w14:textId="72426E71" w:rsidR="001D7637" w:rsidRDefault="001D7637" w:rsidP="001D7637">
      <w:pPr>
        <w:pStyle w:val="Tablenotes0"/>
        <w:rPr>
          <w:lang w:val="en-GB" w:eastAsia="ja-JP"/>
        </w:rPr>
      </w:pPr>
      <w:r>
        <w:rPr>
          <w:lang w:val="en-GB" w:eastAsia="ja-JP"/>
        </w:rPr>
        <w:t>*Based on the 20% reintervention rate mentioned by ESC, annualised</w:t>
      </w:r>
    </w:p>
    <w:p w14:paraId="53A5E740" w14:textId="0073117B" w:rsidR="00EA1A75" w:rsidRPr="004A4018" w:rsidRDefault="00EA1A75" w:rsidP="001D7637">
      <w:pPr>
        <w:pStyle w:val="Tablenotes0"/>
        <w:rPr>
          <w:lang w:val="en-GB" w:eastAsia="ja-JP"/>
        </w:rPr>
      </w:pPr>
      <w:r>
        <w:rPr>
          <w:lang w:val="en-GB" w:eastAsia="ja-JP"/>
        </w:rPr>
        <w:t>Abbreviations: ADAR = Applicant Developed Assessment Report; ESC = Evaluation Sub-Committee</w:t>
      </w:r>
    </w:p>
    <w:p w14:paraId="64942832" w14:textId="7C6F82F8" w:rsidR="004D0114" w:rsidRPr="00B54D3C" w:rsidRDefault="004D0114" w:rsidP="00AE4565">
      <w:pPr>
        <w:pStyle w:val="Heading3"/>
      </w:pPr>
      <w:r w:rsidRPr="00B54D3C">
        <w:t>C</w:t>
      </w:r>
      <w:r w:rsidR="005B0284">
        <w:t xml:space="preserve">UA – LATERA versus </w:t>
      </w:r>
      <w:r w:rsidR="00C6597A">
        <w:t>extended conservative management</w:t>
      </w:r>
    </w:p>
    <w:p w14:paraId="287916BE" w14:textId="472579AF" w:rsidR="004D0114" w:rsidRDefault="004D0114" w:rsidP="00FB0E96">
      <w:r w:rsidRPr="00B54D3C">
        <w:t xml:space="preserve">The ADAR </w:t>
      </w:r>
      <w:r>
        <w:t>presented</w:t>
      </w:r>
      <w:r w:rsidRPr="00B54D3C">
        <w:t xml:space="preserve"> a </w:t>
      </w:r>
      <w:r w:rsidR="00DC3FF3">
        <w:t>cost-utility analysis</w:t>
      </w:r>
      <w:r w:rsidRPr="00B54D3C">
        <w:t xml:space="preserve"> </w:t>
      </w:r>
      <w:r w:rsidR="00DC3FF3">
        <w:t>to</w:t>
      </w:r>
      <w:r w:rsidRPr="00B54D3C">
        <w:t xml:space="preserve"> examine the </w:t>
      </w:r>
      <w:r w:rsidR="00DC3FF3">
        <w:t>cost-</w:t>
      </w:r>
      <w:r w:rsidRPr="00B54D3C">
        <w:t xml:space="preserve">effectiveness </w:t>
      </w:r>
      <w:r w:rsidR="00DC3FF3">
        <w:t>of</w:t>
      </w:r>
      <w:r w:rsidRPr="00B54D3C">
        <w:t xml:space="preserve"> LATERA </w:t>
      </w:r>
      <w:r w:rsidR="00DC3FF3">
        <w:t>compared to</w:t>
      </w:r>
      <w:r w:rsidR="00FF5A16">
        <w:t xml:space="preserve"> </w:t>
      </w:r>
      <w:r w:rsidRPr="00B54D3C">
        <w:t xml:space="preserve">extended conservative management (ECM). The </w:t>
      </w:r>
      <w:r w:rsidR="00BC51D1">
        <w:t xml:space="preserve">population for this economic analysis </w:t>
      </w:r>
      <w:r w:rsidRPr="00B54D3C">
        <w:t xml:space="preserve">was defined as a sub-group </w:t>
      </w:r>
      <w:r w:rsidR="00F86BDE">
        <w:t xml:space="preserve">of </w:t>
      </w:r>
      <w:r w:rsidRPr="00B54D3C">
        <w:t xml:space="preserve">patients </w:t>
      </w:r>
      <w:r w:rsidR="00BC51D1">
        <w:t>with NAO due to LWI</w:t>
      </w:r>
      <w:r w:rsidRPr="00B54D3C">
        <w:t xml:space="preserve"> who are </w:t>
      </w:r>
      <w:r w:rsidR="006A143E">
        <w:t>eligible</w:t>
      </w:r>
      <w:r w:rsidR="003677C4">
        <w:t xml:space="preserve"> </w:t>
      </w:r>
      <w:r w:rsidRPr="00B54D3C">
        <w:t>for functional rhinoplasty</w:t>
      </w:r>
      <w:r w:rsidR="00932360">
        <w:t xml:space="preserve"> but </w:t>
      </w:r>
      <w:r w:rsidR="00392E48">
        <w:t xml:space="preserve">for </w:t>
      </w:r>
      <w:r w:rsidR="00932360">
        <w:t xml:space="preserve">clinical </w:t>
      </w:r>
      <w:r w:rsidR="00C1076B">
        <w:t xml:space="preserve">and personal </w:t>
      </w:r>
      <w:r w:rsidR="00932360">
        <w:t>reason</w:t>
      </w:r>
      <w:r w:rsidR="00392E48">
        <w:t>s th</w:t>
      </w:r>
      <w:r w:rsidR="00C1076B">
        <w:t>ese patients</w:t>
      </w:r>
      <w:r w:rsidR="00932360">
        <w:t xml:space="preserve"> remain </w:t>
      </w:r>
      <w:r w:rsidR="00932360" w:rsidDel="00685DA8">
        <w:t>on conservative management</w:t>
      </w:r>
      <w:r w:rsidRPr="00B54D3C">
        <w:t xml:space="preserve"> such as nasal steroids, antihistamines, and temporary external supports. </w:t>
      </w:r>
      <w:r w:rsidR="004E1851">
        <w:fldChar w:fldCharType="begin"/>
      </w:r>
      <w:r w:rsidR="004E1851">
        <w:instrText xml:space="preserve"> REF _Ref120542118 \h </w:instrText>
      </w:r>
      <w:r w:rsidR="004E1851">
        <w:fldChar w:fldCharType="separate"/>
      </w:r>
      <w:r w:rsidR="003511D3" w:rsidRPr="00212984">
        <w:t xml:space="preserve">Table </w:t>
      </w:r>
      <w:r w:rsidR="003511D3">
        <w:rPr>
          <w:noProof/>
        </w:rPr>
        <w:t>22</w:t>
      </w:r>
      <w:r w:rsidR="004E1851">
        <w:fldChar w:fldCharType="end"/>
      </w:r>
      <w:r w:rsidR="004E1851">
        <w:t xml:space="preserve"> s</w:t>
      </w:r>
      <w:r w:rsidRPr="004D4533">
        <w:t xml:space="preserve">ummarise </w:t>
      </w:r>
      <w:r w:rsidRPr="00B54D3C">
        <w:t xml:space="preserve">the structure of the </w:t>
      </w:r>
      <w:r w:rsidR="00794B1D">
        <w:t>econ</w:t>
      </w:r>
      <w:r w:rsidR="007123B8">
        <w:t>omic evaluation for LATERA versus conservative management</w:t>
      </w:r>
      <w:r w:rsidRPr="00B54D3C">
        <w:t>.</w:t>
      </w:r>
    </w:p>
    <w:p w14:paraId="71CCAEC4" w14:textId="31753A99" w:rsidR="00C6597A" w:rsidRDefault="004D0114" w:rsidP="00FB0E96">
      <w:r w:rsidRPr="004F0E54">
        <w:t xml:space="preserve"> </w:t>
      </w:r>
      <w:r w:rsidR="00C6597A">
        <w:t xml:space="preserve">The </w:t>
      </w:r>
      <w:r w:rsidR="004C281C">
        <w:t>c</w:t>
      </w:r>
      <w:r w:rsidR="00C6597A">
        <w:t xml:space="preserve">ommentary noted the following </w:t>
      </w:r>
      <w:r w:rsidRPr="004F0E54">
        <w:t xml:space="preserve">limitations </w:t>
      </w:r>
      <w:r w:rsidR="00C6597A">
        <w:t>for the CUA presented in the</w:t>
      </w:r>
      <w:r>
        <w:t xml:space="preserve"> ADAR</w:t>
      </w:r>
      <w:r w:rsidR="007123B8">
        <w:t>:</w:t>
      </w:r>
      <w:r w:rsidRPr="004F0E54">
        <w:t xml:space="preserve"> </w:t>
      </w:r>
    </w:p>
    <w:p w14:paraId="0BFF5FEA" w14:textId="6C9FC01F" w:rsidR="00941C5B" w:rsidRDefault="00941C5B" w:rsidP="00C6597A">
      <w:pPr>
        <w:pStyle w:val="ListParagraph"/>
        <w:numPr>
          <w:ilvl w:val="0"/>
          <w:numId w:val="29"/>
        </w:numPr>
      </w:pPr>
      <w:r>
        <w:t>A</w:t>
      </w:r>
      <w:r w:rsidR="00567D6E">
        <w:t xml:space="preserve">s </w:t>
      </w:r>
      <w:r w:rsidR="004D0114" w:rsidRPr="004F0E54">
        <w:t xml:space="preserve">no </w:t>
      </w:r>
      <w:r w:rsidR="00567D6E">
        <w:t>cost-effectiveness studies</w:t>
      </w:r>
      <w:r w:rsidR="004D0114" w:rsidRPr="004F0E54">
        <w:t xml:space="preserve"> of LATERA have been reported to inform the model</w:t>
      </w:r>
      <w:r w:rsidR="00AF1CB5">
        <w:t xml:space="preserve">, the analysis applied a given </w:t>
      </w:r>
      <w:r w:rsidR="008C1BB4">
        <w:t>mean of QALYs from a reference study (Tjahjono et al. 2019</w:t>
      </w:r>
      <w:r w:rsidR="00175C24">
        <w:t>)</w:t>
      </w:r>
      <w:r w:rsidR="00175C24" w:rsidRPr="004F0E54">
        <w:t>.</w:t>
      </w:r>
      <w:r w:rsidR="004D0114" w:rsidRPr="004F0E54">
        <w:t xml:space="preserve"> </w:t>
      </w:r>
      <w:r w:rsidR="00B70003">
        <w:t>The</w:t>
      </w:r>
      <w:r w:rsidR="00824FA9">
        <w:t>re is a potential bias with the appr</w:t>
      </w:r>
      <w:r w:rsidR="005209A8">
        <w:t>oach as cohorts in the reference study h</w:t>
      </w:r>
      <w:r w:rsidR="0050038E">
        <w:t xml:space="preserve">ave different </w:t>
      </w:r>
      <w:r w:rsidR="00F539DA">
        <w:t>patient</w:t>
      </w:r>
      <w:r w:rsidR="003F1167">
        <w:t xml:space="preserve">’s </w:t>
      </w:r>
      <w:r w:rsidR="0050038E">
        <w:t xml:space="preserve">characteristics and </w:t>
      </w:r>
      <w:r w:rsidR="003F1167">
        <w:t xml:space="preserve">different </w:t>
      </w:r>
      <w:r w:rsidR="00EC0C9E">
        <w:t xml:space="preserve">clinical results (see </w:t>
      </w:r>
      <w:r w:rsidR="00035FD9">
        <w:t xml:space="preserve">the </w:t>
      </w:r>
      <w:r w:rsidR="00EC0C9E">
        <w:t>in-line commentary s</w:t>
      </w:r>
      <w:r w:rsidR="00FB59ED">
        <w:t>ection 3B.2 for details).</w:t>
      </w:r>
      <w:r w:rsidR="004D0114" w:rsidRPr="004F0E54">
        <w:t xml:space="preserve"> </w:t>
      </w:r>
    </w:p>
    <w:p w14:paraId="63EA1A12" w14:textId="0AEDA27A" w:rsidR="00E62CC1" w:rsidRDefault="00941C5B" w:rsidP="00C6597A">
      <w:pPr>
        <w:pStyle w:val="ListParagraph"/>
        <w:numPr>
          <w:ilvl w:val="0"/>
          <w:numId w:val="29"/>
        </w:numPr>
      </w:pPr>
      <w:r>
        <w:t>T</w:t>
      </w:r>
      <w:r w:rsidR="004D0114">
        <w:t xml:space="preserve">here is </w:t>
      </w:r>
      <w:r>
        <w:t>in</w:t>
      </w:r>
      <w:r w:rsidR="004D0114" w:rsidRPr="004F0E54">
        <w:t xml:space="preserve">sufficient </w:t>
      </w:r>
      <w:r w:rsidR="002916B6">
        <w:t>data in the</w:t>
      </w:r>
      <w:r>
        <w:t xml:space="preserve"> LATERA-RCT study</w:t>
      </w:r>
      <w:r w:rsidR="002916B6">
        <w:t xml:space="preserve"> to inform </w:t>
      </w:r>
      <w:r w:rsidR="00CF31B1">
        <w:t xml:space="preserve">the benefit of LATERA nor the </w:t>
      </w:r>
      <w:r w:rsidR="004D0114" w:rsidRPr="004F0E54">
        <w:t>granularity of QALYs gain between pre- and post-LATERA treatment in the literature</w:t>
      </w:r>
      <w:r w:rsidR="00CF31B1">
        <w:t xml:space="preserve"> (or other </w:t>
      </w:r>
      <w:r w:rsidR="00EB0D41">
        <w:t>bioabsorbable nasal implants studies)</w:t>
      </w:r>
      <w:r w:rsidR="00984616">
        <w:t>.</w:t>
      </w:r>
      <w:r w:rsidR="004D0114" w:rsidRPr="004F0E54">
        <w:t xml:space="preserve"> </w:t>
      </w:r>
    </w:p>
    <w:p w14:paraId="03214E63" w14:textId="6412DE16" w:rsidR="00E62CC1" w:rsidRDefault="00E62CC1" w:rsidP="00C6597A">
      <w:pPr>
        <w:pStyle w:val="ListParagraph"/>
        <w:numPr>
          <w:ilvl w:val="0"/>
          <w:numId w:val="29"/>
        </w:numPr>
      </w:pPr>
      <w:r>
        <w:lastRenderedPageBreak/>
        <w:t>T</w:t>
      </w:r>
      <w:r w:rsidR="004D0114" w:rsidRPr="004F0E54">
        <w:t xml:space="preserve">here is </w:t>
      </w:r>
      <w:r w:rsidR="0076755C">
        <w:t>no evidence</w:t>
      </w:r>
      <w:r w:rsidR="0017372C">
        <w:t xml:space="preserve"> in the literature for </w:t>
      </w:r>
      <w:r w:rsidR="00C931E4">
        <w:t xml:space="preserve">the </w:t>
      </w:r>
      <w:r w:rsidR="004D0114" w:rsidRPr="004F0E54">
        <w:t>time-horizon</w:t>
      </w:r>
      <w:r w:rsidR="00F178F5">
        <w:t xml:space="preserve"> used </w:t>
      </w:r>
      <w:r>
        <w:t>in the CUA</w:t>
      </w:r>
      <w:r w:rsidR="004D0114" w:rsidRPr="004F0E54">
        <w:t xml:space="preserve">. </w:t>
      </w:r>
      <w:r w:rsidR="003B3360">
        <w:t xml:space="preserve">The </w:t>
      </w:r>
      <w:r w:rsidR="000217D4">
        <w:t xml:space="preserve">base-case </w:t>
      </w:r>
      <w:r w:rsidR="000C249F">
        <w:t xml:space="preserve">time horizon </w:t>
      </w:r>
      <w:r>
        <w:t xml:space="preserve">was set at </w:t>
      </w:r>
      <w:r w:rsidR="0075664C">
        <w:t>five years</w:t>
      </w:r>
      <w:r w:rsidR="00F178F5">
        <w:t xml:space="preserve"> with </w:t>
      </w:r>
      <w:r w:rsidR="0075664C">
        <w:t xml:space="preserve">no evidence </w:t>
      </w:r>
      <w:r w:rsidR="009F6873">
        <w:t>to justify the approach.</w:t>
      </w:r>
      <w:r w:rsidR="004D0114" w:rsidRPr="004F0E54">
        <w:t xml:space="preserve"> </w:t>
      </w:r>
    </w:p>
    <w:p w14:paraId="486A4D91" w14:textId="60163071" w:rsidR="004D0114" w:rsidRPr="00B54D3C" w:rsidRDefault="004D0114" w:rsidP="00FB0E96">
      <w:r w:rsidRPr="004F0E54">
        <w:t xml:space="preserve">On that basis, the </w:t>
      </w:r>
      <w:r w:rsidR="00E62CC1">
        <w:t xml:space="preserve">ADAR CUA </w:t>
      </w:r>
      <w:r w:rsidRPr="004F0E54">
        <w:t>applied an exploratory approach by using parameters and assumptions based on key reference studies.</w:t>
      </w:r>
      <w:r w:rsidRPr="004F0E54">
        <w:rPr>
          <w:rStyle w:val="FootnoteReference"/>
        </w:rPr>
        <w:footnoteReference w:id="21"/>
      </w:r>
      <w:r w:rsidRPr="004F0E54">
        <w:t xml:space="preserve"> </w:t>
      </w:r>
      <w:r w:rsidR="00BD5E67">
        <w:t>However</w:t>
      </w:r>
      <w:r w:rsidR="00D32212">
        <w:t xml:space="preserve">, </w:t>
      </w:r>
      <w:r w:rsidR="00E62CC1">
        <w:t xml:space="preserve">the </w:t>
      </w:r>
      <w:r w:rsidR="004C281C">
        <w:t>c</w:t>
      </w:r>
      <w:r w:rsidR="00E62CC1">
        <w:t xml:space="preserve">ommentary </w:t>
      </w:r>
      <w:r w:rsidR="00BD5E67">
        <w:t>cautioned</w:t>
      </w:r>
      <w:r w:rsidR="00E62CC1">
        <w:t xml:space="preserve"> that</w:t>
      </w:r>
      <w:r w:rsidR="00D32212">
        <w:t xml:space="preserve"> the </w:t>
      </w:r>
      <w:r w:rsidR="00D32212" w:rsidRPr="00B54D3C">
        <w:t xml:space="preserve">outcomes of </w:t>
      </w:r>
      <w:r w:rsidR="00E62CC1" w:rsidRPr="00B54D3C">
        <w:t>C</w:t>
      </w:r>
      <w:r w:rsidR="00E62CC1">
        <w:t>UA</w:t>
      </w:r>
      <w:r w:rsidR="00E62CC1" w:rsidRPr="00B54D3C">
        <w:t xml:space="preserve"> </w:t>
      </w:r>
      <w:r w:rsidR="00D32212" w:rsidRPr="00B54D3C">
        <w:t xml:space="preserve">should be interpreted in the context of </w:t>
      </w:r>
      <w:r w:rsidR="00D32212">
        <w:t>those limitations and assumptions applied in the analysis</w:t>
      </w:r>
      <w:r w:rsidR="00D32212" w:rsidRPr="00B54D3C" w:rsidDel="00E16D47">
        <w:t>.</w:t>
      </w:r>
    </w:p>
    <w:p w14:paraId="312E85A6" w14:textId="03B9FBAE" w:rsidR="004D0114" w:rsidRPr="00212984" w:rsidRDefault="004D0114" w:rsidP="00AE4565">
      <w:pPr>
        <w:pStyle w:val="Caption"/>
      </w:pPr>
      <w:bookmarkStart w:id="52" w:name="_Ref120542118"/>
      <w:r w:rsidRPr="00212984">
        <w:t xml:space="preserve">Table </w:t>
      </w:r>
      <w:r w:rsidRPr="00212984">
        <w:rPr>
          <w:color w:val="2B579A"/>
          <w:shd w:val="clear" w:color="auto" w:fill="E6E6E6"/>
        </w:rPr>
        <w:fldChar w:fldCharType="begin"/>
      </w:r>
      <w:r w:rsidRPr="00212984">
        <w:rPr>
          <w:noProof/>
        </w:rPr>
        <w:instrText xml:space="preserve"> SEQ Table \* ARABIC </w:instrText>
      </w:r>
      <w:r w:rsidRPr="00212984">
        <w:rPr>
          <w:color w:val="2B579A"/>
          <w:shd w:val="clear" w:color="auto" w:fill="E6E6E6"/>
        </w:rPr>
        <w:fldChar w:fldCharType="separate"/>
      </w:r>
      <w:r w:rsidR="003511D3">
        <w:rPr>
          <w:noProof/>
        </w:rPr>
        <w:t>22</w:t>
      </w:r>
      <w:r w:rsidRPr="00212984">
        <w:rPr>
          <w:color w:val="2B579A"/>
          <w:shd w:val="clear" w:color="auto" w:fill="E6E6E6"/>
        </w:rPr>
        <w:fldChar w:fldCharType="end"/>
      </w:r>
      <w:bookmarkEnd w:id="52"/>
      <w:r>
        <w:rPr>
          <w:noProof/>
        </w:rPr>
        <w:tab/>
      </w:r>
      <w:r w:rsidRPr="00212984">
        <w:t xml:space="preserve">Summary of the </w:t>
      </w:r>
      <w:r w:rsidR="00BD607F" w:rsidRPr="00BD607F">
        <w:t xml:space="preserve">economic evaluation </w:t>
      </w:r>
      <w:r w:rsidR="00BD607F">
        <w:t xml:space="preserve">for LATERA versus </w:t>
      </w:r>
      <w:r w:rsidR="007123B8">
        <w:t>conservative management</w:t>
      </w:r>
    </w:p>
    <w:tbl>
      <w:tblPr>
        <w:tblStyle w:val="TableGrid1"/>
        <w:tblW w:w="0" w:type="auto"/>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906"/>
        <w:gridCol w:w="7020"/>
      </w:tblGrid>
      <w:tr w:rsidR="004D0114" w:rsidRPr="00212984" w14:paraId="242439E4" w14:textId="77777777" w:rsidTr="00744F46">
        <w:trPr>
          <w:cnfStyle w:val="100000000000" w:firstRow="1" w:lastRow="0" w:firstColumn="0" w:lastColumn="0" w:oddVBand="0" w:evenVBand="0" w:oddHBand="0" w:evenHBand="0" w:firstRowFirstColumn="0" w:firstRowLastColumn="0" w:lastRowFirstColumn="0" w:lastRowLastColumn="0"/>
        </w:trPr>
        <w:tc>
          <w:tcPr>
            <w:tcW w:w="1906" w:type="dxa"/>
          </w:tcPr>
          <w:p w14:paraId="60CA0034" w14:textId="77777777" w:rsidR="004D0114" w:rsidRPr="00212984" w:rsidRDefault="004D0114" w:rsidP="00744F46">
            <w:pPr>
              <w:keepNext/>
              <w:spacing w:after="60"/>
              <w:rPr>
                <w:rFonts w:ascii="Arial Narrow" w:hAnsi="Arial Narrow"/>
                <w:b/>
              </w:rPr>
            </w:pPr>
            <w:r w:rsidRPr="00212984">
              <w:rPr>
                <w:rFonts w:ascii="Arial Narrow" w:hAnsi="Arial Narrow"/>
                <w:b/>
              </w:rPr>
              <w:t>Component</w:t>
            </w:r>
          </w:p>
        </w:tc>
        <w:tc>
          <w:tcPr>
            <w:tcW w:w="7020" w:type="dxa"/>
          </w:tcPr>
          <w:p w14:paraId="4076AEFF" w14:textId="77777777" w:rsidR="004D0114" w:rsidRPr="00212984" w:rsidRDefault="004D0114" w:rsidP="00744F46">
            <w:pPr>
              <w:keepNext/>
              <w:spacing w:after="60"/>
              <w:rPr>
                <w:rFonts w:ascii="Arial Narrow" w:hAnsi="Arial Narrow"/>
                <w:b/>
              </w:rPr>
            </w:pPr>
            <w:r w:rsidRPr="00212984">
              <w:rPr>
                <w:rFonts w:ascii="Arial Narrow" w:hAnsi="Arial Narrow"/>
                <w:b/>
              </w:rPr>
              <w:t>Description</w:t>
            </w:r>
          </w:p>
        </w:tc>
      </w:tr>
      <w:tr w:rsidR="004D0114" w:rsidRPr="00212984" w14:paraId="066B49EC" w14:textId="77777777" w:rsidTr="00744F46">
        <w:tc>
          <w:tcPr>
            <w:tcW w:w="1906" w:type="dxa"/>
          </w:tcPr>
          <w:p w14:paraId="1CCD9DB9" w14:textId="77777777" w:rsidR="004D0114" w:rsidRPr="00212984" w:rsidRDefault="004D0114" w:rsidP="00744F46">
            <w:pPr>
              <w:keepNext/>
              <w:spacing w:before="40"/>
              <w:rPr>
                <w:rFonts w:ascii="Arial Narrow" w:hAnsi="Arial Narrow"/>
              </w:rPr>
            </w:pPr>
            <w:r w:rsidRPr="00212984">
              <w:rPr>
                <w:rFonts w:ascii="Arial Narrow" w:hAnsi="Arial Narrow"/>
              </w:rPr>
              <w:t>Perspective</w:t>
            </w:r>
          </w:p>
        </w:tc>
        <w:tc>
          <w:tcPr>
            <w:tcW w:w="7020" w:type="dxa"/>
          </w:tcPr>
          <w:p w14:paraId="17287709" w14:textId="77777777" w:rsidR="004D0114" w:rsidRPr="00212984" w:rsidRDefault="004D0114" w:rsidP="00744F46">
            <w:pPr>
              <w:keepNext/>
              <w:spacing w:before="40"/>
              <w:rPr>
                <w:rFonts w:ascii="Arial Narrow" w:hAnsi="Arial Narrow"/>
              </w:rPr>
            </w:pPr>
            <w:r w:rsidRPr="00212984">
              <w:rPr>
                <w:rFonts w:ascii="Arial Narrow" w:hAnsi="Arial Narrow"/>
              </w:rPr>
              <w:t>Health care system perspective</w:t>
            </w:r>
          </w:p>
        </w:tc>
      </w:tr>
      <w:tr w:rsidR="004D0114" w:rsidRPr="00212984" w14:paraId="07602056" w14:textId="77777777" w:rsidTr="00744F46">
        <w:tc>
          <w:tcPr>
            <w:tcW w:w="1906" w:type="dxa"/>
          </w:tcPr>
          <w:p w14:paraId="5CFF984F" w14:textId="77777777" w:rsidR="004D0114" w:rsidRPr="00212984" w:rsidRDefault="004D0114" w:rsidP="00744F46">
            <w:pPr>
              <w:keepNext/>
              <w:spacing w:before="40"/>
              <w:rPr>
                <w:rFonts w:ascii="Arial Narrow" w:hAnsi="Arial Narrow"/>
              </w:rPr>
            </w:pPr>
            <w:r w:rsidRPr="00212984">
              <w:rPr>
                <w:rFonts w:ascii="Arial Narrow" w:hAnsi="Arial Narrow"/>
              </w:rPr>
              <w:t>Population</w:t>
            </w:r>
          </w:p>
        </w:tc>
        <w:tc>
          <w:tcPr>
            <w:tcW w:w="7020" w:type="dxa"/>
          </w:tcPr>
          <w:p w14:paraId="5482E3AB" w14:textId="77777777" w:rsidR="004D0114" w:rsidRPr="00212984" w:rsidRDefault="004D0114" w:rsidP="00744F46">
            <w:pPr>
              <w:keepNext/>
              <w:spacing w:before="40"/>
              <w:rPr>
                <w:rFonts w:ascii="Arial Narrow" w:hAnsi="Arial Narrow"/>
              </w:rPr>
            </w:pPr>
            <w:r w:rsidRPr="00212984">
              <w:rPr>
                <w:rFonts w:ascii="Arial Narrow" w:hAnsi="Arial Narrow"/>
              </w:rPr>
              <w:t>The population is patients with NAO due to LWI confirmed by positive modified Cottle manoeuvre and the patient has a self-reported NOSE scale score of greater than 45.</w:t>
            </w:r>
          </w:p>
          <w:p w14:paraId="3C64F036" w14:textId="3F85724C" w:rsidR="004D0114" w:rsidRPr="00212984" w:rsidRDefault="004D0114" w:rsidP="00744F46">
            <w:pPr>
              <w:keepNext/>
              <w:spacing w:before="40"/>
              <w:rPr>
                <w:rFonts w:ascii="Arial Narrow" w:hAnsi="Arial Narrow"/>
              </w:rPr>
            </w:pPr>
            <w:r w:rsidRPr="00212984">
              <w:rPr>
                <w:rFonts w:ascii="Arial Narrow" w:hAnsi="Arial Narrow"/>
              </w:rPr>
              <w:t>The modelled population is a subgroup of patients consisting of those who are contraindicated or not suitable for conventional functional rhinoplasty (thus stay on conservative management, despite meeting the current rhinoplasty eligibility otherwise).</w:t>
            </w:r>
          </w:p>
        </w:tc>
      </w:tr>
      <w:tr w:rsidR="004D0114" w:rsidRPr="00212984" w14:paraId="66F71A5A" w14:textId="77777777" w:rsidTr="00744F46">
        <w:tc>
          <w:tcPr>
            <w:tcW w:w="1906" w:type="dxa"/>
          </w:tcPr>
          <w:p w14:paraId="50F913AF" w14:textId="77777777" w:rsidR="004D0114" w:rsidRPr="00212984" w:rsidRDefault="004D0114" w:rsidP="00744F46">
            <w:pPr>
              <w:keepNext/>
              <w:spacing w:before="40"/>
              <w:rPr>
                <w:rFonts w:ascii="Arial Narrow" w:hAnsi="Arial Narrow"/>
              </w:rPr>
            </w:pPr>
            <w:r w:rsidRPr="00212984">
              <w:rPr>
                <w:rFonts w:ascii="Arial Narrow" w:hAnsi="Arial Narrow"/>
              </w:rPr>
              <w:t>Comparator</w:t>
            </w:r>
          </w:p>
        </w:tc>
        <w:tc>
          <w:tcPr>
            <w:tcW w:w="7020" w:type="dxa"/>
          </w:tcPr>
          <w:p w14:paraId="7E74EEB9" w14:textId="77777777" w:rsidR="004D0114" w:rsidRPr="00212984" w:rsidRDefault="004D0114" w:rsidP="00744F46">
            <w:pPr>
              <w:keepNext/>
              <w:spacing w:before="40"/>
              <w:rPr>
                <w:rFonts w:ascii="Arial Narrow" w:hAnsi="Arial Narrow"/>
              </w:rPr>
            </w:pPr>
            <w:r w:rsidRPr="00212984">
              <w:rPr>
                <w:rFonts w:ascii="Arial Narrow" w:hAnsi="Arial Narrow"/>
              </w:rPr>
              <w:t>Extended conservative management (ECM)</w:t>
            </w:r>
          </w:p>
        </w:tc>
      </w:tr>
      <w:tr w:rsidR="004D0114" w:rsidRPr="00212984" w14:paraId="335EFB75" w14:textId="77777777" w:rsidTr="00744F46">
        <w:tc>
          <w:tcPr>
            <w:tcW w:w="1906" w:type="dxa"/>
          </w:tcPr>
          <w:p w14:paraId="30BAE54F" w14:textId="77777777" w:rsidR="004D0114" w:rsidRPr="00212984" w:rsidRDefault="004D0114" w:rsidP="00744F46">
            <w:pPr>
              <w:keepNext/>
              <w:spacing w:before="40"/>
              <w:rPr>
                <w:rFonts w:ascii="Arial Narrow" w:hAnsi="Arial Narrow"/>
              </w:rPr>
            </w:pPr>
            <w:r w:rsidRPr="00212984">
              <w:rPr>
                <w:rFonts w:ascii="Arial Narrow" w:hAnsi="Arial Narrow"/>
              </w:rPr>
              <w:t>Type(s) of analysis</w:t>
            </w:r>
          </w:p>
        </w:tc>
        <w:tc>
          <w:tcPr>
            <w:tcW w:w="7020" w:type="dxa"/>
          </w:tcPr>
          <w:p w14:paraId="0CFBCFC9" w14:textId="02A80C9D" w:rsidR="004D0114" w:rsidRPr="00212984" w:rsidRDefault="004D0114" w:rsidP="00744F46">
            <w:pPr>
              <w:keepNext/>
              <w:spacing w:before="40"/>
              <w:rPr>
                <w:rFonts w:ascii="Arial Narrow" w:hAnsi="Arial Narrow"/>
              </w:rPr>
            </w:pPr>
            <w:r w:rsidRPr="00212984">
              <w:rPr>
                <w:rFonts w:ascii="Arial Narrow" w:hAnsi="Arial Narrow"/>
              </w:rPr>
              <w:t>Cost-</w:t>
            </w:r>
            <w:r w:rsidR="00427159">
              <w:rPr>
                <w:rFonts w:ascii="Arial Narrow" w:hAnsi="Arial Narrow"/>
              </w:rPr>
              <w:t xml:space="preserve">utility </w:t>
            </w:r>
            <w:r w:rsidR="00427159" w:rsidRPr="00212984">
              <w:rPr>
                <w:rFonts w:ascii="Arial Narrow" w:hAnsi="Arial Narrow"/>
              </w:rPr>
              <w:t>analysis</w:t>
            </w:r>
            <w:r w:rsidRPr="00212984">
              <w:rPr>
                <w:rFonts w:ascii="Arial Narrow" w:hAnsi="Arial Narrow"/>
              </w:rPr>
              <w:t xml:space="preserve"> (C</w:t>
            </w:r>
            <w:r w:rsidR="006379A0">
              <w:rPr>
                <w:rFonts w:ascii="Arial Narrow" w:hAnsi="Arial Narrow"/>
              </w:rPr>
              <w:t>U</w:t>
            </w:r>
            <w:r w:rsidRPr="00212984">
              <w:rPr>
                <w:rFonts w:ascii="Arial Narrow" w:hAnsi="Arial Narrow"/>
              </w:rPr>
              <w:t>A)</w:t>
            </w:r>
          </w:p>
        </w:tc>
      </w:tr>
      <w:tr w:rsidR="004D0114" w:rsidRPr="00212984" w14:paraId="550E93E9" w14:textId="77777777" w:rsidTr="00744F46">
        <w:tc>
          <w:tcPr>
            <w:tcW w:w="1906" w:type="dxa"/>
          </w:tcPr>
          <w:p w14:paraId="5DE17C23" w14:textId="77777777" w:rsidR="004D0114" w:rsidRPr="00212984" w:rsidRDefault="004D0114" w:rsidP="00744F46">
            <w:pPr>
              <w:keepNext/>
              <w:spacing w:before="40"/>
              <w:rPr>
                <w:rFonts w:ascii="Arial Narrow" w:hAnsi="Arial Narrow"/>
              </w:rPr>
            </w:pPr>
            <w:r w:rsidRPr="00212984">
              <w:rPr>
                <w:rFonts w:ascii="Arial Narrow" w:hAnsi="Arial Narrow"/>
              </w:rPr>
              <w:t>Outcomes</w:t>
            </w:r>
          </w:p>
        </w:tc>
        <w:tc>
          <w:tcPr>
            <w:tcW w:w="7020" w:type="dxa"/>
          </w:tcPr>
          <w:p w14:paraId="2E64333E" w14:textId="29B80300" w:rsidR="004D0114" w:rsidRPr="00212984" w:rsidRDefault="0047148D" w:rsidP="00744F46">
            <w:pPr>
              <w:keepNext/>
              <w:spacing w:before="40"/>
              <w:rPr>
                <w:rFonts w:ascii="Arial Narrow" w:hAnsi="Arial Narrow"/>
              </w:rPr>
            </w:pPr>
            <w:r w:rsidRPr="0047148D">
              <w:rPr>
                <w:rFonts w:ascii="Arial Narrow" w:hAnsi="Arial Narrow"/>
              </w:rPr>
              <w:t xml:space="preserve">Quality-adjusted life years </w:t>
            </w:r>
          </w:p>
        </w:tc>
      </w:tr>
      <w:tr w:rsidR="004D0114" w:rsidRPr="00212984" w14:paraId="06B02CF4" w14:textId="77777777" w:rsidTr="00744F46">
        <w:tc>
          <w:tcPr>
            <w:tcW w:w="1906" w:type="dxa"/>
          </w:tcPr>
          <w:p w14:paraId="2B4D28F0" w14:textId="77777777" w:rsidR="004D0114" w:rsidRPr="00212984" w:rsidRDefault="004D0114" w:rsidP="00744F46">
            <w:pPr>
              <w:keepNext/>
              <w:spacing w:before="40"/>
              <w:rPr>
                <w:rFonts w:ascii="Arial Narrow" w:hAnsi="Arial Narrow"/>
              </w:rPr>
            </w:pPr>
            <w:r w:rsidRPr="00212984">
              <w:rPr>
                <w:rFonts w:ascii="Arial Narrow" w:hAnsi="Arial Narrow"/>
              </w:rPr>
              <w:t>Time horizon</w:t>
            </w:r>
          </w:p>
        </w:tc>
        <w:tc>
          <w:tcPr>
            <w:tcW w:w="7020" w:type="dxa"/>
          </w:tcPr>
          <w:p w14:paraId="4A284A1E" w14:textId="77777777" w:rsidR="004D0114" w:rsidRPr="00212984" w:rsidRDefault="004D0114" w:rsidP="00744F46">
            <w:pPr>
              <w:keepNext/>
              <w:spacing w:before="40"/>
              <w:rPr>
                <w:rFonts w:ascii="Arial Narrow" w:hAnsi="Arial Narrow"/>
              </w:rPr>
            </w:pPr>
            <w:r w:rsidRPr="00212984">
              <w:rPr>
                <w:rFonts w:ascii="Arial Narrow" w:hAnsi="Arial Narrow"/>
              </w:rPr>
              <w:t>Five years (base-case result)</w:t>
            </w:r>
          </w:p>
        </w:tc>
      </w:tr>
      <w:tr w:rsidR="004D0114" w:rsidRPr="00212984" w14:paraId="0C6F63FC" w14:textId="77777777" w:rsidTr="00744F46">
        <w:tc>
          <w:tcPr>
            <w:tcW w:w="1906" w:type="dxa"/>
          </w:tcPr>
          <w:p w14:paraId="2FB94E21" w14:textId="77777777" w:rsidR="004D0114" w:rsidRPr="00212984" w:rsidRDefault="004D0114" w:rsidP="00744F46">
            <w:pPr>
              <w:keepNext/>
              <w:spacing w:before="40"/>
              <w:rPr>
                <w:rFonts w:ascii="Arial Narrow" w:hAnsi="Arial Narrow"/>
              </w:rPr>
            </w:pPr>
            <w:r w:rsidRPr="00212984">
              <w:rPr>
                <w:rFonts w:ascii="Arial Narrow" w:hAnsi="Arial Narrow"/>
              </w:rPr>
              <w:t>Computational method</w:t>
            </w:r>
          </w:p>
        </w:tc>
        <w:tc>
          <w:tcPr>
            <w:tcW w:w="7020" w:type="dxa"/>
          </w:tcPr>
          <w:p w14:paraId="72F71862" w14:textId="77777777" w:rsidR="004D0114" w:rsidRPr="00212984" w:rsidRDefault="004D0114" w:rsidP="00744F46">
            <w:pPr>
              <w:keepNext/>
              <w:spacing w:before="40"/>
              <w:rPr>
                <w:rFonts w:ascii="Arial Narrow" w:hAnsi="Arial Narrow"/>
              </w:rPr>
            </w:pPr>
            <w:r w:rsidRPr="00212984">
              <w:rPr>
                <w:rFonts w:ascii="Arial Narrow" w:hAnsi="Arial Narrow"/>
              </w:rPr>
              <w:t>Markov analysis</w:t>
            </w:r>
          </w:p>
        </w:tc>
      </w:tr>
      <w:tr w:rsidR="004D0114" w:rsidRPr="00212984" w14:paraId="78C1080E" w14:textId="77777777" w:rsidTr="00744F46">
        <w:tc>
          <w:tcPr>
            <w:tcW w:w="1906" w:type="dxa"/>
          </w:tcPr>
          <w:p w14:paraId="285B821B" w14:textId="77777777" w:rsidR="004D0114" w:rsidRPr="00212984" w:rsidRDefault="004D0114" w:rsidP="00744F46">
            <w:pPr>
              <w:keepNext/>
              <w:spacing w:before="40"/>
              <w:rPr>
                <w:rFonts w:ascii="Arial Narrow" w:hAnsi="Arial Narrow"/>
              </w:rPr>
            </w:pPr>
            <w:r w:rsidRPr="00212984">
              <w:rPr>
                <w:rFonts w:ascii="Arial Narrow" w:hAnsi="Arial Narrow"/>
              </w:rPr>
              <w:t>Generation of the base case</w:t>
            </w:r>
          </w:p>
        </w:tc>
        <w:tc>
          <w:tcPr>
            <w:tcW w:w="7020" w:type="dxa"/>
          </w:tcPr>
          <w:p w14:paraId="599B0B31" w14:textId="77777777" w:rsidR="004D0114" w:rsidRPr="00212984" w:rsidRDefault="004D0114" w:rsidP="00744F46">
            <w:pPr>
              <w:keepNext/>
              <w:spacing w:before="40"/>
              <w:rPr>
                <w:rFonts w:ascii="Arial Narrow" w:hAnsi="Arial Narrow"/>
              </w:rPr>
            </w:pPr>
            <w:r w:rsidRPr="00212984">
              <w:rPr>
                <w:rFonts w:ascii="Arial Narrow" w:hAnsi="Arial Narrow"/>
              </w:rPr>
              <w:t>Modelled analysis with extrapolation to 5 years (background mortality captured according to the Australian life table).</w:t>
            </w:r>
          </w:p>
          <w:p w14:paraId="2C093849" w14:textId="77777777" w:rsidR="004D0114" w:rsidRPr="00212984" w:rsidRDefault="004D0114" w:rsidP="00744F46">
            <w:pPr>
              <w:keepNext/>
              <w:spacing w:before="40"/>
              <w:rPr>
                <w:rFonts w:ascii="Arial Narrow" w:hAnsi="Arial Narrow"/>
              </w:rPr>
            </w:pPr>
            <w:r w:rsidRPr="00212984">
              <w:rPr>
                <w:rFonts w:ascii="Arial Narrow" w:hAnsi="Arial Narrow"/>
              </w:rPr>
              <w:t xml:space="preserve">Minimal “modelling” components exist (primarily for extrapolation and background mortality) </w:t>
            </w:r>
          </w:p>
        </w:tc>
      </w:tr>
      <w:tr w:rsidR="004D0114" w:rsidRPr="00212984" w14:paraId="30FFB019" w14:textId="77777777" w:rsidTr="00744F46">
        <w:tc>
          <w:tcPr>
            <w:tcW w:w="1906" w:type="dxa"/>
          </w:tcPr>
          <w:p w14:paraId="205F027D" w14:textId="77777777" w:rsidR="004D0114" w:rsidRPr="00212984" w:rsidRDefault="004D0114" w:rsidP="00744F46">
            <w:pPr>
              <w:keepNext/>
              <w:spacing w:before="40"/>
              <w:rPr>
                <w:rFonts w:ascii="Arial Narrow" w:hAnsi="Arial Narrow"/>
              </w:rPr>
            </w:pPr>
            <w:r w:rsidRPr="00212984">
              <w:rPr>
                <w:rFonts w:ascii="Arial Narrow" w:hAnsi="Arial Narrow"/>
              </w:rPr>
              <w:t>Health states</w:t>
            </w:r>
          </w:p>
        </w:tc>
        <w:tc>
          <w:tcPr>
            <w:tcW w:w="7020" w:type="dxa"/>
          </w:tcPr>
          <w:p w14:paraId="77EF438F" w14:textId="77777777" w:rsidR="004D0114" w:rsidRPr="00212984" w:rsidRDefault="004D0114" w:rsidP="00744F46">
            <w:pPr>
              <w:keepNext/>
              <w:spacing w:before="40"/>
              <w:rPr>
                <w:rFonts w:ascii="Arial Narrow" w:hAnsi="Arial Narrow"/>
                <w:color w:val="258221"/>
              </w:rPr>
            </w:pPr>
            <w:r w:rsidRPr="00212984">
              <w:rPr>
                <w:rFonts w:ascii="Arial Narrow" w:hAnsi="Arial Narrow"/>
              </w:rPr>
              <w:t>Alive and death (but mortality does not influence the calculation of ICER)</w:t>
            </w:r>
          </w:p>
        </w:tc>
      </w:tr>
      <w:tr w:rsidR="004D0114" w:rsidRPr="00212984" w14:paraId="2E20582B" w14:textId="77777777" w:rsidTr="00744F46">
        <w:tc>
          <w:tcPr>
            <w:tcW w:w="1906" w:type="dxa"/>
          </w:tcPr>
          <w:p w14:paraId="5C137F54" w14:textId="77777777" w:rsidR="004D0114" w:rsidRPr="00212984" w:rsidRDefault="004D0114" w:rsidP="00744F46">
            <w:pPr>
              <w:keepNext/>
              <w:spacing w:before="40"/>
              <w:rPr>
                <w:rFonts w:ascii="Arial Narrow" w:hAnsi="Arial Narrow"/>
              </w:rPr>
            </w:pPr>
            <w:r w:rsidRPr="00212984">
              <w:rPr>
                <w:rFonts w:ascii="Arial Narrow" w:hAnsi="Arial Narrow"/>
              </w:rPr>
              <w:t>Cycle length</w:t>
            </w:r>
          </w:p>
        </w:tc>
        <w:tc>
          <w:tcPr>
            <w:tcW w:w="7020" w:type="dxa"/>
          </w:tcPr>
          <w:p w14:paraId="7308A7F5" w14:textId="77777777" w:rsidR="004D0114" w:rsidRPr="00212984" w:rsidRDefault="004D0114" w:rsidP="00744F46">
            <w:pPr>
              <w:keepNext/>
              <w:spacing w:before="40"/>
              <w:rPr>
                <w:rFonts w:ascii="Arial Narrow" w:hAnsi="Arial Narrow"/>
              </w:rPr>
            </w:pPr>
            <w:r w:rsidRPr="00212984">
              <w:rPr>
                <w:rFonts w:ascii="Arial Narrow" w:hAnsi="Arial Narrow"/>
              </w:rPr>
              <w:t>Annual</w:t>
            </w:r>
          </w:p>
        </w:tc>
      </w:tr>
      <w:tr w:rsidR="004D0114" w:rsidRPr="00212984" w14:paraId="2B8BFD5B" w14:textId="77777777" w:rsidTr="00744F46">
        <w:tc>
          <w:tcPr>
            <w:tcW w:w="1906" w:type="dxa"/>
          </w:tcPr>
          <w:p w14:paraId="29E32E55" w14:textId="77777777" w:rsidR="004D0114" w:rsidRPr="00212984" w:rsidRDefault="004D0114" w:rsidP="00744F46">
            <w:pPr>
              <w:keepNext/>
              <w:spacing w:before="40"/>
              <w:rPr>
                <w:rFonts w:ascii="Arial Narrow" w:hAnsi="Arial Narrow"/>
              </w:rPr>
            </w:pPr>
            <w:r w:rsidRPr="00212984">
              <w:rPr>
                <w:rFonts w:ascii="Arial Narrow" w:hAnsi="Arial Narrow"/>
              </w:rPr>
              <w:t>Transition probabilities</w:t>
            </w:r>
          </w:p>
        </w:tc>
        <w:tc>
          <w:tcPr>
            <w:tcW w:w="7020" w:type="dxa"/>
          </w:tcPr>
          <w:p w14:paraId="0B753C03" w14:textId="77777777" w:rsidR="004D0114" w:rsidRPr="00212984" w:rsidRDefault="004D0114" w:rsidP="00744F46">
            <w:pPr>
              <w:keepNext/>
              <w:spacing w:before="40"/>
              <w:rPr>
                <w:rFonts w:ascii="Arial Narrow" w:hAnsi="Arial Narrow"/>
                <w:color w:val="258221"/>
              </w:rPr>
            </w:pPr>
            <w:r w:rsidRPr="00212984">
              <w:rPr>
                <w:rFonts w:ascii="Arial Narrow" w:hAnsi="Arial Narrow"/>
              </w:rPr>
              <w:t>Not involving specific transition probabilities.</w:t>
            </w:r>
          </w:p>
        </w:tc>
      </w:tr>
      <w:tr w:rsidR="004D0114" w:rsidRPr="00212984" w14:paraId="19DA5DA2" w14:textId="77777777" w:rsidTr="00744F46">
        <w:tc>
          <w:tcPr>
            <w:tcW w:w="1906" w:type="dxa"/>
          </w:tcPr>
          <w:p w14:paraId="348363BA" w14:textId="77777777" w:rsidR="004D0114" w:rsidRPr="00212984" w:rsidRDefault="004D0114" w:rsidP="00744F46">
            <w:pPr>
              <w:keepNext/>
              <w:spacing w:before="40"/>
              <w:rPr>
                <w:rFonts w:ascii="Arial Narrow" w:hAnsi="Arial Narrow"/>
              </w:rPr>
            </w:pPr>
            <w:r w:rsidRPr="00212984">
              <w:rPr>
                <w:rFonts w:ascii="Arial Narrow" w:hAnsi="Arial Narrow"/>
              </w:rPr>
              <w:t>Discount rate</w:t>
            </w:r>
          </w:p>
        </w:tc>
        <w:tc>
          <w:tcPr>
            <w:tcW w:w="7020" w:type="dxa"/>
          </w:tcPr>
          <w:p w14:paraId="2F959DFA" w14:textId="77777777" w:rsidR="004D0114" w:rsidRPr="00212984" w:rsidRDefault="004D0114" w:rsidP="00744F46">
            <w:pPr>
              <w:keepNext/>
              <w:spacing w:before="40"/>
              <w:rPr>
                <w:rFonts w:ascii="Arial Narrow" w:hAnsi="Arial Narrow"/>
              </w:rPr>
            </w:pPr>
            <w:r w:rsidRPr="00212984">
              <w:rPr>
                <w:rFonts w:ascii="Arial Narrow" w:hAnsi="Arial Narrow"/>
              </w:rPr>
              <w:t>5% for both costs and outcomes</w:t>
            </w:r>
          </w:p>
        </w:tc>
      </w:tr>
      <w:tr w:rsidR="004D0114" w:rsidRPr="00212984" w14:paraId="6E949EA5" w14:textId="77777777" w:rsidTr="00744F46">
        <w:tc>
          <w:tcPr>
            <w:tcW w:w="1906" w:type="dxa"/>
          </w:tcPr>
          <w:p w14:paraId="6946D336" w14:textId="77777777" w:rsidR="004D0114" w:rsidRPr="00212984" w:rsidRDefault="004D0114" w:rsidP="00744F46">
            <w:pPr>
              <w:keepNext/>
              <w:spacing w:before="40"/>
              <w:rPr>
                <w:rFonts w:ascii="Arial Narrow" w:hAnsi="Arial Narrow"/>
              </w:rPr>
            </w:pPr>
            <w:r w:rsidRPr="00212984">
              <w:rPr>
                <w:rFonts w:ascii="Arial Narrow" w:hAnsi="Arial Narrow"/>
              </w:rPr>
              <w:t>Software</w:t>
            </w:r>
          </w:p>
        </w:tc>
        <w:tc>
          <w:tcPr>
            <w:tcW w:w="7020" w:type="dxa"/>
          </w:tcPr>
          <w:p w14:paraId="5D21A3C5" w14:textId="77777777" w:rsidR="004D0114" w:rsidRPr="00212984" w:rsidRDefault="004D0114" w:rsidP="00744F46">
            <w:pPr>
              <w:keepNext/>
              <w:spacing w:before="40"/>
              <w:rPr>
                <w:rFonts w:ascii="Arial Narrow" w:hAnsi="Arial Narrow"/>
              </w:rPr>
            </w:pPr>
            <w:r w:rsidRPr="00212984">
              <w:rPr>
                <w:rFonts w:ascii="Arial Narrow" w:hAnsi="Arial Narrow"/>
              </w:rPr>
              <w:t>Excel</w:t>
            </w:r>
          </w:p>
        </w:tc>
      </w:tr>
    </w:tbl>
    <w:p w14:paraId="5697173A" w14:textId="77777777" w:rsidR="004D0114" w:rsidRPr="00212984" w:rsidRDefault="004D0114" w:rsidP="004D0114">
      <w:pPr>
        <w:keepLines/>
        <w:spacing w:before="0" w:after="0" w:line="240" w:lineRule="auto"/>
        <w:rPr>
          <w:rFonts w:ascii="Arial Narrow" w:eastAsia="Calibri" w:hAnsi="Arial Narrow" w:cs="Arial"/>
          <w:sz w:val="18"/>
          <w:szCs w:val="18"/>
        </w:rPr>
      </w:pPr>
      <w:r w:rsidRPr="00212984">
        <w:rPr>
          <w:rFonts w:ascii="Arial Narrow" w:eastAsia="Calibri" w:hAnsi="Arial Narrow" w:cs="Arial"/>
          <w:sz w:val="18"/>
          <w:szCs w:val="18"/>
        </w:rPr>
        <w:t>Source: Section 3B in ADAR.</w:t>
      </w:r>
    </w:p>
    <w:p w14:paraId="5A644C8E" w14:textId="67DEBE3D" w:rsidR="00E611B7" w:rsidRPr="009352C9" w:rsidRDefault="004D0114" w:rsidP="009352C9">
      <w:pPr>
        <w:keepLines/>
        <w:spacing w:before="0" w:after="240" w:line="240" w:lineRule="auto"/>
        <w:rPr>
          <w:rFonts w:ascii="Arial Narrow" w:eastAsia="Calibri" w:hAnsi="Arial Narrow" w:cs="Arial"/>
          <w:sz w:val="18"/>
          <w:szCs w:val="18"/>
        </w:rPr>
      </w:pPr>
      <w:r w:rsidRPr="00212984">
        <w:rPr>
          <w:rFonts w:ascii="Arial Narrow" w:eastAsia="Calibri" w:hAnsi="Arial Narrow" w:cs="Arial"/>
          <w:sz w:val="18"/>
          <w:szCs w:val="18"/>
        </w:rPr>
        <w:t>Abbreviations: NOSE</w:t>
      </w:r>
      <w:r w:rsidR="009744F1">
        <w:rPr>
          <w:rFonts w:ascii="Arial Narrow" w:eastAsia="Calibri" w:hAnsi="Arial Narrow" w:cs="Arial"/>
          <w:sz w:val="18"/>
          <w:szCs w:val="18"/>
        </w:rPr>
        <w:t>=</w:t>
      </w:r>
      <w:r w:rsidRPr="00212984">
        <w:rPr>
          <w:rFonts w:ascii="Arial Narrow" w:eastAsia="Calibri" w:hAnsi="Arial Narrow" w:cs="Arial"/>
          <w:sz w:val="18"/>
          <w:szCs w:val="18"/>
        </w:rPr>
        <w:t xml:space="preserve"> Nasal Obstruction Symptom Evaluation; NAO</w:t>
      </w:r>
      <w:r w:rsidR="009744F1">
        <w:rPr>
          <w:rFonts w:ascii="Arial Narrow" w:eastAsia="Calibri" w:hAnsi="Arial Narrow" w:cs="Arial"/>
          <w:sz w:val="18"/>
          <w:szCs w:val="18"/>
        </w:rPr>
        <w:t>=</w:t>
      </w:r>
      <w:r w:rsidRPr="00212984">
        <w:rPr>
          <w:rFonts w:ascii="Arial Narrow" w:eastAsia="Calibri" w:hAnsi="Arial Narrow" w:cs="Arial"/>
          <w:sz w:val="18"/>
          <w:szCs w:val="18"/>
        </w:rPr>
        <w:t xml:space="preserve"> nasal airway obstruction; LWI</w:t>
      </w:r>
      <w:r w:rsidR="009744F1">
        <w:rPr>
          <w:rFonts w:ascii="Arial Narrow" w:eastAsia="Calibri" w:hAnsi="Arial Narrow" w:cs="Arial"/>
          <w:sz w:val="18"/>
          <w:szCs w:val="18"/>
        </w:rPr>
        <w:t>=</w:t>
      </w:r>
      <w:r w:rsidRPr="00212984">
        <w:rPr>
          <w:rFonts w:ascii="Arial Narrow" w:eastAsia="Calibri" w:hAnsi="Arial Narrow" w:cs="Arial"/>
          <w:sz w:val="18"/>
          <w:szCs w:val="18"/>
        </w:rPr>
        <w:t xml:space="preserve"> lateral wall insufficiency; QALY</w:t>
      </w:r>
      <w:r w:rsidR="009744F1">
        <w:rPr>
          <w:rFonts w:ascii="Arial Narrow" w:eastAsia="Calibri" w:hAnsi="Arial Narrow" w:cs="Arial"/>
          <w:sz w:val="18"/>
          <w:szCs w:val="18"/>
        </w:rPr>
        <w:t>=</w:t>
      </w:r>
      <w:r w:rsidRPr="00212984">
        <w:rPr>
          <w:rFonts w:ascii="Arial Narrow" w:eastAsia="Calibri" w:hAnsi="Arial Narrow" w:cs="Arial"/>
          <w:sz w:val="18"/>
          <w:szCs w:val="18"/>
        </w:rPr>
        <w:t xml:space="preserve"> quality-adjusted life year, CEA</w:t>
      </w:r>
      <w:r w:rsidR="009744F1">
        <w:rPr>
          <w:rFonts w:ascii="Arial Narrow" w:eastAsia="Calibri" w:hAnsi="Arial Narrow" w:cs="Arial"/>
          <w:sz w:val="18"/>
          <w:szCs w:val="18"/>
        </w:rPr>
        <w:t>=</w:t>
      </w:r>
      <w:r w:rsidRPr="00212984">
        <w:rPr>
          <w:rFonts w:ascii="Arial Narrow" w:eastAsia="Calibri" w:hAnsi="Arial Narrow" w:cs="Arial"/>
          <w:sz w:val="18"/>
          <w:szCs w:val="18"/>
        </w:rPr>
        <w:t xml:space="preserve"> cost-effectiveness analysis, CUA</w:t>
      </w:r>
      <w:r w:rsidR="009744F1">
        <w:rPr>
          <w:rFonts w:ascii="Arial Narrow" w:eastAsia="Calibri" w:hAnsi="Arial Narrow" w:cs="Arial"/>
          <w:sz w:val="18"/>
          <w:szCs w:val="18"/>
        </w:rPr>
        <w:t>=</w:t>
      </w:r>
      <w:r w:rsidRPr="00212984">
        <w:rPr>
          <w:rFonts w:ascii="Arial Narrow" w:eastAsia="Calibri" w:hAnsi="Arial Narrow" w:cs="Arial"/>
          <w:sz w:val="18"/>
          <w:szCs w:val="18"/>
        </w:rPr>
        <w:t xml:space="preserve"> cost-utility analysis, ICER</w:t>
      </w:r>
      <w:r w:rsidR="009744F1">
        <w:rPr>
          <w:rFonts w:ascii="Arial Narrow" w:eastAsia="Calibri" w:hAnsi="Arial Narrow" w:cs="Arial"/>
          <w:sz w:val="18"/>
          <w:szCs w:val="18"/>
        </w:rPr>
        <w:t>=</w:t>
      </w:r>
      <w:r w:rsidRPr="00212984">
        <w:rPr>
          <w:rFonts w:ascii="Arial Narrow" w:eastAsia="Calibri" w:hAnsi="Arial Narrow" w:cs="Arial"/>
          <w:sz w:val="18"/>
          <w:szCs w:val="18"/>
        </w:rPr>
        <w:t xml:space="preserve"> incremental cost-effectiveness ratio.</w:t>
      </w:r>
    </w:p>
    <w:p w14:paraId="4A437C58" w14:textId="396F18B0" w:rsidR="004D0114" w:rsidRPr="004F0E54" w:rsidRDefault="00E611B7" w:rsidP="00E32648">
      <w:r>
        <w:fldChar w:fldCharType="begin"/>
      </w:r>
      <w:r>
        <w:instrText xml:space="preserve"> REF _Ref120540670 \h </w:instrText>
      </w:r>
      <w:r>
        <w:fldChar w:fldCharType="separate"/>
      </w:r>
      <w:r w:rsidR="003511D3" w:rsidRPr="00B54D3C">
        <w:t xml:space="preserve">Table </w:t>
      </w:r>
      <w:r w:rsidR="003511D3">
        <w:rPr>
          <w:noProof/>
        </w:rPr>
        <w:t>23</w:t>
      </w:r>
      <w:r>
        <w:fldChar w:fldCharType="end"/>
      </w:r>
      <w:r>
        <w:t xml:space="preserve"> s</w:t>
      </w:r>
      <w:r w:rsidRPr="00E611B7">
        <w:t>ummarises</w:t>
      </w:r>
      <w:r w:rsidRPr="00B2267D">
        <w:t xml:space="preserve"> parameters used in ADAR for the economic evaluation.</w:t>
      </w:r>
      <w:r>
        <w:t xml:space="preserve"> </w:t>
      </w:r>
      <w:r w:rsidR="00E62CC1">
        <w:t xml:space="preserve">The </w:t>
      </w:r>
      <w:r w:rsidR="004C281C">
        <w:t>c</w:t>
      </w:r>
      <w:r w:rsidR="00E62CC1">
        <w:t>ommentary highlighted that t</w:t>
      </w:r>
      <w:r w:rsidR="004D0114" w:rsidRPr="004F0E54">
        <w:t xml:space="preserve">here is a high degree of uncertainty in parameters used in the </w:t>
      </w:r>
      <w:r w:rsidR="00E62CC1">
        <w:t>CUA</w:t>
      </w:r>
      <w:r w:rsidR="004D0114" w:rsidRPr="004F0E54">
        <w:t>. These include:</w:t>
      </w:r>
    </w:p>
    <w:p w14:paraId="1A0612BD" w14:textId="1B3D26D3" w:rsidR="004D0114" w:rsidRPr="004F0E54" w:rsidRDefault="004D0114" w:rsidP="00E32648">
      <w:pPr>
        <w:numPr>
          <w:ilvl w:val="0"/>
          <w:numId w:val="18"/>
        </w:numPr>
        <w:contextualSpacing/>
      </w:pPr>
      <w:r w:rsidRPr="004F0E54">
        <w:t>The</w:t>
      </w:r>
      <w:r w:rsidR="00E62CC1">
        <w:t xml:space="preserve"> ADAR stated it took a</w:t>
      </w:r>
      <w:r w:rsidRPr="004F0E54">
        <w:t xml:space="preserve"> conservative approach by assuming zero</w:t>
      </w:r>
      <w:r>
        <w:t xml:space="preserve"> cost</w:t>
      </w:r>
      <w:r w:rsidRPr="004F0E54">
        <w:t xml:space="preserve"> for the comparator group </w:t>
      </w:r>
      <w:r w:rsidR="00E62CC1">
        <w:t xml:space="preserve">however the </w:t>
      </w:r>
      <w:r w:rsidR="004C281C">
        <w:t>c</w:t>
      </w:r>
      <w:r w:rsidR="00E62CC1">
        <w:t xml:space="preserve">ommentary </w:t>
      </w:r>
      <w:r w:rsidR="00EC4BB7">
        <w:t xml:space="preserve">considered that this </w:t>
      </w:r>
      <w:r>
        <w:t>does</w:t>
      </w:r>
      <w:r w:rsidRPr="004F0E54">
        <w:t xml:space="preserve"> not represent the true economic cost </w:t>
      </w:r>
      <w:r w:rsidR="0022792B">
        <w:t>(but this may bias against LATERA)</w:t>
      </w:r>
      <w:r w:rsidRPr="004F0E54">
        <w:t xml:space="preserve">. </w:t>
      </w:r>
      <w:r w:rsidR="00B761CA">
        <w:t>Further, t</w:t>
      </w:r>
      <w:r w:rsidRPr="004F0E54">
        <w:t xml:space="preserve">here is no information of clinical outcomes in the </w:t>
      </w:r>
      <w:r w:rsidR="00B761CA" w:rsidRPr="004F0E54">
        <w:t>C</w:t>
      </w:r>
      <w:r w:rsidR="00B761CA">
        <w:t>UA</w:t>
      </w:r>
      <w:r w:rsidR="00B761CA" w:rsidRPr="004F0E54">
        <w:t xml:space="preserve"> </w:t>
      </w:r>
      <w:r w:rsidRPr="004F0E54">
        <w:t xml:space="preserve">for the comparator group. </w:t>
      </w:r>
    </w:p>
    <w:p w14:paraId="76099D2C" w14:textId="54FCB5F4" w:rsidR="004D0114" w:rsidRPr="004F0E54" w:rsidRDefault="004D0114" w:rsidP="00E32648">
      <w:pPr>
        <w:numPr>
          <w:ilvl w:val="0"/>
          <w:numId w:val="18"/>
        </w:numPr>
        <w:contextualSpacing/>
      </w:pPr>
      <w:r w:rsidRPr="004F0E54">
        <w:t xml:space="preserve">The </w:t>
      </w:r>
      <w:r>
        <w:t>baseline</w:t>
      </w:r>
      <w:r w:rsidRPr="004F0E54">
        <w:t xml:space="preserve"> </w:t>
      </w:r>
      <w:r>
        <w:t>utility values</w:t>
      </w:r>
      <w:r w:rsidRPr="004F0E54">
        <w:t xml:space="preserve"> </w:t>
      </w:r>
      <w:r>
        <w:t xml:space="preserve">applied in the </w:t>
      </w:r>
      <w:r w:rsidR="00B761CA">
        <w:t>CUA</w:t>
      </w:r>
      <w:r>
        <w:t xml:space="preserve"> were based on</w:t>
      </w:r>
      <w:r w:rsidRPr="004F0E54">
        <w:t xml:space="preserve"> a reference study of septorhinoplasty</w:t>
      </w:r>
      <w:r w:rsidRPr="004F0E54" w:rsidDel="00A37ABD">
        <w:t xml:space="preserve"> </w:t>
      </w:r>
      <w:r w:rsidRPr="004F0E54">
        <w:t>in Australia (Tjahjono et al. 201</w:t>
      </w:r>
      <w:r>
        <w:t>9</w:t>
      </w:r>
      <w:r w:rsidRPr="004F0E54">
        <w:t xml:space="preserve">). </w:t>
      </w:r>
      <w:r w:rsidR="00430FC7">
        <w:t xml:space="preserve">The analysis </w:t>
      </w:r>
      <w:r w:rsidR="008F517B">
        <w:t xml:space="preserve">assumed a </w:t>
      </w:r>
      <w:r>
        <w:t>utility value</w:t>
      </w:r>
      <w:r w:rsidRPr="004F0E54">
        <w:t xml:space="preserve"> of 0.72 t</w:t>
      </w:r>
      <w:r w:rsidR="008F517B">
        <w:t xml:space="preserve">o </w:t>
      </w:r>
      <w:r w:rsidR="00427159">
        <w:t xml:space="preserve">be </w:t>
      </w:r>
      <w:r w:rsidR="00427159" w:rsidRPr="004F0E54">
        <w:t>applied</w:t>
      </w:r>
      <w:r w:rsidRPr="004F0E54">
        <w:t xml:space="preserve"> for both the treatment and </w:t>
      </w:r>
      <w:r w:rsidR="00167698">
        <w:t>alternative</w:t>
      </w:r>
      <w:r w:rsidRPr="004F0E54">
        <w:t xml:space="preserve"> groups</w:t>
      </w:r>
      <w:r w:rsidR="004E4CB1">
        <w:t>.</w:t>
      </w:r>
      <w:r w:rsidRPr="004F0E54">
        <w:t xml:space="preserve"> </w:t>
      </w:r>
      <w:r w:rsidR="001A3A75">
        <w:t>P</w:t>
      </w:r>
      <w:r w:rsidRPr="004F0E54">
        <w:t>atient demographics and characteristics at the baseline are different between the cohort in LATERA-RCT study and the septorhinoplasty study (Tjahjono et al. 201</w:t>
      </w:r>
      <w:r>
        <w:t>9</w:t>
      </w:r>
      <w:r w:rsidRPr="004F0E54">
        <w:t xml:space="preserve">). </w:t>
      </w:r>
      <w:r w:rsidR="00D42D60">
        <w:t>T</w:t>
      </w:r>
      <w:r w:rsidRPr="004F0E54">
        <w:t xml:space="preserve">he mean age </w:t>
      </w:r>
      <w:r w:rsidRPr="004F0E54">
        <w:lastRenderedPageBreak/>
        <w:t>of patients in the LATERA-RCT study was 51 years old, while in the septorhinoplasty study was 38 years old</w:t>
      </w:r>
      <w:r w:rsidR="0065034D">
        <w:t>, thus</w:t>
      </w:r>
      <w:r w:rsidR="0045191D">
        <w:t xml:space="preserve">, there are potential different </w:t>
      </w:r>
      <w:r w:rsidR="00E1597B">
        <w:t>effects associated with patient’s age</w:t>
      </w:r>
      <w:r w:rsidR="00201D26">
        <w:t xml:space="preserve"> after the treatment</w:t>
      </w:r>
      <w:r w:rsidRPr="004F0E54">
        <w:t xml:space="preserve">. Moreover, there are also significant differences in NOSE scores between LATERA cohort and septorhinoplasty cohort </w:t>
      </w:r>
      <w:r w:rsidR="00C76E30">
        <w:t xml:space="preserve">at baseline </w:t>
      </w:r>
      <w:r w:rsidRPr="004F0E54">
        <w:t xml:space="preserve">(77.4 versus 48.2 respectively). On that basis, the </w:t>
      </w:r>
      <w:r>
        <w:t xml:space="preserve">assumption that patients in the LATERA-RCT have the same baseline utility as the </w:t>
      </w:r>
      <w:r w:rsidRPr="004F0E54">
        <w:t xml:space="preserve">baseline </w:t>
      </w:r>
      <w:r>
        <w:t>utility</w:t>
      </w:r>
      <w:r w:rsidRPr="004F0E54">
        <w:t xml:space="preserve"> observed in Tjahjono et al. (201</w:t>
      </w:r>
      <w:r>
        <w:t>9</w:t>
      </w:r>
      <w:r w:rsidRPr="004F0E54">
        <w:t>) is potentially overestimated</w:t>
      </w:r>
      <w:r w:rsidR="00980491">
        <w:t>.</w:t>
      </w:r>
    </w:p>
    <w:p w14:paraId="69DF89E2" w14:textId="648565F3" w:rsidR="004D0114" w:rsidRPr="004F0E54" w:rsidRDefault="004D0114" w:rsidP="00E32648">
      <w:pPr>
        <w:numPr>
          <w:ilvl w:val="0"/>
          <w:numId w:val="18"/>
        </w:numPr>
        <w:contextualSpacing/>
      </w:pPr>
      <w:r w:rsidRPr="004F0E54">
        <w:t xml:space="preserve">The </w:t>
      </w:r>
      <w:r>
        <w:t>utility value</w:t>
      </w:r>
      <w:r w:rsidRPr="004F0E54">
        <w:t xml:space="preserve"> post-surgery for </w:t>
      </w:r>
      <w:r w:rsidR="00357E90">
        <w:t xml:space="preserve">LATERA was assumed to be the same as the 0.78 utility value post-surgery reported </w:t>
      </w:r>
      <w:r w:rsidRPr="004F0E54">
        <w:t xml:space="preserve">for the treatment group </w:t>
      </w:r>
      <w:r w:rsidR="00357E90">
        <w:t>in</w:t>
      </w:r>
      <w:r w:rsidRPr="004F0E54">
        <w:t xml:space="preserve"> the septorhinoplasty study (Tjahjono et al. 201</w:t>
      </w:r>
      <w:r>
        <w:t>9</w:t>
      </w:r>
      <w:r w:rsidRPr="004F0E54">
        <w:t>)</w:t>
      </w:r>
      <w:r w:rsidR="00357E90">
        <w:t xml:space="preserve">. This assumption </w:t>
      </w:r>
      <w:r w:rsidRPr="004F0E54">
        <w:t xml:space="preserve">is </w:t>
      </w:r>
      <w:r w:rsidR="00BD4484">
        <w:t>potentially</w:t>
      </w:r>
      <w:r w:rsidRPr="004F0E54">
        <w:t xml:space="preserve"> biased due to a different period of assessment. The </w:t>
      </w:r>
      <w:r w:rsidR="00BD516F">
        <w:t>CUA</w:t>
      </w:r>
      <w:r w:rsidRPr="004F0E54">
        <w:t xml:space="preserve"> follows the LATERA-RCT study of three-month treatment effect. Meanwhile, the reference study showed that QALY of 0.78 was observed six months after the procedure of septorhinoplasty</w:t>
      </w:r>
      <w:r w:rsidR="00A91841">
        <w:t>. W</w:t>
      </w:r>
      <w:r>
        <w:t>ith standard deviation of 0.12, QALYs at follow-up overlap the average QALYs at baseline (0.72) and QALYs for the Australian norm (0.81)</w:t>
      </w:r>
      <w:r w:rsidR="00980491">
        <w:t>.</w:t>
      </w:r>
    </w:p>
    <w:p w14:paraId="3FB98854" w14:textId="51EAA7AE" w:rsidR="004D0114" w:rsidRPr="004F0E54" w:rsidRDefault="004D0114" w:rsidP="00E32648">
      <w:pPr>
        <w:numPr>
          <w:ilvl w:val="0"/>
          <w:numId w:val="18"/>
        </w:numPr>
        <w:contextualSpacing/>
      </w:pPr>
      <w:r w:rsidRPr="004F0E54">
        <w:t xml:space="preserve">The </w:t>
      </w:r>
      <w:r>
        <w:t>utility value</w:t>
      </w:r>
      <w:r w:rsidRPr="004F0E54">
        <w:t xml:space="preserve"> post-treatment for the </w:t>
      </w:r>
      <w:r w:rsidR="005036EF">
        <w:t>comparator (ECM)</w:t>
      </w:r>
      <w:r w:rsidRPr="004F0E54">
        <w:t xml:space="preserve"> was assumed to be constant at 0.72. </w:t>
      </w:r>
      <w:r w:rsidR="00800845" w:rsidRPr="00800845">
        <w:t xml:space="preserve"> </w:t>
      </w:r>
      <w:r w:rsidR="002B551C">
        <w:t xml:space="preserve">With no patients' data available in the analysis to inform detail of the ECM group, the assumption of constant QALYs </w:t>
      </w:r>
      <w:r w:rsidR="000A3CBF">
        <w:t>is</w:t>
      </w:r>
      <w:r w:rsidR="002B551C">
        <w:t xml:space="preserve"> biased</w:t>
      </w:r>
      <w:r w:rsidR="00E611B7">
        <w:t xml:space="preserve"> in favour of LATERA</w:t>
      </w:r>
      <w:r w:rsidR="002B551C">
        <w:t>.</w:t>
      </w:r>
      <w:r w:rsidR="000A3CBF">
        <w:t xml:space="preserve"> </w:t>
      </w:r>
    </w:p>
    <w:p w14:paraId="192C2972" w14:textId="6A9939F9" w:rsidR="00E86BB4" w:rsidRDefault="004D0114" w:rsidP="009352C9">
      <w:pPr>
        <w:numPr>
          <w:ilvl w:val="0"/>
          <w:numId w:val="18"/>
        </w:numPr>
        <w:spacing w:after="240"/>
        <w:ind w:left="714" w:hanging="357"/>
      </w:pPr>
      <w:r w:rsidRPr="004F0E54">
        <w:t xml:space="preserve">The </w:t>
      </w:r>
      <w:r w:rsidR="00E611B7">
        <w:t>CUA</w:t>
      </w:r>
      <w:r w:rsidRPr="004F0E54">
        <w:t xml:space="preserve"> did not specify QALY’s threshold to determine the effectiveness of LATERA treatment. It is noted that the estimated ICERs </w:t>
      </w:r>
      <w:r w:rsidR="000E3626">
        <w:t xml:space="preserve">does not differentiate unilateral and bilateral procedures </w:t>
      </w:r>
      <w:r w:rsidRPr="004F0E54">
        <w:t>and that revision rates costs and safety costs have not been provided and included in the ICER</w:t>
      </w:r>
      <w:r w:rsidR="00980491">
        <w:t>.</w:t>
      </w:r>
    </w:p>
    <w:p w14:paraId="04C1A036" w14:textId="6E7CA49F" w:rsidR="00B05668" w:rsidRPr="00B05668" w:rsidRDefault="00E86BB4" w:rsidP="009352C9">
      <w:pPr>
        <w:spacing w:before="240"/>
        <w:rPr>
          <w:shd w:val="clear" w:color="auto" w:fill="E6E6E6"/>
        </w:rPr>
      </w:pPr>
      <w:r>
        <w:t xml:space="preserve">Based on these uncertainties, the </w:t>
      </w:r>
      <w:r w:rsidR="004C281C">
        <w:t>c</w:t>
      </w:r>
      <w:r w:rsidR="00E611B7">
        <w:t>ommentary considered the CUA was</w:t>
      </w:r>
      <w:r>
        <w:t xml:space="preserve"> not suitable to measure cost-effectiveness of LATERA</w:t>
      </w:r>
      <w:r w:rsidR="00322F7E">
        <w:t xml:space="preserve"> compared to </w:t>
      </w:r>
      <w:r w:rsidR="00EA731F">
        <w:t>ECM</w:t>
      </w:r>
      <w:r>
        <w:t>.</w:t>
      </w:r>
    </w:p>
    <w:p w14:paraId="3A5B9321" w14:textId="7612F332" w:rsidR="004D0114" w:rsidRPr="00B54D3C" w:rsidRDefault="004D0114" w:rsidP="00664804">
      <w:pPr>
        <w:pStyle w:val="Caption"/>
      </w:pPr>
      <w:bookmarkStart w:id="53" w:name="_Ref120540670"/>
      <w:r w:rsidRPr="00B54D3C">
        <w:t xml:space="preserve">Table </w:t>
      </w:r>
      <w:r w:rsidRPr="004F0E54">
        <w:rPr>
          <w:color w:val="2B579A"/>
          <w:shd w:val="clear" w:color="auto" w:fill="E6E6E6"/>
        </w:rPr>
        <w:fldChar w:fldCharType="begin"/>
      </w:r>
      <w:r w:rsidRPr="00B54D3C">
        <w:rPr>
          <w:noProof/>
        </w:rPr>
        <w:instrText xml:space="preserve"> SEQ Table \* ARABIC </w:instrText>
      </w:r>
      <w:r w:rsidRPr="004F0E54">
        <w:rPr>
          <w:color w:val="2B579A"/>
          <w:shd w:val="clear" w:color="auto" w:fill="E6E6E6"/>
        </w:rPr>
        <w:fldChar w:fldCharType="separate"/>
      </w:r>
      <w:r w:rsidR="003511D3">
        <w:rPr>
          <w:noProof/>
        </w:rPr>
        <w:t>23</w:t>
      </w:r>
      <w:r w:rsidRPr="004F0E54">
        <w:rPr>
          <w:color w:val="2B579A"/>
          <w:shd w:val="clear" w:color="auto" w:fill="E6E6E6"/>
        </w:rPr>
        <w:fldChar w:fldCharType="end"/>
      </w:r>
      <w:bookmarkEnd w:id="53"/>
      <w:r>
        <w:rPr>
          <w:noProof/>
        </w:rPr>
        <w:tab/>
      </w:r>
      <w:r w:rsidRPr="00B54D3C">
        <w:t xml:space="preserve">Summary of parameters for the </w:t>
      </w:r>
      <w:r w:rsidR="00AC58EA">
        <w:t>CUA presented</w:t>
      </w:r>
      <w:r w:rsidRPr="00B54D3C">
        <w:t xml:space="preserve"> in the ADAR</w:t>
      </w:r>
    </w:p>
    <w:tbl>
      <w:tblPr>
        <w:tblStyle w:val="TableGrid111"/>
        <w:tblW w:w="5000" w:type="pct"/>
        <w:tblLook w:val="04A0" w:firstRow="1" w:lastRow="0" w:firstColumn="1" w:lastColumn="0" w:noHBand="0" w:noVBand="1"/>
        <w:tblCaption w:val="Summary of the inputs used in the economic evaluation "/>
        <w:tblDescription w:val="Summary of the inputs used in the economic evaluation "/>
      </w:tblPr>
      <w:tblGrid>
        <w:gridCol w:w="2657"/>
        <w:gridCol w:w="1751"/>
        <w:gridCol w:w="1755"/>
        <w:gridCol w:w="2853"/>
      </w:tblGrid>
      <w:tr w:rsidR="004D0114" w:rsidRPr="00B54D3C" w14:paraId="190F2143" w14:textId="77777777" w:rsidTr="00744F46">
        <w:trPr>
          <w:cnfStyle w:val="100000000000" w:firstRow="1" w:lastRow="0" w:firstColumn="0" w:lastColumn="0" w:oddVBand="0" w:evenVBand="0" w:oddHBand="0" w:evenHBand="0" w:firstRowFirstColumn="0" w:firstRowLastColumn="0" w:lastRowFirstColumn="0" w:lastRowLastColumn="0"/>
          <w:tblHeader/>
        </w:trPr>
        <w:tc>
          <w:tcPr>
            <w:tcW w:w="1473" w:type="pct"/>
            <w:tcBorders>
              <w:bottom w:val="single" w:sz="4" w:space="0" w:color="auto"/>
            </w:tcBorders>
            <w:shd w:val="clear" w:color="auto" w:fill="A6A6A6" w:themeFill="background1" w:themeFillShade="A6"/>
          </w:tcPr>
          <w:p w14:paraId="66282689" w14:textId="77777777" w:rsidR="004D0114" w:rsidRPr="00B54D3C" w:rsidRDefault="004D0114" w:rsidP="00744F46">
            <w:pPr>
              <w:spacing w:before="40"/>
              <w:rPr>
                <w:rFonts w:ascii="Arial Narrow" w:hAnsi="Arial Narrow"/>
                <w:b/>
                <w:bCs/>
              </w:rPr>
            </w:pPr>
            <w:r w:rsidRPr="00B54D3C">
              <w:rPr>
                <w:rFonts w:ascii="Arial Narrow" w:hAnsi="Arial Narrow"/>
                <w:b/>
                <w:bCs/>
              </w:rPr>
              <w:t>Parameters</w:t>
            </w:r>
          </w:p>
        </w:tc>
        <w:tc>
          <w:tcPr>
            <w:tcW w:w="971" w:type="pct"/>
            <w:tcBorders>
              <w:bottom w:val="single" w:sz="4" w:space="0" w:color="auto"/>
            </w:tcBorders>
            <w:shd w:val="clear" w:color="auto" w:fill="A6A6A6" w:themeFill="background1" w:themeFillShade="A6"/>
          </w:tcPr>
          <w:p w14:paraId="2D5B55E6" w14:textId="77777777" w:rsidR="004D0114" w:rsidRPr="00B54D3C" w:rsidRDefault="004D0114" w:rsidP="00744F46">
            <w:pPr>
              <w:spacing w:before="40"/>
              <w:jc w:val="center"/>
              <w:rPr>
                <w:rFonts w:ascii="Arial Narrow" w:hAnsi="Arial Narrow"/>
                <w:b/>
                <w:bCs/>
              </w:rPr>
            </w:pPr>
            <w:r w:rsidRPr="00B54D3C">
              <w:rPr>
                <w:rFonts w:ascii="Arial Narrow" w:hAnsi="Arial Narrow"/>
                <w:b/>
                <w:bCs/>
              </w:rPr>
              <w:t>Treatment group (LATERA)</w:t>
            </w:r>
          </w:p>
        </w:tc>
        <w:tc>
          <w:tcPr>
            <w:tcW w:w="973" w:type="pct"/>
            <w:tcBorders>
              <w:bottom w:val="single" w:sz="4" w:space="0" w:color="auto"/>
            </w:tcBorders>
            <w:shd w:val="clear" w:color="auto" w:fill="A6A6A6" w:themeFill="background1" w:themeFillShade="A6"/>
          </w:tcPr>
          <w:p w14:paraId="23FB2343" w14:textId="77777777" w:rsidR="004D0114" w:rsidRPr="00B54D3C" w:rsidRDefault="004D0114" w:rsidP="00744F46">
            <w:pPr>
              <w:spacing w:before="40"/>
              <w:jc w:val="center"/>
              <w:rPr>
                <w:rFonts w:ascii="Arial Narrow" w:hAnsi="Arial Narrow"/>
                <w:b/>
                <w:bCs/>
              </w:rPr>
            </w:pPr>
            <w:r w:rsidRPr="00B54D3C">
              <w:rPr>
                <w:rFonts w:ascii="Arial Narrow" w:hAnsi="Arial Narrow"/>
                <w:b/>
                <w:bCs/>
              </w:rPr>
              <w:t>Comparator group (ECM)</w:t>
            </w:r>
          </w:p>
        </w:tc>
        <w:tc>
          <w:tcPr>
            <w:tcW w:w="1582" w:type="pct"/>
            <w:tcBorders>
              <w:bottom w:val="single" w:sz="4" w:space="0" w:color="auto"/>
            </w:tcBorders>
            <w:shd w:val="clear" w:color="auto" w:fill="A6A6A6" w:themeFill="background1" w:themeFillShade="A6"/>
          </w:tcPr>
          <w:p w14:paraId="7484787C" w14:textId="77777777" w:rsidR="004D0114" w:rsidRPr="00B54D3C" w:rsidRDefault="004D0114" w:rsidP="00744F46">
            <w:pPr>
              <w:spacing w:before="40"/>
              <w:rPr>
                <w:rFonts w:ascii="Arial Narrow" w:hAnsi="Arial Narrow"/>
                <w:b/>
                <w:bCs/>
              </w:rPr>
            </w:pPr>
            <w:r w:rsidRPr="00B54D3C">
              <w:rPr>
                <w:rFonts w:ascii="Arial Narrow" w:hAnsi="Arial Narrow"/>
                <w:b/>
                <w:bCs/>
              </w:rPr>
              <w:t>Source / note</w:t>
            </w:r>
          </w:p>
        </w:tc>
      </w:tr>
      <w:tr w:rsidR="004D0114" w:rsidRPr="00B54D3C" w14:paraId="5A67B360" w14:textId="77777777" w:rsidTr="00744F46">
        <w:tc>
          <w:tcPr>
            <w:tcW w:w="1473" w:type="pct"/>
            <w:tcBorders>
              <w:right w:val="single" w:sz="4" w:space="0" w:color="auto"/>
            </w:tcBorders>
            <w:vAlign w:val="center"/>
          </w:tcPr>
          <w:p w14:paraId="747BD6B0" w14:textId="77777777" w:rsidR="004D0114" w:rsidRPr="004F0E54" w:rsidRDefault="004D0114" w:rsidP="00744F46">
            <w:pPr>
              <w:spacing w:before="0" w:after="0"/>
              <w:rPr>
                <w:rFonts w:ascii="Arial Narrow" w:hAnsi="Arial Narrow"/>
              </w:rPr>
            </w:pPr>
            <w:r w:rsidRPr="004F0E54">
              <w:rPr>
                <w:rFonts w:ascii="Arial Narrow" w:hAnsi="Arial Narrow"/>
              </w:rPr>
              <w:t>Modelled population (sample)</w:t>
            </w:r>
          </w:p>
        </w:tc>
        <w:tc>
          <w:tcPr>
            <w:tcW w:w="971" w:type="pct"/>
            <w:tcBorders>
              <w:left w:val="single" w:sz="4" w:space="0" w:color="auto"/>
              <w:right w:val="single" w:sz="4" w:space="0" w:color="auto"/>
            </w:tcBorders>
            <w:vAlign w:val="center"/>
          </w:tcPr>
          <w:p w14:paraId="4DE8057D" w14:textId="77777777" w:rsidR="004D0114" w:rsidRPr="004F0E54" w:rsidRDefault="004D0114" w:rsidP="00744F46">
            <w:pPr>
              <w:spacing w:before="0" w:after="0"/>
              <w:jc w:val="center"/>
              <w:rPr>
                <w:rFonts w:ascii="Arial Narrow" w:hAnsi="Arial Narrow"/>
              </w:rPr>
            </w:pPr>
            <w:r w:rsidRPr="004F0E54">
              <w:rPr>
                <w:rFonts w:ascii="Arial Narrow" w:hAnsi="Arial Narrow"/>
              </w:rPr>
              <w:t xml:space="preserve">n=70 </w:t>
            </w:r>
          </w:p>
        </w:tc>
        <w:tc>
          <w:tcPr>
            <w:tcW w:w="973" w:type="pct"/>
            <w:tcBorders>
              <w:left w:val="single" w:sz="4" w:space="0" w:color="auto"/>
              <w:right w:val="single" w:sz="4" w:space="0" w:color="auto"/>
            </w:tcBorders>
            <w:vAlign w:val="center"/>
          </w:tcPr>
          <w:p w14:paraId="59276772" w14:textId="77777777" w:rsidR="004D0114" w:rsidRPr="004F0E54" w:rsidRDefault="004D0114" w:rsidP="00744F46">
            <w:pPr>
              <w:spacing w:before="0" w:after="0"/>
              <w:jc w:val="center"/>
              <w:rPr>
                <w:rFonts w:ascii="Arial Narrow" w:hAnsi="Arial Narrow"/>
              </w:rPr>
            </w:pPr>
            <w:r w:rsidRPr="004F0E54">
              <w:rPr>
                <w:rFonts w:ascii="Arial Narrow" w:hAnsi="Arial Narrow"/>
              </w:rPr>
              <w:t>n/a</w:t>
            </w:r>
          </w:p>
        </w:tc>
        <w:tc>
          <w:tcPr>
            <w:tcW w:w="1582" w:type="pct"/>
            <w:tcBorders>
              <w:left w:val="single" w:sz="4" w:space="0" w:color="auto"/>
              <w:right w:val="single" w:sz="4" w:space="0" w:color="auto"/>
            </w:tcBorders>
            <w:vAlign w:val="center"/>
          </w:tcPr>
          <w:p w14:paraId="57B874DA" w14:textId="77777777" w:rsidR="004D0114" w:rsidRPr="004F0E54" w:rsidRDefault="004D0114" w:rsidP="00744F46">
            <w:pPr>
              <w:spacing w:before="0" w:after="0"/>
              <w:rPr>
                <w:rFonts w:ascii="Arial Narrow" w:hAnsi="Arial Narrow"/>
              </w:rPr>
            </w:pPr>
            <w:r w:rsidRPr="004F0E54">
              <w:rPr>
                <w:rFonts w:ascii="Arial Narrow" w:hAnsi="Arial Narrow"/>
              </w:rPr>
              <w:t>Stolovitzky et al. (2019) for LATERA, no specification for the ECM.</w:t>
            </w:r>
          </w:p>
        </w:tc>
      </w:tr>
      <w:tr w:rsidR="004D0114" w:rsidRPr="00B54D3C" w14:paraId="63B41F6C" w14:textId="77777777" w:rsidTr="009E299F">
        <w:tc>
          <w:tcPr>
            <w:tcW w:w="1473" w:type="pct"/>
            <w:tcBorders>
              <w:right w:val="single" w:sz="4" w:space="0" w:color="auto"/>
            </w:tcBorders>
            <w:vAlign w:val="center"/>
          </w:tcPr>
          <w:p w14:paraId="57593E18" w14:textId="77777777" w:rsidR="004D0114" w:rsidRPr="004F0E54" w:rsidRDefault="004D0114" w:rsidP="00744F46">
            <w:pPr>
              <w:spacing w:before="0" w:after="0"/>
              <w:rPr>
                <w:rFonts w:ascii="Arial Narrow" w:hAnsi="Arial Narrow"/>
              </w:rPr>
            </w:pPr>
            <w:r w:rsidRPr="004F0E54">
              <w:rPr>
                <w:rFonts w:ascii="Arial Narrow" w:hAnsi="Arial Narrow"/>
              </w:rPr>
              <w:t>Cost per treatment</w:t>
            </w:r>
          </w:p>
        </w:tc>
        <w:tc>
          <w:tcPr>
            <w:tcW w:w="971" w:type="pct"/>
            <w:tcBorders>
              <w:left w:val="single" w:sz="4" w:space="0" w:color="auto"/>
              <w:right w:val="single" w:sz="4" w:space="0" w:color="auto"/>
            </w:tcBorders>
            <w:vAlign w:val="center"/>
          </w:tcPr>
          <w:p w14:paraId="15AFFEDB" w14:textId="0D581374" w:rsidR="004D0114" w:rsidRPr="004F0E54" w:rsidRDefault="004D0114" w:rsidP="009E299F">
            <w:pPr>
              <w:spacing w:before="0" w:after="0"/>
              <w:jc w:val="center"/>
              <w:rPr>
                <w:rFonts w:ascii="Arial Narrow" w:hAnsi="Arial Narrow"/>
              </w:rPr>
            </w:pPr>
            <w:r w:rsidRPr="00395FD6">
              <w:rPr>
                <w:rFonts w:ascii="Arial Narrow" w:hAnsi="Arial Narrow"/>
              </w:rPr>
              <w:t>$</w:t>
            </w:r>
            <w:r w:rsidR="00054AF6" w:rsidRPr="00395FD6">
              <w:rPr>
                <w:rFonts w:ascii="Arial Narrow" w:hAnsi="Arial Narrow"/>
                <w:b/>
                <w:bCs/>
              </w:rPr>
              <w:t>redacted</w:t>
            </w:r>
          </w:p>
        </w:tc>
        <w:tc>
          <w:tcPr>
            <w:tcW w:w="973" w:type="pct"/>
            <w:tcBorders>
              <w:left w:val="single" w:sz="4" w:space="0" w:color="auto"/>
              <w:right w:val="single" w:sz="4" w:space="0" w:color="auto"/>
            </w:tcBorders>
            <w:vAlign w:val="center"/>
          </w:tcPr>
          <w:p w14:paraId="1BD0CCC3" w14:textId="77777777" w:rsidR="004D0114" w:rsidRPr="004F0E54" w:rsidRDefault="004D0114" w:rsidP="00744F46">
            <w:pPr>
              <w:spacing w:before="0" w:after="0"/>
              <w:jc w:val="center"/>
              <w:rPr>
                <w:rFonts w:ascii="Arial Narrow" w:hAnsi="Arial Narrow"/>
              </w:rPr>
            </w:pPr>
            <w:r w:rsidRPr="004F0E54">
              <w:rPr>
                <w:rFonts w:ascii="Arial Narrow" w:hAnsi="Arial Narrow"/>
              </w:rPr>
              <w:t>$0</w:t>
            </w:r>
          </w:p>
        </w:tc>
        <w:tc>
          <w:tcPr>
            <w:tcW w:w="1582" w:type="pct"/>
            <w:tcBorders>
              <w:left w:val="single" w:sz="4" w:space="0" w:color="auto"/>
              <w:right w:val="single" w:sz="4" w:space="0" w:color="auto"/>
            </w:tcBorders>
            <w:vAlign w:val="center"/>
          </w:tcPr>
          <w:p w14:paraId="344C06F8" w14:textId="77777777" w:rsidR="004D0114" w:rsidRPr="004F0E54" w:rsidRDefault="004D0114" w:rsidP="00744F46">
            <w:pPr>
              <w:spacing w:before="0" w:after="0"/>
              <w:rPr>
                <w:rFonts w:ascii="Arial Narrow" w:hAnsi="Arial Narrow"/>
              </w:rPr>
            </w:pPr>
            <w:r w:rsidRPr="004F0E54">
              <w:rPr>
                <w:rFonts w:ascii="Arial Narrow" w:hAnsi="Arial Narrow"/>
              </w:rPr>
              <w:t>Estimated (LATERA) and model assumption (ECM)</w:t>
            </w:r>
          </w:p>
        </w:tc>
      </w:tr>
      <w:tr w:rsidR="004D0114" w:rsidRPr="00B54D3C" w14:paraId="67980C2E" w14:textId="77777777" w:rsidTr="00744F46">
        <w:trPr>
          <w:trHeight w:val="305"/>
        </w:trPr>
        <w:tc>
          <w:tcPr>
            <w:tcW w:w="1473" w:type="pct"/>
            <w:tcBorders>
              <w:right w:val="single" w:sz="4" w:space="0" w:color="auto"/>
            </w:tcBorders>
            <w:vAlign w:val="center"/>
          </w:tcPr>
          <w:p w14:paraId="7523B26E" w14:textId="77777777" w:rsidR="004D0114" w:rsidRPr="004F0E54" w:rsidRDefault="004D0114" w:rsidP="00744F46">
            <w:pPr>
              <w:spacing w:before="0" w:after="0"/>
              <w:rPr>
                <w:rFonts w:ascii="Arial Narrow" w:hAnsi="Arial Narrow"/>
              </w:rPr>
            </w:pPr>
            <w:r w:rsidRPr="004F0E54">
              <w:rPr>
                <w:rFonts w:ascii="Arial Narrow" w:hAnsi="Arial Narrow"/>
              </w:rPr>
              <w:t>QALY at baseline (QoL)</w:t>
            </w:r>
          </w:p>
        </w:tc>
        <w:tc>
          <w:tcPr>
            <w:tcW w:w="971" w:type="pct"/>
            <w:tcBorders>
              <w:left w:val="single" w:sz="4" w:space="0" w:color="auto"/>
              <w:right w:val="single" w:sz="4" w:space="0" w:color="auto"/>
            </w:tcBorders>
            <w:vAlign w:val="center"/>
          </w:tcPr>
          <w:p w14:paraId="75812F00" w14:textId="77777777" w:rsidR="004D0114" w:rsidRPr="004F0E54" w:rsidRDefault="004D0114" w:rsidP="00744F46">
            <w:pPr>
              <w:spacing w:before="0" w:after="0"/>
              <w:jc w:val="center"/>
              <w:rPr>
                <w:rFonts w:ascii="Arial Narrow" w:hAnsi="Arial Narrow"/>
              </w:rPr>
            </w:pPr>
            <w:r w:rsidRPr="004F0E54">
              <w:rPr>
                <w:rFonts w:ascii="Arial Narrow" w:hAnsi="Arial Narrow"/>
              </w:rPr>
              <w:t>0.72</w:t>
            </w:r>
          </w:p>
        </w:tc>
        <w:tc>
          <w:tcPr>
            <w:tcW w:w="973" w:type="pct"/>
            <w:tcBorders>
              <w:left w:val="single" w:sz="4" w:space="0" w:color="auto"/>
              <w:right w:val="single" w:sz="4" w:space="0" w:color="auto"/>
            </w:tcBorders>
            <w:vAlign w:val="center"/>
          </w:tcPr>
          <w:p w14:paraId="77F51BBE" w14:textId="77777777" w:rsidR="004D0114" w:rsidRPr="004F0E54" w:rsidRDefault="004D0114" w:rsidP="00744F46">
            <w:pPr>
              <w:spacing w:before="0" w:after="0"/>
              <w:jc w:val="center"/>
              <w:rPr>
                <w:rFonts w:ascii="Arial Narrow" w:hAnsi="Arial Narrow"/>
              </w:rPr>
            </w:pPr>
            <w:r w:rsidRPr="004F0E54">
              <w:rPr>
                <w:rFonts w:ascii="Arial Narrow" w:hAnsi="Arial Narrow"/>
              </w:rPr>
              <w:t>0.72</w:t>
            </w:r>
          </w:p>
        </w:tc>
        <w:tc>
          <w:tcPr>
            <w:tcW w:w="1582" w:type="pct"/>
            <w:tcBorders>
              <w:left w:val="single" w:sz="4" w:space="0" w:color="auto"/>
              <w:right w:val="single" w:sz="4" w:space="0" w:color="auto"/>
            </w:tcBorders>
            <w:vAlign w:val="center"/>
          </w:tcPr>
          <w:p w14:paraId="113634E6" w14:textId="77777777" w:rsidR="004D0114" w:rsidRPr="004F0E54" w:rsidRDefault="004D0114" w:rsidP="00744F46">
            <w:pPr>
              <w:spacing w:before="0" w:after="0"/>
              <w:rPr>
                <w:rFonts w:ascii="Arial Narrow" w:hAnsi="Arial Narrow"/>
              </w:rPr>
            </w:pPr>
            <w:r w:rsidRPr="004F0E54">
              <w:rPr>
                <w:rFonts w:ascii="Arial Narrow" w:hAnsi="Arial Narrow"/>
              </w:rPr>
              <w:t>Tjahjono et al. (201</w:t>
            </w:r>
            <w:r>
              <w:rPr>
                <w:rFonts w:ascii="Arial Narrow" w:hAnsi="Arial Narrow"/>
              </w:rPr>
              <w:t>9</w:t>
            </w:r>
            <w:r w:rsidRPr="004F0E54">
              <w:rPr>
                <w:rFonts w:ascii="Arial Narrow" w:hAnsi="Arial Narrow"/>
              </w:rPr>
              <w:t>)</w:t>
            </w:r>
          </w:p>
        </w:tc>
      </w:tr>
      <w:tr w:rsidR="004D0114" w:rsidRPr="00B54D3C" w14:paraId="707390C8" w14:textId="77777777" w:rsidTr="00744F46">
        <w:tc>
          <w:tcPr>
            <w:tcW w:w="1473" w:type="pct"/>
            <w:tcBorders>
              <w:right w:val="single" w:sz="4" w:space="0" w:color="auto"/>
            </w:tcBorders>
            <w:vAlign w:val="center"/>
          </w:tcPr>
          <w:p w14:paraId="4F183C7E" w14:textId="77777777" w:rsidR="004D0114" w:rsidRPr="004F0E54" w:rsidRDefault="004D0114" w:rsidP="00744F46">
            <w:pPr>
              <w:spacing w:before="0"/>
              <w:rPr>
                <w:rFonts w:ascii="Arial Narrow" w:hAnsi="Arial Narrow"/>
              </w:rPr>
            </w:pPr>
            <w:r w:rsidRPr="004F0E54">
              <w:rPr>
                <w:rFonts w:ascii="Arial Narrow" w:hAnsi="Arial Narrow"/>
              </w:rPr>
              <w:t>QALY at follow-up (3-month)</w:t>
            </w:r>
          </w:p>
        </w:tc>
        <w:tc>
          <w:tcPr>
            <w:tcW w:w="971" w:type="pct"/>
            <w:tcBorders>
              <w:left w:val="single" w:sz="4" w:space="0" w:color="auto"/>
              <w:right w:val="single" w:sz="4" w:space="0" w:color="auto"/>
            </w:tcBorders>
            <w:vAlign w:val="center"/>
          </w:tcPr>
          <w:p w14:paraId="6FD58A4F" w14:textId="77777777" w:rsidR="004D0114" w:rsidRPr="004F0E54" w:rsidRDefault="004D0114" w:rsidP="00744F46">
            <w:pPr>
              <w:spacing w:before="0"/>
              <w:jc w:val="center"/>
              <w:rPr>
                <w:rFonts w:ascii="Arial Narrow" w:hAnsi="Arial Narrow"/>
              </w:rPr>
            </w:pPr>
            <w:r w:rsidRPr="004F0E54">
              <w:rPr>
                <w:rFonts w:ascii="Arial Narrow" w:hAnsi="Arial Narrow"/>
              </w:rPr>
              <w:t>0.78</w:t>
            </w:r>
          </w:p>
        </w:tc>
        <w:tc>
          <w:tcPr>
            <w:tcW w:w="973" w:type="pct"/>
            <w:tcBorders>
              <w:left w:val="single" w:sz="4" w:space="0" w:color="auto"/>
              <w:right w:val="single" w:sz="4" w:space="0" w:color="auto"/>
            </w:tcBorders>
            <w:vAlign w:val="center"/>
          </w:tcPr>
          <w:p w14:paraId="6E27DF0C" w14:textId="77777777" w:rsidR="004D0114" w:rsidRPr="004F0E54" w:rsidRDefault="004D0114" w:rsidP="00744F46">
            <w:pPr>
              <w:spacing w:before="0"/>
              <w:jc w:val="center"/>
              <w:rPr>
                <w:rFonts w:ascii="Arial Narrow" w:hAnsi="Arial Narrow"/>
              </w:rPr>
            </w:pPr>
            <w:r w:rsidRPr="004F0E54">
              <w:rPr>
                <w:rFonts w:ascii="Arial Narrow" w:hAnsi="Arial Narrow"/>
              </w:rPr>
              <w:t>0.72</w:t>
            </w:r>
          </w:p>
        </w:tc>
        <w:tc>
          <w:tcPr>
            <w:tcW w:w="1582" w:type="pct"/>
            <w:vMerge w:val="restart"/>
            <w:tcBorders>
              <w:left w:val="single" w:sz="4" w:space="0" w:color="auto"/>
              <w:right w:val="single" w:sz="4" w:space="0" w:color="auto"/>
            </w:tcBorders>
            <w:vAlign w:val="center"/>
          </w:tcPr>
          <w:p w14:paraId="0AA4D45C" w14:textId="77777777" w:rsidR="004D0114" w:rsidRPr="004F0E54" w:rsidRDefault="004D0114" w:rsidP="00744F46">
            <w:pPr>
              <w:spacing w:before="0"/>
              <w:rPr>
                <w:rFonts w:ascii="Arial Narrow" w:hAnsi="Arial Narrow"/>
              </w:rPr>
            </w:pPr>
            <w:r w:rsidRPr="004F0E54">
              <w:rPr>
                <w:rFonts w:ascii="Arial Narrow" w:hAnsi="Arial Narrow"/>
              </w:rPr>
              <w:t>Tjahjono et al. (201</w:t>
            </w:r>
            <w:r>
              <w:rPr>
                <w:rFonts w:ascii="Arial Narrow" w:hAnsi="Arial Narrow"/>
              </w:rPr>
              <w:t>9</w:t>
            </w:r>
            <w:r w:rsidRPr="004F0E54">
              <w:rPr>
                <w:rFonts w:ascii="Arial Narrow" w:hAnsi="Arial Narrow"/>
              </w:rPr>
              <w:t>) for the LATERA and the ECM.</w:t>
            </w:r>
          </w:p>
        </w:tc>
      </w:tr>
      <w:tr w:rsidR="004D0114" w:rsidRPr="00B54D3C" w14:paraId="488F3A81" w14:textId="77777777" w:rsidTr="00744F46">
        <w:tc>
          <w:tcPr>
            <w:tcW w:w="1473" w:type="pct"/>
            <w:tcBorders>
              <w:right w:val="single" w:sz="4" w:space="0" w:color="auto"/>
            </w:tcBorders>
            <w:vAlign w:val="center"/>
          </w:tcPr>
          <w:p w14:paraId="1C862DD0" w14:textId="77777777" w:rsidR="004D0114" w:rsidRPr="004F0E54" w:rsidRDefault="004D0114" w:rsidP="00744F46">
            <w:pPr>
              <w:spacing w:before="0"/>
              <w:rPr>
                <w:rFonts w:ascii="Arial Narrow" w:hAnsi="Arial Narrow"/>
              </w:rPr>
            </w:pPr>
            <w:r w:rsidRPr="004F0E54">
              <w:rPr>
                <w:rFonts w:ascii="Arial Narrow" w:hAnsi="Arial Narrow"/>
              </w:rPr>
              <w:t>QALYs gain (3-month)</w:t>
            </w:r>
          </w:p>
        </w:tc>
        <w:tc>
          <w:tcPr>
            <w:tcW w:w="971" w:type="pct"/>
            <w:tcBorders>
              <w:left w:val="single" w:sz="4" w:space="0" w:color="auto"/>
              <w:right w:val="single" w:sz="4" w:space="0" w:color="auto"/>
            </w:tcBorders>
            <w:vAlign w:val="center"/>
          </w:tcPr>
          <w:p w14:paraId="6298406E" w14:textId="77777777" w:rsidR="004D0114" w:rsidRPr="004F0E54" w:rsidRDefault="004D0114" w:rsidP="00744F46">
            <w:pPr>
              <w:spacing w:before="0"/>
              <w:jc w:val="center"/>
              <w:rPr>
                <w:rFonts w:ascii="Arial Narrow" w:hAnsi="Arial Narrow"/>
              </w:rPr>
            </w:pPr>
            <w:r w:rsidRPr="004F0E54">
              <w:rPr>
                <w:rFonts w:ascii="Arial Narrow" w:hAnsi="Arial Narrow"/>
              </w:rPr>
              <w:t>0.06</w:t>
            </w:r>
          </w:p>
        </w:tc>
        <w:tc>
          <w:tcPr>
            <w:tcW w:w="973" w:type="pct"/>
            <w:tcBorders>
              <w:left w:val="single" w:sz="4" w:space="0" w:color="auto"/>
              <w:right w:val="single" w:sz="4" w:space="0" w:color="auto"/>
            </w:tcBorders>
            <w:vAlign w:val="center"/>
          </w:tcPr>
          <w:p w14:paraId="05EC9AD3" w14:textId="77777777" w:rsidR="004D0114" w:rsidRPr="004F0E54" w:rsidRDefault="004D0114" w:rsidP="00744F46">
            <w:pPr>
              <w:spacing w:before="0"/>
              <w:jc w:val="center"/>
              <w:rPr>
                <w:rFonts w:ascii="Arial Narrow" w:hAnsi="Arial Narrow"/>
              </w:rPr>
            </w:pPr>
            <w:r w:rsidRPr="004F0E54">
              <w:rPr>
                <w:rFonts w:ascii="Arial Narrow" w:hAnsi="Arial Narrow"/>
              </w:rPr>
              <w:t xml:space="preserve">0.00 </w:t>
            </w:r>
          </w:p>
        </w:tc>
        <w:tc>
          <w:tcPr>
            <w:tcW w:w="1582" w:type="pct"/>
            <w:vMerge/>
            <w:tcBorders>
              <w:left w:val="single" w:sz="4" w:space="0" w:color="auto"/>
              <w:right w:val="single" w:sz="4" w:space="0" w:color="auto"/>
            </w:tcBorders>
            <w:vAlign w:val="center"/>
          </w:tcPr>
          <w:p w14:paraId="60FC427A" w14:textId="77777777" w:rsidR="004D0114" w:rsidRPr="004F0E54" w:rsidRDefault="004D0114" w:rsidP="00744F46">
            <w:pPr>
              <w:spacing w:before="0"/>
              <w:rPr>
                <w:rFonts w:ascii="Arial Narrow" w:hAnsi="Arial Narrow"/>
              </w:rPr>
            </w:pPr>
          </w:p>
        </w:tc>
      </w:tr>
      <w:tr w:rsidR="004D0114" w:rsidRPr="00B54D3C" w14:paraId="392CFC12" w14:textId="77777777" w:rsidTr="00744F46">
        <w:tc>
          <w:tcPr>
            <w:tcW w:w="1473" w:type="pct"/>
            <w:tcBorders>
              <w:right w:val="single" w:sz="4" w:space="0" w:color="auto"/>
            </w:tcBorders>
            <w:vAlign w:val="center"/>
          </w:tcPr>
          <w:p w14:paraId="39C44E31" w14:textId="77777777" w:rsidR="004D0114" w:rsidRPr="004F0E54" w:rsidRDefault="004D0114" w:rsidP="00744F46">
            <w:pPr>
              <w:spacing w:before="0"/>
              <w:rPr>
                <w:rFonts w:ascii="Arial Narrow" w:hAnsi="Arial Narrow"/>
              </w:rPr>
            </w:pPr>
            <w:r w:rsidRPr="004F0E54">
              <w:rPr>
                <w:rFonts w:ascii="Arial Narrow" w:hAnsi="Arial Narrow"/>
              </w:rPr>
              <w:t>Time horizon for base case result</w:t>
            </w:r>
          </w:p>
        </w:tc>
        <w:tc>
          <w:tcPr>
            <w:tcW w:w="971" w:type="pct"/>
            <w:tcBorders>
              <w:left w:val="single" w:sz="4" w:space="0" w:color="auto"/>
              <w:right w:val="single" w:sz="4" w:space="0" w:color="auto"/>
            </w:tcBorders>
            <w:vAlign w:val="center"/>
          </w:tcPr>
          <w:p w14:paraId="3AF873C9" w14:textId="77777777" w:rsidR="004D0114" w:rsidRPr="004F0E54" w:rsidRDefault="004D0114" w:rsidP="00744F46">
            <w:pPr>
              <w:spacing w:before="0"/>
              <w:jc w:val="center"/>
              <w:rPr>
                <w:rFonts w:ascii="Arial Narrow" w:hAnsi="Arial Narrow"/>
              </w:rPr>
            </w:pPr>
            <w:r w:rsidRPr="004F0E54">
              <w:rPr>
                <w:rFonts w:ascii="Arial Narrow" w:hAnsi="Arial Narrow"/>
              </w:rPr>
              <w:t>5 years</w:t>
            </w:r>
          </w:p>
        </w:tc>
        <w:tc>
          <w:tcPr>
            <w:tcW w:w="973" w:type="pct"/>
            <w:tcBorders>
              <w:left w:val="single" w:sz="4" w:space="0" w:color="auto"/>
              <w:right w:val="single" w:sz="4" w:space="0" w:color="auto"/>
            </w:tcBorders>
            <w:vAlign w:val="center"/>
          </w:tcPr>
          <w:p w14:paraId="687EB285" w14:textId="77777777" w:rsidR="004D0114" w:rsidRPr="004F0E54" w:rsidRDefault="004D0114" w:rsidP="00744F46">
            <w:pPr>
              <w:spacing w:before="0"/>
              <w:jc w:val="center"/>
              <w:rPr>
                <w:rFonts w:ascii="Arial Narrow" w:hAnsi="Arial Narrow"/>
              </w:rPr>
            </w:pPr>
            <w:r w:rsidRPr="004F0E54">
              <w:rPr>
                <w:rFonts w:ascii="Arial Narrow" w:hAnsi="Arial Narrow"/>
              </w:rPr>
              <w:t>5 years</w:t>
            </w:r>
          </w:p>
        </w:tc>
        <w:tc>
          <w:tcPr>
            <w:tcW w:w="1582" w:type="pct"/>
            <w:tcBorders>
              <w:left w:val="single" w:sz="4" w:space="0" w:color="auto"/>
              <w:right w:val="single" w:sz="4" w:space="0" w:color="auto"/>
            </w:tcBorders>
            <w:vAlign w:val="center"/>
          </w:tcPr>
          <w:p w14:paraId="5F93839D" w14:textId="77777777" w:rsidR="004D0114" w:rsidRPr="004F0E54" w:rsidRDefault="004D0114" w:rsidP="00744F46">
            <w:pPr>
              <w:spacing w:before="0"/>
              <w:rPr>
                <w:rFonts w:ascii="Arial Narrow" w:hAnsi="Arial Narrow"/>
              </w:rPr>
            </w:pPr>
            <w:r w:rsidRPr="004F0E54">
              <w:rPr>
                <w:rFonts w:ascii="Arial Narrow" w:hAnsi="Arial Narrow"/>
              </w:rPr>
              <w:t>Model assumption.</w:t>
            </w:r>
          </w:p>
        </w:tc>
      </w:tr>
      <w:tr w:rsidR="004D0114" w:rsidRPr="00B54D3C" w14:paraId="02A49225" w14:textId="77777777" w:rsidTr="00744F46">
        <w:tc>
          <w:tcPr>
            <w:tcW w:w="1473" w:type="pct"/>
            <w:tcBorders>
              <w:right w:val="single" w:sz="4" w:space="0" w:color="auto"/>
            </w:tcBorders>
            <w:vAlign w:val="center"/>
          </w:tcPr>
          <w:p w14:paraId="0DCF16CF" w14:textId="77777777" w:rsidR="004D0114" w:rsidRPr="004F0E54" w:rsidRDefault="004D0114" w:rsidP="00744F46">
            <w:pPr>
              <w:spacing w:before="0" w:after="160"/>
              <w:rPr>
                <w:rFonts w:ascii="Arial Narrow" w:hAnsi="Arial Narrow"/>
              </w:rPr>
            </w:pPr>
            <w:r w:rsidRPr="004F0E54">
              <w:rPr>
                <w:rFonts w:ascii="Arial Narrow" w:hAnsi="Arial Narrow"/>
              </w:rPr>
              <w:t>Health state disposition</w:t>
            </w:r>
          </w:p>
        </w:tc>
        <w:tc>
          <w:tcPr>
            <w:tcW w:w="971" w:type="pct"/>
            <w:tcBorders>
              <w:left w:val="single" w:sz="4" w:space="0" w:color="auto"/>
              <w:right w:val="single" w:sz="4" w:space="0" w:color="auto"/>
            </w:tcBorders>
            <w:vAlign w:val="center"/>
          </w:tcPr>
          <w:p w14:paraId="5CAAB5A0" w14:textId="77777777" w:rsidR="004D0114" w:rsidRPr="004F0E54" w:rsidRDefault="004D0114" w:rsidP="00744F46">
            <w:pPr>
              <w:spacing w:before="0" w:after="160"/>
              <w:jc w:val="center"/>
              <w:rPr>
                <w:rFonts w:ascii="Arial Narrow" w:hAnsi="Arial Narrow"/>
              </w:rPr>
            </w:pPr>
            <w:r w:rsidRPr="004F0E54">
              <w:rPr>
                <w:rFonts w:ascii="Arial Narrow" w:hAnsi="Arial Narrow"/>
              </w:rPr>
              <w:t>As per general population using life tables</w:t>
            </w:r>
          </w:p>
        </w:tc>
        <w:tc>
          <w:tcPr>
            <w:tcW w:w="973" w:type="pct"/>
            <w:tcBorders>
              <w:left w:val="single" w:sz="4" w:space="0" w:color="auto"/>
              <w:right w:val="single" w:sz="4" w:space="0" w:color="auto"/>
            </w:tcBorders>
            <w:vAlign w:val="center"/>
          </w:tcPr>
          <w:p w14:paraId="1C069E55" w14:textId="77777777" w:rsidR="004D0114" w:rsidRPr="004F0E54" w:rsidRDefault="004D0114" w:rsidP="00744F46">
            <w:pPr>
              <w:spacing w:before="0"/>
              <w:jc w:val="center"/>
              <w:rPr>
                <w:rFonts w:ascii="Arial Narrow" w:hAnsi="Arial Narrow"/>
              </w:rPr>
            </w:pPr>
            <w:r w:rsidRPr="004F0E54">
              <w:rPr>
                <w:rFonts w:ascii="Arial Narrow" w:hAnsi="Arial Narrow"/>
              </w:rPr>
              <w:t>As per general population using life tables</w:t>
            </w:r>
          </w:p>
        </w:tc>
        <w:tc>
          <w:tcPr>
            <w:tcW w:w="1582" w:type="pct"/>
            <w:tcBorders>
              <w:left w:val="single" w:sz="4" w:space="0" w:color="auto"/>
              <w:right w:val="single" w:sz="4" w:space="0" w:color="auto"/>
            </w:tcBorders>
            <w:vAlign w:val="center"/>
          </w:tcPr>
          <w:p w14:paraId="44F4E93D" w14:textId="77777777" w:rsidR="004D0114" w:rsidRPr="004F0E54" w:rsidRDefault="004D0114" w:rsidP="00744F46">
            <w:pPr>
              <w:spacing w:before="0" w:after="160"/>
              <w:rPr>
                <w:rFonts w:ascii="Arial Narrow" w:hAnsi="Arial Narrow"/>
              </w:rPr>
            </w:pPr>
            <w:r w:rsidRPr="004F0E54">
              <w:rPr>
                <w:rFonts w:ascii="Arial Narrow" w:hAnsi="Arial Narrow"/>
              </w:rPr>
              <w:t>Australian Bureau of Statistics (ABS) life tables data.</w:t>
            </w:r>
          </w:p>
        </w:tc>
      </w:tr>
    </w:tbl>
    <w:p w14:paraId="7E8745C4" w14:textId="7144F4E2" w:rsidR="004D0114" w:rsidRPr="009B4D16" w:rsidRDefault="004D0114" w:rsidP="00AE4565">
      <w:pPr>
        <w:pStyle w:val="TableNote"/>
      </w:pPr>
      <w:r w:rsidRPr="009B4D16">
        <w:t xml:space="preserve">Source: </w:t>
      </w:r>
      <w:r w:rsidR="00664804">
        <w:t>Table 23, p 38 of MSAC 1719 Commentary Executive Summary</w:t>
      </w:r>
    </w:p>
    <w:p w14:paraId="268C767B" w14:textId="397E4725" w:rsidR="004D0114" w:rsidRPr="009B4D16" w:rsidRDefault="004D0114" w:rsidP="00AE4565">
      <w:pPr>
        <w:pStyle w:val="TableNote"/>
      </w:pPr>
      <w:r w:rsidRPr="009B4D16">
        <w:t>Abbreviations: ECM</w:t>
      </w:r>
      <w:r w:rsidR="009744F1">
        <w:t>=</w:t>
      </w:r>
      <w:r w:rsidRPr="009B4D16">
        <w:t xml:space="preserve"> extended conservative management, QALY</w:t>
      </w:r>
      <w:r w:rsidR="009744F1">
        <w:t>=</w:t>
      </w:r>
      <w:r w:rsidRPr="009B4D16">
        <w:t xml:space="preserve"> quality adjusted life year, NOSE</w:t>
      </w:r>
      <w:r w:rsidR="009744F1">
        <w:t>=</w:t>
      </w:r>
      <w:r w:rsidRPr="009B4D16">
        <w:t xml:space="preserve"> nasal obstruction symptom evaluation.</w:t>
      </w:r>
    </w:p>
    <w:p w14:paraId="75AA040D" w14:textId="4B214036" w:rsidR="004D0114" w:rsidRPr="004F0E54" w:rsidRDefault="001B4009" w:rsidP="00327561">
      <w:pPr>
        <w:spacing w:before="240"/>
      </w:pPr>
      <w:r>
        <w:t>The results of the CUA as presented in the ADAR</w:t>
      </w:r>
      <w:r w:rsidR="004D0114" w:rsidRPr="004F0E54">
        <w:t xml:space="preserve"> with ongoing benefits overtime</w:t>
      </w:r>
      <w:r>
        <w:t xml:space="preserve"> are shown in </w:t>
      </w:r>
      <w:r>
        <w:fldChar w:fldCharType="begin"/>
      </w:r>
      <w:r>
        <w:instrText xml:space="preserve"> REF _Ref113976673 \h </w:instrText>
      </w:r>
      <w:r>
        <w:fldChar w:fldCharType="separate"/>
      </w:r>
      <w:r w:rsidR="003511D3" w:rsidRPr="005A7F8F">
        <w:t>Table</w:t>
      </w:r>
      <w:r w:rsidR="003511D3">
        <w:t xml:space="preserve"> </w:t>
      </w:r>
      <w:r w:rsidR="003511D3">
        <w:rPr>
          <w:noProof/>
        </w:rPr>
        <w:t>24</w:t>
      </w:r>
      <w:r>
        <w:fldChar w:fldCharType="end"/>
      </w:r>
      <w:r w:rsidR="004D0114" w:rsidRPr="004F0E54">
        <w:t xml:space="preserve">. </w:t>
      </w:r>
      <w:r w:rsidR="004D0114">
        <w:t xml:space="preserve">This approach is subject to a </w:t>
      </w:r>
      <w:r w:rsidR="00650A00">
        <w:t xml:space="preserve">zero-cost in the </w:t>
      </w:r>
      <w:r>
        <w:t xml:space="preserve">comparator </w:t>
      </w:r>
      <w:r w:rsidR="00650A00">
        <w:t>group</w:t>
      </w:r>
      <w:r w:rsidR="004D0114">
        <w:t xml:space="preserve"> </w:t>
      </w:r>
      <w:r>
        <w:t>(ECM)</w:t>
      </w:r>
      <w:r w:rsidR="004D0114">
        <w:t xml:space="preserve"> </w:t>
      </w:r>
      <w:r w:rsidR="00C533DF">
        <w:t>a</w:t>
      </w:r>
      <w:r w:rsidR="004D0114">
        <w:t xml:space="preserve">nd no revision rates </w:t>
      </w:r>
      <w:r w:rsidR="00EC5F4D">
        <w:t>for LATERA</w:t>
      </w:r>
      <w:r w:rsidR="004D0114">
        <w:t>. Using</w:t>
      </w:r>
      <w:r w:rsidR="004D0114" w:rsidRPr="004F0E54">
        <w:t xml:space="preserve"> extrapolated QALYs gain, the ICERs were estimated from one to </w:t>
      </w:r>
      <w:r w:rsidR="004D0114">
        <w:t xml:space="preserve">10 </w:t>
      </w:r>
      <w:r w:rsidR="004D0114" w:rsidRPr="004F0E54">
        <w:t xml:space="preserve">years, including a five-year base case result. The </w:t>
      </w:r>
      <w:r w:rsidR="00EC5F4D">
        <w:t>base-case 5-year</w:t>
      </w:r>
      <w:r w:rsidR="004D0114" w:rsidRPr="004F0E54">
        <w:t xml:space="preserve"> ICER was estimated $</w:t>
      </w:r>
      <w:r w:rsidR="00D32C60">
        <w:t>8,952</w:t>
      </w:r>
      <w:r w:rsidR="004D0114" w:rsidRPr="004F0E54">
        <w:t xml:space="preserve"> per QALY gain.</w:t>
      </w:r>
      <w:r w:rsidR="004D0114">
        <w:t xml:space="preserve"> </w:t>
      </w:r>
    </w:p>
    <w:p w14:paraId="31553B85" w14:textId="55A92910" w:rsidR="006304C7" w:rsidRPr="005A7F8F" w:rsidRDefault="006304C7" w:rsidP="006304C7">
      <w:pPr>
        <w:pStyle w:val="Caption"/>
      </w:pPr>
      <w:bookmarkStart w:id="54" w:name="_Ref113976673"/>
      <w:bookmarkStart w:id="55" w:name="_Toc120731512"/>
      <w:r w:rsidRPr="005A7F8F">
        <w:lastRenderedPageBreak/>
        <w:t>Table</w:t>
      </w:r>
      <w:r>
        <w:t xml:space="preserve"> </w:t>
      </w:r>
      <w:r w:rsidRPr="005A7F8F">
        <w:fldChar w:fldCharType="begin"/>
      </w:r>
      <w:r w:rsidRPr="005A7F8F">
        <w:instrText>SEQ Table \* ARABIC</w:instrText>
      </w:r>
      <w:r w:rsidRPr="005A7F8F">
        <w:fldChar w:fldCharType="separate"/>
      </w:r>
      <w:r w:rsidR="003511D3">
        <w:rPr>
          <w:noProof/>
        </w:rPr>
        <w:t>24</w:t>
      </w:r>
      <w:r w:rsidRPr="005A7F8F">
        <w:fldChar w:fldCharType="end"/>
      </w:r>
      <w:bookmarkEnd w:id="54"/>
      <w:r w:rsidRPr="005A7F8F">
        <w:tab/>
        <w:t xml:space="preserve">Stepped economic evaluation – extrapolation </w:t>
      </w:r>
      <w:r>
        <w:t>to 5 years</w:t>
      </w:r>
      <w:r w:rsidRPr="005A7F8F">
        <w:t>, 5% discount</w:t>
      </w:r>
      <w:bookmarkEnd w:id="55"/>
      <w:r>
        <w:t xml:space="preserve"> (results in the ADAR)</w:t>
      </w:r>
    </w:p>
    <w:tbl>
      <w:tblPr>
        <w:tblStyle w:val="TableGrid"/>
        <w:tblW w:w="5000" w:type="pct"/>
        <w:tblLook w:val="04A0" w:firstRow="1" w:lastRow="0" w:firstColumn="1" w:lastColumn="0" w:noHBand="0" w:noVBand="1"/>
      </w:tblPr>
      <w:tblGrid>
        <w:gridCol w:w="3396"/>
        <w:gridCol w:w="1874"/>
        <w:gridCol w:w="1874"/>
        <w:gridCol w:w="1872"/>
      </w:tblGrid>
      <w:tr w:rsidR="006304C7" w:rsidRPr="005A7F8F" w14:paraId="6441E38C" w14:textId="77777777" w:rsidTr="00096A68">
        <w:tc>
          <w:tcPr>
            <w:tcW w:w="1883" w:type="pct"/>
            <w:shd w:val="clear" w:color="auto" w:fill="A6A6A6" w:themeFill="background1" w:themeFillShade="A6"/>
          </w:tcPr>
          <w:p w14:paraId="2DD92387" w14:textId="77777777" w:rsidR="006304C7" w:rsidRPr="00B61607" w:rsidRDefault="006304C7" w:rsidP="00096A68">
            <w:pPr>
              <w:pStyle w:val="TableText"/>
              <w:keepNext/>
              <w:rPr>
                <w:b/>
                <w:bCs/>
              </w:rPr>
            </w:pPr>
            <w:r w:rsidRPr="00B61607">
              <w:rPr>
                <w:b/>
                <w:bCs/>
              </w:rPr>
              <w:t>Model duration</w:t>
            </w:r>
          </w:p>
        </w:tc>
        <w:tc>
          <w:tcPr>
            <w:tcW w:w="1039" w:type="pct"/>
            <w:shd w:val="clear" w:color="auto" w:fill="A6A6A6" w:themeFill="background1" w:themeFillShade="A6"/>
          </w:tcPr>
          <w:p w14:paraId="7E34AD15" w14:textId="77777777" w:rsidR="006304C7" w:rsidRPr="00B61607" w:rsidRDefault="006304C7" w:rsidP="00096A68">
            <w:pPr>
              <w:pStyle w:val="TableText"/>
              <w:keepNext/>
              <w:jc w:val="center"/>
              <w:rPr>
                <w:b/>
                <w:bCs/>
              </w:rPr>
            </w:pPr>
            <w:r w:rsidRPr="00B61607">
              <w:rPr>
                <w:b/>
                <w:bCs/>
              </w:rPr>
              <w:t>Incremental cost</w:t>
            </w:r>
          </w:p>
        </w:tc>
        <w:tc>
          <w:tcPr>
            <w:tcW w:w="1039" w:type="pct"/>
            <w:shd w:val="clear" w:color="auto" w:fill="A6A6A6" w:themeFill="background1" w:themeFillShade="A6"/>
          </w:tcPr>
          <w:p w14:paraId="45E103ED" w14:textId="77777777" w:rsidR="006304C7" w:rsidRPr="00B61607" w:rsidRDefault="006304C7" w:rsidP="00096A68">
            <w:pPr>
              <w:pStyle w:val="TableText"/>
              <w:keepNext/>
              <w:jc w:val="center"/>
              <w:rPr>
                <w:b/>
                <w:bCs/>
              </w:rPr>
            </w:pPr>
            <w:r w:rsidRPr="00B61607">
              <w:rPr>
                <w:b/>
                <w:bCs/>
              </w:rPr>
              <w:t>Incremental QALYs</w:t>
            </w:r>
          </w:p>
        </w:tc>
        <w:tc>
          <w:tcPr>
            <w:tcW w:w="1038" w:type="pct"/>
            <w:shd w:val="clear" w:color="auto" w:fill="A6A6A6" w:themeFill="background1" w:themeFillShade="A6"/>
          </w:tcPr>
          <w:p w14:paraId="64607A54" w14:textId="77777777" w:rsidR="006304C7" w:rsidRPr="00B61607" w:rsidRDefault="006304C7" w:rsidP="00096A68">
            <w:pPr>
              <w:pStyle w:val="TableText"/>
              <w:keepNext/>
              <w:jc w:val="center"/>
              <w:rPr>
                <w:b/>
                <w:bCs/>
              </w:rPr>
            </w:pPr>
            <w:r w:rsidRPr="00B61607">
              <w:rPr>
                <w:b/>
                <w:bCs/>
              </w:rPr>
              <w:t>ICER</w:t>
            </w:r>
          </w:p>
        </w:tc>
      </w:tr>
      <w:tr w:rsidR="006304C7" w:rsidRPr="00BB1E80" w14:paraId="76C77ECD" w14:textId="77777777" w:rsidTr="00096A68">
        <w:tc>
          <w:tcPr>
            <w:tcW w:w="1883" w:type="pct"/>
          </w:tcPr>
          <w:p w14:paraId="4EC35570" w14:textId="77777777" w:rsidR="006304C7" w:rsidRPr="00BB1E80" w:rsidRDefault="006304C7" w:rsidP="00096A68">
            <w:pPr>
              <w:pStyle w:val="TableText"/>
              <w:keepNext/>
            </w:pPr>
            <w:r w:rsidRPr="00BB1E80">
              <w:t>1 year analysis (trial data available)</w:t>
            </w:r>
          </w:p>
        </w:tc>
        <w:tc>
          <w:tcPr>
            <w:tcW w:w="1039" w:type="pct"/>
          </w:tcPr>
          <w:p w14:paraId="36B192E3" w14:textId="65A7A63E" w:rsidR="006304C7" w:rsidRPr="00BB1E80" w:rsidRDefault="009B60AF" w:rsidP="00096A68">
            <w:pPr>
              <w:pStyle w:val="TableText"/>
              <w:keepNext/>
              <w:jc w:val="center"/>
            </w:pPr>
            <w:r w:rsidRPr="00BB1E80">
              <w:rPr>
                <w:b/>
                <w:bCs/>
              </w:rPr>
              <w:t>$redacted</w:t>
            </w:r>
          </w:p>
        </w:tc>
        <w:tc>
          <w:tcPr>
            <w:tcW w:w="1039" w:type="pct"/>
          </w:tcPr>
          <w:p w14:paraId="555CE934" w14:textId="77777777" w:rsidR="006304C7" w:rsidRPr="00BB1E80" w:rsidRDefault="006304C7" w:rsidP="00096A68">
            <w:pPr>
              <w:pStyle w:val="TableText"/>
              <w:keepNext/>
              <w:jc w:val="center"/>
            </w:pPr>
            <w:r w:rsidRPr="00BB1E80">
              <w:t>0.059</w:t>
            </w:r>
          </w:p>
        </w:tc>
        <w:tc>
          <w:tcPr>
            <w:tcW w:w="1038" w:type="pct"/>
          </w:tcPr>
          <w:p w14:paraId="686B4874" w14:textId="6BA19115" w:rsidR="006304C7" w:rsidRPr="00BB1E80" w:rsidRDefault="009B60AF" w:rsidP="00096A68">
            <w:pPr>
              <w:pStyle w:val="TableText"/>
              <w:keepNext/>
              <w:jc w:val="center"/>
            </w:pPr>
            <w:r w:rsidRPr="00BB1E80">
              <w:rPr>
                <w:b/>
                <w:bCs/>
              </w:rPr>
              <w:t>$redacted</w:t>
            </w:r>
          </w:p>
        </w:tc>
      </w:tr>
      <w:tr w:rsidR="006304C7" w:rsidRPr="00BB1E80" w14:paraId="2FFB7FE3" w14:textId="77777777" w:rsidTr="00096A68">
        <w:tc>
          <w:tcPr>
            <w:tcW w:w="1883" w:type="pct"/>
          </w:tcPr>
          <w:p w14:paraId="5E58778E" w14:textId="6CF69A08" w:rsidR="006304C7" w:rsidRPr="00BB1E80" w:rsidRDefault="006304C7" w:rsidP="00096A68">
            <w:pPr>
              <w:pStyle w:val="TableText"/>
              <w:keepNext/>
            </w:pPr>
            <w:r w:rsidRPr="00BB1E80">
              <w:t>2</w:t>
            </w:r>
            <w:r w:rsidR="00427159" w:rsidRPr="00BB1E80">
              <w:t>-</w:t>
            </w:r>
            <w:r w:rsidRPr="00BB1E80">
              <w:t>year analysis (trial data available)</w:t>
            </w:r>
          </w:p>
        </w:tc>
        <w:tc>
          <w:tcPr>
            <w:tcW w:w="1039" w:type="pct"/>
          </w:tcPr>
          <w:p w14:paraId="02EF70CF" w14:textId="3047B66F" w:rsidR="006304C7" w:rsidRPr="00BB1E80" w:rsidRDefault="009B60AF" w:rsidP="00096A68">
            <w:pPr>
              <w:pStyle w:val="TableText"/>
              <w:keepNext/>
              <w:jc w:val="center"/>
            </w:pPr>
            <w:r w:rsidRPr="00BB1E80">
              <w:rPr>
                <w:b/>
                <w:bCs/>
              </w:rPr>
              <w:t>$redacted</w:t>
            </w:r>
          </w:p>
        </w:tc>
        <w:tc>
          <w:tcPr>
            <w:tcW w:w="1039" w:type="pct"/>
          </w:tcPr>
          <w:p w14:paraId="36C77018" w14:textId="77777777" w:rsidR="006304C7" w:rsidRPr="00BB1E80" w:rsidRDefault="006304C7" w:rsidP="00096A68">
            <w:pPr>
              <w:pStyle w:val="TableText"/>
              <w:keepNext/>
              <w:jc w:val="center"/>
            </w:pPr>
            <w:r w:rsidRPr="00BB1E80">
              <w:t>0.116</w:t>
            </w:r>
          </w:p>
        </w:tc>
        <w:tc>
          <w:tcPr>
            <w:tcW w:w="1038" w:type="pct"/>
          </w:tcPr>
          <w:p w14:paraId="1C2419B9" w14:textId="4A2E9811" w:rsidR="006304C7" w:rsidRPr="00BB1E80" w:rsidRDefault="009B60AF" w:rsidP="00096A68">
            <w:pPr>
              <w:pStyle w:val="TableText"/>
              <w:keepNext/>
              <w:jc w:val="center"/>
            </w:pPr>
            <w:r w:rsidRPr="00BB1E80">
              <w:rPr>
                <w:b/>
                <w:bCs/>
              </w:rPr>
              <w:t>$redacted</w:t>
            </w:r>
          </w:p>
        </w:tc>
      </w:tr>
      <w:tr w:rsidR="006304C7" w:rsidRPr="00BB1E80" w14:paraId="46CB4243" w14:textId="77777777" w:rsidTr="00096A68">
        <w:tc>
          <w:tcPr>
            <w:tcW w:w="1883" w:type="pct"/>
          </w:tcPr>
          <w:p w14:paraId="5E65EB59" w14:textId="0B5F147A" w:rsidR="006304C7" w:rsidRPr="00BB1E80" w:rsidRDefault="006304C7" w:rsidP="00096A68">
            <w:pPr>
              <w:pStyle w:val="TableText"/>
              <w:keepNext/>
            </w:pPr>
            <w:r w:rsidRPr="00BB1E80">
              <w:t>3</w:t>
            </w:r>
            <w:r w:rsidR="00427159" w:rsidRPr="00BB1E80">
              <w:t>-</w:t>
            </w:r>
            <w:r w:rsidRPr="00BB1E80">
              <w:t>year analysis</w:t>
            </w:r>
          </w:p>
        </w:tc>
        <w:tc>
          <w:tcPr>
            <w:tcW w:w="1039" w:type="pct"/>
          </w:tcPr>
          <w:p w14:paraId="0702A4E7" w14:textId="788C928C" w:rsidR="006304C7" w:rsidRPr="00BB1E80" w:rsidRDefault="009B60AF" w:rsidP="00096A68">
            <w:pPr>
              <w:pStyle w:val="TableText"/>
              <w:keepNext/>
              <w:jc w:val="center"/>
            </w:pPr>
            <w:r w:rsidRPr="00BB1E80">
              <w:rPr>
                <w:b/>
                <w:bCs/>
              </w:rPr>
              <w:t>$redacted</w:t>
            </w:r>
          </w:p>
        </w:tc>
        <w:tc>
          <w:tcPr>
            <w:tcW w:w="1039" w:type="pct"/>
          </w:tcPr>
          <w:p w14:paraId="0B7CF728" w14:textId="77777777" w:rsidR="006304C7" w:rsidRPr="00BB1E80" w:rsidRDefault="006304C7" w:rsidP="00096A68">
            <w:pPr>
              <w:pStyle w:val="TableText"/>
              <w:keepNext/>
              <w:jc w:val="center"/>
            </w:pPr>
            <w:r w:rsidRPr="00BB1E80">
              <w:t>0.170</w:t>
            </w:r>
          </w:p>
        </w:tc>
        <w:tc>
          <w:tcPr>
            <w:tcW w:w="1038" w:type="pct"/>
          </w:tcPr>
          <w:p w14:paraId="542266B6" w14:textId="43DF04E9" w:rsidR="006304C7" w:rsidRPr="00BB1E80" w:rsidRDefault="009B60AF" w:rsidP="00096A68">
            <w:pPr>
              <w:pStyle w:val="TableText"/>
              <w:keepNext/>
              <w:jc w:val="center"/>
            </w:pPr>
            <w:r w:rsidRPr="00BB1E80">
              <w:rPr>
                <w:b/>
                <w:bCs/>
              </w:rPr>
              <w:t>$redacted</w:t>
            </w:r>
          </w:p>
        </w:tc>
      </w:tr>
      <w:tr w:rsidR="006304C7" w:rsidRPr="00BB1E80" w14:paraId="32FC4078" w14:textId="77777777" w:rsidTr="00096A68">
        <w:tc>
          <w:tcPr>
            <w:tcW w:w="1883" w:type="pct"/>
          </w:tcPr>
          <w:p w14:paraId="7EB9DEA0" w14:textId="1C49CD91" w:rsidR="006304C7" w:rsidRPr="00BB1E80" w:rsidRDefault="006304C7" w:rsidP="00096A68">
            <w:pPr>
              <w:pStyle w:val="TableText"/>
              <w:keepNext/>
            </w:pPr>
            <w:r w:rsidRPr="00BB1E80">
              <w:t>5</w:t>
            </w:r>
            <w:r w:rsidR="00427159" w:rsidRPr="00BB1E80">
              <w:t>-</w:t>
            </w:r>
            <w:r w:rsidRPr="00BB1E80">
              <w:t>year analysis (base-case)</w:t>
            </w:r>
          </w:p>
        </w:tc>
        <w:tc>
          <w:tcPr>
            <w:tcW w:w="1039" w:type="pct"/>
          </w:tcPr>
          <w:p w14:paraId="3B9E9B9B" w14:textId="5DCC48D1" w:rsidR="006304C7" w:rsidRPr="00BB1E80" w:rsidRDefault="009B60AF" w:rsidP="00096A68">
            <w:pPr>
              <w:pStyle w:val="TableText"/>
              <w:keepNext/>
              <w:jc w:val="center"/>
            </w:pPr>
            <w:r w:rsidRPr="00BB1E80">
              <w:rPr>
                <w:b/>
                <w:bCs/>
              </w:rPr>
              <w:t>$redacted</w:t>
            </w:r>
          </w:p>
        </w:tc>
        <w:tc>
          <w:tcPr>
            <w:tcW w:w="1039" w:type="pct"/>
          </w:tcPr>
          <w:p w14:paraId="4EC47056" w14:textId="77777777" w:rsidR="006304C7" w:rsidRPr="00BB1E80" w:rsidRDefault="006304C7" w:rsidP="00096A68">
            <w:pPr>
              <w:pStyle w:val="TableText"/>
              <w:keepNext/>
              <w:jc w:val="center"/>
            </w:pPr>
            <w:r w:rsidRPr="00BB1E80">
              <w:t>0.270</w:t>
            </w:r>
          </w:p>
        </w:tc>
        <w:tc>
          <w:tcPr>
            <w:tcW w:w="1038" w:type="pct"/>
          </w:tcPr>
          <w:p w14:paraId="611663B7" w14:textId="01126288" w:rsidR="006304C7" w:rsidRPr="00BB1E80" w:rsidRDefault="009B60AF" w:rsidP="00096A68">
            <w:pPr>
              <w:pStyle w:val="TableText"/>
              <w:keepNext/>
              <w:jc w:val="center"/>
            </w:pPr>
            <w:r w:rsidRPr="00BB1E80">
              <w:rPr>
                <w:b/>
                <w:bCs/>
              </w:rPr>
              <w:t>$redacted</w:t>
            </w:r>
          </w:p>
        </w:tc>
      </w:tr>
      <w:tr w:rsidR="006304C7" w:rsidRPr="00BB1E80" w14:paraId="2E6BEBFE" w14:textId="77777777" w:rsidTr="00096A68">
        <w:tc>
          <w:tcPr>
            <w:tcW w:w="1883" w:type="pct"/>
          </w:tcPr>
          <w:p w14:paraId="1241FF08" w14:textId="386FF220" w:rsidR="006304C7" w:rsidRPr="00BB1E80" w:rsidRDefault="006304C7" w:rsidP="00096A68">
            <w:pPr>
              <w:pStyle w:val="TableText"/>
              <w:keepNext/>
            </w:pPr>
            <w:r w:rsidRPr="00BB1E80">
              <w:t>10</w:t>
            </w:r>
            <w:r w:rsidR="00427159" w:rsidRPr="00BB1E80">
              <w:t>-</w:t>
            </w:r>
            <w:r w:rsidRPr="00BB1E80">
              <w:t>year analysis</w:t>
            </w:r>
          </w:p>
        </w:tc>
        <w:tc>
          <w:tcPr>
            <w:tcW w:w="1039" w:type="pct"/>
          </w:tcPr>
          <w:p w14:paraId="08E19BAB" w14:textId="395A9E66" w:rsidR="006304C7" w:rsidRPr="00BB1E80" w:rsidRDefault="009B60AF" w:rsidP="00096A68">
            <w:pPr>
              <w:pStyle w:val="TableText"/>
              <w:keepNext/>
              <w:jc w:val="center"/>
            </w:pPr>
            <w:r w:rsidRPr="00BB1E80">
              <w:rPr>
                <w:b/>
                <w:bCs/>
              </w:rPr>
              <w:t>$redacted</w:t>
            </w:r>
          </w:p>
        </w:tc>
        <w:tc>
          <w:tcPr>
            <w:tcW w:w="1039" w:type="pct"/>
          </w:tcPr>
          <w:p w14:paraId="521DA6B8" w14:textId="77777777" w:rsidR="006304C7" w:rsidRPr="00BB1E80" w:rsidRDefault="006304C7" w:rsidP="00096A68">
            <w:pPr>
              <w:pStyle w:val="TableText"/>
              <w:keepNext/>
              <w:jc w:val="center"/>
            </w:pPr>
            <w:r w:rsidRPr="00BB1E80">
              <w:t>0.478</w:t>
            </w:r>
          </w:p>
        </w:tc>
        <w:tc>
          <w:tcPr>
            <w:tcW w:w="1038" w:type="pct"/>
          </w:tcPr>
          <w:p w14:paraId="5691B224" w14:textId="647B8239" w:rsidR="006304C7" w:rsidRPr="00BB1E80" w:rsidRDefault="009B60AF" w:rsidP="00096A68">
            <w:pPr>
              <w:pStyle w:val="TableText"/>
              <w:keepNext/>
              <w:jc w:val="center"/>
            </w:pPr>
            <w:r w:rsidRPr="00BB1E80">
              <w:rPr>
                <w:b/>
                <w:bCs/>
              </w:rPr>
              <w:t>$redacted</w:t>
            </w:r>
          </w:p>
        </w:tc>
      </w:tr>
    </w:tbl>
    <w:p w14:paraId="7D492BBD" w14:textId="66525BAA" w:rsidR="006304C7" w:rsidRPr="005A7F8F" w:rsidRDefault="006304C7" w:rsidP="006304C7">
      <w:pPr>
        <w:pStyle w:val="TableNote"/>
        <w:keepNext w:val="0"/>
        <w:keepLines w:val="0"/>
      </w:pPr>
      <w:r>
        <w:t xml:space="preserve">Source: Table </w:t>
      </w:r>
      <w:r w:rsidR="00ED6217">
        <w:t>75</w:t>
      </w:r>
      <w:r w:rsidR="009744F1">
        <w:t xml:space="preserve">, pg </w:t>
      </w:r>
      <w:r w:rsidR="00ED6217">
        <w:t>189</w:t>
      </w:r>
      <w:r w:rsidR="009744F1">
        <w:t xml:space="preserve"> of MSAC 1719</w:t>
      </w:r>
      <w:r>
        <w:t xml:space="preserve"> </w:t>
      </w:r>
      <w:r w:rsidR="00B05668">
        <w:t>ADAR</w:t>
      </w:r>
      <w:r w:rsidR="00ED6217">
        <w:t>+inline commentary</w:t>
      </w:r>
      <w:r w:rsidR="00B05668">
        <w:t>.</w:t>
      </w:r>
    </w:p>
    <w:p w14:paraId="2E8D11F0" w14:textId="388975FC" w:rsidR="007200E5" w:rsidRDefault="006304C7" w:rsidP="006304C7">
      <w:pPr>
        <w:pStyle w:val="TableNote"/>
        <w:keepNext w:val="0"/>
        <w:keepLines w:val="0"/>
      </w:pPr>
      <w:r w:rsidRPr="005A7F8F">
        <w:t>Abbreviations: QALYs</w:t>
      </w:r>
      <w:r w:rsidR="009744F1">
        <w:t>=</w:t>
      </w:r>
      <w:r w:rsidRPr="005A7F8F">
        <w:t xml:space="preserve"> quality-adjusted life years; ICER</w:t>
      </w:r>
      <w:r w:rsidR="009744F1">
        <w:t>=</w:t>
      </w:r>
      <w:r w:rsidRPr="005A7F8F">
        <w:t xml:space="preserve"> incremental cost-effectiveness ratio.</w:t>
      </w:r>
    </w:p>
    <w:p w14:paraId="166A6FD8" w14:textId="43360002" w:rsidR="004D0114" w:rsidRDefault="004D0114" w:rsidP="004D0114">
      <w:pPr>
        <w:pStyle w:val="Heading2"/>
        <w:numPr>
          <w:ilvl w:val="0"/>
          <w:numId w:val="0"/>
        </w:numPr>
      </w:pPr>
      <w:bookmarkStart w:id="56" w:name="_Toc69491426"/>
      <w:r>
        <w:t>1</w:t>
      </w:r>
      <w:r w:rsidR="002C5802">
        <w:t>4</w:t>
      </w:r>
      <w:r>
        <w:t>.</w:t>
      </w:r>
      <w:r>
        <w:tab/>
      </w:r>
      <w:r w:rsidRPr="00CE28E3">
        <w:t>Financial/budgetary impacts</w:t>
      </w:r>
      <w:bookmarkEnd w:id="56"/>
    </w:p>
    <w:p w14:paraId="1E1490CF" w14:textId="0F1723B6" w:rsidR="00B12B26" w:rsidRDefault="004D0114" w:rsidP="00B12B26">
      <w:r w:rsidRPr="00B54D3C">
        <w:t xml:space="preserve">The </w:t>
      </w:r>
      <w:r w:rsidR="00664804">
        <w:t>ADAR</w:t>
      </w:r>
      <w:r w:rsidR="00664804" w:rsidRPr="00B54D3C">
        <w:t xml:space="preserve"> </w:t>
      </w:r>
      <w:r w:rsidR="00664804">
        <w:t>used</w:t>
      </w:r>
      <w:r w:rsidRPr="00B54D3C">
        <w:t xml:space="preserve"> a mixed epidemiological and market share approach to estimate the financial impact of </w:t>
      </w:r>
      <w:r>
        <w:t xml:space="preserve">the proposed MBS and PL listing of LATERA. </w:t>
      </w:r>
      <w:r w:rsidR="00B106F3" w:rsidRPr="00E60DC7">
        <w:t xml:space="preserve">The ADAR presented utilisation analyses of MBS items </w:t>
      </w:r>
      <w:r w:rsidR="00D4605D">
        <w:t>for pa</w:t>
      </w:r>
      <w:r w:rsidR="00B473D8">
        <w:t>rti</w:t>
      </w:r>
      <w:r w:rsidR="00D4605D">
        <w:t>al and total rhinoplasty (</w:t>
      </w:r>
      <w:r w:rsidR="000F577F">
        <w:t xml:space="preserve">MBS items </w:t>
      </w:r>
      <w:r w:rsidR="00D4605D" w:rsidRPr="00E60DC7">
        <w:t>45632</w:t>
      </w:r>
      <w:r w:rsidR="00D4605D">
        <w:t xml:space="preserve">, </w:t>
      </w:r>
      <w:r w:rsidR="00B106F3" w:rsidRPr="00E60DC7">
        <w:t>45641 and 45644</w:t>
      </w:r>
      <w:r w:rsidR="000F577F">
        <w:t>)</w:t>
      </w:r>
      <w:r w:rsidR="00586842">
        <w:t xml:space="preserve">, estimating the proportion </w:t>
      </w:r>
      <w:r w:rsidR="005A19A3">
        <w:t xml:space="preserve">(72%) </w:t>
      </w:r>
      <w:r w:rsidR="00586842">
        <w:t>of these patient</w:t>
      </w:r>
      <w:r w:rsidR="00327561">
        <w:t>s</w:t>
      </w:r>
      <w:r w:rsidR="00586842">
        <w:t xml:space="preserve"> who underwent the rhinoplasty procedure for correction of </w:t>
      </w:r>
      <w:r w:rsidR="00B473D8">
        <w:t xml:space="preserve">NAO due to </w:t>
      </w:r>
      <w:r w:rsidR="00586842">
        <w:t>L</w:t>
      </w:r>
      <w:r w:rsidR="00377007">
        <w:t>WI</w:t>
      </w:r>
      <w:r w:rsidR="00B106F3" w:rsidRPr="00E60DC7">
        <w:t xml:space="preserve"> </w:t>
      </w:r>
      <w:r w:rsidR="00D4605D">
        <w:t>and</w:t>
      </w:r>
      <w:r w:rsidR="009B4D2B">
        <w:t xml:space="preserve"> then estimated the</w:t>
      </w:r>
      <w:r w:rsidR="00B106F3" w:rsidRPr="00E60DC7">
        <w:t xml:space="preserve"> market share </w:t>
      </w:r>
      <w:r w:rsidR="00586842">
        <w:t xml:space="preserve">for LATERA by assuming </w:t>
      </w:r>
      <w:r w:rsidR="00FF69BF" w:rsidRPr="00FF69BF">
        <w:rPr>
          <w:b/>
          <w:bCs/>
        </w:rPr>
        <w:t>redacted</w:t>
      </w:r>
      <w:r w:rsidR="00172F21">
        <w:t xml:space="preserve">% (Year 1) to </w:t>
      </w:r>
      <w:r w:rsidR="00FF69BF" w:rsidRPr="00BB1E80">
        <w:rPr>
          <w:b/>
          <w:bCs/>
        </w:rPr>
        <w:t>redacted</w:t>
      </w:r>
      <w:r w:rsidR="00172F21">
        <w:t xml:space="preserve">% (Year 6) of </w:t>
      </w:r>
      <w:r w:rsidR="00B106F3" w:rsidRPr="00E60DC7">
        <w:t xml:space="preserve">patients </w:t>
      </w:r>
      <w:r w:rsidR="00172F21">
        <w:t xml:space="preserve">would </w:t>
      </w:r>
      <w:r w:rsidR="00172F21" w:rsidRPr="00E60DC7">
        <w:t>receiv</w:t>
      </w:r>
      <w:r w:rsidR="00172F21">
        <w:t>e</w:t>
      </w:r>
      <w:r w:rsidR="00172F21" w:rsidRPr="00E60DC7">
        <w:t xml:space="preserve"> </w:t>
      </w:r>
      <w:r w:rsidR="00B106F3" w:rsidRPr="00E60DC7">
        <w:t xml:space="preserve">LATERA instead of rhinoplasty. </w:t>
      </w:r>
      <w:r w:rsidR="00172F21">
        <w:t xml:space="preserve">The ADAR also </w:t>
      </w:r>
      <w:r w:rsidR="008376C3">
        <w:t xml:space="preserve">assumed an additional </w:t>
      </w:r>
      <w:r w:rsidR="00FF69BF" w:rsidRPr="00BB1E80">
        <w:rPr>
          <w:b/>
          <w:bCs/>
        </w:rPr>
        <w:t>redacted</w:t>
      </w:r>
      <w:r w:rsidR="00FF69BF" w:rsidRPr="00BB1E80" w:rsidDel="00FF69BF">
        <w:t xml:space="preserve"> </w:t>
      </w:r>
      <w:r w:rsidR="008376C3">
        <w:t xml:space="preserve">% </w:t>
      </w:r>
      <w:r w:rsidR="00D75628">
        <w:t xml:space="preserve">use of LATERA for the subgroup of patients who </w:t>
      </w:r>
      <w:r w:rsidR="00A37336">
        <w:t>are eligible</w:t>
      </w:r>
      <w:r w:rsidR="00A37336" w:rsidRPr="00A37336">
        <w:t xml:space="preserve"> for rhinoplasty, but who </w:t>
      </w:r>
      <w:r w:rsidR="00A37336">
        <w:t xml:space="preserve">are contraindicated or </w:t>
      </w:r>
      <w:r w:rsidR="00A37336" w:rsidRPr="00A37336">
        <w:t xml:space="preserve">elect not to </w:t>
      </w:r>
      <w:r w:rsidR="00A37336">
        <w:t>undergo rhinoplasty procedure.</w:t>
      </w:r>
      <w:r w:rsidR="00B106F3" w:rsidRPr="00E60DC7">
        <w:t xml:space="preserve"> </w:t>
      </w:r>
      <w:r w:rsidR="00B12B26" w:rsidRPr="00CB7D95">
        <w:t xml:space="preserve">The </w:t>
      </w:r>
      <w:r w:rsidR="00B12B26">
        <w:t xml:space="preserve">ADAR also </w:t>
      </w:r>
      <w:r w:rsidR="00B12B26" w:rsidRPr="00CB7D95">
        <w:t>claim</w:t>
      </w:r>
      <w:r w:rsidR="00B12B26">
        <w:t>ed</w:t>
      </w:r>
      <w:r w:rsidR="00B12B26" w:rsidRPr="00CB7D95">
        <w:t xml:space="preserve"> an additional healthcare utilisation advantage of reduced length of hospital stay relative to functional rhinoplasty.</w:t>
      </w:r>
    </w:p>
    <w:p w14:paraId="4AC0BCB8" w14:textId="7088DC76" w:rsidR="00B106F3" w:rsidRPr="00E60DC7" w:rsidRDefault="00B12B26" w:rsidP="00E32648">
      <w:r>
        <w:t xml:space="preserve">The </w:t>
      </w:r>
      <w:r w:rsidR="007041D2">
        <w:t>c</w:t>
      </w:r>
      <w:r>
        <w:t>ommentary noted the following limitations with the financial estimates for LATERA:</w:t>
      </w:r>
    </w:p>
    <w:p w14:paraId="5F14AD4B" w14:textId="7449F5BF" w:rsidR="00B106F3" w:rsidRPr="00E60DC7" w:rsidRDefault="007B295F" w:rsidP="00E32648">
      <w:pPr>
        <w:pStyle w:val="ListParagraph"/>
        <w:numPr>
          <w:ilvl w:val="0"/>
          <w:numId w:val="11"/>
        </w:numPr>
      </w:pPr>
      <w:r>
        <w:t>The</w:t>
      </w:r>
      <w:r w:rsidR="005A19A3">
        <w:t xml:space="preserve">re is no evidence for the </w:t>
      </w:r>
      <w:r>
        <w:t>estimated uptake of</w:t>
      </w:r>
      <w:r w:rsidR="00B106F3" w:rsidRPr="00E60DC7">
        <w:t xml:space="preserve"> </w:t>
      </w:r>
      <w:r w:rsidR="00B106F3">
        <w:t>LATERA</w:t>
      </w:r>
      <w:r>
        <w:t xml:space="preserve">, </w:t>
      </w:r>
      <w:r w:rsidR="00FF69BF" w:rsidRPr="00BB1E80">
        <w:rPr>
          <w:b/>
          <w:bCs/>
        </w:rPr>
        <w:t>redacted</w:t>
      </w:r>
      <w:r w:rsidR="00B106F3" w:rsidRPr="00E60DC7">
        <w:t xml:space="preserve">% in Year 1 increasing to </w:t>
      </w:r>
      <w:r w:rsidR="00FF69BF" w:rsidRPr="00BB1E80">
        <w:rPr>
          <w:b/>
          <w:bCs/>
        </w:rPr>
        <w:t>redacted</w:t>
      </w:r>
      <w:r w:rsidR="00B106F3" w:rsidRPr="00E60DC7">
        <w:t>% in Year 6</w:t>
      </w:r>
      <w:r>
        <w:t xml:space="preserve">, </w:t>
      </w:r>
      <w:r w:rsidR="005A19A3">
        <w:t>and is</w:t>
      </w:r>
      <w:r w:rsidR="00B106F3" w:rsidRPr="00E60DC7">
        <w:t xml:space="preserve"> likely to be underestimated. </w:t>
      </w:r>
    </w:p>
    <w:p w14:paraId="0534E1E6" w14:textId="4131895B" w:rsidR="00B106F3" w:rsidRPr="00E60DC7" w:rsidRDefault="00B106F3" w:rsidP="00E32648">
      <w:pPr>
        <w:pStyle w:val="ListParagraph"/>
        <w:numPr>
          <w:ilvl w:val="0"/>
          <w:numId w:val="11"/>
        </w:numPr>
      </w:pPr>
      <w:r w:rsidRPr="00E60DC7">
        <w:t xml:space="preserve">Local expert advice </w:t>
      </w:r>
      <w:r w:rsidRPr="00E67B44">
        <w:t>expects</w:t>
      </w:r>
      <w:r w:rsidRPr="00E60DC7">
        <w:t xml:space="preserve"> the proposed procedure would be performed as day surgery, with few patients requiring overnight stay. Those that choose not to undergo a </w:t>
      </w:r>
      <w:r>
        <w:t xml:space="preserve">GA </w:t>
      </w:r>
      <w:r w:rsidRPr="00E60DC7">
        <w:t xml:space="preserve">could potentially be treated in private consulting rooms with </w:t>
      </w:r>
      <w:r>
        <w:t>LA</w:t>
      </w:r>
      <w:r w:rsidRPr="00E60DC7">
        <w:t xml:space="preserve">. </w:t>
      </w:r>
      <w:r>
        <w:t>I</w:t>
      </w:r>
      <w:r w:rsidRPr="00E60DC7">
        <w:t xml:space="preserve">t is uncertain what proportion of LATERA patients would not elect to have insertion as a day patient with a </w:t>
      </w:r>
      <w:r>
        <w:t>GA</w:t>
      </w:r>
      <w:r w:rsidRPr="00E60DC7">
        <w:t xml:space="preserve">. </w:t>
      </w:r>
    </w:p>
    <w:p w14:paraId="7DFAC709" w14:textId="061E279C" w:rsidR="00314F8A" w:rsidRPr="00314F8A" w:rsidRDefault="004D0114" w:rsidP="00314F8A">
      <w:r w:rsidRPr="00B54D3C">
        <w:t>The financial implications to the MBS resulting from the proposed listing of LATERA are summarised in</w:t>
      </w:r>
      <w:r w:rsidR="00D4642D">
        <w:t xml:space="preserve"> </w:t>
      </w:r>
      <w:r w:rsidR="00D4642D">
        <w:fldChar w:fldCharType="begin"/>
      </w:r>
      <w:r w:rsidR="00D4642D">
        <w:instrText xml:space="preserve"> REF _Ref69726382 \h </w:instrText>
      </w:r>
      <w:r w:rsidR="00E32648">
        <w:instrText xml:space="preserve"> \* MERGEFORMAT </w:instrText>
      </w:r>
      <w:r w:rsidR="00D4642D">
        <w:fldChar w:fldCharType="separate"/>
      </w:r>
      <w:r w:rsidR="003511D3" w:rsidRPr="00CE28E3">
        <w:t>Table</w:t>
      </w:r>
      <w:r w:rsidR="003511D3">
        <w:t xml:space="preserve"> </w:t>
      </w:r>
      <w:r w:rsidR="003511D3">
        <w:rPr>
          <w:noProof/>
        </w:rPr>
        <w:t>25</w:t>
      </w:r>
      <w:r w:rsidR="00D4642D">
        <w:fldChar w:fldCharType="end"/>
      </w:r>
      <w:r w:rsidRPr="00B54D3C">
        <w:t xml:space="preserve">. </w:t>
      </w:r>
      <w:r w:rsidR="005D58B4">
        <w:t>In</w:t>
      </w:r>
      <w:r>
        <w:t xml:space="preserve"> Year </w:t>
      </w:r>
      <w:r w:rsidRPr="002158E2">
        <w:t xml:space="preserve">6, the estimated number of patients </w:t>
      </w:r>
      <w:r>
        <w:t>who receive LATERA would be</w:t>
      </w:r>
      <w:r w:rsidRPr="002158E2">
        <w:t xml:space="preserve"> </w:t>
      </w:r>
      <w:r w:rsidR="00FF69BF" w:rsidRPr="00BB1E80">
        <w:rPr>
          <w:b/>
          <w:bCs/>
        </w:rPr>
        <w:t>redacted</w:t>
      </w:r>
      <w:r w:rsidR="006A4EBF" w:rsidRPr="002158E2">
        <w:t xml:space="preserve"> </w:t>
      </w:r>
      <w:r>
        <w:t xml:space="preserve">costing the MBS </w:t>
      </w:r>
      <w:r w:rsidR="003F1082">
        <w:t>$</w:t>
      </w:r>
      <w:r w:rsidR="00FF69BF" w:rsidRPr="00BB1E80">
        <w:rPr>
          <w:b/>
          <w:bCs/>
        </w:rPr>
        <w:t>redacted</w:t>
      </w:r>
      <w:r w:rsidR="00452C1E">
        <w:t xml:space="preserve"> </w:t>
      </w:r>
      <w:r w:rsidR="00064950">
        <w:t xml:space="preserve">but with estimated cost-offsets from substituting rhinoplasty procedures the ADAR estimated LATERA would save the MBS </w:t>
      </w:r>
      <w:r w:rsidR="00064950" w:rsidRPr="00064950">
        <w:t>$</w:t>
      </w:r>
      <w:r w:rsidR="00FF69BF" w:rsidRPr="00BB1E80">
        <w:rPr>
          <w:b/>
          <w:bCs/>
        </w:rPr>
        <w:t>redacted</w:t>
      </w:r>
      <w:r w:rsidR="00FF69BF" w:rsidRPr="00BB1E80">
        <w:t xml:space="preserve"> </w:t>
      </w:r>
      <w:r w:rsidR="00064950">
        <w:t>in Year 6.</w:t>
      </w:r>
      <w:r w:rsidR="00F6456C">
        <w:t xml:space="preserve"> When considering all costs</w:t>
      </w:r>
      <w:r w:rsidR="00112504">
        <w:t xml:space="preserve"> and cost-offsets</w:t>
      </w:r>
      <w:r w:rsidR="00F6456C">
        <w:t xml:space="preserve">, the </w:t>
      </w:r>
      <w:r>
        <w:t>ADAR estimated a</w:t>
      </w:r>
      <w:r w:rsidRPr="002158E2">
        <w:t xml:space="preserve"> net </w:t>
      </w:r>
      <w:r>
        <w:t xml:space="preserve">saving </w:t>
      </w:r>
      <w:r w:rsidRPr="002158E2">
        <w:t xml:space="preserve">to the </w:t>
      </w:r>
      <w:r w:rsidR="00112504">
        <w:t xml:space="preserve">Australian Healthcare System </w:t>
      </w:r>
      <w:r>
        <w:t>of</w:t>
      </w:r>
      <w:r w:rsidRPr="002158E2">
        <w:t xml:space="preserve"> </w:t>
      </w:r>
      <w:r w:rsidR="00ED3F64" w:rsidRPr="00ED3F64">
        <w:t>-$</w:t>
      </w:r>
      <w:r w:rsidR="00ED3F64" w:rsidRPr="00BB1E80">
        <w:t>1,</w:t>
      </w:r>
      <w:r w:rsidR="00112504" w:rsidRPr="00BB1E80">
        <w:t>185,386</w:t>
      </w:r>
      <w:r w:rsidR="00112504">
        <w:t xml:space="preserve"> in Year 6</w:t>
      </w:r>
      <w:r>
        <w:t xml:space="preserve">. </w:t>
      </w:r>
      <w:bookmarkStart w:id="57" w:name="_Ref69726382"/>
    </w:p>
    <w:p w14:paraId="3D078224" w14:textId="247D8241" w:rsidR="004D0114" w:rsidRDefault="004D0114" w:rsidP="004D0114">
      <w:pPr>
        <w:pStyle w:val="Caption"/>
      </w:pPr>
      <w:r w:rsidRPr="00CE28E3">
        <w:t>Table</w:t>
      </w:r>
      <w:r>
        <w:t xml:space="preserve"> </w:t>
      </w:r>
      <w:r>
        <w:fldChar w:fldCharType="begin"/>
      </w:r>
      <w:r>
        <w:instrText>SEQ Table \* ARABIC</w:instrText>
      </w:r>
      <w:r>
        <w:fldChar w:fldCharType="separate"/>
      </w:r>
      <w:r w:rsidR="003511D3">
        <w:rPr>
          <w:noProof/>
        </w:rPr>
        <w:t>25</w:t>
      </w:r>
      <w:r>
        <w:fldChar w:fldCharType="end"/>
      </w:r>
      <w:bookmarkEnd w:id="57"/>
      <w:r w:rsidR="00447E31">
        <w:rPr>
          <w:noProof/>
        </w:rPr>
        <w:t xml:space="preserve"> </w:t>
      </w:r>
      <w:r w:rsidRPr="00CE28E3">
        <w:t xml:space="preserve">Net financial implications of </w:t>
      </w:r>
      <w:r>
        <w:t xml:space="preserve">LATERA </w:t>
      </w:r>
      <w:r w:rsidR="0047311C">
        <w:t>(84% bilateral)</w:t>
      </w:r>
    </w:p>
    <w:tbl>
      <w:tblPr>
        <w:tblStyle w:val="TableGrid1"/>
        <w:tblW w:w="5000" w:type="pct"/>
        <w:tblLook w:val="04A0" w:firstRow="1" w:lastRow="0" w:firstColumn="1" w:lastColumn="0" w:noHBand="0" w:noVBand="1"/>
      </w:tblPr>
      <w:tblGrid>
        <w:gridCol w:w="1383"/>
        <w:gridCol w:w="1156"/>
        <w:gridCol w:w="1135"/>
        <w:gridCol w:w="1135"/>
        <w:gridCol w:w="1135"/>
        <w:gridCol w:w="1137"/>
        <w:gridCol w:w="1925"/>
      </w:tblGrid>
      <w:tr w:rsidR="009E299F" w:rsidRPr="00800845" w14:paraId="734CAD51" w14:textId="77777777" w:rsidTr="007F544A">
        <w:trPr>
          <w:cnfStyle w:val="100000000000" w:firstRow="1" w:lastRow="0" w:firstColumn="0" w:lastColumn="0" w:oddVBand="0" w:evenVBand="0" w:oddHBand="0" w:evenHBand="0" w:firstRowFirstColumn="0" w:firstRowLastColumn="0" w:lastRowFirstColumn="0" w:lastRowLastColumn="0"/>
          <w:trHeight w:val="270"/>
          <w:tblHeader/>
        </w:trPr>
        <w:tc>
          <w:tcPr>
            <w:tcW w:w="768"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6E4DAA6" w14:textId="77777777" w:rsidR="00800845" w:rsidRPr="00890D75" w:rsidRDefault="00800845" w:rsidP="00314F8A">
            <w:pPr>
              <w:spacing w:before="0" w:after="0"/>
              <w:rPr>
                <w:rFonts w:ascii="Arial Narrow" w:hAnsi="Arial Narrow" w:cs="Calibri"/>
                <w:b/>
                <w:bCs/>
                <w:color w:val="000000"/>
              </w:rPr>
            </w:pPr>
            <w:r w:rsidRPr="00890D75">
              <w:rPr>
                <w:rFonts w:ascii="Arial Narrow" w:hAnsi="Arial Narrow" w:cs="Calibri"/>
                <w:b/>
                <w:bCs/>
                <w:color w:val="000000"/>
              </w:rPr>
              <w:t>Year</w:t>
            </w:r>
          </w:p>
        </w:tc>
        <w:tc>
          <w:tcPr>
            <w:tcW w:w="642"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4A4CFBE" w14:textId="77777777" w:rsidR="00800845" w:rsidRPr="00890D75" w:rsidRDefault="00800845" w:rsidP="00314F8A">
            <w:pPr>
              <w:spacing w:before="0" w:after="0"/>
              <w:jc w:val="center"/>
              <w:rPr>
                <w:rFonts w:ascii="Arial Narrow" w:hAnsi="Arial Narrow" w:cs="Calibri"/>
                <w:b/>
                <w:bCs/>
                <w:color w:val="000000"/>
              </w:rPr>
            </w:pPr>
            <w:r w:rsidRPr="00890D75">
              <w:rPr>
                <w:rFonts w:ascii="Arial Narrow" w:hAnsi="Arial Narrow" w:cs="Calibri"/>
                <w:b/>
                <w:bCs/>
                <w:color w:val="000000"/>
              </w:rPr>
              <w:t>Year 1</w:t>
            </w:r>
          </w:p>
        </w:tc>
        <w:tc>
          <w:tcPr>
            <w:tcW w:w="630"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1C2AA21" w14:textId="77777777" w:rsidR="00800845" w:rsidRPr="00890D75" w:rsidRDefault="00800845" w:rsidP="00314F8A">
            <w:pPr>
              <w:spacing w:before="0" w:after="0"/>
              <w:jc w:val="center"/>
              <w:rPr>
                <w:rFonts w:ascii="Arial Narrow" w:hAnsi="Arial Narrow" w:cs="Calibri"/>
                <w:b/>
                <w:bCs/>
                <w:color w:val="000000"/>
              </w:rPr>
            </w:pPr>
            <w:r w:rsidRPr="00890D75">
              <w:rPr>
                <w:rFonts w:ascii="Arial Narrow" w:hAnsi="Arial Narrow" w:cs="Calibri"/>
                <w:b/>
                <w:bCs/>
                <w:color w:val="000000"/>
              </w:rPr>
              <w:t>Year 2</w:t>
            </w:r>
          </w:p>
        </w:tc>
        <w:tc>
          <w:tcPr>
            <w:tcW w:w="630"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405825D" w14:textId="77777777" w:rsidR="00800845" w:rsidRPr="00890D75" w:rsidRDefault="00800845" w:rsidP="00314F8A">
            <w:pPr>
              <w:spacing w:before="0" w:after="0"/>
              <w:jc w:val="center"/>
              <w:rPr>
                <w:rFonts w:ascii="Arial Narrow" w:hAnsi="Arial Narrow" w:cs="Calibri"/>
                <w:b/>
                <w:bCs/>
                <w:color w:val="000000"/>
              </w:rPr>
            </w:pPr>
            <w:r w:rsidRPr="00890D75">
              <w:rPr>
                <w:rFonts w:ascii="Arial Narrow" w:hAnsi="Arial Narrow" w:cs="Calibri"/>
                <w:b/>
                <w:bCs/>
                <w:color w:val="000000"/>
              </w:rPr>
              <w:t>Year 3</w:t>
            </w:r>
          </w:p>
        </w:tc>
        <w:tc>
          <w:tcPr>
            <w:tcW w:w="630"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267037A" w14:textId="77777777" w:rsidR="00800845" w:rsidRPr="00890D75" w:rsidRDefault="00800845" w:rsidP="00314F8A">
            <w:pPr>
              <w:spacing w:before="0" w:after="0"/>
              <w:jc w:val="center"/>
              <w:rPr>
                <w:rFonts w:ascii="Arial Narrow" w:hAnsi="Arial Narrow" w:cs="Calibri"/>
                <w:b/>
                <w:bCs/>
                <w:color w:val="000000"/>
              </w:rPr>
            </w:pPr>
            <w:r w:rsidRPr="00890D75">
              <w:rPr>
                <w:rFonts w:ascii="Arial Narrow" w:hAnsi="Arial Narrow" w:cs="Calibri"/>
                <w:b/>
                <w:bCs/>
                <w:color w:val="000000"/>
              </w:rPr>
              <w:t>Year 4</w:t>
            </w:r>
          </w:p>
        </w:tc>
        <w:tc>
          <w:tcPr>
            <w:tcW w:w="63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4FD230E" w14:textId="77777777" w:rsidR="00800845" w:rsidRPr="00890D75" w:rsidRDefault="00800845" w:rsidP="00314F8A">
            <w:pPr>
              <w:spacing w:before="0" w:after="0"/>
              <w:jc w:val="center"/>
              <w:rPr>
                <w:rFonts w:ascii="Arial Narrow" w:hAnsi="Arial Narrow" w:cs="Calibri"/>
                <w:b/>
                <w:bCs/>
                <w:color w:val="000000"/>
              </w:rPr>
            </w:pPr>
            <w:r w:rsidRPr="00890D75">
              <w:rPr>
                <w:rFonts w:ascii="Arial Narrow" w:hAnsi="Arial Narrow" w:cs="Calibri"/>
                <w:b/>
                <w:bCs/>
                <w:color w:val="000000"/>
              </w:rPr>
              <w:t>Year 5</w:t>
            </w:r>
          </w:p>
        </w:tc>
        <w:tc>
          <w:tcPr>
            <w:tcW w:w="1069"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E36B1B7" w14:textId="77777777" w:rsidR="00800845" w:rsidRPr="00890D75" w:rsidRDefault="00800845" w:rsidP="00314F8A">
            <w:pPr>
              <w:spacing w:before="0" w:after="0"/>
              <w:jc w:val="center"/>
              <w:rPr>
                <w:rFonts w:ascii="Arial Narrow" w:hAnsi="Arial Narrow" w:cs="Calibri"/>
                <w:b/>
                <w:bCs/>
                <w:color w:val="000000"/>
              </w:rPr>
            </w:pPr>
            <w:r w:rsidRPr="00890D75">
              <w:rPr>
                <w:rFonts w:ascii="Arial Narrow" w:hAnsi="Arial Narrow" w:cs="Calibri"/>
                <w:b/>
                <w:bCs/>
                <w:color w:val="000000"/>
              </w:rPr>
              <w:t>Year 6</w:t>
            </w:r>
          </w:p>
        </w:tc>
      </w:tr>
      <w:tr w:rsidR="009E299F" w:rsidRPr="00800845" w14:paraId="3405B6DE" w14:textId="77777777" w:rsidTr="009E299F">
        <w:trPr>
          <w:trHeight w:val="780"/>
        </w:trPr>
        <w:tc>
          <w:tcPr>
            <w:tcW w:w="768" w:type="pct"/>
            <w:tcBorders>
              <w:top w:val="nil"/>
              <w:left w:val="single" w:sz="8" w:space="0" w:color="auto"/>
              <w:bottom w:val="single" w:sz="8" w:space="0" w:color="auto"/>
              <w:right w:val="single" w:sz="8" w:space="0" w:color="auto"/>
            </w:tcBorders>
            <w:shd w:val="clear" w:color="auto" w:fill="auto"/>
            <w:vAlign w:val="center"/>
            <w:hideMark/>
          </w:tcPr>
          <w:p w14:paraId="5FA1F595" w14:textId="77777777" w:rsidR="00800845" w:rsidRPr="005D58B4" w:rsidRDefault="00800845" w:rsidP="00314F8A">
            <w:pPr>
              <w:spacing w:before="0" w:after="0"/>
              <w:rPr>
                <w:rFonts w:ascii="Arial Narrow" w:hAnsi="Arial Narrow" w:cs="Calibri"/>
              </w:rPr>
            </w:pPr>
            <w:r w:rsidRPr="005D58B4">
              <w:rPr>
                <w:rFonts w:ascii="Arial Narrow" w:hAnsi="Arial Narrow" w:cs="Calibri"/>
              </w:rPr>
              <w:t xml:space="preserve">Number of rhinoplasty surgeries (LWI correction), derived </w:t>
            </w:r>
          </w:p>
        </w:tc>
        <w:tc>
          <w:tcPr>
            <w:tcW w:w="642" w:type="pct"/>
            <w:tcBorders>
              <w:top w:val="nil"/>
              <w:left w:val="nil"/>
              <w:bottom w:val="single" w:sz="8" w:space="0" w:color="auto"/>
              <w:right w:val="single" w:sz="8" w:space="0" w:color="auto"/>
            </w:tcBorders>
            <w:shd w:val="clear" w:color="auto" w:fill="auto"/>
            <w:vAlign w:val="center"/>
            <w:hideMark/>
          </w:tcPr>
          <w:p w14:paraId="63574A64" w14:textId="77777777" w:rsidR="00800845" w:rsidRPr="005D58B4" w:rsidRDefault="00800845" w:rsidP="00314F8A">
            <w:pPr>
              <w:spacing w:before="0" w:after="0"/>
              <w:jc w:val="center"/>
              <w:rPr>
                <w:rFonts w:ascii="Arial Narrow" w:hAnsi="Arial Narrow" w:cs="Calibri"/>
              </w:rPr>
            </w:pPr>
            <w:r w:rsidRPr="005D58B4">
              <w:rPr>
                <w:rFonts w:ascii="Arial Narrow" w:hAnsi="Arial Narrow" w:cs="Calibri"/>
              </w:rPr>
              <w:t>3,546</w:t>
            </w:r>
          </w:p>
        </w:tc>
        <w:tc>
          <w:tcPr>
            <w:tcW w:w="630" w:type="pct"/>
            <w:tcBorders>
              <w:top w:val="nil"/>
              <w:left w:val="nil"/>
              <w:bottom w:val="single" w:sz="8" w:space="0" w:color="auto"/>
              <w:right w:val="single" w:sz="8" w:space="0" w:color="auto"/>
            </w:tcBorders>
            <w:shd w:val="clear" w:color="auto" w:fill="auto"/>
            <w:vAlign w:val="center"/>
            <w:hideMark/>
          </w:tcPr>
          <w:p w14:paraId="26CDC26F" w14:textId="77777777" w:rsidR="00800845" w:rsidRPr="005D58B4" w:rsidRDefault="00800845" w:rsidP="00314F8A">
            <w:pPr>
              <w:spacing w:before="0" w:after="0"/>
              <w:jc w:val="center"/>
              <w:rPr>
                <w:rFonts w:ascii="Arial Narrow" w:hAnsi="Arial Narrow" w:cs="Calibri"/>
              </w:rPr>
            </w:pPr>
            <w:r w:rsidRPr="005D58B4">
              <w:rPr>
                <w:rFonts w:ascii="Arial Narrow" w:hAnsi="Arial Narrow" w:cs="Calibri"/>
              </w:rPr>
              <w:t>3,645</w:t>
            </w:r>
          </w:p>
        </w:tc>
        <w:tc>
          <w:tcPr>
            <w:tcW w:w="630" w:type="pct"/>
            <w:tcBorders>
              <w:top w:val="nil"/>
              <w:left w:val="nil"/>
              <w:bottom w:val="single" w:sz="8" w:space="0" w:color="auto"/>
              <w:right w:val="single" w:sz="8" w:space="0" w:color="auto"/>
            </w:tcBorders>
            <w:shd w:val="clear" w:color="auto" w:fill="auto"/>
            <w:vAlign w:val="center"/>
            <w:hideMark/>
          </w:tcPr>
          <w:p w14:paraId="3EA8E993" w14:textId="77777777" w:rsidR="00800845" w:rsidRPr="005D58B4" w:rsidRDefault="00800845" w:rsidP="00314F8A">
            <w:pPr>
              <w:spacing w:before="0" w:after="0"/>
              <w:jc w:val="center"/>
              <w:rPr>
                <w:rFonts w:ascii="Arial Narrow" w:hAnsi="Arial Narrow" w:cs="Calibri"/>
              </w:rPr>
            </w:pPr>
            <w:r w:rsidRPr="005D58B4">
              <w:rPr>
                <w:rFonts w:ascii="Arial Narrow" w:hAnsi="Arial Narrow" w:cs="Calibri"/>
              </w:rPr>
              <w:t>3,745</w:t>
            </w:r>
          </w:p>
        </w:tc>
        <w:tc>
          <w:tcPr>
            <w:tcW w:w="630" w:type="pct"/>
            <w:tcBorders>
              <w:top w:val="nil"/>
              <w:left w:val="nil"/>
              <w:bottom w:val="single" w:sz="8" w:space="0" w:color="auto"/>
              <w:right w:val="single" w:sz="8" w:space="0" w:color="auto"/>
            </w:tcBorders>
            <w:shd w:val="clear" w:color="auto" w:fill="auto"/>
            <w:vAlign w:val="center"/>
            <w:hideMark/>
          </w:tcPr>
          <w:p w14:paraId="711590A7" w14:textId="77777777" w:rsidR="00800845" w:rsidRPr="005D58B4" w:rsidRDefault="00800845" w:rsidP="00314F8A">
            <w:pPr>
              <w:spacing w:before="0" w:after="0"/>
              <w:jc w:val="center"/>
              <w:rPr>
                <w:rFonts w:ascii="Arial Narrow" w:hAnsi="Arial Narrow" w:cs="Calibri"/>
              </w:rPr>
            </w:pPr>
            <w:r w:rsidRPr="005D58B4">
              <w:rPr>
                <w:rFonts w:ascii="Arial Narrow" w:hAnsi="Arial Narrow" w:cs="Calibri"/>
              </w:rPr>
              <w:t>3,844</w:t>
            </w:r>
          </w:p>
        </w:tc>
        <w:tc>
          <w:tcPr>
            <w:tcW w:w="631" w:type="pct"/>
            <w:tcBorders>
              <w:top w:val="nil"/>
              <w:left w:val="nil"/>
              <w:bottom w:val="single" w:sz="8" w:space="0" w:color="auto"/>
              <w:right w:val="single" w:sz="8" w:space="0" w:color="auto"/>
            </w:tcBorders>
            <w:shd w:val="clear" w:color="auto" w:fill="auto"/>
            <w:vAlign w:val="center"/>
            <w:hideMark/>
          </w:tcPr>
          <w:p w14:paraId="635B5838" w14:textId="77777777" w:rsidR="00800845" w:rsidRPr="005D58B4" w:rsidRDefault="00800845" w:rsidP="00314F8A">
            <w:pPr>
              <w:spacing w:before="0" w:after="0"/>
              <w:jc w:val="center"/>
              <w:rPr>
                <w:rFonts w:ascii="Arial Narrow" w:hAnsi="Arial Narrow" w:cs="Calibri"/>
              </w:rPr>
            </w:pPr>
            <w:r w:rsidRPr="005D58B4">
              <w:rPr>
                <w:rFonts w:ascii="Arial Narrow" w:hAnsi="Arial Narrow" w:cs="Calibri"/>
              </w:rPr>
              <w:t>3,943</w:t>
            </w:r>
          </w:p>
        </w:tc>
        <w:tc>
          <w:tcPr>
            <w:tcW w:w="1069" w:type="pct"/>
            <w:tcBorders>
              <w:top w:val="nil"/>
              <w:left w:val="nil"/>
              <w:bottom w:val="single" w:sz="8" w:space="0" w:color="auto"/>
              <w:right w:val="single" w:sz="8" w:space="0" w:color="auto"/>
            </w:tcBorders>
            <w:shd w:val="clear" w:color="auto" w:fill="auto"/>
            <w:vAlign w:val="center"/>
            <w:hideMark/>
          </w:tcPr>
          <w:p w14:paraId="4254386E" w14:textId="77777777" w:rsidR="00800845" w:rsidRPr="005D58B4" w:rsidRDefault="00800845" w:rsidP="00314F8A">
            <w:pPr>
              <w:spacing w:before="0" w:after="0"/>
              <w:jc w:val="center"/>
              <w:rPr>
                <w:rFonts w:ascii="Arial Narrow" w:hAnsi="Arial Narrow" w:cs="Calibri"/>
              </w:rPr>
            </w:pPr>
            <w:r w:rsidRPr="005D58B4">
              <w:rPr>
                <w:rFonts w:ascii="Arial Narrow" w:hAnsi="Arial Narrow" w:cs="Calibri"/>
              </w:rPr>
              <w:t>4,043</w:t>
            </w:r>
          </w:p>
        </w:tc>
      </w:tr>
      <w:tr w:rsidR="009E299F" w:rsidRPr="00BB1E80" w14:paraId="336FA7E3" w14:textId="77777777" w:rsidTr="009E299F">
        <w:trPr>
          <w:trHeight w:val="525"/>
        </w:trPr>
        <w:tc>
          <w:tcPr>
            <w:tcW w:w="768" w:type="pct"/>
            <w:tcBorders>
              <w:top w:val="nil"/>
              <w:left w:val="single" w:sz="8" w:space="0" w:color="auto"/>
              <w:bottom w:val="single" w:sz="8" w:space="0" w:color="auto"/>
              <w:right w:val="single" w:sz="8" w:space="0" w:color="auto"/>
            </w:tcBorders>
            <w:shd w:val="clear" w:color="auto" w:fill="auto"/>
            <w:vAlign w:val="center"/>
            <w:hideMark/>
          </w:tcPr>
          <w:p w14:paraId="5A45337F" w14:textId="77777777" w:rsidR="00800845" w:rsidRPr="00BB1E80" w:rsidRDefault="00800845" w:rsidP="00314F8A">
            <w:pPr>
              <w:spacing w:before="0" w:after="0"/>
              <w:rPr>
                <w:rFonts w:ascii="Arial Narrow" w:hAnsi="Arial Narrow" w:cs="Calibri"/>
              </w:rPr>
            </w:pPr>
            <w:r w:rsidRPr="00BB1E80">
              <w:rPr>
                <w:rFonts w:ascii="Arial Narrow" w:hAnsi="Arial Narrow" w:cs="Calibri"/>
              </w:rPr>
              <w:t>Uptake, market share vs conventional surgery</w:t>
            </w:r>
          </w:p>
        </w:tc>
        <w:tc>
          <w:tcPr>
            <w:tcW w:w="642" w:type="pct"/>
            <w:tcBorders>
              <w:top w:val="nil"/>
              <w:left w:val="nil"/>
              <w:bottom w:val="single" w:sz="8" w:space="0" w:color="auto"/>
              <w:right w:val="single" w:sz="8" w:space="0" w:color="auto"/>
            </w:tcBorders>
            <w:shd w:val="clear" w:color="auto" w:fill="auto"/>
            <w:vAlign w:val="center"/>
            <w:hideMark/>
          </w:tcPr>
          <w:p w14:paraId="2BD5689A" w14:textId="257C2E27" w:rsidR="00800845" w:rsidRPr="00BB1E80" w:rsidRDefault="009B60AF" w:rsidP="00314F8A">
            <w:pPr>
              <w:spacing w:before="0" w:after="0"/>
              <w:jc w:val="center"/>
              <w:rPr>
                <w:rFonts w:ascii="Arial Narrow" w:hAnsi="Arial Narrow" w:cs="Calibri"/>
              </w:rPr>
            </w:pPr>
            <w:r w:rsidRPr="00BB1E80">
              <w:rPr>
                <w:b/>
                <w:bCs/>
              </w:rPr>
              <w:t>redacted</w:t>
            </w:r>
          </w:p>
        </w:tc>
        <w:tc>
          <w:tcPr>
            <w:tcW w:w="630" w:type="pct"/>
            <w:tcBorders>
              <w:top w:val="nil"/>
              <w:left w:val="nil"/>
              <w:bottom w:val="single" w:sz="8" w:space="0" w:color="auto"/>
              <w:right w:val="single" w:sz="8" w:space="0" w:color="auto"/>
            </w:tcBorders>
            <w:shd w:val="clear" w:color="auto" w:fill="auto"/>
            <w:vAlign w:val="center"/>
            <w:hideMark/>
          </w:tcPr>
          <w:p w14:paraId="351AB124" w14:textId="280361DD" w:rsidR="00800845" w:rsidRPr="00BB1E80" w:rsidRDefault="009B60AF" w:rsidP="00314F8A">
            <w:pPr>
              <w:spacing w:before="0" w:after="0"/>
              <w:jc w:val="center"/>
              <w:rPr>
                <w:rFonts w:ascii="Arial Narrow" w:hAnsi="Arial Narrow" w:cs="Calibri"/>
              </w:rPr>
            </w:pPr>
            <w:r w:rsidRPr="00BB1E80">
              <w:rPr>
                <w:b/>
                <w:bCs/>
              </w:rPr>
              <w:t>redacted</w:t>
            </w:r>
          </w:p>
        </w:tc>
        <w:tc>
          <w:tcPr>
            <w:tcW w:w="630" w:type="pct"/>
            <w:tcBorders>
              <w:top w:val="nil"/>
              <w:left w:val="nil"/>
              <w:bottom w:val="single" w:sz="8" w:space="0" w:color="auto"/>
              <w:right w:val="single" w:sz="8" w:space="0" w:color="auto"/>
            </w:tcBorders>
            <w:shd w:val="clear" w:color="auto" w:fill="auto"/>
            <w:vAlign w:val="center"/>
            <w:hideMark/>
          </w:tcPr>
          <w:p w14:paraId="5C0A79B5" w14:textId="24CE3101" w:rsidR="00800845" w:rsidRPr="00BB1E80" w:rsidRDefault="009B60AF" w:rsidP="00314F8A">
            <w:pPr>
              <w:spacing w:before="0" w:after="0"/>
              <w:jc w:val="center"/>
              <w:rPr>
                <w:rFonts w:ascii="Arial Narrow" w:hAnsi="Arial Narrow" w:cs="Calibri"/>
              </w:rPr>
            </w:pPr>
            <w:r w:rsidRPr="00BB1E80">
              <w:rPr>
                <w:b/>
                <w:bCs/>
              </w:rPr>
              <w:t>redacted</w:t>
            </w:r>
          </w:p>
        </w:tc>
        <w:tc>
          <w:tcPr>
            <w:tcW w:w="630" w:type="pct"/>
            <w:tcBorders>
              <w:top w:val="nil"/>
              <w:left w:val="nil"/>
              <w:bottom w:val="single" w:sz="8" w:space="0" w:color="auto"/>
              <w:right w:val="single" w:sz="8" w:space="0" w:color="auto"/>
            </w:tcBorders>
            <w:shd w:val="clear" w:color="auto" w:fill="auto"/>
            <w:vAlign w:val="center"/>
            <w:hideMark/>
          </w:tcPr>
          <w:p w14:paraId="18EC0779" w14:textId="153AC56A" w:rsidR="00800845" w:rsidRPr="00BB1E80" w:rsidRDefault="009B60AF" w:rsidP="00314F8A">
            <w:pPr>
              <w:spacing w:before="0" w:after="0"/>
              <w:jc w:val="center"/>
              <w:rPr>
                <w:rFonts w:ascii="Arial Narrow" w:hAnsi="Arial Narrow" w:cs="Calibri"/>
              </w:rPr>
            </w:pPr>
            <w:r w:rsidRPr="00BB1E80">
              <w:rPr>
                <w:b/>
                <w:bCs/>
              </w:rPr>
              <w:t>redacted</w:t>
            </w:r>
          </w:p>
        </w:tc>
        <w:tc>
          <w:tcPr>
            <w:tcW w:w="631" w:type="pct"/>
            <w:tcBorders>
              <w:top w:val="nil"/>
              <w:left w:val="nil"/>
              <w:bottom w:val="single" w:sz="8" w:space="0" w:color="auto"/>
              <w:right w:val="single" w:sz="8" w:space="0" w:color="auto"/>
            </w:tcBorders>
            <w:shd w:val="clear" w:color="auto" w:fill="auto"/>
            <w:vAlign w:val="center"/>
            <w:hideMark/>
          </w:tcPr>
          <w:p w14:paraId="31E763F5" w14:textId="0AB42304" w:rsidR="00800845" w:rsidRPr="00BB1E80" w:rsidRDefault="009B60AF" w:rsidP="00314F8A">
            <w:pPr>
              <w:spacing w:before="0" w:after="0"/>
              <w:jc w:val="center"/>
              <w:rPr>
                <w:rFonts w:ascii="Arial Narrow" w:hAnsi="Arial Narrow" w:cs="Calibri"/>
              </w:rPr>
            </w:pPr>
            <w:r w:rsidRPr="00BB1E80">
              <w:rPr>
                <w:b/>
                <w:bCs/>
              </w:rPr>
              <w:t>redacted</w:t>
            </w:r>
          </w:p>
        </w:tc>
        <w:tc>
          <w:tcPr>
            <w:tcW w:w="1069" w:type="pct"/>
            <w:tcBorders>
              <w:top w:val="nil"/>
              <w:left w:val="nil"/>
              <w:bottom w:val="single" w:sz="8" w:space="0" w:color="auto"/>
              <w:right w:val="single" w:sz="8" w:space="0" w:color="auto"/>
            </w:tcBorders>
            <w:shd w:val="clear" w:color="auto" w:fill="auto"/>
            <w:vAlign w:val="center"/>
            <w:hideMark/>
          </w:tcPr>
          <w:p w14:paraId="14F26DEC" w14:textId="3BB00A13" w:rsidR="00800845" w:rsidRPr="00BB1E80" w:rsidRDefault="009B60AF" w:rsidP="00314F8A">
            <w:pPr>
              <w:spacing w:before="0" w:after="0"/>
              <w:jc w:val="center"/>
              <w:rPr>
                <w:rFonts w:ascii="Arial Narrow" w:hAnsi="Arial Narrow" w:cs="Calibri"/>
              </w:rPr>
            </w:pPr>
            <w:r w:rsidRPr="00BB1E80">
              <w:rPr>
                <w:b/>
                <w:bCs/>
              </w:rPr>
              <w:t>redacted</w:t>
            </w:r>
          </w:p>
        </w:tc>
      </w:tr>
      <w:tr w:rsidR="009E299F" w:rsidRPr="00BB1E80" w14:paraId="61A10AFB" w14:textId="77777777" w:rsidTr="009E299F">
        <w:trPr>
          <w:trHeight w:val="780"/>
        </w:trPr>
        <w:tc>
          <w:tcPr>
            <w:tcW w:w="768" w:type="pct"/>
            <w:tcBorders>
              <w:top w:val="nil"/>
              <w:left w:val="single" w:sz="8" w:space="0" w:color="auto"/>
              <w:bottom w:val="single" w:sz="8" w:space="0" w:color="auto"/>
              <w:right w:val="single" w:sz="8" w:space="0" w:color="auto"/>
            </w:tcBorders>
            <w:shd w:val="clear" w:color="auto" w:fill="auto"/>
            <w:vAlign w:val="center"/>
            <w:hideMark/>
          </w:tcPr>
          <w:p w14:paraId="5D888F4C" w14:textId="77777777" w:rsidR="00800845" w:rsidRPr="00BB1E80" w:rsidRDefault="00800845" w:rsidP="00314F8A">
            <w:pPr>
              <w:spacing w:before="0" w:after="0"/>
              <w:rPr>
                <w:rFonts w:ascii="Arial Narrow" w:hAnsi="Arial Narrow" w:cs="Calibri"/>
              </w:rPr>
            </w:pPr>
            <w:r w:rsidRPr="00BB1E80">
              <w:rPr>
                <w:rFonts w:ascii="Arial Narrow" w:hAnsi="Arial Narrow" w:cs="Calibri"/>
              </w:rPr>
              <w:lastRenderedPageBreak/>
              <w:t>Estimated LATERA implantation procedures due to rhinoplasty substitution</w:t>
            </w:r>
          </w:p>
        </w:tc>
        <w:tc>
          <w:tcPr>
            <w:tcW w:w="642" w:type="pct"/>
            <w:tcBorders>
              <w:top w:val="nil"/>
              <w:left w:val="nil"/>
              <w:bottom w:val="single" w:sz="8" w:space="0" w:color="auto"/>
              <w:right w:val="single" w:sz="8" w:space="0" w:color="auto"/>
            </w:tcBorders>
            <w:shd w:val="clear" w:color="auto" w:fill="auto"/>
            <w:vAlign w:val="center"/>
            <w:hideMark/>
          </w:tcPr>
          <w:p w14:paraId="5AEE3CA9" w14:textId="6B7F4887" w:rsidR="00800845" w:rsidRPr="00BB1E80" w:rsidRDefault="009B60AF" w:rsidP="00314F8A">
            <w:pPr>
              <w:spacing w:before="0" w:after="0"/>
              <w:jc w:val="center"/>
              <w:rPr>
                <w:rFonts w:ascii="Arial Narrow" w:hAnsi="Arial Narrow" w:cs="Calibri"/>
              </w:rPr>
            </w:pPr>
            <w:r w:rsidRPr="00BB1E80">
              <w:rPr>
                <w:b/>
                <w:bCs/>
              </w:rPr>
              <w:t>redacted</w:t>
            </w:r>
          </w:p>
        </w:tc>
        <w:tc>
          <w:tcPr>
            <w:tcW w:w="630" w:type="pct"/>
            <w:tcBorders>
              <w:top w:val="nil"/>
              <w:left w:val="nil"/>
              <w:bottom w:val="single" w:sz="8" w:space="0" w:color="auto"/>
              <w:right w:val="single" w:sz="8" w:space="0" w:color="auto"/>
            </w:tcBorders>
            <w:shd w:val="clear" w:color="auto" w:fill="auto"/>
            <w:vAlign w:val="center"/>
            <w:hideMark/>
          </w:tcPr>
          <w:p w14:paraId="009A0860" w14:textId="0D0E43C7" w:rsidR="00800845" w:rsidRPr="00BB1E80" w:rsidRDefault="009B60AF" w:rsidP="00314F8A">
            <w:pPr>
              <w:spacing w:before="0" w:after="0"/>
              <w:jc w:val="center"/>
              <w:rPr>
                <w:rFonts w:ascii="Arial Narrow" w:hAnsi="Arial Narrow" w:cs="Calibri"/>
              </w:rPr>
            </w:pPr>
            <w:r w:rsidRPr="00BB1E80">
              <w:rPr>
                <w:b/>
                <w:bCs/>
              </w:rPr>
              <w:t>redacted</w:t>
            </w:r>
          </w:p>
        </w:tc>
        <w:tc>
          <w:tcPr>
            <w:tcW w:w="630" w:type="pct"/>
            <w:tcBorders>
              <w:top w:val="nil"/>
              <w:left w:val="nil"/>
              <w:bottom w:val="single" w:sz="8" w:space="0" w:color="auto"/>
              <w:right w:val="single" w:sz="8" w:space="0" w:color="auto"/>
            </w:tcBorders>
            <w:shd w:val="clear" w:color="auto" w:fill="auto"/>
            <w:vAlign w:val="center"/>
            <w:hideMark/>
          </w:tcPr>
          <w:p w14:paraId="303FEA59" w14:textId="774AEFF3" w:rsidR="00800845" w:rsidRPr="00BB1E80" w:rsidRDefault="009B60AF" w:rsidP="00314F8A">
            <w:pPr>
              <w:spacing w:before="0" w:after="0"/>
              <w:jc w:val="center"/>
              <w:rPr>
                <w:rFonts w:ascii="Arial Narrow" w:hAnsi="Arial Narrow" w:cs="Calibri"/>
              </w:rPr>
            </w:pPr>
            <w:r w:rsidRPr="00BB1E80">
              <w:rPr>
                <w:b/>
                <w:bCs/>
              </w:rPr>
              <w:t>redacted</w:t>
            </w:r>
          </w:p>
        </w:tc>
        <w:tc>
          <w:tcPr>
            <w:tcW w:w="630" w:type="pct"/>
            <w:tcBorders>
              <w:top w:val="nil"/>
              <w:left w:val="nil"/>
              <w:bottom w:val="single" w:sz="8" w:space="0" w:color="auto"/>
              <w:right w:val="single" w:sz="8" w:space="0" w:color="auto"/>
            </w:tcBorders>
            <w:shd w:val="clear" w:color="auto" w:fill="auto"/>
            <w:vAlign w:val="center"/>
            <w:hideMark/>
          </w:tcPr>
          <w:p w14:paraId="1F0E16E7" w14:textId="10E42222" w:rsidR="00800845" w:rsidRPr="00BB1E80" w:rsidRDefault="009B60AF" w:rsidP="00314F8A">
            <w:pPr>
              <w:spacing w:before="0" w:after="0"/>
              <w:jc w:val="center"/>
              <w:rPr>
                <w:rFonts w:ascii="Arial Narrow" w:hAnsi="Arial Narrow" w:cs="Calibri"/>
              </w:rPr>
            </w:pPr>
            <w:r w:rsidRPr="00BB1E80">
              <w:rPr>
                <w:b/>
                <w:bCs/>
              </w:rPr>
              <w:t>redacted</w:t>
            </w:r>
          </w:p>
        </w:tc>
        <w:tc>
          <w:tcPr>
            <w:tcW w:w="631" w:type="pct"/>
            <w:tcBorders>
              <w:top w:val="nil"/>
              <w:left w:val="nil"/>
              <w:bottom w:val="single" w:sz="8" w:space="0" w:color="auto"/>
              <w:right w:val="single" w:sz="8" w:space="0" w:color="auto"/>
            </w:tcBorders>
            <w:shd w:val="clear" w:color="auto" w:fill="auto"/>
            <w:vAlign w:val="center"/>
            <w:hideMark/>
          </w:tcPr>
          <w:p w14:paraId="7A914E3B" w14:textId="1AFE38B6" w:rsidR="00800845" w:rsidRPr="00BB1E80" w:rsidRDefault="009B60AF" w:rsidP="00314F8A">
            <w:pPr>
              <w:spacing w:before="0" w:after="0"/>
              <w:jc w:val="center"/>
              <w:rPr>
                <w:rFonts w:ascii="Arial Narrow" w:hAnsi="Arial Narrow" w:cs="Calibri"/>
              </w:rPr>
            </w:pPr>
            <w:r w:rsidRPr="00BB1E80">
              <w:rPr>
                <w:b/>
                <w:bCs/>
              </w:rPr>
              <w:t>redacted</w:t>
            </w:r>
          </w:p>
        </w:tc>
        <w:tc>
          <w:tcPr>
            <w:tcW w:w="1069" w:type="pct"/>
            <w:tcBorders>
              <w:top w:val="nil"/>
              <w:left w:val="nil"/>
              <w:bottom w:val="single" w:sz="8" w:space="0" w:color="auto"/>
              <w:right w:val="single" w:sz="8" w:space="0" w:color="auto"/>
            </w:tcBorders>
            <w:shd w:val="clear" w:color="auto" w:fill="auto"/>
            <w:vAlign w:val="center"/>
            <w:hideMark/>
          </w:tcPr>
          <w:p w14:paraId="3373195E" w14:textId="25D26719" w:rsidR="00800845" w:rsidRPr="00BB1E80" w:rsidRDefault="009B60AF" w:rsidP="00314F8A">
            <w:pPr>
              <w:spacing w:before="0" w:after="0"/>
              <w:jc w:val="center"/>
              <w:rPr>
                <w:rFonts w:ascii="Arial Narrow" w:hAnsi="Arial Narrow" w:cs="Calibri"/>
              </w:rPr>
            </w:pPr>
            <w:r w:rsidRPr="00BB1E80">
              <w:rPr>
                <w:b/>
                <w:bCs/>
              </w:rPr>
              <w:t>redacted</w:t>
            </w:r>
          </w:p>
        </w:tc>
      </w:tr>
      <w:tr w:rsidR="009E299F" w:rsidRPr="00BB1E80" w14:paraId="7B8849A3" w14:textId="77777777" w:rsidTr="009E299F">
        <w:trPr>
          <w:trHeight w:val="780"/>
        </w:trPr>
        <w:tc>
          <w:tcPr>
            <w:tcW w:w="768" w:type="pct"/>
            <w:tcBorders>
              <w:top w:val="nil"/>
              <w:left w:val="single" w:sz="8" w:space="0" w:color="auto"/>
              <w:bottom w:val="single" w:sz="8" w:space="0" w:color="auto"/>
              <w:right w:val="single" w:sz="8" w:space="0" w:color="auto"/>
            </w:tcBorders>
            <w:shd w:val="clear" w:color="auto" w:fill="auto"/>
            <w:vAlign w:val="center"/>
            <w:hideMark/>
          </w:tcPr>
          <w:p w14:paraId="7A2F253C" w14:textId="77777777" w:rsidR="00800845" w:rsidRPr="00BB1E80" w:rsidRDefault="00800845" w:rsidP="00314F8A">
            <w:pPr>
              <w:spacing w:before="0" w:after="0"/>
              <w:rPr>
                <w:rFonts w:ascii="Arial Narrow" w:hAnsi="Arial Narrow" w:cs="Calibri"/>
              </w:rPr>
            </w:pPr>
            <w:r w:rsidRPr="00BB1E80">
              <w:rPr>
                <w:rFonts w:ascii="Arial Narrow" w:hAnsi="Arial Narrow" w:cs="Calibri"/>
              </w:rPr>
              <w:t>% of LATERA use in the “rhinoplasty-contraindicated” group</w:t>
            </w:r>
          </w:p>
        </w:tc>
        <w:tc>
          <w:tcPr>
            <w:tcW w:w="642" w:type="pct"/>
            <w:tcBorders>
              <w:top w:val="nil"/>
              <w:left w:val="nil"/>
              <w:bottom w:val="single" w:sz="8" w:space="0" w:color="auto"/>
              <w:right w:val="single" w:sz="8" w:space="0" w:color="auto"/>
            </w:tcBorders>
            <w:shd w:val="clear" w:color="auto" w:fill="auto"/>
            <w:vAlign w:val="center"/>
            <w:hideMark/>
          </w:tcPr>
          <w:p w14:paraId="7DB457C5" w14:textId="13CA00C7" w:rsidR="00800845" w:rsidRPr="00BB1E80" w:rsidRDefault="009B60AF" w:rsidP="00314F8A">
            <w:pPr>
              <w:spacing w:before="0" w:after="0"/>
              <w:jc w:val="center"/>
              <w:rPr>
                <w:rFonts w:ascii="Arial Narrow" w:hAnsi="Arial Narrow" w:cs="Calibri"/>
              </w:rPr>
            </w:pPr>
            <w:r w:rsidRPr="00BB1E80">
              <w:rPr>
                <w:b/>
                <w:bCs/>
              </w:rPr>
              <w:t>redacted</w:t>
            </w:r>
            <w:r w:rsidRPr="00BB1E80" w:rsidDel="009B60AF">
              <w:rPr>
                <w:rFonts w:ascii="Arial Narrow" w:hAnsi="Arial Narrow" w:cs="Calibri"/>
              </w:rPr>
              <w:t xml:space="preserve"> </w:t>
            </w:r>
          </w:p>
        </w:tc>
        <w:tc>
          <w:tcPr>
            <w:tcW w:w="630" w:type="pct"/>
            <w:tcBorders>
              <w:top w:val="nil"/>
              <w:left w:val="nil"/>
              <w:bottom w:val="single" w:sz="8" w:space="0" w:color="auto"/>
              <w:right w:val="single" w:sz="8" w:space="0" w:color="auto"/>
            </w:tcBorders>
            <w:shd w:val="clear" w:color="auto" w:fill="auto"/>
            <w:vAlign w:val="center"/>
            <w:hideMark/>
          </w:tcPr>
          <w:p w14:paraId="0A980CD7" w14:textId="478C8BD6" w:rsidR="00800845" w:rsidRPr="00BB1E80" w:rsidRDefault="009B60AF" w:rsidP="00314F8A">
            <w:pPr>
              <w:spacing w:before="0" w:after="0"/>
              <w:jc w:val="center"/>
              <w:rPr>
                <w:rFonts w:ascii="Arial Narrow" w:hAnsi="Arial Narrow" w:cs="Calibri"/>
              </w:rPr>
            </w:pPr>
            <w:r w:rsidRPr="00BB1E80">
              <w:rPr>
                <w:b/>
                <w:bCs/>
              </w:rPr>
              <w:t>redacted</w:t>
            </w:r>
          </w:p>
        </w:tc>
        <w:tc>
          <w:tcPr>
            <w:tcW w:w="630" w:type="pct"/>
            <w:tcBorders>
              <w:top w:val="nil"/>
              <w:left w:val="nil"/>
              <w:bottom w:val="single" w:sz="8" w:space="0" w:color="auto"/>
              <w:right w:val="single" w:sz="8" w:space="0" w:color="auto"/>
            </w:tcBorders>
            <w:shd w:val="clear" w:color="auto" w:fill="auto"/>
            <w:vAlign w:val="center"/>
            <w:hideMark/>
          </w:tcPr>
          <w:p w14:paraId="063159B8" w14:textId="75DD7DC3" w:rsidR="00800845" w:rsidRPr="00BB1E80" w:rsidRDefault="009B60AF" w:rsidP="00314F8A">
            <w:pPr>
              <w:spacing w:before="0" w:after="0"/>
              <w:jc w:val="center"/>
              <w:rPr>
                <w:rFonts w:ascii="Arial Narrow" w:hAnsi="Arial Narrow" w:cs="Calibri"/>
              </w:rPr>
            </w:pPr>
            <w:r w:rsidRPr="00BB1E80">
              <w:rPr>
                <w:b/>
                <w:bCs/>
              </w:rPr>
              <w:t>redacted</w:t>
            </w:r>
          </w:p>
        </w:tc>
        <w:tc>
          <w:tcPr>
            <w:tcW w:w="630" w:type="pct"/>
            <w:tcBorders>
              <w:top w:val="nil"/>
              <w:left w:val="nil"/>
              <w:bottom w:val="single" w:sz="8" w:space="0" w:color="auto"/>
              <w:right w:val="single" w:sz="8" w:space="0" w:color="auto"/>
            </w:tcBorders>
            <w:shd w:val="clear" w:color="auto" w:fill="auto"/>
            <w:vAlign w:val="center"/>
            <w:hideMark/>
          </w:tcPr>
          <w:p w14:paraId="2E4B9181" w14:textId="4D2E86B1" w:rsidR="00800845" w:rsidRPr="00BB1E80" w:rsidRDefault="009B60AF" w:rsidP="00314F8A">
            <w:pPr>
              <w:spacing w:before="0" w:after="0"/>
              <w:jc w:val="center"/>
              <w:rPr>
                <w:rFonts w:ascii="Arial Narrow" w:hAnsi="Arial Narrow" w:cs="Calibri"/>
              </w:rPr>
            </w:pPr>
            <w:r w:rsidRPr="00BB1E80">
              <w:rPr>
                <w:b/>
                <w:bCs/>
              </w:rPr>
              <w:t>redacted</w:t>
            </w:r>
          </w:p>
        </w:tc>
        <w:tc>
          <w:tcPr>
            <w:tcW w:w="631" w:type="pct"/>
            <w:tcBorders>
              <w:top w:val="nil"/>
              <w:left w:val="nil"/>
              <w:bottom w:val="single" w:sz="8" w:space="0" w:color="auto"/>
              <w:right w:val="single" w:sz="8" w:space="0" w:color="auto"/>
            </w:tcBorders>
            <w:shd w:val="clear" w:color="auto" w:fill="auto"/>
            <w:vAlign w:val="center"/>
            <w:hideMark/>
          </w:tcPr>
          <w:p w14:paraId="2419DB68" w14:textId="0CF22106" w:rsidR="00800845" w:rsidRPr="00BB1E80" w:rsidRDefault="009B60AF" w:rsidP="00314F8A">
            <w:pPr>
              <w:spacing w:before="0" w:after="0"/>
              <w:jc w:val="center"/>
              <w:rPr>
                <w:rFonts w:ascii="Arial Narrow" w:hAnsi="Arial Narrow" w:cs="Calibri"/>
              </w:rPr>
            </w:pPr>
            <w:r w:rsidRPr="00BB1E80">
              <w:rPr>
                <w:b/>
                <w:bCs/>
              </w:rPr>
              <w:t>redacted</w:t>
            </w:r>
          </w:p>
        </w:tc>
        <w:tc>
          <w:tcPr>
            <w:tcW w:w="1069" w:type="pct"/>
            <w:tcBorders>
              <w:top w:val="nil"/>
              <w:left w:val="nil"/>
              <w:bottom w:val="single" w:sz="8" w:space="0" w:color="auto"/>
              <w:right w:val="single" w:sz="8" w:space="0" w:color="auto"/>
            </w:tcBorders>
            <w:shd w:val="clear" w:color="auto" w:fill="auto"/>
            <w:vAlign w:val="center"/>
            <w:hideMark/>
          </w:tcPr>
          <w:p w14:paraId="0F02DA95" w14:textId="3FE9AC29" w:rsidR="00800845" w:rsidRPr="00BB1E80" w:rsidRDefault="009B60AF" w:rsidP="00314F8A">
            <w:pPr>
              <w:spacing w:before="0" w:after="0"/>
              <w:jc w:val="center"/>
              <w:rPr>
                <w:rFonts w:ascii="Arial Narrow" w:hAnsi="Arial Narrow" w:cs="Calibri"/>
              </w:rPr>
            </w:pPr>
            <w:r w:rsidRPr="00BB1E80">
              <w:rPr>
                <w:b/>
                <w:bCs/>
              </w:rPr>
              <w:t>redacted</w:t>
            </w:r>
          </w:p>
        </w:tc>
      </w:tr>
      <w:tr w:rsidR="009E299F" w:rsidRPr="00BB1E80" w14:paraId="38DCDFA4" w14:textId="77777777" w:rsidTr="009E299F">
        <w:trPr>
          <w:trHeight w:val="1035"/>
        </w:trPr>
        <w:tc>
          <w:tcPr>
            <w:tcW w:w="768" w:type="pct"/>
            <w:tcBorders>
              <w:top w:val="nil"/>
              <w:left w:val="single" w:sz="8" w:space="0" w:color="auto"/>
              <w:bottom w:val="single" w:sz="8" w:space="0" w:color="auto"/>
              <w:right w:val="single" w:sz="8" w:space="0" w:color="auto"/>
            </w:tcBorders>
            <w:shd w:val="clear" w:color="auto" w:fill="auto"/>
            <w:vAlign w:val="center"/>
            <w:hideMark/>
          </w:tcPr>
          <w:p w14:paraId="367DE54E" w14:textId="77777777" w:rsidR="00800845" w:rsidRPr="00BB1E80" w:rsidRDefault="00800845" w:rsidP="00314F8A">
            <w:pPr>
              <w:spacing w:before="0" w:after="0"/>
              <w:rPr>
                <w:rFonts w:ascii="Arial Narrow" w:hAnsi="Arial Narrow" w:cs="Calibri"/>
              </w:rPr>
            </w:pPr>
            <w:r w:rsidRPr="00BB1E80">
              <w:rPr>
                <w:rFonts w:ascii="Arial Narrow" w:hAnsi="Arial Narrow" w:cs="Calibri"/>
              </w:rPr>
              <w:t>Estimated LATERA implantation procedures in the “rhinoplasty-contraindicated” subgroup</w:t>
            </w:r>
          </w:p>
        </w:tc>
        <w:tc>
          <w:tcPr>
            <w:tcW w:w="642" w:type="pct"/>
            <w:tcBorders>
              <w:top w:val="nil"/>
              <w:left w:val="nil"/>
              <w:bottom w:val="single" w:sz="8" w:space="0" w:color="auto"/>
              <w:right w:val="single" w:sz="8" w:space="0" w:color="auto"/>
            </w:tcBorders>
            <w:shd w:val="clear" w:color="auto" w:fill="auto"/>
            <w:vAlign w:val="center"/>
            <w:hideMark/>
          </w:tcPr>
          <w:p w14:paraId="16D2BB2E" w14:textId="027E7797" w:rsidR="00800845" w:rsidRPr="00BB1E80" w:rsidRDefault="009B60AF" w:rsidP="00314F8A">
            <w:pPr>
              <w:pStyle w:val="Tabletext0"/>
              <w:spacing w:before="0" w:after="0"/>
              <w:jc w:val="center"/>
            </w:pPr>
            <w:r w:rsidRPr="00BB1E80">
              <w:rPr>
                <w:b/>
                <w:bCs/>
              </w:rPr>
              <w:t>redacted</w:t>
            </w:r>
            <w:r w:rsidRPr="00BB1E80" w:rsidDel="009B60AF">
              <w:t xml:space="preserve"> </w:t>
            </w:r>
          </w:p>
        </w:tc>
        <w:tc>
          <w:tcPr>
            <w:tcW w:w="630" w:type="pct"/>
            <w:tcBorders>
              <w:top w:val="nil"/>
              <w:left w:val="nil"/>
              <w:bottom w:val="single" w:sz="8" w:space="0" w:color="auto"/>
              <w:right w:val="single" w:sz="8" w:space="0" w:color="auto"/>
            </w:tcBorders>
            <w:shd w:val="clear" w:color="auto" w:fill="auto"/>
            <w:vAlign w:val="center"/>
            <w:hideMark/>
          </w:tcPr>
          <w:p w14:paraId="2D637F05" w14:textId="48BE9566" w:rsidR="00800845" w:rsidRPr="00BB1E80" w:rsidRDefault="009B60AF" w:rsidP="00314F8A">
            <w:pPr>
              <w:pStyle w:val="Tabletext0"/>
              <w:spacing w:before="0" w:after="0"/>
              <w:jc w:val="center"/>
            </w:pPr>
            <w:r w:rsidRPr="00BB1E80">
              <w:rPr>
                <w:b/>
                <w:bCs/>
              </w:rPr>
              <w:t>redacted</w:t>
            </w:r>
          </w:p>
        </w:tc>
        <w:tc>
          <w:tcPr>
            <w:tcW w:w="630" w:type="pct"/>
            <w:tcBorders>
              <w:top w:val="nil"/>
              <w:left w:val="nil"/>
              <w:bottom w:val="single" w:sz="8" w:space="0" w:color="auto"/>
              <w:right w:val="single" w:sz="8" w:space="0" w:color="auto"/>
            </w:tcBorders>
            <w:shd w:val="clear" w:color="auto" w:fill="auto"/>
            <w:vAlign w:val="center"/>
            <w:hideMark/>
          </w:tcPr>
          <w:p w14:paraId="5D0CBC34" w14:textId="52765714" w:rsidR="00800845" w:rsidRPr="00BB1E80" w:rsidRDefault="009B60AF" w:rsidP="00314F8A">
            <w:pPr>
              <w:pStyle w:val="Tabletext0"/>
              <w:spacing w:before="0" w:after="0"/>
              <w:jc w:val="center"/>
            </w:pPr>
            <w:r w:rsidRPr="00BB1E80">
              <w:rPr>
                <w:b/>
                <w:bCs/>
              </w:rPr>
              <w:t>redacted</w:t>
            </w:r>
          </w:p>
        </w:tc>
        <w:tc>
          <w:tcPr>
            <w:tcW w:w="630" w:type="pct"/>
            <w:tcBorders>
              <w:top w:val="nil"/>
              <w:left w:val="nil"/>
              <w:bottom w:val="single" w:sz="8" w:space="0" w:color="auto"/>
              <w:right w:val="single" w:sz="8" w:space="0" w:color="auto"/>
            </w:tcBorders>
            <w:shd w:val="clear" w:color="auto" w:fill="auto"/>
            <w:vAlign w:val="center"/>
            <w:hideMark/>
          </w:tcPr>
          <w:p w14:paraId="4C9D0B7B" w14:textId="20F76FC3" w:rsidR="00800845" w:rsidRPr="00BB1E80" w:rsidRDefault="009B60AF" w:rsidP="00314F8A">
            <w:pPr>
              <w:pStyle w:val="Tabletext0"/>
              <w:spacing w:before="0" w:after="0"/>
              <w:jc w:val="center"/>
            </w:pPr>
            <w:r w:rsidRPr="00BB1E80">
              <w:rPr>
                <w:b/>
                <w:bCs/>
              </w:rPr>
              <w:t>redacted</w:t>
            </w:r>
          </w:p>
        </w:tc>
        <w:tc>
          <w:tcPr>
            <w:tcW w:w="631" w:type="pct"/>
            <w:tcBorders>
              <w:top w:val="nil"/>
              <w:left w:val="nil"/>
              <w:bottom w:val="single" w:sz="8" w:space="0" w:color="auto"/>
              <w:right w:val="single" w:sz="8" w:space="0" w:color="auto"/>
            </w:tcBorders>
            <w:shd w:val="clear" w:color="auto" w:fill="auto"/>
            <w:vAlign w:val="center"/>
            <w:hideMark/>
          </w:tcPr>
          <w:p w14:paraId="3FCE3970" w14:textId="4F8748FB" w:rsidR="00800845" w:rsidRPr="00BB1E80" w:rsidRDefault="009B60AF" w:rsidP="00314F8A">
            <w:pPr>
              <w:pStyle w:val="Tabletext0"/>
              <w:spacing w:before="0" w:after="0"/>
              <w:jc w:val="center"/>
            </w:pPr>
            <w:r w:rsidRPr="00BB1E80">
              <w:rPr>
                <w:b/>
                <w:bCs/>
              </w:rPr>
              <w:t>redacted</w:t>
            </w:r>
          </w:p>
        </w:tc>
        <w:tc>
          <w:tcPr>
            <w:tcW w:w="1069" w:type="pct"/>
            <w:tcBorders>
              <w:top w:val="nil"/>
              <w:left w:val="nil"/>
              <w:bottom w:val="single" w:sz="8" w:space="0" w:color="auto"/>
              <w:right w:val="single" w:sz="8" w:space="0" w:color="auto"/>
            </w:tcBorders>
            <w:shd w:val="clear" w:color="auto" w:fill="auto"/>
            <w:vAlign w:val="center"/>
            <w:hideMark/>
          </w:tcPr>
          <w:p w14:paraId="657E49AA" w14:textId="1407A76B" w:rsidR="00800845" w:rsidRPr="00BB1E80" w:rsidRDefault="009B60AF" w:rsidP="00314F8A">
            <w:pPr>
              <w:pStyle w:val="Tabletext0"/>
              <w:spacing w:before="0" w:after="0"/>
              <w:jc w:val="center"/>
            </w:pPr>
            <w:r w:rsidRPr="00BB1E80">
              <w:rPr>
                <w:b/>
                <w:bCs/>
              </w:rPr>
              <w:t>redacted</w:t>
            </w:r>
          </w:p>
        </w:tc>
      </w:tr>
      <w:tr w:rsidR="009E299F" w:rsidRPr="00BB1E80" w14:paraId="4DFD75A4" w14:textId="77777777" w:rsidTr="009E299F">
        <w:trPr>
          <w:trHeight w:val="525"/>
        </w:trPr>
        <w:tc>
          <w:tcPr>
            <w:tcW w:w="768" w:type="pct"/>
            <w:tcBorders>
              <w:top w:val="nil"/>
              <w:left w:val="single" w:sz="8" w:space="0" w:color="auto"/>
              <w:bottom w:val="single" w:sz="8" w:space="0" w:color="auto"/>
              <w:right w:val="single" w:sz="8" w:space="0" w:color="auto"/>
            </w:tcBorders>
            <w:shd w:val="clear" w:color="auto" w:fill="auto"/>
            <w:vAlign w:val="center"/>
            <w:hideMark/>
          </w:tcPr>
          <w:p w14:paraId="0C7C6B1A" w14:textId="77777777" w:rsidR="00800845" w:rsidRPr="00BB1E80" w:rsidRDefault="00800845" w:rsidP="00314F8A">
            <w:pPr>
              <w:spacing w:before="0" w:after="0"/>
              <w:rPr>
                <w:rFonts w:ascii="Arial Narrow" w:hAnsi="Arial Narrow" w:cs="Calibri"/>
              </w:rPr>
            </w:pPr>
            <w:r w:rsidRPr="00BB1E80">
              <w:rPr>
                <w:rFonts w:ascii="Arial Narrow" w:hAnsi="Arial Narrow" w:cs="Calibri"/>
              </w:rPr>
              <w:t xml:space="preserve">Total LATERA implantation procedures </w:t>
            </w:r>
          </w:p>
        </w:tc>
        <w:tc>
          <w:tcPr>
            <w:tcW w:w="642" w:type="pct"/>
            <w:tcBorders>
              <w:top w:val="nil"/>
              <w:left w:val="nil"/>
              <w:bottom w:val="single" w:sz="8" w:space="0" w:color="auto"/>
              <w:right w:val="single" w:sz="8" w:space="0" w:color="auto"/>
            </w:tcBorders>
            <w:shd w:val="clear" w:color="auto" w:fill="auto"/>
            <w:hideMark/>
          </w:tcPr>
          <w:p w14:paraId="1C2573BA" w14:textId="04AE6C5F" w:rsidR="00800845" w:rsidRPr="00BB1E80" w:rsidRDefault="009B60AF" w:rsidP="00314F8A">
            <w:pPr>
              <w:pStyle w:val="Tabletext0"/>
              <w:spacing w:before="0" w:after="0"/>
              <w:jc w:val="center"/>
            </w:pPr>
            <w:r w:rsidRPr="00BB1E80">
              <w:rPr>
                <w:b/>
                <w:bCs/>
              </w:rPr>
              <w:t>redacted</w:t>
            </w:r>
          </w:p>
        </w:tc>
        <w:tc>
          <w:tcPr>
            <w:tcW w:w="630" w:type="pct"/>
            <w:tcBorders>
              <w:top w:val="nil"/>
              <w:left w:val="nil"/>
              <w:bottom w:val="single" w:sz="8" w:space="0" w:color="auto"/>
              <w:right w:val="single" w:sz="8" w:space="0" w:color="auto"/>
            </w:tcBorders>
            <w:shd w:val="clear" w:color="auto" w:fill="auto"/>
            <w:hideMark/>
          </w:tcPr>
          <w:p w14:paraId="63D571A6" w14:textId="32802A57" w:rsidR="00800845" w:rsidRPr="00BB1E80" w:rsidRDefault="009B60AF" w:rsidP="00314F8A">
            <w:pPr>
              <w:pStyle w:val="Tabletext0"/>
              <w:spacing w:before="0" w:after="0"/>
              <w:jc w:val="center"/>
            </w:pPr>
            <w:r w:rsidRPr="00BB1E80">
              <w:rPr>
                <w:b/>
                <w:bCs/>
              </w:rPr>
              <w:t>redacted</w:t>
            </w:r>
          </w:p>
        </w:tc>
        <w:tc>
          <w:tcPr>
            <w:tcW w:w="630" w:type="pct"/>
            <w:tcBorders>
              <w:top w:val="nil"/>
              <w:left w:val="nil"/>
              <w:bottom w:val="single" w:sz="8" w:space="0" w:color="auto"/>
              <w:right w:val="single" w:sz="8" w:space="0" w:color="auto"/>
            </w:tcBorders>
            <w:shd w:val="clear" w:color="auto" w:fill="auto"/>
            <w:hideMark/>
          </w:tcPr>
          <w:p w14:paraId="0E75C74C" w14:textId="79E51D6D" w:rsidR="00800845" w:rsidRPr="00BB1E80" w:rsidRDefault="009B60AF" w:rsidP="00314F8A">
            <w:pPr>
              <w:pStyle w:val="Tabletext0"/>
              <w:spacing w:before="0" w:after="0"/>
              <w:jc w:val="center"/>
            </w:pPr>
            <w:r w:rsidRPr="00BB1E80">
              <w:rPr>
                <w:b/>
                <w:bCs/>
              </w:rPr>
              <w:t>redacted</w:t>
            </w:r>
          </w:p>
        </w:tc>
        <w:tc>
          <w:tcPr>
            <w:tcW w:w="630" w:type="pct"/>
            <w:tcBorders>
              <w:top w:val="nil"/>
              <w:left w:val="nil"/>
              <w:bottom w:val="single" w:sz="8" w:space="0" w:color="auto"/>
              <w:right w:val="single" w:sz="8" w:space="0" w:color="auto"/>
            </w:tcBorders>
            <w:shd w:val="clear" w:color="auto" w:fill="auto"/>
            <w:hideMark/>
          </w:tcPr>
          <w:p w14:paraId="576B67DA" w14:textId="65A6C5EC" w:rsidR="00800845" w:rsidRPr="00BB1E80" w:rsidRDefault="009B60AF" w:rsidP="00314F8A">
            <w:pPr>
              <w:pStyle w:val="Tabletext0"/>
              <w:spacing w:before="0" w:after="0"/>
              <w:jc w:val="center"/>
            </w:pPr>
            <w:r w:rsidRPr="00BB1E80">
              <w:rPr>
                <w:b/>
                <w:bCs/>
              </w:rPr>
              <w:t>redacted</w:t>
            </w:r>
          </w:p>
        </w:tc>
        <w:tc>
          <w:tcPr>
            <w:tcW w:w="631" w:type="pct"/>
            <w:tcBorders>
              <w:top w:val="nil"/>
              <w:left w:val="nil"/>
              <w:bottom w:val="single" w:sz="8" w:space="0" w:color="auto"/>
              <w:right w:val="single" w:sz="8" w:space="0" w:color="auto"/>
            </w:tcBorders>
            <w:shd w:val="clear" w:color="auto" w:fill="auto"/>
            <w:hideMark/>
          </w:tcPr>
          <w:p w14:paraId="4E7C0DB5" w14:textId="4A03DB28" w:rsidR="00800845" w:rsidRPr="00BB1E80" w:rsidRDefault="009B60AF" w:rsidP="00314F8A">
            <w:pPr>
              <w:pStyle w:val="Tabletext0"/>
              <w:spacing w:before="0" w:after="0"/>
              <w:jc w:val="center"/>
            </w:pPr>
            <w:r w:rsidRPr="00BB1E80">
              <w:rPr>
                <w:b/>
                <w:bCs/>
              </w:rPr>
              <w:t>redacted</w:t>
            </w:r>
          </w:p>
        </w:tc>
        <w:tc>
          <w:tcPr>
            <w:tcW w:w="1069" w:type="pct"/>
            <w:tcBorders>
              <w:top w:val="nil"/>
              <w:left w:val="nil"/>
              <w:bottom w:val="single" w:sz="8" w:space="0" w:color="auto"/>
              <w:right w:val="single" w:sz="8" w:space="0" w:color="auto"/>
            </w:tcBorders>
            <w:shd w:val="clear" w:color="auto" w:fill="auto"/>
            <w:hideMark/>
          </w:tcPr>
          <w:p w14:paraId="0826A7BB" w14:textId="10FB6101" w:rsidR="00800845" w:rsidRPr="00BB1E80" w:rsidRDefault="009B60AF" w:rsidP="00314F8A">
            <w:pPr>
              <w:pStyle w:val="Tabletext0"/>
              <w:spacing w:before="0" w:after="0"/>
              <w:jc w:val="center"/>
            </w:pPr>
            <w:r w:rsidRPr="00BB1E80">
              <w:rPr>
                <w:b/>
                <w:bCs/>
              </w:rPr>
              <w:t>redacted</w:t>
            </w:r>
          </w:p>
        </w:tc>
      </w:tr>
      <w:tr w:rsidR="009E299F" w:rsidRPr="00BB1E80" w14:paraId="2D04BD0B" w14:textId="77777777" w:rsidTr="009E299F">
        <w:trPr>
          <w:trHeight w:val="525"/>
        </w:trPr>
        <w:tc>
          <w:tcPr>
            <w:tcW w:w="768" w:type="pct"/>
            <w:tcBorders>
              <w:top w:val="nil"/>
              <w:left w:val="single" w:sz="8" w:space="0" w:color="auto"/>
              <w:bottom w:val="single" w:sz="8" w:space="0" w:color="auto"/>
              <w:right w:val="single" w:sz="8" w:space="0" w:color="auto"/>
            </w:tcBorders>
            <w:shd w:val="clear" w:color="auto" w:fill="auto"/>
            <w:vAlign w:val="center"/>
            <w:hideMark/>
          </w:tcPr>
          <w:p w14:paraId="111056B6" w14:textId="77777777" w:rsidR="00800845" w:rsidRPr="00BB1E80" w:rsidRDefault="00800845" w:rsidP="00314F8A">
            <w:pPr>
              <w:spacing w:before="0" w:after="0"/>
              <w:rPr>
                <w:rFonts w:ascii="Arial Narrow" w:hAnsi="Arial Narrow" w:cs="Calibri"/>
              </w:rPr>
            </w:pPr>
            <w:r w:rsidRPr="00BB1E80">
              <w:rPr>
                <w:rFonts w:ascii="Arial Narrow" w:hAnsi="Arial Narrow" w:cs="Calibri"/>
              </w:rPr>
              <w:t xml:space="preserve">  Unilateral (16%)^</w:t>
            </w:r>
          </w:p>
        </w:tc>
        <w:tc>
          <w:tcPr>
            <w:tcW w:w="642" w:type="pct"/>
            <w:tcBorders>
              <w:top w:val="nil"/>
              <w:left w:val="nil"/>
              <w:bottom w:val="single" w:sz="8" w:space="0" w:color="auto"/>
              <w:right w:val="single" w:sz="8" w:space="0" w:color="auto"/>
            </w:tcBorders>
            <w:shd w:val="clear" w:color="auto" w:fill="auto"/>
            <w:hideMark/>
          </w:tcPr>
          <w:p w14:paraId="3ADB3AF7" w14:textId="16C5242E" w:rsidR="00800845" w:rsidRPr="00BB1E80" w:rsidRDefault="009B60AF" w:rsidP="00314F8A">
            <w:pPr>
              <w:pStyle w:val="Tabletext0"/>
              <w:spacing w:before="0" w:after="0"/>
              <w:jc w:val="center"/>
            </w:pPr>
            <w:r w:rsidRPr="00BB1E80">
              <w:rPr>
                <w:b/>
                <w:bCs/>
              </w:rPr>
              <w:t>redacted</w:t>
            </w:r>
            <w:r w:rsidRPr="00BB1E80" w:rsidDel="009B60AF">
              <w:t xml:space="preserve"> </w:t>
            </w:r>
          </w:p>
        </w:tc>
        <w:tc>
          <w:tcPr>
            <w:tcW w:w="630" w:type="pct"/>
            <w:tcBorders>
              <w:top w:val="nil"/>
              <w:left w:val="nil"/>
              <w:bottom w:val="single" w:sz="8" w:space="0" w:color="auto"/>
              <w:right w:val="single" w:sz="8" w:space="0" w:color="auto"/>
            </w:tcBorders>
            <w:shd w:val="clear" w:color="auto" w:fill="auto"/>
            <w:hideMark/>
          </w:tcPr>
          <w:p w14:paraId="0771EE13" w14:textId="2409B0C2" w:rsidR="00800845" w:rsidRPr="00BB1E80" w:rsidRDefault="009B60AF" w:rsidP="00314F8A">
            <w:pPr>
              <w:pStyle w:val="Tabletext0"/>
              <w:spacing w:before="0" w:after="0"/>
              <w:jc w:val="center"/>
            </w:pPr>
            <w:r w:rsidRPr="00BB1E80">
              <w:rPr>
                <w:b/>
                <w:bCs/>
              </w:rPr>
              <w:t>redacted</w:t>
            </w:r>
          </w:p>
        </w:tc>
        <w:tc>
          <w:tcPr>
            <w:tcW w:w="630" w:type="pct"/>
            <w:tcBorders>
              <w:top w:val="nil"/>
              <w:left w:val="nil"/>
              <w:bottom w:val="single" w:sz="8" w:space="0" w:color="auto"/>
              <w:right w:val="single" w:sz="8" w:space="0" w:color="auto"/>
            </w:tcBorders>
            <w:shd w:val="clear" w:color="auto" w:fill="auto"/>
            <w:hideMark/>
          </w:tcPr>
          <w:p w14:paraId="38C7084C" w14:textId="22CED739" w:rsidR="00800845" w:rsidRPr="00BB1E80" w:rsidRDefault="009B60AF" w:rsidP="00314F8A">
            <w:pPr>
              <w:pStyle w:val="Tabletext0"/>
              <w:spacing w:before="0" w:after="0"/>
              <w:jc w:val="center"/>
            </w:pPr>
            <w:r w:rsidRPr="00BB1E80">
              <w:rPr>
                <w:b/>
                <w:bCs/>
              </w:rPr>
              <w:t>redacted</w:t>
            </w:r>
          </w:p>
        </w:tc>
        <w:tc>
          <w:tcPr>
            <w:tcW w:w="630" w:type="pct"/>
            <w:tcBorders>
              <w:top w:val="nil"/>
              <w:left w:val="nil"/>
              <w:bottom w:val="single" w:sz="8" w:space="0" w:color="auto"/>
              <w:right w:val="single" w:sz="8" w:space="0" w:color="auto"/>
            </w:tcBorders>
            <w:shd w:val="clear" w:color="auto" w:fill="auto"/>
            <w:hideMark/>
          </w:tcPr>
          <w:p w14:paraId="46962AB1" w14:textId="742369E4" w:rsidR="00800845" w:rsidRPr="00BB1E80" w:rsidRDefault="009B60AF" w:rsidP="00314F8A">
            <w:pPr>
              <w:pStyle w:val="Tabletext0"/>
              <w:spacing w:before="0" w:after="0"/>
              <w:jc w:val="center"/>
            </w:pPr>
            <w:r w:rsidRPr="00BB1E80">
              <w:rPr>
                <w:b/>
                <w:bCs/>
              </w:rPr>
              <w:t>redacted</w:t>
            </w:r>
          </w:p>
        </w:tc>
        <w:tc>
          <w:tcPr>
            <w:tcW w:w="631" w:type="pct"/>
            <w:tcBorders>
              <w:top w:val="nil"/>
              <w:left w:val="nil"/>
              <w:bottom w:val="single" w:sz="8" w:space="0" w:color="auto"/>
              <w:right w:val="single" w:sz="8" w:space="0" w:color="auto"/>
            </w:tcBorders>
            <w:shd w:val="clear" w:color="auto" w:fill="auto"/>
            <w:hideMark/>
          </w:tcPr>
          <w:p w14:paraId="09F0B566" w14:textId="0DA234E9" w:rsidR="00800845" w:rsidRPr="00BB1E80" w:rsidRDefault="009B60AF" w:rsidP="00314F8A">
            <w:pPr>
              <w:pStyle w:val="Tabletext0"/>
              <w:spacing w:before="0" w:after="0"/>
              <w:jc w:val="center"/>
            </w:pPr>
            <w:r w:rsidRPr="00BB1E80">
              <w:rPr>
                <w:b/>
                <w:bCs/>
              </w:rPr>
              <w:t>redacted</w:t>
            </w:r>
          </w:p>
        </w:tc>
        <w:tc>
          <w:tcPr>
            <w:tcW w:w="1069" w:type="pct"/>
            <w:tcBorders>
              <w:top w:val="nil"/>
              <w:left w:val="nil"/>
              <w:bottom w:val="single" w:sz="8" w:space="0" w:color="auto"/>
              <w:right w:val="single" w:sz="8" w:space="0" w:color="auto"/>
            </w:tcBorders>
            <w:shd w:val="clear" w:color="auto" w:fill="auto"/>
            <w:hideMark/>
          </w:tcPr>
          <w:p w14:paraId="726BCF83" w14:textId="22D48379" w:rsidR="00800845" w:rsidRPr="00BB1E80" w:rsidRDefault="009B60AF" w:rsidP="00314F8A">
            <w:pPr>
              <w:pStyle w:val="Tabletext0"/>
              <w:spacing w:before="0" w:after="0"/>
              <w:jc w:val="center"/>
            </w:pPr>
            <w:r w:rsidRPr="00BB1E80">
              <w:rPr>
                <w:b/>
                <w:bCs/>
              </w:rPr>
              <w:t>redacted</w:t>
            </w:r>
          </w:p>
        </w:tc>
      </w:tr>
      <w:tr w:rsidR="009E299F" w:rsidRPr="00BB1E80" w14:paraId="52EA8365"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hideMark/>
          </w:tcPr>
          <w:p w14:paraId="29D50A91" w14:textId="0143E808" w:rsidR="00800845" w:rsidRPr="00BB1E80" w:rsidRDefault="00800845" w:rsidP="00314F8A">
            <w:pPr>
              <w:spacing w:before="0" w:after="0"/>
              <w:rPr>
                <w:rFonts w:ascii="Arial Narrow" w:hAnsi="Arial Narrow" w:cs="Calibri"/>
              </w:rPr>
            </w:pPr>
            <w:r w:rsidRPr="00BB1E80">
              <w:rPr>
                <w:rFonts w:ascii="Arial Narrow" w:hAnsi="Arial Narrow" w:cs="Calibri"/>
              </w:rPr>
              <w:t xml:space="preserve">  Bilateral (84%)^</w:t>
            </w:r>
            <w:r w:rsidR="00F95FC7" w:rsidRPr="00BB1E80">
              <w:rPr>
                <w:rFonts w:ascii="Arial Narrow" w:hAnsi="Arial Narrow" w:cs="Calibri"/>
                <w:vertAlign w:val="superscript"/>
              </w:rPr>
              <w:t>a</w:t>
            </w:r>
            <w:r w:rsidRPr="00BB1E80">
              <w:rPr>
                <w:rFonts w:ascii="Arial Narrow" w:hAnsi="Arial Narrow" w:cs="Calibri"/>
              </w:rPr>
              <w:t>  </w:t>
            </w:r>
          </w:p>
        </w:tc>
        <w:tc>
          <w:tcPr>
            <w:tcW w:w="642" w:type="pct"/>
            <w:tcBorders>
              <w:top w:val="nil"/>
              <w:left w:val="nil"/>
              <w:bottom w:val="single" w:sz="8" w:space="0" w:color="auto"/>
              <w:right w:val="single" w:sz="8" w:space="0" w:color="auto"/>
            </w:tcBorders>
            <w:shd w:val="clear" w:color="auto" w:fill="auto"/>
            <w:hideMark/>
          </w:tcPr>
          <w:p w14:paraId="6D031FA9" w14:textId="4DC46E9B" w:rsidR="00800845" w:rsidRPr="00BB1E80" w:rsidRDefault="009B60AF" w:rsidP="00314F8A">
            <w:pPr>
              <w:pStyle w:val="Tabletext0"/>
              <w:spacing w:before="0" w:after="0"/>
              <w:jc w:val="center"/>
            </w:pPr>
            <w:r w:rsidRPr="00BB1E80">
              <w:rPr>
                <w:b/>
                <w:bCs/>
              </w:rPr>
              <w:t>redacted</w:t>
            </w:r>
            <w:r w:rsidRPr="00BB1E80" w:rsidDel="009B60AF">
              <w:t xml:space="preserve"> </w:t>
            </w:r>
          </w:p>
        </w:tc>
        <w:tc>
          <w:tcPr>
            <w:tcW w:w="630" w:type="pct"/>
            <w:tcBorders>
              <w:top w:val="nil"/>
              <w:left w:val="nil"/>
              <w:bottom w:val="single" w:sz="8" w:space="0" w:color="auto"/>
              <w:right w:val="single" w:sz="8" w:space="0" w:color="auto"/>
            </w:tcBorders>
            <w:shd w:val="clear" w:color="auto" w:fill="auto"/>
            <w:hideMark/>
          </w:tcPr>
          <w:p w14:paraId="2BE27F12" w14:textId="03D40C40" w:rsidR="00800845" w:rsidRPr="00BB1E80" w:rsidRDefault="009B60AF" w:rsidP="00314F8A">
            <w:pPr>
              <w:pStyle w:val="Tabletext0"/>
              <w:spacing w:before="0" w:after="0"/>
              <w:jc w:val="center"/>
            </w:pPr>
            <w:r w:rsidRPr="00BB1E80">
              <w:rPr>
                <w:b/>
                <w:bCs/>
              </w:rPr>
              <w:t>redacted</w:t>
            </w:r>
          </w:p>
        </w:tc>
        <w:tc>
          <w:tcPr>
            <w:tcW w:w="630" w:type="pct"/>
            <w:tcBorders>
              <w:top w:val="nil"/>
              <w:left w:val="nil"/>
              <w:bottom w:val="single" w:sz="8" w:space="0" w:color="auto"/>
              <w:right w:val="single" w:sz="8" w:space="0" w:color="auto"/>
            </w:tcBorders>
            <w:shd w:val="clear" w:color="auto" w:fill="auto"/>
            <w:hideMark/>
          </w:tcPr>
          <w:p w14:paraId="2B31A5F0" w14:textId="78E6A1DA" w:rsidR="00800845" w:rsidRPr="00BB1E80" w:rsidRDefault="009B60AF" w:rsidP="00314F8A">
            <w:pPr>
              <w:pStyle w:val="Tabletext0"/>
              <w:spacing w:before="0" w:after="0"/>
              <w:jc w:val="center"/>
            </w:pPr>
            <w:r w:rsidRPr="00BB1E80">
              <w:rPr>
                <w:b/>
                <w:bCs/>
              </w:rPr>
              <w:t>redacted</w:t>
            </w:r>
          </w:p>
        </w:tc>
        <w:tc>
          <w:tcPr>
            <w:tcW w:w="630" w:type="pct"/>
            <w:tcBorders>
              <w:top w:val="nil"/>
              <w:left w:val="nil"/>
              <w:bottom w:val="single" w:sz="8" w:space="0" w:color="auto"/>
              <w:right w:val="single" w:sz="8" w:space="0" w:color="auto"/>
            </w:tcBorders>
            <w:shd w:val="clear" w:color="auto" w:fill="auto"/>
            <w:hideMark/>
          </w:tcPr>
          <w:p w14:paraId="2AB7BE35" w14:textId="42DC27A6" w:rsidR="00800845" w:rsidRPr="00BB1E80" w:rsidRDefault="009B60AF" w:rsidP="00314F8A">
            <w:pPr>
              <w:pStyle w:val="Tabletext0"/>
              <w:spacing w:before="0" w:after="0"/>
              <w:jc w:val="center"/>
            </w:pPr>
            <w:r w:rsidRPr="00BB1E80">
              <w:rPr>
                <w:b/>
                <w:bCs/>
              </w:rPr>
              <w:t>redacted</w:t>
            </w:r>
          </w:p>
        </w:tc>
        <w:tc>
          <w:tcPr>
            <w:tcW w:w="631" w:type="pct"/>
            <w:tcBorders>
              <w:top w:val="nil"/>
              <w:left w:val="nil"/>
              <w:bottom w:val="single" w:sz="8" w:space="0" w:color="auto"/>
              <w:right w:val="single" w:sz="8" w:space="0" w:color="auto"/>
            </w:tcBorders>
            <w:shd w:val="clear" w:color="auto" w:fill="auto"/>
            <w:hideMark/>
          </w:tcPr>
          <w:p w14:paraId="6608BECF" w14:textId="12E9E419" w:rsidR="00800845" w:rsidRPr="00BB1E80" w:rsidRDefault="009B60AF" w:rsidP="00314F8A">
            <w:pPr>
              <w:pStyle w:val="Tabletext0"/>
              <w:spacing w:before="0" w:after="0"/>
              <w:jc w:val="center"/>
            </w:pPr>
            <w:r w:rsidRPr="00BB1E80">
              <w:rPr>
                <w:b/>
                <w:bCs/>
              </w:rPr>
              <w:t>redacted</w:t>
            </w:r>
          </w:p>
        </w:tc>
        <w:tc>
          <w:tcPr>
            <w:tcW w:w="1069" w:type="pct"/>
            <w:tcBorders>
              <w:top w:val="nil"/>
              <w:left w:val="nil"/>
              <w:bottom w:val="single" w:sz="8" w:space="0" w:color="auto"/>
              <w:right w:val="single" w:sz="8" w:space="0" w:color="auto"/>
            </w:tcBorders>
            <w:shd w:val="clear" w:color="auto" w:fill="auto"/>
            <w:hideMark/>
          </w:tcPr>
          <w:p w14:paraId="788CF6F1" w14:textId="31E04FED" w:rsidR="00800845" w:rsidRPr="00BB1E80" w:rsidRDefault="009B60AF" w:rsidP="00314F8A">
            <w:pPr>
              <w:pStyle w:val="Tabletext0"/>
              <w:spacing w:before="0" w:after="0"/>
              <w:jc w:val="center"/>
            </w:pPr>
            <w:r w:rsidRPr="00BB1E80">
              <w:rPr>
                <w:b/>
                <w:bCs/>
              </w:rPr>
              <w:t>redacted</w:t>
            </w:r>
          </w:p>
        </w:tc>
      </w:tr>
      <w:tr w:rsidR="00236DE2" w:rsidRPr="00800845" w14:paraId="14A6D3D0" w14:textId="77777777" w:rsidTr="006F52CB">
        <w:trPr>
          <w:trHeight w:val="435"/>
        </w:trPr>
        <w:tc>
          <w:tcPr>
            <w:tcW w:w="5000" w:type="pct"/>
            <w:gridSpan w:val="7"/>
            <w:tcBorders>
              <w:top w:val="nil"/>
              <w:left w:val="single" w:sz="8" w:space="0" w:color="auto"/>
              <w:bottom w:val="single" w:sz="8" w:space="0" w:color="auto"/>
              <w:right w:val="single" w:sz="8" w:space="0" w:color="auto"/>
            </w:tcBorders>
            <w:shd w:val="clear" w:color="auto" w:fill="auto"/>
            <w:vAlign w:val="center"/>
          </w:tcPr>
          <w:p w14:paraId="25F3CA5B" w14:textId="23F84788" w:rsidR="00236DE2" w:rsidRPr="00800845" w:rsidRDefault="00236DE2" w:rsidP="00314F8A">
            <w:pPr>
              <w:spacing w:before="0" w:after="0"/>
              <w:rPr>
                <w:rFonts w:ascii="Arial Narrow" w:hAnsi="Arial Narrow" w:cs="Calibri"/>
                <w:color w:val="000000"/>
              </w:rPr>
            </w:pPr>
            <w:r>
              <w:rPr>
                <w:rFonts w:ascii="Arial Narrow" w:hAnsi="Arial Narrow" w:cs="Calibri"/>
                <w:b/>
                <w:bCs/>
                <w:color w:val="000000"/>
              </w:rPr>
              <w:t>Cost to MBS</w:t>
            </w:r>
          </w:p>
        </w:tc>
      </w:tr>
      <w:tr w:rsidR="009E299F" w:rsidRPr="00BB1E80" w14:paraId="3F06B194"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15BBEFC4" w14:textId="01F238CA" w:rsidR="009322E4" w:rsidRPr="00BB1E80" w:rsidRDefault="009322E4" w:rsidP="00314F8A">
            <w:pPr>
              <w:spacing w:before="0" w:after="0"/>
              <w:rPr>
                <w:rFonts w:ascii="Arial Narrow" w:hAnsi="Arial Narrow" w:cs="Calibri"/>
              </w:rPr>
            </w:pPr>
            <w:r w:rsidRPr="00BB1E80">
              <w:rPr>
                <w:rFonts w:ascii="Arial Narrow" w:hAnsi="Arial Narrow" w:cs="Calibri"/>
              </w:rPr>
              <w:t xml:space="preserve">Total MBS costs of LATERA, 75% benefit </w:t>
            </w:r>
          </w:p>
        </w:tc>
        <w:tc>
          <w:tcPr>
            <w:tcW w:w="642" w:type="pct"/>
            <w:tcBorders>
              <w:top w:val="nil"/>
              <w:left w:val="nil"/>
              <w:bottom w:val="single" w:sz="8" w:space="0" w:color="auto"/>
              <w:right w:val="single" w:sz="8" w:space="0" w:color="auto"/>
            </w:tcBorders>
            <w:shd w:val="clear" w:color="auto" w:fill="auto"/>
            <w:vAlign w:val="center"/>
          </w:tcPr>
          <w:p w14:paraId="65E9F2F0" w14:textId="0566FD76" w:rsidR="009322E4" w:rsidRPr="00BB1E80" w:rsidRDefault="009322E4" w:rsidP="00314F8A">
            <w:pPr>
              <w:pStyle w:val="Tabletext0"/>
              <w:spacing w:before="0" w:after="0"/>
            </w:pPr>
            <w:r w:rsidRPr="00BB1E80">
              <w:t>$</w:t>
            </w:r>
            <w:r w:rsidR="004F560E" w:rsidRPr="00BB1E80">
              <w:rPr>
                <w:b/>
                <w:bCs/>
              </w:rPr>
              <w:t xml:space="preserve"> redacted</w:t>
            </w:r>
            <w:r w:rsidR="004F560E" w:rsidRPr="00BB1E80">
              <w:t xml:space="preserve"> </w:t>
            </w:r>
          </w:p>
        </w:tc>
        <w:tc>
          <w:tcPr>
            <w:tcW w:w="630" w:type="pct"/>
            <w:tcBorders>
              <w:top w:val="nil"/>
              <w:left w:val="nil"/>
              <w:bottom w:val="single" w:sz="8" w:space="0" w:color="auto"/>
              <w:right w:val="single" w:sz="8" w:space="0" w:color="auto"/>
            </w:tcBorders>
            <w:shd w:val="clear" w:color="auto" w:fill="auto"/>
            <w:vAlign w:val="center"/>
          </w:tcPr>
          <w:p w14:paraId="5B19DEFE" w14:textId="5B163A7C" w:rsidR="009322E4" w:rsidRPr="00BB1E80" w:rsidRDefault="009322E4"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0A8C8F24" w14:textId="7ECE7DBC" w:rsidR="009322E4" w:rsidRPr="00BB1E80" w:rsidRDefault="009322E4"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4D5C1BE3" w14:textId="52BA9B91" w:rsidR="009322E4" w:rsidRPr="00BB1E80" w:rsidRDefault="009322E4" w:rsidP="00314F8A">
            <w:pPr>
              <w:pStyle w:val="Tabletext0"/>
              <w:spacing w:before="0" w:after="0"/>
            </w:pPr>
            <w:r w:rsidRPr="00BB1E80">
              <w:t>$</w:t>
            </w:r>
            <w:r w:rsidR="004F560E" w:rsidRPr="00BB1E80">
              <w:rPr>
                <w:b/>
                <w:bCs/>
              </w:rPr>
              <w:t xml:space="preserve"> redacted</w:t>
            </w:r>
          </w:p>
        </w:tc>
        <w:tc>
          <w:tcPr>
            <w:tcW w:w="631" w:type="pct"/>
            <w:tcBorders>
              <w:top w:val="nil"/>
              <w:left w:val="nil"/>
              <w:bottom w:val="single" w:sz="8" w:space="0" w:color="auto"/>
              <w:right w:val="single" w:sz="8" w:space="0" w:color="auto"/>
            </w:tcBorders>
            <w:shd w:val="clear" w:color="auto" w:fill="auto"/>
            <w:vAlign w:val="center"/>
          </w:tcPr>
          <w:p w14:paraId="61A6BC10" w14:textId="5BEEF6B2" w:rsidR="009322E4" w:rsidRPr="00BB1E80" w:rsidRDefault="009322E4" w:rsidP="00314F8A">
            <w:pPr>
              <w:pStyle w:val="Tabletext0"/>
              <w:spacing w:before="0" w:after="0"/>
            </w:pPr>
            <w:r w:rsidRPr="00BB1E80">
              <w:t>$</w:t>
            </w:r>
            <w:r w:rsidR="004F560E" w:rsidRPr="00BB1E80">
              <w:rPr>
                <w:b/>
                <w:bCs/>
              </w:rPr>
              <w:t xml:space="preserve"> redacted</w:t>
            </w:r>
          </w:p>
        </w:tc>
        <w:tc>
          <w:tcPr>
            <w:tcW w:w="1069" w:type="pct"/>
            <w:tcBorders>
              <w:top w:val="nil"/>
              <w:left w:val="nil"/>
              <w:bottom w:val="single" w:sz="8" w:space="0" w:color="auto"/>
              <w:right w:val="single" w:sz="8" w:space="0" w:color="auto"/>
            </w:tcBorders>
            <w:shd w:val="clear" w:color="auto" w:fill="auto"/>
            <w:vAlign w:val="center"/>
          </w:tcPr>
          <w:p w14:paraId="5489A188" w14:textId="797AEF84" w:rsidR="009322E4" w:rsidRPr="00BB1E80" w:rsidRDefault="009322E4" w:rsidP="00314F8A">
            <w:pPr>
              <w:pStyle w:val="Tabletext0"/>
              <w:spacing w:before="0" w:after="0"/>
            </w:pPr>
            <w:r w:rsidRPr="00BB1E80">
              <w:t>$</w:t>
            </w:r>
            <w:r w:rsidR="004F560E" w:rsidRPr="00BB1E80">
              <w:rPr>
                <w:b/>
                <w:bCs/>
              </w:rPr>
              <w:t xml:space="preserve"> redacted</w:t>
            </w:r>
          </w:p>
        </w:tc>
      </w:tr>
      <w:tr w:rsidR="009E299F" w:rsidRPr="00BB1E80" w14:paraId="29ADB354"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6B3AE7E3" w14:textId="38532875" w:rsidR="009322E4" w:rsidRPr="00BB1E80" w:rsidRDefault="009322E4" w:rsidP="00314F8A">
            <w:pPr>
              <w:spacing w:before="0" w:after="0"/>
              <w:rPr>
                <w:rFonts w:ascii="Arial Narrow" w:hAnsi="Arial Narrow" w:cs="Calibri"/>
              </w:rPr>
            </w:pPr>
            <w:r w:rsidRPr="00BB1E80">
              <w:rPr>
                <w:rFonts w:ascii="Arial Narrow" w:hAnsi="Arial Narrow" w:cs="Calibri"/>
              </w:rPr>
              <w:t>Changes in the MBS costs for rhinoplasty</w:t>
            </w:r>
          </w:p>
        </w:tc>
        <w:tc>
          <w:tcPr>
            <w:tcW w:w="642" w:type="pct"/>
            <w:tcBorders>
              <w:top w:val="nil"/>
              <w:left w:val="nil"/>
              <w:bottom w:val="single" w:sz="8" w:space="0" w:color="auto"/>
              <w:right w:val="single" w:sz="8" w:space="0" w:color="auto"/>
            </w:tcBorders>
            <w:shd w:val="clear" w:color="auto" w:fill="auto"/>
            <w:vAlign w:val="center"/>
          </w:tcPr>
          <w:p w14:paraId="4DDEF2AA" w14:textId="7C438785" w:rsidR="009322E4" w:rsidRPr="00BB1E80" w:rsidRDefault="009322E4" w:rsidP="00314F8A">
            <w:pPr>
              <w:pStyle w:val="Tabletext0"/>
              <w:spacing w:before="0" w:after="0"/>
            </w:pPr>
            <w:r w:rsidRPr="00BB1E80">
              <w:t>-$</w:t>
            </w:r>
            <w:r w:rsidR="004F560E" w:rsidRPr="00BB1E80">
              <w:rPr>
                <w:b/>
                <w:bCs/>
              </w:rPr>
              <w:t xml:space="preserve"> redacted</w:t>
            </w:r>
            <w:r w:rsidR="004F560E" w:rsidRPr="00BB1E80" w:rsidDel="004F560E">
              <w:t xml:space="preserve"> </w:t>
            </w:r>
          </w:p>
        </w:tc>
        <w:tc>
          <w:tcPr>
            <w:tcW w:w="630" w:type="pct"/>
            <w:tcBorders>
              <w:top w:val="nil"/>
              <w:left w:val="nil"/>
              <w:bottom w:val="single" w:sz="8" w:space="0" w:color="auto"/>
              <w:right w:val="single" w:sz="8" w:space="0" w:color="auto"/>
            </w:tcBorders>
            <w:shd w:val="clear" w:color="auto" w:fill="auto"/>
            <w:vAlign w:val="center"/>
          </w:tcPr>
          <w:p w14:paraId="7D103FB1" w14:textId="45B30129" w:rsidR="009322E4" w:rsidRPr="00BB1E80" w:rsidRDefault="009322E4"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736864A1" w14:textId="7F4067DE" w:rsidR="009322E4" w:rsidRPr="00BB1E80" w:rsidRDefault="009322E4"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06E97418" w14:textId="64DDB804" w:rsidR="009322E4" w:rsidRPr="00BB1E80" w:rsidRDefault="009322E4" w:rsidP="00314F8A">
            <w:pPr>
              <w:pStyle w:val="Tabletext0"/>
              <w:spacing w:before="0" w:after="0"/>
            </w:pPr>
            <w:r w:rsidRPr="00BB1E80">
              <w:t>-$</w:t>
            </w:r>
            <w:r w:rsidR="004F560E" w:rsidRPr="00BB1E80">
              <w:rPr>
                <w:b/>
                <w:bCs/>
              </w:rPr>
              <w:t xml:space="preserve"> redacted</w:t>
            </w:r>
          </w:p>
        </w:tc>
        <w:tc>
          <w:tcPr>
            <w:tcW w:w="631" w:type="pct"/>
            <w:tcBorders>
              <w:top w:val="nil"/>
              <w:left w:val="nil"/>
              <w:bottom w:val="single" w:sz="8" w:space="0" w:color="auto"/>
              <w:right w:val="single" w:sz="8" w:space="0" w:color="auto"/>
            </w:tcBorders>
            <w:shd w:val="clear" w:color="auto" w:fill="auto"/>
            <w:vAlign w:val="center"/>
          </w:tcPr>
          <w:p w14:paraId="45177D15" w14:textId="28E961C6" w:rsidR="009322E4" w:rsidRPr="00BB1E80" w:rsidRDefault="009322E4" w:rsidP="00314F8A">
            <w:pPr>
              <w:pStyle w:val="Tabletext0"/>
              <w:spacing w:before="0" w:after="0"/>
            </w:pPr>
            <w:r w:rsidRPr="00BB1E80">
              <w:t>-$</w:t>
            </w:r>
            <w:r w:rsidR="004F560E" w:rsidRPr="00BB1E80">
              <w:rPr>
                <w:b/>
                <w:bCs/>
              </w:rPr>
              <w:t xml:space="preserve"> redacted</w:t>
            </w:r>
          </w:p>
        </w:tc>
        <w:tc>
          <w:tcPr>
            <w:tcW w:w="1069" w:type="pct"/>
            <w:tcBorders>
              <w:top w:val="nil"/>
              <w:left w:val="nil"/>
              <w:bottom w:val="single" w:sz="8" w:space="0" w:color="auto"/>
              <w:right w:val="single" w:sz="8" w:space="0" w:color="auto"/>
            </w:tcBorders>
            <w:shd w:val="clear" w:color="auto" w:fill="auto"/>
            <w:vAlign w:val="center"/>
          </w:tcPr>
          <w:p w14:paraId="31266998" w14:textId="1C58A71F" w:rsidR="009322E4" w:rsidRPr="00BB1E80" w:rsidRDefault="009322E4" w:rsidP="00314F8A">
            <w:pPr>
              <w:pStyle w:val="Tabletext0"/>
              <w:spacing w:before="0" w:after="0"/>
            </w:pPr>
            <w:r w:rsidRPr="00BB1E80">
              <w:t>-$</w:t>
            </w:r>
            <w:r w:rsidR="004F560E" w:rsidRPr="00BB1E80">
              <w:rPr>
                <w:b/>
                <w:bCs/>
              </w:rPr>
              <w:t xml:space="preserve"> redacted</w:t>
            </w:r>
          </w:p>
        </w:tc>
      </w:tr>
      <w:tr w:rsidR="009E299F" w:rsidRPr="00BB1E80" w14:paraId="377BA82F"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4D121F16" w14:textId="2E6A999F" w:rsidR="009322E4" w:rsidRPr="00BB1E80" w:rsidRDefault="009322E4" w:rsidP="00314F8A">
            <w:pPr>
              <w:spacing w:before="0" w:after="0"/>
              <w:rPr>
                <w:rFonts w:ascii="Arial Narrow" w:hAnsi="Arial Narrow" w:cs="Calibri"/>
              </w:rPr>
            </w:pPr>
            <w:r w:rsidRPr="00BB1E80">
              <w:rPr>
                <w:rFonts w:ascii="Arial Narrow" w:hAnsi="Arial Narrow" w:cs="Calibri"/>
              </w:rPr>
              <w:t>Net changes to the MBS</w:t>
            </w:r>
          </w:p>
        </w:tc>
        <w:tc>
          <w:tcPr>
            <w:tcW w:w="642" w:type="pct"/>
            <w:tcBorders>
              <w:top w:val="nil"/>
              <w:left w:val="nil"/>
              <w:bottom w:val="single" w:sz="8" w:space="0" w:color="auto"/>
              <w:right w:val="single" w:sz="8" w:space="0" w:color="auto"/>
            </w:tcBorders>
            <w:shd w:val="clear" w:color="auto" w:fill="auto"/>
            <w:vAlign w:val="center"/>
          </w:tcPr>
          <w:p w14:paraId="4B3F73EC" w14:textId="101020F6" w:rsidR="009322E4" w:rsidRPr="00BB1E80" w:rsidRDefault="009322E4" w:rsidP="00314F8A">
            <w:pPr>
              <w:pStyle w:val="Tabletext0"/>
              <w:spacing w:before="0" w:after="0"/>
            </w:pPr>
            <w:r w:rsidRPr="00BB1E80">
              <w:t>-$</w:t>
            </w:r>
            <w:r w:rsidR="004F560E" w:rsidRPr="00BB1E80">
              <w:rPr>
                <w:b/>
                <w:bCs/>
              </w:rPr>
              <w:t xml:space="preserve"> redacted</w:t>
            </w:r>
            <w:r w:rsidR="004F560E" w:rsidRPr="00BB1E80" w:rsidDel="004F560E">
              <w:t xml:space="preserve"> </w:t>
            </w:r>
          </w:p>
        </w:tc>
        <w:tc>
          <w:tcPr>
            <w:tcW w:w="630" w:type="pct"/>
            <w:tcBorders>
              <w:top w:val="nil"/>
              <w:left w:val="nil"/>
              <w:bottom w:val="single" w:sz="8" w:space="0" w:color="auto"/>
              <w:right w:val="single" w:sz="8" w:space="0" w:color="auto"/>
            </w:tcBorders>
            <w:shd w:val="clear" w:color="auto" w:fill="auto"/>
            <w:vAlign w:val="center"/>
          </w:tcPr>
          <w:p w14:paraId="5C4F08E9" w14:textId="55CD48E5" w:rsidR="009322E4" w:rsidRPr="00BB1E80" w:rsidRDefault="009322E4"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5F15CD3A" w14:textId="3F7256A1" w:rsidR="009322E4" w:rsidRPr="00BB1E80" w:rsidRDefault="009322E4"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626F0A34" w14:textId="2072255F" w:rsidR="009322E4" w:rsidRPr="00BB1E80" w:rsidRDefault="009322E4" w:rsidP="00314F8A">
            <w:pPr>
              <w:pStyle w:val="Tabletext0"/>
              <w:spacing w:before="0" w:after="0"/>
            </w:pPr>
            <w:r w:rsidRPr="00BB1E80">
              <w:t>-$</w:t>
            </w:r>
            <w:r w:rsidR="004F560E" w:rsidRPr="00BB1E80">
              <w:rPr>
                <w:b/>
                <w:bCs/>
              </w:rPr>
              <w:t xml:space="preserve"> redacted</w:t>
            </w:r>
          </w:p>
        </w:tc>
        <w:tc>
          <w:tcPr>
            <w:tcW w:w="631" w:type="pct"/>
            <w:tcBorders>
              <w:top w:val="nil"/>
              <w:left w:val="nil"/>
              <w:bottom w:val="single" w:sz="8" w:space="0" w:color="auto"/>
              <w:right w:val="single" w:sz="8" w:space="0" w:color="auto"/>
            </w:tcBorders>
            <w:shd w:val="clear" w:color="auto" w:fill="auto"/>
            <w:vAlign w:val="center"/>
          </w:tcPr>
          <w:p w14:paraId="58E74874" w14:textId="561080E8" w:rsidR="009322E4" w:rsidRPr="00BB1E80" w:rsidRDefault="009322E4" w:rsidP="00314F8A">
            <w:pPr>
              <w:pStyle w:val="Tabletext0"/>
              <w:spacing w:before="0" w:after="0"/>
            </w:pPr>
            <w:r w:rsidRPr="00BB1E80">
              <w:t>-$</w:t>
            </w:r>
            <w:r w:rsidR="004F560E" w:rsidRPr="00BB1E80">
              <w:rPr>
                <w:b/>
                <w:bCs/>
              </w:rPr>
              <w:t xml:space="preserve"> redacted</w:t>
            </w:r>
          </w:p>
        </w:tc>
        <w:tc>
          <w:tcPr>
            <w:tcW w:w="1069" w:type="pct"/>
            <w:tcBorders>
              <w:top w:val="nil"/>
              <w:left w:val="nil"/>
              <w:bottom w:val="single" w:sz="8" w:space="0" w:color="auto"/>
              <w:right w:val="single" w:sz="8" w:space="0" w:color="auto"/>
            </w:tcBorders>
            <w:shd w:val="clear" w:color="auto" w:fill="auto"/>
            <w:vAlign w:val="center"/>
          </w:tcPr>
          <w:p w14:paraId="3BD362A2" w14:textId="522E247D" w:rsidR="009322E4" w:rsidRPr="00BB1E80" w:rsidRDefault="009322E4" w:rsidP="00314F8A">
            <w:pPr>
              <w:pStyle w:val="Tabletext0"/>
              <w:spacing w:before="0" w:after="0"/>
            </w:pPr>
            <w:r w:rsidRPr="00BB1E80">
              <w:t>-$</w:t>
            </w:r>
            <w:r w:rsidR="004F560E" w:rsidRPr="00BB1E80">
              <w:rPr>
                <w:b/>
                <w:bCs/>
              </w:rPr>
              <w:t xml:space="preserve"> redacted</w:t>
            </w:r>
          </w:p>
        </w:tc>
      </w:tr>
      <w:tr w:rsidR="00236DE2" w:rsidRPr="00800845" w14:paraId="1AEFF460" w14:textId="77777777" w:rsidTr="006F52CB">
        <w:trPr>
          <w:trHeight w:val="389"/>
        </w:trPr>
        <w:tc>
          <w:tcPr>
            <w:tcW w:w="5000" w:type="pct"/>
            <w:gridSpan w:val="7"/>
            <w:tcBorders>
              <w:top w:val="nil"/>
              <w:left w:val="single" w:sz="8" w:space="0" w:color="auto"/>
              <w:bottom w:val="single" w:sz="8" w:space="0" w:color="auto"/>
              <w:right w:val="single" w:sz="8" w:space="0" w:color="auto"/>
            </w:tcBorders>
            <w:shd w:val="clear" w:color="auto" w:fill="auto"/>
            <w:vAlign w:val="center"/>
          </w:tcPr>
          <w:p w14:paraId="36B6B950" w14:textId="48F386A4" w:rsidR="00236DE2" w:rsidRPr="0076195B" w:rsidRDefault="00236DE2" w:rsidP="00314F8A">
            <w:pPr>
              <w:spacing w:before="0" w:after="0"/>
              <w:rPr>
                <w:rFonts w:ascii="Arial Narrow" w:hAnsi="Arial Narrow" w:cs="Calibri"/>
                <w:sz w:val="18"/>
                <w:szCs w:val="18"/>
              </w:rPr>
            </w:pPr>
            <w:r w:rsidRPr="0080599C">
              <w:rPr>
                <w:rFonts w:ascii="Arial Narrow" w:hAnsi="Arial Narrow" w:cs="Calibri"/>
                <w:b/>
                <w:bCs/>
              </w:rPr>
              <w:t>Other hospital resource use</w:t>
            </w:r>
          </w:p>
        </w:tc>
      </w:tr>
      <w:tr w:rsidR="009E299F" w:rsidRPr="00BB1E80" w14:paraId="740A6C36"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2FEEB9D4" w14:textId="054606A8" w:rsidR="004A581C" w:rsidRPr="00BB1E80" w:rsidRDefault="004A581C" w:rsidP="00314F8A">
            <w:pPr>
              <w:spacing w:before="0" w:after="0"/>
              <w:rPr>
                <w:rFonts w:ascii="Arial Narrow" w:hAnsi="Arial Narrow" w:cs="Calibri"/>
                <w:b/>
                <w:bCs/>
              </w:rPr>
            </w:pPr>
            <w:r w:rsidRPr="00BB1E80">
              <w:rPr>
                <w:rFonts w:ascii="Arial Narrow" w:hAnsi="Arial Narrow" w:cs="Calibri"/>
                <w:color w:val="000000"/>
              </w:rPr>
              <w:t>Other hospital costs with LATERA, total</w:t>
            </w:r>
          </w:p>
        </w:tc>
        <w:tc>
          <w:tcPr>
            <w:tcW w:w="642" w:type="pct"/>
            <w:tcBorders>
              <w:top w:val="nil"/>
              <w:left w:val="nil"/>
              <w:bottom w:val="single" w:sz="8" w:space="0" w:color="auto"/>
              <w:right w:val="single" w:sz="8" w:space="0" w:color="auto"/>
            </w:tcBorders>
            <w:shd w:val="clear" w:color="auto" w:fill="auto"/>
            <w:vAlign w:val="center"/>
          </w:tcPr>
          <w:p w14:paraId="745BD07B" w14:textId="4F3AB1F1" w:rsidR="004A581C" w:rsidRPr="00BB1E80" w:rsidRDefault="004A581C"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0159F00E" w14:textId="19C93EEC" w:rsidR="004A581C" w:rsidRPr="00BB1E80" w:rsidRDefault="004A581C"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725AF5D1" w14:textId="587FAB71" w:rsidR="004A581C" w:rsidRPr="00BB1E80" w:rsidRDefault="004A581C"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26953DA0" w14:textId="34E0E15F" w:rsidR="004A581C" w:rsidRPr="00BB1E80" w:rsidRDefault="004A581C" w:rsidP="00314F8A">
            <w:pPr>
              <w:pStyle w:val="Tabletext0"/>
              <w:spacing w:before="0" w:after="0"/>
            </w:pPr>
            <w:r w:rsidRPr="00BB1E80">
              <w:t>$</w:t>
            </w:r>
            <w:r w:rsidR="004F560E" w:rsidRPr="00BB1E80">
              <w:rPr>
                <w:b/>
                <w:bCs/>
              </w:rPr>
              <w:t xml:space="preserve"> redacted</w:t>
            </w:r>
          </w:p>
        </w:tc>
        <w:tc>
          <w:tcPr>
            <w:tcW w:w="631" w:type="pct"/>
            <w:tcBorders>
              <w:top w:val="nil"/>
              <w:left w:val="nil"/>
              <w:bottom w:val="single" w:sz="8" w:space="0" w:color="auto"/>
              <w:right w:val="single" w:sz="8" w:space="0" w:color="auto"/>
            </w:tcBorders>
            <w:shd w:val="clear" w:color="auto" w:fill="auto"/>
            <w:vAlign w:val="center"/>
          </w:tcPr>
          <w:p w14:paraId="4669FB51" w14:textId="3232D2C1" w:rsidR="004A581C" w:rsidRPr="00BB1E80" w:rsidRDefault="004A581C" w:rsidP="00314F8A">
            <w:pPr>
              <w:pStyle w:val="Tabletext0"/>
              <w:spacing w:before="0" w:after="0"/>
            </w:pPr>
            <w:r w:rsidRPr="00BB1E80">
              <w:t>$</w:t>
            </w:r>
            <w:r w:rsidR="004F560E" w:rsidRPr="00BB1E80">
              <w:rPr>
                <w:b/>
                <w:bCs/>
              </w:rPr>
              <w:t xml:space="preserve"> redacted</w:t>
            </w:r>
          </w:p>
        </w:tc>
        <w:tc>
          <w:tcPr>
            <w:tcW w:w="1069" w:type="pct"/>
            <w:tcBorders>
              <w:top w:val="nil"/>
              <w:left w:val="nil"/>
              <w:bottom w:val="single" w:sz="8" w:space="0" w:color="auto"/>
              <w:right w:val="single" w:sz="8" w:space="0" w:color="auto"/>
            </w:tcBorders>
            <w:shd w:val="clear" w:color="auto" w:fill="auto"/>
            <w:vAlign w:val="center"/>
          </w:tcPr>
          <w:p w14:paraId="6ADB243F" w14:textId="62CBF666" w:rsidR="004A581C" w:rsidRPr="00BB1E80" w:rsidRDefault="004A581C" w:rsidP="00314F8A">
            <w:pPr>
              <w:pStyle w:val="Tabletext0"/>
              <w:spacing w:before="0" w:after="0"/>
            </w:pPr>
            <w:r w:rsidRPr="00BB1E80">
              <w:t>$</w:t>
            </w:r>
            <w:r w:rsidR="004F560E" w:rsidRPr="00BB1E80">
              <w:rPr>
                <w:b/>
                <w:bCs/>
              </w:rPr>
              <w:t xml:space="preserve"> redacted</w:t>
            </w:r>
            <w:r w:rsidR="004F560E" w:rsidRPr="00BB1E80" w:rsidDel="004F560E">
              <w:t xml:space="preserve"> </w:t>
            </w:r>
          </w:p>
        </w:tc>
      </w:tr>
      <w:tr w:rsidR="009E299F" w:rsidRPr="00BB1E80" w14:paraId="79673239"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7D90B69B" w14:textId="1973F8FF" w:rsidR="004A581C" w:rsidRPr="00BB1E80" w:rsidRDefault="004A581C" w:rsidP="00314F8A">
            <w:pPr>
              <w:spacing w:before="0" w:after="0"/>
              <w:rPr>
                <w:rFonts w:ascii="Arial Narrow" w:hAnsi="Arial Narrow" w:cs="Calibri"/>
                <w:b/>
                <w:bCs/>
              </w:rPr>
            </w:pPr>
            <w:r w:rsidRPr="00BB1E80">
              <w:rPr>
                <w:rFonts w:ascii="Arial Narrow" w:hAnsi="Arial Narrow" w:cs="Calibri"/>
                <w:color w:val="000000"/>
              </w:rPr>
              <w:t>Changes in other hospital costs, total</w:t>
            </w:r>
          </w:p>
        </w:tc>
        <w:tc>
          <w:tcPr>
            <w:tcW w:w="642" w:type="pct"/>
            <w:tcBorders>
              <w:top w:val="nil"/>
              <w:left w:val="nil"/>
              <w:bottom w:val="single" w:sz="8" w:space="0" w:color="auto"/>
              <w:right w:val="single" w:sz="8" w:space="0" w:color="auto"/>
            </w:tcBorders>
            <w:shd w:val="clear" w:color="auto" w:fill="auto"/>
            <w:vAlign w:val="center"/>
          </w:tcPr>
          <w:p w14:paraId="33BA4255" w14:textId="45B8A16A" w:rsidR="004A581C" w:rsidRPr="00BB1E80" w:rsidRDefault="004A581C" w:rsidP="00314F8A">
            <w:pPr>
              <w:pStyle w:val="Tabletext0"/>
              <w:spacing w:before="0" w:after="0"/>
            </w:pPr>
            <w:r w:rsidRPr="00BB1E80">
              <w:t>-$</w:t>
            </w:r>
            <w:r w:rsidR="004F560E" w:rsidRPr="00BB1E80">
              <w:rPr>
                <w:b/>
                <w:bCs/>
              </w:rPr>
              <w:t xml:space="preserve"> redacted</w:t>
            </w:r>
            <w:r w:rsidR="004F560E" w:rsidRPr="00BB1E80" w:rsidDel="004F560E">
              <w:t xml:space="preserve"> </w:t>
            </w:r>
          </w:p>
        </w:tc>
        <w:tc>
          <w:tcPr>
            <w:tcW w:w="630" w:type="pct"/>
            <w:tcBorders>
              <w:top w:val="nil"/>
              <w:left w:val="nil"/>
              <w:bottom w:val="single" w:sz="8" w:space="0" w:color="auto"/>
              <w:right w:val="single" w:sz="8" w:space="0" w:color="auto"/>
            </w:tcBorders>
            <w:shd w:val="clear" w:color="auto" w:fill="auto"/>
            <w:vAlign w:val="center"/>
          </w:tcPr>
          <w:p w14:paraId="0B8F919F" w14:textId="57152ABC" w:rsidR="004A581C" w:rsidRPr="00BB1E80" w:rsidRDefault="004A581C"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1DD232F7" w14:textId="62155638" w:rsidR="004A581C" w:rsidRPr="00BB1E80" w:rsidRDefault="004A581C" w:rsidP="00314F8A">
            <w:pPr>
              <w:pStyle w:val="Tabletext0"/>
              <w:spacing w:before="0" w:after="0"/>
            </w:pPr>
            <w:r w:rsidRPr="00BB1E80">
              <w:t>-$</w:t>
            </w:r>
            <w:r w:rsidR="004F560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23F9FC08" w14:textId="6799A012" w:rsidR="004A581C" w:rsidRPr="00BB1E80" w:rsidRDefault="004A581C" w:rsidP="00314F8A">
            <w:pPr>
              <w:pStyle w:val="Tabletext0"/>
              <w:spacing w:before="0" w:after="0"/>
            </w:pPr>
            <w:r w:rsidRPr="00BB1E80">
              <w:t>-$</w:t>
            </w:r>
            <w:r w:rsidR="004F560E" w:rsidRPr="00BB1E80">
              <w:rPr>
                <w:b/>
                <w:bCs/>
              </w:rPr>
              <w:t xml:space="preserve"> redacted</w:t>
            </w:r>
          </w:p>
        </w:tc>
        <w:tc>
          <w:tcPr>
            <w:tcW w:w="631" w:type="pct"/>
            <w:tcBorders>
              <w:top w:val="nil"/>
              <w:left w:val="nil"/>
              <w:bottom w:val="single" w:sz="8" w:space="0" w:color="auto"/>
              <w:right w:val="single" w:sz="8" w:space="0" w:color="auto"/>
            </w:tcBorders>
            <w:shd w:val="clear" w:color="auto" w:fill="auto"/>
            <w:vAlign w:val="center"/>
          </w:tcPr>
          <w:p w14:paraId="484691A0" w14:textId="0B9ECACD" w:rsidR="004A581C" w:rsidRPr="00BB1E80" w:rsidRDefault="004A581C" w:rsidP="00314F8A">
            <w:pPr>
              <w:pStyle w:val="Tabletext0"/>
              <w:spacing w:before="0" w:after="0"/>
            </w:pPr>
            <w:r w:rsidRPr="00BB1E80">
              <w:t>-$</w:t>
            </w:r>
            <w:r w:rsidR="004F560E" w:rsidRPr="00BB1E80">
              <w:rPr>
                <w:b/>
                <w:bCs/>
              </w:rPr>
              <w:t xml:space="preserve"> redacted</w:t>
            </w:r>
          </w:p>
        </w:tc>
        <w:tc>
          <w:tcPr>
            <w:tcW w:w="1069" w:type="pct"/>
            <w:tcBorders>
              <w:top w:val="nil"/>
              <w:left w:val="nil"/>
              <w:bottom w:val="single" w:sz="8" w:space="0" w:color="auto"/>
              <w:right w:val="single" w:sz="8" w:space="0" w:color="auto"/>
            </w:tcBorders>
            <w:shd w:val="clear" w:color="auto" w:fill="auto"/>
            <w:vAlign w:val="center"/>
          </w:tcPr>
          <w:p w14:paraId="564D9558" w14:textId="65D6E267" w:rsidR="004A581C" w:rsidRPr="00BB1E80" w:rsidRDefault="004A581C" w:rsidP="00314F8A">
            <w:pPr>
              <w:pStyle w:val="Tabletext0"/>
              <w:spacing w:before="0" w:after="0"/>
            </w:pPr>
            <w:r w:rsidRPr="00BB1E80">
              <w:t>-$</w:t>
            </w:r>
            <w:r w:rsidR="004F560E" w:rsidRPr="00BB1E80">
              <w:rPr>
                <w:b/>
                <w:bCs/>
              </w:rPr>
              <w:t xml:space="preserve"> redacted</w:t>
            </w:r>
          </w:p>
        </w:tc>
      </w:tr>
      <w:tr w:rsidR="009E299F" w:rsidRPr="00BB1E80" w14:paraId="1D5FC026"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737421E8" w14:textId="602110A0" w:rsidR="004A581C" w:rsidRPr="00BB1E80" w:rsidRDefault="004A581C" w:rsidP="00314F8A">
            <w:pPr>
              <w:spacing w:before="0" w:after="0"/>
              <w:rPr>
                <w:rFonts w:ascii="Arial Narrow" w:hAnsi="Arial Narrow" w:cs="Calibri"/>
                <w:b/>
                <w:bCs/>
              </w:rPr>
            </w:pPr>
            <w:r w:rsidRPr="00BB1E80">
              <w:rPr>
                <w:rFonts w:ascii="Arial Narrow" w:hAnsi="Arial Narrow" w:cs="Calibri"/>
                <w:color w:val="000000"/>
              </w:rPr>
              <w:t xml:space="preserve">Net changes </w:t>
            </w:r>
          </w:p>
        </w:tc>
        <w:tc>
          <w:tcPr>
            <w:tcW w:w="642" w:type="pct"/>
            <w:tcBorders>
              <w:top w:val="nil"/>
              <w:left w:val="nil"/>
              <w:bottom w:val="single" w:sz="8" w:space="0" w:color="auto"/>
              <w:right w:val="single" w:sz="8" w:space="0" w:color="auto"/>
            </w:tcBorders>
            <w:shd w:val="clear" w:color="auto" w:fill="auto"/>
            <w:vAlign w:val="center"/>
          </w:tcPr>
          <w:p w14:paraId="4945AA1B" w14:textId="7FB871A4" w:rsidR="004A581C" w:rsidRPr="00BB1E80" w:rsidRDefault="004A581C" w:rsidP="00314F8A">
            <w:pPr>
              <w:pStyle w:val="Tabletext0"/>
              <w:spacing w:before="0" w:after="0"/>
            </w:pPr>
            <w:r w:rsidRPr="00BB1E80">
              <w:t>-$</w:t>
            </w:r>
            <w:r w:rsidR="00AF4513" w:rsidRPr="00BB1E80">
              <w:rPr>
                <w:b/>
                <w:bCs/>
              </w:rPr>
              <w:t xml:space="preserve"> redacted</w:t>
            </w:r>
            <w:r w:rsidR="00AF4513" w:rsidRPr="00BB1E80" w:rsidDel="00AF4513">
              <w:t xml:space="preserve"> </w:t>
            </w:r>
          </w:p>
        </w:tc>
        <w:tc>
          <w:tcPr>
            <w:tcW w:w="630" w:type="pct"/>
            <w:tcBorders>
              <w:top w:val="nil"/>
              <w:left w:val="nil"/>
              <w:bottom w:val="single" w:sz="8" w:space="0" w:color="auto"/>
              <w:right w:val="single" w:sz="8" w:space="0" w:color="auto"/>
            </w:tcBorders>
            <w:shd w:val="clear" w:color="auto" w:fill="auto"/>
            <w:vAlign w:val="center"/>
          </w:tcPr>
          <w:p w14:paraId="109BAC26" w14:textId="61EC93D1" w:rsidR="004A581C" w:rsidRPr="00BB1E80" w:rsidRDefault="004A581C" w:rsidP="00314F8A">
            <w:pPr>
              <w:pStyle w:val="Tabletext0"/>
              <w:spacing w:before="0" w:after="0"/>
            </w:pPr>
            <w:r w:rsidRPr="00BB1E80">
              <w:t>-$</w:t>
            </w:r>
            <w:r w:rsidR="00AF4513"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3F27D538" w14:textId="4BEFA0DA" w:rsidR="004A581C" w:rsidRPr="00BB1E80" w:rsidRDefault="004A581C" w:rsidP="00314F8A">
            <w:pPr>
              <w:pStyle w:val="Tabletext0"/>
              <w:spacing w:before="0" w:after="0"/>
            </w:pPr>
            <w:r w:rsidRPr="00BB1E80">
              <w:t>-$</w:t>
            </w:r>
            <w:r w:rsidR="00AF4513"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762B8DA6" w14:textId="42FAA290" w:rsidR="004A581C" w:rsidRPr="00BB1E80" w:rsidRDefault="004A581C" w:rsidP="00314F8A">
            <w:pPr>
              <w:pStyle w:val="Tabletext0"/>
              <w:spacing w:before="0" w:after="0"/>
            </w:pPr>
            <w:r w:rsidRPr="00BB1E80">
              <w:t>-$</w:t>
            </w:r>
            <w:r w:rsidR="00AF4513" w:rsidRPr="00BB1E80">
              <w:rPr>
                <w:b/>
                <w:bCs/>
              </w:rPr>
              <w:t xml:space="preserve"> redacted</w:t>
            </w:r>
          </w:p>
        </w:tc>
        <w:tc>
          <w:tcPr>
            <w:tcW w:w="631" w:type="pct"/>
            <w:tcBorders>
              <w:top w:val="nil"/>
              <w:left w:val="nil"/>
              <w:bottom w:val="single" w:sz="8" w:space="0" w:color="auto"/>
              <w:right w:val="single" w:sz="8" w:space="0" w:color="auto"/>
            </w:tcBorders>
            <w:shd w:val="clear" w:color="auto" w:fill="auto"/>
            <w:vAlign w:val="center"/>
          </w:tcPr>
          <w:p w14:paraId="7FE5FE01" w14:textId="243B4036" w:rsidR="004A581C" w:rsidRPr="00BB1E80" w:rsidRDefault="004A581C" w:rsidP="00314F8A">
            <w:pPr>
              <w:pStyle w:val="Tabletext0"/>
              <w:spacing w:before="0" w:after="0"/>
            </w:pPr>
            <w:r w:rsidRPr="00BB1E80">
              <w:t>-$</w:t>
            </w:r>
            <w:r w:rsidR="00AF4513" w:rsidRPr="00BB1E80">
              <w:rPr>
                <w:b/>
                <w:bCs/>
              </w:rPr>
              <w:t xml:space="preserve"> redacted</w:t>
            </w:r>
          </w:p>
        </w:tc>
        <w:tc>
          <w:tcPr>
            <w:tcW w:w="1069" w:type="pct"/>
            <w:tcBorders>
              <w:top w:val="nil"/>
              <w:left w:val="nil"/>
              <w:bottom w:val="single" w:sz="8" w:space="0" w:color="auto"/>
              <w:right w:val="single" w:sz="8" w:space="0" w:color="auto"/>
            </w:tcBorders>
            <w:shd w:val="clear" w:color="auto" w:fill="auto"/>
            <w:vAlign w:val="center"/>
          </w:tcPr>
          <w:p w14:paraId="354E715D" w14:textId="101B1F8D" w:rsidR="004A581C" w:rsidRPr="00BB1E80" w:rsidRDefault="004A581C" w:rsidP="00314F8A">
            <w:pPr>
              <w:pStyle w:val="Tabletext0"/>
              <w:spacing w:before="0" w:after="0"/>
            </w:pPr>
            <w:r w:rsidRPr="00BB1E80">
              <w:t>-$</w:t>
            </w:r>
            <w:r w:rsidR="00AF4513" w:rsidRPr="00BB1E80">
              <w:rPr>
                <w:b/>
                <w:bCs/>
              </w:rPr>
              <w:t xml:space="preserve"> redacted</w:t>
            </w:r>
          </w:p>
        </w:tc>
      </w:tr>
      <w:tr w:rsidR="00236DE2" w:rsidRPr="00800845" w14:paraId="6A2D57A0" w14:textId="77777777" w:rsidTr="006F52CB">
        <w:trPr>
          <w:trHeight w:val="413"/>
        </w:trPr>
        <w:tc>
          <w:tcPr>
            <w:tcW w:w="5000" w:type="pct"/>
            <w:gridSpan w:val="7"/>
            <w:tcBorders>
              <w:top w:val="nil"/>
              <w:left w:val="single" w:sz="8" w:space="0" w:color="auto"/>
              <w:bottom w:val="single" w:sz="8" w:space="0" w:color="auto"/>
              <w:right w:val="single" w:sz="8" w:space="0" w:color="auto"/>
            </w:tcBorders>
            <w:shd w:val="clear" w:color="auto" w:fill="auto"/>
            <w:vAlign w:val="center"/>
          </w:tcPr>
          <w:p w14:paraId="659397A4" w14:textId="22C4342C" w:rsidR="00236DE2" w:rsidRPr="0076195B" w:rsidRDefault="00236DE2" w:rsidP="00314F8A">
            <w:pPr>
              <w:spacing w:before="0" w:after="0"/>
              <w:rPr>
                <w:rFonts w:ascii="Arial Narrow" w:hAnsi="Arial Narrow" w:cs="Calibri"/>
                <w:sz w:val="18"/>
                <w:szCs w:val="18"/>
              </w:rPr>
            </w:pPr>
            <w:r w:rsidRPr="0080599C">
              <w:rPr>
                <w:rFonts w:ascii="Arial Narrow" w:hAnsi="Arial Narrow" w:cs="Calibri"/>
                <w:b/>
                <w:bCs/>
              </w:rPr>
              <w:t>Cost to Prostheses List</w:t>
            </w:r>
          </w:p>
        </w:tc>
      </w:tr>
      <w:tr w:rsidR="009E299F" w:rsidRPr="00BB1E80" w14:paraId="6DBCED9D"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1881F0C5" w14:textId="158B285F" w:rsidR="008D2658" w:rsidRPr="00BB1E80" w:rsidRDefault="008D2658" w:rsidP="00314F8A">
            <w:pPr>
              <w:spacing w:before="0" w:after="0"/>
              <w:rPr>
                <w:rFonts w:ascii="Arial Narrow" w:hAnsi="Arial Narrow" w:cs="Calibri"/>
              </w:rPr>
            </w:pPr>
            <w:r w:rsidRPr="00BB1E80">
              <w:rPr>
                <w:rFonts w:ascii="Arial Narrow" w:hAnsi="Arial Narrow" w:cs="Calibri"/>
              </w:rPr>
              <w:t xml:space="preserve">Prosthesis costs with LATERA, total </w:t>
            </w:r>
          </w:p>
        </w:tc>
        <w:tc>
          <w:tcPr>
            <w:tcW w:w="642" w:type="pct"/>
            <w:tcBorders>
              <w:top w:val="nil"/>
              <w:left w:val="nil"/>
              <w:bottom w:val="single" w:sz="8" w:space="0" w:color="auto"/>
              <w:right w:val="single" w:sz="8" w:space="0" w:color="auto"/>
            </w:tcBorders>
            <w:shd w:val="clear" w:color="auto" w:fill="auto"/>
            <w:vAlign w:val="center"/>
          </w:tcPr>
          <w:p w14:paraId="4BFE65BF" w14:textId="7B962615" w:rsidR="008D2658" w:rsidRPr="00BB1E80" w:rsidRDefault="008D2658" w:rsidP="00314F8A">
            <w:pPr>
              <w:pStyle w:val="TableText"/>
              <w:spacing w:before="0" w:after="0"/>
              <w:rPr>
                <w:sz w:val="18"/>
                <w:szCs w:val="18"/>
              </w:rPr>
            </w:pPr>
            <w:r w:rsidRPr="00BB1E80">
              <w:t>$</w:t>
            </w:r>
            <w:r w:rsidR="00AF4513" w:rsidRPr="00BB1E80">
              <w:rPr>
                <w:b/>
                <w:bCs/>
              </w:rPr>
              <w:t xml:space="preserve"> redacted</w:t>
            </w:r>
            <w:r w:rsidR="00AF4513" w:rsidRPr="00BB1E80" w:rsidDel="00AF4513">
              <w:t xml:space="preserve"> </w:t>
            </w:r>
          </w:p>
        </w:tc>
        <w:tc>
          <w:tcPr>
            <w:tcW w:w="630" w:type="pct"/>
            <w:tcBorders>
              <w:top w:val="nil"/>
              <w:left w:val="nil"/>
              <w:bottom w:val="single" w:sz="8" w:space="0" w:color="auto"/>
              <w:right w:val="single" w:sz="8" w:space="0" w:color="auto"/>
            </w:tcBorders>
            <w:shd w:val="clear" w:color="auto" w:fill="auto"/>
            <w:vAlign w:val="center"/>
          </w:tcPr>
          <w:p w14:paraId="7992225B" w14:textId="4A3FE6DE" w:rsidR="008D2658" w:rsidRPr="00BB1E80" w:rsidRDefault="008D2658" w:rsidP="00314F8A">
            <w:pPr>
              <w:pStyle w:val="TableText"/>
              <w:spacing w:before="0" w:after="0"/>
              <w:rPr>
                <w:sz w:val="18"/>
                <w:szCs w:val="18"/>
              </w:rPr>
            </w:pPr>
            <w:r w:rsidRPr="00BB1E80">
              <w:t>$</w:t>
            </w:r>
            <w:r w:rsidR="00AF4513"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763CF252" w14:textId="1088BA94" w:rsidR="008D2658" w:rsidRPr="00BB1E80" w:rsidRDefault="008D2658" w:rsidP="00314F8A">
            <w:pPr>
              <w:pStyle w:val="TableText"/>
              <w:spacing w:before="0" w:after="0"/>
              <w:rPr>
                <w:sz w:val="18"/>
                <w:szCs w:val="18"/>
              </w:rPr>
            </w:pPr>
            <w:r w:rsidRPr="00BB1E80">
              <w:t>$</w:t>
            </w:r>
            <w:r w:rsidR="00AF4513"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1B2917F9" w14:textId="686A70C4" w:rsidR="008D2658" w:rsidRPr="00BB1E80" w:rsidRDefault="008D2658" w:rsidP="00314F8A">
            <w:pPr>
              <w:pStyle w:val="TableText"/>
              <w:spacing w:before="0" w:after="0"/>
              <w:rPr>
                <w:sz w:val="18"/>
                <w:szCs w:val="18"/>
              </w:rPr>
            </w:pPr>
            <w:r w:rsidRPr="00BB1E80">
              <w:t>$</w:t>
            </w:r>
            <w:r w:rsidR="00AF4513" w:rsidRPr="00BB1E80">
              <w:rPr>
                <w:b/>
                <w:bCs/>
              </w:rPr>
              <w:t xml:space="preserve"> redacted</w:t>
            </w:r>
          </w:p>
        </w:tc>
        <w:tc>
          <w:tcPr>
            <w:tcW w:w="631" w:type="pct"/>
            <w:tcBorders>
              <w:top w:val="nil"/>
              <w:left w:val="nil"/>
              <w:bottom w:val="single" w:sz="8" w:space="0" w:color="auto"/>
              <w:right w:val="single" w:sz="8" w:space="0" w:color="auto"/>
            </w:tcBorders>
            <w:shd w:val="clear" w:color="auto" w:fill="auto"/>
            <w:vAlign w:val="center"/>
          </w:tcPr>
          <w:p w14:paraId="12895964" w14:textId="56750776" w:rsidR="008D2658" w:rsidRPr="00BB1E80" w:rsidRDefault="008D2658" w:rsidP="00314F8A">
            <w:pPr>
              <w:pStyle w:val="TableText"/>
              <w:spacing w:before="0" w:after="0"/>
              <w:rPr>
                <w:sz w:val="18"/>
                <w:szCs w:val="18"/>
              </w:rPr>
            </w:pPr>
            <w:r w:rsidRPr="00BB1E80">
              <w:t>$</w:t>
            </w:r>
            <w:r w:rsidR="00AF4513" w:rsidRPr="00BB1E80">
              <w:rPr>
                <w:b/>
                <w:bCs/>
              </w:rPr>
              <w:t xml:space="preserve"> redacted</w:t>
            </w:r>
          </w:p>
        </w:tc>
        <w:tc>
          <w:tcPr>
            <w:tcW w:w="1069" w:type="pct"/>
            <w:tcBorders>
              <w:top w:val="nil"/>
              <w:left w:val="nil"/>
              <w:bottom w:val="single" w:sz="8" w:space="0" w:color="auto"/>
              <w:right w:val="single" w:sz="8" w:space="0" w:color="auto"/>
            </w:tcBorders>
            <w:shd w:val="clear" w:color="auto" w:fill="auto"/>
            <w:vAlign w:val="center"/>
          </w:tcPr>
          <w:p w14:paraId="3A371211" w14:textId="62AC2829" w:rsidR="008D2658" w:rsidRPr="00BB1E80" w:rsidRDefault="008D2658" w:rsidP="00314F8A">
            <w:pPr>
              <w:pStyle w:val="TableText"/>
              <w:spacing w:before="0" w:after="0"/>
              <w:rPr>
                <w:sz w:val="18"/>
                <w:szCs w:val="18"/>
              </w:rPr>
            </w:pPr>
            <w:r w:rsidRPr="00BB1E80">
              <w:t>$</w:t>
            </w:r>
            <w:r w:rsidR="00AF4513" w:rsidRPr="00BB1E80">
              <w:rPr>
                <w:b/>
                <w:bCs/>
              </w:rPr>
              <w:t xml:space="preserve"> redacted</w:t>
            </w:r>
            <w:r w:rsidR="00AF4513" w:rsidRPr="00BB1E80" w:rsidDel="00AF4513">
              <w:t xml:space="preserve"> </w:t>
            </w:r>
          </w:p>
        </w:tc>
      </w:tr>
      <w:tr w:rsidR="009E299F" w:rsidRPr="00BB1E80" w14:paraId="5754C739"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3451DDDF" w14:textId="7442CE7D" w:rsidR="008D2658" w:rsidRPr="00BB1E80" w:rsidRDefault="008D2658" w:rsidP="00314F8A">
            <w:pPr>
              <w:spacing w:before="0" w:after="0"/>
              <w:rPr>
                <w:rFonts w:ascii="Arial Narrow" w:hAnsi="Arial Narrow" w:cs="Calibri"/>
              </w:rPr>
            </w:pPr>
            <w:r w:rsidRPr="00BB1E80">
              <w:rPr>
                <w:rFonts w:ascii="Arial Narrow" w:hAnsi="Arial Narrow" w:cs="Calibri"/>
              </w:rPr>
              <w:t xml:space="preserve">Changes in prosthesis </w:t>
            </w:r>
          </w:p>
        </w:tc>
        <w:tc>
          <w:tcPr>
            <w:tcW w:w="642" w:type="pct"/>
            <w:tcBorders>
              <w:top w:val="nil"/>
              <w:left w:val="nil"/>
              <w:bottom w:val="single" w:sz="8" w:space="0" w:color="auto"/>
              <w:right w:val="single" w:sz="8" w:space="0" w:color="auto"/>
            </w:tcBorders>
            <w:shd w:val="clear" w:color="auto" w:fill="auto"/>
            <w:vAlign w:val="center"/>
          </w:tcPr>
          <w:p w14:paraId="43B97114" w14:textId="018D9520" w:rsidR="008D2658" w:rsidRPr="00BB1E80" w:rsidRDefault="008D2658" w:rsidP="00314F8A">
            <w:pPr>
              <w:pStyle w:val="TableText"/>
              <w:spacing w:before="0" w:after="0"/>
              <w:rPr>
                <w:sz w:val="18"/>
                <w:szCs w:val="18"/>
              </w:rPr>
            </w:pPr>
            <w:r w:rsidRPr="00BB1E80">
              <w:t>$</w:t>
            </w:r>
            <w:r w:rsidR="0079441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3C33E787" w14:textId="2F9E9324" w:rsidR="008D2658" w:rsidRPr="00BB1E80" w:rsidRDefault="008D2658" w:rsidP="00314F8A">
            <w:pPr>
              <w:pStyle w:val="TableText"/>
              <w:spacing w:before="0" w:after="0"/>
              <w:rPr>
                <w:sz w:val="18"/>
                <w:szCs w:val="18"/>
              </w:rPr>
            </w:pPr>
            <w:r w:rsidRPr="00BB1E80">
              <w:t>$</w:t>
            </w:r>
            <w:r w:rsidR="0079441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2E460906" w14:textId="717F8D7D" w:rsidR="008D2658" w:rsidRPr="00BB1E80" w:rsidRDefault="008D2658" w:rsidP="00314F8A">
            <w:pPr>
              <w:pStyle w:val="TableText"/>
              <w:spacing w:before="0" w:after="0"/>
              <w:rPr>
                <w:sz w:val="18"/>
                <w:szCs w:val="18"/>
              </w:rPr>
            </w:pPr>
            <w:r w:rsidRPr="00BB1E80">
              <w:t>$</w:t>
            </w:r>
            <w:r w:rsidR="0079441E"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4FD502FF" w14:textId="4563EFB4" w:rsidR="008D2658" w:rsidRPr="00BB1E80" w:rsidRDefault="008D2658" w:rsidP="00314F8A">
            <w:pPr>
              <w:pStyle w:val="TableText"/>
              <w:spacing w:before="0" w:after="0"/>
              <w:rPr>
                <w:sz w:val="18"/>
                <w:szCs w:val="18"/>
              </w:rPr>
            </w:pPr>
            <w:r w:rsidRPr="00BB1E80">
              <w:t>$</w:t>
            </w:r>
            <w:r w:rsidR="0079441E" w:rsidRPr="00BB1E80">
              <w:rPr>
                <w:b/>
                <w:bCs/>
              </w:rPr>
              <w:t xml:space="preserve"> redacted</w:t>
            </w:r>
          </w:p>
        </w:tc>
        <w:tc>
          <w:tcPr>
            <w:tcW w:w="631" w:type="pct"/>
            <w:tcBorders>
              <w:top w:val="nil"/>
              <w:left w:val="nil"/>
              <w:bottom w:val="single" w:sz="8" w:space="0" w:color="auto"/>
              <w:right w:val="single" w:sz="8" w:space="0" w:color="auto"/>
            </w:tcBorders>
            <w:shd w:val="clear" w:color="auto" w:fill="auto"/>
            <w:vAlign w:val="center"/>
          </w:tcPr>
          <w:p w14:paraId="39E0C5FB" w14:textId="25EFB538" w:rsidR="008D2658" w:rsidRPr="00BB1E80" w:rsidRDefault="008D2658" w:rsidP="00314F8A">
            <w:pPr>
              <w:pStyle w:val="TableText"/>
              <w:spacing w:before="0" w:after="0"/>
              <w:rPr>
                <w:sz w:val="18"/>
                <w:szCs w:val="18"/>
              </w:rPr>
            </w:pPr>
            <w:r w:rsidRPr="00BB1E80">
              <w:t>$</w:t>
            </w:r>
            <w:r w:rsidR="0079441E" w:rsidRPr="00BB1E80">
              <w:rPr>
                <w:b/>
                <w:bCs/>
              </w:rPr>
              <w:t xml:space="preserve"> redacted</w:t>
            </w:r>
          </w:p>
        </w:tc>
        <w:tc>
          <w:tcPr>
            <w:tcW w:w="1069" w:type="pct"/>
            <w:tcBorders>
              <w:top w:val="nil"/>
              <w:left w:val="nil"/>
              <w:bottom w:val="single" w:sz="8" w:space="0" w:color="auto"/>
              <w:right w:val="single" w:sz="8" w:space="0" w:color="auto"/>
            </w:tcBorders>
            <w:shd w:val="clear" w:color="auto" w:fill="auto"/>
            <w:vAlign w:val="center"/>
          </w:tcPr>
          <w:p w14:paraId="7F1803C0" w14:textId="7807DD3D" w:rsidR="008D2658" w:rsidRPr="00BB1E80" w:rsidRDefault="008D2658" w:rsidP="00314F8A">
            <w:pPr>
              <w:pStyle w:val="TableText"/>
              <w:spacing w:before="0" w:after="0"/>
              <w:rPr>
                <w:sz w:val="18"/>
                <w:szCs w:val="18"/>
              </w:rPr>
            </w:pPr>
            <w:r w:rsidRPr="00BB1E80">
              <w:t>$</w:t>
            </w:r>
            <w:r w:rsidR="0079441E" w:rsidRPr="00BB1E80">
              <w:rPr>
                <w:b/>
                <w:bCs/>
              </w:rPr>
              <w:t xml:space="preserve"> redacted</w:t>
            </w:r>
          </w:p>
        </w:tc>
      </w:tr>
      <w:tr w:rsidR="009E299F" w:rsidRPr="00BB1E80" w14:paraId="33C6C794"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5D7CD0AD" w14:textId="6374995A" w:rsidR="008D2658" w:rsidRPr="00BB1E80" w:rsidRDefault="008D2658" w:rsidP="00314F8A">
            <w:pPr>
              <w:spacing w:before="0" w:after="0"/>
              <w:rPr>
                <w:rFonts w:ascii="Arial Narrow" w:hAnsi="Arial Narrow" w:cs="Calibri"/>
              </w:rPr>
            </w:pPr>
            <w:r w:rsidRPr="00BB1E80">
              <w:rPr>
                <w:rFonts w:ascii="Arial Narrow" w:hAnsi="Arial Narrow" w:cs="Calibri"/>
              </w:rPr>
              <w:t>Net financial implications, total</w:t>
            </w:r>
          </w:p>
        </w:tc>
        <w:tc>
          <w:tcPr>
            <w:tcW w:w="642" w:type="pct"/>
            <w:tcBorders>
              <w:top w:val="nil"/>
              <w:left w:val="nil"/>
              <w:bottom w:val="single" w:sz="8" w:space="0" w:color="auto"/>
              <w:right w:val="single" w:sz="8" w:space="0" w:color="auto"/>
            </w:tcBorders>
            <w:shd w:val="clear" w:color="auto" w:fill="auto"/>
            <w:vAlign w:val="center"/>
          </w:tcPr>
          <w:p w14:paraId="185E5D6F" w14:textId="60BF5A54" w:rsidR="008D2658" w:rsidRPr="00BB1E80" w:rsidRDefault="008D2658" w:rsidP="00314F8A">
            <w:pPr>
              <w:pStyle w:val="TableText"/>
              <w:spacing w:before="0" w:after="0"/>
              <w:rPr>
                <w:sz w:val="18"/>
                <w:szCs w:val="18"/>
              </w:rPr>
            </w:pPr>
            <w:r w:rsidRPr="00BB1E80">
              <w:t>$</w:t>
            </w:r>
            <w:r w:rsidR="00CC63FF" w:rsidRPr="00BB1E80">
              <w:rPr>
                <w:b/>
                <w:bCs/>
              </w:rPr>
              <w:t xml:space="preserve"> redacted</w:t>
            </w:r>
            <w:r w:rsidR="00CC63FF" w:rsidRPr="00BB1E80">
              <w:t xml:space="preserve"> </w:t>
            </w:r>
          </w:p>
        </w:tc>
        <w:tc>
          <w:tcPr>
            <w:tcW w:w="630" w:type="pct"/>
            <w:tcBorders>
              <w:top w:val="nil"/>
              <w:left w:val="nil"/>
              <w:bottom w:val="single" w:sz="8" w:space="0" w:color="auto"/>
              <w:right w:val="single" w:sz="8" w:space="0" w:color="auto"/>
            </w:tcBorders>
            <w:shd w:val="clear" w:color="auto" w:fill="auto"/>
            <w:vAlign w:val="center"/>
          </w:tcPr>
          <w:p w14:paraId="773323F8" w14:textId="27F93B62" w:rsidR="008D2658" w:rsidRPr="00BB1E80" w:rsidRDefault="008D2658" w:rsidP="00314F8A">
            <w:pPr>
              <w:pStyle w:val="TableText"/>
              <w:spacing w:before="0" w:after="0"/>
              <w:rPr>
                <w:sz w:val="18"/>
                <w:szCs w:val="18"/>
              </w:rPr>
            </w:pPr>
            <w:r w:rsidRPr="00BB1E80">
              <w:t>$</w:t>
            </w:r>
            <w:r w:rsidR="00CC63FF" w:rsidRPr="00BB1E80">
              <w:rPr>
                <w:b/>
                <w:bCs/>
              </w:rPr>
              <w:t xml:space="preserve"> redacted</w:t>
            </w:r>
            <w:r w:rsidR="00CC63FF" w:rsidRPr="00BB1E80">
              <w:t xml:space="preserve"> </w:t>
            </w:r>
          </w:p>
        </w:tc>
        <w:tc>
          <w:tcPr>
            <w:tcW w:w="630" w:type="pct"/>
            <w:tcBorders>
              <w:top w:val="nil"/>
              <w:left w:val="nil"/>
              <w:bottom w:val="single" w:sz="8" w:space="0" w:color="auto"/>
              <w:right w:val="single" w:sz="8" w:space="0" w:color="auto"/>
            </w:tcBorders>
            <w:shd w:val="clear" w:color="auto" w:fill="auto"/>
            <w:vAlign w:val="center"/>
          </w:tcPr>
          <w:p w14:paraId="7FF7C738" w14:textId="1F67E38A" w:rsidR="008D2658" w:rsidRPr="00BB1E80" w:rsidRDefault="008D2658" w:rsidP="00314F8A">
            <w:pPr>
              <w:pStyle w:val="TableText"/>
              <w:spacing w:before="0" w:after="0"/>
              <w:rPr>
                <w:sz w:val="18"/>
                <w:szCs w:val="18"/>
              </w:rPr>
            </w:pPr>
            <w:r w:rsidRPr="00BB1E80">
              <w:t>$</w:t>
            </w:r>
            <w:r w:rsidR="00CC63FF" w:rsidRPr="00BB1E80">
              <w:rPr>
                <w:b/>
                <w:bCs/>
              </w:rPr>
              <w:t xml:space="preserve"> redacted</w:t>
            </w:r>
            <w:r w:rsidR="00CC63FF" w:rsidRPr="00BB1E80">
              <w:t xml:space="preserve"> </w:t>
            </w:r>
          </w:p>
        </w:tc>
        <w:tc>
          <w:tcPr>
            <w:tcW w:w="630" w:type="pct"/>
            <w:tcBorders>
              <w:top w:val="nil"/>
              <w:left w:val="nil"/>
              <w:bottom w:val="single" w:sz="8" w:space="0" w:color="auto"/>
              <w:right w:val="single" w:sz="8" w:space="0" w:color="auto"/>
            </w:tcBorders>
            <w:shd w:val="clear" w:color="auto" w:fill="auto"/>
            <w:vAlign w:val="center"/>
          </w:tcPr>
          <w:p w14:paraId="5FA29F5C" w14:textId="6F90DCCD" w:rsidR="008D2658" w:rsidRPr="00BB1E80" w:rsidRDefault="008D2658" w:rsidP="00314F8A">
            <w:pPr>
              <w:pStyle w:val="TableText"/>
              <w:spacing w:before="0" w:after="0"/>
              <w:rPr>
                <w:sz w:val="18"/>
                <w:szCs w:val="18"/>
              </w:rPr>
            </w:pPr>
            <w:r w:rsidRPr="00BB1E80">
              <w:t>$</w:t>
            </w:r>
            <w:r w:rsidR="00CC63FF" w:rsidRPr="00BB1E80">
              <w:rPr>
                <w:b/>
                <w:bCs/>
              </w:rPr>
              <w:t xml:space="preserve"> redacted</w:t>
            </w:r>
            <w:r w:rsidR="00CC63FF" w:rsidRPr="00BB1E80">
              <w:t xml:space="preserve"> </w:t>
            </w:r>
          </w:p>
        </w:tc>
        <w:tc>
          <w:tcPr>
            <w:tcW w:w="631" w:type="pct"/>
            <w:tcBorders>
              <w:top w:val="nil"/>
              <w:left w:val="nil"/>
              <w:bottom w:val="single" w:sz="8" w:space="0" w:color="auto"/>
              <w:right w:val="single" w:sz="8" w:space="0" w:color="auto"/>
            </w:tcBorders>
            <w:shd w:val="clear" w:color="auto" w:fill="auto"/>
            <w:vAlign w:val="center"/>
          </w:tcPr>
          <w:p w14:paraId="7CC87B8A" w14:textId="2373A31B" w:rsidR="008D2658" w:rsidRPr="00BB1E80" w:rsidRDefault="008D2658" w:rsidP="00314F8A">
            <w:pPr>
              <w:pStyle w:val="TableText"/>
              <w:spacing w:before="0" w:after="0"/>
              <w:rPr>
                <w:sz w:val="18"/>
                <w:szCs w:val="18"/>
              </w:rPr>
            </w:pPr>
            <w:r w:rsidRPr="00BB1E80">
              <w:t>$</w:t>
            </w:r>
            <w:r w:rsidR="00CC63FF" w:rsidRPr="00BB1E80">
              <w:rPr>
                <w:b/>
                <w:bCs/>
              </w:rPr>
              <w:t xml:space="preserve"> redacted</w:t>
            </w:r>
            <w:r w:rsidR="00CC63FF" w:rsidRPr="00BB1E80">
              <w:t xml:space="preserve"> </w:t>
            </w:r>
          </w:p>
        </w:tc>
        <w:tc>
          <w:tcPr>
            <w:tcW w:w="1069" w:type="pct"/>
            <w:tcBorders>
              <w:top w:val="nil"/>
              <w:left w:val="nil"/>
              <w:bottom w:val="single" w:sz="8" w:space="0" w:color="auto"/>
              <w:right w:val="single" w:sz="8" w:space="0" w:color="auto"/>
            </w:tcBorders>
            <w:shd w:val="clear" w:color="auto" w:fill="auto"/>
            <w:vAlign w:val="center"/>
          </w:tcPr>
          <w:p w14:paraId="32384549" w14:textId="2644F563" w:rsidR="008D2658" w:rsidRPr="00BB1E80" w:rsidRDefault="008D2658" w:rsidP="00314F8A">
            <w:pPr>
              <w:pStyle w:val="TableText"/>
              <w:spacing w:before="0" w:after="0"/>
              <w:rPr>
                <w:sz w:val="18"/>
                <w:szCs w:val="18"/>
              </w:rPr>
            </w:pPr>
            <w:r w:rsidRPr="00BB1E80">
              <w:t>$</w:t>
            </w:r>
            <w:r w:rsidR="00CC63FF" w:rsidRPr="00BB1E80">
              <w:rPr>
                <w:b/>
                <w:bCs/>
              </w:rPr>
              <w:t xml:space="preserve"> redacted</w:t>
            </w:r>
            <w:r w:rsidR="00CC63FF" w:rsidRPr="00BB1E80">
              <w:t xml:space="preserve"> </w:t>
            </w:r>
          </w:p>
        </w:tc>
      </w:tr>
      <w:tr w:rsidR="00236DE2" w:rsidRPr="00800845" w14:paraId="2D3E8BA4" w14:textId="77777777" w:rsidTr="006F52CB">
        <w:trPr>
          <w:trHeight w:val="381"/>
        </w:trPr>
        <w:tc>
          <w:tcPr>
            <w:tcW w:w="5000" w:type="pct"/>
            <w:gridSpan w:val="7"/>
            <w:tcBorders>
              <w:top w:val="nil"/>
              <w:left w:val="single" w:sz="8" w:space="0" w:color="auto"/>
              <w:bottom w:val="single" w:sz="8" w:space="0" w:color="auto"/>
              <w:right w:val="single" w:sz="8" w:space="0" w:color="auto"/>
            </w:tcBorders>
            <w:shd w:val="clear" w:color="auto" w:fill="auto"/>
            <w:vAlign w:val="center"/>
          </w:tcPr>
          <w:p w14:paraId="7B98BAAD" w14:textId="2D60FBCC" w:rsidR="00236DE2" w:rsidRPr="0080599C" w:rsidRDefault="00236DE2" w:rsidP="00314F8A">
            <w:pPr>
              <w:spacing w:before="0" w:after="0"/>
              <w:rPr>
                <w:rFonts w:ascii="Arial Narrow" w:hAnsi="Arial Narrow" w:cs="Calibri"/>
                <w:b/>
                <w:bCs/>
              </w:rPr>
            </w:pPr>
            <w:r w:rsidRPr="0080599C">
              <w:rPr>
                <w:rFonts w:ascii="Arial Narrow" w:hAnsi="Arial Narrow" w:cs="Calibri"/>
                <w:b/>
                <w:bCs/>
              </w:rPr>
              <w:t>Total cost to Australian Healthcare</w:t>
            </w:r>
          </w:p>
        </w:tc>
      </w:tr>
      <w:tr w:rsidR="009E299F" w:rsidRPr="00BB1E80" w14:paraId="12577C99"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24171E8F" w14:textId="30D66B59" w:rsidR="00343511" w:rsidRPr="00BB1E80" w:rsidRDefault="00343511" w:rsidP="00314F8A">
            <w:pPr>
              <w:spacing w:before="0" w:after="0"/>
              <w:rPr>
                <w:rFonts w:ascii="Arial Narrow" w:hAnsi="Arial Narrow" w:cs="Calibri"/>
              </w:rPr>
            </w:pPr>
            <w:r w:rsidRPr="00BB1E80">
              <w:rPr>
                <w:rFonts w:ascii="Arial Narrow" w:hAnsi="Arial Narrow" w:cs="Calibri"/>
              </w:rPr>
              <w:lastRenderedPageBreak/>
              <w:t>LATERA costs, all resource items</w:t>
            </w:r>
          </w:p>
        </w:tc>
        <w:tc>
          <w:tcPr>
            <w:tcW w:w="642" w:type="pct"/>
            <w:tcBorders>
              <w:top w:val="nil"/>
              <w:left w:val="nil"/>
              <w:bottom w:val="single" w:sz="8" w:space="0" w:color="auto"/>
              <w:right w:val="single" w:sz="8" w:space="0" w:color="auto"/>
            </w:tcBorders>
            <w:shd w:val="clear" w:color="auto" w:fill="auto"/>
            <w:vAlign w:val="center"/>
          </w:tcPr>
          <w:p w14:paraId="25FC2BB1" w14:textId="3E86A1BE" w:rsidR="00343511" w:rsidRPr="00BB1E80" w:rsidRDefault="00343511" w:rsidP="00314F8A">
            <w:pPr>
              <w:pStyle w:val="TableText"/>
              <w:spacing w:before="0" w:after="0"/>
            </w:pPr>
            <w:r w:rsidRPr="00BB1E80">
              <w:t>$</w:t>
            </w:r>
            <w:r w:rsidR="00AF4513"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5624F3AD" w14:textId="4DF7DA80" w:rsidR="00343511" w:rsidRPr="00BB1E80" w:rsidRDefault="00343511" w:rsidP="00314F8A">
            <w:pPr>
              <w:pStyle w:val="TableText"/>
              <w:spacing w:before="0" w:after="0"/>
            </w:pPr>
            <w:r w:rsidRPr="00BB1E80">
              <w:t>$</w:t>
            </w:r>
            <w:r w:rsidR="00AF4513"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62A50D89" w14:textId="38865098" w:rsidR="00343511" w:rsidRPr="00BB1E80" w:rsidRDefault="00343511" w:rsidP="00314F8A">
            <w:pPr>
              <w:pStyle w:val="TableText"/>
              <w:spacing w:before="0" w:after="0"/>
            </w:pPr>
            <w:r w:rsidRPr="00BB1E80">
              <w:t>$</w:t>
            </w:r>
            <w:r w:rsidR="00AF4513"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71052ADE" w14:textId="13CEA6DF" w:rsidR="00343511" w:rsidRPr="00BB1E80" w:rsidRDefault="00343511" w:rsidP="00314F8A">
            <w:pPr>
              <w:pStyle w:val="TableText"/>
              <w:spacing w:before="0" w:after="0"/>
            </w:pPr>
            <w:r w:rsidRPr="00BB1E80">
              <w:t>$</w:t>
            </w:r>
            <w:r w:rsidR="00AF4513" w:rsidRPr="00BB1E80">
              <w:rPr>
                <w:b/>
                <w:bCs/>
              </w:rPr>
              <w:t xml:space="preserve"> redacted</w:t>
            </w:r>
          </w:p>
        </w:tc>
        <w:tc>
          <w:tcPr>
            <w:tcW w:w="631" w:type="pct"/>
            <w:tcBorders>
              <w:top w:val="nil"/>
              <w:left w:val="nil"/>
              <w:bottom w:val="single" w:sz="8" w:space="0" w:color="auto"/>
              <w:right w:val="single" w:sz="8" w:space="0" w:color="auto"/>
            </w:tcBorders>
            <w:shd w:val="clear" w:color="auto" w:fill="auto"/>
            <w:vAlign w:val="center"/>
          </w:tcPr>
          <w:p w14:paraId="6E4A6847" w14:textId="79E46FB5" w:rsidR="00343511" w:rsidRPr="00BB1E80" w:rsidRDefault="00343511" w:rsidP="00314F8A">
            <w:pPr>
              <w:pStyle w:val="TableText"/>
              <w:spacing w:before="0" w:after="0"/>
            </w:pPr>
            <w:r w:rsidRPr="00BB1E80">
              <w:t>$</w:t>
            </w:r>
            <w:r w:rsidR="00AF4513" w:rsidRPr="00BB1E80">
              <w:rPr>
                <w:b/>
                <w:bCs/>
              </w:rPr>
              <w:t xml:space="preserve"> redacted</w:t>
            </w:r>
          </w:p>
        </w:tc>
        <w:tc>
          <w:tcPr>
            <w:tcW w:w="1069" w:type="pct"/>
            <w:tcBorders>
              <w:top w:val="nil"/>
              <w:left w:val="nil"/>
              <w:bottom w:val="single" w:sz="8" w:space="0" w:color="auto"/>
              <w:right w:val="single" w:sz="8" w:space="0" w:color="auto"/>
            </w:tcBorders>
            <w:shd w:val="clear" w:color="auto" w:fill="auto"/>
            <w:vAlign w:val="center"/>
          </w:tcPr>
          <w:p w14:paraId="378F5FB5" w14:textId="4B9E6385" w:rsidR="00343511" w:rsidRPr="00BB1E80" w:rsidRDefault="00343511" w:rsidP="00314F8A">
            <w:pPr>
              <w:pStyle w:val="TableText"/>
              <w:spacing w:before="0" w:after="0"/>
            </w:pPr>
            <w:r w:rsidRPr="00BB1E80">
              <w:t>$</w:t>
            </w:r>
            <w:r w:rsidR="00AF4513" w:rsidRPr="00BB1E80">
              <w:rPr>
                <w:b/>
                <w:bCs/>
              </w:rPr>
              <w:t xml:space="preserve"> redacted</w:t>
            </w:r>
          </w:p>
        </w:tc>
      </w:tr>
      <w:tr w:rsidR="009E299F" w:rsidRPr="00BB1E80" w14:paraId="486BE454"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5D9533CC" w14:textId="25E1853E" w:rsidR="00343511" w:rsidRPr="00BB1E80" w:rsidRDefault="00343511" w:rsidP="00314F8A">
            <w:pPr>
              <w:spacing w:before="0" w:after="0"/>
              <w:rPr>
                <w:rFonts w:ascii="Arial Narrow" w:hAnsi="Arial Narrow" w:cs="Calibri"/>
              </w:rPr>
            </w:pPr>
            <w:r w:rsidRPr="00BB1E80">
              <w:rPr>
                <w:rFonts w:ascii="Arial Narrow" w:hAnsi="Arial Narrow" w:cs="Calibri"/>
              </w:rPr>
              <w:t>Changes in overall healthcare costs, all resource items</w:t>
            </w:r>
          </w:p>
        </w:tc>
        <w:tc>
          <w:tcPr>
            <w:tcW w:w="642" w:type="pct"/>
            <w:tcBorders>
              <w:top w:val="nil"/>
              <w:left w:val="nil"/>
              <w:bottom w:val="single" w:sz="8" w:space="0" w:color="auto"/>
              <w:right w:val="single" w:sz="8" w:space="0" w:color="auto"/>
            </w:tcBorders>
            <w:shd w:val="clear" w:color="auto" w:fill="auto"/>
            <w:vAlign w:val="center"/>
          </w:tcPr>
          <w:p w14:paraId="3FF10B60" w14:textId="165CCD65" w:rsidR="00343511" w:rsidRPr="00BB1E80" w:rsidRDefault="00343511" w:rsidP="00314F8A">
            <w:pPr>
              <w:pStyle w:val="TableText"/>
              <w:spacing w:before="0" w:after="0"/>
            </w:pPr>
            <w:r w:rsidRPr="00BB1E80">
              <w:t>-$</w:t>
            </w:r>
            <w:r w:rsidR="00AF4513" w:rsidRPr="00BB1E80">
              <w:rPr>
                <w:b/>
                <w:bCs/>
              </w:rPr>
              <w:t xml:space="preserve"> redacted</w:t>
            </w:r>
            <w:r w:rsidR="00AF4513" w:rsidRPr="00BB1E80" w:rsidDel="00AF4513">
              <w:t xml:space="preserve"> </w:t>
            </w:r>
          </w:p>
        </w:tc>
        <w:tc>
          <w:tcPr>
            <w:tcW w:w="630" w:type="pct"/>
            <w:tcBorders>
              <w:top w:val="nil"/>
              <w:left w:val="nil"/>
              <w:bottom w:val="single" w:sz="8" w:space="0" w:color="auto"/>
              <w:right w:val="single" w:sz="8" w:space="0" w:color="auto"/>
            </w:tcBorders>
            <w:shd w:val="clear" w:color="auto" w:fill="auto"/>
            <w:vAlign w:val="center"/>
          </w:tcPr>
          <w:p w14:paraId="1D4E3BCB" w14:textId="01405AA3" w:rsidR="00343511" w:rsidRPr="00BB1E80" w:rsidRDefault="00343511" w:rsidP="00314F8A">
            <w:pPr>
              <w:pStyle w:val="TableText"/>
              <w:spacing w:before="0" w:after="0"/>
            </w:pPr>
            <w:r w:rsidRPr="00BB1E80">
              <w:t>-$</w:t>
            </w:r>
            <w:r w:rsidR="00AF4513"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5D588D06" w14:textId="1CE1C282" w:rsidR="00343511" w:rsidRPr="00BB1E80" w:rsidRDefault="00343511" w:rsidP="00314F8A">
            <w:pPr>
              <w:pStyle w:val="TableText"/>
              <w:spacing w:before="0" w:after="0"/>
            </w:pPr>
            <w:r w:rsidRPr="00BB1E80">
              <w:t>-$</w:t>
            </w:r>
            <w:r w:rsidR="00AF4513" w:rsidRPr="00BB1E80">
              <w:rPr>
                <w:b/>
                <w:bCs/>
              </w:rPr>
              <w:t xml:space="preserve"> redacted</w:t>
            </w:r>
          </w:p>
        </w:tc>
        <w:tc>
          <w:tcPr>
            <w:tcW w:w="630" w:type="pct"/>
            <w:tcBorders>
              <w:top w:val="nil"/>
              <w:left w:val="nil"/>
              <w:bottom w:val="single" w:sz="8" w:space="0" w:color="auto"/>
              <w:right w:val="single" w:sz="8" w:space="0" w:color="auto"/>
            </w:tcBorders>
            <w:shd w:val="clear" w:color="auto" w:fill="auto"/>
            <w:vAlign w:val="center"/>
          </w:tcPr>
          <w:p w14:paraId="2926F473" w14:textId="1BEFBDE9" w:rsidR="00343511" w:rsidRPr="00BB1E80" w:rsidRDefault="00343511" w:rsidP="00314F8A">
            <w:pPr>
              <w:pStyle w:val="TableText"/>
              <w:spacing w:before="0" w:after="0"/>
            </w:pPr>
            <w:r w:rsidRPr="00BB1E80">
              <w:t>-$</w:t>
            </w:r>
            <w:r w:rsidR="00AF4513" w:rsidRPr="00BB1E80">
              <w:rPr>
                <w:b/>
                <w:bCs/>
              </w:rPr>
              <w:t xml:space="preserve"> redacted</w:t>
            </w:r>
          </w:p>
        </w:tc>
        <w:tc>
          <w:tcPr>
            <w:tcW w:w="631" w:type="pct"/>
            <w:tcBorders>
              <w:top w:val="nil"/>
              <w:left w:val="nil"/>
              <w:bottom w:val="single" w:sz="8" w:space="0" w:color="auto"/>
              <w:right w:val="single" w:sz="8" w:space="0" w:color="auto"/>
            </w:tcBorders>
            <w:shd w:val="clear" w:color="auto" w:fill="auto"/>
            <w:vAlign w:val="center"/>
          </w:tcPr>
          <w:p w14:paraId="567CAE60" w14:textId="575559F7" w:rsidR="00343511" w:rsidRPr="00BB1E80" w:rsidRDefault="00343511" w:rsidP="00314F8A">
            <w:pPr>
              <w:pStyle w:val="TableText"/>
              <w:spacing w:before="0" w:after="0"/>
            </w:pPr>
            <w:r w:rsidRPr="00BB1E80">
              <w:t>-$</w:t>
            </w:r>
            <w:r w:rsidR="00AF4513" w:rsidRPr="00BB1E80">
              <w:rPr>
                <w:b/>
                <w:bCs/>
              </w:rPr>
              <w:t xml:space="preserve"> redacted</w:t>
            </w:r>
          </w:p>
        </w:tc>
        <w:tc>
          <w:tcPr>
            <w:tcW w:w="1069" w:type="pct"/>
            <w:tcBorders>
              <w:top w:val="nil"/>
              <w:left w:val="nil"/>
              <w:bottom w:val="single" w:sz="8" w:space="0" w:color="auto"/>
              <w:right w:val="single" w:sz="8" w:space="0" w:color="auto"/>
            </w:tcBorders>
            <w:shd w:val="clear" w:color="auto" w:fill="auto"/>
            <w:vAlign w:val="center"/>
          </w:tcPr>
          <w:p w14:paraId="083A8779" w14:textId="0069316A" w:rsidR="00343511" w:rsidRPr="00BB1E80" w:rsidRDefault="00343511" w:rsidP="00314F8A">
            <w:pPr>
              <w:pStyle w:val="TableText"/>
              <w:spacing w:before="0" w:after="0"/>
            </w:pPr>
            <w:r w:rsidRPr="00BB1E80">
              <w:t>-$</w:t>
            </w:r>
            <w:r w:rsidR="00AF4513" w:rsidRPr="00BB1E80">
              <w:rPr>
                <w:b/>
                <w:bCs/>
              </w:rPr>
              <w:t xml:space="preserve"> redacted</w:t>
            </w:r>
          </w:p>
        </w:tc>
      </w:tr>
      <w:tr w:rsidR="009E299F" w:rsidRPr="00BB1E80" w14:paraId="0D1FAA62" w14:textId="77777777" w:rsidTr="009E299F">
        <w:trPr>
          <w:trHeight w:val="270"/>
        </w:trPr>
        <w:tc>
          <w:tcPr>
            <w:tcW w:w="768" w:type="pct"/>
            <w:tcBorders>
              <w:top w:val="nil"/>
              <w:left w:val="single" w:sz="8" w:space="0" w:color="auto"/>
              <w:bottom w:val="single" w:sz="8" w:space="0" w:color="auto"/>
              <w:right w:val="single" w:sz="8" w:space="0" w:color="auto"/>
            </w:tcBorders>
            <w:shd w:val="clear" w:color="auto" w:fill="auto"/>
            <w:vAlign w:val="center"/>
          </w:tcPr>
          <w:p w14:paraId="32224272" w14:textId="5A9BFF80" w:rsidR="00343511" w:rsidRPr="00BB1E80" w:rsidRDefault="00343511" w:rsidP="00314F8A">
            <w:pPr>
              <w:spacing w:before="0" w:after="0"/>
              <w:rPr>
                <w:rFonts w:ascii="Arial Narrow" w:hAnsi="Arial Narrow" w:cs="Calibri"/>
              </w:rPr>
            </w:pPr>
            <w:r w:rsidRPr="00BB1E80">
              <w:rPr>
                <w:rFonts w:ascii="Arial Narrow" w:hAnsi="Arial Narrow" w:cs="Calibri"/>
              </w:rPr>
              <w:t>Net financial implications</w:t>
            </w:r>
          </w:p>
        </w:tc>
        <w:tc>
          <w:tcPr>
            <w:tcW w:w="642" w:type="pct"/>
            <w:tcBorders>
              <w:top w:val="nil"/>
              <w:left w:val="nil"/>
              <w:bottom w:val="single" w:sz="8" w:space="0" w:color="auto"/>
              <w:right w:val="single" w:sz="8" w:space="0" w:color="auto"/>
            </w:tcBorders>
            <w:shd w:val="clear" w:color="auto" w:fill="auto"/>
            <w:vAlign w:val="center"/>
          </w:tcPr>
          <w:p w14:paraId="675BCF67" w14:textId="6C0F5B15" w:rsidR="00343511" w:rsidRPr="00BB1E80" w:rsidRDefault="00343511" w:rsidP="00314F8A">
            <w:pPr>
              <w:pStyle w:val="TableText"/>
              <w:spacing w:before="0" w:after="0"/>
            </w:pPr>
            <w:r w:rsidRPr="00BB1E80">
              <w:t>-$298,079</w:t>
            </w:r>
          </w:p>
        </w:tc>
        <w:tc>
          <w:tcPr>
            <w:tcW w:w="630" w:type="pct"/>
            <w:tcBorders>
              <w:top w:val="nil"/>
              <w:left w:val="nil"/>
              <w:bottom w:val="single" w:sz="8" w:space="0" w:color="auto"/>
              <w:right w:val="single" w:sz="8" w:space="0" w:color="auto"/>
            </w:tcBorders>
            <w:shd w:val="clear" w:color="auto" w:fill="auto"/>
            <w:vAlign w:val="center"/>
          </w:tcPr>
          <w:p w14:paraId="483080E7" w14:textId="6416F721" w:rsidR="00343511" w:rsidRPr="00BB1E80" w:rsidRDefault="00343511" w:rsidP="00314F8A">
            <w:pPr>
              <w:pStyle w:val="TableText"/>
              <w:spacing w:before="0" w:after="0"/>
            </w:pPr>
            <w:r w:rsidRPr="00BB1E80">
              <w:t>-$548,679</w:t>
            </w:r>
          </w:p>
        </w:tc>
        <w:tc>
          <w:tcPr>
            <w:tcW w:w="630" w:type="pct"/>
            <w:tcBorders>
              <w:top w:val="nil"/>
              <w:left w:val="nil"/>
              <w:bottom w:val="single" w:sz="8" w:space="0" w:color="auto"/>
              <w:right w:val="single" w:sz="8" w:space="0" w:color="auto"/>
            </w:tcBorders>
            <w:shd w:val="clear" w:color="auto" w:fill="auto"/>
            <w:vAlign w:val="center"/>
          </w:tcPr>
          <w:p w14:paraId="07CDF9A2" w14:textId="68FFDAFC" w:rsidR="00343511" w:rsidRPr="00BB1E80" w:rsidRDefault="00343511" w:rsidP="00314F8A">
            <w:pPr>
              <w:pStyle w:val="TableText"/>
              <w:spacing w:before="0" w:after="0"/>
            </w:pPr>
            <w:r w:rsidRPr="00BB1E80">
              <w:t>-$780,716</w:t>
            </w:r>
          </w:p>
        </w:tc>
        <w:tc>
          <w:tcPr>
            <w:tcW w:w="630" w:type="pct"/>
            <w:tcBorders>
              <w:top w:val="nil"/>
              <w:left w:val="nil"/>
              <w:bottom w:val="single" w:sz="8" w:space="0" w:color="auto"/>
              <w:right w:val="single" w:sz="8" w:space="0" w:color="auto"/>
            </w:tcBorders>
            <w:shd w:val="clear" w:color="auto" w:fill="auto"/>
            <w:vAlign w:val="center"/>
          </w:tcPr>
          <w:p w14:paraId="03EE7BEB" w14:textId="7FFBFCF2" w:rsidR="00343511" w:rsidRPr="00BB1E80" w:rsidRDefault="00343511" w:rsidP="00314F8A">
            <w:pPr>
              <w:pStyle w:val="TableText"/>
              <w:spacing w:before="0" w:after="0"/>
            </w:pPr>
            <w:r w:rsidRPr="00BB1E80">
              <w:t>-$933,518</w:t>
            </w:r>
          </w:p>
        </w:tc>
        <w:tc>
          <w:tcPr>
            <w:tcW w:w="631" w:type="pct"/>
            <w:tcBorders>
              <w:top w:val="nil"/>
              <w:left w:val="nil"/>
              <w:bottom w:val="single" w:sz="8" w:space="0" w:color="auto"/>
              <w:right w:val="single" w:sz="8" w:space="0" w:color="auto"/>
            </w:tcBorders>
            <w:shd w:val="clear" w:color="auto" w:fill="auto"/>
            <w:vAlign w:val="center"/>
          </w:tcPr>
          <w:p w14:paraId="6F14A575" w14:textId="54811167" w:rsidR="00343511" w:rsidRPr="00BB1E80" w:rsidRDefault="00343511" w:rsidP="00314F8A">
            <w:pPr>
              <w:pStyle w:val="TableText"/>
              <w:spacing w:before="0" w:after="0"/>
            </w:pPr>
            <w:r w:rsidRPr="00BB1E80">
              <w:t>-$1,054,452</w:t>
            </w:r>
          </w:p>
        </w:tc>
        <w:tc>
          <w:tcPr>
            <w:tcW w:w="1069" w:type="pct"/>
            <w:tcBorders>
              <w:top w:val="nil"/>
              <w:left w:val="nil"/>
              <w:bottom w:val="single" w:sz="8" w:space="0" w:color="auto"/>
              <w:right w:val="single" w:sz="8" w:space="0" w:color="auto"/>
            </w:tcBorders>
            <w:shd w:val="clear" w:color="auto" w:fill="auto"/>
            <w:vAlign w:val="center"/>
          </w:tcPr>
          <w:p w14:paraId="061C7776" w14:textId="7A4A3145" w:rsidR="00343511" w:rsidRPr="00BB1E80" w:rsidRDefault="00343511" w:rsidP="00314F8A">
            <w:pPr>
              <w:pStyle w:val="TableText"/>
              <w:spacing w:before="0" w:after="0"/>
            </w:pPr>
            <w:r w:rsidRPr="00BB1E80">
              <w:t>-$1,185,386</w:t>
            </w:r>
          </w:p>
        </w:tc>
      </w:tr>
    </w:tbl>
    <w:p w14:paraId="79449D2C" w14:textId="3CED48C1" w:rsidR="004834FC" w:rsidRDefault="004834FC" w:rsidP="00AE4565">
      <w:pPr>
        <w:pStyle w:val="TableNote"/>
      </w:pPr>
      <w:r>
        <w:t xml:space="preserve">Source: </w:t>
      </w:r>
      <w:r w:rsidR="009E3F20">
        <w:t xml:space="preserve">Compiled from Table 83, </w:t>
      </w:r>
      <w:r w:rsidR="00253B13">
        <w:t>86,</w:t>
      </w:r>
      <w:r w:rsidR="003F3FC4">
        <w:t xml:space="preserve"> 88</w:t>
      </w:r>
      <w:r w:rsidR="00FC0332">
        <w:t xml:space="preserve">, 89, </w:t>
      </w:r>
      <w:r w:rsidR="004C5DD7">
        <w:t>90</w:t>
      </w:r>
      <w:r w:rsidR="00C10A60">
        <w:t xml:space="preserve"> and 91 applying the 75% MBS rebate</w:t>
      </w:r>
    </w:p>
    <w:p w14:paraId="584EA768" w14:textId="77777777" w:rsidR="004834FC" w:rsidRDefault="004834FC" w:rsidP="004834FC">
      <w:pPr>
        <w:pStyle w:val="TableNote"/>
      </w:pPr>
      <w:r w:rsidRPr="001A6485">
        <w:t>Abbreviations: LWI</w:t>
      </w:r>
      <w:r>
        <w:t>=</w:t>
      </w:r>
      <w:r w:rsidRPr="001A6485">
        <w:t xml:space="preserve"> lateral wall insufficiency; MBS</w:t>
      </w:r>
      <w:r>
        <w:t>=</w:t>
      </w:r>
      <w:r w:rsidRPr="001A6485">
        <w:t xml:space="preserve"> Medicare Benefits Schedule</w:t>
      </w:r>
    </w:p>
    <w:p w14:paraId="5C791586" w14:textId="6D0C1FD4" w:rsidR="004834FC" w:rsidRDefault="004834FC" w:rsidP="004834FC">
      <w:pPr>
        <w:pStyle w:val="TableNote"/>
      </w:pPr>
      <w:r w:rsidRPr="006B5F57">
        <w:t xml:space="preserve">^ </w:t>
      </w:r>
      <w:r>
        <w:t>ADAR</w:t>
      </w:r>
      <w:r w:rsidRPr="006B5F57">
        <w:t xml:space="preserve"> % </w:t>
      </w:r>
      <w:r w:rsidR="00D74A79">
        <w:t xml:space="preserve">of unilateral and bilateral procedures </w:t>
      </w:r>
      <w:r w:rsidRPr="006B5F57">
        <w:t>based on Clark (2018)</w:t>
      </w:r>
    </w:p>
    <w:p w14:paraId="4E385E6F" w14:textId="4C26D26D" w:rsidR="004834FC" w:rsidRDefault="009E26D2" w:rsidP="00327561">
      <w:pPr>
        <w:pStyle w:val="TableNote"/>
        <w:spacing w:after="240"/>
      </w:pPr>
      <w:r>
        <w:t>a</w:t>
      </w:r>
      <w:r w:rsidR="004834FC">
        <w:t xml:space="preserve"> Commentary note that 99-100% of LATERA patients had bilateral implants therefore the percentage could be 100% bilateral</w:t>
      </w:r>
    </w:p>
    <w:p w14:paraId="5E5804F6" w14:textId="458C029F" w:rsidR="004D0114" w:rsidRPr="004F0E54" w:rsidRDefault="004D0114" w:rsidP="00E32648">
      <w:r w:rsidRPr="004F0E54">
        <w:t xml:space="preserve">The </w:t>
      </w:r>
      <w:r w:rsidR="007041D2">
        <w:t>c</w:t>
      </w:r>
      <w:r w:rsidR="00E45137">
        <w:t xml:space="preserve">ommentary </w:t>
      </w:r>
      <w:r w:rsidR="00804432">
        <w:t xml:space="preserve">considered </w:t>
      </w:r>
      <w:r w:rsidR="00E45137">
        <w:t xml:space="preserve">the </w:t>
      </w:r>
      <w:r w:rsidRPr="004F0E54">
        <w:t xml:space="preserve">estimates provided in the </w:t>
      </w:r>
      <w:r>
        <w:t xml:space="preserve">ADAR </w:t>
      </w:r>
      <w:r w:rsidR="00804432">
        <w:t xml:space="preserve">to be uncertain and </w:t>
      </w:r>
      <w:r w:rsidRPr="004F0E54">
        <w:t>likely to be underestimated as:</w:t>
      </w:r>
    </w:p>
    <w:p w14:paraId="71C33B03" w14:textId="2F217704" w:rsidR="004D0114" w:rsidRPr="004F0E54" w:rsidRDefault="004D0114" w:rsidP="00E32648">
      <w:pPr>
        <w:pStyle w:val="ListParagraph"/>
        <w:numPr>
          <w:ilvl w:val="0"/>
          <w:numId w:val="17"/>
        </w:numPr>
      </w:pPr>
      <w:r w:rsidRPr="004F0E54">
        <w:t xml:space="preserve">The estimates do not </w:t>
      </w:r>
      <w:r w:rsidR="00CE7DF5">
        <w:t>include</w:t>
      </w:r>
      <w:r w:rsidR="000D0D2F">
        <w:t xml:space="preserve"> any revision or subsequent rh</w:t>
      </w:r>
      <w:r w:rsidR="00CE7DF5">
        <w:t>inoplasty procedures following LATERA procedure</w:t>
      </w:r>
      <w:r w:rsidRPr="004F0E54">
        <w:t xml:space="preserve">. </w:t>
      </w:r>
      <w:r w:rsidR="00CE7DF5">
        <w:t xml:space="preserve">In the LATERA studies, up to 20% of patients did not respond to LATERA (these patients may end up seeking </w:t>
      </w:r>
      <w:r w:rsidR="000B509E">
        <w:t xml:space="preserve">further intervention) and ~9% of patients experienced </w:t>
      </w:r>
      <w:r w:rsidR="0099367D" w:rsidRPr="0099367D">
        <w:t>migration/extrusion/retrieval</w:t>
      </w:r>
      <w:r w:rsidR="0099367D" w:rsidRPr="0099367D" w:rsidDel="00E45137">
        <w:t xml:space="preserve"> </w:t>
      </w:r>
      <w:r w:rsidR="0099367D">
        <w:t>adverse events which could lead to reintervention/revision.</w:t>
      </w:r>
    </w:p>
    <w:p w14:paraId="69BBE6A3" w14:textId="4F88BF67" w:rsidR="004D0114" w:rsidRPr="004F0E54" w:rsidRDefault="004D0114" w:rsidP="00E32648">
      <w:pPr>
        <w:pStyle w:val="ListParagraph"/>
        <w:numPr>
          <w:ilvl w:val="0"/>
          <w:numId w:val="17"/>
        </w:numPr>
      </w:pPr>
      <w:r w:rsidRPr="004F0E54">
        <w:t xml:space="preserve">The </w:t>
      </w:r>
      <w:r>
        <w:t xml:space="preserve">uptake of LATERA </w:t>
      </w:r>
      <w:r w:rsidRPr="004F0E54">
        <w:t xml:space="preserve">is </w:t>
      </w:r>
      <w:r>
        <w:t xml:space="preserve">potentially </w:t>
      </w:r>
      <w:r w:rsidRPr="004F0E54">
        <w:t xml:space="preserve">underestimated. The ADAR reports the proportion of rhinoplasty surgery in patients with LWI as 72% although only accounts for an uptake of </w:t>
      </w:r>
      <w:r w:rsidR="006E3BA8" w:rsidRPr="00BB1E80">
        <w:rPr>
          <w:b/>
          <w:bCs/>
        </w:rPr>
        <w:t>redacted</w:t>
      </w:r>
      <w:r w:rsidRPr="004F0E54">
        <w:t xml:space="preserve"> increasing to </w:t>
      </w:r>
      <w:r w:rsidR="006E3BA8" w:rsidRPr="00BB1E80">
        <w:rPr>
          <w:b/>
          <w:bCs/>
        </w:rPr>
        <w:t>redacted</w:t>
      </w:r>
      <w:r w:rsidRPr="004F0E54">
        <w:t xml:space="preserve">% in Year 6. The ADAR uptake is based on LATERA being a less invasive alternative affected by doctor awareness/familiarity and patient acceptance. This approach may not be reasonable. No other market uptakes were provided as a proxy, such as uptake rates of LATERA in USA, Medtronic ALAR nasal valve stent or uptake rates of other uptake rates of implantable novel technologies.  </w:t>
      </w:r>
    </w:p>
    <w:p w14:paraId="688BE17D" w14:textId="77777777" w:rsidR="004D0114" w:rsidRPr="004F0E54" w:rsidRDefault="004D0114" w:rsidP="00E32648">
      <w:pPr>
        <w:pStyle w:val="ListParagraph"/>
        <w:numPr>
          <w:ilvl w:val="0"/>
          <w:numId w:val="17"/>
        </w:numPr>
      </w:pPr>
      <w:r w:rsidRPr="004F0E54">
        <w:t>The estimates do not consider the potential for use beyond the evidence (i.e., in those with moderate NAO due to LWI, those electing for cosmetic device insertion over invasive rhinoplasty) although these would be captured in the 72% suggested by Clarke 2018. Importantly the MBS does not fund cosmetic procedures. Previous reviews of rhinoplasty have led to the refinement of item descriptors to clarify the clinical circumstances where MBS payments may be appropriate.</w:t>
      </w:r>
      <w:r w:rsidRPr="004F0E54">
        <w:rPr>
          <w:rStyle w:val="FootnoteReference"/>
        </w:rPr>
        <w:footnoteReference w:id="22"/>
      </w:r>
    </w:p>
    <w:p w14:paraId="571CC752" w14:textId="7AABB26A" w:rsidR="009E27DE" w:rsidRDefault="004D0114" w:rsidP="00E32648">
      <w:pPr>
        <w:pStyle w:val="ListParagraph"/>
        <w:numPr>
          <w:ilvl w:val="0"/>
          <w:numId w:val="17"/>
        </w:numPr>
      </w:pPr>
      <w:r w:rsidRPr="004F0E54">
        <w:t>The estimates do not specifically consider NOSE score severity, Clarke 2018 found that 64% of the patients had severe/extreme NOSE scores (≥55), representing the most likely nasal obstruction candidates for intervention</w:t>
      </w:r>
      <w:r w:rsidR="006621A7">
        <w:t>.</w:t>
      </w:r>
    </w:p>
    <w:p w14:paraId="07360C24" w14:textId="23ED810B" w:rsidR="00314F8A" w:rsidRPr="00314F8A" w:rsidRDefault="006621A7" w:rsidP="00314F8A">
      <w:pPr>
        <w:pStyle w:val="ListParagraph"/>
        <w:numPr>
          <w:ilvl w:val="0"/>
          <w:numId w:val="17"/>
        </w:numPr>
        <w:spacing w:after="120"/>
        <w:rPr>
          <w:rFonts w:cstheme="minorHAnsi"/>
          <w:iCs/>
          <w:szCs w:val="24"/>
        </w:rPr>
      </w:pPr>
      <w:r w:rsidRPr="006621A7">
        <w:rPr>
          <w:rFonts w:cstheme="minorHAnsi"/>
          <w:iCs/>
          <w:szCs w:val="24"/>
        </w:rPr>
        <w:t>Bilateral LATERA implantation was conducted more frequently in the LATERA trials (87-99%) then estimated in Section 4 (84%) based on Clark 2018. Underestimated bilateral implantation increases the impact to the MBS.</w:t>
      </w:r>
      <w:bookmarkStart w:id="58" w:name="_Ref128147027"/>
      <w:r w:rsidR="00314F8A">
        <w:br w:type="page"/>
      </w:r>
    </w:p>
    <w:p w14:paraId="1BE14FA1" w14:textId="2A4A80A5" w:rsidR="007B23F3" w:rsidRDefault="007B23F3" w:rsidP="007B23F3">
      <w:pPr>
        <w:pStyle w:val="Caption"/>
      </w:pPr>
      <w:r w:rsidRPr="00CE28E3">
        <w:lastRenderedPageBreak/>
        <w:t>Table</w:t>
      </w:r>
      <w:r>
        <w:t xml:space="preserve"> </w:t>
      </w:r>
      <w:r>
        <w:fldChar w:fldCharType="begin"/>
      </w:r>
      <w:r>
        <w:instrText>SEQ Table \* ARABIC</w:instrText>
      </w:r>
      <w:r>
        <w:fldChar w:fldCharType="separate"/>
      </w:r>
      <w:r w:rsidR="003511D3">
        <w:rPr>
          <w:noProof/>
        </w:rPr>
        <w:t>26</w:t>
      </w:r>
      <w:r>
        <w:fldChar w:fldCharType="end"/>
      </w:r>
      <w:bookmarkEnd w:id="58"/>
      <w:r w:rsidRPr="00CE28E3">
        <w:tab/>
      </w:r>
      <w:r w:rsidR="0011785E">
        <w:t>Sensitivity analyses requested by ESC</w:t>
      </w:r>
    </w:p>
    <w:tbl>
      <w:tblPr>
        <w:tblStyle w:val="TableGrid1"/>
        <w:tblW w:w="9182" w:type="dxa"/>
        <w:tblLook w:val="04A0" w:firstRow="1" w:lastRow="0" w:firstColumn="1" w:lastColumn="0" w:noHBand="0" w:noVBand="1"/>
      </w:tblPr>
      <w:tblGrid>
        <w:gridCol w:w="5382"/>
        <w:gridCol w:w="1900"/>
        <w:gridCol w:w="1900"/>
      </w:tblGrid>
      <w:tr w:rsidR="005521CD" w:rsidRPr="005521CD" w14:paraId="5C1E1251" w14:textId="77777777" w:rsidTr="0011785E">
        <w:trPr>
          <w:cnfStyle w:val="100000000000" w:firstRow="1" w:lastRow="0" w:firstColumn="0" w:lastColumn="0" w:oddVBand="0" w:evenVBand="0" w:oddHBand="0" w:evenHBand="0" w:firstRowFirstColumn="0" w:firstRowLastColumn="0" w:lastRowFirstColumn="0" w:lastRowLastColumn="0"/>
          <w:trHeight w:val="31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5680" w14:textId="77777777" w:rsidR="005521CD" w:rsidRPr="0011785E" w:rsidRDefault="005521CD" w:rsidP="005521CD">
            <w:pPr>
              <w:pStyle w:val="Tabletext0"/>
              <w:rPr>
                <w:b/>
                <w:bCs/>
              </w:rPr>
            </w:pPr>
            <w:r w:rsidRPr="0011785E">
              <w:rPr>
                <w:b/>
                <w:bCs/>
              </w:rPr>
              <w:t xml:space="preserve">Year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9CB2526" w14:textId="77777777" w:rsidR="005521CD" w:rsidRPr="0011785E" w:rsidRDefault="005521CD" w:rsidP="005521CD">
            <w:pPr>
              <w:pStyle w:val="Tabletext0"/>
              <w:rPr>
                <w:b/>
                <w:bCs/>
              </w:rPr>
            </w:pPr>
            <w:r w:rsidRPr="0011785E">
              <w:rPr>
                <w:b/>
                <w:bCs/>
              </w:rPr>
              <w:t>Year 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3602FFF" w14:textId="77777777" w:rsidR="005521CD" w:rsidRPr="0011785E" w:rsidRDefault="005521CD" w:rsidP="005521CD">
            <w:pPr>
              <w:pStyle w:val="Tabletext0"/>
              <w:rPr>
                <w:b/>
                <w:bCs/>
              </w:rPr>
            </w:pPr>
            <w:r w:rsidRPr="0011785E">
              <w:rPr>
                <w:b/>
                <w:bCs/>
              </w:rPr>
              <w:t>Year 6</w:t>
            </w:r>
          </w:p>
        </w:tc>
      </w:tr>
      <w:tr w:rsidR="005521CD" w:rsidRPr="005521CD" w14:paraId="1B3E7473" w14:textId="77777777" w:rsidTr="0011785E">
        <w:trPr>
          <w:trHeight w:val="310"/>
        </w:trPr>
        <w:tc>
          <w:tcPr>
            <w:tcW w:w="5382" w:type="dxa"/>
            <w:tcBorders>
              <w:top w:val="nil"/>
              <w:left w:val="single" w:sz="4" w:space="0" w:color="auto"/>
              <w:bottom w:val="single" w:sz="4" w:space="0" w:color="auto"/>
              <w:right w:val="nil"/>
            </w:tcBorders>
            <w:shd w:val="clear" w:color="auto" w:fill="auto"/>
            <w:vAlign w:val="center"/>
            <w:hideMark/>
          </w:tcPr>
          <w:p w14:paraId="08B18E9D" w14:textId="5C7EBAF8" w:rsidR="005521CD" w:rsidRPr="0011785E" w:rsidRDefault="005521CD" w:rsidP="005521CD">
            <w:pPr>
              <w:pStyle w:val="Tabletext0"/>
              <w:rPr>
                <w:b/>
                <w:bCs/>
              </w:rPr>
            </w:pPr>
            <w:r w:rsidRPr="0011785E">
              <w:rPr>
                <w:b/>
                <w:bCs/>
              </w:rPr>
              <w:t>Base</w:t>
            </w:r>
            <w:r w:rsidR="0011785E">
              <w:rPr>
                <w:b/>
                <w:bCs/>
              </w:rPr>
              <w:t xml:space="preserve"> </w:t>
            </w:r>
            <w:r w:rsidRPr="0011785E">
              <w:rPr>
                <w:b/>
                <w:bCs/>
              </w:rPr>
              <w:t>case</w:t>
            </w:r>
          </w:p>
        </w:tc>
        <w:tc>
          <w:tcPr>
            <w:tcW w:w="1900" w:type="dxa"/>
            <w:tcBorders>
              <w:top w:val="nil"/>
              <w:left w:val="nil"/>
              <w:bottom w:val="single" w:sz="4" w:space="0" w:color="auto"/>
              <w:right w:val="nil"/>
            </w:tcBorders>
            <w:shd w:val="clear" w:color="auto" w:fill="auto"/>
            <w:vAlign w:val="center"/>
            <w:hideMark/>
          </w:tcPr>
          <w:p w14:paraId="1EB8C0B4" w14:textId="77777777" w:rsidR="005521CD" w:rsidRPr="0011785E" w:rsidRDefault="005521CD" w:rsidP="005521CD">
            <w:pPr>
              <w:pStyle w:val="Tabletext0"/>
              <w:rPr>
                <w:b/>
                <w:bCs/>
              </w:rPr>
            </w:pPr>
            <w:r w:rsidRPr="0011785E">
              <w:rPr>
                <w:b/>
                <w:bCs/>
              </w:rPr>
              <w:t> </w:t>
            </w:r>
          </w:p>
        </w:tc>
        <w:tc>
          <w:tcPr>
            <w:tcW w:w="1900" w:type="dxa"/>
            <w:tcBorders>
              <w:top w:val="nil"/>
              <w:left w:val="nil"/>
              <w:bottom w:val="single" w:sz="4" w:space="0" w:color="auto"/>
              <w:right w:val="single" w:sz="4" w:space="0" w:color="auto"/>
            </w:tcBorders>
            <w:shd w:val="clear" w:color="auto" w:fill="auto"/>
            <w:vAlign w:val="center"/>
            <w:hideMark/>
          </w:tcPr>
          <w:p w14:paraId="57560D06" w14:textId="77777777" w:rsidR="005521CD" w:rsidRPr="0011785E" w:rsidRDefault="005521CD" w:rsidP="005521CD">
            <w:pPr>
              <w:pStyle w:val="Tabletext0"/>
              <w:rPr>
                <w:b/>
                <w:bCs/>
              </w:rPr>
            </w:pPr>
            <w:r w:rsidRPr="0011785E">
              <w:rPr>
                <w:b/>
                <w:bCs/>
              </w:rPr>
              <w:t> </w:t>
            </w:r>
          </w:p>
        </w:tc>
      </w:tr>
      <w:tr w:rsidR="005521CD" w:rsidRPr="00BB1E80" w14:paraId="2CAC2E46"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6062E61" w14:textId="77777777" w:rsidR="005521CD" w:rsidRPr="00BB1E80" w:rsidRDefault="005521CD" w:rsidP="0011785E">
            <w:pPr>
              <w:pStyle w:val="Tabletext0"/>
              <w:ind w:left="164"/>
            </w:pPr>
            <w:r w:rsidRPr="00BB1E80">
              <w:t>Total LATERA implantation procedures</w:t>
            </w:r>
          </w:p>
        </w:tc>
        <w:tc>
          <w:tcPr>
            <w:tcW w:w="1900" w:type="dxa"/>
            <w:tcBorders>
              <w:top w:val="nil"/>
              <w:left w:val="nil"/>
              <w:bottom w:val="single" w:sz="4" w:space="0" w:color="auto"/>
              <w:right w:val="single" w:sz="4" w:space="0" w:color="auto"/>
            </w:tcBorders>
            <w:shd w:val="clear" w:color="auto" w:fill="auto"/>
            <w:noWrap/>
            <w:vAlign w:val="bottom"/>
            <w:hideMark/>
          </w:tcPr>
          <w:p w14:paraId="762E0777" w14:textId="4C23A823" w:rsidR="005521CD" w:rsidRPr="00BB1E80" w:rsidRDefault="00391DC7" w:rsidP="005521CD">
            <w:pPr>
              <w:pStyle w:val="Tabletext0"/>
            </w:pPr>
            <w:r w:rsidRPr="00BB1E80">
              <w:rPr>
                <w:b/>
                <w:bCs/>
              </w:rPr>
              <w:t>redacted</w:t>
            </w:r>
            <w:r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4D78C1B5" w14:textId="0EF618C4" w:rsidR="005521CD" w:rsidRPr="00BB1E80" w:rsidRDefault="00391DC7" w:rsidP="005521CD">
            <w:pPr>
              <w:pStyle w:val="Tabletext0"/>
            </w:pPr>
            <w:r w:rsidRPr="00BB1E80">
              <w:rPr>
                <w:b/>
                <w:bCs/>
              </w:rPr>
              <w:t>redacted</w:t>
            </w:r>
            <w:r w:rsidRPr="00BB1E80">
              <w:t xml:space="preserve"> </w:t>
            </w:r>
          </w:p>
        </w:tc>
      </w:tr>
      <w:tr w:rsidR="005521CD" w:rsidRPr="00BB1E80" w14:paraId="122AF214"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477EE06" w14:textId="77777777" w:rsidR="005521CD" w:rsidRPr="00BB1E80" w:rsidRDefault="005521CD" w:rsidP="0011785E">
            <w:pPr>
              <w:pStyle w:val="Tabletext0"/>
              <w:ind w:left="164"/>
            </w:pPr>
            <w:r w:rsidRPr="00BB1E80">
              <w:t>Net change to the MBS</w:t>
            </w:r>
          </w:p>
        </w:tc>
        <w:tc>
          <w:tcPr>
            <w:tcW w:w="1900" w:type="dxa"/>
            <w:tcBorders>
              <w:top w:val="nil"/>
              <w:left w:val="nil"/>
              <w:bottom w:val="single" w:sz="4" w:space="0" w:color="auto"/>
              <w:right w:val="single" w:sz="4" w:space="0" w:color="auto"/>
            </w:tcBorders>
            <w:shd w:val="clear" w:color="auto" w:fill="auto"/>
            <w:noWrap/>
            <w:vAlign w:val="bottom"/>
            <w:hideMark/>
          </w:tcPr>
          <w:p w14:paraId="67F337AA" w14:textId="1220C6B6"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58A6CD9D" w14:textId="0E73EDBE"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1EE8BB00"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495AE47" w14:textId="77777777" w:rsidR="005521CD" w:rsidRPr="00BB1E80" w:rsidRDefault="005521CD" w:rsidP="0011785E">
            <w:pPr>
              <w:pStyle w:val="Tabletext0"/>
              <w:ind w:left="164"/>
            </w:pPr>
            <w:r w:rsidRPr="00BB1E80">
              <w:t>Net changes to other hospital resource use</w:t>
            </w:r>
          </w:p>
        </w:tc>
        <w:tc>
          <w:tcPr>
            <w:tcW w:w="1900" w:type="dxa"/>
            <w:tcBorders>
              <w:top w:val="nil"/>
              <w:left w:val="nil"/>
              <w:bottom w:val="single" w:sz="4" w:space="0" w:color="auto"/>
              <w:right w:val="single" w:sz="4" w:space="0" w:color="auto"/>
            </w:tcBorders>
            <w:shd w:val="clear" w:color="auto" w:fill="auto"/>
            <w:noWrap/>
            <w:vAlign w:val="bottom"/>
            <w:hideMark/>
          </w:tcPr>
          <w:p w14:paraId="4D4B986F" w14:textId="1074394A"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15775AF2" w14:textId="55C68640"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10F5762D"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15AB49B" w14:textId="77777777" w:rsidR="005521CD" w:rsidRPr="00BB1E80" w:rsidRDefault="005521CD" w:rsidP="0011785E">
            <w:pPr>
              <w:pStyle w:val="Tabletext0"/>
              <w:ind w:left="164"/>
            </w:pPr>
            <w:r w:rsidRPr="00BB1E80">
              <w:t>Net change to the PL</w:t>
            </w:r>
          </w:p>
        </w:tc>
        <w:tc>
          <w:tcPr>
            <w:tcW w:w="1900" w:type="dxa"/>
            <w:tcBorders>
              <w:top w:val="nil"/>
              <w:left w:val="nil"/>
              <w:bottom w:val="single" w:sz="4" w:space="0" w:color="auto"/>
              <w:right w:val="single" w:sz="4" w:space="0" w:color="auto"/>
            </w:tcBorders>
            <w:shd w:val="clear" w:color="auto" w:fill="auto"/>
            <w:noWrap/>
            <w:vAlign w:val="bottom"/>
            <w:hideMark/>
          </w:tcPr>
          <w:p w14:paraId="6FCF94B1" w14:textId="3C193232"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4FFBFBBE" w14:textId="2DA7860D"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4E3CDFF3"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3C36122" w14:textId="77777777" w:rsidR="005521CD" w:rsidRPr="00BB1E80" w:rsidRDefault="005521CD" w:rsidP="0011785E">
            <w:pPr>
              <w:pStyle w:val="Tabletext0"/>
              <w:ind w:left="164"/>
            </w:pPr>
            <w:r w:rsidRPr="00BB1E80">
              <w:t>Net financial implications to the Australian Healthcare system</w:t>
            </w:r>
          </w:p>
        </w:tc>
        <w:tc>
          <w:tcPr>
            <w:tcW w:w="1900" w:type="dxa"/>
            <w:tcBorders>
              <w:top w:val="nil"/>
              <w:left w:val="nil"/>
              <w:bottom w:val="single" w:sz="4" w:space="0" w:color="auto"/>
              <w:right w:val="single" w:sz="4" w:space="0" w:color="auto"/>
            </w:tcBorders>
            <w:shd w:val="clear" w:color="auto" w:fill="auto"/>
            <w:noWrap/>
            <w:vAlign w:val="bottom"/>
            <w:hideMark/>
          </w:tcPr>
          <w:p w14:paraId="69722573" w14:textId="77777777" w:rsidR="005521CD" w:rsidRPr="00BB1E80" w:rsidRDefault="005521CD" w:rsidP="005521CD">
            <w:pPr>
              <w:pStyle w:val="Tabletext0"/>
            </w:pPr>
            <w:r w:rsidRPr="00BB1E80">
              <w:t>-$298,079</w:t>
            </w:r>
          </w:p>
        </w:tc>
        <w:tc>
          <w:tcPr>
            <w:tcW w:w="1900" w:type="dxa"/>
            <w:tcBorders>
              <w:top w:val="nil"/>
              <w:left w:val="nil"/>
              <w:bottom w:val="single" w:sz="4" w:space="0" w:color="auto"/>
              <w:right w:val="single" w:sz="4" w:space="0" w:color="auto"/>
            </w:tcBorders>
            <w:shd w:val="clear" w:color="auto" w:fill="auto"/>
            <w:noWrap/>
            <w:vAlign w:val="bottom"/>
            <w:hideMark/>
          </w:tcPr>
          <w:p w14:paraId="1719A789" w14:textId="77777777" w:rsidR="005521CD" w:rsidRPr="00BB1E80" w:rsidRDefault="005521CD" w:rsidP="005521CD">
            <w:pPr>
              <w:pStyle w:val="Tabletext0"/>
            </w:pPr>
            <w:r w:rsidRPr="00BB1E80">
              <w:t>-$1,185,386</w:t>
            </w:r>
          </w:p>
        </w:tc>
      </w:tr>
      <w:tr w:rsidR="005521CD" w:rsidRPr="005521CD" w14:paraId="33085307" w14:textId="77777777" w:rsidTr="0011785E">
        <w:trPr>
          <w:trHeight w:val="310"/>
        </w:trPr>
        <w:tc>
          <w:tcPr>
            <w:tcW w:w="5382" w:type="dxa"/>
            <w:tcBorders>
              <w:top w:val="nil"/>
              <w:left w:val="single" w:sz="4" w:space="0" w:color="auto"/>
              <w:bottom w:val="single" w:sz="4" w:space="0" w:color="auto"/>
              <w:right w:val="nil"/>
            </w:tcBorders>
            <w:shd w:val="clear" w:color="auto" w:fill="auto"/>
            <w:noWrap/>
            <w:vAlign w:val="bottom"/>
            <w:hideMark/>
          </w:tcPr>
          <w:p w14:paraId="10685B6D" w14:textId="163FBB3F" w:rsidR="005521CD" w:rsidRPr="0011785E" w:rsidRDefault="005521CD" w:rsidP="005521CD">
            <w:pPr>
              <w:pStyle w:val="Tabletext0"/>
              <w:rPr>
                <w:b/>
                <w:bCs/>
              </w:rPr>
            </w:pPr>
            <w:r w:rsidRPr="0011785E">
              <w:rPr>
                <w:b/>
                <w:bCs/>
              </w:rPr>
              <w:t>SA1</w:t>
            </w:r>
            <w:r w:rsidR="00D532A2">
              <w:rPr>
                <w:b/>
                <w:bCs/>
              </w:rPr>
              <w:t xml:space="preserve"> </w:t>
            </w:r>
            <w:r w:rsidR="007457D9">
              <w:rPr>
                <w:b/>
                <w:bCs/>
              </w:rPr>
              <w:t xml:space="preserve">- </w:t>
            </w:r>
            <w:r w:rsidR="00036258">
              <w:rPr>
                <w:b/>
                <w:bCs/>
              </w:rPr>
              <w:t>compared to partial rhinoplasty only</w:t>
            </w:r>
          </w:p>
        </w:tc>
        <w:tc>
          <w:tcPr>
            <w:tcW w:w="1900" w:type="dxa"/>
            <w:tcBorders>
              <w:top w:val="nil"/>
              <w:left w:val="nil"/>
              <w:bottom w:val="single" w:sz="4" w:space="0" w:color="auto"/>
              <w:right w:val="nil"/>
            </w:tcBorders>
            <w:shd w:val="clear" w:color="auto" w:fill="auto"/>
            <w:noWrap/>
            <w:vAlign w:val="bottom"/>
            <w:hideMark/>
          </w:tcPr>
          <w:p w14:paraId="0E881887" w14:textId="77777777" w:rsidR="005521CD" w:rsidRPr="000B151B" w:rsidRDefault="005521CD" w:rsidP="005521CD">
            <w:pPr>
              <w:pStyle w:val="Tabletext0"/>
            </w:pPr>
            <w:r w:rsidRPr="00B37E9D">
              <w:t> </w:t>
            </w:r>
          </w:p>
        </w:tc>
        <w:tc>
          <w:tcPr>
            <w:tcW w:w="1900" w:type="dxa"/>
            <w:tcBorders>
              <w:top w:val="nil"/>
              <w:left w:val="nil"/>
              <w:bottom w:val="single" w:sz="4" w:space="0" w:color="auto"/>
              <w:right w:val="single" w:sz="4" w:space="0" w:color="auto"/>
            </w:tcBorders>
            <w:shd w:val="clear" w:color="auto" w:fill="auto"/>
            <w:noWrap/>
            <w:vAlign w:val="bottom"/>
            <w:hideMark/>
          </w:tcPr>
          <w:p w14:paraId="2557C409" w14:textId="77777777" w:rsidR="005521CD" w:rsidRPr="000B151B" w:rsidRDefault="005521CD" w:rsidP="005521CD">
            <w:pPr>
              <w:pStyle w:val="Tabletext0"/>
            </w:pPr>
            <w:r w:rsidRPr="000B151B">
              <w:t> </w:t>
            </w:r>
          </w:p>
        </w:tc>
      </w:tr>
      <w:tr w:rsidR="005521CD" w:rsidRPr="00BB1E80" w14:paraId="58CEAB37"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1661180" w14:textId="77777777" w:rsidR="005521CD" w:rsidRPr="00BB1E80" w:rsidRDefault="005521CD" w:rsidP="0011785E">
            <w:pPr>
              <w:pStyle w:val="Tabletext0"/>
              <w:ind w:left="164"/>
            </w:pPr>
            <w:r w:rsidRPr="00BB1E80">
              <w:t>Total LATERA implantation procedures</w:t>
            </w:r>
          </w:p>
        </w:tc>
        <w:tc>
          <w:tcPr>
            <w:tcW w:w="1900" w:type="dxa"/>
            <w:tcBorders>
              <w:top w:val="nil"/>
              <w:left w:val="nil"/>
              <w:bottom w:val="single" w:sz="4" w:space="0" w:color="auto"/>
              <w:right w:val="single" w:sz="4" w:space="0" w:color="auto"/>
            </w:tcBorders>
            <w:shd w:val="clear" w:color="auto" w:fill="auto"/>
            <w:noWrap/>
            <w:vAlign w:val="bottom"/>
            <w:hideMark/>
          </w:tcPr>
          <w:p w14:paraId="23BA532A" w14:textId="0ECE6B0E" w:rsidR="005521CD" w:rsidRPr="00BB1E80" w:rsidRDefault="00391DC7" w:rsidP="005521CD">
            <w:pPr>
              <w:pStyle w:val="Tabletext0"/>
            </w:pPr>
            <w:r w:rsidRPr="00BB1E80">
              <w:rPr>
                <w:b/>
                <w:bCs/>
              </w:rPr>
              <w:t>redacted</w:t>
            </w:r>
            <w:r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17093F50" w14:textId="1FEDB2C2" w:rsidR="005521CD" w:rsidRPr="00BB1E80" w:rsidRDefault="00391DC7" w:rsidP="005521CD">
            <w:pPr>
              <w:pStyle w:val="Tabletext0"/>
            </w:pPr>
            <w:r w:rsidRPr="00BB1E80">
              <w:rPr>
                <w:b/>
                <w:bCs/>
              </w:rPr>
              <w:t>redacted</w:t>
            </w:r>
            <w:r w:rsidRPr="00BB1E80">
              <w:t xml:space="preserve"> </w:t>
            </w:r>
          </w:p>
        </w:tc>
      </w:tr>
      <w:tr w:rsidR="005521CD" w:rsidRPr="00BB1E80" w14:paraId="3287BD09"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B8B54F2" w14:textId="77777777" w:rsidR="005521CD" w:rsidRPr="00BB1E80" w:rsidRDefault="005521CD" w:rsidP="0011785E">
            <w:pPr>
              <w:pStyle w:val="Tabletext0"/>
              <w:ind w:left="164"/>
            </w:pPr>
            <w:r w:rsidRPr="00BB1E80">
              <w:t>Net change to the MBS</w:t>
            </w:r>
          </w:p>
        </w:tc>
        <w:tc>
          <w:tcPr>
            <w:tcW w:w="1900" w:type="dxa"/>
            <w:tcBorders>
              <w:top w:val="nil"/>
              <w:left w:val="nil"/>
              <w:bottom w:val="single" w:sz="4" w:space="0" w:color="auto"/>
              <w:right w:val="single" w:sz="4" w:space="0" w:color="auto"/>
            </w:tcBorders>
            <w:shd w:val="clear" w:color="auto" w:fill="auto"/>
            <w:noWrap/>
            <w:vAlign w:val="bottom"/>
            <w:hideMark/>
          </w:tcPr>
          <w:p w14:paraId="7B4673F8" w14:textId="7CEF7891"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05F21120" w14:textId="09F14672"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38E27DD3"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C6BD5E4" w14:textId="77777777" w:rsidR="005521CD" w:rsidRPr="00BB1E80" w:rsidRDefault="005521CD" w:rsidP="0011785E">
            <w:pPr>
              <w:pStyle w:val="Tabletext0"/>
              <w:ind w:left="164"/>
            </w:pPr>
            <w:r w:rsidRPr="00BB1E80">
              <w:t>Net changes to other hospital resource use</w:t>
            </w:r>
          </w:p>
        </w:tc>
        <w:tc>
          <w:tcPr>
            <w:tcW w:w="1900" w:type="dxa"/>
            <w:tcBorders>
              <w:top w:val="nil"/>
              <w:left w:val="nil"/>
              <w:bottom w:val="single" w:sz="4" w:space="0" w:color="auto"/>
              <w:right w:val="single" w:sz="4" w:space="0" w:color="auto"/>
            </w:tcBorders>
            <w:shd w:val="clear" w:color="auto" w:fill="auto"/>
            <w:noWrap/>
            <w:vAlign w:val="bottom"/>
            <w:hideMark/>
          </w:tcPr>
          <w:p w14:paraId="6FF95A93" w14:textId="082828F5"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5E9C9A90" w14:textId="07B7F28F"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0F18ED19"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401D6A0" w14:textId="77777777" w:rsidR="005521CD" w:rsidRPr="00BB1E80" w:rsidRDefault="005521CD" w:rsidP="0011785E">
            <w:pPr>
              <w:pStyle w:val="Tabletext0"/>
              <w:ind w:left="164"/>
            </w:pPr>
            <w:r w:rsidRPr="00BB1E80">
              <w:t>Net change to the PL</w:t>
            </w:r>
          </w:p>
        </w:tc>
        <w:tc>
          <w:tcPr>
            <w:tcW w:w="1900" w:type="dxa"/>
            <w:tcBorders>
              <w:top w:val="nil"/>
              <w:left w:val="nil"/>
              <w:bottom w:val="single" w:sz="4" w:space="0" w:color="auto"/>
              <w:right w:val="single" w:sz="4" w:space="0" w:color="auto"/>
            </w:tcBorders>
            <w:shd w:val="clear" w:color="auto" w:fill="auto"/>
            <w:noWrap/>
            <w:vAlign w:val="bottom"/>
            <w:hideMark/>
          </w:tcPr>
          <w:p w14:paraId="3593A333" w14:textId="36E10A3A"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3D34010C" w14:textId="72522856"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44C7D882"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A4C935A" w14:textId="77777777" w:rsidR="005521CD" w:rsidRPr="00BB1E80" w:rsidRDefault="005521CD" w:rsidP="0011785E">
            <w:pPr>
              <w:pStyle w:val="Tabletext0"/>
              <w:ind w:left="164"/>
            </w:pPr>
            <w:r w:rsidRPr="00BB1E80">
              <w:t>Net financial implications to the Australian Healthcare system</w:t>
            </w:r>
          </w:p>
        </w:tc>
        <w:tc>
          <w:tcPr>
            <w:tcW w:w="1900" w:type="dxa"/>
            <w:tcBorders>
              <w:top w:val="nil"/>
              <w:left w:val="nil"/>
              <w:bottom w:val="single" w:sz="4" w:space="0" w:color="auto"/>
              <w:right w:val="single" w:sz="4" w:space="0" w:color="auto"/>
            </w:tcBorders>
            <w:shd w:val="clear" w:color="auto" w:fill="auto"/>
            <w:noWrap/>
            <w:vAlign w:val="bottom"/>
            <w:hideMark/>
          </w:tcPr>
          <w:p w14:paraId="76BDB12B" w14:textId="77777777" w:rsidR="005521CD" w:rsidRPr="00BB1E80" w:rsidRDefault="005521CD" w:rsidP="005521CD">
            <w:pPr>
              <w:pStyle w:val="Tabletext0"/>
            </w:pPr>
            <w:r w:rsidRPr="00BB1E80">
              <w:t>$1,258</w:t>
            </w:r>
          </w:p>
        </w:tc>
        <w:tc>
          <w:tcPr>
            <w:tcW w:w="1900" w:type="dxa"/>
            <w:tcBorders>
              <w:top w:val="nil"/>
              <w:left w:val="nil"/>
              <w:bottom w:val="single" w:sz="4" w:space="0" w:color="auto"/>
              <w:right w:val="single" w:sz="4" w:space="0" w:color="auto"/>
            </w:tcBorders>
            <w:shd w:val="clear" w:color="auto" w:fill="auto"/>
            <w:noWrap/>
            <w:vAlign w:val="bottom"/>
            <w:hideMark/>
          </w:tcPr>
          <w:p w14:paraId="17B6397B" w14:textId="77777777" w:rsidR="005521CD" w:rsidRPr="00BB1E80" w:rsidRDefault="005521CD" w:rsidP="005521CD">
            <w:pPr>
              <w:pStyle w:val="Tabletext0"/>
            </w:pPr>
            <w:r w:rsidRPr="00BB1E80">
              <w:t>$6,084</w:t>
            </w:r>
          </w:p>
        </w:tc>
      </w:tr>
      <w:tr w:rsidR="005521CD" w:rsidRPr="005521CD" w14:paraId="31DB5817" w14:textId="77777777" w:rsidTr="0011785E">
        <w:trPr>
          <w:trHeight w:val="310"/>
        </w:trPr>
        <w:tc>
          <w:tcPr>
            <w:tcW w:w="5382" w:type="dxa"/>
            <w:tcBorders>
              <w:top w:val="nil"/>
              <w:left w:val="single" w:sz="4" w:space="0" w:color="auto"/>
              <w:bottom w:val="single" w:sz="4" w:space="0" w:color="auto"/>
              <w:right w:val="nil"/>
            </w:tcBorders>
            <w:shd w:val="clear" w:color="auto" w:fill="auto"/>
            <w:noWrap/>
            <w:vAlign w:val="bottom"/>
            <w:hideMark/>
          </w:tcPr>
          <w:p w14:paraId="41C9CF3D" w14:textId="25FF1982" w:rsidR="005521CD" w:rsidRPr="0011785E" w:rsidRDefault="005521CD" w:rsidP="005521CD">
            <w:pPr>
              <w:pStyle w:val="Tabletext0"/>
              <w:rPr>
                <w:b/>
                <w:bCs/>
              </w:rPr>
            </w:pPr>
            <w:r w:rsidRPr="0011785E">
              <w:rPr>
                <w:b/>
                <w:bCs/>
              </w:rPr>
              <w:t>SA2</w:t>
            </w:r>
            <w:r w:rsidR="00036258">
              <w:rPr>
                <w:b/>
                <w:bCs/>
              </w:rPr>
              <w:t xml:space="preserve"> </w:t>
            </w:r>
            <w:r w:rsidR="007457D9">
              <w:rPr>
                <w:b/>
                <w:bCs/>
              </w:rPr>
              <w:t xml:space="preserve">- </w:t>
            </w:r>
            <w:r w:rsidR="00036258">
              <w:rPr>
                <w:b/>
                <w:bCs/>
              </w:rPr>
              <w:t>partial rhinoplasty only, all as same day procedure</w:t>
            </w:r>
          </w:p>
        </w:tc>
        <w:tc>
          <w:tcPr>
            <w:tcW w:w="1900" w:type="dxa"/>
            <w:tcBorders>
              <w:top w:val="nil"/>
              <w:left w:val="nil"/>
              <w:bottom w:val="single" w:sz="4" w:space="0" w:color="auto"/>
              <w:right w:val="nil"/>
            </w:tcBorders>
            <w:shd w:val="clear" w:color="auto" w:fill="auto"/>
            <w:noWrap/>
            <w:vAlign w:val="bottom"/>
            <w:hideMark/>
          </w:tcPr>
          <w:p w14:paraId="76203318" w14:textId="77777777" w:rsidR="005521CD" w:rsidRPr="000B151B" w:rsidRDefault="005521CD" w:rsidP="005521CD">
            <w:pPr>
              <w:pStyle w:val="Tabletext0"/>
            </w:pPr>
            <w:r w:rsidRPr="00B37E9D">
              <w:t> </w:t>
            </w:r>
          </w:p>
        </w:tc>
        <w:tc>
          <w:tcPr>
            <w:tcW w:w="1900" w:type="dxa"/>
            <w:tcBorders>
              <w:top w:val="nil"/>
              <w:left w:val="nil"/>
              <w:bottom w:val="single" w:sz="4" w:space="0" w:color="auto"/>
              <w:right w:val="single" w:sz="4" w:space="0" w:color="auto"/>
            </w:tcBorders>
            <w:shd w:val="clear" w:color="auto" w:fill="auto"/>
            <w:noWrap/>
            <w:vAlign w:val="bottom"/>
            <w:hideMark/>
          </w:tcPr>
          <w:p w14:paraId="1CF30389" w14:textId="77777777" w:rsidR="005521CD" w:rsidRPr="000B151B" w:rsidRDefault="005521CD" w:rsidP="005521CD">
            <w:pPr>
              <w:pStyle w:val="Tabletext0"/>
            </w:pPr>
            <w:r w:rsidRPr="000B151B">
              <w:t> </w:t>
            </w:r>
          </w:p>
        </w:tc>
      </w:tr>
      <w:tr w:rsidR="005521CD" w:rsidRPr="00BB1E80" w14:paraId="7B93AA46"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6CF4279" w14:textId="77777777" w:rsidR="005521CD" w:rsidRPr="00BB1E80" w:rsidRDefault="005521CD" w:rsidP="0011785E">
            <w:pPr>
              <w:pStyle w:val="Tabletext0"/>
              <w:ind w:left="164"/>
            </w:pPr>
            <w:r w:rsidRPr="00BB1E80">
              <w:t>Total LATERA implantation procedures</w:t>
            </w:r>
          </w:p>
        </w:tc>
        <w:tc>
          <w:tcPr>
            <w:tcW w:w="1900" w:type="dxa"/>
            <w:tcBorders>
              <w:top w:val="nil"/>
              <w:left w:val="nil"/>
              <w:bottom w:val="single" w:sz="4" w:space="0" w:color="auto"/>
              <w:right w:val="single" w:sz="4" w:space="0" w:color="auto"/>
            </w:tcBorders>
            <w:shd w:val="clear" w:color="auto" w:fill="auto"/>
            <w:noWrap/>
            <w:vAlign w:val="bottom"/>
            <w:hideMark/>
          </w:tcPr>
          <w:p w14:paraId="1835E6D0" w14:textId="54E26034" w:rsidR="005521CD" w:rsidRPr="00BB1E80" w:rsidRDefault="00391DC7" w:rsidP="005521CD">
            <w:pPr>
              <w:pStyle w:val="Tabletext0"/>
            </w:pPr>
            <w:r w:rsidRPr="00BB1E80">
              <w:rPr>
                <w:b/>
                <w:bCs/>
              </w:rPr>
              <w:t>redacted</w:t>
            </w:r>
            <w:r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34960D94" w14:textId="0B919990" w:rsidR="005521CD" w:rsidRPr="00BB1E80" w:rsidRDefault="00391DC7" w:rsidP="005521CD">
            <w:pPr>
              <w:pStyle w:val="Tabletext0"/>
            </w:pPr>
            <w:r w:rsidRPr="00BB1E80">
              <w:rPr>
                <w:b/>
                <w:bCs/>
              </w:rPr>
              <w:t>redacted</w:t>
            </w:r>
          </w:p>
        </w:tc>
      </w:tr>
      <w:tr w:rsidR="005521CD" w:rsidRPr="00BB1E80" w14:paraId="779F710E"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AF83284" w14:textId="77777777" w:rsidR="005521CD" w:rsidRPr="00BB1E80" w:rsidRDefault="005521CD" w:rsidP="0011785E">
            <w:pPr>
              <w:pStyle w:val="Tabletext0"/>
              <w:ind w:left="164"/>
            </w:pPr>
            <w:r w:rsidRPr="00BB1E80">
              <w:t>Net change to the MBS</w:t>
            </w:r>
          </w:p>
        </w:tc>
        <w:tc>
          <w:tcPr>
            <w:tcW w:w="1900" w:type="dxa"/>
            <w:tcBorders>
              <w:top w:val="nil"/>
              <w:left w:val="nil"/>
              <w:bottom w:val="single" w:sz="4" w:space="0" w:color="auto"/>
              <w:right w:val="single" w:sz="4" w:space="0" w:color="auto"/>
            </w:tcBorders>
            <w:shd w:val="clear" w:color="auto" w:fill="auto"/>
            <w:noWrap/>
            <w:vAlign w:val="bottom"/>
            <w:hideMark/>
          </w:tcPr>
          <w:p w14:paraId="4EB6F228" w14:textId="6BBCE7A7"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5C605B67" w14:textId="490FD04D"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43DFB51D"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AC122D8" w14:textId="77777777" w:rsidR="005521CD" w:rsidRPr="00BB1E80" w:rsidRDefault="005521CD" w:rsidP="0011785E">
            <w:pPr>
              <w:pStyle w:val="Tabletext0"/>
              <w:ind w:left="164"/>
            </w:pPr>
            <w:r w:rsidRPr="00BB1E80">
              <w:t>Net changes to other hospital resource use</w:t>
            </w:r>
          </w:p>
        </w:tc>
        <w:tc>
          <w:tcPr>
            <w:tcW w:w="1900" w:type="dxa"/>
            <w:tcBorders>
              <w:top w:val="nil"/>
              <w:left w:val="nil"/>
              <w:bottom w:val="single" w:sz="4" w:space="0" w:color="auto"/>
              <w:right w:val="single" w:sz="4" w:space="0" w:color="auto"/>
            </w:tcBorders>
            <w:shd w:val="clear" w:color="auto" w:fill="auto"/>
            <w:noWrap/>
            <w:vAlign w:val="bottom"/>
            <w:hideMark/>
          </w:tcPr>
          <w:p w14:paraId="1E627C95" w14:textId="7EB703B1"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5EE9A159" w14:textId="4E15A8D1"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459E0DF1"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833F4F2" w14:textId="77777777" w:rsidR="005521CD" w:rsidRPr="00BB1E80" w:rsidRDefault="005521CD" w:rsidP="0011785E">
            <w:pPr>
              <w:pStyle w:val="Tabletext0"/>
              <w:ind w:left="164"/>
            </w:pPr>
            <w:r w:rsidRPr="00BB1E80">
              <w:t>Net change to the PL</w:t>
            </w:r>
          </w:p>
        </w:tc>
        <w:tc>
          <w:tcPr>
            <w:tcW w:w="1900" w:type="dxa"/>
            <w:tcBorders>
              <w:top w:val="nil"/>
              <w:left w:val="nil"/>
              <w:bottom w:val="single" w:sz="4" w:space="0" w:color="auto"/>
              <w:right w:val="single" w:sz="4" w:space="0" w:color="auto"/>
            </w:tcBorders>
            <w:shd w:val="clear" w:color="auto" w:fill="auto"/>
            <w:noWrap/>
            <w:vAlign w:val="bottom"/>
            <w:hideMark/>
          </w:tcPr>
          <w:p w14:paraId="7C48D8D4" w14:textId="2FFA3C28"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3224B770" w14:textId="2DE2A964"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70DC683F"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B89B09D" w14:textId="77777777" w:rsidR="005521CD" w:rsidRPr="00BB1E80" w:rsidRDefault="005521CD" w:rsidP="0011785E">
            <w:pPr>
              <w:pStyle w:val="Tabletext0"/>
              <w:ind w:left="164"/>
            </w:pPr>
            <w:r w:rsidRPr="00BB1E80">
              <w:t>Net financial implications to the Australian Healthcare system</w:t>
            </w:r>
          </w:p>
        </w:tc>
        <w:tc>
          <w:tcPr>
            <w:tcW w:w="1900" w:type="dxa"/>
            <w:tcBorders>
              <w:top w:val="nil"/>
              <w:left w:val="nil"/>
              <w:bottom w:val="single" w:sz="4" w:space="0" w:color="auto"/>
              <w:right w:val="single" w:sz="4" w:space="0" w:color="auto"/>
            </w:tcBorders>
            <w:shd w:val="clear" w:color="auto" w:fill="auto"/>
            <w:noWrap/>
            <w:vAlign w:val="bottom"/>
            <w:hideMark/>
          </w:tcPr>
          <w:p w14:paraId="4C495D9D" w14:textId="77777777" w:rsidR="005521CD" w:rsidRPr="00BB1E80" w:rsidRDefault="005521CD" w:rsidP="005521CD">
            <w:pPr>
              <w:pStyle w:val="Tabletext0"/>
            </w:pPr>
            <w:r w:rsidRPr="00BB1E80">
              <w:t>$29,106</w:t>
            </w:r>
          </w:p>
        </w:tc>
        <w:tc>
          <w:tcPr>
            <w:tcW w:w="1900" w:type="dxa"/>
            <w:tcBorders>
              <w:top w:val="nil"/>
              <w:left w:val="nil"/>
              <w:bottom w:val="single" w:sz="4" w:space="0" w:color="auto"/>
              <w:right w:val="single" w:sz="4" w:space="0" w:color="auto"/>
            </w:tcBorders>
            <w:shd w:val="clear" w:color="auto" w:fill="auto"/>
            <w:noWrap/>
            <w:vAlign w:val="bottom"/>
            <w:hideMark/>
          </w:tcPr>
          <w:p w14:paraId="40C8C28D" w14:textId="77777777" w:rsidR="005521CD" w:rsidRPr="00BB1E80" w:rsidRDefault="005521CD" w:rsidP="005521CD">
            <w:pPr>
              <w:pStyle w:val="Tabletext0"/>
            </w:pPr>
            <w:r w:rsidRPr="00BB1E80">
              <w:t>$115,300</w:t>
            </w:r>
          </w:p>
        </w:tc>
      </w:tr>
      <w:tr w:rsidR="00036258" w:rsidRPr="005521CD" w14:paraId="430D2436" w14:textId="77777777" w:rsidTr="00D578DE">
        <w:trPr>
          <w:trHeight w:val="310"/>
        </w:trPr>
        <w:tc>
          <w:tcPr>
            <w:tcW w:w="918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1378C6" w14:textId="0F0D8410" w:rsidR="00036258" w:rsidRPr="00773725" w:rsidRDefault="00036258" w:rsidP="00036258">
            <w:pPr>
              <w:pStyle w:val="Tabletext0"/>
            </w:pPr>
            <w:r w:rsidRPr="00B37E9D">
              <w:rPr>
                <w:b/>
                <w:bCs/>
              </w:rPr>
              <w:t>SA3</w:t>
            </w:r>
            <w:r w:rsidR="007457D9" w:rsidRPr="000B151B">
              <w:rPr>
                <w:b/>
                <w:bCs/>
              </w:rPr>
              <w:t xml:space="preserve"> - </w:t>
            </w:r>
            <w:r w:rsidRPr="000B151B">
              <w:rPr>
                <w:b/>
                <w:bCs/>
              </w:rPr>
              <w:t>partial rhinoplasty only, all as same day procedure, all LATERA procedures bilateral</w:t>
            </w:r>
            <w:r w:rsidRPr="00A00232">
              <w:t> </w:t>
            </w:r>
          </w:p>
        </w:tc>
      </w:tr>
      <w:tr w:rsidR="005521CD" w:rsidRPr="00BB1E80" w14:paraId="0E1AE7EF"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A33151D" w14:textId="77777777" w:rsidR="005521CD" w:rsidRPr="00BB1E80" w:rsidRDefault="005521CD" w:rsidP="0011785E">
            <w:pPr>
              <w:pStyle w:val="Tabletext0"/>
              <w:ind w:left="164"/>
            </w:pPr>
            <w:r w:rsidRPr="00BB1E80">
              <w:t>Total LATERA implantation procedures</w:t>
            </w:r>
          </w:p>
        </w:tc>
        <w:tc>
          <w:tcPr>
            <w:tcW w:w="1900" w:type="dxa"/>
            <w:tcBorders>
              <w:top w:val="nil"/>
              <w:left w:val="nil"/>
              <w:bottom w:val="single" w:sz="4" w:space="0" w:color="auto"/>
              <w:right w:val="single" w:sz="4" w:space="0" w:color="auto"/>
            </w:tcBorders>
            <w:shd w:val="clear" w:color="auto" w:fill="auto"/>
            <w:noWrap/>
            <w:vAlign w:val="bottom"/>
            <w:hideMark/>
          </w:tcPr>
          <w:p w14:paraId="44BDF026" w14:textId="6B893984" w:rsidR="005521CD" w:rsidRPr="00BB1E80" w:rsidRDefault="00391DC7" w:rsidP="005521CD">
            <w:pPr>
              <w:pStyle w:val="Tabletext0"/>
            </w:pPr>
            <w:r w:rsidRPr="00BB1E80">
              <w:rPr>
                <w:b/>
                <w:bCs/>
              </w:rPr>
              <w:t>redacted</w:t>
            </w:r>
            <w:r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0CF780F5" w14:textId="0A707524" w:rsidR="005521CD" w:rsidRPr="00BB1E80" w:rsidRDefault="00391DC7" w:rsidP="005521CD">
            <w:pPr>
              <w:pStyle w:val="Tabletext0"/>
            </w:pPr>
            <w:r w:rsidRPr="00BB1E80">
              <w:rPr>
                <w:b/>
                <w:bCs/>
              </w:rPr>
              <w:t>redacted</w:t>
            </w:r>
            <w:r w:rsidRPr="00BB1E80">
              <w:t xml:space="preserve"> </w:t>
            </w:r>
          </w:p>
        </w:tc>
      </w:tr>
      <w:tr w:rsidR="005521CD" w:rsidRPr="00BB1E80" w14:paraId="3D7E2D64"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94086C1" w14:textId="77777777" w:rsidR="005521CD" w:rsidRPr="00BB1E80" w:rsidRDefault="005521CD" w:rsidP="0011785E">
            <w:pPr>
              <w:pStyle w:val="Tabletext0"/>
              <w:ind w:left="164"/>
            </w:pPr>
            <w:r w:rsidRPr="00BB1E80">
              <w:t>Net change to the MBS</w:t>
            </w:r>
          </w:p>
        </w:tc>
        <w:tc>
          <w:tcPr>
            <w:tcW w:w="1900" w:type="dxa"/>
            <w:tcBorders>
              <w:top w:val="nil"/>
              <w:left w:val="nil"/>
              <w:bottom w:val="single" w:sz="4" w:space="0" w:color="auto"/>
              <w:right w:val="single" w:sz="4" w:space="0" w:color="auto"/>
            </w:tcBorders>
            <w:shd w:val="clear" w:color="auto" w:fill="auto"/>
            <w:noWrap/>
            <w:vAlign w:val="bottom"/>
            <w:hideMark/>
          </w:tcPr>
          <w:p w14:paraId="7B7E662A" w14:textId="174AA70B"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4F850784" w14:textId="25F716FB"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7AAA6679"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CA03863" w14:textId="77777777" w:rsidR="005521CD" w:rsidRPr="00BB1E80" w:rsidRDefault="005521CD" w:rsidP="0011785E">
            <w:pPr>
              <w:pStyle w:val="Tabletext0"/>
              <w:ind w:left="164"/>
            </w:pPr>
            <w:r w:rsidRPr="00BB1E80">
              <w:t>Net changes to other hospital resource use</w:t>
            </w:r>
          </w:p>
        </w:tc>
        <w:tc>
          <w:tcPr>
            <w:tcW w:w="1900" w:type="dxa"/>
            <w:tcBorders>
              <w:top w:val="nil"/>
              <w:left w:val="nil"/>
              <w:bottom w:val="single" w:sz="4" w:space="0" w:color="auto"/>
              <w:right w:val="single" w:sz="4" w:space="0" w:color="auto"/>
            </w:tcBorders>
            <w:shd w:val="clear" w:color="auto" w:fill="auto"/>
            <w:noWrap/>
            <w:vAlign w:val="bottom"/>
            <w:hideMark/>
          </w:tcPr>
          <w:p w14:paraId="199FE663" w14:textId="133967B0"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1619E672" w14:textId="1C4B8FE0"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27CA430E"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62A1F99" w14:textId="77777777" w:rsidR="005521CD" w:rsidRPr="00BB1E80" w:rsidRDefault="005521CD" w:rsidP="0011785E">
            <w:pPr>
              <w:pStyle w:val="Tabletext0"/>
              <w:ind w:left="164"/>
            </w:pPr>
            <w:r w:rsidRPr="00BB1E80">
              <w:t>Net change to the PL</w:t>
            </w:r>
          </w:p>
        </w:tc>
        <w:tc>
          <w:tcPr>
            <w:tcW w:w="1900" w:type="dxa"/>
            <w:tcBorders>
              <w:top w:val="nil"/>
              <w:left w:val="nil"/>
              <w:bottom w:val="single" w:sz="4" w:space="0" w:color="auto"/>
              <w:right w:val="single" w:sz="4" w:space="0" w:color="auto"/>
            </w:tcBorders>
            <w:shd w:val="clear" w:color="auto" w:fill="auto"/>
            <w:noWrap/>
            <w:vAlign w:val="bottom"/>
            <w:hideMark/>
          </w:tcPr>
          <w:p w14:paraId="490B234C" w14:textId="19DB3C0D"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04E3874D" w14:textId="0A9B70A1"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643DBB4E"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57B3EC3" w14:textId="77777777" w:rsidR="005521CD" w:rsidRPr="00BB1E80" w:rsidRDefault="005521CD" w:rsidP="0011785E">
            <w:pPr>
              <w:pStyle w:val="Tabletext0"/>
              <w:ind w:left="164"/>
            </w:pPr>
            <w:r w:rsidRPr="00BB1E80">
              <w:t>Net financial implications to the Australian Healthcare system</w:t>
            </w:r>
          </w:p>
        </w:tc>
        <w:tc>
          <w:tcPr>
            <w:tcW w:w="1900" w:type="dxa"/>
            <w:tcBorders>
              <w:top w:val="nil"/>
              <w:left w:val="nil"/>
              <w:bottom w:val="single" w:sz="4" w:space="0" w:color="auto"/>
              <w:right w:val="single" w:sz="4" w:space="0" w:color="auto"/>
            </w:tcBorders>
            <w:shd w:val="clear" w:color="auto" w:fill="auto"/>
            <w:noWrap/>
            <w:vAlign w:val="bottom"/>
            <w:hideMark/>
          </w:tcPr>
          <w:p w14:paraId="34238E0A" w14:textId="77777777" w:rsidR="005521CD" w:rsidRPr="00BB1E80" w:rsidRDefault="005521CD" w:rsidP="005521CD">
            <w:pPr>
              <w:pStyle w:val="Tabletext0"/>
            </w:pPr>
            <w:r w:rsidRPr="00BB1E80">
              <w:t>$29,927</w:t>
            </w:r>
          </w:p>
        </w:tc>
        <w:tc>
          <w:tcPr>
            <w:tcW w:w="1900" w:type="dxa"/>
            <w:tcBorders>
              <w:top w:val="nil"/>
              <w:left w:val="nil"/>
              <w:bottom w:val="single" w:sz="4" w:space="0" w:color="auto"/>
              <w:right w:val="single" w:sz="4" w:space="0" w:color="auto"/>
            </w:tcBorders>
            <w:shd w:val="clear" w:color="auto" w:fill="auto"/>
            <w:noWrap/>
            <w:vAlign w:val="bottom"/>
            <w:hideMark/>
          </w:tcPr>
          <w:p w14:paraId="11FAF961" w14:textId="77777777" w:rsidR="005521CD" w:rsidRPr="00BB1E80" w:rsidRDefault="005521CD" w:rsidP="005521CD">
            <w:pPr>
              <w:pStyle w:val="Tabletext0"/>
            </w:pPr>
            <w:r w:rsidRPr="00BB1E80">
              <w:t>$118,657</w:t>
            </w:r>
          </w:p>
        </w:tc>
      </w:tr>
      <w:tr w:rsidR="008C191C" w:rsidRPr="005521CD" w14:paraId="26DEB682" w14:textId="77777777" w:rsidTr="00D578DE">
        <w:trPr>
          <w:trHeight w:val="310"/>
        </w:trPr>
        <w:tc>
          <w:tcPr>
            <w:tcW w:w="918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F2DB0A6" w14:textId="1662939B" w:rsidR="008C191C" w:rsidRPr="000B151B" w:rsidRDefault="008C191C" w:rsidP="00713C9E">
            <w:pPr>
              <w:pStyle w:val="Tabletext0"/>
            </w:pPr>
            <w:r w:rsidRPr="00B37E9D">
              <w:rPr>
                <w:b/>
                <w:bCs/>
              </w:rPr>
              <w:t>SA4</w:t>
            </w:r>
            <w:r w:rsidRPr="000B151B">
              <w:rPr>
                <w:b/>
                <w:bCs/>
              </w:rPr>
              <w:t xml:space="preserve"> – partial rhinoplasty only, all as same day procedure, all LATERA procedures bilateral, 4.5% of LATERA procedures require reintervention</w:t>
            </w:r>
            <w:r w:rsidRPr="000B151B">
              <w:t> </w:t>
            </w:r>
          </w:p>
        </w:tc>
      </w:tr>
      <w:tr w:rsidR="005521CD" w:rsidRPr="00BB1E80" w14:paraId="1C00F1B5"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90C69C6" w14:textId="77777777" w:rsidR="005521CD" w:rsidRPr="00BB1E80" w:rsidRDefault="005521CD" w:rsidP="0011785E">
            <w:pPr>
              <w:pStyle w:val="Tabletext0"/>
              <w:ind w:left="164"/>
            </w:pPr>
            <w:r w:rsidRPr="00BB1E80">
              <w:t>Total LATERA implantation procedures</w:t>
            </w:r>
          </w:p>
        </w:tc>
        <w:tc>
          <w:tcPr>
            <w:tcW w:w="1900" w:type="dxa"/>
            <w:tcBorders>
              <w:top w:val="nil"/>
              <w:left w:val="nil"/>
              <w:bottom w:val="single" w:sz="4" w:space="0" w:color="auto"/>
              <w:right w:val="single" w:sz="4" w:space="0" w:color="auto"/>
            </w:tcBorders>
            <w:shd w:val="clear" w:color="auto" w:fill="auto"/>
            <w:noWrap/>
            <w:vAlign w:val="bottom"/>
            <w:hideMark/>
          </w:tcPr>
          <w:p w14:paraId="7C42B4E1" w14:textId="083C82EB" w:rsidR="005521CD" w:rsidRPr="00BB1E80" w:rsidRDefault="00391DC7" w:rsidP="005521CD">
            <w:pPr>
              <w:pStyle w:val="Tabletext0"/>
            </w:pPr>
            <w:r w:rsidRPr="00BB1E80">
              <w:rPr>
                <w:b/>
                <w:bCs/>
              </w:rPr>
              <w:t>redacted</w:t>
            </w:r>
            <w:r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249C51F5" w14:textId="14772E37" w:rsidR="005521CD" w:rsidRPr="00BB1E80" w:rsidRDefault="00391DC7" w:rsidP="005521CD">
            <w:pPr>
              <w:pStyle w:val="Tabletext0"/>
            </w:pPr>
            <w:r w:rsidRPr="00BB1E80">
              <w:rPr>
                <w:b/>
                <w:bCs/>
              </w:rPr>
              <w:t xml:space="preserve"> redacted</w:t>
            </w:r>
          </w:p>
        </w:tc>
      </w:tr>
      <w:tr w:rsidR="005521CD" w:rsidRPr="00BB1E80" w14:paraId="2D263856"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B456E17" w14:textId="77777777" w:rsidR="005521CD" w:rsidRPr="00BB1E80" w:rsidRDefault="005521CD" w:rsidP="0011785E">
            <w:pPr>
              <w:pStyle w:val="Tabletext0"/>
              <w:ind w:left="164"/>
            </w:pPr>
            <w:r w:rsidRPr="00BB1E80">
              <w:t>Net change to the MBS</w:t>
            </w:r>
          </w:p>
        </w:tc>
        <w:tc>
          <w:tcPr>
            <w:tcW w:w="1900" w:type="dxa"/>
            <w:tcBorders>
              <w:top w:val="nil"/>
              <w:left w:val="nil"/>
              <w:bottom w:val="single" w:sz="4" w:space="0" w:color="auto"/>
              <w:right w:val="single" w:sz="4" w:space="0" w:color="auto"/>
            </w:tcBorders>
            <w:shd w:val="clear" w:color="auto" w:fill="auto"/>
            <w:noWrap/>
            <w:vAlign w:val="bottom"/>
            <w:hideMark/>
          </w:tcPr>
          <w:p w14:paraId="619D512E" w14:textId="3B34BA57"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5B9CE5BC" w14:textId="70DD6495"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7F925633"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E4C0952" w14:textId="77777777" w:rsidR="005521CD" w:rsidRPr="00BB1E80" w:rsidRDefault="005521CD" w:rsidP="0011785E">
            <w:pPr>
              <w:pStyle w:val="Tabletext0"/>
              <w:ind w:left="164"/>
            </w:pPr>
            <w:r w:rsidRPr="00BB1E80">
              <w:t>Net changes to other hospital resource use</w:t>
            </w:r>
          </w:p>
        </w:tc>
        <w:tc>
          <w:tcPr>
            <w:tcW w:w="1900" w:type="dxa"/>
            <w:tcBorders>
              <w:top w:val="nil"/>
              <w:left w:val="nil"/>
              <w:bottom w:val="single" w:sz="4" w:space="0" w:color="auto"/>
              <w:right w:val="single" w:sz="4" w:space="0" w:color="auto"/>
            </w:tcBorders>
            <w:shd w:val="clear" w:color="auto" w:fill="auto"/>
            <w:noWrap/>
            <w:vAlign w:val="bottom"/>
            <w:hideMark/>
          </w:tcPr>
          <w:p w14:paraId="360E4C9B" w14:textId="7868A52E"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36914F0C" w14:textId="6195DC0E"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7BB87DE4"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C01D060" w14:textId="77777777" w:rsidR="005521CD" w:rsidRPr="00BB1E80" w:rsidRDefault="005521CD" w:rsidP="0011785E">
            <w:pPr>
              <w:pStyle w:val="Tabletext0"/>
              <w:ind w:left="164"/>
            </w:pPr>
            <w:r w:rsidRPr="00BB1E80">
              <w:t>Net change to the PL</w:t>
            </w:r>
          </w:p>
        </w:tc>
        <w:tc>
          <w:tcPr>
            <w:tcW w:w="1900" w:type="dxa"/>
            <w:tcBorders>
              <w:top w:val="nil"/>
              <w:left w:val="nil"/>
              <w:bottom w:val="single" w:sz="4" w:space="0" w:color="auto"/>
              <w:right w:val="single" w:sz="4" w:space="0" w:color="auto"/>
            </w:tcBorders>
            <w:shd w:val="clear" w:color="auto" w:fill="auto"/>
            <w:noWrap/>
            <w:vAlign w:val="bottom"/>
            <w:hideMark/>
          </w:tcPr>
          <w:p w14:paraId="5CA3B170" w14:textId="4D27F926"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1551BC7B" w14:textId="118E0E82" w:rsidR="005521CD" w:rsidRPr="00BB1E80" w:rsidRDefault="005521CD" w:rsidP="005521CD">
            <w:pPr>
              <w:pStyle w:val="Tabletext0"/>
            </w:pPr>
            <w:r w:rsidRPr="00BB1E80">
              <w:t>$</w:t>
            </w:r>
            <w:r w:rsidR="00391DC7" w:rsidRPr="00BB1E80">
              <w:rPr>
                <w:b/>
                <w:bCs/>
              </w:rPr>
              <w:t xml:space="preserve"> redacted</w:t>
            </w:r>
            <w:r w:rsidR="00391DC7" w:rsidRPr="00BB1E80">
              <w:t xml:space="preserve"> </w:t>
            </w:r>
          </w:p>
        </w:tc>
      </w:tr>
      <w:tr w:rsidR="005521CD" w:rsidRPr="00BB1E80" w14:paraId="501FB27F" w14:textId="77777777" w:rsidTr="0011785E">
        <w:trPr>
          <w:trHeight w:val="31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FC29168" w14:textId="77777777" w:rsidR="005521CD" w:rsidRPr="00BB1E80" w:rsidRDefault="005521CD" w:rsidP="0011785E">
            <w:pPr>
              <w:pStyle w:val="Tabletext0"/>
              <w:ind w:left="164"/>
            </w:pPr>
            <w:r w:rsidRPr="00BB1E80">
              <w:t>Net financial implications to the Australian Healthcare system</w:t>
            </w:r>
          </w:p>
        </w:tc>
        <w:tc>
          <w:tcPr>
            <w:tcW w:w="1900" w:type="dxa"/>
            <w:tcBorders>
              <w:top w:val="nil"/>
              <w:left w:val="nil"/>
              <w:bottom w:val="single" w:sz="4" w:space="0" w:color="auto"/>
              <w:right w:val="single" w:sz="4" w:space="0" w:color="auto"/>
            </w:tcBorders>
            <w:shd w:val="clear" w:color="auto" w:fill="auto"/>
            <w:noWrap/>
            <w:vAlign w:val="bottom"/>
            <w:hideMark/>
          </w:tcPr>
          <w:p w14:paraId="16512D1B" w14:textId="77777777" w:rsidR="005521CD" w:rsidRPr="00BB1E80" w:rsidRDefault="005521CD" w:rsidP="005521CD">
            <w:pPr>
              <w:pStyle w:val="Tabletext0"/>
            </w:pPr>
            <w:r w:rsidRPr="00BB1E80">
              <w:t>$35,435</w:t>
            </w:r>
          </w:p>
        </w:tc>
        <w:tc>
          <w:tcPr>
            <w:tcW w:w="1900" w:type="dxa"/>
            <w:tcBorders>
              <w:top w:val="nil"/>
              <w:left w:val="nil"/>
              <w:bottom w:val="single" w:sz="4" w:space="0" w:color="auto"/>
              <w:right w:val="single" w:sz="4" w:space="0" w:color="auto"/>
            </w:tcBorders>
            <w:shd w:val="clear" w:color="auto" w:fill="auto"/>
            <w:noWrap/>
            <w:vAlign w:val="bottom"/>
            <w:hideMark/>
          </w:tcPr>
          <w:p w14:paraId="290F6EF0" w14:textId="77777777" w:rsidR="005521CD" w:rsidRPr="00BB1E80" w:rsidRDefault="005521CD" w:rsidP="005521CD">
            <w:pPr>
              <w:pStyle w:val="Tabletext0"/>
            </w:pPr>
            <w:r w:rsidRPr="00BB1E80">
              <w:t>$140,300</w:t>
            </w:r>
          </w:p>
        </w:tc>
      </w:tr>
    </w:tbl>
    <w:p w14:paraId="05615689" w14:textId="07ED4397" w:rsidR="004D0114" w:rsidRDefault="004D0114" w:rsidP="004D0114">
      <w:pPr>
        <w:pStyle w:val="Heading2"/>
        <w:numPr>
          <w:ilvl w:val="0"/>
          <w:numId w:val="0"/>
        </w:numPr>
      </w:pPr>
      <w:r>
        <w:t>1</w:t>
      </w:r>
      <w:r w:rsidR="002C5802">
        <w:t>5</w:t>
      </w:r>
      <w:r>
        <w:t>.</w:t>
      </w:r>
      <w:r>
        <w:tab/>
      </w:r>
      <w:r w:rsidRPr="00CE28E3">
        <w:t xml:space="preserve">Other relevant </w:t>
      </w:r>
      <w:r>
        <w:t>information</w:t>
      </w:r>
    </w:p>
    <w:p w14:paraId="62391877" w14:textId="0DFB4F95" w:rsidR="00314F8A" w:rsidRPr="00314F8A" w:rsidRDefault="004D0114" w:rsidP="00314F8A">
      <w:r>
        <w:t>Nil</w:t>
      </w:r>
      <w:r w:rsidR="00314F8A">
        <w:br w:type="page"/>
      </w:r>
    </w:p>
    <w:p w14:paraId="5A6E6D49" w14:textId="697C5797" w:rsidR="002C5802" w:rsidRDefault="002C5802" w:rsidP="002C5802">
      <w:pPr>
        <w:pStyle w:val="Heading2"/>
        <w:numPr>
          <w:ilvl w:val="0"/>
          <w:numId w:val="0"/>
        </w:numPr>
      </w:pPr>
      <w:r>
        <w:lastRenderedPageBreak/>
        <w:t>16.</w:t>
      </w:r>
      <w:r>
        <w:tab/>
        <w:t>Key issues from ESC to MSAC</w:t>
      </w:r>
    </w:p>
    <w:tbl>
      <w:tblPr>
        <w:tblStyle w:val="TableGrid"/>
        <w:tblW w:w="0" w:type="auto"/>
        <w:tblLook w:val="04A0" w:firstRow="1" w:lastRow="0" w:firstColumn="1" w:lastColumn="0" w:noHBand="0" w:noVBand="1"/>
      </w:tblPr>
      <w:tblGrid>
        <w:gridCol w:w="9016"/>
      </w:tblGrid>
      <w:tr w:rsidR="002C5802" w:rsidRPr="00CE28E3" w14:paraId="0B526165" w14:textId="77777777" w:rsidTr="00D578DE">
        <w:tc>
          <w:tcPr>
            <w:tcW w:w="9016" w:type="dxa"/>
          </w:tcPr>
          <w:p w14:paraId="7ED18DCA" w14:textId="77777777" w:rsidR="002C5802" w:rsidRPr="008A0FB3" w:rsidRDefault="002C5802" w:rsidP="00D578DE">
            <w:pPr>
              <w:spacing w:before="240" w:after="240"/>
              <w:rPr>
                <w:b/>
                <w:bCs/>
                <w:sz w:val="24"/>
                <w:szCs w:val="24"/>
              </w:rPr>
            </w:pPr>
            <w:r w:rsidRPr="008A0FB3">
              <w:rPr>
                <w:b/>
                <w:bCs/>
                <w:sz w:val="24"/>
                <w:szCs w:val="24"/>
              </w:rPr>
              <w:t xml:space="preserve">Main issues for MSAC consideration </w:t>
            </w:r>
          </w:p>
          <w:p w14:paraId="48398BB3" w14:textId="77777777" w:rsidR="002C5802" w:rsidRDefault="002C5802" w:rsidP="00D578DE">
            <w:pPr>
              <w:pStyle w:val="BoxName0"/>
              <w:pBdr>
                <w:top w:val="none" w:sz="0" w:space="0" w:color="auto"/>
                <w:left w:val="none" w:sz="0" w:space="0" w:color="auto"/>
                <w:bottom w:val="none" w:sz="0" w:space="0" w:color="auto"/>
                <w:right w:val="none" w:sz="0" w:space="0" w:color="auto"/>
              </w:pBdr>
            </w:pPr>
            <w:r>
              <w:t>Clinical issues:</w:t>
            </w:r>
          </w:p>
          <w:p w14:paraId="62B11BAE" w14:textId="77777777" w:rsidR="002C5802" w:rsidRPr="00441C5B" w:rsidRDefault="002C5802" w:rsidP="00D578DE">
            <w:pPr>
              <w:pStyle w:val="Instructionaltext-bullet"/>
              <w:rPr>
                <w:b/>
                <w:bCs/>
                <w:color w:val="auto"/>
              </w:rPr>
            </w:pPr>
            <w:r w:rsidRPr="00441C5B">
              <w:rPr>
                <w:color w:val="auto"/>
              </w:rPr>
              <w:t xml:space="preserve">ESC </w:t>
            </w:r>
            <w:r>
              <w:rPr>
                <w:color w:val="auto"/>
              </w:rPr>
              <w:t xml:space="preserve">considered </w:t>
            </w:r>
            <w:r w:rsidRPr="00441C5B">
              <w:rPr>
                <w:color w:val="auto"/>
              </w:rPr>
              <w:t>that the</w:t>
            </w:r>
            <w:r>
              <w:rPr>
                <w:color w:val="auto"/>
              </w:rPr>
              <w:t xml:space="preserve"> primary</w:t>
            </w:r>
            <w:r w:rsidRPr="00441C5B">
              <w:rPr>
                <w:color w:val="auto"/>
              </w:rPr>
              <w:t xml:space="preserve"> comparator</w:t>
            </w:r>
            <w:r>
              <w:rPr>
                <w:color w:val="auto"/>
              </w:rPr>
              <w:t>, functional rhinoplasty,</w:t>
            </w:r>
            <w:r w:rsidRPr="00441C5B">
              <w:rPr>
                <w:color w:val="auto"/>
              </w:rPr>
              <w:t xml:space="preserve"> for LATERA should be restricted to </w:t>
            </w:r>
            <w:r>
              <w:rPr>
                <w:color w:val="auto"/>
              </w:rPr>
              <w:t xml:space="preserve">comparison with the </w:t>
            </w:r>
            <w:r w:rsidRPr="00441C5B">
              <w:rPr>
                <w:color w:val="auto"/>
              </w:rPr>
              <w:t xml:space="preserve">partial rhinoplasty </w:t>
            </w:r>
            <w:r>
              <w:rPr>
                <w:color w:val="auto"/>
              </w:rPr>
              <w:t xml:space="preserve">MBS items </w:t>
            </w:r>
            <w:r w:rsidRPr="00441C5B">
              <w:rPr>
                <w:color w:val="auto"/>
              </w:rPr>
              <w:t xml:space="preserve">only, because the other rhinoplasty </w:t>
            </w:r>
            <w:r>
              <w:rPr>
                <w:color w:val="auto"/>
              </w:rPr>
              <w:t xml:space="preserve">MBS </w:t>
            </w:r>
            <w:r w:rsidRPr="00441C5B">
              <w:rPr>
                <w:color w:val="auto"/>
              </w:rPr>
              <w:t>items included in the application involve correction of bon</w:t>
            </w:r>
            <w:r>
              <w:rPr>
                <w:color w:val="auto"/>
              </w:rPr>
              <w:t>y</w:t>
            </w:r>
          </w:p>
          <w:p w14:paraId="3F7FD141" w14:textId="77777777" w:rsidR="002C5802" w:rsidRPr="005B221D" w:rsidRDefault="002C5802" w:rsidP="00D578DE">
            <w:pPr>
              <w:pStyle w:val="Instructionaltext-bullet"/>
              <w:rPr>
                <w:b/>
                <w:bCs/>
                <w:color w:val="auto"/>
              </w:rPr>
            </w:pPr>
            <w:r w:rsidRPr="00441C5B">
              <w:rPr>
                <w:color w:val="auto"/>
              </w:rPr>
              <w:t xml:space="preserve">ESC considered that </w:t>
            </w:r>
            <w:r>
              <w:rPr>
                <w:color w:val="auto"/>
              </w:rPr>
              <w:t xml:space="preserve">the secondary comparator, </w:t>
            </w:r>
            <w:r w:rsidRPr="00441C5B">
              <w:rPr>
                <w:color w:val="auto"/>
              </w:rPr>
              <w:t>conservative management</w:t>
            </w:r>
            <w:r>
              <w:rPr>
                <w:color w:val="auto"/>
              </w:rPr>
              <w:t>,</w:t>
            </w:r>
            <w:r w:rsidRPr="00441C5B">
              <w:rPr>
                <w:color w:val="auto"/>
              </w:rPr>
              <w:t xml:space="preserve"> was not an appropriate comparator,</w:t>
            </w:r>
            <w:r>
              <w:rPr>
                <w:color w:val="auto"/>
              </w:rPr>
              <w:t xml:space="preserve"> as the clinical algorithm depicted that</w:t>
            </w:r>
            <w:r w:rsidRPr="00441C5B">
              <w:rPr>
                <w:color w:val="auto"/>
              </w:rPr>
              <w:t xml:space="preserve"> patients would be eligible for LATERA only after they had failed conservative management.</w:t>
            </w:r>
          </w:p>
          <w:p w14:paraId="258B8BCC" w14:textId="77777777" w:rsidR="002C5802" w:rsidRPr="00441C5B" w:rsidRDefault="002C5802" w:rsidP="00D578DE">
            <w:pPr>
              <w:pStyle w:val="Instructionaltext-bullet"/>
              <w:rPr>
                <w:b/>
                <w:bCs/>
                <w:color w:val="auto"/>
              </w:rPr>
            </w:pPr>
            <w:r>
              <w:rPr>
                <w:color w:val="auto"/>
              </w:rPr>
              <w:t xml:space="preserve">The clinical claim that LATERA has non-inferior safety and effectiveness compared to functional rhinoplasty is uncertain as it </w:t>
            </w:r>
            <w:r w:rsidRPr="005B221D">
              <w:rPr>
                <w:color w:val="auto"/>
              </w:rPr>
              <w:t>is</w:t>
            </w:r>
            <w:r>
              <w:rPr>
                <w:color w:val="auto"/>
              </w:rPr>
              <w:t xml:space="preserve"> </w:t>
            </w:r>
            <w:r w:rsidRPr="005B221D">
              <w:rPr>
                <w:color w:val="auto"/>
              </w:rPr>
              <w:t>based on naïve comparisons of low certainty using low quality evidence with a moderate to high risk of bias.</w:t>
            </w:r>
          </w:p>
          <w:p w14:paraId="757EDB23" w14:textId="77777777" w:rsidR="002C5802" w:rsidRPr="00441C5B" w:rsidRDefault="002C5802" w:rsidP="00D578DE">
            <w:pPr>
              <w:pStyle w:val="Instructionaltext-bullet"/>
              <w:rPr>
                <w:b/>
                <w:bCs/>
                <w:color w:val="auto"/>
              </w:rPr>
            </w:pPr>
            <w:r w:rsidRPr="00441C5B">
              <w:rPr>
                <w:color w:val="auto"/>
              </w:rPr>
              <w:t xml:space="preserve">Given the lack of data on long-term </w:t>
            </w:r>
            <w:r>
              <w:rPr>
                <w:color w:val="auto"/>
              </w:rPr>
              <w:t>effectiveness</w:t>
            </w:r>
            <w:r w:rsidRPr="00441C5B">
              <w:rPr>
                <w:color w:val="auto"/>
              </w:rPr>
              <w:t xml:space="preserve">, ESC considered that it was uncertain whether patients would require either a repeat procedure or </w:t>
            </w:r>
            <w:r>
              <w:rPr>
                <w:color w:val="auto"/>
              </w:rPr>
              <w:t xml:space="preserve">subsequent </w:t>
            </w:r>
            <w:r w:rsidRPr="00441C5B">
              <w:rPr>
                <w:color w:val="auto"/>
              </w:rPr>
              <w:t xml:space="preserve">rhinoplasty at a later time. </w:t>
            </w:r>
          </w:p>
          <w:p w14:paraId="1EA9B93D" w14:textId="77777777" w:rsidR="002C5802" w:rsidRPr="00441C5B" w:rsidRDefault="002C5802" w:rsidP="00D578DE">
            <w:pPr>
              <w:pStyle w:val="BoxHeading"/>
              <w:pBdr>
                <w:top w:val="none" w:sz="0" w:space="0" w:color="auto"/>
                <w:left w:val="none" w:sz="0" w:space="0" w:color="auto"/>
                <w:bottom w:val="none" w:sz="0" w:space="0" w:color="auto"/>
                <w:right w:val="none" w:sz="0" w:space="0" w:color="auto"/>
              </w:pBdr>
              <w:rPr>
                <w:color w:val="auto"/>
              </w:rPr>
            </w:pPr>
            <w:r w:rsidRPr="00441C5B">
              <w:rPr>
                <w:color w:val="auto"/>
              </w:rPr>
              <w:t>Economic issues:</w:t>
            </w:r>
          </w:p>
          <w:p w14:paraId="703425CF" w14:textId="77777777" w:rsidR="002C5802" w:rsidRPr="00441C5B" w:rsidRDefault="002C5802" w:rsidP="00D578DE">
            <w:pPr>
              <w:pStyle w:val="Instructionaltext-bullet"/>
              <w:rPr>
                <w:color w:val="auto"/>
              </w:rPr>
            </w:pPr>
            <w:r>
              <w:rPr>
                <w:color w:val="auto"/>
              </w:rPr>
              <w:t>As a consequence of the clinical issues, ESC</w:t>
            </w:r>
            <w:r w:rsidRPr="00441C5B">
              <w:rPr>
                <w:color w:val="auto"/>
              </w:rPr>
              <w:t xml:space="preserve"> considered that the cost-effectiveness analysis compar</w:t>
            </w:r>
            <w:r>
              <w:rPr>
                <w:color w:val="auto"/>
              </w:rPr>
              <w:t>ing LATERA</w:t>
            </w:r>
            <w:r w:rsidRPr="00441C5B">
              <w:rPr>
                <w:color w:val="auto"/>
              </w:rPr>
              <w:t xml:space="preserve"> with conservative management was not relevant</w:t>
            </w:r>
            <w:r>
              <w:rPr>
                <w:color w:val="auto"/>
              </w:rPr>
              <w:t xml:space="preserve"> to decision making</w:t>
            </w:r>
            <w:r w:rsidRPr="00441C5B">
              <w:rPr>
                <w:color w:val="auto"/>
              </w:rPr>
              <w:t>, as conservative management was not an appropriate comparator.</w:t>
            </w:r>
          </w:p>
          <w:p w14:paraId="1B9B6F70" w14:textId="77777777" w:rsidR="002C5802" w:rsidRDefault="002C5802" w:rsidP="00D578DE">
            <w:pPr>
              <w:pStyle w:val="Instructionaltext-bullet"/>
              <w:rPr>
                <w:color w:val="auto"/>
              </w:rPr>
            </w:pPr>
            <w:r w:rsidRPr="00441C5B">
              <w:rPr>
                <w:color w:val="auto"/>
              </w:rPr>
              <w:t>ESC considered that the cost-minimisation analysis compar</w:t>
            </w:r>
            <w:r>
              <w:rPr>
                <w:color w:val="auto"/>
              </w:rPr>
              <w:t xml:space="preserve">ing LATERA </w:t>
            </w:r>
            <w:r w:rsidRPr="00441C5B">
              <w:rPr>
                <w:color w:val="auto"/>
              </w:rPr>
              <w:t xml:space="preserve">with </w:t>
            </w:r>
            <w:r>
              <w:rPr>
                <w:color w:val="auto"/>
              </w:rPr>
              <w:t xml:space="preserve">functional </w:t>
            </w:r>
            <w:r w:rsidRPr="00441C5B">
              <w:rPr>
                <w:color w:val="auto"/>
              </w:rPr>
              <w:t xml:space="preserve">rhinoplasty required substantial revision to include only partial rhinoplasty as the appropriate comparator. </w:t>
            </w:r>
          </w:p>
          <w:p w14:paraId="350ECB45" w14:textId="77777777" w:rsidR="002C5802" w:rsidRPr="00AE4565" w:rsidRDefault="002C5802" w:rsidP="00D578DE">
            <w:pPr>
              <w:pStyle w:val="Instructionaltext-bullet"/>
              <w:rPr>
                <w:color w:val="auto"/>
              </w:rPr>
            </w:pPr>
            <w:r>
              <w:rPr>
                <w:color w:val="auto"/>
              </w:rPr>
              <w:t>The overall cost savings relied on</w:t>
            </w:r>
            <w:r w:rsidRPr="00AE4565">
              <w:rPr>
                <w:color w:val="auto"/>
              </w:rPr>
              <w:t xml:space="preserve"> assumed hospital cost savings that may not be realistic if rhinoplasty </w:t>
            </w:r>
            <w:r>
              <w:rPr>
                <w:color w:val="auto"/>
              </w:rPr>
              <w:t>is performed as</w:t>
            </w:r>
            <w:r w:rsidRPr="00AE4565">
              <w:rPr>
                <w:color w:val="auto"/>
              </w:rPr>
              <w:t xml:space="preserve"> a day procedure.</w:t>
            </w:r>
          </w:p>
          <w:p w14:paraId="1398D6A8" w14:textId="77777777" w:rsidR="002C5802" w:rsidRDefault="002C5802" w:rsidP="00D578DE">
            <w:pPr>
              <w:pStyle w:val="Instructionaltext-bullet"/>
              <w:rPr>
                <w:color w:val="auto"/>
              </w:rPr>
            </w:pPr>
            <w:r w:rsidRPr="00441C5B">
              <w:rPr>
                <w:color w:val="auto"/>
              </w:rPr>
              <w:t xml:space="preserve">The potential number of patients who require revision or removal of the device was not </w:t>
            </w:r>
            <w:r>
              <w:rPr>
                <w:color w:val="auto"/>
              </w:rPr>
              <w:t>considered</w:t>
            </w:r>
            <w:r w:rsidRPr="00441C5B">
              <w:rPr>
                <w:color w:val="auto"/>
              </w:rPr>
              <w:t xml:space="preserve"> in the </w:t>
            </w:r>
            <w:r>
              <w:rPr>
                <w:color w:val="auto"/>
              </w:rPr>
              <w:t>ADAR</w:t>
            </w:r>
            <w:r w:rsidRPr="00441C5B">
              <w:rPr>
                <w:color w:val="auto"/>
              </w:rPr>
              <w:t>.</w:t>
            </w:r>
            <w:r>
              <w:rPr>
                <w:color w:val="auto"/>
              </w:rPr>
              <w:t xml:space="preserve"> ESC considered t</w:t>
            </w:r>
            <w:r w:rsidRPr="00AE4565">
              <w:rPr>
                <w:color w:val="auto"/>
              </w:rPr>
              <w:t xml:space="preserve">he cost-minimisation model should be extended to 2 years to account for </w:t>
            </w:r>
            <w:r>
              <w:rPr>
                <w:color w:val="auto"/>
              </w:rPr>
              <w:t>reintervention and subsequent rhinoplasty procedures</w:t>
            </w:r>
            <w:r w:rsidRPr="00AE4565">
              <w:rPr>
                <w:color w:val="auto"/>
              </w:rPr>
              <w:t xml:space="preserve">. </w:t>
            </w:r>
          </w:p>
          <w:p w14:paraId="696FB489" w14:textId="77777777" w:rsidR="002C5802" w:rsidRPr="00910E11" w:rsidRDefault="002C5802" w:rsidP="00D578DE">
            <w:pPr>
              <w:pStyle w:val="Instructionaltext-bullet"/>
              <w:rPr>
                <w:color w:val="auto"/>
              </w:rPr>
            </w:pPr>
            <w:r>
              <w:rPr>
                <w:color w:val="auto"/>
              </w:rPr>
              <w:t>Sensitivity analyses requested by ESC, testing the above parameters indicate the cost-savings of LATERA compared to rhinoplasty reported in the ADAR is highly uncertain.</w:t>
            </w:r>
          </w:p>
          <w:p w14:paraId="7D6DCCE0" w14:textId="77777777" w:rsidR="002C5802" w:rsidRPr="00441C5B" w:rsidRDefault="002C5802" w:rsidP="00D578DE">
            <w:pPr>
              <w:pStyle w:val="BoxHeading"/>
              <w:pBdr>
                <w:top w:val="none" w:sz="0" w:space="0" w:color="auto"/>
                <w:left w:val="none" w:sz="0" w:space="0" w:color="auto"/>
                <w:bottom w:val="none" w:sz="0" w:space="0" w:color="auto"/>
                <w:right w:val="none" w:sz="0" w:space="0" w:color="auto"/>
              </w:pBdr>
              <w:rPr>
                <w:color w:val="auto"/>
              </w:rPr>
            </w:pPr>
            <w:r w:rsidRPr="00441C5B">
              <w:rPr>
                <w:color w:val="auto"/>
              </w:rPr>
              <w:t>Financial issues:</w:t>
            </w:r>
          </w:p>
          <w:p w14:paraId="785996CC" w14:textId="77777777" w:rsidR="002C5802" w:rsidRDefault="002C5802" w:rsidP="00D578DE">
            <w:pPr>
              <w:pStyle w:val="Instructionaltext-bullet"/>
              <w:rPr>
                <w:color w:val="auto"/>
              </w:rPr>
            </w:pPr>
            <w:r w:rsidRPr="00441C5B">
              <w:rPr>
                <w:color w:val="auto"/>
              </w:rPr>
              <w:t>ESC considered that the financial estimates required substantial revision in line with the economics to account for the appropriate comparator only, and to revise the prevalent population and projected rate of uptake.</w:t>
            </w:r>
          </w:p>
          <w:p w14:paraId="1FFAFFD4" w14:textId="77777777" w:rsidR="002C5802" w:rsidRPr="00441C5B" w:rsidRDefault="002C5802" w:rsidP="00D578DE">
            <w:pPr>
              <w:pStyle w:val="Instructionaltext-bullet"/>
              <w:rPr>
                <w:color w:val="auto"/>
              </w:rPr>
            </w:pPr>
            <w:r>
              <w:rPr>
                <w:color w:val="auto"/>
              </w:rPr>
              <w:t xml:space="preserve">Sensitivity analyses requested by ESC indicated that the overall savings to the Australian Healthcare System reported in the ADAR may not be realised. </w:t>
            </w:r>
          </w:p>
          <w:p w14:paraId="7B353B42" w14:textId="77777777" w:rsidR="002C5802" w:rsidRDefault="002C5802" w:rsidP="00D578DE">
            <w:pPr>
              <w:pStyle w:val="Instructionaltext-bullet"/>
              <w:rPr>
                <w:color w:val="auto"/>
              </w:rPr>
            </w:pPr>
            <w:r>
              <w:rPr>
                <w:color w:val="auto"/>
              </w:rPr>
              <w:t>T</w:t>
            </w:r>
            <w:r w:rsidRPr="00441C5B">
              <w:rPr>
                <w:color w:val="auto"/>
              </w:rPr>
              <w:t>he cost of the LATERA device appeared to be higher than other comparable bioabsorbable implants on the PL.</w:t>
            </w:r>
          </w:p>
          <w:p w14:paraId="442F4B9C" w14:textId="77777777" w:rsidR="002C5802" w:rsidRPr="00441C5B" w:rsidRDefault="002C5802" w:rsidP="00D578DE">
            <w:pPr>
              <w:pStyle w:val="Instructionaltext-bullet"/>
              <w:rPr>
                <w:color w:val="auto"/>
              </w:rPr>
            </w:pPr>
            <w:r>
              <w:rPr>
                <w:color w:val="auto"/>
              </w:rPr>
              <w:t>Overall, ESC considered the financial estimates to be highly uncertain</w:t>
            </w:r>
          </w:p>
          <w:p w14:paraId="65748A98" w14:textId="77777777" w:rsidR="002C5802" w:rsidRPr="00441C5B" w:rsidRDefault="002C5802" w:rsidP="00D578DE">
            <w:pPr>
              <w:pStyle w:val="BoxHeading"/>
              <w:pBdr>
                <w:top w:val="none" w:sz="0" w:space="0" w:color="auto"/>
                <w:left w:val="none" w:sz="0" w:space="0" w:color="auto"/>
                <w:bottom w:val="none" w:sz="0" w:space="0" w:color="auto"/>
                <w:right w:val="none" w:sz="0" w:space="0" w:color="auto"/>
              </w:pBdr>
              <w:rPr>
                <w:color w:val="auto"/>
              </w:rPr>
            </w:pPr>
            <w:r w:rsidRPr="00441C5B">
              <w:rPr>
                <w:color w:val="auto"/>
              </w:rPr>
              <w:t>Other relevant information:</w:t>
            </w:r>
          </w:p>
          <w:p w14:paraId="6A70FACC" w14:textId="751C3C38" w:rsidR="002C5802" w:rsidRPr="00B35576" w:rsidRDefault="002C5802" w:rsidP="00B35576">
            <w:pPr>
              <w:pStyle w:val="Instructionaltext-bullet"/>
              <w:rPr>
                <w:color w:val="auto"/>
              </w:rPr>
            </w:pPr>
            <w:r>
              <w:rPr>
                <w:color w:val="auto"/>
              </w:rPr>
              <w:t>I</w:t>
            </w:r>
            <w:r w:rsidRPr="00441C5B">
              <w:rPr>
                <w:color w:val="auto"/>
              </w:rPr>
              <w:t>f the procedure is categorised as type C, consumers will face out-of-pocket costs</w:t>
            </w:r>
            <w:r>
              <w:rPr>
                <w:color w:val="auto"/>
              </w:rPr>
              <w:t xml:space="preserve"> if the procedure is performed in a consulting room</w:t>
            </w:r>
            <w:r w:rsidRPr="00441C5B">
              <w:rPr>
                <w:color w:val="auto"/>
              </w:rPr>
              <w:t xml:space="preserve">, as the device </w:t>
            </w:r>
            <w:r>
              <w:rPr>
                <w:color w:val="auto"/>
              </w:rPr>
              <w:t>(if included on the Prostheses List) would not be covered by Private Health Insurers.</w:t>
            </w:r>
          </w:p>
        </w:tc>
      </w:tr>
    </w:tbl>
    <w:p w14:paraId="3A97C109" w14:textId="77777777" w:rsidR="00314F8A" w:rsidRDefault="00314F8A">
      <w:pPr>
        <w:spacing w:before="0"/>
        <w:rPr>
          <w:rFonts w:eastAsia="Times New Roman" w:cs="Arial"/>
          <w:b/>
          <w:bCs/>
          <w:iCs/>
          <w:color w:val="000000"/>
          <w:sz w:val="24"/>
          <w:szCs w:val="28"/>
          <w:lang w:eastAsia="en-AU"/>
        </w:rPr>
      </w:pPr>
      <w:r>
        <w:rPr>
          <w:rFonts w:eastAsia="Times New Roman" w:cs="Arial"/>
          <w:b/>
          <w:bCs/>
          <w:iCs/>
          <w:color w:val="000000"/>
          <w:sz w:val="24"/>
          <w:szCs w:val="28"/>
          <w:lang w:eastAsia="en-AU"/>
        </w:rPr>
        <w:br w:type="page"/>
      </w:r>
    </w:p>
    <w:p w14:paraId="702BD987" w14:textId="0C808C6C" w:rsidR="002C5802" w:rsidRDefault="002C5802" w:rsidP="002C5802">
      <w:pPr>
        <w:rPr>
          <w:rFonts w:eastAsia="Times New Roman" w:cs="Arial"/>
          <w:b/>
          <w:bCs/>
          <w:iCs/>
          <w:color w:val="000000"/>
          <w:sz w:val="24"/>
          <w:szCs w:val="28"/>
          <w:lang w:eastAsia="en-AU"/>
        </w:rPr>
      </w:pPr>
      <w:r>
        <w:rPr>
          <w:rFonts w:eastAsia="Times New Roman" w:cs="Arial"/>
          <w:b/>
          <w:bCs/>
          <w:iCs/>
          <w:color w:val="000000"/>
          <w:sz w:val="24"/>
          <w:szCs w:val="28"/>
          <w:lang w:eastAsia="en-AU"/>
        </w:rPr>
        <w:lastRenderedPageBreak/>
        <w:t>ESC discussion</w:t>
      </w:r>
    </w:p>
    <w:p w14:paraId="1243FB20" w14:textId="772561F5" w:rsidR="002C5802" w:rsidRDefault="002C5802" w:rsidP="002C5802">
      <w:r>
        <w:t>ESC noted that the application sought Medicare Benefits Schedule (MBS) listing of services for the insertion of a bioabsorbable implant (LATERA) for the treatment of nasal airway obstruction (NAO) due to lateral wall insufficiency (LWI). ESC also noted that the applicant had also submitted an application to the Prostheses List Advisory Committee seeking listing of the LATERA implant on the Prostheses List (PL).</w:t>
      </w:r>
    </w:p>
    <w:p w14:paraId="5505B07F" w14:textId="77777777" w:rsidR="002C5802" w:rsidRDefault="002C5802" w:rsidP="002C5802">
      <w:r>
        <w:t>ESC noted the consultation feedback raised concern that consumers would face out-of-pocket costs if the LATERA device was not listed on the PL. Feedback also noted that the intervention may provide considerable cost savings compared with rhinoplasty, and may also save time for consumers and carers who rely on temporary relief through conservative management. ESC also noted feedback had queried whether the item could be claimed only once per lifetime or whether revision would be included. Feedback also highlighted that the procedure should not be provided by cosmetic surgeons, as the MBS cannot be used for cosmetic procedures.</w:t>
      </w:r>
    </w:p>
    <w:p w14:paraId="5650E8FA" w14:textId="77777777" w:rsidR="002C5802" w:rsidRDefault="002C5802" w:rsidP="002C5802">
      <w:r>
        <w:t xml:space="preserve">ESC noted the commentary proposed MBS item descriptor and considered the descriptor should not specify “in patients contraindicated to general anaesthetic”, as the procedure can be done under either local or general anaesthetic. ESC noted the applicant’s pre-ESC response agreed with the commentary that the MBS item descriptor should specify a Nasal Obstruction Symptom Evaluation (NOSE) score of </w:t>
      </w:r>
      <w:r>
        <w:rPr>
          <w:rFonts w:ascii="Symbol" w:eastAsia="Symbol" w:hAnsi="Symbol" w:cs="Symbol"/>
        </w:rPr>
        <w:t>³</w:t>
      </w:r>
      <w:r>
        <w:t xml:space="preserve">55 (rather than &gt;45) to match the eligibility criteria and NOSE score of patients included in the clinical studies for the LATERA implant. ESC noted that the commentary had also posed a suggestion to increase the NOSE score to 70 based on the mean NOSE score in the LATERA studies. However, ESC did not consider this suggestion appropriate as it was not supported by the available evidence (i.e., the patients included in the LATERA clinical evidence had a NOSE score range of 55-100). ESC noted that MBS items for revision or removal had not been covered in the Applicant Developed Assessment Report (ADAR). </w:t>
      </w:r>
    </w:p>
    <w:p w14:paraId="7906ADC9" w14:textId="77777777" w:rsidR="002C5802" w:rsidRDefault="002C5802" w:rsidP="002C5802">
      <w:r>
        <w:t>ESC noted the NOSE score is determined using an instrument</w:t>
      </w:r>
      <w:r>
        <w:rPr>
          <w:rStyle w:val="FootnoteReference"/>
        </w:rPr>
        <w:footnoteReference w:id="23"/>
      </w:r>
      <w:r>
        <w:t xml:space="preserve"> that is completed by patients and asks how much of a problem each of five conditions has been in the past month. ESC considered that several of the questions appeared to be overlapping and non-discriminatory – for example, the difference between “nasal blockage or obstruction” and “trouble breathing through my nose” was unclear. ESC queried whether an objective measure of nasal flow would be more appropriate. However, it was noted that objective measures are often not reproducible or concordant, and the NOSE score is consistently more sensitive and specific than objective measures in this field</w:t>
      </w:r>
      <w:r>
        <w:rPr>
          <w:vertAlign w:val="superscript"/>
        </w:rPr>
        <w:t>1</w:t>
      </w:r>
      <w:r>
        <w:t>.</w:t>
      </w:r>
    </w:p>
    <w:p w14:paraId="1045F89A" w14:textId="20B5B4F6" w:rsidR="002C5802" w:rsidRDefault="002C5802" w:rsidP="002C5802">
      <w:r>
        <w:t>ESC noted the clinical management algorithm (</w:t>
      </w:r>
      <w:r>
        <w:fldChar w:fldCharType="begin"/>
      </w:r>
      <w:r>
        <w:instrText xml:space="preserve"> REF _Ref122553067 \h </w:instrText>
      </w:r>
      <w:r>
        <w:fldChar w:fldCharType="separate"/>
      </w:r>
      <w:r w:rsidR="003511D3">
        <w:t xml:space="preserve">Figure </w:t>
      </w:r>
      <w:r w:rsidR="003511D3">
        <w:rPr>
          <w:noProof/>
        </w:rPr>
        <w:t>1</w:t>
      </w:r>
      <w:r>
        <w:fldChar w:fldCharType="end"/>
      </w:r>
      <w:r>
        <w:t>), in which patients with NAO due to LWI with a NOSE score of 45 or more despite conservative management (that is, who have failed conservative management) could either continue conservative management, have insertion of a bioabsorbable implant or have functional rhinoplasty.</w:t>
      </w:r>
      <w:r w:rsidDel="007667A6">
        <w:t xml:space="preserve"> </w:t>
      </w:r>
      <w:r>
        <w:t>Therefore, the nominated comparators are functional rhinoplasty (primary) and conservative management (secondary).</w:t>
      </w:r>
      <w:r w:rsidDel="007667A6">
        <w:t xml:space="preserve"> </w:t>
      </w:r>
      <w:r>
        <w:t>ESC noted that patients with NAO have a very mixed aetiology, and</w:t>
      </w:r>
      <w:r w:rsidDel="007667A6">
        <w:t xml:space="preserve"> </w:t>
      </w:r>
      <w:r>
        <w:t xml:space="preserve">while ~73% may have LWI it is often in conjunction with other causes of NAO such as inferior turbinate hypertrophy. As such, ESC considered only a small percentage of patients (~7%) would have isolated LWI causing NAO. ESC noted that functional rhinoplasty is covered by three existing MBS items. Partial rhinoplasty (MBS item </w:t>
      </w:r>
      <w:bookmarkStart w:id="59" w:name="_Hlk128137461"/>
      <w:r>
        <w:t xml:space="preserve">45632) </w:t>
      </w:r>
      <w:bookmarkEnd w:id="59"/>
      <w:r>
        <w:t xml:space="preserve">involves correction of cartilage only and accounts for ~9% of utilisation of rhinoplasty items. The other two rhinoplasty MBS items are for total rhinoplasty that involves </w:t>
      </w:r>
      <w:r w:rsidRPr="0002668B">
        <w:t>correction of all bony and cartilaginous elements of the external nose</w:t>
      </w:r>
      <w:r>
        <w:t xml:space="preserve">. MBS item 45641 (total rhinoplasty with or without autogenous cartilage or bone graft from a </w:t>
      </w:r>
      <w:r>
        <w:lastRenderedPageBreak/>
        <w:t xml:space="preserve">local site [nose]) accounts for 75% of utilisation of rhinoplasty items, and item 45644 (total rhinoplasty with </w:t>
      </w:r>
      <w:r w:rsidRPr="008C68F3">
        <w:t>autogenous bone or cartilage graft obtained from distant donor site</w:t>
      </w:r>
      <w:r>
        <w:t>) accounts for 16% of utilisation. ESC considered that the two total rhinoplasty MBS items involving correction to bony elements of the nose were not relevant to the proposed population with NAO due to LWI, as the implant only addresses the soft tissue component of obstruction. Therefore, the only relevant comparator for this population was partial rhinoplasty (MBS item 45632). ESC also did not consider the secondary comparison with conservative management to be useful for decision making noting that, as described in the clinical management algorithm, patients would be eligible for LATERA only after they had failed conservative management.</w:t>
      </w:r>
    </w:p>
    <w:p w14:paraId="675ED3BB" w14:textId="77777777" w:rsidR="002C5802" w:rsidRDefault="002C5802" w:rsidP="002C5802">
      <w:r>
        <w:t xml:space="preserve">ESC noted the clinical evidence presented to support the comparison of LATERA versus functional rhinoplasty was highly uncertain. ESC noted that only naive comparisons between LATERA and functional rhinoplasty were presented. The studies had variable follow-up periods and the rhinoplasty studies had variable surgical interventions. ESC noted that around 85% of patients in the LATERA studies received bilateral insertion of the device. Regarding comparative safety, ESC noted the most common adverse </w:t>
      </w:r>
      <w:r w:rsidRPr="007307A4">
        <w:t>event</w:t>
      </w:r>
      <w:r>
        <w:t xml:space="preserve"> for LATERA was implant retrieval/ exclusion/ migration, </w:t>
      </w:r>
      <w:r w:rsidRPr="007307A4">
        <w:t>which was ~</w:t>
      </w:r>
      <w:r>
        <w:t>9</w:t>
      </w:r>
      <w:r w:rsidRPr="007307A4">
        <w:t>% in the extended</w:t>
      </w:r>
      <w:r>
        <w:t xml:space="preserve"> LATERA-RCT study. Regarding comparative effectiveness, ESC noted the ADAR reported that NOSE score reductions were potentially greater following LATERA compared with functional rhinoplasty at 6 months, 12 months and last follow-up. However, ESC noted that these conclusions were based on naïve comparisons of low certainty using low quality evidence with a moderate to high risk of bias. </w:t>
      </w:r>
    </w:p>
    <w:p w14:paraId="3BED9815" w14:textId="2DFFDA1B" w:rsidR="002C5802" w:rsidRDefault="002C5802" w:rsidP="002C5802">
      <w:r>
        <w:t>ESC also noted a study comparing NOSE scores after autologous cartilage grafts compared with LATERA, which indicated that autologous grafting may be superior to LATERA</w:t>
      </w:r>
      <w:r>
        <w:rPr>
          <w:rStyle w:val="FootnoteReference"/>
        </w:rPr>
        <w:footnoteReference w:id="24"/>
      </w:r>
      <w:r>
        <w:t>. ESC also noted data on the response rate over time from the LATERA studies indicated that &gt;80% of patients who received LATERA achieved a response after 24 months (</w:t>
      </w:r>
      <w:r>
        <w:fldChar w:fldCharType="begin"/>
      </w:r>
      <w:r>
        <w:instrText xml:space="preserve"> REF _Ref120630635 \h </w:instrText>
      </w:r>
      <w:r>
        <w:fldChar w:fldCharType="separate"/>
      </w:r>
      <w:r w:rsidR="003511D3">
        <w:t xml:space="preserve">Table </w:t>
      </w:r>
      <w:r w:rsidR="003511D3">
        <w:rPr>
          <w:noProof/>
        </w:rPr>
        <w:t>17</w:t>
      </w:r>
      <w:r>
        <w:fldChar w:fldCharType="end"/>
      </w:r>
      <w:r>
        <w:t>). ESC queried whether this meant that up to 20% of patients would go on to have either a repeat LATERA procedure or subsequent functional rhinoplasty procedure. In addition, ESC noted that long-term data on the longevity of the clinical effectiveness for LATERA were lacking. ESC considered that the applicant’s assertion that the remaining scar tissue after the device had been bioabsorbed would be sufficient to maintain the effect was speculative. ESC noted that the applicant’s claim that the device is bioabsorbed was based on a single animal study</w:t>
      </w:r>
      <w:r>
        <w:rPr>
          <w:rStyle w:val="FootnoteReference"/>
        </w:rPr>
        <w:footnoteReference w:id="25"/>
      </w:r>
      <w:r>
        <w:t xml:space="preserve">. Given the lack of available data on the long-term effectiveness, for all patients, ESC queried whether LATERA would simply act as a bridge to functional rhinoplasty and would therefore only delay rhinoplasty and increase costs. </w:t>
      </w:r>
      <w:r w:rsidRPr="003C3BC0">
        <w:t xml:space="preserve">ESC noted that </w:t>
      </w:r>
      <w:r>
        <w:t xml:space="preserve">there may be </w:t>
      </w:r>
      <w:r w:rsidRPr="003C3BC0">
        <w:t xml:space="preserve">safety </w:t>
      </w:r>
      <w:r>
        <w:t xml:space="preserve">(and utilisation) </w:t>
      </w:r>
      <w:r w:rsidRPr="003C3BC0">
        <w:t xml:space="preserve">data from the United States on LATERA </w:t>
      </w:r>
      <w:r>
        <w:t xml:space="preserve">which </w:t>
      </w:r>
      <w:r w:rsidRPr="003C3BC0">
        <w:t>may be helpful in MSAC’s decision making.</w:t>
      </w:r>
      <w:r>
        <w:t xml:space="preserve"> However, based on the presented evidence, ESC considered that the ADAR’s claim that LATERA has non-inferior effectiveness and at least non-inferior safety compared to functional rhinoplasty was uncertain. </w:t>
      </w:r>
    </w:p>
    <w:p w14:paraId="24F02DBB" w14:textId="77777777" w:rsidR="002C5802" w:rsidRDefault="002C5802" w:rsidP="002C5802">
      <w:r>
        <w:t xml:space="preserve">ESC noted for the comparison of LATERA versus conservative management, a randomised controlled trial (RCT) comparing LATERA with sham treatment (as a proxy for conservative management) was presented. ESC noted the evidence indicated that compared to the sham procedure, LATERA likely reduces NOSE score at 3 months, likely increases the proportion of responders at 3 months, and likely reduces Visual Analog Scale score at 3 months. Most patients in the LATERA arm were of older age and had higher NOSE scores than patients in the sham arm (which may overestimate effectiveness of LATERA). The trial results reported the median change in score, not the proportion of patients with change in NOSE severity category. The study had a </w:t>
      </w:r>
      <w:r>
        <w:lastRenderedPageBreak/>
        <w:t xml:space="preserve">moderate risk of bias and ESC noted the conflicts of interest of the study authors. ESC queried whether sham treatment was an appropriate proxy for conservative management, and considered the ADAR’s claim that LATERA has superior effectiveness and superior safety compared to conservative management was uncertain. Although ESC considered these issues were less relevant if conservative management was excluded as a comparator altogether. </w:t>
      </w:r>
    </w:p>
    <w:p w14:paraId="2D171914" w14:textId="125754EE" w:rsidR="002C5802" w:rsidRDefault="002C5802" w:rsidP="002C5802">
      <w:r>
        <w:t>ESC noted the ADAR presented a cost-minimisation analysis comparing LATERA with functional rhinoplasty (primary comparator). ESC noted the main cost components for rhinoplasty were anaesthetist, ENT (ear, nose &amp; throat) surgeon/rhinologist, and hospital stay costs, calculated based on the distribution of rhinoplasty surgeries across Australia. ESC considered that these costs should be revised to only include those for partial rhinoplasty as the appropriate comparator. ESC noted this would reduce the anaesthesia and theatre hospital costs for rhinoplasty. ESC also noted that the analysis did not list all of the costs associated with the intervention and the comparator, for example the analysis did not include follow-up costs for revisions or removals. ESC considered that the cost-minimisation model should be extended to 2 years to account for reintervention and subsequent rhinoplasty procedures. ESC requested sensitivity analyses (which were developed by the department) testing the above parameters (</w:t>
      </w:r>
      <w:r>
        <w:fldChar w:fldCharType="begin"/>
      </w:r>
      <w:r>
        <w:instrText xml:space="preserve"> REF _Ref128143264 \h </w:instrText>
      </w:r>
      <w:r>
        <w:fldChar w:fldCharType="separate"/>
      </w:r>
      <w:r w:rsidR="003511D3" w:rsidRPr="00F63105">
        <w:t xml:space="preserve">Table </w:t>
      </w:r>
      <w:r w:rsidR="003511D3">
        <w:rPr>
          <w:noProof/>
        </w:rPr>
        <w:t>20</w:t>
      </w:r>
      <w:r>
        <w:fldChar w:fldCharType="end"/>
      </w:r>
      <w:r>
        <w:t xml:space="preserve">). ESC noted these sensitivity analyses suggested that the proposed cost savings are uncertain and in some circumstances, LATERA may be more costly than the comparator of partial rhinoplasty. </w:t>
      </w:r>
    </w:p>
    <w:p w14:paraId="6A29EC4E" w14:textId="77777777" w:rsidR="002C5802" w:rsidRDefault="002C5802" w:rsidP="002C5802">
      <w:r>
        <w:t>ESC noted the ADAR presented a cost-utility analysis comparing LATERA with conservative management (secondary).  ESC noted the commentary raised a number of issues including assuming the</w:t>
      </w:r>
      <w:r w:rsidRPr="00032675">
        <w:t xml:space="preserve"> comparator</w:t>
      </w:r>
      <w:r>
        <w:t xml:space="preserve"> had zero cost</w:t>
      </w:r>
      <w:r w:rsidRPr="00032675">
        <w:t xml:space="preserve">, </w:t>
      </w:r>
      <w:r>
        <w:t xml:space="preserve">using </w:t>
      </w:r>
      <w:r w:rsidRPr="00032675">
        <w:t>utility values from septorhinoplasty</w:t>
      </w:r>
      <w:r>
        <w:t xml:space="preserve"> with a different population to the LATERA studies</w:t>
      </w:r>
      <w:r w:rsidRPr="00032675">
        <w:t>,</w:t>
      </w:r>
      <w:r>
        <w:t xml:space="preserve"> and did not include</w:t>
      </w:r>
      <w:r w:rsidRPr="00032675">
        <w:t xml:space="preserve"> revision rates or safety costs</w:t>
      </w:r>
      <w:r>
        <w:t>. Overall, ESC considered that the cost-utility analysis comparing LATERA with conservative management was not useful for decision making.</w:t>
      </w:r>
    </w:p>
    <w:p w14:paraId="655B5695" w14:textId="44991C56" w:rsidR="002C5802" w:rsidRDefault="002C5802" w:rsidP="002C5802">
      <w:r>
        <w:t xml:space="preserve">ESC noted the issues identified with the comparator and inputs to the economic analyses flow on to impact the financial analysis. ESC noted the ADAR used a mixed epidemiological and market share approach, using the current MBS utilisation rates for rhinoplasty and assumed 72% of these procedures were patients who underwent rhinoplasty for LWI. The ADAR then assumed </w:t>
      </w:r>
      <w:r w:rsidR="00D616B5" w:rsidRPr="00D616B5">
        <w:rPr>
          <w:b/>
          <w:bCs/>
        </w:rPr>
        <w:t>redacted</w:t>
      </w:r>
      <w:r>
        <w:t xml:space="preserve">% (Year 1) to </w:t>
      </w:r>
      <w:r w:rsidR="00D616B5" w:rsidRPr="00D616B5">
        <w:rPr>
          <w:b/>
          <w:bCs/>
        </w:rPr>
        <w:t>redacted</w:t>
      </w:r>
      <w:r w:rsidRPr="00BB1E80">
        <w:t>%</w:t>
      </w:r>
      <w:r>
        <w:t xml:space="preserve"> (Year 6) of these patients would take up LATERA instead. The ADAR proposed there would be a net saving to the MBS of around $</w:t>
      </w:r>
      <w:r w:rsidR="00D616B5" w:rsidRPr="00D616B5">
        <w:rPr>
          <w:b/>
          <w:bCs/>
        </w:rPr>
        <w:t>redacted</w:t>
      </w:r>
      <w:r>
        <w:t xml:space="preserve"> by Year 6. However, as noted earlier, ESC considered partial rhinoplasty involving cartilage only to be the appropriate comparator. ESC also agreed with the commentary that the rate of uptake was likely to be underestimated, and the revision rate was also not included. ESC requested sensitivity analyses (which were developed by the department) to test these parameters (</w:t>
      </w:r>
      <w:r>
        <w:fldChar w:fldCharType="begin"/>
      </w:r>
      <w:r>
        <w:instrText xml:space="preserve"> REF _Ref128147027 \h </w:instrText>
      </w:r>
      <w:r>
        <w:fldChar w:fldCharType="separate"/>
      </w:r>
      <w:r w:rsidR="003511D3" w:rsidRPr="00CE28E3">
        <w:t>Table</w:t>
      </w:r>
      <w:r w:rsidR="003511D3">
        <w:t xml:space="preserve"> </w:t>
      </w:r>
      <w:r w:rsidR="003511D3">
        <w:rPr>
          <w:noProof/>
        </w:rPr>
        <w:t>26</w:t>
      </w:r>
      <w:r>
        <w:fldChar w:fldCharType="end"/>
      </w:r>
      <w:r>
        <w:t>). ESC noted that these additional analyses indicate that the ADAR proposed cost savings may not be realised in practice. Overall, ESC considered that the financial estimates were highly uncertain.</w:t>
      </w:r>
    </w:p>
    <w:p w14:paraId="7C1581B2" w14:textId="77777777" w:rsidR="002C5802" w:rsidRDefault="002C5802" w:rsidP="002C5802">
      <w:pPr>
        <w:rPr>
          <w:b/>
          <w:bCs/>
        </w:rPr>
      </w:pPr>
      <w:r>
        <w:rPr>
          <w:b/>
          <w:bCs/>
        </w:rPr>
        <w:t>Other discussion</w:t>
      </w:r>
    </w:p>
    <w:p w14:paraId="21D27EB0" w14:textId="6D271B1E" w:rsidR="002C5802" w:rsidRPr="002C5802" w:rsidRDefault="002C5802" w:rsidP="002C5802">
      <w:r>
        <w:t xml:space="preserve">ESC noted that the cost of the LATERA device is higher than other comparable bioabsorbable implants on the PL. ESC noted that if the application seeking listing of the LATERA implant on the PL was successful, that the location of the procedure will impact whether Private Health Insurers will pay a benefit for the implant (i.e., along with other requirements the patient must receive the product as part of hospital treatment or hospital </w:t>
      </w:r>
      <w:r w:rsidR="7D71E637">
        <w:t>substitute</w:t>
      </w:r>
      <w:r>
        <w:t xml:space="preserve"> treatment). ESC considered it would </w:t>
      </w:r>
      <w:r>
        <w:lastRenderedPageBreak/>
        <w:t>be appropriate to categorise the LATERA procedure as a type C</w:t>
      </w:r>
      <w:r>
        <w:rPr>
          <w:rStyle w:val="FootnoteReference"/>
        </w:rPr>
        <w:footnoteReference w:id="26"/>
      </w:r>
      <w:r>
        <w:t xml:space="preserve">. However, if the LATERA procedure is performed in a consulting room then consumers may face out-of-pocket costs for the cost of the LATERA implant that </w:t>
      </w:r>
      <w:r w:rsidR="41F92FAB">
        <w:t>may</w:t>
      </w:r>
      <w:r>
        <w:t xml:space="preserve"> not be covered by Private Health Insurers. ESC noted the applicant’s pre-ESC response clarified that the applicant considered that the procedure will be mostly provided as a same-day hospital procedure and its use in outpatient consulting rooms will be rare. However, ESC noted that the procedure was designed to be used in consulting rooms, and that while PL listing may provide incentives to perform the procedure in hospitals, that clinical factors, not financial incentives, should be used to determine the appropriate setting for the procedure.</w:t>
      </w:r>
    </w:p>
    <w:p w14:paraId="76D3385E" w14:textId="776222F5" w:rsidR="002C5802" w:rsidRDefault="002C5802" w:rsidP="002C5802">
      <w:pPr>
        <w:pStyle w:val="Heading2"/>
        <w:numPr>
          <w:ilvl w:val="0"/>
          <w:numId w:val="0"/>
        </w:numPr>
      </w:pPr>
      <w:r>
        <w:t>17.</w:t>
      </w:r>
      <w:r>
        <w:tab/>
        <w:t>Applicant comments on MSAC’s Public Summary Document</w:t>
      </w:r>
    </w:p>
    <w:p w14:paraId="688BF731" w14:textId="0E351A09" w:rsidR="000B0259" w:rsidRPr="00F716EA" w:rsidRDefault="000B0259" w:rsidP="00F716EA">
      <w:r w:rsidRPr="00F716EA">
        <w:t>Stryker welcome MSAC’s recommendation to create new MBS items for the insertion and removal of a bioabsorbable implant for nasal airway obstruction (NAO) due to lateral wall insufficiency (LWI). Stryker believes that the findings of this application are an important step forward in addressing an unmet clinical need and improving the clinical outcomes for patients suffering from NAO due to LWI.</w:t>
      </w:r>
    </w:p>
    <w:p w14:paraId="2026759F" w14:textId="2440E488" w:rsidR="002C5802" w:rsidRDefault="002C5802" w:rsidP="002C5802">
      <w:pPr>
        <w:pStyle w:val="Heading2"/>
        <w:numPr>
          <w:ilvl w:val="0"/>
          <w:numId w:val="0"/>
        </w:numPr>
      </w:pPr>
      <w:r>
        <w:t>18.</w:t>
      </w:r>
      <w:r>
        <w:tab/>
        <w:t>Further information on MSAC</w:t>
      </w:r>
    </w:p>
    <w:p w14:paraId="1CFAA8BB" w14:textId="29D52C21" w:rsidR="002C5802" w:rsidRPr="00B35576" w:rsidRDefault="002C5802" w:rsidP="00B35576">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19" w:tooltip="Link to the MSAC website" w:history="1">
        <w:r w:rsidRPr="00F309FA">
          <w:rPr>
            <w:rStyle w:val="Hyperlink"/>
            <w:rFonts w:ascii="Franklin Gothic Book" w:hAnsi="Franklin Gothic Book"/>
            <w:b w:val="0"/>
            <w:bCs/>
            <w:i w:val="0"/>
            <w:iCs/>
            <w:sz w:val="22"/>
          </w:rPr>
          <w:t>visit the MSAC website</w:t>
        </w:r>
      </w:hyperlink>
    </w:p>
    <w:sectPr w:rsidR="002C5802" w:rsidRPr="00B35576" w:rsidSect="00456854">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627A" w14:textId="77777777" w:rsidR="00163FEC" w:rsidRDefault="00163FEC" w:rsidP="00B62DF2">
      <w:pPr>
        <w:spacing w:after="0" w:line="240" w:lineRule="auto"/>
      </w:pPr>
      <w:r>
        <w:separator/>
      </w:r>
    </w:p>
  </w:endnote>
  <w:endnote w:type="continuationSeparator" w:id="0">
    <w:p w14:paraId="31A29776" w14:textId="77777777" w:rsidR="00163FEC" w:rsidRDefault="00163FEC" w:rsidP="00B62DF2">
      <w:pPr>
        <w:spacing w:after="0" w:line="240" w:lineRule="auto"/>
      </w:pPr>
      <w:r>
        <w:continuationSeparator/>
      </w:r>
    </w:p>
  </w:endnote>
  <w:endnote w:type="continuationNotice" w:id="1">
    <w:p w14:paraId="2822CD79" w14:textId="77777777" w:rsidR="00163FEC" w:rsidRDefault="00163F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101744"/>
      <w:docPartObj>
        <w:docPartGallery w:val="Page Numbers (Bottom of Page)"/>
        <w:docPartUnique/>
      </w:docPartObj>
    </w:sdtPr>
    <w:sdtEndPr>
      <w:rPr>
        <w:noProof/>
      </w:rPr>
    </w:sdtEndPr>
    <w:sdtContent>
      <w:p w14:paraId="3E89CDF6" w14:textId="23F7E423" w:rsidR="00CC16A4" w:rsidRDefault="00CC16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6D499" w14:textId="19431BAF" w:rsidR="005947B5" w:rsidRPr="007E6D1C" w:rsidRDefault="005947B5" w:rsidP="001016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48871"/>
      <w:docPartObj>
        <w:docPartGallery w:val="Page Numbers (Bottom of Page)"/>
        <w:docPartUnique/>
      </w:docPartObj>
    </w:sdtPr>
    <w:sdtEndPr>
      <w:rPr>
        <w:noProof/>
      </w:rPr>
    </w:sdtEndPr>
    <w:sdtContent>
      <w:p w14:paraId="6BE9385A" w14:textId="2D5ACE82" w:rsidR="005947B5" w:rsidRDefault="00CC16A4" w:rsidP="006F25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508C" w14:textId="77777777" w:rsidR="00982DE5" w:rsidRDefault="00982D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25C9" w14:textId="0438D0FC" w:rsidR="00C517B1" w:rsidRPr="00D80DFD" w:rsidRDefault="00C517B1" w:rsidP="00D80DFD">
    <w:pPr>
      <w:pStyle w:val="Footer"/>
      <w:jc w:val="right"/>
    </w:pPr>
    <w:r w:rsidRPr="00D80DFD">
      <w:rPr>
        <w:shd w:val="clear" w:color="auto" w:fill="E6E6E6"/>
      </w:rPr>
      <w:fldChar w:fldCharType="begin"/>
    </w:r>
    <w:r w:rsidRPr="00D80DFD">
      <w:instrText xml:space="preserve"> PAGE   \* MERGEFORMAT </w:instrText>
    </w:r>
    <w:r w:rsidRPr="00D80DFD">
      <w:rPr>
        <w:shd w:val="clear" w:color="auto" w:fill="E6E6E6"/>
      </w:rPr>
      <w:fldChar w:fldCharType="separate"/>
    </w:r>
    <w:r w:rsidRPr="00D80DFD">
      <w:rPr>
        <w:noProof/>
      </w:rPr>
      <w:t>22</w:t>
    </w:r>
    <w:r w:rsidRPr="00D80DFD">
      <w:rPr>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325305"/>
      <w:docPartObj>
        <w:docPartGallery w:val="Page Numbers (Bottom of Page)"/>
        <w:docPartUnique/>
      </w:docPartObj>
    </w:sdtPr>
    <w:sdtEndPr>
      <w:rPr>
        <w:noProof/>
      </w:rPr>
    </w:sdtEndPr>
    <w:sdtContent>
      <w:p w14:paraId="53261B40" w14:textId="3913369F" w:rsidR="00C517B1" w:rsidRDefault="00CC16A4" w:rsidP="00314F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750D" w14:textId="77777777" w:rsidR="00163FEC" w:rsidRDefault="00163FEC" w:rsidP="00B62DF2">
      <w:pPr>
        <w:spacing w:after="0" w:line="240" w:lineRule="auto"/>
      </w:pPr>
      <w:r>
        <w:separator/>
      </w:r>
    </w:p>
  </w:footnote>
  <w:footnote w:type="continuationSeparator" w:id="0">
    <w:p w14:paraId="09024C92" w14:textId="77777777" w:rsidR="00163FEC" w:rsidRDefault="00163FEC" w:rsidP="00B62DF2">
      <w:pPr>
        <w:spacing w:after="0" w:line="240" w:lineRule="auto"/>
      </w:pPr>
      <w:r>
        <w:continuationSeparator/>
      </w:r>
    </w:p>
  </w:footnote>
  <w:footnote w:type="continuationNotice" w:id="1">
    <w:p w14:paraId="1394927B" w14:textId="77777777" w:rsidR="00163FEC" w:rsidRDefault="00163FEC">
      <w:pPr>
        <w:spacing w:before="0" w:after="0" w:line="240" w:lineRule="auto"/>
      </w:pPr>
    </w:p>
  </w:footnote>
  <w:footnote w:id="2">
    <w:p w14:paraId="4A81FE47" w14:textId="01CA523C" w:rsidR="002F3C02" w:rsidRDefault="002F3C02">
      <w:pPr>
        <w:pStyle w:val="FootnoteText"/>
      </w:pPr>
      <w:r>
        <w:rPr>
          <w:rStyle w:val="FootnoteReference"/>
        </w:rPr>
        <w:footnoteRef/>
      </w:r>
      <w:r>
        <w:t xml:space="preserve"> LATERA-RCT: </w:t>
      </w:r>
      <w:hyperlink r:id="rId1" w:history="1">
        <w:r w:rsidRPr="0048667E">
          <w:rPr>
            <w:rStyle w:val="Hyperlink"/>
          </w:rPr>
          <w:t>NCT03400787</w:t>
        </w:r>
      </w:hyperlink>
      <w:r>
        <w:t xml:space="preserve"> - </w:t>
      </w:r>
      <w:r w:rsidRPr="0018593E">
        <w:t>Latera Randomized Controlled Trial (RCT) - Latera® Absorbable Nasal Implant vs. Sham Control for Lateral Nasal Valve Collapse</w:t>
      </w:r>
    </w:p>
  </w:footnote>
  <w:footnote w:id="3">
    <w:p w14:paraId="279806AE" w14:textId="46218297" w:rsidR="00CC17B0" w:rsidRDefault="00CC17B0" w:rsidP="005E6B20">
      <w:pPr>
        <w:pStyle w:val="FootnoteText"/>
      </w:pPr>
      <w:r>
        <w:rPr>
          <w:rStyle w:val="FootnoteReference"/>
        </w:rPr>
        <w:footnoteRef/>
      </w:r>
      <w:r>
        <w:t xml:space="preserve"> Stewart MG, Witsel</w:t>
      </w:r>
      <w:r w:rsidR="00B71125">
        <w:t>l DL , Smith TL et al. (2004)</w:t>
      </w:r>
      <w:r w:rsidR="00B71125" w:rsidRPr="00B71125">
        <w:t xml:space="preserve"> Development and validation of the Nasal Obstruction Symptom Evaluation (NOSE) scale</w:t>
      </w:r>
      <w:r w:rsidR="00B71125">
        <w:t xml:space="preserve">. </w:t>
      </w:r>
      <w:r w:rsidR="005E6B20" w:rsidRPr="00AE4565">
        <w:rPr>
          <w:i/>
          <w:iCs/>
        </w:rPr>
        <w:t>Otolaryngol Head Neck Surgery</w:t>
      </w:r>
      <w:r w:rsidR="005E6B20">
        <w:t>.130(2):157-63.</w:t>
      </w:r>
    </w:p>
  </w:footnote>
  <w:footnote w:id="4">
    <w:p w14:paraId="707B8D83" w14:textId="77777777" w:rsidR="00EC6428" w:rsidRPr="00A75B5D" w:rsidRDefault="00EC6428" w:rsidP="00EC6428">
      <w:pPr>
        <w:pStyle w:val="FootnoteText"/>
        <w:rPr>
          <w:rFonts w:ascii="Arial Narrow" w:hAnsi="Arial Narrow"/>
        </w:rPr>
      </w:pPr>
      <w:r w:rsidRPr="00A75B5D">
        <w:rPr>
          <w:rStyle w:val="FootnoteReference"/>
          <w:rFonts w:ascii="Arial Narrow" w:hAnsi="Arial Narrow"/>
        </w:rPr>
        <w:footnoteRef/>
      </w:r>
      <w:r w:rsidRPr="00A75B5D">
        <w:rPr>
          <w:rFonts w:ascii="Arial Narrow" w:hAnsi="Arial Narrow"/>
        </w:rPr>
        <w:t xml:space="preserve"> </w:t>
      </w:r>
      <w:hyperlink r:id="rId2" w:history="1">
        <w:r w:rsidRPr="00A75B5D">
          <w:rPr>
            <w:rStyle w:val="Hyperlink"/>
            <w:rFonts w:ascii="Arial Narrow" w:hAnsi="Arial Narrow"/>
          </w:rPr>
          <w:t>MBS Note TN.8.2 Multiple Operation Rule</w:t>
        </w:r>
      </w:hyperlink>
    </w:p>
  </w:footnote>
  <w:footnote w:id="5">
    <w:p w14:paraId="76320E7A" w14:textId="2A12AA0D" w:rsidR="001128D4" w:rsidRDefault="001128D4" w:rsidP="0076195B">
      <w:pPr>
        <w:pStyle w:val="FootnoteText"/>
        <w:spacing w:before="0"/>
        <w:jc w:val="both"/>
      </w:pPr>
      <w:r>
        <w:rPr>
          <w:rStyle w:val="FootnoteReference"/>
        </w:rPr>
        <w:footnoteRef/>
      </w:r>
      <w:r>
        <w:t xml:space="preserve"> </w:t>
      </w:r>
      <w:hyperlink r:id="rId3" w:history="1">
        <w:r w:rsidRPr="0048667E">
          <w:rPr>
            <w:rStyle w:val="Hyperlink"/>
          </w:rPr>
          <w:t>NCT03400787</w:t>
        </w:r>
      </w:hyperlink>
      <w:r>
        <w:t xml:space="preserve"> - </w:t>
      </w:r>
      <w:r w:rsidR="0018593E" w:rsidRPr="0018593E">
        <w:t>Latera Randomized Controlled Trial (RCT) - Latera® Absorbable Nasal Implant vs. Sham Control for Lateral Nasal Valve Collapse</w:t>
      </w:r>
    </w:p>
  </w:footnote>
  <w:footnote w:id="6">
    <w:p w14:paraId="44CFDC40" w14:textId="28ABF685" w:rsidR="00B24506" w:rsidRDefault="00B24506" w:rsidP="0076195B">
      <w:pPr>
        <w:pStyle w:val="FootnoteText"/>
        <w:spacing w:before="0"/>
      </w:pPr>
      <w:r>
        <w:rPr>
          <w:rStyle w:val="FootnoteReference"/>
        </w:rPr>
        <w:footnoteRef/>
      </w:r>
      <w:r>
        <w:t xml:space="preserve"> </w:t>
      </w:r>
      <w:hyperlink r:id="rId4" w:history="1">
        <w:r w:rsidR="0013690F" w:rsidRPr="003022E7">
          <w:rPr>
            <w:rStyle w:val="Hyperlink"/>
          </w:rPr>
          <w:t>NCT02964312</w:t>
        </w:r>
      </w:hyperlink>
      <w:r w:rsidR="003022E7">
        <w:t xml:space="preserve"> - </w:t>
      </w:r>
      <w:r w:rsidR="003022E7" w:rsidRPr="003022E7">
        <w:t>Spirox Latera™ Implant Support of Lateral Nasal Wall Cartilage (LATERAL-OFFICE) Study</w:t>
      </w:r>
    </w:p>
  </w:footnote>
  <w:footnote w:id="7">
    <w:p w14:paraId="6708C342" w14:textId="6D39F550" w:rsidR="00B24506" w:rsidRDefault="00B24506" w:rsidP="0076195B">
      <w:pPr>
        <w:pStyle w:val="FootnoteText"/>
        <w:spacing w:before="0"/>
      </w:pPr>
      <w:r>
        <w:rPr>
          <w:rStyle w:val="FootnoteReference"/>
        </w:rPr>
        <w:footnoteRef/>
      </w:r>
      <w:r>
        <w:t xml:space="preserve"> </w:t>
      </w:r>
      <w:hyperlink r:id="rId5" w:history="1">
        <w:r w:rsidR="00D80E00" w:rsidRPr="00C33522">
          <w:rPr>
            <w:rStyle w:val="Hyperlink"/>
          </w:rPr>
          <w:t>NCT02188589</w:t>
        </w:r>
      </w:hyperlink>
      <w:r w:rsidR="00D80E00">
        <w:t xml:space="preserve"> - </w:t>
      </w:r>
      <w:r w:rsidR="00C33522" w:rsidRPr="00C33522">
        <w:t>Evaluation of an Absorbable Implant for the Treatment of Nasal Valve Collapse</w:t>
      </w:r>
    </w:p>
  </w:footnote>
  <w:footnote w:id="8">
    <w:p w14:paraId="67B88CF4" w14:textId="35B53BB5" w:rsidR="00B24506" w:rsidRDefault="00B24506" w:rsidP="0076195B">
      <w:pPr>
        <w:pStyle w:val="FootnoteText"/>
        <w:spacing w:before="0"/>
      </w:pPr>
      <w:r>
        <w:rPr>
          <w:rStyle w:val="FootnoteReference"/>
        </w:rPr>
        <w:footnoteRef/>
      </w:r>
      <w:r>
        <w:t xml:space="preserve"> </w:t>
      </w:r>
      <w:r w:rsidR="004F269C" w:rsidRPr="004F269C">
        <w:t>Most SP (2006)</w:t>
      </w:r>
      <w:r w:rsidR="004F269C">
        <w:t xml:space="preserve"> </w:t>
      </w:r>
      <w:r w:rsidR="004F269C" w:rsidRPr="004F269C">
        <w:t xml:space="preserve">Analysis of outcomes after functional rhinoplasty using a disease-specific quality-of-life instrument. </w:t>
      </w:r>
      <w:r w:rsidR="004F269C" w:rsidRPr="004F269C">
        <w:rPr>
          <w:i/>
          <w:iCs/>
        </w:rPr>
        <w:t>Archives of Facial Plastic Surgery</w:t>
      </w:r>
      <w:r w:rsidR="004F269C">
        <w:rPr>
          <w:i/>
          <w:iCs/>
        </w:rPr>
        <w:t>.</w:t>
      </w:r>
      <w:r w:rsidR="004F269C" w:rsidRPr="004F269C">
        <w:t xml:space="preserve"> 8(5): 306-309.</w:t>
      </w:r>
    </w:p>
  </w:footnote>
  <w:footnote w:id="9">
    <w:p w14:paraId="006A8280" w14:textId="7136CEFE" w:rsidR="00B24506" w:rsidRDefault="00B24506" w:rsidP="0076195B">
      <w:pPr>
        <w:pStyle w:val="FootnoteText"/>
        <w:spacing w:before="0"/>
      </w:pPr>
      <w:r>
        <w:rPr>
          <w:rStyle w:val="FootnoteReference"/>
        </w:rPr>
        <w:footnoteRef/>
      </w:r>
      <w:r>
        <w:t xml:space="preserve"> </w:t>
      </w:r>
      <w:r w:rsidR="0016641E" w:rsidRPr="0016641E">
        <w:t>Tan S</w:t>
      </w:r>
      <w:r w:rsidR="0016641E">
        <w:t xml:space="preserve"> &amp;</w:t>
      </w:r>
      <w:r w:rsidR="0016641E" w:rsidRPr="0016641E">
        <w:t xml:space="preserve"> Rotenberg </w:t>
      </w:r>
      <w:r w:rsidR="0016641E">
        <w:t xml:space="preserve">B </w:t>
      </w:r>
      <w:r w:rsidR="0016641E" w:rsidRPr="0016641E">
        <w:t>(2012)</w:t>
      </w:r>
      <w:r w:rsidR="0016641E">
        <w:t xml:space="preserve"> </w:t>
      </w:r>
      <w:r w:rsidR="0016641E" w:rsidRPr="0016641E">
        <w:t xml:space="preserve">Functional outcomes after lateral crural J-flap repair of external nasal valve collapse. </w:t>
      </w:r>
      <w:r w:rsidR="0016641E" w:rsidRPr="0016641E">
        <w:rPr>
          <w:i/>
          <w:iCs/>
        </w:rPr>
        <w:t>Annals of Otology, Rhinology and Laryngology</w:t>
      </w:r>
      <w:r w:rsidR="0016641E">
        <w:t>.</w:t>
      </w:r>
      <w:r w:rsidR="0016641E" w:rsidRPr="0016641E">
        <w:t xml:space="preserve"> 121(1): 16-20.</w:t>
      </w:r>
    </w:p>
  </w:footnote>
  <w:footnote w:id="10">
    <w:p w14:paraId="0734D7A3" w14:textId="6279B35B" w:rsidR="00B24506" w:rsidRDefault="00B24506" w:rsidP="0076195B">
      <w:pPr>
        <w:pStyle w:val="FootnoteText"/>
        <w:spacing w:before="0"/>
      </w:pPr>
      <w:r>
        <w:rPr>
          <w:rStyle w:val="FootnoteReference"/>
        </w:rPr>
        <w:footnoteRef/>
      </w:r>
      <w:r>
        <w:t xml:space="preserve"> </w:t>
      </w:r>
      <w:r w:rsidR="00B37B51" w:rsidRPr="00B37B51">
        <w:t>Palesy T, et al. (2015)</w:t>
      </w:r>
      <w:r w:rsidR="00B37B51">
        <w:t xml:space="preserve"> </w:t>
      </w:r>
      <w:r w:rsidR="00B37B51" w:rsidRPr="00B37B51">
        <w:t xml:space="preserve">Airflow and patient-perceived improvement following rhinoplastic correction of external nasal valve dysfunction. </w:t>
      </w:r>
      <w:r w:rsidR="00B37B51" w:rsidRPr="00A06E94">
        <w:rPr>
          <w:i/>
          <w:iCs/>
        </w:rPr>
        <w:t>JAMA Facial Plastic Surgery</w:t>
      </w:r>
      <w:r w:rsidR="00A06E94">
        <w:rPr>
          <w:i/>
          <w:iCs/>
        </w:rPr>
        <w:t>.</w:t>
      </w:r>
      <w:r w:rsidR="00B37B51" w:rsidRPr="00B37B51">
        <w:t xml:space="preserve"> 17(2): 131-136.</w:t>
      </w:r>
    </w:p>
  </w:footnote>
  <w:footnote w:id="11">
    <w:p w14:paraId="0191949A" w14:textId="39E382DD" w:rsidR="00B24506" w:rsidRDefault="00B24506" w:rsidP="0076195B">
      <w:pPr>
        <w:pStyle w:val="FootnoteText"/>
        <w:spacing w:before="0"/>
      </w:pPr>
      <w:r>
        <w:rPr>
          <w:rStyle w:val="FootnoteReference"/>
        </w:rPr>
        <w:footnoteRef/>
      </w:r>
      <w:r>
        <w:t xml:space="preserve"> </w:t>
      </w:r>
      <w:r w:rsidR="00AD3B22" w:rsidRPr="00AD3B22">
        <w:t>Rao N</w:t>
      </w:r>
      <w:r w:rsidR="00AD3B22">
        <w:t xml:space="preserve"> &amp;</w:t>
      </w:r>
      <w:r w:rsidR="00AD3B22" w:rsidRPr="00AD3B22">
        <w:t xml:space="preserve"> Toriumi</w:t>
      </w:r>
      <w:r w:rsidR="00AD3B22">
        <w:t xml:space="preserve"> D</w:t>
      </w:r>
      <w:r w:rsidR="00AD3B22" w:rsidRPr="00AD3B22">
        <w:t xml:space="preserve"> (2016)</w:t>
      </w:r>
      <w:r w:rsidR="00AD3B22">
        <w:t xml:space="preserve"> </w:t>
      </w:r>
      <w:r w:rsidR="00AD3B22" w:rsidRPr="00AD3B22">
        <w:t xml:space="preserve">Three-dimensional analysis of rhinoplasty with composite grafts. </w:t>
      </w:r>
      <w:r w:rsidR="00AD3B22" w:rsidRPr="00AD3B22">
        <w:rPr>
          <w:i/>
          <w:iCs/>
        </w:rPr>
        <w:t>Otolaryngology - Head and Neck Surgery</w:t>
      </w:r>
      <w:r w:rsidR="00AD3B22" w:rsidRPr="00AD3B22">
        <w:t xml:space="preserve"> (United States) 155: P177.</w:t>
      </w:r>
    </w:p>
  </w:footnote>
  <w:footnote w:id="12">
    <w:p w14:paraId="23569759" w14:textId="7B0C940C" w:rsidR="00B24506" w:rsidRDefault="00B24506" w:rsidP="0076195B">
      <w:pPr>
        <w:pStyle w:val="FootnoteText"/>
        <w:spacing w:before="0"/>
      </w:pPr>
      <w:r>
        <w:rPr>
          <w:rStyle w:val="FootnoteReference"/>
        </w:rPr>
        <w:footnoteRef/>
      </w:r>
      <w:r>
        <w:t xml:space="preserve"> </w:t>
      </w:r>
      <w:r w:rsidR="00C17CAC" w:rsidRPr="00C17CAC">
        <w:t>Taha MA, et al. (2021)</w:t>
      </w:r>
      <w:r w:rsidR="002B7B55">
        <w:t xml:space="preserve"> </w:t>
      </w:r>
      <w:r w:rsidR="00C17CAC" w:rsidRPr="00C17CAC">
        <w:t xml:space="preserve">Costal Cartilage Lateral Crural Strut Graft for Correction of External Nasal Valve Dysfunction in Primary and Revision Rhinoplasty. </w:t>
      </w:r>
      <w:r w:rsidR="00C17CAC" w:rsidRPr="006E1A7C">
        <w:rPr>
          <w:i/>
          <w:iCs/>
        </w:rPr>
        <w:t xml:space="preserve">Ear, Nose </w:t>
      </w:r>
      <w:r w:rsidR="006E1A7C">
        <w:rPr>
          <w:i/>
          <w:iCs/>
        </w:rPr>
        <w:t>&amp;</w:t>
      </w:r>
      <w:r w:rsidR="00C17CAC" w:rsidRPr="006E1A7C">
        <w:rPr>
          <w:i/>
          <w:iCs/>
        </w:rPr>
        <w:t xml:space="preserve"> Throat Journal.</w:t>
      </w:r>
      <w:r w:rsidR="006E1A7C" w:rsidRPr="006E1A7C">
        <w:t xml:space="preserve"> 0(0).</w:t>
      </w:r>
    </w:p>
  </w:footnote>
  <w:footnote w:id="13">
    <w:p w14:paraId="58742C2B" w14:textId="2052A1D4" w:rsidR="00B24506" w:rsidRDefault="00B24506" w:rsidP="0076195B">
      <w:pPr>
        <w:pStyle w:val="FootnoteText"/>
        <w:spacing w:before="0"/>
      </w:pPr>
      <w:r>
        <w:rPr>
          <w:rStyle w:val="FootnoteReference"/>
        </w:rPr>
        <w:footnoteRef/>
      </w:r>
      <w:r>
        <w:t xml:space="preserve"> </w:t>
      </w:r>
      <w:r w:rsidR="004A2B87" w:rsidRPr="004A2B87">
        <w:t xml:space="preserve">Sainio S, </w:t>
      </w:r>
      <w:r w:rsidR="004A2B87">
        <w:t>et al</w:t>
      </w:r>
      <w:r w:rsidR="004A2B87" w:rsidRPr="004A2B87">
        <w:t xml:space="preserve">. (2022) Effect of alar nasal valve stent on nasal breathing. </w:t>
      </w:r>
      <w:r w:rsidR="004A2B87" w:rsidRPr="004A2B87">
        <w:rPr>
          <w:i/>
          <w:iCs/>
        </w:rPr>
        <w:t>American journal of otolaryngology</w:t>
      </w:r>
      <w:r w:rsidR="004A2B87">
        <w:rPr>
          <w:i/>
          <w:iCs/>
        </w:rPr>
        <w:t>.</w:t>
      </w:r>
      <w:r w:rsidR="004A2B87" w:rsidRPr="004A2B87">
        <w:t xml:space="preserve"> 43(4)</w:t>
      </w:r>
      <w:r w:rsidR="004A2B87">
        <w:t>:</w:t>
      </w:r>
      <w:r w:rsidR="004A2B87" w:rsidRPr="004A2B87">
        <w:t>103473. 3</w:t>
      </w:r>
    </w:p>
  </w:footnote>
  <w:footnote w:id="14">
    <w:p w14:paraId="2C610BC6" w14:textId="7417521C" w:rsidR="00F80E4E" w:rsidRDefault="00F80E4E" w:rsidP="0076195B">
      <w:pPr>
        <w:pStyle w:val="FootnoteText"/>
        <w:spacing w:before="0"/>
      </w:pPr>
      <w:r>
        <w:rPr>
          <w:rStyle w:val="FootnoteReference"/>
        </w:rPr>
        <w:footnoteRef/>
      </w:r>
      <w:r>
        <w:t xml:space="preserve"> </w:t>
      </w:r>
      <w:r w:rsidR="009D5B6A" w:rsidRPr="009D5B6A">
        <w:t>Olson MD</w:t>
      </w:r>
      <w:r w:rsidR="009D5B6A">
        <w:t xml:space="preserve"> &amp; </w:t>
      </w:r>
      <w:r w:rsidR="009D5B6A" w:rsidRPr="009D5B6A">
        <w:t>Barrera</w:t>
      </w:r>
      <w:r w:rsidR="009D5B6A">
        <w:t xml:space="preserve"> JE</w:t>
      </w:r>
      <w:r w:rsidR="009D5B6A" w:rsidRPr="009D5B6A">
        <w:t xml:space="preserve"> (2021)</w:t>
      </w:r>
      <w:r w:rsidR="009D5B6A">
        <w:t xml:space="preserve"> </w:t>
      </w:r>
      <w:r w:rsidR="009D5B6A" w:rsidRPr="009D5B6A">
        <w:t xml:space="preserve">A comparison of an absorbable nasal implant versus functional rhinoplasty for nasal obstruction. </w:t>
      </w:r>
      <w:r w:rsidR="009D5B6A" w:rsidRPr="009D5B6A">
        <w:rPr>
          <w:i/>
          <w:iCs/>
        </w:rPr>
        <w:t>American Journal of Otolaryngology - Head and Neck Medicine and Surgery</w:t>
      </w:r>
      <w:r w:rsidR="009D5B6A">
        <w:rPr>
          <w:i/>
          <w:iCs/>
        </w:rPr>
        <w:t>.</w:t>
      </w:r>
      <w:r w:rsidR="009D5B6A" w:rsidRPr="009D5B6A">
        <w:rPr>
          <w:i/>
          <w:iCs/>
        </w:rPr>
        <w:t xml:space="preserve"> 42</w:t>
      </w:r>
      <w:r w:rsidR="009D5B6A" w:rsidRPr="009D5B6A">
        <w:t>(6).</w:t>
      </w:r>
    </w:p>
  </w:footnote>
  <w:footnote w:id="15">
    <w:p w14:paraId="4B8099B5" w14:textId="0FEA213A" w:rsidR="00D02EF2" w:rsidRDefault="00D02EF2">
      <w:pPr>
        <w:pStyle w:val="FootnoteText"/>
      </w:pPr>
      <w:r>
        <w:rPr>
          <w:rStyle w:val="FootnoteReference"/>
        </w:rPr>
        <w:footnoteRef/>
      </w:r>
      <w:r>
        <w:t xml:space="preserve"> </w:t>
      </w:r>
      <w:r w:rsidR="00255199" w:rsidRPr="00255199">
        <w:t>Saadat, D., et al. (2018)</w:t>
      </w:r>
      <w:r w:rsidR="00255199">
        <w:t xml:space="preserve"> </w:t>
      </w:r>
      <w:r w:rsidR="00255199" w:rsidRPr="00255199">
        <w:t>Less invasive procedure for the treatment of nasal obstruction: impact on daytime drowsiness.</w:t>
      </w:r>
      <w:r w:rsidR="00255199">
        <w:t xml:space="preserve"> </w:t>
      </w:r>
      <w:r w:rsidR="00255199" w:rsidRPr="00255199">
        <w:rPr>
          <w:i/>
          <w:iCs/>
        </w:rPr>
        <w:t>Sleep</w:t>
      </w:r>
      <w:r w:rsidR="00255199" w:rsidRPr="00255199">
        <w:t xml:space="preserve"> 41: A208.</w:t>
      </w:r>
    </w:p>
  </w:footnote>
  <w:footnote w:id="16">
    <w:p w14:paraId="5B63E89B" w14:textId="007BD86E" w:rsidR="00AD4B10" w:rsidRPr="00831369" w:rsidRDefault="00AD4B10" w:rsidP="00AD4B10">
      <w:pPr>
        <w:pStyle w:val="FootnoteText"/>
        <w:rPr>
          <w:rFonts w:ascii="Arial Narrow" w:hAnsi="Arial Narrow"/>
          <w:sz w:val="16"/>
          <w:szCs w:val="16"/>
          <w:lang w:val="en-US"/>
        </w:rPr>
      </w:pPr>
      <w:r w:rsidRPr="00831369">
        <w:rPr>
          <w:rStyle w:val="FootnoteReference"/>
          <w:rFonts w:ascii="Arial Narrow" w:hAnsi="Arial Narrow"/>
          <w:sz w:val="16"/>
          <w:szCs w:val="16"/>
        </w:rPr>
        <w:footnoteRef/>
      </w:r>
      <w:r w:rsidRPr="00831369">
        <w:rPr>
          <w:rFonts w:ascii="Arial Narrow" w:hAnsi="Arial Narrow"/>
          <w:sz w:val="16"/>
          <w:szCs w:val="16"/>
        </w:rPr>
        <w:t xml:space="preserve"> </w:t>
      </w:r>
      <w:r w:rsidRPr="00831369">
        <w:rPr>
          <w:rFonts w:ascii="Arial Narrow" w:hAnsi="Arial Narrow"/>
          <w:sz w:val="16"/>
          <w:szCs w:val="16"/>
          <w:lang w:val="en-US"/>
        </w:rPr>
        <w:t xml:space="preserve">Wakefield C, Eggerstedt M, Tajudeen B, </w:t>
      </w:r>
      <w:r w:rsidR="004B1D0A">
        <w:rPr>
          <w:rFonts w:ascii="Arial Narrow" w:hAnsi="Arial Narrow"/>
          <w:sz w:val="16"/>
          <w:szCs w:val="16"/>
          <w:lang w:val="en-US"/>
        </w:rPr>
        <w:t>et al. (2020)</w:t>
      </w:r>
      <w:r w:rsidRPr="00831369">
        <w:rPr>
          <w:rFonts w:ascii="Arial Narrow" w:hAnsi="Arial Narrow"/>
          <w:sz w:val="16"/>
          <w:szCs w:val="16"/>
          <w:lang w:val="en-US"/>
        </w:rPr>
        <w:t xml:space="preserve"> Adverse Events Associated with Absorbable Implants for the Nasal Valve: A Review of the Manufacturer and User Facility Device Experience Database. </w:t>
      </w:r>
      <w:r w:rsidRPr="00A8765C">
        <w:rPr>
          <w:rFonts w:ascii="Arial Narrow" w:hAnsi="Arial Narrow"/>
          <w:i/>
          <w:iCs/>
          <w:sz w:val="16"/>
          <w:szCs w:val="16"/>
          <w:lang w:val="en-US"/>
        </w:rPr>
        <w:t>Facial Plastic Surgery &amp; Aesthetic Medicine</w:t>
      </w:r>
      <w:r w:rsidRPr="00831369">
        <w:rPr>
          <w:rFonts w:ascii="Arial Narrow" w:hAnsi="Arial Narrow"/>
          <w:sz w:val="16"/>
          <w:szCs w:val="16"/>
          <w:lang w:val="en-US"/>
        </w:rPr>
        <w:t xml:space="preserve"> 22</w:t>
      </w:r>
      <w:r w:rsidR="00A8765C">
        <w:rPr>
          <w:rFonts w:ascii="Arial Narrow" w:hAnsi="Arial Narrow"/>
          <w:sz w:val="16"/>
          <w:szCs w:val="16"/>
          <w:lang w:val="en-US"/>
        </w:rPr>
        <w:t>(</w:t>
      </w:r>
      <w:r w:rsidRPr="00831369">
        <w:rPr>
          <w:rFonts w:ascii="Arial Narrow" w:hAnsi="Arial Narrow"/>
          <w:sz w:val="16"/>
          <w:szCs w:val="16"/>
          <w:lang w:val="en-US"/>
        </w:rPr>
        <w:t>5</w:t>
      </w:r>
      <w:r w:rsidR="00A8765C">
        <w:rPr>
          <w:rFonts w:ascii="Arial Narrow" w:hAnsi="Arial Narrow"/>
          <w:sz w:val="16"/>
          <w:szCs w:val="16"/>
          <w:lang w:val="en-US"/>
        </w:rPr>
        <w:t>)</w:t>
      </w:r>
    </w:p>
  </w:footnote>
  <w:footnote w:id="17">
    <w:p w14:paraId="0E25EDB3" w14:textId="77931676" w:rsidR="00525FC4" w:rsidRPr="00831369" w:rsidRDefault="00447197" w:rsidP="00831369">
      <w:pPr>
        <w:pStyle w:val="FootnoteText"/>
        <w:spacing w:before="0"/>
        <w:rPr>
          <w:rFonts w:ascii="Arial Narrow" w:hAnsi="Arial Narrow"/>
          <w:sz w:val="16"/>
          <w:szCs w:val="16"/>
        </w:rPr>
      </w:pPr>
      <w:r w:rsidRPr="00831369">
        <w:rPr>
          <w:rStyle w:val="FootnoteReference"/>
        </w:rPr>
        <w:footnoteRef/>
      </w:r>
      <w:r w:rsidRPr="00831369">
        <w:t xml:space="preserve"> </w:t>
      </w:r>
      <w:r w:rsidR="00525FC4" w:rsidRPr="00831369">
        <w:rPr>
          <w:rFonts w:ascii="Arial Narrow" w:hAnsi="Arial Narrow"/>
          <w:sz w:val="16"/>
          <w:szCs w:val="16"/>
        </w:rPr>
        <w:t>Thresholds for the interpretation of I</w:t>
      </w:r>
      <w:r w:rsidR="00525FC4" w:rsidRPr="00831369">
        <w:rPr>
          <w:rFonts w:ascii="Arial Narrow" w:hAnsi="Arial Narrow"/>
          <w:sz w:val="16"/>
          <w:szCs w:val="16"/>
          <w:vertAlign w:val="superscript"/>
        </w:rPr>
        <w:t>2</w:t>
      </w:r>
      <w:r w:rsidR="00525FC4" w:rsidRPr="00831369">
        <w:rPr>
          <w:rFonts w:ascii="Arial Narrow" w:hAnsi="Arial Narrow"/>
          <w:sz w:val="16"/>
          <w:szCs w:val="16"/>
        </w:rPr>
        <w:t xml:space="preserve"> can be misleading, since the importance of inconsistency depends on several factors. A rough guide to interpretation is as follows:</w:t>
      </w:r>
    </w:p>
    <w:p w14:paraId="487B62DE" w14:textId="418DD868" w:rsidR="00525FC4" w:rsidRPr="00831369" w:rsidRDefault="00525FC4" w:rsidP="00A16CAB">
      <w:pPr>
        <w:pStyle w:val="FootnoteText"/>
        <w:numPr>
          <w:ilvl w:val="0"/>
          <w:numId w:val="15"/>
        </w:numPr>
        <w:spacing w:before="0"/>
        <w:rPr>
          <w:rFonts w:ascii="Arial Narrow" w:hAnsi="Arial Narrow"/>
          <w:sz w:val="16"/>
          <w:szCs w:val="16"/>
        </w:rPr>
      </w:pPr>
      <w:r w:rsidRPr="00831369">
        <w:rPr>
          <w:rFonts w:ascii="Arial Narrow" w:hAnsi="Arial Narrow"/>
          <w:sz w:val="16"/>
          <w:szCs w:val="16"/>
        </w:rPr>
        <w:t>0% to 40%: might not be important;</w:t>
      </w:r>
    </w:p>
    <w:p w14:paraId="70CDCDBF" w14:textId="7A457866" w:rsidR="00525FC4" w:rsidRPr="00831369" w:rsidRDefault="00525FC4" w:rsidP="00A16CAB">
      <w:pPr>
        <w:pStyle w:val="FootnoteText"/>
        <w:numPr>
          <w:ilvl w:val="0"/>
          <w:numId w:val="15"/>
        </w:numPr>
        <w:spacing w:before="0"/>
        <w:rPr>
          <w:rFonts w:ascii="Arial Narrow" w:hAnsi="Arial Narrow"/>
          <w:sz w:val="16"/>
          <w:szCs w:val="16"/>
        </w:rPr>
      </w:pPr>
      <w:r w:rsidRPr="00831369">
        <w:rPr>
          <w:rFonts w:ascii="Arial Narrow" w:hAnsi="Arial Narrow"/>
          <w:sz w:val="16"/>
          <w:szCs w:val="16"/>
        </w:rPr>
        <w:t>30% to 60%: may represent moderate heterogeneity*;</w:t>
      </w:r>
    </w:p>
    <w:p w14:paraId="171C809C" w14:textId="248ED8B3" w:rsidR="00525FC4" w:rsidRPr="00831369" w:rsidRDefault="00525FC4" w:rsidP="00A16CAB">
      <w:pPr>
        <w:pStyle w:val="FootnoteText"/>
        <w:numPr>
          <w:ilvl w:val="0"/>
          <w:numId w:val="15"/>
        </w:numPr>
        <w:spacing w:before="0"/>
        <w:rPr>
          <w:rFonts w:ascii="Arial Narrow" w:hAnsi="Arial Narrow"/>
          <w:sz w:val="16"/>
          <w:szCs w:val="16"/>
        </w:rPr>
      </w:pPr>
      <w:r w:rsidRPr="00831369">
        <w:rPr>
          <w:rFonts w:ascii="Arial Narrow" w:hAnsi="Arial Narrow"/>
          <w:sz w:val="16"/>
          <w:szCs w:val="16"/>
        </w:rPr>
        <w:t>50% to 90%: may represent substantial heterogeneity*;</w:t>
      </w:r>
    </w:p>
    <w:p w14:paraId="02DDDDC8" w14:textId="2E228DFF" w:rsidR="00525FC4" w:rsidRPr="00831369" w:rsidRDefault="00525FC4" w:rsidP="00A16CAB">
      <w:pPr>
        <w:pStyle w:val="FootnoteText"/>
        <w:numPr>
          <w:ilvl w:val="0"/>
          <w:numId w:val="15"/>
        </w:numPr>
        <w:spacing w:before="0"/>
        <w:rPr>
          <w:rFonts w:ascii="Arial Narrow" w:hAnsi="Arial Narrow"/>
          <w:sz w:val="16"/>
          <w:szCs w:val="16"/>
        </w:rPr>
      </w:pPr>
      <w:r w:rsidRPr="00831369">
        <w:rPr>
          <w:rFonts w:ascii="Arial Narrow" w:hAnsi="Arial Narrow"/>
          <w:sz w:val="16"/>
          <w:szCs w:val="16"/>
        </w:rPr>
        <w:t>75% to 100%: considerable heterogeneity*.</w:t>
      </w:r>
    </w:p>
    <w:p w14:paraId="718A5AF2" w14:textId="33257E50" w:rsidR="00447197" w:rsidRPr="00447197" w:rsidRDefault="00525FC4" w:rsidP="00831369">
      <w:pPr>
        <w:pStyle w:val="FootnoteText"/>
        <w:spacing w:before="0"/>
        <w:rPr>
          <w:lang w:val="en-US"/>
        </w:rPr>
      </w:pPr>
      <w:r w:rsidRPr="00831369">
        <w:rPr>
          <w:rFonts w:ascii="Arial Narrow" w:hAnsi="Arial Narrow"/>
          <w:sz w:val="16"/>
          <w:szCs w:val="16"/>
        </w:rPr>
        <w:t>*The importance of the observed value of I</w:t>
      </w:r>
      <w:r w:rsidRPr="00831369">
        <w:rPr>
          <w:rFonts w:ascii="Arial Narrow" w:hAnsi="Arial Narrow"/>
          <w:sz w:val="16"/>
          <w:szCs w:val="16"/>
          <w:vertAlign w:val="superscript"/>
        </w:rPr>
        <w:t>2</w:t>
      </w:r>
      <w:r w:rsidRPr="00831369">
        <w:rPr>
          <w:rFonts w:ascii="Arial Narrow" w:hAnsi="Arial Narrow"/>
          <w:sz w:val="16"/>
          <w:szCs w:val="16"/>
        </w:rPr>
        <w:t xml:space="preserve"> depends on (i) magnitude and direction of effects and (ii) strength of evidence for heterogeneity (e.g. P value from the chi-squared test, or a confidence interval for I</w:t>
      </w:r>
      <w:r w:rsidRPr="00831369">
        <w:rPr>
          <w:rFonts w:ascii="Arial Narrow" w:hAnsi="Arial Narrow"/>
          <w:sz w:val="16"/>
          <w:szCs w:val="16"/>
          <w:vertAlign w:val="superscript"/>
        </w:rPr>
        <w:t>2</w:t>
      </w:r>
      <w:r w:rsidRPr="00831369">
        <w:rPr>
          <w:rFonts w:ascii="Arial Narrow" w:hAnsi="Arial Narrow"/>
          <w:sz w:val="16"/>
          <w:szCs w:val="16"/>
        </w:rPr>
        <w:t>).</w:t>
      </w:r>
      <w:r w:rsidR="00400A52" w:rsidRPr="00831369">
        <w:rPr>
          <w:rFonts w:ascii="Arial Narrow" w:hAnsi="Arial Narrow"/>
          <w:sz w:val="16"/>
          <w:szCs w:val="16"/>
        </w:rPr>
        <w:t xml:space="preserve"> </w:t>
      </w:r>
      <w:r w:rsidR="00AB3A60" w:rsidRPr="00831369">
        <w:rPr>
          <w:rFonts w:ascii="Arial Narrow" w:hAnsi="Arial Narrow"/>
          <w:sz w:val="16"/>
          <w:szCs w:val="16"/>
        </w:rPr>
        <w:t xml:space="preserve">[Reference: Cochrane 9.5.2  Identifying and measuring heterogeneity </w:t>
      </w:r>
      <w:hyperlink r:id="rId6" w:history="1">
        <w:r w:rsidR="002F6326" w:rsidRPr="00FB0E96">
          <w:rPr>
            <w:rStyle w:val="Hyperlink"/>
            <w:rFonts w:ascii="Arial Narrow" w:hAnsi="Arial Narrow"/>
            <w:sz w:val="16"/>
            <w:szCs w:val="16"/>
          </w:rPr>
          <w:t>https://handbook-5-1.cochrane.org/chapter_9/9_5_2_identifying_and_measuring_heterogeneity.htm</w:t>
        </w:r>
      </w:hyperlink>
      <w:r w:rsidR="00FB0E96" w:rsidRPr="00FB0E96">
        <w:rPr>
          <w:rStyle w:val="Hyperlink"/>
          <w:rFonts w:ascii="Arial Narrow" w:hAnsi="Arial Narrow"/>
          <w:sz w:val="16"/>
          <w:szCs w:val="16"/>
        </w:rPr>
        <w:t xml:space="preserve"> </w:t>
      </w:r>
      <w:r w:rsidR="002F6326" w:rsidRPr="00EC04C1">
        <w:rPr>
          <w:color w:val="FF0000"/>
        </w:rPr>
        <w:t xml:space="preserve"> </w:t>
      </w:r>
    </w:p>
  </w:footnote>
  <w:footnote w:id="18">
    <w:p w14:paraId="470C9F76" w14:textId="5E47419A" w:rsidR="000F2517" w:rsidRDefault="000F2517">
      <w:pPr>
        <w:pStyle w:val="FootnoteText"/>
      </w:pPr>
      <w:r>
        <w:rPr>
          <w:rStyle w:val="FootnoteReference"/>
        </w:rPr>
        <w:footnoteRef/>
      </w:r>
      <w:r>
        <w:t xml:space="preserve"> </w:t>
      </w:r>
      <w:r w:rsidR="008141C9" w:rsidRPr="008141C9">
        <w:t xml:space="preserve">Stewart MG, Witsell DL, Smith TL, </w:t>
      </w:r>
      <w:r w:rsidR="008141C9">
        <w:t>et al</w:t>
      </w:r>
      <w:r w:rsidR="006F679F">
        <w:t>.</w:t>
      </w:r>
      <w:r w:rsidR="008141C9">
        <w:t xml:space="preserve"> (2004)</w:t>
      </w:r>
      <w:r w:rsidR="008141C9" w:rsidRPr="008141C9">
        <w:t xml:space="preserve"> Development and validation of the Nasal Obstruction Symptom Evaluation (NOSE) scale. </w:t>
      </w:r>
      <w:r w:rsidR="008141C9" w:rsidRPr="008141C9">
        <w:rPr>
          <w:i/>
          <w:iCs/>
        </w:rPr>
        <w:t>Otolaryngol Head Neck Surg</w:t>
      </w:r>
      <w:r w:rsidR="008141C9">
        <w:t>.</w:t>
      </w:r>
      <w:r w:rsidR="008141C9" w:rsidRPr="008141C9">
        <w:t xml:space="preserve"> 130:157-63</w:t>
      </w:r>
    </w:p>
  </w:footnote>
  <w:footnote w:id="19">
    <w:p w14:paraId="69EF8AE6" w14:textId="4BA4A2D8" w:rsidR="000F2517" w:rsidRDefault="000F2517">
      <w:pPr>
        <w:pStyle w:val="FootnoteText"/>
      </w:pPr>
      <w:r>
        <w:rPr>
          <w:rStyle w:val="FootnoteReference"/>
        </w:rPr>
        <w:footnoteRef/>
      </w:r>
      <w:r>
        <w:t xml:space="preserve"> </w:t>
      </w:r>
      <w:r w:rsidR="00E4057C" w:rsidRPr="00E4057C">
        <w:t xml:space="preserve">Lodder WL, &amp; Leong SC (2018) What are the clinically important outcome measures in the surgical management of nasal obstruction? </w:t>
      </w:r>
      <w:r w:rsidR="00E4057C" w:rsidRPr="00E4057C">
        <w:rPr>
          <w:i/>
          <w:iCs/>
        </w:rPr>
        <w:t>Clinical otolaryngology</w:t>
      </w:r>
      <w:r w:rsidR="00E4057C" w:rsidRPr="00E4057C">
        <w:t>: 43(2)</w:t>
      </w:r>
      <w:r w:rsidR="00E4057C">
        <w:t>:</w:t>
      </w:r>
      <w:r w:rsidR="00E4057C" w:rsidRPr="00E4057C">
        <w:t>567–571</w:t>
      </w:r>
    </w:p>
  </w:footnote>
  <w:footnote w:id="20">
    <w:p w14:paraId="02B455B8" w14:textId="337FDF42" w:rsidR="000F2517" w:rsidRDefault="000F2517">
      <w:pPr>
        <w:pStyle w:val="FootnoteText"/>
      </w:pPr>
      <w:r>
        <w:rPr>
          <w:rStyle w:val="FootnoteReference"/>
        </w:rPr>
        <w:footnoteRef/>
      </w:r>
      <w:r>
        <w:t xml:space="preserve"> </w:t>
      </w:r>
      <w:r w:rsidR="006F679F" w:rsidRPr="006F679F">
        <w:t xml:space="preserve">Kandathil CK, Saltychev M, Abdelwahab M, </w:t>
      </w:r>
      <w:r w:rsidR="006F679F">
        <w:t>et al</w:t>
      </w:r>
      <w:r w:rsidR="006F679F" w:rsidRPr="006F679F">
        <w:t xml:space="preserve">. (2019) Minimal Clinically Important Difference of the Standardized Cosmesis and Health Nasal Outcomes Survey. </w:t>
      </w:r>
      <w:r w:rsidR="006F679F" w:rsidRPr="006F679F">
        <w:rPr>
          <w:i/>
          <w:iCs/>
        </w:rPr>
        <w:t>Aesthetic surgery journal</w:t>
      </w:r>
      <w:r w:rsidR="006F679F">
        <w:rPr>
          <w:i/>
          <w:iCs/>
        </w:rPr>
        <w:t>.</w:t>
      </w:r>
      <w:r w:rsidR="006F679F" w:rsidRPr="006F679F">
        <w:t xml:space="preserve"> 39(8)</w:t>
      </w:r>
      <w:r w:rsidR="006F679F">
        <w:t>:</w:t>
      </w:r>
      <w:r w:rsidR="006F679F" w:rsidRPr="006F679F">
        <w:t>837–8400</w:t>
      </w:r>
    </w:p>
  </w:footnote>
  <w:footnote w:id="21">
    <w:p w14:paraId="76A90283" w14:textId="77777777" w:rsidR="004D0114" w:rsidRPr="00831369" w:rsidRDefault="004D0114" w:rsidP="00427159">
      <w:pPr>
        <w:pStyle w:val="FootnoteText"/>
        <w:spacing w:before="0"/>
        <w:rPr>
          <w:rFonts w:ascii="Arial Narrow" w:hAnsi="Arial Narrow"/>
          <w:sz w:val="16"/>
          <w:szCs w:val="16"/>
        </w:rPr>
      </w:pPr>
      <w:r w:rsidRPr="00012316">
        <w:rPr>
          <w:rStyle w:val="FootnoteReference"/>
          <w:rFonts w:ascii="Arial Narrow" w:hAnsi="Arial Narrow"/>
          <w:sz w:val="16"/>
          <w:szCs w:val="16"/>
        </w:rPr>
        <w:footnoteRef/>
      </w:r>
      <w:r w:rsidRPr="00012316">
        <w:rPr>
          <w:rFonts w:ascii="Arial Narrow" w:hAnsi="Arial Narrow"/>
          <w:sz w:val="16"/>
          <w:szCs w:val="16"/>
        </w:rPr>
        <w:t xml:space="preserve"> These include a study case in Germany of septorhinoplasty (Oladokun et al. 2018), LATERA-RCT studies (Stolovitzky et al. 2018 and 2019), and a study case in Australia of septorhinoplasty (Tjahjono et al. 2019).</w:t>
      </w:r>
    </w:p>
  </w:footnote>
  <w:footnote w:id="22">
    <w:p w14:paraId="4CD24D7B" w14:textId="77777777" w:rsidR="004D0114" w:rsidRPr="00831369" w:rsidRDefault="004D0114" w:rsidP="004D0114">
      <w:pPr>
        <w:pStyle w:val="FootnoteText"/>
        <w:rPr>
          <w:rFonts w:ascii="Arial Narrow" w:hAnsi="Arial Narrow"/>
          <w:sz w:val="16"/>
          <w:szCs w:val="16"/>
        </w:rPr>
      </w:pPr>
      <w:r w:rsidRPr="00831369">
        <w:rPr>
          <w:rStyle w:val="FootnoteReference"/>
          <w:rFonts w:ascii="Arial Narrow" w:hAnsi="Arial Narrow"/>
          <w:sz w:val="16"/>
          <w:szCs w:val="16"/>
        </w:rPr>
        <w:footnoteRef/>
      </w:r>
      <w:r w:rsidRPr="00831369">
        <w:rPr>
          <w:rFonts w:ascii="Arial Narrow" w:hAnsi="Arial Narrow"/>
          <w:sz w:val="16"/>
          <w:szCs w:val="16"/>
        </w:rPr>
        <w:t xml:space="preserve"> Medicare Benefits Schedule Review Taskforce. Interim Report to the Minister for Health 2016 </w:t>
      </w:r>
      <w:hyperlink r:id="rId7" w:history="1">
        <w:r w:rsidRPr="00831369">
          <w:rPr>
            <w:rStyle w:val="Hyperlink"/>
            <w:rFonts w:ascii="Arial Narrow" w:hAnsi="Arial Narrow"/>
            <w:sz w:val="16"/>
            <w:szCs w:val="16"/>
          </w:rPr>
          <w:t>https://www.health.gov.au/sites/default/files/documents/2021/05/medicare-benefits-schedule-review-taskforce-interim-report.pdf</w:t>
        </w:r>
      </w:hyperlink>
      <w:r w:rsidRPr="00831369">
        <w:rPr>
          <w:rFonts w:ascii="Arial Narrow" w:hAnsi="Arial Narrow"/>
          <w:sz w:val="16"/>
          <w:szCs w:val="16"/>
        </w:rPr>
        <w:t xml:space="preserve"> </w:t>
      </w:r>
    </w:p>
  </w:footnote>
  <w:footnote w:id="23">
    <w:p w14:paraId="65285EE2" w14:textId="77777777" w:rsidR="002C5802" w:rsidRDefault="002C5802" w:rsidP="002C5802">
      <w:pPr>
        <w:pStyle w:val="FootnoteText"/>
      </w:pPr>
      <w:r>
        <w:rPr>
          <w:rStyle w:val="FootnoteReference"/>
        </w:rPr>
        <w:footnoteRef/>
      </w:r>
      <w:r>
        <w:t xml:space="preserve"> Stewart MG, Witsell DL, Smith TL et al. (2004)</w:t>
      </w:r>
      <w:r w:rsidRPr="00B71125">
        <w:t xml:space="preserve"> Development and validation of the Nasal Obstruction Symptom Evaluation (NOSE) scale</w:t>
      </w:r>
      <w:r>
        <w:t xml:space="preserve">. </w:t>
      </w:r>
      <w:r w:rsidRPr="00FC6E4D">
        <w:rPr>
          <w:i/>
          <w:iCs/>
        </w:rPr>
        <w:t>Otolaryngol Head Neck Surgery</w:t>
      </w:r>
      <w:r>
        <w:t>.130(2):157-63.</w:t>
      </w:r>
    </w:p>
  </w:footnote>
  <w:footnote w:id="24">
    <w:p w14:paraId="58CCF23F" w14:textId="77777777" w:rsidR="002C5802" w:rsidRDefault="002C5802" w:rsidP="002C5802">
      <w:pPr>
        <w:pStyle w:val="FootnoteText"/>
      </w:pPr>
      <w:r>
        <w:rPr>
          <w:rStyle w:val="FootnoteReference"/>
        </w:rPr>
        <w:footnoteRef/>
      </w:r>
      <w:r>
        <w:t xml:space="preserve"> </w:t>
      </w:r>
      <w:r w:rsidRPr="0066320E">
        <w:t>Clark CM, Hakimi AA, Parsa KM, et al. Comparison of Nasal Obstruction Symptom Evaluation Score Outcomes After Autologous Cartilage Grafts and Latera Nasal Implants. Annals of Otology, Rhinology &amp; Laryngology. 2022;0(0)</w:t>
      </w:r>
    </w:p>
  </w:footnote>
  <w:footnote w:id="25">
    <w:p w14:paraId="4976352D" w14:textId="77777777" w:rsidR="002C5802" w:rsidRDefault="002C5802" w:rsidP="002C5802">
      <w:pPr>
        <w:pStyle w:val="FootnoteText"/>
      </w:pPr>
      <w:r>
        <w:rPr>
          <w:rStyle w:val="FootnoteReference"/>
        </w:rPr>
        <w:footnoteRef/>
      </w:r>
      <w:r>
        <w:t xml:space="preserve"> </w:t>
      </w:r>
      <w:r w:rsidRPr="000F1FAB">
        <w:t>Rippy MK, Baron S, Rosenthal M, Senior BA. Evaluation of absorbable PLA nasal implants in an ovine model. Laryngoscope Investig Otolaryngol. 2018 May 25;3(3):156-161.</w:t>
      </w:r>
    </w:p>
  </w:footnote>
  <w:footnote w:id="26">
    <w:p w14:paraId="56E2D477" w14:textId="2BD82336" w:rsidR="002C5802" w:rsidRDefault="002C5802" w:rsidP="002C5802">
      <w:pPr>
        <w:pStyle w:val="FootnoteText"/>
      </w:pPr>
      <w:r>
        <w:rPr>
          <w:rStyle w:val="FootnoteReference"/>
        </w:rPr>
        <w:footnoteRef/>
      </w:r>
      <w:r>
        <w:t xml:space="preserve"> </w:t>
      </w:r>
      <w:r w:rsidRPr="00E120F3">
        <w:t xml:space="preserve">Type C procedure – </w:t>
      </w:r>
      <w:r>
        <w:t xml:space="preserve">Under the Private Health Insurance (Benefits Requirements) Rules 2001, Type C procedures are procedures that do not normally require hospital treatment or accommodation. If a medical practitioner certifies that the patient requires hospital treatment for a clinical reason, health insurers can pay hospital accommodation benefits (and associated PL costs). </w:t>
      </w:r>
      <w:r w:rsidRPr="00E120F3">
        <w:t xml:space="preserve">The majority of </w:t>
      </w:r>
      <w:r>
        <w:t xml:space="preserve">LATERA </w:t>
      </w:r>
      <w:r w:rsidRPr="00E120F3">
        <w:t xml:space="preserve">procedures </w:t>
      </w:r>
      <w:r>
        <w:t>could</w:t>
      </w:r>
      <w:r w:rsidRPr="00E120F3">
        <w:t xml:space="preserve"> be undertaken in consulting rooms with a local anaesthetic, with a minority </w:t>
      </w:r>
      <w:r>
        <w:t>or more complex cases requiring a</w:t>
      </w:r>
      <w:r w:rsidRPr="00E120F3">
        <w:t xml:space="preserve"> day surgery settings or overnight hospital treatment for</w:t>
      </w:r>
      <w:r>
        <w:t xml:space="preserve"> clinical reasons</w:t>
      </w:r>
      <w:r w:rsidRPr="00E120F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8F12" w14:textId="77777777" w:rsidR="00982DE5" w:rsidRDefault="00982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2A2E" w14:textId="77777777" w:rsidR="00982DE5" w:rsidRDefault="00982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EDC7" w14:textId="77777777" w:rsidR="00982DE5" w:rsidRDefault="00982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EEE"/>
    <w:multiLevelType w:val="hybridMultilevel"/>
    <w:tmpl w:val="331E704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207C95"/>
    <w:multiLevelType w:val="hybridMultilevel"/>
    <w:tmpl w:val="4F9EE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8720D"/>
    <w:multiLevelType w:val="hybridMultilevel"/>
    <w:tmpl w:val="74D23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C2794"/>
    <w:multiLevelType w:val="multilevel"/>
    <w:tmpl w:val="70A433A6"/>
    <w:lvl w:ilvl="0">
      <w:start w:val="1"/>
      <w:numFmt w:val="bullet"/>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D12330"/>
    <w:multiLevelType w:val="hybridMultilevel"/>
    <w:tmpl w:val="5658C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D832FD1"/>
    <w:multiLevelType w:val="hybridMultilevel"/>
    <w:tmpl w:val="2DCC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F53413"/>
    <w:multiLevelType w:val="hybridMultilevel"/>
    <w:tmpl w:val="F52E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C6174"/>
    <w:multiLevelType w:val="hybridMultilevel"/>
    <w:tmpl w:val="ECD43AAA"/>
    <w:lvl w:ilvl="0" w:tplc="1A00EB4E">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7B73B2"/>
    <w:multiLevelType w:val="hybridMultilevel"/>
    <w:tmpl w:val="6C36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0D30BF"/>
    <w:multiLevelType w:val="hybridMultilevel"/>
    <w:tmpl w:val="84F8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1C6A47"/>
    <w:multiLevelType w:val="hybridMultilevel"/>
    <w:tmpl w:val="7818928C"/>
    <w:lvl w:ilvl="0" w:tplc="C128B33A">
      <w:start w:val="1"/>
      <w:numFmt w:val="upperLetter"/>
      <w:pStyle w:val="HeadingAppendix"/>
      <w:lvlText w:val="Appendix %1"/>
      <w:lvlJc w:val="lef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8" w15:restartNumberingAfterBreak="0">
    <w:nsid w:val="40856D2A"/>
    <w:multiLevelType w:val="hybridMultilevel"/>
    <w:tmpl w:val="5FCEE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95746"/>
    <w:multiLevelType w:val="hybridMultilevel"/>
    <w:tmpl w:val="28BC0FCE"/>
    <w:lvl w:ilvl="0" w:tplc="A26EFB64">
      <w:start w:val="1"/>
      <w:numFmt w:val="bullet"/>
      <w:pStyle w:val="Instructionaltext-bullet"/>
      <w:lvlText w:val=""/>
      <w:lvlJc w:val="left"/>
      <w:pPr>
        <w:ind w:left="363" w:hanging="360"/>
      </w:pPr>
      <w:rPr>
        <w:rFonts w:ascii="Symbol" w:hAnsi="Symbol" w:cs="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cs="Wingdings" w:hint="default"/>
      </w:rPr>
    </w:lvl>
    <w:lvl w:ilvl="3" w:tplc="0C090001" w:tentative="1">
      <w:start w:val="1"/>
      <w:numFmt w:val="bullet"/>
      <w:lvlText w:val=""/>
      <w:lvlJc w:val="left"/>
      <w:pPr>
        <w:ind w:left="2523" w:hanging="360"/>
      </w:pPr>
      <w:rPr>
        <w:rFonts w:ascii="Symbol" w:hAnsi="Symbol" w:cs="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cs="Wingdings" w:hint="default"/>
      </w:rPr>
    </w:lvl>
    <w:lvl w:ilvl="6" w:tplc="0C090001" w:tentative="1">
      <w:start w:val="1"/>
      <w:numFmt w:val="bullet"/>
      <w:lvlText w:val=""/>
      <w:lvlJc w:val="left"/>
      <w:pPr>
        <w:ind w:left="4683" w:hanging="360"/>
      </w:pPr>
      <w:rPr>
        <w:rFonts w:ascii="Symbol" w:hAnsi="Symbol" w:cs="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cs="Wingdings" w:hint="default"/>
      </w:rPr>
    </w:lvl>
  </w:abstractNum>
  <w:abstractNum w:abstractNumId="20" w15:restartNumberingAfterBreak="0">
    <w:nsid w:val="534D02B1"/>
    <w:multiLevelType w:val="hybridMultilevel"/>
    <w:tmpl w:val="DDF8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465985"/>
    <w:multiLevelType w:val="hybridMultilevel"/>
    <w:tmpl w:val="07942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5F49DA"/>
    <w:multiLevelType w:val="hybridMultilevel"/>
    <w:tmpl w:val="D8085D20"/>
    <w:lvl w:ilvl="0" w:tplc="1A00EB4E">
      <w:numFmt w:val="bullet"/>
      <w:lvlText w:val="-"/>
      <w:lvlJc w:val="left"/>
      <w:pPr>
        <w:ind w:left="884" w:hanging="360"/>
      </w:pPr>
      <w:rPr>
        <w:rFonts w:ascii="Arial Narrow" w:eastAsia="Times New Roman" w:hAnsi="Arial Narrow" w:cs="Times New Roman"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23" w15:restartNumberingAfterBreak="0">
    <w:nsid w:val="5EBA6154"/>
    <w:multiLevelType w:val="hybridMultilevel"/>
    <w:tmpl w:val="62B66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943320"/>
    <w:multiLevelType w:val="hybridMultilevel"/>
    <w:tmpl w:val="087E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686B69"/>
    <w:multiLevelType w:val="hybridMultilevel"/>
    <w:tmpl w:val="EB244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362F1"/>
    <w:multiLevelType w:val="hybridMultilevel"/>
    <w:tmpl w:val="F01E7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315DF8"/>
    <w:multiLevelType w:val="hybridMultilevel"/>
    <w:tmpl w:val="B0F4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4C56B5"/>
    <w:multiLevelType w:val="hybridMultilevel"/>
    <w:tmpl w:val="EBE8CF3A"/>
    <w:lvl w:ilvl="0" w:tplc="609A47C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DD7B7C"/>
    <w:multiLevelType w:val="hybridMultilevel"/>
    <w:tmpl w:val="9B08F05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3"/>
  </w:num>
  <w:num w:numId="2">
    <w:abstractNumId w:val="31"/>
  </w:num>
  <w:num w:numId="3">
    <w:abstractNumId w:val="2"/>
  </w:num>
  <w:num w:numId="4">
    <w:abstractNumId w:val="7"/>
  </w:num>
  <w:num w:numId="5">
    <w:abstractNumId w:val="29"/>
  </w:num>
  <w:num w:numId="6">
    <w:abstractNumId w:val="8"/>
  </w:num>
  <w:num w:numId="7">
    <w:abstractNumId w:val="9"/>
  </w:num>
  <w:num w:numId="8">
    <w:abstractNumId w:val="11"/>
  </w:num>
  <w:num w:numId="9">
    <w:abstractNumId w:val="19"/>
  </w:num>
  <w:num w:numId="10">
    <w:abstractNumId w:val="15"/>
  </w:num>
  <w:num w:numId="11">
    <w:abstractNumId w:val="27"/>
  </w:num>
  <w:num w:numId="12">
    <w:abstractNumId w:val="0"/>
  </w:num>
  <w:num w:numId="13">
    <w:abstractNumId w:val="30"/>
  </w:num>
  <w:num w:numId="14">
    <w:abstractNumId w:val="23"/>
  </w:num>
  <w:num w:numId="15">
    <w:abstractNumId w:val="24"/>
  </w:num>
  <w:num w:numId="16">
    <w:abstractNumId w:val="25"/>
  </w:num>
  <w:num w:numId="17">
    <w:abstractNumId w:val="20"/>
  </w:num>
  <w:num w:numId="18">
    <w:abstractNumId w:val="18"/>
  </w:num>
  <w:num w:numId="19">
    <w:abstractNumId w:val="6"/>
  </w:num>
  <w:num w:numId="20">
    <w:abstractNumId w:val="10"/>
  </w:num>
  <w:num w:numId="21">
    <w:abstractNumId w:val="26"/>
  </w:num>
  <w:num w:numId="22">
    <w:abstractNumId w:val="1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7"/>
  </w:num>
  <w:num w:numId="26">
    <w:abstractNumId w:val="4"/>
  </w:num>
  <w:num w:numId="27">
    <w:abstractNumId w:val="4"/>
  </w:num>
  <w:num w:numId="28">
    <w:abstractNumId w:val="3"/>
  </w:num>
  <w:num w:numId="29">
    <w:abstractNumId w:val="1"/>
  </w:num>
  <w:num w:numId="30">
    <w:abstractNumId w:val="12"/>
  </w:num>
  <w:num w:numId="31">
    <w:abstractNumId w:val="22"/>
  </w:num>
  <w:num w:numId="32">
    <w:abstractNumId w:val="14"/>
  </w:num>
  <w:num w:numId="33">
    <w:abstractNumId w:val="5"/>
  </w:num>
  <w:num w:numId="3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xMzAwM7Y0NTc0sjRT0lEKTi0uzszPAykwqgUA90GlzSwAAAA="/>
  </w:docVars>
  <w:rsids>
    <w:rsidRoot w:val="008157F1"/>
    <w:rsid w:val="00000131"/>
    <w:rsid w:val="000002B9"/>
    <w:rsid w:val="00000365"/>
    <w:rsid w:val="000003A5"/>
    <w:rsid w:val="00000887"/>
    <w:rsid w:val="00000B99"/>
    <w:rsid w:val="0000109A"/>
    <w:rsid w:val="0000133B"/>
    <w:rsid w:val="000017AC"/>
    <w:rsid w:val="00001AE6"/>
    <w:rsid w:val="00001B2D"/>
    <w:rsid w:val="00001BEF"/>
    <w:rsid w:val="00001D55"/>
    <w:rsid w:val="00002104"/>
    <w:rsid w:val="00002129"/>
    <w:rsid w:val="0000219B"/>
    <w:rsid w:val="0000237F"/>
    <w:rsid w:val="00002380"/>
    <w:rsid w:val="000029C0"/>
    <w:rsid w:val="00002C96"/>
    <w:rsid w:val="0000316E"/>
    <w:rsid w:val="00003544"/>
    <w:rsid w:val="00003594"/>
    <w:rsid w:val="000035E8"/>
    <w:rsid w:val="000038F7"/>
    <w:rsid w:val="00003B17"/>
    <w:rsid w:val="00003E53"/>
    <w:rsid w:val="0000430C"/>
    <w:rsid w:val="00004946"/>
    <w:rsid w:val="00004A27"/>
    <w:rsid w:val="00004B72"/>
    <w:rsid w:val="00004B83"/>
    <w:rsid w:val="00004D69"/>
    <w:rsid w:val="00004F7F"/>
    <w:rsid w:val="0000515B"/>
    <w:rsid w:val="00005358"/>
    <w:rsid w:val="000054C9"/>
    <w:rsid w:val="0000558E"/>
    <w:rsid w:val="00005649"/>
    <w:rsid w:val="00005A8E"/>
    <w:rsid w:val="00005CAC"/>
    <w:rsid w:val="00005E38"/>
    <w:rsid w:val="00005E9D"/>
    <w:rsid w:val="000060AC"/>
    <w:rsid w:val="0000630A"/>
    <w:rsid w:val="0000652E"/>
    <w:rsid w:val="00006BF3"/>
    <w:rsid w:val="000072F7"/>
    <w:rsid w:val="0000731D"/>
    <w:rsid w:val="000077D6"/>
    <w:rsid w:val="000077F9"/>
    <w:rsid w:val="00007861"/>
    <w:rsid w:val="00007A81"/>
    <w:rsid w:val="00007DE5"/>
    <w:rsid w:val="00007EB7"/>
    <w:rsid w:val="00007F0E"/>
    <w:rsid w:val="000100B6"/>
    <w:rsid w:val="0001112C"/>
    <w:rsid w:val="0001119B"/>
    <w:rsid w:val="00011260"/>
    <w:rsid w:val="000114DC"/>
    <w:rsid w:val="00011568"/>
    <w:rsid w:val="000115C2"/>
    <w:rsid w:val="00011621"/>
    <w:rsid w:val="00011686"/>
    <w:rsid w:val="000117F1"/>
    <w:rsid w:val="00011B44"/>
    <w:rsid w:val="0001202A"/>
    <w:rsid w:val="000122C6"/>
    <w:rsid w:val="00012316"/>
    <w:rsid w:val="00012611"/>
    <w:rsid w:val="000127AC"/>
    <w:rsid w:val="00013002"/>
    <w:rsid w:val="000132B1"/>
    <w:rsid w:val="000133B7"/>
    <w:rsid w:val="000134F6"/>
    <w:rsid w:val="000135AA"/>
    <w:rsid w:val="00013739"/>
    <w:rsid w:val="0001373A"/>
    <w:rsid w:val="00013CF0"/>
    <w:rsid w:val="0001472C"/>
    <w:rsid w:val="000147AA"/>
    <w:rsid w:val="000148CC"/>
    <w:rsid w:val="00014974"/>
    <w:rsid w:val="00014ADE"/>
    <w:rsid w:val="00014D59"/>
    <w:rsid w:val="00015565"/>
    <w:rsid w:val="000159DF"/>
    <w:rsid w:val="00015B19"/>
    <w:rsid w:val="000163EA"/>
    <w:rsid w:val="0001675A"/>
    <w:rsid w:val="00016AD5"/>
    <w:rsid w:val="00016AE1"/>
    <w:rsid w:val="00016B94"/>
    <w:rsid w:val="000174E3"/>
    <w:rsid w:val="000176E0"/>
    <w:rsid w:val="00017C4B"/>
    <w:rsid w:val="00017CCF"/>
    <w:rsid w:val="00017F16"/>
    <w:rsid w:val="000201CC"/>
    <w:rsid w:val="00020328"/>
    <w:rsid w:val="0002051A"/>
    <w:rsid w:val="00020647"/>
    <w:rsid w:val="00020BF3"/>
    <w:rsid w:val="00020CE7"/>
    <w:rsid w:val="0002108A"/>
    <w:rsid w:val="000210EB"/>
    <w:rsid w:val="00021536"/>
    <w:rsid w:val="000217D4"/>
    <w:rsid w:val="00021900"/>
    <w:rsid w:val="00021955"/>
    <w:rsid w:val="00022640"/>
    <w:rsid w:val="000228B8"/>
    <w:rsid w:val="00022AAF"/>
    <w:rsid w:val="00022B30"/>
    <w:rsid w:val="00022CA5"/>
    <w:rsid w:val="00022F40"/>
    <w:rsid w:val="00023325"/>
    <w:rsid w:val="00023430"/>
    <w:rsid w:val="00023560"/>
    <w:rsid w:val="000235CD"/>
    <w:rsid w:val="0002381B"/>
    <w:rsid w:val="00023A07"/>
    <w:rsid w:val="00023BAE"/>
    <w:rsid w:val="00023EB3"/>
    <w:rsid w:val="000246F4"/>
    <w:rsid w:val="000248EF"/>
    <w:rsid w:val="00024A0F"/>
    <w:rsid w:val="00024C18"/>
    <w:rsid w:val="00024D96"/>
    <w:rsid w:val="00024EA5"/>
    <w:rsid w:val="00025036"/>
    <w:rsid w:val="000253B4"/>
    <w:rsid w:val="000256DF"/>
    <w:rsid w:val="000257B5"/>
    <w:rsid w:val="0002584A"/>
    <w:rsid w:val="00025C4B"/>
    <w:rsid w:val="00025E7C"/>
    <w:rsid w:val="00026449"/>
    <w:rsid w:val="0002644D"/>
    <w:rsid w:val="0002668B"/>
    <w:rsid w:val="00026B3E"/>
    <w:rsid w:val="00026C14"/>
    <w:rsid w:val="00026E24"/>
    <w:rsid w:val="00026F77"/>
    <w:rsid w:val="0002755F"/>
    <w:rsid w:val="00027637"/>
    <w:rsid w:val="00027643"/>
    <w:rsid w:val="00027A5A"/>
    <w:rsid w:val="00030116"/>
    <w:rsid w:val="000301BB"/>
    <w:rsid w:val="000302B8"/>
    <w:rsid w:val="00030384"/>
    <w:rsid w:val="00030AC0"/>
    <w:rsid w:val="00030B93"/>
    <w:rsid w:val="00030E42"/>
    <w:rsid w:val="00030E77"/>
    <w:rsid w:val="0003132A"/>
    <w:rsid w:val="000314AA"/>
    <w:rsid w:val="0003161A"/>
    <w:rsid w:val="000317DA"/>
    <w:rsid w:val="00032404"/>
    <w:rsid w:val="00032675"/>
    <w:rsid w:val="000327C1"/>
    <w:rsid w:val="000328B3"/>
    <w:rsid w:val="000328F3"/>
    <w:rsid w:val="00032B02"/>
    <w:rsid w:val="00032F71"/>
    <w:rsid w:val="000334C7"/>
    <w:rsid w:val="0003355C"/>
    <w:rsid w:val="00033ADA"/>
    <w:rsid w:val="00034073"/>
    <w:rsid w:val="0003423A"/>
    <w:rsid w:val="0003477F"/>
    <w:rsid w:val="000348A0"/>
    <w:rsid w:val="00034BC2"/>
    <w:rsid w:val="00034FCA"/>
    <w:rsid w:val="00035123"/>
    <w:rsid w:val="000353A3"/>
    <w:rsid w:val="00035FD9"/>
    <w:rsid w:val="00036258"/>
    <w:rsid w:val="000369C2"/>
    <w:rsid w:val="00036AD8"/>
    <w:rsid w:val="00036C16"/>
    <w:rsid w:val="00036F90"/>
    <w:rsid w:val="00037037"/>
    <w:rsid w:val="000372EA"/>
    <w:rsid w:val="000372F1"/>
    <w:rsid w:val="00037302"/>
    <w:rsid w:val="000373F1"/>
    <w:rsid w:val="000374E7"/>
    <w:rsid w:val="000375CF"/>
    <w:rsid w:val="0003782E"/>
    <w:rsid w:val="00037879"/>
    <w:rsid w:val="00037898"/>
    <w:rsid w:val="00037A95"/>
    <w:rsid w:val="0004005D"/>
    <w:rsid w:val="000401F2"/>
    <w:rsid w:val="00040654"/>
    <w:rsid w:val="0004080B"/>
    <w:rsid w:val="00040ADF"/>
    <w:rsid w:val="00040FB4"/>
    <w:rsid w:val="0004114B"/>
    <w:rsid w:val="00041172"/>
    <w:rsid w:val="000411F6"/>
    <w:rsid w:val="000411FC"/>
    <w:rsid w:val="000416C8"/>
    <w:rsid w:val="0004178C"/>
    <w:rsid w:val="00041CC2"/>
    <w:rsid w:val="00041D0B"/>
    <w:rsid w:val="00041EF6"/>
    <w:rsid w:val="00041F5D"/>
    <w:rsid w:val="0004271A"/>
    <w:rsid w:val="00042736"/>
    <w:rsid w:val="00042DFE"/>
    <w:rsid w:val="00042ECA"/>
    <w:rsid w:val="00043277"/>
    <w:rsid w:val="000433B1"/>
    <w:rsid w:val="00043737"/>
    <w:rsid w:val="000438C2"/>
    <w:rsid w:val="00043976"/>
    <w:rsid w:val="00043A33"/>
    <w:rsid w:val="00043A95"/>
    <w:rsid w:val="000443A6"/>
    <w:rsid w:val="000449D1"/>
    <w:rsid w:val="0004523B"/>
    <w:rsid w:val="00045B1C"/>
    <w:rsid w:val="00045B8D"/>
    <w:rsid w:val="00045BD2"/>
    <w:rsid w:val="00045CC5"/>
    <w:rsid w:val="0004600E"/>
    <w:rsid w:val="000464B0"/>
    <w:rsid w:val="00046B1E"/>
    <w:rsid w:val="00046B6A"/>
    <w:rsid w:val="00046D06"/>
    <w:rsid w:val="00046D33"/>
    <w:rsid w:val="000470FB"/>
    <w:rsid w:val="000471EE"/>
    <w:rsid w:val="00047205"/>
    <w:rsid w:val="0004722D"/>
    <w:rsid w:val="000472D4"/>
    <w:rsid w:val="000473CE"/>
    <w:rsid w:val="00047485"/>
    <w:rsid w:val="00047BF4"/>
    <w:rsid w:val="0005013F"/>
    <w:rsid w:val="000505B8"/>
    <w:rsid w:val="00050601"/>
    <w:rsid w:val="000506B0"/>
    <w:rsid w:val="000506B3"/>
    <w:rsid w:val="00050D47"/>
    <w:rsid w:val="00050E16"/>
    <w:rsid w:val="00051134"/>
    <w:rsid w:val="0005117F"/>
    <w:rsid w:val="0005123F"/>
    <w:rsid w:val="000513A4"/>
    <w:rsid w:val="00051470"/>
    <w:rsid w:val="00051476"/>
    <w:rsid w:val="000515CC"/>
    <w:rsid w:val="00051731"/>
    <w:rsid w:val="00051839"/>
    <w:rsid w:val="00051B7A"/>
    <w:rsid w:val="00051D11"/>
    <w:rsid w:val="000522F1"/>
    <w:rsid w:val="000523F7"/>
    <w:rsid w:val="000525CE"/>
    <w:rsid w:val="00052725"/>
    <w:rsid w:val="00052796"/>
    <w:rsid w:val="000529D9"/>
    <w:rsid w:val="00052A16"/>
    <w:rsid w:val="00052DD3"/>
    <w:rsid w:val="00053077"/>
    <w:rsid w:val="0005326D"/>
    <w:rsid w:val="00053450"/>
    <w:rsid w:val="00053B70"/>
    <w:rsid w:val="00053F6C"/>
    <w:rsid w:val="00054AE1"/>
    <w:rsid w:val="00054AF6"/>
    <w:rsid w:val="00054F5E"/>
    <w:rsid w:val="00054FCE"/>
    <w:rsid w:val="00055131"/>
    <w:rsid w:val="000551F4"/>
    <w:rsid w:val="00055DFF"/>
    <w:rsid w:val="00056446"/>
    <w:rsid w:val="000565E0"/>
    <w:rsid w:val="0005671A"/>
    <w:rsid w:val="000567C7"/>
    <w:rsid w:val="0005680C"/>
    <w:rsid w:val="0005688B"/>
    <w:rsid w:val="000568A8"/>
    <w:rsid w:val="00056EB4"/>
    <w:rsid w:val="000578CF"/>
    <w:rsid w:val="00057908"/>
    <w:rsid w:val="00060236"/>
    <w:rsid w:val="00060384"/>
    <w:rsid w:val="00060839"/>
    <w:rsid w:val="00060DE2"/>
    <w:rsid w:val="00060EF1"/>
    <w:rsid w:val="00060FB8"/>
    <w:rsid w:val="000615DB"/>
    <w:rsid w:val="0006162E"/>
    <w:rsid w:val="00061E06"/>
    <w:rsid w:val="00061EE6"/>
    <w:rsid w:val="00062192"/>
    <w:rsid w:val="000621A9"/>
    <w:rsid w:val="000622CB"/>
    <w:rsid w:val="00062933"/>
    <w:rsid w:val="00062A39"/>
    <w:rsid w:val="00062FDB"/>
    <w:rsid w:val="00063148"/>
    <w:rsid w:val="000632D1"/>
    <w:rsid w:val="0006339C"/>
    <w:rsid w:val="00063926"/>
    <w:rsid w:val="000642DA"/>
    <w:rsid w:val="00064458"/>
    <w:rsid w:val="00064783"/>
    <w:rsid w:val="000647C2"/>
    <w:rsid w:val="00064939"/>
    <w:rsid w:val="00064950"/>
    <w:rsid w:val="0006528A"/>
    <w:rsid w:val="00065377"/>
    <w:rsid w:val="00065B2C"/>
    <w:rsid w:val="00065BF9"/>
    <w:rsid w:val="00065D52"/>
    <w:rsid w:val="00065E76"/>
    <w:rsid w:val="0006604E"/>
    <w:rsid w:val="000661AA"/>
    <w:rsid w:val="0006625B"/>
    <w:rsid w:val="00066445"/>
    <w:rsid w:val="000666B8"/>
    <w:rsid w:val="000668C3"/>
    <w:rsid w:val="000670CE"/>
    <w:rsid w:val="000676FA"/>
    <w:rsid w:val="00067D1A"/>
    <w:rsid w:val="00070015"/>
    <w:rsid w:val="0007021F"/>
    <w:rsid w:val="0007034F"/>
    <w:rsid w:val="0007043A"/>
    <w:rsid w:val="000709A0"/>
    <w:rsid w:val="000709D3"/>
    <w:rsid w:val="00070A66"/>
    <w:rsid w:val="00070B01"/>
    <w:rsid w:val="00070C84"/>
    <w:rsid w:val="00070FE6"/>
    <w:rsid w:val="00071525"/>
    <w:rsid w:val="0007158C"/>
    <w:rsid w:val="00071612"/>
    <w:rsid w:val="00071A01"/>
    <w:rsid w:val="00071EF3"/>
    <w:rsid w:val="00071F33"/>
    <w:rsid w:val="000723C8"/>
    <w:rsid w:val="00072748"/>
    <w:rsid w:val="00072DAD"/>
    <w:rsid w:val="00073029"/>
    <w:rsid w:val="0007323B"/>
    <w:rsid w:val="0007351E"/>
    <w:rsid w:val="00073F16"/>
    <w:rsid w:val="00074029"/>
    <w:rsid w:val="00074164"/>
    <w:rsid w:val="00074199"/>
    <w:rsid w:val="00074CA8"/>
    <w:rsid w:val="00075043"/>
    <w:rsid w:val="0007519D"/>
    <w:rsid w:val="0007528E"/>
    <w:rsid w:val="00075470"/>
    <w:rsid w:val="000759F0"/>
    <w:rsid w:val="00075A6C"/>
    <w:rsid w:val="00075AA7"/>
    <w:rsid w:val="00075CC2"/>
    <w:rsid w:val="000762BF"/>
    <w:rsid w:val="000763A8"/>
    <w:rsid w:val="00076613"/>
    <w:rsid w:val="0007695A"/>
    <w:rsid w:val="000769FF"/>
    <w:rsid w:val="00076BE4"/>
    <w:rsid w:val="00077139"/>
    <w:rsid w:val="00077F1F"/>
    <w:rsid w:val="00077F7B"/>
    <w:rsid w:val="00080008"/>
    <w:rsid w:val="00080241"/>
    <w:rsid w:val="00080488"/>
    <w:rsid w:val="00080838"/>
    <w:rsid w:val="000808E3"/>
    <w:rsid w:val="00080D17"/>
    <w:rsid w:val="000816A2"/>
    <w:rsid w:val="00081778"/>
    <w:rsid w:val="0008178B"/>
    <w:rsid w:val="00081B60"/>
    <w:rsid w:val="00081C17"/>
    <w:rsid w:val="00081D61"/>
    <w:rsid w:val="00081EC6"/>
    <w:rsid w:val="00082371"/>
    <w:rsid w:val="00082482"/>
    <w:rsid w:val="00082731"/>
    <w:rsid w:val="00082C41"/>
    <w:rsid w:val="00082E78"/>
    <w:rsid w:val="000830D5"/>
    <w:rsid w:val="0008312D"/>
    <w:rsid w:val="00083256"/>
    <w:rsid w:val="00083838"/>
    <w:rsid w:val="00083BE6"/>
    <w:rsid w:val="00083C2D"/>
    <w:rsid w:val="00083CA8"/>
    <w:rsid w:val="000850A4"/>
    <w:rsid w:val="000851B1"/>
    <w:rsid w:val="00085627"/>
    <w:rsid w:val="000857C3"/>
    <w:rsid w:val="00085AFC"/>
    <w:rsid w:val="00085C97"/>
    <w:rsid w:val="00085D46"/>
    <w:rsid w:val="0008631A"/>
    <w:rsid w:val="000863A6"/>
    <w:rsid w:val="00086750"/>
    <w:rsid w:val="00086994"/>
    <w:rsid w:val="000870B6"/>
    <w:rsid w:val="000870BB"/>
    <w:rsid w:val="000872E3"/>
    <w:rsid w:val="0008730B"/>
    <w:rsid w:val="000876EA"/>
    <w:rsid w:val="0008791E"/>
    <w:rsid w:val="00087AFB"/>
    <w:rsid w:val="00087C93"/>
    <w:rsid w:val="00087CE3"/>
    <w:rsid w:val="00090613"/>
    <w:rsid w:val="00090734"/>
    <w:rsid w:val="00090809"/>
    <w:rsid w:val="00090832"/>
    <w:rsid w:val="00090BAB"/>
    <w:rsid w:val="00090BD1"/>
    <w:rsid w:val="00090DFA"/>
    <w:rsid w:val="000910A8"/>
    <w:rsid w:val="000912A8"/>
    <w:rsid w:val="00091648"/>
    <w:rsid w:val="00091774"/>
    <w:rsid w:val="00091857"/>
    <w:rsid w:val="00091895"/>
    <w:rsid w:val="00091B24"/>
    <w:rsid w:val="00091C59"/>
    <w:rsid w:val="000920C5"/>
    <w:rsid w:val="00092215"/>
    <w:rsid w:val="000922B2"/>
    <w:rsid w:val="00092853"/>
    <w:rsid w:val="00092876"/>
    <w:rsid w:val="00092A21"/>
    <w:rsid w:val="00092D63"/>
    <w:rsid w:val="00092FDD"/>
    <w:rsid w:val="000933C0"/>
    <w:rsid w:val="000938B5"/>
    <w:rsid w:val="00093BEE"/>
    <w:rsid w:val="00093CCF"/>
    <w:rsid w:val="00093D9A"/>
    <w:rsid w:val="0009445F"/>
    <w:rsid w:val="00094656"/>
    <w:rsid w:val="00094692"/>
    <w:rsid w:val="00094A2E"/>
    <w:rsid w:val="00094B10"/>
    <w:rsid w:val="00094D62"/>
    <w:rsid w:val="00094DFA"/>
    <w:rsid w:val="00095338"/>
    <w:rsid w:val="0009573D"/>
    <w:rsid w:val="000958DB"/>
    <w:rsid w:val="00095AA9"/>
    <w:rsid w:val="00095C2C"/>
    <w:rsid w:val="0009623F"/>
    <w:rsid w:val="00096544"/>
    <w:rsid w:val="00096600"/>
    <w:rsid w:val="000968D3"/>
    <w:rsid w:val="00096A68"/>
    <w:rsid w:val="00096B52"/>
    <w:rsid w:val="00096C2B"/>
    <w:rsid w:val="00096D1E"/>
    <w:rsid w:val="0009708D"/>
    <w:rsid w:val="00097115"/>
    <w:rsid w:val="000971DA"/>
    <w:rsid w:val="000972A5"/>
    <w:rsid w:val="00097304"/>
    <w:rsid w:val="000973AF"/>
    <w:rsid w:val="00097C2E"/>
    <w:rsid w:val="00097C9E"/>
    <w:rsid w:val="00097D5F"/>
    <w:rsid w:val="000A0062"/>
    <w:rsid w:val="000A06A0"/>
    <w:rsid w:val="000A082B"/>
    <w:rsid w:val="000A0A07"/>
    <w:rsid w:val="000A10BF"/>
    <w:rsid w:val="000A112F"/>
    <w:rsid w:val="000A117D"/>
    <w:rsid w:val="000A121A"/>
    <w:rsid w:val="000A1464"/>
    <w:rsid w:val="000A1630"/>
    <w:rsid w:val="000A1BCF"/>
    <w:rsid w:val="000A1D5F"/>
    <w:rsid w:val="000A2172"/>
    <w:rsid w:val="000A242A"/>
    <w:rsid w:val="000A25C5"/>
    <w:rsid w:val="000A27B8"/>
    <w:rsid w:val="000A284B"/>
    <w:rsid w:val="000A29AE"/>
    <w:rsid w:val="000A2A4B"/>
    <w:rsid w:val="000A2ACD"/>
    <w:rsid w:val="000A2B65"/>
    <w:rsid w:val="000A2BC3"/>
    <w:rsid w:val="000A2DA8"/>
    <w:rsid w:val="000A34E0"/>
    <w:rsid w:val="000A3A82"/>
    <w:rsid w:val="000A3CBF"/>
    <w:rsid w:val="000A3E71"/>
    <w:rsid w:val="000A3FA9"/>
    <w:rsid w:val="000A4085"/>
    <w:rsid w:val="000A4B9B"/>
    <w:rsid w:val="000A4C5F"/>
    <w:rsid w:val="000A5134"/>
    <w:rsid w:val="000A557D"/>
    <w:rsid w:val="000A5953"/>
    <w:rsid w:val="000A5A5B"/>
    <w:rsid w:val="000A5C47"/>
    <w:rsid w:val="000A5E78"/>
    <w:rsid w:val="000A5FB9"/>
    <w:rsid w:val="000A629E"/>
    <w:rsid w:val="000A647E"/>
    <w:rsid w:val="000A64EC"/>
    <w:rsid w:val="000A66F3"/>
    <w:rsid w:val="000A671D"/>
    <w:rsid w:val="000A69EC"/>
    <w:rsid w:val="000A6B30"/>
    <w:rsid w:val="000A6E9C"/>
    <w:rsid w:val="000A6FF8"/>
    <w:rsid w:val="000A7020"/>
    <w:rsid w:val="000A78FD"/>
    <w:rsid w:val="000B000A"/>
    <w:rsid w:val="000B0259"/>
    <w:rsid w:val="000B04FC"/>
    <w:rsid w:val="000B0529"/>
    <w:rsid w:val="000B0CF1"/>
    <w:rsid w:val="000B0FB2"/>
    <w:rsid w:val="000B1054"/>
    <w:rsid w:val="000B11C6"/>
    <w:rsid w:val="000B151B"/>
    <w:rsid w:val="000B1543"/>
    <w:rsid w:val="000B18D0"/>
    <w:rsid w:val="000B1A29"/>
    <w:rsid w:val="000B1BAF"/>
    <w:rsid w:val="000B22CB"/>
    <w:rsid w:val="000B2397"/>
    <w:rsid w:val="000B2539"/>
    <w:rsid w:val="000B3330"/>
    <w:rsid w:val="000B3534"/>
    <w:rsid w:val="000B3922"/>
    <w:rsid w:val="000B397E"/>
    <w:rsid w:val="000B3C79"/>
    <w:rsid w:val="000B3F53"/>
    <w:rsid w:val="000B426E"/>
    <w:rsid w:val="000B4287"/>
    <w:rsid w:val="000B42AD"/>
    <w:rsid w:val="000B42F5"/>
    <w:rsid w:val="000B46D6"/>
    <w:rsid w:val="000B4D17"/>
    <w:rsid w:val="000B509E"/>
    <w:rsid w:val="000B566F"/>
    <w:rsid w:val="000B5868"/>
    <w:rsid w:val="000B5B7F"/>
    <w:rsid w:val="000B5C33"/>
    <w:rsid w:val="000B5F1C"/>
    <w:rsid w:val="000B6810"/>
    <w:rsid w:val="000B689B"/>
    <w:rsid w:val="000B69D4"/>
    <w:rsid w:val="000B6A05"/>
    <w:rsid w:val="000B6BD8"/>
    <w:rsid w:val="000B6CF0"/>
    <w:rsid w:val="000B6DEF"/>
    <w:rsid w:val="000B720C"/>
    <w:rsid w:val="000B762F"/>
    <w:rsid w:val="000B7665"/>
    <w:rsid w:val="000B7802"/>
    <w:rsid w:val="000B7A28"/>
    <w:rsid w:val="000B7AB3"/>
    <w:rsid w:val="000B7BFF"/>
    <w:rsid w:val="000B7DD1"/>
    <w:rsid w:val="000B7E0E"/>
    <w:rsid w:val="000C0089"/>
    <w:rsid w:val="000C021C"/>
    <w:rsid w:val="000C0975"/>
    <w:rsid w:val="000C099A"/>
    <w:rsid w:val="000C0A91"/>
    <w:rsid w:val="000C0B97"/>
    <w:rsid w:val="000C13D6"/>
    <w:rsid w:val="000C14B5"/>
    <w:rsid w:val="000C1C92"/>
    <w:rsid w:val="000C200B"/>
    <w:rsid w:val="000C2117"/>
    <w:rsid w:val="000C2196"/>
    <w:rsid w:val="000C249F"/>
    <w:rsid w:val="000C27F0"/>
    <w:rsid w:val="000C28CC"/>
    <w:rsid w:val="000C35A7"/>
    <w:rsid w:val="000C3695"/>
    <w:rsid w:val="000C381D"/>
    <w:rsid w:val="000C3DD4"/>
    <w:rsid w:val="000C41B1"/>
    <w:rsid w:val="000C44C9"/>
    <w:rsid w:val="000C45DB"/>
    <w:rsid w:val="000C4A22"/>
    <w:rsid w:val="000C5343"/>
    <w:rsid w:val="000C5398"/>
    <w:rsid w:val="000C5A7C"/>
    <w:rsid w:val="000C5B1B"/>
    <w:rsid w:val="000C5E06"/>
    <w:rsid w:val="000C6006"/>
    <w:rsid w:val="000C610D"/>
    <w:rsid w:val="000C6312"/>
    <w:rsid w:val="000C647C"/>
    <w:rsid w:val="000C6D10"/>
    <w:rsid w:val="000C6F21"/>
    <w:rsid w:val="000C7033"/>
    <w:rsid w:val="000C74FD"/>
    <w:rsid w:val="000C7C46"/>
    <w:rsid w:val="000C7CE4"/>
    <w:rsid w:val="000D0014"/>
    <w:rsid w:val="000D0069"/>
    <w:rsid w:val="000D0159"/>
    <w:rsid w:val="000D0172"/>
    <w:rsid w:val="000D0462"/>
    <w:rsid w:val="000D04E5"/>
    <w:rsid w:val="000D0705"/>
    <w:rsid w:val="000D0D2F"/>
    <w:rsid w:val="000D0E32"/>
    <w:rsid w:val="000D158F"/>
    <w:rsid w:val="000D178B"/>
    <w:rsid w:val="000D17F2"/>
    <w:rsid w:val="000D1896"/>
    <w:rsid w:val="000D1B52"/>
    <w:rsid w:val="000D1C5E"/>
    <w:rsid w:val="000D1E50"/>
    <w:rsid w:val="000D2408"/>
    <w:rsid w:val="000D240F"/>
    <w:rsid w:val="000D2E22"/>
    <w:rsid w:val="000D3025"/>
    <w:rsid w:val="000D3106"/>
    <w:rsid w:val="000D31D1"/>
    <w:rsid w:val="000D374D"/>
    <w:rsid w:val="000D3981"/>
    <w:rsid w:val="000D3D5A"/>
    <w:rsid w:val="000D3F6A"/>
    <w:rsid w:val="000D40A0"/>
    <w:rsid w:val="000D4185"/>
    <w:rsid w:val="000D46DA"/>
    <w:rsid w:val="000D4888"/>
    <w:rsid w:val="000D489C"/>
    <w:rsid w:val="000D49B8"/>
    <w:rsid w:val="000D4BCF"/>
    <w:rsid w:val="000D4C1B"/>
    <w:rsid w:val="000D4D9E"/>
    <w:rsid w:val="000D4F22"/>
    <w:rsid w:val="000D5156"/>
    <w:rsid w:val="000D5367"/>
    <w:rsid w:val="000D5523"/>
    <w:rsid w:val="000D5A27"/>
    <w:rsid w:val="000D5D42"/>
    <w:rsid w:val="000D62C6"/>
    <w:rsid w:val="000D64AC"/>
    <w:rsid w:val="000D64FA"/>
    <w:rsid w:val="000D65DC"/>
    <w:rsid w:val="000D66CE"/>
    <w:rsid w:val="000D676A"/>
    <w:rsid w:val="000D6B70"/>
    <w:rsid w:val="000D6F94"/>
    <w:rsid w:val="000D708D"/>
    <w:rsid w:val="000D7474"/>
    <w:rsid w:val="000D7C7F"/>
    <w:rsid w:val="000D7DF1"/>
    <w:rsid w:val="000E00C1"/>
    <w:rsid w:val="000E00C7"/>
    <w:rsid w:val="000E03DC"/>
    <w:rsid w:val="000E0577"/>
    <w:rsid w:val="000E08C8"/>
    <w:rsid w:val="000E0963"/>
    <w:rsid w:val="000E096F"/>
    <w:rsid w:val="000E0A50"/>
    <w:rsid w:val="000E1124"/>
    <w:rsid w:val="000E1144"/>
    <w:rsid w:val="000E133D"/>
    <w:rsid w:val="000E157D"/>
    <w:rsid w:val="000E17A1"/>
    <w:rsid w:val="000E1BD8"/>
    <w:rsid w:val="000E259B"/>
    <w:rsid w:val="000E271D"/>
    <w:rsid w:val="000E2865"/>
    <w:rsid w:val="000E306D"/>
    <w:rsid w:val="000E3538"/>
    <w:rsid w:val="000E3626"/>
    <w:rsid w:val="000E36BE"/>
    <w:rsid w:val="000E3834"/>
    <w:rsid w:val="000E3BEE"/>
    <w:rsid w:val="000E3F0B"/>
    <w:rsid w:val="000E41E8"/>
    <w:rsid w:val="000E4242"/>
    <w:rsid w:val="000E4520"/>
    <w:rsid w:val="000E49E2"/>
    <w:rsid w:val="000E4D4F"/>
    <w:rsid w:val="000E5531"/>
    <w:rsid w:val="000E5542"/>
    <w:rsid w:val="000E5863"/>
    <w:rsid w:val="000E5983"/>
    <w:rsid w:val="000E5BA8"/>
    <w:rsid w:val="000E5D0C"/>
    <w:rsid w:val="000E5FE8"/>
    <w:rsid w:val="000E630F"/>
    <w:rsid w:val="000E6410"/>
    <w:rsid w:val="000E678B"/>
    <w:rsid w:val="000E6880"/>
    <w:rsid w:val="000E6987"/>
    <w:rsid w:val="000E69E6"/>
    <w:rsid w:val="000E6CC3"/>
    <w:rsid w:val="000E7025"/>
    <w:rsid w:val="000E7128"/>
    <w:rsid w:val="000E7233"/>
    <w:rsid w:val="000E7372"/>
    <w:rsid w:val="000E7424"/>
    <w:rsid w:val="000E7717"/>
    <w:rsid w:val="000E78E0"/>
    <w:rsid w:val="000E7B59"/>
    <w:rsid w:val="000F018D"/>
    <w:rsid w:val="000F0364"/>
    <w:rsid w:val="000F049E"/>
    <w:rsid w:val="000F0715"/>
    <w:rsid w:val="000F0867"/>
    <w:rsid w:val="000F0B14"/>
    <w:rsid w:val="000F1425"/>
    <w:rsid w:val="000F15A0"/>
    <w:rsid w:val="000F15AF"/>
    <w:rsid w:val="000F15B9"/>
    <w:rsid w:val="000F1698"/>
    <w:rsid w:val="000F1824"/>
    <w:rsid w:val="000F1FAB"/>
    <w:rsid w:val="000F23A1"/>
    <w:rsid w:val="000F23B4"/>
    <w:rsid w:val="000F2517"/>
    <w:rsid w:val="000F2621"/>
    <w:rsid w:val="000F2723"/>
    <w:rsid w:val="000F2A91"/>
    <w:rsid w:val="000F2BDF"/>
    <w:rsid w:val="000F2DC1"/>
    <w:rsid w:val="000F2E01"/>
    <w:rsid w:val="000F3216"/>
    <w:rsid w:val="000F3604"/>
    <w:rsid w:val="000F361E"/>
    <w:rsid w:val="000F384D"/>
    <w:rsid w:val="000F3FDB"/>
    <w:rsid w:val="000F4841"/>
    <w:rsid w:val="000F4AC8"/>
    <w:rsid w:val="000F4AFF"/>
    <w:rsid w:val="000F4D37"/>
    <w:rsid w:val="000F4FC8"/>
    <w:rsid w:val="000F5154"/>
    <w:rsid w:val="000F54F8"/>
    <w:rsid w:val="000F55A7"/>
    <w:rsid w:val="000F577F"/>
    <w:rsid w:val="000F5A54"/>
    <w:rsid w:val="000F6058"/>
    <w:rsid w:val="000F638A"/>
    <w:rsid w:val="000F66FA"/>
    <w:rsid w:val="000F6702"/>
    <w:rsid w:val="000F6C31"/>
    <w:rsid w:val="000F760D"/>
    <w:rsid w:val="000F7782"/>
    <w:rsid w:val="000F7987"/>
    <w:rsid w:val="000F7A31"/>
    <w:rsid w:val="000F7B95"/>
    <w:rsid w:val="000FDAAE"/>
    <w:rsid w:val="00100210"/>
    <w:rsid w:val="0010051C"/>
    <w:rsid w:val="001006C9"/>
    <w:rsid w:val="001009D7"/>
    <w:rsid w:val="00100AB3"/>
    <w:rsid w:val="00100B77"/>
    <w:rsid w:val="00100D31"/>
    <w:rsid w:val="00101159"/>
    <w:rsid w:val="0010148F"/>
    <w:rsid w:val="001014D7"/>
    <w:rsid w:val="00101600"/>
    <w:rsid w:val="00101BC0"/>
    <w:rsid w:val="00101FA8"/>
    <w:rsid w:val="00101FE7"/>
    <w:rsid w:val="001020F9"/>
    <w:rsid w:val="001021C3"/>
    <w:rsid w:val="0010223E"/>
    <w:rsid w:val="00102379"/>
    <w:rsid w:val="0010258E"/>
    <w:rsid w:val="0010273E"/>
    <w:rsid w:val="00103009"/>
    <w:rsid w:val="001030A7"/>
    <w:rsid w:val="00103B09"/>
    <w:rsid w:val="00103F37"/>
    <w:rsid w:val="00103FB3"/>
    <w:rsid w:val="0010448B"/>
    <w:rsid w:val="00104635"/>
    <w:rsid w:val="0010521F"/>
    <w:rsid w:val="00105942"/>
    <w:rsid w:val="00105F7A"/>
    <w:rsid w:val="0010625A"/>
    <w:rsid w:val="00106492"/>
    <w:rsid w:val="001064DA"/>
    <w:rsid w:val="00106CBF"/>
    <w:rsid w:val="00106E1C"/>
    <w:rsid w:val="00106FE0"/>
    <w:rsid w:val="0010724A"/>
    <w:rsid w:val="00107427"/>
    <w:rsid w:val="00107524"/>
    <w:rsid w:val="001079FE"/>
    <w:rsid w:val="00107DA6"/>
    <w:rsid w:val="00107DCD"/>
    <w:rsid w:val="00107DED"/>
    <w:rsid w:val="00107EF0"/>
    <w:rsid w:val="00110008"/>
    <w:rsid w:val="0011036A"/>
    <w:rsid w:val="00110397"/>
    <w:rsid w:val="0011049E"/>
    <w:rsid w:val="001105C3"/>
    <w:rsid w:val="001109FA"/>
    <w:rsid w:val="00110A1D"/>
    <w:rsid w:val="00110B6F"/>
    <w:rsid w:val="00110BAC"/>
    <w:rsid w:val="00110C3C"/>
    <w:rsid w:val="00110CA9"/>
    <w:rsid w:val="00111133"/>
    <w:rsid w:val="001112F2"/>
    <w:rsid w:val="00111417"/>
    <w:rsid w:val="001115C5"/>
    <w:rsid w:val="00111974"/>
    <w:rsid w:val="00111AF4"/>
    <w:rsid w:val="00111DCE"/>
    <w:rsid w:val="00111F69"/>
    <w:rsid w:val="00112023"/>
    <w:rsid w:val="0011237B"/>
    <w:rsid w:val="001123BF"/>
    <w:rsid w:val="001123DC"/>
    <w:rsid w:val="001123E5"/>
    <w:rsid w:val="00112504"/>
    <w:rsid w:val="001128D4"/>
    <w:rsid w:val="00112AB2"/>
    <w:rsid w:val="00112BE5"/>
    <w:rsid w:val="00112EBE"/>
    <w:rsid w:val="00113AB2"/>
    <w:rsid w:val="00113B09"/>
    <w:rsid w:val="00113C60"/>
    <w:rsid w:val="00113E19"/>
    <w:rsid w:val="00114132"/>
    <w:rsid w:val="001142E7"/>
    <w:rsid w:val="001146B8"/>
    <w:rsid w:val="00114739"/>
    <w:rsid w:val="00114C3B"/>
    <w:rsid w:val="001152C9"/>
    <w:rsid w:val="00115336"/>
    <w:rsid w:val="00115691"/>
    <w:rsid w:val="0011570A"/>
    <w:rsid w:val="00115774"/>
    <w:rsid w:val="00115779"/>
    <w:rsid w:val="00115801"/>
    <w:rsid w:val="0011590B"/>
    <w:rsid w:val="00115BC2"/>
    <w:rsid w:val="00115E99"/>
    <w:rsid w:val="00116789"/>
    <w:rsid w:val="00116AD4"/>
    <w:rsid w:val="00116D34"/>
    <w:rsid w:val="00117039"/>
    <w:rsid w:val="00117041"/>
    <w:rsid w:val="00117575"/>
    <w:rsid w:val="001176BB"/>
    <w:rsid w:val="0011785E"/>
    <w:rsid w:val="00117A9B"/>
    <w:rsid w:val="00117AB6"/>
    <w:rsid w:val="00117DAC"/>
    <w:rsid w:val="00117E5E"/>
    <w:rsid w:val="00117F04"/>
    <w:rsid w:val="001201CD"/>
    <w:rsid w:val="00120800"/>
    <w:rsid w:val="001209F7"/>
    <w:rsid w:val="00120BD3"/>
    <w:rsid w:val="00120CE4"/>
    <w:rsid w:val="0012151E"/>
    <w:rsid w:val="001217C6"/>
    <w:rsid w:val="00121C9B"/>
    <w:rsid w:val="00122253"/>
    <w:rsid w:val="0012233C"/>
    <w:rsid w:val="00122AE3"/>
    <w:rsid w:val="00122D5D"/>
    <w:rsid w:val="00122EE1"/>
    <w:rsid w:val="001234D2"/>
    <w:rsid w:val="00123658"/>
    <w:rsid w:val="001237AF"/>
    <w:rsid w:val="0012388C"/>
    <w:rsid w:val="0012392F"/>
    <w:rsid w:val="001239AB"/>
    <w:rsid w:val="00123C6C"/>
    <w:rsid w:val="00123F30"/>
    <w:rsid w:val="00123FA4"/>
    <w:rsid w:val="00123FC5"/>
    <w:rsid w:val="00124698"/>
    <w:rsid w:val="001247AA"/>
    <w:rsid w:val="001247EB"/>
    <w:rsid w:val="00124EB2"/>
    <w:rsid w:val="00124F3C"/>
    <w:rsid w:val="0012506E"/>
    <w:rsid w:val="001252D3"/>
    <w:rsid w:val="0012533D"/>
    <w:rsid w:val="001254CE"/>
    <w:rsid w:val="001255F8"/>
    <w:rsid w:val="00125672"/>
    <w:rsid w:val="00125A4D"/>
    <w:rsid w:val="00125B61"/>
    <w:rsid w:val="00125DF5"/>
    <w:rsid w:val="0012603F"/>
    <w:rsid w:val="00126122"/>
    <w:rsid w:val="0012617D"/>
    <w:rsid w:val="001261EE"/>
    <w:rsid w:val="0012625E"/>
    <w:rsid w:val="0012653E"/>
    <w:rsid w:val="001268D6"/>
    <w:rsid w:val="00126CE1"/>
    <w:rsid w:val="00126E9C"/>
    <w:rsid w:val="00126F33"/>
    <w:rsid w:val="00126F9E"/>
    <w:rsid w:val="0012706C"/>
    <w:rsid w:val="001274D7"/>
    <w:rsid w:val="0012759A"/>
    <w:rsid w:val="001275A9"/>
    <w:rsid w:val="00130287"/>
    <w:rsid w:val="00130735"/>
    <w:rsid w:val="001307C6"/>
    <w:rsid w:val="00130828"/>
    <w:rsid w:val="00130DBA"/>
    <w:rsid w:val="00130E3A"/>
    <w:rsid w:val="00131507"/>
    <w:rsid w:val="0013152D"/>
    <w:rsid w:val="00131AAB"/>
    <w:rsid w:val="00131BDC"/>
    <w:rsid w:val="00131D41"/>
    <w:rsid w:val="00131D45"/>
    <w:rsid w:val="00131E81"/>
    <w:rsid w:val="001320F0"/>
    <w:rsid w:val="00132217"/>
    <w:rsid w:val="00132395"/>
    <w:rsid w:val="00132745"/>
    <w:rsid w:val="00132BCB"/>
    <w:rsid w:val="00133148"/>
    <w:rsid w:val="001336E0"/>
    <w:rsid w:val="00133E14"/>
    <w:rsid w:val="00133F34"/>
    <w:rsid w:val="0013417E"/>
    <w:rsid w:val="0013425D"/>
    <w:rsid w:val="001342F8"/>
    <w:rsid w:val="001347B2"/>
    <w:rsid w:val="00134A79"/>
    <w:rsid w:val="00134ACD"/>
    <w:rsid w:val="00134E08"/>
    <w:rsid w:val="0013526D"/>
    <w:rsid w:val="00135273"/>
    <w:rsid w:val="00135333"/>
    <w:rsid w:val="001353DC"/>
    <w:rsid w:val="001356A5"/>
    <w:rsid w:val="00135936"/>
    <w:rsid w:val="00135FC9"/>
    <w:rsid w:val="0013604E"/>
    <w:rsid w:val="001360BA"/>
    <w:rsid w:val="001361D9"/>
    <w:rsid w:val="0013690F"/>
    <w:rsid w:val="00136A1B"/>
    <w:rsid w:val="00137578"/>
    <w:rsid w:val="001376BD"/>
    <w:rsid w:val="0013780B"/>
    <w:rsid w:val="00137B9A"/>
    <w:rsid w:val="00137EA2"/>
    <w:rsid w:val="00140363"/>
    <w:rsid w:val="001403D3"/>
    <w:rsid w:val="0014046C"/>
    <w:rsid w:val="001407B4"/>
    <w:rsid w:val="00140857"/>
    <w:rsid w:val="00140F26"/>
    <w:rsid w:val="001410D1"/>
    <w:rsid w:val="001411C6"/>
    <w:rsid w:val="00141393"/>
    <w:rsid w:val="001417E6"/>
    <w:rsid w:val="001420CC"/>
    <w:rsid w:val="00142126"/>
    <w:rsid w:val="001424CE"/>
    <w:rsid w:val="00142705"/>
    <w:rsid w:val="0014298E"/>
    <w:rsid w:val="001431CD"/>
    <w:rsid w:val="001431EF"/>
    <w:rsid w:val="001433DC"/>
    <w:rsid w:val="001433E2"/>
    <w:rsid w:val="00143478"/>
    <w:rsid w:val="00143571"/>
    <w:rsid w:val="0014369C"/>
    <w:rsid w:val="00143A09"/>
    <w:rsid w:val="00143BDC"/>
    <w:rsid w:val="00143C63"/>
    <w:rsid w:val="00143F2F"/>
    <w:rsid w:val="001440FE"/>
    <w:rsid w:val="001444D5"/>
    <w:rsid w:val="001445F9"/>
    <w:rsid w:val="00144A34"/>
    <w:rsid w:val="00144E72"/>
    <w:rsid w:val="001456F5"/>
    <w:rsid w:val="00145A26"/>
    <w:rsid w:val="00145BF2"/>
    <w:rsid w:val="00145CD1"/>
    <w:rsid w:val="00146507"/>
    <w:rsid w:val="00146624"/>
    <w:rsid w:val="001468FB"/>
    <w:rsid w:val="00146B29"/>
    <w:rsid w:val="00146B5D"/>
    <w:rsid w:val="00146BB0"/>
    <w:rsid w:val="001473DB"/>
    <w:rsid w:val="001475CA"/>
    <w:rsid w:val="001478F5"/>
    <w:rsid w:val="00147AA8"/>
    <w:rsid w:val="00147CFC"/>
    <w:rsid w:val="00147FCE"/>
    <w:rsid w:val="00150376"/>
    <w:rsid w:val="001503DC"/>
    <w:rsid w:val="0015046C"/>
    <w:rsid w:val="00150475"/>
    <w:rsid w:val="00150563"/>
    <w:rsid w:val="00150628"/>
    <w:rsid w:val="001506E8"/>
    <w:rsid w:val="00150BF9"/>
    <w:rsid w:val="00150D0E"/>
    <w:rsid w:val="0015108F"/>
    <w:rsid w:val="0015120E"/>
    <w:rsid w:val="00151280"/>
    <w:rsid w:val="001514D9"/>
    <w:rsid w:val="001519FB"/>
    <w:rsid w:val="00151C83"/>
    <w:rsid w:val="00151CD2"/>
    <w:rsid w:val="00151CDF"/>
    <w:rsid w:val="00151DBD"/>
    <w:rsid w:val="00151FAE"/>
    <w:rsid w:val="0015219A"/>
    <w:rsid w:val="00152456"/>
    <w:rsid w:val="00152D7A"/>
    <w:rsid w:val="001531D6"/>
    <w:rsid w:val="0015339E"/>
    <w:rsid w:val="001533F8"/>
    <w:rsid w:val="0015349D"/>
    <w:rsid w:val="001535B5"/>
    <w:rsid w:val="00154206"/>
    <w:rsid w:val="0015431C"/>
    <w:rsid w:val="001545F6"/>
    <w:rsid w:val="00154F42"/>
    <w:rsid w:val="00155434"/>
    <w:rsid w:val="00155543"/>
    <w:rsid w:val="001555D9"/>
    <w:rsid w:val="0015571C"/>
    <w:rsid w:val="00155BDA"/>
    <w:rsid w:val="00155D42"/>
    <w:rsid w:val="00155EB9"/>
    <w:rsid w:val="0015603A"/>
    <w:rsid w:val="00156899"/>
    <w:rsid w:val="001568D6"/>
    <w:rsid w:val="00156FA7"/>
    <w:rsid w:val="00157177"/>
    <w:rsid w:val="00157622"/>
    <w:rsid w:val="00157AAB"/>
    <w:rsid w:val="00157C4A"/>
    <w:rsid w:val="00157E0A"/>
    <w:rsid w:val="00157F1F"/>
    <w:rsid w:val="00157FD5"/>
    <w:rsid w:val="00160180"/>
    <w:rsid w:val="001601AC"/>
    <w:rsid w:val="0016023A"/>
    <w:rsid w:val="001608EF"/>
    <w:rsid w:val="00160C86"/>
    <w:rsid w:val="00160C8B"/>
    <w:rsid w:val="0016112D"/>
    <w:rsid w:val="00161135"/>
    <w:rsid w:val="00161325"/>
    <w:rsid w:val="00161819"/>
    <w:rsid w:val="0016184B"/>
    <w:rsid w:val="001618A8"/>
    <w:rsid w:val="00161A28"/>
    <w:rsid w:val="00161D9F"/>
    <w:rsid w:val="00161E0F"/>
    <w:rsid w:val="00161EE6"/>
    <w:rsid w:val="00161F0F"/>
    <w:rsid w:val="00162251"/>
    <w:rsid w:val="00162609"/>
    <w:rsid w:val="0016291F"/>
    <w:rsid w:val="0016293E"/>
    <w:rsid w:val="00162A0B"/>
    <w:rsid w:val="00162DBF"/>
    <w:rsid w:val="001634A8"/>
    <w:rsid w:val="00163FB3"/>
    <w:rsid w:val="00163FEC"/>
    <w:rsid w:val="00164238"/>
    <w:rsid w:val="001642D5"/>
    <w:rsid w:val="00164682"/>
    <w:rsid w:val="00164CF8"/>
    <w:rsid w:val="00164CF9"/>
    <w:rsid w:val="00164E49"/>
    <w:rsid w:val="001653AE"/>
    <w:rsid w:val="001654FB"/>
    <w:rsid w:val="00165560"/>
    <w:rsid w:val="001657FE"/>
    <w:rsid w:val="00165A35"/>
    <w:rsid w:val="00165B03"/>
    <w:rsid w:val="00165D73"/>
    <w:rsid w:val="00165ED3"/>
    <w:rsid w:val="00166015"/>
    <w:rsid w:val="0016617E"/>
    <w:rsid w:val="0016641E"/>
    <w:rsid w:val="00166A81"/>
    <w:rsid w:val="001671E4"/>
    <w:rsid w:val="0016726E"/>
    <w:rsid w:val="001675DA"/>
    <w:rsid w:val="00167698"/>
    <w:rsid w:val="00167722"/>
    <w:rsid w:val="001677D6"/>
    <w:rsid w:val="00167E79"/>
    <w:rsid w:val="00167F52"/>
    <w:rsid w:val="00170316"/>
    <w:rsid w:val="0017041B"/>
    <w:rsid w:val="0017042B"/>
    <w:rsid w:val="001704C8"/>
    <w:rsid w:val="00170742"/>
    <w:rsid w:val="0017080F"/>
    <w:rsid w:val="00170A4B"/>
    <w:rsid w:val="00170D5B"/>
    <w:rsid w:val="00171666"/>
    <w:rsid w:val="001716D5"/>
    <w:rsid w:val="001717D0"/>
    <w:rsid w:val="0017215F"/>
    <w:rsid w:val="001726BD"/>
    <w:rsid w:val="00172B80"/>
    <w:rsid w:val="00172B8F"/>
    <w:rsid w:val="00172C17"/>
    <w:rsid w:val="00172F06"/>
    <w:rsid w:val="00172F21"/>
    <w:rsid w:val="00173418"/>
    <w:rsid w:val="001736F8"/>
    <w:rsid w:val="0017372C"/>
    <w:rsid w:val="0017398F"/>
    <w:rsid w:val="00173C88"/>
    <w:rsid w:val="00173D85"/>
    <w:rsid w:val="00174A9D"/>
    <w:rsid w:val="00174D22"/>
    <w:rsid w:val="00174EA9"/>
    <w:rsid w:val="00174FD4"/>
    <w:rsid w:val="001752A3"/>
    <w:rsid w:val="001752B3"/>
    <w:rsid w:val="00175739"/>
    <w:rsid w:val="00175C24"/>
    <w:rsid w:val="0017603E"/>
    <w:rsid w:val="001760D7"/>
    <w:rsid w:val="00176199"/>
    <w:rsid w:val="001761E3"/>
    <w:rsid w:val="001767AB"/>
    <w:rsid w:val="00176816"/>
    <w:rsid w:val="00176943"/>
    <w:rsid w:val="00176E45"/>
    <w:rsid w:val="00177251"/>
    <w:rsid w:val="0017745D"/>
    <w:rsid w:val="0017746B"/>
    <w:rsid w:val="00177745"/>
    <w:rsid w:val="001777FD"/>
    <w:rsid w:val="00177C64"/>
    <w:rsid w:val="00180039"/>
    <w:rsid w:val="0018012D"/>
    <w:rsid w:val="001801C0"/>
    <w:rsid w:val="00180241"/>
    <w:rsid w:val="001802E3"/>
    <w:rsid w:val="00180527"/>
    <w:rsid w:val="00180C73"/>
    <w:rsid w:val="001810BB"/>
    <w:rsid w:val="0018143F"/>
    <w:rsid w:val="001814D0"/>
    <w:rsid w:val="00181B20"/>
    <w:rsid w:val="00181D46"/>
    <w:rsid w:val="00182550"/>
    <w:rsid w:val="00182792"/>
    <w:rsid w:val="001828EE"/>
    <w:rsid w:val="00182C4F"/>
    <w:rsid w:val="00182D98"/>
    <w:rsid w:val="0018306A"/>
    <w:rsid w:val="001830D7"/>
    <w:rsid w:val="00183570"/>
    <w:rsid w:val="0018375F"/>
    <w:rsid w:val="00183C51"/>
    <w:rsid w:val="00184368"/>
    <w:rsid w:val="001843F0"/>
    <w:rsid w:val="00184BAE"/>
    <w:rsid w:val="00184EF8"/>
    <w:rsid w:val="00185041"/>
    <w:rsid w:val="0018524D"/>
    <w:rsid w:val="00185534"/>
    <w:rsid w:val="00185539"/>
    <w:rsid w:val="001857C6"/>
    <w:rsid w:val="0018593E"/>
    <w:rsid w:val="001859C2"/>
    <w:rsid w:val="00185AF2"/>
    <w:rsid w:val="00185B31"/>
    <w:rsid w:val="00186028"/>
    <w:rsid w:val="001866C2"/>
    <w:rsid w:val="001868F9"/>
    <w:rsid w:val="00186C45"/>
    <w:rsid w:val="00187810"/>
    <w:rsid w:val="00187867"/>
    <w:rsid w:val="00187FD3"/>
    <w:rsid w:val="00187FE1"/>
    <w:rsid w:val="00190059"/>
    <w:rsid w:val="001903F1"/>
    <w:rsid w:val="00190D24"/>
    <w:rsid w:val="00190DCC"/>
    <w:rsid w:val="001911DE"/>
    <w:rsid w:val="00191DB8"/>
    <w:rsid w:val="001922BC"/>
    <w:rsid w:val="0019288C"/>
    <w:rsid w:val="00192AFC"/>
    <w:rsid w:val="00192C48"/>
    <w:rsid w:val="00192DD4"/>
    <w:rsid w:val="00192EF4"/>
    <w:rsid w:val="00192F7B"/>
    <w:rsid w:val="001932D0"/>
    <w:rsid w:val="00193406"/>
    <w:rsid w:val="00193523"/>
    <w:rsid w:val="0019362A"/>
    <w:rsid w:val="001939FE"/>
    <w:rsid w:val="00193ADD"/>
    <w:rsid w:val="00193B27"/>
    <w:rsid w:val="00194296"/>
    <w:rsid w:val="00194395"/>
    <w:rsid w:val="001944A5"/>
    <w:rsid w:val="001946C2"/>
    <w:rsid w:val="0019474E"/>
    <w:rsid w:val="00194B36"/>
    <w:rsid w:val="00194D20"/>
    <w:rsid w:val="00194F9E"/>
    <w:rsid w:val="001951CB"/>
    <w:rsid w:val="00195650"/>
    <w:rsid w:val="00195728"/>
    <w:rsid w:val="0019580B"/>
    <w:rsid w:val="00195F1D"/>
    <w:rsid w:val="00195FE6"/>
    <w:rsid w:val="0019667E"/>
    <w:rsid w:val="001967C5"/>
    <w:rsid w:val="00196D43"/>
    <w:rsid w:val="001970C0"/>
    <w:rsid w:val="001971E3"/>
    <w:rsid w:val="001972F2"/>
    <w:rsid w:val="00197542"/>
    <w:rsid w:val="001978A2"/>
    <w:rsid w:val="00197C2E"/>
    <w:rsid w:val="001A011C"/>
    <w:rsid w:val="001A05FD"/>
    <w:rsid w:val="001A0745"/>
    <w:rsid w:val="001A0EA4"/>
    <w:rsid w:val="001A1276"/>
    <w:rsid w:val="001A15F1"/>
    <w:rsid w:val="001A19EB"/>
    <w:rsid w:val="001A1CB7"/>
    <w:rsid w:val="001A1E91"/>
    <w:rsid w:val="001A1F13"/>
    <w:rsid w:val="001A2284"/>
    <w:rsid w:val="001A22D4"/>
    <w:rsid w:val="001A256F"/>
    <w:rsid w:val="001A2571"/>
    <w:rsid w:val="001A2D7F"/>
    <w:rsid w:val="001A2F98"/>
    <w:rsid w:val="001A3024"/>
    <w:rsid w:val="001A3121"/>
    <w:rsid w:val="001A32B8"/>
    <w:rsid w:val="001A33CB"/>
    <w:rsid w:val="001A3A75"/>
    <w:rsid w:val="001A3C68"/>
    <w:rsid w:val="001A3F1E"/>
    <w:rsid w:val="001A3F53"/>
    <w:rsid w:val="001A3FCD"/>
    <w:rsid w:val="001A40FA"/>
    <w:rsid w:val="001A420B"/>
    <w:rsid w:val="001A42D5"/>
    <w:rsid w:val="001A477D"/>
    <w:rsid w:val="001A4781"/>
    <w:rsid w:val="001A4B8A"/>
    <w:rsid w:val="001A4B97"/>
    <w:rsid w:val="001A4C6D"/>
    <w:rsid w:val="001A4D26"/>
    <w:rsid w:val="001A4DB0"/>
    <w:rsid w:val="001A4F7D"/>
    <w:rsid w:val="001A526F"/>
    <w:rsid w:val="001A545A"/>
    <w:rsid w:val="001A54C9"/>
    <w:rsid w:val="001A591C"/>
    <w:rsid w:val="001A5BE7"/>
    <w:rsid w:val="001A5F07"/>
    <w:rsid w:val="001A631A"/>
    <w:rsid w:val="001A6485"/>
    <w:rsid w:val="001A6603"/>
    <w:rsid w:val="001A6A25"/>
    <w:rsid w:val="001A6A4F"/>
    <w:rsid w:val="001A6AAC"/>
    <w:rsid w:val="001A6AAE"/>
    <w:rsid w:val="001A6DAD"/>
    <w:rsid w:val="001A6E7F"/>
    <w:rsid w:val="001A7675"/>
    <w:rsid w:val="001A7B3C"/>
    <w:rsid w:val="001A7B42"/>
    <w:rsid w:val="001A7CD3"/>
    <w:rsid w:val="001A7D8F"/>
    <w:rsid w:val="001B006C"/>
    <w:rsid w:val="001B026C"/>
    <w:rsid w:val="001B0364"/>
    <w:rsid w:val="001B066D"/>
    <w:rsid w:val="001B06DF"/>
    <w:rsid w:val="001B08AF"/>
    <w:rsid w:val="001B0E88"/>
    <w:rsid w:val="001B0EC9"/>
    <w:rsid w:val="001B1455"/>
    <w:rsid w:val="001B158C"/>
    <w:rsid w:val="001B17B7"/>
    <w:rsid w:val="001B230B"/>
    <w:rsid w:val="001B2A2E"/>
    <w:rsid w:val="001B2A97"/>
    <w:rsid w:val="001B2A9F"/>
    <w:rsid w:val="001B2CD4"/>
    <w:rsid w:val="001B2D16"/>
    <w:rsid w:val="001B2D45"/>
    <w:rsid w:val="001B2D4E"/>
    <w:rsid w:val="001B30AC"/>
    <w:rsid w:val="001B322E"/>
    <w:rsid w:val="001B354B"/>
    <w:rsid w:val="001B3557"/>
    <w:rsid w:val="001B3706"/>
    <w:rsid w:val="001B3895"/>
    <w:rsid w:val="001B3A9E"/>
    <w:rsid w:val="001B4009"/>
    <w:rsid w:val="001B433D"/>
    <w:rsid w:val="001B43B2"/>
    <w:rsid w:val="001B45E7"/>
    <w:rsid w:val="001B4D5B"/>
    <w:rsid w:val="001B4DCA"/>
    <w:rsid w:val="001B4F4F"/>
    <w:rsid w:val="001B59E1"/>
    <w:rsid w:val="001B5E09"/>
    <w:rsid w:val="001B60B4"/>
    <w:rsid w:val="001B62B1"/>
    <w:rsid w:val="001B635E"/>
    <w:rsid w:val="001B6FD8"/>
    <w:rsid w:val="001B7329"/>
    <w:rsid w:val="001B750D"/>
    <w:rsid w:val="001B7A85"/>
    <w:rsid w:val="001C018D"/>
    <w:rsid w:val="001C046C"/>
    <w:rsid w:val="001C051B"/>
    <w:rsid w:val="001C06A4"/>
    <w:rsid w:val="001C0A49"/>
    <w:rsid w:val="001C0CA5"/>
    <w:rsid w:val="001C0E64"/>
    <w:rsid w:val="001C12F3"/>
    <w:rsid w:val="001C1527"/>
    <w:rsid w:val="001C155B"/>
    <w:rsid w:val="001C163B"/>
    <w:rsid w:val="001C174A"/>
    <w:rsid w:val="001C1938"/>
    <w:rsid w:val="001C1D05"/>
    <w:rsid w:val="001C1E36"/>
    <w:rsid w:val="001C20E9"/>
    <w:rsid w:val="001C2274"/>
    <w:rsid w:val="001C2477"/>
    <w:rsid w:val="001C2652"/>
    <w:rsid w:val="001C28EF"/>
    <w:rsid w:val="001C2A48"/>
    <w:rsid w:val="001C2AAD"/>
    <w:rsid w:val="001C3762"/>
    <w:rsid w:val="001C3E2C"/>
    <w:rsid w:val="001C468D"/>
    <w:rsid w:val="001C500D"/>
    <w:rsid w:val="001C50B1"/>
    <w:rsid w:val="001C52C3"/>
    <w:rsid w:val="001C5913"/>
    <w:rsid w:val="001C5AAE"/>
    <w:rsid w:val="001C5E93"/>
    <w:rsid w:val="001C64FF"/>
    <w:rsid w:val="001C66CD"/>
    <w:rsid w:val="001C683D"/>
    <w:rsid w:val="001C69DC"/>
    <w:rsid w:val="001C69E3"/>
    <w:rsid w:val="001C6AC3"/>
    <w:rsid w:val="001C6DFD"/>
    <w:rsid w:val="001C6DFF"/>
    <w:rsid w:val="001C6F0E"/>
    <w:rsid w:val="001C7098"/>
    <w:rsid w:val="001C74D8"/>
    <w:rsid w:val="001C74E5"/>
    <w:rsid w:val="001C767A"/>
    <w:rsid w:val="001C7FEC"/>
    <w:rsid w:val="001D06DA"/>
    <w:rsid w:val="001D074E"/>
    <w:rsid w:val="001D09BC"/>
    <w:rsid w:val="001D0B43"/>
    <w:rsid w:val="001D109D"/>
    <w:rsid w:val="001D143A"/>
    <w:rsid w:val="001D1882"/>
    <w:rsid w:val="001D19BC"/>
    <w:rsid w:val="001D19EF"/>
    <w:rsid w:val="001D1C39"/>
    <w:rsid w:val="001D1E09"/>
    <w:rsid w:val="001D20CA"/>
    <w:rsid w:val="001D225B"/>
    <w:rsid w:val="001D23C7"/>
    <w:rsid w:val="001D28BF"/>
    <w:rsid w:val="001D291D"/>
    <w:rsid w:val="001D29F6"/>
    <w:rsid w:val="001D2B0A"/>
    <w:rsid w:val="001D2E74"/>
    <w:rsid w:val="001D2FA3"/>
    <w:rsid w:val="001D32C0"/>
    <w:rsid w:val="001D34E3"/>
    <w:rsid w:val="001D3A64"/>
    <w:rsid w:val="001D3C8A"/>
    <w:rsid w:val="001D3D92"/>
    <w:rsid w:val="001D4443"/>
    <w:rsid w:val="001D4BD8"/>
    <w:rsid w:val="001D4DAE"/>
    <w:rsid w:val="001D5141"/>
    <w:rsid w:val="001D54D9"/>
    <w:rsid w:val="001D55E0"/>
    <w:rsid w:val="001D55E3"/>
    <w:rsid w:val="001D5793"/>
    <w:rsid w:val="001D5800"/>
    <w:rsid w:val="001D5F2B"/>
    <w:rsid w:val="001D6231"/>
    <w:rsid w:val="001D6315"/>
    <w:rsid w:val="001D72F6"/>
    <w:rsid w:val="001D74A7"/>
    <w:rsid w:val="001D7534"/>
    <w:rsid w:val="001D7637"/>
    <w:rsid w:val="001D785E"/>
    <w:rsid w:val="001D7874"/>
    <w:rsid w:val="001D787B"/>
    <w:rsid w:val="001D7D61"/>
    <w:rsid w:val="001E02FA"/>
    <w:rsid w:val="001E0A09"/>
    <w:rsid w:val="001E0A42"/>
    <w:rsid w:val="001E0E1C"/>
    <w:rsid w:val="001E1000"/>
    <w:rsid w:val="001E13BD"/>
    <w:rsid w:val="001E15F2"/>
    <w:rsid w:val="001E160D"/>
    <w:rsid w:val="001E1F43"/>
    <w:rsid w:val="001E22F7"/>
    <w:rsid w:val="001E2881"/>
    <w:rsid w:val="001E29E2"/>
    <w:rsid w:val="001E2C9C"/>
    <w:rsid w:val="001E2E2A"/>
    <w:rsid w:val="001E3113"/>
    <w:rsid w:val="001E361F"/>
    <w:rsid w:val="001E3CDE"/>
    <w:rsid w:val="001E3D68"/>
    <w:rsid w:val="001E3DC8"/>
    <w:rsid w:val="001E3E10"/>
    <w:rsid w:val="001E3EC6"/>
    <w:rsid w:val="001E465F"/>
    <w:rsid w:val="001E4B78"/>
    <w:rsid w:val="001E4E28"/>
    <w:rsid w:val="001E4F23"/>
    <w:rsid w:val="001E54F8"/>
    <w:rsid w:val="001E5671"/>
    <w:rsid w:val="001E5710"/>
    <w:rsid w:val="001E57A7"/>
    <w:rsid w:val="001E57B1"/>
    <w:rsid w:val="001E5AE9"/>
    <w:rsid w:val="001E5B90"/>
    <w:rsid w:val="001E5E8F"/>
    <w:rsid w:val="001E6049"/>
    <w:rsid w:val="001E6101"/>
    <w:rsid w:val="001E624E"/>
    <w:rsid w:val="001E6A4D"/>
    <w:rsid w:val="001E6C0D"/>
    <w:rsid w:val="001E6FA7"/>
    <w:rsid w:val="001E774E"/>
    <w:rsid w:val="001E7959"/>
    <w:rsid w:val="001E7BE7"/>
    <w:rsid w:val="001E7D3E"/>
    <w:rsid w:val="001F0103"/>
    <w:rsid w:val="001F02A8"/>
    <w:rsid w:val="001F050A"/>
    <w:rsid w:val="001F085C"/>
    <w:rsid w:val="001F0E24"/>
    <w:rsid w:val="001F0ED6"/>
    <w:rsid w:val="001F1638"/>
    <w:rsid w:val="001F19BF"/>
    <w:rsid w:val="001F1EF7"/>
    <w:rsid w:val="001F1F8B"/>
    <w:rsid w:val="001F1F90"/>
    <w:rsid w:val="001F1FDE"/>
    <w:rsid w:val="001F202E"/>
    <w:rsid w:val="001F2581"/>
    <w:rsid w:val="001F27A2"/>
    <w:rsid w:val="001F2902"/>
    <w:rsid w:val="001F2C6C"/>
    <w:rsid w:val="001F2FF8"/>
    <w:rsid w:val="001F31E3"/>
    <w:rsid w:val="001F37D0"/>
    <w:rsid w:val="001F390C"/>
    <w:rsid w:val="001F39B7"/>
    <w:rsid w:val="001F3F36"/>
    <w:rsid w:val="001F3F5B"/>
    <w:rsid w:val="001F449E"/>
    <w:rsid w:val="001F4696"/>
    <w:rsid w:val="001F4882"/>
    <w:rsid w:val="001F490F"/>
    <w:rsid w:val="001F4BBC"/>
    <w:rsid w:val="001F4C7F"/>
    <w:rsid w:val="001F4D76"/>
    <w:rsid w:val="001F4E38"/>
    <w:rsid w:val="001F4F32"/>
    <w:rsid w:val="001F51A7"/>
    <w:rsid w:val="001F53E3"/>
    <w:rsid w:val="001F54B2"/>
    <w:rsid w:val="001F54D1"/>
    <w:rsid w:val="001F5553"/>
    <w:rsid w:val="001F5A4A"/>
    <w:rsid w:val="001F5BD8"/>
    <w:rsid w:val="001F639E"/>
    <w:rsid w:val="001F658C"/>
    <w:rsid w:val="001F675C"/>
    <w:rsid w:val="001F67FC"/>
    <w:rsid w:val="001F6978"/>
    <w:rsid w:val="001F697E"/>
    <w:rsid w:val="001F6F09"/>
    <w:rsid w:val="001F6F44"/>
    <w:rsid w:val="001F7563"/>
    <w:rsid w:val="00200251"/>
    <w:rsid w:val="002002DD"/>
    <w:rsid w:val="0020069D"/>
    <w:rsid w:val="0020087D"/>
    <w:rsid w:val="002009CB"/>
    <w:rsid w:val="002011EF"/>
    <w:rsid w:val="00201281"/>
    <w:rsid w:val="00201434"/>
    <w:rsid w:val="002018B7"/>
    <w:rsid w:val="00201AA0"/>
    <w:rsid w:val="00201D26"/>
    <w:rsid w:val="00202125"/>
    <w:rsid w:val="00202133"/>
    <w:rsid w:val="00202224"/>
    <w:rsid w:val="00202661"/>
    <w:rsid w:val="00202F63"/>
    <w:rsid w:val="002031F8"/>
    <w:rsid w:val="0020326F"/>
    <w:rsid w:val="002033A4"/>
    <w:rsid w:val="00203963"/>
    <w:rsid w:val="00204115"/>
    <w:rsid w:val="00204116"/>
    <w:rsid w:val="002041A9"/>
    <w:rsid w:val="00204766"/>
    <w:rsid w:val="00204D1A"/>
    <w:rsid w:val="00204D5A"/>
    <w:rsid w:val="00205344"/>
    <w:rsid w:val="002055B1"/>
    <w:rsid w:val="00205646"/>
    <w:rsid w:val="002057D7"/>
    <w:rsid w:val="002058B0"/>
    <w:rsid w:val="00205F75"/>
    <w:rsid w:val="002062EA"/>
    <w:rsid w:val="002063A5"/>
    <w:rsid w:val="00206574"/>
    <w:rsid w:val="0020673B"/>
    <w:rsid w:val="002069FE"/>
    <w:rsid w:val="00206CA6"/>
    <w:rsid w:val="00206FFE"/>
    <w:rsid w:val="0020701C"/>
    <w:rsid w:val="00207193"/>
    <w:rsid w:val="0020721B"/>
    <w:rsid w:val="002073FB"/>
    <w:rsid w:val="002074F4"/>
    <w:rsid w:val="002077FA"/>
    <w:rsid w:val="00207847"/>
    <w:rsid w:val="00207F59"/>
    <w:rsid w:val="002105BF"/>
    <w:rsid w:val="0021082E"/>
    <w:rsid w:val="00210D7B"/>
    <w:rsid w:val="00210D7E"/>
    <w:rsid w:val="00211075"/>
    <w:rsid w:val="002110F1"/>
    <w:rsid w:val="0021177C"/>
    <w:rsid w:val="00211A65"/>
    <w:rsid w:val="00211A6A"/>
    <w:rsid w:val="00211DC3"/>
    <w:rsid w:val="0021246C"/>
    <w:rsid w:val="00212481"/>
    <w:rsid w:val="00212586"/>
    <w:rsid w:val="00212B72"/>
    <w:rsid w:val="00212C7F"/>
    <w:rsid w:val="002132DB"/>
    <w:rsid w:val="0021335A"/>
    <w:rsid w:val="002133D3"/>
    <w:rsid w:val="002139CB"/>
    <w:rsid w:val="00213D8D"/>
    <w:rsid w:val="00213EF3"/>
    <w:rsid w:val="00213F82"/>
    <w:rsid w:val="002145A0"/>
    <w:rsid w:val="002145C1"/>
    <w:rsid w:val="00214610"/>
    <w:rsid w:val="00214C5A"/>
    <w:rsid w:val="00214ECE"/>
    <w:rsid w:val="00214F8B"/>
    <w:rsid w:val="00214FA2"/>
    <w:rsid w:val="00214FD5"/>
    <w:rsid w:val="002150BF"/>
    <w:rsid w:val="002151E7"/>
    <w:rsid w:val="002155B6"/>
    <w:rsid w:val="002157E4"/>
    <w:rsid w:val="00215881"/>
    <w:rsid w:val="002158BC"/>
    <w:rsid w:val="002158E2"/>
    <w:rsid w:val="00215AFB"/>
    <w:rsid w:val="00215DEA"/>
    <w:rsid w:val="00215E15"/>
    <w:rsid w:val="00216097"/>
    <w:rsid w:val="00216364"/>
    <w:rsid w:val="0021636D"/>
    <w:rsid w:val="002165BF"/>
    <w:rsid w:val="00216CF0"/>
    <w:rsid w:val="002177F3"/>
    <w:rsid w:val="00217AD7"/>
    <w:rsid w:val="00217B1C"/>
    <w:rsid w:val="00217C1C"/>
    <w:rsid w:val="002200D8"/>
    <w:rsid w:val="00220323"/>
    <w:rsid w:val="0022064A"/>
    <w:rsid w:val="00220AC0"/>
    <w:rsid w:val="002210AF"/>
    <w:rsid w:val="0022113E"/>
    <w:rsid w:val="00221D4C"/>
    <w:rsid w:val="00221E41"/>
    <w:rsid w:val="002225DA"/>
    <w:rsid w:val="0022265E"/>
    <w:rsid w:val="00222779"/>
    <w:rsid w:val="00222A62"/>
    <w:rsid w:val="00222BCB"/>
    <w:rsid w:val="00222C76"/>
    <w:rsid w:val="00223279"/>
    <w:rsid w:val="0022330B"/>
    <w:rsid w:val="002233A2"/>
    <w:rsid w:val="0022346D"/>
    <w:rsid w:val="002235EC"/>
    <w:rsid w:val="0022361A"/>
    <w:rsid w:val="00223664"/>
    <w:rsid w:val="00223A56"/>
    <w:rsid w:val="00223EC2"/>
    <w:rsid w:val="002243A9"/>
    <w:rsid w:val="00224493"/>
    <w:rsid w:val="00224BFC"/>
    <w:rsid w:val="00224C1B"/>
    <w:rsid w:val="00224E85"/>
    <w:rsid w:val="002256F7"/>
    <w:rsid w:val="00225833"/>
    <w:rsid w:val="00225957"/>
    <w:rsid w:val="00225D3A"/>
    <w:rsid w:val="00225E6B"/>
    <w:rsid w:val="00225E73"/>
    <w:rsid w:val="00226095"/>
    <w:rsid w:val="002268D4"/>
    <w:rsid w:val="00226F6C"/>
    <w:rsid w:val="0022733C"/>
    <w:rsid w:val="00227795"/>
    <w:rsid w:val="0022792B"/>
    <w:rsid w:val="00227B53"/>
    <w:rsid w:val="00227B89"/>
    <w:rsid w:val="00227F43"/>
    <w:rsid w:val="0023046F"/>
    <w:rsid w:val="00230572"/>
    <w:rsid w:val="002307CB"/>
    <w:rsid w:val="00230842"/>
    <w:rsid w:val="00230875"/>
    <w:rsid w:val="00230B13"/>
    <w:rsid w:val="00230CD2"/>
    <w:rsid w:val="00231146"/>
    <w:rsid w:val="0023130F"/>
    <w:rsid w:val="0023152E"/>
    <w:rsid w:val="002319E7"/>
    <w:rsid w:val="00231CF2"/>
    <w:rsid w:val="00231DF7"/>
    <w:rsid w:val="0023204B"/>
    <w:rsid w:val="0023215E"/>
    <w:rsid w:val="00232324"/>
    <w:rsid w:val="00232EB6"/>
    <w:rsid w:val="002335DB"/>
    <w:rsid w:val="0023363A"/>
    <w:rsid w:val="00233704"/>
    <w:rsid w:val="002337F7"/>
    <w:rsid w:val="00233848"/>
    <w:rsid w:val="00233A3B"/>
    <w:rsid w:val="00233D8B"/>
    <w:rsid w:val="00233FD6"/>
    <w:rsid w:val="00234246"/>
    <w:rsid w:val="0023449A"/>
    <w:rsid w:val="00234640"/>
    <w:rsid w:val="002347E7"/>
    <w:rsid w:val="00234BEB"/>
    <w:rsid w:val="00234F03"/>
    <w:rsid w:val="00235003"/>
    <w:rsid w:val="002355BD"/>
    <w:rsid w:val="002356FF"/>
    <w:rsid w:val="00235E86"/>
    <w:rsid w:val="00236731"/>
    <w:rsid w:val="00236DE2"/>
    <w:rsid w:val="00236F14"/>
    <w:rsid w:val="0023711C"/>
    <w:rsid w:val="0023721D"/>
    <w:rsid w:val="0023756B"/>
    <w:rsid w:val="002378AC"/>
    <w:rsid w:val="00237963"/>
    <w:rsid w:val="002379CC"/>
    <w:rsid w:val="00237C02"/>
    <w:rsid w:val="00240106"/>
    <w:rsid w:val="00240363"/>
    <w:rsid w:val="00240A63"/>
    <w:rsid w:val="00240AC0"/>
    <w:rsid w:val="00240E1A"/>
    <w:rsid w:val="002411C7"/>
    <w:rsid w:val="002411D8"/>
    <w:rsid w:val="00241647"/>
    <w:rsid w:val="00241BBC"/>
    <w:rsid w:val="00241CAE"/>
    <w:rsid w:val="00241D50"/>
    <w:rsid w:val="002423A4"/>
    <w:rsid w:val="002423E1"/>
    <w:rsid w:val="0024252E"/>
    <w:rsid w:val="00242660"/>
    <w:rsid w:val="002428D0"/>
    <w:rsid w:val="00242F4E"/>
    <w:rsid w:val="00242FE2"/>
    <w:rsid w:val="00243132"/>
    <w:rsid w:val="00243228"/>
    <w:rsid w:val="00243328"/>
    <w:rsid w:val="00243403"/>
    <w:rsid w:val="00243536"/>
    <w:rsid w:val="00243800"/>
    <w:rsid w:val="0024393F"/>
    <w:rsid w:val="002439CE"/>
    <w:rsid w:val="00243A9E"/>
    <w:rsid w:val="00243AED"/>
    <w:rsid w:val="00243FB8"/>
    <w:rsid w:val="0024421D"/>
    <w:rsid w:val="0024484C"/>
    <w:rsid w:val="00244C1A"/>
    <w:rsid w:val="00245186"/>
    <w:rsid w:val="002452A0"/>
    <w:rsid w:val="0024570B"/>
    <w:rsid w:val="002457FF"/>
    <w:rsid w:val="002458DA"/>
    <w:rsid w:val="002458E7"/>
    <w:rsid w:val="00245A8A"/>
    <w:rsid w:val="00245E3A"/>
    <w:rsid w:val="00245FE3"/>
    <w:rsid w:val="0024605F"/>
    <w:rsid w:val="002461A2"/>
    <w:rsid w:val="002462C3"/>
    <w:rsid w:val="0024632C"/>
    <w:rsid w:val="002463A6"/>
    <w:rsid w:val="00246ADB"/>
    <w:rsid w:val="00246C3D"/>
    <w:rsid w:val="00246EE2"/>
    <w:rsid w:val="00246F0D"/>
    <w:rsid w:val="0024721D"/>
    <w:rsid w:val="0024723D"/>
    <w:rsid w:val="0024762D"/>
    <w:rsid w:val="0024775A"/>
    <w:rsid w:val="00247801"/>
    <w:rsid w:val="00247BDA"/>
    <w:rsid w:val="00247E3E"/>
    <w:rsid w:val="00247F1A"/>
    <w:rsid w:val="00250179"/>
    <w:rsid w:val="0025028E"/>
    <w:rsid w:val="0025043F"/>
    <w:rsid w:val="00250884"/>
    <w:rsid w:val="00250896"/>
    <w:rsid w:val="00250A73"/>
    <w:rsid w:val="00250C49"/>
    <w:rsid w:val="00250F6F"/>
    <w:rsid w:val="00251308"/>
    <w:rsid w:val="00251603"/>
    <w:rsid w:val="002517A5"/>
    <w:rsid w:val="00251997"/>
    <w:rsid w:val="00251B9D"/>
    <w:rsid w:val="00251DF9"/>
    <w:rsid w:val="00251F6C"/>
    <w:rsid w:val="0025249C"/>
    <w:rsid w:val="002525BF"/>
    <w:rsid w:val="002528E6"/>
    <w:rsid w:val="00252B95"/>
    <w:rsid w:val="00252CB5"/>
    <w:rsid w:val="00252D5C"/>
    <w:rsid w:val="00253050"/>
    <w:rsid w:val="0025331A"/>
    <w:rsid w:val="002536F5"/>
    <w:rsid w:val="002537F2"/>
    <w:rsid w:val="002539ED"/>
    <w:rsid w:val="00253A15"/>
    <w:rsid w:val="00253B13"/>
    <w:rsid w:val="00253D83"/>
    <w:rsid w:val="00253FB9"/>
    <w:rsid w:val="002540AE"/>
    <w:rsid w:val="0025440D"/>
    <w:rsid w:val="0025450E"/>
    <w:rsid w:val="00254620"/>
    <w:rsid w:val="00254710"/>
    <w:rsid w:val="00254B2A"/>
    <w:rsid w:val="00254C12"/>
    <w:rsid w:val="00254CE2"/>
    <w:rsid w:val="00255152"/>
    <w:rsid w:val="00255199"/>
    <w:rsid w:val="0025529E"/>
    <w:rsid w:val="002552C9"/>
    <w:rsid w:val="0025554E"/>
    <w:rsid w:val="00255562"/>
    <w:rsid w:val="002555C4"/>
    <w:rsid w:val="00255691"/>
    <w:rsid w:val="00256715"/>
    <w:rsid w:val="00256877"/>
    <w:rsid w:val="00256D27"/>
    <w:rsid w:val="00256FDE"/>
    <w:rsid w:val="002570B1"/>
    <w:rsid w:val="00257357"/>
    <w:rsid w:val="00257539"/>
    <w:rsid w:val="00257628"/>
    <w:rsid w:val="002577EB"/>
    <w:rsid w:val="00257AAF"/>
    <w:rsid w:val="00257FEE"/>
    <w:rsid w:val="00260025"/>
    <w:rsid w:val="002600EF"/>
    <w:rsid w:val="0026067D"/>
    <w:rsid w:val="002606F7"/>
    <w:rsid w:val="00261252"/>
    <w:rsid w:val="0026133A"/>
    <w:rsid w:val="00261671"/>
    <w:rsid w:val="002616E5"/>
    <w:rsid w:val="00261794"/>
    <w:rsid w:val="00261B17"/>
    <w:rsid w:val="00261CE6"/>
    <w:rsid w:val="00261E88"/>
    <w:rsid w:val="00261FFF"/>
    <w:rsid w:val="00262551"/>
    <w:rsid w:val="002628A5"/>
    <w:rsid w:val="00262A4D"/>
    <w:rsid w:val="00262B72"/>
    <w:rsid w:val="00262D16"/>
    <w:rsid w:val="002632BB"/>
    <w:rsid w:val="002632BE"/>
    <w:rsid w:val="0026332E"/>
    <w:rsid w:val="002638F4"/>
    <w:rsid w:val="00263A1B"/>
    <w:rsid w:val="00263E07"/>
    <w:rsid w:val="002640FA"/>
    <w:rsid w:val="0026437D"/>
    <w:rsid w:val="002646C6"/>
    <w:rsid w:val="0026480F"/>
    <w:rsid w:val="0026496E"/>
    <w:rsid w:val="00264970"/>
    <w:rsid w:val="00264E9F"/>
    <w:rsid w:val="00264EFA"/>
    <w:rsid w:val="002651D0"/>
    <w:rsid w:val="00265500"/>
    <w:rsid w:val="002656FF"/>
    <w:rsid w:val="002657A8"/>
    <w:rsid w:val="0026582E"/>
    <w:rsid w:val="00265DE7"/>
    <w:rsid w:val="00265F87"/>
    <w:rsid w:val="002665DD"/>
    <w:rsid w:val="002666A3"/>
    <w:rsid w:val="00266836"/>
    <w:rsid w:val="0026684C"/>
    <w:rsid w:val="00266864"/>
    <w:rsid w:val="00266CBA"/>
    <w:rsid w:val="00267101"/>
    <w:rsid w:val="0026722F"/>
    <w:rsid w:val="002675C5"/>
    <w:rsid w:val="002676D9"/>
    <w:rsid w:val="0026777B"/>
    <w:rsid w:val="002678A1"/>
    <w:rsid w:val="00267F18"/>
    <w:rsid w:val="00267FF5"/>
    <w:rsid w:val="002701C4"/>
    <w:rsid w:val="00270534"/>
    <w:rsid w:val="00270676"/>
    <w:rsid w:val="0027067D"/>
    <w:rsid w:val="00270AD0"/>
    <w:rsid w:val="00270B2F"/>
    <w:rsid w:val="0027157E"/>
    <w:rsid w:val="0027160C"/>
    <w:rsid w:val="00271750"/>
    <w:rsid w:val="002718CC"/>
    <w:rsid w:val="00272C48"/>
    <w:rsid w:val="00272F03"/>
    <w:rsid w:val="00273535"/>
    <w:rsid w:val="0027367D"/>
    <w:rsid w:val="00273961"/>
    <w:rsid w:val="002739C6"/>
    <w:rsid w:val="00273D88"/>
    <w:rsid w:val="00273E71"/>
    <w:rsid w:val="002741E7"/>
    <w:rsid w:val="002748B1"/>
    <w:rsid w:val="00274AB0"/>
    <w:rsid w:val="00274E51"/>
    <w:rsid w:val="002750C5"/>
    <w:rsid w:val="002751D1"/>
    <w:rsid w:val="00275209"/>
    <w:rsid w:val="00275261"/>
    <w:rsid w:val="00275519"/>
    <w:rsid w:val="00275752"/>
    <w:rsid w:val="002757E0"/>
    <w:rsid w:val="00276518"/>
    <w:rsid w:val="002765D4"/>
    <w:rsid w:val="00276606"/>
    <w:rsid w:val="00276647"/>
    <w:rsid w:val="0027664E"/>
    <w:rsid w:val="0027679D"/>
    <w:rsid w:val="002767A4"/>
    <w:rsid w:val="002768F3"/>
    <w:rsid w:val="00276F53"/>
    <w:rsid w:val="00276FEB"/>
    <w:rsid w:val="00277041"/>
    <w:rsid w:val="002770F1"/>
    <w:rsid w:val="00277213"/>
    <w:rsid w:val="00280013"/>
    <w:rsid w:val="00280432"/>
    <w:rsid w:val="002804ED"/>
    <w:rsid w:val="00280516"/>
    <w:rsid w:val="0028054A"/>
    <w:rsid w:val="00280552"/>
    <w:rsid w:val="00280883"/>
    <w:rsid w:val="00280C0E"/>
    <w:rsid w:val="00280F06"/>
    <w:rsid w:val="00281DDE"/>
    <w:rsid w:val="00282035"/>
    <w:rsid w:val="00282122"/>
    <w:rsid w:val="00282293"/>
    <w:rsid w:val="00282548"/>
    <w:rsid w:val="00282A90"/>
    <w:rsid w:val="00282D9F"/>
    <w:rsid w:val="00282FB7"/>
    <w:rsid w:val="00282FE4"/>
    <w:rsid w:val="0028339E"/>
    <w:rsid w:val="002833B9"/>
    <w:rsid w:val="002833C5"/>
    <w:rsid w:val="00283B29"/>
    <w:rsid w:val="00283D0B"/>
    <w:rsid w:val="00283E90"/>
    <w:rsid w:val="0028432C"/>
    <w:rsid w:val="00284340"/>
    <w:rsid w:val="00285EEF"/>
    <w:rsid w:val="002863B3"/>
    <w:rsid w:val="002866DE"/>
    <w:rsid w:val="0028679A"/>
    <w:rsid w:val="002867EA"/>
    <w:rsid w:val="00286A94"/>
    <w:rsid w:val="00286D68"/>
    <w:rsid w:val="00286E51"/>
    <w:rsid w:val="002875FC"/>
    <w:rsid w:val="002877B2"/>
    <w:rsid w:val="00287AF6"/>
    <w:rsid w:val="00287E78"/>
    <w:rsid w:val="00290323"/>
    <w:rsid w:val="00290676"/>
    <w:rsid w:val="0029091E"/>
    <w:rsid w:val="00290D7B"/>
    <w:rsid w:val="0029103B"/>
    <w:rsid w:val="002913B9"/>
    <w:rsid w:val="002913EF"/>
    <w:rsid w:val="00291462"/>
    <w:rsid w:val="00291507"/>
    <w:rsid w:val="00291572"/>
    <w:rsid w:val="002916B6"/>
    <w:rsid w:val="0029176B"/>
    <w:rsid w:val="002917AD"/>
    <w:rsid w:val="00291C99"/>
    <w:rsid w:val="00291D9F"/>
    <w:rsid w:val="0029224D"/>
    <w:rsid w:val="00292F47"/>
    <w:rsid w:val="00293085"/>
    <w:rsid w:val="002930E3"/>
    <w:rsid w:val="002934C6"/>
    <w:rsid w:val="00293799"/>
    <w:rsid w:val="00293AB6"/>
    <w:rsid w:val="00293AD2"/>
    <w:rsid w:val="0029465C"/>
    <w:rsid w:val="0029482D"/>
    <w:rsid w:val="00294C03"/>
    <w:rsid w:val="00295002"/>
    <w:rsid w:val="0029525B"/>
    <w:rsid w:val="002952F8"/>
    <w:rsid w:val="0029532D"/>
    <w:rsid w:val="002953CE"/>
    <w:rsid w:val="00295408"/>
    <w:rsid w:val="00295440"/>
    <w:rsid w:val="00295980"/>
    <w:rsid w:val="00295D7E"/>
    <w:rsid w:val="00295DF5"/>
    <w:rsid w:val="00296017"/>
    <w:rsid w:val="00296522"/>
    <w:rsid w:val="00296CFA"/>
    <w:rsid w:val="00296F28"/>
    <w:rsid w:val="0029759E"/>
    <w:rsid w:val="00297F2F"/>
    <w:rsid w:val="002A00C7"/>
    <w:rsid w:val="002A01F5"/>
    <w:rsid w:val="002A036B"/>
    <w:rsid w:val="002A04B4"/>
    <w:rsid w:val="002A0610"/>
    <w:rsid w:val="002A076B"/>
    <w:rsid w:val="002A0775"/>
    <w:rsid w:val="002A0948"/>
    <w:rsid w:val="002A145B"/>
    <w:rsid w:val="002A1584"/>
    <w:rsid w:val="002A18BE"/>
    <w:rsid w:val="002A1AB2"/>
    <w:rsid w:val="002A1C05"/>
    <w:rsid w:val="002A1D88"/>
    <w:rsid w:val="002A1EB5"/>
    <w:rsid w:val="002A22F1"/>
    <w:rsid w:val="002A2A4C"/>
    <w:rsid w:val="002A2C57"/>
    <w:rsid w:val="002A2E95"/>
    <w:rsid w:val="002A2EB9"/>
    <w:rsid w:val="002A3075"/>
    <w:rsid w:val="002A33CA"/>
    <w:rsid w:val="002A36F6"/>
    <w:rsid w:val="002A3899"/>
    <w:rsid w:val="002A3C09"/>
    <w:rsid w:val="002A3C17"/>
    <w:rsid w:val="002A4084"/>
    <w:rsid w:val="002A45D4"/>
    <w:rsid w:val="002A4AD6"/>
    <w:rsid w:val="002A57A6"/>
    <w:rsid w:val="002A5C29"/>
    <w:rsid w:val="002A615F"/>
    <w:rsid w:val="002A6404"/>
    <w:rsid w:val="002A6438"/>
    <w:rsid w:val="002A6955"/>
    <w:rsid w:val="002A7196"/>
    <w:rsid w:val="002A7234"/>
    <w:rsid w:val="002A7465"/>
    <w:rsid w:val="002A748A"/>
    <w:rsid w:val="002A76AE"/>
    <w:rsid w:val="002B0243"/>
    <w:rsid w:val="002B02DF"/>
    <w:rsid w:val="002B0357"/>
    <w:rsid w:val="002B0563"/>
    <w:rsid w:val="002B0847"/>
    <w:rsid w:val="002B0A84"/>
    <w:rsid w:val="002B0AEA"/>
    <w:rsid w:val="002B108E"/>
    <w:rsid w:val="002B1384"/>
    <w:rsid w:val="002B182C"/>
    <w:rsid w:val="002B196F"/>
    <w:rsid w:val="002B1A39"/>
    <w:rsid w:val="002B1CB8"/>
    <w:rsid w:val="002B1FE2"/>
    <w:rsid w:val="002B231D"/>
    <w:rsid w:val="002B23D8"/>
    <w:rsid w:val="002B252E"/>
    <w:rsid w:val="002B254D"/>
    <w:rsid w:val="002B2BA3"/>
    <w:rsid w:val="002B2DC5"/>
    <w:rsid w:val="002B32C3"/>
    <w:rsid w:val="002B3681"/>
    <w:rsid w:val="002B3A63"/>
    <w:rsid w:val="002B3D47"/>
    <w:rsid w:val="002B3F97"/>
    <w:rsid w:val="002B4149"/>
    <w:rsid w:val="002B419C"/>
    <w:rsid w:val="002B4B27"/>
    <w:rsid w:val="002B4E63"/>
    <w:rsid w:val="002B4E88"/>
    <w:rsid w:val="002B4F7E"/>
    <w:rsid w:val="002B551C"/>
    <w:rsid w:val="002B57D5"/>
    <w:rsid w:val="002B5ABB"/>
    <w:rsid w:val="002B5BD5"/>
    <w:rsid w:val="002B6036"/>
    <w:rsid w:val="002B61E9"/>
    <w:rsid w:val="002B6300"/>
    <w:rsid w:val="002B6467"/>
    <w:rsid w:val="002B663B"/>
    <w:rsid w:val="002B667C"/>
    <w:rsid w:val="002B6A6A"/>
    <w:rsid w:val="002B6C12"/>
    <w:rsid w:val="002B6D4A"/>
    <w:rsid w:val="002B7175"/>
    <w:rsid w:val="002B7716"/>
    <w:rsid w:val="002B7B55"/>
    <w:rsid w:val="002B7C98"/>
    <w:rsid w:val="002B7E41"/>
    <w:rsid w:val="002C018A"/>
    <w:rsid w:val="002C03AF"/>
    <w:rsid w:val="002C0589"/>
    <w:rsid w:val="002C0A81"/>
    <w:rsid w:val="002C11CA"/>
    <w:rsid w:val="002C1694"/>
    <w:rsid w:val="002C1822"/>
    <w:rsid w:val="002C1849"/>
    <w:rsid w:val="002C198A"/>
    <w:rsid w:val="002C1DF2"/>
    <w:rsid w:val="002C2117"/>
    <w:rsid w:val="002C23D0"/>
    <w:rsid w:val="002C241B"/>
    <w:rsid w:val="002C24FE"/>
    <w:rsid w:val="002C2779"/>
    <w:rsid w:val="002C30B3"/>
    <w:rsid w:val="002C315C"/>
    <w:rsid w:val="002C3483"/>
    <w:rsid w:val="002C34C7"/>
    <w:rsid w:val="002C3BDC"/>
    <w:rsid w:val="002C3F99"/>
    <w:rsid w:val="002C434B"/>
    <w:rsid w:val="002C443D"/>
    <w:rsid w:val="002C45E8"/>
    <w:rsid w:val="002C4AF9"/>
    <w:rsid w:val="002C4F20"/>
    <w:rsid w:val="002C50D0"/>
    <w:rsid w:val="002C5802"/>
    <w:rsid w:val="002C5E3E"/>
    <w:rsid w:val="002C6271"/>
    <w:rsid w:val="002C62A4"/>
    <w:rsid w:val="002C65E5"/>
    <w:rsid w:val="002C66E5"/>
    <w:rsid w:val="002C67E1"/>
    <w:rsid w:val="002C6870"/>
    <w:rsid w:val="002C6B42"/>
    <w:rsid w:val="002C6B98"/>
    <w:rsid w:val="002C6D0C"/>
    <w:rsid w:val="002C70CE"/>
    <w:rsid w:val="002C7755"/>
    <w:rsid w:val="002C79C9"/>
    <w:rsid w:val="002C7C4C"/>
    <w:rsid w:val="002C7CFB"/>
    <w:rsid w:val="002D011D"/>
    <w:rsid w:val="002D0702"/>
    <w:rsid w:val="002D0B3B"/>
    <w:rsid w:val="002D0CE9"/>
    <w:rsid w:val="002D0E09"/>
    <w:rsid w:val="002D0EF6"/>
    <w:rsid w:val="002D11F9"/>
    <w:rsid w:val="002D1320"/>
    <w:rsid w:val="002D14B0"/>
    <w:rsid w:val="002D162D"/>
    <w:rsid w:val="002D1660"/>
    <w:rsid w:val="002D18BE"/>
    <w:rsid w:val="002D2938"/>
    <w:rsid w:val="002D2D33"/>
    <w:rsid w:val="002D313D"/>
    <w:rsid w:val="002D31FA"/>
    <w:rsid w:val="002D3417"/>
    <w:rsid w:val="002D34C9"/>
    <w:rsid w:val="002D36A6"/>
    <w:rsid w:val="002D3709"/>
    <w:rsid w:val="002D382F"/>
    <w:rsid w:val="002D386F"/>
    <w:rsid w:val="002D3C94"/>
    <w:rsid w:val="002D4085"/>
    <w:rsid w:val="002D44FC"/>
    <w:rsid w:val="002D465A"/>
    <w:rsid w:val="002D4AB1"/>
    <w:rsid w:val="002D4E7C"/>
    <w:rsid w:val="002D4ECF"/>
    <w:rsid w:val="002D5097"/>
    <w:rsid w:val="002D517A"/>
    <w:rsid w:val="002D5289"/>
    <w:rsid w:val="002D55E4"/>
    <w:rsid w:val="002D58A4"/>
    <w:rsid w:val="002D5ACB"/>
    <w:rsid w:val="002D5F32"/>
    <w:rsid w:val="002D60DB"/>
    <w:rsid w:val="002D6364"/>
    <w:rsid w:val="002D690D"/>
    <w:rsid w:val="002D6F1F"/>
    <w:rsid w:val="002D7748"/>
    <w:rsid w:val="002E0049"/>
    <w:rsid w:val="002E04F6"/>
    <w:rsid w:val="002E06CA"/>
    <w:rsid w:val="002E07F2"/>
    <w:rsid w:val="002E0D32"/>
    <w:rsid w:val="002E0F92"/>
    <w:rsid w:val="002E166C"/>
    <w:rsid w:val="002E169F"/>
    <w:rsid w:val="002E195C"/>
    <w:rsid w:val="002E1B1A"/>
    <w:rsid w:val="002E1C10"/>
    <w:rsid w:val="002E1E6A"/>
    <w:rsid w:val="002E2000"/>
    <w:rsid w:val="002E20B2"/>
    <w:rsid w:val="002E2171"/>
    <w:rsid w:val="002E2485"/>
    <w:rsid w:val="002E29B6"/>
    <w:rsid w:val="002E2A25"/>
    <w:rsid w:val="002E2F69"/>
    <w:rsid w:val="002E346D"/>
    <w:rsid w:val="002E3502"/>
    <w:rsid w:val="002E350E"/>
    <w:rsid w:val="002E35E6"/>
    <w:rsid w:val="002E3607"/>
    <w:rsid w:val="002E39D3"/>
    <w:rsid w:val="002E3B96"/>
    <w:rsid w:val="002E3ECE"/>
    <w:rsid w:val="002E412A"/>
    <w:rsid w:val="002E418B"/>
    <w:rsid w:val="002E455F"/>
    <w:rsid w:val="002E4ACD"/>
    <w:rsid w:val="002E4BB3"/>
    <w:rsid w:val="002E4BF5"/>
    <w:rsid w:val="002E4FF0"/>
    <w:rsid w:val="002E5208"/>
    <w:rsid w:val="002E533F"/>
    <w:rsid w:val="002E54FE"/>
    <w:rsid w:val="002E5513"/>
    <w:rsid w:val="002E5530"/>
    <w:rsid w:val="002E561C"/>
    <w:rsid w:val="002E57C9"/>
    <w:rsid w:val="002E5C8E"/>
    <w:rsid w:val="002E63BE"/>
    <w:rsid w:val="002E673E"/>
    <w:rsid w:val="002E6936"/>
    <w:rsid w:val="002E699C"/>
    <w:rsid w:val="002E7647"/>
    <w:rsid w:val="002E76B9"/>
    <w:rsid w:val="002E7775"/>
    <w:rsid w:val="002E7898"/>
    <w:rsid w:val="002E7A70"/>
    <w:rsid w:val="002E7AD2"/>
    <w:rsid w:val="002E7B07"/>
    <w:rsid w:val="002E7CF7"/>
    <w:rsid w:val="002F0078"/>
    <w:rsid w:val="002F0871"/>
    <w:rsid w:val="002F0975"/>
    <w:rsid w:val="002F0977"/>
    <w:rsid w:val="002F0AA4"/>
    <w:rsid w:val="002F0AD7"/>
    <w:rsid w:val="002F0AE3"/>
    <w:rsid w:val="002F10EE"/>
    <w:rsid w:val="002F1399"/>
    <w:rsid w:val="002F161D"/>
    <w:rsid w:val="002F17A6"/>
    <w:rsid w:val="002F17BC"/>
    <w:rsid w:val="002F19ED"/>
    <w:rsid w:val="002F1D1A"/>
    <w:rsid w:val="002F1EA7"/>
    <w:rsid w:val="002F1FD8"/>
    <w:rsid w:val="002F2029"/>
    <w:rsid w:val="002F2903"/>
    <w:rsid w:val="002F2D6A"/>
    <w:rsid w:val="002F32FB"/>
    <w:rsid w:val="002F3458"/>
    <w:rsid w:val="002F357E"/>
    <w:rsid w:val="002F3986"/>
    <w:rsid w:val="002F3AAA"/>
    <w:rsid w:val="002F3AC9"/>
    <w:rsid w:val="002F3C00"/>
    <w:rsid w:val="002F3C02"/>
    <w:rsid w:val="002F3C58"/>
    <w:rsid w:val="002F3C8A"/>
    <w:rsid w:val="002F3D40"/>
    <w:rsid w:val="002F45C4"/>
    <w:rsid w:val="002F4AB9"/>
    <w:rsid w:val="002F55A5"/>
    <w:rsid w:val="002F5611"/>
    <w:rsid w:val="002F5C27"/>
    <w:rsid w:val="002F5F5E"/>
    <w:rsid w:val="002F5F85"/>
    <w:rsid w:val="002F5FE4"/>
    <w:rsid w:val="002F60F8"/>
    <w:rsid w:val="002F6326"/>
    <w:rsid w:val="002F6382"/>
    <w:rsid w:val="002F65A1"/>
    <w:rsid w:val="002F684E"/>
    <w:rsid w:val="002F693F"/>
    <w:rsid w:val="002F6F25"/>
    <w:rsid w:val="002F7001"/>
    <w:rsid w:val="002F7258"/>
    <w:rsid w:val="002F733B"/>
    <w:rsid w:val="002F75A6"/>
    <w:rsid w:val="002F765B"/>
    <w:rsid w:val="002F7CA7"/>
    <w:rsid w:val="0030067D"/>
    <w:rsid w:val="003008CC"/>
    <w:rsid w:val="003008D4"/>
    <w:rsid w:val="00301252"/>
    <w:rsid w:val="003014D3"/>
    <w:rsid w:val="00301688"/>
    <w:rsid w:val="00301763"/>
    <w:rsid w:val="003018B9"/>
    <w:rsid w:val="0030198A"/>
    <w:rsid w:val="00301C93"/>
    <w:rsid w:val="00301D23"/>
    <w:rsid w:val="0030201A"/>
    <w:rsid w:val="003021CD"/>
    <w:rsid w:val="00302252"/>
    <w:rsid w:val="003022E7"/>
    <w:rsid w:val="00302586"/>
    <w:rsid w:val="00302861"/>
    <w:rsid w:val="00302BDA"/>
    <w:rsid w:val="00302CF3"/>
    <w:rsid w:val="00302DFE"/>
    <w:rsid w:val="00303086"/>
    <w:rsid w:val="003037A1"/>
    <w:rsid w:val="00303982"/>
    <w:rsid w:val="00303C60"/>
    <w:rsid w:val="00303E6C"/>
    <w:rsid w:val="00303E9D"/>
    <w:rsid w:val="00303FC9"/>
    <w:rsid w:val="00304205"/>
    <w:rsid w:val="00304668"/>
    <w:rsid w:val="003046EA"/>
    <w:rsid w:val="00304A03"/>
    <w:rsid w:val="00304A31"/>
    <w:rsid w:val="00304AE8"/>
    <w:rsid w:val="00304C24"/>
    <w:rsid w:val="00304C2E"/>
    <w:rsid w:val="00304FB8"/>
    <w:rsid w:val="00305209"/>
    <w:rsid w:val="00305379"/>
    <w:rsid w:val="00305A52"/>
    <w:rsid w:val="00305A69"/>
    <w:rsid w:val="00305D21"/>
    <w:rsid w:val="00305D8B"/>
    <w:rsid w:val="0030603D"/>
    <w:rsid w:val="00306195"/>
    <w:rsid w:val="0030665B"/>
    <w:rsid w:val="00307299"/>
    <w:rsid w:val="0030778B"/>
    <w:rsid w:val="00307B05"/>
    <w:rsid w:val="00307D5D"/>
    <w:rsid w:val="00307F4B"/>
    <w:rsid w:val="00307F69"/>
    <w:rsid w:val="003100B7"/>
    <w:rsid w:val="003101CA"/>
    <w:rsid w:val="00310271"/>
    <w:rsid w:val="00310558"/>
    <w:rsid w:val="003105D6"/>
    <w:rsid w:val="00310896"/>
    <w:rsid w:val="00310B9B"/>
    <w:rsid w:val="00310C3F"/>
    <w:rsid w:val="00310CC5"/>
    <w:rsid w:val="00310E79"/>
    <w:rsid w:val="00311306"/>
    <w:rsid w:val="0031173A"/>
    <w:rsid w:val="003119EA"/>
    <w:rsid w:val="00311F98"/>
    <w:rsid w:val="003125A7"/>
    <w:rsid w:val="00312C46"/>
    <w:rsid w:val="00312F46"/>
    <w:rsid w:val="00313259"/>
    <w:rsid w:val="0031360D"/>
    <w:rsid w:val="00313758"/>
    <w:rsid w:val="00313F0C"/>
    <w:rsid w:val="003140D2"/>
    <w:rsid w:val="00314281"/>
    <w:rsid w:val="003145A8"/>
    <w:rsid w:val="00314A11"/>
    <w:rsid w:val="00314F8A"/>
    <w:rsid w:val="003150E5"/>
    <w:rsid w:val="003153D5"/>
    <w:rsid w:val="0031562B"/>
    <w:rsid w:val="003159EF"/>
    <w:rsid w:val="00315B9D"/>
    <w:rsid w:val="00315F24"/>
    <w:rsid w:val="00316082"/>
    <w:rsid w:val="00316244"/>
    <w:rsid w:val="00316556"/>
    <w:rsid w:val="00316A1E"/>
    <w:rsid w:val="00316A3B"/>
    <w:rsid w:val="00316B72"/>
    <w:rsid w:val="003172BC"/>
    <w:rsid w:val="00317714"/>
    <w:rsid w:val="00317758"/>
    <w:rsid w:val="00317848"/>
    <w:rsid w:val="003179E2"/>
    <w:rsid w:val="00320010"/>
    <w:rsid w:val="0032034D"/>
    <w:rsid w:val="0032067C"/>
    <w:rsid w:val="00320763"/>
    <w:rsid w:val="00320876"/>
    <w:rsid w:val="003208AF"/>
    <w:rsid w:val="00320A17"/>
    <w:rsid w:val="00320B9C"/>
    <w:rsid w:val="00321038"/>
    <w:rsid w:val="003211DD"/>
    <w:rsid w:val="003216DB"/>
    <w:rsid w:val="003217D2"/>
    <w:rsid w:val="00321968"/>
    <w:rsid w:val="00321C92"/>
    <w:rsid w:val="00321D28"/>
    <w:rsid w:val="00321F7E"/>
    <w:rsid w:val="003220FA"/>
    <w:rsid w:val="003224FC"/>
    <w:rsid w:val="00322573"/>
    <w:rsid w:val="003227E6"/>
    <w:rsid w:val="00322DA9"/>
    <w:rsid w:val="00322E25"/>
    <w:rsid w:val="00322F75"/>
    <w:rsid w:val="00322F7E"/>
    <w:rsid w:val="003230FA"/>
    <w:rsid w:val="00323456"/>
    <w:rsid w:val="0032357B"/>
    <w:rsid w:val="0032366A"/>
    <w:rsid w:val="00323AF6"/>
    <w:rsid w:val="00323BB1"/>
    <w:rsid w:val="00323D60"/>
    <w:rsid w:val="00323D96"/>
    <w:rsid w:val="00323DB9"/>
    <w:rsid w:val="003241CF"/>
    <w:rsid w:val="003246F3"/>
    <w:rsid w:val="003247FF"/>
    <w:rsid w:val="00324D60"/>
    <w:rsid w:val="00324DBB"/>
    <w:rsid w:val="003251C2"/>
    <w:rsid w:val="003251ED"/>
    <w:rsid w:val="0032527B"/>
    <w:rsid w:val="00325588"/>
    <w:rsid w:val="003256E7"/>
    <w:rsid w:val="0032576B"/>
    <w:rsid w:val="00325A8D"/>
    <w:rsid w:val="00325C21"/>
    <w:rsid w:val="00325D74"/>
    <w:rsid w:val="00325ED0"/>
    <w:rsid w:val="00325FA0"/>
    <w:rsid w:val="0032633D"/>
    <w:rsid w:val="00326558"/>
    <w:rsid w:val="003268DD"/>
    <w:rsid w:val="00326F1C"/>
    <w:rsid w:val="00327162"/>
    <w:rsid w:val="003273F7"/>
    <w:rsid w:val="00327561"/>
    <w:rsid w:val="003276E1"/>
    <w:rsid w:val="003276F7"/>
    <w:rsid w:val="0032774F"/>
    <w:rsid w:val="00327BE6"/>
    <w:rsid w:val="003304AF"/>
    <w:rsid w:val="00330578"/>
    <w:rsid w:val="00330934"/>
    <w:rsid w:val="00330A0A"/>
    <w:rsid w:val="00331206"/>
    <w:rsid w:val="0033129C"/>
    <w:rsid w:val="0033165C"/>
    <w:rsid w:val="00331780"/>
    <w:rsid w:val="00331F6A"/>
    <w:rsid w:val="003321CA"/>
    <w:rsid w:val="00332257"/>
    <w:rsid w:val="003323EF"/>
    <w:rsid w:val="003325F5"/>
    <w:rsid w:val="003328A9"/>
    <w:rsid w:val="003328D7"/>
    <w:rsid w:val="00332FEA"/>
    <w:rsid w:val="00333038"/>
    <w:rsid w:val="00333133"/>
    <w:rsid w:val="003335BB"/>
    <w:rsid w:val="003337FB"/>
    <w:rsid w:val="0033396D"/>
    <w:rsid w:val="00333A03"/>
    <w:rsid w:val="00333D26"/>
    <w:rsid w:val="00333D4F"/>
    <w:rsid w:val="00333F55"/>
    <w:rsid w:val="00333FF8"/>
    <w:rsid w:val="00334213"/>
    <w:rsid w:val="00334574"/>
    <w:rsid w:val="003350FD"/>
    <w:rsid w:val="003356EB"/>
    <w:rsid w:val="003358D0"/>
    <w:rsid w:val="003358F1"/>
    <w:rsid w:val="00335990"/>
    <w:rsid w:val="00335A68"/>
    <w:rsid w:val="00335B45"/>
    <w:rsid w:val="00335E10"/>
    <w:rsid w:val="00335E61"/>
    <w:rsid w:val="00336286"/>
    <w:rsid w:val="00336A53"/>
    <w:rsid w:val="00336AC7"/>
    <w:rsid w:val="00336BCD"/>
    <w:rsid w:val="00336BF3"/>
    <w:rsid w:val="003371B5"/>
    <w:rsid w:val="00337BAF"/>
    <w:rsid w:val="00337F43"/>
    <w:rsid w:val="003400A1"/>
    <w:rsid w:val="0034022B"/>
    <w:rsid w:val="00340341"/>
    <w:rsid w:val="003406AE"/>
    <w:rsid w:val="0034079B"/>
    <w:rsid w:val="0034084A"/>
    <w:rsid w:val="00340875"/>
    <w:rsid w:val="00340BBA"/>
    <w:rsid w:val="00340D40"/>
    <w:rsid w:val="00340E97"/>
    <w:rsid w:val="00340F5E"/>
    <w:rsid w:val="00341371"/>
    <w:rsid w:val="00341392"/>
    <w:rsid w:val="003417CB"/>
    <w:rsid w:val="00341C1D"/>
    <w:rsid w:val="00341D00"/>
    <w:rsid w:val="00342112"/>
    <w:rsid w:val="00342120"/>
    <w:rsid w:val="00342742"/>
    <w:rsid w:val="003428CA"/>
    <w:rsid w:val="0034294E"/>
    <w:rsid w:val="00342962"/>
    <w:rsid w:val="00342DAF"/>
    <w:rsid w:val="00343511"/>
    <w:rsid w:val="003435A9"/>
    <w:rsid w:val="00343BC5"/>
    <w:rsid w:val="00343DAB"/>
    <w:rsid w:val="00343F27"/>
    <w:rsid w:val="0034441A"/>
    <w:rsid w:val="00344649"/>
    <w:rsid w:val="003447A0"/>
    <w:rsid w:val="0034492F"/>
    <w:rsid w:val="00344AF5"/>
    <w:rsid w:val="00344EB4"/>
    <w:rsid w:val="00344EF1"/>
    <w:rsid w:val="00345225"/>
    <w:rsid w:val="0034535D"/>
    <w:rsid w:val="00345496"/>
    <w:rsid w:val="0034568D"/>
    <w:rsid w:val="003456AF"/>
    <w:rsid w:val="003459E8"/>
    <w:rsid w:val="00345B37"/>
    <w:rsid w:val="00345BCF"/>
    <w:rsid w:val="003462CF"/>
    <w:rsid w:val="003462EB"/>
    <w:rsid w:val="003466F9"/>
    <w:rsid w:val="0034676A"/>
    <w:rsid w:val="00346E98"/>
    <w:rsid w:val="00346F1E"/>
    <w:rsid w:val="0034711C"/>
    <w:rsid w:val="0034766A"/>
    <w:rsid w:val="0034782B"/>
    <w:rsid w:val="0034791D"/>
    <w:rsid w:val="00347A95"/>
    <w:rsid w:val="00347D15"/>
    <w:rsid w:val="00347DBF"/>
    <w:rsid w:val="00347E81"/>
    <w:rsid w:val="00347F3E"/>
    <w:rsid w:val="00350092"/>
    <w:rsid w:val="003504A6"/>
    <w:rsid w:val="00350972"/>
    <w:rsid w:val="00350A2D"/>
    <w:rsid w:val="00350A36"/>
    <w:rsid w:val="00350C6F"/>
    <w:rsid w:val="00350C77"/>
    <w:rsid w:val="00350CF5"/>
    <w:rsid w:val="00350DB9"/>
    <w:rsid w:val="00350DE8"/>
    <w:rsid w:val="00350F98"/>
    <w:rsid w:val="003510DB"/>
    <w:rsid w:val="003511B7"/>
    <w:rsid w:val="003511D3"/>
    <w:rsid w:val="003514F8"/>
    <w:rsid w:val="003519AD"/>
    <w:rsid w:val="00351B34"/>
    <w:rsid w:val="00351CF2"/>
    <w:rsid w:val="00351DD3"/>
    <w:rsid w:val="00351E0E"/>
    <w:rsid w:val="00351EC4"/>
    <w:rsid w:val="003528B1"/>
    <w:rsid w:val="003528B5"/>
    <w:rsid w:val="00352ABF"/>
    <w:rsid w:val="00352C43"/>
    <w:rsid w:val="00352CE3"/>
    <w:rsid w:val="00352D7B"/>
    <w:rsid w:val="00352E71"/>
    <w:rsid w:val="00353518"/>
    <w:rsid w:val="00353558"/>
    <w:rsid w:val="003536BF"/>
    <w:rsid w:val="003537BA"/>
    <w:rsid w:val="0035381E"/>
    <w:rsid w:val="00353C95"/>
    <w:rsid w:val="00353CAD"/>
    <w:rsid w:val="0035431D"/>
    <w:rsid w:val="00354729"/>
    <w:rsid w:val="0035483E"/>
    <w:rsid w:val="003549E3"/>
    <w:rsid w:val="00354A23"/>
    <w:rsid w:val="00354AE9"/>
    <w:rsid w:val="00354B41"/>
    <w:rsid w:val="00354DC7"/>
    <w:rsid w:val="00354E15"/>
    <w:rsid w:val="00354EB4"/>
    <w:rsid w:val="0035506F"/>
    <w:rsid w:val="00355151"/>
    <w:rsid w:val="003552A1"/>
    <w:rsid w:val="003555CC"/>
    <w:rsid w:val="003556C9"/>
    <w:rsid w:val="003561B2"/>
    <w:rsid w:val="003561F4"/>
    <w:rsid w:val="00356AD0"/>
    <w:rsid w:val="00356D29"/>
    <w:rsid w:val="00356F34"/>
    <w:rsid w:val="00356F95"/>
    <w:rsid w:val="0035716F"/>
    <w:rsid w:val="003571C2"/>
    <w:rsid w:val="0035726F"/>
    <w:rsid w:val="003575AA"/>
    <w:rsid w:val="00357ABD"/>
    <w:rsid w:val="00357E90"/>
    <w:rsid w:val="003600AD"/>
    <w:rsid w:val="0036014E"/>
    <w:rsid w:val="003605E4"/>
    <w:rsid w:val="00360679"/>
    <w:rsid w:val="00360B55"/>
    <w:rsid w:val="00360BB6"/>
    <w:rsid w:val="00360C4A"/>
    <w:rsid w:val="00360D0D"/>
    <w:rsid w:val="00360E56"/>
    <w:rsid w:val="00361408"/>
    <w:rsid w:val="00361974"/>
    <w:rsid w:val="0036220A"/>
    <w:rsid w:val="003624C3"/>
    <w:rsid w:val="003624D7"/>
    <w:rsid w:val="00362863"/>
    <w:rsid w:val="00362B6C"/>
    <w:rsid w:val="00362D0B"/>
    <w:rsid w:val="00362E61"/>
    <w:rsid w:val="00362F0D"/>
    <w:rsid w:val="003630B8"/>
    <w:rsid w:val="00363525"/>
    <w:rsid w:val="00363566"/>
    <w:rsid w:val="00363778"/>
    <w:rsid w:val="003638F8"/>
    <w:rsid w:val="0036397A"/>
    <w:rsid w:val="00363A45"/>
    <w:rsid w:val="00363A93"/>
    <w:rsid w:val="00363E66"/>
    <w:rsid w:val="00363F41"/>
    <w:rsid w:val="0036406A"/>
    <w:rsid w:val="003640A7"/>
    <w:rsid w:val="00364508"/>
    <w:rsid w:val="003648A3"/>
    <w:rsid w:val="00364946"/>
    <w:rsid w:val="00364C8F"/>
    <w:rsid w:val="00364CBF"/>
    <w:rsid w:val="00364D5E"/>
    <w:rsid w:val="00364E73"/>
    <w:rsid w:val="00365447"/>
    <w:rsid w:val="0036563A"/>
    <w:rsid w:val="00365644"/>
    <w:rsid w:val="00365956"/>
    <w:rsid w:val="00365BFF"/>
    <w:rsid w:val="00366073"/>
    <w:rsid w:val="00366635"/>
    <w:rsid w:val="00367009"/>
    <w:rsid w:val="00367225"/>
    <w:rsid w:val="003676AA"/>
    <w:rsid w:val="003677C4"/>
    <w:rsid w:val="0036794E"/>
    <w:rsid w:val="00367B01"/>
    <w:rsid w:val="00367C63"/>
    <w:rsid w:val="0037013E"/>
    <w:rsid w:val="0037024E"/>
    <w:rsid w:val="00370866"/>
    <w:rsid w:val="003709A6"/>
    <w:rsid w:val="00370A4D"/>
    <w:rsid w:val="00370AE0"/>
    <w:rsid w:val="00370D4A"/>
    <w:rsid w:val="0037160C"/>
    <w:rsid w:val="003716FD"/>
    <w:rsid w:val="00371A52"/>
    <w:rsid w:val="00371DC9"/>
    <w:rsid w:val="00371F4A"/>
    <w:rsid w:val="003720B1"/>
    <w:rsid w:val="003721CB"/>
    <w:rsid w:val="0037223F"/>
    <w:rsid w:val="003723CD"/>
    <w:rsid w:val="00372412"/>
    <w:rsid w:val="00372591"/>
    <w:rsid w:val="003727AC"/>
    <w:rsid w:val="00372AA0"/>
    <w:rsid w:val="00372C9F"/>
    <w:rsid w:val="0037307F"/>
    <w:rsid w:val="003733F1"/>
    <w:rsid w:val="00373451"/>
    <w:rsid w:val="00373629"/>
    <w:rsid w:val="00373708"/>
    <w:rsid w:val="00373744"/>
    <w:rsid w:val="003738A7"/>
    <w:rsid w:val="00373C8F"/>
    <w:rsid w:val="00373E06"/>
    <w:rsid w:val="00373FD5"/>
    <w:rsid w:val="0037457C"/>
    <w:rsid w:val="003747B7"/>
    <w:rsid w:val="00375BC7"/>
    <w:rsid w:val="00376619"/>
    <w:rsid w:val="0037673B"/>
    <w:rsid w:val="00376BD0"/>
    <w:rsid w:val="00376C97"/>
    <w:rsid w:val="00376DA3"/>
    <w:rsid w:val="00376EA3"/>
    <w:rsid w:val="00377007"/>
    <w:rsid w:val="0037710A"/>
    <w:rsid w:val="00377282"/>
    <w:rsid w:val="003774E2"/>
    <w:rsid w:val="0037754C"/>
    <w:rsid w:val="00377608"/>
    <w:rsid w:val="0037788C"/>
    <w:rsid w:val="00380551"/>
    <w:rsid w:val="0038098E"/>
    <w:rsid w:val="00380A45"/>
    <w:rsid w:val="003812A3"/>
    <w:rsid w:val="0038146C"/>
    <w:rsid w:val="003819C4"/>
    <w:rsid w:val="00381C00"/>
    <w:rsid w:val="00381C84"/>
    <w:rsid w:val="00381D85"/>
    <w:rsid w:val="00381F76"/>
    <w:rsid w:val="003820DB"/>
    <w:rsid w:val="0038210B"/>
    <w:rsid w:val="00382340"/>
    <w:rsid w:val="0038246F"/>
    <w:rsid w:val="003824AF"/>
    <w:rsid w:val="00382609"/>
    <w:rsid w:val="00382A38"/>
    <w:rsid w:val="00383504"/>
    <w:rsid w:val="003835BF"/>
    <w:rsid w:val="003837C5"/>
    <w:rsid w:val="00383BA9"/>
    <w:rsid w:val="00383CBB"/>
    <w:rsid w:val="00383D8A"/>
    <w:rsid w:val="003845EA"/>
    <w:rsid w:val="00384866"/>
    <w:rsid w:val="0038494D"/>
    <w:rsid w:val="00384A5D"/>
    <w:rsid w:val="00384F4C"/>
    <w:rsid w:val="0038503E"/>
    <w:rsid w:val="003851ED"/>
    <w:rsid w:val="003852D3"/>
    <w:rsid w:val="0038569C"/>
    <w:rsid w:val="0038587A"/>
    <w:rsid w:val="003859A4"/>
    <w:rsid w:val="00385A76"/>
    <w:rsid w:val="00386124"/>
    <w:rsid w:val="00386261"/>
    <w:rsid w:val="00386404"/>
    <w:rsid w:val="0038649E"/>
    <w:rsid w:val="003864D5"/>
    <w:rsid w:val="0038660B"/>
    <w:rsid w:val="00386915"/>
    <w:rsid w:val="00386AD1"/>
    <w:rsid w:val="00386BF8"/>
    <w:rsid w:val="00387033"/>
    <w:rsid w:val="00387065"/>
    <w:rsid w:val="00387BE6"/>
    <w:rsid w:val="0039039F"/>
    <w:rsid w:val="00390567"/>
    <w:rsid w:val="0039059E"/>
    <w:rsid w:val="0039076C"/>
    <w:rsid w:val="00390C0A"/>
    <w:rsid w:val="00390FE0"/>
    <w:rsid w:val="00391515"/>
    <w:rsid w:val="00391674"/>
    <w:rsid w:val="0039169F"/>
    <w:rsid w:val="003917F9"/>
    <w:rsid w:val="00391B77"/>
    <w:rsid w:val="00391BC2"/>
    <w:rsid w:val="00391D72"/>
    <w:rsid w:val="00391DC7"/>
    <w:rsid w:val="003920A8"/>
    <w:rsid w:val="003920D5"/>
    <w:rsid w:val="00392133"/>
    <w:rsid w:val="003923F0"/>
    <w:rsid w:val="00392450"/>
    <w:rsid w:val="0039257A"/>
    <w:rsid w:val="00392C65"/>
    <w:rsid w:val="00392D7A"/>
    <w:rsid w:val="00392E48"/>
    <w:rsid w:val="00392EA4"/>
    <w:rsid w:val="003938AB"/>
    <w:rsid w:val="00393A0F"/>
    <w:rsid w:val="0039413E"/>
    <w:rsid w:val="0039433C"/>
    <w:rsid w:val="00394E20"/>
    <w:rsid w:val="00394E88"/>
    <w:rsid w:val="003953B5"/>
    <w:rsid w:val="00395B92"/>
    <w:rsid w:val="00395E85"/>
    <w:rsid w:val="00395F03"/>
    <w:rsid w:val="00395F83"/>
    <w:rsid w:val="00395FD6"/>
    <w:rsid w:val="003963E9"/>
    <w:rsid w:val="00396438"/>
    <w:rsid w:val="003964B0"/>
    <w:rsid w:val="0039651D"/>
    <w:rsid w:val="00396698"/>
    <w:rsid w:val="003966F6"/>
    <w:rsid w:val="0039677D"/>
    <w:rsid w:val="003968B1"/>
    <w:rsid w:val="003968D7"/>
    <w:rsid w:val="00396A56"/>
    <w:rsid w:val="00396E4E"/>
    <w:rsid w:val="00396E9B"/>
    <w:rsid w:val="003975D7"/>
    <w:rsid w:val="00397969"/>
    <w:rsid w:val="00397ABF"/>
    <w:rsid w:val="00397B61"/>
    <w:rsid w:val="00397C3C"/>
    <w:rsid w:val="00397E05"/>
    <w:rsid w:val="003A0660"/>
    <w:rsid w:val="003A07D5"/>
    <w:rsid w:val="003A0911"/>
    <w:rsid w:val="003A0A88"/>
    <w:rsid w:val="003A0CCC"/>
    <w:rsid w:val="003A0D52"/>
    <w:rsid w:val="003A10E2"/>
    <w:rsid w:val="003A11AC"/>
    <w:rsid w:val="003A1324"/>
    <w:rsid w:val="003A19BB"/>
    <w:rsid w:val="003A1C61"/>
    <w:rsid w:val="003A271F"/>
    <w:rsid w:val="003A2ED1"/>
    <w:rsid w:val="003A3378"/>
    <w:rsid w:val="003A39CA"/>
    <w:rsid w:val="003A39EA"/>
    <w:rsid w:val="003A3A87"/>
    <w:rsid w:val="003A3AFA"/>
    <w:rsid w:val="003A3CFA"/>
    <w:rsid w:val="003A3D8E"/>
    <w:rsid w:val="003A3FE4"/>
    <w:rsid w:val="003A40AE"/>
    <w:rsid w:val="003A4792"/>
    <w:rsid w:val="003A4C47"/>
    <w:rsid w:val="003A4CC1"/>
    <w:rsid w:val="003A4E8A"/>
    <w:rsid w:val="003A53CD"/>
    <w:rsid w:val="003A569C"/>
    <w:rsid w:val="003A5994"/>
    <w:rsid w:val="003A609D"/>
    <w:rsid w:val="003A63B6"/>
    <w:rsid w:val="003A650C"/>
    <w:rsid w:val="003A6724"/>
    <w:rsid w:val="003A6766"/>
    <w:rsid w:val="003A685D"/>
    <w:rsid w:val="003A6AD6"/>
    <w:rsid w:val="003A6E1A"/>
    <w:rsid w:val="003A7C2F"/>
    <w:rsid w:val="003B0BA1"/>
    <w:rsid w:val="003B0D29"/>
    <w:rsid w:val="003B1421"/>
    <w:rsid w:val="003B1500"/>
    <w:rsid w:val="003B184D"/>
    <w:rsid w:val="003B1C1E"/>
    <w:rsid w:val="003B1D03"/>
    <w:rsid w:val="003B20AC"/>
    <w:rsid w:val="003B2101"/>
    <w:rsid w:val="003B2488"/>
    <w:rsid w:val="003B2621"/>
    <w:rsid w:val="003B273B"/>
    <w:rsid w:val="003B2C5E"/>
    <w:rsid w:val="003B3087"/>
    <w:rsid w:val="003B3360"/>
    <w:rsid w:val="003B3A6B"/>
    <w:rsid w:val="003B3B7E"/>
    <w:rsid w:val="003B4470"/>
    <w:rsid w:val="003B4599"/>
    <w:rsid w:val="003B46B1"/>
    <w:rsid w:val="003B4BFA"/>
    <w:rsid w:val="003B50E8"/>
    <w:rsid w:val="003B53C8"/>
    <w:rsid w:val="003B58F5"/>
    <w:rsid w:val="003B5A79"/>
    <w:rsid w:val="003B5E23"/>
    <w:rsid w:val="003B6002"/>
    <w:rsid w:val="003B61B7"/>
    <w:rsid w:val="003B68CA"/>
    <w:rsid w:val="003B6D3D"/>
    <w:rsid w:val="003B6DC6"/>
    <w:rsid w:val="003B6EF4"/>
    <w:rsid w:val="003B72A3"/>
    <w:rsid w:val="003B752E"/>
    <w:rsid w:val="003B7CE4"/>
    <w:rsid w:val="003B7CEA"/>
    <w:rsid w:val="003B7E72"/>
    <w:rsid w:val="003C08D7"/>
    <w:rsid w:val="003C1099"/>
    <w:rsid w:val="003C1217"/>
    <w:rsid w:val="003C141F"/>
    <w:rsid w:val="003C1AE2"/>
    <w:rsid w:val="003C1B94"/>
    <w:rsid w:val="003C201A"/>
    <w:rsid w:val="003C2559"/>
    <w:rsid w:val="003C27D3"/>
    <w:rsid w:val="003C29E7"/>
    <w:rsid w:val="003C2A22"/>
    <w:rsid w:val="003C2CE4"/>
    <w:rsid w:val="003C2D2F"/>
    <w:rsid w:val="003C2DC9"/>
    <w:rsid w:val="003C3172"/>
    <w:rsid w:val="003C3925"/>
    <w:rsid w:val="003C3BC0"/>
    <w:rsid w:val="003C3C46"/>
    <w:rsid w:val="003C42DF"/>
    <w:rsid w:val="003C4622"/>
    <w:rsid w:val="003C466E"/>
    <w:rsid w:val="003C479F"/>
    <w:rsid w:val="003C4836"/>
    <w:rsid w:val="003C4BA4"/>
    <w:rsid w:val="003C4DE7"/>
    <w:rsid w:val="003C4F8F"/>
    <w:rsid w:val="003C52C1"/>
    <w:rsid w:val="003C5489"/>
    <w:rsid w:val="003C5597"/>
    <w:rsid w:val="003C55BF"/>
    <w:rsid w:val="003C594A"/>
    <w:rsid w:val="003C5A25"/>
    <w:rsid w:val="003C5AFA"/>
    <w:rsid w:val="003C5D32"/>
    <w:rsid w:val="003C6A79"/>
    <w:rsid w:val="003C6B59"/>
    <w:rsid w:val="003C718C"/>
    <w:rsid w:val="003C751B"/>
    <w:rsid w:val="003C7605"/>
    <w:rsid w:val="003C77E1"/>
    <w:rsid w:val="003C7A93"/>
    <w:rsid w:val="003D0100"/>
    <w:rsid w:val="003D0500"/>
    <w:rsid w:val="003D06DB"/>
    <w:rsid w:val="003D11DD"/>
    <w:rsid w:val="003D1C26"/>
    <w:rsid w:val="003D1D50"/>
    <w:rsid w:val="003D2102"/>
    <w:rsid w:val="003D21D9"/>
    <w:rsid w:val="003D22B0"/>
    <w:rsid w:val="003D299E"/>
    <w:rsid w:val="003D2B16"/>
    <w:rsid w:val="003D2C93"/>
    <w:rsid w:val="003D2DA6"/>
    <w:rsid w:val="003D3591"/>
    <w:rsid w:val="003D39BE"/>
    <w:rsid w:val="003D3EB6"/>
    <w:rsid w:val="003D3EDE"/>
    <w:rsid w:val="003D3EEB"/>
    <w:rsid w:val="003D3F3E"/>
    <w:rsid w:val="003D4245"/>
    <w:rsid w:val="003D4354"/>
    <w:rsid w:val="003D4736"/>
    <w:rsid w:val="003D4973"/>
    <w:rsid w:val="003D503C"/>
    <w:rsid w:val="003D506D"/>
    <w:rsid w:val="003D522C"/>
    <w:rsid w:val="003D5240"/>
    <w:rsid w:val="003D54B2"/>
    <w:rsid w:val="003D55E1"/>
    <w:rsid w:val="003D58E8"/>
    <w:rsid w:val="003D5939"/>
    <w:rsid w:val="003D5E68"/>
    <w:rsid w:val="003D60B9"/>
    <w:rsid w:val="003D618B"/>
    <w:rsid w:val="003D62AB"/>
    <w:rsid w:val="003D641A"/>
    <w:rsid w:val="003D645B"/>
    <w:rsid w:val="003D64F4"/>
    <w:rsid w:val="003D6D60"/>
    <w:rsid w:val="003D6EC6"/>
    <w:rsid w:val="003D6F09"/>
    <w:rsid w:val="003D7028"/>
    <w:rsid w:val="003D71EB"/>
    <w:rsid w:val="003D73AF"/>
    <w:rsid w:val="003D759C"/>
    <w:rsid w:val="003D7768"/>
    <w:rsid w:val="003D7806"/>
    <w:rsid w:val="003D7930"/>
    <w:rsid w:val="003D7B02"/>
    <w:rsid w:val="003D7B35"/>
    <w:rsid w:val="003E0167"/>
    <w:rsid w:val="003E038D"/>
    <w:rsid w:val="003E054D"/>
    <w:rsid w:val="003E0706"/>
    <w:rsid w:val="003E071C"/>
    <w:rsid w:val="003E10AA"/>
    <w:rsid w:val="003E132A"/>
    <w:rsid w:val="003E16B9"/>
    <w:rsid w:val="003E175E"/>
    <w:rsid w:val="003E1845"/>
    <w:rsid w:val="003E1847"/>
    <w:rsid w:val="003E1C18"/>
    <w:rsid w:val="003E21CA"/>
    <w:rsid w:val="003E22CB"/>
    <w:rsid w:val="003E2343"/>
    <w:rsid w:val="003E2678"/>
    <w:rsid w:val="003E2809"/>
    <w:rsid w:val="003E2BD7"/>
    <w:rsid w:val="003E2DA5"/>
    <w:rsid w:val="003E3267"/>
    <w:rsid w:val="003E3961"/>
    <w:rsid w:val="003E3EDF"/>
    <w:rsid w:val="003E406B"/>
    <w:rsid w:val="003E4293"/>
    <w:rsid w:val="003E44AE"/>
    <w:rsid w:val="003E4E68"/>
    <w:rsid w:val="003E4F96"/>
    <w:rsid w:val="003E502D"/>
    <w:rsid w:val="003E5148"/>
    <w:rsid w:val="003E5420"/>
    <w:rsid w:val="003E5520"/>
    <w:rsid w:val="003E56EE"/>
    <w:rsid w:val="003E57A1"/>
    <w:rsid w:val="003E5CCA"/>
    <w:rsid w:val="003E6039"/>
    <w:rsid w:val="003E6392"/>
    <w:rsid w:val="003E63BD"/>
    <w:rsid w:val="003E640E"/>
    <w:rsid w:val="003E67E3"/>
    <w:rsid w:val="003E6CED"/>
    <w:rsid w:val="003E715A"/>
    <w:rsid w:val="003E74CF"/>
    <w:rsid w:val="003E7773"/>
    <w:rsid w:val="003E77F6"/>
    <w:rsid w:val="003E7908"/>
    <w:rsid w:val="003E7C5C"/>
    <w:rsid w:val="003F0355"/>
    <w:rsid w:val="003F0378"/>
    <w:rsid w:val="003F0531"/>
    <w:rsid w:val="003F076A"/>
    <w:rsid w:val="003F0BDD"/>
    <w:rsid w:val="003F1082"/>
    <w:rsid w:val="003F115E"/>
    <w:rsid w:val="003F115F"/>
    <w:rsid w:val="003F1167"/>
    <w:rsid w:val="003F14C2"/>
    <w:rsid w:val="003F15F6"/>
    <w:rsid w:val="003F16DA"/>
    <w:rsid w:val="003F1AFC"/>
    <w:rsid w:val="003F1BD2"/>
    <w:rsid w:val="003F1CA0"/>
    <w:rsid w:val="003F21DA"/>
    <w:rsid w:val="003F2210"/>
    <w:rsid w:val="003F2219"/>
    <w:rsid w:val="003F250D"/>
    <w:rsid w:val="003F256A"/>
    <w:rsid w:val="003F25B4"/>
    <w:rsid w:val="003F2639"/>
    <w:rsid w:val="003F2914"/>
    <w:rsid w:val="003F2B41"/>
    <w:rsid w:val="003F2C2B"/>
    <w:rsid w:val="003F30B3"/>
    <w:rsid w:val="003F385F"/>
    <w:rsid w:val="003F3BF5"/>
    <w:rsid w:val="003F3E47"/>
    <w:rsid w:val="003F3FC4"/>
    <w:rsid w:val="003F42AB"/>
    <w:rsid w:val="003F42E3"/>
    <w:rsid w:val="003F49BA"/>
    <w:rsid w:val="003F4A77"/>
    <w:rsid w:val="003F4B78"/>
    <w:rsid w:val="003F4D38"/>
    <w:rsid w:val="003F4DB1"/>
    <w:rsid w:val="003F51F8"/>
    <w:rsid w:val="003F5237"/>
    <w:rsid w:val="003F5330"/>
    <w:rsid w:val="003F535C"/>
    <w:rsid w:val="003F5726"/>
    <w:rsid w:val="003F5963"/>
    <w:rsid w:val="003F5E7F"/>
    <w:rsid w:val="003F5F5C"/>
    <w:rsid w:val="003F5F75"/>
    <w:rsid w:val="003F6023"/>
    <w:rsid w:val="003F608A"/>
    <w:rsid w:val="003F625D"/>
    <w:rsid w:val="003F7196"/>
    <w:rsid w:val="003F7271"/>
    <w:rsid w:val="003F7355"/>
    <w:rsid w:val="003F7367"/>
    <w:rsid w:val="003F7379"/>
    <w:rsid w:val="003F742C"/>
    <w:rsid w:val="003F7A2C"/>
    <w:rsid w:val="003F7BBF"/>
    <w:rsid w:val="00400086"/>
    <w:rsid w:val="00400445"/>
    <w:rsid w:val="0040058F"/>
    <w:rsid w:val="004008AF"/>
    <w:rsid w:val="004008BE"/>
    <w:rsid w:val="004008D4"/>
    <w:rsid w:val="00400A52"/>
    <w:rsid w:val="00400A9E"/>
    <w:rsid w:val="00400B5F"/>
    <w:rsid w:val="00400C34"/>
    <w:rsid w:val="00400FE2"/>
    <w:rsid w:val="00401CBB"/>
    <w:rsid w:val="00401DBF"/>
    <w:rsid w:val="00402156"/>
    <w:rsid w:val="004024BF"/>
    <w:rsid w:val="00402538"/>
    <w:rsid w:val="0040262F"/>
    <w:rsid w:val="00402655"/>
    <w:rsid w:val="004026BA"/>
    <w:rsid w:val="0040331B"/>
    <w:rsid w:val="004033D9"/>
    <w:rsid w:val="00403910"/>
    <w:rsid w:val="00403D52"/>
    <w:rsid w:val="004040AC"/>
    <w:rsid w:val="004040B1"/>
    <w:rsid w:val="0040417F"/>
    <w:rsid w:val="00404477"/>
    <w:rsid w:val="00404A8E"/>
    <w:rsid w:val="00404A94"/>
    <w:rsid w:val="00404BFE"/>
    <w:rsid w:val="00404C2C"/>
    <w:rsid w:val="00404C9B"/>
    <w:rsid w:val="00405306"/>
    <w:rsid w:val="0040551F"/>
    <w:rsid w:val="0040555A"/>
    <w:rsid w:val="0040556D"/>
    <w:rsid w:val="00405B88"/>
    <w:rsid w:val="00405C7E"/>
    <w:rsid w:val="004061C8"/>
    <w:rsid w:val="004062E2"/>
    <w:rsid w:val="0040656E"/>
    <w:rsid w:val="004066ED"/>
    <w:rsid w:val="00406CE8"/>
    <w:rsid w:val="00407122"/>
    <w:rsid w:val="004071D0"/>
    <w:rsid w:val="0040751D"/>
    <w:rsid w:val="0040758F"/>
    <w:rsid w:val="00407591"/>
    <w:rsid w:val="0040771F"/>
    <w:rsid w:val="00407757"/>
    <w:rsid w:val="00407D2D"/>
    <w:rsid w:val="00407E98"/>
    <w:rsid w:val="00407F1C"/>
    <w:rsid w:val="00410137"/>
    <w:rsid w:val="00410578"/>
    <w:rsid w:val="0041061C"/>
    <w:rsid w:val="00410D48"/>
    <w:rsid w:val="00410F54"/>
    <w:rsid w:val="004111F7"/>
    <w:rsid w:val="00411232"/>
    <w:rsid w:val="0041181B"/>
    <w:rsid w:val="00411E25"/>
    <w:rsid w:val="00411EFA"/>
    <w:rsid w:val="0041217D"/>
    <w:rsid w:val="00412380"/>
    <w:rsid w:val="004124A0"/>
    <w:rsid w:val="004125C6"/>
    <w:rsid w:val="00412717"/>
    <w:rsid w:val="0041275F"/>
    <w:rsid w:val="00412864"/>
    <w:rsid w:val="00412888"/>
    <w:rsid w:val="00412C43"/>
    <w:rsid w:val="00413092"/>
    <w:rsid w:val="004130A2"/>
    <w:rsid w:val="00413219"/>
    <w:rsid w:val="004133FD"/>
    <w:rsid w:val="004135BD"/>
    <w:rsid w:val="004137BD"/>
    <w:rsid w:val="00413804"/>
    <w:rsid w:val="00413FC9"/>
    <w:rsid w:val="00414386"/>
    <w:rsid w:val="00414576"/>
    <w:rsid w:val="00414861"/>
    <w:rsid w:val="00414B06"/>
    <w:rsid w:val="00414BF1"/>
    <w:rsid w:val="00414D6D"/>
    <w:rsid w:val="00414D8B"/>
    <w:rsid w:val="00415099"/>
    <w:rsid w:val="004153A3"/>
    <w:rsid w:val="00415443"/>
    <w:rsid w:val="0041560F"/>
    <w:rsid w:val="004158C7"/>
    <w:rsid w:val="004161EE"/>
    <w:rsid w:val="004161EF"/>
    <w:rsid w:val="00416276"/>
    <w:rsid w:val="00416453"/>
    <w:rsid w:val="00417367"/>
    <w:rsid w:val="00417B85"/>
    <w:rsid w:val="00417D35"/>
    <w:rsid w:val="00420183"/>
    <w:rsid w:val="00420332"/>
    <w:rsid w:val="00420D0C"/>
    <w:rsid w:val="0042115E"/>
    <w:rsid w:val="0042135E"/>
    <w:rsid w:val="00421683"/>
    <w:rsid w:val="004216C2"/>
    <w:rsid w:val="00421858"/>
    <w:rsid w:val="004219DC"/>
    <w:rsid w:val="00421A0F"/>
    <w:rsid w:val="00421A89"/>
    <w:rsid w:val="00421C68"/>
    <w:rsid w:val="00421D66"/>
    <w:rsid w:val="00421EBC"/>
    <w:rsid w:val="00421ECA"/>
    <w:rsid w:val="00421EE7"/>
    <w:rsid w:val="004220DE"/>
    <w:rsid w:val="0042220A"/>
    <w:rsid w:val="00422A42"/>
    <w:rsid w:val="00422FE3"/>
    <w:rsid w:val="0042304B"/>
    <w:rsid w:val="0042347C"/>
    <w:rsid w:val="00423497"/>
    <w:rsid w:val="004234CE"/>
    <w:rsid w:val="00423562"/>
    <w:rsid w:val="0042386E"/>
    <w:rsid w:val="00423B98"/>
    <w:rsid w:val="00423D3E"/>
    <w:rsid w:val="00424084"/>
    <w:rsid w:val="004240F3"/>
    <w:rsid w:val="00424631"/>
    <w:rsid w:val="004246B9"/>
    <w:rsid w:val="004247AF"/>
    <w:rsid w:val="004248D2"/>
    <w:rsid w:val="00424951"/>
    <w:rsid w:val="00424F89"/>
    <w:rsid w:val="00425172"/>
    <w:rsid w:val="00425BA5"/>
    <w:rsid w:val="00425BCF"/>
    <w:rsid w:val="00425EC8"/>
    <w:rsid w:val="00425ECE"/>
    <w:rsid w:val="00425F9B"/>
    <w:rsid w:val="00426535"/>
    <w:rsid w:val="004266C2"/>
    <w:rsid w:val="0042689D"/>
    <w:rsid w:val="004269E6"/>
    <w:rsid w:val="00426B63"/>
    <w:rsid w:val="00426BF6"/>
    <w:rsid w:val="00427159"/>
    <w:rsid w:val="004273AD"/>
    <w:rsid w:val="00427AF5"/>
    <w:rsid w:val="00430341"/>
    <w:rsid w:val="004303A3"/>
    <w:rsid w:val="004304ED"/>
    <w:rsid w:val="00430565"/>
    <w:rsid w:val="004305AE"/>
    <w:rsid w:val="004306F0"/>
    <w:rsid w:val="00430FC7"/>
    <w:rsid w:val="00431162"/>
    <w:rsid w:val="00431200"/>
    <w:rsid w:val="00431204"/>
    <w:rsid w:val="00431235"/>
    <w:rsid w:val="00431341"/>
    <w:rsid w:val="004316B0"/>
    <w:rsid w:val="00431800"/>
    <w:rsid w:val="00431DA3"/>
    <w:rsid w:val="00431EE8"/>
    <w:rsid w:val="00432334"/>
    <w:rsid w:val="004324AD"/>
    <w:rsid w:val="004326E2"/>
    <w:rsid w:val="00432D19"/>
    <w:rsid w:val="00433541"/>
    <w:rsid w:val="00433A2C"/>
    <w:rsid w:val="00433AA7"/>
    <w:rsid w:val="00433D2C"/>
    <w:rsid w:val="00433F7B"/>
    <w:rsid w:val="004341FF"/>
    <w:rsid w:val="0043487F"/>
    <w:rsid w:val="00434E62"/>
    <w:rsid w:val="00434F26"/>
    <w:rsid w:val="00434FBC"/>
    <w:rsid w:val="004354A1"/>
    <w:rsid w:val="004354B9"/>
    <w:rsid w:val="004356CD"/>
    <w:rsid w:val="00435A01"/>
    <w:rsid w:val="00435EF2"/>
    <w:rsid w:val="0043636E"/>
    <w:rsid w:val="00436468"/>
    <w:rsid w:val="00436514"/>
    <w:rsid w:val="00437043"/>
    <w:rsid w:val="004373F4"/>
    <w:rsid w:val="004375A3"/>
    <w:rsid w:val="00437F06"/>
    <w:rsid w:val="004402D9"/>
    <w:rsid w:val="00440556"/>
    <w:rsid w:val="004405AF"/>
    <w:rsid w:val="00441946"/>
    <w:rsid w:val="00441A4F"/>
    <w:rsid w:val="00441C5B"/>
    <w:rsid w:val="00441DF0"/>
    <w:rsid w:val="00441F80"/>
    <w:rsid w:val="00442172"/>
    <w:rsid w:val="004423F7"/>
    <w:rsid w:val="00442517"/>
    <w:rsid w:val="004425D9"/>
    <w:rsid w:val="0044299B"/>
    <w:rsid w:val="00442A49"/>
    <w:rsid w:val="00442CA7"/>
    <w:rsid w:val="00443149"/>
    <w:rsid w:val="00443AE8"/>
    <w:rsid w:val="00443C4B"/>
    <w:rsid w:val="004445B2"/>
    <w:rsid w:val="00444766"/>
    <w:rsid w:val="00444A5F"/>
    <w:rsid w:val="00444A99"/>
    <w:rsid w:val="00444B1D"/>
    <w:rsid w:val="004450CB"/>
    <w:rsid w:val="004458D5"/>
    <w:rsid w:val="00445B06"/>
    <w:rsid w:val="00446314"/>
    <w:rsid w:val="00446639"/>
    <w:rsid w:val="004466FF"/>
    <w:rsid w:val="00446751"/>
    <w:rsid w:val="0044690B"/>
    <w:rsid w:val="0044692D"/>
    <w:rsid w:val="00446B6A"/>
    <w:rsid w:val="00446BBE"/>
    <w:rsid w:val="00446FA5"/>
    <w:rsid w:val="00447197"/>
    <w:rsid w:val="00447200"/>
    <w:rsid w:val="0044732D"/>
    <w:rsid w:val="0044782C"/>
    <w:rsid w:val="00447B67"/>
    <w:rsid w:val="00447BCB"/>
    <w:rsid w:val="00447E31"/>
    <w:rsid w:val="004501E7"/>
    <w:rsid w:val="0045093D"/>
    <w:rsid w:val="004509EE"/>
    <w:rsid w:val="00450C94"/>
    <w:rsid w:val="00450D92"/>
    <w:rsid w:val="00450E9E"/>
    <w:rsid w:val="00450FE8"/>
    <w:rsid w:val="004512EC"/>
    <w:rsid w:val="00451411"/>
    <w:rsid w:val="00451475"/>
    <w:rsid w:val="00451645"/>
    <w:rsid w:val="0045189B"/>
    <w:rsid w:val="0045191D"/>
    <w:rsid w:val="00451B11"/>
    <w:rsid w:val="00452224"/>
    <w:rsid w:val="0045239C"/>
    <w:rsid w:val="004526E3"/>
    <w:rsid w:val="00452C1E"/>
    <w:rsid w:val="00452DE9"/>
    <w:rsid w:val="00453556"/>
    <w:rsid w:val="0045396F"/>
    <w:rsid w:val="00453E4D"/>
    <w:rsid w:val="00453E8D"/>
    <w:rsid w:val="004543E4"/>
    <w:rsid w:val="00454682"/>
    <w:rsid w:val="00454F12"/>
    <w:rsid w:val="00454F8E"/>
    <w:rsid w:val="0045508A"/>
    <w:rsid w:val="00455635"/>
    <w:rsid w:val="004559D6"/>
    <w:rsid w:val="00455ADE"/>
    <w:rsid w:val="00455F34"/>
    <w:rsid w:val="00455FE6"/>
    <w:rsid w:val="00456339"/>
    <w:rsid w:val="00456389"/>
    <w:rsid w:val="0045666D"/>
    <w:rsid w:val="00456787"/>
    <w:rsid w:val="004567BC"/>
    <w:rsid w:val="00456854"/>
    <w:rsid w:val="00457B14"/>
    <w:rsid w:val="004601AA"/>
    <w:rsid w:val="00460228"/>
    <w:rsid w:val="004602E7"/>
    <w:rsid w:val="004606C9"/>
    <w:rsid w:val="004607AE"/>
    <w:rsid w:val="0046092A"/>
    <w:rsid w:val="00460C87"/>
    <w:rsid w:val="004612E3"/>
    <w:rsid w:val="0046144B"/>
    <w:rsid w:val="004615E8"/>
    <w:rsid w:val="004615EC"/>
    <w:rsid w:val="0046179A"/>
    <w:rsid w:val="00461A84"/>
    <w:rsid w:val="00461DD4"/>
    <w:rsid w:val="004620DD"/>
    <w:rsid w:val="004624EB"/>
    <w:rsid w:val="00462778"/>
    <w:rsid w:val="0046281B"/>
    <w:rsid w:val="00462DC9"/>
    <w:rsid w:val="00462F70"/>
    <w:rsid w:val="00463455"/>
    <w:rsid w:val="0046349C"/>
    <w:rsid w:val="00463B88"/>
    <w:rsid w:val="00463D94"/>
    <w:rsid w:val="00464007"/>
    <w:rsid w:val="0046451D"/>
    <w:rsid w:val="004647A5"/>
    <w:rsid w:val="00464DA7"/>
    <w:rsid w:val="00464F6C"/>
    <w:rsid w:val="00465183"/>
    <w:rsid w:val="00465271"/>
    <w:rsid w:val="0046544C"/>
    <w:rsid w:val="00465BC3"/>
    <w:rsid w:val="00465DE3"/>
    <w:rsid w:val="00465F31"/>
    <w:rsid w:val="004662B8"/>
    <w:rsid w:val="00466905"/>
    <w:rsid w:val="00466916"/>
    <w:rsid w:val="004669F0"/>
    <w:rsid w:val="00466AB3"/>
    <w:rsid w:val="00466E1C"/>
    <w:rsid w:val="00466E7E"/>
    <w:rsid w:val="00466F4B"/>
    <w:rsid w:val="0046705D"/>
    <w:rsid w:val="0046741F"/>
    <w:rsid w:val="00467D38"/>
    <w:rsid w:val="00470050"/>
    <w:rsid w:val="004700FB"/>
    <w:rsid w:val="00470190"/>
    <w:rsid w:val="00470192"/>
    <w:rsid w:val="00470409"/>
    <w:rsid w:val="00470A0D"/>
    <w:rsid w:val="00470F52"/>
    <w:rsid w:val="0047148D"/>
    <w:rsid w:val="004715B5"/>
    <w:rsid w:val="00471D0D"/>
    <w:rsid w:val="00471D19"/>
    <w:rsid w:val="00471EF2"/>
    <w:rsid w:val="00472113"/>
    <w:rsid w:val="00472480"/>
    <w:rsid w:val="004725FB"/>
    <w:rsid w:val="00472A53"/>
    <w:rsid w:val="00472DF2"/>
    <w:rsid w:val="0047311C"/>
    <w:rsid w:val="00473180"/>
    <w:rsid w:val="0047319F"/>
    <w:rsid w:val="004732C1"/>
    <w:rsid w:val="00473326"/>
    <w:rsid w:val="004734CB"/>
    <w:rsid w:val="00473541"/>
    <w:rsid w:val="004735F0"/>
    <w:rsid w:val="00473D79"/>
    <w:rsid w:val="00473DD1"/>
    <w:rsid w:val="004740E6"/>
    <w:rsid w:val="004744AC"/>
    <w:rsid w:val="004744DF"/>
    <w:rsid w:val="0047453D"/>
    <w:rsid w:val="004747D1"/>
    <w:rsid w:val="00474A12"/>
    <w:rsid w:val="00474C81"/>
    <w:rsid w:val="00474C90"/>
    <w:rsid w:val="00474E01"/>
    <w:rsid w:val="00474E29"/>
    <w:rsid w:val="004756EF"/>
    <w:rsid w:val="00475AFD"/>
    <w:rsid w:val="00475E1D"/>
    <w:rsid w:val="0047668F"/>
    <w:rsid w:val="00476910"/>
    <w:rsid w:val="00476D44"/>
    <w:rsid w:val="00477548"/>
    <w:rsid w:val="004777FC"/>
    <w:rsid w:val="004802A3"/>
    <w:rsid w:val="00480528"/>
    <w:rsid w:val="00480FDB"/>
    <w:rsid w:val="00481050"/>
    <w:rsid w:val="0048185A"/>
    <w:rsid w:val="00481A73"/>
    <w:rsid w:val="00482016"/>
    <w:rsid w:val="00482804"/>
    <w:rsid w:val="00482824"/>
    <w:rsid w:val="00482B47"/>
    <w:rsid w:val="00482D0A"/>
    <w:rsid w:val="00482DF1"/>
    <w:rsid w:val="00482F78"/>
    <w:rsid w:val="0048323E"/>
    <w:rsid w:val="004834FC"/>
    <w:rsid w:val="00483778"/>
    <w:rsid w:val="004838ED"/>
    <w:rsid w:val="0048398C"/>
    <w:rsid w:val="00484094"/>
    <w:rsid w:val="00484551"/>
    <w:rsid w:val="004846C3"/>
    <w:rsid w:val="004846E2"/>
    <w:rsid w:val="004848AD"/>
    <w:rsid w:val="004849CA"/>
    <w:rsid w:val="00484BDA"/>
    <w:rsid w:val="00484CDD"/>
    <w:rsid w:val="00484DC5"/>
    <w:rsid w:val="00484E4B"/>
    <w:rsid w:val="004853D9"/>
    <w:rsid w:val="00485675"/>
    <w:rsid w:val="004858A6"/>
    <w:rsid w:val="00485B36"/>
    <w:rsid w:val="004864C1"/>
    <w:rsid w:val="0048667E"/>
    <w:rsid w:val="004866FE"/>
    <w:rsid w:val="0048690B"/>
    <w:rsid w:val="004869E9"/>
    <w:rsid w:val="00486AA4"/>
    <w:rsid w:val="0048749D"/>
    <w:rsid w:val="00487C85"/>
    <w:rsid w:val="00490092"/>
    <w:rsid w:val="00490124"/>
    <w:rsid w:val="0049074E"/>
    <w:rsid w:val="004907BC"/>
    <w:rsid w:val="00490AC4"/>
    <w:rsid w:val="00490DC4"/>
    <w:rsid w:val="00491660"/>
    <w:rsid w:val="004921BE"/>
    <w:rsid w:val="00492354"/>
    <w:rsid w:val="004923CE"/>
    <w:rsid w:val="004926E3"/>
    <w:rsid w:val="00492775"/>
    <w:rsid w:val="004928A5"/>
    <w:rsid w:val="0049293F"/>
    <w:rsid w:val="00492B85"/>
    <w:rsid w:val="00492CEC"/>
    <w:rsid w:val="00492F86"/>
    <w:rsid w:val="00493248"/>
    <w:rsid w:val="004932B4"/>
    <w:rsid w:val="00493384"/>
    <w:rsid w:val="00493406"/>
    <w:rsid w:val="00493522"/>
    <w:rsid w:val="004936EB"/>
    <w:rsid w:val="00493926"/>
    <w:rsid w:val="00493AB9"/>
    <w:rsid w:val="00493C5F"/>
    <w:rsid w:val="00494249"/>
    <w:rsid w:val="0049442F"/>
    <w:rsid w:val="00494463"/>
    <w:rsid w:val="00494464"/>
    <w:rsid w:val="004947F2"/>
    <w:rsid w:val="00494F64"/>
    <w:rsid w:val="004952BF"/>
    <w:rsid w:val="00495306"/>
    <w:rsid w:val="004954F5"/>
    <w:rsid w:val="00495F96"/>
    <w:rsid w:val="0049625B"/>
    <w:rsid w:val="0049626D"/>
    <w:rsid w:val="0049650E"/>
    <w:rsid w:val="004967D5"/>
    <w:rsid w:val="00496A7E"/>
    <w:rsid w:val="00496B30"/>
    <w:rsid w:val="00496DB8"/>
    <w:rsid w:val="004970DE"/>
    <w:rsid w:val="0049742D"/>
    <w:rsid w:val="00497492"/>
    <w:rsid w:val="00497B9F"/>
    <w:rsid w:val="004A020D"/>
    <w:rsid w:val="004A03EB"/>
    <w:rsid w:val="004A041F"/>
    <w:rsid w:val="004A04B5"/>
    <w:rsid w:val="004A066A"/>
    <w:rsid w:val="004A0AB6"/>
    <w:rsid w:val="004A0C60"/>
    <w:rsid w:val="004A0C7D"/>
    <w:rsid w:val="004A0D18"/>
    <w:rsid w:val="004A0D9E"/>
    <w:rsid w:val="004A1293"/>
    <w:rsid w:val="004A158C"/>
    <w:rsid w:val="004A2084"/>
    <w:rsid w:val="004A2613"/>
    <w:rsid w:val="004A2B87"/>
    <w:rsid w:val="004A2BB9"/>
    <w:rsid w:val="004A2E66"/>
    <w:rsid w:val="004A3150"/>
    <w:rsid w:val="004A3D2E"/>
    <w:rsid w:val="004A4430"/>
    <w:rsid w:val="004A455A"/>
    <w:rsid w:val="004A4841"/>
    <w:rsid w:val="004A4BD2"/>
    <w:rsid w:val="004A4FDF"/>
    <w:rsid w:val="004A544E"/>
    <w:rsid w:val="004A5489"/>
    <w:rsid w:val="004A5800"/>
    <w:rsid w:val="004A581C"/>
    <w:rsid w:val="004A58E6"/>
    <w:rsid w:val="004A5A9F"/>
    <w:rsid w:val="004A5E73"/>
    <w:rsid w:val="004A6025"/>
    <w:rsid w:val="004A60BF"/>
    <w:rsid w:val="004A6668"/>
    <w:rsid w:val="004A6A17"/>
    <w:rsid w:val="004A7056"/>
    <w:rsid w:val="004A710B"/>
    <w:rsid w:val="004A7145"/>
    <w:rsid w:val="004A7412"/>
    <w:rsid w:val="004A763A"/>
    <w:rsid w:val="004A7A52"/>
    <w:rsid w:val="004A7ABE"/>
    <w:rsid w:val="004A7B7C"/>
    <w:rsid w:val="004A7BC8"/>
    <w:rsid w:val="004B0348"/>
    <w:rsid w:val="004B0975"/>
    <w:rsid w:val="004B0A4C"/>
    <w:rsid w:val="004B0C7A"/>
    <w:rsid w:val="004B0C96"/>
    <w:rsid w:val="004B0D7E"/>
    <w:rsid w:val="004B0DF4"/>
    <w:rsid w:val="004B10CF"/>
    <w:rsid w:val="004B12C5"/>
    <w:rsid w:val="004B19FE"/>
    <w:rsid w:val="004B1A0B"/>
    <w:rsid w:val="004B1D0A"/>
    <w:rsid w:val="004B1F7E"/>
    <w:rsid w:val="004B203A"/>
    <w:rsid w:val="004B215F"/>
    <w:rsid w:val="004B2363"/>
    <w:rsid w:val="004B23A1"/>
    <w:rsid w:val="004B26B3"/>
    <w:rsid w:val="004B289D"/>
    <w:rsid w:val="004B2A4D"/>
    <w:rsid w:val="004B2E8B"/>
    <w:rsid w:val="004B2F45"/>
    <w:rsid w:val="004B301F"/>
    <w:rsid w:val="004B30B1"/>
    <w:rsid w:val="004B30B3"/>
    <w:rsid w:val="004B31F5"/>
    <w:rsid w:val="004B3208"/>
    <w:rsid w:val="004B33C2"/>
    <w:rsid w:val="004B37B5"/>
    <w:rsid w:val="004B37FA"/>
    <w:rsid w:val="004B3AEE"/>
    <w:rsid w:val="004B3DC6"/>
    <w:rsid w:val="004B4081"/>
    <w:rsid w:val="004B40CB"/>
    <w:rsid w:val="004B4214"/>
    <w:rsid w:val="004B4249"/>
    <w:rsid w:val="004B4262"/>
    <w:rsid w:val="004B4273"/>
    <w:rsid w:val="004B47B8"/>
    <w:rsid w:val="004B4BA0"/>
    <w:rsid w:val="004B4C4A"/>
    <w:rsid w:val="004B54E2"/>
    <w:rsid w:val="004B5540"/>
    <w:rsid w:val="004B55D5"/>
    <w:rsid w:val="004B56F4"/>
    <w:rsid w:val="004B6129"/>
    <w:rsid w:val="004B6342"/>
    <w:rsid w:val="004B671E"/>
    <w:rsid w:val="004B689D"/>
    <w:rsid w:val="004B68F2"/>
    <w:rsid w:val="004B6C7C"/>
    <w:rsid w:val="004B7113"/>
    <w:rsid w:val="004B71F6"/>
    <w:rsid w:val="004B7575"/>
    <w:rsid w:val="004B7626"/>
    <w:rsid w:val="004B7E31"/>
    <w:rsid w:val="004C02F9"/>
    <w:rsid w:val="004C040E"/>
    <w:rsid w:val="004C0565"/>
    <w:rsid w:val="004C0ADA"/>
    <w:rsid w:val="004C0E97"/>
    <w:rsid w:val="004C0ED2"/>
    <w:rsid w:val="004C0EEB"/>
    <w:rsid w:val="004C0F84"/>
    <w:rsid w:val="004C14BE"/>
    <w:rsid w:val="004C15EC"/>
    <w:rsid w:val="004C1C73"/>
    <w:rsid w:val="004C1ED6"/>
    <w:rsid w:val="004C23DE"/>
    <w:rsid w:val="004C281C"/>
    <w:rsid w:val="004C2983"/>
    <w:rsid w:val="004C2B65"/>
    <w:rsid w:val="004C2D6E"/>
    <w:rsid w:val="004C2E0E"/>
    <w:rsid w:val="004C3350"/>
    <w:rsid w:val="004C35D1"/>
    <w:rsid w:val="004C38CA"/>
    <w:rsid w:val="004C3AEC"/>
    <w:rsid w:val="004C3BAC"/>
    <w:rsid w:val="004C3DF2"/>
    <w:rsid w:val="004C3FED"/>
    <w:rsid w:val="004C4362"/>
    <w:rsid w:val="004C443A"/>
    <w:rsid w:val="004C48BF"/>
    <w:rsid w:val="004C48C8"/>
    <w:rsid w:val="004C4A2B"/>
    <w:rsid w:val="004C4C1B"/>
    <w:rsid w:val="004C4F8E"/>
    <w:rsid w:val="004C4FE5"/>
    <w:rsid w:val="004C50A2"/>
    <w:rsid w:val="004C55EB"/>
    <w:rsid w:val="004C598D"/>
    <w:rsid w:val="004C5BFB"/>
    <w:rsid w:val="004C5C27"/>
    <w:rsid w:val="004C5DD7"/>
    <w:rsid w:val="004C6103"/>
    <w:rsid w:val="004C633E"/>
    <w:rsid w:val="004C637D"/>
    <w:rsid w:val="004C64B5"/>
    <w:rsid w:val="004C669B"/>
    <w:rsid w:val="004C74AD"/>
    <w:rsid w:val="004C75E4"/>
    <w:rsid w:val="004C75EB"/>
    <w:rsid w:val="004C7718"/>
    <w:rsid w:val="004C77FB"/>
    <w:rsid w:val="004C7CE5"/>
    <w:rsid w:val="004D0016"/>
    <w:rsid w:val="004D0114"/>
    <w:rsid w:val="004D0892"/>
    <w:rsid w:val="004D12B3"/>
    <w:rsid w:val="004D1347"/>
    <w:rsid w:val="004D13C1"/>
    <w:rsid w:val="004D1636"/>
    <w:rsid w:val="004D1BD8"/>
    <w:rsid w:val="004D1F0E"/>
    <w:rsid w:val="004D2597"/>
    <w:rsid w:val="004D2702"/>
    <w:rsid w:val="004D279D"/>
    <w:rsid w:val="004D35E3"/>
    <w:rsid w:val="004D3897"/>
    <w:rsid w:val="004D38DF"/>
    <w:rsid w:val="004D38E3"/>
    <w:rsid w:val="004D3F05"/>
    <w:rsid w:val="004D406E"/>
    <w:rsid w:val="004D40B5"/>
    <w:rsid w:val="004D40D0"/>
    <w:rsid w:val="004D421B"/>
    <w:rsid w:val="004D4273"/>
    <w:rsid w:val="004D4425"/>
    <w:rsid w:val="004D443B"/>
    <w:rsid w:val="004D44D9"/>
    <w:rsid w:val="004D4533"/>
    <w:rsid w:val="004D4568"/>
    <w:rsid w:val="004D459D"/>
    <w:rsid w:val="004D4799"/>
    <w:rsid w:val="004D47E4"/>
    <w:rsid w:val="004D4836"/>
    <w:rsid w:val="004D4A4B"/>
    <w:rsid w:val="004D5050"/>
    <w:rsid w:val="004D575B"/>
    <w:rsid w:val="004D59B6"/>
    <w:rsid w:val="004D5CFD"/>
    <w:rsid w:val="004D5D1E"/>
    <w:rsid w:val="004D5F08"/>
    <w:rsid w:val="004D5FBF"/>
    <w:rsid w:val="004D662A"/>
    <w:rsid w:val="004D6B6D"/>
    <w:rsid w:val="004D6F46"/>
    <w:rsid w:val="004D74D3"/>
    <w:rsid w:val="004D7745"/>
    <w:rsid w:val="004D7C73"/>
    <w:rsid w:val="004D7DD6"/>
    <w:rsid w:val="004E0107"/>
    <w:rsid w:val="004E02A6"/>
    <w:rsid w:val="004E039C"/>
    <w:rsid w:val="004E03A2"/>
    <w:rsid w:val="004E04B8"/>
    <w:rsid w:val="004E05AE"/>
    <w:rsid w:val="004E0C18"/>
    <w:rsid w:val="004E0C36"/>
    <w:rsid w:val="004E0CD6"/>
    <w:rsid w:val="004E0D3F"/>
    <w:rsid w:val="004E105C"/>
    <w:rsid w:val="004E107F"/>
    <w:rsid w:val="004E1541"/>
    <w:rsid w:val="004E1577"/>
    <w:rsid w:val="004E1851"/>
    <w:rsid w:val="004E1C4D"/>
    <w:rsid w:val="004E1DFD"/>
    <w:rsid w:val="004E1EA6"/>
    <w:rsid w:val="004E1F15"/>
    <w:rsid w:val="004E206C"/>
    <w:rsid w:val="004E22D1"/>
    <w:rsid w:val="004E2406"/>
    <w:rsid w:val="004E2480"/>
    <w:rsid w:val="004E2BD6"/>
    <w:rsid w:val="004E30D6"/>
    <w:rsid w:val="004E3395"/>
    <w:rsid w:val="004E33AC"/>
    <w:rsid w:val="004E3726"/>
    <w:rsid w:val="004E3760"/>
    <w:rsid w:val="004E3769"/>
    <w:rsid w:val="004E3792"/>
    <w:rsid w:val="004E3D4B"/>
    <w:rsid w:val="004E48A3"/>
    <w:rsid w:val="004E4977"/>
    <w:rsid w:val="004E4BC0"/>
    <w:rsid w:val="004E4BD9"/>
    <w:rsid w:val="004E4CB1"/>
    <w:rsid w:val="004E4E8C"/>
    <w:rsid w:val="004E4EC6"/>
    <w:rsid w:val="004E4FC4"/>
    <w:rsid w:val="004E4FCB"/>
    <w:rsid w:val="004E520F"/>
    <w:rsid w:val="004E5286"/>
    <w:rsid w:val="004E5766"/>
    <w:rsid w:val="004E5AA4"/>
    <w:rsid w:val="004E5C91"/>
    <w:rsid w:val="004E60DE"/>
    <w:rsid w:val="004E6BD7"/>
    <w:rsid w:val="004E6D5B"/>
    <w:rsid w:val="004E6E2C"/>
    <w:rsid w:val="004E6ECA"/>
    <w:rsid w:val="004E6FDA"/>
    <w:rsid w:val="004E7253"/>
    <w:rsid w:val="004E76D6"/>
    <w:rsid w:val="004E777C"/>
    <w:rsid w:val="004E7D7B"/>
    <w:rsid w:val="004E7DC0"/>
    <w:rsid w:val="004F0022"/>
    <w:rsid w:val="004F01C3"/>
    <w:rsid w:val="004F03D0"/>
    <w:rsid w:val="004F03E6"/>
    <w:rsid w:val="004F0428"/>
    <w:rsid w:val="004F063F"/>
    <w:rsid w:val="004F0737"/>
    <w:rsid w:val="004F09A4"/>
    <w:rsid w:val="004F0CEF"/>
    <w:rsid w:val="004F0E54"/>
    <w:rsid w:val="004F0EC8"/>
    <w:rsid w:val="004F1676"/>
    <w:rsid w:val="004F171A"/>
    <w:rsid w:val="004F1B37"/>
    <w:rsid w:val="004F2320"/>
    <w:rsid w:val="004F23AB"/>
    <w:rsid w:val="004F25BB"/>
    <w:rsid w:val="004F269C"/>
    <w:rsid w:val="004F289A"/>
    <w:rsid w:val="004F2911"/>
    <w:rsid w:val="004F2F33"/>
    <w:rsid w:val="004F3025"/>
    <w:rsid w:val="004F35B3"/>
    <w:rsid w:val="004F3A75"/>
    <w:rsid w:val="004F3B0B"/>
    <w:rsid w:val="004F4147"/>
    <w:rsid w:val="004F4551"/>
    <w:rsid w:val="004F459F"/>
    <w:rsid w:val="004F4743"/>
    <w:rsid w:val="004F4885"/>
    <w:rsid w:val="004F4921"/>
    <w:rsid w:val="004F4BA4"/>
    <w:rsid w:val="004F54AA"/>
    <w:rsid w:val="004F560E"/>
    <w:rsid w:val="004F5746"/>
    <w:rsid w:val="004F581B"/>
    <w:rsid w:val="004F5885"/>
    <w:rsid w:val="004F5B6E"/>
    <w:rsid w:val="004F600F"/>
    <w:rsid w:val="004F654A"/>
    <w:rsid w:val="004F65B9"/>
    <w:rsid w:val="004F66AB"/>
    <w:rsid w:val="004F6A10"/>
    <w:rsid w:val="004F6AD3"/>
    <w:rsid w:val="004F6B01"/>
    <w:rsid w:val="004F6CC8"/>
    <w:rsid w:val="004F6E7A"/>
    <w:rsid w:val="004F7098"/>
    <w:rsid w:val="004F723D"/>
    <w:rsid w:val="004F7553"/>
    <w:rsid w:val="004F7559"/>
    <w:rsid w:val="004F792E"/>
    <w:rsid w:val="004F79E6"/>
    <w:rsid w:val="004F7FD4"/>
    <w:rsid w:val="00500071"/>
    <w:rsid w:val="0050027D"/>
    <w:rsid w:val="0050038E"/>
    <w:rsid w:val="005003E0"/>
    <w:rsid w:val="00500561"/>
    <w:rsid w:val="00500D7B"/>
    <w:rsid w:val="00500F47"/>
    <w:rsid w:val="00501250"/>
    <w:rsid w:val="00501386"/>
    <w:rsid w:val="00501856"/>
    <w:rsid w:val="005018F3"/>
    <w:rsid w:val="00501B0D"/>
    <w:rsid w:val="00501BD9"/>
    <w:rsid w:val="00501C25"/>
    <w:rsid w:val="005027A6"/>
    <w:rsid w:val="005029BE"/>
    <w:rsid w:val="00502A2B"/>
    <w:rsid w:val="00502DAE"/>
    <w:rsid w:val="00502FFB"/>
    <w:rsid w:val="00503306"/>
    <w:rsid w:val="00503401"/>
    <w:rsid w:val="005036EF"/>
    <w:rsid w:val="005038A0"/>
    <w:rsid w:val="005039DF"/>
    <w:rsid w:val="0050454C"/>
    <w:rsid w:val="00504A82"/>
    <w:rsid w:val="00504B28"/>
    <w:rsid w:val="00504BB0"/>
    <w:rsid w:val="00504BEE"/>
    <w:rsid w:val="0050517E"/>
    <w:rsid w:val="005051A3"/>
    <w:rsid w:val="0050527F"/>
    <w:rsid w:val="0050533A"/>
    <w:rsid w:val="005055B6"/>
    <w:rsid w:val="00505823"/>
    <w:rsid w:val="00505BFA"/>
    <w:rsid w:val="00505E19"/>
    <w:rsid w:val="005060EA"/>
    <w:rsid w:val="00506623"/>
    <w:rsid w:val="00506810"/>
    <w:rsid w:val="00506B45"/>
    <w:rsid w:val="00506FCB"/>
    <w:rsid w:val="00507544"/>
    <w:rsid w:val="00507598"/>
    <w:rsid w:val="005076BC"/>
    <w:rsid w:val="005076E3"/>
    <w:rsid w:val="005078CE"/>
    <w:rsid w:val="00507CA4"/>
    <w:rsid w:val="00507F2B"/>
    <w:rsid w:val="005103C5"/>
    <w:rsid w:val="005108BD"/>
    <w:rsid w:val="005109F6"/>
    <w:rsid w:val="005115B0"/>
    <w:rsid w:val="0051169F"/>
    <w:rsid w:val="0051207A"/>
    <w:rsid w:val="00512CBF"/>
    <w:rsid w:val="00513096"/>
    <w:rsid w:val="005131D3"/>
    <w:rsid w:val="005133B2"/>
    <w:rsid w:val="0051352C"/>
    <w:rsid w:val="0051365C"/>
    <w:rsid w:val="00513C16"/>
    <w:rsid w:val="00513C2B"/>
    <w:rsid w:val="00513C2F"/>
    <w:rsid w:val="00513CE3"/>
    <w:rsid w:val="00513D3E"/>
    <w:rsid w:val="00513E07"/>
    <w:rsid w:val="005141EA"/>
    <w:rsid w:val="005142FB"/>
    <w:rsid w:val="005144B8"/>
    <w:rsid w:val="005145CA"/>
    <w:rsid w:val="005147A3"/>
    <w:rsid w:val="0051490E"/>
    <w:rsid w:val="005149DE"/>
    <w:rsid w:val="00514FC2"/>
    <w:rsid w:val="0051513A"/>
    <w:rsid w:val="0051534D"/>
    <w:rsid w:val="005157A1"/>
    <w:rsid w:val="0051592F"/>
    <w:rsid w:val="00515A03"/>
    <w:rsid w:val="00515BFA"/>
    <w:rsid w:val="00515D0F"/>
    <w:rsid w:val="00515DD0"/>
    <w:rsid w:val="00515E5C"/>
    <w:rsid w:val="00515E6E"/>
    <w:rsid w:val="005160CF"/>
    <w:rsid w:val="005166CB"/>
    <w:rsid w:val="005167F3"/>
    <w:rsid w:val="00516979"/>
    <w:rsid w:val="00516BD0"/>
    <w:rsid w:val="00516E33"/>
    <w:rsid w:val="005172C7"/>
    <w:rsid w:val="00517A86"/>
    <w:rsid w:val="00517E7F"/>
    <w:rsid w:val="00517F48"/>
    <w:rsid w:val="00520102"/>
    <w:rsid w:val="005201B8"/>
    <w:rsid w:val="00520647"/>
    <w:rsid w:val="005207A4"/>
    <w:rsid w:val="005208FC"/>
    <w:rsid w:val="005209A8"/>
    <w:rsid w:val="00520CC2"/>
    <w:rsid w:val="00520ECC"/>
    <w:rsid w:val="00520F09"/>
    <w:rsid w:val="0052131D"/>
    <w:rsid w:val="00521865"/>
    <w:rsid w:val="00522121"/>
    <w:rsid w:val="005224BB"/>
    <w:rsid w:val="005226EA"/>
    <w:rsid w:val="00522C6B"/>
    <w:rsid w:val="00522E97"/>
    <w:rsid w:val="00522F70"/>
    <w:rsid w:val="0052322C"/>
    <w:rsid w:val="0052349D"/>
    <w:rsid w:val="005243D7"/>
    <w:rsid w:val="005243F4"/>
    <w:rsid w:val="00524A24"/>
    <w:rsid w:val="00524B81"/>
    <w:rsid w:val="00524BE8"/>
    <w:rsid w:val="00524F99"/>
    <w:rsid w:val="00524FAF"/>
    <w:rsid w:val="00525106"/>
    <w:rsid w:val="00525190"/>
    <w:rsid w:val="0052575D"/>
    <w:rsid w:val="005257FC"/>
    <w:rsid w:val="005258C7"/>
    <w:rsid w:val="005259E8"/>
    <w:rsid w:val="00525B60"/>
    <w:rsid w:val="00525C48"/>
    <w:rsid w:val="00525E75"/>
    <w:rsid w:val="00525EF4"/>
    <w:rsid w:val="00525FC4"/>
    <w:rsid w:val="00526137"/>
    <w:rsid w:val="005262B3"/>
    <w:rsid w:val="00526858"/>
    <w:rsid w:val="00526996"/>
    <w:rsid w:val="00526C92"/>
    <w:rsid w:val="00526DB6"/>
    <w:rsid w:val="00526EB4"/>
    <w:rsid w:val="00527222"/>
    <w:rsid w:val="005275FC"/>
    <w:rsid w:val="0052768C"/>
    <w:rsid w:val="005277A4"/>
    <w:rsid w:val="005302EE"/>
    <w:rsid w:val="0053060F"/>
    <w:rsid w:val="00530771"/>
    <w:rsid w:val="00530896"/>
    <w:rsid w:val="00530BFD"/>
    <w:rsid w:val="00530E1D"/>
    <w:rsid w:val="00531005"/>
    <w:rsid w:val="005310AF"/>
    <w:rsid w:val="00531496"/>
    <w:rsid w:val="0053154C"/>
    <w:rsid w:val="00531625"/>
    <w:rsid w:val="005316FF"/>
    <w:rsid w:val="005318EC"/>
    <w:rsid w:val="0053215A"/>
    <w:rsid w:val="00532493"/>
    <w:rsid w:val="005324EB"/>
    <w:rsid w:val="00532638"/>
    <w:rsid w:val="00532941"/>
    <w:rsid w:val="005329A5"/>
    <w:rsid w:val="00533259"/>
    <w:rsid w:val="0053335C"/>
    <w:rsid w:val="00533936"/>
    <w:rsid w:val="00533BBF"/>
    <w:rsid w:val="005341C8"/>
    <w:rsid w:val="005342B0"/>
    <w:rsid w:val="005342C3"/>
    <w:rsid w:val="005344A4"/>
    <w:rsid w:val="005344D1"/>
    <w:rsid w:val="00534703"/>
    <w:rsid w:val="00534748"/>
    <w:rsid w:val="005348BC"/>
    <w:rsid w:val="00534A16"/>
    <w:rsid w:val="0053502D"/>
    <w:rsid w:val="00535993"/>
    <w:rsid w:val="00535B85"/>
    <w:rsid w:val="00535C4A"/>
    <w:rsid w:val="00535E35"/>
    <w:rsid w:val="005361A6"/>
    <w:rsid w:val="005362F5"/>
    <w:rsid w:val="00536613"/>
    <w:rsid w:val="0053668A"/>
    <w:rsid w:val="005366D6"/>
    <w:rsid w:val="00536E79"/>
    <w:rsid w:val="0053705F"/>
    <w:rsid w:val="0053725B"/>
    <w:rsid w:val="0053736A"/>
    <w:rsid w:val="00537744"/>
    <w:rsid w:val="00537F64"/>
    <w:rsid w:val="0054026C"/>
    <w:rsid w:val="005404AC"/>
    <w:rsid w:val="00540593"/>
    <w:rsid w:val="00540641"/>
    <w:rsid w:val="005407E4"/>
    <w:rsid w:val="00540C57"/>
    <w:rsid w:val="00540FC9"/>
    <w:rsid w:val="005410A2"/>
    <w:rsid w:val="00541289"/>
    <w:rsid w:val="0054137F"/>
    <w:rsid w:val="00541CB0"/>
    <w:rsid w:val="00542179"/>
    <w:rsid w:val="00542984"/>
    <w:rsid w:val="00543423"/>
    <w:rsid w:val="005435F3"/>
    <w:rsid w:val="00543705"/>
    <w:rsid w:val="005437AF"/>
    <w:rsid w:val="00543A21"/>
    <w:rsid w:val="00543A78"/>
    <w:rsid w:val="00543BDE"/>
    <w:rsid w:val="00543DDD"/>
    <w:rsid w:val="00543E7C"/>
    <w:rsid w:val="00544040"/>
    <w:rsid w:val="00544410"/>
    <w:rsid w:val="00544A64"/>
    <w:rsid w:val="00544B07"/>
    <w:rsid w:val="00544BB2"/>
    <w:rsid w:val="00544EE0"/>
    <w:rsid w:val="00544F7E"/>
    <w:rsid w:val="005452C1"/>
    <w:rsid w:val="005456D3"/>
    <w:rsid w:val="00545A8D"/>
    <w:rsid w:val="00546447"/>
    <w:rsid w:val="00546520"/>
    <w:rsid w:val="0054661B"/>
    <w:rsid w:val="0054670A"/>
    <w:rsid w:val="0054691E"/>
    <w:rsid w:val="00546929"/>
    <w:rsid w:val="00546B64"/>
    <w:rsid w:val="00546BE9"/>
    <w:rsid w:val="00546C66"/>
    <w:rsid w:val="00546CDD"/>
    <w:rsid w:val="00546D82"/>
    <w:rsid w:val="005471A3"/>
    <w:rsid w:val="005472CC"/>
    <w:rsid w:val="005473F1"/>
    <w:rsid w:val="00547467"/>
    <w:rsid w:val="00547744"/>
    <w:rsid w:val="00550156"/>
    <w:rsid w:val="005503B5"/>
    <w:rsid w:val="005503E3"/>
    <w:rsid w:val="00550584"/>
    <w:rsid w:val="0055073B"/>
    <w:rsid w:val="00550AD5"/>
    <w:rsid w:val="0055121B"/>
    <w:rsid w:val="0055126C"/>
    <w:rsid w:val="00551A73"/>
    <w:rsid w:val="00551C31"/>
    <w:rsid w:val="00551E01"/>
    <w:rsid w:val="005521CD"/>
    <w:rsid w:val="005522E3"/>
    <w:rsid w:val="005524FF"/>
    <w:rsid w:val="005525C5"/>
    <w:rsid w:val="00552683"/>
    <w:rsid w:val="0055291C"/>
    <w:rsid w:val="00552E40"/>
    <w:rsid w:val="00553105"/>
    <w:rsid w:val="005531BD"/>
    <w:rsid w:val="005532D1"/>
    <w:rsid w:val="00553551"/>
    <w:rsid w:val="005552DB"/>
    <w:rsid w:val="005553CE"/>
    <w:rsid w:val="005558B0"/>
    <w:rsid w:val="005563A9"/>
    <w:rsid w:val="005566E5"/>
    <w:rsid w:val="0055676A"/>
    <w:rsid w:val="005567B2"/>
    <w:rsid w:val="0055687E"/>
    <w:rsid w:val="00556C3A"/>
    <w:rsid w:val="00556C80"/>
    <w:rsid w:val="00556CE1"/>
    <w:rsid w:val="00556E44"/>
    <w:rsid w:val="00556E93"/>
    <w:rsid w:val="00557258"/>
    <w:rsid w:val="005574F0"/>
    <w:rsid w:val="0055768B"/>
    <w:rsid w:val="00557870"/>
    <w:rsid w:val="005578B7"/>
    <w:rsid w:val="00557FE4"/>
    <w:rsid w:val="00560277"/>
    <w:rsid w:val="00560366"/>
    <w:rsid w:val="00560938"/>
    <w:rsid w:val="00560AF1"/>
    <w:rsid w:val="00560E0A"/>
    <w:rsid w:val="00560F03"/>
    <w:rsid w:val="005611DA"/>
    <w:rsid w:val="00561447"/>
    <w:rsid w:val="00561465"/>
    <w:rsid w:val="00561562"/>
    <w:rsid w:val="00561B54"/>
    <w:rsid w:val="00561D43"/>
    <w:rsid w:val="005620CF"/>
    <w:rsid w:val="0056222E"/>
    <w:rsid w:val="005622C7"/>
    <w:rsid w:val="0056297D"/>
    <w:rsid w:val="00562F2D"/>
    <w:rsid w:val="005630BC"/>
    <w:rsid w:val="0056311B"/>
    <w:rsid w:val="00563259"/>
    <w:rsid w:val="00563297"/>
    <w:rsid w:val="0056355B"/>
    <w:rsid w:val="00563600"/>
    <w:rsid w:val="005637AF"/>
    <w:rsid w:val="00563CBD"/>
    <w:rsid w:val="00563DE6"/>
    <w:rsid w:val="00564303"/>
    <w:rsid w:val="00564539"/>
    <w:rsid w:val="005646BF"/>
    <w:rsid w:val="00564D1B"/>
    <w:rsid w:val="0056528D"/>
    <w:rsid w:val="005653F5"/>
    <w:rsid w:val="00565788"/>
    <w:rsid w:val="00565809"/>
    <w:rsid w:val="00565CD1"/>
    <w:rsid w:val="00565D71"/>
    <w:rsid w:val="00565DAE"/>
    <w:rsid w:val="00565E3F"/>
    <w:rsid w:val="0056607D"/>
    <w:rsid w:val="005660D0"/>
    <w:rsid w:val="0056628B"/>
    <w:rsid w:val="00566298"/>
    <w:rsid w:val="00566754"/>
    <w:rsid w:val="00566D20"/>
    <w:rsid w:val="00566F9E"/>
    <w:rsid w:val="005670D6"/>
    <w:rsid w:val="00567213"/>
    <w:rsid w:val="00567C82"/>
    <w:rsid w:val="00567D6E"/>
    <w:rsid w:val="00567E45"/>
    <w:rsid w:val="00570304"/>
    <w:rsid w:val="005704E6"/>
    <w:rsid w:val="005706A5"/>
    <w:rsid w:val="00570734"/>
    <w:rsid w:val="0057091E"/>
    <w:rsid w:val="005709B0"/>
    <w:rsid w:val="00570EAD"/>
    <w:rsid w:val="00570EC8"/>
    <w:rsid w:val="00570F3C"/>
    <w:rsid w:val="00570F78"/>
    <w:rsid w:val="005711C3"/>
    <w:rsid w:val="00571246"/>
    <w:rsid w:val="0057128B"/>
    <w:rsid w:val="00571384"/>
    <w:rsid w:val="005713D7"/>
    <w:rsid w:val="00571652"/>
    <w:rsid w:val="005719DB"/>
    <w:rsid w:val="00571AAF"/>
    <w:rsid w:val="005723D6"/>
    <w:rsid w:val="005724D3"/>
    <w:rsid w:val="00572810"/>
    <w:rsid w:val="00572A97"/>
    <w:rsid w:val="00572ADB"/>
    <w:rsid w:val="00572BC9"/>
    <w:rsid w:val="00572BD8"/>
    <w:rsid w:val="00573515"/>
    <w:rsid w:val="0057356C"/>
    <w:rsid w:val="005737D0"/>
    <w:rsid w:val="00573EA1"/>
    <w:rsid w:val="00573FB2"/>
    <w:rsid w:val="005742FA"/>
    <w:rsid w:val="0057466B"/>
    <w:rsid w:val="00574A6E"/>
    <w:rsid w:val="00574AA3"/>
    <w:rsid w:val="00574C3B"/>
    <w:rsid w:val="00574EB9"/>
    <w:rsid w:val="00574FDF"/>
    <w:rsid w:val="005750C3"/>
    <w:rsid w:val="005750E0"/>
    <w:rsid w:val="0057519D"/>
    <w:rsid w:val="00575298"/>
    <w:rsid w:val="005752B8"/>
    <w:rsid w:val="005752E0"/>
    <w:rsid w:val="005754AB"/>
    <w:rsid w:val="00575504"/>
    <w:rsid w:val="0057590E"/>
    <w:rsid w:val="00575BB9"/>
    <w:rsid w:val="00575C3D"/>
    <w:rsid w:val="00575E05"/>
    <w:rsid w:val="00576A15"/>
    <w:rsid w:val="00576E11"/>
    <w:rsid w:val="0057706B"/>
    <w:rsid w:val="0057708E"/>
    <w:rsid w:val="00577145"/>
    <w:rsid w:val="005772FE"/>
    <w:rsid w:val="005773BE"/>
    <w:rsid w:val="0057756E"/>
    <w:rsid w:val="0057761B"/>
    <w:rsid w:val="005777E8"/>
    <w:rsid w:val="005779B5"/>
    <w:rsid w:val="00577EBC"/>
    <w:rsid w:val="00577F24"/>
    <w:rsid w:val="005808A4"/>
    <w:rsid w:val="005808AA"/>
    <w:rsid w:val="00580A35"/>
    <w:rsid w:val="00580C0E"/>
    <w:rsid w:val="00580CE6"/>
    <w:rsid w:val="00581044"/>
    <w:rsid w:val="00581091"/>
    <w:rsid w:val="005814D1"/>
    <w:rsid w:val="005815CC"/>
    <w:rsid w:val="005816DB"/>
    <w:rsid w:val="00581741"/>
    <w:rsid w:val="00581B08"/>
    <w:rsid w:val="00581CAE"/>
    <w:rsid w:val="00581E05"/>
    <w:rsid w:val="00582262"/>
    <w:rsid w:val="00582314"/>
    <w:rsid w:val="00582365"/>
    <w:rsid w:val="005824B1"/>
    <w:rsid w:val="0058253E"/>
    <w:rsid w:val="00582592"/>
    <w:rsid w:val="005825E9"/>
    <w:rsid w:val="00582630"/>
    <w:rsid w:val="00582776"/>
    <w:rsid w:val="005829AF"/>
    <w:rsid w:val="00582C86"/>
    <w:rsid w:val="00582D86"/>
    <w:rsid w:val="00583069"/>
    <w:rsid w:val="00583115"/>
    <w:rsid w:val="0058352A"/>
    <w:rsid w:val="00583948"/>
    <w:rsid w:val="005839F4"/>
    <w:rsid w:val="00583C68"/>
    <w:rsid w:val="00583C96"/>
    <w:rsid w:val="00583D12"/>
    <w:rsid w:val="00583D93"/>
    <w:rsid w:val="00583F84"/>
    <w:rsid w:val="005841F1"/>
    <w:rsid w:val="005843AD"/>
    <w:rsid w:val="005845AD"/>
    <w:rsid w:val="00584A5D"/>
    <w:rsid w:val="00584C01"/>
    <w:rsid w:val="00585091"/>
    <w:rsid w:val="005854ED"/>
    <w:rsid w:val="005855DA"/>
    <w:rsid w:val="00585C1B"/>
    <w:rsid w:val="00585E6D"/>
    <w:rsid w:val="00585EA7"/>
    <w:rsid w:val="00585FF4"/>
    <w:rsid w:val="005862BF"/>
    <w:rsid w:val="005863F4"/>
    <w:rsid w:val="005864B0"/>
    <w:rsid w:val="005864E0"/>
    <w:rsid w:val="00586538"/>
    <w:rsid w:val="005866C2"/>
    <w:rsid w:val="00586842"/>
    <w:rsid w:val="00586A22"/>
    <w:rsid w:val="00586D68"/>
    <w:rsid w:val="0058709F"/>
    <w:rsid w:val="00587203"/>
    <w:rsid w:val="0058727F"/>
    <w:rsid w:val="00587639"/>
    <w:rsid w:val="00587AB6"/>
    <w:rsid w:val="00587FAF"/>
    <w:rsid w:val="00590320"/>
    <w:rsid w:val="005903A0"/>
    <w:rsid w:val="00590BDF"/>
    <w:rsid w:val="00590D15"/>
    <w:rsid w:val="00590D60"/>
    <w:rsid w:val="00591271"/>
    <w:rsid w:val="0059127B"/>
    <w:rsid w:val="005913FC"/>
    <w:rsid w:val="00591A86"/>
    <w:rsid w:val="00591C51"/>
    <w:rsid w:val="00591DFA"/>
    <w:rsid w:val="00592638"/>
    <w:rsid w:val="00592D78"/>
    <w:rsid w:val="00592D7A"/>
    <w:rsid w:val="005930E8"/>
    <w:rsid w:val="00593138"/>
    <w:rsid w:val="00593199"/>
    <w:rsid w:val="0059334F"/>
    <w:rsid w:val="005934BB"/>
    <w:rsid w:val="00593584"/>
    <w:rsid w:val="00593A33"/>
    <w:rsid w:val="00593B9C"/>
    <w:rsid w:val="00593E1A"/>
    <w:rsid w:val="00593FEA"/>
    <w:rsid w:val="0059412E"/>
    <w:rsid w:val="0059479D"/>
    <w:rsid w:val="005947B5"/>
    <w:rsid w:val="005947DC"/>
    <w:rsid w:val="00594DA6"/>
    <w:rsid w:val="00594DE0"/>
    <w:rsid w:val="005952DB"/>
    <w:rsid w:val="0059561A"/>
    <w:rsid w:val="00595F99"/>
    <w:rsid w:val="005960BB"/>
    <w:rsid w:val="00596219"/>
    <w:rsid w:val="00596F1F"/>
    <w:rsid w:val="00596F9C"/>
    <w:rsid w:val="0059709A"/>
    <w:rsid w:val="00597161"/>
    <w:rsid w:val="005972E9"/>
    <w:rsid w:val="00597407"/>
    <w:rsid w:val="0059750F"/>
    <w:rsid w:val="00597613"/>
    <w:rsid w:val="00597721"/>
    <w:rsid w:val="00597E10"/>
    <w:rsid w:val="00597FCE"/>
    <w:rsid w:val="005A030C"/>
    <w:rsid w:val="005A0496"/>
    <w:rsid w:val="005A05D7"/>
    <w:rsid w:val="005A087C"/>
    <w:rsid w:val="005A0AB5"/>
    <w:rsid w:val="005A0BE4"/>
    <w:rsid w:val="005A0CE4"/>
    <w:rsid w:val="005A0DF4"/>
    <w:rsid w:val="005A0EE5"/>
    <w:rsid w:val="005A0EFC"/>
    <w:rsid w:val="005A121A"/>
    <w:rsid w:val="005A1303"/>
    <w:rsid w:val="005A13F4"/>
    <w:rsid w:val="005A19A3"/>
    <w:rsid w:val="005A1B47"/>
    <w:rsid w:val="005A2031"/>
    <w:rsid w:val="005A265E"/>
    <w:rsid w:val="005A26A8"/>
    <w:rsid w:val="005A2BA1"/>
    <w:rsid w:val="005A2E07"/>
    <w:rsid w:val="005A2F02"/>
    <w:rsid w:val="005A30B8"/>
    <w:rsid w:val="005A3126"/>
    <w:rsid w:val="005A33E6"/>
    <w:rsid w:val="005A33FC"/>
    <w:rsid w:val="005A3A70"/>
    <w:rsid w:val="005A3BD1"/>
    <w:rsid w:val="005A3C4E"/>
    <w:rsid w:val="005A3EEE"/>
    <w:rsid w:val="005A4047"/>
    <w:rsid w:val="005A407D"/>
    <w:rsid w:val="005A4384"/>
    <w:rsid w:val="005A4652"/>
    <w:rsid w:val="005A471F"/>
    <w:rsid w:val="005A488C"/>
    <w:rsid w:val="005A4951"/>
    <w:rsid w:val="005A4C2D"/>
    <w:rsid w:val="005A4E68"/>
    <w:rsid w:val="005A50E2"/>
    <w:rsid w:val="005A5212"/>
    <w:rsid w:val="005A566D"/>
    <w:rsid w:val="005A5783"/>
    <w:rsid w:val="005A5DED"/>
    <w:rsid w:val="005A5EF2"/>
    <w:rsid w:val="005A6E31"/>
    <w:rsid w:val="005A6EC0"/>
    <w:rsid w:val="005A7012"/>
    <w:rsid w:val="005A718F"/>
    <w:rsid w:val="005A73D4"/>
    <w:rsid w:val="005A7A5E"/>
    <w:rsid w:val="005A7B23"/>
    <w:rsid w:val="005A7EDA"/>
    <w:rsid w:val="005B0284"/>
    <w:rsid w:val="005B036A"/>
    <w:rsid w:val="005B0E45"/>
    <w:rsid w:val="005B0F4A"/>
    <w:rsid w:val="005B0F73"/>
    <w:rsid w:val="005B1180"/>
    <w:rsid w:val="005B139A"/>
    <w:rsid w:val="005B13CE"/>
    <w:rsid w:val="005B1471"/>
    <w:rsid w:val="005B15F4"/>
    <w:rsid w:val="005B1754"/>
    <w:rsid w:val="005B18F2"/>
    <w:rsid w:val="005B1BD0"/>
    <w:rsid w:val="005B1C07"/>
    <w:rsid w:val="005B1D65"/>
    <w:rsid w:val="005B221D"/>
    <w:rsid w:val="005B2BE7"/>
    <w:rsid w:val="005B2EFE"/>
    <w:rsid w:val="005B3376"/>
    <w:rsid w:val="005B33F7"/>
    <w:rsid w:val="005B3432"/>
    <w:rsid w:val="005B3480"/>
    <w:rsid w:val="005B3A69"/>
    <w:rsid w:val="005B3AA6"/>
    <w:rsid w:val="005B3BD6"/>
    <w:rsid w:val="005B3D42"/>
    <w:rsid w:val="005B414D"/>
    <w:rsid w:val="005B41B1"/>
    <w:rsid w:val="005B420C"/>
    <w:rsid w:val="005B42F0"/>
    <w:rsid w:val="005B4ADD"/>
    <w:rsid w:val="005B4C03"/>
    <w:rsid w:val="005B50BB"/>
    <w:rsid w:val="005B5754"/>
    <w:rsid w:val="005B5B88"/>
    <w:rsid w:val="005B5C37"/>
    <w:rsid w:val="005B6088"/>
    <w:rsid w:val="005B6329"/>
    <w:rsid w:val="005B66F7"/>
    <w:rsid w:val="005B67B1"/>
    <w:rsid w:val="005B681D"/>
    <w:rsid w:val="005B6C11"/>
    <w:rsid w:val="005B7066"/>
    <w:rsid w:val="005B735C"/>
    <w:rsid w:val="005B74DB"/>
    <w:rsid w:val="005B77E9"/>
    <w:rsid w:val="005B78C3"/>
    <w:rsid w:val="005B7999"/>
    <w:rsid w:val="005B7CE0"/>
    <w:rsid w:val="005B7D6C"/>
    <w:rsid w:val="005B7D88"/>
    <w:rsid w:val="005C0000"/>
    <w:rsid w:val="005C0137"/>
    <w:rsid w:val="005C05C5"/>
    <w:rsid w:val="005C0701"/>
    <w:rsid w:val="005C0801"/>
    <w:rsid w:val="005C0826"/>
    <w:rsid w:val="005C098F"/>
    <w:rsid w:val="005C09B0"/>
    <w:rsid w:val="005C09FF"/>
    <w:rsid w:val="005C0ED1"/>
    <w:rsid w:val="005C11CD"/>
    <w:rsid w:val="005C164A"/>
    <w:rsid w:val="005C16F0"/>
    <w:rsid w:val="005C1B12"/>
    <w:rsid w:val="005C1D7A"/>
    <w:rsid w:val="005C2061"/>
    <w:rsid w:val="005C2258"/>
    <w:rsid w:val="005C26C2"/>
    <w:rsid w:val="005C27FA"/>
    <w:rsid w:val="005C2AA2"/>
    <w:rsid w:val="005C2AEF"/>
    <w:rsid w:val="005C2B1B"/>
    <w:rsid w:val="005C328D"/>
    <w:rsid w:val="005C33B1"/>
    <w:rsid w:val="005C36FE"/>
    <w:rsid w:val="005C3808"/>
    <w:rsid w:val="005C3A5A"/>
    <w:rsid w:val="005C3CF3"/>
    <w:rsid w:val="005C3DFB"/>
    <w:rsid w:val="005C3E42"/>
    <w:rsid w:val="005C40BC"/>
    <w:rsid w:val="005C4806"/>
    <w:rsid w:val="005C4DBE"/>
    <w:rsid w:val="005C4DCD"/>
    <w:rsid w:val="005C5272"/>
    <w:rsid w:val="005C5867"/>
    <w:rsid w:val="005C5AD7"/>
    <w:rsid w:val="005C6127"/>
    <w:rsid w:val="005C631C"/>
    <w:rsid w:val="005C63DB"/>
    <w:rsid w:val="005C66CB"/>
    <w:rsid w:val="005C67BE"/>
    <w:rsid w:val="005C6B9A"/>
    <w:rsid w:val="005C6BB3"/>
    <w:rsid w:val="005C6DB2"/>
    <w:rsid w:val="005C6F46"/>
    <w:rsid w:val="005C7215"/>
    <w:rsid w:val="005C73C4"/>
    <w:rsid w:val="005C76C7"/>
    <w:rsid w:val="005C7821"/>
    <w:rsid w:val="005C7B5A"/>
    <w:rsid w:val="005C7CF0"/>
    <w:rsid w:val="005C7F56"/>
    <w:rsid w:val="005D00EA"/>
    <w:rsid w:val="005D023B"/>
    <w:rsid w:val="005D02C4"/>
    <w:rsid w:val="005D08F9"/>
    <w:rsid w:val="005D0D1C"/>
    <w:rsid w:val="005D0EFE"/>
    <w:rsid w:val="005D1ADE"/>
    <w:rsid w:val="005D1BFE"/>
    <w:rsid w:val="005D1C4A"/>
    <w:rsid w:val="005D2304"/>
    <w:rsid w:val="005D24AB"/>
    <w:rsid w:val="005D2ACC"/>
    <w:rsid w:val="005D2D1F"/>
    <w:rsid w:val="005D30B3"/>
    <w:rsid w:val="005D3240"/>
    <w:rsid w:val="005D331D"/>
    <w:rsid w:val="005D3A04"/>
    <w:rsid w:val="005D3BE4"/>
    <w:rsid w:val="005D3C98"/>
    <w:rsid w:val="005D3E1E"/>
    <w:rsid w:val="005D48C4"/>
    <w:rsid w:val="005D48FE"/>
    <w:rsid w:val="005D4F6B"/>
    <w:rsid w:val="005D54A4"/>
    <w:rsid w:val="005D560B"/>
    <w:rsid w:val="005D58B4"/>
    <w:rsid w:val="005D6101"/>
    <w:rsid w:val="005D6484"/>
    <w:rsid w:val="005D66CE"/>
    <w:rsid w:val="005D67B0"/>
    <w:rsid w:val="005D69FC"/>
    <w:rsid w:val="005D6C4A"/>
    <w:rsid w:val="005D6C5C"/>
    <w:rsid w:val="005D6C84"/>
    <w:rsid w:val="005D6E33"/>
    <w:rsid w:val="005D6EEF"/>
    <w:rsid w:val="005D7377"/>
    <w:rsid w:val="005D7471"/>
    <w:rsid w:val="005D749D"/>
    <w:rsid w:val="005D77B7"/>
    <w:rsid w:val="005D77E8"/>
    <w:rsid w:val="005D7E9B"/>
    <w:rsid w:val="005E0128"/>
    <w:rsid w:val="005E02C5"/>
    <w:rsid w:val="005E0471"/>
    <w:rsid w:val="005E0818"/>
    <w:rsid w:val="005E0AF2"/>
    <w:rsid w:val="005E0CED"/>
    <w:rsid w:val="005E0E2F"/>
    <w:rsid w:val="005E0FBF"/>
    <w:rsid w:val="005E12D6"/>
    <w:rsid w:val="005E14CB"/>
    <w:rsid w:val="005E1720"/>
    <w:rsid w:val="005E1B47"/>
    <w:rsid w:val="005E1D09"/>
    <w:rsid w:val="005E2702"/>
    <w:rsid w:val="005E277C"/>
    <w:rsid w:val="005E28A4"/>
    <w:rsid w:val="005E296E"/>
    <w:rsid w:val="005E2A16"/>
    <w:rsid w:val="005E2BBB"/>
    <w:rsid w:val="005E2BD6"/>
    <w:rsid w:val="005E2CD4"/>
    <w:rsid w:val="005E2FA6"/>
    <w:rsid w:val="005E334B"/>
    <w:rsid w:val="005E33DC"/>
    <w:rsid w:val="005E3798"/>
    <w:rsid w:val="005E3E81"/>
    <w:rsid w:val="005E4970"/>
    <w:rsid w:val="005E5693"/>
    <w:rsid w:val="005E5874"/>
    <w:rsid w:val="005E5BD9"/>
    <w:rsid w:val="005E5C9A"/>
    <w:rsid w:val="005E5E5B"/>
    <w:rsid w:val="005E6366"/>
    <w:rsid w:val="005E6484"/>
    <w:rsid w:val="005E6835"/>
    <w:rsid w:val="005E6B09"/>
    <w:rsid w:val="005E6B20"/>
    <w:rsid w:val="005E6FF5"/>
    <w:rsid w:val="005E7099"/>
    <w:rsid w:val="005E7360"/>
    <w:rsid w:val="005E73D6"/>
    <w:rsid w:val="005E75D5"/>
    <w:rsid w:val="005E797C"/>
    <w:rsid w:val="005E7B1C"/>
    <w:rsid w:val="005E7B21"/>
    <w:rsid w:val="005E7BF7"/>
    <w:rsid w:val="005E7F12"/>
    <w:rsid w:val="005E7FBE"/>
    <w:rsid w:val="005F0145"/>
    <w:rsid w:val="005F02AF"/>
    <w:rsid w:val="005F0A22"/>
    <w:rsid w:val="005F0BA3"/>
    <w:rsid w:val="005F0BFA"/>
    <w:rsid w:val="005F0C24"/>
    <w:rsid w:val="005F0E18"/>
    <w:rsid w:val="005F0E29"/>
    <w:rsid w:val="005F11ED"/>
    <w:rsid w:val="005F13C6"/>
    <w:rsid w:val="005F14C8"/>
    <w:rsid w:val="005F1555"/>
    <w:rsid w:val="005F15BC"/>
    <w:rsid w:val="005F16B5"/>
    <w:rsid w:val="005F1A66"/>
    <w:rsid w:val="005F1FDB"/>
    <w:rsid w:val="005F2014"/>
    <w:rsid w:val="005F217B"/>
    <w:rsid w:val="005F24B4"/>
    <w:rsid w:val="005F24C1"/>
    <w:rsid w:val="005F26D0"/>
    <w:rsid w:val="005F2978"/>
    <w:rsid w:val="005F2BA2"/>
    <w:rsid w:val="005F332F"/>
    <w:rsid w:val="005F363A"/>
    <w:rsid w:val="005F3769"/>
    <w:rsid w:val="005F3815"/>
    <w:rsid w:val="005F39DC"/>
    <w:rsid w:val="005F39F9"/>
    <w:rsid w:val="005F3DFB"/>
    <w:rsid w:val="005F3E0B"/>
    <w:rsid w:val="005F3F64"/>
    <w:rsid w:val="005F41A6"/>
    <w:rsid w:val="005F4721"/>
    <w:rsid w:val="005F4AD3"/>
    <w:rsid w:val="005F4C03"/>
    <w:rsid w:val="005F4CF4"/>
    <w:rsid w:val="005F4E2B"/>
    <w:rsid w:val="005F5399"/>
    <w:rsid w:val="005F540F"/>
    <w:rsid w:val="005F5496"/>
    <w:rsid w:val="005F5798"/>
    <w:rsid w:val="005F5823"/>
    <w:rsid w:val="005F58C1"/>
    <w:rsid w:val="005F5923"/>
    <w:rsid w:val="005F59C6"/>
    <w:rsid w:val="005F59F3"/>
    <w:rsid w:val="005F5DA1"/>
    <w:rsid w:val="005F5DA8"/>
    <w:rsid w:val="005F6037"/>
    <w:rsid w:val="005F60B6"/>
    <w:rsid w:val="005F67B9"/>
    <w:rsid w:val="005F680B"/>
    <w:rsid w:val="005F681C"/>
    <w:rsid w:val="005F6942"/>
    <w:rsid w:val="005F69D9"/>
    <w:rsid w:val="005F6E9F"/>
    <w:rsid w:val="005F6F33"/>
    <w:rsid w:val="005F720A"/>
    <w:rsid w:val="005F72FE"/>
    <w:rsid w:val="005F74A2"/>
    <w:rsid w:val="005F74B3"/>
    <w:rsid w:val="005F77E9"/>
    <w:rsid w:val="005F790E"/>
    <w:rsid w:val="005F7F43"/>
    <w:rsid w:val="00600028"/>
    <w:rsid w:val="0060009E"/>
    <w:rsid w:val="006002CB"/>
    <w:rsid w:val="006006C4"/>
    <w:rsid w:val="006006FC"/>
    <w:rsid w:val="006007B7"/>
    <w:rsid w:val="0060087D"/>
    <w:rsid w:val="00600FE1"/>
    <w:rsid w:val="006014BC"/>
    <w:rsid w:val="0060151F"/>
    <w:rsid w:val="006016BA"/>
    <w:rsid w:val="006018B2"/>
    <w:rsid w:val="00601BE7"/>
    <w:rsid w:val="00601C21"/>
    <w:rsid w:val="00601D2B"/>
    <w:rsid w:val="00602A57"/>
    <w:rsid w:val="00602C40"/>
    <w:rsid w:val="00602F20"/>
    <w:rsid w:val="00602F43"/>
    <w:rsid w:val="006030D4"/>
    <w:rsid w:val="006032C1"/>
    <w:rsid w:val="00603460"/>
    <w:rsid w:val="00603508"/>
    <w:rsid w:val="006036A7"/>
    <w:rsid w:val="00603701"/>
    <w:rsid w:val="006039B7"/>
    <w:rsid w:val="00603B08"/>
    <w:rsid w:val="00603BF6"/>
    <w:rsid w:val="00603DCC"/>
    <w:rsid w:val="00604084"/>
    <w:rsid w:val="00604255"/>
    <w:rsid w:val="00604692"/>
    <w:rsid w:val="00604789"/>
    <w:rsid w:val="006050AF"/>
    <w:rsid w:val="0060512D"/>
    <w:rsid w:val="006053E7"/>
    <w:rsid w:val="006054EB"/>
    <w:rsid w:val="00605688"/>
    <w:rsid w:val="00605776"/>
    <w:rsid w:val="00605B4F"/>
    <w:rsid w:val="00605BD1"/>
    <w:rsid w:val="00606494"/>
    <w:rsid w:val="00606FE4"/>
    <w:rsid w:val="0060713B"/>
    <w:rsid w:val="00607218"/>
    <w:rsid w:val="0060766D"/>
    <w:rsid w:val="006079C8"/>
    <w:rsid w:val="00607B89"/>
    <w:rsid w:val="00607BC1"/>
    <w:rsid w:val="00607FAD"/>
    <w:rsid w:val="00610162"/>
    <w:rsid w:val="00610192"/>
    <w:rsid w:val="00610336"/>
    <w:rsid w:val="00610605"/>
    <w:rsid w:val="00610651"/>
    <w:rsid w:val="006106B2"/>
    <w:rsid w:val="0061097B"/>
    <w:rsid w:val="00610ABA"/>
    <w:rsid w:val="006111D3"/>
    <w:rsid w:val="006111DA"/>
    <w:rsid w:val="00611375"/>
    <w:rsid w:val="0061144C"/>
    <w:rsid w:val="006117A5"/>
    <w:rsid w:val="00611877"/>
    <w:rsid w:val="00612179"/>
    <w:rsid w:val="0061246D"/>
    <w:rsid w:val="0061248F"/>
    <w:rsid w:val="00612B1D"/>
    <w:rsid w:val="00612E76"/>
    <w:rsid w:val="00612F4C"/>
    <w:rsid w:val="00613037"/>
    <w:rsid w:val="00613038"/>
    <w:rsid w:val="0061347A"/>
    <w:rsid w:val="006135AB"/>
    <w:rsid w:val="006138E4"/>
    <w:rsid w:val="006139F0"/>
    <w:rsid w:val="00613AA2"/>
    <w:rsid w:val="00613B75"/>
    <w:rsid w:val="006140B6"/>
    <w:rsid w:val="00614129"/>
    <w:rsid w:val="006141CD"/>
    <w:rsid w:val="0061438F"/>
    <w:rsid w:val="006143FD"/>
    <w:rsid w:val="006144F6"/>
    <w:rsid w:val="0061462F"/>
    <w:rsid w:val="00614873"/>
    <w:rsid w:val="00614A9C"/>
    <w:rsid w:val="00614B54"/>
    <w:rsid w:val="00614B9C"/>
    <w:rsid w:val="00614E91"/>
    <w:rsid w:val="00614F2C"/>
    <w:rsid w:val="00615364"/>
    <w:rsid w:val="00615509"/>
    <w:rsid w:val="00615543"/>
    <w:rsid w:val="00615AE9"/>
    <w:rsid w:val="00615CA1"/>
    <w:rsid w:val="00616407"/>
    <w:rsid w:val="006167EA"/>
    <w:rsid w:val="0061694C"/>
    <w:rsid w:val="00616964"/>
    <w:rsid w:val="00616B6C"/>
    <w:rsid w:val="00616C54"/>
    <w:rsid w:val="00616F1E"/>
    <w:rsid w:val="00617192"/>
    <w:rsid w:val="00617386"/>
    <w:rsid w:val="00617A5B"/>
    <w:rsid w:val="00617B54"/>
    <w:rsid w:val="00617BEC"/>
    <w:rsid w:val="00617C6F"/>
    <w:rsid w:val="00617E99"/>
    <w:rsid w:val="00617F78"/>
    <w:rsid w:val="00620200"/>
    <w:rsid w:val="00620547"/>
    <w:rsid w:val="006206B0"/>
    <w:rsid w:val="00620867"/>
    <w:rsid w:val="006209F0"/>
    <w:rsid w:val="00620BCE"/>
    <w:rsid w:val="00620E5A"/>
    <w:rsid w:val="00620F7A"/>
    <w:rsid w:val="006211A1"/>
    <w:rsid w:val="006212BA"/>
    <w:rsid w:val="006212F0"/>
    <w:rsid w:val="0062186D"/>
    <w:rsid w:val="0062199E"/>
    <w:rsid w:val="00621DDF"/>
    <w:rsid w:val="00621F7E"/>
    <w:rsid w:val="00621FB4"/>
    <w:rsid w:val="00621FE0"/>
    <w:rsid w:val="006228EC"/>
    <w:rsid w:val="00622925"/>
    <w:rsid w:val="00622B51"/>
    <w:rsid w:val="00622B78"/>
    <w:rsid w:val="00622CFF"/>
    <w:rsid w:val="006236BE"/>
    <w:rsid w:val="00624321"/>
    <w:rsid w:val="006244A1"/>
    <w:rsid w:val="0062467E"/>
    <w:rsid w:val="006246C2"/>
    <w:rsid w:val="00624A22"/>
    <w:rsid w:val="00624E9A"/>
    <w:rsid w:val="00624EF8"/>
    <w:rsid w:val="00624F74"/>
    <w:rsid w:val="006250E9"/>
    <w:rsid w:val="00625601"/>
    <w:rsid w:val="0062571C"/>
    <w:rsid w:val="00625E05"/>
    <w:rsid w:val="0062607A"/>
    <w:rsid w:val="0062641C"/>
    <w:rsid w:val="00626777"/>
    <w:rsid w:val="006269DB"/>
    <w:rsid w:val="00626CAD"/>
    <w:rsid w:val="00626D3E"/>
    <w:rsid w:val="00627245"/>
    <w:rsid w:val="00627375"/>
    <w:rsid w:val="006275B8"/>
    <w:rsid w:val="006276AD"/>
    <w:rsid w:val="006276CB"/>
    <w:rsid w:val="006276E3"/>
    <w:rsid w:val="00627B2A"/>
    <w:rsid w:val="00627D8F"/>
    <w:rsid w:val="00627F37"/>
    <w:rsid w:val="00627FD0"/>
    <w:rsid w:val="0063043A"/>
    <w:rsid w:val="0063046C"/>
    <w:rsid w:val="006304C7"/>
    <w:rsid w:val="006305F5"/>
    <w:rsid w:val="00630D34"/>
    <w:rsid w:val="00630EA3"/>
    <w:rsid w:val="006310FB"/>
    <w:rsid w:val="006311CB"/>
    <w:rsid w:val="00631241"/>
    <w:rsid w:val="00631BC5"/>
    <w:rsid w:val="00631D21"/>
    <w:rsid w:val="00631D9F"/>
    <w:rsid w:val="00632245"/>
    <w:rsid w:val="006328BF"/>
    <w:rsid w:val="00632B28"/>
    <w:rsid w:val="00633062"/>
    <w:rsid w:val="006330B9"/>
    <w:rsid w:val="006333D2"/>
    <w:rsid w:val="00633676"/>
    <w:rsid w:val="006336B2"/>
    <w:rsid w:val="006337EF"/>
    <w:rsid w:val="006339DB"/>
    <w:rsid w:val="00633AFA"/>
    <w:rsid w:val="00633B2F"/>
    <w:rsid w:val="00633D31"/>
    <w:rsid w:val="00633E6D"/>
    <w:rsid w:val="00633F50"/>
    <w:rsid w:val="00634C7C"/>
    <w:rsid w:val="00634E0C"/>
    <w:rsid w:val="006352D9"/>
    <w:rsid w:val="006352EC"/>
    <w:rsid w:val="006358F4"/>
    <w:rsid w:val="00635CAE"/>
    <w:rsid w:val="00636F54"/>
    <w:rsid w:val="0063704C"/>
    <w:rsid w:val="0063706A"/>
    <w:rsid w:val="006379A0"/>
    <w:rsid w:val="00637B97"/>
    <w:rsid w:val="00637E64"/>
    <w:rsid w:val="00640304"/>
    <w:rsid w:val="00640401"/>
    <w:rsid w:val="00640C31"/>
    <w:rsid w:val="006412C1"/>
    <w:rsid w:val="006416F6"/>
    <w:rsid w:val="0064183E"/>
    <w:rsid w:val="00641844"/>
    <w:rsid w:val="0064189E"/>
    <w:rsid w:val="006418A5"/>
    <w:rsid w:val="00641C1B"/>
    <w:rsid w:val="00641F38"/>
    <w:rsid w:val="006423FA"/>
    <w:rsid w:val="00642679"/>
    <w:rsid w:val="00642875"/>
    <w:rsid w:val="00642983"/>
    <w:rsid w:val="00642E91"/>
    <w:rsid w:val="0064317F"/>
    <w:rsid w:val="006431A4"/>
    <w:rsid w:val="00643226"/>
    <w:rsid w:val="006434ED"/>
    <w:rsid w:val="0064351E"/>
    <w:rsid w:val="0064376F"/>
    <w:rsid w:val="00643B96"/>
    <w:rsid w:val="00643D1B"/>
    <w:rsid w:val="00643E24"/>
    <w:rsid w:val="00643E49"/>
    <w:rsid w:val="00644347"/>
    <w:rsid w:val="00644675"/>
    <w:rsid w:val="00644A72"/>
    <w:rsid w:val="00644AD7"/>
    <w:rsid w:val="00644FCA"/>
    <w:rsid w:val="006450E6"/>
    <w:rsid w:val="0064527F"/>
    <w:rsid w:val="006452F1"/>
    <w:rsid w:val="0064537C"/>
    <w:rsid w:val="006456C5"/>
    <w:rsid w:val="006459EF"/>
    <w:rsid w:val="00645CC3"/>
    <w:rsid w:val="006460AF"/>
    <w:rsid w:val="006461CE"/>
    <w:rsid w:val="00646426"/>
    <w:rsid w:val="006465F3"/>
    <w:rsid w:val="00646D00"/>
    <w:rsid w:val="006471FD"/>
    <w:rsid w:val="0064727C"/>
    <w:rsid w:val="0064730C"/>
    <w:rsid w:val="00647541"/>
    <w:rsid w:val="00647A26"/>
    <w:rsid w:val="00647DD6"/>
    <w:rsid w:val="0065034D"/>
    <w:rsid w:val="00650681"/>
    <w:rsid w:val="006508B1"/>
    <w:rsid w:val="00650A00"/>
    <w:rsid w:val="00650BC2"/>
    <w:rsid w:val="00650DB0"/>
    <w:rsid w:val="00651142"/>
    <w:rsid w:val="00651C89"/>
    <w:rsid w:val="00651CB1"/>
    <w:rsid w:val="00651DB4"/>
    <w:rsid w:val="00652245"/>
    <w:rsid w:val="006525FD"/>
    <w:rsid w:val="006527CF"/>
    <w:rsid w:val="00652827"/>
    <w:rsid w:val="00652C0C"/>
    <w:rsid w:val="00652F6E"/>
    <w:rsid w:val="00652FB5"/>
    <w:rsid w:val="00653020"/>
    <w:rsid w:val="00653267"/>
    <w:rsid w:val="006534BF"/>
    <w:rsid w:val="00653540"/>
    <w:rsid w:val="006537D7"/>
    <w:rsid w:val="00653AF9"/>
    <w:rsid w:val="00653EF8"/>
    <w:rsid w:val="00653FD4"/>
    <w:rsid w:val="00653FD9"/>
    <w:rsid w:val="006543C9"/>
    <w:rsid w:val="0065444A"/>
    <w:rsid w:val="00654A21"/>
    <w:rsid w:val="00654B62"/>
    <w:rsid w:val="00654F68"/>
    <w:rsid w:val="00655174"/>
    <w:rsid w:val="0065563D"/>
    <w:rsid w:val="00655842"/>
    <w:rsid w:val="00655967"/>
    <w:rsid w:val="00655BD7"/>
    <w:rsid w:val="00655CF9"/>
    <w:rsid w:val="00655D0E"/>
    <w:rsid w:val="00655D45"/>
    <w:rsid w:val="00656677"/>
    <w:rsid w:val="00656750"/>
    <w:rsid w:val="0065678E"/>
    <w:rsid w:val="0065704E"/>
    <w:rsid w:val="0065714C"/>
    <w:rsid w:val="00657994"/>
    <w:rsid w:val="00657C9F"/>
    <w:rsid w:val="00660064"/>
    <w:rsid w:val="0066012B"/>
    <w:rsid w:val="006601E9"/>
    <w:rsid w:val="00660A74"/>
    <w:rsid w:val="00660E83"/>
    <w:rsid w:val="006612A3"/>
    <w:rsid w:val="00661C1B"/>
    <w:rsid w:val="006621A7"/>
    <w:rsid w:val="00662250"/>
    <w:rsid w:val="006626B1"/>
    <w:rsid w:val="00662A92"/>
    <w:rsid w:val="00662CAF"/>
    <w:rsid w:val="00662D6A"/>
    <w:rsid w:val="00662E5F"/>
    <w:rsid w:val="00662F0A"/>
    <w:rsid w:val="00662F69"/>
    <w:rsid w:val="0066320E"/>
    <w:rsid w:val="00663446"/>
    <w:rsid w:val="0066370C"/>
    <w:rsid w:val="006639A8"/>
    <w:rsid w:val="006641F6"/>
    <w:rsid w:val="006642EE"/>
    <w:rsid w:val="0066433D"/>
    <w:rsid w:val="00664434"/>
    <w:rsid w:val="00664804"/>
    <w:rsid w:val="00664F8E"/>
    <w:rsid w:val="00665013"/>
    <w:rsid w:val="006652D9"/>
    <w:rsid w:val="0066561F"/>
    <w:rsid w:val="00665B44"/>
    <w:rsid w:val="00665B5A"/>
    <w:rsid w:val="00665BDD"/>
    <w:rsid w:val="00665E44"/>
    <w:rsid w:val="00665E7E"/>
    <w:rsid w:val="00665F4D"/>
    <w:rsid w:val="00666073"/>
    <w:rsid w:val="00666237"/>
    <w:rsid w:val="006666A8"/>
    <w:rsid w:val="00666735"/>
    <w:rsid w:val="00666A58"/>
    <w:rsid w:val="00666AAB"/>
    <w:rsid w:val="00666DE1"/>
    <w:rsid w:val="00666E8D"/>
    <w:rsid w:val="00666F53"/>
    <w:rsid w:val="00667120"/>
    <w:rsid w:val="00667154"/>
    <w:rsid w:val="0066764A"/>
    <w:rsid w:val="00670008"/>
    <w:rsid w:val="006700CC"/>
    <w:rsid w:val="006701CA"/>
    <w:rsid w:val="00670323"/>
    <w:rsid w:val="006703AD"/>
    <w:rsid w:val="00670650"/>
    <w:rsid w:val="00670B5B"/>
    <w:rsid w:val="00670BBF"/>
    <w:rsid w:val="00670C4E"/>
    <w:rsid w:val="00670C7D"/>
    <w:rsid w:val="00670F74"/>
    <w:rsid w:val="00671290"/>
    <w:rsid w:val="006712C0"/>
    <w:rsid w:val="00671322"/>
    <w:rsid w:val="00671A07"/>
    <w:rsid w:val="00671E4F"/>
    <w:rsid w:val="00672435"/>
    <w:rsid w:val="00672BB2"/>
    <w:rsid w:val="00673096"/>
    <w:rsid w:val="00673257"/>
    <w:rsid w:val="00673A25"/>
    <w:rsid w:val="00674031"/>
    <w:rsid w:val="0067404B"/>
    <w:rsid w:val="006744AC"/>
    <w:rsid w:val="0067477E"/>
    <w:rsid w:val="006748D7"/>
    <w:rsid w:val="00674AA3"/>
    <w:rsid w:val="00674C7D"/>
    <w:rsid w:val="00675214"/>
    <w:rsid w:val="00675430"/>
    <w:rsid w:val="00675516"/>
    <w:rsid w:val="00675588"/>
    <w:rsid w:val="0067565D"/>
    <w:rsid w:val="0067569F"/>
    <w:rsid w:val="00675DAC"/>
    <w:rsid w:val="00675E2D"/>
    <w:rsid w:val="006760BB"/>
    <w:rsid w:val="00676473"/>
    <w:rsid w:val="0067652F"/>
    <w:rsid w:val="00676678"/>
    <w:rsid w:val="00676697"/>
    <w:rsid w:val="006767FC"/>
    <w:rsid w:val="00676A58"/>
    <w:rsid w:val="00676D7B"/>
    <w:rsid w:val="00676E20"/>
    <w:rsid w:val="0067704D"/>
    <w:rsid w:val="006771C8"/>
    <w:rsid w:val="006771CD"/>
    <w:rsid w:val="00677246"/>
    <w:rsid w:val="0067726C"/>
    <w:rsid w:val="0067730A"/>
    <w:rsid w:val="0067776D"/>
    <w:rsid w:val="0067785A"/>
    <w:rsid w:val="006778D1"/>
    <w:rsid w:val="006779E0"/>
    <w:rsid w:val="00677ABC"/>
    <w:rsid w:val="00680210"/>
    <w:rsid w:val="0068031C"/>
    <w:rsid w:val="00680484"/>
    <w:rsid w:val="00680509"/>
    <w:rsid w:val="0068081C"/>
    <w:rsid w:val="00680B40"/>
    <w:rsid w:val="00680DF2"/>
    <w:rsid w:val="0068113B"/>
    <w:rsid w:val="00681633"/>
    <w:rsid w:val="00681AED"/>
    <w:rsid w:val="00681BDA"/>
    <w:rsid w:val="00681C0E"/>
    <w:rsid w:val="00681D95"/>
    <w:rsid w:val="00681EC9"/>
    <w:rsid w:val="00682268"/>
    <w:rsid w:val="006822A9"/>
    <w:rsid w:val="006822FA"/>
    <w:rsid w:val="00682627"/>
    <w:rsid w:val="00682652"/>
    <w:rsid w:val="00682807"/>
    <w:rsid w:val="0068288C"/>
    <w:rsid w:val="006828A2"/>
    <w:rsid w:val="006830C7"/>
    <w:rsid w:val="0068335A"/>
    <w:rsid w:val="006836E1"/>
    <w:rsid w:val="00683919"/>
    <w:rsid w:val="00683A3A"/>
    <w:rsid w:val="00683B74"/>
    <w:rsid w:val="00683F36"/>
    <w:rsid w:val="00684046"/>
    <w:rsid w:val="006840CE"/>
    <w:rsid w:val="006840D6"/>
    <w:rsid w:val="00684976"/>
    <w:rsid w:val="00684D58"/>
    <w:rsid w:val="00685091"/>
    <w:rsid w:val="00685589"/>
    <w:rsid w:val="00685CEA"/>
    <w:rsid w:val="00685DA8"/>
    <w:rsid w:val="0068637D"/>
    <w:rsid w:val="0068682C"/>
    <w:rsid w:val="00686905"/>
    <w:rsid w:val="00687003"/>
    <w:rsid w:val="006871BA"/>
    <w:rsid w:val="0068728F"/>
    <w:rsid w:val="00687364"/>
    <w:rsid w:val="00687368"/>
    <w:rsid w:val="006903D1"/>
    <w:rsid w:val="00690412"/>
    <w:rsid w:val="006910E4"/>
    <w:rsid w:val="006917F3"/>
    <w:rsid w:val="00691F90"/>
    <w:rsid w:val="006922A5"/>
    <w:rsid w:val="0069271F"/>
    <w:rsid w:val="0069276E"/>
    <w:rsid w:val="00692CE1"/>
    <w:rsid w:val="00692D29"/>
    <w:rsid w:val="00692D64"/>
    <w:rsid w:val="0069302F"/>
    <w:rsid w:val="006930CC"/>
    <w:rsid w:val="0069342D"/>
    <w:rsid w:val="00693743"/>
    <w:rsid w:val="00693825"/>
    <w:rsid w:val="0069386F"/>
    <w:rsid w:val="006938AA"/>
    <w:rsid w:val="00693AC0"/>
    <w:rsid w:val="006940A3"/>
    <w:rsid w:val="006946A2"/>
    <w:rsid w:val="0069474B"/>
    <w:rsid w:val="0069475D"/>
    <w:rsid w:val="00694939"/>
    <w:rsid w:val="00694EE1"/>
    <w:rsid w:val="00694F7E"/>
    <w:rsid w:val="006953D4"/>
    <w:rsid w:val="00695C76"/>
    <w:rsid w:val="00695CAC"/>
    <w:rsid w:val="00696169"/>
    <w:rsid w:val="00696204"/>
    <w:rsid w:val="00696229"/>
    <w:rsid w:val="00696362"/>
    <w:rsid w:val="0069665D"/>
    <w:rsid w:val="00696811"/>
    <w:rsid w:val="00696821"/>
    <w:rsid w:val="006969BD"/>
    <w:rsid w:val="006969D7"/>
    <w:rsid w:val="0069717F"/>
    <w:rsid w:val="0069720D"/>
    <w:rsid w:val="00697514"/>
    <w:rsid w:val="00697567"/>
    <w:rsid w:val="00697940"/>
    <w:rsid w:val="00697966"/>
    <w:rsid w:val="00697DC7"/>
    <w:rsid w:val="00697F1F"/>
    <w:rsid w:val="00697F67"/>
    <w:rsid w:val="006A02FE"/>
    <w:rsid w:val="006A0414"/>
    <w:rsid w:val="006A06BE"/>
    <w:rsid w:val="006A06C1"/>
    <w:rsid w:val="006A0726"/>
    <w:rsid w:val="006A07C8"/>
    <w:rsid w:val="006A0AF0"/>
    <w:rsid w:val="006A0E0C"/>
    <w:rsid w:val="006A1231"/>
    <w:rsid w:val="006A143E"/>
    <w:rsid w:val="006A14A4"/>
    <w:rsid w:val="006A19DE"/>
    <w:rsid w:val="006A1C2C"/>
    <w:rsid w:val="006A1CA7"/>
    <w:rsid w:val="006A2642"/>
    <w:rsid w:val="006A26B2"/>
    <w:rsid w:val="006A2948"/>
    <w:rsid w:val="006A330F"/>
    <w:rsid w:val="006A33DF"/>
    <w:rsid w:val="006A3A2B"/>
    <w:rsid w:val="006A3B89"/>
    <w:rsid w:val="006A3D90"/>
    <w:rsid w:val="006A4198"/>
    <w:rsid w:val="006A4564"/>
    <w:rsid w:val="006A4742"/>
    <w:rsid w:val="006A4EBF"/>
    <w:rsid w:val="006A50A1"/>
    <w:rsid w:val="006A522D"/>
    <w:rsid w:val="006A52C4"/>
    <w:rsid w:val="006A5347"/>
    <w:rsid w:val="006A5406"/>
    <w:rsid w:val="006A5A00"/>
    <w:rsid w:val="006A5ADA"/>
    <w:rsid w:val="006A6AAF"/>
    <w:rsid w:val="006A6B10"/>
    <w:rsid w:val="006A6BF1"/>
    <w:rsid w:val="006A7105"/>
    <w:rsid w:val="006A72A6"/>
    <w:rsid w:val="006A7E87"/>
    <w:rsid w:val="006B01A0"/>
    <w:rsid w:val="006B0311"/>
    <w:rsid w:val="006B065D"/>
    <w:rsid w:val="006B1255"/>
    <w:rsid w:val="006B1C27"/>
    <w:rsid w:val="006B1EA0"/>
    <w:rsid w:val="006B2413"/>
    <w:rsid w:val="006B2613"/>
    <w:rsid w:val="006B27CA"/>
    <w:rsid w:val="006B2E2F"/>
    <w:rsid w:val="006B3032"/>
    <w:rsid w:val="006B32C4"/>
    <w:rsid w:val="006B33D4"/>
    <w:rsid w:val="006B3493"/>
    <w:rsid w:val="006B3529"/>
    <w:rsid w:val="006B3890"/>
    <w:rsid w:val="006B3D05"/>
    <w:rsid w:val="006B4207"/>
    <w:rsid w:val="006B492A"/>
    <w:rsid w:val="006B4AA2"/>
    <w:rsid w:val="006B4B4A"/>
    <w:rsid w:val="006B5AD5"/>
    <w:rsid w:val="006B5B13"/>
    <w:rsid w:val="006B5F57"/>
    <w:rsid w:val="006B61E3"/>
    <w:rsid w:val="006B63E0"/>
    <w:rsid w:val="006B6AF2"/>
    <w:rsid w:val="006B6CE0"/>
    <w:rsid w:val="006B6EA4"/>
    <w:rsid w:val="006B7218"/>
    <w:rsid w:val="006B736F"/>
    <w:rsid w:val="006B74F9"/>
    <w:rsid w:val="006B75C6"/>
    <w:rsid w:val="006B7A2C"/>
    <w:rsid w:val="006B7EAE"/>
    <w:rsid w:val="006C03A8"/>
    <w:rsid w:val="006C0435"/>
    <w:rsid w:val="006C0A42"/>
    <w:rsid w:val="006C0B19"/>
    <w:rsid w:val="006C0CFB"/>
    <w:rsid w:val="006C1003"/>
    <w:rsid w:val="006C1532"/>
    <w:rsid w:val="006C1CE0"/>
    <w:rsid w:val="006C20FD"/>
    <w:rsid w:val="006C223A"/>
    <w:rsid w:val="006C25F5"/>
    <w:rsid w:val="006C263A"/>
    <w:rsid w:val="006C280C"/>
    <w:rsid w:val="006C2AED"/>
    <w:rsid w:val="006C2C5E"/>
    <w:rsid w:val="006C30A1"/>
    <w:rsid w:val="006C30B2"/>
    <w:rsid w:val="006C3282"/>
    <w:rsid w:val="006C3299"/>
    <w:rsid w:val="006C3455"/>
    <w:rsid w:val="006C354C"/>
    <w:rsid w:val="006C37ED"/>
    <w:rsid w:val="006C38B4"/>
    <w:rsid w:val="006C38D1"/>
    <w:rsid w:val="006C3B76"/>
    <w:rsid w:val="006C3DDF"/>
    <w:rsid w:val="006C4431"/>
    <w:rsid w:val="006C4572"/>
    <w:rsid w:val="006C4886"/>
    <w:rsid w:val="006C4A9E"/>
    <w:rsid w:val="006C4B36"/>
    <w:rsid w:val="006C4B79"/>
    <w:rsid w:val="006C4DCD"/>
    <w:rsid w:val="006C4E04"/>
    <w:rsid w:val="006C5113"/>
    <w:rsid w:val="006C550E"/>
    <w:rsid w:val="006C582B"/>
    <w:rsid w:val="006C5A29"/>
    <w:rsid w:val="006C5C6A"/>
    <w:rsid w:val="006C5EEE"/>
    <w:rsid w:val="006C62F1"/>
    <w:rsid w:val="006C638F"/>
    <w:rsid w:val="006C6E1C"/>
    <w:rsid w:val="006C6E84"/>
    <w:rsid w:val="006C730A"/>
    <w:rsid w:val="006C75D7"/>
    <w:rsid w:val="006C766F"/>
    <w:rsid w:val="006C7B03"/>
    <w:rsid w:val="006C7BB6"/>
    <w:rsid w:val="006C7CE0"/>
    <w:rsid w:val="006C7E79"/>
    <w:rsid w:val="006C7EAA"/>
    <w:rsid w:val="006C7EE5"/>
    <w:rsid w:val="006D04BD"/>
    <w:rsid w:val="006D04FD"/>
    <w:rsid w:val="006D0B3E"/>
    <w:rsid w:val="006D0EC2"/>
    <w:rsid w:val="006D0F0C"/>
    <w:rsid w:val="006D1314"/>
    <w:rsid w:val="006D169E"/>
    <w:rsid w:val="006D1813"/>
    <w:rsid w:val="006D1C0E"/>
    <w:rsid w:val="006D1C22"/>
    <w:rsid w:val="006D1D34"/>
    <w:rsid w:val="006D200B"/>
    <w:rsid w:val="006D20A1"/>
    <w:rsid w:val="006D22C9"/>
    <w:rsid w:val="006D2404"/>
    <w:rsid w:val="006D248E"/>
    <w:rsid w:val="006D2507"/>
    <w:rsid w:val="006D251E"/>
    <w:rsid w:val="006D2D18"/>
    <w:rsid w:val="006D2EE7"/>
    <w:rsid w:val="006D3290"/>
    <w:rsid w:val="006D35AB"/>
    <w:rsid w:val="006D3609"/>
    <w:rsid w:val="006D378F"/>
    <w:rsid w:val="006D3867"/>
    <w:rsid w:val="006D38DC"/>
    <w:rsid w:val="006D38FD"/>
    <w:rsid w:val="006D3A31"/>
    <w:rsid w:val="006D4075"/>
    <w:rsid w:val="006D40B1"/>
    <w:rsid w:val="006D444C"/>
    <w:rsid w:val="006D4451"/>
    <w:rsid w:val="006D44D6"/>
    <w:rsid w:val="006D488B"/>
    <w:rsid w:val="006D497F"/>
    <w:rsid w:val="006D4C3F"/>
    <w:rsid w:val="006D4C72"/>
    <w:rsid w:val="006D4E4C"/>
    <w:rsid w:val="006D4EC5"/>
    <w:rsid w:val="006D4EE7"/>
    <w:rsid w:val="006D5585"/>
    <w:rsid w:val="006D58E4"/>
    <w:rsid w:val="006D598B"/>
    <w:rsid w:val="006D5F76"/>
    <w:rsid w:val="006D635A"/>
    <w:rsid w:val="006D66D5"/>
    <w:rsid w:val="006D68D9"/>
    <w:rsid w:val="006D6D96"/>
    <w:rsid w:val="006D7000"/>
    <w:rsid w:val="006D7011"/>
    <w:rsid w:val="006D7167"/>
    <w:rsid w:val="006D71D7"/>
    <w:rsid w:val="006D7211"/>
    <w:rsid w:val="006D75C8"/>
    <w:rsid w:val="006D7714"/>
    <w:rsid w:val="006D7D90"/>
    <w:rsid w:val="006E05E7"/>
    <w:rsid w:val="006E0AE6"/>
    <w:rsid w:val="006E0DD3"/>
    <w:rsid w:val="006E0E74"/>
    <w:rsid w:val="006E17D4"/>
    <w:rsid w:val="006E190A"/>
    <w:rsid w:val="006E1A7C"/>
    <w:rsid w:val="006E1AB8"/>
    <w:rsid w:val="006E1DC8"/>
    <w:rsid w:val="006E1EB5"/>
    <w:rsid w:val="006E26C7"/>
    <w:rsid w:val="006E286D"/>
    <w:rsid w:val="006E2CED"/>
    <w:rsid w:val="006E2FDB"/>
    <w:rsid w:val="006E3199"/>
    <w:rsid w:val="006E3219"/>
    <w:rsid w:val="006E336E"/>
    <w:rsid w:val="006E3BA8"/>
    <w:rsid w:val="006E3D54"/>
    <w:rsid w:val="006E3EEA"/>
    <w:rsid w:val="006E3FF3"/>
    <w:rsid w:val="006E4536"/>
    <w:rsid w:val="006E45B8"/>
    <w:rsid w:val="006E48BA"/>
    <w:rsid w:val="006E4BCF"/>
    <w:rsid w:val="006E58C1"/>
    <w:rsid w:val="006E5D33"/>
    <w:rsid w:val="006E6CA7"/>
    <w:rsid w:val="006E6DB0"/>
    <w:rsid w:val="006E6E3A"/>
    <w:rsid w:val="006E6E8C"/>
    <w:rsid w:val="006E6FED"/>
    <w:rsid w:val="006E77D1"/>
    <w:rsid w:val="006E788A"/>
    <w:rsid w:val="006E7AB1"/>
    <w:rsid w:val="006F02AB"/>
    <w:rsid w:val="006F04F3"/>
    <w:rsid w:val="006F0726"/>
    <w:rsid w:val="006F0D46"/>
    <w:rsid w:val="006F0EAE"/>
    <w:rsid w:val="006F0F06"/>
    <w:rsid w:val="006F0FD7"/>
    <w:rsid w:val="006F14BF"/>
    <w:rsid w:val="006F15BA"/>
    <w:rsid w:val="006F1C0D"/>
    <w:rsid w:val="006F1D5A"/>
    <w:rsid w:val="006F23DD"/>
    <w:rsid w:val="006F2582"/>
    <w:rsid w:val="006F270A"/>
    <w:rsid w:val="006F29F0"/>
    <w:rsid w:val="006F2FD8"/>
    <w:rsid w:val="006F34C8"/>
    <w:rsid w:val="006F37DE"/>
    <w:rsid w:val="006F42EE"/>
    <w:rsid w:val="006F4FB0"/>
    <w:rsid w:val="006F5158"/>
    <w:rsid w:val="006F529B"/>
    <w:rsid w:val="006F52CB"/>
    <w:rsid w:val="006F578C"/>
    <w:rsid w:val="006F58AC"/>
    <w:rsid w:val="006F5910"/>
    <w:rsid w:val="006F5A2A"/>
    <w:rsid w:val="006F5B96"/>
    <w:rsid w:val="006F5CF8"/>
    <w:rsid w:val="006F6295"/>
    <w:rsid w:val="006F6654"/>
    <w:rsid w:val="006F679F"/>
    <w:rsid w:val="006F6E1E"/>
    <w:rsid w:val="006F6F9C"/>
    <w:rsid w:val="006F729C"/>
    <w:rsid w:val="006F7565"/>
    <w:rsid w:val="006F7881"/>
    <w:rsid w:val="006F7ADB"/>
    <w:rsid w:val="006F7B95"/>
    <w:rsid w:val="006F7C48"/>
    <w:rsid w:val="006F7DC7"/>
    <w:rsid w:val="007004A9"/>
    <w:rsid w:val="00700950"/>
    <w:rsid w:val="00701136"/>
    <w:rsid w:val="007019A4"/>
    <w:rsid w:val="00701CFC"/>
    <w:rsid w:val="007023B1"/>
    <w:rsid w:val="00702835"/>
    <w:rsid w:val="007028DA"/>
    <w:rsid w:val="00702A8F"/>
    <w:rsid w:val="0070319A"/>
    <w:rsid w:val="007031D4"/>
    <w:rsid w:val="0070322E"/>
    <w:rsid w:val="00703AD6"/>
    <w:rsid w:val="00703CB4"/>
    <w:rsid w:val="00703D2C"/>
    <w:rsid w:val="007041D2"/>
    <w:rsid w:val="007045D0"/>
    <w:rsid w:val="007049EE"/>
    <w:rsid w:val="00704E18"/>
    <w:rsid w:val="00704EB0"/>
    <w:rsid w:val="00704FF2"/>
    <w:rsid w:val="00705091"/>
    <w:rsid w:val="007051CE"/>
    <w:rsid w:val="0070527B"/>
    <w:rsid w:val="00705445"/>
    <w:rsid w:val="00705582"/>
    <w:rsid w:val="0070568B"/>
    <w:rsid w:val="007056B5"/>
    <w:rsid w:val="007056CD"/>
    <w:rsid w:val="00705E02"/>
    <w:rsid w:val="007064F9"/>
    <w:rsid w:val="0070671D"/>
    <w:rsid w:val="007067F9"/>
    <w:rsid w:val="00706BF9"/>
    <w:rsid w:val="00706D82"/>
    <w:rsid w:val="0070710E"/>
    <w:rsid w:val="007077DA"/>
    <w:rsid w:val="00707ADC"/>
    <w:rsid w:val="00707B45"/>
    <w:rsid w:val="00707C18"/>
    <w:rsid w:val="00707DA7"/>
    <w:rsid w:val="00707DB2"/>
    <w:rsid w:val="00707E01"/>
    <w:rsid w:val="007103A9"/>
    <w:rsid w:val="007105B3"/>
    <w:rsid w:val="007105F3"/>
    <w:rsid w:val="007109F0"/>
    <w:rsid w:val="00710A27"/>
    <w:rsid w:val="00710E69"/>
    <w:rsid w:val="00710FEB"/>
    <w:rsid w:val="00711967"/>
    <w:rsid w:val="00711A60"/>
    <w:rsid w:val="00711FED"/>
    <w:rsid w:val="00712118"/>
    <w:rsid w:val="00712215"/>
    <w:rsid w:val="00712266"/>
    <w:rsid w:val="00712328"/>
    <w:rsid w:val="007123B8"/>
    <w:rsid w:val="007125BC"/>
    <w:rsid w:val="007125F0"/>
    <w:rsid w:val="007130F4"/>
    <w:rsid w:val="007135BF"/>
    <w:rsid w:val="007138FD"/>
    <w:rsid w:val="00713A9B"/>
    <w:rsid w:val="00713C9E"/>
    <w:rsid w:val="00713CD3"/>
    <w:rsid w:val="00713DDB"/>
    <w:rsid w:val="00713E57"/>
    <w:rsid w:val="00713EE1"/>
    <w:rsid w:val="0071443E"/>
    <w:rsid w:val="007146BC"/>
    <w:rsid w:val="007148EF"/>
    <w:rsid w:val="0071491B"/>
    <w:rsid w:val="00714E09"/>
    <w:rsid w:val="007150F5"/>
    <w:rsid w:val="00715224"/>
    <w:rsid w:val="00715455"/>
    <w:rsid w:val="007155E6"/>
    <w:rsid w:val="00715655"/>
    <w:rsid w:val="00715BDD"/>
    <w:rsid w:val="00715C34"/>
    <w:rsid w:val="00716317"/>
    <w:rsid w:val="0071682B"/>
    <w:rsid w:val="00716A1E"/>
    <w:rsid w:val="00716AD2"/>
    <w:rsid w:val="00716D63"/>
    <w:rsid w:val="007172D9"/>
    <w:rsid w:val="00717322"/>
    <w:rsid w:val="007173B6"/>
    <w:rsid w:val="007176E6"/>
    <w:rsid w:val="00717CDD"/>
    <w:rsid w:val="00717DD4"/>
    <w:rsid w:val="00717E64"/>
    <w:rsid w:val="007200DC"/>
    <w:rsid w:val="007200E5"/>
    <w:rsid w:val="007202B4"/>
    <w:rsid w:val="0072036D"/>
    <w:rsid w:val="007203CA"/>
    <w:rsid w:val="00720853"/>
    <w:rsid w:val="00720900"/>
    <w:rsid w:val="00720A05"/>
    <w:rsid w:val="00720A6C"/>
    <w:rsid w:val="00721208"/>
    <w:rsid w:val="007214D6"/>
    <w:rsid w:val="007215AB"/>
    <w:rsid w:val="00721D0B"/>
    <w:rsid w:val="00721FB0"/>
    <w:rsid w:val="0072205D"/>
    <w:rsid w:val="007225EB"/>
    <w:rsid w:val="007226F5"/>
    <w:rsid w:val="007227B8"/>
    <w:rsid w:val="00722AFB"/>
    <w:rsid w:val="0072335F"/>
    <w:rsid w:val="007235F4"/>
    <w:rsid w:val="0072365F"/>
    <w:rsid w:val="00723ACC"/>
    <w:rsid w:val="00723B2C"/>
    <w:rsid w:val="00723BCC"/>
    <w:rsid w:val="007242AB"/>
    <w:rsid w:val="007242B0"/>
    <w:rsid w:val="00724A22"/>
    <w:rsid w:val="00724DB3"/>
    <w:rsid w:val="00724ED0"/>
    <w:rsid w:val="00724F4F"/>
    <w:rsid w:val="00724F92"/>
    <w:rsid w:val="00725174"/>
    <w:rsid w:val="007251BF"/>
    <w:rsid w:val="007253D6"/>
    <w:rsid w:val="0072559C"/>
    <w:rsid w:val="007256A8"/>
    <w:rsid w:val="0072578A"/>
    <w:rsid w:val="0072581E"/>
    <w:rsid w:val="0072597A"/>
    <w:rsid w:val="00725AC3"/>
    <w:rsid w:val="00725ED0"/>
    <w:rsid w:val="00726563"/>
    <w:rsid w:val="00726635"/>
    <w:rsid w:val="00726747"/>
    <w:rsid w:val="00726794"/>
    <w:rsid w:val="00726CD4"/>
    <w:rsid w:val="00727B64"/>
    <w:rsid w:val="00727C74"/>
    <w:rsid w:val="007302D3"/>
    <w:rsid w:val="0073052B"/>
    <w:rsid w:val="007307A4"/>
    <w:rsid w:val="00730823"/>
    <w:rsid w:val="00730BCD"/>
    <w:rsid w:val="00730F0F"/>
    <w:rsid w:val="007310B1"/>
    <w:rsid w:val="0073149F"/>
    <w:rsid w:val="0073177E"/>
    <w:rsid w:val="007319DC"/>
    <w:rsid w:val="00731B3A"/>
    <w:rsid w:val="00731E59"/>
    <w:rsid w:val="00732180"/>
    <w:rsid w:val="0073240D"/>
    <w:rsid w:val="00732412"/>
    <w:rsid w:val="00732825"/>
    <w:rsid w:val="0073285E"/>
    <w:rsid w:val="00732A66"/>
    <w:rsid w:val="00732B5B"/>
    <w:rsid w:val="00732BD4"/>
    <w:rsid w:val="00732D94"/>
    <w:rsid w:val="00733089"/>
    <w:rsid w:val="00733223"/>
    <w:rsid w:val="0073356C"/>
    <w:rsid w:val="00733974"/>
    <w:rsid w:val="00733A18"/>
    <w:rsid w:val="00733B36"/>
    <w:rsid w:val="00733D2A"/>
    <w:rsid w:val="0073405A"/>
    <w:rsid w:val="007341CC"/>
    <w:rsid w:val="00734760"/>
    <w:rsid w:val="007348FE"/>
    <w:rsid w:val="00734C6A"/>
    <w:rsid w:val="00735065"/>
    <w:rsid w:val="00735120"/>
    <w:rsid w:val="0073540D"/>
    <w:rsid w:val="007354CD"/>
    <w:rsid w:val="007358E5"/>
    <w:rsid w:val="00735A5F"/>
    <w:rsid w:val="00735CE7"/>
    <w:rsid w:val="00735EA3"/>
    <w:rsid w:val="00735F15"/>
    <w:rsid w:val="00736374"/>
    <w:rsid w:val="00736A3B"/>
    <w:rsid w:val="00737206"/>
    <w:rsid w:val="0073792C"/>
    <w:rsid w:val="00737965"/>
    <w:rsid w:val="00737E6E"/>
    <w:rsid w:val="00740067"/>
    <w:rsid w:val="00740420"/>
    <w:rsid w:val="0074057E"/>
    <w:rsid w:val="00740689"/>
    <w:rsid w:val="007406A5"/>
    <w:rsid w:val="00740B50"/>
    <w:rsid w:val="00740C99"/>
    <w:rsid w:val="00740D1A"/>
    <w:rsid w:val="00741064"/>
    <w:rsid w:val="00741176"/>
    <w:rsid w:val="00741348"/>
    <w:rsid w:val="00741696"/>
    <w:rsid w:val="007418CB"/>
    <w:rsid w:val="00741BCB"/>
    <w:rsid w:val="00741E0D"/>
    <w:rsid w:val="0074257A"/>
    <w:rsid w:val="0074273F"/>
    <w:rsid w:val="00742741"/>
    <w:rsid w:val="007427B1"/>
    <w:rsid w:val="00742910"/>
    <w:rsid w:val="00742BFC"/>
    <w:rsid w:val="00742E25"/>
    <w:rsid w:val="00743080"/>
    <w:rsid w:val="0074309F"/>
    <w:rsid w:val="0074363A"/>
    <w:rsid w:val="00744C1D"/>
    <w:rsid w:val="00744F46"/>
    <w:rsid w:val="0074506B"/>
    <w:rsid w:val="007452B0"/>
    <w:rsid w:val="00745421"/>
    <w:rsid w:val="0074544D"/>
    <w:rsid w:val="0074544E"/>
    <w:rsid w:val="00745465"/>
    <w:rsid w:val="007457D9"/>
    <w:rsid w:val="007457E9"/>
    <w:rsid w:val="00745E25"/>
    <w:rsid w:val="00746468"/>
    <w:rsid w:val="00746763"/>
    <w:rsid w:val="007467CC"/>
    <w:rsid w:val="007468AD"/>
    <w:rsid w:val="00746A1F"/>
    <w:rsid w:val="00746F13"/>
    <w:rsid w:val="00746F93"/>
    <w:rsid w:val="00747221"/>
    <w:rsid w:val="00747303"/>
    <w:rsid w:val="0074733F"/>
    <w:rsid w:val="00747434"/>
    <w:rsid w:val="0074788B"/>
    <w:rsid w:val="007479EA"/>
    <w:rsid w:val="00747DDB"/>
    <w:rsid w:val="00747F56"/>
    <w:rsid w:val="0075014D"/>
    <w:rsid w:val="0075040F"/>
    <w:rsid w:val="00750C9A"/>
    <w:rsid w:val="007512BA"/>
    <w:rsid w:val="0075137C"/>
    <w:rsid w:val="007516CC"/>
    <w:rsid w:val="007517B8"/>
    <w:rsid w:val="00751A59"/>
    <w:rsid w:val="0075210F"/>
    <w:rsid w:val="0075222A"/>
    <w:rsid w:val="00752A7E"/>
    <w:rsid w:val="00752E2F"/>
    <w:rsid w:val="0075380C"/>
    <w:rsid w:val="00753973"/>
    <w:rsid w:val="00753C90"/>
    <w:rsid w:val="00753EB8"/>
    <w:rsid w:val="007540E0"/>
    <w:rsid w:val="0075418A"/>
    <w:rsid w:val="00754259"/>
    <w:rsid w:val="0075429D"/>
    <w:rsid w:val="00754328"/>
    <w:rsid w:val="007543E3"/>
    <w:rsid w:val="007546FD"/>
    <w:rsid w:val="007549DC"/>
    <w:rsid w:val="00754A11"/>
    <w:rsid w:val="00754BCC"/>
    <w:rsid w:val="00754C1A"/>
    <w:rsid w:val="007550BE"/>
    <w:rsid w:val="007551C1"/>
    <w:rsid w:val="007559BC"/>
    <w:rsid w:val="007559C5"/>
    <w:rsid w:val="00755B9A"/>
    <w:rsid w:val="00755BAB"/>
    <w:rsid w:val="0075601E"/>
    <w:rsid w:val="00756034"/>
    <w:rsid w:val="007561E5"/>
    <w:rsid w:val="007562A0"/>
    <w:rsid w:val="00756461"/>
    <w:rsid w:val="0075664C"/>
    <w:rsid w:val="00756ACB"/>
    <w:rsid w:val="00757182"/>
    <w:rsid w:val="0075747B"/>
    <w:rsid w:val="00757565"/>
    <w:rsid w:val="0075756E"/>
    <w:rsid w:val="007579C1"/>
    <w:rsid w:val="00757C26"/>
    <w:rsid w:val="00757C81"/>
    <w:rsid w:val="00757F83"/>
    <w:rsid w:val="0076003C"/>
    <w:rsid w:val="007602D6"/>
    <w:rsid w:val="0076097E"/>
    <w:rsid w:val="00760EAD"/>
    <w:rsid w:val="007610B7"/>
    <w:rsid w:val="007611D1"/>
    <w:rsid w:val="00761341"/>
    <w:rsid w:val="00761466"/>
    <w:rsid w:val="007614C1"/>
    <w:rsid w:val="00761510"/>
    <w:rsid w:val="007616A7"/>
    <w:rsid w:val="0076195B"/>
    <w:rsid w:val="00761B5B"/>
    <w:rsid w:val="00761BAA"/>
    <w:rsid w:val="00761C7D"/>
    <w:rsid w:val="00761F19"/>
    <w:rsid w:val="0076260D"/>
    <w:rsid w:val="00762713"/>
    <w:rsid w:val="0076290C"/>
    <w:rsid w:val="00762C40"/>
    <w:rsid w:val="00762D25"/>
    <w:rsid w:val="00762E26"/>
    <w:rsid w:val="0076308F"/>
    <w:rsid w:val="00763213"/>
    <w:rsid w:val="00763369"/>
    <w:rsid w:val="00763505"/>
    <w:rsid w:val="007638DC"/>
    <w:rsid w:val="007639E4"/>
    <w:rsid w:val="007639ED"/>
    <w:rsid w:val="00763B77"/>
    <w:rsid w:val="00763CA4"/>
    <w:rsid w:val="00763E54"/>
    <w:rsid w:val="0076485C"/>
    <w:rsid w:val="00764BA7"/>
    <w:rsid w:val="00765074"/>
    <w:rsid w:val="007650DF"/>
    <w:rsid w:val="007653A7"/>
    <w:rsid w:val="007656AC"/>
    <w:rsid w:val="0076594B"/>
    <w:rsid w:val="007659B9"/>
    <w:rsid w:val="007659EE"/>
    <w:rsid w:val="00765C6A"/>
    <w:rsid w:val="00766377"/>
    <w:rsid w:val="007667A6"/>
    <w:rsid w:val="00766A72"/>
    <w:rsid w:val="00766E32"/>
    <w:rsid w:val="0076702C"/>
    <w:rsid w:val="0076739B"/>
    <w:rsid w:val="00767500"/>
    <w:rsid w:val="0076755C"/>
    <w:rsid w:val="00767F1C"/>
    <w:rsid w:val="00767F6C"/>
    <w:rsid w:val="00767FA8"/>
    <w:rsid w:val="0077058D"/>
    <w:rsid w:val="00770798"/>
    <w:rsid w:val="00770867"/>
    <w:rsid w:val="007708CB"/>
    <w:rsid w:val="00770995"/>
    <w:rsid w:val="00770E89"/>
    <w:rsid w:val="007710DC"/>
    <w:rsid w:val="007712BC"/>
    <w:rsid w:val="00771974"/>
    <w:rsid w:val="00771A54"/>
    <w:rsid w:val="00771B66"/>
    <w:rsid w:val="00771C60"/>
    <w:rsid w:val="00771D39"/>
    <w:rsid w:val="0077231D"/>
    <w:rsid w:val="00772367"/>
    <w:rsid w:val="007725CE"/>
    <w:rsid w:val="00772631"/>
    <w:rsid w:val="007726FA"/>
    <w:rsid w:val="00772829"/>
    <w:rsid w:val="00772A01"/>
    <w:rsid w:val="00772DDD"/>
    <w:rsid w:val="00772DF9"/>
    <w:rsid w:val="00772EAE"/>
    <w:rsid w:val="0077319F"/>
    <w:rsid w:val="00773397"/>
    <w:rsid w:val="00773725"/>
    <w:rsid w:val="0077398B"/>
    <w:rsid w:val="00773FFF"/>
    <w:rsid w:val="00774302"/>
    <w:rsid w:val="00774876"/>
    <w:rsid w:val="007748D6"/>
    <w:rsid w:val="00774BCA"/>
    <w:rsid w:val="00774FDA"/>
    <w:rsid w:val="007754FE"/>
    <w:rsid w:val="0077571B"/>
    <w:rsid w:val="00775C5E"/>
    <w:rsid w:val="00775FB6"/>
    <w:rsid w:val="00776042"/>
    <w:rsid w:val="007760ED"/>
    <w:rsid w:val="007762DE"/>
    <w:rsid w:val="00776324"/>
    <w:rsid w:val="007765BC"/>
    <w:rsid w:val="0077669B"/>
    <w:rsid w:val="00776815"/>
    <w:rsid w:val="00776F84"/>
    <w:rsid w:val="00777010"/>
    <w:rsid w:val="00777848"/>
    <w:rsid w:val="00777893"/>
    <w:rsid w:val="00777901"/>
    <w:rsid w:val="00777A9B"/>
    <w:rsid w:val="00777D8F"/>
    <w:rsid w:val="007800E8"/>
    <w:rsid w:val="007802A3"/>
    <w:rsid w:val="00780327"/>
    <w:rsid w:val="00780483"/>
    <w:rsid w:val="007806C3"/>
    <w:rsid w:val="007808B6"/>
    <w:rsid w:val="007808ED"/>
    <w:rsid w:val="00780BB7"/>
    <w:rsid w:val="00780DF8"/>
    <w:rsid w:val="00781206"/>
    <w:rsid w:val="00781393"/>
    <w:rsid w:val="00781650"/>
    <w:rsid w:val="007818A3"/>
    <w:rsid w:val="007818FC"/>
    <w:rsid w:val="00781CA6"/>
    <w:rsid w:val="00781CA9"/>
    <w:rsid w:val="00781D32"/>
    <w:rsid w:val="00781E4F"/>
    <w:rsid w:val="00782212"/>
    <w:rsid w:val="0078295F"/>
    <w:rsid w:val="00782981"/>
    <w:rsid w:val="00782B43"/>
    <w:rsid w:val="00782FC9"/>
    <w:rsid w:val="007831AD"/>
    <w:rsid w:val="00783411"/>
    <w:rsid w:val="00783755"/>
    <w:rsid w:val="00783822"/>
    <w:rsid w:val="00783AE1"/>
    <w:rsid w:val="00783E5E"/>
    <w:rsid w:val="00783FE3"/>
    <w:rsid w:val="007842D3"/>
    <w:rsid w:val="00784341"/>
    <w:rsid w:val="00784345"/>
    <w:rsid w:val="007844EB"/>
    <w:rsid w:val="0078463C"/>
    <w:rsid w:val="00784CC4"/>
    <w:rsid w:val="0078514A"/>
    <w:rsid w:val="007852E9"/>
    <w:rsid w:val="0078533F"/>
    <w:rsid w:val="00785482"/>
    <w:rsid w:val="007854BC"/>
    <w:rsid w:val="007855DE"/>
    <w:rsid w:val="0078569E"/>
    <w:rsid w:val="007859FA"/>
    <w:rsid w:val="00785A8C"/>
    <w:rsid w:val="00785B6C"/>
    <w:rsid w:val="007863BB"/>
    <w:rsid w:val="00786475"/>
    <w:rsid w:val="00786B6D"/>
    <w:rsid w:val="00786B93"/>
    <w:rsid w:val="00786C01"/>
    <w:rsid w:val="00787281"/>
    <w:rsid w:val="00787310"/>
    <w:rsid w:val="00787494"/>
    <w:rsid w:val="0078749A"/>
    <w:rsid w:val="00787805"/>
    <w:rsid w:val="0078789E"/>
    <w:rsid w:val="00787BC8"/>
    <w:rsid w:val="00790133"/>
    <w:rsid w:val="00790447"/>
    <w:rsid w:val="007909B4"/>
    <w:rsid w:val="00790B15"/>
    <w:rsid w:val="00790CA1"/>
    <w:rsid w:val="00790E73"/>
    <w:rsid w:val="00790F49"/>
    <w:rsid w:val="00791474"/>
    <w:rsid w:val="0079165B"/>
    <w:rsid w:val="0079174A"/>
    <w:rsid w:val="0079215E"/>
    <w:rsid w:val="00792258"/>
    <w:rsid w:val="00792770"/>
    <w:rsid w:val="00792A01"/>
    <w:rsid w:val="00792E10"/>
    <w:rsid w:val="007931CB"/>
    <w:rsid w:val="00793452"/>
    <w:rsid w:val="00793827"/>
    <w:rsid w:val="00793C58"/>
    <w:rsid w:val="00794265"/>
    <w:rsid w:val="007942F5"/>
    <w:rsid w:val="0079437D"/>
    <w:rsid w:val="0079441E"/>
    <w:rsid w:val="007945B3"/>
    <w:rsid w:val="0079473D"/>
    <w:rsid w:val="00794A19"/>
    <w:rsid w:val="00794A3A"/>
    <w:rsid w:val="00794B1D"/>
    <w:rsid w:val="007951D4"/>
    <w:rsid w:val="00795262"/>
    <w:rsid w:val="00795282"/>
    <w:rsid w:val="007954DD"/>
    <w:rsid w:val="007954E0"/>
    <w:rsid w:val="0079560E"/>
    <w:rsid w:val="0079566C"/>
    <w:rsid w:val="00796BC7"/>
    <w:rsid w:val="00797888"/>
    <w:rsid w:val="00797C46"/>
    <w:rsid w:val="00797EC1"/>
    <w:rsid w:val="007A0012"/>
    <w:rsid w:val="007A00ED"/>
    <w:rsid w:val="007A0289"/>
    <w:rsid w:val="007A02FA"/>
    <w:rsid w:val="007A0346"/>
    <w:rsid w:val="007A037C"/>
    <w:rsid w:val="007A09E0"/>
    <w:rsid w:val="007A0AD4"/>
    <w:rsid w:val="007A0AE6"/>
    <w:rsid w:val="007A0BE8"/>
    <w:rsid w:val="007A0BFA"/>
    <w:rsid w:val="007A0D38"/>
    <w:rsid w:val="007A0DA4"/>
    <w:rsid w:val="007A0FE3"/>
    <w:rsid w:val="007A10BD"/>
    <w:rsid w:val="007A19F6"/>
    <w:rsid w:val="007A1BA4"/>
    <w:rsid w:val="007A1C15"/>
    <w:rsid w:val="007A1CC1"/>
    <w:rsid w:val="007A22D7"/>
    <w:rsid w:val="007A23FE"/>
    <w:rsid w:val="007A2934"/>
    <w:rsid w:val="007A2B65"/>
    <w:rsid w:val="007A2D02"/>
    <w:rsid w:val="007A2EEF"/>
    <w:rsid w:val="007A306B"/>
    <w:rsid w:val="007A36CD"/>
    <w:rsid w:val="007A42CE"/>
    <w:rsid w:val="007A449A"/>
    <w:rsid w:val="007A455E"/>
    <w:rsid w:val="007A456E"/>
    <w:rsid w:val="007A46FE"/>
    <w:rsid w:val="007A4900"/>
    <w:rsid w:val="007A4B69"/>
    <w:rsid w:val="007A4BAD"/>
    <w:rsid w:val="007A4DC1"/>
    <w:rsid w:val="007A4E14"/>
    <w:rsid w:val="007A4EE1"/>
    <w:rsid w:val="007A549F"/>
    <w:rsid w:val="007A5617"/>
    <w:rsid w:val="007A5789"/>
    <w:rsid w:val="007A5F08"/>
    <w:rsid w:val="007A6EAF"/>
    <w:rsid w:val="007A707D"/>
    <w:rsid w:val="007A7156"/>
    <w:rsid w:val="007A725F"/>
    <w:rsid w:val="007A7501"/>
    <w:rsid w:val="007A761C"/>
    <w:rsid w:val="007A786C"/>
    <w:rsid w:val="007A797F"/>
    <w:rsid w:val="007A7AC0"/>
    <w:rsid w:val="007A7B09"/>
    <w:rsid w:val="007A7E9C"/>
    <w:rsid w:val="007B0067"/>
    <w:rsid w:val="007B0245"/>
    <w:rsid w:val="007B0261"/>
    <w:rsid w:val="007B026C"/>
    <w:rsid w:val="007B05C3"/>
    <w:rsid w:val="007B06A3"/>
    <w:rsid w:val="007B076F"/>
    <w:rsid w:val="007B083F"/>
    <w:rsid w:val="007B0880"/>
    <w:rsid w:val="007B0A13"/>
    <w:rsid w:val="007B0C1B"/>
    <w:rsid w:val="007B0D01"/>
    <w:rsid w:val="007B117E"/>
    <w:rsid w:val="007B13E9"/>
    <w:rsid w:val="007B1535"/>
    <w:rsid w:val="007B196A"/>
    <w:rsid w:val="007B1B8D"/>
    <w:rsid w:val="007B1C12"/>
    <w:rsid w:val="007B1CEE"/>
    <w:rsid w:val="007B1E38"/>
    <w:rsid w:val="007B2085"/>
    <w:rsid w:val="007B23F3"/>
    <w:rsid w:val="007B2725"/>
    <w:rsid w:val="007B295F"/>
    <w:rsid w:val="007B2BE0"/>
    <w:rsid w:val="007B2DE9"/>
    <w:rsid w:val="007B2E4F"/>
    <w:rsid w:val="007B2FDC"/>
    <w:rsid w:val="007B3648"/>
    <w:rsid w:val="007B38A0"/>
    <w:rsid w:val="007B38B7"/>
    <w:rsid w:val="007B38F1"/>
    <w:rsid w:val="007B3914"/>
    <w:rsid w:val="007B3A07"/>
    <w:rsid w:val="007B3AE0"/>
    <w:rsid w:val="007B3CC7"/>
    <w:rsid w:val="007B3D65"/>
    <w:rsid w:val="007B3EEF"/>
    <w:rsid w:val="007B40CF"/>
    <w:rsid w:val="007B42FD"/>
    <w:rsid w:val="007B490A"/>
    <w:rsid w:val="007B4AB1"/>
    <w:rsid w:val="007B4DE9"/>
    <w:rsid w:val="007B4F7B"/>
    <w:rsid w:val="007B5016"/>
    <w:rsid w:val="007B5147"/>
    <w:rsid w:val="007B5459"/>
    <w:rsid w:val="007B5807"/>
    <w:rsid w:val="007B583D"/>
    <w:rsid w:val="007B58F0"/>
    <w:rsid w:val="007B5E09"/>
    <w:rsid w:val="007B604A"/>
    <w:rsid w:val="007B6107"/>
    <w:rsid w:val="007B6672"/>
    <w:rsid w:val="007B6684"/>
    <w:rsid w:val="007B67EF"/>
    <w:rsid w:val="007B692F"/>
    <w:rsid w:val="007B6B21"/>
    <w:rsid w:val="007B6E2F"/>
    <w:rsid w:val="007B7024"/>
    <w:rsid w:val="007B73E8"/>
    <w:rsid w:val="007B7709"/>
    <w:rsid w:val="007B7940"/>
    <w:rsid w:val="007B7CC6"/>
    <w:rsid w:val="007C0025"/>
    <w:rsid w:val="007C0268"/>
    <w:rsid w:val="007C0390"/>
    <w:rsid w:val="007C06ED"/>
    <w:rsid w:val="007C0CDD"/>
    <w:rsid w:val="007C11B6"/>
    <w:rsid w:val="007C14A2"/>
    <w:rsid w:val="007C15E9"/>
    <w:rsid w:val="007C190F"/>
    <w:rsid w:val="007C1937"/>
    <w:rsid w:val="007C1A3C"/>
    <w:rsid w:val="007C1F49"/>
    <w:rsid w:val="007C24BC"/>
    <w:rsid w:val="007C2789"/>
    <w:rsid w:val="007C2E15"/>
    <w:rsid w:val="007C300E"/>
    <w:rsid w:val="007C328D"/>
    <w:rsid w:val="007C336F"/>
    <w:rsid w:val="007C40EF"/>
    <w:rsid w:val="007C41B1"/>
    <w:rsid w:val="007C4492"/>
    <w:rsid w:val="007C4A5B"/>
    <w:rsid w:val="007C4D36"/>
    <w:rsid w:val="007C51DD"/>
    <w:rsid w:val="007C5234"/>
    <w:rsid w:val="007C53B7"/>
    <w:rsid w:val="007C5EBA"/>
    <w:rsid w:val="007C61F1"/>
    <w:rsid w:val="007C644D"/>
    <w:rsid w:val="007C6596"/>
    <w:rsid w:val="007C6762"/>
    <w:rsid w:val="007C677C"/>
    <w:rsid w:val="007C6807"/>
    <w:rsid w:val="007C6D0E"/>
    <w:rsid w:val="007C6FCD"/>
    <w:rsid w:val="007C7188"/>
    <w:rsid w:val="007C754D"/>
    <w:rsid w:val="007D0189"/>
    <w:rsid w:val="007D0661"/>
    <w:rsid w:val="007D0E30"/>
    <w:rsid w:val="007D107B"/>
    <w:rsid w:val="007D1501"/>
    <w:rsid w:val="007D1906"/>
    <w:rsid w:val="007D1BCF"/>
    <w:rsid w:val="007D1ECC"/>
    <w:rsid w:val="007D1F49"/>
    <w:rsid w:val="007D2239"/>
    <w:rsid w:val="007D2348"/>
    <w:rsid w:val="007D2423"/>
    <w:rsid w:val="007D2834"/>
    <w:rsid w:val="007D2AE8"/>
    <w:rsid w:val="007D30B7"/>
    <w:rsid w:val="007D3A44"/>
    <w:rsid w:val="007D41AC"/>
    <w:rsid w:val="007D429E"/>
    <w:rsid w:val="007D44D3"/>
    <w:rsid w:val="007D4635"/>
    <w:rsid w:val="007D48A7"/>
    <w:rsid w:val="007D4AB1"/>
    <w:rsid w:val="007D4DC3"/>
    <w:rsid w:val="007D4F78"/>
    <w:rsid w:val="007D5505"/>
    <w:rsid w:val="007D595C"/>
    <w:rsid w:val="007D597C"/>
    <w:rsid w:val="007D5B58"/>
    <w:rsid w:val="007D5BC2"/>
    <w:rsid w:val="007D5F87"/>
    <w:rsid w:val="007D602E"/>
    <w:rsid w:val="007D628B"/>
    <w:rsid w:val="007D647E"/>
    <w:rsid w:val="007D70FA"/>
    <w:rsid w:val="007D73BA"/>
    <w:rsid w:val="007D76CA"/>
    <w:rsid w:val="007D7CB3"/>
    <w:rsid w:val="007E0FD3"/>
    <w:rsid w:val="007E1500"/>
    <w:rsid w:val="007E15AD"/>
    <w:rsid w:val="007E16F6"/>
    <w:rsid w:val="007E1803"/>
    <w:rsid w:val="007E186E"/>
    <w:rsid w:val="007E1BD7"/>
    <w:rsid w:val="007E1DF3"/>
    <w:rsid w:val="007E1F72"/>
    <w:rsid w:val="007E1FB0"/>
    <w:rsid w:val="007E25ED"/>
    <w:rsid w:val="007E26AA"/>
    <w:rsid w:val="007E296D"/>
    <w:rsid w:val="007E2B75"/>
    <w:rsid w:val="007E2BC0"/>
    <w:rsid w:val="007E2CFA"/>
    <w:rsid w:val="007E2DBF"/>
    <w:rsid w:val="007E2EBE"/>
    <w:rsid w:val="007E34E1"/>
    <w:rsid w:val="007E3516"/>
    <w:rsid w:val="007E38B9"/>
    <w:rsid w:val="007E38C3"/>
    <w:rsid w:val="007E38D7"/>
    <w:rsid w:val="007E3D14"/>
    <w:rsid w:val="007E3DB3"/>
    <w:rsid w:val="007E41C8"/>
    <w:rsid w:val="007E4388"/>
    <w:rsid w:val="007E4E12"/>
    <w:rsid w:val="007E4E59"/>
    <w:rsid w:val="007E4F05"/>
    <w:rsid w:val="007E503D"/>
    <w:rsid w:val="007E51AE"/>
    <w:rsid w:val="007E530E"/>
    <w:rsid w:val="007E58E8"/>
    <w:rsid w:val="007E5DB6"/>
    <w:rsid w:val="007E616B"/>
    <w:rsid w:val="007E6344"/>
    <w:rsid w:val="007E68EB"/>
    <w:rsid w:val="007E6D1C"/>
    <w:rsid w:val="007E71BA"/>
    <w:rsid w:val="007E729D"/>
    <w:rsid w:val="007E7437"/>
    <w:rsid w:val="007E767A"/>
    <w:rsid w:val="007E7A96"/>
    <w:rsid w:val="007E7A9A"/>
    <w:rsid w:val="007E7BE1"/>
    <w:rsid w:val="007F0106"/>
    <w:rsid w:val="007F01BF"/>
    <w:rsid w:val="007F04F0"/>
    <w:rsid w:val="007F0661"/>
    <w:rsid w:val="007F09C7"/>
    <w:rsid w:val="007F0F4E"/>
    <w:rsid w:val="007F1416"/>
    <w:rsid w:val="007F1D6F"/>
    <w:rsid w:val="007F1E65"/>
    <w:rsid w:val="007F1F1B"/>
    <w:rsid w:val="007F2091"/>
    <w:rsid w:val="007F22CF"/>
    <w:rsid w:val="007F302E"/>
    <w:rsid w:val="007F3093"/>
    <w:rsid w:val="007F357E"/>
    <w:rsid w:val="007F37B0"/>
    <w:rsid w:val="007F3C55"/>
    <w:rsid w:val="007F3E7C"/>
    <w:rsid w:val="007F40E1"/>
    <w:rsid w:val="007F429F"/>
    <w:rsid w:val="007F435D"/>
    <w:rsid w:val="007F4506"/>
    <w:rsid w:val="007F4518"/>
    <w:rsid w:val="007F47F5"/>
    <w:rsid w:val="007F48FC"/>
    <w:rsid w:val="007F4ADA"/>
    <w:rsid w:val="007F4BF2"/>
    <w:rsid w:val="007F520B"/>
    <w:rsid w:val="007F544A"/>
    <w:rsid w:val="007F5700"/>
    <w:rsid w:val="007F59D6"/>
    <w:rsid w:val="007F5F89"/>
    <w:rsid w:val="007F6511"/>
    <w:rsid w:val="007F65B6"/>
    <w:rsid w:val="007F6674"/>
    <w:rsid w:val="007F67E9"/>
    <w:rsid w:val="007F6AAB"/>
    <w:rsid w:val="007F6C1F"/>
    <w:rsid w:val="007F6D53"/>
    <w:rsid w:val="007F6F96"/>
    <w:rsid w:val="007F7001"/>
    <w:rsid w:val="007F7237"/>
    <w:rsid w:val="007F734C"/>
    <w:rsid w:val="007F76C5"/>
    <w:rsid w:val="007F7AB9"/>
    <w:rsid w:val="007F7C7B"/>
    <w:rsid w:val="007F7F37"/>
    <w:rsid w:val="008003FC"/>
    <w:rsid w:val="0080044C"/>
    <w:rsid w:val="008004B7"/>
    <w:rsid w:val="00800541"/>
    <w:rsid w:val="00800845"/>
    <w:rsid w:val="008009A1"/>
    <w:rsid w:val="008009A2"/>
    <w:rsid w:val="00800B49"/>
    <w:rsid w:val="00800EB0"/>
    <w:rsid w:val="00800F4E"/>
    <w:rsid w:val="008010A2"/>
    <w:rsid w:val="00801731"/>
    <w:rsid w:val="008018F4"/>
    <w:rsid w:val="00801CBA"/>
    <w:rsid w:val="00802051"/>
    <w:rsid w:val="0080210A"/>
    <w:rsid w:val="00802D0B"/>
    <w:rsid w:val="00803101"/>
    <w:rsid w:val="008034EA"/>
    <w:rsid w:val="008037C9"/>
    <w:rsid w:val="0080389F"/>
    <w:rsid w:val="00803C63"/>
    <w:rsid w:val="00804087"/>
    <w:rsid w:val="008040A2"/>
    <w:rsid w:val="00804432"/>
    <w:rsid w:val="008044B1"/>
    <w:rsid w:val="0080460C"/>
    <w:rsid w:val="00804632"/>
    <w:rsid w:val="00804655"/>
    <w:rsid w:val="00804973"/>
    <w:rsid w:val="00804A12"/>
    <w:rsid w:val="00804B97"/>
    <w:rsid w:val="00804E8C"/>
    <w:rsid w:val="00805097"/>
    <w:rsid w:val="008054D9"/>
    <w:rsid w:val="00805814"/>
    <w:rsid w:val="0080599C"/>
    <w:rsid w:val="00805C6B"/>
    <w:rsid w:val="00805DEF"/>
    <w:rsid w:val="00805E80"/>
    <w:rsid w:val="00806179"/>
    <w:rsid w:val="00806688"/>
    <w:rsid w:val="00807A3E"/>
    <w:rsid w:val="00807A8B"/>
    <w:rsid w:val="00807CC8"/>
    <w:rsid w:val="00810338"/>
    <w:rsid w:val="0081093E"/>
    <w:rsid w:val="00810AA8"/>
    <w:rsid w:val="00810BC7"/>
    <w:rsid w:val="00810BF1"/>
    <w:rsid w:val="00810C45"/>
    <w:rsid w:val="00810D8F"/>
    <w:rsid w:val="00811377"/>
    <w:rsid w:val="00811A3D"/>
    <w:rsid w:val="00811C2E"/>
    <w:rsid w:val="00812282"/>
    <w:rsid w:val="008123D4"/>
    <w:rsid w:val="00812649"/>
    <w:rsid w:val="008126E8"/>
    <w:rsid w:val="00812905"/>
    <w:rsid w:val="0081297A"/>
    <w:rsid w:val="00812A37"/>
    <w:rsid w:val="00812B7A"/>
    <w:rsid w:val="00812CB5"/>
    <w:rsid w:val="00812F66"/>
    <w:rsid w:val="00813395"/>
    <w:rsid w:val="00813431"/>
    <w:rsid w:val="00813691"/>
    <w:rsid w:val="008138BC"/>
    <w:rsid w:val="00813CA1"/>
    <w:rsid w:val="00813DA9"/>
    <w:rsid w:val="00813F59"/>
    <w:rsid w:val="0081411D"/>
    <w:rsid w:val="0081417E"/>
    <w:rsid w:val="008141C9"/>
    <w:rsid w:val="008145AB"/>
    <w:rsid w:val="00814662"/>
    <w:rsid w:val="0081470E"/>
    <w:rsid w:val="008148E4"/>
    <w:rsid w:val="00814EFF"/>
    <w:rsid w:val="0081574E"/>
    <w:rsid w:val="008157F1"/>
    <w:rsid w:val="00816014"/>
    <w:rsid w:val="008161C7"/>
    <w:rsid w:val="00816243"/>
    <w:rsid w:val="00816929"/>
    <w:rsid w:val="00816EC2"/>
    <w:rsid w:val="00817047"/>
    <w:rsid w:val="00817539"/>
    <w:rsid w:val="00817566"/>
    <w:rsid w:val="00817881"/>
    <w:rsid w:val="00817937"/>
    <w:rsid w:val="008179AE"/>
    <w:rsid w:val="008204F5"/>
    <w:rsid w:val="00820627"/>
    <w:rsid w:val="008206FD"/>
    <w:rsid w:val="00820872"/>
    <w:rsid w:val="00820F55"/>
    <w:rsid w:val="0082144B"/>
    <w:rsid w:val="0082191E"/>
    <w:rsid w:val="00821946"/>
    <w:rsid w:val="00821B41"/>
    <w:rsid w:val="00821E7A"/>
    <w:rsid w:val="0082216D"/>
    <w:rsid w:val="00822604"/>
    <w:rsid w:val="00822634"/>
    <w:rsid w:val="008226D9"/>
    <w:rsid w:val="00822923"/>
    <w:rsid w:val="00822987"/>
    <w:rsid w:val="00822BB2"/>
    <w:rsid w:val="00822D13"/>
    <w:rsid w:val="00822D41"/>
    <w:rsid w:val="008236E1"/>
    <w:rsid w:val="0082376D"/>
    <w:rsid w:val="00823B83"/>
    <w:rsid w:val="008241F9"/>
    <w:rsid w:val="00824458"/>
    <w:rsid w:val="0082493D"/>
    <w:rsid w:val="008249F7"/>
    <w:rsid w:val="00824B74"/>
    <w:rsid w:val="00824EBB"/>
    <w:rsid w:val="00824FA9"/>
    <w:rsid w:val="0082516C"/>
    <w:rsid w:val="00825691"/>
    <w:rsid w:val="00826121"/>
    <w:rsid w:val="008264C1"/>
    <w:rsid w:val="008265E8"/>
    <w:rsid w:val="008267CF"/>
    <w:rsid w:val="00826831"/>
    <w:rsid w:val="008268F2"/>
    <w:rsid w:val="00827027"/>
    <w:rsid w:val="0082733E"/>
    <w:rsid w:val="0082773E"/>
    <w:rsid w:val="00827AF0"/>
    <w:rsid w:val="00827BA1"/>
    <w:rsid w:val="008300E2"/>
    <w:rsid w:val="0083028E"/>
    <w:rsid w:val="008304C8"/>
    <w:rsid w:val="00830629"/>
    <w:rsid w:val="008307BE"/>
    <w:rsid w:val="00830C4D"/>
    <w:rsid w:val="008311EE"/>
    <w:rsid w:val="00831369"/>
    <w:rsid w:val="008314EF"/>
    <w:rsid w:val="008315A5"/>
    <w:rsid w:val="0083195B"/>
    <w:rsid w:val="00831CE2"/>
    <w:rsid w:val="00832202"/>
    <w:rsid w:val="008325B5"/>
    <w:rsid w:val="00832721"/>
    <w:rsid w:val="00832BD0"/>
    <w:rsid w:val="00833072"/>
    <w:rsid w:val="0083320C"/>
    <w:rsid w:val="00833273"/>
    <w:rsid w:val="008335C7"/>
    <w:rsid w:val="00833A6A"/>
    <w:rsid w:val="00833AF9"/>
    <w:rsid w:val="008343D3"/>
    <w:rsid w:val="0083446E"/>
    <w:rsid w:val="00834576"/>
    <w:rsid w:val="00834718"/>
    <w:rsid w:val="008349FB"/>
    <w:rsid w:val="00834A40"/>
    <w:rsid w:val="00834E0D"/>
    <w:rsid w:val="00834F9E"/>
    <w:rsid w:val="00835063"/>
    <w:rsid w:val="008351E9"/>
    <w:rsid w:val="008353B0"/>
    <w:rsid w:val="00835E39"/>
    <w:rsid w:val="00835EC9"/>
    <w:rsid w:val="008368DA"/>
    <w:rsid w:val="008369E7"/>
    <w:rsid w:val="008369F6"/>
    <w:rsid w:val="00836B6F"/>
    <w:rsid w:val="00836D7B"/>
    <w:rsid w:val="00836E8E"/>
    <w:rsid w:val="00836FE9"/>
    <w:rsid w:val="00837335"/>
    <w:rsid w:val="00837392"/>
    <w:rsid w:val="00837456"/>
    <w:rsid w:val="00837464"/>
    <w:rsid w:val="008376C3"/>
    <w:rsid w:val="008377C5"/>
    <w:rsid w:val="00837F00"/>
    <w:rsid w:val="00837F5F"/>
    <w:rsid w:val="008401ED"/>
    <w:rsid w:val="008402B2"/>
    <w:rsid w:val="0084035E"/>
    <w:rsid w:val="00840423"/>
    <w:rsid w:val="0084082D"/>
    <w:rsid w:val="008410F9"/>
    <w:rsid w:val="00841238"/>
    <w:rsid w:val="00841388"/>
    <w:rsid w:val="00841488"/>
    <w:rsid w:val="0084160D"/>
    <w:rsid w:val="008419C9"/>
    <w:rsid w:val="00841CA9"/>
    <w:rsid w:val="00841EFB"/>
    <w:rsid w:val="00841F44"/>
    <w:rsid w:val="00842423"/>
    <w:rsid w:val="008427A8"/>
    <w:rsid w:val="00842938"/>
    <w:rsid w:val="008429C0"/>
    <w:rsid w:val="00842C82"/>
    <w:rsid w:val="00842DC8"/>
    <w:rsid w:val="00842F3D"/>
    <w:rsid w:val="00843398"/>
    <w:rsid w:val="008435BA"/>
    <w:rsid w:val="008436D7"/>
    <w:rsid w:val="008438EB"/>
    <w:rsid w:val="00843939"/>
    <w:rsid w:val="00843A88"/>
    <w:rsid w:val="00843F6C"/>
    <w:rsid w:val="008440FE"/>
    <w:rsid w:val="008442C6"/>
    <w:rsid w:val="008442CA"/>
    <w:rsid w:val="0084458E"/>
    <w:rsid w:val="0084460B"/>
    <w:rsid w:val="0084469D"/>
    <w:rsid w:val="0084470A"/>
    <w:rsid w:val="00844FE6"/>
    <w:rsid w:val="008451F3"/>
    <w:rsid w:val="00845294"/>
    <w:rsid w:val="008452D8"/>
    <w:rsid w:val="008453C9"/>
    <w:rsid w:val="008454AB"/>
    <w:rsid w:val="008454B4"/>
    <w:rsid w:val="00845611"/>
    <w:rsid w:val="00845772"/>
    <w:rsid w:val="00845BED"/>
    <w:rsid w:val="00845D84"/>
    <w:rsid w:val="00845DF7"/>
    <w:rsid w:val="00846047"/>
    <w:rsid w:val="008460CD"/>
    <w:rsid w:val="00846119"/>
    <w:rsid w:val="00846312"/>
    <w:rsid w:val="00846443"/>
    <w:rsid w:val="00846994"/>
    <w:rsid w:val="00846A7A"/>
    <w:rsid w:val="00846B93"/>
    <w:rsid w:val="00846E53"/>
    <w:rsid w:val="008474E3"/>
    <w:rsid w:val="00847859"/>
    <w:rsid w:val="008478F3"/>
    <w:rsid w:val="00847FCE"/>
    <w:rsid w:val="0084CC63"/>
    <w:rsid w:val="008504C8"/>
    <w:rsid w:val="008505E5"/>
    <w:rsid w:val="008506C9"/>
    <w:rsid w:val="00850A60"/>
    <w:rsid w:val="00850D8A"/>
    <w:rsid w:val="0085169E"/>
    <w:rsid w:val="0085198F"/>
    <w:rsid w:val="00851C7C"/>
    <w:rsid w:val="00851D33"/>
    <w:rsid w:val="00852406"/>
    <w:rsid w:val="008524DA"/>
    <w:rsid w:val="008527ED"/>
    <w:rsid w:val="00852BE0"/>
    <w:rsid w:val="00852C10"/>
    <w:rsid w:val="00853195"/>
    <w:rsid w:val="00853253"/>
    <w:rsid w:val="008533A4"/>
    <w:rsid w:val="00853745"/>
    <w:rsid w:val="008537F7"/>
    <w:rsid w:val="00853E4A"/>
    <w:rsid w:val="00854152"/>
    <w:rsid w:val="0085440C"/>
    <w:rsid w:val="0085450D"/>
    <w:rsid w:val="008545B1"/>
    <w:rsid w:val="008546BE"/>
    <w:rsid w:val="00854D58"/>
    <w:rsid w:val="0085507B"/>
    <w:rsid w:val="00855096"/>
    <w:rsid w:val="00855D61"/>
    <w:rsid w:val="00855DAE"/>
    <w:rsid w:val="0085603D"/>
    <w:rsid w:val="00856074"/>
    <w:rsid w:val="00856221"/>
    <w:rsid w:val="00856656"/>
    <w:rsid w:val="008569EC"/>
    <w:rsid w:val="00856A35"/>
    <w:rsid w:val="008570D5"/>
    <w:rsid w:val="008577F0"/>
    <w:rsid w:val="00857949"/>
    <w:rsid w:val="00857CD2"/>
    <w:rsid w:val="00857CD6"/>
    <w:rsid w:val="00857DFD"/>
    <w:rsid w:val="008602F0"/>
    <w:rsid w:val="0086088B"/>
    <w:rsid w:val="00860ABD"/>
    <w:rsid w:val="00860FAC"/>
    <w:rsid w:val="008613E8"/>
    <w:rsid w:val="00861592"/>
    <w:rsid w:val="00861930"/>
    <w:rsid w:val="00861A78"/>
    <w:rsid w:val="00861A82"/>
    <w:rsid w:val="00861BC1"/>
    <w:rsid w:val="00861BD7"/>
    <w:rsid w:val="00861F14"/>
    <w:rsid w:val="00862544"/>
    <w:rsid w:val="00863750"/>
    <w:rsid w:val="00863782"/>
    <w:rsid w:val="00863C16"/>
    <w:rsid w:val="008641B1"/>
    <w:rsid w:val="008641BB"/>
    <w:rsid w:val="008641FD"/>
    <w:rsid w:val="00864646"/>
    <w:rsid w:val="0086482D"/>
    <w:rsid w:val="00864C10"/>
    <w:rsid w:val="00864DFD"/>
    <w:rsid w:val="00864EF8"/>
    <w:rsid w:val="00865022"/>
    <w:rsid w:val="0086528E"/>
    <w:rsid w:val="00865496"/>
    <w:rsid w:val="00865A65"/>
    <w:rsid w:val="00865C54"/>
    <w:rsid w:val="00865EB1"/>
    <w:rsid w:val="008664B9"/>
    <w:rsid w:val="00866999"/>
    <w:rsid w:val="00866B26"/>
    <w:rsid w:val="00866C8D"/>
    <w:rsid w:val="00866FC2"/>
    <w:rsid w:val="00867115"/>
    <w:rsid w:val="008672E3"/>
    <w:rsid w:val="0086763E"/>
    <w:rsid w:val="008679A2"/>
    <w:rsid w:val="00867CD0"/>
    <w:rsid w:val="00867D6C"/>
    <w:rsid w:val="00870765"/>
    <w:rsid w:val="00870850"/>
    <w:rsid w:val="00870860"/>
    <w:rsid w:val="00870B49"/>
    <w:rsid w:val="00870E06"/>
    <w:rsid w:val="00870E61"/>
    <w:rsid w:val="00870F36"/>
    <w:rsid w:val="008714F9"/>
    <w:rsid w:val="00871569"/>
    <w:rsid w:val="008718AC"/>
    <w:rsid w:val="008719C2"/>
    <w:rsid w:val="008719FB"/>
    <w:rsid w:val="00871C38"/>
    <w:rsid w:val="00871DC9"/>
    <w:rsid w:val="00871F70"/>
    <w:rsid w:val="00872323"/>
    <w:rsid w:val="00872536"/>
    <w:rsid w:val="0087277A"/>
    <w:rsid w:val="008728E0"/>
    <w:rsid w:val="00872A47"/>
    <w:rsid w:val="00872D31"/>
    <w:rsid w:val="00873357"/>
    <w:rsid w:val="0087340B"/>
    <w:rsid w:val="008736E2"/>
    <w:rsid w:val="0087377C"/>
    <w:rsid w:val="008739A7"/>
    <w:rsid w:val="008739D8"/>
    <w:rsid w:val="00873A28"/>
    <w:rsid w:val="00873BF7"/>
    <w:rsid w:val="00873FBA"/>
    <w:rsid w:val="00873FDF"/>
    <w:rsid w:val="0087418A"/>
    <w:rsid w:val="008742EC"/>
    <w:rsid w:val="00874565"/>
    <w:rsid w:val="00874853"/>
    <w:rsid w:val="008749F5"/>
    <w:rsid w:val="00874AF8"/>
    <w:rsid w:val="00874BBE"/>
    <w:rsid w:val="00875283"/>
    <w:rsid w:val="00876028"/>
    <w:rsid w:val="008762C0"/>
    <w:rsid w:val="00876309"/>
    <w:rsid w:val="0087659C"/>
    <w:rsid w:val="0087670F"/>
    <w:rsid w:val="00876742"/>
    <w:rsid w:val="00876779"/>
    <w:rsid w:val="008769A8"/>
    <w:rsid w:val="00876C2A"/>
    <w:rsid w:val="00877084"/>
    <w:rsid w:val="00877163"/>
    <w:rsid w:val="00877247"/>
    <w:rsid w:val="00877296"/>
    <w:rsid w:val="008774CB"/>
    <w:rsid w:val="008778C9"/>
    <w:rsid w:val="00877CC9"/>
    <w:rsid w:val="008801AE"/>
    <w:rsid w:val="00880207"/>
    <w:rsid w:val="00880523"/>
    <w:rsid w:val="00880A44"/>
    <w:rsid w:val="00880AA3"/>
    <w:rsid w:val="00880DC4"/>
    <w:rsid w:val="0088115E"/>
    <w:rsid w:val="00881764"/>
    <w:rsid w:val="00881810"/>
    <w:rsid w:val="0088228D"/>
    <w:rsid w:val="008824EC"/>
    <w:rsid w:val="00882975"/>
    <w:rsid w:val="00882B6E"/>
    <w:rsid w:val="00882ED4"/>
    <w:rsid w:val="008832BC"/>
    <w:rsid w:val="00883453"/>
    <w:rsid w:val="0088353F"/>
    <w:rsid w:val="00883E2B"/>
    <w:rsid w:val="00883F62"/>
    <w:rsid w:val="008841BF"/>
    <w:rsid w:val="0088421C"/>
    <w:rsid w:val="0088445B"/>
    <w:rsid w:val="00884C76"/>
    <w:rsid w:val="00884C7D"/>
    <w:rsid w:val="00885586"/>
    <w:rsid w:val="008855AA"/>
    <w:rsid w:val="00885967"/>
    <w:rsid w:val="00885A6D"/>
    <w:rsid w:val="00885A94"/>
    <w:rsid w:val="00886173"/>
    <w:rsid w:val="008863C7"/>
    <w:rsid w:val="0088676B"/>
    <w:rsid w:val="00886C67"/>
    <w:rsid w:val="00886C99"/>
    <w:rsid w:val="00887368"/>
    <w:rsid w:val="00887697"/>
    <w:rsid w:val="00887DD8"/>
    <w:rsid w:val="00887F54"/>
    <w:rsid w:val="00890016"/>
    <w:rsid w:val="0089010C"/>
    <w:rsid w:val="00890509"/>
    <w:rsid w:val="00890592"/>
    <w:rsid w:val="0089096A"/>
    <w:rsid w:val="00890AB7"/>
    <w:rsid w:val="00890D75"/>
    <w:rsid w:val="0089112C"/>
    <w:rsid w:val="00891351"/>
    <w:rsid w:val="0089144D"/>
    <w:rsid w:val="0089155F"/>
    <w:rsid w:val="008919D4"/>
    <w:rsid w:val="00891AF6"/>
    <w:rsid w:val="00891BBE"/>
    <w:rsid w:val="00891BC3"/>
    <w:rsid w:val="00891BFA"/>
    <w:rsid w:val="008923FC"/>
    <w:rsid w:val="0089284E"/>
    <w:rsid w:val="008928D4"/>
    <w:rsid w:val="00892B00"/>
    <w:rsid w:val="008931DA"/>
    <w:rsid w:val="008931E9"/>
    <w:rsid w:val="0089332A"/>
    <w:rsid w:val="00893520"/>
    <w:rsid w:val="008937C8"/>
    <w:rsid w:val="00893CBE"/>
    <w:rsid w:val="00893D2A"/>
    <w:rsid w:val="00893D54"/>
    <w:rsid w:val="00893FAF"/>
    <w:rsid w:val="008942BE"/>
    <w:rsid w:val="00894544"/>
    <w:rsid w:val="00894654"/>
    <w:rsid w:val="00894761"/>
    <w:rsid w:val="00894780"/>
    <w:rsid w:val="00894B1A"/>
    <w:rsid w:val="008950F7"/>
    <w:rsid w:val="008953CE"/>
    <w:rsid w:val="0089544E"/>
    <w:rsid w:val="00895B76"/>
    <w:rsid w:val="00895BBB"/>
    <w:rsid w:val="00895D3D"/>
    <w:rsid w:val="00895E0C"/>
    <w:rsid w:val="008967C4"/>
    <w:rsid w:val="00896A19"/>
    <w:rsid w:val="00896BCB"/>
    <w:rsid w:val="00896CD6"/>
    <w:rsid w:val="00896E44"/>
    <w:rsid w:val="00896F05"/>
    <w:rsid w:val="00896F9E"/>
    <w:rsid w:val="0089787F"/>
    <w:rsid w:val="00897C3B"/>
    <w:rsid w:val="008A051F"/>
    <w:rsid w:val="008A0713"/>
    <w:rsid w:val="008A0775"/>
    <w:rsid w:val="008A0D2A"/>
    <w:rsid w:val="008A0E05"/>
    <w:rsid w:val="008A0E18"/>
    <w:rsid w:val="008A0EAD"/>
    <w:rsid w:val="008A1474"/>
    <w:rsid w:val="008A1660"/>
    <w:rsid w:val="008A1693"/>
    <w:rsid w:val="008A17D5"/>
    <w:rsid w:val="008A1B62"/>
    <w:rsid w:val="008A1DC9"/>
    <w:rsid w:val="008A22CB"/>
    <w:rsid w:val="008A254F"/>
    <w:rsid w:val="008A2584"/>
    <w:rsid w:val="008A2620"/>
    <w:rsid w:val="008A2630"/>
    <w:rsid w:val="008A26F4"/>
    <w:rsid w:val="008A2B17"/>
    <w:rsid w:val="008A2C81"/>
    <w:rsid w:val="008A3369"/>
    <w:rsid w:val="008A3938"/>
    <w:rsid w:val="008A3B61"/>
    <w:rsid w:val="008A3BFE"/>
    <w:rsid w:val="008A3F4B"/>
    <w:rsid w:val="008A3FC2"/>
    <w:rsid w:val="008A40CE"/>
    <w:rsid w:val="008A4222"/>
    <w:rsid w:val="008A4516"/>
    <w:rsid w:val="008A492A"/>
    <w:rsid w:val="008A4CA4"/>
    <w:rsid w:val="008A4DE7"/>
    <w:rsid w:val="008A4DEA"/>
    <w:rsid w:val="008A4F5D"/>
    <w:rsid w:val="008A5833"/>
    <w:rsid w:val="008A5B34"/>
    <w:rsid w:val="008A5C98"/>
    <w:rsid w:val="008A5F0A"/>
    <w:rsid w:val="008A5FCA"/>
    <w:rsid w:val="008A6447"/>
    <w:rsid w:val="008A64FA"/>
    <w:rsid w:val="008A66B0"/>
    <w:rsid w:val="008A6B32"/>
    <w:rsid w:val="008A6C8A"/>
    <w:rsid w:val="008A6D5B"/>
    <w:rsid w:val="008A6E58"/>
    <w:rsid w:val="008A7126"/>
    <w:rsid w:val="008A72FF"/>
    <w:rsid w:val="008A7679"/>
    <w:rsid w:val="008A7760"/>
    <w:rsid w:val="008A783C"/>
    <w:rsid w:val="008B0171"/>
    <w:rsid w:val="008B0541"/>
    <w:rsid w:val="008B079E"/>
    <w:rsid w:val="008B140E"/>
    <w:rsid w:val="008B167B"/>
    <w:rsid w:val="008B1765"/>
    <w:rsid w:val="008B18AE"/>
    <w:rsid w:val="008B19D9"/>
    <w:rsid w:val="008B1C99"/>
    <w:rsid w:val="008B1C9E"/>
    <w:rsid w:val="008B266E"/>
    <w:rsid w:val="008B2B96"/>
    <w:rsid w:val="008B2C47"/>
    <w:rsid w:val="008B3824"/>
    <w:rsid w:val="008B3A88"/>
    <w:rsid w:val="008B3A99"/>
    <w:rsid w:val="008B4173"/>
    <w:rsid w:val="008B429D"/>
    <w:rsid w:val="008B434D"/>
    <w:rsid w:val="008B436E"/>
    <w:rsid w:val="008B4428"/>
    <w:rsid w:val="008B4538"/>
    <w:rsid w:val="008B4BFC"/>
    <w:rsid w:val="008B4E50"/>
    <w:rsid w:val="008B5015"/>
    <w:rsid w:val="008B501D"/>
    <w:rsid w:val="008B51B4"/>
    <w:rsid w:val="008B54A4"/>
    <w:rsid w:val="008B57A2"/>
    <w:rsid w:val="008B589A"/>
    <w:rsid w:val="008B58A2"/>
    <w:rsid w:val="008B5B67"/>
    <w:rsid w:val="008B5D7A"/>
    <w:rsid w:val="008B62C9"/>
    <w:rsid w:val="008B6517"/>
    <w:rsid w:val="008B66C3"/>
    <w:rsid w:val="008B66E3"/>
    <w:rsid w:val="008B6B39"/>
    <w:rsid w:val="008B6BEF"/>
    <w:rsid w:val="008B6D6A"/>
    <w:rsid w:val="008B6DF8"/>
    <w:rsid w:val="008B74F7"/>
    <w:rsid w:val="008B7847"/>
    <w:rsid w:val="008B7848"/>
    <w:rsid w:val="008B7C44"/>
    <w:rsid w:val="008B7DAB"/>
    <w:rsid w:val="008B7E73"/>
    <w:rsid w:val="008B7F8D"/>
    <w:rsid w:val="008C010C"/>
    <w:rsid w:val="008C0CAD"/>
    <w:rsid w:val="008C1072"/>
    <w:rsid w:val="008C1702"/>
    <w:rsid w:val="008C191C"/>
    <w:rsid w:val="008C1BB4"/>
    <w:rsid w:val="008C1E05"/>
    <w:rsid w:val="008C2194"/>
    <w:rsid w:val="008C29D3"/>
    <w:rsid w:val="008C2A7F"/>
    <w:rsid w:val="008C2B47"/>
    <w:rsid w:val="008C3381"/>
    <w:rsid w:val="008C34BB"/>
    <w:rsid w:val="008C35CF"/>
    <w:rsid w:val="008C3827"/>
    <w:rsid w:val="008C38F0"/>
    <w:rsid w:val="008C4164"/>
    <w:rsid w:val="008C41C2"/>
    <w:rsid w:val="008C45E2"/>
    <w:rsid w:val="008C4B4B"/>
    <w:rsid w:val="008C4CAC"/>
    <w:rsid w:val="008C5028"/>
    <w:rsid w:val="008C5278"/>
    <w:rsid w:val="008C5412"/>
    <w:rsid w:val="008C54F3"/>
    <w:rsid w:val="008C56EC"/>
    <w:rsid w:val="008C59A2"/>
    <w:rsid w:val="008C5A6C"/>
    <w:rsid w:val="008C5A8D"/>
    <w:rsid w:val="008C5B91"/>
    <w:rsid w:val="008C5E87"/>
    <w:rsid w:val="008C675D"/>
    <w:rsid w:val="008C68F3"/>
    <w:rsid w:val="008C6A62"/>
    <w:rsid w:val="008C6AEF"/>
    <w:rsid w:val="008C6DB1"/>
    <w:rsid w:val="008C6DC1"/>
    <w:rsid w:val="008C6F94"/>
    <w:rsid w:val="008C7209"/>
    <w:rsid w:val="008C736B"/>
    <w:rsid w:val="008C73FC"/>
    <w:rsid w:val="008C747A"/>
    <w:rsid w:val="008C7853"/>
    <w:rsid w:val="008C7A77"/>
    <w:rsid w:val="008D028C"/>
    <w:rsid w:val="008D02AC"/>
    <w:rsid w:val="008D08DB"/>
    <w:rsid w:val="008D09E7"/>
    <w:rsid w:val="008D0B1F"/>
    <w:rsid w:val="008D19BC"/>
    <w:rsid w:val="008D1C04"/>
    <w:rsid w:val="008D216E"/>
    <w:rsid w:val="008D23B3"/>
    <w:rsid w:val="008D2658"/>
    <w:rsid w:val="008D2774"/>
    <w:rsid w:val="008D2CEC"/>
    <w:rsid w:val="008D2E60"/>
    <w:rsid w:val="008D2EFD"/>
    <w:rsid w:val="008D3292"/>
    <w:rsid w:val="008D32A2"/>
    <w:rsid w:val="008D3726"/>
    <w:rsid w:val="008D3A34"/>
    <w:rsid w:val="008D3F4A"/>
    <w:rsid w:val="008D4104"/>
    <w:rsid w:val="008D4530"/>
    <w:rsid w:val="008D45E2"/>
    <w:rsid w:val="008D49E7"/>
    <w:rsid w:val="008D4CB0"/>
    <w:rsid w:val="008D4E78"/>
    <w:rsid w:val="008D5779"/>
    <w:rsid w:val="008D5C42"/>
    <w:rsid w:val="008D6397"/>
    <w:rsid w:val="008D6544"/>
    <w:rsid w:val="008D65AC"/>
    <w:rsid w:val="008D66DB"/>
    <w:rsid w:val="008D7121"/>
    <w:rsid w:val="008D73C9"/>
    <w:rsid w:val="008D73E9"/>
    <w:rsid w:val="008D767F"/>
    <w:rsid w:val="008D77FA"/>
    <w:rsid w:val="008D79CC"/>
    <w:rsid w:val="008D7C85"/>
    <w:rsid w:val="008E002A"/>
    <w:rsid w:val="008E00F2"/>
    <w:rsid w:val="008E0729"/>
    <w:rsid w:val="008E0A3E"/>
    <w:rsid w:val="008E1582"/>
    <w:rsid w:val="008E16BF"/>
    <w:rsid w:val="008E17AD"/>
    <w:rsid w:val="008E1898"/>
    <w:rsid w:val="008E18CB"/>
    <w:rsid w:val="008E2538"/>
    <w:rsid w:val="008E2B3B"/>
    <w:rsid w:val="008E2B78"/>
    <w:rsid w:val="008E3049"/>
    <w:rsid w:val="008E3051"/>
    <w:rsid w:val="008E3212"/>
    <w:rsid w:val="008E34A4"/>
    <w:rsid w:val="008E35A3"/>
    <w:rsid w:val="008E36DB"/>
    <w:rsid w:val="008E3F74"/>
    <w:rsid w:val="008E3FC2"/>
    <w:rsid w:val="008E405B"/>
    <w:rsid w:val="008E4165"/>
    <w:rsid w:val="008E4317"/>
    <w:rsid w:val="008E48B2"/>
    <w:rsid w:val="008E4C32"/>
    <w:rsid w:val="008E4C9E"/>
    <w:rsid w:val="008E4E23"/>
    <w:rsid w:val="008E5052"/>
    <w:rsid w:val="008E5F1E"/>
    <w:rsid w:val="008E60F7"/>
    <w:rsid w:val="008E63D2"/>
    <w:rsid w:val="008E6677"/>
    <w:rsid w:val="008E6A01"/>
    <w:rsid w:val="008E6AE1"/>
    <w:rsid w:val="008E6E20"/>
    <w:rsid w:val="008E6FF7"/>
    <w:rsid w:val="008E700D"/>
    <w:rsid w:val="008E716C"/>
    <w:rsid w:val="008E7274"/>
    <w:rsid w:val="008E72BE"/>
    <w:rsid w:val="008E77A0"/>
    <w:rsid w:val="008E781F"/>
    <w:rsid w:val="008E78D5"/>
    <w:rsid w:val="008E7E55"/>
    <w:rsid w:val="008E7F9B"/>
    <w:rsid w:val="008F0562"/>
    <w:rsid w:val="008F06D2"/>
    <w:rsid w:val="008F0B3A"/>
    <w:rsid w:val="008F0DCF"/>
    <w:rsid w:val="008F0E64"/>
    <w:rsid w:val="008F1775"/>
    <w:rsid w:val="008F1CB5"/>
    <w:rsid w:val="008F1FB4"/>
    <w:rsid w:val="008F22EB"/>
    <w:rsid w:val="008F260B"/>
    <w:rsid w:val="008F2AE2"/>
    <w:rsid w:val="008F2CF2"/>
    <w:rsid w:val="008F2D74"/>
    <w:rsid w:val="008F2FE8"/>
    <w:rsid w:val="008F30DF"/>
    <w:rsid w:val="008F30EF"/>
    <w:rsid w:val="008F3602"/>
    <w:rsid w:val="008F38A0"/>
    <w:rsid w:val="008F39E8"/>
    <w:rsid w:val="008F3A11"/>
    <w:rsid w:val="008F3B16"/>
    <w:rsid w:val="008F3D70"/>
    <w:rsid w:val="008F3EDC"/>
    <w:rsid w:val="008F3FDF"/>
    <w:rsid w:val="008F42F8"/>
    <w:rsid w:val="008F4626"/>
    <w:rsid w:val="008F4632"/>
    <w:rsid w:val="008F4715"/>
    <w:rsid w:val="008F492B"/>
    <w:rsid w:val="008F4B62"/>
    <w:rsid w:val="008F4EB2"/>
    <w:rsid w:val="008F5034"/>
    <w:rsid w:val="008F517B"/>
    <w:rsid w:val="008F535E"/>
    <w:rsid w:val="008F58FD"/>
    <w:rsid w:val="008F5A6B"/>
    <w:rsid w:val="008F5D0A"/>
    <w:rsid w:val="008F5E84"/>
    <w:rsid w:val="008F64A3"/>
    <w:rsid w:val="008F659E"/>
    <w:rsid w:val="008F679D"/>
    <w:rsid w:val="008F6C7D"/>
    <w:rsid w:val="008F6E67"/>
    <w:rsid w:val="008F717E"/>
    <w:rsid w:val="008F7206"/>
    <w:rsid w:val="008F7CCC"/>
    <w:rsid w:val="008F7EA5"/>
    <w:rsid w:val="0090010F"/>
    <w:rsid w:val="00900183"/>
    <w:rsid w:val="0090032F"/>
    <w:rsid w:val="00900840"/>
    <w:rsid w:val="00900B3E"/>
    <w:rsid w:val="00900C93"/>
    <w:rsid w:val="00900D4E"/>
    <w:rsid w:val="00901137"/>
    <w:rsid w:val="009012D0"/>
    <w:rsid w:val="009012E2"/>
    <w:rsid w:val="009012FF"/>
    <w:rsid w:val="0090181B"/>
    <w:rsid w:val="009019EC"/>
    <w:rsid w:val="00902009"/>
    <w:rsid w:val="009021DB"/>
    <w:rsid w:val="00902695"/>
    <w:rsid w:val="00902B59"/>
    <w:rsid w:val="00902C3F"/>
    <w:rsid w:val="00902F54"/>
    <w:rsid w:val="00903252"/>
    <w:rsid w:val="00903293"/>
    <w:rsid w:val="00903400"/>
    <w:rsid w:val="0090369A"/>
    <w:rsid w:val="00903992"/>
    <w:rsid w:val="009044C3"/>
    <w:rsid w:val="00904584"/>
    <w:rsid w:val="00904746"/>
    <w:rsid w:val="00904789"/>
    <w:rsid w:val="00904C2D"/>
    <w:rsid w:val="00904C37"/>
    <w:rsid w:val="00904C8D"/>
    <w:rsid w:val="00905567"/>
    <w:rsid w:val="009056C0"/>
    <w:rsid w:val="00905AC4"/>
    <w:rsid w:val="0090615A"/>
    <w:rsid w:val="00906821"/>
    <w:rsid w:val="00906825"/>
    <w:rsid w:val="00906948"/>
    <w:rsid w:val="0090699C"/>
    <w:rsid w:val="00906B32"/>
    <w:rsid w:val="00906E65"/>
    <w:rsid w:val="00906F88"/>
    <w:rsid w:val="009072BB"/>
    <w:rsid w:val="009072DE"/>
    <w:rsid w:val="0090755E"/>
    <w:rsid w:val="00907CDB"/>
    <w:rsid w:val="009103CC"/>
    <w:rsid w:val="0091044C"/>
    <w:rsid w:val="0091066A"/>
    <w:rsid w:val="00910D70"/>
    <w:rsid w:val="00910E11"/>
    <w:rsid w:val="0091104F"/>
    <w:rsid w:val="00911109"/>
    <w:rsid w:val="00911480"/>
    <w:rsid w:val="00911768"/>
    <w:rsid w:val="0091182D"/>
    <w:rsid w:val="009119CE"/>
    <w:rsid w:val="009119DB"/>
    <w:rsid w:val="00912077"/>
    <w:rsid w:val="009127AB"/>
    <w:rsid w:val="00912E21"/>
    <w:rsid w:val="00913222"/>
    <w:rsid w:val="00913227"/>
    <w:rsid w:val="009139EE"/>
    <w:rsid w:val="00913A65"/>
    <w:rsid w:val="00914274"/>
    <w:rsid w:val="009144D5"/>
    <w:rsid w:val="00914AD1"/>
    <w:rsid w:val="00914B31"/>
    <w:rsid w:val="00914F09"/>
    <w:rsid w:val="00915085"/>
    <w:rsid w:val="00915887"/>
    <w:rsid w:val="00915A2F"/>
    <w:rsid w:val="00915CF3"/>
    <w:rsid w:val="00915F98"/>
    <w:rsid w:val="00915FA3"/>
    <w:rsid w:val="00916152"/>
    <w:rsid w:val="00916A4C"/>
    <w:rsid w:val="00916BB8"/>
    <w:rsid w:val="0091718E"/>
    <w:rsid w:val="00917846"/>
    <w:rsid w:val="00917AAD"/>
    <w:rsid w:val="0092045D"/>
    <w:rsid w:val="00920661"/>
    <w:rsid w:val="00920A69"/>
    <w:rsid w:val="0092113F"/>
    <w:rsid w:val="00921366"/>
    <w:rsid w:val="009214EA"/>
    <w:rsid w:val="009216E5"/>
    <w:rsid w:val="009217F8"/>
    <w:rsid w:val="00921A9F"/>
    <w:rsid w:val="0092224B"/>
    <w:rsid w:val="0092249E"/>
    <w:rsid w:val="00922575"/>
    <w:rsid w:val="0092296A"/>
    <w:rsid w:val="009231BB"/>
    <w:rsid w:val="009232C3"/>
    <w:rsid w:val="0092335C"/>
    <w:rsid w:val="009233E4"/>
    <w:rsid w:val="009234A9"/>
    <w:rsid w:val="00923575"/>
    <w:rsid w:val="0092470E"/>
    <w:rsid w:val="0092489E"/>
    <w:rsid w:val="00924B38"/>
    <w:rsid w:val="00925096"/>
    <w:rsid w:val="009250B4"/>
    <w:rsid w:val="00925187"/>
    <w:rsid w:val="009251E1"/>
    <w:rsid w:val="00925390"/>
    <w:rsid w:val="009255F1"/>
    <w:rsid w:val="0092578B"/>
    <w:rsid w:val="009265B1"/>
    <w:rsid w:val="00926C67"/>
    <w:rsid w:val="00926FFB"/>
    <w:rsid w:val="0092709C"/>
    <w:rsid w:val="009270E8"/>
    <w:rsid w:val="00927138"/>
    <w:rsid w:val="0092717F"/>
    <w:rsid w:val="00927744"/>
    <w:rsid w:val="00927B05"/>
    <w:rsid w:val="00927BF9"/>
    <w:rsid w:val="00930247"/>
    <w:rsid w:val="009306FB"/>
    <w:rsid w:val="00930A60"/>
    <w:rsid w:val="00930C7B"/>
    <w:rsid w:val="00930E37"/>
    <w:rsid w:val="00930EA0"/>
    <w:rsid w:val="00930F4E"/>
    <w:rsid w:val="00931039"/>
    <w:rsid w:val="0093146A"/>
    <w:rsid w:val="009318E9"/>
    <w:rsid w:val="00931C0E"/>
    <w:rsid w:val="00931E47"/>
    <w:rsid w:val="00931E8A"/>
    <w:rsid w:val="009322E4"/>
    <w:rsid w:val="00932360"/>
    <w:rsid w:val="00932382"/>
    <w:rsid w:val="0093274B"/>
    <w:rsid w:val="0093279F"/>
    <w:rsid w:val="009327E5"/>
    <w:rsid w:val="009329C6"/>
    <w:rsid w:val="009329C9"/>
    <w:rsid w:val="00932AA9"/>
    <w:rsid w:val="00933041"/>
    <w:rsid w:val="0093318A"/>
    <w:rsid w:val="00933335"/>
    <w:rsid w:val="009334B1"/>
    <w:rsid w:val="00933D6F"/>
    <w:rsid w:val="00934315"/>
    <w:rsid w:val="00934BEC"/>
    <w:rsid w:val="009352BA"/>
    <w:rsid w:val="009352C9"/>
    <w:rsid w:val="0093569D"/>
    <w:rsid w:val="00935E22"/>
    <w:rsid w:val="00936062"/>
    <w:rsid w:val="00936088"/>
    <w:rsid w:val="00936406"/>
    <w:rsid w:val="009365A0"/>
    <w:rsid w:val="00936D4A"/>
    <w:rsid w:val="00937264"/>
    <w:rsid w:val="0093783C"/>
    <w:rsid w:val="00937A74"/>
    <w:rsid w:val="00937CBE"/>
    <w:rsid w:val="00940199"/>
    <w:rsid w:val="00940868"/>
    <w:rsid w:val="009409AD"/>
    <w:rsid w:val="00940C80"/>
    <w:rsid w:val="00941064"/>
    <w:rsid w:val="00941245"/>
    <w:rsid w:val="0094126F"/>
    <w:rsid w:val="009413C6"/>
    <w:rsid w:val="009414EA"/>
    <w:rsid w:val="009416FE"/>
    <w:rsid w:val="00941C5B"/>
    <w:rsid w:val="00941FBD"/>
    <w:rsid w:val="0094221C"/>
    <w:rsid w:val="00942920"/>
    <w:rsid w:val="00942BA3"/>
    <w:rsid w:val="00942C52"/>
    <w:rsid w:val="009432C2"/>
    <w:rsid w:val="00943478"/>
    <w:rsid w:val="00943550"/>
    <w:rsid w:val="009435D5"/>
    <w:rsid w:val="00943649"/>
    <w:rsid w:val="009438FF"/>
    <w:rsid w:val="00943EA4"/>
    <w:rsid w:val="00944008"/>
    <w:rsid w:val="00944011"/>
    <w:rsid w:val="00944087"/>
    <w:rsid w:val="0094423E"/>
    <w:rsid w:val="00944252"/>
    <w:rsid w:val="00944520"/>
    <w:rsid w:val="00944C10"/>
    <w:rsid w:val="00944E74"/>
    <w:rsid w:val="0094530F"/>
    <w:rsid w:val="00945335"/>
    <w:rsid w:val="0094553F"/>
    <w:rsid w:val="00945720"/>
    <w:rsid w:val="00945795"/>
    <w:rsid w:val="009459BA"/>
    <w:rsid w:val="00945F14"/>
    <w:rsid w:val="00946184"/>
    <w:rsid w:val="009465D6"/>
    <w:rsid w:val="00946698"/>
    <w:rsid w:val="00946859"/>
    <w:rsid w:val="00946B83"/>
    <w:rsid w:val="00946BD1"/>
    <w:rsid w:val="00946CA0"/>
    <w:rsid w:val="00946E0E"/>
    <w:rsid w:val="00947468"/>
    <w:rsid w:val="0094780F"/>
    <w:rsid w:val="009479C0"/>
    <w:rsid w:val="009500C1"/>
    <w:rsid w:val="0095011E"/>
    <w:rsid w:val="0095012E"/>
    <w:rsid w:val="00950295"/>
    <w:rsid w:val="0095034A"/>
    <w:rsid w:val="00950360"/>
    <w:rsid w:val="0095098A"/>
    <w:rsid w:val="00950A95"/>
    <w:rsid w:val="00950B1E"/>
    <w:rsid w:val="00950BAD"/>
    <w:rsid w:val="00950C69"/>
    <w:rsid w:val="00950EB8"/>
    <w:rsid w:val="00950FC7"/>
    <w:rsid w:val="00950FD6"/>
    <w:rsid w:val="009515F3"/>
    <w:rsid w:val="00951624"/>
    <w:rsid w:val="00951888"/>
    <w:rsid w:val="00951934"/>
    <w:rsid w:val="00951A17"/>
    <w:rsid w:val="00951A5B"/>
    <w:rsid w:val="00951DB6"/>
    <w:rsid w:val="00951E78"/>
    <w:rsid w:val="0095202E"/>
    <w:rsid w:val="0095207B"/>
    <w:rsid w:val="00952505"/>
    <w:rsid w:val="009527C8"/>
    <w:rsid w:val="00952E02"/>
    <w:rsid w:val="00952F83"/>
    <w:rsid w:val="00953EF1"/>
    <w:rsid w:val="00954077"/>
    <w:rsid w:val="009540BF"/>
    <w:rsid w:val="0095440E"/>
    <w:rsid w:val="009549AF"/>
    <w:rsid w:val="00954C14"/>
    <w:rsid w:val="00954C8C"/>
    <w:rsid w:val="00954E2B"/>
    <w:rsid w:val="00954EFE"/>
    <w:rsid w:val="0095583B"/>
    <w:rsid w:val="009558C0"/>
    <w:rsid w:val="009558D4"/>
    <w:rsid w:val="00955E77"/>
    <w:rsid w:val="00956078"/>
    <w:rsid w:val="009563ED"/>
    <w:rsid w:val="00956594"/>
    <w:rsid w:val="009565A3"/>
    <w:rsid w:val="00956ACE"/>
    <w:rsid w:val="00956CAA"/>
    <w:rsid w:val="00956EB5"/>
    <w:rsid w:val="009572A0"/>
    <w:rsid w:val="009575C7"/>
    <w:rsid w:val="0095796E"/>
    <w:rsid w:val="00957D24"/>
    <w:rsid w:val="00960184"/>
    <w:rsid w:val="009601AB"/>
    <w:rsid w:val="00960382"/>
    <w:rsid w:val="00960C6F"/>
    <w:rsid w:val="00960D55"/>
    <w:rsid w:val="00960DCF"/>
    <w:rsid w:val="00961139"/>
    <w:rsid w:val="009611D4"/>
    <w:rsid w:val="00961B53"/>
    <w:rsid w:val="00961D20"/>
    <w:rsid w:val="00961EFF"/>
    <w:rsid w:val="00961FA7"/>
    <w:rsid w:val="00962212"/>
    <w:rsid w:val="009622C1"/>
    <w:rsid w:val="009624D8"/>
    <w:rsid w:val="009626D0"/>
    <w:rsid w:val="00962F15"/>
    <w:rsid w:val="00963185"/>
    <w:rsid w:val="00963264"/>
    <w:rsid w:val="009632CE"/>
    <w:rsid w:val="0096389D"/>
    <w:rsid w:val="00963A06"/>
    <w:rsid w:val="00963C19"/>
    <w:rsid w:val="0096417D"/>
    <w:rsid w:val="009647D0"/>
    <w:rsid w:val="009648E7"/>
    <w:rsid w:val="00964C87"/>
    <w:rsid w:val="00965278"/>
    <w:rsid w:val="009654CC"/>
    <w:rsid w:val="00965669"/>
    <w:rsid w:val="009656D4"/>
    <w:rsid w:val="00965DFD"/>
    <w:rsid w:val="00965E7E"/>
    <w:rsid w:val="00966010"/>
    <w:rsid w:val="0096608D"/>
    <w:rsid w:val="0096658F"/>
    <w:rsid w:val="009667DE"/>
    <w:rsid w:val="00966AEF"/>
    <w:rsid w:val="00966DAB"/>
    <w:rsid w:val="00966EF9"/>
    <w:rsid w:val="009671FB"/>
    <w:rsid w:val="009676C0"/>
    <w:rsid w:val="00967BF6"/>
    <w:rsid w:val="00967E54"/>
    <w:rsid w:val="0097025F"/>
    <w:rsid w:val="00970313"/>
    <w:rsid w:val="0097035C"/>
    <w:rsid w:val="009703C2"/>
    <w:rsid w:val="00970452"/>
    <w:rsid w:val="00970511"/>
    <w:rsid w:val="009705AE"/>
    <w:rsid w:val="009709F9"/>
    <w:rsid w:val="00970A72"/>
    <w:rsid w:val="00970B3D"/>
    <w:rsid w:val="00970E1D"/>
    <w:rsid w:val="00971B3D"/>
    <w:rsid w:val="00971C2C"/>
    <w:rsid w:val="0097213C"/>
    <w:rsid w:val="0097254B"/>
    <w:rsid w:val="00972882"/>
    <w:rsid w:val="00972CD7"/>
    <w:rsid w:val="00972CDD"/>
    <w:rsid w:val="009730E4"/>
    <w:rsid w:val="009731BF"/>
    <w:rsid w:val="00974209"/>
    <w:rsid w:val="00974434"/>
    <w:rsid w:val="009744F1"/>
    <w:rsid w:val="009746C8"/>
    <w:rsid w:val="00974D10"/>
    <w:rsid w:val="00974E68"/>
    <w:rsid w:val="0097553F"/>
    <w:rsid w:val="00976178"/>
    <w:rsid w:val="00976590"/>
    <w:rsid w:val="009765FA"/>
    <w:rsid w:val="00976965"/>
    <w:rsid w:val="0097696D"/>
    <w:rsid w:val="00976B18"/>
    <w:rsid w:val="00976B57"/>
    <w:rsid w:val="00976FFD"/>
    <w:rsid w:val="009773B4"/>
    <w:rsid w:val="00977435"/>
    <w:rsid w:val="00977512"/>
    <w:rsid w:val="00977709"/>
    <w:rsid w:val="00977807"/>
    <w:rsid w:val="00977F46"/>
    <w:rsid w:val="009800BC"/>
    <w:rsid w:val="009801B5"/>
    <w:rsid w:val="009803A9"/>
    <w:rsid w:val="009803CB"/>
    <w:rsid w:val="009803D4"/>
    <w:rsid w:val="00980491"/>
    <w:rsid w:val="009807A2"/>
    <w:rsid w:val="00980AD4"/>
    <w:rsid w:val="0098199C"/>
    <w:rsid w:val="00981A58"/>
    <w:rsid w:val="00981EBE"/>
    <w:rsid w:val="00981EEE"/>
    <w:rsid w:val="00982367"/>
    <w:rsid w:val="0098240C"/>
    <w:rsid w:val="00982451"/>
    <w:rsid w:val="00982553"/>
    <w:rsid w:val="0098266B"/>
    <w:rsid w:val="00982AEB"/>
    <w:rsid w:val="00982DE5"/>
    <w:rsid w:val="009831F3"/>
    <w:rsid w:val="009836B9"/>
    <w:rsid w:val="00983B03"/>
    <w:rsid w:val="00983D2F"/>
    <w:rsid w:val="00983F3B"/>
    <w:rsid w:val="00983FC2"/>
    <w:rsid w:val="00984227"/>
    <w:rsid w:val="00984616"/>
    <w:rsid w:val="00984894"/>
    <w:rsid w:val="009848E5"/>
    <w:rsid w:val="009848F4"/>
    <w:rsid w:val="00985233"/>
    <w:rsid w:val="00985241"/>
    <w:rsid w:val="009853D1"/>
    <w:rsid w:val="0098567F"/>
    <w:rsid w:val="009858D0"/>
    <w:rsid w:val="00985CA9"/>
    <w:rsid w:val="00985E59"/>
    <w:rsid w:val="0098622B"/>
    <w:rsid w:val="00986810"/>
    <w:rsid w:val="0098699D"/>
    <w:rsid w:val="00986C50"/>
    <w:rsid w:val="00987040"/>
    <w:rsid w:val="0098710B"/>
    <w:rsid w:val="0098721E"/>
    <w:rsid w:val="00987305"/>
    <w:rsid w:val="009873F3"/>
    <w:rsid w:val="009874D2"/>
    <w:rsid w:val="00987A51"/>
    <w:rsid w:val="00987A92"/>
    <w:rsid w:val="00987E33"/>
    <w:rsid w:val="0099041B"/>
    <w:rsid w:val="00990687"/>
    <w:rsid w:val="009906C9"/>
    <w:rsid w:val="00990823"/>
    <w:rsid w:val="00990957"/>
    <w:rsid w:val="00990969"/>
    <w:rsid w:val="00990C90"/>
    <w:rsid w:val="00990DD3"/>
    <w:rsid w:val="0099107C"/>
    <w:rsid w:val="00991685"/>
    <w:rsid w:val="009919A7"/>
    <w:rsid w:val="00991F4B"/>
    <w:rsid w:val="00991FC5"/>
    <w:rsid w:val="0099226B"/>
    <w:rsid w:val="00992A7C"/>
    <w:rsid w:val="00992FC1"/>
    <w:rsid w:val="0099367D"/>
    <w:rsid w:val="00993C69"/>
    <w:rsid w:val="00994407"/>
    <w:rsid w:val="00994CC0"/>
    <w:rsid w:val="00995357"/>
    <w:rsid w:val="0099555A"/>
    <w:rsid w:val="009959B2"/>
    <w:rsid w:val="00995BE6"/>
    <w:rsid w:val="00995E98"/>
    <w:rsid w:val="009961DA"/>
    <w:rsid w:val="009961FA"/>
    <w:rsid w:val="009962A6"/>
    <w:rsid w:val="009967A3"/>
    <w:rsid w:val="009968E2"/>
    <w:rsid w:val="00996F15"/>
    <w:rsid w:val="00997247"/>
    <w:rsid w:val="00997669"/>
    <w:rsid w:val="009976BB"/>
    <w:rsid w:val="00997871"/>
    <w:rsid w:val="00997B43"/>
    <w:rsid w:val="00997BA8"/>
    <w:rsid w:val="00997E42"/>
    <w:rsid w:val="009A0028"/>
    <w:rsid w:val="009A0426"/>
    <w:rsid w:val="009A06F4"/>
    <w:rsid w:val="009A0753"/>
    <w:rsid w:val="009A0863"/>
    <w:rsid w:val="009A09CC"/>
    <w:rsid w:val="009A0D4A"/>
    <w:rsid w:val="009A1C02"/>
    <w:rsid w:val="009A1C0A"/>
    <w:rsid w:val="009A1F51"/>
    <w:rsid w:val="009A21C0"/>
    <w:rsid w:val="009A22B2"/>
    <w:rsid w:val="009A22F1"/>
    <w:rsid w:val="009A232A"/>
    <w:rsid w:val="009A2BBF"/>
    <w:rsid w:val="009A2E28"/>
    <w:rsid w:val="009A2FD3"/>
    <w:rsid w:val="009A3778"/>
    <w:rsid w:val="009A39AF"/>
    <w:rsid w:val="009A3A9D"/>
    <w:rsid w:val="009A3C45"/>
    <w:rsid w:val="009A3E2E"/>
    <w:rsid w:val="009A3F93"/>
    <w:rsid w:val="009A407A"/>
    <w:rsid w:val="009A4262"/>
    <w:rsid w:val="009A45E8"/>
    <w:rsid w:val="009A46DC"/>
    <w:rsid w:val="009A4D00"/>
    <w:rsid w:val="009A4E1D"/>
    <w:rsid w:val="009A4FE2"/>
    <w:rsid w:val="009A507A"/>
    <w:rsid w:val="009A55BD"/>
    <w:rsid w:val="009A5BEE"/>
    <w:rsid w:val="009A5D17"/>
    <w:rsid w:val="009A5E49"/>
    <w:rsid w:val="009A6012"/>
    <w:rsid w:val="009A606C"/>
    <w:rsid w:val="009A60DE"/>
    <w:rsid w:val="009A6440"/>
    <w:rsid w:val="009A6531"/>
    <w:rsid w:val="009A6557"/>
    <w:rsid w:val="009A6563"/>
    <w:rsid w:val="009A6661"/>
    <w:rsid w:val="009A67B2"/>
    <w:rsid w:val="009A67CC"/>
    <w:rsid w:val="009A6A54"/>
    <w:rsid w:val="009A6E8F"/>
    <w:rsid w:val="009A71A3"/>
    <w:rsid w:val="009A754F"/>
    <w:rsid w:val="009A758C"/>
    <w:rsid w:val="009A7911"/>
    <w:rsid w:val="009A79D2"/>
    <w:rsid w:val="009A7C22"/>
    <w:rsid w:val="009A7D64"/>
    <w:rsid w:val="009A7D69"/>
    <w:rsid w:val="009A7DEF"/>
    <w:rsid w:val="009A7F34"/>
    <w:rsid w:val="009B02B9"/>
    <w:rsid w:val="009B03C3"/>
    <w:rsid w:val="009B04A1"/>
    <w:rsid w:val="009B063F"/>
    <w:rsid w:val="009B0AD4"/>
    <w:rsid w:val="009B0D3E"/>
    <w:rsid w:val="009B1431"/>
    <w:rsid w:val="009B14A8"/>
    <w:rsid w:val="009B15C2"/>
    <w:rsid w:val="009B1791"/>
    <w:rsid w:val="009B17C3"/>
    <w:rsid w:val="009B195D"/>
    <w:rsid w:val="009B1D47"/>
    <w:rsid w:val="009B2245"/>
    <w:rsid w:val="009B22B2"/>
    <w:rsid w:val="009B258E"/>
    <w:rsid w:val="009B27A5"/>
    <w:rsid w:val="009B28CA"/>
    <w:rsid w:val="009B293C"/>
    <w:rsid w:val="009B2D5E"/>
    <w:rsid w:val="009B2E39"/>
    <w:rsid w:val="009B2E9F"/>
    <w:rsid w:val="009B36B6"/>
    <w:rsid w:val="009B36E0"/>
    <w:rsid w:val="009B36EE"/>
    <w:rsid w:val="009B3BE9"/>
    <w:rsid w:val="009B3EBA"/>
    <w:rsid w:val="009B3F40"/>
    <w:rsid w:val="009B43F4"/>
    <w:rsid w:val="009B4471"/>
    <w:rsid w:val="009B4B36"/>
    <w:rsid w:val="009B4D16"/>
    <w:rsid w:val="009B4D2B"/>
    <w:rsid w:val="009B520E"/>
    <w:rsid w:val="009B5292"/>
    <w:rsid w:val="009B561E"/>
    <w:rsid w:val="009B5997"/>
    <w:rsid w:val="009B59B5"/>
    <w:rsid w:val="009B5AEF"/>
    <w:rsid w:val="009B5E6B"/>
    <w:rsid w:val="009B5F64"/>
    <w:rsid w:val="009B5FF2"/>
    <w:rsid w:val="009B607B"/>
    <w:rsid w:val="009B60AF"/>
    <w:rsid w:val="009B630E"/>
    <w:rsid w:val="009B6B23"/>
    <w:rsid w:val="009B6E73"/>
    <w:rsid w:val="009B6EB7"/>
    <w:rsid w:val="009B7352"/>
    <w:rsid w:val="009B73EA"/>
    <w:rsid w:val="009B756A"/>
    <w:rsid w:val="009B7ABD"/>
    <w:rsid w:val="009C039E"/>
    <w:rsid w:val="009C0598"/>
    <w:rsid w:val="009C0BEE"/>
    <w:rsid w:val="009C168C"/>
    <w:rsid w:val="009C1C7D"/>
    <w:rsid w:val="009C1D27"/>
    <w:rsid w:val="009C1EB9"/>
    <w:rsid w:val="009C2691"/>
    <w:rsid w:val="009C3198"/>
    <w:rsid w:val="009C3454"/>
    <w:rsid w:val="009C361D"/>
    <w:rsid w:val="009C3759"/>
    <w:rsid w:val="009C3BAD"/>
    <w:rsid w:val="009C3BD9"/>
    <w:rsid w:val="009C3C3E"/>
    <w:rsid w:val="009C3CA7"/>
    <w:rsid w:val="009C3CFC"/>
    <w:rsid w:val="009C3D54"/>
    <w:rsid w:val="009C3F23"/>
    <w:rsid w:val="009C45DC"/>
    <w:rsid w:val="009C49D2"/>
    <w:rsid w:val="009C4B0D"/>
    <w:rsid w:val="009C4B3D"/>
    <w:rsid w:val="009C4BB2"/>
    <w:rsid w:val="009C4C3A"/>
    <w:rsid w:val="009C4E67"/>
    <w:rsid w:val="009C529B"/>
    <w:rsid w:val="009C53B7"/>
    <w:rsid w:val="009C53EE"/>
    <w:rsid w:val="009C5783"/>
    <w:rsid w:val="009C59A0"/>
    <w:rsid w:val="009C5AB5"/>
    <w:rsid w:val="009C5B82"/>
    <w:rsid w:val="009C5F5A"/>
    <w:rsid w:val="009C69FE"/>
    <w:rsid w:val="009C6BDD"/>
    <w:rsid w:val="009C6C2D"/>
    <w:rsid w:val="009C6D32"/>
    <w:rsid w:val="009C734B"/>
    <w:rsid w:val="009C756E"/>
    <w:rsid w:val="009C7646"/>
    <w:rsid w:val="009C7E7B"/>
    <w:rsid w:val="009D00DD"/>
    <w:rsid w:val="009D0290"/>
    <w:rsid w:val="009D0371"/>
    <w:rsid w:val="009D0447"/>
    <w:rsid w:val="009D06A7"/>
    <w:rsid w:val="009D117A"/>
    <w:rsid w:val="009D1780"/>
    <w:rsid w:val="009D1792"/>
    <w:rsid w:val="009D1A56"/>
    <w:rsid w:val="009D1C63"/>
    <w:rsid w:val="009D1D15"/>
    <w:rsid w:val="009D1E73"/>
    <w:rsid w:val="009D21BE"/>
    <w:rsid w:val="009D225B"/>
    <w:rsid w:val="009D2377"/>
    <w:rsid w:val="009D237E"/>
    <w:rsid w:val="009D23E4"/>
    <w:rsid w:val="009D24CF"/>
    <w:rsid w:val="009D29AE"/>
    <w:rsid w:val="009D2B2A"/>
    <w:rsid w:val="009D2D3E"/>
    <w:rsid w:val="009D2EB8"/>
    <w:rsid w:val="009D3287"/>
    <w:rsid w:val="009D35A7"/>
    <w:rsid w:val="009D37B8"/>
    <w:rsid w:val="009D39F8"/>
    <w:rsid w:val="009D3BAA"/>
    <w:rsid w:val="009D3C3D"/>
    <w:rsid w:val="009D3E4C"/>
    <w:rsid w:val="009D40D0"/>
    <w:rsid w:val="009D40D3"/>
    <w:rsid w:val="009D4436"/>
    <w:rsid w:val="009D44C1"/>
    <w:rsid w:val="009D46F3"/>
    <w:rsid w:val="009D47BD"/>
    <w:rsid w:val="009D4D01"/>
    <w:rsid w:val="009D4D29"/>
    <w:rsid w:val="009D5288"/>
    <w:rsid w:val="009D55BB"/>
    <w:rsid w:val="009D5A2D"/>
    <w:rsid w:val="009D5A5F"/>
    <w:rsid w:val="009D5AF5"/>
    <w:rsid w:val="009D5B6A"/>
    <w:rsid w:val="009D5BBB"/>
    <w:rsid w:val="009D63B3"/>
    <w:rsid w:val="009D64BD"/>
    <w:rsid w:val="009D6942"/>
    <w:rsid w:val="009D6CEC"/>
    <w:rsid w:val="009D6F0B"/>
    <w:rsid w:val="009D6F62"/>
    <w:rsid w:val="009D793A"/>
    <w:rsid w:val="009E04B8"/>
    <w:rsid w:val="009E0586"/>
    <w:rsid w:val="009E0A86"/>
    <w:rsid w:val="009E0C0C"/>
    <w:rsid w:val="009E0D5B"/>
    <w:rsid w:val="009E1516"/>
    <w:rsid w:val="009E1866"/>
    <w:rsid w:val="009E1A17"/>
    <w:rsid w:val="009E242D"/>
    <w:rsid w:val="009E24EB"/>
    <w:rsid w:val="009E25C6"/>
    <w:rsid w:val="009E26D2"/>
    <w:rsid w:val="009E27AD"/>
    <w:rsid w:val="009E27DE"/>
    <w:rsid w:val="009E299F"/>
    <w:rsid w:val="009E2A3A"/>
    <w:rsid w:val="009E2AD3"/>
    <w:rsid w:val="009E2BCE"/>
    <w:rsid w:val="009E2CF0"/>
    <w:rsid w:val="009E351B"/>
    <w:rsid w:val="009E37A4"/>
    <w:rsid w:val="009E39CB"/>
    <w:rsid w:val="009E3AA7"/>
    <w:rsid w:val="009E3C1A"/>
    <w:rsid w:val="009E3F20"/>
    <w:rsid w:val="009E405A"/>
    <w:rsid w:val="009E40BB"/>
    <w:rsid w:val="009E43CB"/>
    <w:rsid w:val="009E44C9"/>
    <w:rsid w:val="009E452A"/>
    <w:rsid w:val="009E4723"/>
    <w:rsid w:val="009E47E5"/>
    <w:rsid w:val="009E497B"/>
    <w:rsid w:val="009E4B57"/>
    <w:rsid w:val="009E4F4D"/>
    <w:rsid w:val="009E4FFD"/>
    <w:rsid w:val="009E603A"/>
    <w:rsid w:val="009E66CD"/>
    <w:rsid w:val="009E67E4"/>
    <w:rsid w:val="009E69E8"/>
    <w:rsid w:val="009E729B"/>
    <w:rsid w:val="009F0419"/>
    <w:rsid w:val="009F046A"/>
    <w:rsid w:val="009F0646"/>
    <w:rsid w:val="009F06D1"/>
    <w:rsid w:val="009F06D3"/>
    <w:rsid w:val="009F09C0"/>
    <w:rsid w:val="009F1018"/>
    <w:rsid w:val="009F1116"/>
    <w:rsid w:val="009F11F1"/>
    <w:rsid w:val="009F146F"/>
    <w:rsid w:val="009F1840"/>
    <w:rsid w:val="009F18F1"/>
    <w:rsid w:val="009F1BA7"/>
    <w:rsid w:val="009F1E24"/>
    <w:rsid w:val="009F2202"/>
    <w:rsid w:val="009F266A"/>
    <w:rsid w:val="009F27CB"/>
    <w:rsid w:val="009F29A0"/>
    <w:rsid w:val="009F2F74"/>
    <w:rsid w:val="009F31BD"/>
    <w:rsid w:val="009F32F6"/>
    <w:rsid w:val="009F341B"/>
    <w:rsid w:val="009F3816"/>
    <w:rsid w:val="009F3ADA"/>
    <w:rsid w:val="009F3C75"/>
    <w:rsid w:val="009F3E9B"/>
    <w:rsid w:val="009F404B"/>
    <w:rsid w:val="009F4087"/>
    <w:rsid w:val="009F468B"/>
    <w:rsid w:val="009F4C3C"/>
    <w:rsid w:val="009F4D7B"/>
    <w:rsid w:val="009F5181"/>
    <w:rsid w:val="009F5583"/>
    <w:rsid w:val="009F573D"/>
    <w:rsid w:val="009F5E52"/>
    <w:rsid w:val="009F6190"/>
    <w:rsid w:val="009F64BF"/>
    <w:rsid w:val="009F6873"/>
    <w:rsid w:val="009F6ABE"/>
    <w:rsid w:val="009F6BC5"/>
    <w:rsid w:val="009F6EF0"/>
    <w:rsid w:val="009F71FB"/>
    <w:rsid w:val="009F74B2"/>
    <w:rsid w:val="009F7814"/>
    <w:rsid w:val="009F7A6B"/>
    <w:rsid w:val="009F7BD3"/>
    <w:rsid w:val="009F7F1F"/>
    <w:rsid w:val="00A00094"/>
    <w:rsid w:val="00A00141"/>
    <w:rsid w:val="00A00232"/>
    <w:rsid w:val="00A0037E"/>
    <w:rsid w:val="00A005C1"/>
    <w:rsid w:val="00A009FE"/>
    <w:rsid w:val="00A00B43"/>
    <w:rsid w:val="00A00F74"/>
    <w:rsid w:val="00A0107C"/>
    <w:rsid w:val="00A0108B"/>
    <w:rsid w:val="00A01303"/>
    <w:rsid w:val="00A01431"/>
    <w:rsid w:val="00A015F4"/>
    <w:rsid w:val="00A0167A"/>
    <w:rsid w:val="00A01C86"/>
    <w:rsid w:val="00A01DCE"/>
    <w:rsid w:val="00A01E1F"/>
    <w:rsid w:val="00A02199"/>
    <w:rsid w:val="00A024C3"/>
    <w:rsid w:val="00A02633"/>
    <w:rsid w:val="00A02C4F"/>
    <w:rsid w:val="00A0326B"/>
    <w:rsid w:val="00A03D17"/>
    <w:rsid w:val="00A03D38"/>
    <w:rsid w:val="00A041B2"/>
    <w:rsid w:val="00A0497B"/>
    <w:rsid w:val="00A04A09"/>
    <w:rsid w:val="00A04A87"/>
    <w:rsid w:val="00A04B9C"/>
    <w:rsid w:val="00A04E54"/>
    <w:rsid w:val="00A050A7"/>
    <w:rsid w:val="00A055BD"/>
    <w:rsid w:val="00A0563C"/>
    <w:rsid w:val="00A05821"/>
    <w:rsid w:val="00A05AF7"/>
    <w:rsid w:val="00A05D1D"/>
    <w:rsid w:val="00A05EA2"/>
    <w:rsid w:val="00A063F4"/>
    <w:rsid w:val="00A06A53"/>
    <w:rsid w:val="00A06C99"/>
    <w:rsid w:val="00A06D3C"/>
    <w:rsid w:val="00A06D97"/>
    <w:rsid w:val="00A06E94"/>
    <w:rsid w:val="00A0720E"/>
    <w:rsid w:val="00A0739A"/>
    <w:rsid w:val="00A073F0"/>
    <w:rsid w:val="00A075D5"/>
    <w:rsid w:val="00A07631"/>
    <w:rsid w:val="00A076CC"/>
    <w:rsid w:val="00A07E49"/>
    <w:rsid w:val="00A07FB2"/>
    <w:rsid w:val="00A100D8"/>
    <w:rsid w:val="00A1071E"/>
    <w:rsid w:val="00A10A0C"/>
    <w:rsid w:val="00A10CAD"/>
    <w:rsid w:val="00A10CBD"/>
    <w:rsid w:val="00A11152"/>
    <w:rsid w:val="00A11296"/>
    <w:rsid w:val="00A1165C"/>
    <w:rsid w:val="00A116AB"/>
    <w:rsid w:val="00A118A2"/>
    <w:rsid w:val="00A11B24"/>
    <w:rsid w:val="00A11D84"/>
    <w:rsid w:val="00A12324"/>
    <w:rsid w:val="00A125D6"/>
    <w:rsid w:val="00A12949"/>
    <w:rsid w:val="00A1306B"/>
    <w:rsid w:val="00A130CE"/>
    <w:rsid w:val="00A130E8"/>
    <w:rsid w:val="00A1324D"/>
    <w:rsid w:val="00A133C0"/>
    <w:rsid w:val="00A1340A"/>
    <w:rsid w:val="00A1376A"/>
    <w:rsid w:val="00A1378E"/>
    <w:rsid w:val="00A13870"/>
    <w:rsid w:val="00A13A88"/>
    <w:rsid w:val="00A13C29"/>
    <w:rsid w:val="00A13F7C"/>
    <w:rsid w:val="00A143C6"/>
    <w:rsid w:val="00A1453A"/>
    <w:rsid w:val="00A149A3"/>
    <w:rsid w:val="00A149AF"/>
    <w:rsid w:val="00A14A31"/>
    <w:rsid w:val="00A14DF2"/>
    <w:rsid w:val="00A14E53"/>
    <w:rsid w:val="00A14F71"/>
    <w:rsid w:val="00A15137"/>
    <w:rsid w:val="00A151D9"/>
    <w:rsid w:val="00A15580"/>
    <w:rsid w:val="00A156AE"/>
    <w:rsid w:val="00A159A8"/>
    <w:rsid w:val="00A161DB"/>
    <w:rsid w:val="00A16449"/>
    <w:rsid w:val="00A165BE"/>
    <w:rsid w:val="00A165EC"/>
    <w:rsid w:val="00A167B6"/>
    <w:rsid w:val="00A16CAB"/>
    <w:rsid w:val="00A1716C"/>
    <w:rsid w:val="00A1746D"/>
    <w:rsid w:val="00A17587"/>
    <w:rsid w:val="00A176F4"/>
    <w:rsid w:val="00A17899"/>
    <w:rsid w:val="00A179B3"/>
    <w:rsid w:val="00A17B6B"/>
    <w:rsid w:val="00A17C0E"/>
    <w:rsid w:val="00A203AD"/>
    <w:rsid w:val="00A204B0"/>
    <w:rsid w:val="00A20879"/>
    <w:rsid w:val="00A20CBA"/>
    <w:rsid w:val="00A20D46"/>
    <w:rsid w:val="00A20E1E"/>
    <w:rsid w:val="00A21235"/>
    <w:rsid w:val="00A21BA1"/>
    <w:rsid w:val="00A221D8"/>
    <w:rsid w:val="00A225A9"/>
    <w:rsid w:val="00A22A02"/>
    <w:rsid w:val="00A22ACD"/>
    <w:rsid w:val="00A22C2B"/>
    <w:rsid w:val="00A22C82"/>
    <w:rsid w:val="00A22EFC"/>
    <w:rsid w:val="00A23001"/>
    <w:rsid w:val="00A236B3"/>
    <w:rsid w:val="00A240CA"/>
    <w:rsid w:val="00A2419F"/>
    <w:rsid w:val="00A24545"/>
    <w:rsid w:val="00A24861"/>
    <w:rsid w:val="00A24B38"/>
    <w:rsid w:val="00A24C5C"/>
    <w:rsid w:val="00A24D17"/>
    <w:rsid w:val="00A24E90"/>
    <w:rsid w:val="00A24F1F"/>
    <w:rsid w:val="00A24F39"/>
    <w:rsid w:val="00A24FEA"/>
    <w:rsid w:val="00A2568F"/>
    <w:rsid w:val="00A25B3F"/>
    <w:rsid w:val="00A25C3E"/>
    <w:rsid w:val="00A25D6B"/>
    <w:rsid w:val="00A25FA6"/>
    <w:rsid w:val="00A260D7"/>
    <w:rsid w:val="00A26172"/>
    <w:rsid w:val="00A26389"/>
    <w:rsid w:val="00A26ADA"/>
    <w:rsid w:val="00A26CB5"/>
    <w:rsid w:val="00A26D67"/>
    <w:rsid w:val="00A26DDC"/>
    <w:rsid w:val="00A270DE"/>
    <w:rsid w:val="00A272C8"/>
    <w:rsid w:val="00A27C02"/>
    <w:rsid w:val="00A27D42"/>
    <w:rsid w:val="00A301E4"/>
    <w:rsid w:val="00A302B5"/>
    <w:rsid w:val="00A303B8"/>
    <w:rsid w:val="00A3061F"/>
    <w:rsid w:val="00A30B4E"/>
    <w:rsid w:val="00A30CB3"/>
    <w:rsid w:val="00A30D8D"/>
    <w:rsid w:val="00A312A0"/>
    <w:rsid w:val="00A312B1"/>
    <w:rsid w:val="00A31396"/>
    <w:rsid w:val="00A319C4"/>
    <w:rsid w:val="00A31A42"/>
    <w:rsid w:val="00A31BC9"/>
    <w:rsid w:val="00A31C64"/>
    <w:rsid w:val="00A32032"/>
    <w:rsid w:val="00A32525"/>
    <w:rsid w:val="00A32939"/>
    <w:rsid w:val="00A32A57"/>
    <w:rsid w:val="00A3308A"/>
    <w:rsid w:val="00A3373B"/>
    <w:rsid w:val="00A33CFE"/>
    <w:rsid w:val="00A33DAF"/>
    <w:rsid w:val="00A33FA9"/>
    <w:rsid w:val="00A34114"/>
    <w:rsid w:val="00A3442B"/>
    <w:rsid w:val="00A344C4"/>
    <w:rsid w:val="00A34735"/>
    <w:rsid w:val="00A349A2"/>
    <w:rsid w:val="00A34AEE"/>
    <w:rsid w:val="00A34C58"/>
    <w:rsid w:val="00A3525F"/>
    <w:rsid w:val="00A356B8"/>
    <w:rsid w:val="00A35E7C"/>
    <w:rsid w:val="00A35F13"/>
    <w:rsid w:val="00A36082"/>
    <w:rsid w:val="00A361C3"/>
    <w:rsid w:val="00A36A4B"/>
    <w:rsid w:val="00A36D8C"/>
    <w:rsid w:val="00A370FA"/>
    <w:rsid w:val="00A37336"/>
    <w:rsid w:val="00A373DD"/>
    <w:rsid w:val="00A37485"/>
    <w:rsid w:val="00A375BD"/>
    <w:rsid w:val="00A37ABD"/>
    <w:rsid w:val="00A37ED1"/>
    <w:rsid w:val="00A40580"/>
    <w:rsid w:val="00A40676"/>
    <w:rsid w:val="00A4069F"/>
    <w:rsid w:val="00A406C0"/>
    <w:rsid w:val="00A40723"/>
    <w:rsid w:val="00A40773"/>
    <w:rsid w:val="00A408DC"/>
    <w:rsid w:val="00A40A13"/>
    <w:rsid w:val="00A40AA3"/>
    <w:rsid w:val="00A411FA"/>
    <w:rsid w:val="00A4168A"/>
    <w:rsid w:val="00A41BAD"/>
    <w:rsid w:val="00A41C93"/>
    <w:rsid w:val="00A41EEF"/>
    <w:rsid w:val="00A4220A"/>
    <w:rsid w:val="00A4254E"/>
    <w:rsid w:val="00A42E23"/>
    <w:rsid w:val="00A4304E"/>
    <w:rsid w:val="00A43177"/>
    <w:rsid w:val="00A43276"/>
    <w:rsid w:val="00A437E6"/>
    <w:rsid w:val="00A442DF"/>
    <w:rsid w:val="00A443E4"/>
    <w:rsid w:val="00A443EE"/>
    <w:rsid w:val="00A44769"/>
    <w:rsid w:val="00A447B2"/>
    <w:rsid w:val="00A447F0"/>
    <w:rsid w:val="00A44865"/>
    <w:rsid w:val="00A44C03"/>
    <w:rsid w:val="00A44D66"/>
    <w:rsid w:val="00A44EC1"/>
    <w:rsid w:val="00A4519D"/>
    <w:rsid w:val="00A454B3"/>
    <w:rsid w:val="00A45B35"/>
    <w:rsid w:val="00A45B4D"/>
    <w:rsid w:val="00A45B8A"/>
    <w:rsid w:val="00A45C1F"/>
    <w:rsid w:val="00A45C2C"/>
    <w:rsid w:val="00A45D10"/>
    <w:rsid w:val="00A45E52"/>
    <w:rsid w:val="00A46652"/>
    <w:rsid w:val="00A46866"/>
    <w:rsid w:val="00A46B40"/>
    <w:rsid w:val="00A46CFD"/>
    <w:rsid w:val="00A46D15"/>
    <w:rsid w:val="00A46F9A"/>
    <w:rsid w:val="00A4713D"/>
    <w:rsid w:val="00A47FA6"/>
    <w:rsid w:val="00A50392"/>
    <w:rsid w:val="00A504AB"/>
    <w:rsid w:val="00A50767"/>
    <w:rsid w:val="00A50CE6"/>
    <w:rsid w:val="00A50CEF"/>
    <w:rsid w:val="00A512AE"/>
    <w:rsid w:val="00A514DA"/>
    <w:rsid w:val="00A519D0"/>
    <w:rsid w:val="00A51A1C"/>
    <w:rsid w:val="00A51BAB"/>
    <w:rsid w:val="00A51F34"/>
    <w:rsid w:val="00A52288"/>
    <w:rsid w:val="00A52412"/>
    <w:rsid w:val="00A52499"/>
    <w:rsid w:val="00A52763"/>
    <w:rsid w:val="00A529C9"/>
    <w:rsid w:val="00A5323B"/>
    <w:rsid w:val="00A5331B"/>
    <w:rsid w:val="00A5342D"/>
    <w:rsid w:val="00A53ABB"/>
    <w:rsid w:val="00A53C22"/>
    <w:rsid w:val="00A53CCD"/>
    <w:rsid w:val="00A544BF"/>
    <w:rsid w:val="00A54654"/>
    <w:rsid w:val="00A54A3A"/>
    <w:rsid w:val="00A54B7B"/>
    <w:rsid w:val="00A54FB4"/>
    <w:rsid w:val="00A55402"/>
    <w:rsid w:val="00A5543D"/>
    <w:rsid w:val="00A554CF"/>
    <w:rsid w:val="00A55935"/>
    <w:rsid w:val="00A55981"/>
    <w:rsid w:val="00A55B24"/>
    <w:rsid w:val="00A55B54"/>
    <w:rsid w:val="00A55BD5"/>
    <w:rsid w:val="00A56170"/>
    <w:rsid w:val="00A5648D"/>
    <w:rsid w:val="00A5666E"/>
    <w:rsid w:val="00A56DE0"/>
    <w:rsid w:val="00A5713B"/>
    <w:rsid w:val="00A574C9"/>
    <w:rsid w:val="00A575D3"/>
    <w:rsid w:val="00A576DC"/>
    <w:rsid w:val="00A57732"/>
    <w:rsid w:val="00A57F9B"/>
    <w:rsid w:val="00A607B6"/>
    <w:rsid w:val="00A61584"/>
    <w:rsid w:val="00A61B0D"/>
    <w:rsid w:val="00A61C47"/>
    <w:rsid w:val="00A61CF7"/>
    <w:rsid w:val="00A61D20"/>
    <w:rsid w:val="00A61F71"/>
    <w:rsid w:val="00A6201D"/>
    <w:rsid w:val="00A627AA"/>
    <w:rsid w:val="00A62AFC"/>
    <w:rsid w:val="00A62D39"/>
    <w:rsid w:val="00A6323F"/>
    <w:rsid w:val="00A6337D"/>
    <w:rsid w:val="00A633FA"/>
    <w:rsid w:val="00A6378C"/>
    <w:rsid w:val="00A6395A"/>
    <w:rsid w:val="00A63C18"/>
    <w:rsid w:val="00A63D3C"/>
    <w:rsid w:val="00A63FF1"/>
    <w:rsid w:val="00A640C6"/>
    <w:rsid w:val="00A641D0"/>
    <w:rsid w:val="00A6441C"/>
    <w:rsid w:val="00A64D39"/>
    <w:rsid w:val="00A6502B"/>
    <w:rsid w:val="00A65697"/>
    <w:rsid w:val="00A65BFE"/>
    <w:rsid w:val="00A662DC"/>
    <w:rsid w:val="00A66510"/>
    <w:rsid w:val="00A6684D"/>
    <w:rsid w:val="00A66996"/>
    <w:rsid w:val="00A66A94"/>
    <w:rsid w:val="00A67251"/>
    <w:rsid w:val="00A6741B"/>
    <w:rsid w:val="00A67929"/>
    <w:rsid w:val="00A7027F"/>
    <w:rsid w:val="00A702E1"/>
    <w:rsid w:val="00A703F3"/>
    <w:rsid w:val="00A70459"/>
    <w:rsid w:val="00A7067C"/>
    <w:rsid w:val="00A706D5"/>
    <w:rsid w:val="00A7079F"/>
    <w:rsid w:val="00A70BA3"/>
    <w:rsid w:val="00A70BDE"/>
    <w:rsid w:val="00A710E4"/>
    <w:rsid w:val="00A713FB"/>
    <w:rsid w:val="00A714DA"/>
    <w:rsid w:val="00A71582"/>
    <w:rsid w:val="00A71A10"/>
    <w:rsid w:val="00A71A4F"/>
    <w:rsid w:val="00A71A53"/>
    <w:rsid w:val="00A72083"/>
    <w:rsid w:val="00A720E2"/>
    <w:rsid w:val="00A723AF"/>
    <w:rsid w:val="00A72690"/>
    <w:rsid w:val="00A7330E"/>
    <w:rsid w:val="00A73639"/>
    <w:rsid w:val="00A74001"/>
    <w:rsid w:val="00A74226"/>
    <w:rsid w:val="00A742D8"/>
    <w:rsid w:val="00A74382"/>
    <w:rsid w:val="00A74554"/>
    <w:rsid w:val="00A74977"/>
    <w:rsid w:val="00A75057"/>
    <w:rsid w:val="00A7567E"/>
    <w:rsid w:val="00A757B0"/>
    <w:rsid w:val="00A757FC"/>
    <w:rsid w:val="00A758F9"/>
    <w:rsid w:val="00A759D0"/>
    <w:rsid w:val="00A75B5D"/>
    <w:rsid w:val="00A75C75"/>
    <w:rsid w:val="00A75E22"/>
    <w:rsid w:val="00A75F09"/>
    <w:rsid w:val="00A7603D"/>
    <w:rsid w:val="00A760E4"/>
    <w:rsid w:val="00A763C3"/>
    <w:rsid w:val="00A765AD"/>
    <w:rsid w:val="00A768D8"/>
    <w:rsid w:val="00A769AC"/>
    <w:rsid w:val="00A769CD"/>
    <w:rsid w:val="00A76AD3"/>
    <w:rsid w:val="00A773D0"/>
    <w:rsid w:val="00A77614"/>
    <w:rsid w:val="00A776A4"/>
    <w:rsid w:val="00A776CF"/>
    <w:rsid w:val="00A778EB"/>
    <w:rsid w:val="00A77D14"/>
    <w:rsid w:val="00A77F75"/>
    <w:rsid w:val="00A80037"/>
    <w:rsid w:val="00A8006C"/>
    <w:rsid w:val="00A801C9"/>
    <w:rsid w:val="00A80429"/>
    <w:rsid w:val="00A8049D"/>
    <w:rsid w:val="00A80697"/>
    <w:rsid w:val="00A809CA"/>
    <w:rsid w:val="00A80A35"/>
    <w:rsid w:val="00A80ED8"/>
    <w:rsid w:val="00A81053"/>
    <w:rsid w:val="00A81481"/>
    <w:rsid w:val="00A81992"/>
    <w:rsid w:val="00A822C2"/>
    <w:rsid w:val="00A828A1"/>
    <w:rsid w:val="00A82921"/>
    <w:rsid w:val="00A82990"/>
    <w:rsid w:val="00A82EFA"/>
    <w:rsid w:val="00A8313D"/>
    <w:rsid w:val="00A8375D"/>
    <w:rsid w:val="00A83771"/>
    <w:rsid w:val="00A83E56"/>
    <w:rsid w:val="00A84BB3"/>
    <w:rsid w:val="00A84DB6"/>
    <w:rsid w:val="00A8560A"/>
    <w:rsid w:val="00A85D8A"/>
    <w:rsid w:val="00A85D98"/>
    <w:rsid w:val="00A85F8B"/>
    <w:rsid w:val="00A8633E"/>
    <w:rsid w:val="00A864E5"/>
    <w:rsid w:val="00A8690F"/>
    <w:rsid w:val="00A86CEE"/>
    <w:rsid w:val="00A86FD5"/>
    <w:rsid w:val="00A87105"/>
    <w:rsid w:val="00A8765C"/>
    <w:rsid w:val="00A87783"/>
    <w:rsid w:val="00A87B53"/>
    <w:rsid w:val="00A87BED"/>
    <w:rsid w:val="00A90234"/>
    <w:rsid w:val="00A90401"/>
    <w:rsid w:val="00A904D1"/>
    <w:rsid w:val="00A90B2A"/>
    <w:rsid w:val="00A910F8"/>
    <w:rsid w:val="00A916C2"/>
    <w:rsid w:val="00A91841"/>
    <w:rsid w:val="00A91D35"/>
    <w:rsid w:val="00A9206E"/>
    <w:rsid w:val="00A921E3"/>
    <w:rsid w:val="00A9243E"/>
    <w:rsid w:val="00A929AD"/>
    <w:rsid w:val="00A92B05"/>
    <w:rsid w:val="00A92B57"/>
    <w:rsid w:val="00A92D6F"/>
    <w:rsid w:val="00A92D98"/>
    <w:rsid w:val="00A938A1"/>
    <w:rsid w:val="00A93DC1"/>
    <w:rsid w:val="00A94340"/>
    <w:rsid w:val="00A943C5"/>
    <w:rsid w:val="00A946A8"/>
    <w:rsid w:val="00A94864"/>
    <w:rsid w:val="00A94D20"/>
    <w:rsid w:val="00A9501A"/>
    <w:rsid w:val="00A95A7C"/>
    <w:rsid w:val="00A95CC3"/>
    <w:rsid w:val="00A95FBE"/>
    <w:rsid w:val="00A9673F"/>
    <w:rsid w:val="00A96B70"/>
    <w:rsid w:val="00A9752B"/>
    <w:rsid w:val="00A97AB4"/>
    <w:rsid w:val="00A97B5C"/>
    <w:rsid w:val="00A97C3B"/>
    <w:rsid w:val="00A97DDF"/>
    <w:rsid w:val="00A97E41"/>
    <w:rsid w:val="00AA0000"/>
    <w:rsid w:val="00AA0104"/>
    <w:rsid w:val="00AA0259"/>
    <w:rsid w:val="00AA04F2"/>
    <w:rsid w:val="00AA04F3"/>
    <w:rsid w:val="00AA0936"/>
    <w:rsid w:val="00AA0B1B"/>
    <w:rsid w:val="00AA0C04"/>
    <w:rsid w:val="00AA0C97"/>
    <w:rsid w:val="00AA0CEC"/>
    <w:rsid w:val="00AA1252"/>
    <w:rsid w:val="00AA151F"/>
    <w:rsid w:val="00AA16BB"/>
    <w:rsid w:val="00AA16C1"/>
    <w:rsid w:val="00AA18D1"/>
    <w:rsid w:val="00AA1B12"/>
    <w:rsid w:val="00AA1D17"/>
    <w:rsid w:val="00AA1E80"/>
    <w:rsid w:val="00AA1E9F"/>
    <w:rsid w:val="00AA2118"/>
    <w:rsid w:val="00AA2154"/>
    <w:rsid w:val="00AA2461"/>
    <w:rsid w:val="00AA25C7"/>
    <w:rsid w:val="00AA25FC"/>
    <w:rsid w:val="00AA2865"/>
    <w:rsid w:val="00AA2998"/>
    <w:rsid w:val="00AA3451"/>
    <w:rsid w:val="00AA3A9B"/>
    <w:rsid w:val="00AA3B56"/>
    <w:rsid w:val="00AA3BF1"/>
    <w:rsid w:val="00AA3FED"/>
    <w:rsid w:val="00AA41C0"/>
    <w:rsid w:val="00AA4351"/>
    <w:rsid w:val="00AA4D19"/>
    <w:rsid w:val="00AA4DBE"/>
    <w:rsid w:val="00AA5110"/>
    <w:rsid w:val="00AA5410"/>
    <w:rsid w:val="00AA5456"/>
    <w:rsid w:val="00AA5517"/>
    <w:rsid w:val="00AA5736"/>
    <w:rsid w:val="00AA5808"/>
    <w:rsid w:val="00AA648C"/>
    <w:rsid w:val="00AA67A5"/>
    <w:rsid w:val="00AA6C31"/>
    <w:rsid w:val="00AA6CB0"/>
    <w:rsid w:val="00AA6CEC"/>
    <w:rsid w:val="00AA70A8"/>
    <w:rsid w:val="00AA75BA"/>
    <w:rsid w:val="00AA75F3"/>
    <w:rsid w:val="00AA792B"/>
    <w:rsid w:val="00AA793B"/>
    <w:rsid w:val="00AA7A1B"/>
    <w:rsid w:val="00AB069F"/>
    <w:rsid w:val="00AB0F89"/>
    <w:rsid w:val="00AB0F96"/>
    <w:rsid w:val="00AB1184"/>
    <w:rsid w:val="00AB1222"/>
    <w:rsid w:val="00AB148D"/>
    <w:rsid w:val="00AB14EB"/>
    <w:rsid w:val="00AB182E"/>
    <w:rsid w:val="00AB21C6"/>
    <w:rsid w:val="00AB2214"/>
    <w:rsid w:val="00AB2242"/>
    <w:rsid w:val="00AB2288"/>
    <w:rsid w:val="00AB23C1"/>
    <w:rsid w:val="00AB2518"/>
    <w:rsid w:val="00AB2675"/>
    <w:rsid w:val="00AB2841"/>
    <w:rsid w:val="00AB28A2"/>
    <w:rsid w:val="00AB2B3A"/>
    <w:rsid w:val="00AB2CBA"/>
    <w:rsid w:val="00AB2D5A"/>
    <w:rsid w:val="00AB31A5"/>
    <w:rsid w:val="00AB31DD"/>
    <w:rsid w:val="00AB3244"/>
    <w:rsid w:val="00AB3651"/>
    <w:rsid w:val="00AB39AA"/>
    <w:rsid w:val="00AB3A60"/>
    <w:rsid w:val="00AB3A8C"/>
    <w:rsid w:val="00AB3C36"/>
    <w:rsid w:val="00AB40FC"/>
    <w:rsid w:val="00AB4583"/>
    <w:rsid w:val="00AB4609"/>
    <w:rsid w:val="00AB5076"/>
    <w:rsid w:val="00AB5166"/>
    <w:rsid w:val="00AB53F6"/>
    <w:rsid w:val="00AB563A"/>
    <w:rsid w:val="00AB56A7"/>
    <w:rsid w:val="00AB5988"/>
    <w:rsid w:val="00AB59C5"/>
    <w:rsid w:val="00AB67F9"/>
    <w:rsid w:val="00AB72A2"/>
    <w:rsid w:val="00AB784C"/>
    <w:rsid w:val="00AB788B"/>
    <w:rsid w:val="00AB7A84"/>
    <w:rsid w:val="00AB7C5C"/>
    <w:rsid w:val="00AB7C94"/>
    <w:rsid w:val="00AC0016"/>
    <w:rsid w:val="00AC03F6"/>
    <w:rsid w:val="00AC046B"/>
    <w:rsid w:val="00AC069A"/>
    <w:rsid w:val="00AC0944"/>
    <w:rsid w:val="00AC0B9D"/>
    <w:rsid w:val="00AC0E26"/>
    <w:rsid w:val="00AC0E4D"/>
    <w:rsid w:val="00AC0F04"/>
    <w:rsid w:val="00AC10E3"/>
    <w:rsid w:val="00AC1794"/>
    <w:rsid w:val="00AC1801"/>
    <w:rsid w:val="00AC1A23"/>
    <w:rsid w:val="00AC1E3F"/>
    <w:rsid w:val="00AC1F38"/>
    <w:rsid w:val="00AC22A9"/>
    <w:rsid w:val="00AC2375"/>
    <w:rsid w:val="00AC26D8"/>
    <w:rsid w:val="00AC2822"/>
    <w:rsid w:val="00AC28F8"/>
    <w:rsid w:val="00AC2F01"/>
    <w:rsid w:val="00AC328F"/>
    <w:rsid w:val="00AC32DD"/>
    <w:rsid w:val="00AC34B0"/>
    <w:rsid w:val="00AC3993"/>
    <w:rsid w:val="00AC3AE9"/>
    <w:rsid w:val="00AC3CB5"/>
    <w:rsid w:val="00AC44C7"/>
    <w:rsid w:val="00AC4665"/>
    <w:rsid w:val="00AC484F"/>
    <w:rsid w:val="00AC4B5B"/>
    <w:rsid w:val="00AC4F93"/>
    <w:rsid w:val="00AC5058"/>
    <w:rsid w:val="00AC542D"/>
    <w:rsid w:val="00AC58EA"/>
    <w:rsid w:val="00AC5AAE"/>
    <w:rsid w:val="00AC5AB9"/>
    <w:rsid w:val="00AC6094"/>
    <w:rsid w:val="00AC6484"/>
    <w:rsid w:val="00AC6793"/>
    <w:rsid w:val="00AC6ACE"/>
    <w:rsid w:val="00AC6E38"/>
    <w:rsid w:val="00AC6F7D"/>
    <w:rsid w:val="00AC720A"/>
    <w:rsid w:val="00AC759B"/>
    <w:rsid w:val="00AD055E"/>
    <w:rsid w:val="00AD05E2"/>
    <w:rsid w:val="00AD07AF"/>
    <w:rsid w:val="00AD0D47"/>
    <w:rsid w:val="00AD108B"/>
    <w:rsid w:val="00AD120F"/>
    <w:rsid w:val="00AD146D"/>
    <w:rsid w:val="00AD1E29"/>
    <w:rsid w:val="00AD2222"/>
    <w:rsid w:val="00AD23E5"/>
    <w:rsid w:val="00AD24BA"/>
    <w:rsid w:val="00AD264A"/>
    <w:rsid w:val="00AD2654"/>
    <w:rsid w:val="00AD2743"/>
    <w:rsid w:val="00AD279A"/>
    <w:rsid w:val="00AD28C5"/>
    <w:rsid w:val="00AD2965"/>
    <w:rsid w:val="00AD2969"/>
    <w:rsid w:val="00AD2B7B"/>
    <w:rsid w:val="00AD35AA"/>
    <w:rsid w:val="00AD386B"/>
    <w:rsid w:val="00AD3A64"/>
    <w:rsid w:val="00AD3AD1"/>
    <w:rsid w:val="00AD3B22"/>
    <w:rsid w:val="00AD3BC6"/>
    <w:rsid w:val="00AD3CD5"/>
    <w:rsid w:val="00AD3D47"/>
    <w:rsid w:val="00AD3D6E"/>
    <w:rsid w:val="00AD3ED4"/>
    <w:rsid w:val="00AD3EE5"/>
    <w:rsid w:val="00AD3F19"/>
    <w:rsid w:val="00AD3F4E"/>
    <w:rsid w:val="00AD40A9"/>
    <w:rsid w:val="00AD4130"/>
    <w:rsid w:val="00AD4383"/>
    <w:rsid w:val="00AD4AB3"/>
    <w:rsid w:val="00AD4B10"/>
    <w:rsid w:val="00AD5549"/>
    <w:rsid w:val="00AD55A3"/>
    <w:rsid w:val="00AD5990"/>
    <w:rsid w:val="00AD5BB7"/>
    <w:rsid w:val="00AD5BCA"/>
    <w:rsid w:val="00AD5BF3"/>
    <w:rsid w:val="00AD60EA"/>
    <w:rsid w:val="00AD63A6"/>
    <w:rsid w:val="00AD646E"/>
    <w:rsid w:val="00AD67D4"/>
    <w:rsid w:val="00AD6951"/>
    <w:rsid w:val="00AD6B6E"/>
    <w:rsid w:val="00AD6D2E"/>
    <w:rsid w:val="00AD717D"/>
    <w:rsid w:val="00AD7D17"/>
    <w:rsid w:val="00AE0252"/>
    <w:rsid w:val="00AE03A8"/>
    <w:rsid w:val="00AE041E"/>
    <w:rsid w:val="00AE04FB"/>
    <w:rsid w:val="00AE067C"/>
    <w:rsid w:val="00AE08E2"/>
    <w:rsid w:val="00AE094B"/>
    <w:rsid w:val="00AE0A2D"/>
    <w:rsid w:val="00AE0A3B"/>
    <w:rsid w:val="00AE0AD2"/>
    <w:rsid w:val="00AE0AF6"/>
    <w:rsid w:val="00AE0E8F"/>
    <w:rsid w:val="00AE0FEC"/>
    <w:rsid w:val="00AE135D"/>
    <w:rsid w:val="00AE1531"/>
    <w:rsid w:val="00AE21D2"/>
    <w:rsid w:val="00AE29F6"/>
    <w:rsid w:val="00AE2C26"/>
    <w:rsid w:val="00AE2CF8"/>
    <w:rsid w:val="00AE3254"/>
    <w:rsid w:val="00AE352E"/>
    <w:rsid w:val="00AE4331"/>
    <w:rsid w:val="00AE4395"/>
    <w:rsid w:val="00AE4514"/>
    <w:rsid w:val="00AE4565"/>
    <w:rsid w:val="00AE45CD"/>
    <w:rsid w:val="00AE4898"/>
    <w:rsid w:val="00AE4A8E"/>
    <w:rsid w:val="00AE4D2B"/>
    <w:rsid w:val="00AE4D7E"/>
    <w:rsid w:val="00AE4FF3"/>
    <w:rsid w:val="00AE50EB"/>
    <w:rsid w:val="00AE558C"/>
    <w:rsid w:val="00AE59DE"/>
    <w:rsid w:val="00AE614D"/>
    <w:rsid w:val="00AE63C9"/>
    <w:rsid w:val="00AE68C9"/>
    <w:rsid w:val="00AE69B5"/>
    <w:rsid w:val="00AE69D3"/>
    <w:rsid w:val="00AE69E6"/>
    <w:rsid w:val="00AE7337"/>
    <w:rsid w:val="00AE76B7"/>
    <w:rsid w:val="00AE77F8"/>
    <w:rsid w:val="00AE7849"/>
    <w:rsid w:val="00AE7977"/>
    <w:rsid w:val="00AF00B5"/>
    <w:rsid w:val="00AF016B"/>
    <w:rsid w:val="00AF0424"/>
    <w:rsid w:val="00AF059A"/>
    <w:rsid w:val="00AF0702"/>
    <w:rsid w:val="00AF0937"/>
    <w:rsid w:val="00AF099A"/>
    <w:rsid w:val="00AF0ABB"/>
    <w:rsid w:val="00AF117B"/>
    <w:rsid w:val="00AF1279"/>
    <w:rsid w:val="00AF1409"/>
    <w:rsid w:val="00AF1422"/>
    <w:rsid w:val="00AF170C"/>
    <w:rsid w:val="00AF191D"/>
    <w:rsid w:val="00AF19E3"/>
    <w:rsid w:val="00AF1C59"/>
    <w:rsid w:val="00AF1CB5"/>
    <w:rsid w:val="00AF1F10"/>
    <w:rsid w:val="00AF213A"/>
    <w:rsid w:val="00AF2488"/>
    <w:rsid w:val="00AF2496"/>
    <w:rsid w:val="00AF25B4"/>
    <w:rsid w:val="00AF277A"/>
    <w:rsid w:val="00AF2BC0"/>
    <w:rsid w:val="00AF2C3F"/>
    <w:rsid w:val="00AF2EB8"/>
    <w:rsid w:val="00AF378B"/>
    <w:rsid w:val="00AF3AC6"/>
    <w:rsid w:val="00AF3BBD"/>
    <w:rsid w:val="00AF3D39"/>
    <w:rsid w:val="00AF3D9C"/>
    <w:rsid w:val="00AF4513"/>
    <w:rsid w:val="00AF4824"/>
    <w:rsid w:val="00AF497B"/>
    <w:rsid w:val="00AF4E48"/>
    <w:rsid w:val="00AF4F05"/>
    <w:rsid w:val="00AF4F44"/>
    <w:rsid w:val="00AF5513"/>
    <w:rsid w:val="00AF5775"/>
    <w:rsid w:val="00AF5B64"/>
    <w:rsid w:val="00AF5BCB"/>
    <w:rsid w:val="00AF5BD8"/>
    <w:rsid w:val="00AF5BF3"/>
    <w:rsid w:val="00AF5D4E"/>
    <w:rsid w:val="00AF5DBA"/>
    <w:rsid w:val="00AF5E23"/>
    <w:rsid w:val="00AF607B"/>
    <w:rsid w:val="00AF6256"/>
    <w:rsid w:val="00AF64BA"/>
    <w:rsid w:val="00AF6751"/>
    <w:rsid w:val="00AF6A4C"/>
    <w:rsid w:val="00AF6C1F"/>
    <w:rsid w:val="00AF6FC8"/>
    <w:rsid w:val="00AF7714"/>
    <w:rsid w:val="00AF7C29"/>
    <w:rsid w:val="00AF7CA8"/>
    <w:rsid w:val="00AF7D85"/>
    <w:rsid w:val="00B000DA"/>
    <w:rsid w:val="00B00274"/>
    <w:rsid w:val="00B00A53"/>
    <w:rsid w:val="00B00BED"/>
    <w:rsid w:val="00B00EAE"/>
    <w:rsid w:val="00B0139A"/>
    <w:rsid w:val="00B01B03"/>
    <w:rsid w:val="00B01EA8"/>
    <w:rsid w:val="00B02183"/>
    <w:rsid w:val="00B022E5"/>
    <w:rsid w:val="00B02438"/>
    <w:rsid w:val="00B02859"/>
    <w:rsid w:val="00B028D0"/>
    <w:rsid w:val="00B029DE"/>
    <w:rsid w:val="00B02DCD"/>
    <w:rsid w:val="00B02DCF"/>
    <w:rsid w:val="00B0346E"/>
    <w:rsid w:val="00B03825"/>
    <w:rsid w:val="00B03A80"/>
    <w:rsid w:val="00B03D83"/>
    <w:rsid w:val="00B04156"/>
    <w:rsid w:val="00B0426C"/>
    <w:rsid w:val="00B0437F"/>
    <w:rsid w:val="00B04538"/>
    <w:rsid w:val="00B047C2"/>
    <w:rsid w:val="00B04BA2"/>
    <w:rsid w:val="00B04CB1"/>
    <w:rsid w:val="00B04D5A"/>
    <w:rsid w:val="00B04F75"/>
    <w:rsid w:val="00B04F79"/>
    <w:rsid w:val="00B04F8B"/>
    <w:rsid w:val="00B051D9"/>
    <w:rsid w:val="00B05373"/>
    <w:rsid w:val="00B05555"/>
    <w:rsid w:val="00B05635"/>
    <w:rsid w:val="00B05668"/>
    <w:rsid w:val="00B05C93"/>
    <w:rsid w:val="00B05CF3"/>
    <w:rsid w:val="00B061FC"/>
    <w:rsid w:val="00B062FD"/>
    <w:rsid w:val="00B07620"/>
    <w:rsid w:val="00B07815"/>
    <w:rsid w:val="00B07B3D"/>
    <w:rsid w:val="00B07E53"/>
    <w:rsid w:val="00B07F14"/>
    <w:rsid w:val="00B07FFE"/>
    <w:rsid w:val="00B101FE"/>
    <w:rsid w:val="00B102AD"/>
    <w:rsid w:val="00B106F3"/>
    <w:rsid w:val="00B10CC0"/>
    <w:rsid w:val="00B11071"/>
    <w:rsid w:val="00B11287"/>
    <w:rsid w:val="00B112A5"/>
    <w:rsid w:val="00B11740"/>
    <w:rsid w:val="00B11943"/>
    <w:rsid w:val="00B11952"/>
    <w:rsid w:val="00B121A0"/>
    <w:rsid w:val="00B122BA"/>
    <w:rsid w:val="00B12B26"/>
    <w:rsid w:val="00B12D8D"/>
    <w:rsid w:val="00B130B2"/>
    <w:rsid w:val="00B130EB"/>
    <w:rsid w:val="00B1314F"/>
    <w:rsid w:val="00B1327B"/>
    <w:rsid w:val="00B13751"/>
    <w:rsid w:val="00B138BD"/>
    <w:rsid w:val="00B13ACF"/>
    <w:rsid w:val="00B13B15"/>
    <w:rsid w:val="00B13DEE"/>
    <w:rsid w:val="00B13E3D"/>
    <w:rsid w:val="00B14026"/>
    <w:rsid w:val="00B141EA"/>
    <w:rsid w:val="00B143BB"/>
    <w:rsid w:val="00B14CA3"/>
    <w:rsid w:val="00B14E81"/>
    <w:rsid w:val="00B14FB9"/>
    <w:rsid w:val="00B15037"/>
    <w:rsid w:val="00B151CF"/>
    <w:rsid w:val="00B151FD"/>
    <w:rsid w:val="00B15201"/>
    <w:rsid w:val="00B15262"/>
    <w:rsid w:val="00B152AE"/>
    <w:rsid w:val="00B154BB"/>
    <w:rsid w:val="00B15846"/>
    <w:rsid w:val="00B15A25"/>
    <w:rsid w:val="00B15A92"/>
    <w:rsid w:val="00B16149"/>
    <w:rsid w:val="00B1653E"/>
    <w:rsid w:val="00B16BE9"/>
    <w:rsid w:val="00B17088"/>
    <w:rsid w:val="00B172C5"/>
    <w:rsid w:val="00B173FA"/>
    <w:rsid w:val="00B1752F"/>
    <w:rsid w:val="00B17567"/>
    <w:rsid w:val="00B17596"/>
    <w:rsid w:val="00B17A74"/>
    <w:rsid w:val="00B17DEA"/>
    <w:rsid w:val="00B202DA"/>
    <w:rsid w:val="00B20445"/>
    <w:rsid w:val="00B2076B"/>
    <w:rsid w:val="00B20C9E"/>
    <w:rsid w:val="00B21580"/>
    <w:rsid w:val="00B21ACD"/>
    <w:rsid w:val="00B22208"/>
    <w:rsid w:val="00B22451"/>
    <w:rsid w:val="00B2267D"/>
    <w:rsid w:val="00B2296B"/>
    <w:rsid w:val="00B22A68"/>
    <w:rsid w:val="00B22B6B"/>
    <w:rsid w:val="00B22C21"/>
    <w:rsid w:val="00B22F21"/>
    <w:rsid w:val="00B23515"/>
    <w:rsid w:val="00B238C0"/>
    <w:rsid w:val="00B23EBF"/>
    <w:rsid w:val="00B24506"/>
    <w:rsid w:val="00B247AD"/>
    <w:rsid w:val="00B24F91"/>
    <w:rsid w:val="00B25126"/>
    <w:rsid w:val="00B2533E"/>
    <w:rsid w:val="00B25871"/>
    <w:rsid w:val="00B25915"/>
    <w:rsid w:val="00B25A90"/>
    <w:rsid w:val="00B25AD4"/>
    <w:rsid w:val="00B25B15"/>
    <w:rsid w:val="00B25D05"/>
    <w:rsid w:val="00B26622"/>
    <w:rsid w:val="00B26669"/>
    <w:rsid w:val="00B2679B"/>
    <w:rsid w:val="00B26970"/>
    <w:rsid w:val="00B276B4"/>
    <w:rsid w:val="00B2783D"/>
    <w:rsid w:val="00B27DAA"/>
    <w:rsid w:val="00B30251"/>
    <w:rsid w:val="00B303F6"/>
    <w:rsid w:val="00B306CF"/>
    <w:rsid w:val="00B307B7"/>
    <w:rsid w:val="00B30CF7"/>
    <w:rsid w:val="00B30D2E"/>
    <w:rsid w:val="00B30F58"/>
    <w:rsid w:val="00B3160C"/>
    <w:rsid w:val="00B316F1"/>
    <w:rsid w:val="00B31887"/>
    <w:rsid w:val="00B319DD"/>
    <w:rsid w:val="00B31AF6"/>
    <w:rsid w:val="00B31B6D"/>
    <w:rsid w:val="00B31C76"/>
    <w:rsid w:val="00B31C7C"/>
    <w:rsid w:val="00B31DE6"/>
    <w:rsid w:val="00B31EB2"/>
    <w:rsid w:val="00B322BF"/>
    <w:rsid w:val="00B32A1D"/>
    <w:rsid w:val="00B32CBD"/>
    <w:rsid w:val="00B330BD"/>
    <w:rsid w:val="00B333B5"/>
    <w:rsid w:val="00B33523"/>
    <w:rsid w:val="00B33795"/>
    <w:rsid w:val="00B3393A"/>
    <w:rsid w:val="00B33F5C"/>
    <w:rsid w:val="00B34446"/>
    <w:rsid w:val="00B344FB"/>
    <w:rsid w:val="00B345C6"/>
    <w:rsid w:val="00B345DA"/>
    <w:rsid w:val="00B34871"/>
    <w:rsid w:val="00B349E9"/>
    <w:rsid w:val="00B34B8C"/>
    <w:rsid w:val="00B34BF1"/>
    <w:rsid w:val="00B35103"/>
    <w:rsid w:val="00B35150"/>
    <w:rsid w:val="00B3545B"/>
    <w:rsid w:val="00B35502"/>
    <w:rsid w:val="00B35576"/>
    <w:rsid w:val="00B356AE"/>
    <w:rsid w:val="00B356B7"/>
    <w:rsid w:val="00B3592F"/>
    <w:rsid w:val="00B359E0"/>
    <w:rsid w:val="00B35B39"/>
    <w:rsid w:val="00B35C91"/>
    <w:rsid w:val="00B35EC7"/>
    <w:rsid w:val="00B35FC0"/>
    <w:rsid w:val="00B36028"/>
    <w:rsid w:val="00B360D7"/>
    <w:rsid w:val="00B36310"/>
    <w:rsid w:val="00B3670E"/>
    <w:rsid w:val="00B3735F"/>
    <w:rsid w:val="00B37384"/>
    <w:rsid w:val="00B37880"/>
    <w:rsid w:val="00B378E5"/>
    <w:rsid w:val="00B37B51"/>
    <w:rsid w:val="00B37E9D"/>
    <w:rsid w:val="00B40064"/>
    <w:rsid w:val="00B400DC"/>
    <w:rsid w:val="00B405C5"/>
    <w:rsid w:val="00B40AAC"/>
    <w:rsid w:val="00B411C9"/>
    <w:rsid w:val="00B4140D"/>
    <w:rsid w:val="00B4173D"/>
    <w:rsid w:val="00B41916"/>
    <w:rsid w:val="00B4194D"/>
    <w:rsid w:val="00B41B1D"/>
    <w:rsid w:val="00B41CFA"/>
    <w:rsid w:val="00B41D66"/>
    <w:rsid w:val="00B420B4"/>
    <w:rsid w:val="00B4217E"/>
    <w:rsid w:val="00B421BC"/>
    <w:rsid w:val="00B42A1C"/>
    <w:rsid w:val="00B42AFE"/>
    <w:rsid w:val="00B43025"/>
    <w:rsid w:val="00B43226"/>
    <w:rsid w:val="00B43A65"/>
    <w:rsid w:val="00B43BD1"/>
    <w:rsid w:val="00B43EA5"/>
    <w:rsid w:val="00B4415C"/>
    <w:rsid w:val="00B441B1"/>
    <w:rsid w:val="00B44B42"/>
    <w:rsid w:val="00B453DA"/>
    <w:rsid w:val="00B45E54"/>
    <w:rsid w:val="00B466F0"/>
    <w:rsid w:val="00B467AB"/>
    <w:rsid w:val="00B46EC1"/>
    <w:rsid w:val="00B472AE"/>
    <w:rsid w:val="00B47318"/>
    <w:rsid w:val="00B473D8"/>
    <w:rsid w:val="00B473FB"/>
    <w:rsid w:val="00B4780E"/>
    <w:rsid w:val="00B479CD"/>
    <w:rsid w:val="00B479EA"/>
    <w:rsid w:val="00B47AB9"/>
    <w:rsid w:val="00B47BFF"/>
    <w:rsid w:val="00B47C51"/>
    <w:rsid w:val="00B47CA7"/>
    <w:rsid w:val="00B500E6"/>
    <w:rsid w:val="00B50842"/>
    <w:rsid w:val="00B508B4"/>
    <w:rsid w:val="00B5092C"/>
    <w:rsid w:val="00B5095A"/>
    <w:rsid w:val="00B50A44"/>
    <w:rsid w:val="00B50C68"/>
    <w:rsid w:val="00B50DA5"/>
    <w:rsid w:val="00B51602"/>
    <w:rsid w:val="00B51631"/>
    <w:rsid w:val="00B5197A"/>
    <w:rsid w:val="00B51CC8"/>
    <w:rsid w:val="00B51F64"/>
    <w:rsid w:val="00B520B9"/>
    <w:rsid w:val="00B5237A"/>
    <w:rsid w:val="00B525A6"/>
    <w:rsid w:val="00B52642"/>
    <w:rsid w:val="00B52835"/>
    <w:rsid w:val="00B5287A"/>
    <w:rsid w:val="00B52A12"/>
    <w:rsid w:val="00B52A98"/>
    <w:rsid w:val="00B52DE6"/>
    <w:rsid w:val="00B52E25"/>
    <w:rsid w:val="00B533C8"/>
    <w:rsid w:val="00B53463"/>
    <w:rsid w:val="00B535D4"/>
    <w:rsid w:val="00B538B5"/>
    <w:rsid w:val="00B53BE1"/>
    <w:rsid w:val="00B53C10"/>
    <w:rsid w:val="00B5425B"/>
    <w:rsid w:val="00B54333"/>
    <w:rsid w:val="00B5433C"/>
    <w:rsid w:val="00B54695"/>
    <w:rsid w:val="00B54777"/>
    <w:rsid w:val="00B5497F"/>
    <w:rsid w:val="00B54B9A"/>
    <w:rsid w:val="00B54CEA"/>
    <w:rsid w:val="00B54D3C"/>
    <w:rsid w:val="00B54D60"/>
    <w:rsid w:val="00B5509B"/>
    <w:rsid w:val="00B55364"/>
    <w:rsid w:val="00B55524"/>
    <w:rsid w:val="00B5585C"/>
    <w:rsid w:val="00B55C01"/>
    <w:rsid w:val="00B561F6"/>
    <w:rsid w:val="00B5632A"/>
    <w:rsid w:val="00B565D6"/>
    <w:rsid w:val="00B56D85"/>
    <w:rsid w:val="00B57001"/>
    <w:rsid w:val="00B575BF"/>
    <w:rsid w:val="00B57636"/>
    <w:rsid w:val="00B577AB"/>
    <w:rsid w:val="00B57CE9"/>
    <w:rsid w:val="00B60140"/>
    <w:rsid w:val="00B604EB"/>
    <w:rsid w:val="00B60AA1"/>
    <w:rsid w:val="00B611E5"/>
    <w:rsid w:val="00B612D4"/>
    <w:rsid w:val="00B612EA"/>
    <w:rsid w:val="00B618FB"/>
    <w:rsid w:val="00B61AED"/>
    <w:rsid w:val="00B61B2F"/>
    <w:rsid w:val="00B61C54"/>
    <w:rsid w:val="00B61C66"/>
    <w:rsid w:val="00B61D85"/>
    <w:rsid w:val="00B61F49"/>
    <w:rsid w:val="00B61F90"/>
    <w:rsid w:val="00B62203"/>
    <w:rsid w:val="00B6233D"/>
    <w:rsid w:val="00B62597"/>
    <w:rsid w:val="00B62604"/>
    <w:rsid w:val="00B62D8A"/>
    <w:rsid w:val="00B62DB6"/>
    <w:rsid w:val="00B62DF2"/>
    <w:rsid w:val="00B631E9"/>
    <w:rsid w:val="00B63A34"/>
    <w:rsid w:val="00B63A9E"/>
    <w:rsid w:val="00B63AEA"/>
    <w:rsid w:val="00B63BFD"/>
    <w:rsid w:val="00B63C38"/>
    <w:rsid w:val="00B63DAD"/>
    <w:rsid w:val="00B63E0A"/>
    <w:rsid w:val="00B63E4D"/>
    <w:rsid w:val="00B643D4"/>
    <w:rsid w:val="00B651CE"/>
    <w:rsid w:val="00B656C1"/>
    <w:rsid w:val="00B65C98"/>
    <w:rsid w:val="00B65E72"/>
    <w:rsid w:val="00B66113"/>
    <w:rsid w:val="00B6629C"/>
    <w:rsid w:val="00B66437"/>
    <w:rsid w:val="00B6649F"/>
    <w:rsid w:val="00B666E4"/>
    <w:rsid w:val="00B66821"/>
    <w:rsid w:val="00B669C9"/>
    <w:rsid w:val="00B66A87"/>
    <w:rsid w:val="00B66EE5"/>
    <w:rsid w:val="00B67047"/>
    <w:rsid w:val="00B671C6"/>
    <w:rsid w:val="00B67323"/>
    <w:rsid w:val="00B67341"/>
    <w:rsid w:val="00B67975"/>
    <w:rsid w:val="00B67AFF"/>
    <w:rsid w:val="00B67BE3"/>
    <w:rsid w:val="00B67D32"/>
    <w:rsid w:val="00B67D64"/>
    <w:rsid w:val="00B67D70"/>
    <w:rsid w:val="00B67FB6"/>
    <w:rsid w:val="00B70003"/>
    <w:rsid w:val="00B7003B"/>
    <w:rsid w:val="00B702B4"/>
    <w:rsid w:val="00B708D7"/>
    <w:rsid w:val="00B709B6"/>
    <w:rsid w:val="00B71061"/>
    <w:rsid w:val="00B71125"/>
    <w:rsid w:val="00B712D0"/>
    <w:rsid w:val="00B71339"/>
    <w:rsid w:val="00B7146E"/>
    <w:rsid w:val="00B715C8"/>
    <w:rsid w:val="00B71ACE"/>
    <w:rsid w:val="00B71C3B"/>
    <w:rsid w:val="00B71C41"/>
    <w:rsid w:val="00B72493"/>
    <w:rsid w:val="00B727C6"/>
    <w:rsid w:val="00B727DA"/>
    <w:rsid w:val="00B72B08"/>
    <w:rsid w:val="00B72BCD"/>
    <w:rsid w:val="00B7336A"/>
    <w:rsid w:val="00B7342D"/>
    <w:rsid w:val="00B73A54"/>
    <w:rsid w:val="00B73E79"/>
    <w:rsid w:val="00B741C4"/>
    <w:rsid w:val="00B74482"/>
    <w:rsid w:val="00B748F7"/>
    <w:rsid w:val="00B74BE0"/>
    <w:rsid w:val="00B74E22"/>
    <w:rsid w:val="00B74EC0"/>
    <w:rsid w:val="00B753EC"/>
    <w:rsid w:val="00B757E5"/>
    <w:rsid w:val="00B758DA"/>
    <w:rsid w:val="00B75C27"/>
    <w:rsid w:val="00B75D6B"/>
    <w:rsid w:val="00B761CA"/>
    <w:rsid w:val="00B76427"/>
    <w:rsid w:val="00B764DC"/>
    <w:rsid w:val="00B76A5A"/>
    <w:rsid w:val="00B76C36"/>
    <w:rsid w:val="00B76D36"/>
    <w:rsid w:val="00B773CB"/>
    <w:rsid w:val="00B77489"/>
    <w:rsid w:val="00B7766D"/>
    <w:rsid w:val="00B7787C"/>
    <w:rsid w:val="00B77A9D"/>
    <w:rsid w:val="00B77B94"/>
    <w:rsid w:val="00B803E4"/>
    <w:rsid w:val="00B80556"/>
    <w:rsid w:val="00B80569"/>
    <w:rsid w:val="00B80802"/>
    <w:rsid w:val="00B80818"/>
    <w:rsid w:val="00B809ED"/>
    <w:rsid w:val="00B80F4E"/>
    <w:rsid w:val="00B81382"/>
    <w:rsid w:val="00B81442"/>
    <w:rsid w:val="00B8153F"/>
    <w:rsid w:val="00B81541"/>
    <w:rsid w:val="00B815AA"/>
    <w:rsid w:val="00B818AF"/>
    <w:rsid w:val="00B8190F"/>
    <w:rsid w:val="00B819CD"/>
    <w:rsid w:val="00B81F38"/>
    <w:rsid w:val="00B82D5A"/>
    <w:rsid w:val="00B83229"/>
    <w:rsid w:val="00B832F5"/>
    <w:rsid w:val="00B83596"/>
    <w:rsid w:val="00B8389D"/>
    <w:rsid w:val="00B83B62"/>
    <w:rsid w:val="00B83F33"/>
    <w:rsid w:val="00B8413E"/>
    <w:rsid w:val="00B847DA"/>
    <w:rsid w:val="00B849BD"/>
    <w:rsid w:val="00B84BBE"/>
    <w:rsid w:val="00B84FA4"/>
    <w:rsid w:val="00B85297"/>
    <w:rsid w:val="00B85345"/>
    <w:rsid w:val="00B8535F"/>
    <w:rsid w:val="00B85B76"/>
    <w:rsid w:val="00B867D1"/>
    <w:rsid w:val="00B867E7"/>
    <w:rsid w:val="00B86802"/>
    <w:rsid w:val="00B86BBE"/>
    <w:rsid w:val="00B86C00"/>
    <w:rsid w:val="00B86DA3"/>
    <w:rsid w:val="00B8708B"/>
    <w:rsid w:val="00B8711E"/>
    <w:rsid w:val="00B87444"/>
    <w:rsid w:val="00B8769F"/>
    <w:rsid w:val="00B878CD"/>
    <w:rsid w:val="00B8795A"/>
    <w:rsid w:val="00B87B77"/>
    <w:rsid w:val="00B87BFB"/>
    <w:rsid w:val="00B87E6E"/>
    <w:rsid w:val="00B900DD"/>
    <w:rsid w:val="00B9014B"/>
    <w:rsid w:val="00B9053A"/>
    <w:rsid w:val="00B906B8"/>
    <w:rsid w:val="00B90E1E"/>
    <w:rsid w:val="00B91A05"/>
    <w:rsid w:val="00B91B23"/>
    <w:rsid w:val="00B91CB1"/>
    <w:rsid w:val="00B91F1C"/>
    <w:rsid w:val="00B92236"/>
    <w:rsid w:val="00B923B8"/>
    <w:rsid w:val="00B9249B"/>
    <w:rsid w:val="00B92B4E"/>
    <w:rsid w:val="00B92E42"/>
    <w:rsid w:val="00B9323F"/>
    <w:rsid w:val="00B93825"/>
    <w:rsid w:val="00B93B15"/>
    <w:rsid w:val="00B942FA"/>
    <w:rsid w:val="00B94524"/>
    <w:rsid w:val="00B9466B"/>
    <w:rsid w:val="00B94862"/>
    <w:rsid w:val="00B94941"/>
    <w:rsid w:val="00B94D4F"/>
    <w:rsid w:val="00B95057"/>
    <w:rsid w:val="00B95174"/>
    <w:rsid w:val="00B9536C"/>
    <w:rsid w:val="00B954E5"/>
    <w:rsid w:val="00B9581F"/>
    <w:rsid w:val="00B95851"/>
    <w:rsid w:val="00B95AC1"/>
    <w:rsid w:val="00B95DA5"/>
    <w:rsid w:val="00B96183"/>
    <w:rsid w:val="00B96494"/>
    <w:rsid w:val="00B966A7"/>
    <w:rsid w:val="00B968DF"/>
    <w:rsid w:val="00B96A9A"/>
    <w:rsid w:val="00B9733C"/>
    <w:rsid w:val="00B97619"/>
    <w:rsid w:val="00B97992"/>
    <w:rsid w:val="00B97D66"/>
    <w:rsid w:val="00BA0011"/>
    <w:rsid w:val="00BA0161"/>
    <w:rsid w:val="00BA01DC"/>
    <w:rsid w:val="00BA0201"/>
    <w:rsid w:val="00BA0AF1"/>
    <w:rsid w:val="00BA1158"/>
    <w:rsid w:val="00BA1193"/>
    <w:rsid w:val="00BA1240"/>
    <w:rsid w:val="00BA13A0"/>
    <w:rsid w:val="00BA142F"/>
    <w:rsid w:val="00BA195F"/>
    <w:rsid w:val="00BA1D08"/>
    <w:rsid w:val="00BA1FBE"/>
    <w:rsid w:val="00BA1FFB"/>
    <w:rsid w:val="00BA201F"/>
    <w:rsid w:val="00BA28AE"/>
    <w:rsid w:val="00BA29F0"/>
    <w:rsid w:val="00BA2B3F"/>
    <w:rsid w:val="00BA311D"/>
    <w:rsid w:val="00BA3331"/>
    <w:rsid w:val="00BA3469"/>
    <w:rsid w:val="00BA3507"/>
    <w:rsid w:val="00BA363D"/>
    <w:rsid w:val="00BA4B19"/>
    <w:rsid w:val="00BA4B1B"/>
    <w:rsid w:val="00BA4CFF"/>
    <w:rsid w:val="00BA4E45"/>
    <w:rsid w:val="00BA5236"/>
    <w:rsid w:val="00BA547B"/>
    <w:rsid w:val="00BA59FB"/>
    <w:rsid w:val="00BA6042"/>
    <w:rsid w:val="00BA67B7"/>
    <w:rsid w:val="00BA7069"/>
    <w:rsid w:val="00BA78D0"/>
    <w:rsid w:val="00BA7B9B"/>
    <w:rsid w:val="00BB005A"/>
    <w:rsid w:val="00BB019B"/>
    <w:rsid w:val="00BB07A1"/>
    <w:rsid w:val="00BB07B1"/>
    <w:rsid w:val="00BB0850"/>
    <w:rsid w:val="00BB127D"/>
    <w:rsid w:val="00BB14A3"/>
    <w:rsid w:val="00BB1BEA"/>
    <w:rsid w:val="00BB1CC4"/>
    <w:rsid w:val="00BB1D5E"/>
    <w:rsid w:val="00BB1E6E"/>
    <w:rsid w:val="00BB1E80"/>
    <w:rsid w:val="00BB1E9E"/>
    <w:rsid w:val="00BB2198"/>
    <w:rsid w:val="00BB2671"/>
    <w:rsid w:val="00BB267A"/>
    <w:rsid w:val="00BB2734"/>
    <w:rsid w:val="00BB2B65"/>
    <w:rsid w:val="00BB3401"/>
    <w:rsid w:val="00BB36EB"/>
    <w:rsid w:val="00BB38B2"/>
    <w:rsid w:val="00BB39CF"/>
    <w:rsid w:val="00BB3A79"/>
    <w:rsid w:val="00BB3B60"/>
    <w:rsid w:val="00BB3EE5"/>
    <w:rsid w:val="00BB4429"/>
    <w:rsid w:val="00BB4596"/>
    <w:rsid w:val="00BB4604"/>
    <w:rsid w:val="00BB4957"/>
    <w:rsid w:val="00BB4D53"/>
    <w:rsid w:val="00BB5616"/>
    <w:rsid w:val="00BB588F"/>
    <w:rsid w:val="00BB58A3"/>
    <w:rsid w:val="00BB60E4"/>
    <w:rsid w:val="00BB6553"/>
    <w:rsid w:val="00BB65D2"/>
    <w:rsid w:val="00BB65D6"/>
    <w:rsid w:val="00BB65DC"/>
    <w:rsid w:val="00BB67B8"/>
    <w:rsid w:val="00BB785B"/>
    <w:rsid w:val="00BB7C51"/>
    <w:rsid w:val="00BB7D4F"/>
    <w:rsid w:val="00BC0014"/>
    <w:rsid w:val="00BC0064"/>
    <w:rsid w:val="00BC008A"/>
    <w:rsid w:val="00BC06D1"/>
    <w:rsid w:val="00BC0968"/>
    <w:rsid w:val="00BC0B4E"/>
    <w:rsid w:val="00BC0DD5"/>
    <w:rsid w:val="00BC1169"/>
    <w:rsid w:val="00BC120C"/>
    <w:rsid w:val="00BC1211"/>
    <w:rsid w:val="00BC129E"/>
    <w:rsid w:val="00BC1323"/>
    <w:rsid w:val="00BC145A"/>
    <w:rsid w:val="00BC15DE"/>
    <w:rsid w:val="00BC1673"/>
    <w:rsid w:val="00BC173D"/>
    <w:rsid w:val="00BC17C8"/>
    <w:rsid w:val="00BC1E86"/>
    <w:rsid w:val="00BC24BE"/>
    <w:rsid w:val="00BC2611"/>
    <w:rsid w:val="00BC2886"/>
    <w:rsid w:val="00BC2BE4"/>
    <w:rsid w:val="00BC2C7C"/>
    <w:rsid w:val="00BC30EA"/>
    <w:rsid w:val="00BC3160"/>
    <w:rsid w:val="00BC328A"/>
    <w:rsid w:val="00BC369C"/>
    <w:rsid w:val="00BC3DE6"/>
    <w:rsid w:val="00BC3E0B"/>
    <w:rsid w:val="00BC3E48"/>
    <w:rsid w:val="00BC3F96"/>
    <w:rsid w:val="00BC3FC3"/>
    <w:rsid w:val="00BC41B9"/>
    <w:rsid w:val="00BC44A4"/>
    <w:rsid w:val="00BC4565"/>
    <w:rsid w:val="00BC4972"/>
    <w:rsid w:val="00BC4A0D"/>
    <w:rsid w:val="00BC4AAF"/>
    <w:rsid w:val="00BC51D1"/>
    <w:rsid w:val="00BC55E7"/>
    <w:rsid w:val="00BC58AE"/>
    <w:rsid w:val="00BC5AE6"/>
    <w:rsid w:val="00BC5D9E"/>
    <w:rsid w:val="00BC5ECB"/>
    <w:rsid w:val="00BC6083"/>
    <w:rsid w:val="00BC6116"/>
    <w:rsid w:val="00BC6214"/>
    <w:rsid w:val="00BC637D"/>
    <w:rsid w:val="00BC6498"/>
    <w:rsid w:val="00BC6897"/>
    <w:rsid w:val="00BC6A9A"/>
    <w:rsid w:val="00BC7121"/>
    <w:rsid w:val="00BC72B6"/>
    <w:rsid w:val="00BC72ED"/>
    <w:rsid w:val="00BC79A8"/>
    <w:rsid w:val="00BC7A65"/>
    <w:rsid w:val="00BC7DAF"/>
    <w:rsid w:val="00BC7DDB"/>
    <w:rsid w:val="00BC7EE2"/>
    <w:rsid w:val="00BD02F7"/>
    <w:rsid w:val="00BD041B"/>
    <w:rsid w:val="00BD056E"/>
    <w:rsid w:val="00BD0579"/>
    <w:rsid w:val="00BD0771"/>
    <w:rsid w:val="00BD0BED"/>
    <w:rsid w:val="00BD1343"/>
    <w:rsid w:val="00BD135C"/>
    <w:rsid w:val="00BD13AF"/>
    <w:rsid w:val="00BD197A"/>
    <w:rsid w:val="00BD1B8D"/>
    <w:rsid w:val="00BD1B9D"/>
    <w:rsid w:val="00BD1C81"/>
    <w:rsid w:val="00BD1D28"/>
    <w:rsid w:val="00BD1EC6"/>
    <w:rsid w:val="00BD22D4"/>
    <w:rsid w:val="00BD23E0"/>
    <w:rsid w:val="00BD2B3F"/>
    <w:rsid w:val="00BD2FBB"/>
    <w:rsid w:val="00BD31C6"/>
    <w:rsid w:val="00BD3218"/>
    <w:rsid w:val="00BD33D4"/>
    <w:rsid w:val="00BD33F3"/>
    <w:rsid w:val="00BD358D"/>
    <w:rsid w:val="00BD36D6"/>
    <w:rsid w:val="00BD3922"/>
    <w:rsid w:val="00BD3AFB"/>
    <w:rsid w:val="00BD3B84"/>
    <w:rsid w:val="00BD3C2C"/>
    <w:rsid w:val="00BD40B1"/>
    <w:rsid w:val="00BD41B0"/>
    <w:rsid w:val="00BD4484"/>
    <w:rsid w:val="00BD4585"/>
    <w:rsid w:val="00BD495D"/>
    <w:rsid w:val="00BD4CAF"/>
    <w:rsid w:val="00BD4DEC"/>
    <w:rsid w:val="00BD4FD0"/>
    <w:rsid w:val="00BD516F"/>
    <w:rsid w:val="00BD51E6"/>
    <w:rsid w:val="00BD54B8"/>
    <w:rsid w:val="00BD5B30"/>
    <w:rsid w:val="00BD5C92"/>
    <w:rsid w:val="00BD5DA9"/>
    <w:rsid w:val="00BD5E67"/>
    <w:rsid w:val="00BD607F"/>
    <w:rsid w:val="00BD617D"/>
    <w:rsid w:val="00BD61DC"/>
    <w:rsid w:val="00BD621D"/>
    <w:rsid w:val="00BD62F7"/>
    <w:rsid w:val="00BD639E"/>
    <w:rsid w:val="00BD6A7C"/>
    <w:rsid w:val="00BD6D0C"/>
    <w:rsid w:val="00BD6D25"/>
    <w:rsid w:val="00BD6DF9"/>
    <w:rsid w:val="00BD7553"/>
    <w:rsid w:val="00BD7E91"/>
    <w:rsid w:val="00BE0221"/>
    <w:rsid w:val="00BE0444"/>
    <w:rsid w:val="00BE0E47"/>
    <w:rsid w:val="00BE1135"/>
    <w:rsid w:val="00BE115E"/>
    <w:rsid w:val="00BE1256"/>
    <w:rsid w:val="00BE1389"/>
    <w:rsid w:val="00BE15AE"/>
    <w:rsid w:val="00BE1B36"/>
    <w:rsid w:val="00BE1CD5"/>
    <w:rsid w:val="00BE1E03"/>
    <w:rsid w:val="00BE1FF8"/>
    <w:rsid w:val="00BE22E7"/>
    <w:rsid w:val="00BE23F9"/>
    <w:rsid w:val="00BE2496"/>
    <w:rsid w:val="00BE25D7"/>
    <w:rsid w:val="00BE2A95"/>
    <w:rsid w:val="00BE2BC9"/>
    <w:rsid w:val="00BE2DA2"/>
    <w:rsid w:val="00BE2F05"/>
    <w:rsid w:val="00BE3481"/>
    <w:rsid w:val="00BE3539"/>
    <w:rsid w:val="00BE3655"/>
    <w:rsid w:val="00BE3830"/>
    <w:rsid w:val="00BE3B93"/>
    <w:rsid w:val="00BE3CFE"/>
    <w:rsid w:val="00BE3ED1"/>
    <w:rsid w:val="00BE3FA2"/>
    <w:rsid w:val="00BE4188"/>
    <w:rsid w:val="00BE45FF"/>
    <w:rsid w:val="00BE46C9"/>
    <w:rsid w:val="00BE47BF"/>
    <w:rsid w:val="00BE47CC"/>
    <w:rsid w:val="00BE498A"/>
    <w:rsid w:val="00BE4F0B"/>
    <w:rsid w:val="00BE4F4F"/>
    <w:rsid w:val="00BE502E"/>
    <w:rsid w:val="00BE5184"/>
    <w:rsid w:val="00BE51AA"/>
    <w:rsid w:val="00BE5247"/>
    <w:rsid w:val="00BE5374"/>
    <w:rsid w:val="00BE5564"/>
    <w:rsid w:val="00BE55D5"/>
    <w:rsid w:val="00BE55EE"/>
    <w:rsid w:val="00BE56D2"/>
    <w:rsid w:val="00BE58C7"/>
    <w:rsid w:val="00BE59C5"/>
    <w:rsid w:val="00BE5A0A"/>
    <w:rsid w:val="00BE5E71"/>
    <w:rsid w:val="00BE627A"/>
    <w:rsid w:val="00BE63AE"/>
    <w:rsid w:val="00BE6576"/>
    <w:rsid w:val="00BE6A4C"/>
    <w:rsid w:val="00BE6CE8"/>
    <w:rsid w:val="00BE7175"/>
    <w:rsid w:val="00BE7201"/>
    <w:rsid w:val="00BE7A49"/>
    <w:rsid w:val="00BE7A67"/>
    <w:rsid w:val="00BE7F74"/>
    <w:rsid w:val="00BF0267"/>
    <w:rsid w:val="00BF03CE"/>
    <w:rsid w:val="00BF044F"/>
    <w:rsid w:val="00BF0545"/>
    <w:rsid w:val="00BF05EC"/>
    <w:rsid w:val="00BF08B6"/>
    <w:rsid w:val="00BF09A5"/>
    <w:rsid w:val="00BF0A53"/>
    <w:rsid w:val="00BF0EC7"/>
    <w:rsid w:val="00BF1394"/>
    <w:rsid w:val="00BF1B39"/>
    <w:rsid w:val="00BF1CDC"/>
    <w:rsid w:val="00BF1D4F"/>
    <w:rsid w:val="00BF20ED"/>
    <w:rsid w:val="00BF2506"/>
    <w:rsid w:val="00BF25C0"/>
    <w:rsid w:val="00BF2EC7"/>
    <w:rsid w:val="00BF325F"/>
    <w:rsid w:val="00BF343A"/>
    <w:rsid w:val="00BF3DFD"/>
    <w:rsid w:val="00BF3FF1"/>
    <w:rsid w:val="00BF45C6"/>
    <w:rsid w:val="00BF4AD8"/>
    <w:rsid w:val="00BF4F4A"/>
    <w:rsid w:val="00BF4F6B"/>
    <w:rsid w:val="00BF51D2"/>
    <w:rsid w:val="00BF5633"/>
    <w:rsid w:val="00BF566B"/>
    <w:rsid w:val="00BF579B"/>
    <w:rsid w:val="00BF5A1C"/>
    <w:rsid w:val="00BF5DC1"/>
    <w:rsid w:val="00BF650C"/>
    <w:rsid w:val="00BF65B2"/>
    <w:rsid w:val="00BF66EF"/>
    <w:rsid w:val="00BF6AC0"/>
    <w:rsid w:val="00BF6F20"/>
    <w:rsid w:val="00BF6FF6"/>
    <w:rsid w:val="00BF7988"/>
    <w:rsid w:val="00BF79B4"/>
    <w:rsid w:val="00BF79E3"/>
    <w:rsid w:val="00BF7AD1"/>
    <w:rsid w:val="00BF7C54"/>
    <w:rsid w:val="00BF7D6C"/>
    <w:rsid w:val="00C00098"/>
    <w:rsid w:val="00C00312"/>
    <w:rsid w:val="00C0042E"/>
    <w:rsid w:val="00C00459"/>
    <w:rsid w:val="00C0058A"/>
    <w:rsid w:val="00C00625"/>
    <w:rsid w:val="00C0083D"/>
    <w:rsid w:val="00C00ACA"/>
    <w:rsid w:val="00C01065"/>
    <w:rsid w:val="00C01D5F"/>
    <w:rsid w:val="00C01EEF"/>
    <w:rsid w:val="00C0200F"/>
    <w:rsid w:val="00C0247C"/>
    <w:rsid w:val="00C0257E"/>
    <w:rsid w:val="00C0287B"/>
    <w:rsid w:val="00C0295E"/>
    <w:rsid w:val="00C02CB8"/>
    <w:rsid w:val="00C02D07"/>
    <w:rsid w:val="00C02D70"/>
    <w:rsid w:val="00C02DEF"/>
    <w:rsid w:val="00C02E54"/>
    <w:rsid w:val="00C0345A"/>
    <w:rsid w:val="00C034D9"/>
    <w:rsid w:val="00C03511"/>
    <w:rsid w:val="00C03CE9"/>
    <w:rsid w:val="00C03DBD"/>
    <w:rsid w:val="00C03DF5"/>
    <w:rsid w:val="00C041ED"/>
    <w:rsid w:val="00C045B8"/>
    <w:rsid w:val="00C045ED"/>
    <w:rsid w:val="00C04B8F"/>
    <w:rsid w:val="00C04C3A"/>
    <w:rsid w:val="00C04C60"/>
    <w:rsid w:val="00C05062"/>
    <w:rsid w:val="00C05089"/>
    <w:rsid w:val="00C05135"/>
    <w:rsid w:val="00C05486"/>
    <w:rsid w:val="00C05700"/>
    <w:rsid w:val="00C05AD1"/>
    <w:rsid w:val="00C05FFD"/>
    <w:rsid w:val="00C06352"/>
    <w:rsid w:val="00C063BE"/>
    <w:rsid w:val="00C06A3B"/>
    <w:rsid w:val="00C06C7A"/>
    <w:rsid w:val="00C07144"/>
    <w:rsid w:val="00C0721E"/>
    <w:rsid w:val="00C07380"/>
    <w:rsid w:val="00C074CD"/>
    <w:rsid w:val="00C07521"/>
    <w:rsid w:val="00C0762C"/>
    <w:rsid w:val="00C0781E"/>
    <w:rsid w:val="00C0788B"/>
    <w:rsid w:val="00C07972"/>
    <w:rsid w:val="00C07A88"/>
    <w:rsid w:val="00C07C4B"/>
    <w:rsid w:val="00C07CF4"/>
    <w:rsid w:val="00C07E51"/>
    <w:rsid w:val="00C07F70"/>
    <w:rsid w:val="00C1035F"/>
    <w:rsid w:val="00C1076B"/>
    <w:rsid w:val="00C107C3"/>
    <w:rsid w:val="00C10852"/>
    <w:rsid w:val="00C10A60"/>
    <w:rsid w:val="00C10B32"/>
    <w:rsid w:val="00C1111C"/>
    <w:rsid w:val="00C11A36"/>
    <w:rsid w:val="00C122E0"/>
    <w:rsid w:val="00C12A8A"/>
    <w:rsid w:val="00C13520"/>
    <w:rsid w:val="00C1384B"/>
    <w:rsid w:val="00C138FA"/>
    <w:rsid w:val="00C13D12"/>
    <w:rsid w:val="00C13DF5"/>
    <w:rsid w:val="00C1400F"/>
    <w:rsid w:val="00C1413D"/>
    <w:rsid w:val="00C141B1"/>
    <w:rsid w:val="00C145EC"/>
    <w:rsid w:val="00C146B2"/>
    <w:rsid w:val="00C146C5"/>
    <w:rsid w:val="00C14840"/>
    <w:rsid w:val="00C14F9B"/>
    <w:rsid w:val="00C14FAB"/>
    <w:rsid w:val="00C14FE7"/>
    <w:rsid w:val="00C157A5"/>
    <w:rsid w:val="00C158DA"/>
    <w:rsid w:val="00C15AB8"/>
    <w:rsid w:val="00C15B7A"/>
    <w:rsid w:val="00C15F42"/>
    <w:rsid w:val="00C1601B"/>
    <w:rsid w:val="00C160DE"/>
    <w:rsid w:val="00C1610B"/>
    <w:rsid w:val="00C1611D"/>
    <w:rsid w:val="00C1635E"/>
    <w:rsid w:val="00C167D3"/>
    <w:rsid w:val="00C16C9A"/>
    <w:rsid w:val="00C16C9F"/>
    <w:rsid w:val="00C16DAD"/>
    <w:rsid w:val="00C17150"/>
    <w:rsid w:val="00C175E4"/>
    <w:rsid w:val="00C17BE9"/>
    <w:rsid w:val="00C17C86"/>
    <w:rsid w:val="00C17CAC"/>
    <w:rsid w:val="00C17D2C"/>
    <w:rsid w:val="00C17FEC"/>
    <w:rsid w:val="00C202BE"/>
    <w:rsid w:val="00C2078F"/>
    <w:rsid w:val="00C20C5D"/>
    <w:rsid w:val="00C20F64"/>
    <w:rsid w:val="00C210DE"/>
    <w:rsid w:val="00C2149A"/>
    <w:rsid w:val="00C21AA8"/>
    <w:rsid w:val="00C21FCD"/>
    <w:rsid w:val="00C222A0"/>
    <w:rsid w:val="00C22307"/>
    <w:rsid w:val="00C22610"/>
    <w:rsid w:val="00C22834"/>
    <w:rsid w:val="00C22BC6"/>
    <w:rsid w:val="00C22ED9"/>
    <w:rsid w:val="00C2300B"/>
    <w:rsid w:val="00C23207"/>
    <w:rsid w:val="00C232E0"/>
    <w:rsid w:val="00C234DE"/>
    <w:rsid w:val="00C2387F"/>
    <w:rsid w:val="00C23C82"/>
    <w:rsid w:val="00C23D53"/>
    <w:rsid w:val="00C23DA1"/>
    <w:rsid w:val="00C23FBE"/>
    <w:rsid w:val="00C2448F"/>
    <w:rsid w:val="00C2496D"/>
    <w:rsid w:val="00C24B5E"/>
    <w:rsid w:val="00C2534F"/>
    <w:rsid w:val="00C254AE"/>
    <w:rsid w:val="00C25720"/>
    <w:rsid w:val="00C25876"/>
    <w:rsid w:val="00C2598A"/>
    <w:rsid w:val="00C26144"/>
    <w:rsid w:val="00C2662C"/>
    <w:rsid w:val="00C268B4"/>
    <w:rsid w:val="00C26B4E"/>
    <w:rsid w:val="00C26B5F"/>
    <w:rsid w:val="00C26C77"/>
    <w:rsid w:val="00C26F0C"/>
    <w:rsid w:val="00C27023"/>
    <w:rsid w:val="00C2714D"/>
    <w:rsid w:val="00C27220"/>
    <w:rsid w:val="00C27583"/>
    <w:rsid w:val="00C2769B"/>
    <w:rsid w:val="00C27C6B"/>
    <w:rsid w:val="00C27D2C"/>
    <w:rsid w:val="00C30058"/>
    <w:rsid w:val="00C3045C"/>
    <w:rsid w:val="00C30543"/>
    <w:rsid w:val="00C3071E"/>
    <w:rsid w:val="00C30D42"/>
    <w:rsid w:val="00C30DDE"/>
    <w:rsid w:val="00C31000"/>
    <w:rsid w:val="00C3118A"/>
    <w:rsid w:val="00C3135A"/>
    <w:rsid w:val="00C31734"/>
    <w:rsid w:val="00C31753"/>
    <w:rsid w:val="00C317A2"/>
    <w:rsid w:val="00C31AA0"/>
    <w:rsid w:val="00C31AFA"/>
    <w:rsid w:val="00C31C01"/>
    <w:rsid w:val="00C31DC2"/>
    <w:rsid w:val="00C3204D"/>
    <w:rsid w:val="00C32251"/>
    <w:rsid w:val="00C3239D"/>
    <w:rsid w:val="00C32596"/>
    <w:rsid w:val="00C325FB"/>
    <w:rsid w:val="00C3297B"/>
    <w:rsid w:val="00C32F34"/>
    <w:rsid w:val="00C3307F"/>
    <w:rsid w:val="00C332E8"/>
    <w:rsid w:val="00C3339E"/>
    <w:rsid w:val="00C33522"/>
    <w:rsid w:val="00C33581"/>
    <w:rsid w:val="00C3427C"/>
    <w:rsid w:val="00C343FC"/>
    <w:rsid w:val="00C34B32"/>
    <w:rsid w:val="00C34D2C"/>
    <w:rsid w:val="00C34EDF"/>
    <w:rsid w:val="00C34FEB"/>
    <w:rsid w:val="00C35482"/>
    <w:rsid w:val="00C35869"/>
    <w:rsid w:val="00C36396"/>
    <w:rsid w:val="00C3651F"/>
    <w:rsid w:val="00C36592"/>
    <w:rsid w:val="00C36633"/>
    <w:rsid w:val="00C36CA2"/>
    <w:rsid w:val="00C36D66"/>
    <w:rsid w:val="00C36E9D"/>
    <w:rsid w:val="00C371B4"/>
    <w:rsid w:val="00C37614"/>
    <w:rsid w:val="00C37648"/>
    <w:rsid w:val="00C376A8"/>
    <w:rsid w:val="00C3771D"/>
    <w:rsid w:val="00C37A7A"/>
    <w:rsid w:val="00C37C86"/>
    <w:rsid w:val="00C401EC"/>
    <w:rsid w:val="00C4020E"/>
    <w:rsid w:val="00C40400"/>
    <w:rsid w:val="00C405C1"/>
    <w:rsid w:val="00C40724"/>
    <w:rsid w:val="00C407DF"/>
    <w:rsid w:val="00C40B70"/>
    <w:rsid w:val="00C40BAA"/>
    <w:rsid w:val="00C40C60"/>
    <w:rsid w:val="00C40D50"/>
    <w:rsid w:val="00C40F6C"/>
    <w:rsid w:val="00C412B1"/>
    <w:rsid w:val="00C413DB"/>
    <w:rsid w:val="00C41980"/>
    <w:rsid w:val="00C41B79"/>
    <w:rsid w:val="00C41C14"/>
    <w:rsid w:val="00C41CAE"/>
    <w:rsid w:val="00C41D01"/>
    <w:rsid w:val="00C41DA1"/>
    <w:rsid w:val="00C41EDC"/>
    <w:rsid w:val="00C424CF"/>
    <w:rsid w:val="00C427B6"/>
    <w:rsid w:val="00C42DB0"/>
    <w:rsid w:val="00C43062"/>
    <w:rsid w:val="00C43418"/>
    <w:rsid w:val="00C43699"/>
    <w:rsid w:val="00C43BD5"/>
    <w:rsid w:val="00C4427E"/>
    <w:rsid w:val="00C4436C"/>
    <w:rsid w:val="00C44673"/>
    <w:rsid w:val="00C44B6D"/>
    <w:rsid w:val="00C450AB"/>
    <w:rsid w:val="00C4516F"/>
    <w:rsid w:val="00C452AD"/>
    <w:rsid w:val="00C455EC"/>
    <w:rsid w:val="00C456CD"/>
    <w:rsid w:val="00C45737"/>
    <w:rsid w:val="00C45A08"/>
    <w:rsid w:val="00C45B49"/>
    <w:rsid w:val="00C461B2"/>
    <w:rsid w:val="00C46255"/>
    <w:rsid w:val="00C46262"/>
    <w:rsid w:val="00C46275"/>
    <w:rsid w:val="00C4627F"/>
    <w:rsid w:val="00C4638C"/>
    <w:rsid w:val="00C4638E"/>
    <w:rsid w:val="00C46634"/>
    <w:rsid w:val="00C466C7"/>
    <w:rsid w:val="00C46EAB"/>
    <w:rsid w:val="00C4713A"/>
    <w:rsid w:val="00C47192"/>
    <w:rsid w:val="00C47617"/>
    <w:rsid w:val="00C47C8E"/>
    <w:rsid w:val="00C47F69"/>
    <w:rsid w:val="00C47FBC"/>
    <w:rsid w:val="00C505B8"/>
    <w:rsid w:val="00C508A3"/>
    <w:rsid w:val="00C50AAD"/>
    <w:rsid w:val="00C5119E"/>
    <w:rsid w:val="00C512F7"/>
    <w:rsid w:val="00C517B1"/>
    <w:rsid w:val="00C51A56"/>
    <w:rsid w:val="00C51B1C"/>
    <w:rsid w:val="00C51C01"/>
    <w:rsid w:val="00C51E24"/>
    <w:rsid w:val="00C51EAA"/>
    <w:rsid w:val="00C52349"/>
    <w:rsid w:val="00C528C4"/>
    <w:rsid w:val="00C528E5"/>
    <w:rsid w:val="00C52BC5"/>
    <w:rsid w:val="00C52F0C"/>
    <w:rsid w:val="00C52FD1"/>
    <w:rsid w:val="00C53185"/>
    <w:rsid w:val="00C533DF"/>
    <w:rsid w:val="00C5359B"/>
    <w:rsid w:val="00C53762"/>
    <w:rsid w:val="00C53AF7"/>
    <w:rsid w:val="00C53CCA"/>
    <w:rsid w:val="00C53FAD"/>
    <w:rsid w:val="00C5401D"/>
    <w:rsid w:val="00C54171"/>
    <w:rsid w:val="00C54357"/>
    <w:rsid w:val="00C54385"/>
    <w:rsid w:val="00C5441C"/>
    <w:rsid w:val="00C546AB"/>
    <w:rsid w:val="00C54A03"/>
    <w:rsid w:val="00C554B5"/>
    <w:rsid w:val="00C55A1E"/>
    <w:rsid w:val="00C56093"/>
    <w:rsid w:val="00C560C0"/>
    <w:rsid w:val="00C56711"/>
    <w:rsid w:val="00C56795"/>
    <w:rsid w:val="00C56A04"/>
    <w:rsid w:val="00C56DCE"/>
    <w:rsid w:val="00C56EF2"/>
    <w:rsid w:val="00C56FE2"/>
    <w:rsid w:val="00C570A6"/>
    <w:rsid w:val="00C57282"/>
    <w:rsid w:val="00C57321"/>
    <w:rsid w:val="00C57520"/>
    <w:rsid w:val="00C576AB"/>
    <w:rsid w:val="00C579F3"/>
    <w:rsid w:val="00C600B3"/>
    <w:rsid w:val="00C6079A"/>
    <w:rsid w:val="00C60A1D"/>
    <w:rsid w:val="00C60B6C"/>
    <w:rsid w:val="00C60DE1"/>
    <w:rsid w:val="00C6109A"/>
    <w:rsid w:val="00C61464"/>
    <w:rsid w:val="00C618D8"/>
    <w:rsid w:val="00C61904"/>
    <w:rsid w:val="00C61D3A"/>
    <w:rsid w:val="00C6298A"/>
    <w:rsid w:val="00C629E0"/>
    <w:rsid w:val="00C62AB3"/>
    <w:rsid w:val="00C62BA5"/>
    <w:rsid w:val="00C62F99"/>
    <w:rsid w:val="00C63723"/>
    <w:rsid w:val="00C63AA0"/>
    <w:rsid w:val="00C63BC3"/>
    <w:rsid w:val="00C63DAB"/>
    <w:rsid w:val="00C643BB"/>
    <w:rsid w:val="00C6484E"/>
    <w:rsid w:val="00C648EE"/>
    <w:rsid w:val="00C64BAD"/>
    <w:rsid w:val="00C64F95"/>
    <w:rsid w:val="00C6526D"/>
    <w:rsid w:val="00C652CA"/>
    <w:rsid w:val="00C653B4"/>
    <w:rsid w:val="00C65512"/>
    <w:rsid w:val="00C655EA"/>
    <w:rsid w:val="00C65924"/>
    <w:rsid w:val="00C6597A"/>
    <w:rsid w:val="00C65BE3"/>
    <w:rsid w:val="00C65D68"/>
    <w:rsid w:val="00C65DEC"/>
    <w:rsid w:val="00C6632D"/>
    <w:rsid w:val="00C663DF"/>
    <w:rsid w:val="00C6644C"/>
    <w:rsid w:val="00C66842"/>
    <w:rsid w:val="00C66928"/>
    <w:rsid w:val="00C66949"/>
    <w:rsid w:val="00C66F36"/>
    <w:rsid w:val="00C6747B"/>
    <w:rsid w:val="00C676AB"/>
    <w:rsid w:val="00C67904"/>
    <w:rsid w:val="00C67AA1"/>
    <w:rsid w:val="00C67CF0"/>
    <w:rsid w:val="00C67E8E"/>
    <w:rsid w:val="00C67E8F"/>
    <w:rsid w:val="00C70177"/>
    <w:rsid w:val="00C702E0"/>
    <w:rsid w:val="00C704AC"/>
    <w:rsid w:val="00C708D5"/>
    <w:rsid w:val="00C70D41"/>
    <w:rsid w:val="00C716EF"/>
    <w:rsid w:val="00C71723"/>
    <w:rsid w:val="00C7181E"/>
    <w:rsid w:val="00C7189B"/>
    <w:rsid w:val="00C71C04"/>
    <w:rsid w:val="00C71ECA"/>
    <w:rsid w:val="00C7214F"/>
    <w:rsid w:val="00C72177"/>
    <w:rsid w:val="00C72211"/>
    <w:rsid w:val="00C725F2"/>
    <w:rsid w:val="00C72EBB"/>
    <w:rsid w:val="00C72EF2"/>
    <w:rsid w:val="00C72EFC"/>
    <w:rsid w:val="00C72F8F"/>
    <w:rsid w:val="00C7340A"/>
    <w:rsid w:val="00C7357E"/>
    <w:rsid w:val="00C73907"/>
    <w:rsid w:val="00C73D4D"/>
    <w:rsid w:val="00C73FE5"/>
    <w:rsid w:val="00C7463D"/>
    <w:rsid w:val="00C74B8C"/>
    <w:rsid w:val="00C74BCC"/>
    <w:rsid w:val="00C74CA9"/>
    <w:rsid w:val="00C75149"/>
    <w:rsid w:val="00C75617"/>
    <w:rsid w:val="00C75C33"/>
    <w:rsid w:val="00C75EEF"/>
    <w:rsid w:val="00C763CE"/>
    <w:rsid w:val="00C76662"/>
    <w:rsid w:val="00C76CC1"/>
    <w:rsid w:val="00C76E30"/>
    <w:rsid w:val="00C76FF9"/>
    <w:rsid w:val="00C771B0"/>
    <w:rsid w:val="00C7723D"/>
    <w:rsid w:val="00C77E01"/>
    <w:rsid w:val="00C77F43"/>
    <w:rsid w:val="00C806FC"/>
    <w:rsid w:val="00C80B62"/>
    <w:rsid w:val="00C80BC9"/>
    <w:rsid w:val="00C80DAA"/>
    <w:rsid w:val="00C80DD6"/>
    <w:rsid w:val="00C80DDE"/>
    <w:rsid w:val="00C8101E"/>
    <w:rsid w:val="00C81513"/>
    <w:rsid w:val="00C81ABF"/>
    <w:rsid w:val="00C81DE1"/>
    <w:rsid w:val="00C81E75"/>
    <w:rsid w:val="00C8222D"/>
    <w:rsid w:val="00C82376"/>
    <w:rsid w:val="00C82489"/>
    <w:rsid w:val="00C8268F"/>
    <w:rsid w:val="00C829C2"/>
    <w:rsid w:val="00C82AA0"/>
    <w:rsid w:val="00C82FE4"/>
    <w:rsid w:val="00C831E4"/>
    <w:rsid w:val="00C83465"/>
    <w:rsid w:val="00C83535"/>
    <w:rsid w:val="00C835E7"/>
    <w:rsid w:val="00C8372F"/>
    <w:rsid w:val="00C83975"/>
    <w:rsid w:val="00C83AE8"/>
    <w:rsid w:val="00C83D84"/>
    <w:rsid w:val="00C84100"/>
    <w:rsid w:val="00C847B1"/>
    <w:rsid w:val="00C84A58"/>
    <w:rsid w:val="00C84B12"/>
    <w:rsid w:val="00C84D24"/>
    <w:rsid w:val="00C84DB5"/>
    <w:rsid w:val="00C84F4D"/>
    <w:rsid w:val="00C85540"/>
    <w:rsid w:val="00C857A3"/>
    <w:rsid w:val="00C861B7"/>
    <w:rsid w:val="00C86401"/>
    <w:rsid w:val="00C864BE"/>
    <w:rsid w:val="00C867B4"/>
    <w:rsid w:val="00C868F4"/>
    <w:rsid w:val="00C8690C"/>
    <w:rsid w:val="00C86916"/>
    <w:rsid w:val="00C869CA"/>
    <w:rsid w:val="00C86EFF"/>
    <w:rsid w:val="00C872FC"/>
    <w:rsid w:val="00C87418"/>
    <w:rsid w:val="00C87436"/>
    <w:rsid w:val="00C87640"/>
    <w:rsid w:val="00C8767C"/>
    <w:rsid w:val="00C876D6"/>
    <w:rsid w:val="00C8784C"/>
    <w:rsid w:val="00C87D7A"/>
    <w:rsid w:val="00C87DBB"/>
    <w:rsid w:val="00C905C3"/>
    <w:rsid w:val="00C90627"/>
    <w:rsid w:val="00C90631"/>
    <w:rsid w:val="00C90819"/>
    <w:rsid w:val="00C90A6C"/>
    <w:rsid w:val="00C90BD6"/>
    <w:rsid w:val="00C90C18"/>
    <w:rsid w:val="00C91056"/>
    <w:rsid w:val="00C9113C"/>
    <w:rsid w:val="00C91424"/>
    <w:rsid w:val="00C9161C"/>
    <w:rsid w:val="00C91651"/>
    <w:rsid w:val="00C91723"/>
    <w:rsid w:val="00C917A4"/>
    <w:rsid w:val="00C91BB8"/>
    <w:rsid w:val="00C91DBC"/>
    <w:rsid w:val="00C9208F"/>
    <w:rsid w:val="00C921C4"/>
    <w:rsid w:val="00C922A2"/>
    <w:rsid w:val="00C92676"/>
    <w:rsid w:val="00C9288B"/>
    <w:rsid w:val="00C92C95"/>
    <w:rsid w:val="00C930B9"/>
    <w:rsid w:val="00C931E4"/>
    <w:rsid w:val="00C9331E"/>
    <w:rsid w:val="00C937FF"/>
    <w:rsid w:val="00C93892"/>
    <w:rsid w:val="00C94689"/>
    <w:rsid w:val="00C9498D"/>
    <w:rsid w:val="00C94C00"/>
    <w:rsid w:val="00C951F2"/>
    <w:rsid w:val="00C95548"/>
    <w:rsid w:val="00C95B0E"/>
    <w:rsid w:val="00C95DC6"/>
    <w:rsid w:val="00C9663B"/>
    <w:rsid w:val="00C96E30"/>
    <w:rsid w:val="00C96E51"/>
    <w:rsid w:val="00C96FC8"/>
    <w:rsid w:val="00C9707B"/>
    <w:rsid w:val="00C972EF"/>
    <w:rsid w:val="00C976D4"/>
    <w:rsid w:val="00C9782E"/>
    <w:rsid w:val="00C978D4"/>
    <w:rsid w:val="00C97AB9"/>
    <w:rsid w:val="00C97C8C"/>
    <w:rsid w:val="00C97CEE"/>
    <w:rsid w:val="00CA0012"/>
    <w:rsid w:val="00CA0064"/>
    <w:rsid w:val="00CA058C"/>
    <w:rsid w:val="00CA0820"/>
    <w:rsid w:val="00CA0CD5"/>
    <w:rsid w:val="00CA1227"/>
    <w:rsid w:val="00CA12A9"/>
    <w:rsid w:val="00CA1AE5"/>
    <w:rsid w:val="00CA1CD0"/>
    <w:rsid w:val="00CA1DCC"/>
    <w:rsid w:val="00CA221C"/>
    <w:rsid w:val="00CA2331"/>
    <w:rsid w:val="00CA26EA"/>
    <w:rsid w:val="00CA2826"/>
    <w:rsid w:val="00CA28C8"/>
    <w:rsid w:val="00CA2DD6"/>
    <w:rsid w:val="00CA2FB2"/>
    <w:rsid w:val="00CA357D"/>
    <w:rsid w:val="00CA3753"/>
    <w:rsid w:val="00CA3BF1"/>
    <w:rsid w:val="00CA3CC2"/>
    <w:rsid w:val="00CA3D3A"/>
    <w:rsid w:val="00CA4185"/>
    <w:rsid w:val="00CA42D6"/>
    <w:rsid w:val="00CA4485"/>
    <w:rsid w:val="00CA454B"/>
    <w:rsid w:val="00CA46A4"/>
    <w:rsid w:val="00CA4DBA"/>
    <w:rsid w:val="00CA51D4"/>
    <w:rsid w:val="00CA51F4"/>
    <w:rsid w:val="00CA521D"/>
    <w:rsid w:val="00CA528A"/>
    <w:rsid w:val="00CA53EA"/>
    <w:rsid w:val="00CA543F"/>
    <w:rsid w:val="00CA5504"/>
    <w:rsid w:val="00CA5D41"/>
    <w:rsid w:val="00CA6014"/>
    <w:rsid w:val="00CA64AF"/>
    <w:rsid w:val="00CA6BB5"/>
    <w:rsid w:val="00CA6BEE"/>
    <w:rsid w:val="00CA73F5"/>
    <w:rsid w:val="00CA74EF"/>
    <w:rsid w:val="00CA7829"/>
    <w:rsid w:val="00CA79A0"/>
    <w:rsid w:val="00CA7B4E"/>
    <w:rsid w:val="00CB0155"/>
    <w:rsid w:val="00CB02E8"/>
    <w:rsid w:val="00CB03D8"/>
    <w:rsid w:val="00CB0688"/>
    <w:rsid w:val="00CB09FE"/>
    <w:rsid w:val="00CB0E72"/>
    <w:rsid w:val="00CB0F47"/>
    <w:rsid w:val="00CB122F"/>
    <w:rsid w:val="00CB1547"/>
    <w:rsid w:val="00CB15E9"/>
    <w:rsid w:val="00CB1ABD"/>
    <w:rsid w:val="00CB1B50"/>
    <w:rsid w:val="00CB1FE0"/>
    <w:rsid w:val="00CB232A"/>
    <w:rsid w:val="00CB23EE"/>
    <w:rsid w:val="00CB2885"/>
    <w:rsid w:val="00CB2AB5"/>
    <w:rsid w:val="00CB2BD5"/>
    <w:rsid w:val="00CB2E32"/>
    <w:rsid w:val="00CB3409"/>
    <w:rsid w:val="00CB37EC"/>
    <w:rsid w:val="00CB3A0F"/>
    <w:rsid w:val="00CB3B2F"/>
    <w:rsid w:val="00CB3C75"/>
    <w:rsid w:val="00CB45F2"/>
    <w:rsid w:val="00CB474D"/>
    <w:rsid w:val="00CB4A9D"/>
    <w:rsid w:val="00CB4E36"/>
    <w:rsid w:val="00CB4E4B"/>
    <w:rsid w:val="00CB4E7D"/>
    <w:rsid w:val="00CB519B"/>
    <w:rsid w:val="00CB5606"/>
    <w:rsid w:val="00CB5C55"/>
    <w:rsid w:val="00CB6167"/>
    <w:rsid w:val="00CB63A7"/>
    <w:rsid w:val="00CB647C"/>
    <w:rsid w:val="00CB6771"/>
    <w:rsid w:val="00CB6B27"/>
    <w:rsid w:val="00CB6B68"/>
    <w:rsid w:val="00CB6C75"/>
    <w:rsid w:val="00CB70A3"/>
    <w:rsid w:val="00CB7810"/>
    <w:rsid w:val="00CB7A70"/>
    <w:rsid w:val="00CB7B16"/>
    <w:rsid w:val="00CB7B84"/>
    <w:rsid w:val="00CB7BE1"/>
    <w:rsid w:val="00CC0051"/>
    <w:rsid w:val="00CC0231"/>
    <w:rsid w:val="00CC035D"/>
    <w:rsid w:val="00CC04BD"/>
    <w:rsid w:val="00CC0511"/>
    <w:rsid w:val="00CC08A1"/>
    <w:rsid w:val="00CC08C8"/>
    <w:rsid w:val="00CC0982"/>
    <w:rsid w:val="00CC0F71"/>
    <w:rsid w:val="00CC1199"/>
    <w:rsid w:val="00CC1664"/>
    <w:rsid w:val="00CC16A4"/>
    <w:rsid w:val="00CC17B0"/>
    <w:rsid w:val="00CC17CA"/>
    <w:rsid w:val="00CC1806"/>
    <w:rsid w:val="00CC1CF1"/>
    <w:rsid w:val="00CC1D1A"/>
    <w:rsid w:val="00CC1E22"/>
    <w:rsid w:val="00CC2188"/>
    <w:rsid w:val="00CC2CFB"/>
    <w:rsid w:val="00CC2EDD"/>
    <w:rsid w:val="00CC2EFD"/>
    <w:rsid w:val="00CC3272"/>
    <w:rsid w:val="00CC3469"/>
    <w:rsid w:val="00CC3525"/>
    <w:rsid w:val="00CC3753"/>
    <w:rsid w:val="00CC3B0C"/>
    <w:rsid w:val="00CC406D"/>
    <w:rsid w:val="00CC40E0"/>
    <w:rsid w:val="00CC46DB"/>
    <w:rsid w:val="00CC4847"/>
    <w:rsid w:val="00CC4ABD"/>
    <w:rsid w:val="00CC4BC8"/>
    <w:rsid w:val="00CC4C38"/>
    <w:rsid w:val="00CC4C5F"/>
    <w:rsid w:val="00CC4F8D"/>
    <w:rsid w:val="00CC4FCC"/>
    <w:rsid w:val="00CC5018"/>
    <w:rsid w:val="00CC50FC"/>
    <w:rsid w:val="00CC5504"/>
    <w:rsid w:val="00CC5812"/>
    <w:rsid w:val="00CC5956"/>
    <w:rsid w:val="00CC59BD"/>
    <w:rsid w:val="00CC5BAA"/>
    <w:rsid w:val="00CC5D59"/>
    <w:rsid w:val="00CC60BF"/>
    <w:rsid w:val="00CC61D1"/>
    <w:rsid w:val="00CC6260"/>
    <w:rsid w:val="00CC62BB"/>
    <w:rsid w:val="00CC630A"/>
    <w:rsid w:val="00CC63FF"/>
    <w:rsid w:val="00CC64DC"/>
    <w:rsid w:val="00CC65C8"/>
    <w:rsid w:val="00CC696E"/>
    <w:rsid w:val="00CC6D09"/>
    <w:rsid w:val="00CC6FDF"/>
    <w:rsid w:val="00CC71FE"/>
    <w:rsid w:val="00CC74A2"/>
    <w:rsid w:val="00CC76EC"/>
    <w:rsid w:val="00CC77D2"/>
    <w:rsid w:val="00CC7E26"/>
    <w:rsid w:val="00CD03B6"/>
    <w:rsid w:val="00CD0432"/>
    <w:rsid w:val="00CD061E"/>
    <w:rsid w:val="00CD06DD"/>
    <w:rsid w:val="00CD0B34"/>
    <w:rsid w:val="00CD0E30"/>
    <w:rsid w:val="00CD114B"/>
    <w:rsid w:val="00CD11AC"/>
    <w:rsid w:val="00CD1404"/>
    <w:rsid w:val="00CD1498"/>
    <w:rsid w:val="00CD14BC"/>
    <w:rsid w:val="00CD14E3"/>
    <w:rsid w:val="00CD15D6"/>
    <w:rsid w:val="00CD1764"/>
    <w:rsid w:val="00CD21AE"/>
    <w:rsid w:val="00CD2338"/>
    <w:rsid w:val="00CD2621"/>
    <w:rsid w:val="00CD2BCA"/>
    <w:rsid w:val="00CD2C46"/>
    <w:rsid w:val="00CD2EA0"/>
    <w:rsid w:val="00CD2F47"/>
    <w:rsid w:val="00CD31AA"/>
    <w:rsid w:val="00CD3714"/>
    <w:rsid w:val="00CD38E6"/>
    <w:rsid w:val="00CD3C90"/>
    <w:rsid w:val="00CD42C8"/>
    <w:rsid w:val="00CD46A1"/>
    <w:rsid w:val="00CD46C8"/>
    <w:rsid w:val="00CD472B"/>
    <w:rsid w:val="00CD49EA"/>
    <w:rsid w:val="00CD4B5B"/>
    <w:rsid w:val="00CD4C5E"/>
    <w:rsid w:val="00CD5026"/>
    <w:rsid w:val="00CD513B"/>
    <w:rsid w:val="00CD53EB"/>
    <w:rsid w:val="00CD5871"/>
    <w:rsid w:val="00CD58F0"/>
    <w:rsid w:val="00CD5B3F"/>
    <w:rsid w:val="00CD5CF3"/>
    <w:rsid w:val="00CD6068"/>
    <w:rsid w:val="00CD6186"/>
    <w:rsid w:val="00CD6467"/>
    <w:rsid w:val="00CD66E5"/>
    <w:rsid w:val="00CD6BBF"/>
    <w:rsid w:val="00CD7730"/>
    <w:rsid w:val="00CD785C"/>
    <w:rsid w:val="00CE005D"/>
    <w:rsid w:val="00CE0891"/>
    <w:rsid w:val="00CE14C2"/>
    <w:rsid w:val="00CE169A"/>
    <w:rsid w:val="00CE16CA"/>
    <w:rsid w:val="00CE19CA"/>
    <w:rsid w:val="00CE1A08"/>
    <w:rsid w:val="00CE1DDD"/>
    <w:rsid w:val="00CE1FC3"/>
    <w:rsid w:val="00CE2308"/>
    <w:rsid w:val="00CE256F"/>
    <w:rsid w:val="00CE2736"/>
    <w:rsid w:val="00CE28E3"/>
    <w:rsid w:val="00CE2B9B"/>
    <w:rsid w:val="00CE2D0A"/>
    <w:rsid w:val="00CE2D77"/>
    <w:rsid w:val="00CE2D83"/>
    <w:rsid w:val="00CE2D90"/>
    <w:rsid w:val="00CE2EA2"/>
    <w:rsid w:val="00CE318F"/>
    <w:rsid w:val="00CE35F6"/>
    <w:rsid w:val="00CE35FE"/>
    <w:rsid w:val="00CE36B2"/>
    <w:rsid w:val="00CE3BD9"/>
    <w:rsid w:val="00CE3D92"/>
    <w:rsid w:val="00CE3EE9"/>
    <w:rsid w:val="00CE41E9"/>
    <w:rsid w:val="00CE452B"/>
    <w:rsid w:val="00CE476B"/>
    <w:rsid w:val="00CE4805"/>
    <w:rsid w:val="00CE4CFE"/>
    <w:rsid w:val="00CE4D21"/>
    <w:rsid w:val="00CE4E44"/>
    <w:rsid w:val="00CE4F03"/>
    <w:rsid w:val="00CE4F43"/>
    <w:rsid w:val="00CE5171"/>
    <w:rsid w:val="00CE56B4"/>
    <w:rsid w:val="00CE5A1F"/>
    <w:rsid w:val="00CE5A5B"/>
    <w:rsid w:val="00CE5A9D"/>
    <w:rsid w:val="00CE6B4E"/>
    <w:rsid w:val="00CE6CE6"/>
    <w:rsid w:val="00CE71DB"/>
    <w:rsid w:val="00CE7321"/>
    <w:rsid w:val="00CE7445"/>
    <w:rsid w:val="00CE744D"/>
    <w:rsid w:val="00CE7679"/>
    <w:rsid w:val="00CE77B1"/>
    <w:rsid w:val="00CE7824"/>
    <w:rsid w:val="00CE7AF0"/>
    <w:rsid w:val="00CE7DF5"/>
    <w:rsid w:val="00CF019B"/>
    <w:rsid w:val="00CF0215"/>
    <w:rsid w:val="00CF0837"/>
    <w:rsid w:val="00CF0A98"/>
    <w:rsid w:val="00CF0AEF"/>
    <w:rsid w:val="00CF0CDD"/>
    <w:rsid w:val="00CF0D7B"/>
    <w:rsid w:val="00CF0F8E"/>
    <w:rsid w:val="00CF1414"/>
    <w:rsid w:val="00CF1569"/>
    <w:rsid w:val="00CF1668"/>
    <w:rsid w:val="00CF19A1"/>
    <w:rsid w:val="00CF1A2D"/>
    <w:rsid w:val="00CF1A4D"/>
    <w:rsid w:val="00CF1A6E"/>
    <w:rsid w:val="00CF1B1D"/>
    <w:rsid w:val="00CF1FBA"/>
    <w:rsid w:val="00CF20BB"/>
    <w:rsid w:val="00CF262B"/>
    <w:rsid w:val="00CF2913"/>
    <w:rsid w:val="00CF2933"/>
    <w:rsid w:val="00CF29FA"/>
    <w:rsid w:val="00CF2F37"/>
    <w:rsid w:val="00CF301E"/>
    <w:rsid w:val="00CF30BF"/>
    <w:rsid w:val="00CF31B1"/>
    <w:rsid w:val="00CF32BC"/>
    <w:rsid w:val="00CF3501"/>
    <w:rsid w:val="00CF37FE"/>
    <w:rsid w:val="00CF3DBA"/>
    <w:rsid w:val="00CF3EA2"/>
    <w:rsid w:val="00CF41AA"/>
    <w:rsid w:val="00CF439F"/>
    <w:rsid w:val="00CF489A"/>
    <w:rsid w:val="00CF4AA4"/>
    <w:rsid w:val="00CF4BF4"/>
    <w:rsid w:val="00CF5068"/>
    <w:rsid w:val="00CF530D"/>
    <w:rsid w:val="00CF5756"/>
    <w:rsid w:val="00CF599A"/>
    <w:rsid w:val="00CF5B0E"/>
    <w:rsid w:val="00CF5C5D"/>
    <w:rsid w:val="00CF5D91"/>
    <w:rsid w:val="00CF62D4"/>
    <w:rsid w:val="00CF64E3"/>
    <w:rsid w:val="00CF6BCB"/>
    <w:rsid w:val="00CF6E02"/>
    <w:rsid w:val="00CF70A3"/>
    <w:rsid w:val="00CF7120"/>
    <w:rsid w:val="00CF724C"/>
    <w:rsid w:val="00CF7279"/>
    <w:rsid w:val="00CF7621"/>
    <w:rsid w:val="00CF7CC6"/>
    <w:rsid w:val="00CF7D9E"/>
    <w:rsid w:val="00CF7E95"/>
    <w:rsid w:val="00CF7F05"/>
    <w:rsid w:val="00CF7FBD"/>
    <w:rsid w:val="00D0019F"/>
    <w:rsid w:val="00D001B4"/>
    <w:rsid w:val="00D00279"/>
    <w:rsid w:val="00D00288"/>
    <w:rsid w:val="00D003B7"/>
    <w:rsid w:val="00D00447"/>
    <w:rsid w:val="00D00812"/>
    <w:rsid w:val="00D00B9F"/>
    <w:rsid w:val="00D00BF8"/>
    <w:rsid w:val="00D00D10"/>
    <w:rsid w:val="00D00E09"/>
    <w:rsid w:val="00D00E36"/>
    <w:rsid w:val="00D010D9"/>
    <w:rsid w:val="00D01A49"/>
    <w:rsid w:val="00D01C7F"/>
    <w:rsid w:val="00D01F2F"/>
    <w:rsid w:val="00D0221B"/>
    <w:rsid w:val="00D02538"/>
    <w:rsid w:val="00D0253D"/>
    <w:rsid w:val="00D029FD"/>
    <w:rsid w:val="00D02B00"/>
    <w:rsid w:val="00D02EF2"/>
    <w:rsid w:val="00D02F4F"/>
    <w:rsid w:val="00D03816"/>
    <w:rsid w:val="00D03C6C"/>
    <w:rsid w:val="00D03C71"/>
    <w:rsid w:val="00D03E82"/>
    <w:rsid w:val="00D042B7"/>
    <w:rsid w:val="00D044CE"/>
    <w:rsid w:val="00D0458F"/>
    <w:rsid w:val="00D04CB3"/>
    <w:rsid w:val="00D053CB"/>
    <w:rsid w:val="00D0588A"/>
    <w:rsid w:val="00D058D9"/>
    <w:rsid w:val="00D05A3E"/>
    <w:rsid w:val="00D06CEF"/>
    <w:rsid w:val="00D06E2F"/>
    <w:rsid w:val="00D06ED9"/>
    <w:rsid w:val="00D06F22"/>
    <w:rsid w:val="00D07870"/>
    <w:rsid w:val="00D10096"/>
    <w:rsid w:val="00D1025D"/>
    <w:rsid w:val="00D102E4"/>
    <w:rsid w:val="00D10359"/>
    <w:rsid w:val="00D104D4"/>
    <w:rsid w:val="00D104DE"/>
    <w:rsid w:val="00D10611"/>
    <w:rsid w:val="00D10A55"/>
    <w:rsid w:val="00D10BB9"/>
    <w:rsid w:val="00D11127"/>
    <w:rsid w:val="00D11355"/>
    <w:rsid w:val="00D11447"/>
    <w:rsid w:val="00D11468"/>
    <w:rsid w:val="00D12E27"/>
    <w:rsid w:val="00D131C7"/>
    <w:rsid w:val="00D13226"/>
    <w:rsid w:val="00D138B6"/>
    <w:rsid w:val="00D13A26"/>
    <w:rsid w:val="00D141FA"/>
    <w:rsid w:val="00D14442"/>
    <w:rsid w:val="00D144BD"/>
    <w:rsid w:val="00D147BD"/>
    <w:rsid w:val="00D149C9"/>
    <w:rsid w:val="00D14BC6"/>
    <w:rsid w:val="00D14BE6"/>
    <w:rsid w:val="00D14E59"/>
    <w:rsid w:val="00D14EBF"/>
    <w:rsid w:val="00D1521E"/>
    <w:rsid w:val="00D152F0"/>
    <w:rsid w:val="00D1538B"/>
    <w:rsid w:val="00D158E0"/>
    <w:rsid w:val="00D15970"/>
    <w:rsid w:val="00D15E64"/>
    <w:rsid w:val="00D164F3"/>
    <w:rsid w:val="00D16536"/>
    <w:rsid w:val="00D16A0A"/>
    <w:rsid w:val="00D16A3E"/>
    <w:rsid w:val="00D16C7F"/>
    <w:rsid w:val="00D16C8F"/>
    <w:rsid w:val="00D16D22"/>
    <w:rsid w:val="00D17132"/>
    <w:rsid w:val="00D1715B"/>
    <w:rsid w:val="00D1739C"/>
    <w:rsid w:val="00D1763C"/>
    <w:rsid w:val="00D1773E"/>
    <w:rsid w:val="00D179F7"/>
    <w:rsid w:val="00D17B1B"/>
    <w:rsid w:val="00D17BC7"/>
    <w:rsid w:val="00D17D46"/>
    <w:rsid w:val="00D17E05"/>
    <w:rsid w:val="00D20031"/>
    <w:rsid w:val="00D201D2"/>
    <w:rsid w:val="00D202CE"/>
    <w:rsid w:val="00D2032D"/>
    <w:rsid w:val="00D203C4"/>
    <w:rsid w:val="00D20612"/>
    <w:rsid w:val="00D2085B"/>
    <w:rsid w:val="00D208AF"/>
    <w:rsid w:val="00D2125D"/>
    <w:rsid w:val="00D21EF2"/>
    <w:rsid w:val="00D21FC9"/>
    <w:rsid w:val="00D220A1"/>
    <w:rsid w:val="00D221FD"/>
    <w:rsid w:val="00D22235"/>
    <w:rsid w:val="00D22AFD"/>
    <w:rsid w:val="00D22BDE"/>
    <w:rsid w:val="00D22E4A"/>
    <w:rsid w:val="00D23049"/>
    <w:rsid w:val="00D235EE"/>
    <w:rsid w:val="00D239C6"/>
    <w:rsid w:val="00D23B06"/>
    <w:rsid w:val="00D23C84"/>
    <w:rsid w:val="00D24034"/>
    <w:rsid w:val="00D2442A"/>
    <w:rsid w:val="00D24BA6"/>
    <w:rsid w:val="00D24BCB"/>
    <w:rsid w:val="00D24C9A"/>
    <w:rsid w:val="00D24FD4"/>
    <w:rsid w:val="00D2538B"/>
    <w:rsid w:val="00D257A4"/>
    <w:rsid w:val="00D25AF9"/>
    <w:rsid w:val="00D260E0"/>
    <w:rsid w:val="00D262BF"/>
    <w:rsid w:val="00D26672"/>
    <w:rsid w:val="00D26C8B"/>
    <w:rsid w:val="00D2706A"/>
    <w:rsid w:val="00D2727B"/>
    <w:rsid w:val="00D2741D"/>
    <w:rsid w:val="00D274B1"/>
    <w:rsid w:val="00D27964"/>
    <w:rsid w:val="00D27D3A"/>
    <w:rsid w:val="00D27F4A"/>
    <w:rsid w:val="00D30259"/>
    <w:rsid w:val="00D30800"/>
    <w:rsid w:val="00D310DD"/>
    <w:rsid w:val="00D311ED"/>
    <w:rsid w:val="00D313B3"/>
    <w:rsid w:val="00D3185C"/>
    <w:rsid w:val="00D31A8D"/>
    <w:rsid w:val="00D31B2B"/>
    <w:rsid w:val="00D31EFF"/>
    <w:rsid w:val="00D32090"/>
    <w:rsid w:val="00D32212"/>
    <w:rsid w:val="00D32371"/>
    <w:rsid w:val="00D3282E"/>
    <w:rsid w:val="00D3292B"/>
    <w:rsid w:val="00D32C60"/>
    <w:rsid w:val="00D33124"/>
    <w:rsid w:val="00D332E7"/>
    <w:rsid w:val="00D335D0"/>
    <w:rsid w:val="00D33849"/>
    <w:rsid w:val="00D33A1A"/>
    <w:rsid w:val="00D33B43"/>
    <w:rsid w:val="00D33F02"/>
    <w:rsid w:val="00D340ED"/>
    <w:rsid w:val="00D34598"/>
    <w:rsid w:val="00D34D1C"/>
    <w:rsid w:val="00D35394"/>
    <w:rsid w:val="00D358F7"/>
    <w:rsid w:val="00D35BCF"/>
    <w:rsid w:val="00D35E21"/>
    <w:rsid w:val="00D35FCE"/>
    <w:rsid w:val="00D360DD"/>
    <w:rsid w:val="00D36319"/>
    <w:rsid w:val="00D36376"/>
    <w:rsid w:val="00D3644B"/>
    <w:rsid w:val="00D36617"/>
    <w:rsid w:val="00D36AF5"/>
    <w:rsid w:val="00D36E67"/>
    <w:rsid w:val="00D36E8D"/>
    <w:rsid w:val="00D37259"/>
    <w:rsid w:val="00D3765B"/>
    <w:rsid w:val="00D376D9"/>
    <w:rsid w:val="00D37A6E"/>
    <w:rsid w:val="00D37B6B"/>
    <w:rsid w:val="00D37C9C"/>
    <w:rsid w:val="00D37EF5"/>
    <w:rsid w:val="00D37F33"/>
    <w:rsid w:val="00D400F1"/>
    <w:rsid w:val="00D402C8"/>
    <w:rsid w:val="00D4041D"/>
    <w:rsid w:val="00D404B1"/>
    <w:rsid w:val="00D40688"/>
    <w:rsid w:val="00D406EE"/>
    <w:rsid w:val="00D40AFB"/>
    <w:rsid w:val="00D41621"/>
    <w:rsid w:val="00D4172E"/>
    <w:rsid w:val="00D41792"/>
    <w:rsid w:val="00D419C9"/>
    <w:rsid w:val="00D41DE9"/>
    <w:rsid w:val="00D42108"/>
    <w:rsid w:val="00D42156"/>
    <w:rsid w:val="00D421BA"/>
    <w:rsid w:val="00D42337"/>
    <w:rsid w:val="00D424B3"/>
    <w:rsid w:val="00D424DC"/>
    <w:rsid w:val="00D426E7"/>
    <w:rsid w:val="00D428B9"/>
    <w:rsid w:val="00D429CB"/>
    <w:rsid w:val="00D42B03"/>
    <w:rsid w:val="00D42D60"/>
    <w:rsid w:val="00D42E6E"/>
    <w:rsid w:val="00D43246"/>
    <w:rsid w:val="00D43319"/>
    <w:rsid w:val="00D43519"/>
    <w:rsid w:val="00D43636"/>
    <w:rsid w:val="00D4366C"/>
    <w:rsid w:val="00D43F15"/>
    <w:rsid w:val="00D440A6"/>
    <w:rsid w:val="00D442B9"/>
    <w:rsid w:val="00D444E3"/>
    <w:rsid w:val="00D44673"/>
    <w:rsid w:val="00D44866"/>
    <w:rsid w:val="00D44B8B"/>
    <w:rsid w:val="00D44F71"/>
    <w:rsid w:val="00D4500D"/>
    <w:rsid w:val="00D455AB"/>
    <w:rsid w:val="00D455F2"/>
    <w:rsid w:val="00D4569D"/>
    <w:rsid w:val="00D45750"/>
    <w:rsid w:val="00D457EA"/>
    <w:rsid w:val="00D45C42"/>
    <w:rsid w:val="00D4605D"/>
    <w:rsid w:val="00D46141"/>
    <w:rsid w:val="00D4619E"/>
    <w:rsid w:val="00D46226"/>
    <w:rsid w:val="00D4642D"/>
    <w:rsid w:val="00D465B0"/>
    <w:rsid w:val="00D46720"/>
    <w:rsid w:val="00D4689F"/>
    <w:rsid w:val="00D46C1B"/>
    <w:rsid w:val="00D4781F"/>
    <w:rsid w:val="00D47956"/>
    <w:rsid w:val="00D47A17"/>
    <w:rsid w:val="00D47B3A"/>
    <w:rsid w:val="00D47BFE"/>
    <w:rsid w:val="00D47C82"/>
    <w:rsid w:val="00D47E73"/>
    <w:rsid w:val="00D5026F"/>
    <w:rsid w:val="00D50A16"/>
    <w:rsid w:val="00D50D96"/>
    <w:rsid w:val="00D50FB0"/>
    <w:rsid w:val="00D5119D"/>
    <w:rsid w:val="00D51CA7"/>
    <w:rsid w:val="00D51DD7"/>
    <w:rsid w:val="00D52CA9"/>
    <w:rsid w:val="00D52E54"/>
    <w:rsid w:val="00D52EE6"/>
    <w:rsid w:val="00D52FF5"/>
    <w:rsid w:val="00D53081"/>
    <w:rsid w:val="00D531BA"/>
    <w:rsid w:val="00D53204"/>
    <w:rsid w:val="00D532A2"/>
    <w:rsid w:val="00D535ED"/>
    <w:rsid w:val="00D53970"/>
    <w:rsid w:val="00D53F07"/>
    <w:rsid w:val="00D53F66"/>
    <w:rsid w:val="00D53FF3"/>
    <w:rsid w:val="00D542A9"/>
    <w:rsid w:val="00D54C2D"/>
    <w:rsid w:val="00D54CA3"/>
    <w:rsid w:val="00D55119"/>
    <w:rsid w:val="00D5515C"/>
    <w:rsid w:val="00D55330"/>
    <w:rsid w:val="00D55369"/>
    <w:rsid w:val="00D555A7"/>
    <w:rsid w:val="00D55805"/>
    <w:rsid w:val="00D55A4C"/>
    <w:rsid w:val="00D55B06"/>
    <w:rsid w:val="00D55B90"/>
    <w:rsid w:val="00D55EC6"/>
    <w:rsid w:val="00D55FD9"/>
    <w:rsid w:val="00D56868"/>
    <w:rsid w:val="00D56A14"/>
    <w:rsid w:val="00D56DFA"/>
    <w:rsid w:val="00D56F0F"/>
    <w:rsid w:val="00D57234"/>
    <w:rsid w:val="00D5754F"/>
    <w:rsid w:val="00D576B6"/>
    <w:rsid w:val="00D5773C"/>
    <w:rsid w:val="00D5778A"/>
    <w:rsid w:val="00D578DE"/>
    <w:rsid w:val="00D57D3E"/>
    <w:rsid w:val="00D602DE"/>
    <w:rsid w:val="00D603A8"/>
    <w:rsid w:val="00D60561"/>
    <w:rsid w:val="00D6069F"/>
    <w:rsid w:val="00D60AE6"/>
    <w:rsid w:val="00D60D22"/>
    <w:rsid w:val="00D60D75"/>
    <w:rsid w:val="00D60E22"/>
    <w:rsid w:val="00D61302"/>
    <w:rsid w:val="00D615C5"/>
    <w:rsid w:val="00D616B5"/>
    <w:rsid w:val="00D61D7E"/>
    <w:rsid w:val="00D6212D"/>
    <w:rsid w:val="00D626A4"/>
    <w:rsid w:val="00D62944"/>
    <w:rsid w:val="00D62953"/>
    <w:rsid w:val="00D62F4D"/>
    <w:rsid w:val="00D630FC"/>
    <w:rsid w:val="00D634D7"/>
    <w:rsid w:val="00D63561"/>
    <w:rsid w:val="00D63BB0"/>
    <w:rsid w:val="00D63D29"/>
    <w:rsid w:val="00D6419F"/>
    <w:rsid w:val="00D642EF"/>
    <w:rsid w:val="00D64351"/>
    <w:rsid w:val="00D64436"/>
    <w:rsid w:val="00D64751"/>
    <w:rsid w:val="00D64906"/>
    <w:rsid w:val="00D64985"/>
    <w:rsid w:val="00D64F08"/>
    <w:rsid w:val="00D65085"/>
    <w:rsid w:val="00D65168"/>
    <w:rsid w:val="00D652D9"/>
    <w:rsid w:val="00D65873"/>
    <w:rsid w:val="00D658A1"/>
    <w:rsid w:val="00D65E6E"/>
    <w:rsid w:val="00D661EF"/>
    <w:rsid w:val="00D66472"/>
    <w:rsid w:val="00D66598"/>
    <w:rsid w:val="00D666AB"/>
    <w:rsid w:val="00D66C06"/>
    <w:rsid w:val="00D66D65"/>
    <w:rsid w:val="00D66DB9"/>
    <w:rsid w:val="00D66DC2"/>
    <w:rsid w:val="00D66FF4"/>
    <w:rsid w:val="00D67226"/>
    <w:rsid w:val="00D67281"/>
    <w:rsid w:val="00D67472"/>
    <w:rsid w:val="00D6756F"/>
    <w:rsid w:val="00D6789E"/>
    <w:rsid w:val="00D6795A"/>
    <w:rsid w:val="00D67E60"/>
    <w:rsid w:val="00D67FCF"/>
    <w:rsid w:val="00D70295"/>
    <w:rsid w:val="00D703F1"/>
    <w:rsid w:val="00D70683"/>
    <w:rsid w:val="00D70BA0"/>
    <w:rsid w:val="00D70DB9"/>
    <w:rsid w:val="00D70DDA"/>
    <w:rsid w:val="00D70E23"/>
    <w:rsid w:val="00D71076"/>
    <w:rsid w:val="00D715A7"/>
    <w:rsid w:val="00D724AD"/>
    <w:rsid w:val="00D724E1"/>
    <w:rsid w:val="00D72852"/>
    <w:rsid w:val="00D729D1"/>
    <w:rsid w:val="00D72D6E"/>
    <w:rsid w:val="00D7301A"/>
    <w:rsid w:val="00D73AD9"/>
    <w:rsid w:val="00D73FAE"/>
    <w:rsid w:val="00D73FFE"/>
    <w:rsid w:val="00D74161"/>
    <w:rsid w:val="00D742B6"/>
    <w:rsid w:val="00D74468"/>
    <w:rsid w:val="00D74913"/>
    <w:rsid w:val="00D74932"/>
    <w:rsid w:val="00D74A79"/>
    <w:rsid w:val="00D74ADC"/>
    <w:rsid w:val="00D74EF3"/>
    <w:rsid w:val="00D755BF"/>
    <w:rsid w:val="00D75628"/>
    <w:rsid w:val="00D75A9E"/>
    <w:rsid w:val="00D75F1C"/>
    <w:rsid w:val="00D75F7D"/>
    <w:rsid w:val="00D76299"/>
    <w:rsid w:val="00D76C01"/>
    <w:rsid w:val="00D7703E"/>
    <w:rsid w:val="00D77367"/>
    <w:rsid w:val="00D77769"/>
    <w:rsid w:val="00D77914"/>
    <w:rsid w:val="00D77CF9"/>
    <w:rsid w:val="00D77DD8"/>
    <w:rsid w:val="00D80389"/>
    <w:rsid w:val="00D805A2"/>
    <w:rsid w:val="00D80664"/>
    <w:rsid w:val="00D80C29"/>
    <w:rsid w:val="00D80DFD"/>
    <w:rsid w:val="00D80E00"/>
    <w:rsid w:val="00D81111"/>
    <w:rsid w:val="00D811F2"/>
    <w:rsid w:val="00D81BD7"/>
    <w:rsid w:val="00D81E3C"/>
    <w:rsid w:val="00D81FA1"/>
    <w:rsid w:val="00D82173"/>
    <w:rsid w:val="00D822C1"/>
    <w:rsid w:val="00D82450"/>
    <w:rsid w:val="00D82482"/>
    <w:rsid w:val="00D824C9"/>
    <w:rsid w:val="00D82636"/>
    <w:rsid w:val="00D8277C"/>
    <w:rsid w:val="00D829F3"/>
    <w:rsid w:val="00D82DC3"/>
    <w:rsid w:val="00D82E53"/>
    <w:rsid w:val="00D82F6D"/>
    <w:rsid w:val="00D8316D"/>
    <w:rsid w:val="00D831A3"/>
    <w:rsid w:val="00D83287"/>
    <w:rsid w:val="00D832EA"/>
    <w:rsid w:val="00D833EC"/>
    <w:rsid w:val="00D83462"/>
    <w:rsid w:val="00D835FF"/>
    <w:rsid w:val="00D83727"/>
    <w:rsid w:val="00D838C2"/>
    <w:rsid w:val="00D83B51"/>
    <w:rsid w:val="00D840BD"/>
    <w:rsid w:val="00D840E9"/>
    <w:rsid w:val="00D84579"/>
    <w:rsid w:val="00D847D2"/>
    <w:rsid w:val="00D84833"/>
    <w:rsid w:val="00D84B30"/>
    <w:rsid w:val="00D84DC0"/>
    <w:rsid w:val="00D84E1D"/>
    <w:rsid w:val="00D84ECA"/>
    <w:rsid w:val="00D851D3"/>
    <w:rsid w:val="00D8525E"/>
    <w:rsid w:val="00D857EE"/>
    <w:rsid w:val="00D85895"/>
    <w:rsid w:val="00D858EE"/>
    <w:rsid w:val="00D85A78"/>
    <w:rsid w:val="00D85CC7"/>
    <w:rsid w:val="00D8652F"/>
    <w:rsid w:val="00D868B4"/>
    <w:rsid w:val="00D86DB8"/>
    <w:rsid w:val="00D86E1F"/>
    <w:rsid w:val="00D8718F"/>
    <w:rsid w:val="00D87629"/>
    <w:rsid w:val="00D87AE7"/>
    <w:rsid w:val="00D87BD9"/>
    <w:rsid w:val="00D87C8B"/>
    <w:rsid w:val="00D9028F"/>
    <w:rsid w:val="00D9041B"/>
    <w:rsid w:val="00D90532"/>
    <w:rsid w:val="00D90C44"/>
    <w:rsid w:val="00D90CEB"/>
    <w:rsid w:val="00D90D1B"/>
    <w:rsid w:val="00D90DBB"/>
    <w:rsid w:val="00D90EA4"/>
    <w:rsid w:val="00D9106F"/>
    <w:rsid w:val="00D91311"/>
    <w:rsid w:val="00D9141D"/>
    <w:rsid w:val="00D9157A"/>
    <w:rsid w:val="00D91818"/>
    <w:rsid w:val="00D91FBB"/>
    <w:rsid w:val="00D927A5"/>
    <w:rsid w:val="00D927F6"/>
    <w:rsid w:val="00D928EE"/>
    <w:rsid w:val="00D92975"/>
    <w:rsid w:val="00D931FB"/>
    <w:rsid w:val="00D93894"/>
    <w:rsid w:val="00D938D9"/>
    <w:rsid w:val="00D93B7F"/>
    <w:rsid w:val="00D93C9B"/>
    <w:rsid w:val="00D93D4E"/>
    <w:rsid w:val="00D93E95"/>
    <w:rsid w:val="00D93ED8"/>
    <w:rsid w:val="00D9405E"/>
    <w:rsid w:val="00D9408B"/>
    <w:rsid w:val="00D946C9"/>
    <w:rsid w:val="00D94AC6"/>
    <w:rsid w:val="00D94CD9"/>
    <w:rsid w:val="00D94CF3"/>
    <w:rsid w:val="00D94FF1"/>
    <w:rsid w:val="00D953F1"/>
    <w:rsid w:val="00D953FF"/>
    <w:rsid w:val="00D95421"/>
    <w:rsid w:val="00D957EE"/>
    <w:rsid w:val="00D9597E"/>
    <w:rsid w:val="00D95A14"/>
    <w:rsid w:val="00D95A21"/>
    <w:rsid w:val="00D95D89"/>
    <w:rsid w:val="00D967A8"/>
    <w:rsid w:val="00D967EF"/>
    <w:rsid w:val="00D96954"/>
    <w:rsid w:val="00D96FC3"/>
    <w:rsid w:val="00D97036"/>
    <w:rsid w:val="00D970BC"/>
    <w:rsid w:val="00D97170"/>
    <w:rsid w:val="00D9788C"/>
    <w:rsid w:val="00D978B8"/>
    <w:rsid w:val="00DA0120"/>
    <w:rsid w:val="00DA031C"/>
    <w:rsid w:val="00DA03BC"/>
    <w:rsid w:val="00DA04EF"/>
    <w:rsid w:val="00DA058E"/>
    <w:rsid w:val="00DA07A3"/>
    <w:rsid w:val="00DA08E6"/>
    <w:rsid w:val="00DA0A4B"/>
    <w:rsid w:val="00DA0AC0"/>
    <w:rsid w:val="00DA0C01"/>
    <w:rsid w:val="00DA0C0F"/>
    <w:rsid w:val="00DA0CCA"/>
    <w:rsid w:val="00DA0D81"/>
    <w:rsid w:val="00DA0DC6"/>
    <w:rsid w:val="00DA13A7"/>
    <w:rsid w:val="00DA154D"/>
    <w:rsid w:val="00DA1E35"/>
    <w:rsid w:val="00DA224B"/>
    <w:rsid w:val="00DA2449"/>
    <w:rsid w:val="00DA2A9A"/>
    <w:rsid w:val="00DA2AAF"/>
    <w:rsid w:val="00DA32A6"/>
    <w:rsid w:val="00DA33DE"/>
    <w:rsid w:val="00DA3832"/>
    <w:rsid w:val="00DA3B96"/>
    <w:rsid w:val="00DA3F14"/>
    <w:rsid w:val="00DA4231"/>
    <w:rsid w:val="00DA4404"/>
    <w:rsid w:val="00DA46BF"/>
    <w:rsid w:val="00DA4742"/>
    <w:rsid w:val="00DA47AA"/>
    <w:rsid w:val="00DA4D9F"/>
    <w:rsid w:val="00DA4ED9"/>
    <w:rsid w:val="00DA4F31"/>
    <w:rsid w:val="00DA512C"/>
    <w:rsid w:val="00DA5227"/>
    <w:rsid w:val="00DA5578"/>
    <w:rsid w:val="00DA5E34"/>
    <w:rsid w:val="00DA66A4"/>
    <w:rsid w:val="00DA6765"/>
    <w:rsid w:val="00DA6B1E"/>
    <w:rsid w:val="00DA6B94"/>
    <w:rsid w:val="00DA7798"/>
    <w:rsid w:val="00DA7CF4"/>
    <w:rsid w:val="00DA7FD9"/>
    <w:rsid w:val="00DB003C"/>
    <w:rsid w:val="00DB06B2"/>
    <w:rsid w:val="00DB0903"/>
    <w:rsid w:val="00DB0C29"/>
    <w:rsid w:val="00DB0C7A"/>
    <w:rsid w:val="00DB1805"/>
    <w:rsid w:val="00DB1E76"/>
    <w:rsid w:val="00DB1E91"/>
    <w:rsid w:val="00DB207F"/>
    <w:rsid w:val="00DB2382"/>
    <w:rsid w:val="00DB23DD"/>
    <w:rsid w:val="00DB2567"/>
    <w:rsid w:val="00DB2749"/>
    <w:rsid w:val="00DB27F5"/>
    <w:rsid w:val="00DB28F3"/>
    <w:rsid w:val="00DB2C89"/>
    <w:rsid w:val="00DB3A30"/>
    <w:rsid w:val="00DB3AEA"/>
    <w:rsid w:val="00DB416B"/>
    <w:rsid w:val="00DB4291"/>
    <w:rsid w:val="00DB4410"/>
    <w:rsid w:val="00DB4511"/>
    <w:rsid w:val="00DB4DCB"/>
    <w:rsid w:val="00DB4DD8"/>
    <w:rsid w:val="00DB4E16"/>
    <w:rsid w:val="00DB4FE3"/>
    <w:rsid w:val="00DB5117"/>
    <w:rsid w:val="00DB5483"/>
    <w:rsid w:val="00DB5670"/>
    <w:rsid w:val="00DB579E"/>
    <w:rsid w:val="00DB59E3"/>
    <w:rsid w:val="00DB5ADC"/>
    <w:rsid w:val="00DB5D72"/>
    <w:rsid w:val="00DB5F5D"/>
    <w:rsid w:val="00DB6031"/>
    <w:rsid w:val="00DB62A8"/>
    <w:rsid w:val="00DB638C"/>
    <w:rsid w:val="00DB64F8"/>
    <w:rsid w:val="00DB664A"/>
    <w:rsid w:val="00DB69DE"/>
    <w:rsid w:val="00DB6F07"/>
    <w:rsid w:val="00DB7463"/>
    <w:rsid w:val="00DB7725"/>
    <w:rsid w:val="00DB7842"/>
    <w:rsid w:val="00DB785F"/>
    <w:rsid w:val="00DB7987"/>
    <w:rsid w:val="00DC0101"/>
    <w:rsid w:val="00DC0245"/>
    <w:rsid w:val="00DC0914"/>
    <w:rsid w:val="00DC127D"/>
    <w:rsid w:val="00DC14AF"/>
    <w:rsid w:val="00DC152D"/>
    <w:rsid w:val="00DC1720"/>
    <w:rsid w:val="00DC17C2"/>
    <w:rsid w:val="00DC1A31"/>
    <w:rsid w:val="00DC1B1B"/>
    <w:rsid w:val="00DC2029"/>
    <w:rsid w:val="00DC26E4"/>
    <w:rsid w:val="00DC2B2C"/>
    <w:rsid w:val="00DC2F1B"/>
    <w:rsid w:val="00DC2F2A"/>
    <w:rsid w:val="00DC307B"/>
    <w:rsid w:val="00DC3377"/>
    <w:rsid w:val="00DC3633"/>
    <w:rsid w:val="00DC3884"/>
    <w:rsid w:val="00DC3EB8"/>
    <w:rsid w:val="00DC3FF3"/>
    <w:rsid w:val="00DC409D"/>
    <w:rsid w:val="00DC4108"/>
    <w:rsid w:val="00DC4136"/>
    <w:rsid w:val="00DC4CD3"/>
    <w:rsid w:val="00DC4EC7"/>
    <w:rsid w:val="00DC4F64"/>
    <w:rsid w:val="00DC50C5"/>
    <w:rsid w:val="00DC548C"/>
    <w:rsid w:val="00DC5571"/>
    <w:rsid w:val="00DC5E08"/>
    <w:rsid w:val="00DC6174"/>
    <w:rsid w:val="00DC6480"/>
    <w:rsid w:val="00DC64A7"/>
    <w:rsid w:val="00DC665C"/>
    <w:rsid w:val="00DC6681"/>
    <w:rsid w:val="00DC6690"/>
    <w:rsid w:val="00DC6AF9"/>
    <w:rsid w:val="00DC6C5C"/>
    <w:rsid w:val="00DC7027"/>
    <w:rsid w:val="00DC7721"/>
    <w:rsid w:val="00DC77A5"/>
    <w:rsid w:val="00DC77D3"/>
    <w:rsid w:val="00DC7B7C"/>
    <w:rsid w:val="00DC7CD7"/>
    <w:rsid w:val="00DD00BB"/>
    <w:rsid w:val="00DD0185"/>
    <w:rsid w:val="00DD03AA"/>
    <w:rsid w:val="00DD0527"/>
    <w:rsid w:val="00DD08EE"/>
    <w:rsid w:val="00DD0953"/>
    <w:rsid w:val="00DD0F3A"/>
    <w:rsid w:val="00DD1932"/>
    <w:rsid w:val="00DD1A95"/>
    <w:rsid w:val="00DD1AAC"/>
    <w:rsid w:val="00DD1ABF"/>
    <w:rsid w:val="00DD1D80"/>
    <w:rsid w:val="00DD1E01"/>
    <w:rsid w:val="00DD2064"/>
    <w:rsid w:val="00DD245E"/>
    <w:rsid w:val="00DD2626"/>
    <w:rsid w:val="00DD2A42"/>
    <w:rsid w:val="00DD2AB0"/>
    <w:rsid w:val="00DD2C81"/>
    <w:rsid w:val="00DD2C8A"/>
    <w:rsid w:val="00DD2CDE"/>
    <w:rsid w:val="00DD3464"/>
    <w:rsid w:val="00DD3C64"/>
    <w:rsid w:val="00DD4556"/>
    <w:rsid w:val="00DD4683"/>
    <w:rsid w:val="00DD4A40"/>
    <w:rsid w:val="00DD4AE3"/>
    <w:rsid w:val="00DD4C39"/>
    <w:rsid w:val="00DD56D1"/>
    <w:rsid w:val="00DD5DF1"/>
    <w:rsid w:val="00DD64E5"/>
    <w:rsid w:val="00DD6C3F"/>
    <w:rsid w:val="00DD6F6F"/>
    <w:rsid w:val="00DD6F9A"/>
    <w:rsid w:val="00DD70D0"/>
    <w:rsid w:val="00DD71BC"/>
    <w:rsid w:val="00DD72F2"/>
    <w:rsid w:val="00DD748D"/>
    <w:rsid w:val="00DD7BCC"/>
    <w:rsid w:val="00DD7FF9"/>
    <w:rsid w:val="00DE003A"/>
    <w:rsid w:val="00DE02C6"/>
    <w:rsid w:val="00DE02FE"/>
    <w:rsid w:val="00DE0310"/>
    <w:rsid w:val="00DE0330"/>
    <w:rsid w:val="00DE08C2"/>
    <w:rsid w:val="00DE09F0"/>
    <w:rsid w:val="00DE0F33"/>
    <w:rsid w:val="00DE0F51"/>
    <w:rsid w:val="00DE127E"/>
    <w:rsid w:val="00DE167E"/>
    <w:rsid w:val="00DE185B"/>
    <w:rsid w:val="00DE19CD"/>
    <w:rsid w:val="00DE1E46"/>
    <w:rsid w:val="00DE1EDA"/>
    <w:rsid w:val="00DE1F5F"/>
    <w:rsid w:val="00DE2496"/>
    <w:rsid w:val="00DE27C6"/>
    <w:rsid w:val="00DE2838"/>
    <w:rsid w:val="00DE2930"/>
    <w:rsid w:val="00DE2936"/>
    <w:rsid w:val="00DE296D"/>
    <w:rsid w:val="00DE2A94"/>
    <w:rsid w:val="00DE2C57"/>
    <w:rsid w:val="00DE2E8C"/>
    <w:rsid w:val="00DE2FB6"/>
    <w:rsid w:val="00DE3335"/>
    <w:rsid w:val="00DE38BF"/>
    <w:rsid w:val="00DE3B9A"/>
    <w:rsid w:val="00DE3FC1"/>
    <w:rsid w:val="00DE44E2"/>
    <w:rsid w:val="00DE454B"/>
    <w:rsid w:val="00DE4613"/>
    <w:rsid w:val="00DE4873"/>
    <w:rsid w:val="00DE4EC3"/>
    <w:rsid w:val="00DE4F75"/>
    <w:rsid w:val="00DE548F"/>
    <w:rsid w:val="00DE551F"/>
    <w:rsid w:val="00DE55DE"/>
    <w:rsid w:val="00DE55F5"/>
    <w:rsid w:val="00DE583E"/>
    <w:rsid w:val="00DE5D7F"/>
    <w:rsid w:val="00DE638A"/>
    <w:rsid w:val="00DE645F"/>
    <w:rsid w:val="00DE6CAA"/>
    <w:rsid w:val="00DE7099"/>
    <w:rsid w:val="00DE7209"/>
    <w:rsid w:val="00DE7778"/>
    <w:rsid w:val="00DE7844"/>
    <w:rsid w:val="00DE787A"/>
    <w:rsid w:val="00DF0238"/>
    <w:rsid w:val="00DF037F"/>
    <w:rsid w:val="00DF08D9"/>
    <w:rsid w:val="00DF0B7E"/>
    <w:rsid w:val="00DF0C62"/>
    <w:rsid w:val="00DF0E50"/>
    <w:rsid w:val="00DF0FAA"/>
    <w:rsid w:val="00DF13F0"/>
    <w:rsid w:val="00DF146E"/>
    <w:rsid w:val="00DF19C0"/>
    <w:rsid w:val="00DF1D70"/>
    <w:rsid w:val="00DF2059"/>
    <w:rsid w:val="00DF223A"/>
    <w:rsid w:val="00DF22C1"/>
    <w:rsid w:val="00DF22E4"/>
    <w:rsid w:val="00DF246E"/>
    <w:rsid w:val="00DF25CE"/>
    <w:rsid w:val="00DF2691"/>
    <w:rsid w:val="00DF2929"/>
    <w:rsid w:val="00DF2956"/>
    <w:rsid w:val="00DF2D16"/>
    <w:rsid w:val="00DF324C"/>
    <w:rsid w:val="00DF3381"/>
    <w:rsid w:val="00DF341B"/>
    <w:rsid w:val="00DF39E9"/>
    <w:rsid w:val="00DF3A1B"/>
    <w:rsid w:val="00DF3C48"/>
    <w:rsid w:val="00DF3C64"/>
    <w:rsid w:val="00DF3CFE"/>
    <w:rsid w:val="00DF3DDC"/>
    <w:rsid w:val="00DF40B6"/>
    <w:rsid w:val="00DF431B"/>
    <w:rsid w:val="00DF4576"/>
    <w:rsid w:val="00DF473D"/>
    <w:rsid w:val="00DF47D3"/>
    <w:rsid w:val="00DF4E4E"/>
    <w:rsid w:val="00DF510A"/>
    <w:rsid w:val="00DF5841"/>
    <w:rsid w:val="00DF5B55"/>
    <w:rsid w:val="00DF6256"/>
    <w:rsid w:val="00DF64A7"/>
    <w:rsid w:val="00DF66AF"/>
    <w:rsid w:val="00DF66D0"/>
    <w:rsid w:val="00DF6A10"/>
    <w:rsid w:val="00DF6C52"/>
    <w:rsid w:val="00DF6D82"/>
    <w:rsid w:val="00DF6EFA"/>
    <w:rsid w:val="00DF6FB0"/>
    <w:rsid w:val="00DF74B5"/>
    <w:rsid w:val="00DF74D9"/>
    <w:rsid w:val="00DF752A"/>
    <w:rsid w:val="00DF75D8"/>
    <w:rsid w:val="00DF7A07"/>
    <w:rsid w:val="00DF7AD1"/>
    <w:rsid w:val="00DF7AF7"/>
    <w:rsid w:val="00DF7B75"/>
    <w:rsid w:val="00DF7E1C"/>
    <w:rsid w:val="00DF7F2D"/>
    <w:rsid w:val="00E002E2"/>
    <w:rsid w:val="00E005F8"/>
    <w:rsid w:val="00E0065C"/>
    <w:rsid w:val="00E006EC"/>
    <w:rsid w:val="00E00766"/>
    <w:rsid w:val="00E00B2D"/>
    <w:rsid w:val="00E00E2B"/>
    <w:rsid w:val="00E013D0"/>
    <w:rsid w:val="00E01734"/>
    <w:rsid w:val="00E0181B"/>
    <w:rsid w:val="00E0196B"/>
    <w:rsid w:val="00E01A59"/>
    <w:rsid w:val="00E024E4"/>
    <w:rsid w:val="00E02C50"/>
    <w:rsid w:val="00E02CBF"/>
    <w:rsid w:val="00E03145"/>
    <w:rsid w:val="00E031CE"/>
    <w:rsid w:val="00E0327B"/>
    <w:rsid w:val="00E03289"/>
    <w:rsid w:val="00E03488"/>
    <w:rsid w:val="00E0360B"/>
    <w:rsid w:val="00E03744"/>
    <w:rsid w:val="00E03A3A"/>
    <w:rsid w:val="00E03A96"/>
    <w:rsid w:val="00E03B8E"/>
    <w:rsid w:val="00E03DC0"/>
    <w:rsid w:val="00E03E12"/>
    <w:rsid w:val="00E0402F"/>
    <w:rsid w:val="00E04291"/>
    <w:rsid w:val="00E04588"/>
    <w:rsid w:val="00E04627"/>
    <w:rsid w:val="00E04BBC"/>
    <w:rsid w:val="00E055E3"/>
    <w:rsid w:val="00E0569B"/>
    <w:rsid w:val="00E056C2"/>
    <w:rsid w:val="00E0578D"/>
    <w:rsid w:val="00E05B18"/>
    <w:rsid w:val="00E05D56"/>
    <w:rsid w:val="00E06162"/>
    <w:rsid w:val="00E06356"/>
    <w:rsid w:val="00E070A0"/>
    <w:rsid w:val="00E0716B"/>
    <w:rsid w:val="00E07179"/>
    <w:rsid w:val="00E07695"/>
    <w:rsid w:val="00E079B8"/>
    <w:rsid w:val="00E10152"/>
    <w:rsid w:val="00E105A2"/>
    <w:rsid w:val="00E105A9"/>
    <w:rsid w:val="00E1061F"/>
    <w:rsid w:val="00E10D26"/>
    <w:rsid w:val="00E11199"/>
    <w:rsid w:val="00E1143E"/>
    <w:rsid w:val="00E11466"/>
    <w:rsid w:val="00E114C0"/>
    <w:rsid w:val="00E114FB"/>
    <w:rsid w:val="00E1156D"/>
    <w:rsid w:val="00E1173A"/>
    <w:rsid w:val="00E11B4F"/>
    <w:rsid w:val="00E11F48"/>
    <w:rsid w:val="00E120F3"/>
    <w:rsid w:val="00E127F2"/>
    <w:rsid w:val="00E12AF1"/>
    <w:rsid w:val="00E13661"/>
    <w:rsid w:val="00E13DB4"/>
    <w:rsid w:val="00E1413E"/>
    <w:rsid w:val="00E142E6"/>
    <w:rsid w:val="00E14580"/>
    <w:rsid w:val="00E146B0"/>
    <w:rsid w:val="00E15056"/>
    <w:rsid w:val="00E15708"/>
    <w:rsid w:val="00E1597B"/>
    <w:rsid w:val="00E15BC8"/>
    <w:rsid w:val="00E15C11"/>
    <w:rsid w:val="00E15DB1"/>
    <w:rsid w:val="00E16323"/>
    <w:rsid w:val="00E1639B"/>
    <w:rsid w:val="00E16875"/>
    <w:rsid w:val="00E16D47"/>
    <w:rsid w:val="00E16DF6"/>
    <w:rsid w:val="00E16E9B"/>
    <w:rsid w:val="00E170CE"/>
    <w:rsid w:val="00E17552"/>
    <w:rsid w:val="00E17AFE"/>
    <w:rsid w:val="00E2032D"/>
    <w:rsid w:val="00E20927"/>
    <w:rsid w:val="00E21560"/>
    <w:rsid w:val="00E2185D"/>
    <w:rsid w:val="00E2196A"/>
    <w:rsid w:val="00E21B03"/>
    <w:rsid w:val="00E21C01"/>
    <w:rsid w:val="00E21E18"/>
    <w:rsid w:val="00E21FC3"/>
    <w:rsid w:val="00E220D5"/>
    <w:rsid w:val="00E220F4"/>
    <w:rsid w:val="00E22431"/>
    <w:rsid w:val="00E22445"/>
    <w:rsid w:val="00E2280C"/>
    <w:rsid w:val="00E231B3"/>
    <w:rsid w:val="00E23BD7"/>
    <w:rsid w:val="00E23D0D"/>
    <w:rsid w:val="00E241C4"/>
    <w:rsid w:val="00E24266"/>
    <w:rsid w:val="00E24502"/>
    <w:rsid w:val="00E24527"/>
    <w:rsid w:val="00E248A1"/>
    <w:rsid w:val="00E24D37"/>
    <w:rsid w:val="00E2532D"/>
    <w:rsid w:val="00E2534A"/>
    <w:rsid w:val="00E25404"/>
    <w:rsid w:val="00E25468"/>
    <w:rsid w:val="00E254AD"/>
    <w:rsid w:val="00E255E7"/>
    <w:rsid w:val="00E256A8"/>
    <w:rsid w:val="00E25A36"/>
    <w:rsid w:val="00E260A3"/>
    <w:rsid w:val="00E26122"/>
    <w:rsid w:val="00E261CF"/>
    <w:rsid w:val="00E26378"/>
    <w:rsid w:val="00E26425"/>
    <w:rsid w:val="00E26935"/>
    <w:rsid w:val="00E26AF3"/>
    <w:rsid w:val="00E26D15"/>
    <w:rsid w:val="00E27050"/>
    <w:rsid w:val="00E2708D"/>
    <w:rsid w:val="00E27428"/>
    <w:rsid w:val="00E275ED"/>
    <w:rsid w:val="00E27910"/>
    <w:rsid w:val="00E27AE1"/>
    <w:rsid w:val="00E27B3D"/>
    <w:rsid w:val="00E27C23"/>
    <w:rsid w:val="00E27DDB"/>
    <w:rsid w:val="00E3042E"/>
    <w:rsid w:val="00E304CF"/>
    <w:rsid w:val="00E306D5"/>
    <w:rsid w:val="00E30E2F"/>
    <w:rsid w:val="00E30EA2"/>
    <w:rsid w:val="00E31445"/>
    <w:rsid w:val="00E31702"/>
    <w:rsid w:val="00E31767"/>
    <w:rsid w:val="00E31A94"/>
    <w:rsid w:val="00E31ADB"/>
    <w:rsid w:val="00E31B75"/>
    <w:rsid w:val="00E3242E"/>
    <w:rsid w:val="00E32648"/>
    <w:rsid w:val="00E32772"/>
    <w:rsid w:val="00E32A21"/>
    <w:rsid w:val="00E32B0B"/>
    <w:rsid w:val="00E32C82"/>
    <w:rsid w:val="00E32D2E"/>
    <w:rsid w:val="00E32DA2"/>
    <w:rsid w:val="00E32E8B"/>
    <w:rsid w:val="00E32FD5"/>
    <w:rsid w:val="00E33072"/>
    <w:rsid w:val="00E330C9"/>
    <w:rsid w:val="00E332A2"/>
    <w:rsid w:val="00E3330E"/>
    <w:rsid w:val="00E3351F"/>
    <w:rsid w:val="00E3367D"/>
    <w:rsid w:val="00E336B4"/>
    <w:rsid w:val="00E33992"/>
    <w:rsid w:val="00E33C73"/>
    <w:rsid w:val="00E33C90"/>
    <w:rsid w:val="00E33DD0"/>
    <w:rsid w:val="00E343BF"/>
    <w:rsid w:val="00E346E2"/>
    <w:rsid w:val="00E346FE"/>
    <w:rsid w:val="00E35114"/>
    <w:rsid w:val="00E3522C"/>
    <w:rsid w:val="00E35779"/>
    <w:rsid w:val="00E35A43"/>
    <w:rsid w:val="00E35E78"/>
    <w:rsid w:val="00E35E85"/>
    <w:rsid w:val="00E35F53"/>
    <w:rsid w:val="00E3629C"/>
    <w:rsid w:val="00E36EBD"/>
    <w:rsid w:val="00E372E0"/>
    <w:rsid w:val="00E372F3"/>
    <w:rsid w:val="00E3742A"/>
    <w:rsid w:val="00E374A4"/>
    <w:rsid w:val="00E37AF5"/>
    <w:rsid w:val="00E37E2B"/>
    <w:rsid w:val="00E37FB6"/>
    <w:rsid w:val="00E40177"/>
    <w:rsid w:val="00E401BA"/>
    <w:rsid w:val="00E40283"/>
    <w:rsid w:val="00E4057C"/>
    <w:rsid w:val="00E40674"/>
    <w:rsid w:val="00E406F7"/>
    <w:rsid w:val="00E4094E"/>
    <w:rsid w:val="00E40B17"/>
    <w:rsid w:val="00E40C59"/>
    <w:rsid w:val="00E40DAE"/>
    <w:rsid w:val="00E40DB7"/>
    <w:rsid w:val="00E40F62"/>
    <w:rsid w:val="00E410E4"/>
    <w:rsid w:val="00E4164C"/>
    <w:rsid w:val="00E41AE8"/>
    <w:rsid w:val="00E41D73"/>
    <w:rsid w:val="00E41DBB"/>
    <w:rsid w:val="00E41EAA"/>
    <w:rsid w:val="00E41ED0"/>
    <w:rsid w:val="00E420DF"/>
    <w:rsid w:val="00E42B4C"/>
    <w:rsid w:val="00E42CAC"/>
    <w:rsid w:val="00E42E65"/>
    <w:rsid w:val="00E42F5B"/>
    <w:rsid w:val="00E4315F"/>
    <w:rsid w:val="00E43249"/>
    <w:rsid w:val="00E436A2"/>
    <w:rsid w:val="00E43A06"/>
    <w:rsid w:val="00E43B51"/>
    <w:rsid w:val="00E43CC4"/>
    <w:rsid w:val="00E43D66"/>
    <w:rsid w:val="00E43E95"/>
    <w:rsid w:val="00E44024"/>
    <w:rsid w:val="00E44052"/>
    <w:rsid w:val="00E4446B"/>
    <w:rsid w:val="00E44588"/>
    <w:rsid w:val="00E44798"/>
    <w:rsid w:val="00E448C6"/>
    <w:rsid w:val="00E44B35"/>
    <w:rsid w:val="00E44BB9"/>
    <w:rsid w:val="00E44F14"/>
    <w:rsid w:val="00E44F56"/>
    <w:rsid w:val="00E4507C"/>
    <w:rsid w:val="00E45137"/>
    <w:rsid w:val="00E4579A"/>
    <w:rsid w:val="00E458D8"/>
    <w:rsid w:val="00E459E4"/>
    <w:rsid w:val="00E45DEC"/>
    <w:rsid w:val="00E45FE7"/>
    <w:rsid w:val="00E4644E"/>
    <w:rsid w:val="00E46764"/>
    <w:rsid w:val="00E46B37"/>
    <w:rsid w:val="00E46B91"/>
    <w:rsid w:val="00E46CFD"/>
    <w:rsid w:val="00E46EF2"/>
    <w:rsid w:val="00E47AAB"/>
    <w:rsid w:val="00E47F59"/>
    <w:rsid w:val="00E47F8F"/>
    <w:rsid w:val="00E505BD"/>
    <w:rsid w:val="00E50813"/>
    <w:rsid w:val="00E509C8"/>
    <w:rsid w:val="00E50C09"/>
    <w:rsid w:val="00E510BE"/>
    <w:rsid w:val="00E518A7"/>
    <w:rsid w:val="00E51EB5"/>
    <w:rsid w:val="00E5235B"/>
    <w:rsid w:val="00E529F5"/>
    <w:rsid w:val="00E52AF9"/>
    <w:rsid w:val="00E53040"/>
    <w:rsid w:val="00E53102"/>
    <w:rsid w:val="00E5356B"/>
    <w:rsid w:val="00E536A9"/>
    <w:rsid w:val="00E5388B"/>
    <w:rsid w:val="00E539F5"/>
    <w:rsid w:val="00E53BF2"/>
    <w:rsid w:val="00E53E00"/>
    <w:rsid w:val="00E53F43"/>
    <w:rsid w:val="00E541A1"/>
    <w:rsid w:val="00E54221"/>
    <w:rsid w:val="00E5493A"/>
    <w:rsid w:val="00E54AFA"/>
    <w:rsid w:val="00E54C45"/>
    <w:rsid w:val="00E5546A"/>
    <w:rsid w:val="00E55716"/>
    <w:rsid w:val="00E558DE"/>
    <w:rsid w:val="00E5592B"/>
    <w:rsid w:val="00E55BCD"/>
    <w:rsid w:val="00E55C74"/>
    <w:rsid w:val="00E55EBE"/>
    <w:rsid w:val="00E56311"/>
    <w:rsid w:val="00E5641E"/>
    <w:rsid w:val="00E5650A"/>
    <w:rsid w:val="00E56627"/>
    <w:rsid w:val="00E568B5"/>
    <w:rsid w:val="00E56971"/>
    <w:rsid w:val="00E5713F"/>
    <w:rsid w:val="00E571E8"/>
    <w:rsid w:val="00E5728E"/>
    <w:rsid w:val="00E574EC"/>
    <w:rsid w:val="00E5777D"/>
    <w:rsid w:val="00E57900"/>
    <w:rsid w:val="00E57985"/>
    <w:rsid w:val="00E57B08"/>
    <w:rsid w:val="00E57F9C"/>
    <w:rsid w:val="00E603AB"/>
    <w:rsid w:val="00E60A38"/>
    <w:rsid w:val="00E60AD4"/>
    <w:rsid w:val="00E60DC7"/>
    <w:rsid w:val="00E60FA5"/>
    <w:rsid w:val="00E61031"/>
    <w:rsid w:val="00E610E9"/>
    <w:rsid w:val="00E611B7"/>
    <w:rsid w:val="00E61383"/>
    <w:rsid w:val="00E615F9"/>
    <w:rsid w:val="00E61893"/>
    <w:rsid w:val="00E6193C"/>
    <w:rsid w:val="00E61A23"/>
    <w:rsid w:val="00E61AE4"/>
    <w:rsid w:val="00E62403"/>
    <w:rsid w:val="00E62621"/>
    <w:rsid w:val="00E62937"/>
    <w:rsid w:val="00E62AB8"/>
    <w:rsid w:val="00E62BC2"/>
    <w:rsid w:val="00E62CC1"/>
    <w:rsid w:val="00E6374D"/>
    <w:rsid w:val="00E63CB3"/>
    <w:rsid w:val="00E63DAA"/>
    <w:rsid w:val="00E64434"/>
    <w:rsid w:val="00E6445A"/>
    <w:rsid w:val="00E6460C"/>
    <w:rsid w:val="00E64742"/>
    <w:rsid w:val="00E6510F"/>
    <w:rsid w:val="00E6519E"/>
    <w:rsid w:val="00E65333"/>
    <w:rsid w:val="00E654FC"/>
    <w:rsid w:val="00E6551D"/>
    <w:rsid w:val="00E656DA"/>
    <w:rsid w:val="00E657AA"/>
    <w:rsid w:val="00E65EB2"/>
    <w:rsid w:val="00E6615E"/>
    <w:rsid w:val="00E66334"/>
    <w:rsid w:val="00E66383"/>
    <w:rsid w:val="00E66D35"/>
    <w:rsid w:val="00E66DEE"/>
    <w:rsid w:val="00E673FA"/>
    <w:rsid w:val="00E67A2F"/>
    <w:rsid w:val="00E67B44"/>
    <w:rsid w:val="00E67DF3"/>
    <w:rsid w:val="00E67E4D"/>
    <w:rsid w:val="00E67F0E"/>
    <w:rsid w:val="00E703DC"/>
    <w:rsid w:val="00E707A9"/>
    <w:rsid w:val="00E70FDA"/>
    <w:rsid w:val="00E71340"/>
    <w:rsid w:val="00E71434"/>
    <w:rsid w:val="00E71727"/>
    <w:rsid w:val="00E71743"/>
    <w:rsid w:val="00E718CF"/>
    <w:rsid w:val="00E71E81"/>
    <w:rsid w:val="00E7221D"/>
    <w:rsid w:val="00E72530"/>
    <w:rsid w:val="00E725D8"/>
    <w:rsid w:val="00E7262C"/>
    <w:rsid w:val="00E726A2"/>
    <w:rsid w:val="00E72F00"/>
    <w:rsid w:val="00E73017"/>
    <w:rsid w:val="00E737A2"/>
    <w:rsid w:val="00E738DF"/>
    <w:rsid w:val="00E739E6"/>
    <w:rsid w:val="00E73A99"/>
    <w:rsid w:val="00E73B39"/>
    <w:rsid w:val="00E73B9D"/>
    <w:rsid w:val="00E73BEE"/>
    <w:rsid w:val="00E73CBD"/>
    <w:rsid w:val="00E73F2C"/>
    <w:rsid w:val="00E74101"/>
    <w:rsid w:val="00E74608"/>
    <w:rsid w:val="00E74F95"/>
    <w:rsid w:val="00E75070"/>
    <w:rsid w:val="00E755EC"/>
    <w:rsid w:val="00E75902"/>
    <w:rsid w:val="00E75985"/>
    <w:rsid w:val="00E75A71"/>
    <w:rsid w:val="00E75C6A"/>
    <w:rsid w:val="00E75E0B"/>
    <w:rsid w:val="00E760EE"/>
    <w:rsid w:val="00E7615F"/>
    <w:rsid w:val="00E7637E"/>
    <w:rsid w:val="00E76608"/>
    <w:rsid w:val="00E768BA"/>
    <w:rsid w:val="00E76AE0"/>
    <w:rsid w:val="00E76F24"/>
    <w:rsid w:val="00E772A5"/>
    <w:rsid w:val="00E77646"/>
    <w:rsid w:val="00E77ADB"/>
    <w:rsid w:val="00E77DC9"/>
    <w:rsid w:val="00E8039A"/>
    <w:rsid w:val="00E805FB"/>
    <w:rsid w:val="00E80B9D"/>
    <w:rsid w:val="00E813C1"/>
    <w:rsid w:val="00E814E1"/>
    <w:rsid w:val="00E81871"/>
    <w:rsid w:val="00E81994"/>
    <w:rsid w:val="00E81A87"/>
    <w:rsid w:val="00E81ABF"/>
    <w:rsid w:val="00E81B88"/>
    <w:rsid w:val="00E81D1D"/>
    <w:rsid w:val="00E8204D"/>
    <w:rsid w:val="00E82070"/>
    <w:rsid w:val="00E8287C"/>
    <w:rsid w:val="00E828BB"/>
    <w:rsid w:val="00E82A6C"/>
    <w:rsid w:val="00E82CBB"/>
    <w:rsid w:val="00E82FCB"/>
    <w:rsid w:val="00E83141"/>
    <w:rsid w:val="00E83498"/>
    <w:rsid w:val="00E838AB"/>
    <w:rsid w:val="00E83948"/>
    <w:rsid w:val="00E83CF9"/>
    <w:rsid w:val="00E83DF3"/>
    <w:rsid w:val="00E84193"/>
    <w:rsid w:val="00E845B4"/>
    <w:rsid w:val="00E849F2"/>
    <w:rsid w:val="00E85832"/>
    <w:rsid w:val="00E8604E"/>
    <w:rsid w:val="00E86379"/>
    <w:rsid w:val="00E86514"/>
    <w:rsid w:val="00E86533"/>
    <w:rsid w:val="00E865AA"/>
    <w:rsid w:val="00E868DB"/>
    <w:rsid w:val="00E86BB4"/>
    <w:rsid w:val="00E87217"/>
    <w:rsid w:val="00E87960"/>
    <w:rsid w:val="00E87CEC"/>
    <w:rsid w:val="00E902FA"/>
    <w:rsid w:val="00E903A6"/>
    <w:rsid w:val="00E90406"/>
    <w:rsid w:val="00E90635"/>
    <w:rsid w:val="00E907DB"/>
    <w:rsid w:val="00E9081F"/>
    <w:rsid w:val="00E90BB8"/>
    <w:rsid w:val="00E90D24"/>
    <w:rsid w:val="00E90D31"/>
    <w:rsid w:val="00E91666"/>
    <w:rsid w:val="00E9208F"/>
    <w:rsid w:val="00E920C1"/>
    <w:rsid w:val="00E923F0"/>
    <w:rsid w:val="00E92433"/>
    <w:rsid w:val="00E927E9"/>
    <w:rsid w:val="00E92974"/>
    <w:rsid w:val="00E92E82"/>
    <w:rsid w:val="00E92F98"/>
    <w:rsid w:val="00E9331D"/>
    <w:rsid w:val="00E9363E"/>
    <w:rsid w:val="00E936CC"/>
    <w:rsid w:val="00E93DCD"/>
    <w:rsid w:val="00E9400E"/>
    <w:rsid w:val="00E940E1"/>
    <w:rsid w:val="00E94575"/>
    <w:rsid w:val="00E94FAE"/>
    <w:rsid w:val="00E95212"/>
    <w:rsid w:val="00E95263"/>
    <w:rsid w:val="00E95302"/>
    <w:rsid w:val="00E95322"/>
    <w:rsid w:val="00E95327"/>
    <w:rsid w:val="00E95377"/>
    <w:rsid w:val="00E95490"/>
    <w:rsid w:val="00E9564C"/>
    <w:rsid w:val="00E95AAE"/>
    <w:rsid w:val="00E95B51"/>
    <w:rsid w:val="00E95EB5"/>
    <w:rsid w:val="00E96444"/>
    <w:rsid w:val="00E968C1"/>
    <w:rsid w:val="00E96C3B"/>
    <w:rsid w:val="00E96D3A"/>
    <w:rsid w:val="00E97029"/>
    <w:rsid w:val="00E971F6"/>
    <w:rsid w:val="00E9743F"/>
    <w:rsid w:val="00E97766"/>
    <w:rsid w:val="00E97903"/>
    <w:rsid w:val="00E97929"/>
    <w:rsid w:val="00E97B2E"/>
    <w:rsid w:val="00E97E81"/>
    <w:rsid w:val="00EA03F5"/>
    <w:rsid w:val="00EA0AFC"/>
    <w:rsid w:val="00EA0B77"/>
    <w:rsid w:val="00EA0DAD"/>
    <w:rsid w:val="00EA0E54"/>
    <w:rsid w:val="00EA1176"/>
    <w:rsid w:val="00EA1231"/>
    <w:rsid w:val="00EA1505"/>
    <w:rsid w:val="00EA1536"/>
    <w:rsid w:val="00EA1769"/>
    <w:rsid w:val="00EA1890"/>
    <w:rsid w:val="00EA18FF"/>
    <w:rsid w:val="00EA1A75"/>
    <w:rsid w:val="00EA1B41"/>
    <w:rsid w:val="00EA1DD6"/>
    <w:rsid w:val="00EA1E6D"/>
    <w:rsid w:val="00EA1EAD"/>
    <w:rsid w:val="00EA25A1"/>
    <w:rsid w:val="00EA2AA0"/>
    <w:rsid w:val="00EA2AF4"/>
    <w:rsid w:val="00EA2E5A"/>
    <w:rsid w:val="00EA2F08"/>
    <w:rsid w:val="00EA3671"/>
    <w:rsid w:val="00EA382A"/>
    <w:rsid w:val="00EA399F"/>
    <w:rsid w:val="00EA3C25"/>
    <w:rsid w:val="00EA3D44"/>
    <w:rsid w:val="00EA3D7B"/>
    <w:rsid w:val="00EA3DD1"/>
    <w:rsid w:val="00EA3F37"/>
    <w:rsid w:val="00EA3F69"/>
    <w:rsid w:val="00EA4A5C"/>
    <w:rsid w:val="00EA4B49"/>
    <w:rsid w:val="00EA4C36"/>
    <w:rsid w:val="00EA4CCB"/>
    <w:rsid w:val="00EA52BF"/>
    <w:rsid w:val="00EA56E5"/>
    <w:rsid w:val="00EA5CDD"/>
    <w:rsid w:val="00EA5D60"/>
    <w:rsid w:val="00EA5F31"/>
    <w:rsid w:val="00EA62E0"/>
    <w:rsid w:val="00EA64E7"/>
    <w:rsid w:val="00EA731F"/>
    <w:rsid w:val="00EA73B7"/>
    <w:rsid w:val="00EA79ED"/>
    <w:rsid w:val="00EA7A42"/>
    <w:rsid w:val="00EA7E77"/>
    <w:rsid w:val="00EA7EB5"/>
    <w:rsid w:val="00EB047D"/>
    <w:rsid w:val="00EB04E1"/>
    <w:rsid w:val="00EB054E"/>
    <w:rsid w:val="00EB05A0"/>
    <w:rsid w:val="00EB09F3"/>
    <w:rsid w:val="00EB0B5D"/>
    <w:rsid w:val="00EB0BF9"/>
    <w:rsid w:val="00EB0D41"/>
    <w:rsid w:val="00EB0DEA"/>
    <w:rsid w:val="00EB0F0E"/>
    <w:rsid w:val="00EB100A"/>
    <w:rsid w:val="00EB10EB"/>
    <w:rsid w:val="00EB1176"/>
    <w:rsid w:val="00EB1390"/>
    <w:rsid w:val="00EB14B3"/>
    <w:rsid w:val="00EB16C0"/>
    <w:rsid w:val="00EB18F4"/>
    <w:rsid w:val="00EB1BD5"/>
    <w:rsid w:val="00EB1C18"/>
    <w:rsid w:val="00EB1D25"/>
    <w:rsid w:val="00EB1DBB"/>
    <w:rsid w:val="00EB1F63"/>
    <w:rsid w:val="00EB224F"/>
    <w:rsid w:val="00EB25E2"/>
    <w:rsid w:val="00EB27BC"/>
    <w:rsid w:val="00EB2E17"/>
    <w:rsid w:val="00EB301F"/>
    <w:rsid w:val="00EB3241"/>
    <w:rsid w:val="00EB32C1"/>
    <w:rsid w:val="00EB330E"/>
    <w:rsid w:val="00EB3482"/>
    <w:rsid w:val="00EB3519"/>
    <w:rsid w:val="00EB35D5"/>
    <w:rsid w:val="00EB3883"/>
    <w:rsid w:val="00EB393C"/>
    <w:rsid w:val="00EB3A9E"/>
    <w:rsid w:val="00EB4075"/>
    <w:rsid w:val="00EB40C0"/>
    <w:rsid w:val="00EB425E"/>
    <w:rsid w:val="00EB4589"/>
    <w:rsid w:val="00EB47C3"/>
    <w:rsid w:val="00EB4B16"/>
    <w:rsid w:val="00EB4D4E"/>
    <w:rsid w:val="00EB4E9A"/>
    <w:rsid w:val="00EB5060"/>
    <w:rsid w:val="00EB50C8"/>
    <w:rsid w:val="00EB529F"/>
    <w:rsid w:val="00EB53C0"/>
    <w:rsid w:val="00EB574F"/>
    <w:rsid w:val="00EB5771"/>
    <w:rsid w:val="00EB5C72"/>
    <w:rsid w:val="00EB646B"/>
    <w:rsid w:val="00EB6591"/>
    <w:rsid w:val="00EB6A32"/>
    <w:rsid w:val="00EB6F0B"/>
    <w:rsid w:val="00EB74DD"/>
    <w:rsid w:val="00EB7944"/>
    <w:rsid w:val="00EB7951"/>
    <w:rsid w:val="00EB7A1D"/>
    <w:rsid w:val="00EB7D28"/>
    <w:rsid w:val="00EB7DF2"/>
    <w:rsid w:val="00EC0120"/>
    <w:rsid w:val="00EC0124"/>
    <w:rsid w:val="00EC04C1"/>
    <w:rsid w:val="00EC0677"/>
    <w:rsid w:val="00EC0855"/>
    <w:rsid w:val="00EC0C9E"/>
    <w:rsid w:val="00EC0EC7"/>
    <w:rsid w:val="00EC0FB7"/>
    <w:rsid w:val="00EC13CD"/>
    <w:rsid w:val="00EC193E"/>
    <w:rsid w:val="00EC1A6C"/>
    <w:rsid w:val="00EC1CC3"/>
    <w:rsid w:val="00EC1EFD"/>
    <w:rsid w:val="00EC23D0"/>
    <w:rsid w:val="00EC316C"/>
    <w:rsid w:val="00EC33A0"/>
    <w:rsid w:val="00EC3A9D"/>
    <w:rsid w:val="00EC3C3F"/>
    <w:rsid w:val="00EC40D0"/>
    <w:rsid w:val="00EC45C8"/>
    <w:rsid w:val="00EC467E"/>
    <w:rsid w:val="00EC4836"/>
    <w:rsid w:val="00EC4B1F"/>
    <w:rsid w:val="00EC4BB7"/>
    <w:rsid w:val="00EC5003"/>
    <w:rsid w:val="00EC5088"/>
    <w:rsid w:val="00EC5294"/>
    <w:rsid w:val="00EC52A7"/>
    <w:rsid w:val="00EC59F9"/>
    <w:rsid w:val="00EC5A2C"/>
    <w:rsid w:val="00EC5B9F"/>
    <w:rsid w:val="00EC5C02"/>
    <w:rsid w:val="00EC5F4D"/>
    <w:rsid w:val="00EC63B3"/>
    <w:rsid w:val="00EC6428"/>
    <w:rsid w:val="00EC6920"/>
    <w:rsid w:val="00EC6DA8"/>
    <w:rsid w:val="00EC745B"/>
    <w:rsid w:val="00EC745D"/>
    <w:rsid w:val="00EC77A7"/>
    <w:rsid w:val="00EC7860"/>
    <w:rsid w:val="00EC79D3"/>
    <w:rsid w:val="00EC7C8E"/>
    <w:rsid w:val="00ED01C8"/>
    <w:rsid w:val="00ED03E9"/>
    <w:rsid w:val="00ED04CE"/>
    <w:rsid w:val="00ED05CB"/>
    <w:rsid w:val="00ED0809"/>
    <w:rsid w:val="00ED0908"/>
    <w:rsid w:val="00ED0942"/>
    <w:rsid w:val="00ED098A"/>
    <w:rsid w:val="00ED09FE"/>
    <w:rsid w:val="00ED0FA4"/>
    <w:rsid w:val="00ED10AF"/>
    <w:rsid w:val="00ED1169"/>
    <w:rsid w:val="00ED1329"/>
    <w:rsid w:val="00ED1AC7"/>
    <w:rsid w:val="00ED1F03"/>
    <w:rsid w:val="00ED21DE"/>
    <w:rsid w:val="00ED252A"/>
    <w:rsid w:val="00ED2AB0"/>
    <w:rsid w:val="00ED3161"/>
    <w:rsid w:val="00ED338F"/>
    <w:rsid w:val="00ED38B5"/>
    <w:rsid w:val="00ED3AC4"/>
    <w:rsid w:val="00ED3C06"/>
    <w:rsid w:val="00ED3EB4"/>
    <w:rsid w:val="00ED3F64"/>
    <w:rsid w:val="00ED4203"/>
    <w:rsid w:val="00ED42DA"/>
    <w:rsid w:val="00ED42DE"/>
    <w:rsid w:val="00ED468E"/>
    <w:rsid w:val="00ED471B"/>
    <w:rsid w:val="00ED4F0E"/>
    <w:rsid w:val="00ED5249"/>
    <w:rsid w:val="00ED52AB"/>
    <w:rsid w:val="00ED537C"/>
    <w:rsid w:val="00ED53B9"/>
    <w:rsid w:val="00ED5B7F"/>
    <w:rsid w:val="00ED5D9F"/>
    <w:rsid w:val="00ED5E38"/>
    <w:rsid w:val="00ED60BF"/>
    <w:rsid w:val="00ED6217"/>
    <w:rsid w:val="00ED6363"/>
    <w:rsid w:val="00ED6542"/>
    <w:rsid w:val="00ED6BB4"/>
    <w:rsid w:val="00ED7189"/>
    <w:rsid w:val="00ED7590"/>
    <w:rsid w:val="00ED7F82"/>
    <w:rsid w:val="00EE04E8"/>
    <w:rsid w:val="00EE0600"/>
    <w:rsid w:val="00EE06D1"/>
    <w:rsid w:val="00EE0933"/>
    <w:rsid w:val="00EE0B7F"/>
    <w:rsid w:val="00EE106E"/>
    <w:rsid w:val="00EE165D"/>
    <w:rsid w:val="00EE1B38"/>
    <w:rsid w:val="00EE1E07"/>
    <w:rsid w:val="00EE1F52"/>
    <w:rsid w:val="00EE22DB"/>
    <w:rsid w:val="00EE23CB"/>
    <w:rsid w:val="00EE2578"/>
    <w:rsid w:val="00EE258D"/>
    <w:rsid w:val="00EE26CF"/>
    <w:rsid w:val="00EE2AEE"/>
    <w:rsid w:val="00EE306A"/>
    <w:rsid w:val="00EE3502"/>
    <w:rsid w:val="00EE37FE"/>
    <w:rsid w:val="00EE3A15"/>
    <w:rsid w:val="00EE3AB7"/>
    <w:rsid w:val="00EE3B79"/>
    <w:rsid w:val="00EE3B98"/>
    <w:rsid w:val="00EE3CEE"/>
    <w:rsid w:val="00EE3FDD"/>
    <w:rsid w:val="00EE4461"/>
    <w:rsid w:val="00EE4490"/>
    <w:rsid w:val="00EE44DB"/>
    <w:rsid w:val="00EE4672"/>
    <w:rsid w:val="00EE47F6"/>
    <w:rsid w:val="00EE4EEF"/>
    <w:rsid w:val="00EE55D8"/>
    <w:rsid w:val="00EE5815"/>
    <w:rsid w:val="00EE58E3"/>
    <w:rsid w:val="00EE5F35"/>
    <w:rsid w:val="00EE6101"/>
    <w:rsid w:val="00EE648D"/>
    <w:rsid w:val="00EE6523"/>
    <w:rsid w:val="00EE6832"/>
    <w:rsid w:val="00EE6B5A"/>
    <w:rsid w:val="00EE6BCD"/>
    <w:rsid w:val="00EE6BFC"/>
    <w:rsid w:val="00EE6D2B"/>
    <w:rsid w:val="00EE7241"/>
    <w:rsid w:val="00EE73E0"/>
    <w:rsid w:val="00EE7572"/>
    <w:rsid w:val="00EE76DF"/>
    <w:rsid w:val="00EE7A78"/>
    <w:rsid w:val="00EE7E50"/>
    <w:rsid w:val="00EF0159"/>
    <w:rsid w:val="00EF0265"/>
    <w:rsid w:val="00EF0683"/>
    <w:rsid w:val="00EF084D"/>
    <w:rsid w:val="00EF0A62"/>
    <w:rsid w:val="00EF0AAF"/>
    <w:rsid w:val="00EF0B4A"/>
    <w:rsid w:val="00EF0DEF"/>
    <w:rsid w:val="00EF0E66"/>
    <w:rsid w:val="00EF1354"/>
    <w:rsid w:val="00EF15EB"/>
    <w:rsid w:val="00EF172A"/>
    <w:rsid w:val="00EF1755"/>
    <w:rsid w:val="00EF19E9"/>
    <w:rsid w:val="00EF1A1D"/>
    <w:rsid w:val="00EF1A62"/>
    <w:rsid w:val="00EF1A8B"/>
    <w:rsid w:val="00EF1D4C"/>
    <w:rsid w:val="00EF1E99"/>
    <w:rsid w:val="00EF2235"/>
    <w:rsid w:val="00EF246D"/>
    <w:rsid w:val="00EF26FC"/>
    <w:rsid w:val="00EF2910"/>
    <w:rsid w:val="00EF2934"/>
    <w:rsid w:val="00EF2939"/>
    <w:rsid w:val="00EF2CAD"/>
    <w:rsid w:val="00EF2DED"/>
    <w:rsid w:val="00EF3110"/>
    <w:rsid w:val="00EF3447"/>
    <w:rsid w:val="00EF36ED"/>
    <w:rsid w:val="00EF3784"/>
    <w:rsid w:val="00EF3CFD"/>
    <w:rsid w:val="00EF3D58"/>
    <w:rsid w:val="00EF40A9"/>
    <w:rsid w:val="00EF40CA"/>
    <w:rsid w:val="00EF4387"/>
    <w:rsid w:val="00EF43DF"/>
    <w:rsid w:val="00EF49DC"/>
    <w:rsid w:val="00EF4A1B"/>
    <w:rsid w:val="00EF4AAB"/>
    <w:rsid w:val="00EF4CE1"/>
    <w:rsid w:val="00EF50B9"/>
    <w:rsid w:val="00EF524D"/>
    <w:rsid w:val="00EF54B0"/>
    <w:rsid w:val="00EF55F7"/>
    <w:rsid w:val="00EF582B"/>
    <w:rsid w:val="00EF584D"/>
    <w:rsid w:val="00EF5905"/>
    <w:rsid w:val="00EF5CC5"/>
    <w:rsid w:val="00EF5D19"/>
    <w:rsid w:val="00EF5E64"/>
    <w:rsid w:val="00EF6472"/>
    <w:rsid w:val="00EF6BEC"/>
    <w:rsid w:val="00EF6E55"/>
    <w:rsid w:val="00EF6FA3"/>
    <w:rsid w:val="00EF7063"/>
    <w:rsid w:val="00EF7084"/>
    <w:rsid w:val="00EF713B"/>
    <w:rsid w:val="00EF733E"/>
    <w:rsid w:val="00EF73C7"/>
    <w:rsid w:val="00EF7424"/>
    <w:rsid w:val="00EF784C"/>
    <w:rsid w:val="00EF789D"/>
    <w:rsid w:val="00EF7B8C"/>
    <w:rsid w:val="00EF7EF0"/>
    <w:rsid w:val="00F0023D"/>
    <w:rsid w:val="00F00588"/>
    <w:rsid w:val="00F00A09"/>
    <w:rsid w:val="00F00CEC"/>
    <w:rsid w:val="00F00D46"/>
    <w:rsid w:val="00F01112"/>
    <w:rsid w:val="00F01113"/>
    <w:rsid w:val="00F011AD"/>
    <w:rsid w:val="00F011B8"/>
    <w:rsid w:val="00F01262"/>
    <w:rsid w:val="00F01359"/>
    <w:rsid w:val="00F0227D"/>
    <w:rsid w:val="00F022D0"/>
    <w:rsid w:val="00F023B8"/>
    <w:rsid w:val="00F02953"/>
    <w:rsid w:val="00F02A14"/>
    <w:rsid w:val="00F02AD3"/>
    <w:rsid w:val="00F02B6B"/>
    <w:rsid w:val="00F02D67"/>
    <w:rsid w:val="00F02EFF"/>
    <w:rsid w:val="00F02F9D"/>
    <w:rsid w:val="00F03023"/>
    <w:rsid w:val="00F031EA"/>
    <w:rsid w:val="00F03292"/>
    <w:rsid w:val="00F0359E"/>
    <w:rsid w:val="00F03620"/>
    <w:rsid w:val="00F036C5"/>
    <w:rsid w:val="00F03B39"/>
    <w:rsid w:val="00F04052"/>
    <w:rsid w:val="00F0444A"/>
    <w:rsid w:val="00F0448B"/>
    <w:rsid w:val="00F04B81"/>
    <w:rsid w:val="00F04C8C"/>
    <w:rsid w:val="00F04D7D"/>
    <w:rsid w:val="00F04EA9"/>
    <w:rsid w:val="00F04FED"/>
    <w:rsid w:val="00F05905"/>
    <w:rsid w:val="00F05A03"/>
    <w:rsid w:val="00F05A05"/>
    <w:rsid w:val="00F06535"/>
    <w:rsid w:val="00F06586"/>
    <w:rsid w:val="00F06673"/>
    <w:rsid w:val="00F06855"/>
    <w:rsid w:val="00F068A9"/>
    <w:rsid w:val="00F06961"/>
    <w:rsid w:val="00F06BCE"/>
    <w:rsid w:val="00F07355"/>
    <w:rsid w:val="00F075B9"/>
    <w:rsid w:val="00F07890"/>
    <w:rsid w:val="00F07AFC"/>
    <w:rsid w:val="00F07D14"/>
    <w:rsid w:val="00F07F37"/>
    <w:rsid w:val="00F07FE8"/>
    <w:rsid w:val="00F105D3"/>
    <w:rsid w:val="00F1066F"/>
    <w:rsid w:val="00F10CA0"/>
    <w:rsid w:val="00F11325"/>
    <w:rsid w:val="00F114CB"/>
    <w:rsid w:val="00F114CC"/>
    <w:rsid w:val="00F11549"/>
    <w:rsid w:val="00F118E6"/>
    <w:rsid w:val="00F123F1"/>
    <w:rsid w:val="00F123F5"/>
    <w:rsid w:val="00F1240B"/>
    <w:rsid w:val="00F126F1"/>
    <w:rsid w:val="00F12D1D"/>
    <w:rsid w:val="00F12EC8"/>
    <w:rsid w:val="00F12F01"/>
    <w:rsid w:val="00F13522"/>
    <w:rsid w:val="00F1358D"/>
    <w:rsid w:val="00F137B1"/>
    <w:rsid w:val="00F13A6C"/>
    <w:rsid w:val="00F13B3A"/>
    <w:rsid w:val="00F13D95"/>
    <w:rsid w:val="00F1415F"/>
    <w:rsid w:val="00F14201"/>
    <w:rsid w:val="00F14287"/>
    <w:rsid w:val="00F14306"/>
    <w:rsid w:val="00F14504"/>
    <w:rsid w:val="00F14B7F"/>
    <w:rsid w:val="00F1508C"/>
    <w:rsid w:val="00F15345"/>
    <w:rsid w:val="00F1562F"/>
    <w:rsid w:val="00F156D5"/>
    <w:rsid w:val="00F1578E"/>
    <w:rsid w:val="00F158D2"/>
    <w:rsid w:val="00F1592C"/>
    <w:rsid w:val="00F1655B"/>
    <w:rsid w:val="00F169F6"/>
    <w:rsid w:val="00F17044"/>
    <w:rsid w:val="00F176C3"/>
    <w:rsid w:val="00F178D4"/>
    <w:rsid w:val="00F178F5"/>
    <w:rsid w:val="00F17A99"/>
    <w:rsid w:val="00F17EB7"/>
    <w:rsid w:val="00F20561"/>
    <w:rsid w:val="00F20763"/>
    <w:rsid w:val="00F209C4"/>
    <w:rsid w:val="00F20BA1"/>
    <w:rsid w:val="00F20DCC"/>
    <w:rsid w:val="00F21349"/>
    <w:rsid w:val="00F21540"/>
    <w:rsid w:val="00F21575"/>
    <w:rsid w:val="00F216AD"/>
    <w:rsid w:val="00F21914"/>
    <w:rsid w:val="00F21E13"/>
    <w:rsid w:val="00F22163"/>
    <w:rsid w:val="00F22382"/>
    <w:rsid w:val="00F227C8"/>
    <w:rsid w:val="00F22B11"/>
    <w:rsid w:val="00F22CA7"/>
    <w:rsid w:val="00F22DE8"/>
    <w:rsid w:val="00F22E02"/>
    <w:rsid w:val="00F22F20"/>
    <w:rsid w:val="00F230D4"/>
    <w:rsid w:val="00F23311"/>
    <w:rsid w:val="00F2351D"/>
    <w:rsid w:val="00F2367C"/>
    <w:rsid w:val="00F2383E"/>
    <w:rsid w:val="00F23CB7"/>
    <w:rsid w:val="00F2415D"/>
    <w:rsid w:val="00F250A1"/>
    <w:rsid w:val="00F25315"/>
    <w:rsid w:val="00F2540B"/>
    <w:rsid w:val="00F254C2"/>
    <w:rsid w:val="00F25506"/>
    <w:rsid w:val="00F257B5"/>
    <w:rsid w:val="00F2581A"/>
    <w:rsid w:val="00F25B2F"/>
    <w:rsid w:val="00F25FD3"/>
    <w:rsid w:val="00F25FF2"/>
    <w:rsid w:val="00F261D2"/>
    <w:rsid w:val="00F2622E"/>
    <w:rsid w:val="00F26556"/>
    <w:rsid w:val="00F26874"/>
    <w:rsid w:val="00F26CAF"/>
    <w:rsid w:val="00F26CDE"/>
    <w:rsid w:val="00F2720E"/>
    <w:rsid w:val="00F2741B"/>
    <w:rsid w:val="00F27498"/>
    <w:rsid w:val="00F2772D"/>
    <w:rsid w:val="00F2776D"/>
    <w:rsid w:val="00F277A7"/>
    <w:rsid w:val="00F2791D"/>
    <w:rsid w:val="00F27B18"/>
    <w:rsid w:val="00F30034"/>
    <w:rsid w:val="00F30286"/>
    <w:rsid w:val="00F30E63"/>
    <w:rsid w:val="00F3167A"/>
    <w:rsid w:val="00F316BD"/>
    <w:rsid w:val="00F318D9"/>
    <w:rsid w:val="00F319EB"/>
    <w:rsid w:val="00F320B0"/>
    <w:rsid w:val="00F32423"/>
    <w:rsid w:val="00F327C7"/>
    <w:rsid w:val="00F33025"/>
    <w:rsid w:val="00F33286"/>
    <w:rsid w:val="00F3328A"/>
    <w:rsid w:val="00F33348"/>
    <w:rsid w:val="00F33574"/>
    <w:rsid w:val="00F33675"/>
    <w:rsid w:val="00F337D4"/>
    <w:rsid w:val="00F33A16"/>
    <w:rsid w:val="00F34005"/>
    <w:rsid w:val="00F34300"/>
    <w:rsid w:val="00F346E6"/>
    <w:rsid w:val="00F3481D"/>
    <w:rsid w:val="00F35A8C"/>
    <w:rsid w:val="00F35AB9"/>
    <w:rsid w:val="00F35F06"/>
    <w:rsid w:val="00F3663C"/>
    <w:rsid w:val="00F3680B"/>
    <w:rsid w:val="00F369DE"/>
    <w:rsid w:val="00F372A1"/>
    <w:rsid w:val="00F376DC"/>
    <w:rsid w:val="00F37780"/>
    <w:rsid w:val="00F37AD4"/>
    <w:rsid w:val="00F37D2E"/>
    <w:rsid w:val="00F40362"/>
    <w:rsid w:val="00F40667"/>
    <w:rsid w:val="00F40864"/>
    <w:rsid w:val="00F408BC"/>
    <w:rsid w:val="00F411CC"/>
    <w:rsid w:val="00F411F3"/>
    <w:rsid w:val="00F4124A"/>
    <w:rsid w:val="00F413AA"/>
    <w:rsid w:val="00F41730"/>
    <w:rsid w:val="00F4197D"/>
    <w:rsid w:val="00F41991"/>
    <w:rsid w:val="00F41AFF"/>
    <w:rsid w:val="00F41B38"/>
    <w:rsid w:val="00F41D22"/>
    <w:rsid w:val="00F41D72"/>
    <w:rsid w:val="00F4244B"/>
    <w:rsid w:val="00F427F2"/>
    <w:rsid w:val="00F42BBB"/>
    <w:rsid w:val="00F42D7F"/>
    <w:rsid w:val="00F4312E"/>
    <w:rsid w:val="00F4388E"/>
    <w:rsid w:val="00F43CAF"/>
    <w:rsid w:val="00F43D8D"/>
    <w:rsid w:val="00F44008"/>
    <w:rsid w:val="00F4430E"/>
    <w:rsid w:val="00F44706"/>
    <w:rsid w:val="00F44895"/>
    <w:rsid w:val="00F448C3"/>
    <w:rsid w:val="00F449AF"/>
    <w:rsid w:val="00F44B96"/>
    <w:rsid w:val="00F44BF7"/>
    <w:rsid w:val="00F44C32"/>
    <w:rsid w:val="00F44CFE"/>
    <w:rsid w:val="00F44E1E"/>
    <w:rsid w:val="00F45241"/>
    <w:rsid w:val="00F45253"/>
    <w:rsid w:val="00F452EE"/>
    <w:rsid w:val="00F452F6"/>
    <w:rsid w:val="00F457B6"/>
    <w:rsid w:val="00F45D7C"/>
    <w:rsid w:val="00F45F27"/>
    <w:rsid w:val="00F460C3"/>
    <w:rsid w:val="00F46193"/>
    <w:rsid w:val="00F465AE"/>
    <w:rsid w:val="00F467EB"/>
    <w:rsid w:val="00F46B3C"/>
    <w:rsid w:val="00F46C18"/>
    <w:rsid w:val="00F46E55"/>
    <w:rsid w:val="00F471E8"/>
    <w:rsid w:val="00F4737A"/>
    <w:rsid w:val="00F47C9D"/>
    <w:rsid w:val="00F47E2E"/>
    <w:rsid w:val="00F47EF9"/>
    <w:rsid w:val="00F50585"/>
    <w:rsid w:val="00F5083A"/>
    <w:rsid w:val="00F50CC7"/>
    <w:rsid w:val="00F50E66"/>
    <w:rsid w:val="00F51112"/>
    <w:rsid w:val="00F515EC"/>
    <w:rsid w:val="00F516E3"/>
    <w:rsid w:val="00F5198C"/>
    <w:rsid w:val="00F51A73"/>
    <w:rsid w:val="00F51D45"/>
    <w:rsid w:val="00F52629"/>
    <w:rsid w:val="00F527BF"/>
    <w:rsid w:val="00F52CD5"/>
    <w:rsid w:val="00F52DF8"/>
    <w:rsid w:val="00F5335C"/>
    <w:rsid w:val="00F536F1"/>
    <w:rsid w:val="00F538AC"/>
    <w:rsid w:val="00F539DA"/>
    <w:rsid w:val="00F53C73"/>
    <w:rsid w:val="00F53C92"/>
    <w:rsid w:val="00F53DEE"/>
    <w:rsid w:val="00F54233"/>
    <w:rsid w:val="00F5456F"/>
    <w:rsid w:val="00F547BA"/>
    <w:rsid w:val="00F54832"/>
    <w:rsid w:val="00F54B48"/>
    <w:rsid w:val="00F54E87"/>
    <w:rsid w:val="00F55AB6"/>
    <w:rsid w:val="00F564DC"/>
    <w:rsid w:val="00F5696D"/>
    <w:rsid w:val="00F56B84"/>
    <w:rsid w:val="00F56C25"/>
    <w:rsid w:val="00F57419"/>
    <w:rsid w:val="00F574F5"/>
    <w:rsid w:val="00F5755E"/>
    <w:rsid w:val="00F57742"/>
    <w:rsid w:val="00F57885"/>
    <w:rsid w:val="00F578E8"/>
    <w:rsid w:val="00F57D44"/>
    <w:rsid w:val="00F57EF0"/>
    <w:rsid w:val="00F601AC"/>
    <w:rsid w:val="00F6029D"/>
    <w:rsid w:val="00F60321"/>
    <w:rsid w:val="00F6054A"/>
    <w:rsid w:val="00F60600"/>
    <w:rsid w:val="00F60CEC"/>
    <w:rsid w:val="00F60E51"/>
    <w:rsid w:val="00F61236"/>
    <w:rsid w:val="00F61281"/>
    <w:rsid w:val="00F617B3"/>
    <w:rsid w:val="00F618CA"/>
    <w:rsid w:val="00F61D55"/>
    <w:rsid w:val="00F6212A"/>
    <w:rsid w:val="00F6229B"/>
    <w:rsid w:val="00F62592"/>
    <w:rsid w:val="00F6272A"/>
    <w:rsid w:val="00F629E9"/>
    <w:rsid w:val="00F6307F"/>
    <w:rsid w:val="00F63105"/>
    <w:rsid w:val="00F63F25"/>
    <w:rsid w:val="00F63FCB"/>
    <w:rsid w:val="00F6456C"/>
    <w:rsid w:val="00F64694"/>
    <w:rsid w:val="00F64C6A"/>
    <w:rsid w:val="00F64E74"/>
    <w:rsid w:val="00F64F51"/>
    <w:rsid w:val="00F65115"/>
    <w:rsid w:val="00F65510"/>
    <w:rsid w:val="00F65661"/>
    <w:rsid w:val="00F65879"/>
    <w:rsid w:val="00F65887"/>
    <w:rsid w:val="00F659B3"/>
    <w:rsid w:val="00F65B72"/>
    <w:rsid w:val="00F65D5B"/>
    <w:rsid w:val="00F65E0B"/>
    <w:rsid w:val="00F66144"/>
    <w:rsid w:val="00F66283"/>
    <w:rsid w:val="00F663A2"/>
    <w:rsid w:val="00F6665E"/>
    <w:rsid w:val="00F6713F"/>
    <w:rsid w:val="00F6729F"/>
    <w:rsid w:val="00F673CC"/>
    <w:rsid w:val="00F6790D"/>
    <w:rsid w:val="00F70274"/>
    <w:rsid w:val="00F70280"/>
    <w:rsid w:val="00F70A71"/>
    <w:rsid w:val="00F70F1C"/>
    <w:rsid w:val="00F70F97"/>
    <w:rsid w:val="00F71082"/>
    <w:rsid w:val="00F71372"/>
    <w:rsid w:val="00F71535"/>
    <w:rsid w:val="00F716EA"/>
    <w:rsid w:val="00F71868"/>
    <w:rsid w:val="00F71BC8"/>
    <w:rsid w:val="00F71CE8"/>
    <w:rsid w:val="00F72199"/>
    <w:rsid w:val="00F72665"/>
    <w:rsid w:val="00F726D4"/>
    <w:rsid w:val="00F72893"/>
    <w:rsid w:val="00F72946"/>
    <w:rsid w:val="00F72A9C"/>
    <w:rsid w:val="00F72B71"/>
    <w:rsid w:val="00F730EC"/>
    <w:rsid w:val="00F732FC"/>
    <w:rsid w:val="00F7393F"/>
    <w:rsid w:val="00F739BA"/>
    <w:rsid w:val="00F73BBB"/>
    <w:rsid w:val="00F73DD8"/>
    <w:rsid w:val="00F73F2C"/>
    <w:rsid w:val="00F7421E"/>
    <w:rsid w:val="00F745DE"/>
    <w:rsid w:val="00F74A2A"/>
    <w:rsid w:val="00F74B51"/>
    <w:rsid w:val="00F74E5B"/>
    <w:rsid w:val="00F7522A"/>
    <w:rsid w:val="00F7524D"/>
    <w:rsid w:val="00F75DE4"/>
    <w:rsid w:val="00F75E24"/>
    <w:rsid w:val="00F76001"/>
    <w:rsid w:val="00F763AC"/>
    <w:rsid w:val="00F7649B"/>
    <w:rsid w:val="00F765A1"/>
    <w:rsid w:val="00F76615"/>
    <w:rsid w:val="00F76681"/>
    <w:rsid w:val="00F766D0"/>
    <w:rsid w:val="00F76B28"/>
    <w:rsid w:val="00F76B7A"/>
    <w:rsid w:val="00F773E8"/>
    <w:rsid w:val="00F774EC"/>
    <w:rsid w:val="00F7755D"/>
    <w:rsid w:val="00F77800"/>
    <w:rsid w:val="00F77AFF"/>
    <w:rsid w:val="00F800F9"/>
    <w:rsid w:val="00F80471"/>
    <w:rsid w:val="00F80820"/>
    <w:rsid w:val="00F80E4E"/>
    <w:rsid w:val="00F80FF6"/>
    <w:rsid w:val="00F81238"/>
    <w:rsid w:val="00F81362"/>
    <w:rsid w:val="00F814D0"/>
    <w:rsid w:val="00F816C8"/>
    <w:rsid w:val="00F817F7"/>
    <w:rsid w:val="00F8195F"/>
    <w:rsid w:val="00F81A97"/>
    <w:rsid w:val="00F81D3F"/>
    <w:rsid w:val="00F81FD9"/>
    <w:rsid w:val="00F82307"/>
    <w:rsid w:val="00F823E3"/>
    <w:rsid w:val="00F82D79"/>
    <w:rsid w:val="00F83671"/>
    <w:rsid w:val="00F83909"/>
    <w:rsid w:val="00F83924"/>
    <w:rsid w:val="00F83990"/>
    <w:rsid w:val="00F83BC8"/>
    <w:rsid w:val="00F83DCE"/>
    <w:rsid w:val="00F83E31"/>
    <w:rsid w:val="00F83FEA"/>
    <w:rsid w:val="00F840D8"/>
    <w:rsid w:val="00F84194"/>
    <w:rsid w:val="00F848DC"/>
    <w:rsid w:val="00F84B3B"/>
    <w:rsid w:val="00F84D3C"/>
    <w:rsid w:val="00F85039"/>
    <w:rsid w:val="00F851AA"/>
    <w:rsid w:val="00F854EE"/>
    <w:rsid w:val="00F857C7"/>
    <w:rsid w:val="00F85944"/>
    <w:rsid w:val="00F85C44"/>
    <w:rsid w:val="00F85C45"/>
    <w:rsid w:val="00F85F05"/>
    <w:rsid w:val="00F862E3"/>
    <w:rsid w:val="00F86442"/>
    <w:rsid w:val="00F86457"/>
    <w:rsid w:val="00F86460"/>
    <w:rsid w:val="00F8678C"/>
    <w:rsid w:val="00F867FA"/>
    <w:rsid w:val="00F868AA"/>
    <w:rsid w:val="00F86B36"/>
    <w:rsid w:val="00F86BDE"/>
    <w:rsid w:val="00F86C99"/>
    <w:rsid w:val="00F86E0A"/>
    <w:rsid w:val="00F8706F"/>
    <w:rsid w:val="00F87093"/>
    <w:rsid w:val="00F87581"/>
    <w:rsid w:val="00F87CFD"/>
    <w:rsid w:val="00F8AB76"/>
    <w:rsid w:val="00F900F4"/>
    <w:rsid w:val="00F90380"/>
    <w:rsid w:val="00F90D8B"/>
    <w:rsid w:val="00F91271"/>
    <w:rsid w:val="00F91338"/>
    <w:rsid w:val="00F91353"/>
    <w:rsid w:val="00F916CD"/>
    <w:rsid w:val="00F91C69"/>
    <w:rsid w:val="00F91D46"/>
    <w:rsid w:val="00F91DEC"/>
    <w:rsid w:val="00F92503"/>
    <w:rsid w:val="00F92539"/>
    <w:rsid w:val="00F92F6F"/>
    <w:rsid w:val="00F93454"/>
    <w:rsid w:val="00F93511"/>
    <w:rsid w:val="00F93AEE"/>
    <w:rsid w:val="00F9443B"/>
    <w:rsid w:val="00F94D28"/>
    <w:rsid w:val="00F95079"/>
    <w:rsid w:val="00F950DF"/>
    <w:rsid w:val="00F95320"/>
    <w:rsid w:val="00F95376"/>
    <w:rsid w:val="00F954BE"/>
    <w:rsid w:val="00F956F8"/>
    <w:rsid w:val="00F95A9B"/>
    <w:rsid w:val="00F95FC7"/>
    <w:rsid w:val="00F96109"/>
    <w:rsid w:val="00F96511"/>
    <w:rsid w:val="00F9684A"/>
    <w:rsid w:val="00F96C63"/>
    <w:rsid w:val="00F96ED2"/>
    <w:rsid w:val="00F970A7"/>
    <w:rsid w:val="00F970CA"/>
    <w:rsid w:val="00F970D0"/>
    <w:rsid w:val="00F970E1"/>
    <w:rsid w:val="00F97374"/>
    <w:rsid w:val="00F974FD"/>
    <w:rsid w:val="00F975B3"/>
    <w:rsid w:val="00F97A59"/>
    <w:rsid w:val="00F97AB4"/>
    <w:rsid w:val="00F97B7E"/>
    <w:rsid w:val="00FA00A6"/>
    <w:rsid w:val="00FA0825"/>
    <w:rsid w:val="00FA08AD"/>
    <w:rsid w:val="00FA104F"/>
    <w:rsid w:val="00FA142C"/>
    <w:rsid w:val="00FA145C"/>
    <w:rsid w:val="00FA18E7"/>
    <w:rsid w:val="00FA1911"/>
    <w:rsid w:val="00FA193D"/>
    <w:rsid w:val="00FA19C3"/>
    <w:rsid w:val="00FA1B38"/>
    <w:rsid w:val="00FA1B9E"/>
    <w:rsid w:val="00FA1D7E"/>
    <w:rsid w:val="00FA1E61"/>
    <w:rsid w:val="00FA1E66"/>
    <w:rsid w:val="00FA1F2E"/>
    <w:rsid w:val="00FA1FED"/>
    <w:rsid w:val="00FA24F4"/>
    <w:rsid w:val="00FA2603"/>
    <w:rsid w:val="00FA2767"/>
    <w:rsid w:val="00FA2F27"/>
    <w:rsid w:val="00FA2F7B"/>
    <w:rsid w:val="00FA371D"/>
    <w:rsid w:val="00FA38C7"/>
    <w:rsid w:val="00FA3BF6"/>
    <w:rsid w:val="00FA409F"/>
    <w:rsid w:val="00FA4150"/>
    <w:rsid w:val="00FA417B"/>
    <w:rsid w:val="00FA47CD"/>
    <w:rsid w:val="00FA4800"/>
    <w:rsid w:val="00FA4F02"/>
    <w:rsid w:val="00FA4FA3"/>
    <w:rsid w:val="00FA51C4"/>
    <w:rsid w:val="00FA52E3"/>
    <w:rsid w:val="00FA5766"/>
    <w:rsid w:val="00FA5790"/>
    <w:rsid w:val="00FA5857"/>
    <w:rsid w:val="00FA5F28"/>
    <w:rsid w:val="00FA619E"/>
    <w:rsid w:val="00FA61BB"/>
    <w:rsid w:val="00FA670F"/>
    <w:rsid w:val="00FA6A0C"/>
    <w:rsid w:val="00FA6D28"/>
    <w:rsid w:val="00FA6E45"/>
    <w:rsid w:val="00FA71DB"/>
    <w:rsid w:val="00FA721F"/>
    <w:rsid w:val="00FA73B7"/>
    <w:rsid w:val="00FA7917"/>
    <w:rsid w:val="00FA7AA2"/>
    <w:rsid w:val="00FA7D7D"/>
    <w:rsid w:val="00FA7FA5"/>
    <w:rsid w:val="00FB0023"/>
    <w:rsid w:val="00FB04BB"/>
    <w:rsid w:val="00FB0808"/>
    <w:rsid w:val="00FB0964"/>
    <w:rsid w:val="00FB0E96"/>
    <w:rsid w:val="00FB107D"/>
    <w:rsid w:val="00FB10C5"/>
    <w:rsid w:val="00FB1394"/>
    <w:rsid w:val="00FB14CD"/>
    <w:rsid w:val="00FB19EB"/>
    <w:rsid w:val="00FB1A72"/>
    <w:rsid w:val="00FB1A7E"/>
    <w:rsid w:val="00FB1C12"/>
    <w:rsid w:val="00FB1DF3"/>
    <w:rsid w:val="00FB1E24"/>
    <w:rsid w:val="00FB1F5F"/>
    <w:rsid w:val="00FB1F8A"/>
    <w:rsid w:val="00FB2141"/>
    <w:rsid w:val="00FB2208"/>
    <w:rsid w:val="00FB2458"/>
    <w:rsid w:val="00FB2A03"/>
    <w:rsid w:val="00FB2E71"/>
    <w:rsid w:val="00FB318B"/>
    <w:rsid w:val="00FB349A"/>
    <w:rsid w:val="00FB3D13"/>
    <w:rsid w:val="00FB3F63"/>
    <w:rsid w:val="00FB40ED"/>
    <w:rsid w:val="00FB44DC"/>
    <w:rsid w:val="00FB44FE"/>
    <w:rsid w:val="00FB4967"/>
    <w:rsid w:val="00FB4AB5"/>
    <w:rsid w:val="00FB4C51"/>
    <w:rsid w:val="00FB4CB0"/>
    <w:rsid w:val="00FB4E25"/>
    <w:rsid w:val="00FB5455"/>
    <w:rsid w:val="00FB56D5"/>
    <w:rsid w:val="00FB5802"/>
    <w:rsid w:val="00FB596B"/>
    <w:rsid w:val="00FB59ED"/>
    <w:rsid w:val="00FB5BA1"/>
    <w:rsid w:val="00FB620D"/>
    <w:rsid w:val="00FB62F1"/>
    <w:rsid w:val="00FB6363"/>
    <w:rsid w:val="00FB63EB"/>
    <w:rsid w:val="00FB6BDC"/>
    <w:rsid w:val="00FB6F67"/>
    <w:rsid w:val="00FB7134"/>
    <w:rsid w:val="00FB71B5"/>
    <w:rsid w:val="00FB71E1"/>
    <w:rsid w:val="00FB71F6"/>
    <w:rsid w:val="00FB73A6"/>
    <w:rsid w:val="00FB73C8"/>
    <w:rsid w:val="00FB7525"/>
    <w:rsid w:val="00FB78E3"/>
    <w:rsid w:val="00FB7961"/>
    <w:rsid w:val="00FB7AF7"/>
    <w:rsid w:val="00FC0160"/>
    <w:rsid w:val="00FC01D1"/>
    <w:rsid w:val="00FC0332"/>
    <w:rsid w:val="00FC07B4"/>
    <w:rsid w:val="00FC0AD7"/>
    <w:rsid w:val="00FC0BA3"/>
    <w:rsid w:val="00FC0BB0"/>
    <w:rsid w:val="00FC0E2B"/>
    <w:rsid w:val="00FC0EF5"/>
    <w:rsid w:val="00FC1032"/>
    <w:rsid w:val="00FC10DE"/>
    <w:rsid w:val="00FC12DF"/>
    <w:rsid w:val="00FC22BB"/>
    <w:rsid w:val="00FC235E"/>
    <w:rsid w:val="00FC2429"/>
    <w:rsid w:val="00FC25F0"/>
    <w:rsid w:val="00FC28A0"/>
    <w:rsid w:val="00FC2C98"/>
    <w:rsid w:val="00FC2CA8"/>
    <w:rsid w:val="00FC2CDE"/>
    <w:rsid w:val="00FC2D5F"/>
    <w:rsid w:val="00FC32A2"/>
    <w:rsid w:val="00FC338D"/>
    <w:rsid w:val="00FC35EF"/>
    <w:rsid w:val="00FC36D3"/>
    <w:rsid w:val="00FC3873"/>
    <w:rsid w:val="00FC3915"/>
    <w:rsid w:val="00FC3994"/>
    <w:rsid w:val="00FC3EDC"/>
    <w:rsid w:val="00FC4169"/>
    <w:rsid w:val="00FC47D3"/>
    <w:rsid w:val="00FC4C44"/>
    <w:rsid w:val="00FC4E65"/>
    <w:rsid w:val="00FC52C5"/>
    <w:rsid w:val="00FC52C9"/>
    <w:rsid w:val="00FC53E7"/>
    <w:rsid w:val="00FC5603"/>
    <w:rsid w:val="00FC56B2"/>
    <w:rsid w:val="00FC5D6F"/>
    <w:rsid w:val="00FC5FCD"/>
    <w:rsid w:val="00FC6358"/>
    <w:rsid w:val="00FC63B9"/>
    <w:rsid w:val="00FC63DB"/>
    <w:rsid w:val="00FC642C"/>
    <w:rsid w:val="00FC655F"/>
    <w:rsid w:val="00FC6A2A"/>
    <w:rsid w:val="00FC743B"/>
    <w:rsid w:val="00FC7883"/>
    <w:rsid w:val="00FC7DCD"/>
    <w:rsid w:val="00FD005C"/>
    <w:rsid w:val="00FD0099"/>
    <w:rsid w:val="00FD02A7"/>
    <w:rsid w:val="00FD065C"/>
    <w:rsid w:val="00FD0B28"/>
    <w:rsid w:val="00FD0B9E"/>
    <w:rsid w:val="00FD0DB5"/>
    <w:rsid w:val="00FD13CB"/>
    <w:rsid w:val="00FD14B4"/>
    <w:rsid w:val="00FD1647"/>
    <w:rsid w:val="00FD17BA"/>
    <w:rsid w:val="00FD193E"/>
    <w:rsid w:val="00FD19DA"/>
    <w:rsid w:val="00FD1A1E"/>
    <w:rsid w:val="00FD1F64"/>
    <w:rsid w:val="00FD20A8"/>
    <w:rsid w:val="00FD20F3"/>
    <w:rsid w:val="00FD23DE"/>
    <w:rsid w:val="00FD2C8D"/>
    <w:rsid w:val="00FD2C9D"/>
    <w:rsid w:val="00FD2E35"/>
    <w:rsid w:val="00FD2F74"/>
    <w:rsid w:val="00FD3023"/>
    <w:rsid w:val="00FD3B94"/>
    <w:rsid w:val="00FD3E5D"/>
    <w:rsid w:val="00FD3FD6"/>
    <w:rsid w:val="00FD40DD"/>
    <w:rsid w:val="00FD4372"/>
    <w:rsid w:val="00FD43B3"/>
    <w:rsid w:val="00FD459A"/>
    <w:rsid w:val="00FD47EF"/>
    <w:rsid w:val="00FD499D"/>
    <w:rsid w:val="00FD4B60"/>
    <w:rsid w:val="00FD4C7A"/>
    <w:rsid w:val="00FD4D78"/>
    <w:rsid w:val="00FD5067"/>
    <w:rsid w:val="00FD52F6"/>
    <w:rsid w:val="00FD53B6"/>
    <w:rsid w:val="00FD55CD"/>
    <w:rsid w:val="00FD5D1E"/>
    <w:rsid w:val="00FD6044"/>
    <w:rsid w:val="00FD627A"/>
    <w:rsid w:val="00FD6295"/>
    <w:rsid w:val="00FD68C2"/>
    <w:rsid w:val="00FD6964"/>
    <w:rsid w:val="00FD6B77"/>
    <w:rsid w:val="00FD6CBC"/>
    <w:rsid w:val="00FD6DC9"/>
    <w:rsid w:val="00FD6DD0"/>
    <w:rsid w:val="00FD6FA5"/>
    <w:rsid w:val="00FD71CD"/>
    <w:rsid w:val="00FD74B2"/>
    <w:rsid w:val="00FD78B4"/>
    <w:rsid w:val="00FD7AA5"/>
    <w:rsid w:val="00FD7B34"/>
    <w:rsid w:val="00FD7E99"/>
    <w:rsid w:val="00FD7FA8"/>
    <w:rsid w:val="00FE02B1"/>
    <w:rsid w:val="00FE02D9"/>
    <w:rsid w:val="00FE09B7"/>
    <w:rsid w:val="00FE09D9"/>
    <w:rsid w:val="00FE0B8E"/>
    <w:rsid w:val="00FE0BE0"/>
    <w:rsid w:val="00FE0BF1"/>
    <w:rsid w:val="00FE0C31"/>
    <w:rsid w:val="00FE0E9A"/>
    <w:rsid w:val="00FE1118"/>
    <w:rsid w:val="00FE13BF"/>
    <w:rsid w:val="00FE1D35"/>
    <w:rsid w:val="00FE26EB"/>
    <w:rsid w:val="00FE286C"/>
    <w:rsid w:val="00FE28AE"/>
    <w:rsid w:val="00FE2DA3"/>
    <w:rsid w:val="00FE2F8E"/>
    <w:rsid w:val="00FE3111"/>
    <w:rsid w:val="00FE3EE1"/>
    <w:rsid w:val="00FE40E5"/>
    <w:rsid w:val="00FE4117"/>
    <w:rsid w:val="00FE42A5"/>
    <w:rsid w:val="00FE4539"/>
    <w:rsid w:val="00FE4739"/>
    <w:rsid w:val="00FE4DA2"/>
    <w:rsid w:val="00FE4DB2"/>
    <w:rsid w:val="00FE4DC1"/>
    <w:rsid w:val="00FE4E85"/>
    <w:rsid w:val="00FE52C7"/>
    <w:rsid w:val="00FE5AD2"/>
    <w:rsid w:val="00FE62E5"/>
    <w:rsid w:val="00FE639B"/>
    <w:rsid w:val="00FE65CB"/>
    <w:rsid w:val="00FE681D"/>
    <w:rsid w:val="00FE685B"/>
    <w:rsid w:val="00FE6E03"/>
    <w:rsid w:val="00FE704E"/>
    <w:rsid w:val="00FE70F1"/>
    <w:rsid w:val="00FE74AB"/>
    <w:rsid w:val="00FE74C8"/>
    <w:rsid w:val="00FE74DF"/>
    <w:rsid w:val="00FE7817"/>
    <w:rsid w:val="00FE7A04"/>
    <w:rsid w:val="00FE7AA0"/>
    <w:rsid w:val="00FE7AF4"/>
    <w:rsid w:val="00FE7E6F"/>
    <w:rsid w:val="00FF0234"/>
    <w:rsid w:val="00FF02A7"/>
    <w:rsid w:val="00FF055F"/>
    <w:rsid w:val="00FF09D7"/>
    <w:rsid w:val="00FF0BF9"/>
    <w:rsid w:val="00FF0C8B"/>
    <w:rsid w:val="00FF0DBD"/>
    <w:rsid w:val="00FF124C"/>
    <w:rsid w:val="00FF186A"/>
    <w:rsid w:val="00FF19A4"/>
    <w:rsid w:val="00FF1E08"/>
    <w:rsid w:val="00FF2100"/>
    <w:rsid w:val="00FF239E"/>
    <w:rsid w:val="00FF2BD3"/>
    <w:rsid w:val="00FF2DC4"/>
    <w:rsid w:val="00FF2EE9"/>
    <w:rsid w:val="00FF3077"/>
    <w:rsid w:val="00FF3588"/>
    <w:rsid w:val="00FF3A07"/>
    <w:rsid w:val="00FF3AD2"/>
    <w:rsid w:val="00FF3AEF"/>
    <w:rsid w:val="00FF3DF5"/>
    <w:rsid w:val="00FF3E2B"/>
    <w:rsid w:val="00FF3FEA"/>
    <w:rsid w:val="00FF401C"/>
    <w:rsid w:val="00FF41F3"/>
    <w:rsid w:val="00FF422B"/>
    <w:rsid w:val="00FF4291"/>
    <w:rsid w:val="00FF4358"/>
    <w:rsid w:val="00FF4B28"/>
    <w:rsid w:val="00FF4C68"/>
    <w:rsid w:val="00FF5127"/>
    <w:rsid w:val="00FF5166"/>
    <w:rsid w:val="00FF5302"/>
    <w:rsid w:val="00FF53F3"/>
    <w:rsid w:val="00FF58A0"/>
    <w:rsid w:val="00FF5A16"/>
    <w:rsid w:val="00FF5CE2"/>
    <w:rsid w:val="00FF5D67"/>
    <w:rsid w:val="00FF5F02"/>
    <w:rsid w:val="00FF6071"/>
    <w:rsid w:val="00FF629B"/>
    <w:rsid w:val="00FF6490"/>
    <w:rsid w:val="00FF653C"/>
    <w:rsid w:val="00FF6555"/>
    <w:rsid w:val="00FF69BF"/>
    <w:rsid w:val="00FF6E35"/>
    <w:rsid w:val="00FF6EC1"/>
    <w:rsid w:val="00FF6F15"/>
    <w:rsid w:val="00FF6F1E"/>
    <w:rsid w:val="00FF77F4"/>
    <w:rsid w:val="00FF79F0"/>
    <w:rsid w:val="00FF7B5A"/>
    <w:rsid w:val="01270DBD"/>
    <w:rsid w:val="0136B4FD"/>
    <w:rsid w:val="013A54E2"/>
    <w:rsid w:val="013BDF01"/>
    <w:rsid w:val="01467D19"/>
    <w:rsid w:val="0161AE8B"/>
    <w:rsid w:val="017EFC18"/>
    <w:rsid w:val="018A0B78"/>
    <w:rsid w:val="01992E1E"/>
    <w:rsid w:val="01B9C157"/>
    <w:rsid w:val="01C245B8"/>
    <w:rsid w:val="01DA5611"/>
    <w:rsid w:val="01E62630"/>
    <w:rsid w:val="01EB9B80"/>
    <w:rsid w:val="01FCFC08"/>
    <w:rsid w:val="0264E78A"/>
    <w:rsid w:val="02701F69"/>
    <w:rsid w:val="02F036DF"/>
    <w:rsid w:val="03518FC1"/>
    <w:rsid w:val="035F3F43"/>
    <w:rsid w:val="0369A3D8"/>
    <w:rsid w:val="037BDA85"/>
    <w:rsid w:val="03967A6C"/>
    <w:rsid w:val="03C045D8"/>
    <w:rsid w:val="03CC0EFC"/>
    <w:rsid w:val="03E5D804"/>
    <w:rsid w:val="04057D0C"/>
    <w:rsid w:val="04511246"/>
    <w:rsid w:val="048D9E67"/>
    <w:rsid w:val="04AF0FAC"/>
    <w:rsid w:val="04AF12D3"/>
    <w:rsid w:val="052774D4"/>
    <w:rsid w:val="052E369D"/>
    <w:rsid w:val="053D9B70"/>
    <w:rsid w:val="054B3476"/>
    <w:rsid w:val="05643FFE"/>
    <w:rsid w:val="056F0140"/>
    <w:rsid w:val="0574D8AC"/>
    <w:rsid w:val="0616F2C9"/>
    <w:rsid w:val="06187D14"/>
    <w:rsid w:val="06698771"/>
    <w:rsid w:val="066D7D7F"/>
    <w:rsid w:val="06A3BB3E"/>
    <w:rsid w:val="06A60B36"/>
    <w:rsid w:val="06ACF401"/>
    <w:rsid w:val="06D139CB"/>
    <w:rsid w:val="0724B14B"/>
    <w:rsid w:val="0742A386"/>
    <w:rsid w:val="0760F3EE"/>
    <w:rsid w:val="0770C2B5"/>
    <w:rsid w:val="07A00683"/>
    <w:rsid w:val="083E5CAF"/>
    <w:rsid w:val="085922D0"/>
    <w:rsid w:val="08663D92"/>
    <w:rsid w:val="08BB5722"/>
    <w:rsid w:val="08C9B936"/>
    <w:rsid w:val="091BDE71"/>
    <w:rsid w:val="0922AAF4"/>
    <w:rsid w:val="09437F1E"/>
    <w:rsid w:val="097B392B"/>
    <w:rsid w:val="09ADD8C4"/>
    <w:rsid w:val="0A21AE63"/>
    <w:rsid w:val="0A4E7B9E"/>
    <w:rsid w:val="0A5BFB92"/>
    <w:rsid w:val="0A5D1DE3"/>
    <w:rsid w:val="0A81D5D7"/>
    <w:rsid w:val="0AAE3BE1"/>
    <w:rsid w:val="0AE358BF"/>
    <w:rsid w:val="0B104111"/>
    <w:rsid w:val="0B44FDF3"/>
    <w:rsid w:val="0B65793E"/>
    <w:rsid w:val="0B674E8D"/>
    <w:rsid w:val="0B67C9EC"/>
    <w:rsid w:val="0B763042"/>
    <w:rsid w:val="0BA3AB7D"/>
    <w:rsid w:val="0BAD717D"/>
    <w:rsid w:val="0BDF3B0E"/>
    <w:rsid w:val="0BF48BB9"/>
    <w:rsid w:val="0C3DE533"/>
    <w:rsid w:val="0C5A1FDD"/>
    <w:rsid w:val="0C744907"/>
    <w:rsid w:val="0CBBE7EF"/>
    <w:rsid w:val="0CDE9350"/>
    <w:rsid w:val="0CFD69CF"/>
    <w:rsid w:val="0D203122"/>
    <w:rsid w:val="0D9CCD22"/>
    <w:rsid w:val="0DB2F2F5"/>
    <w:rsid w:val="0DBA0E11"/>
    <w:rsid w:val="0DC3D9C1"/>
    <w:rsid w:val="0DCD7371"/>
    <w:rsid w:val="0DF61B5B"/>
    <w:rsid w:val="0E48C14C"/>
    <w:rsid w:val="0E8F330E"/>
    <w:rsid w:val="0EF99CAF"/>
    <w:rsid w:val="0EFF2E46"/>
    <w:rsid w:val="0F010A93"/>
    <w:rsid w:val="0F018093"/>
    <w:rsid w:val="0F01C98F"/>
    <w:rsid w:val="0F098F4F"/>
    <w:rsid w:val="0F429F44"/>
    <w:rsid w:val="0F4DA652"/>
    <w:rsid w:val="0F6C1FF1"/>
    <w:rsid w:val="0F6D7F81"/>
    <w:rsid w:val="0F73DF86"/>
    <w:rsid w:val="0F8FC0AD"/>
    <w:rsid w:val="0FA73C0E"/>
    <w:rsid w:val="0FEF00BD"/>
    <w:rsid w:val="0FF7E858"/>
    <w:rsid w:val="101B3828"/>
    <w:rsid w:val="1033C508"/>
    <w:rsid w:val="10549349"/>
    <w:rsid w:val="105B7DC6"/>
    <w:rsid w:val="108F701C"/>
    <w:rsid w:val="10AB0B89"/>
    <w:rsid w:val="10DF06D7"/>
    <w:rsid w:val="10E131A6"/>
    <w:rsid w:val="10E784B7"/>
    <w:rsid w:val="10F8DE59"/>
    <w:rsid w:val="110C13AA"/>
    <w:rsid w:val="11486262"/>
    <w:rsid w:val="1190AD0F"/>
    <w:rsid w:val="11B459C3"/>
    <w:rsid w:val="11F18121"/>
    <w:rsid w:val="122CC431"/>
    <w:rsid w:val="122DA4E8"/>
    <w:rsid w:val="126DFA20"/>
    <w:rsid w:val="12727562"/>
    <w:rsid w:val="1276F3D1"/>
    <w:rsid w:val="127B946A"/>
    <w:rsid w:val="127C0360"/>
    <w:rsid w:val="129C3057"/>
    <w:rsid w:val="12A1FA4B"/>
    <w:rsid w:val="12FC72A9"/>
    <w:rsid w:val="12FDBD0A"/>
    <w:rsid w:val="1317797F"/>
    <w:rsid w:val="135D3A54"/>
    <w:rsid w:val="1435CFA7"/>
    <w:rsid w:val="14550FFB"/>
    <w:rsid w:val="145CC018"/>
    <w:rsid w:val="14614C7C"/>
    <w:rsid w:val="14615F4F"/>
    <w:rsid w:val="1495C870"/>
    <w:rsid w:val="14B79C0B"/>
    <w:rsid w:val="14CFB0A8"/>
    <w:rsid w:val="14F5980D"/>
    <w:rsid w:val="14F60953"/>
    <w:rsid w:val="15090335"/>
    <w:rsid w:val="1550F4D2"/>
    <w:rsid w:val="1583C595"/>
    <w:rsid w:val="15E3037A"/>
    <w:rsid w:val="15FCEA75"/>
    <w:rsid w:val="16016011"/>
    <w:rsid w:val="1613FAA2"/>
    <w:rsid w:val="1689468A"/>
    <w:rsid w:val="16BD3700"/>
    <w:rsid w:val="16C56364"/>
    <w:rsid w:val="16F1EF37"/>
    <w:rsid w:val="170EF295"/>
    <w:rsid w:val="1721AF40"/>
    <w:rsid w:val="1737DAAB"/>
    <w:rsid w:val="17488417"/>
    <w:rsid w:val="17594A70"/>
    <w:rsid w:val="175A33AD"/>
    <w:rsid w:val="178521CE"/>
    <w:rsid w:val="1795A88E"/>
    <w:rsid w:val="17AEB35E"/>
    <w:rsid w:val="180420EB"/>
    <w:rsid w:val="180D12E6"/>
    <w:rsid w:val="18242719"/>
    <w:rsid w:val="182BE3AD"/>
    <w:rsid w:val="18884AEA"/>
    <w:rsid w:val="189E558B"/>
    <w:rsid w:val="1900E2F9"/>
    <w:rsid w:val="196B815C"/>
    <w:rsid w:val="197B8E3E"/>
    <w:rsid w:val="19A78AA0"/>
    <w:rsid w:val="19B97C0E"/>
    <w:rsid w:val="19C7B40E"/>
    <w:rsid w:val="19F34CA4"/>
    <w:rsid w:val="1A40FD92"/>
    <w:rsid w:val="1A6E1521"/>
    <w:rsid w:val="1A73675E"/>
    <w:rsid w:val="1A9B3DA4"/>
    <w:rsid w:val="1AA3A3C6"/>
    <w:rsid w:val="1AB6CAB6"/>
    <w:rsid w:val="1AC7F9B0"/>
    <w:rsid w:val="1B26DFAD"/>
    <w:rsid w:val="1B6474EA"/>
    <w:rsid w:val="1B812D63"/>
    <w:rsid w:val="1B835EC3"/>
    <w:rsid w:val="1BB5CA2E"/>
    <w:rsid w:val="1BD73614"/>
    <w:rsid w:val="1BD957D1"/>
    <w:rsid w:val="1BF3F173"/>
    <w:rsid w:val="1C0BF2EF"/>
    <w:rsid w:val="1C1D242A"/>
    <w:rsid w:val="1C3C6215"/>
    <w:rsid w:val="1C614E7C"/>
    <w:rsid w:val="1C893F6B"/>
    <w:rsid w:val="1D044B7F"/>
    <w:rsid w:val="1D22F3D3"/>
    <w:rsid w:val="1D72EC57"/>
    <w:rsid w:val="1D791D08"/>
    <w:rsid w:val="1D877C46"/>
    <w:rsid w:val="1E129914"/>
    <w:rsid w:val="1E29251C"/>
    <w:rsid w:val="1E4F2512"/>
    <w:rsid w:val="1E673743"/>
    <w:rsid w:val="1E86C035"/>
    <w:rsid w:val="1E941489"/>
    <w:rsid w:val="1EA29EE9"/>
    <w:rsid w:val="1ECA09D8"/>
    <w:rsid w:val="1ED12AF5"/>
    <w:rsid w:val="1ED2B901"/>
    <w:rsid w:val="1ED5A0CE"/>
    <w:rsid w:val="1ED7FCC4"/>
    <w:rsid w:val="1F1847B3"/>
    <w:rsid w:val="1F318682"/>
    <w:rsid w:val="1F3DB16C"/>
    <w:rsid w:val="20243D91"/>
    <w:rsid w:val="202E34D3"/>
    <w:rsid w:val="20371BC4"/>
    <w:rsid w:val="208328D0"/>
    <w:rsid w:val="20FE665B"/>
    <w:rsid w:val="211C3396"/>
    <w:rsid w:val="212227E3"/>
    <w:rsid w:val="212485C3"/>
    <w:rsid w:val="21516D1C"/>
    <w:rsid w:val="21592324"/>
    <w:rsid w:val="215F42F9"/>
    <w:rsid w:val="216996D0"/>
    <w:rsid w:val="2175C067"/>
    <w:rsid w:val="219EF9CC"/>
    <w:rsid w:val="2250A6E0"/>
    <w:rsid w:val="22515B52"/>
    <w:rsid w:val="228AAD72"/>
    <w:rsid w:val="22AC4298"/>
    <w:rsid w:val="22B90B4A"/>
    <w:rsid w:val="22C617A0"/>
    <w:rsid w:val="22CF17E3"/>
    <w:rsid w:val="22DEE6FA"/>
    <w:rsid w:val="22E6561A"/>
    <w:rsid w:val="22F1678F"/>
    <w:rsid w:val="2304A94F"/>
    <w:rsid w:val="235F6CCD"/>
    <w:rsid w:val="2399C713"/>
    <w:rsid w:val="23A95BEA"/>
    <w:rsid w:val="23B0F78A"/>
    <w:rsid w:val="23DE6344"/>
    <w:rsid w:val="247D3173"/>
    <w:rsid w:val="2484C54C"/>
    <w:rsid w:val="249860DC"/>
    <w:rsid w:val="249AAA9D"/>
    <w:rsid w:val="24C4CCAA"/>
    <w:rsid w:val="24C78211"/>
    <w:rsid w:val="24CB187E"/>
    <w:rsid w:val="24CB259E"/>
    <w:rsid w:val="24CD850B"/>
    <w:rsid w:val="24E29337"/>
    <w:rsid w:val="24E6FD65"/>
    <w:rsid w:val="25721A33"/>
    <w:rsid w:val="258C8E3A"/>
    <w:rsid w:val="25AF29B1"/>
    <w:rsid w:val="25C2E5AC"/>
    <w:rsid w:val="25DEE93F"/>
    <w:rsid w:val="25FBD9E9"/>
    <w:rsid w:val="2601F381"/>
    <w:rsid w:val="260EFFD8"/>
    <w:rsid w:val="2642237D"/>
    <w:rsid w:val="268BCECF"/>
    <w:rsid w:val="26B20A6B"/>
    <w:rsid w:val="26B69A52"/>
    <w:rsid w:val="26F526DE"/>
    <w:rsid w:val="2711D293"/>
    <w:rsid w:val="271F67D6"/>
    <w:rsid w:val="27294C89"/>
    <w:rsid w:val="27366524"/>
    <w:rsid w:val="276C2EF7"/>
    <w:rsid w:val="27BDCF71"/>
    <w:rsid w:val="27DC6047"/>
    <w:rsid w:val="2825BD99"/>
    <w:rsid w:val="2839C3C4"/>
    <w:rsid w:val="2841246A"/>
    <w:rsid w:val="28572D38"/>
    <w:rsid w:val="28CADF77"/>
    <w:rsid w:val="292DAB0E"/>
    <w:rsid w:val="298EAF64"/>
    <w:rsid w:val="29AE5B80"/>
    <w:rsid w:val="29AEA758"/>
    <w:rsid w:val="29FB8495"/>
    <w:rsid w:val="2A314717"/>
    <w:rsid w:val="2A60EE5C"/>
    <w:rsid w:val="2A66406D"/>
    <w:rsid w:val="2A758092"/>
    <w:rsid w:val="2A7DEF57"/>
    <w:rsid w:val="2A937B84"/>
    <w:rsid w:val="2A9E0DC1"/>
    <w:rsid w:val="2AA8985D"/>
    <w:rsid w:val="2AC82540"/>
    <w:rsid w:val="2B0CF773"/>
    <w:rsid w:val="2B1C9FCC"/>
    <w:rsid w:val="2B4E258A"/>
    <w:rsid w:val="2B6EEF9B"/>
    <w:rsid w:val="2BA350F2"/>
    <w:rsid w:val="2BA72F07"/>
    <w:rsid w:val="2C31B45D"/>
    <w:rsid w:val="2C38A4C9"/>
    <w:rsid w:val="2C3BC58D"/>
    <w:rsid w:val="2C4F9684"/>
    <w:rsid w:val="2C706F4E"/>
    <w:rsid w:val="2C764F15"/>
    <w:rsid w:val="2C8660B8"/>
    <w:rsid w:val="2C8673CD"/>
    <w:rsid w:val="2C922CB0"/>
    <w:rsid w:val="2CB3500E"/>
    <w:rsid w:val="2CD8B123"/>
    <w:rsid w:val="2CF5542D"/>
    <w:rsid w:val="2CFBA001"/>
    <w:rsid w:val="2CFCA940"/>
    <w:rsid w:val="2D35B144"/>
    <w:rsid w:val="2D4DAD00"/>
    <w:rsid w:val="2D537F1D"/>
    <w:rsid w:val="2D6E9091"/>
    <w:rsid w:val="2DA71F08"/>
    <w:rsid w:val="2DFF6EDB"/>
    <w:rsid w:val="2E0EE8DF"/>
    <w:rsid w:val="2E165166"/>
    <w:rsid w:val="2E8C062E"/>
    <w:rsid w:val="2EA6CBBF"/>
    <w:rsid w:val="2EBA2474"/>
    <w:rsid w:val="2EC07D68"/>
    <w:rsid w:val="2EE460FC"/>
    <w:rsid w:val="2F4394B9"/>
    <w:rsid w:val="2FAD2B4A"/>
    <w:rsid w:val="2FCBC429"/>
    <w:rsid w:val="30071796"/>
    <w:rsid w:val="303539FC"/>
    <w:rsid w:val="305C4DC9"/>
    <w:rsid w:val="30611634"/>
    <w:rsid w:val="30747B94"/>
    <w:rsid w:val="3077B30D"/>
    <w:rsid w:val="3081DAA1"/>
    <w:rsid w:val="30A191A2"/>
    <w:rsid w:val="30A8C204"/>
    <w:rsid w:val="30B6AFFC"/>
    <w:rsid w:val="30BEF509"/>
    <w:rsid w:val="30C5C67D"/>
    <w:rsid w:val="310F7C10"/>
    <w:rsid w:val="3113A058"/>
    <w:rsid w:val="31271C7A"/>
    <w:rsid w:val="3134A63C"/>
    <w:rsid w:val="31455CE6"/>
    <w:rsid w:val="314810F9"/>
    <w:rsid w:val="314BC9AA"/>
    <w:rsid w:val="315A17C1"/>
    <w:rsid w:val="31613EA9"/>
    <w:rsid w:val="316C48B8"/>
    <w:rsid w:val="316E77EF"/>
    <w:rsid w:val="317C467D"/>
    <w:rsid w:val="3194B035"/>
    <w:rsid w:val="31B329C3"/>
    <w:rsid w:val="31D8465E"/>
    <w:rsid w:val="31E4563A"/>
    <w:rsid w:val="31FD3F12"/>
    <w:rsid w:val="3207F83B"/>
    <w:rsid w:val="3279AF43"/>
    <w:rsid w:val="327B1D29"/>
    <w:rsid w:val="32C173A1"/>
    <w:rsid w:val="32F0B4A3"/>
    <w:rsid w:val="330A5ABC"/>
    <w:rsid w:val="33530902"/>
    <w:rsid w:val="337D1968"/>
    <w:rsid w:val="3396F960"/>
    <w:rsid w:val="339A6FB8"/>
    <w:rsid w:val="33AB1317"/>
    <w:rsid w:val="33AF148C"/>
    <w:rsid w:val="33B26E2A"/>
    <w:rsid w:val="34035480"/>
    <w:rsid w:val="344853AB"/>
    <w:rsid w:val="34487173"/>
    <w:rsid w:val="34508D78"/>
    <w:rsid w:val="34605F4D"/>
    <w:rsid w:val="3460F6C5"/>
    <w:rsid w:val="346D1CC8"/>
    <w:rsid w:val="34AC6AFF"/>
    <w:rsid w:val="34D8D996"/>
    <w:rsid w:val="3530FC08"/>
    <w:rsid w:val="3554DE0F"/>
    <w:rsid w:val="355529F2"/>
    <w:rsid w:val="35617935"/>
    <w:rsid w:val="35BE0F0D"/>
    <w:rsid w:val="35CE15C6"/>
    <w:rsid w:val="35EE6501"/>
    <w:rsid w:val="35EE8C3F"/>
    <w:rsid w:val="3603F4FB"/>
    <w:rsid w:val="36A06468"/>
    <w:rsid w:val="3734766F"/>
    <w:rsid w:val="3736A17E"/>
    <w:rsid w:val="374A2C96"/>
    <w:rsid w:val="374B59FE"/>
    <w:rsid w:val="374DB023"/>
    <w:rsid w:val="379E71B6"/>
    <w:rsid w:val="37ADF2C4"/>
    <w:rsid w:val="3806F00E"/>
    <w:rsid w:val="3809796A"/>
    <w:rsid w:val="38235449"/>
    <w:rsid w:val="38285F94"/>
    <w:rsid w:val="382B53B8"/>
    <w:rsid w:val="38B4E698"/>
    <w:rsid w:val="38B93DDE"/>
    <w:rsid w:val="3905E33C"/>
    <w:rsid w:val="392344C9"/>
    <w:rsid w:val="39351718"/>
    <w:rsid w:val="3953D6A0"/>
    <w:rsid w:val="395AF258"/>
    <w:rsid w:val="3983E4E4"/>
    <w:rsid w:val="39936435"/>
    <w:rsid w:val="39D7ABA3"/>
    <w:rsid w:val="39E2A8E1"/>
    <w:rsid w:val="39E52AF4"/>
    <w:rsid w:val="39F421D4"/>
    <w:rsid w:val="3A1F19F8"/>
    <w:rsid w:val="3A2C8E35"/>
    <w:rsid w:val="3A4BCE2D"/>
    <w:rsid w:val="3A559897"/>
    <w:rsid w:val="3A6A7E81"/>
    <w:rsid w:val="3A98A529"/>
    <w:rsid w:val="3A98C91E"/>
    <w:rsid w:val="3ADE31D4"/>
    <w:rsid w:val="3B087A88"/>
    <w:rsid w:val="3B0E6F6C"/>
    <w:rsid w:val="3B12F5AF"/>
    <w:rsid w:val="3B1F5265"/>
    <w:rsid w:val="3B29A768"/>
    <w:rsid w:val="3B30E369"/>
    <w:rsid w:val="3B454744"/>
    <w:rsid w:val="3BA55BEC"/>
    <w:rsid w:val="3BAF94A1"/>
    <w:rsid w:val="3BBBC1C2"/>
    <w:rsid w:val="3BC5D719"/>
    <w:rsid w:val="3C4A6EAC"/>
    <w:rsid w:val="3C51B240"/>
    <w:rsid w:val="3CB9725C"/>
    <w:rsid w:val="3CCE3935"/>
    <w:rsid w:val="3D32BFA1"/>
    <w:rsid w:val="3D54E7C8"/>
    <w:rsid w:val="3D607940"/>
    <w:rsid w:val="3DA8CADB"/>
    <w:rsid w:val="3DB724F7"/>
    <w:rsid w:val="3DC33944"/>
    <w:rsid w:val="3DE8D514"/>
    <w:rsid w:val="3DEBE48A"/>
    <w:rsid w:val="3DEF966B"/>
    <w:rsid w:val="3DF560CA"/>
    <w:rsid w:val="3E21FD87"/>
    <w:rsid w:val="3E555F90"/>
    <w:rsid w:val="3E611559"/>
    <w:rsid w:val="3EC40722"/>
    <w:rsid w:val="3EF2F6CA"/>
    <w:rsid w:val="3F151D91"/>
    <w:rsid w:val="3F3BEF4B"/>
    <w:rsid w:val="3F862154"/>
    <w:rsid w:val="3FBEDAAC"/>
    <w:rsid w:val="3FD8F91B"/>
    <w:rsid w:val="3FFE603F"/>
    <w:rsid w:val="4000CAA1"/>
    <w:rsid w:val="400CBFCB"/>
    <w:rsid w:val="400EEB2B"/>
    <w:rsid w:val="40144980"/>
    <w:rsid w:val="40164D0D"/>
    <w:rsid w:val="401F0CD6"/>
    <w:rsid w:val="40283FCC"/>
    <w:rsid w:val="403CBCF5"/>
    <w:rsid w:val="40871101"/>
    <w:rsid w:val="40B37342"/>
    <w:rsid w:val="40D49A1F"/>
    <w:rsid w:val="40FDCD36"/>
    <w:rsid w:val="411DD72B"/>
    <w:rsid w:val="412073BE"/>
    <w:rsid w:val="4127A4B7"/>
    <w:rsid w:val="418964F8"/>
    <w:rsid w:val="41A33989"/>
    <w:rsid w:val="41E4131E"/>
    <w:rsid w:val="41E81D7D"/>
    <w:rsid w:val="41ECEFA3"/>
    <w:rsid w:val="41F92FAB"/>
    <w:rsid w:val="41FF3D7D"/>
    <w:rsid w:val="42327E0A"/>
    <w:rsid w:val="423352EB"/>
    <w:rsid w:val="4252181F"/>
    <w:rsid w:val="42954C8A"/>
    <w:rsid w:val="42E1D5F3"/>
    <w:rsid w:val="430FAEE6"/>
    <w:rsid w:val="433DBBB6"/>
    <w:rsid w:val="4345A6AD"/>
    <w:rsid w:val="43A28031"/>
    <w:rsid w:val="43DF1B65"/>
    <w:rsid w:val="43EF3082"/>
    <w:rsid w:val="440D66E1"/>
    <w:rsid w:val="443FD2A2"/>
    <w:rsid w:val="44418A90"/>
    <w:rsid w:val="444214FD"/>
    <w:rsid w:val="446EACB7"/>
    <w:rsid w:val="44B09C55"/>
    <w:rsid w:val="4561D9BF"/>
    <w:rsid w:val="4566DD91"/>
    <w:rsid w:val="45920313"/>
    <w:rsid w:val="459A04D3"/>
    <w:rsid w:val="46152AD5"/>
    <w:rsid w:val="461F4E5C"/>
    <w:rsid w:val="4699FC6A"/>
    <w:rsid w:val="46C86710"/>
    <w:rsid w:val="46CA468A"/>
    <w:rsid w:val="46DD8437"/>
    <w:rsid w:val="47176C19"/>
    <w:rsid w:val="473A4A85"/>
    <w:rsid w:val="47411388"/>
    <w:rsid w:val="47775946"/>
    <w:rsid w:val="47D25069"/>
    <w:rsid w:val="4821B774"/>
    <w:rsid w:val="48673FDE"/>
    <w:rsid w:val="48A73C5C"/>
    <w:rsid w:val="48D20B7C"/>
    <w:rsid w:val="48EC3272"/>
    <w:rsid w:val="48FBD356"/>
    <w:rsid w:val="490EE1D9"/>
    <w:rsid w:val="496E8E97"/>
    <w:rsid w:val="49756A80"/>
    <w:rsid w:val="49A58CD7"/>
    <w:rsid w:val="49C4FE5B"/>
    <w:rsid w:val="49F819CD"/>
    <w:rsid w:val="4A948321"/>
    <w:rsid w:val="4AAF37AF"/>
    <w:rsid w:val="4AD4C72D"/>
    <w:rsid w:val="4AD63F87"/>
    <w:rsid w:val="4ADCCD77"/>
    <w:rsid w:val="4AF36523"/>
    <w:rsid w:val="4AFB38EA"/>
    <w:rsid w:val="4B549CC5"/>
    <w:rsid w:val="4B803FE9"/>
    <w:rsid w:val="4B93215F"/>
    <w:rsid w:val="4B9B1EA2"/>
    <w:rsid w:val="4BAD37AF"/>
    <w:rsid w:val="4BCB3595"/>
    <w:rsid w:val="4BF6E64D"/>
    <w:rsid w:val="4C065062"/>
    <w:rsid w:val="4C0D934C"/>
    <w:rsid w:val="4C4663B9"/>
    <w:rsid w:val="4CD54D37"/>
    <w:rsid w:val="4CE62F46"/>
    <w:rsid w:val="4CEC25E0"/>
    <w:rsid w:val="4CFAC2D5"/>
    <w:rsid w:val="4D17A4F7"/>
    <w:rsid w:val="4D2C48FE"/>
    <w:rsid w:val="4D2C826C"/>
    <w:rsid w:val="4D4FCA42"/>
    <w:rsid w:val="4D92516F"/>
    <w:rsid w:val="4DF9CC0A"/>
    <w:rsid w:val="4E138B2C"/>
    <w:rsid w:val="4E1B834A"/>
    <w:rsid w:val="4E2AD40F"/>
    <w:rsid w:val="4E43D5E4"/>
    <w:rsid w:val="4E674744"/>
    <w:rsid w:val="4EF31358"/>
    <w:rsid w:val="4F0B19E5"/>
    <w:rsid w:val="4F234A6A"/>
    <w:rsid w:val="4F27D8AF"/>
    <w:rsid w:val="4F565FC3"/>
    <w:rsid w:val="4F730260"/>
    <w:rsid w:val="4F7DFD81"/>
    <w:rsid w:val="4F880675"/>
    <w:rsid w:val="4F8BAC57"/>
    <w:rsid w:val="4FE5FD1B"/>
    <w:rsid w:val="4FF7D15C"/>
    <w:rsid w:val="50365413"/>
    <w:rsid w:val="50403D9B"/>
    <w:rsid w:val="50873497"/>
    <w:rsid w:val="50BACC0A"/>
    <w:rsid w:val="50CA734A"/>
    <w:rsid w:val="51044390"/>
    <w:rsid w:val="510FCEE0"/>
    <w:rsid w:val="517B5DBE"/>
    <w:rsid w:val="517DD99A"/>
    <w:rsid w:val="519D3437"/>
    <w:rsid w:val="51BBCD3F"/>
    <w:rsid w:val="52279A0C"/>
    <w:rsid w:val="522DBBC7"/>
    <w:rsid w:val="522E57A7"/>
    <w:rsid w:val="5282881B"/>
    <w:rsid w:val="52AB60CC"/>
    <w:rsid w:val="52AD70CB"/>
    <w:rsid w:val="53055BD0"/>
    <w:rsid w:val="5335846D"/>
    <w:rsid w:val="53376D10"/>
    <w:rsid w:val="53426634"/>
    <w:rsid w:val="537F6F9D"/>
    <w:rsid w:val="5384A905"/>
    <w:rsid w:val="5394FE0A"/>
    <w:rsid w:val="53F72383"/>
    <w:rsid w:val="541AFFE2"/>
    <w:rsid w:val="545E8602"/>
    <w:rsid w:val="54E5BE79"/>
    <w:rsid w:val="550EBC53"/>
    <w:rsid w:val="55769CC3"/>
    <w:rsid w:val="5585554F"/>
    <w:rsid w:val="5596C130"/>
    <w:rsid w:val="55BABC49"/>
    <w:rsid w:val="55F04531"/>
    <w:rsid w:val="5607DFB4"/>
    <w:rsid w:val="5623AE03"/>
    <w:rsid w:val="56AD6910"/>
    <w:rsid w:val="56CFF8CB"/>
    <w:rsid w:val="56FA799A"/>
    <w:rsid w:val="570AE2B8"/>
    <w:rsid w:val="571C12F7"/>
    <w:rsid w:val="572BED08"/>
    <w:rsid w:val="572CCB62"/>
    <w:rsid w:val="574EC77E"/>
    <w:rsid w:val="5751C74D"/>
    <w:rsid w:val="577A89C4"/>
    <w:rsid w:val="5783D5C1"/>
    <w:rsid w:val="579E6567"/>
    <w:rsid w:val="57C792FF"/>
    <w:rsid w:val="5830F172"/>
    <w:rsid w:val="58599CCE"/>
    <w:rsid w:val="58774979"/>
    <w:rsid w:val="5899EFA1"/>
    <w:rsid w:val="589EFAEC"/>
    <w:rsid w:val="58BE150E"/>
    <w:rsid w:val="58BE87E1"/>
    <w:rsid w:val="58D40D6F"/>
    <w:rsid w:val="58F6D254"/>
    <w:rsid w:val="5916941F"/>
    <w:rsid w:val="5918F0B2"/>
    <w:rsid w:val="59201943"/>
    <w:rsid w:val="592631E7"/>
    <w:rsid w:val="592760D7"/>
    <w:rsid w:val="593F8182"/>
    <w:rsid w:val="5946C964"/>
    <w:rsid w:val="5947DA84"/>
    <w:rsid w:val="5954CC24"/>
    <w:rsid w:val="59847765"/>
    <w:rsid w:val="59941185"/>
    <w:rsid w:val="5A235C38"/>
    <w:rsid w:val="5A25463F"/>
    <w:rsid w:val="5A3474CE"/>
    <w:rsid w:val="5A42AAB8"/>
    <w:rsid w:val="5A4D100B"/>
    <w:rsid w:val="5A598EF4"/>
    <w:rsid w:val="5AA70623"/>
    <w:rsid w:val="5AE50CA6"/>
    <w:rsid w:val="5AF76B09"/>
    <w:rsid w:val="5B0F6F0E"/>
    <w:rsid w:val="5B0FDC99"/>
    <w:rsid w:val="5B1FD8E1"/>
    <w:rsid w:val="5BAB4AA0"/>
    <w:rsid w:val="5BC6C19D"/>
    <w:rsid w:val="5BE3BEDC"/>
    <w:rsid w:val="5C02C6E9"/>
    <w:rsid w:val="5C0B3B32"/>
    <w:rsid w:val="5C86BB58"/>
    <w:rsid w:val="5CCB5AC0"/>
    <w:rsid w:val="5CE6E449"/>
    <w:rsid w:val="5D0DC0FE"/>
    <w:rsid w:val="5D538DDA"/>
    <w:rsid w:val="5D703A7E"/>
    <w:rsid w:val="5DBD0AE2"/>
    <w:rsid w:val="5DBDEEC3"/>
    <w:rsid w:val="5E415C80"/>
    <w:rsid w:val="5E5B623B"/>
    <w:rsid w:val="5E6E8CD3"/>
    <w:rsid w:val="5E9758AD"/>
    <w:rsid w:val="5EAA1624"/>
    <w:rsid w:val="5EBCA859"/>
    <w:rsid w:val="5EC527FD"/>
    <w:rsid w:val="5EC80971"/>
    <w:rsid w:val="5ED92B36"/>
    <w:rsid w:val="5EDFD00D"/>
    <w:rsid w:val="5EF64303"/>
    <w:rsid w:val="5EFF6A6B"/>
    <w:rsid w:val="5F02DE2E"/>
    <w:rsid w:val="5F275A8D"/>
    <w:rsid w:val="5F620336"/>
    <w:rsid w:val="5F68CC64"/>
    <w:rsid w:val="5FA76BEC"/>
    <w:rsid w:val="5FABBD0F"/>
    <w:rsid w:val="5FB07B42"/>
    <w:rsid w:val="5FF34722"/>
    <w:rsid w:val="5FF35442"/>
    <w:rsid w:val="601354F6"/>
    <w:rsid w:val="60249AC2"/>
    <w:rsid w:val="6028C8A7"/>
    <w:rsid w:val="6045B619"/>
    <w:rsid w:val="605A760C"/>
    <w:rsid w:val="6064D5F1"/>
    <w:rsid w:val="60BB8904"/>
    <w:rsid w:val="60D1547B"/>
    <w:rsid w:val="61626900"/>
    <w:rsid w:val="61BAF335"/>
    <w:rsid w:val="61F9302E"/>
    <w:rsid w:val="621C68FD"/>
    <w:rsid w:val="62B08834"/>
    <w:rsid w:val="62C37016"/>
    <w:rsid w:val="62C9322B"/>
    <w:rsid w:val="62DECDB8"/>
    <w:rsid w:val="62ECEB48"/>
    <w:rsid w:val="63381832"/>
    <w:rsid w:val="63412581"/>
    <w:rsid w:val="636434FE"/>
    <w:rsid w:val="63669DA7"/>
    <w:rsid w:val="638A5881"/>
    <w:rsid w:val="63A20C5E"/>
    <w:rsid w:val="63DB8427"/>
    <w:rsid w:val="63E30516"/>
    <w:rsid w:val="64016D59"/>
    <w:rsid w:val="64191534"/>
    <w:rsid w:val="642B306F"/>
    <w:rsid w:val="644E6CFA"/>
    <w:rsid w:val="644FFF13"/>
    <w:rsid w:val="645BE711"/>
    <w:rsid w:val="646FBCCB"/>
    <w:rsid w:val="65017F04"/>
    <w:rsid w:val="6528143E"/>
    <w:rsid w:val="655EABEA"/>
    <w:rsid w:val="65742FA8"/>
    <w:rsid w:val="658E6F2C"/>
    <w:rsid w:val="65AB5163"/>
    <w:rsid w:val="66039CA8"/>
    <w:rsid w:val="664B33D1"/>
    <w:rsid w:val="665FA06E"/>
    <w:rsid w:val="66ADA5B8"/>
    <w:rsid w:val="66FC7402"/>
    <w:rsid w:val="67090D15"/>
    <w:rsid w:val="67112CE0"/>
    <w:rsid w:val="674FB589"/>
    <w:rsid w:val="678B4627"/>
    <w:rsid w:val="678CB02B"/>
    <w:rsid w:val="67AA7BF8"/>
    <w:rsid w:val="67BF30B4"/>
    <w:rsid w:val="67EC275E"/>
    <w:rsid w:val="6803C074"/>
    <w:rsid w:val="68875381"/>
    <w:rsid w:val="68B49A28"/>
    <w:rsid w:val="68CDA27B"/>
    <w:rsid w:val="68DFB5FD"/>
    <w:rsid w:val="68EA6E65"/>
    <w:rsid w:val="68F531A2"/>
    <w:rsid w:val="690A231E"/>
    <w:rsid w:val="691201F2"/>
    <w:rsid w:val="695B725B"/>
    <w:rsid w:val="69ABD6ED"/>
    <w:rsid w:val="69AF6AE6"/>
    <w:rsid w:val="69B003EB"/>
    <w:rsid w:val="69D6E056"/>
    <w:rsid w:val="69D89492"/>
    <w:rsid w:val="6A2E0F64"/>
    <w:rsid w:val="6A513C06"/>
    <w:rsid w:val="6A6F7C2A"/>
    <w:rsid w:val="6AE27DC2"/>
    <w:rsid w:val="6B28B5EA"/>
    <w:rsid w:val="6B4B934A"/>
    <w:rsid w:val="6B5B96A5"/>
    <w:rsid w:val="6B68D1C5"/>
    <w:rsid w:val="6B89A629"/>
    <w:rsid w:val="6B9878D0"/>
    <w:rsid w:val="6BE61B0A"/>
    <w:rsid w:val="6BF27E7D"/>
    <w:rsid w:val="6C3A43FF"/>
    <w:rsid w:val="6C4FFBA8"/>
    <w:rsid w:val="6C5135E3"/>
    <w:rsid w:val="6C67365F"/>
    <w:rsid w:val="6C6A5FA4"/>
    <w:rsid w:val="6C8AC0F0"/>
    <w:rsid w:val="6C8E3F4C"/>
    <w:rsid w:val="6CBDF7CD"/>
    <w:rsid w:val="6CDF9715"/>
    <w:rsid w:val="6CF51593"/>
    <w:rsid w:val="6D0CB1EA"/>
    <w:rsid w:val="6D1ABC2D"/>
    <w:rsid w:val="6D380021"/>
    <w:rsid w:val="6D52B551"/>
    <w:rsid w:val="6D8E8FCA"/>
    <w:rsid w:val="6D93B0ED"/>
    <w:rsid w:val="6DC9AC95"/>
    <w:rsid w:val="6DD3BF8C"/>
    <w:rsid w:val="6DE95517"/>
    <w:rsid w:val="6E3FDED6"/>
    <w:rsid w:val="6E578A61"/>
    <w:rsid w:val="6E61FB7F"/>
    <w:rsid w:val="6E67D241"/>
    <w:rsid w:val="6E7BAE34"/>
    <w:rsid w:val="6ECF3637"/>
    <w:rsid w:val="6ED71BA9"/>
    <w:rsid w:val="6F22D847"/>
    <w:rsid w:val="6F237E39"/>
    <w:rsid w:val="6F5D5F10"/>
    <w:rsid w:val="6F73570B"/>
    <w:rsid w:val="6F847616"/>
    <w:rsid w:val="7026B407"/>
    <w:rsid w:val="702EF94E"/>
    <w:rsid w:val="70333F49"/>
    <w:rsid w:val="706AA1F1"/>
    <w:rsid w:val="707AE5D3"/>
    <w:rsid w:val="709122B6"/>
    <w:rsid w:val="70CB7668"/>
    <w:rsid w:val="712D2B09"/>
    <w:rsid w:val="714A1FF0"/>
    <w:rsid w:val="7159EFB7"/>
    <w:rsid w:val="716945AB"/>
    <w:rsid w:val="71B08D00"/>
    <w:rsid w:val="71B99FD5"/>
    <w:rsid w:val="71BB15D0"/>
    <w:rsid w:val="71C9B1B8"/>
    <w:rsid w:val="72078596"/>
    <w:rsid w:val="7252F67B"/>
    <w:rsid w:val="72656966"/>
    <w:rsid w:val="728F0BA8"/>
    <w:rsid w:val="72B73731"/>
    <w:rsid w:val="72BF241A"/>
    <w:rsid w:val="72C8FB6A"/>
    <w:rsid w:val="72FE39A4"/>
    <w:rsid w:val="732B754C"/>
    <w:rsid w:val="7356746A"/>
    <w:rsid w:val="738179AE"/>
    <w:rsid w:val="73894D27"/>
    <w:rsid w:val="73ADCA88"/>
    <w:rsid w:val="73BB7D88"/>
    <w:rsid w:val="73DBE176"/>
    <w:rsid w:val="73EF14D1"/>
    <w:rsid w:val="741DC48A"/>
    <w:rsid w:val="742BF21C"/>
    <w:rsid w:val="743B668B"/>
    <w:rsid w:val="749B6AF0"/>
    <w:rsid w:val="74DF3680"/>
    <w:rsid w:val="74E22579"/>
    <w:rsid w:val="74E292DB"/>
    <w:rsid w:val="752E8CB0"/>
    <w:rsid w:val="754CB291"/>
    <w:rsid w:val="755FA0B3"/>
    <w:rsid w:val="75748387"/>
    <w:rsid w:val="75C2958F"/>
    <w:rsid w:val="75C6C65E"/>
    <w:rsid w:val="75C8A433"/>
    <w:rsid w:val="76246CEB"/>
    <w:rsid w:val="76583998"/>
    <w:rsid w:val="766F2B53"/>
    <w:rsid w:val="766F6B44"/>
    <w:rsid w:val="769D4AFC"/>
    <w:rsid w:val="76E22776"/>
    <w:rsid w:val="771305DA"/>
    <w:rsid w:val="77297A77"/>
    <w:rsid w:val="7732E033"/>
    <w:rsid w:val="773DC825"/>
    <w:rsid w:val="7754C0FE"/>
    <w:rsid w:val="776024C2"/>
    <w:rsid w:val="7783326B"/>
    <w:rsid w:val="77B681E0"/>
    <w:rsid w:val="77CDC9F1"/>
    <w:rsid w:val="785FA576"/>
    <w:rsid w:val="787CAD59"/>
    <w:rsid w:val="788B8234"/>
    <w:rsid w:val="788C8CCD"/>
    <w:rsid w:val="78C443B1"/>
    <w:rsid w:val="78D199E7"/>
    <w:rsid w:val="792492EF"/>
    <w:rsid w:val="793C6B1B"/>
    <w:rsid w:val="79566EAD"/>
    <w:rsid w:val="7966CD54"/>
    <w:rsid w:val="799DBDBA"/>
    <w:rsid w:val="79C40945"/>
    <w:rsid w:val="79C68037"/>
    <w:rsid w:val="7A0FD7DC"/>
    <w:rsid w:val="7A193EEC"/>
    <w:rsid w:val="7A45F0D9"/>
    <w:rsid w:val="7A63DE93"/>
    <w:rsid w:val="7AA249BD"/>
    <w:rsid w:val="7AAE232E"/>
    <w:rsid w:val="7AB7A0DB"/>
    <w:rsid w:val="7AEBE058"/>
    <w:rsid w:val="7B0C6A67"/>
    <w:rsid w:val="7B0F79BA"/>
    <w:rsid w:val="7BC11E19"/>
    <w:rsid w:val="7BC15C8E"/>
    <w:rsid w:val="7C1C3AED"/>
    <w:rsid w:val="7C2D4E86"/>
    <w:rsid w:val="7C53C2CB"/>
    <w:rsid w:val="7C6629DD"/>
    <w:rsid w:val="7D04C9F2"/>
    <w:rsid w:val="7D245C4C"/>
    <w:rsid w:val="7D6A6555"/>
    <w:rsid w:val="7D70ACE2"/>
    <w:rsid w:val="7D71E637"/>
    <w:rsid w:val="7DC4C45A"/>
    <w:rsid w:val="7DC52E3C"/>
    <w:rsid w:val="7E166803"/>
    <w:rsid w:val="7E1F91AA"/>
    <w:rsid w:val="7E3A9C63"/>
    <w:rsid w:val="7E433797"/>
    <w:rsid w:val="7E45B8BE"/>
    <w:rsid w:val="7E4D9EAF"/>
    <w:rsid w:val="7EDC4BA6"/>
    <w:rsid w:val="7F09950B"/>
    <w:rsid w:val="7F39048E"/>
    <w:rsid w:val="7F54E4EE"/>
    <w:rsid w:val="7F637A61"/>
    <w:rsid w:val="7F7E58FA"/>
    <w:rsid w:val="7FB09044"/>
    <w:rsid w:val="7FBB35BC"/>
    <w:rsid w:val="7FE025A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semiHidden/>
    <w:unhideWhenUsed/>
    <w:qFormat/>
    <w:rsid w:val="00E9208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10 p"/>
    <w:basedOn w:val="Normal"/>
    <w:next w:val="Normal"/>
    <w:link w:val="CaptionChar"/>
    <w:qFormat/>
    <w:rsid w:val="00735EA3"/>
    <w:pPr>
      <w:keepNext/>
      <w:spacing w:before="360" w:after="120" w:line="240" w:lineRule="auto"/>
      <w:outlineLvl w:val="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Bold" w:hAnsi="Bahnschrift SemiBold"/>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10 p Char"/>
    <w:basedOn w:val="DefaultParagraphFont"/>
    <w:link w:val="Caption"/>
    <w:rsid w:val="00735EA3"/>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Book" w:hAnsi="Franklin Gothic Book"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Book" w:hAnsi="Franklin Gothic Book"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Book" w:hAnsi="Franklin Gothic Book"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table" w:customStyle="1" w:styleId="TableGrid3">
    <w:name w:val="Table Grid3"/>
    <w:basedOn w:val="TableNormal"/>
    <w:next w:val="TableGrid"/>
    <w:uiPriority w:val="59"/>
    <w:rsid w:val="00FD2C8D"/>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6A8"/>
    <w:pPr>
      <w:spacing w:after="0" w:line="240" w:lineRule="auto"/>
    </w:pPr>
    <w:rPr>
      <w:rFonts w:ascii="Franklin Gothic Book" w:hAnsi="Franklin Gothic Book"/>
    </w:rPr>
  </w:style>
  <w:style w:type="table" w:customStyle="1" w:styleId="HealthConsult1">
    <w:name w:val="HealthConsult1"/>
    <w:basedOn w:val="TableNormal"/>
    <w:next w:val="TableGrid"/>
    <w:uiPriority w:val="59"/>
    <w:rsid w:val="001B0364"/>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59"/>
    <w:rsid w:val="00F105D3"/>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ext">
    <w:name w:val="ES text"/>
    <w:basedOn w:val="Normal"/>
    <w:link w:val="EStextChar"/>
    <w:qFormat/>
    <w:rsid w:val="00215E15"/>
    <w:pPr>
      <w:spacing w:after="120" w:line="60" w:lineRule="atLeast"/>
    </w:pPr>
  </w:style>
  <w:style w:type="character" w:customStyle="1" w:styleId="EStextChar">
    <w:name w:val="ES text Char"/>
    <w:basedOn w:val="DefaultParagraphFont"/>
    <w:link w:val="EStext"/>
    <w:rsid w:val="00215E15"/>
    <w:rPr>
      <w:rFonts w:ascii="Franklin Gothic Book" w:hAnsi="Franklin Gothic Book"/>
    </w:rPr>
  </w:style>
  <w:style w:type="character" w:customStyle="1" w:styleId="Heading5Char">
    <w:name w:val="Heading 5 Char"/>
    <w:basedOn w:val="DefaultParagraphFont"/>
    <w:link w:val="Heading5"/>
    <w:uiPriority w:val="9"/>
    <w:semiHidden/>
    <w:rsid w:val="00E9208F"/>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unhideWhenUsed/>
    <w:rsid w:val="002F6326"/>
    <w:rPr>
      <w:color w:val="605E5C"/>
      <w:shd w:val="clear" w:color="auto" w:fill="E1DFDD"/>
    </w:rPr>
  </w:style>
  <w:style w:type="table" w:customStyle="1" w:styleId="TableGrid11">
    <w:name w:val="Table Grid11"/>
    <w:basedOn w:val="TableNormal"/>
    <w:next w:val="TableGrid"/>
    <w:locked/>
    <w:rsid w:val="005E296E"/>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Bold" w:hAnsi="Bahnschrift SemiBold"/>
        <w:b w:val="0"/>
        <w:sz w:val="20"/>
      </w:rPr>
    </w:tblStylePr>
  </w:style>
  <w:style w:type="table" w:customStyle="1" w:styleId="PBACTableStyle1">
    <w:name w:val="PBAC Table Style1"/>
    <w:basedOn w:val="TableGrid10"/>
    <w:uiPriority w:val="99"/>
    <w:rsid w:val="005E296E"/>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Book" w:hAnsi="Franklin Gothic Book"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Book" w:hAnsi="Franklin Gothic Book"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Book" w:hAnsi="Franklin Gothic Book"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TableNote">
    <w:name w:val="Table Note"/>
    <w:basedOn w:val="Normal"/>
    <w:qFormat/>
    <w:rsid w:val="009B607B"/>
    <w:pPr>
      <w:keepNext/>
      <w:keepLines/>
      <w:spacing w:before="0" w:after="0" w:line="240" w:lineRule="auto"/>
    </w:pPr>
    <w:rPr>
      <w:rFonts w:ascii="Arial Narrow" w:eastAsia="Calibri" w:hAnsi="Arial Narrow" w:cs="Arial"/>
      <w:sz w:val="18"/>
      <w:szCs w:val="16"/>
    </w:rPr>
  </w:style>
  <w:style w:type="table" w:customStyle="1" w:styleId="TableGrid111">
    <w:name w:val="Table Grid111"/>
    <w:basedOn w:val="TableNormal"/>
    <w:next w:val="TableGrid"/>
    <w:locked/>
    <w:rsid w:val="005E296E"/>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Bold" w:hAnsi="Bahnschrift SemiBold"/>
        <w:b w:val="0"/>
        <w:sz w:val="20"/>
      </w:rPr>
    </w:tblStylePr>
  </w:style>
  <w:style w:type="character" w:styleId="Mention">
    <w:name w:val="Mention"/>
    <w:basedOn w:val="DefaultParagraphFont"/>
    <w:uiPriority w:val="99"/>
    <w:unhideWhenUsed/>
    <w:rsid w:val="0008730B"/>
    <w:rPr>
      <w:color w:val="2B579A"/>
      <w:shd w:val="clear" w:color="auto" w:fill="E6E6E6"/>
    </w:rPr>
  </w:style>
  <w:style w:type="paragraph" w:customStyle="1" w:styleId="pf0">
    <w:name w:val="pf0"/>
    <w:basedOn w:val="Normal"/>
    <w:rsid w:val="00B61F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B61F90"/>
    <w:rPr>
      <w:rFonts w:ascii="Segoe UI" w:hAnsi="Segoe UI" w:cs="Segoe UI" w:hint="default"/>
      <w:sz w:val="18"/>
      <w:szCs w:val="18"/>
    </w:rPr>
  </w:style>
  <w:style w:type="table" w:customStyle="1" w:styleId="HealthConsult3">
    <w:name w:val="HealthConsult3"/>
    <w:basedOn w:val="TableNormal"/>
    <w:next w:val="TableGrid"/>
    <w:uiPriority w:val="59"/>
    <w:rsid w:val="000E3F0B"/>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91">
    <w:name w:val="font191"/>
    <w:basedOn w:val="DefaultParagraphFont"/>
    <w:rsid w:val="008C2194"/>
    <w:rPr>
      <w:rFonts w:ascii="Arial Narrow" w:hAnsi="Arial Narrow" w:hint="default"/>
      <w:b w:val="0"/>
      <w:bCs w:val="0"/>
      <w:i w:val="0"/>
      <w:iCs w:val="0"/>
      <w:strike w:val="0"/>
      <w:dstrike w:val="0"/>
      <w:color w:val="FF0000"/>
      <w:sz w:val="20"/>
      <w:szCs w:val="20"/>
      <w:u w:val="none"/>
      <w:effect w:val="none"/>
    </w:rPr>
  </w:style>
  <w:style w:type="paragraph" w:customStyle="1" w:styleId="HeadingAppendix">
    <w:name w:val="Heading Appendix"/>
    <w:basedOn w:val="Heading1"/>
    <w:qFormat/>
    <w:rsid w:val="00A16CAB"/>
    <w:pPr>
      <w:numPr>
        <w:numId w:val="25"/>
      </w:numPr>
      <w:tabs>
        <w:tab w:val="left" w:pos="2835"/>
      </w:tabs>
      <w:ind w:left="2835" w:hanging="2835"/>
    </w:pPr>
  </w:style>
  <w:style w:type="paragraph" w:customStyle="1" w:styleId="BoxName0">
    <w:name w:val="BoxName"/>
    <w:basedOn w:val="Normal"/>
    <w:rsid w:val="00441C5B"/>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441C5B"/>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441C5B"/>
    <w:pPr>
      <w:numPr>
        <w:numId w:val="27"/>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character" w:customStyle="1" w:styleId="label">
    <w:name w:val="label"/>
    <w:basedOn w:val="DefaultParagraphFont"/>
    <w:rsid w:val="00790133"/>
  </w:style>
  <w:style w:type="character" w:customStyle="1" w:styleId="cell-value">
    <w:name w:val="cell-value"/>
    <w:basedOn w:val="DefaultParagraphFont"/>
    <w:rsid w:val="00790133"/>
  </w:style>
  <w:style w:type="character" w:customStyle="1" w:styleId="quality-sign">
    <w:name w:val="quality-sign"/>
    <w:basedOn w:val="DefaultParagraphFont"/>
    <w:rsid w:val="00790133"/>
  </w:style>
  <w:style w:type="character" w:customStyle="1" w:styleId="cell">
    <w:name w:val="cell"/>
    <w:basedOn w:val="DefaultParagraphFont"/>
    <w:rsid w:val="005C2258"/>
  </w:style>
  <w:style w:type="character" w:customStyle="1" w:styleId="block">
    <w:name w:val="block"/>
    <w:basedOn w:val="DefaultParagraphFont"/>
    <w:rsid w:val="005C2258"/>
  </w:style>
  <w:style w:type="character" w:customStyle="1" w:styleId="quality-text">
    <w:name w:val="quality-text"/>
    <w:basedOn w:val="DefaultParagraphFont"/>
    <w:rsid w:val="005C2258"/>
  </w:style>
  <w:style w:type="paragraph" w:styleId="BodyText">
    <w:name w:val="Body Text"/>
    <w:basedOn w:val="Normal"/>
    <w:link w:val="BodyTextChar"/>
    <w:rsid w:val="002C5802"/>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2C5802"/>
    <w:rPr>
      <w:rFonts w:ascii="Helv" w:eastAsia="Times New Roman" w:hAnsi="Helv" w:cs="Tahoma"/>
      <w:b/>
      <w:i/>
      <w:snapToGrid w:val="0"/>
      <w:color w:val="000000"/>
      <w:sz w:val="28"/>
    </w:rPr>
  </w:style>
  <w:style w:type="paragraph" w:customStyle="1" w:styleId="Default">
    <w:name w:val="Default"/>
    <w:rsid w:val="005B0F7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32073369">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66219036">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1986221">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19555273">
      <w:bodyDiv w:val="1"/>
      <w:marLeft w:val="0"/>
      <w:marRight w:val="0"/>
      <w:marTop w:val="0"/>
      <w:marBottom w:val="0"/>
      <w:divBdr>
        <w:top w:val="none" w:sz="0" w:space="0" w:color="auto"/>
        <w:left w:val="none" w:sz="0" w:space="0" w:color="auto"/>
        <w:bottom w:val="none" w:sz="0" w:space="0" w:color="auto"/>
        <w:right w:val="none" w:sz="0" w:space="0" w:color="auto"/>
      </w:divBdr>
      <w:divsChild>
        <w:div w:id="437212910">
          <w:marLeft w:val="0"/>
          <w:marRight w:val="0"/>
          <w:marTop w:val="0"/>
          <w:marBottom w:val="0"/>
          <w:divBdr>
            <w:top w:val="none" w:sz="0" w:space="0" w:color="auto"/>
            <w:left w:val="none" w:sz="0" w:space="0" w:color="auto"/>
            <w:bottom w:val="none" w:sz="0" w:space="0" w:color="auto"/>
            <w:right w:val="none" w:sz="0" w:space="0" w:color="auto"/>
          </w:divBdr>
        </w:div>
      </w:divsChild>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50033298">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77132334">
      <w:bodyDiv w:val="1"/>
      <w:marLeft w:val="0"/>
      <w:marRight w:val="0"/>
      <w:marTop w:val="0"/>
      <w:marBottom w:val="0"/>
      <w:divBdr>
        <w:top w:val="none" w:sz="0" w:space="0" w:color="auto"/>
        <w:left w:val="none" w:sz="0" w:space="0" w:color="auto"/>
        <w:bottom w:val="none" w:sz="0" w:space="0" w:color="auto"/>
        <w:right w:val="none" w:sz="0" w:space="0" w:color="auto"/>
      </w:divBdr>
    </w:div>
    <w:div w:id="609512795">
      <w:bodyDiv w:val="1"/>
      <w:marLeft w:val="0"/>
      <w:marRight w:val="0"/>
      <w:marTop w:val="0"/>
      <w:marBottom w:val="0"/>
      <w:divBdr>
        <w:top w:val="none" w:sz="0" w:space="0" w:color="auto"/>
        <w:left w:val="none" w:sz="0" w:space="0" w:color="auto"/>
        <w:bottom w:val="none" w:sz="0" w:space="0" w:color="auto"/>
        <w:right w:val="none" w:sz="0" w:space="0" w:color="auto"/>
      </w:divBdr>
    </w:div>
    <w:div w:id="615138014">
      <w:bodyDiv w:val="1"/>
      <w:marLeft w:val="0"/>
      <w:marRight w:val="0"/>
      <w:marTop w:val="0"/>
      <w:marBottom w:val="0"/>
      <w:divBdr>
        <w:top w:val="none" w:sz="0" w:space="0" w:color="auto"/>
        <w:left w:val="none" w:sz="0" w:space="0" w:color="auto"/>
        <w:bottom w:val="none" w:sz="0" w:space="0" w:color="auto"/>
        <w:right w:val="none" w:sz="0" w:space="0" w:color="auto"/>
      </w:divBdr>
    </w:div>
    <w:div w:id="618220017">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93962673">
      <w:bodyDiv w:val="1"/>
      <w:marLeft w:val="0"/>
      <w:marRight w:val="0"/>
      <w:marTop w:val="0"/>
      <w:marBottom w:val="0"/>
      <w:divBdr>
        <w:top w:val="none" w:sz="0" w:space="0" w:color="auto"/>
        <w:left w:val="none" w:sz="0" w:space="0" w:color="auto"/>
        <w:bottom w:val="none" w:sz="0" w:space="0" w:color="auto"/>
        <w:right w:val="none" w:sz="0" w:space="0" w:color="auto"/>
      </w:divBdr>
    </w:div>
    <w:div w:id="699430354">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48162795">
      <w:bodyDiv w:val="1"/>
      <w:marLeft w:val="0"/>
      <w:marRight w:val="0"/>
      <w:marTop w:val="0"/>
      <w:marBottom w:val="0"/>
      <w:divBdr>
        <w:top w:val="none" w:sz="0" w:space="0" w:color="auto"/>
        <w:left w:val="none" w:sz="0" w:space="0" w:color="auto"/>
        <w:bottom w:val="none" w:sz="0" w:space="0" w:color="auto"/>
        <w:right w:val="none" w:sz="0" w:space="0" w:color="auto"/>
      </w:divBdr>
    </w:div>
    <w:div w:id="753010563">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24474910">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24358747">
      <w:bodyDiv w:val="1"/>
      <w:marLeft w:val="0"/>
      <w:marRight w:val="0"/>
      <w:marTop w:val="0"/>
      <w:marBottom w:val="0"/>
      <w:divBdr>
        <w:top w:val="none" w:sz="0" w:space="0" w:color="auto"/>
        <w:left w:val="none" w:sz="0" w:space="0" w:color="auto"/>
        <w:bottom w:val="none" w:sz="0" w:space="0" w:color="auto"/>
        <w:right w:val="none" w:sz="0" w:space="0" w:color="auto"/>
      </w:divBdr>
    </w:div>
    <w:div w:id="1095328160">
      <w:bodyDiv w:val="1"/>
      <w:marLeft w:val="0"/>
      <w:marRight w:val="0"/>
      <w:marTop w:val="0"/>
      <w:marBottom w:val="0"/>
      <w:divBdr>
        <w:top w:val="none" w:sz="0" w:space="0" w:color="auto"/>
        <w:left w:val="none" w:sz="0" w:space="0" w:color="auto"/>
        <w:bottom w:val="none" w:sz="0" w:space="0" w:color="auto"/>
        <w:right w:val="none" w:sz="0" w:space="0" w:color="auto"/>
      </w:divBdr>
    </w:div>
    <w:div w:id="1096097093">
      <w:bodyDiv w:val="1"/>
      <w:marLeft w:val="0"/>
      <w:marRight w:val="0"/>
      <w:marTop w:val="0"/>
      <w:marBottom w:val="0"/>
      <w:divBdr>
        <w:top w:val="none" w:sz="0" w:space="0" w:color="auto"/>
        <w:left w:val="none" w:sz="0" w:space="0" w:color="auto"/>
        <w:bottom w:val="none" w:sz="0" w:space="0" w:color="auto"/>
        <w:right w:val="none" w:sz="0" w:space="0" w:color="auto"/>
      </w:divBdr>
    </w:div>
    <w:div w:id="1110784827">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8274803">
      <w:bodyDiv w:val="1"/>
      <w:marLeft w:val="0"/>
      <w:marRight w:val="0"/>
      <w:marTop w:val="0"/>
      <w:marBottom w:val="0"/>
      <w:divBdr>
        <w:top w:val="none" w:sz="0" w:space="0" w:color="auto"/>
        <w:left w:val="none" w:sz="0" w:space="0" w:color="auto"/>
        <w:bottom w:val="none" w:sz="0" w:space="0" w:color="auto"/>
        <w:right w:val="none" w:sz="0" w:space="0" w:color="auto"/>
      </w:divBdr>
    </w:div>
    <w:div w:id="1204170147">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2734274">
      <w:bodyDiv w:val="1"/>
      <w:marLeft w:val="0"/>
      <w:marRight w:val="0"/>
      <w:marTop w:val="0"/>
      <w:marBottom w:val="0"/>
      <w:divBdr>
        <w:top w:val="none" w:sz="0" w:space="0" w:color="auto"/>
        <w:left w:val="none" w:sz="0" w:space="0" w:color="auto"/>
        <w:bottom w:val="none" w:sz="0" w:space="0" w:color="auto"/>
        <w:right w:val="none" w:sz="0" w:space="0" w:color="auto"/>
      </w:divBdr>
    </w:div>
    <w:div w:id="1327324268">
      <w:bodyDiv w:val="1"/>
      <w:marLeft w:val="0"/>
      <w:marRight w:val="0"/>
      <w:marTop w:val="0"/>
      <w:marBottom w:val="0"/>
      <w:divBdr>
        <w:top w:val="none" w:sz="0" w:space="0" w:color="auto"/>
        <w:left w:val="none" w:sz="0" w:space="0" w:color="auto"/>
        <w:bottom w:val="none" w:sz="0" w:space="0" w:color="auto"/>
        <w:right w:val="none" w:sz="0" w:space="0" w:color="auto"/>
      </w:divBdr>
    </w:div>
    <w:div w:id="1330644404">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54000553">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35985305">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59454371">
      <w:bodyDiv w:val="1"/>
      <w:marLeft w:val="0"/>
      <w:marRight w:val="0"/>
      <w:marTop w:val="0"/>
      <w:marBottom w:val="0"/>
      <w:divBdr>
        <w:top w:val="none" w:sz="0" w:space="0" w:color="auto"/>
        <w:left w:val="none" w:sz="0" w:space="0" w:color="auto"/>
        <w:bottom w:val="none" w:sz="0" w:space="0" w:color="auto"/>
        <w:right w:val="none" w:sz="0" w:space="0" w:color="auto"/>
      </w:divBdr>
    </w:div>
    <w:div w:id="1667896999">
      <w:bodyDiv w:val="1"/>
      <w:marLeft w:val="0"/>
      <w:marRight w:val="0"/>
      <w:marTop w:val="0"/>
      <w:marBottom w:val="0"/>
      <w:divBdr>
        <w:top w:val="none" w:sz="0" w:space="0" w:color="auto"/>
        <w:left w:val="none" w:sz="0" w:space="0" w:color="auto"/>
        <w:bottom w:val="none" w:sz="0" w:space="0" w:color="auto"/>
        <w:right w:val="none" w:sz="0" w:space="0" w:color="auto"/>
      </w:divBdr>
    </w:div>
    <w:div w:id="1704089463">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25721482">
      <w:bodyDiv w:val="1"/>
      <w:marLeft w:val="0"/>
      <w:marRight w:val="0"/>
      <w:marTop w:val="0"/>
      <w:marBottom w:val="0"/>
      <w:divBdr>
        <w:top w:val="none" w:sz="0" w:space="0" w:color="auto"/>
        <w:left w:val="none" w:sz="0" w:space="0" w:color="auto"/>
        <w:bottom w:val="none" w:sz="0" w:space="0" w:color="auto"/>
        <w:right w:val="none" w:sz="0" w:space="0" w:color="auto"/>
      </w:divBdr>
    </w:div>
    <w:div w:id="1939681115">
      <w:bodyDiv w:val="1"/>
      <w:marLeft w:val="0"/>
      <w:marRight w:val="0"/>
      <w:marTop w:val="0"/>
      <w:marBottom w:val="0"/>
      <w:divBdr>
        <w:top w:val="none" w:sz="0" w:space="0" w:color="auto"/>
        <w:left w:val="none" w:sz="0" w:space="0" w:color="auto"/>
        <w:bottom w:val="none" w:sz="0" w:space="0" w:color="auto"/>
        <w:right w:val="none" w:sz="0" w:space="0" w:color="auto"/>
      </w:divBdr>
      <w:divsChild>
        <w:div w:id="1441410668">
          <w:marLeft w:val="0"/>
          <w:marRight w:val="0"/>
          <w:marTop w:val="0"/>
          <w:marBottom w:val="0"/>
          <w:divBdr>
            <w:top w:val="none" w:sz="0" w:space="0" w:color="auto"/>
            <w:left w:val="none" w:sz="0" w:space="0" w:color="auto"/>
            <w:bottom w:val="none" w:sz="0" w:space="0" w:color="auto"/>
            <w:right w:val="none" w:sz="0" w:space="0" w:color="auto"/>
          </w:divBdr>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99653753">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43049297">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86223889">
      <w:bodyDiv w:val="1"/>
      <w:marLeft w:val="0"/>
      <w:marRight w:val="0"/>
      <w:marTop w:val="0"/>
      <w:marBottom w:val="0"/>
      <w:divBdr>
        <w:top w:val="none" w:sz="0" w:space="0" w:color="auto"/>
        <w:left w:val="none" w:sz="0" w:space="0" w:color="auto"/>
        <w:bottom w:val="none" w:sz="0" w:space="0" w:color="auto"/>
        <w:right w:val="none" w:sz="0" w:space="0" w:color="auto"/>
      </w:divBdr>
    </w:div>
    <w:div w:id="2088334846">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2085506">
      <w:bodyDiv w:val="1"/>
      <w:marLeft w:val="0"/>
      <w:marRight w:val="0"/>
      <w:marTop w:val="0"/>
      <w:marBottom w:val="0"/>
      <w:divBdr>
        <w:top w:val="none" w:sz="0" w:space="0" w:color="auto"/>
        <w:left w:val="none" w:sz="0" w:space="0" w:color="auto"/>
        <w:bottom w:val="none" w:sz="0" w:space="0" w:color="auto"/>
        <w:right w:val="none" w:sz="0" w:space="0" w:color="auto"/>
      </w:divBdr>
      <w:divsChild>
        <w:div w:id="1759016521">
          <w:marLeft w:val="28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mbsonline.gov.au/internet/mbsonline/publishing.nsf/Content/Home" TargetMode="External"/><Relationship Id="rId19" Type="http://schemas.openxmlformats.org/officeDocument/2006/relationships/hyperlink" Target="http://msac.gov.au/internet/msac/publishing.nsf/Content/Home-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linicaltrials.gov/ct2/show/NCT03400787?term=NCT03400787&amp;draw=2&amp;rank=1" TargetMode="External"/><Relationship Id="rId7" Type="http://schemas.openxmlformats.org/officeDocument/2006/relationships/hyperlink" Target="https://www.health.gov.au/sites/default/files/documents/2021/05/medicare-benefits-schedule-review-taskforce-interim-report.pdf" TargetMode="External"/><Relationship Id="rId2" Type="http://schemas.openxmlformats.org/officeDocument/2006/relationships/hyperlink" Target="http://www9.health.gov.au/mbs/fullDisplay.cfm?type=note&amp;q=TN.8.2&amp;qt=noteID&amp;criteria=TN%2E8%2E2" TargetMode="External"/><Relationship Id="rId1" Type="http://schemas.openxmlformats.org/officeDocument/2006/relationships/hyperlink" Target="https://clinicaltrials.gov/ct2/show/NCT03400787?term=NCT03400787&amp;draw=2&amp;rank=1" TargetMode="External"/><Relationship Id="rId6" Type="http://schemas.openxmlformats.org/officeDocument/2006/relationships/hyperlink" Target="https://handbook-5-1.cochrane.org/chapter_9/9_5_2_identifying_and_measuring_heterogeneity.htm" TargetMode="External"/><Relationship Id="rId5" Type="http://schemas.openxmlformats.org/officeDocument/2006/relationships/hyperlink" Target="https://clinicaltrials.gov/ct2/show/NCT02188589?term=INEX&amp;draw=2&amp;rank=1" TargetMode="External"/><Relationship Id="rId4" Type="http://schemas.openxmlformats.org/officeDocument/2006/relationships/hyperlink" Target="https://clinicaltrials.gov/ct2/show/NCT02964312?term=NCT02964312&amp;draw=2&amp;ra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EB1D-7118-4481-8D04-B30B021B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18545</Words>
  <Characters>99960</Characters>
  <Application>Microsoft Office Word</Application>
  <DocSecurity>0</DocSecurity>
  <Lines>2563</Lines>
  <Paragraphs>1768</Paragraphs>
  <ScaleCrop>false</ScaleCrop>
  <Manager/>
  <Company/>
  <LinksUpToDate>false</LinksUpToDate>
  <CharactersWithSpaces>116737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2023-06-27T01:50:00Z</dcterms:created>
  <dcterms:modified xsi:type="dcterms:W3CDTF">2023-06-27T01:50:00Z</dcterms:modified>
  <cp:category/>
</cp:coreProperties>
</file>