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79A01" w14:textId="5E397813" w:rsidR="00692785" w:rsidRPr="00E937EE" w:rsidRDefault="00692785" w:rsidP="00692785">
      <w:pPr>
        <w:pStyle w:val="Subtitle"/>
        <w:spacing w:before="240" w:after="0"/>
        <w:rPr>
          <w:i w:val="0"/>
          <w:sz w:val="36"/>
          <w:szCs w:val="36"/>
        </w:rPr>
      </w:pPr>
      <w:bookmarkStart w:id="0" w:name="_Toc72335271"/>
      <w:bookmarkStart w:id="1" w:name="_Toc112076472"/>
      <w:r>
        <w:rPr>
          <w:i w:val="0"/>
          <w:sz w:val="36"/>
          <w:szCs w:val="36"/>
        </w:rPr>
        <w:t>Medical Services Advisory Committee (MSAC)</w:t>
      </w:r>
    </w:p>
    <w:p w14:paraId="6417A49A" w14:textId="2F43B9E7" w:rsidR="00772829" w:rsidRPr="000D5B30" w:rsidRDefault="00E37DBE" w:rsidP="00692785">
      <w:pPr>
        <w:pStyle w:val="Subtitle"/>
        <w:spacing w:before="0"/>
        <w:rPr>
          <w:i w:val="0"/>
          <w:sz w:val="36"/>
          <w:szCs w:val="36"/>
        </w:rPr>
      </w:pPr>
      <w:bookmarkStart w:id="2" w:name="_Hlk68005436"/>
      <w:bookmarkStart w:id="3" w:name="_Toc69491414"/>
      <w:bookmarkEnd w:id="0"/>
      <w:bookmarkEnd w:id="1"/>
      <w:r>
        <w:rPr>
          <w:sz w:val="36"/>
          <w:szCs w:val="36"/>
        </w:rPr>
        <w:t xml:space="preserve"> </w:t>
      </w:r>
      <w:bookmarkEnd w:id="2"/>
      <w:bookmarkEnd w:id="3"/>
      <w:r w:rsidR="000D5B30" w:rsidRPr="00AF3A51">
        <w:rPr>
          <w:i w:val="0"/>
          <w:sz w:val="36"/>
          <w:szCs w:val="36"/>
        </w:rPr>
        <w:t xml:space="preserve">Public Summary Document </w:t>
      </w:r>
    </w:p>
    <w:p w14:paraId="7A128FDE" w14:textId="7560BB78" w:rsidR="00772829" w:rsidRPr="00CE28E3" w:rsidRDefault="00772829" w:rsidP="00D17F9E">
      <w:pPr>
        <w:pStyle w:val="Subtitle"/>
        <w:spacing w:before="240"/>
      </w:pPr>
      <w:r w:rsidRPr="00CE28E3">
        <w:t xml:space="preserve">Application No. </w:t>
      </w:r>
      <w:r w:rsidR="0044745D" w:rsidRPr="0044745D">
        <w:t>1691 – PromarkerD testing in patients with type 2 diabetes to determine the risk of developing diabetic kidney disease</w:t>
      </w:r>
    </w:p>
    <w:p w14:paraId="35263561" w14:textId="27203FE4" w:rsidR="00772829" w:rsidRPr="00CE28E3" w:rsidRDefault="00772829" w:rsidP="00772829">
      <w:pPr>
        <w:tabs>
          <w:tab w:val="left" w:pos="3686"/>
        </w:tabs>
        <w:spacing w:after="240"/>
        <w:rPr>
          <w:rFonts w:ascii="Arial" w:hAnsi="Arial" w:cs="Arial"/>
          <w:b/>
          <w:szCs w:val="24"/>
        </w:rPr>
      </w:pPr>
      <w:r w:rsidRPr="00CE28E3">
        <w:rPr>
          <w:rFonts w:ascii="Arial" w:hAnsi="Arial" w:cs="Arial"/>
          <w:b/>
          <w:szCs w:val="24"/>
        </w:rPr>
        <w:t>Applicant:</w:t>
      </w:r>
      <w:r w:rsidRPr="00CE28E3">
        <w:rPr>
          <w:rFonts w:ascii="Arial" w:hAnsi="Arial" w:cs="Arial"/>
          <w:b/>
          <w:szCs w:val="24"/>
        </w:rPr>
        <w:tab/>
      </w:r>
      <w:r w:rsidR="007019FE" w:rsidRPr="007019FE">
        <w:rPr>
          <w:rFonts w:ascii="Arial" w:hAnsi="Arial" w:cs="Arial"/>
          <w:b/>
          <w:szCs w:val="24"/>
        </w:rPr>
        <w:t>Proteomics International Pty Ltd</w:t>
      </w:r>
    </w:p>
    <w:p w14:paraId="4E36CB2D" w14:textId="77777777" w:rsidR="000D5B30" w:rsidRDefault="00772829" w:rsidP="000D5B30">
      <w:pPr>
        <w:tabs>
          <w:tab w:val="left" w:pos="3686"/>
        </w:tabs>
        <w:spacing w:after="360"/>
        <w:rPr>
          <w:rFonts w:ascii="Arial" w:hAnsi="Arial" w:cs="Arial"/>
          <w:b/>
          <w:bCs/>
        </w:rPr>
      </w:pPr>
      <w:r w:rsidRPr="00CE28E3">
        <w:rPr>
          <w:rFonts w:ascii="Arial" w:hAnsi="Arial" w:cs="Arial"/>
          <w:b/>
          <w:szCs w:val="24"/>
        </w:rPr>
        <w:t xml:space="preserve">Date of </w:t>
      </w:r>
      <w:r w:rsidR="000D5B30">
        <w:rPr>
          <w:rFonts w:ascii="Arial" w:hAnsi="Arial" w:cs="Arial"/>
          <w:b/>
          <w:szCs w:val="24"/>
        </w:rPr>
        <w:t>MSAC</w:t>
      </w:r>
      <w:r w:rsidRPr="00CE28E3">
        <w:rPr>
          <w:rFonts w:ascii="Arial" w:hAnsi="Arial" w:cs="Arial"/>
          <w:b/>
          <w:szCs w:val="24"/>
        </w:rPr>
        <w:t xml:space="preserve"> consideration:</w:t>
      </w:r>
      <w:r w:rsidRPr="00CE28E3">
        <w:rPr>
          <w:rFonts w:ascii="Arial" w:hAnsi="Arial" w:cs="Arial"/>
          <w:b/>
          <w:szCs w:val="24"/>
        </w:rPr>
        <w:tab/>
      </w:r>
      <w:r w:rsidR="000D5B30">
        <w:rPr>
          <w:rFonts w:ascii="Arial" w:hAnsi="Arial" w:cs="Arial"/>
          <w:b/>
          <w:bCs/>
        </w:rPr>
        <w:t>24-25 November</w:t>
      </w:r>
      <w:r w:rsidR="000D5B30" w:rsidRPr="00624E42">
        <w:rPr>
          <w:rFonts w:ascii="Arial" w:hAnsi="Arial" w:cs="Arial"/>
          <w:b/>
          <w:bCs/>
        </w:rPr>
        <w:t xml:space="preserve"> 2022</w:t>
      </w:r>
    </w:p>
    <w:p w14:paraId="2D76F1CF" w14:textId="04CB69FE" w:rsidR="00D17F9E" w:rsidRPr="000D5B30" w:rsidRDefault="000D5B30" w:rsidP="000D5B30">
      <w:pPr>
        <w:spacing w:after="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bookmarkStart w:id="4" w:name="_Toc69491415"/>
    </w:p>
    <w:p w14:paraId="7EAA7262" w14:textId="41509908" w:rsidR="00772829" w:rsidRPr="00CE28E3" w:rsidRDefault="00C36633" w:rsidP="000D5B30">
      <w:pPr>
        <w:pStyle w:val="Heading2"/>
        <w:numPr>
          <w:ilvl w:val="0"/>
          <w:numId w:val="0"/>
        </w:numPr>
      </w:pPr>
      <w:r>
        <w:t>1.</w:t>
      </w:r>
      <w:r>
        <w:tab/>
      </w:r>
      <w:r w:rsidR="00772829" w:rsidRPr="00CE28E3">
        <w:t xml:space="preserve">Purpose </w:t>
      </w:r>
      <w:r w:rsidR="00772829" w:rsidRPr="00CE28E3">
        <w:rPr>
          <w:szCs w:val="32"/>
        </w:rPr>
        <w:t>of</w:t>
      </w:r>
      <w:r w:rsidR="00772829" w:rsidRPr="00CE28E3">
        <w:t xml:space="preserve"> application</w:t>
      </w:r>
      <w:bookmarkEnd w:id="4"/>
    </w:p>
    <w:p w14:paraId="371A19B8" w14:textId="68BFC9D5" w:rsidR="00F25ECB" w:rsidRDefault="00F25ECB" w:rsidP="00F25ECB">
      <w:pPr>
        <w:spacing w:before="0"/>
      </w:pPr>
      <w:bookmarkStart w:id="5" w:name="_Hlk69734469"/>
      <w:r>
        <w:t>An application requesting MBS listing of PromarkerD</w:t>
      </w:r>
      <w:r w:rsidR="00FC3DE1">
        <w:t xml:space="preserve">, a predictive test </w:t>
      </w:r>
      <w:r w:rsidR="00553332" w:rsidRPr="00553332">
        <w:t>for developing</w:t>
      </w:r>
      <w:r w:rsidR="00ED36ED">
        <w:t xml:space="preserve"> diabetic kidney disease</w:t>
      </w:r>
      <w:r w:rsidR="00553332" w:rsidRPr="00553332">
        <w:t xml:space="preserve"> </w:t>
      </w:r>
      <w:r w:rsidR="00ED36ED">
        <w:sym w:font="Symbol" w:char="F05B"/>
      </w:r>
      <w:r w:rsidR="00553332" w:rsidRPr="00553332">
        <w:t>DKD</w:t>
      </w:r>
      <w:r w:rsidR="00ED36ED">
        <w:sym w:font="Symbol" w:char="F05D"/>
      </w:r>
      <w:r w:rsidR="00553332" w:rsidRPr="00553332">
        <w:t xml:space="preserve"> over 4 years, proposed for people with </w:t>
      </w:r>
      <w:r w:rsidR="009A510D">
        <w:t>type 2 diabetes mellitus (</w:t>
      </w:r>
      <w:r w:rsidR="00580F38">
        <w:t>T2DM</w:t>
      </w:r>
      <w:r w:rsidR="009A510D">
        <w:t>)</w:t>
      </w:r>
      <w:r w:rsidR="00580F38" w:rsidRPr="00553332" w:rsidDel="00580F38">
        <w:t xml:space="preserve"> </w:t>
      </w:r>
      <w:r w:rsidR="00AB4047">
        <w:t xml:space="preserve">and </w:t>
      </w:r>
      <w:r w:rsidR="00FC3DE1">
        <w:t xml:space="preserve">comprising </w:t>
      </w:r>
      <w:r w:rsidR="009A510D">
        <w:t>three</w:t>
      </w:r>
      <w:r w:rsidR="00D636CB">
        <w:t xml:space="preserve"> </w:t>
      </w:r>
      <w:r w:rsidR="00FC3DE1">
        <w:t>routinely available clinical characteristics (</w:t>
      </w:r>
      <w:r w:rsidR="00DB11BD" w:rsidRPr="00DB11BD">
        <w:t xml:space="preserve">age, </w:t>
      </w:r>
      <w:r w:rsidR="006A486F" w:rsidRPr="006A486F">
        <w:t>high-density lipoprotein</w:t>
      </w:r>
      <w:r w:rsidR="006A486F">
        <w:t xml:space="preserve"> [</w:t>
      </w:r>
      <w:r w:rsidR="00DB11BD" w:rsidRPr="00DB11BD">
        <w:t>HDL</w:t>
      </w:r>
      <w:r w:rsidR="006A486F">
        <w:t>]</w:t>
      </w:r>
      <w:r w:rsidR="0082475A">
        <w:t xml:space="preserve"> </w:t>
      </w:r>
      <w:r w:rsidR="00DB11BD" w:rsidRPr="00DB11BD">
        <w:t>cholesterol</w:t>
      </w:r>
      <w:r w:rsidR="00DB11BD">
        <w:t xml:space="preserve"> and</w:t>
      </w:r>
      <w:r w:rsidR="00DB11BD" w:rsidRPr="00DB11BD">
        <w:t xml:space="preserve"> </w:t>
      </w:r>
      <w:r w:rsidR="002B1BEF" w:rsidRPr="002B1BEF">
        <w:t xml:space="preserve">estimated glomerular filtration rate </w:t>
      </w:r>
      <w:r w:rsidR="002B1BEF">
        <w:t>[</w:t>
      </w:r>
      <w:r w:rsidR="00DB11BD" w:rsidRPr="00DB11BD">
        <w:t>eGFR</w:t>
      </w:r>
      <w:r w:rsidR="002B1BEF">
        <w:t>]</w:t>
      </w:r>
      <w:r w:rsidR="00DB11BD">
        <w:t xml:space="preserve">) with </w:t>
      </w:r>
      <w:r w:rsidR="009A510D">
        <w:t>three</w:t>
      </w:r>
      <w:r w:rsidR="00D636CB">
        <w:t xml:space="preserve"> </w:t>
      </w:r>
      <w:r w:rsidR="00DB11BD">
        <w:t>biomarkers (</w:t>
      </w:r>
      <w:r w:rsidR="00132EA5" w:rsidRPr="00132EA5">
        <w:t>ApoA4, CD5L, IBP3</w:t>
      </w:r>
      <w:r w:rsidR="00132EA5">
        <w:t>)</w:t>
      </w:r>
      <w:r w:rsidR="00DB11BD" w:rsidRPr="00DB11BD">
        <w:t xml:space="preserve"> </w:t>
      </w:r>
      <w:r>
        <w:t xml:space="preserve">was received from </w:t>
      </w:r>
      <w:r w:rsidR="003F3D2F" w:rsidRPr="003F3D2F">
        <w:rPr>
          <w:lang w:val="en-NZ"/>
        </w:rPr>
        <w:t>Proteomics International Pty Ltd</w:t>
      </w:r>
      <w:r w:rsidR="003F3D2F" w:rsidRPr="003F3D2F">
        <w:t xml:space="preserve"> </w:t>
      </w:r>
      <w:r>
        <w:t>by the Department of Health</w:t>
      </w:r>
      <w:r w:rsidR="009A510D">
        <w:t xml:space="preserve"> and Aged Care</w:t>
      </w:r>
      <w:r>
        <w:t xml:space="preserve">. </w:t>
      </w:r>
    </w:p>
    <w:p w14:paraId="357C8CE7" w14:textId="77777777" w:rsidR="000D5B30" w:rsidRDefault="000D5B30" w:rsidP="000D5B30">
      <w:pPr>
        <w:pStyle w:val="Heading2"/>
        <w:numPr>
          <w:ilvl w:val="0"/>
          <w:numId w:val="0"/>
        </w:numPr>
      </w:pPr>
      <w:r>
        <w:t>2.</w:t>
      </w:r>
      <w:r>
        <w:tab/>
        <w:t>MSAC’s advice to the Minister</w:t>
      </w:r>
    </w:p>
    <w:p w14:paraId="3DFE46C3" w14:textId="06291FC6" w:rsidR="003A2CD6" w:rsidRDefault="003A2CD6" w:rsidP="003A2CD6">
      <w:pPr>
        <w:rPr>
          <w:szCs w:val="24"/>
        </w:rPr>
      </w:pPr>
      <w:r w:rsidRPr="00D81A81">
        <w:t>After considering the strength of the available evidence in relation to comparative safety, clinical effectiveness</w:t>
      </w:r>
      <w:r>
        <w:t xml:space="preserve">, </w:t>
      </w:r>
      <w:r w:rsidRPr="00D81A81">
        <w:t>cost-effectiveness</w:t>
      </w:r>
      <w:r>
        <w:t xml:space="preserve"> and total cost</w:t>
      </w:r>
      <w:r w:rsidRPr="00D81A81">
        <w:t xml:space="preserve">, </w:t>
      </w:r>
      <w:r w:rsidRPr="00941375">
        <w:rPr>
          <w:rFonts w:cstheme="minorHAnsi"/>
        </w:rPr>
        <w:t xml:space="preserve">MSAC did not support public funding of PromarkerD testing in patients with type 2 diabetes to determine the risk of developing DKD. MSAC considered that the clinical utility of the test was uncertain because the evidence that the test would change clinical management was based on a survey of intent, not actual evidence of change, </w:t>
      </w:r>
      <w:r w:rsidR="009D5886">
        <w:rPr>
          <w:rFonts w:cstheme="minorHAnsi"/>
        </w:rPr>
        <w:t>was at</w:t>
      </w:r>
      <w:r w:rsidRPr="00941375">
        <w:rPr>
          <w:rFonts w:cstheme="minorHAnsi"/>
        </w:rPr>
        <w:t xml:space="preserve"> high risk of bias, and </w:t>
      </w:r>
      <w:r w:rsidR="00D5628C">
        <w:rPr>
          <w:rFonts w:cstheme="minorHAnsi"/>
        </w:rPr>
        <w:t xml:space="preserve">the test had a </w:t>
      </w:r>
      <w:r w:rsidRPr="00941375">
        <w:rPr>
          <w:rFonts w:cstheme="minorHAnsi"/>
        </w:rPr>
        <w:t>low positive predictive value (PPV</w:t>
      </w:r>
      <w:r w:rsidR="00D5628C">
        <w:rPr>
          <w:rFonts w:cstheme="minorHAnsi"/>
        </w:rPr>
        <w:t xml:space="preserve">). </w:t>
      </w:r>
      <w:r w:rsidRPr="00941375">
        <w:rPr>
          <w:rFonts w:cstheme="minorHAnsi"/>
        </w:rPr>
        <w:t xml:space="preserve">MSAC also had concerns </w:t>
      </w:r>
      <w:r w:rsidR="009D5886">
        <w:rPr>
          <w:rFonts w:cstheme="minorHAnsi"/>
        </w:rPr>
        <w:t>about</w:t>
      </w:r>
      <w:r w:rsidR="009D5886" w:rsidRPr="00941375">
        <w:rPr>
          <w:rFonts w:cstheme="minorHAnsi"/>
        </w:rPr>
        <w:t xml:space="preserve"> </w:t>
      </w:r>
      <w:r w:rsidRPr="00941375">
        <w:rPr>
          <w:rFonts w:cstheme="minorHAnsi"/>
        </w:rPr>
        <w:t>the evidence for the prognostic value of the test</w:t>
      </w:r>
      <w:r>
        <w:rPr>
          <w:rFonts w:cstheme="minorHAnsi"/>
        </w:rPr>
        <w:t>,</w:t>
      </w:r>
      <w:r w:rsidRPr="00941375">
        <w:rPr>
          <w:rFonts w:cstheme="minorHAnsi"/>
        </w:rPr>
        <w:t xml:space="preserve"> given its high risk of bias</w:t>
      </w:r>
      <w:r>
        <w:rPr>
          <w:rFonts w:cstheme="minorHAnsi"/>
        </w:rPr>
        <w:t>;</w:t>
      </w:r>
      <w:r w:rsidRPr="00941375">
        <w:rPr>
          <w:rFonts w:cstheme="minorHAnsi"/>
        </w:rPr>
        <w:t xml:space="preserve"> </w:t>
      </w:r>
      <w:r>
        <w:rPr>
          <w:rFonts w:cstheme="minorHAnsi"/>
        </w:rPr>
        <w:t xml:space="preserve">and </w:t>
      </w:r>
      <w:r w:rsidRPr="00941375">
        <w:rPr>
          <w:rFonts w:cstheme="minorHAnsi"/>
        </w:rPr>
        <w:t>the safety of the test</w:t>
      </w:r>
      <w:r>
        <w:rPr>
          <w:rFonts w:cstheme="minorHAnsi"/>
        </w:rPr>
        <w:t>,</w:t>
      </w:r>
      <w:r w:rsidRPr="00941375">
        <w:rPr>
          <w:rFonts w:cstheme="minorHAnsi"/>
        </w:rPr>
        <w:t xml:space="preserve"> given its low PPV and the lack of detail provided on the proprietary “black box” algorithm. </w:t>
      </w:r>
      <w:r w:rsidR="00E1071C" w:rsidRPr="00941375">
        <w:rPr>
          <w:rFonts w:cstheme="minorHAnsi"/>
        </w:rPr>
        <w:t xml:space="preserve">MSAC considered the cost-effectiveness was uncertain as the model used for the economic evaluation did not include the test outcomes to allow comparisons with the current clinical approach. </w:t>
      </w:r>
      <w:r w:rsidR="00064CF3">
        <w:rPr>
          <w:rFonts w:cstheme="minorHAnsi"/>
        </w:rPr>
        <w:t>In addition</w:t>
      </w:r>
      <w:r w:rsidRPr="00941375">
        <w:rPr>
          <w:rFonts w:cstheme="minorHAnsi"/>
        </w:rPr>
        <w:t xml:space="preserve">, MSAC considered the economic modelling and financial estimates were uncertain and contained errors and omissions. MSAC also considered the proposed MBS fee was high and unjustified, and the uncertainty regarding test uptake </w:t>
      </w:r>
      <w:r w:rsidR="00064CF3">
        <w:rPr>
          <w:rFonts w:cstheme="minorHAnsi"/>
        </w:rPr>
        <w:t>also</w:t>
      </w:r>
      <w:r w:rsidR="00064CF3" w:rsidRPr="00941375">
        <w:rPr>
          <w:rFonts w:cstheme="minorHAnsi"/>
        </w:rPr>
        <w:t xml:space="preserve"> </w:t>
      </w:r>
      <w:r w:rsidRPr="00941375">
        <w:rPr>
          <w:rFonts w:cstheme="minorHAnsi"/>
        </w:rPr>
        <w:t>impact</w:t>
      </w:r>
      <w:r w:rsidR="00064CF3">
        <w:rPr>
          <w:rFonts w:cstheme="minorHAnsi"/>
        </w:rPr>
        <w:t>ed</w:t>
      </w:r>
      <w:r w:rsidRPr="00941375">
        <w:rPr>
          <w:rFonts w:cstheme="minorHAnsi"/>
        </w:rPr>
        <w:t xml:space="preserve"> the financial estimates.</w:t>
      </w:r>
    </w:p>
    <w:tbl>
      <w:tblPr>
        <w:tblStyle w:val="TableGrid"/>
        <w:tblW w:w="0" w:type="auto"/>
        <w:tblLook w:val="04A0" w:firstRow="1" w:lastRow="0" w:firstColumn="1" w:lastColumn="0" w:noHBand="0" w:noVBand="1"/>
        <w:tblDescription w:val="Consumer summary of MSAC consideration"/>
      </w:tblPr>
      <w:tblGrid>
        <w:gridCol w:w="9016"/>
      </w:tblGrid>
      <w:tr w:rsidR="000D5B30" w14:paraId="34205F34" w14:textId="77777777" w:rsidTr="009F74CA">
        <w:trPr>
          <w:tblHeader/>
        </w:trPr>
        <w:tc>
          <w:tcPr>
            <w:tcW w:w="9016" w:type="dxa"/>
            <w:tcBorders>
              <w:top w:val="single" w:sz="4" w:space="0" w:color="auto"/>
              <w:left w:val="single" w:sz="4" w:space="0" w:color="auto"/>
              <w:bottom w:val="single" w:sz="4" w:space="0" w:color="auto"/>
              <w:right w:val="single" w:sz="4" w:space="0" w:color="auto"/>
            </w:tcBorders>
            <w:hideMark/>
          </w:tcPr>
          <w:p w14:paraId="6A720B17" w14:textId="77777777" w:rsidR="000D5B30" w:rsidRPr="00E96E47" w:rsidRDefault="000D5B30" w:rsidP="009F74CA">
            <w:pPr>
              <w:pStyle w:val="Default"/>
              <w:spacing w:before="120" w:after="120"/>
              <w:rPr>
                <w:rFonts w:ascii="Franklin Gothic Book" w:hAnsi="Franklin Gothic Book"/>
                <w:b/>
                <w:bCs/>
                <w:color w:val="auto"/>
                <w:sz w:val="22"/>
                <w:szCs w:val="22"/>
              </w:rPr>
            </w:pPr>
            <w:r w:rsidRPr="00E96E47">
              <w:rPr>
                <w:rFonts w:ascii="Franklin Gothic Book" w:hAnsi="Franklin Gothic Book"/>
                <w:b/>
                <w:bCs/>
                <w:color w:val="auto"/>
                <w:sz w:val="22"/>
                <w:szCs w:val="22"/>
              </w:rPr>
              <w:t>Consumer summary</w:t>
            </w:r>
          </w:p>
        </w:tc>
      </w:tr>
      <w:tr w:rsidR="000D5B30" w14:paraId="45F3700A" w14:textId="77777777" w:rsidTr="009F74CA">
        <w:tc>
          <w:tcPr>
            <w:tcW w:w="9016" w:type="dxa"/>
            <w:tcBorders>
              <w:top w:val="single" w:sz="4" w:space="0" w:color="auto"/>
              <w:left w:val="single" w:sz="4" w:space="0" w:color="auto"/>
              <w:bottom w:val="single" w:sz="4" w:space="0" w:color="auto"/>
              <w:right w:val="single" w:sz="4" w:space="0" w:color="auto"/>
            </w:tcBorders>
            <w:hideMark/>
          </w:tcPr>
          <w:p w14:paraId="0550D495" w14:textId="77777777" w:rsidR="003A2CD6" w:rsidRDefault="003A2CD6" w:rsidP="003A2CD6">
            <w:r w:rsidRPr="00AF46D8">
              <w:t xml:space="preserve">This is an application from </w:t>
            </w:r>
            <w:r>
              <w:t>Proteomics International</w:t>
            </w:r>
            <w:r w:rsidRPr="00AF46D8">
              <w:t xml:space="preserve"> requesting Medicare Benefits Schedule (MBS) </w:t>
            </w:r>
            <w:r>
              <w:t>list</w:t>
            </w:r>
            <w:r w:rsidRPr="00AF46D8">
              <w:t xml:space="preserve">ing </w:t>
            </w:r>
            <w:r>
              <w:t>of PromarkerD, a test that predicts the risk of developing diabetic kidney disease in patients with type 2 diabetes.</w:t>
            </w:r>
          </w:p>
          <w:p w14:paraId="08F80889" w14:textId="77777777" w:rsidR="003A2CD6" w:rsidRDefault="003A2CD6" w:rsidP="003A2CD6">
            <w:r>
              <w:t xml:space="preserve">The kidneys remove waste and extra water from the blood. They also produce hormones that help to control blood pressure. People with diabetes often have high amounts of glucose in their blood (called high blood sugar), which can cause damage to the blood vessels in the </w:t>
            </w:r>
            <w:r>
              <w:lastRenderedPageBreak/>
              <w:t>kidneys. When the kidneys are damaged, they can’t function properly. This can cause waste to build up in the body, leading to a variety of health problems.</w:t>
            </w:r>
          </w:p>
          <w:p w14:paraId="2E6C3049" w14:textId="43B56918" w:rsidR="003A2CD6" w:rsidRDefault="003A2CD6" w:rsidP="003A2CD6">
            <w:r>
              <w:t>PromarkerD is a blood test that measures the concentration of Apo</w:t>
            </w:r>
            <w:r w:rsidR="00E814E4">
              <w:t>A</w:t>
            </w:r>
            <w:r>
              <w:t>4, CD5L and IBP3</w:t>
            </w:r>
            <w:r w:rsidR="001D4BE5">
              <w:t xml:space="preserve">, which are three </w:t>
            </w:r>
            <w:r w:rsidR="00471908">
              <w:t xml:space="preserve">elements </w:t>
            </w:r>
            <w:r w:rsidR="001D4BE5">
              <w:t>in a patient’s blood</w:t>
            </w:r>
            <w:r>
              <w:t>. These are combined with other clinical factors (age, cholesterol and kidney function) and entered into the PromarkerD software. The software then works out if a patient has a low, moderate or high risk of developing diabetic kidney disease.</w:t>
            </w:r>
          </w:p>
          <w:p w14:paraId="0785230F" w14:textId="2544D513" w:rsidR="003A2CD6" w:rsidRDefault="003A2CD6" w:rsidP="003A2CD6">
            <w:r>
              <w:t xml:space="preserve">MSAC considered that the PromarkerD test did not address an unmet clinical need. This is because people with type 2 diabetes are often monitored very closely for diabetic kidney disease already, and the results from the PromarkerD test would </w:t>
            </w:r>
            <w:r w:rsidR="00F7376D">
              <w:t>be unlikely to</w:t>
            </w:r>
            <w:r>
              <w:t xml:space="preserve"> change how these patients are managed. MSAC also questioned the accuracy of the test, and was concerned about the risk of false positive</w:t>
            </w:r>
            <w:r w:rsidR="00F7376D">
              <w:t xml:space="preserve"> (a patient receives a positive result when they actually are not at risk of developing disease)</w:t>
            </w:r>
            <w:r>
              <w:t xml:space="preserve"> and false negative</w:t>
            </w:r>
            <w:r w:rsidR="00F7376D">
              <w:t xml:space="preserve"> (a patient receives a negative result when they actually are at risk of developing disease)</w:t>
            </w:r>
            <w:r>
              <w:t xml:space="preserve"> results. MSAC was also not convinced that the test was good value for money.</w:t>
            </w:r>
          </w:p>
          <w:p w14:paraId="3271F1F1" w14:textId="77777777" w:rsidR="000D5B30" w:rsidRPr="000B5E96" w:rsidRDefault="000D5B30" w:rsidP="003A2CD6">
            <w:pPr>
              <w:pStyle w:val="Default"/>
              <w:spacing w:before="240" w:after="120"/>
              <w:rPr>
                <w:rFonts w:ascii="Franklin Gothic Book" w:hAnsi="Franklin Gothic Book"/>
                <w:b/>
                <w:bCs/>
                <w:iCs/>
                <w:color w:val="auto"/>
                <w:sz w:val="22"/>
                <w:szCs w:val="22"/>
              </w:rPr>
            </w:pPr>
            <w:r w:rsidRPr="000B5E96">
              <w:rPr>
                <w:rFonts w:ascii="Franklin Gothic Book" w:hAnsi="Franklin Gothic Book"/>
                <w:b/>
                <w:bCs/>
                <w:iCs/>
                <w:color w:val="auto"/>
                <w:sz w:val="22"/>
                <w:szCs w:val="22"/>
              </w:rPr>
              <w:t>MSAC’s advice to the Commonwealth Minister for Health</w:t>
            </w:r>
            <w:r>
              <w:rPr>
                <w:rFonts w:ascii="Franklin Gothic Book" w:hAnsi="Franklin Gothic Book"/>
                <w:b/>
                <w:bCs/>
                <w:iCs/>
                <w:color w:val="auto"/>
                <w:sz w:val="22"/>
                <w:szCs w:val="22"/>
              </w:rPr>
              <w:t xml:space="preserve"> and Aged Care</w:t>
            </w:r>
          </w:p>
          <w:p w14:paraId="585B69B7" w14:textId="7D5E89DB" w:rsidR="000D5B30" w:rsidRDefault="003A2CD6" w:rsidP="009F74CA">
            <w:pPr>
              <w:pStyle w:val="Default"/>
              <w:spacing w:after="240"/>
              <w:rPr>
                <w:rFonts w:ascii="Times New Roman" w:hAnsi="Times New Roman"/>
                <w:i/>
                <w:color w:val="auto"/>
              </w:rPr>
            </w:pPr>
            <w:r w:rsidRPr="003A2CD6">
              <w:rPr>
                <w:rFonts w:ascii="Franklin Gothic Book" w:hAnsi="Franklin Gothic Book"/>
                <w:iCs/>
                <w:color w:val="auto"/>
                <w:sz w:val="22"/>
                <w:szCs w:val="22"/>
              </w:rPr>
              <w:t>MSAC did not support listing the PromarkerD test on the MBS. MSAC considered that there was not enough high-quality evidence to show that the test is safe and effective. MSAC was also not convinced that the test was addressing an unmet need or was good value for money.</w:t>
            </w:r>
          </w:p>
        </w:tc>
      </w:tr>
    </w:tbl>
    <w:p w14:paraId="11AB6068" w14:textId="1EE13E3D" w:rsidR="000D5B30" w:rsidRDefault="000D5B30" w:rsidP="000D5B30">
      <w:pPr>
        <w:pStyle w:val="Heading2"/>
        <w:numPr>
          <w:ilvl w:val="0"/>
          <w:numId w:val="0"/>
        </w:numPr>
      </w:pPr>
      <w:bookmarkStart w:id="6" w:name="_Toc69491416"/>
      <w:bookmarkEnd w:id="5"/>
      <w:r>
        <w:lastRenderedPageBreak/>
        <w:t>3.</w:t>
      </w:r>
      <w:r>
        <w:tab/>
        <w:t>Summary of consideration and rationale for MSAC’s advice</w:t>
      </w:r>
    </w:p>
    <w:p w14:paraId="1A893FD4" w14:textId="09562B26" w:rsidR="003A2CD6" w:rsidRDefault="003A2CD6" w:rsidP="003A2CD6">
      <w:r w:rsidRPr="00516D4E">
        <w:t>MSAC</w:t>
      </w:r>
      <w:r>
        <w:t xml:space="preserve"> noted that this application from Proteomics International is requesting MBS listing of PromarkerD, a predictive test for</w:t>
      </w:r>
      <w:r w:rsidR="00853B90">
        <w:t xml:space="preserve"> assessing the risk of patients</w:t>
      </w:r>
      <w:r w:rsidR="00850816">
        <w:t xml:space="preserve"> with type 2 diabetes</w:t>
      </w:r>
      <w:r>
        <w:t xml:space="preserve"> developing DKD over the next four years. This test is proposed for people with type 2 diabetes, a urine albumin:creatinine ratio (uACR) of 30 mg/mmol or less, and an estimated glomerular filtration rate (eGFR) of at least 60 ml/min/1.72 m</w:t>
      </w:r>
      <w:r w:rsidRPr="0048260B">
        <w:rPr>
          <w:vertAlign w:val="superscript"/>
        </w:rPr>
        <w:t>2</w:t>
      </w:r>
      <w:r>
        <w:t xml:space="preserve">. PromarkerD measures </w:t>
      </w:r>
      <w:r w:rsidR="00850816">
        <w:t xml:space="preserve">the </w:t>
      </w:r>
      <w:r w:rsidR="00853B90">
        <w:t>patients</w:t>
      </w:r>
      <w:r w:rsidR="00850816">
        <w:t>’</w:t>
      </w:r>
      <w:r w:rsidR="00853B90">
        <w:t xml:space="preserve"> levels of </w:t>
      </w:r>
      <w:r>
        <w:t>three protein biomarkers in human plasma (Apo</w:t>
      </w:r>
      <w:r w:rsidR="00AB2BA1">
        <w:t>A</w:t>
      </w:r>
      <w:r>
        <w:t>4, CD5L and IBP3), which are</w:t>
      </w:r>
      <w:r w:rsidR="00853B90">
        <w:t xml:space="preserve"> then</w:t>
      </w:r>
      <w:r>
        <w:t xml:space="preserve"> entered into a proprietary software along with </w:t>
      </w:r>
      <w:r w:rsidR="00853B90">
        <w:t xml:space="preserve">their </w:t>
      </w:r>
      <w:r>
        <w:t>age, high-density lipoprotein (HDL) cholesterol level and eGFR. The software then characterises a patient as having a low, moderate or high risk of developing DKD within the next four years</w:t>
      </w:r>
      <w:r w:rsidR="00853B90">
        <w:t xml:space="preserve"> based on these inputs</w:t>
      </w:r>
      <w:r>
        <w:t>.</w:t>
      </w:r>
    </w:p>
    <w:p w14:paraId="1E626396" w14:textId="400A3C32" w:rsidR="003A2CD6" w:rsidRDefault="003A2CD6" w:rsidP="003A2CD6">
      <w:r>
        <w:t xml:space="preserve">MSAC noted that the current best practice guidelines from Diabetes Australia recommend that people with type 2 diabetes should be screened annually for DKD using uACR and eGFR. MSAC noted that </w:t>
      </w:r>
      <w:r w:rsidR="001C26F5">
        <w:t xml:space="preserve">a persistent </w:t>
      </w:r>
      <w:r>
        <w:t>uACR above 2.5–3.0 mg/mmol is indicative of microalbuminuria. Patients who initially demonstrate microalbuminuria should have their uACR tests repeated several times over at least three months to confirm that the elevated uACR is not transient, prior to assessing the</w:t>
      </w:r>
      <w:r w:rsidR="00850816">
        <w:t xml:space="preserve">ir </w:t>
      </w:r>
      <w:r>
        <w:t xml:space="preserve">risk of DKD. MSAC noted that an uACR of 25–30 mg/mmol is indicative of macroalbuminuria. </w:t>
      </w:r>
      <w:r w:rsidR="00853B90">
        <w:t>MSAC noted that under current best practice guidelines, p</w:t>
      </w:r>
      <w:r w:rsidRPr="007851D5">
        <w:t>atients with type</w:t>
      </w:r>
      <w:r>
        <w:t> </w:t>
      </w:r>
      <w:r w:rsidRPr="007851D5">
        <w:t xml:space="preserve">2 diabetes and DKD with either hypertension and/or albuminuria should </w:t>
      </w:r>
      <w:r w:rsidR="00853B90">
        <w:t xml:space="preserve">already be </w:t>
      </w:r>
      <w:r w:rsidRPr="007851D5">
        <w:t>receiv</w:t>
      </w:r>
      <w:r w:rsidR="00853B90">
        <w:t>ing</w:t>
      </w:r>
      <w:r w:rsidRPr="007851D5">
        <w:t xml:space="preserve"> either an ACE inhibitor or an angiotensin receptor blocker (ARB) to delay progression of DKD and treat hypertension if present. The current</w:t>
      </w:r>
      <w:r>
        <w:t xml:space="preserve"> clinical guidelines recommend that treatment should be started early to prevent progression.</w:t>
      </w:r>
    </w:p>
    <w:p w14:paraId="3F93347A" w14:textId="77777777" w:rsidR="003A2CD6" w:rsidRDefault="003A2CD6" w:rsidP="003A2CD6">
      <w:r>
        <w:t>MSAC noted that consultation feedback was broadly not supportive, indicating that more data were required to demonstrate the benefit of the test. There were also concerns raised about whether the best biomarkers were included in the test, and that the application did not provide an analysis comparing the performance of PromarkerD against other proteomic-derived biomarkers that are currently being studied and developed.</w:t>
      </w:r>
    </w:p>
    <w:p w14:paraId="0D511500" w14:textId="77777777" w:rsidR="003A2CD6" w:rsidRDefault="003A2CD6" w:rsidP="003A2CD6">
      <w:r>
        <w:lastRenderedPageBreak/>
        <w:t>MSAC noted that there is a risk of leakage if the item descriptor does not specify PromarkerD and the eligible population.</w:t>
      </w:r>
    </w:p>
    <w:p w14:paraId="7A9F4AF5" w14:textId="374BA9AD" w:rsidR="003A2CD6" w:rsidRDefault="003A2CD6" w:rsidP="003A2CD6">
      <w:r>
        <w:t xml:space="preserve">MSAC noted that, in the pre-MSAC response, the applicant agreed with ESC that the eligible population should be restricted to patients who are currently in the low-risk category (i.e. those with eGFR </w:t>
      </w:r>
      <w:r>
        <w:sym w:font="Symbol" w:char="F0B3"/>
      </w:r>
      <w:r>
        <w:t>60 mL/min/1.73 m</w:t>
      </w:r>
      <w:r w:rsidRPr="002D62E1">
        <w:rPr>
          <w:vertAlign w:val="superscript"/>
        </w:rPr>
        <w:t>2</w:t>
      </w:r>
      <w:r>
        <w:t xml:space="preserve"> and/or uACR &lt;2.5 mg/mmol if male or &lt;3.5 mg/mmol if female). </w:t>
      </w:r>
      <w:r w:rsidR="0081529A">
        <w:t>MSAC noted the Department’s proposal that the</w:t>
      </w:r>
      <w:r w:rsidR="009D5886">
        <w:t xml:space="preserve"> thresholds for the</w:t>
      </w:r>
      <w:r w:rsidR="0081529A">
        <w:t xml:space="preserve"> uACR levels</w:t>
      </w:r>
      <w:r w:rsidR="009D5886">
        <w:t xml:space="preserve"> that confer eligibility</w:t>
      </w:r>
      <w:r w:rsidR="0081529A">
        <w:t xml:space="preserve"> should be</w:t>
      </w:r>
      <w:r w:rsidR="009D5886">
        <w:t xml:space="preserve"> detailed</w:t>
      </w:r>
      <w:r w:rsidR="0081529A">
        <w:t xml:space="preserve"> in an explanatory note. </w:t>
      </w:r>
      <w:r>
        <w:t>MSAC considered that, because of these changes to the proposed population, the economic model would need to be revisited. MSAC noted that the applicant also agreed to</w:t>
      </w:r>
      <w:r w:rsidR="0035266A">
        <w:t xml:space="preserve"> removing the retesting suggestions for people with moderate- or high-risk scores</w:t>
      </w:r>
      <w:r w:rsidR="009D5886">
        <w:t xml:space="preserve">. Retesting would now be restricted to patients assessed as low-risk of developing DKD by the test and their </w:t>
      </w:r>
      <w:r w:rsidR="00B6799E">
        <w:t>re</w:t>
      </w:r>
      <w:r w:rsidR="009D5886">
        <w:t xml:space="preserve">testing interval </w:t>
      </w:r>
      <w:r w:rsidR="00B6799E">
        <w:t xml:space="preserve">would be restricted to a minimum of four years. </w:t>
      </w:r>
      <w:r w:rsidR="0035266A">
        <w:t xml:space="preserve"> </w:t>
      </w:r>
    </w:p>
    <w:p w14:paraId="4C0B8E6B" w14:textId="390DD133" w:rsidR="003A2CD6" w:rsidRPr="00DF3BBC" w:rsidRDefault="003A2CD6" w:rsidP="003A2CD6">
      <w:r>
        <w:t>MSAC noted that the proposed fee for the test</w:t>
      </w:r>
      <w:r w:rsidR="00E1071C" w:rsidRPr="00A501C6">
        <w:t xml:space="preserve"> </w:t>
      </w:r>
      <w:r w:rsidR="003122F2">
        <w:t xml:space="preserve"> </w:t>
      </w:r>
      <w:r>
        <w:t>is $250, which exceeds the schedule fees of other MBS items in Group P2 – Chemical (all less than $100).</w:t>
      </w:r>
      <w:r w:rsidR="009D7BE7">
        <w:t xml:space="preserve"> MSAC noted that the applicant stated in the pre-ESC response that the fee covers all components of the test blood draw, enzyme-linked immunosorbent assay test for PromarkerD biomarker detection, HDL cholesterol and kidney function tests (uACR and eGFR), and PromarkerD algorithm use through the proprietary PromarkerD Hub.</w:t>
      </w:r>
      <w:r>
        <w:t xml:space="preserve"> </w:t>
      </w:r>
      <w:r w:rsidR="00B46697">
        <w:t xml:space="preserve">The fee therefore </w:t>
      </w:r>
      <w:r>
        <w:t>accounts for components of the test that are not provided under the proposed service</w:t>
      </w:r>
      <w:r w:rsidR="00B6799E">
        <w:t xml:space="preserve"> (i</w:t>
      </w:r>
      <w:r w:rsidR="00994E04">
        <w:t>.</w:t>
      </w:r>
      <w:r w:rsidR="00B6799E">
        <w:t>e. HDL cholesterol and kidney function tests)</w:t>
      </w:r>
      <w:r w:rsidR="00B46697">
        <w:t xml:space="preserve"> as well as </w:t>
      </w:r>
      <w:r>
        <w:t xml:space="preserve">the cost of developing the technology, and the ongoing supply of the PromarkerD test kits. MSAC questioned </w:t>
      </w:r>
      <w:r w:rsidR="00183EEB">
        <w:t>the appropriateness of this as there would be cases where patients have already undertaken some or all of the tests not provided under the proposed services and cases where they have not undertaken any of these tests</w:t>
      </w:r>
      <w:r>
        <w:t>.</w:t>
      </w:r>
    </w:p>
    <w:p w14:paraId="72636A9F" w14:textId="2043F3EC" w:rsidR="003A2CD6" w:rsidRDefault="003A2CD6" w:rsidP="003A2CD6">
      <w:r>
        <w:t>MSAC noted that the comparator is usual care. MSAC considered PromarkerD to be an additional test to usual care, not a replacement, as patients with diabetes should always be screened with uACR at least once a year</w:t>
      </w:r>
      <w:r w:rsidR="00B6799E">
        <w:t>, in accordance with Kidney Disease: Improving Global Outcomes (KDIGO) guidelines</w:t>
      </w:r>
      <w:r>
        <w:t xml:space="preserve">. </w:t>
      </w:r>
      <w:r w:rsidR="004D0323">
        <w:t xml:space="preserve">MSAC clarified that </w:t>
      </w:r>
      <w:r>
        <w:t>PromarkerD is a predictive test, meaning it is a “risk assessment” and not a true “test” of disease presence. MSAC also considered that usual care may also involve:</w:t>
      </w:r>
    </w:p>
    <w:p w14:paraId="20A4E636" w14:textId="4227C80E" w:rsidR="00F87E5F" w:rsidRDefault="003A2CD6" w:rsidP="0098040B">
      <w:pPr>
        <w:pStyle w:val="ListParagraph"/>
        <w:numPr>
          <w:ilvl w:val="0"/>
          <w:numId w:val="29"/>
        </w:numPr>
        <w:spacing w:before="0"/>
      </w:pPr>
      <w:r>
        <w:t>screening for the presence of microalbuminuria</w:t>
      </w:r>
    </w:p>
    <w:p w14:paraId="3820EE7A" w14:textId="1964C170" w:rsidR="003A2CD6" w:rsidRDefault="00B6799E" w:rsidP="003A2CD6">
      <w:pPr>
        <w:pStyle w:val="ListParagraph"/>
        <w:numPr>
          <w:ilvl w:val="0"/>
          <w:numId w:val="29"/>
        </w:numPr>
        <w:spacing w:before="0"/>
      </w:pPr>
      <w:r>
        <w:t xml:space="preserve">considering </w:t>
      </w:r>
      <w:r w:rsidR="003A2CD6">
        <w:t xml:space="preserve">treating the patient for hypertension, </w:t>
      </w:r>
      <w:r>
        <w:t>dys</w:t>
      </w:r>
      <w:r w:rsidR="003A2CD6">
        <w:t>lipid</w:t>
      </w:r>
      <w:r>
        <w:t>aemia</w:t>
      </w:r>
      <w:r w:rsidR="001556B4">
        <w:t xml:space="preserve"> </w:t>
      </w:r>
      <w:r w:rsidR="003A2CD6">
        <w:t xml:space="preserve">and </w:t>
      </w:r>
      <w:r>
        <w:t xml:space="preserve">other </w:t>
      </w:r>
      <w:r w:rsidR="003A2CD6">
        <w:t>cardiovascular disease (CVD) risk</w:t>
      </w:r>
      <w:r>
        <w:t>s</w:t>
      </w:r>
      <w:r w:rsidR="003A2CD6">
        <w:t xml:space="preserve"> (given that many patients with diabetes have high CVD risk).</w:t>
      </w:r>
    </w:p>
    <w:p w14:paraId="6269A0D9" w14:textId="6ECB7381" w:rsidR="003A2CD6" w:rsidRDefault="003A2CD6" w:rsidP="003A2CD6">
      <w:r>
        <w:t>MSAC considered that there are many aspects of a patient’s risk profile that inform shared decision making and treatment of the patient. For example, if a patient</w:t>
      </w:r>
      <w:r w:rsidR="00F7376D">
        <w:t xml:space="preserve"> </w:t>
      </w:r>
      <w:r>
        <w:t xml:space="preserve">has normal uACR and </w:t>
      </w:r>
      <w:r w:rsidR="00F7376D">
        <w:t xml:space="preserve">is </w:t>
      </w:r>
      <w:r>
        <w:t>deemed to be at low risk of DKD using PromarkerD but is hypertensive or has high cholesterol</w:t>
      </w:r>
      <w:r w:rsidR="00B6799E">
        <w:t xml:space="preserve"> levels,</w:t>
      </w:r>
      <w:r w:rsidR="00334A30">
        <w:t xml:space="preserve"> </w:t>
      </w:r>
      <w:r w:rsidR="00676E2E">
        <w:t>(</w:t>
      </w:r>
      <w:r w:rsidR="00B6799E">
        <w:t>and therefore is at</w:t>
      </w:r>
      <w:r>
        <w:t xml:space="preserve"> high CVD risk), the patient will </w:t>
      </w:r>
      <w:r w:rsidR="00471611">
        <w:t xml:space="preserve">likely </w:t>
      </w:r>
      <w:r>
        <w:t>be treated</w:t>
      </w:r>
      <w:r w:rsidR="00471611">
        <w:t xml:space="preserve"> with </w:t>
      </w:r>
      <w:r w:rsidR="00F7376D">
        <w:t xml:space="preserve">anti-hypertensive and/or hyperlipaemia </w:t>
      </w:r>
      <w:r w:rsidR="00471611">
        <w:t>medication(s).</w:t>
      </w:r>
      <w:r>
        <w:t xml:space="preserve"> Therefore, MSAC considered the clinical utility of the test to be uncertain and questioned how it would change management.</w:t>
      </w:r>
      <w:r w:rsidR="00BF168E">
        <w:t xml:space="preserve"> MSAC noted that, in addition to DKD, management of patients with diabetes is also focused on optimising treatment of all risk factors associated with diabetes related complications. </w:t>
      </w:r>
      <w:r>
        <w:t xml:space="preserve">MSAC considered that the test may possibly only be useful for its negative predictive value (NPV) in patients who will not accept any treatment or who are reluctant to </w:t>
      </w:r>
      <w:r w:rsidR="00471611">
        <w:t xml:space="preserve">be </w:t>
      </w:r>
      <w:r>
        <w:t>screen</w:t>
      </w:r>
      <w:r w:rsidR="00471611">
        <w:t>ed</w:t>
      </w:r>
      <w:r>
        <w:t xml:space="preserve">. However, MSAC considered that </w:t>
      </w:r>
      <w:r w:rsidR="000774E7">
        <w:t xml:space="preserve">if the main clinical utility of the test is its </w:t>
      </w:r>
      <w:r w:rsidR="00850816">
        <w:t>NPV</w:t>
      </w:r>
      <w:r w:rsidR="000774E7">
        <w:t xml:space="preserve">, one downside of this is that </w:t>
      </w:r>
      <w:r>
        <w:t>this may then lead to</w:t>
      </w:r>
      <w:r w:rsidR="00471611">
        <w:t xml:space="preserve"> the clinician and patient being falsely reassured and</w:t>
      </w:r>
      <w:r>
        <w:t xml:space="preserve"> inadvertent underscreening for other risk factors.</w:t>
      </w:r>
    </w:p>
    <w:p w14:paraId="094C9F91" w14:textId="36537A0B" w:rsidR="003A2CD6" w:rsidRPr="00DF3BBC" w:rsidRDefault="003A2CD6" w:rsidP="003A2CD6">
      <w:r>
        <w:lastRenderedPageBreak/>
        <w:t xml:space="preserve">MSAC noted that the evidence base comprised three categories: prognostic evidence for longitudinal accuracy </w:t>
      </w:r>
      <w:r w:rsidR="00A36901">
        <w:t xml:space="preserve">which relied on </w:t>
      </w:r>
      <w:r>
        <w:t>two studies of prognostic models</w:t>
      </w:r>
      <w:r w:rsidR="00A36901">
        <w:t xml:space="preserve"> (Peters et al. 2019</w:t>
      </w:r>
      <w:r w:rsidR="0059516F">
        <w:rPr>
          <w:rStyle w:val="FootnoteReference"/>
        </w:rPr>
        <w:footnoteReference w:id="2"/>
      </w:r>
      <w:r w:rsidR="00A36901">
        <w:t xml:space="preserve"> and 2020</w:t>
      </w:r>
      <w:r w:rsidR="0059516F">
        <w:rPr>
          <w:rStyle w:val="FootnoteReference"/>
        </w:rPr>
        <w:footnoteReference w:id="3"/>
      </w:r>
      <w:r w:rsidR="00A36901">
        <w:t>)</w:t>
      </w:r>
      <w:r>
        <w:t xml:space="preserve">, change in patient management (one survey of clinician intent) and health outcomes (seven trials comparing different interventions). </w:t>
      </w:r>
      <w:r w:rsidR="006F30BE">
        <w:t xml:space="preserve">MSAC noted that the commentary </w:t>
      </w:r>
      <w:r>
        <w:t xml:space="preserve">determined that the evidence base for prognostic </w:t>
      </w:r>
      <w:r w:rsidR="001556B4">
        <w:t>accuracy</w:t>
      </w:r>
      <w:r>
        <w:t xml:space="preserve"> and change in patient management </w:t>
      </w:r>
      <w:r w:rsidR="00471611">
        <w:t xml:space="preserve">was at </w:t>
      </w:r>
      <w:r>
        <w:t xml:space="preserve">a high risk of bias. MSAC noted that the </w:t>
      </w:r>
      <w:r w:rsidR="00CA3A53">
        <w:t xml:space="preserve">commentary </w:t>
      </w:r>
      <w:r>
        <w:t xml:space="preserve">did not assess the risk of bias for the health outcomes evidence, given the lack of evidence for longitudinal accuracy and change in patient management </w:t>
      </w:r>
      <w:r w:rsidR="009B5717">
        <w:t xml:space="preserve">that </w:t>
      </w:r>
      <w:r>
        <w:t xml:space="preserve">could be linked to the use of PromarkerD. </w:t>
      </w:r>
      <w:r w:rsidRPr="00777382">
        <w:t>MSAC also noted that there are concerns about a lac</w:t>
      </w:r>
      <w:r w:rsidRPr="006C03C0">
        <w:t>k of independent validation</w:t>
      </w:r>
      <w:r w:rsidR="00404760" w:rsidRPr="001E6CED">
        <w:t xml:space="preserve"> of the studies cited as they </w:t>
      </w:r>
      <w:r w:rsidRPr="00777382">
        <w:t>appear to have been undertaken by inter-related authors, and there could be potential conflicts of interest where authors are employed by organisations that are</w:t>
      </w:r>
      <w:r w:rsidR="00404760" w:rsidRPr="001E6CED">
        <w:t xml:space="preserve"> commercial</w:t>
      </w:r>
      <w:r w:rsidRPr="00777382">
        <w:t xml:space="preserve"> beneficiaries of the</w:t>
      </w:r>
      <w:r w:rsidR="00404760" w:rsidRPr="001E6CED">
        <w:t xml:space="preserve"> test</w:t>
      </w:r>
      <w:r w:rsidRPr="00777382">
        <w:t>.</w:t>
      </w:r>
    </w:p>
    <w:p w14:paraId="5B924561" w14:textId="624CA203" w:rsidR="003A2CD6" w:rsidRPr="00DF3BBC" w:rsidRDefault="003A2CD6" w:rsidP="003A2CD6">
      <w:r>
        <w:t xml:space="preserve">Regarding comparative safety, MSAC noted that there are safety issues </w:t>
      </w:r>
      <w:r w:rsidR="009B5717">
        <w:t>associated with</w:t>
      </w:r>
      <w:r>
        <w:t xml:space="preserve"> false positive and false negative results</w:t>
      </w:r>
      <w:r w:rsidR="009B5717">
        <w:t xml:space="preserve"> from the test</w:t>
      </w:r>
      <w:r>
        <w:t xml:space="preserve">. MSAC noted that some patients may have their treatment increased based on a false positive risk score, with subsequent </w:t>
      </w:r>
      <w:r w:rsidR="00BB66DE">
        <w:t xml:space="preserve">potential </w:t>
      </w:r>
      <w:r>
        <w:t>harms from the treatment. Alternatively, false</w:t>
      </w:r>
      <w:r w:rsidR="009B5717">
        <w:t xml:space="preserve"> </w:t>
      </w:r>
      <w:r>
        <w:t xml:space="preserve">negative </w:t>
      </w:r>
      <w:r w:rsidR="009B5717">
        <w:t>results may lead to complacency</w:t>
      </w:r>
      <w:r>
        <w:t xml:space="preserve">, and </w:t>
      </w:r>
      <w:r w:rsidR="009B5717">
        <w:t xml:space="preserve">cause </w:t>
      </w:r>
      <w:r>
        <w:t>delay</w:t>
      </w:r>
      <w:r w:rsidR="009B5717">
        <w:t>s in</w:t>
      </w:r>
      <w:r>
        <w:t xml:space="preserve"> routine screening</w:t>
      </w:r>
      <w:r w:rsidR="00C97E90">
        <w:t xml:space="preserve"> for </w:t>
      </w:r>
      <w:r w:rsidR="00953EB1">
        <w:t>renal disease as well as other non-renal related risks</w:t>
      </w:r>
      <w:r>
        <w:t xml:space="preserve">. MSAC noted that these issues were </w:t>
      </w:r>
      <w:r w:rsidR="00160BE2">
        <w:t xml:space="preserve">initially </w:t>
      </w:r>
      <w:r>
        <w:t>dismissed by the applicant-developed assessment report (ADAR)</w:t>
      </w:r>
      <w:r w:rsidR="00160BE2">
        <w:t xml:space="preserve"> though the </w:t>
      </w:r>
      <w:r>
        <w:t>pre-MSAC response</w:t>
      </w:r>
      <w:r w:rsidR="00160BE2">
        <w:t xml:space="preserve"> acknowledged these concerns and in particular the low </w:t>
      </w:r>
      <w:r w:rsidR="00BB773C">
        <w:t>positive predictive value</w:t>
      </w:r>
      <w:r w:rsidR="00EF59AB">
        <w:t xml:space="preserve"> of the test</w:t>
      </w:r>
      <w:r w:rsidR="00160BE2">
        <w:t xml:space="preserve"> (which implies a high false positive rate)</w:t>
      </w:r>
      <w:r>
        <w:t>.</w:t>
      </w:r>
    </w:p>
    <w:p w14:paraId="157C93ED" w14:textId="18A26FB8" w:rsidR="003A2CD6" w:rsidRDefault="003A2CD6" w:rsidP="003A2CD6">
      <w:r>
        <w:t xml:space="preserve">MSAC noted </w:t>
      </w:r>
      <w:r w:rsidR="00BB773C">
        <w:t xml:space="preserve">in reviewing the evidence on prognostic test accuracy </w:t>
      </w:r>
      <w:r>
        <w:t>that although the methodology used to determine test accuracy seems appropriate, issues remain around the external validity study of Peters et al. 2020, and there is a high risk of bias</w:t>
      </w:r>
      <w:r w:rsidR="00BB773C">
        <w:t xml:space="preserve"> for both the two key studies</w:t>
      </w:r>
      <w:r>
        <w:t>. MSAC noted that the commentary calculated the following additional measures:</w:t>
      </w:r>
    </w:p>
    <w:p w14:paraId="67439DF9" w14:textId="77777777" w:rsidR="003A2CD6" w:rsidRDefault="003A2CD6" w:rsidP="003A2CD6">
      <w:pPr>
        <w:pStyle w:val="ListParagraph"/>
        <w:numPr>
          <w:ilvl w:val="0"/>
          <w:numId w:val="30"/>
        </w:numPr>
        <w:spacing w:before="0"/>
      </w:pPr>
      <w:r>
        <w:t>C-statistic (area under the curve, concordance index) for test discrimination – this was found to be adequate</w:t>
      </w:r>
    </w:p>
    <w:p w14:paraId="2810401C" w14:textId="77777777" w:rsidR="003A2CD6" w:rsidRDefault="003A2CD6" w:rsidP="003A2CD6">
      <w:pPr>
        <w:pStyle w:val="ListParagraph"/>
        <w:numPr>
          <w:ilvl w:val="0"/>
          <w:numId w:val="30"/>
        </w:numPr>
        <w:spacing w:before="0"/>
      </w:pPr>
      <w:r>
        <w:t>calibration as a measure of accuracy of predicted risk probabilities – this showed moderate (in Peters et al. 2019) to poor (in Peters et al. 2020) calibration</w:t>
      </w:r>
    </w:p>
    <w:p w14:paraId="1278462B" w14:textId="6022CD93" w:rsidR="003A2CD6" w:rsidRDefault="003A2CD6" w:rsidP="003A2CD6">
      <w:pPr>
        <w:pStyle w:val="ListParagraph"/>
        <w:numPr>
          <w:ilvl w:val="0"/>
          <w:numId w:val="30"/>
        </w:numPr>
        <w:spacing w:before="0"/>
      </w:pPr>
      <w:r>
        <w:t xml:space="preserve">PPV and NPV – PPV appears to be low (30.4% from Peters et al. 2019 and 58.8% from Peters et al. 2020, compared with NPV of 98.1% and 86.4%). </w:t>
      </w:r>
      <w:r w:rsidR="002226ED">
        <w:t>As noted previously, i</w:t>
      </w:r>
      <w:r>
        <w:t>n the pre-MSAC response, the applicant states that the strength of PromarkerD is its ability to rule out patients at low risk (i.e. a high NPV)</w:t>
      </w:r>
      <w:r w:rsidR="002226ED">
        <w:t xml:space="preserve"> rather than the PPV. </w:t>
      </w:r>
    </w:p>
    <w:p w14:paraId="2B28AADA" w14:textId="77777777" w:rsidR="003A2CD6" w:rsidRDefault="003A2CD6" w:rsidP="003A2CD6">
      <w:pPr>
        <w:pStyle w:val="ListParagraph"/>
        <w:numPr>
          <w:ilvl w:val="0"/>
          <w:numId w:val="30"/>
        </w:numPr>
        <w:spacing w:before="0"/>
      </w:pPr>
      <w:r>
        <w:t>ability to predict decline in eGFR (greater than 30%) over four years – this was found to be poor.</w:t>
      </w:r>
    </w:p>
    <w:p w14:paraId="522F2EC2" w14:textId="72FC24F6" w:rsidR="003A2CD6" w:rsidRDefault="003A2CD6" w:rsidP="003A2CD6">
      <w:r>
        <w:t xml:space="preserve">For change in management, MSAC noted that the evidence only consisted of a survey of intent, and not actual evidence of change. MSAC noted the pre-MSAC response that stated that real-world evidence of change in management </w:t>
      </w:r>
      <w:r w:rsidR="00855496">
        <w:t>could not be undertaken</w:t>
      </w:r>
      <w:r>
        <w:t xml:space="preserve"> as it would be unethical. MSAC noted that the results of the American survey by Fusfeld et al. (2022)</w:t>
      </w:r>
      <w:r w:rsidR="00BF1C8C">
        <w:rPr>
          <w:rStyle w:val="FootnoteReference"/>
        </w:rPr>
        <w:footnoteReference w:id="4"/>
      </w:r>
      <w:r>
        <w:t>, reported in the ADAR, showed that PromarkerD was not considered to be the most important factor in making a decision for prescribing or replacing therapy.</w:t>
      </w:r>
    </w:p>
    <w:p w14:paraId="77219FD7" w14:textId="491E1471" w:rsidR="003A2CD6" w:rsidRDefault="002226ED" w:rsidP="003A2CD6">
      <w:r>
        <w:t xml:space="preserve">As noted previously, due to the lack of evidence for change in management, the </w:t>
      </w:r>
      <w:r w:rsidR="003A2CD6">
        <w:t>linked evidence for health outcomes was not assessed.</w:t>
      </w:r>
    </w:p>
    <w:p w14:paraId="5FFDF35D" w14:textId="621F6EE3" w:rsidR="003A2CD6" w:rsidRDefault="003A2CD6" w:rsidP="003A2CD6">
      <w:r>
        <w:lastRenderedPageBreak/>
        <w:t xml:space="preserve">MSAC identified several other issues. MSAC considered that there is insufficient information provided about the main features of PromarkerD to understand what effect the individual input variables have on the output of the prediction models (the pre-MSAC response stated that input variables will not be provided as </w:t>
      </w:r>
      <w:r w:rsidR="00C1154F">
        <w:t xml:space="preserve">the applicant is taking a </w:t>
      </w:r>
      <w:r>
        <w:t>“black box”</w:t>
      </w:r>
      <w:r w:rsidR="00C1154F">
        <w:t xml:space="preserve"> algorithm approach to Pro</w:t>
      </w:r>
      <w:r w:rsidR="002F2718">
        <w:t>m</w:t>
      </w:r>
      <w:r w:rsidR="00C1154F">
        <w:t>arkerD as per the MSAC Guidelines</w:t>
      </w:r>
      <w:r>
        <w:t xml:space="preserve">). It is also not possible to determine the incremental benefit of the PromarkerD biomarkers in addition to the clinical factors alone (uACR, eGFR) because the evidence for the clinical factors as prognostic markers has not been reported. </w:t>
      </w:r>
    </w:p>
    <w:p w14:paraId="2C6E2528" w14:textId="4CD835FE" w:rsidR="003A2CD6" w:rsidRDefault="003A2CD6" w:rsidP="003A2CD6">
      <w:r>
        <w:t xml:space="preserve">MSAC also noted that there is no information about the algorithm used to generate the results, nor is it clear whether or how comorbidities have been accounted for in the PromarkerD algorithm. MSAC noted </w:t>
      </w:r>
      <w:r w:rsidR="00190625">
        <w:t xml:space="preserve">that </w:t>
      </w:r>
      <w:r>
        <w:t>the pre-MSAC response stated that the value of additional clinical markers such as comorbidities does not change the model predictions. However, MSAC considered that treatment decisions for diabetes management are multifactorial and not based on test outcomes alone. The ADAR did not discuss how PromarkerD will interact with, for example, patients with a family history of diabetes or renal disease, or a previous or high risk of CVD.</w:t>
      </w:r>
    </w:p>
    <w:p w14:paraId="1894385D" w14:textId="42D3B08A" w:rsidR="003A2CD6" w:rsidRDefault="003A2CD6" w:rsidP="003A2CD6">
      <w:r>
        <w:t xml:space="preserve">MSAC noted that the economic evaluation was a cost-effectiveness analysis and a cost-utility analysis, using a time horizon of 30 years. It used a complex individual Monte Carlo simulation state transition model (10,000 patients in the cohort), with a cycle length of one year. MSAC noted that the economic model did not include test outcomes, accuracy of the test or test frequency, and non-DKD clinical events only figure into the risk of DKD, not the costs or outcomes. MSAC also noted concerns around the stability of the results, the suitability of the Nelson equation and its applicability to the Australian population, that only one-way sensitivity analyses were presented, and that the model overestimates prescribing and compliance with treatment (which would result in a bias towards a lower incremental cost-effectiveness ratio </w:t>
      </w:r>
      <w:r w:rsidR="008D2209">
        <w:t>(</w:t>
      </w:r>
      <w:r>
        <w:t>ICER).</w:t>
      </w:r>
    </w:p>
    <w:p w14:paraId="0943108B" w14:textId="0DA219E0" w:rsidR="003A2CD6" w:rsidRPr="00DF3BBC" w:rsidRDefault="003A2CD6" w:rsidP="003A2CD6">
      <w:r>
        <w:t>MSAC also noted that the ICER is highly sensitive to the mean PromarkerD risk category. MSAC noted that the trial data population’s mean for PromarkerD risk category scores (0 = low, 1 = moderate, 2 = high) was used as an input in the simulation. The sensitivity analysis for PromarkerD risk simply adjusted this mean of the categorical variable up and down by 20%. MSAC noted that, according to the sensitivity analysis, a change of 20% (upwards and downwards) changes the ICER substantially – a 20% decrease in the mean score resulted in an ICER of</w:t>
      </w:r>
      <w:r w:rsidR="0091431D">
        <w:t xml:space="preserve"> </w:t>
      </w:r>
      <w:r w:rsidR="004B6555" w:rsidRPr="00680118">
        <w:rPr>
          <w:b/>
          <w:bCs/>
          <w:color w:val="000000"/>
          <w:w w:val="61"/>
          <w:shd w:val="solid" w:color="000000" w:fill="000000"/>
          <w:fitText w:val="880" w:id="-1286897408"/>
          <w14:textFill>
            <w14:solidFill>
              <w14:srgbClr w14:val="000000">
                <w14:alpha w14:val="100000"/>
              </w14:srgbClr>
            </w14:solidFill>
          </w14:textFill>
        </w:rPr>
        <w:t>|||||||||||</w:t>
      </w:r>
      <w:r w:rsidR="004B6555" w:rsidRPr="00680118">
        <w:rPr>
          <w:b/>
          <w:bCs/>
          <w:color w:val="000000"/>
          <w:spacing w:val="80"/>
          <w:w w:val="61"/>
          <w:shd w:val="solid" w:color="000000" w:fill="000000"/>
          <w:fitText w:val="880" w:id="-1286897408"/>
          <w14:textFill>
            <w14:solidFill>
              <w14:srgbClr w14:val="000000">
                <w14:alpha w14:val="100000"/>
              </w14:srgbClr>
            </w14:solidFill>
          </w14:textFill>
        </w:rPr>
        <w:t>|</w:t>
      </w:r>
      <w:r>
        <w:t xml:space="preserve">, while a 20% increase in the mean score resulted in an ICER of </w:t>
      </w:r>
      <w:r w:rsidR="004B6555" w:rsidRPr="009E577F">
        <w:rPr>
          <w:b/>
          <w:bCs/>
          <w:color w:val="000000"/>
          <w:spacing w:val="7"/>
          <w:w w:val="60"/>
          <w:shd w:val="solid" w:color="000000" w:fill="000000"/>
          <w:fitText w:val="872" w:id="-1286897407"/>
          <w14:textFill>
            <w14:solidFill>
              <w14:srgbClr w14:val="000000">
                <w14:alpha w14:val="100000"/>
              </w14:srgbClr>
            </w14:solidFill>
          </w14:textFill>
        </w:rPr>
        <w:t>|||||||||||</w:t>
      </w:r>
      <w:r w:rsidR="004B6555" w:rsidRPr="009E577F">
        <w:rPr>
          <w:b/>
          <w:bCs/>
          <w:color w:val="000000"/>
          <w:spacing w:val="4"/>
          <w:w w:val="60"/>
          <w:shd w:val="solid" w:color="000000" w:fill="000000"/>
          <w:fitText w:val="872" w:id="-1286897407"/>
          <w14:textFill>
            <w14:solidFill>
              <w14:srgbClr w14:val="000000">
                <w14:alpha w14:val="100000"/>
              </w14:srgbClr>
            </w14:solidFill>
          </w14:textFill>
        </w:rPr>
        <w:t>|</w:t>
      </w:r>
      <w:r>
        <w:t>. MSAC noted that the pre-MSAC response claimed that it is more appropriate to use the overall mean risk category score in the sensitivity analysis, but MSAC considered that it may be more appropriate to estimate the impact of certain proportions</w:t>
      </w:r>
      <w:r w:rsidR="00F31B11">
        <w:t xml:space="preserve"> of the patient population</w:t>
      </w:r>
      <w:r>
        <w:t xml:space="preserve"> changing </w:t>
      </w:r>
      <w:r w:rsidR="00F31B11">
        <w:t xml:space="preserve">risk </w:t>
      </w:r>
      <w:r>
        <w:t>categories.</w:t>
      </w:r>
    </w:p>
    <w:p w14:paraId="6CDE6648" w14:textId="1D86D482" w:rsidR="003A2CD6" w:rsidRPr="00DF3BBC" w:rsidRDefault="003A2CD6" w:rsidP="003A2CD6">
      <w:r>
        <w:t>Regarding financial impacts, PBS costs were not included in the financial analysis</w:t>
      </w:r>
      <w:r w:rsidR="00F31B11">
        <w:t xml:space="preserve"> based on the ADAR’s rationale that </w:t>
      </w:r>
      <w:r>
        <w:t>the test was “not expected to impact other health budgets during the first six years of listing”</w:t>
      </w:r>
      <w:r w:rsidR="00A71305">
        <w:t>. However</w:t>
      </w:r>
      <w:r w:rsidR="00F87E5F">
        <w:t>,</w:t>
      </w:r>
      <w:r>
        <w:t xml:space="preserve"> the pre-ESC response stated that “the listing of PromarkerD will generate a minor cost (&lt;$10M) to the </w:t>
      </w:r>
      <w:r w:rsidR="00DA744A">
        <w:t>Pharmaceutical Benefits Scheme (</w:t>
      </w:r>
      <w:r>
        <w:t>PBS</w:t>
      </w:r>
      <w:r w:rsidR="00DA744A">
        <w:t>)</w:t>
      </w:r>
      <w:r>
        <w:t xml:space="preserve"> in each of the first six years of listing, as a result of introducing new treatment to type 2 diabetes mellitus patients”. MSAC considered that this may be </w:t>
      </w:r>
      <w:r w:rsidR="002D2DC4">
        <w:t xml:space="preserve">an </w:t>
      </w:r>
      <w:r>
        <w:t>underestimate.</w:t>
      </w:r>
      <w:r w:rsidR="002D2DC4">
        <w:t xml:space="preserve"> </w:t>
      </w:r>
      <w:r w:rsidR="00A71305">
        <w:t xml:space="preserve">For instance, </w:t>
      </w:r>
      <w:r w:rsidR="002D2DC4">
        <w:t xml:space="preserve">MSAC </w:t>
      </w:r>
      <w:r w:rsidR="00A71305">
        <w:t xml:space="preserve">queried whether </w:t>
      </w:r>
      <w:r w:rsidR="002D2DC4">
        <w:t>the financial analysis account</w:t>
      </w:r>
      <w:r w:rsidR="00A71305">
        <w:t>ed</w:t>
      </w:r>
      <w:r w:rsidR="002D2DC4">
        <w:t xml:space="preserve"> for PBS costs of additional treatments for those in the low-risk category who are then reclassified to a higher risk category. </w:t>
      </w:r>
      <w:r>
        <w:t xml:space="preserve"> </w:t>
      </w:r>
      <w:r w:rsidRPr="006C03C0">
        <w:t>MSAC noted that</w:t>
      </w:r>
      <w:r w:rsidR="00A71305" w:rsidRPr="001E6CED">
        <w:t xml:space="preserve"> after restricting the eligible population to only those in the low-risk (green) category</w:t>
      </w:r>
      <w:r w:rsidR="007D6405" w:rsidRPr="001E6CED">
        <w:t xml:space="preserve"> </w:t>
      </w:r>
      <w:r w:rsidR="007D6405" w:rsidRPr="006C03C0">
        <w:t xml:space="preserve">(i.e. those with eGFR </w:t>
      </w:r>
      <w:r w:rsidR="007D6405" w:rsidRPr="006C03C0">
        <w:sym w:font="Symbol" w:char="F0B3"/>
      </w:r>
      <w:r w:rsidR="007D6405" w:rsidRPr="006C03C0">
        <w:t>60 mL/min/1.73 m</w:t>
      </w:r>
      <w:r w:rsidR="007D6405" w:rsidRPr="006C03C0">
        <w:rPr>
          <w:vertAlign w:val="superscript"/>
        </w:rPr>
        <w:t>2</w:t>
      </w:r>
      <w:r w:rsidR="007D6405" w:rsidRPr="006C03C0">
        <w:t xml:space="preserve"> and/or uACR &lt;2.5 mg/mmol if male or &lt;3.5 mg/mmol if female)</w:t>
      </w:r>
      <w:r w:rsidR="00A71305" w:rsidRPr="001E6CED">
        <w:t xml:space="preserve"> </w:t>
      </w:r>
      <w:r w:rsidRPr="006C03C0">
        <w:t>the net costs</w:t>
      </w:r>
      <w:r w:rsidR="00A71305" w:rsidRPr="001E6CED">
        <w:t xml:space="preserve"> of listing </w:t>
      </w:r>
      <w:r w:rsidR="000F63F9">
        <w:t>PromarkerD</w:t>
      </w:r>
      <w:r w:rsidR="00A71305" w:rsidRPr="001E6CED">
        <w:t xml:space="preserve"> taking into account </w:t>
      </w:r>
      <w:r w:rsidR="007D6405" w:rsidRPr="001E6CED">
        <w:t xml:space="preserve">both </w:t>
      </w:r>
      <w:r w:rsidR="00A71305" w:rsidRPr="001E6CED">
        <w:t xml:space="preserve">the </w:t>
      </w:r>
      <w:r w:rsidRPr="006C03C0">
        <w:t>MBS</w:t>
      </w:r>
      <w:r w:rsidR="00A71305" w:rsidRPr="001E6CED">
        <w:t xml:space="preserve"> and PBS</w:t>
      </w:r>
      <w:r w:rsidRPr="006C03C0">
        <w:t xml:space="preserve"> over </w:t>
      </w:r>
      <w:r w:rsidR="00A71305" w:rsidRPr="001E6CED">
        <w:t xml:space="preserve">six years </w:t>
      </w:r>
      <w:r w:rsidRPr="006C03C0">
        <w:t>ranged from $5.7 million</w:t>
      </w:r>
      <w:r w:rsidR="00F31B11" w:rsidRPr="001E6CED">
        <w:t xml:space="preserve"> in 2022</w:t>
      </w:r>
      <w:r w:rsidRPr="006C03C0">
        <w:t xml:space="preserve"> to $28 million</w:t>
      </w:r>
      <w:r w:rsidR="00F31B11" w:rsidRPr="001E6CED">
        <w:t xml:space="preserve"> in 2027</w:t>
      </w:r>
      <w:r w:rsidRPr="006C03C0">
        <w:t>.</w:t>
      </w:r>
    </w:p>
    <w:p w14:paraId="2B06C46E" w14:textId="12DE2CC9" w:rsidR="003A2CD6" w:rsidRDefault="003A2CD6" w:rsidP="003A2CD6">
      <w:r>
        <w:lastRenderedPageBreak/>
        <w:t xml:space="preserve">MSAC also noted that there was uncertainty around the uptake of the test. The applicant estimated uptake as 15%; however, the commentary estimated this would more likely be 30%. This increases the estimated net cost to the MBS to $45 million in </w:t>
      </w:r>
      <w:r w:rsidR="002A4FB1">
        <w:t>Y</w:t>
      </w:r>
      <w:r>
        <w:t>ear 6 (</w:t>
      </w:r>
      <w:r w:rsidR="00E56247">
        <w:t xml:space="preserve">though this estimate is </w:t>
      </w:r>
      <w:r>
        <w:t xml:space="preserve">based on the original </w:t>
      </w:r>
      <w:r w:rsidR="00E56247">
        <w:t xml:space="preserve">proposed </w:t>
      </w:r>
      <w:r>
        <w:t>population).</w:t>
      </w:r>
    </w:p>
    <w:p w14:paraId="3DAA7592" w14:textId="58934356" w:rsidR="003A2CD6" w:rsidRDefault="003A2CD6" w:rsidP="003A2CD6">
      <w:r>
        <w:t xml:space="preserve">MSAC also noted that the ADAR did not adequately address implementation concerns around the capability of pathologists to </w:t>
      </w:r>
      <w:r w:rsidR="008606EC">
        <w:t xml:space="preserve">process </w:t>
      </w:r>
      <w:r>
        <w:t xml:space="preserve">the </w:t>
      </w:r>
      <w:r w:rsidR="008606EC">
        <w:t xml:space="preserve">results of </w:t>
      </w:r>
      <w:r>
        <w:t>PromarkerD test kits</w:t>
      </w:r>
      <w:r w:rsidR="008606EC">
        <w:t xml:space="preserve"> if </w:t>
      </w:r>
      <w:r w:rsidR="000F63F9">
        <w:t xml:space="preserve">PromarkerD </w:t>
      </w:r>
      <w:r w:rsidR="008606EC">
        <w:t>were listed</w:t>
      </w:r>
      <w:r>
        <w:t xml:space="preserve">, and the need for extra </w:t>
      </w:r>
      <w:r w:rsidR="003F4E97">
        <w:t xml:space="preserve">medical </w:t>
      </w:r>
      <w:r>
        <w:t>consultations and blood collection for repeat testing (and the costs associated with these).</w:t>
      </w:r>
    </w:p>
    <w:p w14:paraId="4F6D3210" w14:textId="2E1C8C67" w:rsidR="003A2CD6" w:rsidRPr="00AF46D8" w:rsidRDefault="003A2CD6" w:rsidP="003A2CD6">
      <w:r>
        <w:t xml:space="preserve">Overall, MSAC considered that there was insufficient evidence to support the clinical claim that PromarkerD would change clinical management or outcomes, as this test does not negate the need for other tests such as screening uACR. A study is needed where </w:t>
      </w:r>
      <w:r w:rsidR="005C7201">
        <w:t xml:space="preserve">the change in management from using </w:t>
      </w:r>
      <w:r>
        <w:t xml:space="preserve">PromarkerD is </w:t>
      </w:r>
      <w:r w:rsidR="005C7201">
        <w:t xml:space="preserve">properly evaluated by comparing a </w:t>
      </w:r>
      <w:r w:rsidR="00AB77E8">
        <w:t xml:space="preserve">patient </w:t>
      </w:r>
      <w:r w:rsidR="005C7201">
        <w:t>population with access to the test against a control population</w:t>
      </w:r>
      <w:r>
        <w:t>, so that outcomes can be followed up over time. There are also safety concerns in relation to low PPV. Additionally, evidence is required for prognostic test accuracy that is not highly biased and addresses the relevant sections in the MSAC guidelines, including TG15.2 </w:t>
      </w:r>
      <w:r w:rsidR="003F4E97">
        <w:t>“</w:t>
      </w:r>
      <w:r>
        <w:t>Testing to determine prognosis</w:t>
      </w:r>
      <w:r w:rsidR="003F4E97">
        <w:t>”</w:t>
      </w:r>
      <w:r>
        <w:t xml:space="preserve"> and TC15.5 </w:t>
      </w:r>
      <w:r w:rsidR="003F4E97">
        <w:t>“</w:t>
      </w:r>
      <w:r>
        <w:t>Multifactorial algorithms</w:t>
      </w:r>
      <w:r w:rsidR="003F4E97">
        <w:t>”</w:t>
      </w:r>
      <w:r>
        <w:t>. Evidence is also required that links improved health outcomes to the test. Also, the economic model needs to be amended to reflect the new proposed population and retesting frequency. Test outcomes should be included in a decision tree component as it would allow comparisons with the current clinical approach based on</w:t>
      </w:r>
      <w:r w:rsidR="003F4E97">
        <w:t xml:space="preserve"> KDIGO</w:t>
      </w:r>
      <w:r>
        <w:t xml:space="preserve"> guidelines. Finally, a breakdown of component costs is required to justify the proposed fee.</w:t>
      </w:r>
    </w:p>
    <w:p w14:paraId="6710B69D" w14:textId="2B2C987B" w:rsidR="00772829" w:rsidRPr="00CE28E3" w:rsidRDefault="000D5B30" w:rsidP="002A18BE">
      <w:pPr>
        <w:pStyle w:val="Heading2"/>
        <w:numPr>
          <w:ilvl w:val="0"/>
          <w:numId w:val="0"/>
        </w:numPr>
      </w:pPr>
      <w:r>
        <w:t>4</w:t>
      </w:r>
      <w:r w:rsidR="00C36633">
        <w:t>.</w:t>
      </w:r>
      <w:r w:rsidR="00C36633">
        <w:tab/>
      </w:r>
      <w:r w:rsidR="00772829" w:rsidRPr="00CE28E3">
        <w:t>Background</w:t>
      </w:r>
      <w:bookmarkEnd w:id="6"/>
    </w:p>
    <w:p w14:paraId="038F8214" w14:textId="2C018884" w:rsidR="00BE5374" w:rsidRPr="004A0FBC" w:rsidRDefault="00CA42D6" w:rsidP="000A2DA8">
      <w:pPr>
        <w:pStyle w:val="Instructionaltext"/>
        <w:rPr>
          <w:color w:val="auto"/>
        </w:rPr>
      </w:pPr>
      <w:bookmarkStart w:id="7" w:name="_Hlk69734494"/>
      <w:r w:rsidRPr="004A0FBC">
        <w:rPr>
          <w:color w:val="auto"/>
        </w:rPr>
        <w:t>MSAC has not previously considered</w:t>
      </w:r>
      <w:r w:rsidR="00BE5374" w:rsidRPr="004A0FBC">
        <w:rPr>
          <w:color w:val="auto"/>
        </w:rPr>
        <w:t xml:space="preserve"> </w:t>
      </w:r>
      <w:r w:rsidR="00364FF2" w:rsidRPr="004A0FBC">
        <w:rPr>
          <w:color w:val="auto"/>
        </w:rPr>
        <w:t xml:space="preserve">PromarkerD as a predictive test for developing </w:t>
      </w:r>
      <w:r w:rsidR="003D33FE">
        <w:rPr>
          <w:color w:val="auto"/>
        </w:rPr>
        <w:t>DKD</w:t>
      </w:r>
      <w:r w:rsidR="00364FF2" w:rsidRPr="004A0FBC">
        <w:rPr>
          <w:color w:val="auto"/>
        </w:rPr>
        <w:t>.</w:t>
      </w:r>
    </w:p>
    <w:p w14:paraId="6F52500A" w14:textId="4F61A04A" w:rsidR="00772829" w:rsidRPr="00CE28E3" w:rsidRDefault="000D5B30" w:rsidP="002A18BE">
      <w:pPr>
        <w:pStyle w:val="Heading2"/>
        <w:numPr>
          <w:ilvl w:val="0"/>
          <w:numId w:val="0"/>
        </w:numPr>
      </w:pPr>
      <w:bookmarkStart w:id="8" w:name="_Toc69491417"/>
      <w:bookmarkEnd w:id="7"/>
      <w:r>
        <w:t>5</w:t>
      </w:r>
      <w:r w:rsidR="00C36633">
        <w:t>.</w:t>
      </w:r>
      <w:r w:rsidR="00C36633">
        <w:tab/>
      </w:r>
      <w:r w:rsidR="00772829" w:rsidRPr="00CE28E3">
        <w:t>Prerequisites to implementation of any funding advice</w:t>
      </w:r>
      <w:bookmarkEnd w:id="8"/>
    </w:p>
    <w:p w14:paraId="1239D548" w14:textId="6767008F" w:rsidR="00210CE8" w:rsidRDefault="00A40721" w:rsidP="007E5379">
      <w:r w:rsidRPr="00A40721">
        <w:t xml:space="preserve">The </w:t>
      </w:r>
      <w:r w:rsidR="00677BDA">
        <w:t>PromarkerD test</w:t>
      </w:r>
      <w:r w:rsidRPr="00A40721">
        <w:t xml:space="preserve"> has been included on the Australian Register of Therapeutic Goods (ARTG) since </w:t>
      </w:r>
      <w:r w:rsidR="00677BDA">
        <w:t>March 2020</w:t>
      </w:r>
      <w:r w:rsidRPr="00A40721">
        <w:t xml:space="preserve">, together with </w:t>
      </w:r>
      <w:r w:rsidR="003E1006">
        <w:t>software that runs the algorithm</w:t>
      </w:r>
      <w:r w:rsidR="00E61AD7">
        <w:t>,</w:t>
      </w:r>
      <w:r w:rsidR="003E1006">
        <w:t xml:space="preserve"> which has been on the register since July 2019</w:t>
      </w:r>
      <w:r w:rsidRPr="00A40721">
        <w:t xml:space="preserve">. </w:t>
      </w:r>
      <w:r w:rsidR="00C17CFB">
        <w:fldChar w:fldCharType="begin"/>
      </w:r>
      <w:r w:rsidR="00C17CFB">
        <w:instrText xml:space="preserve"> REF _Ref98926594 \h </w:instrText>
      </w:r>
      <w:r w:rsidR="007E5379">
        <w:instrText xml:space="preserve"> \* MERGEFORMAT </w:instrText>
      </w:r>
      <w:r w:rsidR="00C17CFB">
        <w:fldChar w:fldCharType="separate"/>
      </w:r>
      <w:r w:rsidR="008F7220">
        <w:t xml:space="preserve">Table </w:t>
      </w:r>
      <w:r w:rsidR="008F7220">
        <w:rPr>
          <w:noProof/>
        </w:rPr>
        <w:t>1</w:t>
      </w:r>
      <w:r w:rsidR="00C17CFB">
        <w:fldChar w:fldCharType="end"/>
      </w:r>
      <w:r w:rsidR="00A62B49">
        <w:t xml:space="preserve"> </w:t>
      </w:r>
      <w:r w:rsidRPr="00A40721">
        <w:t xml:space="preserve">provides details of the Therapeutic Goods Administration (TGA) status from the ARTG for </w:t>
      </w:r>
      <w:r w:rsidR="003E1006">
        <w:t>Promarker</w:t>
      </w:r>
      <w:r w:rsidR="00360DF7">
        <w:t>D</w:t>
      </w:r>
      <w:r w:rsidRPr="00A40721">
        <w:t xml:space="preserve"> and its consumables under number </w:t>
      </w:r>
      <w:r w:rsidR="003E1006">
        <w:t>330723</w:t>
      </w:r>
      <w:r w:rsidR="0063009C">
        <w:t>.</w:t>
      </w:r>
    </w:p>
    <w:p w14:paraId="5385DD58" w14:textId="3AA5B722" w:rsidR="009A510D" w:rsidRPr="009A510D" w:rsidRDefault="00210CE8" w:rsidP="009A510D">
      <w:r>
        <w:t xml:space="preserve">In the ADAR, the </w:t>
      </w:r>
      <w:r w:rsidR="00A8274D">
        <w:t>a</w:t>
      </w:r>
      <w:r>
        <w:t xml:space="preserve">pplicant notes that </w:t>
      </w:r>
      <w:r w:rsidRPr="00833AB5">
        <w:t xml:space="preserve">PromarkerD was submitted to the TGA on </w:t>
      </w:r>
      <w:r w:rsidR="00A8274D">
        <w:t xml:space="preserve">26 </w:t>
      </w:r>
      <w:r w:rsidRPr="00833AB5">
        <w:t>May 2022 (application ID: DV-2022-IVA-11507-1) and the manufacturer’s evidence was approved. This aligns with Step 6.6 of the TGA guidance for in-vitro diagnostic devices (IVD).</w:t>
      </w:r>
      <w:r w:rsidRPr="00833AB5">
        <w:rPr>
          <w:vertAlign w:val="superscript"/>
        </w:rPr>
        <w:footnoteReference w:id="5"/>
      </w:r>
      <w:r w:rsidRPr="00833AB5">
        <w:t xml:space="preserve"> The next step will be the TGA’s final evaluation and eventual listing on the ARTG, which is expected to be complete </w:t>
      </w:r>
      <w:r w:rsidR="004B6555" w:rsidRPr="00680118">
        <w:rPr>
          <w:b/>
          <w:bCs/>
          <w:color w:val="000000"/>
          <w:w w:val="61"/>
          <w:shd w:val="solid" w:color="000000" w:fill="000000"/>
          <w:fitText w:val="880" w:id="-1286897406"/>
          <w14:textFill>
            <w14:solidFill>
              <w14:srgbClr w14:val="000000">
                <w14:alpha w14:val="100000"/>
              </w14:srgbClr>
            </w14:solidFill>
          </w14:textFill>
        </w:rPr>
        <w:t>|||||||||||</w:t>
      </w:r>
      <w:r w:rsidR="004B6555" w:rsidRPr="00680118">
        <w:rPr>
          <w:b/>
          <w:bCs/>
          <w:color w:val="000000"/>
          <w:spacing w:val="80"/>
          <w:w w:val="61"/>
          <w:shd w:val="solid" w:color="000000" w:fill="000000"/>
          <w:fitText w:val="880" w:id="-1286897406"/>
          <w14:textFill>
            <w14:solidFill>
              <w14:srgbClr w14:val="000000">
                <w14:alpha w14:val="100000"/>
              </w14:srgbClr>
            </w14:solidFill>
          </w14:textFill>
        </w:rPr>
        <w:t>|</w:t>
      </w:r>
      <w:r w:rsidRPr="00833AB5">
        <w:t xml:space="preserve">. </w:t>
      </w:r>
      <w:bookmarkStart w:id="9" w:name="_Ref98926594"/>
      <w:bookmarkStart w:id="10" w:name="_Ref98926586"/>
      <w:r w:rsidR="009A510D">
        <w:br w:type="page"/>
      </w:r>
    </w:p>
    <w:p w14:paraId="42E419E9" w14:textId="13FC5CEE" w:rsidR="00A63C07" w:rsidRDefault="00A63C07" w:rsidP="00A63C07">
      <w:pPr>
        <w:pStyle w:val="Caption"/>
      </w:pPr>
      <w:r>
        <w:lastRenderedPageBreak/>
        <w:t xml:space="preserve">Table </w:t>
      </w:r>
      <w:r>
        <w:fldChar w:fldCharType="begin"/>
      </w:r>
      <w:r>
        <w:instrText>SEQ Table \* ARABIC</w:instrText>
      </w:r>
      <w:r>
        <w:fldChar w:fldCharType="separate"/>
      </w:r>
      <w:r w:rsidR="00104513">
        <w:rPr>
          <w:noProof/>
        </w:rPr>
        <w:t>1</w:t>
      </w:r>
      <w:r>
        <w:fldChar w:fldCharType="end"/>
      </w:r>
      <w:bookmarkEnd w:id="9"/>
      <w:r>
        <w:tab/>
        <w:t>PromarkerD and consumables listed on the ARTG</w:t>
      </w:r>
      <w:bookmarkEnd w:id="10"/>
    </w:p>
    <w:tbl>
      <w:tblPr>
        <w:tblStyle w:val="TableGrid"/>
        <w:tblW w:w="4714" w:type="pct"/>
        <w:tblLook w:val="04A0" w:firstRow="1" w:lastRow="0" w:firstColumn="1" w:lastColumn="0" w:noHBand="0" w:noVBand="1"/>
        <w:tblCaption w:val="Regulatory information for leadless pacemakers in Australia"/>
        <w:tblDescription w:val="A summary of the regulatory information for all leadless pacemakers included on the ARTG. The Micra VR and an associated consumable are the only devices included on the ARTG. A functional description of these devices and the intended purpose is shown. "/>
      </w:tblPr>
      <w:tblGrid>
        <w:gridCol w:w="1696"/>
        <w:gridCol w:w="2127"/>
        <w:gridCol w:w="4677"/>
      </w:tblGrid>
      <w:tr w:rsidR="003B60F2" w:rsidRPr="00CA23C5" w14:paraId="7C18ECCF" w14:textId="77777777" w:rsidTr="003B60F2">
        <w:trPr>
          <w:tblHeader/>
        </w:trPr>
        <w:tc>
          <w:tcPr>
            <w:tcW w:w="998" w:type="pct"/>
          </w:tcPr>
          <w:p w14:paraId="43C2C9D3" w14:textId="1DFEC39C" w:rsidR="003B60F2" w:rsidRPr="00AF13FE" w:rsidRDefault="003B60F2">
            <w:pPr>
              <w:pStyle w:val="TableHeading"/>
            </w:pPr>
            <w:r w:rsidRPr="00013197">
              <w:t xml:space="preserve">Product name &amp; </w:t>
            </w:r>
            <w:r w:rsidR="00B85ABE">
              <w:t>s</w:t>
            </w:r>
            <w:r w:rsidRPr="00013197">
              <w:t>ponsor</w:t>
            </w:r>
          </w:p>
        </w:tc>
        <w:tc>
          <w:tcPr>
            <w:tcW w:w="1251" w:type="pct"/>
          </w:tcPr>
          <w:p w14:paraId="22C576C0" w14:textId="77777777" w:rsidR="003B60F2" w:rsidRPr="000061EE" w:rsidRDefault="003B60F2">
            <w:pPr>
              <w:pStyle w:val="TableHeading"/>
            </w:pPr>
            <w:r w:rsidRPr="000061EE">
              <w:t>ARTG summary</w:t>
            </w:r>
          </w:p>
        </w:tc>
        <w:tc>
          <w:tcPr>
            <w:tcW w:w="2751" w:type="pct"/>
          </w:tcPr>
          <w:p w14:paraId="42CAE0A5" w14:textId="77777777" w:rsidR="003B60F2" w:rsidRPr="006E22C7" w:rsidRDefault="003B60F2">
            <w:pPr>
              <w:pStyle w:val="TableHeading"/>
            </w:pPr>
            <w:r w:rsidRPr="006E22C7">
              <w:t>Intended purpose</w:t>
            </w:r>
          </w:p>
        </w:tc>
      </w:tr>
      <w:tr w:rsidR="003B60F2" w:rsidRPr="00CA23C5" w14:paraId="18A8526C" w14:textId="77777777" w:rsidTr="003B60F2">
        <w:tc>
          <w:tcPr>
            <w:tcW w:w="998" w:type="pct"/>
          </w:tcPr>
          <w:p w14:paraId="6C0A2525" w14:textId="51A2FF3A" w:rsidR="003B60F2" w:rsidRPr="00436BD3" w:rsidRDefault="003B60F2">
            <w:pPr>
              <w:pStyle w:val="Tabletext0"/>
            </w:pPr>
            <w:r>
              <w:t xml:space="preserve">Proteomics International Pty Ltd </w:t>
            </w:r>
            <w:r w:rsidR="0087224D">
              <w:t>–</w:t>
            </w:r>
            <w:r>
              <w:t xml:space="preserve"> Clinical Chemistry IVDs</w:t>
            </w:r>
          </w:p>
        </w:tc>
        <w:tc>
          <w:tcPr>
            <w:tcW w:w="1251" w:type="pct"/>
          </w:tcPr>
          <w:p w14:paraId="5C3FFB85" w14:textId="3BDA3DD2" w:rsidR="003B60F2" w:rsidRPr="00436BD3" w:rsidRDefault="003B60F2">
            <w:pPr>
              <w:pStyle w:val="Tabletext0"/>
            </w:pPr>
            <w:r w:rsidRPr="00436BD3">
              <w:rPr>
                <w:b/>
                <w:bCs/>
              </w:rPr>
              <w:t>ARTG ID</w:t>
            </w:r>
            <w:r w:rsidRPr="00436BD3">
              <w:t xml:space="preserve">: </w:t>
            </w:r>
            <w:r>
              <w:t>330723</w:t>
            </w:r>
          </w:p>
          <w:p w14:paraId="1DA0F98E" w14:textId="65D8864E" w:rsidR="003B60F2" w:rsidRPr="00436BD3" w:rsidRDefault="003B60F2">
            <w:pPr>
              <w:pStyle w:val="Tabletext0"/>
            </w:pPr>
            <w:r w:rsidRPr="00436BD3">
              <w:rPr>
                <w:b/>
                <w:bCs/>
              </w:rPr>
              <w:t>Start date</w:t>
            </w:r>
            <w:r w:rsidRPr="00436BD3">
              <w:t xml:space="preserve">: </w:t>
            </w:r>
            <w:r>
              <w:t>04/03/2020</w:t>
            </w:r>
          </w:p>
          <w:p w14:paraId="43928711" w14:textId="308E56DC" w:rsidR="003B60F2" w:rsidRPr="00436BD3" w:rsidRDefault="003B60F2">
            <w:pPr>
              <w:pStyle w:val="Tabletext0"/>
            </w:pPr>
            <w:r w:rsidRPr="00436BD3">
              <w:rPr>
                <w:b/>
                <w:bCs/>
              </w:rPr>
              <w:t>Category</w:t>
            </w:r>
            <w:r w:rsidRPr="00436BD3">
              <w:t xml:space="preserve">: </w:t>
            </w:r>
            <w:r>
              <w:t>Medical Device Class 1</w:t>
            </w:r>
          </w:p>
          <w:p w14:paraId="67545FC7" w14:textId="75081386" w:rsidR="003B60F2" w:rsidRPr="00436BD3" w:rsidRDefault="003B60F2">
            <w:pPr>
              <w:pStyle w:val="Tabletext0"/>
            </w:pPr>
            <w:r w:rsidRPr="00436BD3">
              <w:rPr>
                <w:b/>
                <w:bCs/>
              </w:rPr>
              <w:t>GMDN</w:t>
            </w:r>
            <w:r w:rsidRPr="00436BD3">
              <w:t xml:space="preserve">: </w:t>
            </w:r>
            <w:r>
              <w:t>CT287 Clinical Chemistry IVDs</w:t>
            </w:r>
          </w:p>
        </w:tc>
        <w:tc>
          <w:tcPr>
            <w:tcW w:w="2751" w:type="pct"/>
          </w:tcPr>
          <w:p w14:paraId="3154AE1D" w14:textId="5CFF8504" w:rsidR="003B60F2" w:rsidRPr="00436BD3" w:rsidRDefault="003B60F2" w:rsidP="00FF1C3D">
            <w:pPr>
              <w:pStyle w:val="Tabletext0"/>
              <w:contextualSpacing/>
              <w:jc w:val="left"/>
            </w:pPr>
            <w:r>
              <w:t>PromarkerD Capt</w:t>
            </w:r>
            <w:r w:rsidRPr="00F522E5">
              <w:rPr>
                <w:i/>
                <w:iCs/>
              </w:rPr>
              <w:t>Sure</w:t>
            </w:r>
            <w:r>
              <w:t>™ ELISA is an in</w:t>
            </w:r>
            <w:r w:rsidR="00485AC0">
              <w:t>-</w:t>
            </w:r>
            <w:r>
              <w:t xml:space="preserve">vitro quantitative test intended for the detection of </w:t>
            </w:r>
            <w:r w:rsidR="00485AC0">
              <w:t xml:space="preserve">3 </w:t>
            </w:r>
            <w:r>
              <w:t xml:space="preserve">protein biomarkers (analytes) in human plasma. This quantitative test result together with </w:t>
            </w:r>
            <w:r w:rsidR="00485AC0">
              <w:t xml:space="preserve">3 </w:t>
            </w:r>
            <w:r>
              <w:t xml:space="preserve">clinical variables </w:t>
            </w:r>
            <w:r w:rsidR="00E143FF">
              <w:t>is</w:t>
            </w:r>
            <w:r>
              <w:t xml:space="preserve"> intended to enter into an algorithm (PromarkerD Hub) to generate the prognos</w:t>
            </w:r>
            <w:r w:rsidR="00346AD0">
              <w:t>t</w:t>
            </w:r>
            <w:r>
              <w:t>i</w:t>
            </w:r>
            <w:r w:rsidR="00346AD0">
              <w:t>c</w:t>
            </w:r>
            <w:r>
              <w:t xml:space="preserve"> and diagnos</w:t>
            </w:r>
            <w:r w:rsidR="00346AD0">
              <w:t>t</w:t>
            </w:r>
            <w:r>
              <w:t>i</w:t>
            </w:r>
            <w:r w:rsidR="00346AD0">
              <w:t>c</w:t>
            </w:r>
            <w:r>
              <w:t xml:space="preserve"> risk scores of diabetic kidney disease (DKD) in patients with type 2 diabetes. The test is designed to be used by clinical laboratory trained person</w:t>
            </w:r>
            <w:r w:rsidR="00A62B49">
              <w:t>ne</w:t>
            </w:r>
            <w:r>
              <w:t>l.</w:t>
            </w:r>
          </w:p>
        </w:tc>
      </w:tr>
      <w:tr w:rsidR="003B60F2" w:rsidRPr="00CA23C5" w14:paraId="4FE14468" w14:textId="77777777" w:rsidTr="003B60F2">
        <w:tc>
          <w:tcPr>
            <w:tcW w:w="998" w:type="pct"/>
          </w:tcPr>
          <w:p w14:paraId="10262E4A" w14:textId="1673AA07" w:rsidR="003B60F2" w:rsidRPr="00436BD3" w:rsidRDefault="003B60F2">
            <w:pPr>
              <w:pStyle w:val="Tabletext0"/>
              <w:keepNext/>
            </w:pPr>
            <w:r>
              <w:t xml:space="preserve">Proteomics International Pty Ltd </w:t>
            </w:r>
            <w:r w:rsidR="0087224D">
              <w:t>–</w:t>
            </w:r>
            <w:r>
              <w:t xml:space="preserve"> Software IVDs</w:t>
            </w:r>
          </w:p>
        </w:tc>
        <w:tc>
          <w:tcPr>
            <w:tcW w:w="1251" w:type="pct"/>
          </w:tcPr>
          <w:p w14:paraId="23CA7A11" w14:textId="690FED2F" w:rsidR="003B60F2" w:rsidRPr="00436BD3" w:rsidRDefault="003B60F2">
            <w:pPr>
              <w:pStyle w:val="Tabletext0"/>
              <w:keepNext/>
            </w:pPr>
            <w:r w:rsidRPr="00436BD3">
              <w:rPr>
                <w:b/>
                <w:bCs/>
              </w:rPr>
              <w:t>ARTG ID</w:t>
            </w:r>
            <w:r w:rsidRPr="00436BD3">
              <w:t xml:space="preserve">: </w:t>
            </w:r>
            <w:r>
              <w:t>320671</w:t>
            </w:r>
          </w:p>
          <w:p w14:paraId="29B9A5F5" w14:textId="452B07BC" w:rsidR="003B60F2" w:rsidRPr="00436BD3" w:rsidRDefault="003B60F2">
            <w:pPr>
              <w:pStyle w:val="Tabletext0"/>
              <w:keepNext/>
            </w:pPr>
            <w:r w:rsidRPr="00436BD3">
              <w:rPr>
                <w:b/>
                <w:bCs/>
              </w:rPr>
              <w:t>Start date</w:t>
            </w:r>
            <w:r w:rsidRPr="00436BD3">
              <w:t>: 24/0</w:t>
            </w:r>
            <w:r>
              <w:t>7</w:t>
            </w:r>
            <w:r w:rsidRPr="00436BD3">
              <w:t>/201</w:t>
            </w:r>
            <w:r>
              <w:t>9</w:t>
            </w:r>
          </w:p>
          <w:p w14:paraId="5220824B" w14:textId="06AEBE81" w:rsidR="003B60F2" w:rsidRPr="00436BD3" w:rsidRDefault="003B60F2">
            <w:pPr>
              <w:pStyle w:val="Tabletext0"/>
              <w:keepNext/>
            </w:pPr>
            <w:r w:rsidRPr="00436BD3">
              <w:rPr>
                <w:b/>
                <w:bCs/>
              </w:rPr>
              <w:t>Category</w:t>
            </w:r>
            <w:r w:rsidRPr="00436BD3">
              <w:t xml:space="preserve">: </w:t>
            </w:r>
            <w:r>
              <w:t>Medical Device Class 1</w:t>
            </w:r>
          </w:p>
          <w:p w14:paraId="44334C5D" w14:textId="2BCDE273" w:rsidR="003B60F2" w:rsidRPr="00436BD3" w:rsidRDefault="003B60F2">
            <w:pPr>
              <w:pStyle w:val="Tabletext0"/>
              <w:keepNext/>
            </w:pPr>
            <w:r w:rsidRPr="00436BD3">
              <w:rPr>
                <w:b/>
                <w:bCs/>
              </w:rPr>
              <w:t>GMDN</w:t>
            </w:r>
            <w:r w:rsidRPr="00436BD3">
              <w:t xml:space="preserve">: </w:t>
            </w:r>
            <w:r>
              <w:t>CT944 Software IVDs</w:t>
            </w:r>
          </w:p>
        </w:tc>
        <w:tc>
          <w:tcPr>
            <w:tcW w:w="2751" w:type="pct"/>
          </w:tcPr>
          <w:p w14:paraId="0F12660A" w14:textId="153A65D8" w:rsidR="003B60F2" w:rsidRPr="00436BD3" w:rsidRDefault="003B60F2">
            <w:pPr>
              <w:pStyle w:val="Tabletext0"/>
              <w:keepNext/>
            </w:pPr>
            <w:r>
              <w:t>PromarkerD is an in</w:t>
            </w:r>
            <w:r w:rsidR="00E143FF">
              <w:t>-</w:t>
            </w:r>
            <w:r>
              <w:t xml:space="preserve">vitro quantitative test intended for the detection of </w:t>
            </w:r>
            <w:r w:rsidR="00E143FF">
              <w:t xml:space="preserve">3 </w:t>
            </w:r>
            <w:r>
              <w:t xml:space="preserve">biomarkers (analytes) in human plasma. This quantitative test result together with </w:t>
            </w:r>
            <w:r w:rsidR="00E143FF">
              <w:t xml:space="preserve">3 </w:t>
            </w:r>
            <w:r>
              <w:t xml:space="preserve">clinical variables </w:t>
            </w:r>
            <w:r w:rsidR="00E143FF">
              <w:t xml:space="preserve">is </w:t>
            </w:r>
            <w:r>
              <w:t xml:space="preserve">intended to </w:t>
            </w:r>
            <w:r w:rsidR="00A62B49">
              <w:t xml:space="preserve">be </w:t>
            </w:r>
            <w:r>
              <w:t>enter</w:t>
            </w:r>
            <w:r w:rsidR="00A62B49">
              <w:t>ed</w:t>
            </w:r>
            <w:r>
              <w:t xml:space="preserve"> into an algorithm to generate the prognos</w:t>
            </w:r>
            <w:r w:rsidR="004265D4">
              <w:t>tic</w:t>
            </w:r>
            <w:r>
              <w:t xml:space="preserve"> and diagnos</w:t>
            </w:r>
            <w:r w:rsidR="004265D4">
              <w:t>tic</w:t>
            </w:r>
            <w:r>
              <w:t xml:space="preserve"> risk scores of diabetic kidney disease in patients with type 2 diabetes. The test is designed to be used by clinical laboratory trained person</w:t>
            </w:r>
            <w:r w:rsidR="00A62B49">
              <w:t>ne</w:t>
            </w:r>
            <w:r>
              <w:t>l.</w:t>
            </w:r>
          </w:p>
        </w:tc>
      </w:tr>
    </w:tbl>
    <w:p w14:paraId="66188B35" w14:textId="27B1436C" w:rsidR="00E87873" w:rsidRPr="009A510D" w:rsidRDefault="00D43F8F" w:rsidP="00A63C07">
      <w:pPr>
        <w:pStyle w:val="Tablenotes"/>
        <w:rPr>
          <w:lang w:val="en-GB" w:eastAsia="ja-JP"/>
        </w:rPr>
      </w:pPr>
      <w:r w:rsidRPr="009A510D">
        <w:rPr>
          <w:lang w:val="en-GB" w:eastAsia="ja-JP"/>
        </w:rPr>
        <w:t xml:space="preserve">ARTG = </w:t>
      </w:r>
      <w:r w:rsidR="00F03E92" w:rsidRPr="009A510D">
        <w:rPr>
          <w:lang w:val="en-GB" w:eastAsia="ja-JP"/>
        </w:rPr>
        <w:t>Australian Register of Therapeutic Goods, ELISA =</w:t>
      </w:r>
      <w:r w:rsidR="00764151" w:rsidRPr="009A510D">
        <w:rPr>
          <w:lang w:val="en-GB" w:eastAsia="ja-JP"/>
        </w:rPr>
        <w:t xml:space="preserve"> enzyme-linked immunosorbent assay,</w:t>
      </w:r>
      <w:r w:rsidR="00F03E92" w:rsidRPr="009A510D">
        <w:rPr>
          <w:lang w:val="en-GB" w:eastAsia="ja-JP"/>
        </w:rPr>
        <w:t xml:space="preserve"> </w:t>
      </w:r>
      <w:r w:rsidR="00E87873" w:rsidRPr="009A510D">
        <w:rPr>
          <w:lang w:val="en-GB" w:eastAsia="ja-JP"/>
        </w:rPr>
        <w:t xml:space="preserve">IVDs = </w:t>
      </w:r>
      <w:r w:rsidRPr="009A510D">
        <w:rPr>
          <w:lang w:val="en-GB" w:eastAsia="ja-JP"/>
        </w:rPr>
        <w:t xml:space="preserve">in vitro diagnostic medical devices, </w:t>
      </w:r>
    </w:p>
    <w:p w14:paraId="6EC08B0B" w14:textId="0F87A035" w:rsidR="00A63C07" w:rsidRPr="009A510D" w:rsidRDefault="00A63C07" w:rsidP="00A63C07">
      <w:pPr>
        <w:pStyle w:val="Tablenotes"/>
        <w:rPr>
          <w:b/>
          <w:bCs/>
          <w:u w:val="single"/>
          <w:lang w:val="en-GB" w:eastAsia="ja-JP"/>
        </w:rPr>
      </w:pPr>
      <w:r w:rsidRPr="009A510D">
        <w:rPr>
          <w:lang w:val="en-GB" w:eastAsia="ja-JP"/>
        </w:rPr>
        <w:t>Source</w:t>
      </w:r>
      <w:r w:rsidR="009A510D" w:rsidRPr="009A510D">
        <w:rPr>
          <w:b/>
          <w:bCs/>
          <w:lang w:val="en-GB" w:eastAsia="ja-JP"/>
        </w:rPr>
        <w:t xml:space="preserve">: </w:t>
      </w:r>
      <w:r>
        <w:rPr>
          <w:lang w:val="en-GB" w:eastAsia="ja-JP"/>
        </w:rPr>
        <w:t xml:space="preserve">Therapeutic Goods Administration, ARTG Public Summary, accessed </w:t>
      </w:r>
      <w:r w:rsidR="00E51512">
        <w:rPr>
          <w:lang w:val="en-GB" w:eastAsia="ja-JP"/>
        </w:rPr>
        <w:t>by assessment group 21 July 2022</w:t>
      </w:r>
    </w:p>
    <w:p w14:paraId="44C3B242" w14:textId="47E81361" w:rsidR="00772829" w:rsidRPr="00CE28E3" w:rsidRDefault="000D5B30" w:rsidP="002A18BE">
      <w:pPr>
        <w:pStyle w:val="Heading2"/>
        <w:numPr>
          <w:ilvl w:val="0"/>
          <w:numId w:val="0"/>
        </w:numPr>
      </w:pPr>
      <w:bookmarkStart w:id="11" w:name="_Toc69491418"/>
      <w:r>
        <w:t>6</w:t>
      </w:r>
      <w:r w:rsidR="00C36633">
        <w:t>.</w:t>
      </w:r>
      <w:r w:rsidR="00C36633">
        <w:tab/>
      </w:r>
      <w:r w:rsidR="00772829" w:rsidRPr="00CE28E3">
        <w:t>Proposal for public funding</w:t>
      </w:r>
      <w:bookmarkEnd w:id="11"/>
    </w:p>
    <w:p w14:paraId="041D194F" w14:textId="2D498B8C" w:rsidR="008F07E3" w:rsidRPr="00C36159" w:rsidRDefault="008F07E3" w:rsidP="008F07E3">
      <w:pPr>
        <w:jc w:val="both"/>
      </w:pPr>
      <w:r w:rsidRPr="0008649C">
        <w:t xml:space="preserve">The proposed population requested for </w:t>
      </w:r>
      <w:r>
        <w:t>PromarkerD</w:t>
      </w:r>
      <w:r w:rsidRPr="0008649C">
        <w:t xml:space="preserve"> </w:t>
      </w:r>
      <w:r>
        <w:t>is</w:t>
      </w:r>
      <w:r w:rsidRPr="0008649C">
        <w:t xml:space="preserve"> patients </w:t>
      </w:r>
      <w:r>
        <w:t xml:space="preserve">with T2DM who may be at risk of developing </w:t>
      </w:r>
      <w:r w:rsidR="003D33FE">
        <w:t>DKD</w:t>
      </w:r>
      <w:r>
        <w:t xml:space="preserve">. </w:t>
      </w:r>
      <w:r w:rsidRPr="00C36159">
        <w:t>Patients would be eligible for the proposed medical service if they met the following criteria:</w:t>
      </w:r>
    </w:p>
    <w:p w14:paraId="6B60A012" w14:textId="797B3D71" w:rsidR="008F07E3" w:rsidRPr="00C36159" w:rsidRDefault="007D7567" w:rsidP="004B5B09">
      <w:pPr>
        <w:pStyle w:val="ListParagraph"/>
      </w:pPr>
      <w:r>
        <w:t>p</w:t>
      </w:r>
      <w:r w:rsidR="008F07E3" w:rsidRPr="00C36159">
        <w:t>atients diagnosed with T2DM; and</w:t>
      </w:r>
    </w:p>
    <w:p w14:paraId="74E9D177" w14:textId="07F1121D" w:rsidR="008F07E3" w:rsidRPr="00C36159" w:rsidRDefault="008F07E3" w:rsidP="004B5B09">
      <w:pPr>
        <w:pStyle w:val="ListParagraph"/>
      </w:pPr>
      <w:r w:rsidRPr="00C36159">
        <w:t>eGFR ≥60</w:t>
      </w:r>
      <w:r w:rsidR="00D9779D">
        <w:t> </w:t>
      </w:r>
      <w:r w:rsidRPr="00C36159">
        <w:t>ml/min/1.73m</w:t>
      </w:r>
      <w:r w:rsidRPr="00C36159">
        <w:rPr>
          <w:vertAlign w:val="superscript"/>
        </w:rPr>
        <w:t>2</w:t>
      </w:r>
      <w:r w:rsidRPr="00C36159">
        <w:t>; and</w:t>
      </w:r>
    </w:p>
    <w:p w14:paraId="4915B70B" w14:textId="465091F7" w:rsidR="008F07E3" w:rsidRPr="00C36159" w:rsidRDefault="008F07E3" w:rsidP="004B5B09">
      <w:pPr>
        <w:pStyle w:val="ListParagraph"/>
      </w:pPr>
      <w:r w:rsidRPr="00C36159">
        <w:t>uACR ≤30</w:t>
      </w:r>
      <w:r w:rsidR="00D9779D">
        <w:t> </w:t>
      </w:r>
      <w:r w:rsidRPr="00C36159">
        <w:t>mg/mmol.</w:t>
      </w:r>
    </w:p>
    <w:p w14:paraId="4EF7C111" w14:textId="1798ECD6" w:rsidR="005708B7" w:rsidRDefault="005708B7" w:rsidP="005708B7">
      <w:pPr>
        <w:pStyle w:val="Instructionaltext"/>
        <w:rPr>
          <w:color w:val="auto"/>
        </w:rPr>
      </w:pPr>
      <w:r w:rsidRPr="00ED7720">
        <w:rPr>
          <w:color w:val="auto"/>
        </w:rPr>
        <w:t>PromarkerD is an in-vitro quantitative blood test designed to predict incident DKD or progression of DKD in patients with T2D</w:t>
      </w:r>
      <w:r>
        <w:rPr>
          <w:color w:val="auto"/>
        </w:rPr>
        <w:t xml:space="preserve">M within 4 years of receiving the test. </w:t>
      </w:r>
      <w:r w:rsidRPr="00ED7720">
        <w:rPr>
          <w:color w:val="auto"/>
        </w:rPr>
        <w:t xml:space="preserve">The test measures </w:t>
      </w:r>
      <w:r w:rsidR="007D7567">
        <w:rPr>
          <w:color w:val="auto"/>
        </w:rPr>
        <w:t>3</w:t>
      </w:r>
      <w:r w:rsidR="007D7567" w:rsidRPr="00ED7720">
        <w:rPr>
          <w:color w:val="auto"/>
        </w:rPr>
        <w:t xml:space="preserve"> </w:t>
      </w:r>
      <w:r w:rsidRPr="00ED7720">
        <w:rPr>
          <w:color w:val="auto"/>
        </w:rPr>
        <w:t xml:space="preserve">novel plasma protein biomarkers (ApoA4, CD5L and IBP3) combined with clinical factors (age, </w:t>
      </w:r>
      <w:r>
        <w:rPr>
          <w:color w:val="auto"/>
        </w:rPr>
        <w:t xml:space="preserve">serum </w:t>
      </w:r>
      <w:r w:rsidRPr="00ED7720">
        <w:rPr>
          <w:color w:val="auto"/>
        </w:rPr>
        <w:t>HDL</w:t>
      </w:r>
      <w:r w:rsidR="0082475A">
        <w:rPr>
          <w:color w:val="auto"/>
        </w:rPr>
        <w:t xml:space="preserve"> </w:t>
      </w:r>
      <w:r w:rsidRPr="00ED7720">
        <w:rPr>
          <w:color w:val="auto"/>
        </w:rPr>
        <w:t>cholesterol, eGFR) to generate prognostic risk scores for DKD in patients with T2D</w:t>
      </w:r>
      <w:r>
        <w:rPr>
          <w:color w:val="auto"/>
        </w:rPr>
        <w:t>M</w:t>
      </w:r>
      <w:r w:rsidRPr="00ED7720">
        <w:rPr>
          <w:color w:val="auto"/>
        </w:rPr>
        <w:t xml:space="preserve">. The concentrations of the biomarkers, along with the clinical factors, are entered into the PromarkerD Hub, a static proprietary software algorithm </w:t>
      </w:r>
      <w:r w:rsidR="00543AE7">
        <w:rPr>
          <w:color w:val="auto"/>
        </w:rPr>
        <w:t>that</w:t>
      </w:r>
      <w:r w:rsidR="00543AE7" w:rsidRPr="00ED7720">
        <w:rPr>
          <w:color w:val="auto"/>
        </w:rPr>
        <w:t xml:space="preserve"> </w:t>
      </w:r>
      <w:r w:rsidRPr="00ED7720">
        <w:rPr>
          <w:color w:val="auto"/>
        </w:rPr>
        <w:t>characterises patients as low-risk, moderate-risk or high-risk of developing DKD (defined as eGFR below 60</w:t>
      </w:r>
      <w:r w:rsidR="00543AE7">
        <w:rPr>
          <w:color w:val="auto"/>
        </w:rPr>
        <w:t> </w:t>
      </w:r>
      <w:r w:rsidRPr="00ED7720">
        <w:rPr>
          <w:color w:val="auto"/>
        </w:rPr>
        <w:t>mL/min/1.73m</w:t>
      </w:r>
      <w:r w:rsidRPr="001C6D4B">
        <w:rPr>
          <w:color w:val="auto"/>
          <w:vertAlign w:val="superscript"/>
        </w:rPr>
        <w:t>2</w:t>
      </w:r>
      <w:r w:rsidRPr="00ED7720">
        <w:rPr>
          <w:color w:val="auto"/>
        </w:rPr>
        <w:t xml:space="preserve">) within 4 years, </w:t>
      </w:r>
      <w:r w:rsidRPr="004A1D0C">
        <w:rPr>
          <w:color w:val="auto"/>
        </w:rPr>
        <w:t>or a decline in eGFR of ≥30% over 4 years.</w:t>
      </w:r>
    </w:p>
    <w:p w14:paraId="0A7B2985" w14:textId="084073A4" w:rsidR="008F07E3" w:rsidRDefault="008F07E3" w:rsidP="008F07E3">
      <w:pPr>
        <w:jc w:val="both"/>
      </w:pPr>
      <w:r>
        <w:t xml:space="preserve">The applicant proposed </w:t>
      </w:r>
      <w:r w:rsidR="005D6956">
        <w:t>one new</w:t>
      </w:r>
      <w:r>
        <w:t xml:space="preserve"> MBS item (see </w:t>
      </w:r>
      <w:r w:rsidR="007E5379">
        <w:rPr>
          <w:b/>
          <w:bCs/>
          <w:lang w:val="en-US"/>
        </w:rPr>
        <w:fldChar w:fldCharType="begin"/>
      </w:r>
      <w:r w:rsidR="007E5379">
        <w:instrText xml:space="preserve"> REF _Ref69481033 \h </w:instrText>
      </w:r>
      <w:r w:rsidR="007E5379">
        <w:rPr>
          <w:b/>
          <w:bCs/>
          <w:lang w:val="en-US"/>
        </w:rPr>
      </w:r>
      <w:r w:rsidR="007E5379">
        <w:rPr>
          <w:b/>
          <w:bCs/>
          <w:lang w:val="en-US"/>
        </w:rPr>
        <w:fldChar w:fldCharType="separate"/>
      </w:r>
      <w:r w:rsidR="007E5379">
        <w:t>Table </w:t>
      </w:r>
      <w:r w:rsidR="007E5379">
        <w:rPr>
          <w:noProof/>
        </w:rPr>
        <w:t>2</w:t>
      </w:r>
      <w:r w:rsidR="007E5379">
        <w:rPr>
          <w:b/>
          <w:bCs/>
          <w:lang w:val="en-US"/>
        </w:rPr>
        <w:fldChar w:fldCharType="end"/>
      </w:r>
      <w:r>
        <w:t xml:space="preserve">). </w:t>
      </w:r>
    </w:p>
    <w:p w14:paraId="39392CFD" w14:textId="482E370E" w:rsidR="003328A9" w:rsidRPr="00CE28E3" w:rsidRDefault="00310C3F" w:rsidP="00310C3F">
      <w:pPr>
        <w:pStyle w:val="Caption"/>
        <w:rPr>
          <w:rFonts w:cs="Arial"/>
        </w:rPr>
      </w:pPr>
      <w:bookmarkStart w:id="12" w:name="_Ref69481033"/>
      <w:r>
        <w:lastRenderedPageBreak/>
        <w:t>Table</w:t>
      </w:r>
      <w:r w:rsidR="004A4FDF">
        <w:t> </w:t>
      </w:r>
      <w:r>
        <w:fldChar w:fldCharType="begin"/>
      </w:r>
      <w:r>
        <w:instrText>SEQ Table \* ARABIC</w:instrText>
      </w:r>
      <w:r>
        <w:fldChar w:fldCharType="separate"/>
      </w:r>
      <w:r w:rsidR="00104513">
        <w:rPr>
          <w:noProof/>
        </w:rPr>
        <w:t>2</w:t>
      </w:r>
      <w:r>
        <w:fldChar w:fldCharType="end"/>
      </w:r>
      <w:bookmarkEnd w:id="12"/>
      <w:r w:rsidR="003328A9" w:rsidRPr="00CE28E3">
        <w:rPr>
          <w:rFonts w:cs="Arial"/>
        </w:rPr>
        <w:tab/>
      </w:r>
      <w:r w:rsidR="00B26622" w:rsidRPr="00CE28E3">
        <w:rPr>
          <w:rFonts w:cs="Arial"/>
        </w:rPr>
        <w:t>Presentation of an existing, amended or newly proposed MBS item</w:t>
      </w:r>
      <w:r w:rsidR="003328A9" w:rsidRPr="00CE28E3">
        <w:rPr>
          <w:rFonts w:cs="Arial"/>
        </w:rPr>
        <w:t xml:space="preserve"> </w:t>
      </w:r>
    </w:p>
    <w:tbl>
      <w:tblPr>
        <w:tblStyle w:val="TableGrid"/>
        <w:tblW w:w="0" w:type="auto"/>
        <w:tblLook w:val="04A0" w:firstRow="1" w:lastRow="0" w:firstColumn="1" w:lastColumn="0" w:noHBand="0" w:noVBand="1"/>
        <w:tblCaption w:val="Proposed item descriptor for diagnostic testing"/>
        <w:tblDescription w:val="Proposed item descriptor for diagnostic testing"/>
      </w:tblPr>
      <w:tblGrid>
        <w:gridCol w:w="9016"/>
      </w:tblGrid>
      <w:tr w:rsidR="00230538" w:rsidRPr="00F33D34" w14:paraId="4551C12C" w14:textId="77777777">
        <w:trPr>
          <w:cantSplit/>
          <w:trHeight w:val="350"/>
          <w:tblHeader/>
        </w:trPr>
        <w:tc>
          <w:tcPr>
            <w:tcW w:w="9016" w:type="dxa"/>
            <w:shd w:val="clear" w:color="auto" w:fill="D0CECE" w:themeFill="background2" w:themeFillShade="E6"/>
          </w:tcPr>
          <w:p w14:paraId="41FA95CD" w14:textId="467B8956" w:rsidR="00230538" w:rsidRPr="005A116D" w:rsidRDefault="00230538">
            <w:pPr>
              <w:pStyle w:val="TableText"/>
              <w:rPr>
                <w:b/>
                <w:bCs/>
              </w:rPr>
            </w:pPr>
            <w:bookmarkStart w:id="13" w:name="_Hlk111123248"/>
            <w:r w:rsidRPr="005A116D">
              <w:rPr>
                <w:b/>
                <w:bCs/>
              </w:rPr>
              <w:t>Category 6 – Pathology Services</w:t>
            </w:r>
          </w:p>
        </w:tc>
      </w:tr>
      <w:tr w:rsidR="00230538" w:rsidRPr="00CE28E3" w14:paraId="7A78A5F0" w14:textId="77777777">
        <w:trPr>
          <w:cantSplit/>
          <w:tblHeader/>
        </w:trPr>
        <w:tc>
          <w:tcPr>
            <w:tcW w:w="9016" w:type="dxa"/>
          </w:tcPr>
          <w:p w14:paraId="6C6C9DCF" w14:textId="77777777" w:rsidR="00230538" w:rsidRPr="005A116D" w:rsidRDefault="00230538">
            <w:pPr>
              <w:spacing w:after="120"/>
              <w:rPr>
                <w:szCs w:val="20"/>
                <w:lang w:val="en-US" w:eastAsia="ja-JP"/>
              </w:rPr>
            </w:pPr>
            <w:r w:rsidRPr="005A116D">
              <w:rPr>
                <w:rFonts w:ascii="Arial Narrow" w:hAnsi="Arial Narrow"/>
                <w:sz w:val="20"/>
                <w:szCs w:val="20"/>
                <w:lang w:val="en-US" w:eastAsia="ja-JP"/>
              </w:rPr>
              <w:t xml:space="preserve">MBS item </w:t>
            </w:r>
          </w:p>
          <w:p w14:paraId="1DEEEC76" w14:textId="77777777" w:rsidR="00230538" w:rsidRPr="005A116D" w:rsidRDefault="00230538">
            <w:pPr>
              <w:spacing w:after="120"/>
              <w:rPr>
                <w:rFonts w:ascii="Arial Narrow" w:hAnsi="Arial Narrow"/>
                <w:sz w:val="20"/>
                <w:szCs w:val="20"/>
                <w:lang w:val="en-US" w:eastAsia="ja-JP"/>
              </w:rPr>
            </w:pPr>
            <w:r w:rsidRPr="005A116D">
              <w:rPr>
                <w:rFonts w:ascii="Arial Narrow" w:hAnsi="Arial Narrow"/>
                <w:sz w:val="20"/>
                <w:szCs w:val="20"/>
                <w:lang w:val="en-US" w:eastAsia="ja-JP"/>
              </w:rPr>
              <w:t xml:space="preserve">Proposed item descriptor: A test to quantify the risk of diabetic kidney disease incidence in proceeding 4 years in: </w:t>
            </w:r>
          </w:p>
          <w:p w14:paraId="71F231D2" w14:textId="30AB390E" w:rsidR="00230538" w:rsidRPr="005A116D" w:rsidRDefault="00230538">
            <w:pPr>
              <w:spacing w:after="120"/>
              <w:rPr>
                <w:rFonts w:ascii="Arial Narrow" w:hAnsi="Arial Narrow"/>
                <w:sz w:val="20"/>
                <w:szCs w:val="20"/>
                <w:lang w:val="en-US" w:eastAsia="ja-JP"/>
              </w:rPr>
            </w:pPr>
            <w:r w:rsidRPr="005A116D">
              <w:rPr>
                <w:rFonts w:ascii="Arial Narrow" w:hAnsi="Arial Narrow"/>
                <w:sz w:val="20"/>
                <w:szCs w:val="20"/>
                <w:lang w:val="en-US" w:eastAsia="ja-JP"/>
              </w:rPr>
              <w:t>a. Patients diagnosed with type 2 diabetes; and</w:t>
            </w:r>
          </w:p>
          <w:p w14:paraId="736E4603" w14:textId="59FD1228" w:rsidR="00230538" w:rsidRPr="005A116D" w:rsidRDefault="00230538">
            <w:pPr>
              <w:spacing w:after="120"/>
              <w:rPr>
                <w:rFonts w:ascii="Arial Narrow" w:hAnsi="Arial Narrow"/>
                <w:sz w:val="20"/>
                <w:szCs w:val="20"/>
                <w:lang w:val="en-US" w:eastAsia="ja-JP"/>
              </w:rPr>
            </w:pPr>
            <w:r w:rsidRPr="005A116D">
              <w:rPr>
                <w:rFonts w:ascii="Arial Narrow" w:hAnsi="Arial Narrow"/>
                <w:sz w:val="20"/>
                <w:szCs w:val="20"/>
                <w:lang w:val="en-US" w:eastAsia="ja-JP"/>
              </w:rPr>
              <w:t>b. Estimated glomerular filtration rate (eGFR) of greater than or equal to 60 ml/min/1.73m</w:t>
            </w:r>
            <w:r w:rsidRPr="005A116D">
              <w:rPr>
                <w:rFonts w:ascii="Arial Narrow" w:hAnsi="Arial Narrow"/>
                <w:sz w:val="20"/>
                <w:szCs w:val="20"/>
                <w:vertAlign w:val="superscript"/>
                <w:lang w:val="en-US" w:eastAsia="ja-JP"/>
              </w:rPr>
              <w:t>2</w:t>
            </w:r>
            <w:r w:rsidRPr="005A116D">
              <w:rPr>
                <w:rFonts w:ascii="Arial Narrow" w:hAnsi="Arial Narrow"/>
                <w:sz w:val="20"/>
                <w:szCs w:val="20"/>
                <w:lang w:val="en-US" w:eastAsia="ja-JP"/>
              </w:rPr>
              <w:t xml:space="preserve">; and </w:t>
            </w:r>
          </w:p>
          <w:p w14:paraId="6880E3B0" w14:textId="3F35EEF4" w:rsidR="00230538" w:rsidRPr="005A116D" w:rsidRDefault="00230538">
            <w:pPr>
              <w:spacing w:after="120"/>
              <w:rPr>
                <w:rFonts w:ascii="Arial Narrow" w:hAnsi="Arial Narrow"/>
                <w:sz w:val="20"/>
                <w:szCs w:val="20"/>
                <w:lang w:val="en-US" w:eastAsia="ja-JP"/>
              </w:rPr>
            </w:pPr>
            <w:r w:rsidRPr="005A116D">
              <w:rPr>
                <w:rFonts w:ascii="Arial Narrow" w:hAnsi="Arial Narrow"/>
                <w:sz w:val="20"/>
                <w:szCs w:val="20"/>
                <w:lang w:val="en-US" w:eastAsia="ja-JP"/>
              </w:rPr>
              <w:t xml:space="preserve">c. Urine Albumin: Creatinine Ratio (uACR) test results of less than or equal to 30 mg/mmol. </w:t>
            </w:r>
          </w:p>
          <w:p w14:paraId="33ABC7DB" w14:textId="77777777" w:rsidR="00230538" w:rsidRPr="005A116D" w:rsidRDefault="00230538">
            <w:pPr>
              <w:spacing w:after="120"/>
              <w:rPr>
                <w:rFonts w:ascii="Arial Narrow" w:hAnsi="Arial Narrow"/>
                <w:sz w:val="20"/>
                <w:szCs w:val="20"/>
                <w:lang w:val="en-US" w:eastAsia="ja-JP"/>
              </w:rPr>
            </w:pPr>
          </w:p>
          <w:p w14:paraId="601EEC21" w14:textId="77777777" w:rsidR="00230538" w:rsidRPr="005A116D" w:rsidRDefault="00230538">
            <w:pPr>
              <w:spacing w:after="120"/>
              <w:rPr>
                <w:rFonts w:ascii="Arial Narrow" w:hAnsi="Arial Narrow"/>
                <w:sz w:val="20"/>
                <w:szCs w:val="20"/>
                <w:lang w:val="en-US" w:eastAsia="ja-JP"/>
              </w:rPr>
            </w:pPr>
            <w:r w:rsidRPr="005A116D">
              <w:rPr>
                <w:rFonts w:ascii="Arial Narrow" w:hAnsi="Arial Narrow"/>
                <w:sz w:val="20"/>
                <w:szCs w:val="20"/>
                <w:lang w:val="en-US" w:eastAsia="ja-JP"/>
              </w:rPr>
              <w:t>For any patient without a previous moderate- to high-risk score, perform the next test in 4 years.</w:t>
            </w:r>
          </w:p>
          <w:p w14:paraId="1D55AA72" w14:textId="77777777" w:rsidR="00230538" w:rsidRPr="005A116D" w:rsidRDefault="00230538">
            <w:pPr>
              <w:spacing w:after="120"/>
              <w:rPr>
                <w:rFonts w:ascii="Arial Narrow" w:hAnsi="Arial Narrow"/>
                <w:sz w:val="20"/>
                <w:szCs w:val="20"/>
              </w:rPr>
            </w:pPr>
            <w:r w:rsidRPr="005A116D">
              <w:rPr>
                <w:rFonts w:ascii="Arial Narrow" w:hAnsi="Arial Narrow"/>
                <w:sz w:val="20"/>
                <w:szCs w:val="20"/>
                <w:lang w:val="en-US" w:eastAsia="ja-JP"/>
              </w:rPr>
              <w:t>For patients with a previous moderate- to high-risk score, perform the next test in 2 years.</w:t>
            </w:r>
          </w:p>
        </w:tc>
      </w:tr>
      <w:tr w:rsidR="00230538" w:rsidRPr="00CE28E3" w14:paraId="126B407F" w14:textId="77777777">
        <w:trPr>
          <w:cantSplit/>
          <w:tblHeader/>
        </w:trPr>
        <w:tc>
          <w:tcPr>
            <w:tcW w:w="9016" w:type="dxa"/>
          </w:tcPr>
          <w:p w14:paraId="0182CFD1" w14:textId="76F6CEDF" w:rsidR="00230538" w:rsidRPr="005A116D" w:rsidRDefault="00230538">
            <w:pPr>
              <w:spacing w:after="120"/>
              <w:rPr>
                <w:rFonts w:ascii="Arial Narrow" w:hAnsi="Arial Narrow"/>
                <w:sz w:val="20"/>
                <w:szCs w:val="20"/>
                <w:lang w:val="en-US" w:eastAsia="ja-JP"/>
              </w:rPr>
            </w:pPr>
            <w:r w:rsidRPr="005A116D">
              <w:rPr>
                <w:rFonts w:ascii="Arial Narrow" w:hAnsi="Arial Narrow"/>
                <w:sz w:val="20"/>
                <w:szCs w:val="20"/>
                <w:lang w:val="en-US" w:eastAsia="ja-JP"/>
              </w:rPr>
              <w:t xml:space="preserve">Fee: </w:t>
            </w:r>
            <w:r w:rsidRPr="00201E72">
              <w:rPr>
                <w:rFonts w:ascii="Arial Narrow" w:hAnsi="Arial Narrow"/>
                <w:b/>
                <w:bCs/>
                <w:sz w:val="20"/>
                <w:szCs w:val="20"/>
                <w:lang w:val="en-US" w:eastAsia="ja-JP"/>
              </w:rPr>
              <w:t>$250 Benefit: 75% = $187.50 85% = $212.50</w:t>
            </w:r>
          </w:p>
        </w:tc>
      </w:tr>
    </w:tbl>
    <w:p w14:paraId="7A0A4310" w14:textId="25EC0067" w:rsidR="008C21D1" w:rsidRPr="008C21D1" w:rsidRDefault="008C21D1" w:rsidP="008C21D1">
      <w:pPr>
        <w:pStyle w:val="Instructionaltext-afterfiguretable"/>
        <w:rPr>
          <w:color w:val="auto"/>
        </w:rPr>
      </w:pPr>
      <w:bookmarkStart w:id="14" w:name="_Hlk111123276"/>
      <w:bookmarkEnd w:id="13"/>
      <w:r w:rsidRPr="008C21D1">
        <w:rPr>
          <w:color w:val="auto"/>
        </w:rPr>
        <w:t>The</w:t>
      </w:r>
      <w:r w:rsidR="00DB464A">
        <w:rPr>
          <w:color w:val="auto"/>
        </w:rPr>
        <w:t xml:space="preserve"> applicant states that</w:t>
      </w:r>
      <w:r w:rsidRPr="008C21D1">
        <w:rPr>
          <w:color w:val="auto"/>
        </w:rPr>
        <w:t xml:space="preserve"> </w:t>
      </w:r>
      <w:r w:rsidR="009C4A5D">
        <w:rPr>
          <w:color w:val="auto"/>
        </w:rPr>
        <w:t xml:space="preserve">the </w:t>
      </w:r>
      <w:r w:rsidRPr="008C21D1">
        <w:rPr>
          <w:color w:val="auto"/>
        </w:rPr>
        <w:t xml:space="preserve">fee has been determined on the basis of </w:t>
      </w:r>
      <w:r w:rsidR="00091797">
        <w:rPr>
          <w:color w:val="auto"/>
        </w:rPr>
        <w:t xml:space="preserve">the </w:t>
      </w:r>
      <w:r w:rsidRPr="008C21D1">
        <w:rPr>
          <w:color w:val="auto"/>
        </w:rPr>
        <w:t>costs of developing the technology in addition to ongoing supply of the PromarkerD test kits, with an industry standard profit margin. There are no tests similar to PromarkerD currently listed on the MBS.</w:t>
      </w:r>
    </w:p>
    <w:p w14:paraId="76BBB272" w14:textId="0A3BE7FD" w:rsidR="008C21D1" w:rsidRPr="008C21D1" w:rsidRDefault="008C21D1" w:rsidP="008C21D1">
      <w:pPr>
        <w:pStyle w:val="Instructionaltext-afterfiguretable"/>
        <w:rPr>
          <w:color w:val="auto"/>
        </w:rPr>
      </w:pPr>
      <w:bookmarkStart w:id="15" w:name="_Hlk111123374"/>
      <w:bookmarkEnd w:id="14"/>
      <w:r w:rsidRPr="008C21D1">
        <w:rPr>
          <w:color w:val="auto"/>
        </w:rPr>
        <w:t>The</w:t>
      </w:r>
      <w:r w:rsidR="00DB464A">
        <w:rPr>
          <w:color w:val="auto"/>
        </w:rPr>
        <w:t xml:space="preserve"> applicant states that the</w:t>
      </w:r>
      <w:r w:rsidRPr="008C21D1">
        <w:rPr>
          <w:color w:val="auto"/>
        </w:rPr>
        <w:t xml:space="preserve"> fee contains all components of the test:</w:t>
      </w:r>
    </w:p>
    <w:p w14:paraId="19B9C683" w14:textId="52FF5AE8" w:rsidR="008C21D1" w:rsidRPr="008C21D1" w:rsidRDefault="00E54801" w:rsidP="004B5B09">
      <w:pPr>
        <w:pStyle w:val="Instructionaltext-afterfiguretable"/>
        <w:numPr>
          <w:ilvl w:val="0"/>
          <w:numId w:val="13"/>
        </w:numPr>
        <w:spacing w:before="0" w:after="0"/>
        <w:rPr>
          <w:color w:val="auto"/>
        </w:rPr>
      </w:pPr>
      <w:r>
        <w:rPr>
          <w:color w:val="auto"/>
        </w:rPr>
        <w:t>b</w:t>
      </w:r>
      <w:r w:rsidR="008C21D1" w:rsidRPr="008C21D1">
        <w:rPr>
          <w:color w:val="auto"/>
        </w:rPr>
        <w:t>lood draw</w:t>
      </w:r>
    </w:p>
    <w:p w14:paraId="07015640" w14:textId="77777777" w:rsidR="008C21D1" w:rsidRPr="008C21D1" w:rsidRDefault="008C21D1" w:rsidP="004B5B09">
      <w:pPr>
        <w:pStyle w:val="Instructionaltext-afterfiguretable"/>
        <w:numPr>
          <w:ilvl w:val="0"/>
          <w:numId w:val="13"/>
        </w:numPr>
        <w:spacing w:before="0" w:after="0"/>
        <w:rPr>
          <w:color w:val="auto"/>
        </w:rPr>
      </w:pPr>
      <w:r w:rsidRPr="008C21D1">
        <w:rPr>
          <w:color w:val="auto"/>
        </w:rPr>
        <w:t>ELISA test for PromarkerD biomarker detection</w:t>
      </w:r>
    </w:p>
    <w:p w14:paraId="595693BD" w14:textId="77777777" w:rsidR="008C21D1" w:rsidRPr="008C21D1" w:rsidRDefault="008C21D1" w:rsidP="004B5B09">
      <w:pPr>
        <w:pStyle w:val="Instructionaltext-afterfiguretable"/>
        <w:numPr>
          <w:ilvl w:val="0"/>
          <w:numId w:val="13"/>
        </w:numPr>
        <w:spacing w:before="0" w:after="0"/>
        <w:rPr>
          <w:color w:val="auto"/>
        </w:rPr>
      </w:pPr>
      <w:r w:rsidRPr="008C21D1">
        <w:rPr>
          <w:color w:val="auto"/>
        </w:rPr>
        <w:t>HDL cholesterol and kidney function tests (uACR and eGFR)</w:t>
      </w:r>
    </w:p>
    <w:p w14:paraId="696EA63B" w14:textId="15A7F2B3" w:rsidR="008C21D1" w:rsidRDefault="008C21D1" w:rsidP="008F4EA7">
      <w:pPr>
        <w:pStyle w:val="Instructionaltext-afterfiguretable"/>
        <w:numPr>
          <w:ilvl w:val="0"/>
          <w:numId w:val="13"/>
        </w:numPr>
        <w:spacing w:before="0" w:after="0"/>
        <w:ind w:left="714" w:hanging="357"/>
        <w:rPr>
          <w:color w:val="auto"/>
        </w:rPr>
      </w:pPr>
      <w:r w:rsidRPr="008C21D1">
        <w:rPr>
          <w:color w:val="auto"/>
        </w:rPr>
        <w:t xml:space="preserve">PromarkerD algorithm use through the proprietary PromarkerD </w:t>
      </w:r>
      <w:r w:rsidR="00F153F3">
        <w:rPr>
          <w:color w:val="auto"/>
        </w:rPr>
        <w:t>H</w:t>
      </w:r>
      <w:r w:rsidRPr="008C21D1">
        <w:rPr>
          <w:color w:val="auto"/>
        </w:rPr>
        <w:t>ub</w:t>
      </w:r>
      <w:r w:rsidR="00E54801">
        <w:rPr>
          <w:color w:val="auto"/>
        </w:rPr>
        <w:t>.</w:t>
      </w:r>
    </w:p>
    <w:p w14:paraId="75BEA4A1" w14:textId="5DE1317E" w:rsidR="00416B40" w:rsidRPr="008C21D1" w:rsidRDefault="00110FC8" w:rsidP="008F4EA7">
      <w:pPr>
        <w:pStyle w:val="Instructionaltext-afterfiguretable"/>
        <w:spacing w:before="240" w:after="0"/>
        <w:rPr>
          <w:color w:val="auto"/>
        </w:rPr>
      </w:pPr>
      <w:bookmarkStart w:id="16" w:name="_Hlk111123342"/>
      <w:bookmarkEnd w:id="15"/>
      <w:r w:rsidRPr="00110FC8">
        <w:rPr>
          <w:color w:val="auto"/>
        </w:rPr>
        <w:t>There is no discussion in this ADAR of the implications of PromarkerD for pathology services.</w:t>
      </w:r>
    </w:p>
    <w:p w14:paraId="34E0B08F" w14:textId="7B8E42F8" w:rsidR="00772829" w:rsidRPr="00CE28E3" w:rsidRDefault="000D5B30" w:rsidP="002A18BE">
      <w:pPr>
        <w:pStyle w:val="Heading2"/>
        <w:numPr>
          <w:ilvl w:val="0"/>
          <w:numId w:val="0"/>
        </w:numPr>
      </w:pPr>
      <w:bookmarkStart w:id="17" w:name="_Toc69491419"/>
      <w:bookmarkEnd w:id="16"/>
      <w:r>
        <w:t>7</w:t>
      </w:r>
      <w:r w:rsidR="00C36633">
        <w:t>.</w:t>
      </w:r>
      <w:r w:rsidR="00C36633">
        <w:tab/>
      </w:r>
      <w:r w:rsidR="00772829" w:rsidRPr="00CE28E3">
        <w:t>Population</w:t>
      </w:r>
      <w:bookmarkEnd w:id="17"/>
      <w:r w:rsidR="00772829" w:rsidRPr="00CE28E3">
        <w:t xml:space="preserve"> </w:t>
      </w:r>
    </w:p>
    <w:p w14:paraId="2B2497AB" w14:textId="717AC429" w:rsidR="00EE0068" w:rsidRPr="00C6284E" w:rsidRDefault="00EE0068" w:rsidP="00EE0068">
      <w:pPr>
        <w:rPr>
          <w:lang w:val="en-US"/>
        </w:rPr>
      </w:pPr>
      <w:r>
        <w:rPr>
          <w:lang w:val="en-US"/>
        </w:rPr>
        <w:t xml:space="preserve">One </w:t>
      </w:r>
      <w:r w:rsidR="00985CD5">
        <w:t>p</w:t>
      </w:r>
      <w:r w:rsidRPr="00CE28E3">
        <w:t xml:space="preserve">opulation, </w:t>
      </w:r>
      <w:r w:rsidR="00985CD5">
        <w:t>i</w:t>
      </w:r>
      <w:r>
        <w:t>ntervention</w:t>
      </w:r>
      <w:r w:rsidRPr="00CE28E3">
        <w:t xml:space="preserve">, </w:t>
      </w:r>
      <w:r w:rsidR="00985CD5">
        <w:t>c</w:t>
      </w:r>
      <w:r w:rsidRPr="00CE28E3">
        <w:t xml:space="preserve">omparator and </w:t>
      </w:r>
      <w:r w:rsidR="00985CD5">
        <w:t>o</w:t>
      </w:r>
      <w:r w:rsidRPr="00CE28E3">
        <w:t>utcomes (PICO)</w:t>
      </w:r>
      <w:r>
        <w:t xml:space="preserve"> set was defined for the proposed technology, PromarkerD. It is a new predictive test and does</w:t>
      </w:r>
      <w:r w:rsidR="00B42976">
        <w:t xml:space="preserve"> not</w:t>
      </w:r>
      <w:r>
        <w:t xml:space="preserve"> replace current practice. </w:t>
      </w:r>
    </w:p>
    <w:p w14:paraId="36859953" w14:textId="5806D18B" w:rsidR="001349B3" w:rsidRPr="001349B3" w:rsidRDefault="00D418D3" w:rsidP="007E5379">
      <w:pPr>
        <w:pStyle w:val="Caption"/>
        <w:rPr>
          <w:b w:val="0"/>
          <w:bCs w:val="0"/>
        </w:rPr>
      </w:pPr>
      <w:r>
        <w:t xml:space="preserve">Table </w:t>
      </w:r>
      <w:r>
        <w:fldChar w:fldCharType="begin"/>
      </w:r>
      <w:r>
        <w:instrText>SEQ Table \* ARABIC</w:instrText>
      </w:r>
      <w:r>
        <w:fldChar w:fldCharType="separate"/>
      </w:r>
      <w:r w:rsidR="00104513">
        <w:rPr>
          <w:noProof/>
        </w:rPr>
        <w:t>3</w:t>
      </w:r>
      <w:r>
        <w:fldChar w:fldCharType="end"/>
      </w:r>
      <w:r>
        <w:tab/>
      </w:r>
      <w:r w:rsidR="001349B3" w:rsidRPr="001349B3">
        <w:t xml:space="preserve">PICO criteria for assessing PromarkerD predicative test for diabetic kidney disease in people with type 2 diabetes mellitus </w:t>
      </w:r>
    </w:p>
    <w:tbl>
      <w:tblPr>
        <w:tblStyle w:val="TableGrid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513"/>
      </w:tblGrid>
      <w:tr w:rsidR="00E45614" w:rsidRPr="001349B3" w14:paraId="5470F892" w14:textId="77777777">
        <w:trPr>
          <w:cnfStyle w:val="100000000000" w:firstRow="1" w:lastRow="0" w:firstColumn="0" w:lastColumn="0" w:oddVBand="0" w:evenVBand="0" w:oddHBand="0" w:evenHBand="0" w:firstRowFirstColumn="0" w:firstRowLastColumn="0" w:lastRowFirstColumn="0" w:lastRowLastColumn="0"/>
          <w:cantSplit/>
          <w:tblHeader/>
        </w:trPr>
        <w:tc>
          <w:tcPr>
            <w:tcW w:w="1701" w:type="dxa"/>
            <w:shd w:val="clear" w:color="auto" w:fill="D0CECE" w:themeFill="background2" w:themeFillShade="E6"/>
          </w:tcPr>
          <w:p w14:paraId="3E57E5A9" w14:textId="77777777" w:rsidR="001349B3" w:rsidRPr="001349B3" w:rsidRDefault="001349B3" w:rsidP="001349B3">
            <w:pPr>
              <w:spacing w:after="60"/>
              <w:jc w:val="both"/>
              <w:rPr>
                <w:rFonts w:ascii="Arial Narrow" w:hAnsi="Arial Narrow"/>
                <w:b/>
              </w:rPr>
            </w:pPr>
            <w:bookmarkStart w:id="18" w:name="Title_Table15" w:colFirst="0" w:colLast="0"/>
            <w:r w:rsidRPr="001349B3">
              <w:rPr>
                <w:rFonts w:ascii="Arial Narrow" w:hAnsi="Arial Narrow"/>
                <w:b/>
              </w:rPr>
              <w:t>Component</w:t>
            </w:r>
          </w:p>
        </w:tc>
        <w:tc>
          <w:tcPr>
            <w:tcW w:w="7513" w:type="dxa"/>
            <w:shd w:val="clear" w:color="auto" w:fill="D0CECE" w:themeFill="background2" w:themeFillShade="E6"/>
          </w:tcPr>
          <w:p w14:paraId="4D125C6F" w14:textId="77777777" w:rsidR="001349B3" w:rsidRPr="001349B3" w:rsidRDefault="001349B3" w:rsidP="001349B3">
            <w:pPr>
              <w:spacing w:after="60"/>
              <w:jc w:val="both"/>
              <w:rPr>
                <w:rFonts w:ascii="Arial Narrow" w:hAnsi="Arial Narrow"/>
                <w:b/>
              </w:rPr>
            </w:pPr>
            <w:r w:rsidRPr="001349B3">
              <w:rPr>
                <w:rFonts w:ascii="Arial Narrow" w:hAnsi="Arial Narrow"/>
                <w:b/>
              </w:rPr>
              <w:t>Description</w:t>
            </w:r>
          </w:p>
        </w:tc>
      </w:tr>
      <w:bookmarkEnd w:id="18"/>
      <w:tr w:rsidR="001349B3" w:rsidRPr="001349B3" w14:paraId="080E362D" w14:textId="77777777">
        <w:trPr>
          <w:cnfStyle w:val="100000000000" w:firstRow="1" w:lastRow="0" w:firstColumn="0" w:lastColumn="0" w:oddVBand="0" w:evenVBand="0" w:oddHBand="0" w:evenHBand="0" w:firstRowFirstColumn="0" w:firstRowLastColumn="0" w:lastRowFirstColumn="0" w:lastRowLastColumn="0"/>
          <w:cantSplit/>
          <w:tblHeader/>
        </w:trPr>
        <w:tc>
          <w:tcPr>
            <w:tcW w:w="1701" w:type="dxa"/>
            <w:shd w:val="clear" w:color="auto" w:fill="auto"/>
          </w:tcPr>
          <w:p w14:paraId="0CFCE89C" w14:textId="77777777" w:rsidR="001349B3" w:rsidRPr="001349B3" w:rsidRDefault="001349B3" w:rsidP="001349B3">
            <w:pPr>
              <w:spacing w:before="40"/>
              <w:jc w:val="both"/>
              <w:rPr>
                <w:rFonts w:ascii="Arial Narrow" w:hAnsi="Arial Narrow"/>
              </w:rPr>
            </w:pPr>
            <w:r w:rsidRPr="001349B3">
              <w:rPr>
                <w:rFonts w:ascii="Arial Narrow" w:hAnsi="Arial Narrow"/>
              </w:rPr>
              <w:t>Population</w:t>
            </w:r>
          </w:p>
        </w:tc>
        <w:tc>
          <w:tcPr>
            <w:tcW w:w="7513" w:type="dxa"/>
            <w:shd w:val="clear" w:color="auto" w:fill="auto"/>
          </w:tcPr>
          <w:p w14:paraId="5D746DE7" w14:textId="77777777" w:rsidR="001349B3" w:rsidRPr="001349B3" w:rsidRDefault="001349B3" w:rsidP="001349B3">
            <w:pPr>
              <w:tabs>
                <w:tab w:val="left" w:pos="951"/>
              </w:tabs>
              <w:spacing w:before="40"/>
              <w:jc w:val="both"/>
              <w:rPr>
                <w:rFonts w:ascii="Arial Narrow" w:hAnsi="Arial Narrow"/>
              </w:rPr>
            </w:pPr>
            <w:r w:rsidRPr="001349B3">
              <w:rPr>
                <w:rFonts w:ascii="Arial Narrow" w:hAnsi="Arial Narrow"/>
              </w:rPr>
              <w:t>Patients would be eligible to use PromarkerD if they met the following criteria:</w:t>
            </w:r>
          </w:p>
          <w:p w14:paraId="56A930D3" w14:textId="0DC45D4C" w:rsidR="001349B3" w:rsidRPr="001349B3" w:rsidRDefault="001349B3" w:rsidP="001349B3">
            <w:pPr>
              <w:tabs>
                <w:tab w:val="left" w:pos="951"/>
              </w:tabs>
              <w:spacing w:before="40"/>
              <w:jc w:val="both"/>
              <w:rPr>
                <w:rFonts w:ascii="Arial Narrow" w:hAnsi="Arial Narrow"/>
              </w:rPr>
            </w:pPr>
            <w:r w:rsidRPr="001349B3">
              <w:rPr>
                <w:rFonts w:ascii="Arial Narrow" w:hAnsi="Arial Narrow"/>
              </w:rPr>
              <w:t xml:space="preserve">a. </w:t>
            </w:r>
            <w:r w:rsidR="001726B1">
              <w:rPr>
                <w:rFonts w:ascii="Arial Narrow" w:hAnsi="Arial Narrow"/>
              </w:rPr>
              <w:t>t</w:t>
            </w:r>
            <w:r w:rsidRPr="001349B3">
              <w:rPr>
                <w:rFonts w:ascii="Arial Narrow" w:hAnsi="Arial Narrow"/>
              </w:rPr>
              <w:t>ype 2 diabetes mellitus (T2DM) diagnosis; and</w:t>
            </w:r>
          </w:p>
          <w:p w14:paraId="33C2FCCC" w14:textId="19721D1B" w:rsidR="001349B3" w:rsidRPr="001349B3" w:rsidRDefault="001349B3" w:rsidP="001349B3">
            <w:pPr>
              <w:tabs>
                <w:tab w:val="left" w:pos="951"/>
              </w:tabs>
              <w:spacing w:before="40"/>
              <w:jc w:val="both"/>
              <w:rPr>
                <w:rFonts w:ascii="Arial Narrow" w:hAnsi="Arial Narrow"/>
              </w:rPr>
            </w:pPr>
            <w:r w:rsidRPr="001349B3">
              <w:rPr>
                <w:rFonts w:ascii="Arial Narrow" w:hAnsi="Arial Narrow"/>
              </w:rPr>
              <w:t xml:space="preserve">b. </w:t>
            </w:r>
            <w:r w:rsidR="001726B1">
              <w:rPr>
                <w:rFonts w:ascii="Arial Narrow" w:hAnsi="Arial Narrow"/>
              </w:rPr>
              <w:t>e</w:t>
            </w:r>
            <w:r w:rsidRPr="001349B3">
              <w:rPr>
                <w:rFonts w:ascii="Arial Narrow" w:hAnsi="Arial Narrow"/>
              </w:rPr>
              <w:t>stimated glomerular filtration rate (eGFR) of greater than or equal to 60</w:t>
            </w:r>
            <w:r w:rsidR="0034785C">
              <w:rPr>
                <w:rFonts w:ascii="Arial Narrow" w:hAnsi="Arial Narrow"/>
              </w:rPr>
              <w:t> </w:t>
            </w:r>
            <w:r w:rsidRPr="001349B3">
              <w:rPr>
                <w:rFonts w:ascii="Arial Narrow" w:hAnsi="Arial Narrow"/>
              </w:rPr>
              <w:t>ml/min/1.73m</w:t>
            </w:r>
            <w:r w:rsidRPr="001349B3">
              <w:rPr>
                <w:rFonts w:ascii="Arial Narrow" w:hAnsi="Arial Narrow"/>
                <w:vertAlign w:val="superscript"/>
              </w:rPr>
              <w:t>2</w:t>
            </w:r>
            <w:r w:rsidRPr="001349B3">
              <w:rPr>
                <w:rFonts w:ascii="Arial Narrow" w:hAnsi="Arial Narrow"/>
              </w:rPr>
              <w:t>; and</w:t>
            </w:r>
          </w:p>
          <w:p w14:paraId="3AB995F1" w14:textId="77777777" w:rsidR="001349B3" w:rsidRDefault="001349B3" w:rsidP="001349B3">
            <w:pPr>
              <w:tabs>
                <w:tab w:val="left" w:pos="951"/>
              </w:tabs>
              <w:spacing w:before="40"/>
              <w:jc w:val="both"/>
              <w:rPr>
                <w:rFonts w:ascii="Arial Narrow" w:hAnsi="Arial Narrow"/>
              </w:rPr>
            </w:pPr>
            <w:r w:rsidRPr="001349B3">
              <w:rPr>
                <w:rFonts w:ascii="Arial Narrow" w:hAnsi="Arial Narrow"/>
              </w:rPr>
              <w:t xml:space="preserve">c. </w:t>
            </w:r>
            <w:r w:rsidR="00200F04">
              <w:rPr>
                <w:rFonts w:ascii="Arial Narrow" w:hAnsi="Arial Narrow"/>
              </w:rPr>
              <w:t>a</w:t>
            </w:r>
            <w:r w:rsidRPr="001349B3">
              <w:rPr>
                <w:rFonts w:ascii="Arial Narrow" w:hAnsi="Arial Narrow"/>
              </w:rPr>
              <w:t xml:space="preserve">lbumin: </w:t>
            </w:r>
            <w:r w:rsidR="00200F04">
              <w:rPr>
                <w:rFonts w:ascii="Arial Narrow" w:hAnsi="Arial Narrow"/>
              </w:rPr>
              <w:t>c</w:t>
            </w:r>
            <w:r w:rsidRPr="001349B3">
              <w:rPr>
                <w:rFonts w:ascii="Arial Narrow" w:hAnsi="Arial Narrow"/>
              </w:rPr>
              <w:t xml:space="preserve">reatinine </w:t>
            </w:r>
            <w:r w:rsidR="00200F04">
              <w:rPr>
                <w:rFonts w:ascii="Arial Narrow" w:hAnsi="Arial Narrow"/>
              </w:rPr>
              <w:t>r</w:t>
            </w:r>
            <w:r w:rsidRPr="001349B3">
              <w:rPr>
                <w:rFonts w:ascii="Arial Narrow" w:hAnsi="Arial Narrow"/>
              </w:rPr>
              <w:t>atio (uACR) test results of less than or equal to 30</w:t>
            </w:r>
            <w:r w:rsidR="0034785C">
              <w:rPr>
                <w:rFonts w:ascii="Arial Narrow" w:hAnsi="Arial Narrow"/>
              </w:rPr>
              <w:t> </w:t>
            </w:r>
            <w:r w:rsidRPr="001349B3">
              <w:rPr>
                <w:rFonts w:ascii="Arial Narrow" w:hAnsi="Arial Narrow"/>
              </w:rPr>
              <w:t>mg/mmol.</w:t>
            </w:r>
          </w:p>
          <w:p w14:paraId="5A68F866" w14:textId="529F0CC4" w:rsidR="008F4EA7" w:rsidRPr="001349B3" w:rsidRDefault="008F4EA7" w:rsidP="001349B3">
            <w:pPr>
              <w:tabs>
                <w:tab w:val="left" w:pos="951"/>
              </w:tabs>
              <w:spacing w:before="40"/>
              <w:jc w:val="both"/>
              <w:rPr>
                <w:rFonts w:ascii="Arial Narrow" w:hAnsi="Arial Narrow"/>
              </w:rPr>
            </w:pPr>
          </w:p>
        </w:tc>
      </w:tr>
      <w:tr w:rsidR="001349B3" w:rsidRPr="001349B3" w14:paraId="11386F3E" w14:textId="77777777">
        <w:tc>
          <w:tcPr>
            <w:tcW w:w="1701" w:type="dxa"/>
            <w:shd w:val="clear" w:color="auto" w:fill="auto"/>
          </w:tcPr>
          <w:p w14:paraId="24411D03" w14:textId="59A936AC" w:rsidR="001349B3" w:rsidRPr="001349B3" w:rsidRDefault="001349B3" w:rsidP="001349B3">
            <w:pPr>
              <w:spacing w:before="40"/>
              <w:jc w:val="both"/>
              <w:rPr>
                <w:rFonts w:ascii="Arial Narrow" w:hAnsi="Arial Narrow"/>
              </w:rPr>
            </w:pPr>
            <w:r w:rsidRPr="001349B3">
              <w:rPr>
                <w:rFonts w:ascii="Arial Narrow" w:hAnsi="Arial Narrow"/>
              </w:rPr>
              <w:t>Prior tests</w:t>
            </w:r>
          </w:p>
        </w:tc>
        <w:tc>
          <w:tcPr>
            <w:tcW w:w="7513" w:type="dxa"/>
            <w:shd w:val="clear" w:color="auto" w:fill="auto"/>
          </w:tcPr>
          <w:p w14:paraId="7102CC8F" w14:textId="77777777" w:rsidR="001349B3" w:rsidRPr="001349B3" w:rsidRDefault="001349B3" w:rsidP="001349B3">
            <w:pPr>
              <w:spacing w:before="40"/>
              <w:jc w:val="both"/>
              <w:rPr>
                <w:rFonts w:ascii="Arial Narrow" w:hAnsi="Arial Narrow"/>
              </w:rPr>
            </w:pPr>
            <w:r w:rsidRPr="001349B3">
              <w:rPr>
                <w:rFonts w:ascii="Arial Narrow" w:hAnsi="Arial Narrow"/>
              </w:rPr>
              <w:t>Tests required to confirm diagnosis of T2DM.</w:t>
            </w:r>
          </w:p>
          <w:p w14:paraId="136E8D4D" w14:textId="77777777" w:rsidR="001349B3" w:rsidRPr="001349B3" w:rsidRDefault="001349B3" w:rsidP="001349B3">
            <w:pPr>
              <w:spacing w:before="40"/>
              <w:jc w:val="both"/>
              <w:rPr>
                <w:rFonts w:ascii="Arial Narrow" w:hAnsi="Arial Narrow"/>
              </w:rPr>
            </w:pPr>
            <w:r w:rsidRPr="001349B3">
              <w:rPr>
                <w:rFonts w:ascii="Arial Narrow" w:hAnsi="Arial Narrow"/>
              </w:rPr>
              <w:t>Prior measurement of eGFR and uACR is required.</w:t>
            </w:r>
          </w:p>
          <w:p w14:paraId="132F867C" w14:textId="77777777" w:rsidR="001349B3" w:rsidRPr="001349B3" w:rsidRDefault="001349B3" w:rsidP="001349B3">
            <w:pPr>
              <w:spacing w:before="40"/>
              <w:jc w:val="both"/>
              <w:rPr>
                <w:rFonts w:ascii="Arial Narrow" w:hAnsi="Arial Narrow"/>
              </w:rPr>
            </w:pPr>
            <w:r w:rsidRPr="001349B3">
              <w:rPr>
                <w:rFonts w:ascii="Arial Narrow" w:hAnsi="Arial Narrow"/>
              </w:rPr>
              <w:t>Prior measurement of serum HDL cholesterol is required.</w:t>
            </w:r>
          </w:p>
          <w:p w14:paraId="21470FC7" w14:textId="77777777" w:rsidR="001349B3" w:rsidRPr="001349B3" w:rsidRDefault="001349B3" w:rsidP="001349B3">
            <w:pPr>
              <w:spacing w:before="40"/>
              <w:jc w:val="both"/>
              <w:rPr>
                <w:rFonts w:ascii="Arial Narrow" w:hAnsi="Arial Narrow"/>
              </w:rPr>
            </w:pPr>
          </w:p>
          <w:p w14:paraId="3E34F8C5" w14:textId="702A90F4" w:rsidR="001349B3" w:rsidRPr="001349B3" w:rsidRDefault="001349B3" w:rsidP="001349B3">
            <w:pPr>
              <w:spacing w:before="40"/>
              <w:jc w:val="both"/>
              <w:rPr>
                <w:rFonts w:ascii="Arial Narrow" w:hAnsi="Arial Narrow"/>
              </w:rPr>
            </w:pPr>
            <w:r w:rsidRPr="001349B3">
              <w:rPr>
                <w:rFonts w:ascii="Arial Narrow" w:hAnsi="Arial Narrow"/>
              </w:rPr>
              <w:t xml:space="preserve">eGFR and HDL cholesterol results should be no older than </w:t>
            </w:r>
            <w:r w:rsidR="007F7259">
              <w:rPr>
                <w:rFonts w:ascii="Arial Narrow" w:hAnsi="Arial Narrow"/>
              </w:rPr>
              <w:t>6</w:t>
            </w:r>
            <w:r w:rsidR="007F7259" w:rsidRPr="001349B3">
              <w:rPr>
                <w:rFonts w:ascii="Arial Narrow" w:hAnsi="Arial Narrow"/>
              </w:rPr>
              <w:t xml:space="preserve"> </w:t>
            </w:r>
            <w:r w:rsidRPr="001349B3">
              <w:rPr>
                <w:rFonts w:ascii="Arial Narrow" w:hAnsi="Arial Narrow"/>
              </w:rPr>
              <w:t xml:space="preserve">months. </w:t>
            </w:r>
          </w:p>
        </w:tc>
      </w:tr>
      <w:tr w:rsidR="001349B3" w:rsidRPr="001349B3" w14:paraId="75FCEF61" w14:textId="77777777">
        <w:tc>
          <w:tcPr>
            <w:tcW w:w="1701" w:type="dxa"/>
            <w:shd w:val="clear" w:color="auto" w:fill="auto"/>
          </w:tcPr>
          <w:p w14:paraId="3D10508D" w14:textId="77777777" w:rsidR="001349B3" w:rsidRPr="001349B3" w:rsidRDefault="001349B3" w:rsidP="001349B3">
            <w:pPr>
              <w:spacing w:before="40"/>
              <w:jc w:val="both"/>
              <w:rPr>
                <w:rFonts w:ascii="Arial Narrow" w:hAnsi="Arial Narrow"/>
              </w:rPr>
            </w:pPr>
            <w:r w:rsidRPr="001349B3">
              <w:rPr>
                <w:rFonts w:ascii="Arial Narrow" w:hAnsi="Arial Narrow"/>
              </w:rPr>
              <w:lastRenderedPageBreak/>
              <w:t>Intervention</w:t>
            </w:r>
          </w:p>
        </w:tc>
        <w:tc>
          <w:tcPr>
            <w:tcW w:w="7513" w:type="dxa"/>
            <w:shd w:val="clear" w:color="auto" w:fill="auto"/>
          </w:tcPr>
          <w:p w14:paraId="35EEFF73" w14:textId="23B46833" w:rsidR="001349B3" w:rsidRPr="001349B3" w:rsidRDefault="001349B3" w:rsidP="001349B3">
            <w:pPr>
              <w:spacing w:before="40"/>
              <w:jc w:val="both"/>
              <w:rPr>
                <w:rFonts w:ascii="Arial Narrow" w:hAnsi="Arial Narrow"/>
              </w:rPr>
            </w:pPr>
            <w:r w:rsidRPr="001349B3">
              <w:rPr>
                <w:rFonts w:ascii="Arial Narrow" w:hAnsi="Arial Narrow"/>
              </w:rPr>
              <w:t>PromarkerD is an in</w:t>
            </w:r>
            <w:r w:rsidR="007F7259">
              <w:rPr>
                <w:rFonts w:ascii="Arial Narrow" w:hAnsi="Arial Narrow"/>
              </w:rPr>
              <w:t>-</w:t>
            </w:r>
            <w:r w:rsidRPr="001349B3">
              <w:rPr>
                <w:rFonts w:ascii="Arial Narrow" w:hAnsi="Arial Narrow"/>
              </w:rPr>
              <w:t xml:space="preserve">vitro quantitative blood test designed to predict incident diabetic kidney disease (DKD) or progression of DKD in patients with T2DM. </w:t>
            </w:r>
          </w:p>
          <w:p w14:paraId="2CCAAA88" w14:textId="453C3DBB" w:rsidR="001349B3" w:rsidRPr="001349B3" w:rsidRDefault="001349B3" w:rsidP="001349B3">
            <w:pPr>
              <w:spacing w:before="40"/>
              <w:jc w:val="both"/>
              <w:rPr>
                <w:rFonts w:ascii="Arial Narrow" w:hAnsi="Arial Narrow"/>
              </w:rPr>
            </w:pPr>
            <w:r w:rsidRPr="001349B3">
              <w:rPr>
                <w:rFonts w:ascii="Arial Narrow" w:hAnsi="Arial Narrow"/>
              </w:rPr>
              <w:t xml:space="preserve">The test measures </w:t>
            </w:r>
            <w:r w:rsidR="007F7259">
              <w:rPr>
                <w:rFonts w:ascii="Arial Narrow" w:hAnsi="Arial Narrow"/>
              </w:rPr>
              <w:t>3</w:t>
            </w:r>
            <w:r w:rsidR="007F7259" w:rsidRPr="001349B3">
              <w:rPr>
                <w:rFonts w:ascii="Arial Narrow" w:hAnsi="Arial Narrow"/>
              </w:rPr>
              <w:t xml:space="preserve"> </w:t>
            </w:r>
            <w:r w:rsidRPr="001349B3">
              <w:rPr>
                <w:rFonts w:ascii="Arial Narrow" w:hAnsi="Arial Narrow"/>
              </w:rPr>
              <w:t>novel plasma protein biomarkers (</w:t>
            </w:r>
            <w:r w:rsidR="003C4D3D">
              <w:rPr>
                <w:rFonts w:ascii="Arial Narrow" w:hAnsi="Arial Narrow"/>
              </w:rPr>
              <w:t>a</w:t>
            </w:r>
            <w:r w:rsidRPr="001349B3">
              <w:rPr>
                <w:rFonts w:ascii="Arial Narrow" w:hAnsi="Arial Narrow"/>
              </w:rPr>
              <w:t xml:space="preserve">polipoprotein A4 </w:t>
            </w:r>
            <w:r w:rsidR="0069549A">
              <w:rPr>
                <w:rFonts w:ascii="Arial Narrow" w:hAnsi="Arial Narrow"/>
              </w:rPr>
              <w:t>[</w:t>
            </w:r>
            <w:r w:rsidRPr="001349B3">
              <w:rPr>
                <w:rFonts w:ascii="Arial Narrow" w:hAnsi="Arial Narrow"/>
              </w:rPr>
              <w:t>ApoA4</w:t>
            </w:r>
            <w:r w:rsidR="0069549A">
              <w:rPr>
                <w:rFonts w:ascii="Arial Narrow" w:hAnsi="Arial Narrow"/>
              </w:rPr>
              <w:t>]</w:t>
            </w:r>
            <w:r w:rsidRPr="001349B3">
              <w:rPr>
                <w:rFonts w:ascii="Arial Narrow" w:hAnsi="Arial Narrow"/>
              </w:rPr>
              <w:t xml:space="preserve">, CD5 antigen-like </w:t>
            </w:r>
            <w:r w:rsidR="0069549A">
              <w:rPr>
                <w:rFonts w:ascii="Arial Narrow" w:hAnsi="Arial Narrow"/>
              </w:rPr>
              <w:t>[</w:t>
            </w:r>
            <w:r w:rsidRPr="001349B3">
              <w:rPr>
                <w:rFonts w:ascii="Arial Narrow" w:hAnsi="Arial Narrow"/>
              </w:rPr>
              <w:t>CD5L</w:t>
            </w:r>
            <w:r w:rsidR="0069549A">
              <w:rPr>
                <w:rFonts w:ascii="Arial Narrow" w:hAnsi="Arial Narrow"/>
              </w:rPr>
              <w:t>]</w:t>
            </w:r>
            <w:r w:rsidRPr="001349B3">
              <w:rPr>
                <w:rFonts w:ascii="Arial Narrow" w:hAnsi="Arial Narrow"/>
              </w:rPr>
              <w:t xml:space="preserve"> and </w:t>
            </w:r>
            <w:r w:rsidR="003C4D3D">
              <w:rPr>
                <w:rFonts w:ascii="Arial Narrow" w:hAnsi="Arial Narrow"/>
              </w:rPr>
              <w:t>i</w:t>
            </w:r>
            <w:r w:rsidRPr="001349B3">
              <w:rPr>
                <w:rFonts w:ascii="Arial Narrow" w:hAnsi="Arial Narrow"/>
              </w:rPr>
              <w:t xml:space="preserve">nsulin growth factor binding protein 3 </w:t>
            </w:r>
            <w:r w:rsidR="0069549A">
              <w:rPr>
                <w:rFonts w:ascii="Arial Narrow" w:hAnsi="Arial Narrow"/>
              </w:rPr>
              <w:t>[</w:t>
            </w:r>
            <w:r w:rsidRPr="001349B3">
              <w:rPr>
                <w:rFonts w:ascii="Arial Narrow" w:hAnsi="Arial Narrow"/>
              </w:rPr>
              <w:t>IBP3</w:t>
            </w:r>
            <w:r w:rsidR="0069549A">
              <w:rPr>
                <w:rFonts w:ascii="Arial Narrow" w:hAnsi="Arial Narrow"/>
              </w:rPr>
              <w:t>]</w:t>
            </w:r>
            <w:r w:rsidRPr="001349B3">
              <w:rPr>
                <w:rFonts w:ascii="Arial Narrow" w:hAnsi="Arial Narrow"/>
              </w:rPr>
              <w:t xml:space="preserve">). The concentrations of these biomarkers, along with the clinical factors (age, high-density lipoprotein </w:t>
            </w:r>
            <w:r w:rsidR="005B5954">
              <w:rPr>
                <w:rFonts w:ascii="Arial Narrow" w:hAnsi="Arial Narrow"/>
              </w:rPr>
              <w:t>[</w:t>
            </w:r>
            <w:r w:rsidRPr="001349B3">
              <w:rPr>
                <w:rFonts w:ascii="Arial Narrow" w:hAnsi="Arial Narrow"/>
              </w:rPr>
              <w:t>HDL</w:t>
            </w:r>
            <w:r w:rsidR="005B5954">
              <w:rPr>
                <w:rFonts w:ascii="Arial Narrow" w:hAnsi="Arial Narrow"/>
              </w:rPr>
              <w:t>]</w:t>
            </w:r>
            <w:r w:rsidRPr="001349B3">
              <w:rPr>
                <w:rFonts w:ascii="Arial Narrow" w:hAnsi="Arial Narrow"/>
              </w:rPr>
              <w:t xml:space="preserve"> cholesterol, eGFR), are entered into the PromarkerD Hub, a static proprietary software algorithm which characterises patients as low-risk, moderate-risk, or high-risk of developing DKD (defined as eGFR below 60</w:t>
            </w:r>
            <w:r w:rsidR="005B5954">
              <w:rPr>
                <w:rFonts w:ascii="Arial Narrow" w:hAnsi="Arial Narrow"/>
              </w:rPr>
              <w:t> </w:t>
            </w:r>
            <w:r w:rsidRPr="001349B3">
              <w:rPr>
                <w:rFonts w:ascii="Arial Narrow" w:hAnsi="Arial Narrow"/>
              </w:rPr>
              <w:t>mL/min/1.73m</w:t>
            </w:r>
            <w:r w:rsidRPr="001349B3">
              <w:rPr>
                <w:rFonts w:ascii="Arial Narrow" w:hAnsi="Arial Narrow"/>
                <w:vertAlign w:val="superscript"/>
              </w:rPr>
              <w:t>2</w:t>
            </w:r>
            <w:r w:rsidRPr="001349B3">
              <w:rPr>
                <w:rFonts w:ascii="Arial Narrow" w:hAnsi="Arial Narrow"/>
              </w:rPr>
              <w:t>) within 4 years, or a decline in eGFR of ≥30% over 4 years.</w:t>
            </w:r>
          </w:p>
        </w:tc>
      </w:tr>
      <w:tr w:rsidR="001349B3" w:rsidRPr="001349B3" w14:paraId="112E2EC3" w14:textId="77777777">
        <w:tc>
          <w:tcPr>
            <w:tcW w:w="1701" w:type="dxa"/>
            <w:shd w:val="clear" w:color="auto" w:fill="auto"/>
          </w:tcPr>
          <w:p w14:paraId="0378637D" w14:textId="77777777" w:rsidR="001349B3" w:rsidRPr="001349B3" w:rsidRDefault="001349B3" w:rsidP="001349B3">
            <w:pPr>
              <w:spacing w:before="40"/>
              <w:jc w:val="both"/>
              <w:rPr>
                <w:rFonts w:ascii="Arial Narrow" w:hAnsi="Arial Narrow"/>
              </w:rPr>
            </w:pPr>
            <w:r w:rsidRPr="001349B3">
              <w:rPr>
                <w:rFonts w:ascii="Arial Narrow" w:hAnsi="Arial Narrow"/>
              </w:rPr>
              <w:t>Comparator</w:t>
            </w:r>
          </w:p>
        </w:tc>
        <w:tc>
          <w:tcPr>
            <w:tcW w:w="7513" w:type="dxa"/>
            <w:shd w:val="clear" w:color="auto" w:fill="auto"/>
          </w:tcPr>
          <w:p w14:paraId="3C8D60A4" w14:textId="77777777" w:rsidR="001349B3" w:rsidRPr="001349B3" w:rsidRDefault="001349B3" w:rsidP="001349B3">
            <w:pPr>
              <w:spacing w:before="40"/>
              <w:jc w:val="both"/>
              <w:rPr>
                <w:rFonts w:ascii="Arial Narrow" w:hAnsi="Arial Narrow"/>
              </w:rPr>
            </w:pPr>
            <w:r w:rsidRPr="001349B3">
              <w:rPr>
                <w:rFonts w:ascii="Arial Narrow" w:hAnsi="Arial Narrow"/>
              </w:rPr>
              <w:t xml:space="preserve">The comparator nominated is ‘no comparator’, as PromarkerD would be added to the current testing regimen. </w:t>
            </w:r>
          </w:p>
          <w:p w14:paraId="16C15031" w14:textId="77777777" w:rsidR="001349B3" w:rsidRPr="001349B3" w:rsidRDefault="001349B3" w:rsidP="001349B3">
            <w:pPr>
              <w:spacing w:before="40"/>
              <w:jc w:val="both"/>
              <w:rPr>
                <w:rFonts w:ascii="Arial Narrow" w:hAnsi="Arial Narrow"/>
              </w:rPr>
            </w:pPr>
            <w:r w:rsidRPr="001349B3">
              <w:rPr>
                <w:rFonts w:ascii="Arial Narrow" w:hAnsi="Arial Narrow"/>
              </w:rPr>
              <w:t>There is no direct comparator as current standard of care diagnoses DKD after clinical symptoms appear rather than predicting risk of DKD.</w:t>
            </w:r>
          </w:p>
        </w:tc>
      </w:tr>
      <w:tr w:rsidR="001349B3" w:rsidRPr="001349B3" w14:paraId="54612F37" w14:textId="77777777">
        <w:trPr>
          <w:cantSplit/>
        </w:trPr>
        <w:tc>
          <w:tcPr>
            <w:tcW w:w="1701" w:type="dxa"/>
            <w:shd w:val="clear" w:color="auto" w:fill="auto"/>
          </w:tcPr>
          <w:p w14:paraId="33C4A2D7" w14:textId="77777777" w:rsidR="001349B3" w:rsidRPr="001349B3" w:rsidRDefault="001349B3" w:rsidP="001349B3">
            <w:pPr>
              <w:spacing w:before="40"/>
              <w:jc w:val="both"/>
              <w:rPr>
                <w:rFonts w:ascii="Arial Narrow" w:hAnsi="Arial Narrow"/>
              </w:rPr>
            </w:pPr>
            <w:r w:rsidRPr="001349B3">
              <w:rPr>
                <w:rFonts w:ascii="Arial Narrow" w:hAnsi="Arial Narrow"/>
              </w:rPr>
              <w:t>Outcomes</w:t>
            </w:r>
          </w:p>
        </w:tc>
        <w:tc>
          <w:tcPr>
            <w:tcW w:w="7513" w:type="dxa"/>
            <w:shd w:val="clear" w:color="auto" w:fill="auto"/>
          </w:tcPr>
          <w:p w14:paraId="19A7EE32" w14:textId="63471C08" w:rsidR="001349B3" w:rsidRPr="001349B3" w:rsidRDefault="001349B3" w:rsidP="001349B3">
            <w:pPr>
              <w:spacing w:before="40"/>
              <w:jc w:val="both"/>
              <w:rPr>
                <w:rFonts w:ascii="Arial Narrow" w:hAnsi="Arial Narrow"/>
              </w:rPr>
            </w:pPr>
            <w:r w:rsidRPr="001349B3">
              <w:rPr>
                <w:rFonts w:ascii="Arial Narrow" w:hAnsi="Arial Narrow"/>
                <w:b/>
              </w:rPr>
              <w:t>Safety</w:t>
            </w:r>
          </w:p>
          <w:p w14:paraId="5A69B0B4" w14:textId="77777777" w:rsidR="001349B3" w:rsidRDefault="001349B3" w:rsidP="004B5B09">
            <w:pPr>
              <w:numPr>
                <w:ilvl w:val="0"/>
                <w:numId w:val="11"/>
              </w:numPr>
              <w:tabs>
                <w:tab w:val="left" w:pos="951"/>
              </w:tabs>
              <w:spacing w:before="40"/>
              <w:jc w:val="both"/>
              <w:rPr>
                <w:rFonts w:ascii="Arial Narrow" w:hAnsi="Arial Narrow"/>
              </w:rPr>
            </w:pPr>
            <w:r w:rsidRPr="001349B3">
              <w:rPr>
                <w:rFonts w:ascii="Arial Narrow" w:hAnsi="Arial Narrow"/>
              </w:rPr>
              <w:t>N/A</w:t>
            </w:r>
          </w:p>
          <w:p w14:paraId="10B30F91" w14:textId="77777777" w:rsidR="008E02B2" w:rsidRPr="001349B3" w:rsidRDefault="008E02B2" w:rsidP="004B5B09">
            <w:pPr>
              <w:numPr>
                <w:ilvl w:val="0"/>
                <w:numId w:val="11"/>
              </w:numPr>
              <w:tabs>
                <w:tab w:val="left" w:pos="951"/>
              </w:tabs>
              <w:spacing w:before="40"/>
              <w:jc w:val="both"/>
              <w:rPr>
                <w:rFonts w:ascii="Arial Narrow" w:hAnsi="Arial Narrow"/>
              </w:rPr>
            </w:pPr>
          </w:p>
          <w:p w14:paraId="23ACE09B" w14:textId="3A0B3A3F" w:rsidR="001349B3" w:rsidRPr="001349B3" w:rsidRDefault="001349B3" w:rsidP="001349B3">
            <w:pPr>
              <w:spacing w:before="40"/>
              <w:jc w:val="both"/>
              <w:rPr>
                <w:rFonts w:ascii="Arial Narrow" w:hAnsi="Arial Narrow"/>
                <w:b/>
              </w:rPr>
            </w:pPr>
            <w:r w:rsidRPr="001349B3">
              <w:rPr>
                <w:rFonts w:ascii="Arial Narrow" w:hAnsi="Arial Narrow"/>
                <w:b/>
              </w:rPr>
              <w:t>Effectiveness</w:t>
            </w:r>
          </w:p>
          <w:p w14:paraId="3A314D69" w14:textId="608A63A6" w:rsidR="001349B3" w:rsidRPr="001349B3" w:rsidRDefault="001349B3" w:rsidP="004B5B09">
            <w:pPr>
              <w:numPr>
                <w:ilvl w:val="0"/>
                <w:numId w:val="11"/>
              </w:numPr>
              <w:tabs>
                <w:tab w:val="left" w:pos="951"/>
              </w:tabs>
              <w:spacing w:before="40"/>
              <w:jc w:val="both"/>
              <w:rPr>
                <w:rFonts w:ascii="Arial Narrow" w:hAnsi="Arial Narrow"/>
              </w:rPr>
            </w:pPr>
            <w:r w:rsidRPr="001349B3">
              <w:rPr>
                <w:rFonts w:ascii="Arial Narrow" w:hAnsi="Arial Narrow"/>
              </w:rPr>
              <w:t xml:space="preserve">Life </w:t>
            </w:r>
            <w:r w:rsidR="008E02B2">
              <w:rPr>
                <w:rFonts w:ascii="Arial Narrow" w:hAnsi="Arial Narrow"/>
              </w:rPr>
              <w:t>y</w:t>
            </w:r>
            <w:r w:rsidRPr="001349B3">
              <w:rPr>
                <w:rFonts w:ascii="Arial Narrow" w:hAnsi="Arial Narrow"/>
              </w:rPr>
              <w:t xml:space="preserve">ears </w:t>
            </w:r>
            <w:r w:rsidR="008E02B2">
              <w:rPr>
                <w:rFonts w:ascii="Arial Narrow" w:hAnsi="Arial Narrow"/>
              </w:rPr>
              <w:t>s</w:t>
            </w:r>
            <w:r w:rsidRPr="001349B3">
              <w:rPr>
                <w:rFonts w:ascii="Arial Narrow" w:hAnsi="Arial Narrow"/>
              </w:rPr>
              <w:t>aved</w:t>
            </w:r>
          </w:p>
          <w:p w14:paraId="10738A57" w14:textId="41E0C623" w:rsidR="001349B3" w:rsidRPr="001349B3" w:rsidRDefault="001349B3" w:rsidP="004B5B09">
            <w:pPr>
              <w:numPr>
                <w:ilvl w:val="0"/>
                <w:numId w:val="11"/>
              </w:numPr>
              <w:tabs>
                <w:tab w:val="left" w:pos="951"/>
              </w:tabs>
              <w:spacing w:before="40"/>
              <w:jc w:val="both"/>
              <w:rPr>
                <w:rFonts w:ascii="Arial Narrow" w:hAnsi="Arial Narrow"/>
              </w:rPr>
            </w:pPr>
            <w:r w:rsidRPr="001349B3">
              <w:rPr>
                <w:rFonts w:ascii="Arial Narrow" w:hAnsi="Arial Narrow"/>
              </w:rPr>
              <w:t>End</w:t>
            </w:r>
            <w:r w:rsidR="00223F4B">
              <w:rPr>
                <w:rFonts w:ascii="Arial Narrow" w:hAnsi="Arial Narrow"/>
              </w:rPr>
              <w:t>-</w:t>
            </w:r>
            <w:r w:rsidR="008E02B2">
              <w:rPr>
                <w:rFonts w:ascii="Arial Narrow" w:hAnsi="Arial Narrow"/>
              </w:rPr>
              <w:t>s</w:t>
            </w:r>
            <w:r w:rsidRPr="001349B3">
              <w:rPr>
                <w:rFonts w:ascii="Arial Narrow" w:hAnsi="Arial Narrow"/>
              </w:rPr>
              <w:t xml:space="preserve">tage </w:t>
            </w:r>
            <w:r w:rsidR="008E02B2">
              <w:rPr>
                <w:rFonts w:ascii="Arial Narrow" w:hAnsi="Arial Narrow"/>
              </w:rPr>
              <w:t>r</w:t>
            </w:r>
            <w:r w:rsidRPr="001349B3">
              <w:rPr>
                <w:rFonts w:ascii="Arial Narrow" w:hAnsi="Arial Narrow"/>
              </w:rPr>
              <w:t xml:space="preserve">enal </w:t>
            </w:r>
            <w:r w:rsidR="008E02B2">
              <w:rPr>
                <w:rFonts w:ascii="Arial Narrow" w:hAnsi="Arial Narrow"/>
              </w:rPr>
              <w:t>d</w:t>
            </w:r>
            <w:r w:rsidRPr="001349B3">
              <w:rPr>
                <w:rFonts w:ascii="Arial Narrow" w:hAnsi="Arial Narrow"/>
              </w:rPr>
              <w:t>isease (ESRD)</w:t>
            </w:r>
          </w:p>
          <w:p w14:paraId="3B8EF33D" w14:textId="29C7810A" w:rsidR="001349B3" w:rsidRDefault="001349B3" w:rsidP="004B5B09">
            <w:pPr>
              <w:numPr>
                <w:ilvl w:val="0"/>
                <w:numId w:val="11"/>
              </w:numPr>
              <w:tabs>
                <w:tab w:val="left" w:pos="951"/>
              </w:tabs>
              <w:spacing w:before="40"/>
              <w:jc w:val="both"/>
              <w:rPr>
                <w:rFonts w:ascii="Arial Narrow" w:hAnsi="Arial Narrow"/>
              </w:rPr>
            </w:pPr>
            <w:r w:rsidRPr="001349B3">
              <w:rPr>
                <w:rFonts w:ascii="Arial Narrow" w:hAnsi="Arial Narrow"/>
              </w:rPr>
              <w:t>Quality</w:t>
            </w:r>
            <w:r w:rsidR="004A7186">
              <w:rPr>
                <w:rFonts w:ascii="Arial Narrow" w:hAnsi="Arial Narrow"/>
              </w:rPr>
              <w:t>-</w:t>
            </w:r>
            <w:r w:rsidR="00223F4B">
              <w:rPr>
                <w:rFonts w:ascii="Arial Narrow" w:hAnsi="Arial Narrow"/>
              </w:rPr>
              <w:t>a</w:t>
            </w:r>
            <w:r w:rsidRPr="001349B3">
              <w:rPr>
                <w:rFonts w:ascii="Arial Narrow" w:hAnsi="Arial Narrow"/>
              </w:rPr>
              <w:t xml:space="preserve">djusted </w:t>
            </w:r>
            <w:r w:rsidR="00223F4B">
              <w:rPr>
                <w:rFonts w:ascii="Arial Narrow" w:hAnsi="Arial Narrow"/>
              </w:rPr>
              <w:t>l</w:t>
            </w:r>
            <w:r w:rsidRPr="001349B3">
              <w:rPr>
                <w:rFonts w:ascii="Arial Narrow" w:hAnsi="Arial Narrow"/>
              </w:rPr>
              <w:t xml:space="preserve">ife </w:t>
            </w:r>
            <w:r w:rsidR="00223F4B">
              <w:rPr>
                <w:rFonts w:ascii="Arial Narrow" w:hAnsi="Arial Narrow"/>
              </w:rPr>
              <w:t>y</w:t>
            </w:r>
            <w:r w:rsidRPr="001349B3">
              <w:rPr>
                <w:rFonts w:ascii="Arial Narrow" w:hAnsi="Arial Narrow"/>
              </w:rPr>
              <w:t>ears (QALYs)</w:t>
            </w:r>
          </w:p>
          <w:p w14:paraId="229EE431" w14:textId="77777777" w:rsidR="008E02B2" w:rsidRPr="001349B3" w:rsidRDefault="008E02B2" w:rsidP="004B5B09">
            <w:pPr>
              <w:numPr>
                <w:ilvl w:val="0"/>
                <w:numId w:val="11"/>
              </w:numPr>
              <w:tabs>
                <w:tab w:val="left" w:pos="951"/>
              </w:tabs>
              <w:spacing w:before="40"/>
              <w:jc w:val="both"/>
              <w:rPr>
                <w:rFonts w:ascii="Arial Narrow" w:hAnsi="Arial Narrow"/>
              </w:rPr>
            </w:pPr>
          </w:p>
          <w:p w14:paraId="76163782" w14:textId="65AE241D" w:rsidR="001349B3" w:rsidRPr="001349B3" w:rsidRDefault="001349B3" w:rsidP="001349B3">
            <w:pPr>
              <w:spacing w:before="40"/>
              <w:jc w:val="both"/>
              <w:rPr>
                <w:rFonts w:ascii="Arial Narrow" w:hAnsi="Arial Narrow"/>
                <w:b/>
              </w:rPr>
            </w:pPr>
            <w:r w:rsidRPr="001349B3">
              <w:rPr>
                <w:rFonts w:ascii="Arial Narrow" w:hAnsi="Arial Narrow"/>
                <w:b/>
              </w:rPr>
              <w:t>Health care system outcome</w:t>
            </w:r>
            <w:r w:rsidR="008B0DE1">
              <w:rPr>
                <w:rFonts w:ascii="Arial Narrow" w:hAnsi="Arial Narrow"/>
                <w:b/>
              </w:rPr>
              <w:t>s</w:t>
            </w:r>
          </w:p>
          <w:p w14:paraId="4D5C79F3" w14:textId="77777777" w:rsidR="001349B3" w:rsidRPr="001349B3" w:rsidRDefault="001349B3" w:rsidP="007E5379">
            <w:pPr>
              <w:spacing w:before="40"/>
              <w:jc w:val="both"/>
              <w:rPr>
                <w:rFonts w:ascii="Arial Narrow" w:hAnsi="Arial Narrow"/>
              </w:rPr>
            </w:pPr>
            <w:r w:rsidRPr="001349B3">
              <w:rPr>
                <w:rFonts w:ascii="Arial Narrow" w:hAnsi="Arial Narrow"/>
              </w:rPr>
              <w:t>N/A</w:t>
            </w:r>
          </w:p>
          <w:p w14:paraId="6FBF45B4" w14:textId="77777777" w:rsidR="001349B3" w:rsidRPr="001349B3" w:rsidRDefault="001349B3" w:rsidP="001349B3">
            <w:pPr>
              <w:spacing w:before="40"/>
              <w:jc w:val="both"/>
              <w:rPr>
                <w:rFonts w:ascii="Arial Narrow" w:hAnsi="Arial Narrow"/>
              </w:rPr>
            </w:pPr>
          </w:p>
          <w:p w14:paraId="17E1EFD9" w14:textId="64AC5150" w:rsidR="001349B3" w:rsidRPr="007E5379" w:rsidRDefault="001349B3" w:rsidP="001349B3">
            <w:pPr>
              <w:spacing w:before="40"/>
              <w:jc w:val="both"/>
              <w:rPr>
                <w:rFonts w:ascii="Arial Narrow" w:hAnsi="Arial Narrow"/>
                <w:b/>
                <w:bCs/>
              </w:rPr>
            </w:pPr>
            <w:r w:rsidRPr="007E5379">
              <w:rPr>
                <w:rFonts w:ascii="Arial Narrow" w:hAnsi="Arial Narrow"/>
                <w:b/>
                <w:bCs/>
              </w:rPr>
              <w:t>Test outcomes</w:t>
            </w:r>
          </w:p>
          <w:p w14:paraId="51BB0936" w14:textId="77777777" w:rsidR="001349B3" w:rsidRPr="001349B3" w:rsidRDefault="001349B3" w:rsidP="007E5379">
            <w:pPr>
              <w:spacing w:before="40"/>
              <w:jc w:val="both"/>
              <w:rPr>
                <w:rFonts w:ascii="Arial Narrow" w:hAnsi="Arial Narrow"/>
              </w:rPr>
            </w:pPr>
            <w:r w:rsidRPr="001349B3">
              <w:rPr>
                <w:rFonts w:ascii="Arial Narrow" w:hAnsi="Arial Narrow"/>
              </w:rPr>
              <w:t>Sensitivity</w:t>
            </w:r>
          </w:p>
          <w:p w14:paraId="0F5D2AFF" w14:textId="77777777" w:rsidR="001349B3" w:rsidRPr="001349B3" w:rsidRDefault="001349B3" w:rsidP="007E5379">
            <w:pPr>
              <w:spacing w:before="40"/>
              <w:jc w:val="both"/>
              <w:rPr>
                <w:rFonts w:ascii="Arial Narrow" w:hAnsi="Arial Narrow"/>
              </w:rPr>
            </w:pPr>
            <w:r w:rsidRPr="001349B3">
              <w:rPr>
                <w:rFonts w:ascii="Arial Narrow" w:hAnsi="Arial Narrow"/>
              </w:rPr>
              <w:t>Specificity</w:t>
            </w:r>
          </w:p>
          <w:p w14:paraId="04472BF7" w14:textId="77777777" w:rsidR="001349B3" w:rsidRPr="001349B3" w:rsidRDefault="001349B3" w:rsidP="007E5379">
            <w:pPr>
              <w:spacing w:before="40"/>
              <w:jc w:val="both"/>
              <w:rPr>
                <w:rFonts w:ascii="Arial Narrow" w:hAnsi="Arial Narrow"/>
              </w:rPr>
            </w:pPr>
            <w:r w:rsidRPr="001349B3">
              <w:rPr>
                <w:rFonts w:ascii="Arial Narrow" w:hAnsi="Arial Narrow"/>
              </w:rPr>
              <w:t>Positive predictive value (PPV)</w:t>
            </w:r>
          </w:p>
          <w:p w14:paraId="396E6677" w14:textId="77777777" w:rsidR="001349B3" w:rsidRPr="001349B3" w:rsidRDefault="001349B3" w:rsidP="007E5379">
            <w:pPr>
              <w:spacing w:before="40"/>
              <w:jc w:val="both"/>
              <w:rPr>
                <w:rFonts w:ascii="Arial Narrow" w:hAnsi="Arial Narrow"/>
              </w:rPr>
            </w:pPr>
            <w:r w:rsidRPr="001349B3">
              <w:rPr>
                <w:rFonts w:ascii="Arial Narrow" w:hAnsi="Arial Narrow"/>
              </w:rPr>
              <w:t>Negative predictive value (NPV)</w:t>
            </w:r>
          </w:p>
          <w:p w14:paraId="5B5DC4DC" w14:textId="77777777" w:rsidR="001349B3" w:rsidRPr="001349B3" w:rsidRDefault="001349B3" w:rsidP="001349B3">
            <w:pPr>
              <w:spacing w:before="40"/>
              <w:jc w:val="both"/>
              <w:rPr>
                <w:rFonts w:ascii="Arial Narrow" w:hAnsi="Arial Narrow"/>
              </w:rPr>
            </w:pPr>
          </w:p>
          <w:p w14:paraId="37561FC3" w14:textId="77777777" w:rsidR="001349B3" w:rsidRPr="001349B3" w:rsidRDefault="001349B3" w:rsidP="001349B3">
            <w:pPr>
              <w:spacing w:before="40"/>
              <w:jc w:val="both"/>
              <w:rPr>
                <w:rFonts w:ascii="Arial Narrow" w:hAnsi="Arial Narrow"/>
              </w:rPr>
            </w:pPr>
            <w:r w:rsidRPr="001349B3">
              <w:rPr>
                <w:rFonts w:ascii="Arial Narrow" w:hAnsi="Arial Narrow"/>
              </w:rPr>
              <w:t>Among the individuals at risk of DKD identified by PromarkerD, the subsequent change in management prevents/delays the occurrence of DKD and thus improves patient quality of life, reduces need of dialysis and reduces the risk of end-stage kidney failure. Treatment goals (based on Kidney Health Australia – CKD Management in Primary Care) include:</w:t>
            </w:r>
          </w:p>
          <w:p w14:paraId="7E0D4EA2" w14:textId="41B84FAA" w:rsidR="001349B3" w:rsidRPr="007E5379" w:rsidRDefault="00F252BD" w:rsidP="004B5B09">
            <w:pPr>
              <w:pStyle w:val="ListParagraph"/>
              <w:numPr>
                <w:ilvl w:val="0"/>
                <w:numId w:val="17"/>
              </w:numPr>
              <w:spacing w:before="40" w:after="40"/>
              <w:jc w:val="both"/>
              <w:rPr>
                <w:rFonts w:ascii="Arial Narrow" w:hAnsi="Arial Narrow"/>
              </w:rPr>
            </w:pPr>
            <w:r w:rsidRPr="007E5379">
              <w:rPr>
                <w:rFonts w:ascii="Arial Narrow" w:hAnsi="Arial Narrow"/>
              </w:rPr>
              <w:t>g</w:t>
            </w:r>
            <w:r w:rsidR="001349B3" w:rsidRPr="007E5379">
              <w:rPr>
                <w:rFonts w:ascii="Arial Narrow" w:hAnsi="Arial Narrow"/>
              </w:rPr>
              <w:t>lycaemic control &lt;7%</w:t>
            </w:r>
          </w:p>
          <w:p w14:paraId="5F8E920A" w14:textId="77777777" w:rsidR="001349B3" w:rsidRPr="007E5379" w:rsidRDefault="001349B3" w:rsidP="004B5B09">
            <w:pPr>
              <w:pStyle w:val="ListParagraph"/>
              <w:numPr>
                <w:ilvl w:val="0"/>
                <w:numId w:val="17"/>
              </w:numPr>
              <w:spacing w:before="40" w:after="40"/>
              <w:jc w:val="both"/>
              <w:rPr>
                <w:rFonts w:ascii="Arial Narrow" w:hAnsi="Arial Narrow"/>
              </w:rPr>
            </w:pPr>
            <w:r w:rsidRPr="007E5379">
              <w:rPr>
                <w:rFonts w:ascii="Arial Narrow" w:hAnsi="Arial Narrow"/>
              </w:rPr>
              <w:t xml:space="preserve">50% reduction in uACR </w:t>
            </w:r>
          </w:p>
          <w:p w14:paraId="7B8566C4" w14:textId="7B0E8781" w:rsidR="001349B3" w:rsidRPr="007E5379" w:rsidRDefault="00F252BD" w:rsidP="004B5B09">
            <w:pPr>
              <w:pStyle w:val="ListParagraph"/>
              <w:numPr>
                <w:ilvl w:val="0"/>
                <w:numId w:val="17"/>
              </w:numPr>
              <w:spacing w:before="40" w:after="40"/>
              <w:jc w:val="both"/>
              <w:rPr>
                <w:rFonts w:ascii="Arial Narrow" w:hAnsi="Arial Narrow"/>
              </w:rPr>
            </w:pPr>
            <w:r w:rsidRPr="007E5379">
              <w:rPr>
                <w:rFonts w:ascii="Arial Narrow" w:hAnsi="Arial Narrow"/>
              </w:rPr>
              <w:t>maintenance of</w:t>
            </w:r>
            <w:r w:rsidR="001349B3" w:rsidRPr="007E5379">
              <w:rPr>
                <w:rFonts w:ascii="Arial Narrow" w:hAnsi="Arial Narrow"/>
              </w:rPr>
              <w:t xml:space="preserve"> blood pressure below 130/80</w:t>
            </w:r>
            <w:r w:rsidRPr="007E5379">
              <w:rPr>
                <w:rFonts w:ascii="Arial Narrow" w:hAnsi="Arial Narrow"/>
              </w:rPr>
              <w:t> </w:t>
            </w:r>
            <w:r w:rsidR="001349B3" w:rsidRPr="007E5379">
              <w:rPr>
                <w:rFonts w:ascii="Arial Narrow" w:hAnsi="Arial Narrow"/>
              </w:rPr>
              <w:t xml:space="preserve">mmHg </w:t>
            </w:r>
          </w:p>
          <w:p w14:paraId="47C464F0" w14:textId="14373CB1" w:rsidR="001349B3" w:rsidRPr="007E5379" w:rsidRDefault="001349B3" w:rsidP="004B5B09">
            <w:pPr>
              <w:pStyle w:val="ListParagraph"/>
              <w:numPr>
                <w:ilvl w:val="0"/>
                <w:numId w:val="17"/>
              </w:numPr>
              <w:spacing w:before="40" w:after="40"/>
              <w:jc w:val="both"/>
              <w:rPr>
                <w:rFonts w:ascii="Arial Narrow" w:hAnsi="Arial Narrow"/>
              </w:rPr>
            </w:pPr>
            <w:r w:rsidRPr="007E5379">
              <w:rPr>
                <w:rFonts w:ascii="Arial Narrow" w:hAnsi="Arial Narrow"/>
              </w:rPr>
              <w:t>BMI &lt;25</w:t>
            </w:r>
            <w:r w:rsidR="00F252BD" w:rsidRPr="007E5379">
              <w:rPr>
                <w:rFonts w:ascii="Arial Narrow" w:hAnsi="Arial Narrow"/>
              </w:rPr>
              <w:t>.</w:t>
            </w:r>
          </w:p>
        </w:tc>
      </w:tr>
      <w:tr w:rsidR="001349B3" w:rsidRPr="001349B3" w14:paraId="7A50084F" w14:textId="77777777">
        <w:trPr>
          <w:trHeight w:val="848"/>
        </w:trPr>
        <w:tc>
          <w:tcPr>
            <w:tcW w:w="9214" w:type="dxa"/>
            <w:gridSpan w:val="2"/>
            <w:shd w:val="clear" w:color="auto" w:fill="auto"/>
          </w:tcPr>
          <w:p w14:paraId="2F5D3DA1" w14:textId="5A4BA647" w:rsidR="001349B3" w:rsidRPr="001349B3" w:rsidRDefault="001349B3" w:rsidP="001349B3">
            <w:pPr>
              <w:keepNext/>
              <w:spacing w:before="0" w:after="0"/>
              <w:rPr>
                <w:rFonts w:ascii="Arial Narrow" w:eastAsiaTheme="majorEastAsia" w:hAnsi="Arial Narrow"/>
                <w:b/>
                <w:szCs w:val="24"/>
                <w:lang w:val="en-US"/>
              </w:rPr>
            </w:pPr>
            <w:r w:rsidRPr="001349B3">
              <w:rPr>
                <w:rFonts w:ascii="Arial Narrow" w:eastAsiaTheme="majorEastAsia" w:hAnsi="Arial Narrow"/>
                <w:b/>
                <w:szCs w:val="24"/>
                <w:lang w:val="en-US"/>
              </w:rPr>
              <w:t>Systematic review questions</w:t>
            </w:r>
          </w:p>
          <w:p w14:paraId="27120B81" w14:textId="5A5BD4F8" w:rsidR="001349B3" w:rsidRPr="001349B3" w:rsidRDefault="001349B3" w:rsidP="001349B3">
            <w:pPr>
              <w:spacing w:before="40"/>
              <w:jc w:val="both"/>
              <w:rPr>
                <w:rFonts w:ascii="Arial Narrow" w:hAnsi="Arial Narrow"/>
              </w:rPr>
            </w:pPr>
            <w:r w:rsidRPr="001349B3">
              <w:rPr>
                <w:rFonts w:ascii="Arial Narrow" w:hAnsi="Arial Narrow"/>
              </w:rPr>
              <w:t>What is the safety, effectiveness and cost</w:t>
            </w:r>
            <w:r w:rsidR="00630A95">
              <w:rPr>
                <w:rFonts w:ascii="Arial Narrow" w:hAnsi="Arial Narrow"/>
              </w:rPr>
              <w:t xml:space="preserve"> </w:t>
            </w:r>
            <w:r w:rsidRPr="001349B3">
              <w:rPr>
                <w:rFonts w:ascii="Arial Narrow" w:hAnsi="Arial Narrow"/>
              </w:rPr>
              <w:t>effectiveness of PromarkerD compared to current standard of care in people with T2DM?</w:t>
            </w:r>
          </w:p>
        </w:tc>
      </w:tr>
    </w:tbl>
    <w:p w14:paraId="4D8F9659" w14:textId="77777777" w:rsidR="00A213E2" w:rsidRPr="000856BC" w:rsidRDefault="00A213E2" w:rsidP="007E5379">
      <w:pPr>
        <w:tabs>
          <w:tab w:val="left" w:pos="284"/>
        </w:tabs>
        <w:spacing w:after="0" w:line="240" w:lineRule="auto"/>
        <w:jc w:val="both"/>
        <w:rPr>
          <w:rFonts w:ascii="Arial Narrow" w:eastAsia="Times New Roman" w:hAnsi="Arial Narrow" w:cs="Arial"/>
          <w:b/>
          <w:bCs/>
          <w:snapToGrid w:val="0"/>
          <w:sz w:val="18"/>
          <w:u w:val="single"/>
          <w:lang w:eastAsia="en-AU"/>
        </w:rPr>
      </w:pPr>
      <w:r w:rsidRPr="000856BC">
        <w:rPr>
          <w:rFonts w:ascii="Arial Narrow" w:eastAsia="Times New Roman" w:hAnsi="Arial Narrow" w:cs="Arial"/>
          <w:b/>
          <w:bCs/>
          <w:snapToGrid w:val="0"/>
          <w:sz w:val="18"/>
          <w:u w:val="single"/>
          <w:lang w:eastAsia="en-AU"/>
        </w:rPr>
        <w:t>Abbreviations</w:t>
      </w:r>
    </w:p>
    <w:p w14:paraId="6B5BC498" w14:textId="3E38A88F" w:rsidR="001349B3" w:rsidRPr="001349B3" w:rsidRDefault="001349B3" w:rsidP="007E5379">
      <w:pPr>
        <w:tabs>
          <w:tab w:val="left" w:pos="284"/>
        </w:tabs>
        <w:spacing w:before="0" w:after="360" w:line="240" w:lineRule="auto"/>
        <w:jc w:val="both"/>
        <w:rPr>
          <w:rFonts w:ascii="Arial Narrow" w:eastAsia="Times New Roman" w:hAnsi="Arial Narrow" w:cs="Arial"/>
          <w:snapToGrid w:val="0"/>
          <w:sz w:val="18"/>
          <w:lang w:eastAsia="en-AU"/>
        </w:rPr>
      </w:pPr>
      <w:r w:rsidRPr="001349B3">
        <w:rPr>
          <w:rFonts w:ascii="Arial Narrow" w:eastAsia="Times New Roman" w:hAnsi="Arial Narrow" w:cs="Arial"/>
          <w:snapToGrid w:val="0"/>
          <w:sz w:val="18"/>
          <w:lang w:eastAsia="en-AU"/>
        </w:rPr>
        <w:t>T2DM</w:t>
      </w:r>
      <w:r w:rsidR="00A213E2">
        <w:rPr>
          <w:rFonts w:ascii="Arial Narrow" w:eastAsia="Times New Roman" w:hAnsi="Arial Narrow" w:cs="Arial"/>
          <w:snapToGrid w:val="0"/>
          <w:sz w:val="18"/>
          <w:lang w:eastAsia="en-AU"/>
        </w:rPr>
        <w:t xml:space="preserve"> =</w:t>
      </w:r>
      <w:r w:rsidRPr="001349B3">
        <w:rPr>
          <w:rFonts w:ascii="Arial Narrow" w:eastAsia="Times New Roman" w:hAnsi="Arial Narrow" w:cs="Arial"/>
          <w:snapToGrid w:val="0"/>
          <w:sz w:val="18"/>
          <w:lang w:eastAsia="en-AU"/>
        </w:rPr>
        <w:t xml:space="preserve"> </w:t>
      </w:r>
      <w:r w:rsidR="002C4D3F">
        <w:rPr>
          <w:rFonts w:ascii="Arial Narrow" w:eastAsia="Times New Roman" w:hAnsi="Arial Narrow" w:cs="Arial"/>
          <w:snapToGrid w:val="0"/>
          <w:sz w:val="18"/>
          <w:lang w:eastAsia="en-AU"/>
        </w:rPr>
        <w:t>t</w:t>
      </w:r>
      <w:r w:rsidRPr="001349B3">
        <w:rPr>
          <w:rFonts w:ascii="Arial Narrow" w:eastAsia="Times New Roman" w:hAnsi="Arial Narrow" w:cs="Arial"/>
          <w:snapToGrid w:val="0"/>
          <w:sz w:val="18"/>
          <w:lang w:eastAsia="en-AU"/>
        </w:rPr>
        <w:t>ype 2 diabetes mellitus, eGFR</w:t>
      </w:r>
      <w:r w:rsidR="00A213E2">
        <w:rPr>
          <w:rFonts w:ascii="Arial Narrow" w:eastAsia="Times New Roman" w:hAnsi="Arial Narrow" w:cs="Arial"/>
          <w:snapToGrid w:val="0"/>
          <w:sz w:val="18"/>
          <w:lang w:eastAsia="en-AU"/>
        </w:rPr>
        <w:t xml:space="preserve"> =</w:t>
      </w:r>
      <w:r w:rsidRPr="001349B3">
        <w:rPr>
          <w:rFonts w:ascii="Arial Narrow" w:eastAsia="Times New Roman" w:hAnsi="Arial Narrow" w:cs="Arial"/>
          <w:snapToGrid w:val="0"/>
          <w:sz w:val="18"/>
          <w:lang w:eastAsia="en-AU"/>
        </w:rPr>
        <w:t xml:space="preserve"> estimated globular filtration rate, uACR</w:t>
      </w:r>
      <w:r w:rsidR="00A213E2">
        <w:rPr>
          <w:rFonts w:ascii="Arial Narrow" w:eastAsia="Times New Roman" w:hAnsi="Arial Narrow" w:cs="Arial"/>
          <w:snapToGrid w:val="0"/>
          <w:sz w:val="18"/>
          <w:lang w:eastAsia="en-AU"/>
        </w:rPr>
        <w:t xml:space="preserve"> =</w:t>
      </w:r>
      <w:r w:rsidRPr="001349B3">
        <w:rPr>
          <w:rFonts w:ascii="Arial Narrow" w:eastAsia="Times New Roman" w:hAnsi="Arial Narrow" w:cs="Arial"/>
          <w:snapToGrid w:val="0"/>
          <w:sz w:val="18"/>
          <w:lang w:eastAsia="en-AU"/>
        </w:rPr>
        <w:t xml:space="preserve"> urine albumin creatinine ratio, HDL</w:t>
      </w:r>
      <w:r w:rsidR="00A213E2">
        <w:rPr>
          <w:rFonts w:ascii="Arial Narrow" w:eastAsia="Times New Roman" w:hAnsi="Arial Narrow" w:cs="Arial"/>
          <w:snapToGrid w:val="0"/>
          <w:sz w:val="18"/>
          <w:lang w:eastAsia="en-AU"/>
        </w:rPr>
        <w:t xml:space="preserve"> =</w:t>
      </w:r>
      <w:r w:rsidRPr="001349B3">
        <w:rPr>
          <w:rFonts w:ascii="Arial Narrow" w:eastAsia="Times New Roman" w:hAnsi="Arial Narrow" w:cs="Arial"/>
          <w:snapToGrid w:val="0"/>
          <w:sz w:val="18"/>
          <w:lang w:eastAsia="en-AU"/>
        </w:rPr>
        <w:t xml:space="preserve"> high-density lipoprotein, CKD</w:t>
      </w:r>
      <w:r w:rsidR="00A213E2">
        <w:rPr>
          <w:rFonts w:ascii="Arial Narrow" w:eastAsia="Times New Roman" w:hAnsi="Arial Narrow" w:cs="Arial"/>
          <w:snapToGrid w:val="0"/>
          <w:sz w:val="18"/>
          <w:lang w:eastAsia="en-AU"/>
        </w:rPr>
        <w:t xml:space="preserve"> =</w:t>
      </w:r>
      <w:r w:rsidRPr="001349B3">
        <w:rPr>
          <w:rFonts w:ascii="Arial Narrow" w:eastAsia="Times New Roman" w:hAnsi="Arial Narrow" w:cs="Arial"/>
          <w:snapToGrid w:val="0"/>
          <w:sz w:val="18"/>
          <w:lang w:eastAsia="en-AU"/>
        </w:rPr>
        <w:t xml:space="preserve"> chronic kidney disease, DKD</w:t>
      </w:r>
      <w:r w:rsidR="00A213E2">
        <w:rPr>
          <w:rFonts w:ascii="Arial Narrow" w:eastAsia="Times New Roman" w:hAnsi="Arial Narrow" w:cs="Arial"/>
          <w:snapToGrid w:val="0"/>
          <w:sz w:val="18"/>
          <w:lang w:eastAsia="en-AU"/>
        </w:rPr>
        <w:t xml:space="preserve"> =</w:t>
      </w:r>
      <w:r w:rsidRPr="001349B3">
        <w:rPr>
          <w:rFonts w:ascii="Arial Narrow" w:eastAsia="Times New Roman" w:hAnsi="Arial Narrow" w:cs="Arial"/>
          <w:snapToGrid w:val="0"/>
          <w:sz w:val="18"/>
          <w:lang w:eastAsia="en-AU"/>
        </w:rPr>
        <w:t xml:space="preserve"> diabetic kidney disease, ESRD</w:t>
      </w:r>
      <w:r w:rsidR="00A213E2">
        <w:rPr>
          <w:rFonts w:ascii="Arial Narrow" w:eastAsia="Times New Roman" w:hAnsi="Arial Narrow" w:cs="Arial"/>
          <w:snapToGrid w:val="0"/>
          <w:sz w:val="18"/>
          <w:lang w:eastAsia="en-AU"/>
        </w:rPr>
        <w:t xml:space="preserve"> =</w:t>
      </w:r>
      <w:r w:rsidRPr="001349B3">
        <w:rPr>
          <w:rFonts w:ascii="Arial Narrow" w:eastAsia="Times New Roman" w:hAnsi="Arial Narrow" w:cs="Arial"/>
          <w:snapToGrid w:val="0"/>
          <w:sz w:val="18"/>
          <w:lang w:eastAsia="en-AU"/>
        </w:rPr>
        <w:t xml:space="preserve"> </w:t>
      </w:r>
      <w:r w:rsidR="009C189C">
        <w:rPr>
          <w:rFonts w:ascii="Arial Narrow" w:eastAsia="Times New Roman" w:hAnsi="Arial Narrow" w:cs="Arial"/>
          <w:snapToGrid w:val="0"/>
          <w:sz w:val="18"/>
          <w:lang w:eastAsia="en-AU"/>
        </w:rPr>
        <w:t>e</w:t>
      </w:r>
      <w:r w:rsidRPr="001349B3">
        <w:rPr>
          <w:rFonts w:ascii="Arial Narrow" w:eastAsia="Times New Roman" w:hAnsi="Arial Narrow" w:cs="Arial"/>
          <w:snapToGrid w:val="0"/>
          <w:sz w:val="18"/>
          <w:lang w:eastAsia="en-AU"/>
        </w:rPr>
        <w:t>nd</w:t>
      </w:r>
      <w:r w:rsidR="009C189C">
        <w:rPr>
          <w:rFonts w:ascii="Arial Narrow" w:eastAsia="Times New Roman" w:hAnsi="Arial Narrow" w:cs="Arial"/>
          <w:snapToGrid w:val="0"/>
          <w:sz w:val="18"/>
          <w:lang w:eastAsia="en-AU"/>
        </w:rPr>
        <w:t>-</w:t>
      </w:r>
      <w:r w:rsidRPr="001349B3">
        <w:rPr>
          <w:rFonts w:ascii="Arial Narrow" w:eastAsia="Times New Roman" w:hAnsi="Arial Narrow" w:cs="Arial"/>
          <w:snapToGrid w:val="0"/>
          <w:sz w:val="18"/>
          <w:lang w:eastAsia="en-AU"/>
        </w:rPr>
        <w:t>stage renal disease, QALY</w:t>
      </w:r>
      <w:r w:rsidR="00A213E2">
        <w:rPr>
          <w:rFonts w:ascii="Arial Narrow" w:eastAsia="Times New Roman" w:hAnsi="Arial Narrow" w:cs="Arial"/>
          <w:snapToGrid w:val="0"/>
          <w:sz w:val="18"/>
          <w:lang w:eastAsia="en-AU"/>
        </w:rPr>
        <w:t xml:space="preserve"> =</w:t>
      </w:r>
      <w:r w:rsidRPr="001349B3">
        <w:rPr>
          <w:rFonts w:ascii="Arial Narrow" w:eastAsia="Times New Roman" w:hAnsi="Arial Narrow" w:cs="Arial"/>
          <w:snapToGrid w:val="0"/>
          <w:sz w:val="18"/>
          <w:lang w:eastAsia="en-AU"/>
        </w:rPr>
        <w:t xml:space="preserve"> quality</w:t>
      </w:r>
      <w:r w:rsidR="004A7186">
        <w:rPr>
          <w:rFonts w:ascii="Arial Narrow" w:eastAsia="Times New Roman" w:hAnsi="Arial Narrow" w:cs="Arial"/>
          <w:snapToGrid w:val="0"/>
          <w:sz w:val="18"/>
          <w:lang w:eastAsia="en-AU"/>
        </w:rPr>
        <w:t>-</w:t>
      </w:r>
      <w:r w:rsidRPr="001349B3">
        <w:rPr>
          <w:rFonts w:ascii="Arial Narrow" w:eastAsia="Times New Roman" w:hAnsi="Arial Narrow" w:cs="Arial"/>
          <w:snapToGrid w:val="0"/>
          <w:sz w:val="18"/>
          <w:lang w:eastAsia="en-AU"/>
        </w:rPr>
        <w:t>adjusted life years, PPV</w:t>
      </w:r>
      <w:r w:rsidR="00A213E2">
        <w:rPr>
          <w:rFonts w:ascii="Arial Narrow" w:eastAsia="Times New Roman" w:hAnsi="Arial Narrow" w:cs="Arial"/>
          <w:snapToGrid w:val="0"/>
          <w:sz w:val="18"/>
          <w:lang w:eastAsia="en-AU"/>
        </w:rPr>
        <w:t xml:space="preserve"> =</w:t>
      </w:r>
      <w:r w:rsidRPr="001349B3">
        <w:rPr>
          <w:rFonts w:ascii="Arial Narrow" w:eastAsia="Times New Roman" w:hAnsi="Arial Narrow" w:cs="Arial"/>
          <w:snapToGrid w:val="0"/>
          <w:sz w:val="18"/>
          <w:lang w:eastAsia="en-AU"/>
        </w:rPr>
        <w:t xml:space="preserve"> positive predictive value, NPV</w:t>
      </w:r>
      <w:r w:rsidR="00A213E2">
        <w:rPr>
          <w:rFonts w:ascii="Arial Narrow" w:eastAsia="Times New Roman" w:hAnsi="Arial Narrow" w:cs="Arial"/>
          <w:snapToGrid w:val="0"/>
          <w:sz w:val="18"/>
          <w:lang w:eastAsia="en-AU"/>
        </w:rPr>
        <w:t>=</w:t>
      </w:r>
      <w:r w:rsidRPr="001349B3">
        <w:rPr>
          <w:rFonts w:ascii="Arial Narrow" w:eastAsia="Times New Roman" w:hAnsi="Arial Narrow" w:cs="Arial"/>
          <w:snapToGrid w:val="0"/>
          <w:sz w:val="18"/>
          <w:lang w:eastAsia="en-AU"/>
        </w:rPr>
        <w:t xml:space="preserve"> negative predictive value</w:t>
      </w:r>
      <w:r w:rsidR="00A213E2">
        <w:rPr>
          <w:rFonts w:ascii="Arial Narrow" w:eastAsia="Times New Roman" w:hAnsi="Arial Narrow" w:cs="Arial"/>
          <w:snapToGrid w:val="0"/>
          <w:sz w:val="18"/>
          <w:lang w:eastAsia="en-AU"/>
        </w:rPr>
        <w:t>.</w:t>
      </w:r>
      <w:r w:rsidRPr="001349B3">
        <w:rPr>
          <w:rFonts w:ascii="Arial Narrow" w:eastAsia="Times New Roman" w:hAnsi="Arial Narrow" w:cs="Arial"/>
          <w:snapToGrid w:val="0"/>
          <w:sz w:val="18"/>
          <w:lang w:eastAsia="en-AU"/>
        </w:rPr>
        <w:t xml:space="preserve"> </w:t>
      </w:r>
    </w:p>
    <w:p w14:paraId="636F75E1" w14:textId="3EEEC50D" w:rsidR="00B73795" w:rsidRPr="00B73795" w:rsidRDefault="00B73795" w:rsidP="008F4EA7">
      <w:pPr>
        <w:spacing w:before="0" w:after="200" w:line="240" w:lineRule="auto"/>
      </w:pPr>
      <w:r w:rsidRPr="00B73795">
        <w:lastRenderedPageBreak/>
        <w:t xml:space="preserve">The proposed population for PromarkerD includes patients with T2DM who may be at risk of developing DKD. PromarkerD would be used to test patients with T2DM before kidney damage or clinical symptoms occur (kidney function </w:t>
      </w:r>
      <w:r w:rsidR="00BE704F">
        <w:t>S</w:t>
      </w:r>
      <w:r w:rsidRPr="00B73795">
        <w:t>tage 1 or</w:t>
      </w:r>
      <w:r w:rsidR="00BE704F">
        <w:t xml:space="preserve"> </w:t>
      </w:r>
      <w:r w:rsidRPr="00B73795">
        <w:t xml:space="preserve">2). While the risk of DKD is also relevant for people with type 1 diabetes mellitus (T1DM), currently data for the use of PromarkerD is only available for people with T2DM. </w:t>
      </w:r>
    </w:p>
    <w:p w14:paraId="460A1187" w14:textId="77777777" w:rsidR="00B73795" w:rsidRPr="00B73795" w:rsidRDefault="00B73795" w:rsidP="008F4EA7">
      <w:r w:rsidRPr="00B73795">
        <w:t>Patients would be eligible for the proposed medical service if they met the following criteria:</w:t>
      </w:r>
    </w:p>
    <w:p w14:paraId="0B4F4B40" w14:textId="334E587C" w:rsidR="00B73795" w:rsidRPr="00B73795" w:rsidRDefault="00B6030A" w:rsidP="008F4EA7">
      <w:pPr>
        <w:pStyle w:val="ListParagraph"/>
        <w:numPr>
          <w:ilvl w:val="0"/>
          <w:numId w:val="10"/>
        </w:numPr>
      </w:pPr>
      <w:r>
        <w:t>p</w:t>
      </w:r>
      <w:r w:rsidR="00B73795" w:rsidRPr="00B73795">
        <w:t>atients diagnosed with T2DM; and</w:t>
      </w:r>
    </w:p>
    <w:p w14:paraId="7C069C9B" w14:textId="5614426A" w:rsidR="00B73795" w:rsidRPr="00B73795" w:rsidRDefault="00B73795" w:rsidP="008F4EA7">
      <w:pPr>
        <w:pStyle w:val="ListParagraph"/>
        <w:numPr>
          <w:ilvl w:val="0"/>
          <w:numId w:val="10"/>
        </w:numPr>
      </w:pPr>
      <w:r w:rsidRPr="00B73795">
        <w:t>eGFR ≥60</w:t>
      </w:r>
      <w:r w:rsidR="00D9779D">
        <w:t> </w:t>
      </w:r>
      <w:r w:rsidRPr="00B73795">
        <w:t>ml/min/1.73m</w:t>
      </w:r>
      <w:r w:rsidRPr="00F11CA6">
        <w:rPr>
          <w:vertAlign w:val="superscript"/>
        </w:rPr>
        <w:t>2</w:t>
      </w:r>
      <w:r w:rsidRPr="00B73795">
        <w:t>; and</w:t>
      </w:r>
    </w:p>
    <w:p w14:paraId="34C24B49" w14:textId="662529C2" w:rsidR="001E2B9F" w:rsidRPr="00B73795" w:rsidRDefault="00B73795" w:rsidP="008F4EA7">
      <w:pPr>
        <w:pStyle w:val="ListParagraph"/>
        <w:numPr>
          <w:ilvl w:val="0"/>
          <w:numId w:val="10"/>
        </w:numPr>
      </w:pPr>
      <w:r w:rsidRPr="00B73795">
        <w:t>uACR ≤30</w:t>
      </w:r>
      <w:r w:rsidR="00D9779D">
        <w:t> </w:t>
      </w:r>
      <w:r w:rsidRPr="00B73795">
        <w:t>mg/mmol.</w:t>
      </w:r>
    </w:p>
    <w:p w14:paraId="7BBB3E82" w14:textId="417D1C4C" w:rsidR="00B73795" w:rsidRPr="00B73795" w:rsidRDefault="00B73795" w:rsidP="008F4EA7">
      <w:r w:rsidRPr="00B73795">
        <w:fldChar w:fldCharType="begin"/>
      </w:r>
      <w:r w:rsidRPr="00B73795">
        <w:instrText xml:space="preserve"> REF _Ref96523185 \h </w:instrText>
      </w:r>
      <w:r w:rsidR="00153868">
        <w:instrText xml:space="preserve"> \* MERGEFORMAT </w:instrText>
      </w:r>
      <w:r w:rsidRPr="00B73795">
        <w:fldChar w:fldCharType="separate"/>
      </w:r>
      <w:r w:rsidR="00153868" w:rsidRPr="00153868">
        <w:t>Figure 1</w:t>
      </w:r>
      <w:r w:rsidRPr="00B73795">
        <w:fldChar w:fldCharType="end"/>
      </w:r>
      <w:r w:rsidRPr="00B73795">
        <w:t xml:space="preserve"> provides an overview of the Kidney Health Australia risk categories that use eGFR and uACR to determine kidney function stage. These categories are identical to those published by the globally recognised KDIGO guidelines for evaluation and management of chronic kidney disease (CKD)</w:t>
      </w:r>
      <w:r w:rsidR="009F4B44">
        <w:rPr>
          <w:rStyle w:val="FootnoteReference"/>
        </w:rPr>
        <w:footnoteReference w:id="6"/>
      </w:r>
      <w:r w:rsidRPr="00B73795">
        <w:t xml:space="preserve"> </w:t>
      </w:r>
      <w:r w:rsidRPr="00B73795">
        <w:fldChar w:fldCharType="begin"/>
      </w:r>
      <w:r w:rsidRPr="00B73795">
        <w:instrText xml:space="preserve"> ADDIN EN.CITE &lt;EndNote&gt;&lt;Cite&gt;&lt;Author&gt;Levin&lt;/Author&gt;&lt;Year&gt;2013&lt;/Year&gt;&lt;RecNum&gt;26&lt;/RecNum&gt;&lt;DisplayText&gt;(Levin et al., 2013)&lt;/DisplayText&gt;&lt;record&gt;&lt;rec-number&gt;26&lt;/rec-number&gt;&lt;foreign-keys&gt;&lt;key app="EN" db-id="zfzas9fs9xszx0espvapzadd5dwa9t99wwdr" timestamp="1626938764"&gt;26&lt;/key&gt;&lt;/foreign-keys&gt;&lt;ref-type name="Journal Article"&gt;17&lt;/ref-type&gt;&lt;contributors&gt;&lt;authors&gt;&lt;author&gt;Levin, Adeera&lt;/author&gt;&lt;author&gt;Stevens, Paul E&lt;/author&gt;&lt;author&gt;Bilous, Rudy W&lt;/author&gt;&lt;author&gt;Coresh, Josef&lt;/author&gt;&lt;author&gt;De Francisco, Angel LM&lt;/author&gt;&lt;author&gt;De Jong, Paul E&lt;/author&gt;&lt;author&gt;Griffith, Kathryn E&lt;/author&gt;&lt;author&gt;Hemmelgarn, Brenda R&lt;/author&gt;&lt;author&gt;Iseki, Kunitoshi&lt;/author&gt;&lt;author&gt;Lamb, Edmund J&lt;/author&gt;&lt;/authors&gt;&lt;/contributors&gt;&lt;titles&gt;&lt;title&gt;Kidney Disease: Improving Global Outcomes (KDIGO) CKD Work Group. KDIGO 2012 clinical practice guideline for the evaluation and management of chronic kidney disease&lt;/title&gt;&lt;secondary-title&gt;Kidney international supplements&lt;/secondary-title&gt;&lt;/titles&gt;&lt;periodical&gt;&lt;full-title&gt;Kidney International Supplements&lt;/full-title&gt;&lt;/periodical&gt;&lt;pages&gt;1-150&lt;/pages&gt;&lt;volume&gt;3&lt;/volume&gt;&lt;number&gt;1&lt;/number&gt;&lt;dates&gt;&lt;year&gt;2013&lt;/year&gt;&lt;/dates&gt;&lt;isbn&gt;2157-1724&lt;/isbn&gt;&lt;urls&gt;&lt;/urls&gt;&lt;/record&gt;&lt;/Cite&gt;&lt;/EndNote&gt;</w:instrText>
      </w:r>
      <w:r w:rsidRPr="00B73795">
        <w:fldChar w:fldCharType="separate"/>
      </w:r>
      <w:r w:rsidRPr="00B73795">
        <w:rPr>
          <w:noProof/>
        </w:rPr>
        <w:t>(Levin et al 2013)</w:t>
      </w:r>
      <w:r w:rsidRPr="00B73795">
        <w:fldChar w:fldCharType="end"/>
      </w:r>
      <w:r w:rsidRPr="00B73795">
        <w:t xml:space="preserve">. </w:t>
      </w:r>
      <w:r w:rsidR="002F6235">
        <w:t>According to the applicant, p</w:t>
      </w:r>
      <w:r w:rsidRPr="00B73795">
        <w:t xml:space="preserve">atients would be eligible for PromarkerD if they have kidney function </w:t>
      </w:r>
      <w:r w:rsidR="00F95E33">
        <w:t>S</w:t>
      </w:r>
      <w:r w:rsidRPr="00B73795">
        <w:t>tage 1 or 2 combined with norm</w:t>
      </w:r>
      <w:r w:rsidR="00966D16">
        <w:t>o</w:t>
      </w:r>
      <w:r w:rsidRPr="00B73795">
        <w:t xml:space="preserve">albuminuria or microalbuminuria (i.e. green boxes or yellow boxes with kidney function </w:t>
      </w:r>
      <w:r w:rsidR="00A6709F">
        <w:t>S</w:t>
      </w:r>
      <w:r w:rsidRPr="00B73795">
        <w:t>tage 1 or 2). Patients who fall into higher risk categories would not be eligible for a reimbursed PromarkerD test.</w:t>
      </w:r>
    </w:p>
    <w:p w14:paraId="5959EF12" w14:textId="77777777" w:rsidR="00B73795" w:rsidRPr="00B73795" w:rsidRDefault="00B73795" w:rsidP="00B73795">
      <w:pPr>
        <w:jc w:val="center"/>
      </w:pPr>
      <w:r w:rsidRPr="00B73795">
        <w:rPr>
          <w:noProof/>
          <w:lang w:eastAsia="en-AU"/>
        </w:rPr>
        <w:drawing>
          <wp:inline distT="0" distB="0" distL="0" distR="0" wp14:anchorId="703B44D9" wp14:editId="7F083310">
            <wp:extent cx="5652013" cy="2617470"/>
            <wp:effectExtent l="0" t="0" r="6350" b="0"/>
            <wp:docPr id="5" name="Picture 5" descr="Kidney Health Australia (2020), risk categories of kidney function s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Kidney Health Australia (2020), risk categories of kidney function stage"/>
                    <pic:cNvPicPr/>
                  </pic:nvPicPr>
                  <pic:blipFill>
                    <a:blip r:embed="rId9"/>
                    <a:stretch>
                      <a:fillRect/>
                    </a:stretch>
                  </pic:blipFill>
                  <pic:spPr>
                    <a:xfrm>
                      <a:off x="0" y="0"/>
                      <a:ext cx="5655180" cy="2618937"/>
                    </a:xfrm>
                    <a:prstGeom prst="rect">
                      <a:avLst/>
                    </a:prstGeom>
                  </pic:spPr>
                </pic:pic>
              </a:graphicData>
            </a:graphic>
          </wp:inline>
        </w:drawing>
      </w:r>
    </w:p>
    <w:p w14:paraId="6A356A77" w14:textId="7DAA31C7" w:rsidR="00B73795" w:rsidRPr="00B73795" w:rsidRDefault="00B73795" w:rsidP="00B73795">
      <w:pPr>
        <w:keepNext/>
        <w:spacing w:before="0" w:after="120" w:line="240" w:lineRule="auto"/>
        <w:jc w:val="both"/>
        <w:rPr>
          <w:rFonts w:ascii="Arial Narrow" w:eastAsia="Times New Roman" w:hAnsi="Arial Narrow" w:cs="Times New Roman"/>
          <w:b/>
          <w:bCs/>
          <w:sz w:val="20"/>
          <w:szCs w:val="20"/>
        </w:rPr>
      </w:pPr>
      <w:bookmarkStart w:id="19" w:name="_Ref96523185"/>
      <w:r w:rsidRPr="00B73795">
        <w:rPr>
          <w:rFonts w:ascii="Arial Narrow" w:eastAsia="Times New Roman" w:hAnsi="Arial Narrow" w:cs="Times New Roman"/>
          <w:b/>
          <w:bCs/>
          <w:sz w:val="20"/>
          <w:szCs w:val="20"/>
        </w:rPr>
        <w:t xml:space="preserve">Figure </w:t>
      </w:r>
      <w:r w:rsidRPr="00B73795">
        <w:rPr>
          <w:rFonts w:ascii="Arial Narrow" w:eastAsia="Times New Roman" w:hAnsi="Arial Narrow" w:cs="Times New Roman"/>
          <w:b/>
          <w:bCs/>
          <w:sz w:val="20"/>
          <w:szCs w:val="20"/>
        </w:rPr>
        <w:fldChar w:fldCharType="begin"/>
      </w:r>
      <w:r w:rsidRPr="00B73795">
        <w:rPr>
          <w:rFonts w:ascii="Arial Narrow" w:eastAsia="Times New Roman" w:hAnsi="Arial Narrow" w:cs="Times New Roman"/>
          <w:b/>
          <w:bCs/>
          <w:sz w:val="20"/>
          <w:szCs w:val="20"/>
        </w:rPr>
        <w:instrText>SEQ Figure \* ARABIC</w:instrText>
      </w:r>
      <w:r w:rsidRPr="00B73795">
        <w:rPr>
          <w:rFonts w:ascii="Arial Narrow" w:eastAsia="Times New Roman" w:hAnsi="Arial Narrow" w:cs="Times New Roman"/>
          <w:b/>
          <w:bCs/>
          <w:sz w:val="20"/>
          <w:szCs w:val="20"/>
        </w:rPr>
        <w:fldChar w:fldCharType="separate"/>
      </w:r>
      <w:r w:rsidR="008F7220">
        <w:rPr>
          <w:rFonts w:ascii="Arial Narrow" w:eastAsia="Times New Roman" w:hAnsi="Arial Narrow" w:cs="Times New Roman"/>
          <w:b/>
          <w:bCs/>
          <w:noProof/>
          <w:sz w:val="20"/>
          <w:szCs w:val="20"/>
        </w:rPr>
        <w:t>1</w:t>
      </w:r>
      <w:r w:rsidRPr="00B73795">
        <w:rPr>
          <w:rFonts w:ascii="Arial Narrow" w:eastAsia="Times New Roman" w:hAnsi="Arial Narrow" w:cs="Times New Roman"/>
          <w:b/>
          <w:bCs/>
          <w:sz w:val="20"/>
          <w:szCs w:val="20"/>
        </w:rPr>
        <w:fldChar w:fldCharType="end"/>
      </w:r>
      <w:bookmarkEnd w:id="19"/>
      <w:r w:rsidRPr="00B73795">
        <w:rPr>
          <w:rFonts w:ascii="Arial Narrow" w:eastAsia="Times New Roman" w:hAnsi="Arial Narrow" w:cs="Times New Roman"/>
          <w:b/>
          <w:bCs/>
          <w:sz w:val="20"/>
          <w:szCs w:val="20"/>
        </w:rPr>
        <w:tab/>
        <w:t>Kidney Health Australia (2020), risk categories of kidney function stage</w:t>
      </w:r>
    </w:p>
    <w:p w14:paraId="0D6BFF56" w14:textId="77777777" w:rsidR="00964E09" w:rsidRPr="000856BC" w:rsidRDefault="00964E09" w:rsidP="00B73795">
      <w:pPr>
        <w:widowControl w:val="0"/>
        <w:spacing w:after="200" w:line="240" w:lineRule="auto"/>
        <w:contextualSpacing/>
        <w:jc w:val="both"/>
        <w:rPr>
          <w:rFonts w:ascii="Arial Narrow" w:eastAsia="Times New Roman" w:hAnsi="Arial Narrow" w:cs="Arial"/>
          <w:b/>
          <w:bCs/>
          <w:snapToGrid w:val="0"/>
          <w:sz w:val="18"/>
          <w:szCs w:val="20"/>
          <w:u w:val="single"/>
        </w:rPr>
      </w:pPr>
      <w:r w:rsidRPr="000856BC">
        <w:rPr>
          <w:rFonts w:ascii="Arial Narrow" w:eastAsia="Times New Roman" w:hAnsi="Arial Narrow" w:cs="Arial"/>
          <w:b/>
          <w:bCs/>
          <w:snapToGrid w:val="0"/>
          <w:sz w:val="18"/>
          <w:szCs w:val="20"/>
          <w:u w:val="single"/>
        </w:rPr>
        <w:t>Abbreviations</w:t>
      </w:r>
    </w:p>
    <w:p w14:paraId="1E424AC6" w14:textId="0DFC8F0C" w:rsidR="00B73795" w:rsidRPr="00B73795" w:rsidRDefault="00B73795" w:rsidP="00D17F9E">
      <w:pPr>
        <w:widowControl w:val="0"/>
        <w:spacing w:after="240" w:line="240" w:lineRule="auto"/>
        <w:jc w:val="both"/>
        <w:rPr>
          <w:rFonts w:ascii="Arial Narrow" w:eastAsia="Times New Roman" w:hAnsi="Arial Narrow" w:cs="Arial"/>
          <w:snapToGrid w:val="0"/>
          <w:sz w:val="18"/>
          <w:szCs w:val="20"/>
        </w:rPr>
      </w:pPr>
      <w:r w:rsidRPr="00B73795">
        <w:rPr>
          <w:rFonts w:ascii="Arial Narrow" w:eastAsia="Times New Roman" w:hAnsi="Arial Narrow" w:cs="Arial"/>
          <w:snapToGrid w:val="0"/>
          <w:sz w:val="18"/>
          <w:szCs w:val="20"/>
        </w:rPr>
        <w:t>ACR = albumin creatinine ratio</w:t>
      </w:r>
      <w:r w:rsidR="00964E09">
        <w:rPr>
          <w:rFonts w:ascii="Arial Narrow" w:eastAsia="Times New Roman" w:hAnsi="Arial Narrow" w:cs="Arial"/>
          <w:snapToGrid w:val="0"/>
          <w:sz w:val="18"/>
          <w:szCs w:val="20"/>
        </w:rPr>
        <w:t>,</w:t>
      </w:r>
      <w:r w:rsidRPr="00B73795">
        <w:rPr>
          <w:rFonts w:ascii="Arial Narrow" w:eastAsia="Times New Roman" w:hAnsi="Arial Narrow" w:cs="Arial"/>
          <w:snapToGrid w:val="0"/>
          <w:sz w:val="18"/>
          <w:szCs w:val="20"/>
        </w:rPr>
        <w:t xml:space="preserve"> GFR = glomerular filtration rate</w:t>
      </w:r>
      <w:r w:rsidR="00964E09">
        <w:rPr>
          <w:rFonts w:ascii="Arial Narrow" w:eastAsia="Times New Roman" w:hAnsi="Arial Narrow" w:cs="Arial"/>
          <w:snapToGrid w:val="0"/>
          <w:sz w:val="18"/>
          <w:szCs w:val="20"/>
        </w:rPr>
        <w:t>.</w:t>
      </w:r>
    </w:p>
    <w:p w14:paraId="03074297" w14:textId="278A310A" w:rsidR="00F93772" w:rsidRDefault="00F93772" w:rsidP="008F4EA7">
      <w:pPr>
        <w:spacing w:before="240"/>
      </w:pPr>
      <w:r w:rsidRPr="008B3425">
        <w:t>The applicant states that PromarkerD</w:t>
      </w:r>
      <w:r w:rsidRPr="00F93772">
        <w:t xml:space="preserve"> is not proposed for use in individuals with T2DM who fall into higher risk categories (eGFR &lt;60</w:t>
      </w:r>
      <w:r w:rsidR="004D75F6">
        <w:t> </w:t>
      </w:r>
      <w:r w:rsidRPr="00F93772">
        <w:t>mL/min/1.73m</w:t>
      </w:r>
      <w:r w:rsidRPr="00F93772">
        <w:rPr>
          <w:vertAlign w:val="superscript"/>
        </w:rPr>
        <w:t>2</w:t>
      </w:r>
      <w:r w:rsidRPr="00F93772">
        <w:t xml:space="preserve"> and/or macroalbuminuria). Patients in these categories already display clear indications of kidney damage and reduced kidney function and would hence be receiving more intensive treatment and monitoring. The proposed population for PromarkerD (those with eGFR ≥60</w:t>
      </w:r>
      <w:r w:rsidR="004D75F6">
        <w:t> </w:t>
      </w:r>
      <w:r w:rsidRPr="00F93772">
        <w:t>mL/min/1.73m</w:t>
      </w:r>
      <w:r w:rsidRPr="00F93772">
        <w:rPr>
          <w:vertAlign w:val="superscript"/>
        </w:rPr>
        <w:t>2</w:t>
      </w:r>
      <w:r w:rsidRPr="00F93772">
        <w:t xml:space="preserve"> and normal</w:t>
      </w:r>
      <w:r w:rsidR="002E65C9">
        <w:t xml:space="preserve"> urine</w:t>
      </w:r>
      <w:r w:rsidR="001F66FD">
        <w:t xml:space="preserve"> ACR</w:t>
      </w:r>
      <w:r w:rsidRPr="00F93772">
        <w:t xml:space="preserve"> or microalbuminuria) represent the patients most likely to benefit from the test if it was funded on the MBS. </w:t>
      </w:r>
    </w:p>
    <w:p w14:paraId="09EF7C40" w14:textId="7658C0B1" w:rsidR="0092600B" w:rsidRDefault="001F075F" w:rsidP="008F4EA7">
      <w:r>
        <w:lastRenderedPageBreak/>
        <w:t>The Commentary noted that t</w:t>
      </w:r>
      <w:r w:rsidR="00F936D7">
        <w:t xml:space="preserve">he ADAR does not </w:t>
      </w:r>
      <w:r w:rsidR="00562650">
        <w:t xml:space="preserve">sufficiently </w:t>
      </w:r>
      <w:r w:rsidR="00E576E6">
        <w:t>address</w:t>
      </w:r>
      <w:r w:rsidR="00F936D7">
        <w:t xml:space="preserve"> key </w:t>
      </w:r>
      <w:r w:rsidR="00F967A9">
        <w:t xml:space="preserve">elements in </w:t>
      </w:r>
      <w:r w:rsidR="00F936D7">
        <w:t>the</w:t>
      </w:r>
      <w:r w:rsidR="00E576E6">
        <w:t xml:space="preserve"> ratified</w:t>
      </w:r>
      <w:r w:rsidR="00F936D7">
        <w:t xml:space="preserve"> PICO </w:t>
      </w:r>
      <w:r w:rsidR="00E576E6">
        <w:t xml:space="preserve">Confirmation </w:t>
      </w:r>
      <w:r w:rsidR="00F936D7">
        <w:t xml:space="preserve">as </w:t>
      </w:r>
      <w:r w:rsidR="00E576E6">
        <w:t>directed by PASC including:</w:t>
      </w:r>
    </w:p>
    <w:p w14:paraId="48AFF404" w14:textId="2B0F1E56" w:rsidR="00E413DC" w:rsidRDefault="001F66FD" w:rsidP="008F4EA7">
      <w:pPr>
        <w:pStyle w:val="ListParagraph"/>
        <w:numPr>
          <w:ilvl w:val="0"/>
          <w:numId w:val="21"/>
        </w:numPr>
      </w:pPr>
      <w:r>
        <w:t xml:space="preserve">justification for the </w:t>
      </w:r>
      <w:r w:rsidR="00E413DC">
        <w:t>inclusion of the patients in the yellow risk group who show ‘moderately increased albuminuria’ (formerly known as microalbuminuria).</w:t>
      </w:r>
    </w:p>
    <w:p w14:paraId="5936159B" w14:textId="68C0D4C8" w:rsidR="00E413DC" w:rsidRDefault="00E413DC" w:rsidP="008F4EA7">
      <w:pPr>
        <w:pStyle w:val="ListParagraph"/>
        <w:numPr>
          <w:ilvl w:val="0"/>
          <w:numId w:val="21"/>
        </w:numPr>
      </w:pPr>
      <w:r>
        <w:t>providing evidence of detecting patients with a decline in eGFR of ≥30% over 4 years</w:t>
      </w:r>
    </w:p>
    <w:p w14:paraId="0AE7B78D" w14:textId="610DC994" w:rsidR="00E413DC" w:rsidRDefault="00E413DC" w:rsidP="008F4EA7">
      <w:pPr>
        <w:pStyle w:val="ListParagraph"/>
        <w:numPr>
          <w:ilvl w:val="0"/>
          <w:numId w:val="21"/>
        </w:numPr>
      </w:pPr>
      <w:r>
        <w:t>justification for retesting patients who return a moderate- or high- risk score</w:t>
      </w:r>
    </w:p>
    <w:p w14:paraId="76794056" w14:textId="31867C38" w:rsidR="00E413DC" w:rsidRDefault="00E413DC" w:rsidP="008F4EA7">
      <w:pPr>
        <w:pStyle w:val="ListParagraph"/>
        <w:numPr>
          <w:ilvl w:val="0"/>
          <w:numId w:val="21"/>
        </w:numPr>
      </w:pPr>
      <w:r>
        <w:t xml:space="preserve">the capability of pathology services to process PromarkerD test kits </w:t>
      </w:r>
    </w:p>
    <w:p w14:paraId="78359823" w14:textId="77777777" w:rsidR="00A26FC5" w:rsidRDefault="00E413DC" w:rsidP="008F4EA7">
      <w:pPr>
        <w:pStyle w:val="ListParagraph"/>
        <w:numPr>
          <w:ilvl w:val="0"/>
          <w:numId w:val="21"/>
        </w:numPr>
      </w:pPr>
      <w:r>
        <w:t>a breakdown of the components of the proposed fee.</w:t>
      </w:r>
    </w:p>
    <w:p w14:paraId="3379022E" w14:textId="60C0B661" w:rsidR="001F075F" w:rsidRPr="00F93772" w:rsidRDefault="001F075F" w:rsidP="008F4EA7">
      <w:pPr>
        <w:spacing w:before="240"/>
      </w:pPr>
      <w:r>
        <w:t>In its pre-ESC response</w:t>
      </w:r>
      <w:r w:rsidR="008F4EA7">
        <w:t>,</w:t>
      </w:r>
      <w:r>
        <w:t xml:space="preserve"> the applicant noted that while p</w:t>
      </w:r>
      <w:r w:rsidRPr="001F075F">
        <w:t>atients in the yellow risk group should already be receiving intensified treatment as per the Kidney Health Australia guidelines</w:t>
      </w:r>
      <w:r>
        <w:t xml:space="preserve">, </w:t>
      </w:r>
      <w:r w:rsidRPr="001F075F">
        <w:t>only 49% of Australian patients are appropriately screened or monitored for kidney disease in primary care</w:t>
      </w:r>
      <w:r>
        <w:t xml:space="preserve">. The pre-ESC response also justified the re-testing frequency for patients returning a moderate to high risk score on </w:t>
      </w:r>
      <w:r w:rsidR="000F63F9">
        <w:t xml:space="preserve">PromarkerD </w:t>
      </w:r>
      <w:r>
        <w:t xml:space="preserve">on the basis that this would </w:t>
      </w:r>
      <w:r w:rsidRPr="001F075F">
        <w:t>allow longitudinal monitoring over time, assessing both changes in DKD risk and response to treatment or management changes</w:t>
      </w:r>
      <w:r>
        <w:t xml:space="preserve">. </w:t>
      </w:r>
    </w:p>
    <w:p w14:paraId="19B95A4C" w14:textId="37BF74EC" w:rsidR="001F075F" w:rsidRPr="001F075F" w:rsidRDefault="000D5B30" w:rsidP="008F4EA7">
      <w:pPr>
        <w:pStyle w:val="Heading2"/>
        <w:numPr>
          <w:ilvl w:val="0"/>
          <w:numId w:val="0"/>
        </w:numPr>
      </w:pPr>
      <w:bookmarkStart w:id="20" w:name="_Toc69491420"/>
      <w:r>
        <w:t>8</w:t>
      </w:r>
      <w:r w:rsidR="00C36633">
        <w:t>.</w:t>
      </w:r>
      <w:r w:rsidR="00C36633">
        <w:tab/>
      </w:r>
      <w:r w:rsidR="00772829" w:rsidRPr="00CE28E3">
        <w:t>Comparator</w:t>
      </w:r>
      <w:bookmarkEnd w:id="20"/>
    </w:p>
    <w:p w14:paraId="3DA57E76" w14:textId="3B387D3E" w:rsidR="00C83090" w:rsidRPr="00C83090" w:rsidRDefault="00C83090" w:rsidP="008F4EA7">
      <w:pPr>
        <w:rPr>
          <w:rFonts w:cstheme="minorHAnsi"/>
        </w:rPr>
      </w:pPr>
      <w:r w:rsidRPr="00C83090">
        <w:t xml:space="preserve">There is no equivalent test or tests </w:t>
      </w:r>
      <w:r w:rsidR="004D75F6">
        <w:t>that</w:t>
      </w:r>
      <w:r w:rsidR="004D75F6" w:rsidRPr="00C83090">
        <w:t xml:space="preserve"> </w:t>
      </w:r>
      <w:r w:rsidRPr="00C83090">
        <w:t xml:space="preserve">quantitatively predict incident DKD in patients with T2DM. </w:t>
      </w:r>
      <w:r w:rsidR="001F41FC">
        <w:t xml:space="preserve">The </w:t>
      </w:r>
      <w:r w:rsidR="001F41FC" w:rsidRPr="001F41FC">
        <w:t xml:space="preserve">PICO Advisory Sub-committee </w:t>
      </w:r>
      <w:r w:rsidR="001F41FC">
        <w:t>(</w:t>
      </w:r>
      <w:r w:rsidR="00BA4FB2">
        <w:t>PASC</w:t>
      </w:r>
      <w:r w:rsidR="001F41FC">
        <w:t>)</w:t>
      </w:r>
      <w:r w:rsidR="00BA4FB2">
        <w:t xml:space="preserve"> agreed that th</w:t>
      </w:r>
      <w:r w:rsidRPr="00C83090">
        <w:t xml:space="preserve">e comparator to PromarkerD is standard medical management and no testing. </w:t>
      </w:r>
    </w:p>
    <w:p w14:paraId="5104272D" w14:textId="3D367320" w:rsidR="00331CD7" w:rsidRPr="00330A0A" w:rsidRDefault="00BA4FB2" w:rsidP="008F4EA7">
      <w:r>
        <w:t>The applicant stated that p</w:t>
      </w:r>
      <w:r w:rsidR="00C83090" w:rsidRPr="00C83090">
        <w:t xml:space="preserve">atients with T2DM currently should have laboratory risk factors </w:t>
      </w:r>
      <w:r w:rsidR="008F4EA7">
        <w:br/>
      </w:r>
      <w:r w:rsidR="00C83090" w:rsidRPr="00C83090">
        <w:t>(e.g. eGFR, uACR, lipids, HbA</w:t>
      </w:r>
      <w:r w:rsidR="00C83090" w:rsidRPr="00C83090">
        <w:rPr>
          <w:vertAlign w:val="subscript"/>
        </w:rPr>
        <w:t>1c</w:t>
      </w:r>
      <w:r w:rsidR="00C83090" w:rsidRPr="00C83090">
        <w:t xml:space="preserve">) measured annually as part of usual monitoring. Should abnormalities in renal function be found and tracked properly by primary care and pathologists </w:t>
      </w:r>
      <w:r w:rsidR="00C63989">
        <w:t>(</w:t>
      </w:r>
      <w:r w:rsidR="00C83090" w:rsidRPr="00C83090">
        <w:t>e.g. decreasing eGFR over time, increasing uACR over time</w:t>
      </w:r>
      <w:r w:rsidR="00C63989">
        <w:t>)</w:t>
      </w:r>
      <w:r w:rsidR="0094504B">
        <w:t>,</w:t>
      </w:r>
      <w:r w:rsidR="00C83090" w:rsidRPr="00C83090">
        <w:t xml:space="preserve"> primary care clinicians can elevate interventions. If renal function is declining rapidly or has passed a threshold of 30</w:t>
      </w:r>
      <w:r w:rsidR="0094504B">
        <w:t> </w:t>
      </w:r>
      <w:r w:rsidR="00C83090" w:rsidRPr="00C83090">
        <w:t>ml/min/1.73m</w:t>
      </w:r>
      <w:r w:rsidR="00C83090" w:rsidRPr="00C83090">
        <w:rPr>
          <w:vertAlign w:val="superscript"/>
        </w:rPr>
        <w:t>2</w:t>
      </w:r>
      <w:r w:rsidR="00C83090" w:rsidRPr="00C83090">
        <w:t xml:space="preserve"> eGFR, the patient is referred to a specialist for maximal intervention. </w:t>
      </w:r>
    </w:p>
    <w:p w14:paraId="47BC3A84" w14:textId="4EE93B03" w:rsidR="00772829" w:rsidRPr="005A116D" w:rsidRDefault="000D5B30" w:rsidP="002A18BE">
      <w:pPr>
        <w:pStyle w:val="Heading2"/>
        <w:numPr>
          <w:ilvl w:val="0"/>
          <w:numId w:val="0"/>
        </w:numPr>
      </w:pPr>
      <w:bookmarkStart w:id="21" w:name="_Toc69491421"/>
      <w:r>
        <w:t>9</w:t>
      </w:r>
      <w:r w:rsidR="00C36633" w:rsidRPr="005A116D">
        <w:t>.</w:t>
      </w:r>
      <w:r w:rsidR="00C36633" w:rsidRPr="005A116D">
        <w:tab/>
      </w:r>
      <w:r w:rsidR="00772829" w:rsidRPr="005A116D">
        <w:t xml:space="preserve">Summary of public consultation </w:t>
      </w:r>
      <w:r w:rsidR="0052575D" w:rsidRPr="005A116D">
        <w:t>input</w:t>
      </w:r>
      <w:bookmarkEnd w:id="21"/>
    </w:p>
    <w:p w14:paraId="0D4A168C" w14:textId="083C452E" w:rsidR="0015301F" w:rsidRPr="005A116D" w:rsidRDefault="0015301F" w:rsidP="0015301F">
      <w:pPr>
        <w:pStyle w:val="Instructionaltext"/>
        <w:rPr>
          <w:color w:val="auto"/>
        </w:rPr>
      </w:pPr>
      <w:r w:rsidRPr="005A116D">
        <w:rPr>
          <w:color w:val="auto"/>
        </w:rPr>
        <w:t>Two organisations provided responses to the targeted consultation, the Endocrine Society of Australia</w:t>
      </w:r>
      <w:r w:rsidR="000774F0" w:rsidRPr="005A116D">
        <w:rPr>
          <w:color w:val="auto"/>
        </w:rPr>
        <w:t xml:space="preserve"> </w:t>
      </w:r>
      <w:r w:rsidRPr="005A116D">
        <w:rPr>
          <w:color w:val="auto"/>
        </w:rPr>
        <w:t>(ESA) and the Royal College of Pathologists of Australasia (RCPA).</w:t>
      </w:r>
    </w:p>
    <w:p w14:paraId="6E4FB506" w14:textId="77777777" w:rsidR="0015301F" w:rsidRPr="005A116D" w:rsidRDefault="0015301F" w:rsidP="0015301F">
      <w:pPr>
        <w:pStyle w:val="Instructionaltext"/>
        <w:rPr>
          <w:color w:val="auto"/>
        </w:rPr>
      </w:pPr>
      <w:r w:rsidRPr="005A116D">
        <w:rPr>
          <w:color w:val="auto"/>
        </w:rPr>
        <w:t>Both organisations were not supportive of the application.</w:t>
      </w:r>
    </w:p>
    <w:p w14:paraId="02E0A1EB" w14:textId="6A852E5B" w:rsidR="0015301F" w:rsidRPr="005A116D" w:rsidRDefault="0015301F" w:rsidP="0015301F">
      <w:pPr>
        <w:pStyle w:val="Instructionaltext"/>
        <w:rPr>
          <w:color w:val="auto"/>
        </w:rPr>
      </w:pPr>
      <w:r w:rsidRPr="005A116D">
        <w:rPr>
          <w:color w:val="auto"/>
        </w:rPr>
        <w:t>RCPA considered that more data may be required to support this application, including:</w:t>
      </w:r>
    </w:p>
    <w:p w14:paraId="4DDAE08B" w14:textId="1B78C62B" w:rsidR="0015301F" w:rsidRPr="005A116D" w:rsidRDefault="0015301F" w:rsidP="004B5B09">
      <w:pPr>
        <w:pStyle w:val="Instructionaltext"/>
        <w:numPr>
          <w:ilvl w:val="0"/>
          <w:numId w:val="12"/>
        </w:numPr>
        <w:rPr>
          <w:color w:val="auto"/>
        </w:rPr>
      </w:pPr>
      <w:r w:rsidRPr="005A116D">
        <w:rPr>
          <w:color w:val="auto"/>
        </w:rPr>
        <w:t>the clinical utility of the three biomarkers, along with others (HDL, etc.), chosen to calculate the risk of</w:t>
      </w:r>
      <w:r w:rsidR="000774F0" w:rsidRPr="005A116D">
        <w:rPr>
          <w:color w:val="auto"/>
        </w:rPr>
        <w:t xml:space="preserve"> </w:t>
      </w:r>
      <w:r w:rsidRPr="005A116D">
        <w:rPr>
          <w:color w:val="auto"/>
        </w:rPr>
        <w:t>developing kidney disease in diabetic patients</w:t>
      </w:r>
    </w:p>
    <w:p w14:paraId="60E51C92" w14:textId="0D5E6C38" w:rsidR="0015301F" w:rsidRPr="005A116D" w:rsidRDefault="0015301F" w:rsidP="004B5B09">
      <w:pPr>
        <w:pStyle w:val="Instructionaltext"/>
        <w:numPr>
          <w:ilvl w:val="0"/>
          <w:numId w:val="12"/>
        </w:numPr>
        <w:rPr>
          <w:color w:val="auto"/>
        </w:rPr>
      </w:pPr>
      <w:r w:rsidRPr="005A116D">
        <w:rPr>
          <w:color w:val="auto"/>
        </w:rPr>
        <w:t>the evidence behind the proposed frequency of testing, and</w:t>
      </w:r>
    </w:p>
    <w:p w14:paraId="3DAEE3A0" w14:textId="0B1DC493" w:rsidR="0015301F" w:rsidRPr="005A116D" w:rsidRDefault="0015301F" w:rsidP="004B5B09">
      <w:pPr>
        <w:pStyle w:val="Instructionaltext"/>
        <w:numPr>
          <w:ilvl w:val="0"/>
          <w:numId w:val="12"/>
        </w:numPr>
        <w:rPr>
          <w:color w:val="auto"/>
        </w:rPr>
      </w:pPr>
      <w:r w:rsidRPr="005A116D">
        <w:rPr>
          <w:color w:val="auto"/>
        </w:rPr>
        <w:t>the validity of the PromarkerD Hub, the software tool that contains a proprietary algorithm used to</w:t>
      </w:r>
      <w:r w:rsidR="000774F0" w:rsidRPr="005A116D">
        <w:rPr>
          <w:color w:val="auto"/>
        </w:rPr>
        <w:t xml:space="preserve"> </w:t>
      </w:r>
      <w:r w:rsidRPr="005A116D">
        <w:rPr>
          <w:color w:val="auto"/>
        </w:rPr>
        <w:t>calculate the risk of developing, or further progression of DKD.</w:t>
      </w:r>
    </w:p>
    <w:p w14:paraId="110FA5BE" w14:textId="03AEE80C" w:rsidR="0015301F" w:rsidRPr="005A116D" w:rsidRDefault="0015301F" w:rsidP="0015301F">
      <w:pPr>
        <w:pStyle w:val="Instructionaltext"/>
        <w:rPr>
          <w:color w:val="auto"/>
        </w:rPr>
      </w:pPr>
      <w:r w:rsidRPr="005A116D">
        <w:rPr>
          <w:color w:val="auto"/>
        </w:rPr>
        <w:t>ESA considered that it would be beneficial if a biomarker was available to better predict development of</w:t>
      </w:r>
      <w:r w:rsidR="000774F0" w:rsidRPr="005A116D">
        <w:rPr>
          <w:color w:val="auto"/>
        </w:rPr>
        <w:t xml:space="preserve"> </w:t>
      </w:r>
      <w:r w:rsidRPr="005A116D">
        <w:rPr>
          <w:color w:val="auto"/>
        </w:rPr>
        <w:t xml:space="preserve">renal disease in patients with diabetes. However, ESA was concerned that the application did </w:t>
      </w:r>
      <w:r w:rsidR="009E54F3">
        <w:rPr>
          <w:color w:val="auto"/>
        </w:rPr>
        <w:t xml:space="preserve">not </w:t>
      </w:r>
      <w:r w:rsidRPr="005A116D">
        <w:rPr>
          <w:color w:val="auto"/>
        </w:rPr>
        <w:t>include an</w:t>
      </w:r>
      <w:r w:rsidR="00B26798" w:rsidRPr="005A116D">
        <w:rPr>
          <w:color w:val="auto"/>
        </w:rPr>
        <w:t xml:space="preserve"> </w:t>
      </w:r>
      <w:r w:rsidRPr="005A116D">
        <w:rPr>
          <w:color w:val="auto"/>
        </w:rPr>
        <w:t>analysis of the utility of the proposed three biomarkers compared to other currently researched and/or</w:t>
      </w:r>
      <w:r w:rsidR="00B26798" w:rsidRPr="005A116D">
        <w:rPr>
          <w:color w:val="auto"/>
        </w:rPr>
        <w:t xml:space="preserve"> </w:t>
      </w:r>
      <w:r w:rsidRPr="005A116D">
        <w:rPr>
          <w:color w:val="auto"/>
        </w:rPr>
        <w:t>developed proteomic-derived biomarkers for prediction of the development of CKD in patients with Type 2</w:t>
      </w:r>
      <w:r w:rsidR="00F731BB" w:rsidRPr="005A116D">
        <w:rPr>
          <w:color w:val="auto"/>
        </w:rPr>
        <w:t xml:space="preserve"> </w:t>
      </w:r>
      <w:r w:rsidRPr="005A116D">
        <w:rPr>
          <w:color w:val="auto"/>
        </w:rPr>
        <w:t>diabetes mellitus.</w:t>
      </w:r>
    </w:p>
    <w:p w14:paraId="3E5443CF" w14:textId="6CE9F9E2" w:rsidR="0015301F" w:rsidRPr="005A116D" w:rsidRDefault="0015301F" w:rsidP="0015301F">
      <w:pPr>
        <w:pStyle w:val="Instructionaltext"/>
        <w:rPr>
          <w:color w:val="auto"/>
        </w:rPr>
      </w:pPr>
      <w:r w:rsidRPr="005A116D">
        <w:rPr>
          <w:color w:val="auto"/>
        </w:rPr>
        <w:lastRenderedPageBreak/>
        <w:t>ESA questioned whether patients with microalbuminuria should be included in the eligible test population,</w:t>
      </w:r>
      <w:r w:rsidR="00C00FF9" w:rsidRPr="005A116D">
        <w:rPr>
          <w:color w:val="auto"/>
        </w:rPr>
        <w:t xml:space="preserve"> </w:t>
      </w:r>
      <w:r w:rsidRPr="005A116D">
        <w:rPr>
          <w:color w:val="auto"/>
        </w:rPr>
        <w:t>as microalbuminuria is a well-established marker of progression to CKD, and the test would add limited</w:t>
      </w:r>
      <w:r w:rsidR="00C00FF9" w:rsidRPr="005A116D">
        <w:rPr>
          <w:color w:val="auto"/>
        </w:rPr>
        <w:t xml:space="preserve"> </w:t>
      </w:r>
      <w:r w:rsidRPr="005A116D">
        <w:rPr>
          <w:color w:val="auto"/>
        </w:rPr>
        <w:t>additional value to clinicians</w:t>
      </w:r>
      <w:r w:rsidR="00C5600F">
        <w:rPr>
          <w:color w:val="auto"/>
        </w:rPr>
        <w:t xml:space="preserve"> for this group of patients</w:t>
      </w:r>
      <w:r w:rsidRPr="005A116D">
        <w:rPr>
          <w:color w:val="auto"/>
        </w:rPr>
        <w:t>.</w:t>
      </w:r>
    </w:p>
    <w:p w14:paraId="24858FC1" w14:textId="5195832B" w:rsidR="000774F0" w:rsidRPr="005A116D" w:rsidRDefault="000774F0" w:rsidP="00D17F9E">
      <w:pPr>
        <w:autoSpaceDE w:val="0"/>
        <w:autoSpaceDN w:val="0"/>
        <w:adjustRightInd w:val="0"/>
        <w:spacing w:before="0" w:after="240" w:line="240" w:lineRule="auto"/>
      </w:pPr>
      <w:r w:rsidRPr="005A116D">
        <w:t>ESA was concerned about a lack of independent validation as the studies cited appear to have been all</w:t>
      </w:r>
      <w:r w:rsidR="00622312" w:rsidRPr="005A116D">
        <w:t xml:space="preserve"> </w:t>
      </w:r>
      <w:r w:rsidRPr="005A116D">
        <w:t>undertaken by inter-related authors and there could be potential conflicts of interest where authors are</w:t>
      </w:r>
      <w:r w:rsidR="00622312" w:rsidRPr="005A116D">
        <w:t xml:space="preserve"> </w:t>
      </w:r>
      <w:r w:rsidRPr="005A116D">
        <w:t>employed by organisations, which are beneficiaries of the patent.</w:t>
      </w:r>
    </w:p>
    <w:p w14:paraId="6E534874" w14:textId="34DE9DC1" w:rsidR="000774F0" w:rsidRPr="005A116D" w:rsidRDefault="000774F0" w:rsidP="00D17F9E">
      <w:pPr>
        <w:autoSpaceDE w:val="0"/>
        <w:autoSpaceDN w:val="0"/>
        <w:adjustRightInd w:val="0"/>
        <w:spacing w:after="0" w:line="240" w:lineRule="auto"/>
      </w:pPr>
      <w:r w:rsidRPr="005A116D">
        <w:t>PASC noted that the consultation feedback was broadly not supportive, indicating more data were required</w:t>
      </w:r>
      <w:r w:rsidR="000B5D82" w:rsidRPr="005A116D">
        <w:t xml:space="preserve"> </w:t>
      </w:r>
      <w:r w:rsidRPr="005A116D">
        <w:t>to demonstrate the benefit of the test and others raising concerns regarding whether the best biomarkers</w:t>
      </w:r>
      <w:r w:rsidR="000B5D82" w:rsidRPr="005A116D">
        <w:t xml:space="preserve"> </w:t>
      </w:r>
      <w:r w:rsidRPr="005A116D">
        <w:t>were included. The feedback also questioned the value of the test among those with existing</w:t>
      </w:r>
      <w:r w:rsidR="000B5D82" w:rsidRPr="005A116D">
        <w:t xml:space="preserve"> </w:t>
      </w:r>
      <w:r w:rsidRPr="005A116D">
        <w:t>microalbuminuria.</w:t>
      </w:r>
    </w:p>
    <w:p w14:paraId="20C46B80" w14:textId="6AC25944" w:rsidR="000774F0" w:rsidRPr="000774F0" w:rsidRDefault="000774F0" w:rsidP="00D17F9E">
      <w:pPr>
        <w:autoSpaceDE w:val="0"/>
        <w:autoSpaceDN w:val="0"/>
        <w:adjustRightInd w:val="0"/>
        <w:spacing w:before="240" w:after="0" w:line="240" w:lineRule="auto"/>
      </w:pPr>
      <w:r w:rsidRPr="005A116D">
        <w:t>PASC also noted there was no feedback from the number of consumer organisations that were targeted.</w:t>
      </w:r>
      <w:r w:rsidR="00476F3B" w:rsidRPr="005A116D">
        <w:t xml:space="preserve"> </w:t>
      </w:r>
      <w:r w:rsidRPr="005A116D">
        <w:t>PASC questioned whether this test would be acceptable to patients.</w:t>
      </w:r>
    </w:p>
    <w:p w14:paraId="03C7A1F1" w14:textId="38642097" w:rsidR="00772829" w:rsidRPr="00CE28E3" w:rsidRDefault="000D5B30" w:rsidP="002A18BE">
      <w:pPr>
        <w:pStyle w:val="Heading2"/>
        <w:numPr>
          <w:ilvl w:val="0"/>
          <w:numId w:val="0"/>
        </w:numPr>
      </w:pPr>
      <w:bookmarkStart w:id="22" w:name="_Toc69491422"/>
      <w:r>
        <w:t>10</w:t>
      </w:r>
      <w:r w:rsidR="00C36633">
        <w:t>.</w:t>
      </w:r>
      <w:r w:rsidR="00C36633">
        <w:tab/>
      </w:r>
      <w:r w:rsidR="00772829" w:rsidRPr="00CE28E3">
        <w:t>Characteristics of the evidence base</w:t>
      </w:r>
      <w:bookmarkEnd w:id="22"/>
    </w:p>
    <w:p w14:paraId="005968B3" w14:textId="62519F48" w:rsidR="00956ACE" w:rsidRPr="00CE28E3" w:rsidRDefault="00DE7493" w:rsidP="00DE7493">
      <w:pPr>
        <w:pStyle w:val="Caption"/>
        <w:rPr>
          <w:sz w:val="16"/>
          <w:szCs w:val="16"/>
        </w:rPr>
      </w:pPr>
      <w:r>
        <w:t xml:space="preserve">Table </w:t>
      </w:r>
      <w:r>
        <w:fldChar w:fldCharType="begin"/>
      </w:r>
      <w:r>
        <w:instrText>SEQ Table \* ARABIC</w:instrText>
      </w:r>
      <w:r>
        <w:fldChar w:fldCharType="separate"/>
      </w:r>
      <w:r w:rsidR="00104513">
        <w:rPr>
          <w:noProof/>
        </w:rPr>
        <w:t>4</w:t>
      </w:r>
      <w:r>
        <w:fldChar w:fldCharType="end"/>
      </w:r>
      <w:r w:rsidR="00956ACE" w:rsidRPr="00CE28E3">
        <w:tab/>
        <w:t>Key features of the included evidence</w:t>
      </w:r>
    </w:p>
    <w:tbl>
      <w:tblPr>
        <w:tblStyle w:val="TableGrid1"/>
        <w:tblW w:w="5000" w:type="pct"/>
        <w:tblLook w:val="04A0" w:firstRow="1" w:lastRow="0" w:firstColumn="1" w:lastColumn="0" w:noHBand="0" w:noVBand="1"/>
      </w:tblPr>
      <w:tblGrid>
        <w:gridCol w:w="1816"/>
        <w:gridCol w:w="3325"/>
        <w:gridCol w:w="1938"/>
        <w:gridCol w:w="1937"/>
      </w:tblGrid>
      <w:tr w:rsidR="00956ACE" w:rsidRPr="00CE28E3" w14:paraId="530E3954" w14:textId="77777777" w:rsidTr="00B8535F">
        <w:trPr>
          <w:cnfStyle w:val="100000000000" w:firstRow="1" w:lastRow="0" w:firstColumn="0" w:lastColumn="0" w:oddVBand="0" w:evenVBand="0" w:oddHBand="0" w:evenHBand="0" w:firstRowFirstColumn="0" w:firstRowLastColumn="0" w:lastRowFirstColumn="0" w:lastRowLastColumn="0"/>
          <w:tblHeader/>
        </w:trPr>
        <w:tc>
          <w:tcPr>
            <w:tcW w:w="1007" w:type="pct"/>
            <w:tcBorders>
              <w:top w:val="single" w:sz="4" w:space="0" w:color="auto"/>
              <w:left w:val="single" w:sz="4" w:space="0" w:color="auto"/>
              <w:bottom w:val="single" w:sz="4" w:space="0" w:color="auto"/>
              <w:right w:val="single" w:sz="4" w:space="0" w:color="auto"/>
            </w:tcBorders>
            <w:vAlign w:val="bottom"/>
          </w:tcPr>
          <w:p w14:paraId="0112563A" w14:textId="3CE1178E" w:rsidR="00956ACE" w:rsidRPr="00CE28E3" w:rsidRDefault="00BC4972" w:rsidP="00670650">
            <w:pPr>
              <w:pStyle w:val="TableText"/>
              <w:keepNext/>
              <w:rPr>
                <w:b/>
              </w:rPr>
            </w:pPr>
            <w:bookmarkStart w:id="23" w:name="ColumnTitle_Table4"/>
            <w:bookmarkStart w:id="24" w:name="_Hlk68276288"/>
            <w:bookmarkEnd w:id="23"/>
            <w:r>
              <w:rPr>
                <w:b/>
              </w:rPr>
              <w:t>Criteri</w:t>
            </w:r>
            <w:r w:rsidR="004D4425">
              <w:rPr>
                <w:b/>
              </w:rPr>
              <w:t>on</w:t>
            </w:r>
          </w:p>
        </w:tc>
        <w:tc>
          <w:tcPr>
            <w:tcW w:w="1844" w:type="pct"/>
            <w:tcBorders>
              <w:top w:val="single" w:sz="4" w:space="0" w:color="auto"/>
              <w:left w:val="single" w:sz="4" w:space="0" w:color="auto"/>
              <w:bottom w:val="single" w:sz="4" w:space="0" w:color="auto"/>
              <w:right w:val="single" w:sz="4" w:space="0" w:color="auto"/>
            </w:tcBorders>
            <w:vAlign w:val="bottom"/>
            <w:hideMark/>
          </w:tcPr>
          <w:p w14:paraId="37828F38" w14:textId="77777777" w:rsidR="00956ACE" w:rsidRPr="00CE28E3" w:rsidRDefault="00956ACE" w:rsidP="00670650">
            <w:pPr>
              <w:pStyle w:val="TableText"/>
              <w:keepNext/>
              <w:rPr>
                <w:b/>
              </w:rPr>
            </w:pPr>
            <w:r w:rsidRPr="00CE28E3">
              <w:rPr>
                <w:b/>
              </w:rPr>
              <w:t>Type of evidence supplied</w:t>
            </w:r>
          </w:p>
        </w:tc>
        <w:tc>
          <w:tcPr>
            <w:tcW w:w="1075" w:type="pct"/>
            <w:tcBorders>
              <w:top w:val="single" w:sz="4" w:space="0" w:color="auto"/>
              <w:left w:val="single" w:sz="4" w:space="0" w:color="auto"/>
              <w:bottom w:val="single" w:sz="4" w:space="0" w:color="auto"/>
              <w:right w:val="single" w:sz="4" w:space="0" w:color="auto"/>
            </w:tcBorders>
            <w:vAlign w:val="bottom"/>
            <w:hideMark/>
          </w:tcPr>
          <w:p w14:paraId="26BD1646" w14:textId="77777777" w:rsidR="00956ACE" w:rsidRPr="00CE28E3" w:rsidRDefault="00956ACE" w:rsidP="00670650">
            <w:pPr>
              <w:pStyle w:val="TableText"/>
              <w:keepNext/>
              <w:rPr>
                <w:b/>
              </w:rPr>
            </w:pPr>
            <w:r w:rsidRPr="00CE28E3">
              <w:rPr>
                <w:b/>
              </w:rPr>
              <w:t>Extent of evidence supplied</w:t>
            </w:r>
          </w:p>
        </w:tc>
        <w:tc>
          <w:tcPr>
            <w:tcW w:w="1074" w:type="pct"/>
            <w:tcBorders>
              <w:top w:val="single" w:sz="4" w:space="0" w:color="auto"/>
              <w:left w:val="single" w:sz="4" w:space="0" w:color="auto"/>
              <w:bottom w:val="single" w:sz="4" w:space="0" w:color="auto"/>
              <w:right w:val="single" w:sz="4" w:space="0" w:color="auto"/>
            </w:tcBorders>
            <w:vAlign w:val="bottom"/>
            <w:hideMark/>
          </w:tcPr>
          <w:p w14:paraId="3F0C39B2" w14:textId="77777777" w:rsidR="00956ACE" w:rsidRPr="00CE28E3" w:rsidRDefault="00956ACE" w:rsidP="00670650">
            <w:pPr>
              <w:pStyle w:val="TableText"/>
              <w:keepNext/>
              <w:rPr>
                <w:b/>
              </w:rPr>
            </w:pPr>
            <w:r w:rsidRPr="00CE28E3">
              <w:rPr>
                <w:b/>
              </w:rPr>
              <w:t>Overall risk of bias in evidence base</w:t>
            </w:r>
          </w:p>
        </w:tc>
      </w:tr>
      <w:tr w:rsidR="00956ACE" w:rsidRPr="00CE28E3" w14:paraId="05D3B099" w14:textId="77777777" w:rsidTr="00824458">
        <w:tc>
          <w:tcPr>
            <w:tcW w:w="1007" w:type="pct"/>
            <w:tcBorders>
              <w:top w:val="single" w:sz="4" w:space="0" w:color="auto"/>
              <w:left w:val="single" w:sz="4" w:space="0" w:color="auto"/>
              <w:bottom w:val="single" w:sz="4" w:space="0" w:color="auto"/>
              <w:right w:val="single" w:sz="4" w:space="0" w:color="auto"/>
            </w:tcBorders>
            <w:hideMark/>
          </w:tcPr>
          <w:p w14:paraId="0B814D42" w14:textId="77777777" w:rsidR="00956ACE" w:rsidRPr="00CE28E3" w:rsidRDefault="00956ACE" w:rsidP="00670650">
            <w:pPr>
              <w:pStyle w:val="TableText"/>
              <w:keepNext/>
            </w:pPr>
            <w:r w:rsidRPr="00CE28E3">
              <w:t>Prognostic evidence (longitudinal accuracy)</w:t>
            </w:r>
          </w:p>
        </w:tc>
        <w:tc>
          <w:tcPr>
            <w:tcW w:w="1844" w:type="pct"/>
            <w:tcBorders>
              <w:top w:val="single" w:sz="4" w:space="0" w:color="auto"/>
              <w:left w:val="single" w:sz="4" w:space="0" w:color="auto"/>
              <w:bottom w:val="single" w:sz="4" w:space="0" w:color="auto"/>
              <w:right w:val="single" w:sz="4" w:space="0" w:color="auto"/>
            </w:tcBorders>
            <w:hideMark/>
          </w:tcPr>
          <w:p w14:paraId="6877240E" w14:textId="77777777" w:rsidR="004A6339" w:rsidRDefault="004A6339" w:rsidP="00670650">
            <w:pPr>
              <w:pStyle w:val="TableText"/>
              <w:keepNext/>
            </w:pPr>
            <w:r>
              <w:t>Two studies of prognostic models</w:t>
            </w:r>
          </w:p>
          <w:p w14:paraId="2DF36ED5" w14:textId="77777777" w:rsidR="004A6339" w:rsidRDefault="004A6339" w:rsidP="00670650">
            <w:pPr>
              <w:pStyle w:val="TableText"/>
              <w:keepNext/>
            </w:pPr>
            <w:r>
              <w:t>One development and temporal validation study (Peters 2019)</w:t>
            </w:r>
          </w:p>
          <w:p w14:paraId="7A7D976B" w14:textId="31FB7B04" w:rsidR="004A6339" w:rsidRPr="00CE28E3" w:rsidRDefault="004A6339" w:rsidP="00670650">
            <w:pPr>
              <w:pStyle w:val="TableText"/>
              <w:keepNext/>
            </w:pPr>
            <w:r>
              <w:t>One external validation study (Peters 2020)</w:t>
            </w:r>
          </w:p>
        </w:tc>
        <w:tc>
          <w:tcPr>
            <w:tcW w:w="1075" w:type="pct"/>
            <w:tcBorders>
              <w:top w:val="single" w:sz="4" w:space="0" w:color="auto"/>
              <w:left w:val="single" w:sz="4" w:space="0" w:color="auto"/>
              <w:bottom w:val="single" w:sz="4" w:space="0" w:color="auto"/>
              <w:right w:val="single" w:sz="4" w:space="0" w:color="auto"/>
            </w:tcBorders>
            <w:hideMark/>
          </w:tcPr>
          <w:p w14:paraId="3F26D7C9" w14:textId="76E7FFD9" w:rsidR="00956ACE" w:rsidRPr="00CE28E3" w:rsidRDefault="00956ACE" w:rsidP="00670650">
            <w:pPr>
              <w:pStyle w:val="TableText"/>
              <w:keepNext/>
            </w:pPr>
            <w:r w:rsidRPr="00CE28E3">
              <w:rPr>
                <w:rFonts w:ascii="MS Gothic" w:eastAsia="MS Gothic" w:hAnsi="MS Gothic" w:hint="eastAsia"/>
                <w:lang w:val="en-US"/>
              </w:rPr>
              <w:t>☐</w:t>
            </w:r>
            <w:r w:rsidRPr="00CE28E3">
              <w:tab/>
              <w:t>k=</w:t>
            </w:r>
            <w:r w:rsidR="0073513F">
              <w:t>2</w:t>
            </w:r>
            <w:r w:rsidRPr="00CE28E3">
              <w:tab/>
              <w:t>n=</w:t>
            </w:r>
            <w:r w:rsidR="0073513F">
              <w:t>3338</w:t>
            </w:r>
          </w:p>
        </w:tc>
        <w:tc>
          <w:tcPr>
            <w:tcW w:w="1074" w:type="pct"/>
            <w:tcBorders>
              <w:top w:val="single" w:sz="4" w:space="0" w:color="auto"/>
              <w:left w:val="single" w:sz="4" w:space="0" w:color="auto"/>
              <w:bottom w:val="single" w:sz="4" w:space="0" w:color="auto"/>
              <w:right w:val="single" w:sz="4" w:space="0" w:color="auto"/>
            </w:tcBorders>
            <w:hideMark/>
          </w:tcPr>
          <w:p w14:paraId="503113DC" w14:textId="6AC6E7FA" w:rsidR="00BB45D3" w:rsidRPr="00150473" w:rsidRDefault="00BB45D3" w:rsidP="00670650">
            <w:pPr>
              <w:pStyle w:val="TableText"/>
              <w:keepNext/>
            </w:pPr>
            <w:r w:rsidRPr="00150473">
              <w:t xml:space="preserve">High risk of bias </w:t>
            </w:r>
            <w:r w:rsidR="00074E14">
              <w:t>(</w:t>
            </w:r>
            <w:r w:rsidR="008D1BB6">
              <w:t>e</w:t>
            </w:r>
            <w:r w:rsidR="00074E14">
              <w:t xml:space="preserve">vidence </w:t>
            </w:r>
            <w:r w:rsidR="008D1BB6">
              <w:t>a</w:t>
            </w:r>
            <w:r w:rsidR="00074E14">
              <w:t xml:space="preserve">ssessment </w:t>
            </w:r>
            <w:r w:rsidR="008D1BB6">
              <w:t>g</w:t>
            </w:r>
            <w:r w:rsidR="00074E14">
              <w:t>roup)</w:t>
            </w:r>
          </w:p>
        </w:tc>
      </w:tr>
      <w:tr w:rsidR="00956ACE" w:rsidRPr="00CE28E3" w14:paraId="020F989B" w14:textId="77777777" w:rsidTr="0002730D">
        <w:tc>
          <w:tcPr>
            <w:tcW w:w="1007" w:type="pct"/>
            <w:tcBorders>
              <w:top w:val="single" w:sz="4" w:space="0" w:color="auto"/>
              <w:left w:val="single" w:sz="4" w:space="0" w:color="auto"/>
              <w:bottom w:val="single" w:sz="4" w:space="0" w:color="auto"/>
              <w:right w:val="single" w:sz="4" w:space="0" w:color="auto"/>
            </w:tcBorders>
            <w:hideMark/>
          </w:tcPr>
          <w:p w14:paraId="252A909C" w14:textId="77777777" w:rsidR="00956ACE" w:rsidRPr="00CE28E3" w:rsidRDefault="00956ACE" w:rsidP="00670650">
            <w:pPr>
              <w:pStyle w:val="TableText"/>
              <w:keepNext/>
            </w:pPr>
            <w:r w:rsidRPr="00CE28E3">
              <w:t xml:space="preserve">Change in patient management </w:t>
            </w:r>
          </w:p>
        </w:tc>
        <w:tc>
          <w:tcPr>
            <w:tcW w:w="1844" w:type="pct"/>
            <w:tcBorders>
              <w:top w:val="single" w:sz="4" w:space="0" w:color="auto"/>
              <w:left w:val="single" w:sz="4" w:space="0" w:color="auto"/>
              <w:bottom w:val="single" w:sz="4" w:space="0" w:color="auto"/>
              <w:right w:val="single" w:sz="4" w:space="0" w:color="auto"/>
            </w:tcBorders>
            <w:hideMark/>
          </w:tcPr>
          <w:p w14:paraId="6CFA7EE5" w14:textId="6BBE629F" w:rsidR="00D10FBC" w:rsidRPr="00CE28E3" w:rsidRDefault="00D10FBC" w:rsidP="00670650">
            <w:pPr>
              <w:pStyle w:val="TableText"/>
              <w:keepNext/>
            </w:pPr>
            <w:r>
              <w:t>Applicants conducted their own study that showed clinicians</w:t>
            </w:r>
            <w:r w:rsidR="00F814C6">
              <w:t>’</w:t>
            </w:r>
            <w:r>
              <w:t xml:space="preserve"> intention regarding patient management but did not </w:t>
            </w:r>
            <w:r w:rsidR="0002730D">
              <w:t xml:space="preserve">report evidence of </w:t>
            </w:r>
            <w:r>
              <w:t>actual change</w:t>
            </w:r>
            <w:r w:rsidR="0002730D">
              <w:t xml:space="preserve"> in management</w:t>
            </w:r>
            <w:r>
              <w:t xml:space="preserve">. </w:t>
            </w:r>
          </w:p>
        </w:tc>
        <w:tc>
          <w:tcPr>
            <w:tcW w:w="1075" w:type="pct"/>
            <w:tcBorders>
              <w:top w:val="single" w:sz="4" w:space="0" w:color="auto"/>
              <w:left w:val="single" w:sz="4" w:space="0" w:color="auto"/>
              <w:bottom w:val="single" w:sz="4" w:space="0" w:color="auto"/>
              <w:right w:val="single" w:sz="4" w:space="0" w:color="auto"/>
            </w:tcBorders>
            <w:hideMark/>
          </w:tcPr>
          <w:p w14:paraId="60E3094E" w14:textId="6DCECEF1" w:rsidR="00956ACE" w:rsidRPr="00CE28E3" w:rsidRDefault="00956ACE" w:rsidP="00670650">
            <w:pPr>
              <w:pStyle w:val="TableText"/>
              <w:keepNext/>
            </w:pPr>
            <w:r w:rsidRPr="00CE28E3">
              <w:rPr>
                <w:rFonts w:ascii="MS Gothic" w:eastAsia="MS Gothic" w:hAnsi="MS Gothic" w:hint="eastAsia"/>
                <w:lang w:val="en-US"/>
              </w:rPr>
              <w:t>☐</w:t>
            </w:r>
            <w:r w:rsidRPr="00CE28E3">
              <w:tab/>
              <w:t>k=</w:t>
            </w:r>
            <w:r w:rsidR="0002730D">
              <w:t>1</w:t>
            </w:r>
            <w:r w:rsidRPr="00CE28E3">
              <w:tab/>
              <w:t>n=</w:t>
            </w:r>
            <w:r w:rsidR="006F7C70">
              <w:t>178</w:t>
            </w:r>
          </w:p>
        </w:tc>
        <w:tc>
          <w:tcPr>
            <w:tcW w:w="1074" w:type="pct"/>
            <w:tcBorders>
              <w:top w:val="single" w:sz="4" w:space="0" w:color="auto"/>
              <w:left w:val="single" w:sz="4" w:space="0" w:color="auto"/>
              <w:bottom w:val="single" w:sz="4" w:space="0" w:color="auto"/>
              <w:right w:val="single" w:sz="4" w:space="0" w:color="auto"/>
            </w:tcBorders>
            <w:hideMark/>
          </w:tcPr>
          <w:p w14:paraId="00E8E7C1" w14:textId="4917A11A" w:rsidR="00956ACE" w:rsidRPr="00150473" w:rsidRDefault="00150473" w:rsidP="00670650">
            <w:pPr>
              <w:pStyle w:val="TableText"/>
              <w:keepNext/>
            </w:pPr>
            <w:r w:rsidRPr="00150473">
              <w:t>High risk of bias</w:t>
            </w:r>
            <w:r w:rsidR="00074E14">
              <w:t xml:space="preserve"> (</w:t>
            </w:r>
            <w:r w:rsidR="00DD611D">
              <w:t>e</w:t>
            </w:r>
            <w:r w:rsidR="00074E14">
              <w:t xml:space="preserve">vidence </w:t>
            </w:r>
            <w:r w:rsidR="00DD611D">
              <w:t>a</w:t>
            </w:r>
            <w:r w:rsidR="00074E14">
              <w:t xml:space="preserve">ssessment </w:t>
            </w:r>
            <w:r w:rsidR="00DD611D">
              <w:t>g</w:t>
            </w:r>
            <w:r w:rsidR="00074E14">
              <w:t>roup)</w:t>
            </w:r>
          </w:p>
        </w:tc>
      </w:tr>
      <w:tr w:rsidR="00956ACE" w:rsidRPr="00CE28E3" w14:paraId="0A575DD3" w14:textId="77777777" w:rsidTr="0002730D">
        <w:tc>
          <w:tcPr>
            <w:tcW w:w="1007" w:type="pct"/>
            <w:tcBorders>
              <w:top w:val="single" w:sz="4" w:space="0" w:color="auto"/>
              <w:left w:val="single" w:sz="4" w:space="0" w:color="auto"/>
              <w:bottom w:val="single" w:sz="4" w:space="0" w:color="auto"/>
              <w:right w:val="single" w:sz="4" w:space="0" w:color="auto"/>
            </w:tcBorders>
            <w:hideMark/>
          </w:tcPr>
          <w:p w14:paraId="2B5E1C59" w14:textId="2A8C4BA5" w:rsidR="00956ACE" w:rsidRPr="00CE28E3" w:rsidRDefault="00956ACE" w:rsidP="00670650">
            <w:pPr>
              <w:pStyle w:val="TableText"/>
              <w:keepNext/>
            </w:pPr>
            <w:r w:rsidRPr="00CE28E3">
              <w:t xml:space="preserve">Health outcomes </w:t>
            </w:r>
          </w:p>
        </w:tc>
        <w:tc>
          <w:tcPr>
            <w:tcW w:w="1844" w:type="pct"/>
            <w:tcBorders>
              <w:top w:val="single" w:sz="4" w:space="0" w:color="auto"/>
              <w:left w:val="single" w:sz="4" w:space="0" w:color="auto"/>
              <w:bottom w:val="single" w:sz="4" w:space="0" w:color="auto"/>
              <w:right w:val="single" w:sz="4" w:space="0" w:color="auto"/>
            </w:tcBorders>
          </w:tcPr>
          <w:p w14:paraId="54723D7C" w14:textId="7A4AAA97" w:rsidR="008E31C4" w:rsidRPr="00E655B3" w:rsidRDefault="008E31C4" w:rsidP="00670650">
            <w:pPr>
              <w:pStyle w:val="TableText"/>
              <w:keepNext/>
            </w:pPr>
            <w:r w:rsidRPr="00E655B3">
              <w:t>Seven trials were reported comparing different interventions including SGLT2</w:t>
            </w:r>
            <w:r w:rsidR="00084A1E" w:rsidRPr="00E655B3">
              <w:t>, statins and blood</w:t>
            </w:r>
            <w:r w:rsidR="006411FA">
              <w:t>-</w:t>
            </w:r>
            <w:r w:rsidR="00084A1E" w:rsidRPr="00E655B3">
              <w:t>pressure</w:t>
            </w:r>
            <w:r w:rsidR="006411FA">
              <w:t>-</w:t>
            </w:r>
            <w:r w:rsidR="00084A1E" w:rsidRPr="00E655B3">
              <w:t>lowering regimens</w:t>
            </w:r>
            <w:r w:rsidR="002C3A6E">
              <w:t>;</w:t>
            </w:r>
            <w:r w:rsidR="005501EC" w:rsidRPr="00E655B3">
              <w:t xml:space="preserve"> however</w:t>
            </w:r>
            <w:r w:rsidR="002C3A6E">
              <w:t>,</w:t>
            </w:r>
            <w:r w:rsidR="005501EC" w:rsidRPr="00E655B3">
              <w:t xml:space="preserve"> given the lack of evidence for </w:t>
            </w:r>
            <w:r w:rsidR="00E655B3" w:rsidRPr="00E655B3">
              <w:t xml:space="preserve">longitudinal accuracy and change in patient management, </w:t>
            </w:r>
            <w:r w:rsidR="00EF6F52">
              <w:t>a full</w:t>
            </w:r>
            <w:r w:rsidR="00E655B3" w:rsidRPr="00E655B3">
              <w:t xml:space="preserve"> </w:t>
            </w:r>
            <w:r w:rsidR="00EF6F52">
              <w:t xml:space="preserve">assessment of </w:t>
            </w:r>
            <w:r w:rsidR="00E655B3" w:rsidRPr="00E655B3">
              <w:t xml:space="preserve">health outcomes </w:t>
            </w:r>
            <w:r w:rsidR="00F92E7B">
              <w:t>should not</w:t>
            </w:r>
            <w:r w:rsidR="00EF6F52">
              <w:t xml:space="preserve"> be completed until these can be linked to </w:t>
            </w:r>
            <w:r w:rsidR="000E4235">
              <w:t>PromarkerD</w:t>
            </w:r>
            <w:r w:rsidR="00E655B3" w:rsidRPr="00E655B3">
              <w:t>.</w:t>
            </w:r>
          </w:p>
        </w:tc>
        <w:tc>
          <w:tcPr>
            <w:tcW w:w="1075" w:type="pct"/>
            <w:tcBorders>
              <w:top w:val="single" w:sz="4" w:space="0" w:color="auto"/>
              <w:left w:val="single" w:sz="4" w:space="0" w:color="auto"/>
              <w:bottom w:val="single" w:sz="4" w:space="0" w:color="auto"/>
              <w:right w:val="single" w:sz="4" w:space="0" w:color="auto"/>
            </w:tcBorders>
          </w:tcPr>
          <w:p w14:paraId="496A8CDC" w14:textId="3F9AA47D" w:rsidR="00956ACE" w:rsidRPr="00E655B3" w:rsidRDefault="00956ACE" w:rsidP="00670650">
            <w:pPr>
              <w:pStyle w:val="TableText"/>
              <w:keepNext/>
            </w:pPr>
            <w:r w:rsidRPr="00E655B3">
              <w:rPr>
                <w:rFonts w:ascii="MS Gothic" w:eastAsia="MS Gothic" w:hAnsi="MS Gothic" w:hint="eastAsia"/>
                <w:lang w:val="en-US"/>
              </w:rPr>
              <w:t>☐</w:t>
            </w:r>
            <w:r w:rsidRPr="00E655B3">
              <w:tab/>
              <w:t>k=</w:t>
            </w:r>
            <w:r w:rsidR="004558BD" w:rsidRPr="00E655B3">
              <w:t>7</w:t>
            </w:r>
            <w:r w:rsidRPr="00E655B3">
              <w:tab/>
              <w:t>n=</w:t>
            </w:r>
            <w:r w:rsidR="004558BD" w:rsidRPr="00E655B3">
              <w:t>105266</w:t>
            </w:r>
          </w:p>
        </w:tc>
        <w:tc>
          <w:tcPr>
            <w:tcW w:w="1074" w:type="pct"/>
            <w:tcBorders>
              <w:top w:val="single" w:sz="4" w:space="0" w:color="auto"/>
              <w:left w:val="single" w:sz="4" w:space="0" w:color="auto"/>
              <w:bottom w:val="single" w:sz="4" w:space="0" w:color="auto"/>
              <w:right w:val="single" w:sz="4" w:space="0" w:color="auto"/>
            </w:tcBorders>
            <w:hideMark/>
          </w:tcPr>
          <w:p w14:paraId="17AAB10F" w14:textId="405464CD" w:rsidR="00956ACE" w:rsidRPr="00E655B3" w:rsidRDefault="00DD611D" w:rsidP="00670650">
            <w:pPr>
              <w:pStyle w:val="TableText"/>
              <w:keepNext/>
            </w:pPr>
            <w:r>
              <w:t>The e</w:t>
            </w:r>
            <w:r w:rsidR="00074E14" w:rsidRPr="00E655B3">
              <w:t xml:space="preserve">vidence </w:t>
            </w:r>
            <w:r>
              <w:t>a</w:t>
            </w:r>
            <w:r w:rsidR="00074E14" w:rsidRPr="00E655B3">
              <w:t xml:space="preserve">ssessment </w:t>
            </w:r>
            <w:r>
              <w:t>g</w:t>
            </w:r>
            <w:r w:rsidR="00074E14" w:rsidRPr="00E655B3">
              <w:t xml:space="preserve">roup did not assess risk of bias for these studies given the lack of evidence for the </w:t>
            </w:r>
            <w:r w:rsidR="006A699D" w:rsidRPr="00E655B3">
              <w:t>accuracy</w:t>
            </w:r>
            <w:r w:rsidR="00074E14" w:rsidRPr="00E655B3">
              <w:t xml:space="preserve"> of PromarkerD and the lack of evidence for change in patient management.</w:t>
            </w:r>
          </w:p>
        </w:tc>
      </w:tr>
    </w:tbl>
    <w:p w14:paraId="36B53B57" w14:textId="15310652" w:rsidR="00956ACE" w:rsidRPr="00E6458E" w:rsidRDefault="002C7232" w:rsidP="00E6458E">
      <w:pPr>
        <w:pStyle w:val="TableFigureFooter"/>
        <w:spacing w:after="120"/>
      </w:pPr>
      <w:bookmarkStart w:id="25" w:name="_Hlk68276301"/>
      <w:bookmarkEnd w:id="24"/>
      <w:r w:rsidRPr="00E6458E">
        <w:rPr>
          <w:b/>
          <w:bCs/>
          <w:u w:val="single"/>
        </w:rPr>
        <w:t>Notes</w:t>
      </w:r>
      <w:r>
        <w:br/>
      </w:r>
      <w:r w:rsidR="00956ACE" w:rsidRPr="00CE28E3">
        <w:t>k</w:t>
      </w:r>
      <w:r w:rsidR="00014543">
        <w:t xml:space="preserve"> </w:t>
      </w:r>
      <w:r w:rsidR="00956ACE" w:rsidRPr="00CE28E3">
        <w:t>=</w:t>
      </w:r>
      <w:r w:rsidR="00014543">
        <w:t xml:space="preserve"> </w:t>
      </w:r>
      <w:r w:rsidR="00956ACE" w:rsidRPr="00CE28E3">
        <w:t>number of studies, n</w:t>
      </w:r>
      <w:r w:rsidR="00014543">
        <w:t xml:space="preserve"> </w:t>
      </w:r>
      <w:r w:rsidR="00956ACE" w:rsidRPr="00CE28E3">
        <w:t>=</w:t>
      </w:r>
      <w:r w:rsidR="00014543">
        <w:t xml:space="preserve"> </w:t>
      </w:r>
      <w:r w:rsidR="00956ACE" w:rsidRPr="00CE28E3">
        <w:t>number of patients.</w:t>
      </w:r>
    </w:p>
    <w:p w14:paraId="3B9FC2AD" w14:textId="1409F57A" w:rsidR="00772829" w:rsidRPr="00CE28E3" w:rsidRDefault="000D5B30" w:rsidP="002A18BE">
      <w:pPr>
        <w:pStyle w:val="Heading2"/>
        <w:numPr>
          <w:ilvl w:val="0"/>
          <w:numId w:val="0"/>
        </w:numPr>
      </w:pPr>
      <w:bookmarkStart w:id="26" w:name="_Toc69491423"/>
      <w:bookmarkEnd w:id="25"/>
      <w:r>
        <w:t>11</w:t>
      </w:r>
      <w:r w:rsidR="00C36633">
        <w:t>.</w:t>
      </w:r>
      <w:r w:rsidR="00C36633">
        <w:tab/>
      </w:r>
      <w:r w:rsidR="00772829" w:rsidRPr="00CE28E3">
        <w:t>Comparative safety</w:t>
      </w:r>
      <w:bookmarkEnd w:id="26"/>
    </w:p>
    <w:p w14:paraId="79E077BA" w14:textId="64BFA6E5" w:rsidR="0065256F" w:rsidRDefault="003E31C2" w:rsidP="003E31C2">
      <w:pPr>
        <w:pStyle w:val="Instructionaltext"/>
        <w:rPr>
          <w:color w:val="auto"/>
        </w:rPr>
      </w:pPr>
      <w:r w:rsidRPr="003E31C2">
        <w:rPr>
          <w:color w:val="auto"/>
        </w:rPr>
        <w:t xml:space="preserve">The applicant has </w:t>
      </w:r>
      <w:r w:rsidR="001C5EC6">
        <w:rPr>
          <w:color w:val="auto"/>
        </w:rPr>
        <w:t>indicated in the ADAR that</w:t>
      </w:r>
      <w:r w:rsidRPr="003E31C2">
        <w:rPr>
          <w:color w:val="auto"/>
        </w:rPr>
        <w:t xml:space="preserve"> safety </w:t>
      </w:r>
      <w:r w:rsidR="001C5EC6">
        <w:rPr>
          <w:color w:val="auto"/>
        </w:rPr>
        <w:t>is</w:t>
      </w:r>
      <w:r w:rsidRPr="003E31C2">
        <w:rPr>
          <w:color w:val="auto"/>
        </w:rPr>
        <w:t xml:space="preserve"> not appli</w:t>
      </w:r>
      <w:r w:rsidR="00B821BC">
        <w:rPr>
          <w:color w:val="auto"/>
        </w:rPr>
        <w:t>c</w:t>
      </w:r>
      <w:r w:rsidRPr="003E31C2">
        <w:rPr>
          <w:color w:val="auto"/>
        </w:rPr>
        <w:t>able</w:t>
      </w:r>
      <w:r>
        <w:rPr>
          <w:color w:val="auto"/>
        </w:rPr>
        <w:t>, therefore there are no results to report</w:t>
      </w:r>
      <w:r w:rsidRPr="003E31C2">
        <w:rPr>
          <w:color w:val="auto"/>
        </w:rPr>
        <w:t>.</w:t>
      </w:r>
      <w:r>
        <w:rPr>
          <w:color w:val="auto"/>
        </w:rPr>
        <w:t xml:space="preserve"> </w:t>
      </w:r>
    </w:p>
    <w:p w14:paraId="51FA50D0" w14:textId="3B196F9C" w:rsidR="003E31C2" w:rsidRDefault="003E31C2" w:rsidP="003E31C2">
      <w:pPr>
        <w:pStyle w:val="Instructionaltext"/>
        <w:rPr>
          <w:color w:val="auto"/>
        </w:rPr>
      </w:pPr>
      <w:r>
        <w:rPr>
          <w:color w:val="auto"/>
        </w:rPr>
        <w:t xml:space="preserve">The </w:t>
      </w:r>
      <w:r w:rsidR="00B44B53">
        <w:rPr>
          <w:color w:val="auto"/>
        </w:rPr>
        <w:t xml:space="preserve">Commentary </w:t>
      </w:r>
      <w:r>
        <w:rPr>
          <w:color w:val="auto"/>
        </w:rPr>
        <w:t>consider</w:t>
      </w:r>
      <w:r w:rsidR="00B44B53">
        <w:rPr>
          <w:color w:val="auto"/>
        </w:rPr>
        <w:t>ed</w:t>
      </w:r>
      <w:r>
        <w:rPr>
          <w:color w:val="auto"/>
        </w:rPr>
        <w:t xml:space="preserve"> there to be </w:t>
      </w:r>
      <w:r w:rsidRPr="003E31C2">
        <w:rPr>
          <w:color w:val="auto"/>
        </w:rPr>
        <w:t xml:space="preserve">very real harms to patients from false positive results. Being misdiagnosed as being at high risk of a life-threatening condition is psychologically and physically harmful to patients and is a waste of resources. </w:t>
      </w:r>
      <w:r w:rsidR="00B44B53">
        <w:rPr>
          <w:color w:val="auto"/>
        </w:rPr>
        <w:t xml:space="preserve">The Commentary noted that </w:t>
      </w:r>
      <w:r w:rsidRPr="003E31C2">
        <w:rPr>
          <w:color w:val="auto"/>
        </w:rPr>
        <w:t xml:space="preserve">a clinician </w:t>
      </w:r>
      <w:r w:rsidR="003C2AB6">
        <w:rPr>
          <w:color w:val="auto"/>
        </w:rPr>
        <w:t xml:space="preserve">was </w:t>
      </w:r>
      <w:r w:rsidR="00B44B53">
        <w:rPr>
          <w:color w:val="auto"/>
        </w:rPr>
        <w:t xml:space="preserve">consulted </w:t>
      </w:r>
      <w:r w:rsidRPr="003E31C2">
        <w:rPr>
          <w:color w:val="auto"/>
        </w:rPr>
        <w:t>about the poor PPV outcomes</w:t>
      </w:r>
      <w:r w:rsidR="0098706C">
        <w:rPr>
          <w:color w:val="auto"/>
        </w:rPr>
        <w:t xml:space="preserve"> </w:t>
      </w:r>
      <w:r w:rsidRPr="003E31C2">
        <w:rPr>
          <w:color w:val="auto"/>
        </w:rPr>
        <w:t>reported for PromarkerD</w:t>
      </w:r>
      <w:r w:rsidR="003C2AB6">
        <w:rPr>
          <w:color w:val="auto"/>
        </w:rPr>
        <w:t xml:space="preserve"> and the subsequent high </w:t>
      </w:r>
      <w:r w:rsidR="003C2AB6">
        <w:rPr>
          <w:color w:val="auto"/>
        </w:rPr>
        <w:lastRenderedPageBreak/>
        <w:t xml:space="preserve">proportion of false positive results. </w:t>
      </w:r>
      <w:r w:rsidRPr="003E31C2">
        <w:rPr>
          <w:color w:val="auto"/>
        </w:rPr>
        <w:t xml:space="preserve"> </w:t>
      </w:r>
      <w:r w:rsidR="003C2AB6">
        <w:rPr>
          <w:color w:val="auto"/>
        </w:rPr>
        <w:t xml:space="preserve">The clinician </w:t>
      </w:r>
      <w:r w:rsidRPr="003E31C2">
        <w:rPr>
          <w:color w:val="auto"/>
        </w:rPr>
        <w:t xml:space="preserve">confirmed that there are harms </w:t>
      </w:r>
      <w:r w:rsidR="0098706C">
        <w:rPr>
          <w:color w:val="auto"/>
        </w:rPr>
        <w:t xml:space="preserve">related to the impact of false positive results </w:t>
      </w:r>
      <w:r w:rsidRPr="003E31C2">
        <w:rPr>
          <w:color w:val="auto"/>
        </w:rPr>
        <w:t xml:space="preserve">that should be taken into account including unnecessary blood tests and </w:t>
      </w:r>
      <w:r w:rsidR="00484D92" w:rsidRPr="003E31C2">
        <w:rPr>
          <w:color w:val="auto"/>
        </w:rPr>
        <w:t>venepuncture</w:t>
      </w:r>
      <w:r w:rsidRPr="003E31C2">
        <w:rPr>
          <w:color w:val="auto"/>
        </w:rPr>
        <w:t xml:space="preserve"> discomfort, patient anxiety </w:t>
      </w:r>
      <w:r w:rsidR="008A1168">
        <w:rPr>
          <w:color w:val="auto"/>
        </w:rPr>
        <w:t>(</w:t>
      </w:r>
      <w:r w:rsidRPr="003E31C2">
        <w:rPr>
          <w:color w:val="auto"/>
        </w:rPr>
        <w:t>which can be considerable</w:t>
      </w:r>
      <w:r w:rsidR="008A1168">
        <w:rPr>
          <w:color w:val="auto"/>
        </w:rPr>
        <w:t>)</w:t>
      </w:r>
      <w:r w:rsidRPr="003E31C2">
        <w:rPr>
          <w:color w:val="auto"/>
        </w:rPr>
        <w:t xml:space="preserve"> and the cost of unnecessary tests and appointments on </w:t>
      </w:r>
      <w:r w:rsidR="001C3524">
        <w:rPr>
          <w:color w:val="auto"/>
        </w:rPr>
        <w:t xml:space="preserve">a </w:t>
      </w:r>
      <w:r w:rsidRPr="003E31C2">
        <w:rPr>
          <w:color w:val="auto"/>
        </w:rPr>
        <w:t xml:space="preserve">finite health budget. </w:t>
      </w:r>
      <w:r w:rsidR="00DF4733" w:rsidRPr="00DF4733">
        <w:rPr>
          <w:color w:val="auto"/>
        </w:rPr>
        <w:t xml:space="preserve">The </w:t>
      </w:r>
      <w:r w:rsidR="00AA2273">
        <w:rPr>
          <w:color w:val="auto"/>
        </w:rPr>
        <w:t xml:space="preserve">Commentary noted that the </w:t>
      </w:r>
      <w:r w:rsidR="00DF4733" w:rsidRPr="00DF4733">
        <w:rPr>
          <w:color w:val="auto"/>
        </w:rPr>
        <w:t xml:space="preserve">clinician suggested that, in some cases, more intrusive scans are likely to be done; </w:t>
      </w:r>
      <w:r w:rsidR="0098706C">
        <w:rPr>
          <w:color w:val="auto"/>
        </w:rPr>
        <w:t xml:space="preserve">particularly </w:t>
      </w:r>
      <w:r w:rsidR="00DF4733" w:rsidRPr="00DF4733">
        <w:rPr>
          <w:color w:val="auto"/>
        </w:rPr>
        <w:t>if contrast or radiolabelled agents are given, this can also (rarely) cause harm.</w:t>
      </w:r>
    </w:p>
    <w:p w14:paraId="1A576643" w14:textId="7258AFA2" w:rsidR="00B92032" w:rsidRPr="00BC6E19" w:rsidRDefault="00B92032" w:rsidP="003E31C2">
      <w:pPr>
        <w:pStyle w:val="Instructionaltext"/>
        <w:rPr>
          <w:color w:val="auto"/>
        </w:rPr>
      </w:pPr>
      <w:r w:rsidRPr="00BC6E19">
        <w:rPr>
          <w:color w:val="auto"/>
        </w:rPr>
        <w:t xml:space="preserve">There </w:t>
      </w:r>
      <w:r w:rsidR="004651CA" w:rsidRPr="00BC6E19">
        <w:rPr>
          <w:color w:val="auto"/>
        </w:rPr>
        <w:t>are also harms associated with</w:t>
      </w:r>
      <w:r w:rsidRPr="00BC6E19">
        <w:rPr>
          <w:color w:val="auto"/>
        </w:rPr>
        <w:t xml:space="preserve"> false negative results causing delays in management. </w:t>
      </w:r>
      <w:r w:rsidR="004651CA" w:rsidRPr="00BC6E19">
        <w:rPr>
          <w:color w:val="auto"/>
        </w:rPr>
        <w:t>A</w:t>
      </w:r>
      <w:r w:rsidRPr="00BC6E19">
        <w:rPr>
          <w:color w:val="auto"/>
        </w:rPr>
        <w:t xml:space="preserve"> negative test is likely to falsely reassure the clinician and the patient and</w:t>
      </w:r>
      <w:r w:rsidR="0098706C">
        <w:rPr>
          <w:color w:val="auto"/>
        </w:rPr>
        <w:t xml:space="preserve"> potentially</w:t>
      </w:r>
      <w:r w:rsidRPr="00BC6E19">
        <w:rPr>
          <w:color w:val="auto"/>
        </w:rPr>
        <w:t xml:space="preserve"> delay treatment. </w:t>
      </w:r>
    </w:p>
    <w:p w14:paraId="34F9ABF3" w14:textId="4EC3496E" w:rsidR="002B55AB" w:rsidRPr="00F15589" w:rsidRDefault="00AA2273" w:rsidP="00E76AE0">
      <w:pPr>
        <w:pStyle w:val="Instructionaltext"/>
        <w:rPr>
          <w:color w:val="auto"/>
        </w:rPr>
      </w:pPr>
      <w:r>
        <w:rPr>
          <w:color w:val="auto"/>
        </w:rPr>
        <w:t>The Commentary considered that t</w:t>
      </w:r>
      <w:r w:rsidR="0065256F">
        <w:rPr>
          <w:color w:val="auto"/>
        </w:rPr>
        <w:t>he</w:t>
      </w:r>
      <w:r w:rsidR="00741CF7">
        <w:rPr>
          <w:color w:val="auto"/>
        </w:rPr>
        <w:t xml:space="preserve">re is </w:t>
      </w:r>
      <w:r w:rsidR="0098706C">
        <w:rPr>
          <w:color w:val="auto"/>
        </w:rPr>
        <w:t xml:space="preserve">little </w:t>
      </w:r>
      <w:r w:rsidR="00741CF7">
        <w:rPr>
          <w:color w:val="auto"/>
        </w:rPr>
        <w:t xml:space="preserve">evidence </w:t>
      </w:r>
      <w:r w:rsidR="0098706C">
        <w:rPr>
          <w:color w:val="auto"/>
        </w:rPr>
        <w:t>available regarding</w:t>
      </w:r>
      <w:r w:rsidR="00741CF7">
        <w:rPr>
          <w:color w:val="auto"/>
        </w:rPr>
        <w:t xml:space="preserve"> safety</w:t>
      </w:r>
      <w:r w:rsidR="0098706C">
        <w:rPr>
          <w:color w:val="auto"/>
        </w:rPr>
        <w:t xml:space="preserve"> of PromarkerD.</w:t>
      </w:r>
      <w:r w:rsidR="00741CF7">
        <w:rPr>
          <w:color w:val="auto"/>
        </w:rPr>
        <w:t xml:space="preserve">  </w:t>
      </w:r>
      <w:r w:rsidR="0098706C">
        <w:rPr>
          <w:color w:val="auto"/>
        </w:rPr>
        <w:t>I</w:t>
      </w:r>
      <w:r>
        <w:rPr>
          <w:color w:val="auto"/>
        </w:rPr>
        <w:t xml:space="preserve">t was unclear whether </w:t>
      </w:r>
      <w:r w:rsidR="001C5EC6">
        <w:rPr>
          <w:color w:val="auto"/>
        </w:rPr>
        <w:t xml:space="preserve">PromarkerD is </w:t>
      </w:r>
      <w:r w:rsidR="00E15D47">
        <w:rPr>
          <w:color w:val="auto"/>
        </w:rPr>
        <w:t>safer, of similar safety or less safe than clinical management without it.</w:t>
      </w:r>
    </w:p>
    <w:p w14:paraId="2CAA798F" w14:textId="72DEE78F" w:rsidR="005D08D7" w:rsidRPr="00C17155" w:rsidRDefault="00C36633" w:rsidP="00C17155">
      <w:pPr>
        <w:pStyle w:val="Heading2"/>
        <w:numPr>
          <w:ilvl w:val="0"/>
          <w:numId w:val="0"/>
        </w:numPr>
      </w:pPr>
      <w:bookmarkStart w:id="27" w:name="_Toc69491424"/>
      <w:r>
        <w:t>1</w:t>
      </w:r>
      <w:r w:rsidR="000D5B30">
        <w:t>2</w:t>
      </w:r>
      <w:r>
        <w:t>.</w:t>
      </w:r>
      <w:r>
        <w:tab/>
      </w:r>
      <w:r w:rsidR="00772829" w:rsidRPr="00CE28E3">
        <w:t>Comparative effectiveness</w:t>
      </w:r>
      <w:bookmarkEnd w:id="27"/>
    </w:p>
    <w:p w14:paraId="66F8DA15" w14:textId="7FDBC1E5" w:rsidR="0016569F" w:rsidRPr="00067A24" w:rsidRDefault="0016569F" w:rsidP="0016569F">
      <w:pPr>
        <w:autoSpaceDE w:val="0"/>
        <w:autoSpaceDN w:val="0"/>
        <w:adjustRightInd w:val="0"/>
        <w:spacing w:before="0" w:after="0"/>
        <w:rPr>
          <w:b/>
          <w:bCs/>
          <w:u w:val="single"/>
        </w:rPr>
      </w:pPr>
      <w:r w:rsidRPr="00067A24">
        <w:rPr>
          <w:b/>
          <w:bCs/>
          <w:u w:val="single"/>
        </w:rPr>
        <w:t>Test accuracy</w:t>
      </w:r>
    </w:p>
    <w:p w14:paraId="14F702EE" w14:textId="5F681D12" w:rsidR="006B57BA" w:rsidRDefault="006B57BA" w:rsidP="0016569F">
      <w:pPr>
        <w:autoSpaceDE w:val="0"/>
        <w:autoSpaceDN w:val="0"/>
        <w:adjustRightInd w:val="0"/>
        <w:spacing w:before="0"/>
      </w:pPr>
      <w:r>
        <w:t xml:space="preserve">The </w:t>
      </w:r>
      <w:r w:rsidR="00C0576C" w:rsidRPr="00D917AE">
        <w:t>applicant reported results for test accuracy</w:t>
      </w:r>
      <w:r w:rsidR="00AA2273">
        <w:t xml:space="preserve">. The Commentary noted that </w:t>
      </w:r>
      <w:r w:rsidR="00990FD9">
        <w:t xml:space="preserve">the ADAR did not address </w:t>
      </w:r>
      <w:r w:rsidR="00D917AE" w:rsidRPr="00D917AE">
        <w:t xml:space="preserve">other parts of the MSAC </w:t>
      </w:r>
      <w:r w:rsidR="00C20F06">
        <w:t>G</w:t>
      </w:r>
      <w:r w:rsidR="00D917AE" w:rsidRPr="00D917AE">
        <w:t xml:space="preserve">uidelines that are relevant to this review, specifically section ‘TG 15.2 Testing to determine prognosis’ and </w:t>
      </w:r>
      <w:r w:rsidR="006960D0">
        <w:t>‘</w:t>
      </w:r>
      <w:r w:rsidR="00D917AE" w:rsidRPr="00D917AE">
        <w:t xml:space="preserve">TG 15.5 Multifactorial algorithms’. </w:t>
      </w:r>
      <w:r w:rsidR="00094E16">
        <w:t xml:space="preserve">The </w:t>
      </w:r>
      <w:r w:rsidR="00AA2273">
        <w:t xml:space="preserve">Commentary </w:t>
      </w:r>
      <w:r w:rsidR="00F0325A">
        <w:t>re-tabled the evidence re</w:t>
      </w:r>
      <w:r w:rsidR="00094E16">
        <w:t>lated to the prognostic model and algorithm</w:t>
      </w:r>
      <w:r w:rsidR="008065A0">
        <w:t xml:space="preserve"> as follows:</w:t>
      </w:r>
    </w:p>
    <w:p w14:paraId="28542EFA" w14:textId="30C1568A" w:rsidR="008065A0" w:rsidRPr="00AF3C5F" w:rsidRDefault="008065A0" w:rsidP="0016569F">
      <w:pPr>
        <w:autoSpaceDE w:val="0"/>
        <w:autoSpaceDN w:val="0"/>
        <w:adjustRightInd w:val="0"/>
        <w:spacing w:before="0"/>
        <w:rPr>
          <w:rFonts w:ascii="Arial Narrow" w:hAnsi="Arial Narrow"/>
        </w:rPr>
      </w:pPr>
      <w:r w:rsidRPr="00AF3C5F">
        <w:rPr>
          <w:rFonts w:ascii="Arial Narrow" w:hAnsi="Arial Narrow"/>
          <w:b/>
          <w:bCs/>
          <w:sz w:val="20"/>
          <w:szCs w:val="20"/>
        </w:rPr>
        <w:t xml:space="preserve">Table </w:t>
      </w:r>
      <w:r w:rsidR="00F4629B" w:rsidRPr="00AF3C5F">
        <w:rPr>
          <w:rFonts w:ascii="Arial Narrow" w:hAnsi="Arial Narrow"/>
          <w:b/>
          <w:bCs/>
          <w:sz w:val="20"/>
          <w:szCs w:val="20"/>
        </w:rPr>
        <w:t xml:space="preserve">5: </w:t>
      </w:r>
      <w:r w:rsidR="00453E31" w:rsidRPr="00AF3C5F">
        <w:rPr>
          <w:rFonts w:ascii="Arial Narrow" w:hAnsi="Arial Narrow"/>
          <w:b/>
          <w:bCs/>
          <w:sz w:val="20"/>
          <w:szCs w:val="20"/>
        </w:rPr>
        <w:t>Summary of prognostic accuracy data</w:t>
      </w:r>
    </w:p>
    <w:tbl>
      <w:tblPr>
        <w:tblStyle w:val="TableGrid"/>
        <w:tblW w:w="8075" w:type="dxa"/>
        <w:tblLook w:val="04A0" w:firstRow="1" w:lastRow="0" w:firstColumn="1" w:lastColumn="0" w:noHBand="0" w:noVBand="1"/>
      </w:tblPr>
      <w:tblGrid>
        <w:gridCol w:w="1413"/>
        <w:gridCol w:w="2268"/>
        <w:gridCol w:w="2126"/>
        <w:gridCol w:w="2268"/>
      </w:tblGrid>
      <w:tr w:rsidR="00E92D42" w:rsidRPr="00E92D42" w14:paraId="2FC9F0FD" w14:textId="77777777" w:rsidTr="00F0325A">
        <w:tc>
          <w:tcPr>
            <w:tcW w:w="1413" w:type="dxa"/>
          </w:tcPr>
          <w:p w14:paraId="78E2FCC0" w14:textId="77777777" w:rsidR="00E92D42" w:rsidRPr="00E92D42" w:rsidRDefault="00E92D42" w:rsidP="000E594B">
            <w:pPr>
              <w:pStyle w:val="TableHeading0"/>
            </w:pPr>
            <w:r w:rsidRPr="00E92D42">
              <w:t>Measure</w:t>
            </w:r>
          </w:p>
        </w:tc>
        <w:tc>
          <w:tcPr>
            <w:tcW w:w="2268" w:type="dxa"/>
          </w:tcPr>
          <w:p w14:paraId="37074F55" w14:textId="77777777" w:rsidR="00E92D42" w:rsidRPr="00E92D42" w:rsidRDefault="00E92D42" w:rsidP="000E594B">
            <w:pPr>
              <w:pStyle w:val="TableHeading0"/>
            </w:pPr>
            <w:r w:rsidRPr="00E92D42">
              <w:t>Specific measure used</w:t>
            </w:r>
          </w:p>
        </w:tc>
        <w:tc>
          <w:tcPr>
            <w:tcW w:w="2126" w:type="dxa"/>
          </w:tcPr>
          <w:p w14:paraId="7E733F1A" w14:textId="77777777" w:rsidR="006960D0" w:rsidRDefault="00E92D42" w:rsidP="000E594B">
            <w:pPr>
              <w:pStyle w:val="TableHeading0"/>
            </w:pPr>
            <w:r w:rsidRPr="00E92D42">
              <w:t xml:space="preserve">Peters 2019 </w:t>
            </w:r>
          </w:p>
          <w:p w14:paraId="2E7B33D7" w14:textId="6A529D8E" w:rsidR="00E92D42" w:rsidRPr="00E92D42" w:rsidRDefault="00E92D42" w:rsidP="000E594B">
            <w:pPr>
              <w:pStyle w:val="TableHeading0"/>
            </w:pPr>
            <w:r w:rsidRPr="00E92D42">
              <w:t>(Temporal validation cohort)</w:t>
            </w:r>
          </w:p>
        </w:tc>
        <w:tc>
          <w:tcPr>
            <w:tcW w:w="2268" w:type="dxa"/>
          </w:tcPr>
          <w:p w14:paraId="47808F47" w14:textId="77777777" w:rsidR="00E92D42" w:rsidRPr="00E92D42" w:rsidRDefault="00E92D42" w:rsidP="000E594B">
            <w:pPr>
              <w:pStyle w:val="TableHeading0"/>
            </w:pPr>
            <w:r w:rsidRPr="00E92D42">
              <w:t>Peters 2020</w:t>
            </w:r>
          </w:p>
          <w:p w14:paraId="2A057E45" w14:textId="77777777" w:rsidR="00E92D42" w:rsidRPr="00E92D42" w:rsidRDefault="00E92D42" w:rsidP="000E594B">
            <w:pPr>
              <w:pStyle w:val="TableHeading0"/>
            </w:pPr>
            <w:r w:rsidRPr="00E92D42">
              <w:t>(External validation cohort)</w:t>
            </w:r>
          </w:p>
        </w:tc>
      </w:tr>
      <w:tr w:rsidR="00E92D42" w:rsidRPr="00E92D42" w14:paraId="2B5617F6" w14:textId="77777777" w:rsidTr="00F0325A">
        <w:tc>
          <w:tcPr>
            <w:tcW w:w="1413" w:type="dxa"/>
          </w:tcPr>
          <w:p w14:paraId="712EDE2B" w14:textId="77777777" w:rsidR="00E92D42" w:rsidRPr="00E92D42" w:rsidRDefault="00E92D42" w:rsidP="000E594B">
            <w:pPr>
              <w:pStyle w:val="Tabletext0"/>
            </w:pPr>
            <w:r w:rsidRPr="00E92D42">
              <w:t>Number of participants</w:t>
            </w:r>
          </w:p>
        </w:tc>
        <w:tc>
          <w:tcPr>
            <w:tcW w:w="2268" w:type="dxa"/>
          </w:tcPr>
          <w:p w14:paraId="2E0E03AB" w14:textId="77777777" w:rsidR="00E92D42" w:rsidRPr="00E92D42" w:rsidRDefault="00E92D42" w:rsidP="000E594B">
            <w:pPr>
              <w:pStyle w:val="Tabletext0"/>
            </w:pPr>
            <w:r w:rsidRPr="00E92D42">
              <w:t>-</w:t>
            </w:r>
          </w:p>
        </w:tc>
        <w:tc>
          <w:tcPr>
            <w:tcW w:w="2126" w:type="dxa"/>
          </w:tcPr>
          <w:p w14:paraId="6AAF8E43" w14:textId="77777777" w:rsidR="00E92D42" w:rsidRPr="00E92D42" w:rsidRDefault="00E92D42" w:rsidP="000E594B">
            <w:pPr>
              <w:pStyle w:val="Tabletext0"/>
            </w:pPr>
            <w:r w:rsidRPr="00E92D42">
              <w:t>362</w:t>
            </w:r>
          </w:p>
        </w:tc>
        <w:tc>
          <w:tcPr>
            <w:tcW w:w="2268" w:type="dxa"/>
          </w:tcPr>
          <w:p w14:paraId="6BF183B1" w14:textId="77777777" w:rsidR="00E92D42" w:rsidRPr="00E92D42" w:rsidRDefault="00E92D42" w:rsidP="000E594B">
            <w:pPr>
              <w:pStyle w:val="Tabletext0"/>
            </w:pPr>
            <w:r w:rsidRPr="00E92D42">
              <w:t>2976</w:t>
            </w:r>
          </w:p>
        </w:tc>
      </w:tr>
      <w:tr w:rsidR="00E92D42" w:rsidRPr="00E92D42" w14:paraId="217F81BA" w14:textId="77777777" w:rsidTr="00F0325A">
        <w:tc>
          <w:tcPr>
            <w:tcW w:w="1413" w:type="dxa"/>
            <w:vMerge w:val="restart"/>
          </w:tcPr>
          <w:p w14:paraId="20E1F92F" w14:textId="77777777" w:rsidR="00E92D42" w:rsidRPr="00E92D42" w:rsidRDefault="00E92D42" w:rsidP="000E594B">
            <w:pPr>
              <w:pStyle w:val="Tabletext0"/>
            </w:pPr>
            <w:r w:rsidRPr="00E92D42">
              <w:t>Discrimination</w:t>
            </w:r>
          </w:p>
        </w:tc>
        <w:tc>
          <w:tcPr>
            <w:tcW w:w="2268" w:type="dxa"/>
          </w:tcPr>
          <w:p w14:paraId="18213820" w14:textId="77777777" w:rsidR="00E92D42" w:rsidRPr="00E92D42" w:rsidRDefault="00E92D42" w:rsidP="000E594B">
            <w:pPr>
              <w:pStyle w:val="Tabletext0"/>
            </w:pPr>
            <w:r w:rsidRPr="00E92D42">
              <w:t>c-statistic</w:t>
            </w:r>
          </w:p>
        </w:tc>
        <w:tc>
          <w:tcPr>
            <w:tcW w:w="2126" w:type="dxa"/>
          </w:tcPr>
          <w:p w14:paraId="4D72D201" w14:textId="77777777" w:rsidR="00E92D42" w:rsidRPr="00E92D42" w:rsidRDefault="00E92D42" w:rsidP="000E594B">
            <w:pPr>
              <w:pStyle w:val="Tabletext0"/>
            </w:pPr>
            <w:r w:rsidRPr="00E92D42">
              <w:t>NR</w:t>
            </w:r>
          </w:p>
        </w:tc>
        <w:tc>
          <w:tcPr>
            <w:tcW w:w="2268" w:type="dxa"/>
          </w:tcPr>
          <w:p w14:paraId="48EF5AE9" w14:textId="77777777" w:rsidR="00E92D42" w:rsidRPr="00E92D42" w:rsidRDefault="00E92D42" w:rsidP="000E594B">
            <w:pPr>
              <w:pStyle w:val="Tabletext0"/>
            </w:pPr>
            <w:r w:rsidRPr="00E92D42">
              <w:t>NR</w:t>
            </w:r>
          </w:p>
        </w:tc>
      </w:tr>
      <w:tr w:rsidR="00E92D42" w:rsidRPr="00E92D42" w14:paraId="7E21D164" w14:textId="77777777" w:rsidTr="00F0325A">
        <w:tc>
          <w:tcPr>
            <w:tcW w:w="1413" w:type="dxa"/>
            <w:vMerge/>
          </w:tcPr>
          <w:p w14:paraId="33A07152" w14:textId="77777777" w:rsidR="00E92D42" w:rsidRPr="00E92D42" w:rsidRDefault="00E92D42" w:rsidP="000E594B">
            <w:pPr>
              <w:pStyle w:val="Tabletext0"/>
            </w:pPr>
          </w:p>
        </w:tc>
        <w:tc>
          <w:tcPr>
            <w:tcW w:w="2268" w:type="dxa"/>
          </w:tcPr>
          <w:p w14:paraId="2D282BD6" w14:textId="77777777" w:rsidR="00E92D42" w:rsidRPr="00E92D42" w:rsidRDefault="00E92D42" w:rsidP="000E594B">
            <w:pPr>
              <w:pStyle w:val="Tabletext0"/>
            </w:pPr>
            <w:r w:rsidRPr="00E92D42">
              <w:t>AUC</w:t>
            </w:r>
          </w:p>
        </w:tc>
        <w:tc>
          <w:tcPr>
            <w:tcW w:w="2126" w:type="dxa"/>
          </w:tcPr>
          <w:p w14:paraId="51CE1F48" w14:textId="0C1D5439" w:rsidR="00E92D42" w:rsidRPr="00E92D42" w:rsidRDefault="00E92D42" w:rsidP="000E594B">
            <w:pPr>
              <w:pStyle w:val="Tabletext0"/>
            </w:pPr>
            <w:r w:rsidRPr="00E92D42">
              <w:rPr>
                <w:lang w:val="en-NZ"/>
              </w:rPr>
              <w:t>0.83</w:t>
            </w:r>
            <w:r w:rsidR="00EA7BEC">
              <w:rPr>
                <w:lang w:val="en-NZ"/>
              </w:rPr>
              <w:t xml:space="preserve"> </w:t>
            </w:r>
            <w:r w:rsidRPr="00E92D42">
              <w:rPr>
                <w:lang w:val="en-NZ"/>
              </w:rPr>
              <w:t>(0.77–0.88)</w:t>
            </w:r>
          </w:p>
        </w:tc>
        <w:tc>
          <w:tcPr>
            <w:tcW w:w="2268" w:type="dxa"/>
          </w:tcPr>
          <w:p w14:paraId="6B92E9D7" w14:textId="77777777" w:rsidR="00E92D42" w:rsidRPr="00E92D42" w:rsidRDefault="00E92D42" w:rsidP="000E594B">
            <w:pPr>
              <w:pStyle w:val="Tabletext0"/>
              <w:rPr>
                <w:b/>
                <w:bCs/>
              </w:rPr>
            </w:pPr>
            <w:r w:rsidRPr="00E92D42">
              <w:rPr>
                <w:lang w:val="en-NZ"/>
              </w:rPr>
              <w:t>0.81 (0.80–0.83)</w:t>
            </w:r>
          </w:p>
        </w:tc>
      </w:tr>
      <w:tr w:rsidR="00E92D42" w:rsidRPr="00E92D42" w14:paraId="0706A3FA" w14:textId="77777777" w:rsidTr="00F0325A">
        <w:trPr>
          <w:trHeight w:val="580"/>
        </w:trPr>
        <w:tc>
          <w:tcPr>
            <w:tcW w:w="1413" w:type="dxa"/>
            <w:vMerge w:val="restart"/>
          </w:tcPr>
          <w:p w14:paraId="726AE5EE" w14:textId="77777777" w:rsidR="00E92D42" w:rsidRPr="00E92D42" w:rsidRDefault="00E92D42" w:rsidP="000E594B">
            <w:pPr>
              <w:pStyle w:val="Tabletext0"/>
            </w:pPr>
            <w:r w:rsidRPr="00E92D42">
              <w:t>Calibration</w:t>
            </w:r>
            <w:r w:rsidRPr="00E92D42">
              <w:rPr>
                <w:vertAlign w:val="superscript"/>
              </w:rPr>
              <w:footnoteReference w:id="7"/>
            </w:r>
          </w:p>
        </w:tc>
        <w:tc>
          <w:tcPr>
            <w:tcW w:w="2268" w:type="dxa"/>
          </w:tcPr>
          <w:p w14:paraId="0A03DE5D" w14:textId="2B84D2A4" w:rsidR="00E92D42" w:rsidRPr="00E92D42" w:rsidRDefault="00E92D42" w:rsidP="000E594B">
            <w:pPr>
              <w:pStyle w:val="Tabletext0"/>
              <w:rPr>
                <w:shd w:val="clear" w:color="auto" w:fill="FFFFFF"/>
              </w:rPr>
            </w:pPr>
            <w:r w:rsidRPr="00E92D42">
              <w:rPr>
                <w:shd w:val="clear" w:color="auto" w:fill="FFFFFF"/>
              </w:rPr>
              <w:t xml:space="preserve">Calibration plots </w:t>
            </w:r>
          </w:p>
        </w:tc>
        <w:tc>
          <w:tcPr>
            <w:tcW w:w="2126" w:type="dxa"/>
          </w:tcPr>
          <w:p w14:paraId="517655D9" w14:textId="77777777" w:rsidR="00E92D42" w:rsidRPr="00E92D42" w:rsidRDefault="00E92D42" w:rsidP="000E594B">
            <w:pPr>
              <w:pStyle w:val="Tabletext0"/>
            </w:pPr>
            <w:r w:rsidRPr="00E92D42">
              <w:t>Moderate calibration</w:t>
            </w:r>
          </w:p>
        </w:tc>
        <w:tc>
          <w:tcPr>
            <w:tcW w:w="2268" w:type="dxa"/>
          </w:tcPr>
          <w:p w14:paraId="75FD071C" w14:textId="15A25841" w:rsidR="00E92D42" w:rsidRPr="00E92D42" w:rsidRDefault="00E92D42" w:rsidP="000E594B">
            <w:pPr>
              <w:pStyle w:val="Tabletext0"/>
              <w:rPr>
                <w:shd w:val="clear" w:color="auto" w:fill="FFFFFF"/>
              </w:rPr>
            </w:pPr>
            <w:r w:rsidRPr="00E92D42">
              <w:rPr>
                <w:shd w:val="clear" w:color="auto" w:fill="FFFFFF"/>
              </w:rPr>
              <w:t>Poor calibratio</w:t>
            </w:r>
            <w:r w:rsidR="00F0325A">
              <w:rPr>
                <w:shd w:val="clear" w:color="auto" w:fill="FFFFFF"/>
              </w:rPr>
              <w:t>n</w:t>
            </w:r>
          </w:p>
        </w:tc>
      </w:tr>
      <w:tr w:rsidR="00E92D42" w:rsidRPr="00E92D42" w14:paraId="09840D8C" w14:textId="77777777" w:rsidTr="00F0325A">
        <w:tc>
          <w:tcPr>
            <w:tcW w:w="1413" w:type="dxa"/>
            <w:vMerge/>
          </w:tcPr>
          <w:p w14:paraId="24CD6964" w14:textId="77777777" w:rsidR="00E92D42" w:rsidRPr="00E92D42" w:rsidRDefault="00E92D42" w:rsidP="000E594B">
            <w:pPr>
              <w:pStyle w:val="Tabletext0"/>
            </w:pPr>
          </w:p>
        </w:tc>
        <w:tc>
          <w:tcPr>
            <w:tcW w:w="2268" w:type="dxa"/>
          </w:tcPr>
          <w:p w14:paraId="7750E450" w14:textId="126C46E8" w:rsidR="00E92D42" w:rsidRPr="00E92D42" w:rsidRDefault="00E92D42" w:rsidP="000E594B">
            <w:pPr>
              <w:pStyle w:val="Tabletext0"/>
              <w:rPr>
                <w:shd w:val="clear" w:color="auto" w:fill="FFFFFF"/>
              </w:rPr>
            </w:pPr>
            <w:r w:rsidRPr="00E92D42">
              <w:rPr>
                <w:shd w:val="clear" w:color="auto" w:fill="FFFFFF"/>
              </w:rPr>
              <w:t>Hosmer</w:t>
            </w:r>
            <w:r w:rsidR="00FF7D4D">
              <w:rPr>
                <w:shd w:val="clear" w:color="auto" w:fill="FFFFFF"/>
              </w:rPr>
              <w:t>–</w:t>
            </w:r>
            <w:r w:rsidRPr="00E92D42">
              <w:rPr>
                <w:shd w:val="clear" w:color="auto" w:fill="FFFFFF"/>
              </w:rPr>
              <w:t>Lemeshow</w:t>
            </w:r>
          </w:p>
        </w:tc>
        <w:tc>
          <w:tcPr>
            <w:tcW w:w="2126" w:type="dxa"/>
          </w:tcPr>
          <w:p w14:paraId="7553B9BC" w14:textId="77777777" w:rsidR="00E92D42" w:rsidRPr="00E92D42" w:rsidRDefault="00E92D42" w:rsidP="000E594B">
            <w:pPr>
              <w:pStyle w:val="Tabletext0"/>
              <w:rPr>
                <w:shd w:val="clear" w:color="auto" w:fill="FFFFFF"/>
              </w:rPr>
            </w:pPr>
            <w:r w:rsidRPr="00E92D42">
              <w:rPr>
                <w:lang w:val="en-NZ"/>
              </w:rPr>
              <w:t>5.6, p=0.78</w:t>
            </w:r>
          </w:p>
        </w:tc>
        <w:tc>
          <w:tcPr>
            <w:tcW w:w="2268" w:type="dxa"/>
          </w:tcPr>
          <w:p w14:paraId="2809580F" w14:textId="77777777" w:rsidR="00E92D42" w:rsidRPr="00E92D42" w:rsidRDefault="00E92D42" w:rsidP="000E594B">
            <w:pPr>
              <w:pStyle w:val="Tabletext0"/>
              <w:rPr>
                <w:b/>
                <w:bCs/>
              </w:rPr>
            </w:pPr>
            <w:r w:rsidRPr="00E92D42">
              <w:t>46.9 (p&lt;0.001)</w:t>
            </w:r>
          </w:p>
        </w:tc>
      </w:tr>
      <w:tr w:rsidR="00E92D42" w:rsidRPr="00E92D42" w14:paraId="0FA53D32" w14:textId="77777777" w:rsidTr="00F0325A">
        <w:tc>
          <w:tcPr>
            <w:tcW w:w="1413" w:type="dxa"/>
            <w:vMerge w:val="restart"/>
          </w:tcPr>
          <w:p w14:paraId="2A085C06" w14:textId="77777777" w:rsidR="00E92D42" w:rsidRPr="00E92D42" w:rsidRDefault="00E92D42" w:rsidP="000E594B">
            <w:pPr>
              <w:pStyle w:val="Tabletext0"/>
            </w:pPr>
            <w:r w:rsidRPr="00E92D42">
              <w:t>Diagnostic accuracy</w:t>
            </w:r>
            <w:r w:rsidRPr="00E92D42">
              <w:rPr>
                <w:vertAlign w:val="superscript"/>
              </w:rPr>
              <w:footnoteReference w:id="8"/>
            </w:r>
          </w:p>
        </w:tc>
        <w:tc>
          <w:tcPr>
            <w:tcW w:w="2268" w:type="dxa"/>
          </w:tcPr>
          <w:p w14:paraId="1DBF1372" w14:textId="77777777" w:rsidR="00E92D42" w:rsidRPr="00E92D42" w:rsidRDefault="00E92D42" w:rsidP="000E594B">
            <w:pPr>
              <w:pStyle w:val="Tabletext0"/>
              <w:rPr>
                <w:shd w:val="clear" w:color="auto" w:fill="FFFFFF"/>
              </w:rPr>
            </w:pPr>
            <w:r w:rsidRPr="00E92D42">
              <w:rPr>
                <w:shd w:val="clear" w:color="auto" w:fill="FFFFFF"/>
              </w:rPr>
              <w:t>Sensitivity</w:t>
            </w:r>
          </w:p>
        </w:tc>
        <w:tc>
          <w:tcPr>
            <w:tcW w:w="2126" w:type="dxa"/>
          </w:tcPr>
          <w:p w14:paraId="4659B7E8" w14:textId="77777777" w:rsidR="00E92D42" w:rsidRPr="00E92D42" w:rsidRDefault="00E92D42" w:rsidP="000E594B">
            <w:pPr>
              <w:pStyle w:val="Tabletext0"/>
            </w:pPr>
            <w:r w:rsidRPr="00E92D42">
              <w:rPr>
                <w:shd w:val="clear" w:color="auto" w:fill="FFFFFF"/>
              </w:rPr>
              <w:t>86.1%</w:t>
            </w:r>
          </w:p>
        </w:tc>
        <w:tc>
          <w:tcPr>
            <w:tcW w:w="2268" w:type="dxa"/>
          </w:tcPr>
          <w:p w14:paraId="7AF121A9" w14:textId="77777777" w:rsidR="00E92D42" w:rsidRPr="00E92D42" w:rsidRDefault="00E92D42" w:rsidP="000E594B">
            <w:pPr>
              <w:pStyle w:val="Tabletext0"/>
              <w:rPr>
                <w:b/>
                <w:bCs/>
              </w:rPr>
            </w:pPr>
            <w:r w:rsidRPr="00E92D42">
              <w:t>73.2%</w:t>
            </w:r>
          </w:p>
        </w:tc>
      </w:tr>
      <w:tr w:rsidR="00E92D42" w:rsidRPr="00E92D42" w14:paraId="22203DE2" w14:textId="77777777" w:rsidTr="00F0325A">
        <w:tc>
          <w:tcPr>
            <w:tcW w:w="1413" w:type="dxa"/>
            <w:vMerge/>
          </w:tcPr>
          <w:p w14:paraId="512950C0" w14:textId="77777777" w:rsidR="00E92D42" w:rsidRPr="00E92D42" w:rsidRDefault="00E92D42" w:rsidP="000E594B">
            <w:pPr>
              <w:pStyle w:val="Tabletext0"/>
            </w:pPr>
          </w:p>
        </w:tc>
        <w:tc>
          <w:tcPr>
            <w:tcW w:w="2268" w:type="dxa"/>
          </w:tcPr>
          <w:p w14:paraId="390BA852" w14:textId="77777777" w:rsidR="00E92D42" w:rsidRPr="00E92D42" w:rsidRDefault="00E92D42" w:rsidP="000E594B">
            <w:pPr>
              <w:pStyle w:val="Tabletext0"/>
              <w:rPr>
                <w:shd w:val="clear" w:color="auto" w:fill="FFFFFF"/>
              </w:rPr>
            </w:pPr>
            <w:r w:rsidRPr="00E92D42">
              <w:rPr>
                <w:shd w:val="clear" w:color="auto" w:fill="FFFFFF"/>
              </w:rPr>
              <w:t>Specificity</w:t>
            </w:r>
          </w:p>
        </w:tc>
        <w:tc>
          <w:tcPr>
            <w:tcW w:w="2126" w:type="dxa"/>
          </w:tcPr>
          <w:p w14:paraId="0F453213" w14:textId="77777777" w:rsidR="00E92D42" w:rsidRPr="00E92D42" w:rsidRDefault="00E92D42" w:rsidP="000E594B">
            <w:pPr>
              <w:pStyle w:val="Tabletext0"/>
            </w:pPr>
            <w:r w:rsidRPr="00E92D42">
              <w:t>78.2%</w:t>
            </w:r>
          </w:p>
        </w:tc>
        <w:tc>
          <w:tcPr>
            <w:tcW w:w="2268" w:type="dxa"/>
          </w:tcPr>
          <w:p w14:paraId="6C9EC609" w14:textId="77777777" w:rsidR="00E92D42" w:rsidRPr="00E92D42" w:rsidRDefault="00E92D42" w:rsidP="000E594B">
            <w:pPr>
              <w:pStyle w:val="Tabletext0"/>
              <w:rPr>
                <w:b/>
                <w:bCs/>
              </w:rPr>
            </w:pPr>
            <w:r w:rsidRPr="00E92D42">
              <w:t>76.8%</w:t>
            </w:r>
          </w:p>
        </w:tc>
      </w:tr>
      <w:tr w:rsidR="00E92D42" w:rsidRPr="00E92D42" w14:paraId="4A78765F" w14:textId="77777777" w:rsidTr="00F0325A">
        <w:tc>
          <w:tcPr>
            <w:tcW w:w="1413" w:type="dxa"/>
            <w:vMerge/>
          </w:tcPr>
          <w:p w14:paraId="49F2CF42" w14:textId="77777777" w:rsidR="00E92D42" w:rsidRPr="00E92D42" w:rsidRDefault="00E92D42" w:rsidP="000E594B">
            <w:pPr>
              <w:pStyle w:val="Tabletext0"/>
            </w:pPr>
          </w:p>
        </w:tc>
        <w:tc>
          <w:tcPr>
            <w:tcW w:w="2268" w:type="dxa"/>
          </w:tcPr>
          <w:p w14:paraId="0305EDBF" w14:textId="77777777" w:rsidR="00E92D42" w:rsidRPr="00E92D42" w:rsidRDefault="00E92D42" w:rsidP="000E594B">
            <w:pPr>
              <w:pStyle w:val="Tabletext0"/>
              <w:rPr>
                <w:shd w:val="clear" w:color="auto" w:fill="FFFFFF"/>
              </w:rPr>
            </w:pPr>
            <w:r w:rsidRPr="00E92D42">
              <w:rPr>
                <w:shd w:val="clear" w:color="auto" w:fill="FFFFFF"/>
              </w:rPr>
              <w:t>PPV</w:t>
            </w:r>
          </w:p>
        </w:tc>
        <w:tc>
          <w:tcPr>
            <w:tcW w:w="2126" w:type="dxa"/>
          </w:tcPr>
          <w:p w14:paraId="157E78E7" w14:textId="77777777" w:rsidR="00E92D42" w:rsidRPr="00E92D42" w:rsidRDefault="00E92D42" w:rsidP="000E594B">
            <w:pPr>
              <w:pStyle w:val="Tabletext0"/>
            </w:pPr>
            <w:r w:rsidRPr="00E92D42">
              <w:t>30.4%</w:t>
            </w:r>
          </w:p>
        </w:tc>
        <w:tc>
          <w:tcPr>
            <w:tcW w:w="2268" w:type="dxa"/>
          </w:tcPr>
          <w:p w14:paraId="2FF0F875" w14:textId="77777777" w:rsidR="00E92D42" w:rsidRPr="00E92D42" w:rsidRDefault="00E92D42" w:rsidP="000E594B">
            <w:pPr>
              <w:pStyle w:val="Tabletext0"/>
              <w:rPr>
                <w:b/>
                <w:bCs/>
              </w:rPr>
            </w:pPr>
            <w:r w:rsidRPr="00E92D42">
              <w:t>58.8%</w:t>
            </w:r>
          </w:p>
        </w:tc>
      </w:tr>
      <w:tr w:rsidR="00E92D42" w:rsidRPr="00E92D42" w14:paraId="4B64DE4D" w14:textId="77777777" w:rsidTr="00F0325A">
        <w:tc>
          <w:tcPr>
            <w:tcW w:w="1413" w:type="dxa"/>
            <w:vMerge/>
          </w:tcPr>
          <w:p w14:paraId="0A61FA80" w14:textId="77777777" w:rsidR="00E92D42" w:rsidRPr="00E92D42" w:rsidRDefault="00E92D42" w:rsidP="000E594B">
            <w:pPr>
              <w:pStyle w:val="Tabletext0"/>
            </w:pPr>
          </w:p>
        </w:tc>
        <w:tc>
          <w:tcPr>
            <w:tcW w:w="2268" w:type="dxa"/>
          </w:tcPr>
          <w:p w14:paraId="6BD3A7C3" w14:textId="77777777" w:rsidR="00E92D42" w:rsidRPr="00E92D42" w:rsidRDefault="00E92D42" w:rsidP="000E594B">
            <w:pPr>
              <w:pStyle w:val="Tabletext0"/>
              <w:rPr>
                <w:shd w:val="clear" w:color="auto" w:fill="FFFFFF"/>
              </w:rPr>
            </w:pPr>
            <w:r w:rsidRPr="00E92D42">
              <w:rPr>
                <w:shd w:val="clear" w:color="auto" w:fill="FFFFFF"/>
              </w:rPr>
              <w:t>NPV</w:t>
            </w:r>
          </w:p>
        </w:tc>
        <w:tc>
          <w:tcPr>
            <w:tcW w:w="2126" w:type="dxa"/>
          </w:tcPr>
          <w:p w14:paraId="31D7C493" w14:textId="77777777" w:rsidR="00E92D42" w:rsidRPr="00E92D42" w:rsidRDefault="00E92D42" w:rsidP="000E594B">
            <w:pPr>
              <w:pStyle w:val="Tabletext0"/>
            </w:pPr>
            <w:r w:rsidRPr="00E92D42">
              <w:t>98.1 %</w:t>
            </w:r>
          </w:p>
        </w:tc>
        <w:tc>
          <w:tcPr>
            <w:tcW w:w="2268" w:type="dxa"/>
          </w:tcPr>
          <w:p w14:paraId="3D9D020F" w14:textId="77777777" w:rsidR="00E92D42" w:rsidRPr="00E92D42" w:rsidRDefault="00E92D42" w:rsidP="000E594B">
            <w:pPr>
              <w:pStyle w:val="Tabletext0"/>
              <w:rPr>
                <w:b/>
                <w:bCs/>
              </w:rPr>
            </w:pPr>
            <w:r w:rsidRPr="00E92D42">
              <w:t>86.4%</w:t>
            </w:r>
          </w:p>
        </w:tc>
      </w:tr>
      <w:tr w:rsidR="00E92D42" w:rsidRPr="00E92D42" w14:paraId="2DE253C3" w14:textId="77777777" w:rsidTr="00F0325A">
        <w:tc>
          <w:tcPr>
            <w:tcW w:w="1413" w:type="dxa"/>
            <w:vMerge w:val="restart"/>
          </w:tcPr>
          <w:p w14:paraId="77B11C8A" w14:textId="77777777" w:rsidR="00E92D42" w:rsidRPr="00E92D42" w:rsidRDefault="00E92D42" w:rsidP="000E594B">
            <w:pPr>
              <w:pStyle w:val="Tabletext0"/>
            </w:pPr>
            <w:r w:rsidRPr="00E92D42">
              <w:t>Reclassification</w:t>
            </w:r>
          </w:p>
        </w:tc>
        <w:tc>
          <w:tcPr>
            <w:tcW w:w="2268" w:type="dxa"/>
          </w:tcPr>
          <w:p w14:paraId="60A0E1E7" w14:textId="77777777" w:rsidR="00E92D42" w:rsidRPr="00E92D42" w:rsidRDefault="00E92D42" w:rsidP="000E594B">
            <w:pPr>
              <w:pStyle w:val="Tabletext0"/>
            </w:pPr>
            <w:r w:rsidRPr="00E92D42">
              <w:t>Net reclassification index (NRI)</w:t>
            </w:r>
          </w:p>
        </w:tc>
        <w:tc>
          <w:tcPr>
            <w:tcW w:w="2126" w:type="dxa"/>
          </w:tcPr>
          <w:p w14:paraId="170739DB" w14:textId="77777777" w:rsidR="00E92D42" w:rsidRPr="00E92D42" w:rsidRDefault="00E92D42" w:rsidP="000E594B">
            <w:pPr>
              <w:pStyle w:val="Tabletext0"/>
            </w:pPr>
            <w:r w:rsidRPr="00E92D42">
              <w:t>NR</w:t>
            </w:r>
          </w:p>
        </w:tc>
        <w:tc>
          <w:tcPr>
            <w:tcW w:w="2268" w:type="dxa"/>
          </w:tcPr>
          <w:p w14:paraId="0B433F5C" w14:textId="77777777" w:rsidR="00E92D42" w:rsidRPr="00E92D42" w:rsidRDefault="00E92D42" w:rsidP="000E594B">
            <w:pPr>
              <w:pStyle w:val="Tabletext0"/>
            </w:pPr>
            <w:r w:rsidRPr="00E92D42">
              <w:t>NR</w:t>
            </w:r>
          </w:p>
        </w:tc>
      </w:tr>
      <w:tr w:rsidR="00E92D42" w:rsidRPr="00E92D42" w14:paraId="59F94E17" w14:textId="77777777" w:rsidTr="00F0325A">
        <w:tc>
          <w:tcPr>
            <w:tcW w:w="1413" w:type="dxa"/>
            <w:vMerge/>
          </w:tcPr>
          <w:p w14:paraId="5EB4212D" w14:textId="77777777" w:rsidR="00E92D42" w:rsidRPr="00E92D42" w:rsidRDefault="00E92D42" w:rsidP="000E594B">
            <w:pPr>
              <w:pStyle w:val="Tabletext0"/>
            </w:pPr>
          </w:p>
        </w:tc>
        <w:tc>
          <w:tcPr>
            <w:tcW w:w="2268" w:type="dxa"/>
          </w:tcPr>
          <w:p w14:paraId="3F69A42C" w14:textId="77777777" w:rsidR="00E92D42" w:rsidRPr="00E92D42" w:rsidRDefault="00E92D42" w:rsidP="000E594B">
            <w:pPr>
              <w:pStyle w:val="Tabletext0"/>
            </w:pPr>
            <w:r w:rsidRPr="00E92D42">
              <w:t>Integrated discrimination index (IDI)</w:t>
            </w:r>
          </w:p>
        </w:tc>
        <w:tc>
          <w:tcPr>
            <w:tcW w:w="2126" w:type="dxa"/>
          </w:tcPr>
          <w:p w14:paraId="52CC0A3E" w14:textId="77777777" w:rsidR="00E92D42" w:rsidRPr="00E92D42" w:rsidRDefault="00E92D42" w:rsidP="000E594B">
            <w:pPr>
              <w:pStyle w:val="Tabletext0"/>
            </w:pPr>
            <w:r w:rsidRPr="00E92D42">
              <w:t>NR</w:t>
            </w:r>
          </w:p>
        </w:tc>
        <w:tc>
          <w:tcPr>
            <w:tcW w:w="2268" w:type="dxa"/>
          </w:tcPr>
          <w:p w14:paraId="78B1D9B1" w14:textId="77777777" w:rsidR="00E92D42" w:rsidRPr="00E92D42" w:rsidRDefault="00E92D42" w:rsidP="000E594B">
            <w:pPr>
              <w:pStyle w:val="Tabletext0"/>
            </w:pPr>
            <w:r w:rsidRPr="00E92D42">
              <w:t>NR</w:t>
            </w:r>
          </w:p>
        </w:tc>
      </w:tr>
    </w:tbl>
    <w:p w14:paraId="61DD1106" w14:textId="4ECD7830" w:rsidR="00E92D42" w:rsidRPr="00E6458E" w:rsidRDefault="00FF7D4D" w:rsidP="00E6458E">
      <w:pPr>
        <w:autoSpaceDE w:val="0"/>
        <w:autoSpaceDN w:val="0"/>
        <w:adjustRightInd w:val="0"/>
        <w:spacing w:before="0" w:after="0"/>
        <w:rPr>
          <w:rFonts w:ascii="Arial Narrow" w:eastAsia="Times New Roman" w:hAnsi="Arial Narrow" w:cs="Arial"/>
          <w:b/>
          <w:bCs/>
          <w:snapToGrid w:val="0"/>
          <w:sz w:val="18"/>
          <w:u w:val="single"/>
          <w:lang w:eastAsia="en-AU"/>
        </w:rPr>
      </w:pPr>
      <w:r w:rsidRPr="00E6458E">
        <w:rPr>
          <w:rFonts w:ascii="Arial Narrow" w:eastAsia="Times New Roman" w:hAnsi="Arial Narrow" w:cs="Arial"/>
          <w:b/>
          <w:bCs/>
          <w:snapToGrid w:val="0"/>
          <w:sz w:val="18"/>
          <w:u w:val="single"/>
          <w:lang w:eastAsia="en-AU"/>
        </w:rPr>
        <w:t>Abbreviations</w:t>
      </w:r>
    </w:p>
    <w:p w14:paraId="3C702F2C" w14:textId="1E3A0707" w:rsidR="00FF7D4D" w:rsidRPr="00E6458E" w:rsidRDefault="00FF7D4D" w:rsidP="00FF7D4D">
      <w:pPr>
        <w:autoSpaceDE w:val="0"/>
        <w:autoSpaceDN w:val="0"/>
        <w:adjustRightInd w:val="0"/>
        <w:spacing w:before="0"/>
        <w:rPr>
          <w:rFonts w:ascii="Arial Narrow" w:eastAsia="Times New Roman" w:hAnsi="Arial Narrow" w:cs="Arial"/>
          <w:snapToGrid w:val="0"/>
          <w:sz w:val="18"/>
          <w:lang w:eastAsia="en-AU"/>
        </w:rPr>
      </w:pPr>
      <w:r w:rsidRPr="00E6458E">
        <w:rPr>
          <w:rFonts w:ascii="Arial Narrow" w:eastAsia="Times New Roman" w:hAnsi="Arial Narrow" w:cs="Arial"/>
          <w:snapToGrid w:val="0"/>
          <w:sz w:val="18"/>
          <w:lang w:eastAsia="en-AU"/>
        </w:rPr>
        <w:t xml:space="preserve">AUC = </w:t>
      </w:r>
      <w:r w:rsidR="00DF4733" w:rsidRPr="00E6458E">
        <w:rPr>
          <w:rFonts w:ascii="Arial Narrow" w:eastAsia="Times New Roman" w:hAnsi="Arial Narrow" w:cs="Arial"/>
          <w:snapToGrid w:val="0"/>
          <w:sz w:val="18"/>
          <w:lang w:eastAsia="en-AU"/>
        </w:rPr>
        <w:t>area under the curve</w:t>
      </w:r>
      <w:r w:rsidR="00E6458E" w:rsidRPr="00E6458E">
        <w:rPr>
          <w:rFonts w:ascii="Arial Narrow" w:eastAsia="Times New Roman" w:hAnsi="Arial Narrow" w:cs="Arial"/>
          <w:snapToGrid w:val="0"/>
          <w:sz w:val="18"/>
          <w:lang w:eastAsia="en-AU"/>
        </w:rPr>
        <w:t>,</w:t>
      </w:r>
      <w:r w:rsidRPr="00E6458E">
        <w:rPr>
          <w:rFonts w:ascii="Arial Narrow" w:eastAsia="Times New Roman" w:hAnsi="Arial Narrow" w:cs="Arial"/>
          <w:snapToGrid w:val="0"/>
          <w:sz w:val="18"/>
          <w:lang w:eastAsia="en-AU"/>
        </w:rPr>
        <w:t xml:space="preserve"> </w:t>
      </w:r>
      <w:r w:rsidR="00960955" w:rsidRPr="00E6458E">
        <w:rPr>
          <w:rFonts w:ascii="Arial Narrow" w:eastAsia="Times New Roman" w:hAnsi="Arial Narrow" w:cs="Arial"/>
          <w:snapToGrid w:val="0"/>
          <w:sz w:val="18"/>
          <w:lang w:eastAsia="en-AU"/>
        </w:rPr>
        <w:t>IDI</w:t>
      </w:r>
      <w:r w:rsidR="00960955">
        <w:rPr>
          <w:rFonts w:ascii="Arial Narrow" w:eastAsia="Times New Roman" w:hAnsi="Arial Narrow" w:cs="Arial"/>
          <w:snapToGrid w:val="0"/>
          <w:sz w:val="18"/>
          <w:lang w:eastAsia="en-AU"/>
        </w:rPr>
        <w:t xml:space="preserve"> = integrated discrimination index, </w:t>
      </w:r>
      <w:r w:rsidR="00EA7BEC">
        <w:rPr>
          <w:rFonts w:ascii="Arial Narrow" w:eastAsia="Times New Roman" w:hAnsi="Arial Narrow" w:cs="Arial"/>
          <w:snapToGrid w:val="0"/>
          <w:sz w:val="18"/>
          <w:lang w:eastAsia="en-AU"/>
        </w:rPr>
        <w:t xml:space="preserve">NPV = </w:t>
      </w:r>
      <w:r w:rsidR="00F660BF">
        <w:rPr>
          <w:rFonts w:ascii="Arial Narrow" w:eastAsia="Times New Roman" w:hAnsi="Arial Narrow" w:cs="Arial"/>
          <w:snapToGrid w:val="0"/>
          <w:sz w:val="18"/>
          <w:lang w:eastAsia="en-AU"/>
        </w:rPr>
        <w:t>negative predictive value</w:t>
      </w:r>
      <w:r w:rsidR="00EA7BEC">
        <w:rPr>
          <w:rFonts w:ascii="Arial Narrow" w:eastAsia="Times New Roman" w:hAnsi="Arial Narrow" w:cs="Arial"/>
          <w:snapToGrid w:val="0"/>
          <w:sz w:val="18"/>
          <w:lang w:eastAsia="en-AU"/>
        </w:rPr>
        <w:t xml:space="preserve">, </w:t>
      </w:r>
      <w:r w:rsidR="004873FD">
        <w:rPr>
          <w:rFonts w:ascii="Arial Narrow" w:eastAsia="Times New Roman" w:hAnsi="Arial Narrow" w:cs="Arial"/>
          <w:snapToGrid w:val="0"/>
          <w:sz w:val="18"/>
          <w:lang w:eastAsia="en-AU"/>
        </w:rPr>
        <w:t xml:space="preserve">NR = not reported, </w:t>
      </w:r>
      <w:r w:rsidR="00960955">
        <w:rPr>
          <w:rFonts w:ascii="Arial Narrow" w:eastAsia="Times New Roman" w:hAnsi="Arial Narrow" w:cs="Arial"/>
          <w:snapToGrid w:val="0"/>
          <w:sz w:val="18"/>
          <w:lang w:eastAsia="en-AU"/>
        </w:rPr>
        <w:t xml:space="preserve">NRI = </w:t>
      </w:r>
      <w:r w:rsidR="0086678C">
        <w:rPr>
          <w:rFonts w:ascii="Arial Narrow" w:eastAsia="Times New Roman" w:hAnsi="Arial Narrow" w:cs="Arial"/>
          <w:snapToGrid w:val="0"/>
          <w:sz w:val="18"/>
          <w:lang w:eastAsia="en-AU"/>
        </w:rPr>
        <w:t>net reclassification index</w:t>
      </w:r>
      <w:r w:rsidR="00960955">
        <w:rPr>
          <w:rFonts w:ascii="Arial Narrow" w:eastAsia="Times New Roman" w:hAnsi="Arial Narrow" w:cs="Arial"/>
          <w:snapToGrid w:val="0"/>
          <w:sz w:val="18"/>
          <w:lang w:eastAsia="en-AU"/>
        </w:rPr>
        <w:t xml:space="preserve">, </w:t>
      </w:r>
      <w:r w:rsidR="00EA7BEC">
        <w:rPr>
          <w:rFonts w:ascii="Arial Narrow" w:eastAsia="Times New Roman" w:hAnsi="Arial Narrow" w:cs="Arial"/>
          <w:snapToGrid w:val="0"/>
          <w:sz w:val="18"/>
          <w:lang w:eastAsia="en-AU"/>
        </w:rPr>
        <w:t xml:space="preserve">PPV = </w:t>
      </w:r>
      <w:r w:rsidR="00F660BF">
        <w:rPr>
          <w:rFonts w:ascii="Arial Narrow" w:eastAsia="Times New Roman" w:hAnsi="Arial Narrow" w:cs="Arial"/>
          <w:snapToGrid w:val="0"/>
          <w:sz w:val="18"/>
          <w:lang w:eastAsia="en-AU"/>
        </w:rPr>
        <w:t>positive predictive value</w:t>
      </w:r>
      <w:r w:rsidR="00960955">
        <w:rPr>
          <w:rFonts w:ascii="Arial Narrow" w:eastAsia="Times New Roman" w:hAnsi="Arial Narrow" w:cs="Arial"/>
          <w:snapToGrid w:val="0"/>
          <w:sz w:val="18"/>
          <w:lang w:eastAsia="en-AU"/>
        </w:rPr>
        <w:t>.</w:t>
      </w:r>
    </w:p>
    <w:p w14:paraId="7D1F28FD" w14:textId="7FF7921D" w:rsidR="00AA2273" w:rsidRPr="007851D5" w:rsidRDefault="00AA2273" w:rsidP="0016569F">
      <w:pPr>
        <w:autoSpaceDE w:val="0"/>
        <w:autoSpaceDN w:val="0"/>
        <w:adjustRightInd w:val="0"/>
        <w:spacing w:before="0"/>
        <w:rPr>
          <w:iCs/>
        </w:rPr>
      </w:pPr>
      <w:r>
        <w:rPr>
          <w:iCs/>
        </w:rPr>
        <w:lastRenderedPageBreak/>
        <w:t xml:space="preserve">Additional information relating to TG 15.2 was provided in the pre-ESC response. However, on TG 15.2 the applicant stated that PASC had accepted that </w:t>
      </w:r>
      <w:r w:rsidRPr="00AA2273">
        <w:rPr>
          <w:iCs/>
        </w:rPr>
        <w:t>a “black box” algorithm was acceptable, which is supported in the MSAC guidelines (2019, pp. 34-35)</w:t>
      </w:r>
      <w:r w:rsidR="003C2AB6">
        <w:rPr>
          <w:iCs/>
        </w:rPr>
        <w:t>. The applicant stated that</w:t>
      </w:r>
      <w:r>
        <w:rPr>
          <w:iCs/>
        </w:rPr>
        <w:t xml:space="preserve"> given</w:t>
      </w:r>
      <w:r w:rsidRPr="00AA2273">
        <w:rPr>
          <w:iCs/>
        </w:rPr>
        <w:t xml:space="preserve"> that PromarkerD is a “black box” algorithm, </w:t>
      </w:r>
      <w:r w:rsidR="003C2AB6">
        <w:rPr>
          <w:iCs/>
        </w:rPr>
        <w:t>it would not be necessary to provide the</w:t>
      </w:r>
      <w:r w:rsidRPr="00AA2273">
        <w:rPr>
          <w:iCs/>
        </w:rPr>
        <w:t xml:space="preserve"> weight assigned to each of the variables in the algorithm</w:t>
      </w:r>
      <w:r w:rsidR="003C2AB6">
        <w:rPr>
          <w:iCs/>
        </w:rPr>
        <w:t>.</w:t>
      </w:r>
    </w:p>
    <w:p w14:paraId="4A668DDA" w14:textId="2F7471F7" w:rsidR="00287AE8" w:rsidRPr="008065A0" w:rsidRDefault="00287AE8" w:rsidP="0016569F">
      <w:pPr>
        <w:autoSpaceDE w:val="0"/>
        <w:autoSpaceDN w:val="0"/>
        <w:adjustRightInd w:val="0"/>
        <w:spacing w:before="0"/>
        <w:rPr>
          <w:i/>
          <w:u w:val="single"/>
        </w:rPr>
      </w:pPr>
      <w:r w:rsidRPr="00AE7CAF">
        <w:rPr>
          <w:i/>
          <w:u w:val="single"/>
        </w:rPr>
        <w:t>Applicability</w:t>
      </w:r>
    </w:p>
    <w:p w14:paraId="146575D3" w14:textId="1C393D15" w:rsidR="00373A91" w:rsidRDefault="00287AE8" w:rsidP="00373A91">
      <w:pPr>
        <w:autoSpaceDE w:val="0"/>
        <w:autoSpaceDN w:val="0"/>
        <w:adjustRightInd w:val="0"/>
        <w:spacing w:before="0"/>
      </w:pPr>
      <w:r w:rsidRPr="00C05326">
        <w:t>The external validation of a prediction model is essential to ensure the model can be used outside the context of its development</w:t>
      </w:r>
      <w:r w:rsidR="005C4AD9">
        <w:t>;</w:t>
      </w:r>
      <w:r>
        <w:t xml:space="preserve"> that is, the model is generalisable to the population it is intended to be used in</w:t>
      </w:r>
      <w:r w:rsidRPr="00C05326">
        <w:t xml:space="preserve">. </w:t>
      </w:r>
    </w:p>
    <w:p w14:paraId="734FB0D3" w14:textId="1BB62F98" w:rsidR="00F86EA0" w:rsidRDefault="00F11C88" w:rsidP="00373A91">
      <w:pPr>
        <w:autoSpaceDE w:val="0"/>
        <w:autoSpaceDN w:val="0"/>
        <w:adjustRightInd w:val="0"/>
        <w:spacing w:before="0"/>
      </w:pPr>
      <w:r>
        <w:t>The Commentary noted that t</w:t>
      </w:r>
      <w:r w:rsidR="00373A91">
        <w:t xml:space="preserve">he model was developed in a </w:t>
      </w:r>
      <w:r w:rsidR="000A2867">
        <w:t xml:space="preserve">cohort from the Fremantle </w:t>
      </w:r>
      <w:r w:rsidR="006E7B67">
        <w:t>Diabetes S</w:t>
      </w:r>
      <w:r w:rsidR="000A2867">
        <w:t>tudy</w:t>
      </w:r>
      <w:r w:rsidR="003C2AB6">
        <w:t xml:space="preserve"> and </w:t>
      </w:r>
      <w:r w:rsidR="00912C0A">
        <w:t>then</w:t>
      </w:r>
      <w:r w:rsidR="00287AE8" w:rsidRPr="00C05326">
        <w:t xml:space="preserve"> </w:t>
      </w:r>
      <w:r w:rsidR="00B7388B">
        <w:t xml:space="preserve">a </w:t>
      </w:r>
      <w:r w:rsidR="00287AE8" w:rsidRPr="00C05326">
        <w:t xml:space="preserve">temporal validation </w:t>
      </w:r>
      <w:r w:rsidR="00912C0A">
        <w:t>study</w:t>
      </w:r>
      <w:r w:rsidR="006E7B67">
        <w:t xml:space="preserve"> (Peters 2019)</w:t>
      </w:r>
      <w:r w:rsidR="00912C0A">
        <w:t xml:space="preserve"> was conducted using </w:t>
      </w:r>
      <w:r w:rsidR="005138E5">
        <w:t xml:space="preserve">a second cohort from the </w:t>
      </w:r>
      <w:r w:rsidR="006E7B67">
        <w:t xml:space="preserve">same </w:t>
      </w:r>
      <w:r w:rsidR="005138E5">
        <w:t xml:space="preserve">study who were recruited at a later date. </w:t>
      </w:r>
      <w:r w:rsidR="00D82AF4">
        <w:t>Best practice is to apply the predictive model to a population that is different from that which it was developed in</w:t>
      </w:r>
      <w:r w:rsidR="00B7388B">
        <w:t>.</w:t>
      </w:r>
      <w:r w:rsidR="00D82AF4">
        <w:t xml:space="preserve"> </w:t>
      </w:r>
      <w:r w:rsidR="00B7388B">
        <w:t>T</w:t>
      </w:r>
      <w:r w:rsidR="00D82AF4">
        <w:t xml:space="preserve">emporal validation can overestimate results because the model was developed (calibrated) to </w:t>
      </w:r>
      <w:r w:rsidR="00EE0960">
        <w:t>apply to that population specifically</w:t>
      </w:r>
      <w:r w:rsidR="00D82AF4">
        <w:t xml:space="preserve">. </w:t>
      </w:r>
      <w:r>
        <w:t>In the pre-ESC response, the applicants clarified that t</w:t>
      </w:r>
      <w:r w:rsidRPr="00F11C88">
        <w:t>he temporal validation model did not include data from the same patients as the development model</w:t>
      </w:r>
      <w:r>
        <w:t xml:space="preserve"> as these were </w:t>
      </w:r>
      <w:r w:rsidRPr="00F11C88">
        <w:t xml:space="preserve">separate patients from the same cohort </w:t>
      </w:r>
      <w:r w:rsidRPr="0011054A">
        <w:t>and</w:t>
      </w:r>
      <w:r w:rsidRPr="00F11C88">
        <w:t xml:space="preserve"> shown to be not clinically related.</w:t>
      </w:r>
    </w:p>
    <w:p w14:paraId="48C29472" w14:textId="374CAB38" w:rsidR="00F86EA0" w:rsidRDefault="00F86EA0" w:rsidP="00373A91">
      <w:pPr>
        <w:autoSpaceDE w:val="0"/>
        <w:autoSpaceDN w:val="0"/>
        <w:adjustRightInd w:val="0"/>
        <w:spacing w:before="0"/>
      </w:pPr>
      <w:r>
        <w:t>The applicants did apply the model to an</w:t>
      </w:r>
      <w:r w:rsidRPr="00C05326">
        <w:t xml:space="preserve"> external validation model (Peters 2020)</w:t>
      </w:r>
      <w:r w:rsidR="00881EDA">
        <w:t>;</w:t>
      </w:r>
      <w:r>
        <w:t xml:space="preserve"> however</w:t>
      </w:r>
      <w:r w:rsidR="00881EDA">
        <w:t>,</w:t>
      </w:r>
      <w:r>
        <w:t xml:space="preserve"> they used the </w:t>
      </w:r>
      <w:r w:rsidR="005E66F6" w:rsidRPr="005E66F6">
        <w:t xml:space="preserve">CANagliflozin </w:t>
      </w:r>
      <w:r w:rsidR="005E66F6">
        <w:t>c</w:t>
      </w:r>
      <w:r w:rsidR="005E66F6" w:rsidRPr="005E66F6">
        <w:t xml:space="preserve">ardioVascular Assessment Study </w:t>
      </w:r>
      <w:r w:rsidR="005E66F6">
        <w:t>(</w:t>
      </w:r>
      <w:r>
        <w:t>CANVAS</w:t>
      </w:r>
      <w:r w:rsidR="005E66F6">
        <w:t>)</w:t>
      </w:r>
      <w:r>
        <w:t xml:space="preserve"> study in which the patients had experienced previous cardiac events or were at high risk for future events. </w:t>
      </w:r>
      <w:r w:rsidR="0084142F">
        <w:t>The Commentary considered that t</w:t>
      </w:r>
      <w:r>
        <w:t xml:space="preserve">he external validation study </w:t>
      </w:r>
      <w:r w:rsidR="003C2AB6">
        <w:t>would</w:t>
      </w:r>
      <w:r>
        <w:t xml:space="preserve"> only </w:t>
      </w:r>
      <w:r w:rsidR="003C2AB6">
        <w:t xml:space="preserve">be </w:t>
      </w:r>
      <w:r>
        <w:t>applicable to a subgroup of patients, not to the majority of low-risk patients in Australia</w:t>
      </w:r>
      <w:r w:rsidRPr="00C05326">
        <w:t>. The diagnostic performance of PromarkerD was poorer in the external validation model.</w:t>
      </w:r>
      <w:r w:rsidR="0084142F">
        <w:t xml:space="preserve"> </w:t>
      </w:r>
    </w:p>
    <w:p w14:paraId="074A9BA6" w14:textId="13514462" w:rsidR="00287AE8" w:rsidRDefault="00F86EA0" w:rsidP="0016569F">
      <w:pPr>
        <w:autoSpaceDE w:val="0"/>
        <w:autoSpaceDN w:val="0"/>
        <w:adjustRightInd w:val="0"/>
        <w:spacing w:before="0"/>
      </w:pPr>
      <w:r>
        <w:t xml:space="preserve">The </w:t>
      </w:r>
      <w:r w:rsidR="00F14A28">
        <w:t xml:space="preserve">Commentary considered that the </w:t>
      </w:r>
      <w:r>
        <w:t xml:space="preserve">applicants should </w:t>
      </w:r>
      <w:r w:rsidR="00C64670">
        <w:t xml:space="preserve">conduct an external validity study and </w:t>
      </w:r>
      <w:r>
        <w:t xml:space="preserve">apply their predictive model to a sufficiently large </w:t>
      </w:r>
      <w:r w:rsidR="00D9795A">
        <w:t xml:space="preserve">cohort of </w:t>
      </w:r>
      <w:r w:rsidR="006E42EA">
        <w:t>Australian patients who are representative of the population</w:t>
      </w:r>
      <w:r w:rsidR="00C64670">
        <w:t xml:space="preserve"> to determine whether the model is generalisable to patients outside </w:t>
      </w:r>
      <w:r w:rsidR="00166FF7">
        <w:t xml:space="preserve">of </w:t>
      </w:r>
      <w:r w:rsidR="00C64670">
        <w:t>the Fremantle group.</w:t>
      </w:r>
    </w:p>
    <w:p w14:paraId="29B672FF" w14:textId="50753DB9" w:rsidR="00F14A28" w:rsidRDefault="00F14A28" w:rsidP="0016569F">
      <w:pPr>
        <w:autoSpaceDE w:val="0"/>
        <w:autoSpaceDN w:val="0"/>
        <w:adjustRightInd w:val="0"/>
        <w:spacing w:before="0"/>
      </w:pPr>
      <w:r>
        <w:t>However</w:t>
      </w:r>
      <w:r w:rsidR="008F4EA7">
        <w:t>,</w:t>
      </w:r>
      <w:r>
        <w:t xml:space="preserve"> in the pre-ESC response the applicants clarified that </w:t>
      </w:r>
      <w:r w:rsidR="00CB770D">
        <w:t>a</w:t>
      </w:r>
      <w:r w:rsidRPr="006016F6">
        <w:t xml:space="preserve">lthough the CANVAS cohort were defined as having prior cardiac events, or future risk of CVD, the cardiovascular risk profile of patients from </w:t>
      </w:r>
      <w:r>
        <w:t>the temporal validation study</w:t>
      </w:r>
      <w:r w:rsidRPr="006016F6">
        <w:t xml:space="preserve"> and CANVAS were similar</w:t>
      </w:r>
      <w:r>
        <w:t>.</w:t>
      </w:r>
    </w:p>
    <w:p w14:paraId="1246362D" w14:textId="74DDFAC7" w:rsidR="00287AE8" w:rsidRPr="008065A0" w:rsidRDefault="00360328" w:rsidP="0016569F">
      <w:pPr>
        <w:autoSpaceDE w:val="0"/>
        <w:autoSpaceDN w:val="0"/>
        <w:adjustRightInd w:val="0"/>
        <w:spacing w:before="0"/>
        <w:rPr>
          <w:i/>
          <w:u w:val="single"/>
        </w:rPr>
      </w:pPr>
      <w:r w:rsidRPr="008065A0">
        <w:rPr>
          <w:i/>
          <w:u w:val="single"/>
        </w:rPr>
        <w:t>Key limitations and m</w:t>
      </w:r>
      <w:r w:rsidR="00287AE8" w:rsidRPr="008065A0">
        <w:rPr>
          <w:i/>
          <w:u w:val="single"/>
        </w:rPr>
        <w:t>issing data</w:t>
      </w:r>
    </w:p>
    <w:p w14:paraId="7D597D0F" w14:textId="6E572E01" w:rsidR="006B57BA" w:rsidRDefault="00F14A28" w:rsidP="0016569F">
      <w:pPr>
        <w:autoSpaceDE w:val="0"/>
        <w:autoSpaceDN w:val="0"/>
        <w:adjustRightInd w:val="0"/>
        <w:spacing w:before="0"/>
      </w:pPr>
      <w:r>
        <w:t>The Commentary considered that t</w:t>
      </w:r>
      <w:r w:rsidR="0066724E">
        <w:t xml:space="preserve">here were several aspects </w:t>
      </w:r>
      <w:r w:rsidR="001E2F9E">
        <w:t xml:space="preserve">of </w:t>
      </w:r>
      <w:r w:rsidR="0066724E">
        <w:t xml:space="preserve">the evidence base </w:t>
      </w:r>
      <w:r w:rsidR="00B1163E">
        <w:t xml:space="preserve">regarding PromarkerD </w:t>
      </w:r>
      <w:r w:rsidR="0066724E">
        <w:t>that were either insufficient</w:t>
      </w:r>
      <w:r w:rsidR="002536C1">
        <w:t>ly reported</w:t>
      </w:r>
      <w:r w:rsidR="0066724E">
        <w:t xml:space="preserve"> or missing</w:t>
      </w:r>
      <w:r w:rsidR="00942AC0">
        <w:t>,</w:t>
      </w:r>
      <w:r>
        <w:t xml:space="preserve"> and identified </w:t>
      </w:r>
      <w:r w:rsidR="00B1163E">
        <w:t>the following:</w:t>
      </w:r>
    </w:p>
    <w:p w14:paraId="4503AD10" w14:textId="2FB9308E" w:rsidR="0016569F" w:rsidRPr="00942AC0" w:rsidRDefault="0016569F" w:rsidP="004B5B09">
      <w:pPr>
        <w:pStyle w:val="ListParagraph"/>
        <w:numPr>
          <w:ilvl w:val="0"/>
          <w:numId w:val="15"/>
        </w:numPr>
      </w:pPr>
      <w:r w:rsidRPr="00942AC0">
        <w:t xml:space="preserve">There is insufficient information provided about the main features of PromarkerD to understand what effect the </w:t>
      </w:r>
      <w:r w:rsidR="00B06B2E" w:rsidRPr="00942AC0">
        <w:t xml:space="preserve">individual </w:t>
      </w:r>
      <w:r w:rsidRPr="00942AC0">
        <w:t>input variables have on the output of the prediction models.</w:t>
      </w:r>
    </w:p>
    <w:p w14:paraId="2D6627AD" w14:textId="6E887FF7" w:rsidR="0016569F" w:rsidRPr="00942AC0" w:rsidRDefault="0016569F" w:rsidP="004B5B09">
      <w:pPr>
        <w:pStyle w:val="ListParagraph"/>
        <w:numPr>
          <w:ilvl w:val="0"/>
          <w:numId w:val="15"/>
        </w:numPr>
      </w:pPr>
      <w:r w:rsidRPr="00942AC0">
        <w:t xml:space="preserve">It is not possible to determine the incremental benefit of </w:t>
      </w:r>
      <w:r w:rsidR="0026015B" w:rsidRPr="00942AC0">
        <w:t xml:space="preserve">the </w:t>
      </w:r>
      <w:r w:rsidRPr="00942AC0">
        <w:t xml:space="preserve">PromarkerD </w:t>
      </w:r>
      <w:r w:rsidR="0026015B" w:rsidRPr="00942AC0">
        <w:t xml:space="preserve">biomarkers in addition to </w:t>
      </w:r>
      <w:r w:rsidR="00996B0B" w:rsidRPr="00942AC0">
        <w:t>the clinical factors alone (</w:t>
      </w:r>
      <w:r w:rsidR="0026015B" w:rsidRPr="00942AC0">
        <w:t xml:space="preserve">eGFR, </w:t>
      </w:r>
      <w:r w:rsidR="00C74B0E" w:rsidRPr="00942AC0">
        <w:t>uACR</w:t>
      </w:r>
      <w:r w:rsidR="0026015B" w:rsidRPr="00942AC0">
        <w:t xml:space="preserve">) </w:t>
      </w:r>
      <w:r w:rsidR="004C71D2" w:rsidRPr="00942AC0">
        <w:t>because the</w:t>
      </w:r>
      <w:r w:rsidRPr="00942AC0">
        <w:t xml:space="preserve"> evidence</w:t>
      </w:r>
      <w:r w:rsidR="004C71D2" w:rsidRPr="00942AC0">
        <w:t xml:space="preserve"> for the clinical factors as prognostic markers has not been reported. </w:t>
      </w:r>
    </w:p>
    <w:p w14:paraId="5569EE57" w14:textId="264A0EAE" w:rsidR="0016569F" w:rsidRPr="00942AC0" w:rsidRDefault="0016569F" w:rsidP="004B5B09">
      <w:pPr>
        <w:pStyle w:val="ListParagraph"/>
        <w:numPr>
          <w:ilvl w:val="0"/>
          <w:numId w:val="15"/>
        </w:numPr>
      </w:pPr>
      <w:r w:rsidRPr="00942AC0">
        <w:t>There is no discussion about the implications of a poor PPV</w:t>
      </w:r>
      <w:r w:rsidR="00497016" w:rsidRPr="00942AC0">
        <w:t xml:space="preserve"> and the consequences this will have for patients and providers if PromarkerD were to be implemented.</w:t>
      </w:r>
    </w:p>
    <w:p w14:paraId="24B6FDF4" w14:textId="3AD8E70C" w:rsidR="0016569F" w:rsidRPr="00942AC0" w:rsidRDefault="0016569F" w:rsidP="004B5B09">
      <w:pPr>
        <w:pStyle w:val="ListParagraph"/>
        <w:numPr>
          <w:ilvl w:val="0"/>
          <w:numId w:val="15"/>
        </w:numPr>
      </w:pPr>
      <w:r w:rsidRPr="004165C1">
        <w:t>It is unclear whether or how comorbidities have been taken into account in the PromarkerD algorithm</w:t>
      </w:r>
      <w:r w:rsidR="00497016" w:rsidRPr="004165C1">
        <w:t>.</w:t>
      </w:r>
      <w:r w:rsidR="00497016" w:rsidRPr="00942AC0">
        <w:t xml:space="preserve"> Treatment decisions for diabetes management are multifactorial and </w:t>
      </w:r>
      <w:r w:rsidR="009F3686" w:rsidRPr="00942AC0">
        <w:t xml:space="preserve">not based on </w:t>
      </w:r>
      <w:r w:rsidR="00BB73D3" w:rsidRPr="00942AC0">
        <w:t xml:space="preserve">test outcomes alone. </w:t>
      </w:r>
      <w:r w:rsidR="00F33AD1" w:rsidRPr="00942AC0">
        <w:t>The ADAR does not discuss how PromarkerD will interact with, for example, patients with a family history of diabetes or renal disease, previous or high risk of cardiovascular disease.</w:t>
      </w:r>
    </w:p>
    <w:p w14:paraId="01080A13" w14:textId="1FC3A752" w:rsidR="0016569F" w:rsidRPr="00942AC0" w:rsidRDefault="0016569F" w:rsidP="004B5B09">
      <w:pPr>
        <w:pStyle w:val="ListParagraph"/>
        <w:numPr>
          <w:ilvl w:val="0"/>
          <w:numId w:val="15"/>
        </w:numPr>
      </w:pPr>
      <w:r w:rsidRPr="00942AC0">
        <w:t>There is no information about the practicalities or funding arrangements for pathologists</w:t>
      </w:r>
      <w:r w:rsidR="00D9779D" w:rsidRPr="00942AC0">
        <w:t>.</w:t>
      </w:r>
    </w:p>
    <w:p w14:paraId="78DFC174" w14:textId="6A6F9BC6" w:rsidR="00095E54" w:rsidRPr="00942AC0" w:rsidRDefault="0016569F" w:rsidP="004B5B09">
      <w:pPr>
        <w:pStyle w:val="ListParagraph"/>
        <w:numPr>
          <w:ilvl w:val="0"/>
          <w:numId w:val="15"/>
        </w:numPr>
      </w:pPr>
      <w:r w:rsidRPr="00942AC0">
        <w:lastRenderedPageBreak/>
        <w:t>There is no information about the algorithm used to generate the results</w:t>
      </w:r>
      <w:r w:rsidR="00F33AD1" w:rsidRPr="00942AC0">
        <w:t>.</w:t>
      </w:r>
    </w:p>
    <w:p w14:paraId="456C6256" w14:textId="218CBDEC" w:rsidR="0040761A" w:rsidRPr="00942AC0" w:rsidRDefault="00095E54" w:rsidP="004B5B09">
      <w:pPr>
        <w:pStyle w:val="ListParagraph"/>
        <w:numPr>
          <w:ilvl w:val="0"/>
          <w:numId w:val="15"/>
        </w:numPr>
      </w:pPr>
      <w:r w:rsidRPr="00942AC0">
        <w:t xml:space="preserve">The applicant has not undertaken quality assessment of the </w:t>
      </w:r>
      <w:r w:rsidR="00DE7302" w:rsidRPr="00942AC0">
        <w:t xml:space="preserve">2 </w:t>
      </w:r>
      <w:r w:rsidRPr="00942AC0">
        <w:t xml:space="preserve">prognostic modelling studies. The </w:t>
      </w:r>
      <w:r w:rsidR="00B27DC3" w:rsidRPr="007851D5">
        <w:t xml:space="preserve">Commentary </w:t>
      </w:r>
      <w:r w:rsidRPr="00942AC0">
        <w:t xml:space="preserve">conducted these assessments and found both studies to be at high risk of bias using the </w:t>
      </w:r>
      <w:r w:rsidR="008D54E4" w:rsidRPr="00942AC0">
        <w:t>Prediction model Risk Of Bias Assessment Tool (</w:t>
      </w:r>
      <w:r w:rsidRPr="00942AC0">
        <w:t>PROBAST</w:t>
      </w:r>
      <w:r w:rsidR="008D54E4" w:rsidRPr="00942AC0">
        <w:t>)</w:t>
      </w:r>
      <w:r w:rsidRPr="00942AC0">
        <w:t xml:space="preserve"> tool. </w:t>
      </w:r>
    </w:p>
    <w:p w14:paraId="6C40D02D" w14:textId="2F5ECD65" w:rsidR="0040761A" w:rsidRDefault="00E55C3B" w:rsidP="005C3680">
      <w:r w:rsidRPr="00E55C3B">
        <w:t xml:space="preserve">Relevant </w:t>
      </w:r>
      <w:r>
        <w:t xml:space="preserve">discussion about change in management and change in </w:t>
      </w:r>
      <w:r w:rsidRPr="00E55C3B">
        <w:t>health outcomes are predicated on the prognostic value of PromarkerD being sufficient</w:t>
      </w:r>
      <w:r>
        <w:t>.</w:t>
      </w:r>
      <w:r w:rsidR="0030696E">
        <w:t xml:space="preserve"> The Commentary considered that n</w:t>
      </w:r>
      <w:r w:rsidRPr="00E55C3B">
        <w:t>either of these prior requirements have been proven based on the evidence reported in th</w:t>
      </w:r>
      <w:r>
        <w:t>e</w:t>
      </w:r>
      <w:r w:rsidRPr="00E55C3B">
        <w:t xml:space="preserve"> ADAR</w:t>
      </w:r>
      <w:r w:rsidR="005C3680">
        <w:t xml:space="preserve">. </w:t>
      </w:r>
    </w:p>
    <w:p w14:paraId="4E28369E" w14:textId="1F10C3BF" w:rsidR="00AE4090" w:rsidRDefault="00AE4090" w:rsidP="005C3680">
      <w:r>
        <w:t>In the pre-ESC response</w:t>
      </w:r>
      <w:r w:rsidR="008F4EA7">
        <w:t>,</w:t>
      </w:r>
      <w:r>
        <w:t xml:space="preserve"> the applicant addressed these points as follows:</w:t>
      </w:r>
    </w:p>
    <w:p w14:paraId="12C369D1" w14:textId="05A21268" w:rsidR="00AE4090" w:rsidRDefault="00AE4090" w:rsidP="00B2029A">
      <w:pPr>
        <w:pStyle w:val="ListParagraph"/>
        <w:numPr>
          <w:ilvl w:val="0"/>
          <w:numId w:val="27"/>
        </w:numPr>
      </w:pPr>
      <w:r>
        <w:t xml:space="preserve">For information on the </w:t>
      </w:r>
      <w:r w:rsidRPr="00AE4090">
        <w:t>incremental benefit of biomarkers to each clinical model for predicting risk of renal outcomes</w:t>
      </w:r>
      <w:r>
        <w:t xml:space="preserve"> the applicant referred to </w:t>
      </w:r>
      <w:r w:rsidR="00E74F77">
        <w:t xml:space="preserve">Appendix E of the </w:t>
      </w:r>
      <w:r w:rsidR="00B2029A" w:rsidRPr="00B2029A">
        <w:t xml:space="preserve">ADAR </w:t>
      </w:r>
      <w:r w:rsidR="00B2029A">
        <w:t xml:space="preserve">(which compared </w:t>
      </w:r>
      <w:r w:rsidR="0049222A">
        <w:t>sensitivities and specificities of Pro</w:t>
      </w:r>
      <w:r w:rsidR="00B71225">
        <w:t>m</w:t>
      </w:r>
      <w:r w:rsidR="0049222A">
        <w:t>arkerD against KDIGO risk categories)</w:t>
      </w:r>
      <w:r w:rsidR="00B2029A">
        <w:t xml:space="preserve"> for more information. </w:t>
      </w:r>
    </w:p>
    <w:p w14:paraId="0B9ABDC8" w14:textId="35A8D402" w:rsidR="00AE4090" w:rsidRPr="00813037" w:rsidRDefault="0049222A" w:rsidP="005B42AF">
      <w:pPr>
        <w:pStyle w:val="ListParagraph"/>
        <w:numPr>
          <w:ilvl w:val="0"/>
          <w:numId w:val="27"/>
        </w:numPr>
      </w:pPr>
      <w:r>
        <w:t>The applicant acknowledged the low PPV of Pro</w:t>
      </w:r>
      <w:r w:rsidR="00356FF4">
        <w:t>m</w:t>
      </w:r>
      <w:r>
        <w:t xml:space="preserve">arkerD and argued that the </w:t>
      </w:r>
      <w:r w:rsidRPr="0049222A">
        <w:t xml:space="preserve">strength of </w:t>
      </w:r>
      <w:r>
        <w:t>the test</w:t>
      </w:r>
      <w:r w:rsidRPr="0049222A">
        <w:t xml:space="preserve"> is the ability to rule out patients (high NPV) at low-risk, yet still capture the majority of those at highest risk. </w:t>
      </w:r>
      <w:r w:rsidR="00A67071">
        <w:t xml:space="preserve">The applicant also observed that there are several MBS </w:t>
      </w:r>
      <w:r w:rsidR="00A67071" w:rsidRPr="00813037">
        <w:t>funded test</w:t>
      </w:r>
      <w:r w:rsidR="00C62A7B" w:rsidRPr="00813037">
        <w:t>s</w:t>
      </w:r>
      <w:r w:rsidR="00A67071" w:rsidRPr="00813037">
        <w:t xml:space="preserve"> with a low PPV due to the incidence of the outcome.</w:t>
      </w:r>
    </w:p>
    <w:p w14:paraId="37F708E2" w14:textId="62FA5A2E" w:rsidR="0049222A" w:rsidRPr="00813037" w:rsidRDefault="00386366" w:rsidP="005B42AF">
      <w:pPr>
        <w:pStyle w:val="ListParagraph"/>
        <w:numPr>
          <w:ilvl w:val="0"/>
          <w:numId w:val="27"/>
        </w:numPr>
      </w:pPr>
      <w:bookmarkStart w:id="28" w:name="_Hlk117166791"/>
      <w:r w:rsidRPr="00813037">
        <w:t>Regarding</w:t>
      </w:r>
      <w:r w:rsidR="00D251AE" w:rsidRPr="00813037">
        <w:t xml:space="preserve"> </w:t>
      </w:r>
      <w:bookmarkEnd w:id="28"/>
      <w:r w:rsidR="00D251AE" w:rsidRPr="00813037">
        <w:t xml:space="preserve">comorbidities, the applicant stated that the test was developed </w:t>
      </w:r>
      <w:r w:rsidR="00C62A7B" w:rsidRPr="00813037">
        <w:t xml:space="preserve">for </w:t>
      </w:r>
      <w:r w:rsidR="00D251AE" w:rsidRPr="00813037">
        <w:t>people with T2DM, including people with both microvascular and macrovascular comorbidities.</w:t>
      </w:r>
    </w:p>
    <w:p w14:paraId="71733785" w14:textId="567D0BE3" w:rsidR="00D251AE" w:rsidRPr="00813037" w:rsidRDefault="00D251AE" w:rsidP="005B42AF">
      <w:pPr>
        <w:pStyle w:val="ListParagraph"/>
        <w:numPr>
          <w:ilvl w:val="0"/>
          <w:numId w:val="27"/>
        </w:numPr>
      </w:pPr>
      <w:r w:rsidRPr="00813037">
        <w:t xml:space="preserve">The applicant did not provide further detail on the practicalities or funding arrangements for pathologists </w:t>
      </w:r>
    </w:p>
    <w:p w14:paraId="163DEEFE" w14:textId="4CE1244D" w:rsidR="00B27DC3" w:rsidRPr="00813037" w:rsidRDefault="00386366" w:rsidP="005B42AF">
      <w:pPr>
        <w:pStyle w:val="ListParagraph"/>
        <w:numPr>
          <w:ilvl w:val="0"/>
          <w:numId w:val="27"/>
        </w:numPr>
      </w:pPr>
      <w:r w:rsidRPr="00813037">
        <w:t>Regarding</w:t>
      </w:r>
      <w:r w:rsidR="00B27DC3" w:rsidRPr="00813037">
        <w:t xml:space="preserve"> the algorithm, the applicant reiterated that a ‘black box’ approach had been accepted by PASC but referred to further information in its Pre-ESC response Appendix.</w:t>
      </w:r>
    </w:p>
    <w:p w14:paraId="539D2CF4" w14:textId="77777777" w:rsidR="004165C1" w:rsidRPr="0011054A" w:rsidRDefault="004165C1" w:rsidP="004165C1">
      <w:pPr>
        <w:pStyle w:val="ListParagraph"/>
        <w:numPr>
          <w:ilvl w:val="0"/>
          <w:numId w:val="27"/>
        </w:numPr>
        <w:spacing w:after="240"/>
        <w:ind w:left="714" w:hanging="357"/>
      </w:pPr>
      <w:r w:rsidRPr="0011054A">
        <w:t>The applicant disagreed with the Commentary’s assessment of a high risk of bias associated with the two prognostic modelling studies and provided its own assessment in a detailed table in the pre-ESC response.</w:t>
      </w:r>
    </w:p>
    <w:p w14:paraId="146653DF" w14:textId="77777777" w:rsidR="0016569F" w:rsidRPr="00067A24" w:rsidRDefault="0016569F" w:rsidP="008F4EA7">
      <w:pPr>
        <w:autoSpaceDE w:val="0"/>
        <w:autoSpaceDN w:val="0"/>
        <w:adjustRightInd w:val="0"/>
        <w:rPr>
          <w:b/>
          <w:bCs/>
          <w:u w:val="single"/>
        </w:rPr>
      </w:pPr>
      <w:r w:rsidRPr="00067A24">
        <w:rPr>
          <w:b/>
          <w:bCs/>
          <w:u w:val="single"/>
        </w:rPr>
        <w:t>Change in management</w:t>
      </w:r>
    </w:p>
    <w:p w14:paraId="34AC5107" w14:textId="12E898FF" w:rsidR="0016569F" w:rsidRDefault="00997FB8" w:rsidP="0016569F">
      <w:r>
        <w:t>The applicant discussed a US-based survey of clinicians</w:t>
      </w:r>
      <w:r w:rsidR="004E5AB5">
        <w:t xml:space="preserve"> (</w:t>
      </w:r>
      <w:r w:rsidR="004E5AB5" w:rsidRPr="00067A24">
        <w:t>Fusfeld</w:t>
      </w:r>
      <w:r w:rsidR="00CD6F2D">
        <w:t xml:space="preserve"> 2022</w:t>
      </w:r>
      <w:r w:rsidR="004E5AB5">
        <w:t>)</w:t>
      </w:r>
      <w:r>
        <w:t>, then conducted their own similar</w:t>
      </w:r>
      <w:r w:rsidR="005261CF">
        <w:t xml:space="preserve">, Australian-based </w:t>
      </w:r>
      <w:r>
        <w:t xml:space="preserve">study. </w:t>
      </w:r>
      <w:r w:rsidR="0016569F" w:rsidRPr="00067A24">
        <w:t>From the results</w:t>
      </w:r>
      <w:r w:rsidR="00172DDD">
        <w:t xml:space="preserve"> of the Fus</w:t>
      </w:r>
      <w:r w:rsidR="00A074D2">
        <w:t>feld study that were</w:t>
      </w:r>
      <w:r w:rsidR="0016569F" w:rsidRPr="00067A24">
        <w:t xml:space="preserve"> reported in the ADAR, PromarkerD was not considered to be the most important factor in making a decision for prescribing, increasing or replacing therapy.</w:t>
      </w:r>
    </w:p>
    <w:p w14:paraId="5AE7FCFC" w14:textId="0421B138" w:rsidR="00F4629B" w:rsidRPr="00AF3C5F" w:rsidRDefault="00453E31" w:rsidP="0016569F">
      <w:pPr>
        <w:rPr>
          <w:b/>
          <w:bCs/>
        </w:rPr>
      </w:pPr>
      <w:r w:rsidRPr="00AF3C5F">
        <w:rPr>
          <w:rFonts w:ascii="Arial Narrow" w:hAnsi="Arial Narrow"/>
          <w:b/>
          <w:bCs/>
          <w:snapToGrid w:val="0"/>
          <w:sz w:val="20"/>
          <w:szCs w:val="20"/>
        </w:rPr>
        <w:t>Table 6: Key features of the included change in management evidence comparing PromarkerD with standard care</w:t>
      </w:r>
    </w:p>
    <w:tbl>
      <w:tblPr>
        <w:tblStyle w:val="TableGrid1"/>
        <w:tblW w:w="4957" w:type="pct"/>
        <w:tblCellMar>
          <w:left w:w="28" w:type="dxa"/>
          <w:right w:w="28" w:type="dxa"/>
        </w:tblCellMar>
        <w:tblLook w:val="04A0" w:firstRow="1" w:lastRow="0" w:firstColumn="1" w:lastColumn="0" w:noHBand="0" w:noVBand="1"/>
      </w:tblPr>
      <w:tblGrid>
        <w:gridCol w:w="1069"/>
        <w:gridCol w:w="959"/>
        <w:gridCol w:w="1092"/>
        <w:gridCol w:w="1260"/>
        <w:gridCol w:w="1039"/>
        <w:gridCol w:w="1259"/>
        <w:gridCol w:w="1438"/>
        <w:gridCol w:w="822"/>
      </w:tblGrid>
      <w:tr w:rsidR="003362FE" w:rsidRPr="003362FE" w14:paraId="51500073" w14:textId="77777777" w:rsidTr="00E6458E">
        <w:trPr>
          <w:cnfStyle w:val="100000000000" w:firstRow="1" w:lastRow="0" w:firstColumn="0" w:lastColumn="0" w:oddVBand="0" w:evenVBand="0" w:oddHBand="0" w:evenHBand="0" w:firstRowFirstColumn="0" w:firstRowLastColumn="0" w:lastRowFirstColumn="0" w:lastRowLastColumn="0"/>
          <w:tblHeader/>
        </w:trPr>
        <w:tc>
          <w:tcPr>
            <w:tcW w:w="644" w:type="pct"/>
            <w:shd w:val="clear" w:color="auto" w:fill="D0CECE" w:themeFill="background2" w:themeFillShade="E6"/>
          </w:tcPr>
          <w:p w14:paraId="6452F5BA" w14:textId="5D813D62" w:rsidR="003362FE" w:rsidRPr="003362FE" w:rsidRDefault="003362FE" w:rsidP="004A0DE8">
            <w:pPr>
              <w:pStyle w:val="TableHeading0"/>
            </w:pPr>
            <w:bookmarkStart w:id="29" w:name="ColumnTitle_Table28"/>
            <w:r w:rsidRPr="003362FE">
              <w:t>Trial/</w:t>
            </w:r>
            <w:r w:rsidR="004B051E">
              <w:t>s</w:t>
            </w:r>
            <w:r w:rsidRPr="003362FE">
              <w:t>tudy</w:t>
            </w:r>
          </w:p>
        </w:tc>
        <w:tc>
          <w:tcPr>
            <w:tcW w:w="384" w:type="pct"/>
            <w:shd w:val="clear" w:color="auto" w:fill="D0CECE" w:themeFill="background2" w:themeFillShade="E6"/>
          </w:tcPr>
          <w:p w14:paraId="5DA9DD40" w14:textId="77777777" w:rsidR="003362FE" w:rsidRPr="003362FE" w:rsidRDefault="003362FE" w:rsidP="004A0DE8">
            <w:pPr>
              <w:pStyle w:val="TableHeading0"/>
            </w:pPr>
            <w:r w:rsidRPr="003362FE">
              <w:t>N</w:t>
            </w:r>
          </w:p>
        </w:tc>
        <w:tc>
          <w:tcPr>
            <w:tcW w:w="657" w:type="pct"/>
            <w:shd w:val="clear" w:color="auto" w:fill="D0CECE" w:themeFill="background2" w:themeFillShade="E6"/>
          </w:tcPr>
          <w:p w14:paraId="5899C3AE" w14:textId="77777777" w:rsidR="003362FE" w:rsidRPr="003362FE" w:rsidRDefault="003362FE" w:rsidP="004A0DE8">
            <w:pPr>
              <w:pStyle w:val="TableHeading0"/>
            </w:pPr>
            <w:r w:rsidRPr="003362FE">
              <w:t>Study design</w:t>
            </w:r>
          </w:p>
          <w:p w14:paraId="1DF4C57A" w14:textId="77777777" w:rsidR="003362FE" w:rsidRPr="003362FE" w:rsidRDefault="003362FE" w:rsidP="004A0DE8">
            <w:pPr>
              <w:pStyle w:val="TableHeading0"/>
            </w:pPr>
            <w:r w:rsidRPr="003362FE">
              <w:t>Risk of bias</w:t>
            </w:r>
          </w:p>
        </w:tc>
        <w:tc>
          <w:tcPr>
            <w:tcW w:w="627" w:type="pct"/>
            <w:shd w:val="clear" w:color="auto" w:fill="D0CECE" w:themeFill="background2" w:themeFillShade="E6"/>
          </w:tcPr>
          <w:p w14:paraId="524895F0" w14:textId="77777777" w:rsidR="003362FE" w:rsidRPr="003362FE" w:rsidRDefault="003362FE" w:rsidP="004A0DE8">
            <w:pPr>
              <w:pStyle w:val="TableHeading0"/>
            </w:pPr>
            <w:r w:rsidRPr="003362FE">
              <w:t>Population</w:t>
            </w:r>
          </w:p>
        </w:tc>
        <w:tc>
          <w:tcPr>
            <w:tcW w:w="627" w:type="pct"/>
            <w:shd w:val="clear" w:color="auto" w:fill="D0CECE" w:themeFill="background2" w:themeFillShade="E6"/>
          </w:tcPr>
          <w:p w14:paraId="45ACF001" w14:textId="77777777" w:rsidR="003362FE" w:rsidRPr="003362FE" w:rsidRDefault="003362FE" w:rsidP="004A0DE8">
            <w:pPr>
              <w:pStyle w:val="TableHeading0"/>
            </w:pPr>
            <w:r w:rsidRPr="003362FE">
              <w:t>Intervention</w:t>
            </w:r>
          </w:p>
        </w:tc>
        <w:tc>
          <w:tcPr>
            <w:tcW w:w="750" w:type="pct"/>
            <w:shd w:val="clear" w:color="auto" w:fill="D0CECE" w:themeFill="background2" w:themeFillShade="E6"/>
          </w:tcPr>
          <w:p w14:paraId="16802BB6" w14:textId="77777777" w:rsidR="003362FE" w:rsidRPr="003362FE" w:rsidRDefault="003362FE" w:rsidP="004A0DE8">
            <w:pPr>
              <w:pStyle w:val="TableHeading0"/>
            </w:pPr>
            <w:r w:rsidRPr="003362FE">
              <w:t>Comparator</w:t>
            </w:r>
          </w:p>
        </w:tc>
        <w:tc>
          <w:tcPr>
            <w:tcW w:w="850" w:type="pct"/>
            <w:shd w:val="clear" w:color="auto" w:fill="D0CECE" w:themeFill="background2" w:themeFillShade="E6"/>
          </w:tcPr>
          <w:p w14:paraId="4E199452" w14:textId="77777777" w:rsidR="003362FE" w:rsidRPr="003362FE" w:rsidRDefault="003362FE" w:rsidP="004A0DE8">
            <w:pPr>
              <w:pStyle w:val="TableHeading0"/>
            </w:pPr>
            <w:r w:rsidRPr="003362FE">
              <w:t>Key outcome(s)</w:t>
            </w:r>
          </w:p>
        </w:tc>
        <w:tc>
          <w:tcPr>
            <w:tcW w:w="460" w:type="pct"/>
            <w:shd w:val="clear" w:color="auto" w:fill="D0CECE" w:themeFill="background2" w:themeFillShade="E6"/>
          </w:tcPr>
          <w:p w14:paraId="465BF843" w14:textId="77777777" w:rsidR="003362FE" w:rsidRPr="003362FE" w:rsidRDefault="003362FE" w:rsidP="004A0DE8">
            <w:pPr>
              <w:pStyle w:val="TableHeading0"/>
            </w:pPr>
            <w:r w:rsidRPr="003362FE">
              <w:t>Result used in economic model</w:t>
            </w:r>
          </w:p>
        </w:tc>
      </w:tr>
      <w:tr w:rsidR="003362FE" w:rsidRPr="004A0DE8" w14:paraId="6391AC1A" w14:textId="77777777" w:rsidTr="00E6458E">
        <w:trPr>
          <w:cnfStyle w:val="100000000000" w:firstRow="1" w:lastRow="0" w:firstColumn="0" w:lastColumn="0" w:oddVBand="0" w:evenVBand="0" w:oddHBand="0" w:evenHBand="0" w:firstRowFirstColumn="0" w:firstRowLastColumn="0" w:lastRowFirstColumn="0" w:lastRowLastColumn="0"/>
          <w:tblHeader/>
        </w:trPr>
        <w:tc>
          <w:tcPr>
            <w:tcW w:w="644" w:type="pct"/>
            <w:shd w:val="clear" w:color="auto" w:fill="auto"/>
          </w:tcPr>
          <w:p w14:paraId="052E1B04" w14:textId="1BF57D65" w:rsidR="003362FE" w:rsidRPr="004A0DE8" w:rsidRDefault="003362FE" w:rsidP="004A0DE8">
            <w:pPr>
              <w:pStyle w:val="Tabletext0"/>
            </w:pPr>
            <w:bookmarkStart w:id="30" w:name="_Hlk105181088"/>
            <w:bookmarkEnd w:id="29"/>
            <w:r w:rsidRPr="004A0DE8">
              <w:t xml:space="preserve">Fusfeld et al. </w:t>
            </w:r>
            <w:r w:rsidR="00CD6F2D">
              <w:t>2022</w:t>
            </w:r>
          </w:p>
        </w:tc>
        <w:tc>
          <w:tcPr>
            <w:tcW w:w="384" w:type="pct"/>
            <w:shd w:val="clear" w:color="auto" w:fill="auto"/>
          </w:tcPr>
          <w:p w14:paraId="54CF16C2" w14:textId="77777777" w:rsidR="003362FE" w:rsidRPr="004A0DE8" w:rsidRDefault="003362FE" w:rsidP="004A0DE8">
            <w:pPr>
              <w:pStyle w:val="Tabletext0"/>
            </w:pPr>
            <w:r w:rsidRPr="004A0DE8">
              <w:t>400 respondents</w:t>
            </w:r>
          </w:p>
          <w:p w14:paraId="27A8F40F" w14:textId="77777777" w:rsidR="003362FE" w:rsidRPr="004A0DE8" w:rsidRDefault="003362FE" w:rsidP="004A0DE8">
            <w:pPr>
              <w:pStyle w:val="Tabletext0"/>
            </w:pPr>
          </w:p>
          <w:p w14:paraId="17A7A64A" w14:textId="77777777" w:rsidR="003362FE" w:rsidRPr="004A0DE8" w:rsidRDefault="003362FE" w:rsidP="004A0DE8">
            <w:pPr>
              <w:pStyle w:val="Tabletext0"/>
            </w:pPr>
            <w:r w:rsidRPr="004A0DE8">
              <w:t>42 hypothetical patient profiles</w:t>
            </w:r>
          </w:p>
        </w:tc>
        <w:tc>
          <w:tcPr>
            <w:tcW w:w="657" w:type="pct"/>
            <w:shd w:val="clear" w:color="auto" w:fill="auto"/>
          </w:tcPr>
          <w:p w14:paraId="15A31943" w14:textId="77777777" w:rsidR="003362FE" w:rsidRPr="004A0DE8" w:rsidRDefault="003362FE" w:rsidP="004A0DE8">
            <w:pPr>
              <w:pStyle w:val="Tabletext0"/>
            </w:pPr>
            <w:r w:rsidRPr="004A0DE8">
              <w:t>Conjoint analysis</w:t>
            </w:r>
          </w:p>
          <w:p w14:paraId="2D0CD18B" w14:textId="77777777" w:rsidR="003362FE" w:rsidRPr="004A0DE8" w:rsidRDefault="003362FE" w:rsidP="004A0DE8">
            <w:pPr>
              <w:pStyle w:val="Tabletext0"/>
            </w:pPr>
            <w:r w:rsidRPr="004A0DE8">
              <w:t>Low risk of bias</w:t>
            </w:r>
          </w:p>
        </w:tc>
        <w:tc>
          <w:tcPr>
            <w:tcW w:w="627" w:type="pct"/>
          </w:tcPr>
          <w:p w14:paraId="5FCF8FCB" w14:textId="77777777" w:rsidR="003362FE" w:rsidRPr="004A0DE8" w:rsidRDefault="003362FE" w:rsidP="004A0DE8">
            <w:pPr>
              <w:pStyle w:val="Tabletext0"/>
            </w:pPr>
            <w:r w:rsidRPr="004A0DE8">
              <w:t>Endocrinologists and primary care doctors</w:t>
            </w:r>
          </w:p>
        </w:tc>
        <w:tc>
          <w:tcPr>
            <w:tcW w:w="627" w:type="pct"/>
          </w:tcPr>
          <w:p w14:paraId="38CC57D5" w14:textId="77777777" w:rsidR="003362FE" w:rsidRPr="004A0DE8" w:rsidRDefault="003362FE" w:rsidP="004A0DE8">
            <w:pPr>
              <w:pStyle w:val="Tabletext0"/>
            </w:pPr>
            <w:r w:rsidRPr="004A0DE8">
              <w:t>PromarkerD</w:t>
            </w:r>
          </w:p>
        </w:tc>
        <w:tc>
          <w:tcPr>
            <w:tcW w:w="750" w:type="pct"/>
            <w:shd w:val="clear" w:color="auto" w:fill="auto"/>
          </w:tcPr>
          <w:p w14:paraId="12524E3D" w14:textId="77777777" w:rsidR="003362FE" w:rsidRPr="004A0DE8" w:rsidRDefault="003362FE" w:rsidP="004A0DE8">
            <w:pPr>
              <w:pStyle w:val="Tabletext0"/>
            </w:pPr>
            <w:r w:rsidRPr="004A0DE8">
              <w:t>Standard care</w:t>
            </w:r>
          </w:p>
        </w:tc>
        <w:tc>
          <w:tcPr>
            <w:tcW w:w="850" w:type="pct"/>
            <w:shd w:val="clear" w:color="auto" w:fill="auto"/>
          </w:tcPr>
          <w:p w14:paraId="7A90350D" w14:textId="77777777" w:rsidR="003362FE" w:rsidRPr="004A0DE8" w:rsidRDefault="003362FE" w:rsidP="004A0DE8">
            <w:pPr>
              <w:pStyle w:val="Tabletext0"/>
            </w:pPr>
            <w:r w:rsidRPr="004A0DE8">
              <w:t xml:space="preserve">Treatment decisions if PromarkerD was available </w:t>
            </w:r>
          </w:p>
        </w:tc>
        <w:tc>
          <w:tcPr>
            <w:tcW w:w="460" w:type="pct"/>
          </w:tcPr>
          <w:p w14:paraId="09502B16" w14:textId="77777777" w:rsidR="003362FE" w:rsidRPr="004A0DE8" w:rsidRDefault="003362FE" w:rsidP="004A0DE8">
            <w:pPr>
              <w:pStyle w:val="Tabletext0"/>
            </w:pPr>
            <w:r w:rsidRPr="004A0DE8">
              <w:t>N/A</w:t>
            </w:r>
          </w:p>
        </w:tc>
      </w:tr>
    </w:tbl>
    <w:bookmarkEnd w:id="30"/>
    <w:p w14:paraId="51AD4A2A" w14:textId="1655EFE6" w:rsidR="0016569F" w:rsidRPr="00067A24" w:rsidRDefault="0016569F" w:rsidP="00D17F9E">
      <w:pPr>
        <w:spacing w:before="240"/>
      </w:pPr>
      <w:r w:rsidRPr="00067A24">
        <w:t>The Australian survey</w:t>
      </w:r>
      <w:r w:rsidR="00166FF7">
        <w:t>, similar to the Fusfeld study,</w:t>
      </w:r>
      <w:r w:rsidRPr="00067A24">
        <w:t xml:space="preserve"> conducted by the applicant represents changes in clinician </w:t>
      </w:r>
      <w:r w:rsidRPr="00045AC7">
        <w:rPr>
          <w:b/>
          <w:bCs/>
          <w:i/>
          <w:iCs/>
        </w:rPr>
        <w:t>intention</w:t>
      </w:r>
      <w:r w:rsidRPr="00067A24">
        <w:t xml:space="preserve"> based on the hypothesised use of the PromarkerD tool</w:t>
      </w:r>
      <w:r w:rsidR="006E5A41">
        <w:t xml:space="preserve">. The Commentary therefore considered that the survey results </w:t>
      </w:r>
      <w:r w:rsidR="003E1D24">
        <w:t>did</w:t>
      </w:r>
      <w:r w:rsidR="006E5A41">
        <w:t xml:space="preserve"> </w:t>
      </w:r>
      <w:r w:rsidRPr="00067A24">
        <w:t>not</w:t>
      </w:r>
      <w:r w:rsidR="003E1D24">
        <w:t xml:space="preserve"> represent</w:t>
      </w:r>
      <w:r w:rsidRPr="00067A24">
        <w:t xml:space="preserve"> evidence of any actual change in management. </w:t>
      </w:r>
    </w:p>
    <w:p w14:paraId="0003182F" w14:textId="5258489A" w:rsidR="0016569F" w:rsidRPr="00067A24" w:rsidRDefault="006E5A41" w:rsidP="0016569F">
      <w:r>
        <w:lastRenderedPageBreak/>
        <w:t xml:space="preserve">The Commentary noted </w:t>
      </w:r>
      <w:r w:rsidR="005261CF" w:rsidRPr="00067A24">
        <w:t>several</w:t>
      </w:r>
      <w:r w:rsidR="0016569F" w:rsidRPr="00067A24">
        <w:t xml:space="preserve"> methodological issues with the Australian survey</w:t>
      </w:r>
      <w:r w:rsidR="00471E34">
        <w:t>,</w:t>
      </w:r>
      <w:r w:rsidR="0016569F" w:rsidRPr="00067A24">
        <w:t xml:space="preserve"> </w:t>
      </w:r>
      <w:r w:rsidR="003E1D24">
        <w:t>and therefore</w:t>
      </w:r>
      <w:r w:rsidR="0016569F" w:rsidRPr="00067A24">
        <w:t xml:space="preserve"> </w:t>
      </w:r>
      <w:r w:rsidR="008B2BD4">
        <w:t xml:space="preserve">noted that </w:t>
      </w:r>
      <w:r w:rsidR="0016569F" w:rsidRPr="00067A24">
        <w:t>the results may not be reliable. Clinicians answering the survey were provided with</w:t>
      </w:r>
      <w:r w:rsidR="003235F2">
        <w:t xml:space="preserve"> some data about PromarkerD but omitted from the description any discussion </w:t>
      </w:r>
      <w:r w:rsidR="0016569F" w:rsidRPr="00067A24">
        <w:t>about the poor PPV</w:t>
      </w:r>
      <w:r w:rsidR="006270BB">
        <w:t xml:space="preserve">. Clinicians answering the survey </w:t>
      </w:r>
      <w:r w:rsidR="0016569F" w:rsidRPr="00067A24">
        <w:t xml:space="preserve">were not aware of how many false positives PromarkerD would produce. </w:t>
      </w:r>
      <w:r>
        <w:t xml:space="preserve">The Commentary also considered that </w:t>
      </w:r>
      <w:r w:rsidR="0016569F" w:rsidRPr="00067A24">
        <w:t xml:space="preserve">there </w:t>
      </w:r>
      <w:r w:rsidR="003235F2">
        <w:t>we</w:t>
      </w:r>
      <w:r w:rsidR="0016569F" w:rsidRPr="00067A24">
        <w:t>re a number of leading questions in the survey</w:t>
      </w:r>
      <w:r w:rsidR="009B1B43">
        <w:t>;</w:t>
      </w:r>
      <w:r w:rsidR="000D4979">
        <w:t xml:space="preserve"> consequently, </w:t>
      </w:r>
      <w:r w:rsidR="00DD2390">
        <w:t xml:space="preserve">there are </w:t>
      </w:r>
      <w:r w:rsidR="000D4979">
        <w:t xml:space="preserve">some conclusions that have been drawn </w:t>
      </w:r>
      <w:r w:rsidR="006270BB">
        <w:t>about clinicians</w:t>
      </w:r>
      <w:r w:rsidR="00DD2390">
        <w:t>’</w:t>
      </w:r>
      <w:r w:rsidR="006270BB">
        <w:t xml:space="preserve"> attitudes and opinions about PromarkerD </w:t>
      </w:r>
      <w:r w:rsidR="00DD2390">
        <w:t xml:space="preserve">that </w:t>
      </w:r>
      <w:r w:rsidR="000D4979">
        <w:t xml:space="preserve">do not seem reasonable. </w:t>
      </w:r>
      <w:r>
        <w:t>In its pre-ESC response the applicant disputed this, stating that m</w:t>
      </w:r>
      <w:r w:rsidRPr="006E5A41">
        <w:t>ultiple choice questions were used in the survey, as leaving blank fields will likely lead to a low volume of answers, or answers that cannot be standardised in a way to draw overall claims</w:t>
      </w:r>
      <w:r>
        <w:t xml:space="preserve"> but that </w:t>
      </w:r>
      <w:r w:rsidRPr="006E5A41">
        <w:t>options for a respondent to include their own response or to elect a negative response were available</w:t>
      </w:r>
      <w:r>
        <w:t xml:space="preserve">. </w:t>
      </w:r>
    </w:p>
    <w:p w14:paraId="11C37E45" w14:textId="1FE60DEB" w:rsidR="0016569F" w:rsidRDefault="00E55C3B" w:rsidP="0016569F">
      <w:r>
        <w:t xml:space="preserve">One important aspect of the survey was the reporting of results </w:t>
      </w:r>
      <w:r w:rsidR="00C04779">
        <w:t>when PromarkerD was not used</w:t>
      </w:r>
      <w:r w:rsidR="00D24B19">
        <w:t>;</w:t>
      </w:r>
      <w:r w:rsidR="002A3802">
        <w:t xml:space="preserve"> that is, only the KDIGO risk groups were available. In the low</w:t>
      </w:r>
      <w:r w:rsidR="00D24B19">
        <w:t>-</w:t>
      </w:r>
      <w:r w:rsidR="002A3802">
        <w:t xml:space="preserve">risk (green) patients, </w:t>
      </w:r>
      <w:r w:rsidR="0041534C">
        <w:t xml:space="preserve">clinicians reported that they would treat </w:t>
      </w:r>
      <w:r w:rsidR="0041534C" w:rsidRPr="00680118">
        <w:t>57%</w:t>
      </w:r>
      <w:r w:rsidR="003732E7" w:rsidRPr="00680118">
        <w:t xml:space="preserve"> of patients</w:t>
      </w:r>
      <w:r w:rsidR="008F5C81" w:rsidRPr="00680118">
        <w:t xml:space="preserve"> </w:t>
      </w:r>
      <w:r w:rsidR="0041534C" w:rsidRPr="00680118">
        <w:t xml:space="preserve">with </w:t>
      </w:r>
      <w:r w:rsidR="00993261" w:rsidRPr="00680118">
        <w:t xml:space="preserve">glycaemia-lowering, lipid-lowering or antihypertensive medications, while in the </w:t>
      </w:r>
      <w:r w:rsidR="00ED3123" w:rsidRPr="00680118">
        <w:t>moderate</w:t>
      </w:r>
      <w:r w:rsidR="00D24B19" w:rsidRPr="00680118">
        <w:t>-</w:t>
      </w:r>
      <w:r w:rsidR="00ED3123" w:rsidRPr="00680118">
        <w:t>risk (yellow) patients, clinicians reported that they would treat 84%</w:t>
      </w:r>
      <w:r w:rsidR="003732E7" w:rsidRPr="00680118">
        <w:t xml:space="preserve"> of patients</w:t>
      </w:r>
      <w:r w:rsidR="00ED3123" w:rsidRPr="00680118">
        <w:t xml:space="preserve">. </w:t>
      </w:r>
      <w:r w:rsidR="00091B6D" w:rsidRPr="00680118">
        <w:t xml:space="preserve">If the majority of patients in the yellow risk group </w:t>
      </w:r>
      <w:r w:rsidR="00001145" w:rsidRPr="00680118">
        <w:t xml:space="preserve">are (hypothetically) </w:t>
      </w:r>
      <w:r w:rsidR="008F5C81" w:rsidRPr="00680118">
        <w:t>already receiving treat</w:t>
      </w:r>
      <w:r w:rsidR="008F5C81">
        <w:t xml:space="preserve">ment </w:t>
      </w:r>
      <w:r w:rsidR="00BC6BF8">
        <w:t>to prevent CKD progression from</w:t>
      </w:r>
      <w:r w:rsidR="00B5158C">
        <w:t xml:space="preserve"> clinicians, then it is unclear why they would be suitable candidates for PromarkerD.</w:t>
      </w:r>
    </w:p>
    <w:p w14:paraId="55D6041F" w14:textId="5EB5764F" w:rsidR="007B15F6" w:rsidRPr="00067A24" w:rsidRDefault="007E4529" w:rsidP="0016569F">
      <w:r>
        <w:t>The Commentary noted that i</w:t>
      </w:r>
      <w:r w:rsidR="00851EC5">
        <w:t xml:space="preserve">n order to verify claims about PromarkerD’s ability to change management, the </w:t>
      </w:r>
      <w:r w:rsidR="007B15F6">
        <w:t xml:space="preserve">applicants should conduct a study </w:t>
      </w:r>
      <w:r w:rsidR="00851EC5">
        <w:t xml:space="preserve">where PromarkerD is used in </w:t>
      </w:r>
      <w:r w:rsidR="0026159C">
        <w:t xml:space="preserve">a </w:t>
      </w:r>
      <w:r w:rsidR="00851EC5">
        <w:t>cohort of patients</w:t>
      </w:r>
      <w:r w:rsidR="00BC6BF8">
        <w:t xml:space="preserve"> and controls</w:t>
      </w:r>
      <w:r w:rsidR="003E1D24">
        <w:t xml:space="preserve">, </w:t>
      </w:r>
      <w:r w:rsidR="00BC6BF8">
        <w:t>so that</w:t>
      </w:r>
      <w:r w:rsidR="00851EC5">
        <w:t xml:space="preserve"> outcomes </w:t>
      </w:r>
      <w:r w:rsidR="00BC6BF8">
        <w:t xml:space="preserve">can be </w:t>
      </w:r>
      <w:r w:rsidR="00851EC5">
        <w:t xml:space="preserve">followed up over time. </w:t>
      </w:r>
    </w:p>
    <w:p w14:paraId="13CFE394" w14:textId="77777777" w:rsidR="0016569F" w:rsidRPr="00067A24" w:rsidRDefault="0016569F" w:rsidP="0016569F">
      <w:pPr>
        <w:rPr>
          <w:b/>
          <w:bCs/>
          <w:u w:val="single"/>
        </w:rPr>
      </w:pPr>
      <w:r w:rsidRPr="00067A24">
        <w:rPr>
          <w:b/>
          <w:bCs/>
          <w:u w:val="single"/>
        </w:rPr>
        <w:t>Health outcomes</w:t>
      </w:r>
    </w:p>
    <w:p w14:paraId="11C98B23" w14:textId="6C179811" w:rsidR="008638A2" w:rsidRDefault="00EC5477" w:rsidP="00413E6A">
      <w:r>
        <w:t xml:space="preserve">The applicant </w:t>
      </w:r>
      <w:r w:rsidR="002D6889">
        <w:t>reported</w:t>
      </w:r>
      <w:r w:rsidR="004B2CE2">
        <w:t xml:space="preserve"> that</w:t>
      </w:r>
      <w:r w:rsidR="002D6889">
        <w:t xml:space="preserve"> </w:t>
      </w:r>
      <w:r w:rsidR="0026159C">
        <w:t xml:space="preserve">7 </w:t>
      </w:r>
      <w:r w:rsidR="002D6889">
        <w:t>trials related to SGLT2 inhibitors, statins and blood</w:t>
      </w:r>
      <w:r w:rsidR="0026159C">
        <w:t>-</w:t>
      </w:r>
      <w:r w:rsidR="002D6889">
        <w:t>pressure</w:t>
      </w:r>
      <w:r w:rsidR="0026159C">
        <w:t>-</w:t>
      </w:r>
      <w:r w:rsidR="002D6889">
        <w:t>lowering interventions</w:t>
      </w:r>
      <w:r w:rsidR="004B2CE2">
        <w:t xml:space="preserve"> met the inclusion criteria</w:t>
      </w:r>
      <w:r w:rsidR="008D1BB6">
        <w:t>;</w:t>
      </w:r>
      <w:r w:rsidR="002D6889">
        <w:t xml:space="preserve"> however</w:t>
      </w:r>
      <w:r w:rsidR="00A67071">
        <w:t xml:space="preserve"> the Commentary noted that</w:t>
      </w:r>
      <w:r w:rsidR="002D6889">
        <w:t xml:space="preserve"> </w:t>
      </w:r>
      <w:r w:rsidR="004B2CE2">
        <w:t>there is no information about what those inclusion criteria were</w:t>
      </w:r>
      <w:r w:rsidR="00A67071">
        <w:t xml:space="preserve"> and was </w:t>
      </w:r>
      <w:r w:rsidR="004B2CE2">
        <w:t xml:space="preserve">unable to assess whether the evidence reported is </w:t>
      </w:r>
      <w:r w:rsidR="008638A2">
        <w:t xml:space="preserve">reasonable. </w:t>
      </w:r>
    </w:p>
    <w:p w14:paraId="77C17BD2" w14:textId="6D1733B6" w:rsidR="00D17DA1" w:rsidRDefault="008638A2" w:rsidP="00413E6A">
      <w:r>
        <w:t>G</w:t>
      </w:r>
      <w:r w:rsidR="002D6889">
        <w:t xml:space="preserve">iven the </w:t>
      </w:r>
      <w:r w:rsidR="00AB18DC">
        <w:t xml:space="preserve">lack of evidence </w:t>
      </w:r>
      <w:r w:rsidR="00381FCB">
        <w:t>for change in management</w:t>
      </w:r>
      <w:r w:rsidR="00AB18DC">
        <w:t>, th</w:t>
      </w:r>
      <w:r>
        <w:t>e trials that reported health outcomes were</w:t>
      </w:r>
      <w:r w:rsidR="00AB18DC">
        <w:t xml:space="preserve"> not assessed by the </w:t>
      </w:r>
      <w:r w:rsidR="00A67071">
        <w:t xml:space="preserve">Commentary </w:t>
      </w:r>
      <w:r w:rsidR="00381FCB">
        <w:t>as these could not be linked to the effect of Pro</w:t>
      </w:r>
      <w:r w:rsidR="00174CB4">
        <w:t>markerD</w:t>
      </w:r>
      <w:r w:rsidR="00AB18DC">
        <w:t>.</w:t>
      </w:r>
    </w:p>
    <w:p w14:paraId="2E928D04" w14:textId="7D9EBFFF" w:rsidR="00A67071" w:rsidRDefault="00A67071" w:rsidP="00413E6A">
      <w:r>
        <w:t>In its pre-ESC response</w:t>
      </w:r>
      <w:r w:rsidR="008F4EA7">
        <w:t>,</w:t>
      </w:r>
      <w:r>
        <w:t xml:space="preserve"> the applicant referred to </w:t>
      </w:r>
      <w:r w:rsidRPr="00A67071">
        <w:t>Appendix A of the ADAR</w:t>
      </w:r>
      <w:r>
        <w:t xml:space="preserve"> for information on inclusion criteria. </w:t>
      </w:r>
    </w:p>
    <w:p w14:paraId="2D8FEB46" w14:textId="01CCE22F" w:rsidR="00D17DA1" w:rsidRPr="00174CB4" w:rsidRDefault="00D17DA1" w:rsidP="0016569F">
      <w:pPr>
        <w:pStyle w:val="TableText"/>
        <w:rPr>
          <w:rFonts w:ascii="Franklin Gothic Book" w:hAnsi="Franklin Gothic Book"/>
          <w:b/>
          <w:bCs/>
          <w:sz w:val="22"/>
          <w:u w:val="single"/>
        </w:rPr>
      </w:pPr>
      <w:r w:rsidRPr="00DF20A4">
        <w:rPr>
          <w:rFonts w:ascii="Franklin Gothic Book" w:hAnsi="Franklin Gothic Book"/>
          <w:b/>
          <w:bCs/>
          <w:sz w:val="22"/>
          <w:u w:val="single"/>
        </w:rPr>
        <w:t>Limitations of the evidence</w:t>
      </w:r>
    </w:p>
    <w:p w14:paraId="5767D6A7" w14:textId="462249F3" w:rsidR="00A4510E" w:rsidRDefault="00156042" w:rsidP="00D17DA1">
      <w:pPr>
        <w:autoSpaceDE w:val="0"/>
        <w:autoSpaceDN w:val="0"/>
        <w:adjustRightInd w:val="0"/>
        <w:spacing w:before="0"/>
        <w:jc w:val="both"/>
      </w:pPr>
      <w:r>
        <w:t xml:space="preserve">The Commentary noted </w:t>
      </w:r>
      <w:r w:rsidR="00D17DA1" w:rsidRPr="00DD611D">
        <w:t>severa</w:t>
      </w:r>
      <w:r w:rsidR="00D17DA1" w:rsidRPr="00812D9E">
        <w:t xml:space="preserve">l methodological issues </w:t>
      </w:r>
      <w:r w:rsidR="00295846">
        <w:t>regarding</w:t>
      </w:r>
      <w:r w:rsidR="00295846" w:rsidRPr="00812D9E">
        <w:t xml:space="preserve"> </w:t>
      </w:r>
      <w:r w:rsidR="00E97190">
        <w:t>how</w:t>
      </w:r>
      <w:r w:rsidR="00D17DA1" w:rsidRPr="00812D9E">
        <w:t xml:space="preserve"> the systematic review </w:t>
      </w:r>
      <w:r w:rsidR="00E97190">
        <w:t xml:space="preserve">was </w:t>
      </w:r>
      <w:r w:rsidR="00D17DA1" w:rsidRPr="00812D9E">
        <w:t xml:space="preserve">reported in this ADAR; specifically, the search </w:t>
      </w:r>
      <w:r w:rsidR="008638A2">
        <w:t>was</w:t>
      </w:r>
      <w:r w:rsidR="00D17DA1" w:rsidRPr="00812D9E">
        <w:t xml:space="preserve"> inadequate to be confident that all relevant studies were identified</w:t>
      </w:r>
      <w:r w:rsidR="00EF7AE9">
        <w:t>,</w:t>
      </w:r>
      <w:r w:rsidR="00D17DA1" w:rsidRPr="00812D9E">
        <w:t xml:space="preserve"> and </w:t>
      </w:r>
      <w:r w:rsidR="00171B3C">
        <w:t xml:space="preserve">the </w:t>
      </w:r>
      <w:r w:rsidR="0052607E" w:rsidRPr="0052607E">
        <w:t xml:space="preserve">Preferred Reporting Items for Systematic Reviews and Meta-Analyses </w:t>
      </w:r>
      <w:r w:rsidR="0052607E">
        <w:t>(</w:t>
      </w:r>
      <w:r w:rsidR="00171B3C">
        <w:t>PRISMA</w:t>
      </w:r>
      <w:r w:rsidR="0052607E">
        <w:t>)</w:t>
      </w:r>
      <w:r w:rsidR="00171B3C">
        <w:t xml:space="preserve"> diagram is inaccurate. </w:t>
      </w:r>
    </w:p>
    <w:p w14:paraId="1632BD11" w14:textId="7F8B46DD" w:rsidR="00D17DA1" w:rsidRPr="00812D9E" w:rsidRDefault="00156042" w:rsidP="0052560D">
      <w:pPr>
        <w:autoSpaceDE w:val="0"/>
        <w:autoSpaceDN w:val="0"/>
        <w:adjustRightInd w:val="0"/>
        <w:spacing w:before="0"/>
        <w:jc w:val="both"/>
      </w:pPr>
      <w:r>
        <w:t>The Commentary noted that while t</w:t>
      </w:r>
      <w:r w:rsidR="00D17DA1" w:rsidRPr="00812D9E">
        <w:t xml:space="preserve">he applicants have provided what appear to be GRADE Summary of Findings tables these are not complete or accurate. </w:t>
      </w:r>
      <w:r>
        <w:t>The Commentary noted that n</w:t>
      </w:r>
      <w:r w:rsidR="0052560D">
        <w:t xml:space="preserve">one </w:t>
      </w:r>
      <w:r w:rsidR="0052560D" w:rsidRPr="00812D9E">
        <w:t>of the included studies have been assessed for quality</w:t>
      </w:r>
      <w:r w:rsidR="00BC2241">
        <w:t>,</w:t>
      </w:r>
      <w:r w:rsidR="0052560D">
        <w:t xml:space="preserve"> t</w:t>
      </w:r>
      <w:r w:rsidR="00D17DA1" w:rsidRPr="00812D9E">
        <w:t>here is no supporting information provided and the applicants have graded all studies as having a low risk of bias</w:t>
      </w:r>
      <w:r w:rsidR="00EF7AE9">
        <w:t>,</w:t>
      </w:r>
      <w:r w:rsidR="00BF1A7A">
        <w:t xml:space="preserve"> which does not match the assessment group</w:t>
      </w:r>
      <w:r w:rsidR="00295846">
        <w:t>’</w:t>
      </w:r>
      <w:r w:rsidR="00BF1A7A">
        <w:t>s independent quality assessments.</w:t>
      </w:r>
      <w:r w:rsidR="00517FE3">
        <w:t xml:space="preserve"> </w:t>
      </w:r>
      <w:r>
        <w:t xml:space="preserve">The Commentary’s </w:t>
      </w:r>
      <w:r w:rsidR="00D17DA1" w:rsidRPr="00812D9E">
        <w:t xml:space="preserve">quality assessments on the </w:t>
      </w:r>
      <w:r w:rsidR="00BC2241">
        <w:t>2</w:t>
      </w:r>
      <w:r w:rsidR="00BC2241" w:rsidRPr="00812D9E">
        <w:t xml:space="preserve"> </w:t>
      </w:r>
      <w:r w:rsidR="00D17DA1" w:rsidRPr="00812D9E">
        <w:t xml:space="preserve">studies thought to provide the most relevant information for this ADAR </w:t>
      </w:r>
      <w:r w:rsidR="00BC2241">
        <w:t>(</w:t>
      </w:r>
      <w:r w:rsidR="00D17DA1" w:rsidRPr="00812D9E">
        <w:t>Peters 2019 and Peters 2020</w:t>
      </w:r>
      <w:r w:rsidR="00BC2241">
        <w:t>)</w:t>
      </w:r>
      <w:r w:rsidR="00D17DA1" w:rsidRPr="00812D9E">
        <w:t xml:space="preserve"> </w:t>
      </w:r>
      <w:r w:rsidR="00295846">
        <w:t xml:space="preserve">were both </w:t>
      </w:r>
      <w:r w:rsidR="00D17DA1" w:rsidRPr="00812D9E">
        <w:t>found to be a</w:t>
      </w:r>
      <w:r w:rsidR="00BC2241">
        <w:t>t</w:t>
      </w:r>
      <w:r w:rsidR="00D17DA1" w:rsidRPr="00812D9E">
        <w:t xml:space="preserve"> high risk of bias. </w:t>
      </w:r>
    </w:p>
    <w:p w14:paraId="126F268E" w14:textId="1D2A9269" w:rsidR="0016569F" w:rsidRPr="00174CB4" w:rsidRDefault="00156042" w:rsidP="00174CB4">
      <w:pPr>
        <w:pStyle w:val="TableText"/>
        <w:rPr>
          <w:rFonts w:ascii="Franklin Gothic Book" w:hAnsi="Franklin Gothic Book"/>
          <w:sz w:val="22"/>
        </w:rPr>
      </w:pPr>
      <w:r>
        <w:rPr>
          <w:rFonts w:ascii="Franklin Gothic Book" w:hAnsi="Franklin Gothic Book"/>
          <w:sz w:val="22"/>
        </w:rPr>
        <w:t>The Commentary noted that t</w:t>
      </w:r>
      <w:r w:rsidR="0052560D">
        <w:rPr>
          <w:rFonts w:ascii="Franklin Gothic Book" w:hAnsi="Franklin Gothic Book"/>
          <w:sz w:val="22"/>
        </w:rPr>
        <w:t xml:space="preserve">here are several places in the ADAR where </w:t>
      </w:r>
      <w:r w:rsidR="00435E63">
        <w:rPr>
          <w:rFonts w:ascii="Franklin Gothic Book" w:hAnsi="Franklin Gothic Book"/>
          <w:sz w:val="22"/>
        </w:rPr>
        <w:t>data is missing, especially for the test accuracy section, outcomes for predictive models and safety data.</w:t>
      </w:r>
    </w:p>
    <w:p w14:paraId="213924C6" w14:textId="11D5654C" w:rsidR="00772829" w:rsidRPr="009913BE" w:rsidRDefault="00772829" w:rsidP="008F4EA7">
      <w:pPr>
        <w:keepNext/>
        <w:keepLines/>
        <w:tabs>
          <w:tab w:val="left" w:pos="720"/>
          <w:tab w:val="left" w:pos="1140"/>
        </w:tabs>
        <w:spacing w:before="240" w:after="120"/>
        <w:rPr>
          <w:b/>
          <w:u w:val="single"/>
        </w:rPr>
      </w:pPr>
      <w:r w:rsidRPr="009913BE">
        <w:rPr>
          <w:b/>
          <w:u w:val="single"/>
        </w:rPr>
        <w:lastRenderedPageBreak/>
        <w:t>Clinical claim</w:t>
      </w:r>
    </w:p>
    <w:p w14:paraId="56CA17C0" w14:textId="7E7B7017" w:rsidR="00F40085" w:rsidRPr="00F5528C" w:rsidRDefault="00F40085" w:rsidP="008F4EA7">
      <w:pPr>
        <w:pStyle w:val="Instructionaltext"/>
        <w:keepNext/>
        <w:keepLines/>
        <w:rPr>
          <w:color w:val="auto"/>
        </w:rPr>
      </w:pPr>
      <w:r w:rsidRPr="00F5528C">
        <w:rPr>
          <w:color w:val="auto"/>
        </w:rPr>
        <w:t>The clinical claim made by the applicant is that</w:t>
      </w:r>
      <w:r w:rsidR="00F5528C" w:rsidRPr="00F5528C">
        <w:rPr>
          <w:color w:val="auto"/>
        </w:rPr>
        <w:t>:</w:t>
      </w:r>
    </w:p>
    <w:p w14:paraId="27B91537" w14:textId="135E55A5" w:rsidR="00F5528C" w:rsidRPr="007429B3" w:rsidRDefault="00B7019F" w:rsidP="004B5B09">
      <w:pPr>
        <w:pStyle w:val="ListParagraph"/>
        <w:numPr>
          <w:ilvl w:val="0"/>
          <w:numId w:val="20"/>
        </w:numPr>
      </w:pPr>
      <w:r>
        <w:t>t</w:t>
      </w:r>
      <w:r w:rsidR="00F5528C" w:rsidRPr="007429B3">
        <w:t>he use of PromarkerD results in superior effectiveness compared with standard of care (no predictive test)</w:t>
      </w:r>
    </w:p>
    <w:p w14:paraId="026FB60E" w14:textId="095F27B4" w:rsidR="00F5528C" w:rsidRPr="007429B3" w:rsidRDefault="0052724C" w:rsidP="004B5B09">
      <w:pPr>
        <w:pStyle w:val="ListParagraph"/>
        <w:numPr>
          <w:ilvl w:val="0"/>
          <w:numId w:val="20"/>
        </w:numPr>
      </w:pPr>
      <w:r>
        <w:t>t</w:t>
      </w:r>
      <w:r w:rsidR="00F5528C" w:rsidRPr="007429B3">
        <w:t xml:space="preserve">he use of </w:t>
      </w:r>
      <w:r w:rsidR="00F5528C">
        <w:t>PromarkerD</w:t>
      </w:r>
      <w:r w:rsidR="00F5528C" w:rsidRPr="007429B3">
        <w:t xml:space="preserve"> results in inferior safety compared with </w:t>
      </w:r>
      <w:r w:rsidR="00F5528C">
        <w:t xml:space="preserve">standard of care (no predictive tests) solely as a result of downstream changes in management and these safety implications are not directly related </w:t>
      </w:r>
      <w:r>
        <w:t>to</w:t>
      </w:r>
      <w:r w:rsidR="00F5528C">
        <w:t xml:space="preserve"> the use of the PromarkerD test itself. </w:t>
      </w:r>
    </w:p>
    <w:p w14:paraId="5EF0B8BC" w14:textId="6FF8911F" w:rsidR="00F5528C" w:rsidRPr="003251C2" w:rsidRDefault="008203D3" w:rsidP="00174CB4">
      <w:r w:rsidRPr="008203D3">
        <w:t xml:space="preserve">The </w:t>
      </w:r>
      <w:r w:rsidR="00156042">
        <w:t xml:space="preserve">Commentary concluded that </w:t>
      </w:r>
      <w:r w:rsidRPr="008203D3">
        <w:t xml:space="preserve">the body of evidence presented is </w:t>
      </w:r>
      <w:r w:rsidR="00156042">
        <w:t>in</w:t>
      </w:r>
      <w:r w:rsidRPr="008203D3">
        <w:t xml:space="preserve">sufficient to support any clinical claim about the use of PromarkerD in </w:t>
      </w:r>
      <w:r w:rsidR="003C2AEE">
        <w:t xml:space="preserve">T2DM </w:t>
      </w:r>
      <w:r w:rsidRPr="008203D3">
        <w:t xml:space="preserve">patients </w:t>
      </w:r>
      <w:r w:rsidR="003C2AEE">
        <w:t>who are at</w:t>
      </w:r>
      <w:r w:rsidR="003C2AEE" w:rsidRPr="008203D3">
        <w:t xml:space="preserve"> </w:t>
      </w:r>
      <w:r w:rsidRPr="008203D3">
        <w:t>low</w:t>
      </w:r>
      <w:r w:rsidR="006D1A56">
        <w:t>-</w:t>
      </w:r>
      <w:r w:rsidRPr="008203D3">
        <w:t xml:space="preserve">risk </w:t>
      </w:r>
      <w:r w:rsidR="003C2AEE">
        <w:t>of developing CKD</w:t>
      </w:r>
      <w:r w:rsidRPr="008203D3">
        <w:t>.</w:t>
      </w:r>
    </w:p>
    <w:p w14:paraId="7CFC89A3" w14:textId="2B0CFAA5" w:rsidR="00104513" w:rsidRPr="00CE28E3" w:rsidRDefault="00104513" w:rsidP="00104513">
      <w:pPr>
        <w:pStyle w:val="Heading2"/>
        <w:numPr>
          <w:ilvl w:val="0"/>
          <w:numId w:val="0"/>
        </w:numPr>
      </w:pPr>
      <w:bookmarkStart w:id="31" w:name="_Toc69491425"/>
      <w:r>
        <w:t>1</w:t>
      </w:r>
      <w:r w:rsidR="000D5B30">
        <w:t>3</w:t>
      </w:r>
      <w:r>
        <w:t>.</w:t>
      </w:r>
      <w:r>
        <w:tab/>
      </w:r>
      <w:r w:rsidRPr="00CE28E3">
        <w:t>Economic evaluation</w:t>
      </w:r>
      <w:bookmarkEnd w:id="31"/>
    </w:p>
    <w:p w14:paraId="73C291F8" w14:textId="0A66D9EC" w:rsidR="008F4EA7" w:rsidRPr="008F4EA7" w:rsidRDefault="00104513" w:rsidP="008F4EA7">
      <w:r>
        <w:t>A</w:t>
      </w:r>
      <w:r w:rsidRPr="009E19AF">
        <w:t xml:space="preserve"> cost-utility analysis is </w:t>
      </w:r>
      <w:r>
        <w:t>presented in the</w:t>
      </w:r>
      <w:r w:rsidR="00FC0340">
        <w:t xml:space="preserve"> ADAR</w:t>
      </w:r>
      <w:r>
        <w:t xml:space="preserve"> to quantify the benefits of using </w:t>
      </w:r>
      <w:r w:rsidRPr="000B5C74">
        <w:t xml:space="preserve">PromarkerD to predict DKD </w:t>
      </w:r>
      <w:r>
        <w:t xml:space="preserve">incidence among </w:t>
      </w:r>
      <w:r w:rsidRPr="000B5C74">
        <w:t>T2DM</w:t>
      </w:r>
      <w:r>
        <w:t xml:space="preserve"> patients. The selected </w:t>
      </w:r>
      <w:r w:rsidRPr="009E19AF">
        <w:t>approach is appropriate given the claim of clinical superiority</w:t>
      </w:r>
      <w:r>
        <w:t>. A</w:t>
      </w:r>
      <w:r w:rsidRPr="00FC10B9">
        <w:t xml:space="preserve"> </w:t>
      </w:r>
      <w:r w:rsidRPr="002B539A">
        <w:t xml:space="preserve">Markov, Monte-Carlo individual patient simulation model </w:t>
      </w:r>
      <w:r>
        <w:t xml:space="preserve">was developed in Excel, which aims to capture the costs and clinical benefits of </w:t>
      </w:r>
      <w:r w:rsidRPr="000B5C74">
        <w:t xml:space="preserve">earlier detection of patients at risk </w:t>
      </w:r>
      <w:r>
        <w:t xml:space="preserve">of DKD and </w:t>
      </w:r>
      <w:r w:rsidRPr="000B5C74">
        <w:t xml:space="preserve">potentially </w:t>
      </w:r>
      <w:r>
        <w:t xml:space="preserve">initiate or intensify treatment to decrease the rate of progression to more severe forms of the disease. The model includes </w:t>
      </w:r>
      <w:r w:rsidRPr="00251FFE">
        <w:t>Pre DKD</w:t>
      </w:r>
      <w:r>
        <w:t xml:space="preserve"> (&lt;</w:t>
      </w:r>
      <w:r w:rsidRPr="00251FFE">
        <w:t xml:space="preserve">DKD </w:t>
      </w:r>
      <w:r>
        <w:t>S</w:t>
      </w:r>
      <w:r w:rsidRPr="00251FFE">
        <w:t>tage 3a</w:t>
      </w:r>
      <w:r>
        <w:t>), along with pre- and p</w:t>
      </w:r>
      <w:r w:rsidRPr="00251FFE">
        <w:t>ost</w:t>
      </w:r>
      <w:r>
        <w:t>-k</w:t>
      </w:r>
      <w:r w:rsidRPr="00251FFE">
        <w:t>idney</w:t>
      </w:r>
      <w:r>
        <w:t>-</w:t>
      </w:r>
      <w:r w:rsidRPr="00251FFE">
        <w:t xml:space="preserve">transplant DKD </w:t>
      </w:r>
      <w:r>
        <w:t>S</w:t>
      </w:r>
      <w:r w:rsidRPr="00251FFE">
        <w:t>tage</w:t>
      </w:r>
      <w:r>
        <w:t>s</w:t>
      </w:r>
      <w:r w:rsidRPr="00251FFE">
        <w:t xml:space="preserve"> 3a</w:t>
      </w:r>
      <w:r>
        <w:t>, 3b, 4, 5 and death. Each state was assigned a utility value derived from the literature. The economic analysis includes a base 30-year projection and 1 year cycle length. A summary of the m</w:t>
      </w:r>
      <w:r w:rsidRPr="0086353C">
        <w:t xml:space="preserve">odel elements </w:t>
      </w:r>
      <w:r>
        <w:t>is</w:t>
      </w:r>
      <w:r w:rsidRPr="0086353C">
        <w:t xml:space="preserve"> provided in</w:t>
      </w:r>
      <w:r>
        <w:t xml:space="preserve"> </w:t>
      </w:r>
      <w:r w:rsidR="00F4629B">
        <w:t xml:space="preserve">Table </w:t>
      </w:r>
      <w:r w:rsidR="00453E31">
        <w:t>7</w:t>
      </w:r>
      <w:r w:rsidRPr="0086353C">
        <w:t xml:space="preserve">. </w:t>
      </w:r>
      <w:bookmarkStart w:id="32" w:name="_Ref480972710"/>
      <w:bookmarkStart w:id="33" w:name="_Toc481054993"/>
      <w:bookmarkStart w:id="34" w:name="_Toc481145152"/>
      <w:r w:rsidR="008F4EA7">
        <w:br w:type="page"/>
      </w:r>
    </w:p>
    <w:p w14:paraId="525B2D14" w14:textId="695818F6" w:rsidR="00104513" w:rsidRDefault="00104513" w:rsidP="00104513">
      <w:pPr>
        <w:pStyle w:val="Caption"/>
      </w:pPr>
      <w:r w:rsidRPr="0086353C">
        <w:lastRenderedPageBreak/>
        <w:t>Table</w:t>
      </w:r>
      <w:r w:rsidR="00453E31">
        <w:t xml:space="preserve"> 7</w:t>
      </w:r>
      <w:bookmarkEnd w:id="32"/>
      <w:r w:rsidRPr="0086353C">
        <w:tab/>
        <w:t>Element of the economic model included in the evaluation</w:t>
      </w:r>
      <w:bookmarkEnd w:id="33"/>
      <w:bookmarkEnd w:id="34"/>
    </w:p>
    <w:tbl>
      <w:tblPr>
        <w:tblStyle w:val="TableGrid1"/>
        <w:tblW w:w="5000" w:type="pct"/>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2317"/>
        <w:gridCol w:w="6699"/>
      </w:tblGrid>
      <w:tr w:rsidR="00104513" w:rsidRPr="00CE28E3" w14:paraId="341B5C4E" w14:textId="77777777" w:rsidTr="002F6658">
        <w:trPr>
          <w:cnfStyle w:val="100000000000" w:firstRow="1" w:lastRow="0" w:firstColumn="0" w:lastColumn="0" w:oddVBand="0" w:evenVBand="0" w:oddHBand="0" w:evenHBand="0" w:firstRowFirstColumn="0" w:firstRowLastColumn="0" w:lastRowFirstColumn="0" w:lastRowLastColumn="0"/>
          <w:tblHeader/>
        </w:trPr>
        <w:tc>
          <w:tcPr>
            <w:tcW w:w="1285" w:type="pct"/>
          </w:tcPr>
          <w:p w14:paraId="0EDD49EF" w14:textId="77777777" w:rsidR="00104513" w:rsidRPr="000449D1" w:rsidRDefault="00104513" w:rsidP="002F6658">
            <w:pPr>
              <w:pStyle w:val="TableHeading"/>
            </w:pPr>
            <w:bookmarkStart w:id="35" w:name="Title_Table5"/>
            <w:bookmarkStart w:id="36" w:name="_Hlk68276446"/>
            <w:bookmarkEnd w:id="35"/>
            <w:r w:rsidRPr="000449D1">
              <w:t>Component</w:t>
            </w:r>
          </w:p>
        </w:tc>
        <w:tc>
          <w:tcPr>
            <w:tcW w:w="3715" w:type="pct"/>
          </w:tcPr>
          <w:p w14:paraId="5A6A1E5B" w14:textId="77777777" w:rsidR="00104513" w:rsidRPr="000449D1" w:rsidRDefault="00104513" w:rsidP="002F6658">
            <w:pPr>
              <w:pStyle w:val="TableHeading"/>
            </w:pPr>
            <w:r w:rsidRPr="000449D1">
              <w:t>Description</w:t>
            </w:r>
          </w:p>
        </w:tc>
      </w:tr>
      <w:tr w:rsidR="00104513" w:rsidRPr="000449D1" w14:paraId="6950483F" w14:textId="77777777" w:rsidTr="002F6658">
        <w:tc>
          <w:tcPr>
            <w:tcW w:w="1285" w:type="pct"/>
          </w:tcPr>
          <w:p w14:paraId="18B0EE9C" w14:textId="77777777" w:rsidR="00104513" w:rsidRPr="000449D1" w:rsidRDefault="00104513" w:rsidP="002F6658">
            <w:pPr>
              <w:pStyle w:val="TableText"/>
            </w:pPr>
            <w:r w:rsidRPr="000449D1">
              <w:t>Perspective</w:t>
            </w:r>
          </w:p>
        </w:tc>
        <w:tc>
          <w:tcPr>
            <w:tcW w:w="3715" w:type="pct"/>
          </w:tcPr>
          <w:p w14:paraId="56BE9B15" w14:textId="77777777" w:rsidR="00104513" w:rsidRPr="000449D1" w:rsidRDefault="00104513" w:rsidP="002F6658">
            <w:pPr>
              <w:pStyle w:val="TableText"/>
            </w:pPr>
            <w:r w:rsidRPr="0086353C">
              <w:rPr>
                <w:szCs w:val="24"/>
              </w:rPr>
              <w:t>Australian health system</w:t>
            </w:r>
          </w:p>
        </w:tc>
      </w:tr>
      <w:tr w:rsidR="00104513" w:rsidRPr="000449D1" w14:paraId="5D36831D" w14:textId="77777777" w:rsidTr="002F6658">
        <w:trPr>
          <w:tblHeader/>
        </w:trPr>
        <w:tc>
          <w:tcPr>
            <w:tcW w:w="1285" w:type="pct"/>
          </w:tcPr>
          <w:p w14:paraId="47F08E00" w14:textId="77777777" w:rsidR="00104513" w:rsidRPr="000449D1" w:rsidRDefault="00104513" w:rsidP="002F6658">
            <w:pPr>
              <w:pStyle w:val="TableText"/>
            </w:pPr>
            <w:r w:rsidRPr="000449D1">
              <w:t>Population</w:t>
            </w:r>
          </w:p>
        </w:tc>
        <w:tc>
          <w:tcPr>
            <w:tcW w:w="3715" w:type="pct"/>
          </w:tcPr>
          <w:p w14:paraId="72846C2A" w14:textId="77777777" w:rsidR="00104513" w:rsidRPr="00A60169" w:rsidRDefault="00104513" w:rsidP="002F6658">
            <w:pPr>
              <w:pStyle w:val="TableText"/>
            </w:pPr>
            <w:r w:rsidRPr="00A60169">
              <w:t>Patients with a diagnosis of T2DM; eGFR ≥60</w:t>
            </w:r>
            <w:r>
              <w:t> </w:t>
            </w:r>
            <w:r w:rsidRPr="00A60169">
              <w:t>ml/min/1.73m</w:t>
            </w:r>
            <w:r w:rsidRPr="00201E72">
              <w:rPr>
                <w:vertAlign w:val="superscript"/>
              </w:rPr>
              <w:t>2</w:t>
            </w:r>
            <w:r w:rsidRPr="00A60169">
              <w:t>; and uACR ≤30 mg/mmol</w:t>
            </w:r>
          </w:p>
        </w:tc>
      </w:tr>
      <w:tr w:rsidR="00104513" w:rsidRPr="000449D1" w14:paraId="5BFBB40A" w14:textId="77777777" w:rsidTr="002F6658">
        <w:tc>
          <w:tcPr>
            <w:tcW w:w="1285" w:type="pct"/>
          </w:tcPr>
          <w:p w14:paraId="0F50D31E" w14:textId="77777777" w:rsidR="00104513" w:rsidRPr="000449D1" w:rsidRDefault="00104513" w:rsidP="002F6658">
            <w:pPr>
              <w:pStyle w:val="TableText"/>
            </w:pPr>
            <w:r w:rsidRPr="000449D1">
              <w:t>Prior testing</w:t>
            </w:r>
          </w:p>
        </w:tc>
        <w:tc>
          <w:tcPr>
            <w:tcW w:w="3715" w:type="pct"/>
          </w:tcPr>
          <w:p w14:paraId="2ABFE8BC" w14:textId="77777777" w:rsidR="00104513" w:rsidRPr="00A60169" w:rsidRDefault="00104513" w:rsidP="002F6658">
            <w:pPr>
              <w:pStyle w:val="TableText"/>
            </w:pPr>
            <w:r w:rsidRPr="00A60169">
              <w:t>Diagnostic tests for diabetes:</w:t>
            </w:r>
          </w:p>
          <w:p w14:paraId="1F504F0A" w14:textId="77777777" w:rsidR="00104513" w:rsidRPr="00A60169" w:rsidRDefault="00104513" w:rsidP="002F6658">
            <w:pPr>
              <w:pStyle w:val="TableText"/>
              <w:numPr>
                <w:ilvl w:val="0"/>
                <w:numId w:val="18"/>
              </w:numPr>
            </w:pPr>
            <w:r>
              <w:t>s</w:t>
            </w:r>
            <w:r w:rsidRPr="00A60169">
              <w:t>erum creatinine to determine eGFR</w:t>
            </w:r>
          </w:p>
          <w:p w14:paraId="66F4E4D5" w14:textId="77777777" w:rsidR="00104513" w:rsidRPr="000449D1" w:rsidRDefault="00104513" w:rsidP="002F6658">
            <w:pPr>
              <w:pStyle w:val="TableText"/>
              <w:numPr>
                <w:ilvl w:val="0"/>
                <w:numId w:val="18"/>
              </w:numPr>
            </w:pPr>
            <w:r>
              <w:t>u</w:t>
            </w:r>
            <w:r w:rsidRPr="00A60169">
              <w:t>rine albumin and urine creatinine to determine uACR</w:t>
            </w:r>
            <w:r>
              <w:t>.</w:t>
            </w:r>
          </w:p>
        </w:tc>
      </w:tr>
      <w:tr w:rsidR="00104513" w:rsidRPr="000449D1" w14:paraId="37AB2249" w14:textId="77777777" w:rsidTr="002F6658">
        <w:tc>
          <w:tcPr>
            <w:tcW w:w="1285" w:type="pct"/>
          </w:tcPr>
          <w:p w14:paraId="6236DCB7" w14:textId="77777777" w:rsidR="00104513" w:rsidRPr="000449D1" w:rsidRDefault="00104513" w:rsidP="002F6658">
            <w:pPr>
              <w:pStyle w:val="TableText"/>
            </w:pPr>
            <w:r w:rsidRPr="000449D1">
              <w:t>Comparator</w:t>
            </w:r>
          </w:p>
        </w:tc>
        <w:tc>
          <w:tcPr>
            <w:tcW w:w="3715" w:type="pct"/>
          </w:tcPr>
          <w:p w14:paraId="6DBE46B3" w14:textId="77777777" w:rsidR="00104513" w:rsidRPr="000449D1" w:rsidRDefault="00104513" w:rsidP="002F6658">
            <w:pPr>
              <w:pStyle w:val="TableText"/>
            </w:pPr>
            <w:r>
              <w:t>The Submission refers to s</w:t>
            </w:r>
            <w:r w:rsidRPr="00A60169">
              <w:t xml:space="preserve">tandard of care, </w:t>
            </w:r>
            <w:r>
              <w:t xml:space="preserve">as </w:t>
            </w:r>
            <w:r w:rsidRPr="00A60169">
              <w:t>no current investigative test to predict onset of DKD is available</w:t>
            </w:r>
            <w:r>
              <w:t xml:space="preserve">. eGFR and </w:t>
            </w:r>
            <w:r w:rsidRPr="00A60169">
              <w:t>uACR</w:t>
            </w:r>
            <w:r>
              <w:t xml:space="preserve"> tests are used to derive </w:t>
            </w:r>
            <w:r w:rsidRPr="00A60169">
              <w:t xml:space="preserve">Kidney Disease Improving Global Outcomes (KDIGO) </w:t>
            </w:r>
            <w:r>
              <w:t>risk scores</w:t>
            </w:r>
            <w:r w:rsidRPr="00A60169">
              <w:t xml:space="preserve"> (Levin et al 2013).</w:t>
            </w:r>
            <w:r>
              <w:t xml:space="preserve"> PromarkerD prognostic accuracy should be compared to these risk profiles.</w:t>
            </w:r>
          </w:p>
        </w:tc>
      </w:tr>
      <w:tr w:rsidR="00104513" w:rsidRPr="000449D1" w14:paraId="498C09CB" w14:textId="77777777" w:rsidTr="002F6658">
        <w:tc>
          <w:tcPr>
            <w:tcW w:w="1285" w:type="pct"/>
          </w:tcPr>
          <w:p w14:paraId="3B4F1BAB" w14:textId="77777777" w:rsidR="00104513" w:rsidRPr="000449D1" w:rsidRDefault="00104513" w:rsidP="002F6658">
            <w:pPr>
              <w:pStyle w:val="TableText"/>
            </w:pPr>
            <w:r w:rsidRPr="000449D1">
              <w:t>Type(s) of analysis</w:t>
            </w:r>
          </w:p>
        </w:tc>
        <w:tc>
          <w:tcPr>
            <w:tcW w:w="3715" w:type="pct"/>
          </w:tcPr>
          <w:p w14:paraId="64E53E18" w14:textId="77777777" w:rsidR="00104513" w:rsidRPr="000449D1" w:rsidRDefault="00104513" w:rsidP="002F6658">
            <w:pPr>
              <w:pStyle w:val="TableText"/>
            </w:pPr>
            <w:r>
              <w:t>C</w:t>
            </w:r>
            <w:r w:rsidRPr="000449D1">
              <w:t>ost-utility analysis</w:t>
            </w:r>
          </w:p>
        </w:tc>
      </w:tr>
      <w:tr w:rsidR="00104513" w:rsidRPr="000449D1" w14:paraId="2885DD08" w14:textId="77777777" w:rsidTr="002F6658">
        <w:tc>
          <w:tcPr>
            <w:tcW w:w="1285" w:type="pct"/>
          </w:tcPr>
          <w:p w14:paraId="1C6079E1" w14:textId="77777777" w:rsidR="00104513" w:rsidRPr="000449D1" w:rsidRDefault="00104513" w:rsidP="002F6658">
            <w:pPr>
              <w:pStyle w:val="TableText"/>
            </w:pPr>
            <w:r w:rsidRPr="000449D1">
              <w:t>Outcomes</w:t>
            </w:r>
          </w:p>
        </w:tc>
        <w:tc>
          <w:tcPr>
            <w:tcW w:w="3715" w:type="pct"/>
          </w:tcPr>
          <w:p w14:paraId="3C306B01" w14:textId="77777777" w:rsidR="00104513" w:rsidRPr="000449D1" w:rsidRDefault="00104513" w:rsidP="002F6658">
            <w:pPr>
              <w:pStyle w:val="TableText"/>
            </w:pPr>
            <w:r>
              <w:t>L</w:t>
            </w:r>
            <w:r w:rsidRPr="000449D1">
              <w:t>ife</w:t>
            </w:r>
            <w:r>
              <w:t xml:space="preserve"> </w:t>
            </w:r>
            <w:r w:rsidRPr="000449D1">
              <w:t>years gained, quality-adjusted life years</w:t>
            </w:r>
          </w:p>
        </w:tc>
      </w:tr>
      <w:tr w:rsidR="00104513" w:rsidRPr="000449D1" w14:paraId="3F6221BC" w14:textId="77777777" w:rsidTr="002F6658">
        <w:tc>
          <w:tcPr>
            <w:tcW w:w="1285" w:type="pct"/>
          </w:tcPr>
          <w:p w14:paraId="327D4350" w14:textId="77777777" w:rsidR="00104513" w:rsidRPr="000449D1" w:rsidRDefault="00104513" w:rsidP="002F6658">
            <w:pPr>
              <w:pStyle w:val="TableText"/>
            </w:pPr>
            <w:r w:rsidRPr="000449D1">
              <w:t>Time horizon</w:t>
            </w:r>
          </w:p>
        </w:tc>
        <w:tc>
          <w:tcPr>
            <w:tcW w:w="3715" w:type="pct"/>
          </w:tcPr>
          <w:p w14:paraId="0A8C31E0" w14:textId="77777777" w:rsidR="00104513" w:rsidRPr="000449D1" w:rsidRDefault="00104513" w:rsidP="002F6658">
            <w:pPr>
              <w:pStyle w:val="TableText"/>
            </w:pPr>
            <w:r>
              <w:t>30 years</w:t>
            </w:r>
          </w:p>
        </w:tc>
      </w:tr>
      <w:tr w:rsidR="00104513" w:rsidRPr="000449D1" w14:paraId="5AEA4FD8" w14:textId="77777777" w:rsidTr="002F6658">
        <w:tc>
          <w:tcPr>
            <w:tcW w:w="1285" w:type="pct"/>
          </w:tcPr>
          <w:p w14:paraId="32B50E74" w14:textId="77777777" w:rsidR="00104513" w:rsidRPr="000449D1" w:rsidRDefault="00104513" w:rsidP="002F6658">
            <w:pPr>
              <w:pStyle w:val="TableText"/>
            </w:pPr>
            <w:r w:rsidRPr="000449D1">
              <w:t>Computational method</w:t>
            </w:r>
          </w:p>
        </w:tc>
        <w:tc>
          <w:tcPr>
            <w:tcW w:w="3715" w:type="pct"/>
          </w:tcPr>
          <w:p w14:paraId="66F833DB" w14:textId="77777777" w:rsidR="00104513" w:rsidRPr="000449D1" w:rsidRDefault="00104513" w:rsidP="002F6658">
            <w:pPr>
              <w:pStyle w:val="TableText"/>
            </w:pPr>
            <w:r w:rsidRPr="002B539A">
              <w:t>Markov, Monte-Carlo individual patient simulation model</w:t>
            </w:r>
          </w:p>
        </w:tc>
      </w:tr>
      <w:tr w:rsidR="00104513" w:rsidRPr="000449D1" w14:paraId="5675F624" w14:textId="77777777" w:rsidTr="002F6658">
        <w:tc>
          <w:tcPr>
            <w:tcW w:w="1285" w:type="pct"/>
          </w:tcPr>
          <w:p w14:paraId="6A05F1E6" w14:textId="77777777" w:rsidR="00104513" w:rsidRPr="000449D1" w:rsidRDefault="00104513" w:rsidP="002F6658">
            <w:pPr>
              <w:pStyle w:val="TableText"/>
            </w:pPr>
            <w:r w:rsidRPr="000449D1">
              <w:t>Generation of the base case</w:t>
            </w:r>
          </w:p>
        </w:tc>
        <w:tc>
          <w:tcPr>
            <w:tcW w:w="3715" w:type="pct"/>
          </w:tcPr>
          <w:p w14:paraId="011DFBFF" w14:textId="77777777" w:rsidR="00104513" w:rsidRPr="002B539A" w:rsidRDefault="00104513" w:rsidP="002F6658">
            <w:pPr>
              <w:pStyle w:val="TableText"/>
            </w:pPr>
            <w:r w:rsidRPr="002B539A">
              <w:t>The steps undertaken include:</w:t>
            </w:r>
          </w:p>
          <w:p w14:paraId="76590747" w14:textId="77777777" w:rsidR="00104513" w:rsidRPr="002B539A" w:rsidRDefault="00104513" w:rsidP="002F6658">
            <w:pPr>
              <w:pStyle w:val="TableText"/>
              <w:numPr>
                <w:ilvl w:val="0"/>
                <w:numId w:val="19"/>
              </w:numPr>
            </w:pPr>
            <w:r>
              <w:t>s</w:t>
            </w:r>
            <w:r w:rsidRPr="002B539A">
              <w:t>imulating baseline characteristics of individual patients</w:t>
            </w:r>
          </w:p>
          <w:p w14:paraId="50791DFD" w14:textId="77777777" w:rsidR="00104513" w:rsidRPr="002B539A" w:rsidRDefault="00104513" w:rsidP="002F6658">
            <w:pPr>
              <w:pStyle w:val="TableText"/>
              <w:numPr>
                <w:ilvl w:val="0"/>
                <w:numId w:val="19"/>
              </w:numPr>
            </w:pPr>
            <w:r>
              <w:t>a</w:t>
            </w:r>
            <w:r w:rsidRPr="002B539A">
              <w:t>ssigning patients, the PromarkerD test or no test</w:t>
            </w:r>
          </w:p>
          <w:p w14:paraId="51804734" w14:textId="77777777" w:rsidR="00104513" w:rsidRPr="002B539A" w:rsidRDefault="00104513" w:rsidP="002F6658">
            <w:pPr>
              <w:pStyle w:val="TableText"/>
              <w:numPr>
                <w:ilvl w:val="0"/>
                <w:numId w:val="19"/>
              </w:numPr>
            </w:pPr>
            <w:r>
              <w:t>a</w:t>
            </w:r>
            <w:r w:rsidRPr="002B539A">
              <w:t>ssigning patients</w:t>
            </w:r>
            <w:r>
              <w:t>’</w:t>
            </w:r>
            <w:r w:rsidRPr="002B539A">
              <w:t xml:space="preserve"> treatment</w:t>
            </w:r>
          </w:p>
          <w:p w14:paraId="41387CFE" w14:textId="77777777" w:rsidR="00104513" w:rsidRPr="002B539A" w:rsidRDefault="00104513" w:rsidP="002F6658">
            <w:pPr>
              <w:pStyle w:val="TableText"/>
              <w:numPr>
                <w:ilvl w:val="0"/>
                <w:numId w:val="19"/>
              </w:numPr>
            </w:pPr>
            <w:r>
              <w:t>e</w:t>
            </w:r>
            <w:r w:rsidRPr="002B539A">
              <w:t>stimating risk of developing DKD using the Nelson et al (2019) risk equation</w:t>
            </w:r>
          </w:p>
          <w:p w14:paraId="2F1FF3B7" w14:textId="77777777" w:rsidR="00104513" w:rsidRPr="002B539A" w:rsidRDefault="00104513" w:rsidP="002F6658">
            <w:pPr>
              <w:pStyle w:val="TableText"/>
              <w:numPr>
                <w:ilvl w:val="0"/>
                <w:numId w:val="19"/>
              </w:numPr>
            </w:pPr>
            <w:r>
              <w:t>m</w:t>
            </w:r>
            <w:r w:rsidRPr="002B539A">
              <w:t>odelling progression of DKD to kidney events and mortality</w:t>
            </w:r>
          </w:p>
          <w:p w14:paraId="77D58C58" w14:textId="77777777" w:rsidR="00104513" w:rsidRPr="000449D1" w:rsidRDefault="00104513" w:rsidP="002F6658">
            <w:pPr>
              <w:pStyle w:val="TableText"/>
              <w:numPr>
                <w:ilvl w:val="0"/>
                <w:numId w:val="19"/>
              </w:numPr>
            </w:pPr>
            <w:r>
              <w:t>a</w:t>
            </w:r>
            <w:r w:rsidRPr="002B539A">
              <w:t>ssigning costs to each health state</w:t>
            </w:r>
            <w:r>
              <w:t>.</w:t>
            </w:r>
          </w:p>
        </w:tc>
      </w:tr>
      <w:tr w:rsidR="00104513" w:rsidRPr="000449D1" w14:paraId="7CE426BC" w14:textId="77777777" w:rsidTr="002F6658">
        <w:tc>
          <w:tcPr>
            <w:tcW w:w="1285" w:type="pct"/>
          </w:tcPr>
          <w:p w14:paraId="0670ABC2" w14:textId="77777777" w:rsidR="00104513" w:rsidRPr="000449D1" w:rsidRDefault="00104513" w:rsidP="002F6658">
            <w:pPr>
              <w:pStyle w:val="TableText"/>
            </w:pPr>
            <w:r w:rsidRPr="000449D1">
              <w:t>Health states</w:t>
            </w:r>
          </w:p>
        </w:tc>
        <w:tc>
          <w:tcPr>
            <w:tcW w:w="3715" w:type="pct"/>
          </w:tcPr>
          <w:p w14:paraId="2B79DB70" w14:textId="77777777" w:rsidR="00104513" w:rsidRPr="000449D1" w:rsidRDefault="00104513" w:rsidP="002F6658">
            <w:pPr>
              <w:pStyle w:val="TableText"/>
            </w:pPr>
            <w:r w:rsidRPr="002B539A">
              <w:t xml:space="preserve">Pre DKD (defined as DKD </w:t>
            </w:r>
            <w:r>
              <w:t>S</w:t>
            </w:r>
            <w:r w:rsidRPr="002B539A">
              <w:t xml:space="preserve">tage 1 and DKD </w:t>
            </w:r>
            <w:r>
              <w:t>S</w:t>
            </w:r>
            <w:r w:rsidRPr="002B539A">
              <w:t xml:space="preserve">tage 2); DKD </w:t>
            </w:r>
            <w:r>
              <w:t>S</w:t>
            </w:r>
            <w:r w:rsidRPr="002B539A">
              <w:t xml:space="preserve">tage 3a; DKD </w:t>
            </w:r>
            <w:r>
              <w:t>S</w:t>
            </w:r>
            <w:r w:rsidRPr="002B539A">
              <w:t xml:space="preserve">tage 3b; DKD </w:t>
            </w:r>
            <w:r>
              <w:t>S</w:t>
            </w:r>
            <w:r w:rsidRPr="002B539A">
              <w:t xml:space="preserve">tage 4; DKD </w:t>
            </w:r>
            <w:r>
              <w:t>S</w:t>
            </w:r>
            <w:r w:rsidRPr="002B539A">
              <w:t xml:space="preserve">tage 5/ESRD/dialysis; </w:t>
            </w:r>
            <w:r>
              <w:t>k</w:t>
            </w:r>
            <w:r w:rsidRPr="002B539A">
              <w:t xml:space="preserve">idney transplant; </w:t>
            </w:r>
            <w:r>
              <w:t>p</w:t>
            </w:r>
            <w:r w:rsidRPr="002B539A">
              <w:t>ost</w:t>
            </w:r>
            <w:r>
              <w:t>-</w:t>
            </w:r>
            <w:r w:rsidRPr="002B539A">
              <w:t>kidney</w:t>
            </w:r>
            <w:r>
              <w:t>-</w:t>
            </w:r>
            <w:r w:rsidRPr="002B539A">
              <w:t xml:space="preserve">transplant DKD </w:t>
            </w:r>
            <w:r>
              <w:t>S</w:t>
            </w:r>
            <w:r w:rsidRPr="002B539A">
              <w:t xml:space="preserve">tage 3a; </w:t>
            </w:r>
            <w:r>
              <w:t>p</w:t>
            </w:r>
            <w:r w:rsidRPr="002B539A">
              <w:t>ost</w:t>
            </w:r>
            <w:r>
              <w:t>-</w:t>
            </w:r>
            <w:r w:rsidRPr="002B539A">
              <w:t>kidney</w:t>
            </w:r>
            <w:r>
              <w:t>-</w:t>
            </w:r>
            <w:r w:rsidRPr="002B539A">
              <w:t xml:space="preserve">transplant DKD </w:t>
            </w:r>
            <w:r>
              <w:t>S</w:t>
            </w:r>
            <w:r w:rsidRPr="002B539A">
              <w:t xml:space="preserve">tage 3b; </w:t>
            </w:r>
            <w:r>
              <w:t>p</w:t>
            </w:r>
            <w:r w:rsidRPr="002B539A">
              <w:t>ost</w:t>
            </w:r>
            <w:r>
              <w:t>-</w:t>
            </w:r>
            <w:r w:rsidRPr="002B539A">
              <w:t>kidney</w:t>
            </w:r>
            <w:r>
              <w:t>-</w:t>
            </w:r>
            <w:r w:rsidRPr="002B539A">
              <w:t xml:space="preserve">transplant DKD </w:t>
            </w:r>
            <w:r>
              <w:t>S</w:t>
            </w:r>
            <w:r w:rsidRPr="002B539A">
              <w:t xml:space="preserve">tage 4; </w:t>
            </w:r>
            <w:r>
              <w:t>p</w:t>
            </w:r>
            <w:r w:rsidRPr="002B539A">
              <w:t>ost</w:t>
            </w:r>
            <w:r>
              <w:t>-</w:t>
            </w:r>
            <w:r w:rsidRPr="002B539A">
              <w:t>kidney</w:t>
            </w:r>
            <w:r>
              <w:t>-</w:t>
            </w:r>
            <w:r w:rsidRPr="002B539A">
              <w:t xml:space="preserve">transplant DKD </w:t>
            </w:r>
            <w:r>
              <w:t>S</w:t>
            </w:r>
            <w:r w:rsidRPr="002B539A">
              <w:t>tage 5/d ESRD/dialysis; death</w:t>
            </w:r>
          </w:p>
        </w:tc>
      </w:tr>
      <w:tr w:rsidR="00104513" w:rsidRPr="000449D1" w14:paraId="58B14DC7" w14:textId="77777777" w:rsidTr="002F6658">
        <w:tc>
          <w:tcPr>
            <w:tcW w:w="1285" w:type="pct"/>
          </w:tcPr>
          <w:p w14:paraId="57AEEC56" w14:textId="77777777" w:rsidR="00104513" w:rsidRPr="000449D1" w:rsidRDefault="00104513" w:rsidP="002F6658">
            <w:pPr>
              <w:pStyle w:val="TableText"/>
            </w:pPr>
            <w:r w:rsidRPr="000449D1">
              <w:t>Cycle length</w:t>
            </w:r>
          </w:p>
        </w:tc>
        <w:tc>
          <w:tcPr>
            <w:tcW w:w="3715" w:type="pct"/>
          </w:tcPr>
          <w:p w14:paraId="6CAD8AC3" w14:textId="77777777" w:rsidR="00104513" w:rsidRPr="000449D1" w:rsidRDefault="00104513" w:rsidP="002F6658">
            <w:pPr>
              <w:pStyle w:val="TableText"/>
            </w:pPr>
            <w:r>
              <w:t>1 year</w:t>
            </w:r>
          </w:p>
        </w:tc>
      </w:tr>
      <w:tr w:rsidR="00104513" w:rsidRPr="000449D1" w14:paraId="439EFAB5" w14:textId="77777777" w:rsidTr="002F6658">
        <w:tc>
          <w:tcPr>
            <w:tcW w:w="1285" w:type="pct"/>
          </w:tcPr>
          <w:p w14:paraId="2501BDB6" w14:textId="77777777" w:rsidR="00104513" w:rsidRPr="000449D1" w:rsidRDefault="00104513" w:rsidP="002F6658">
            <w:pPr>
              <w:pStyle w:val="TableText"/>
            </w:pPr>
            <w:r w:rsidRPr="000449D1">
              <w:t>Transition probabilities</w:t>
            </w:r>
          </w:p>
        </w:tc>
        <w:tc>
          <w:tcPr>
            <w:tcW w:w="3715" w:type="pct"/>
          </w:tcPr>
          <w:p w14:paraId="4ED7B09B" w14:textId="77777777" w:rsidR="00104513" w:rsidRPr="000449D1" w:rsidRDefault="00104513" w:rsidP="002F6658">
            <w:pPr>
              <w:pStyle w:val="TableText"/>
            </w:pPr>
            <w:r w:rsidRPr="00816ECD">
              <w:t>The risk equation from Nelson et al (2019) calculates the transition probability for</w:t>
            </w:r>
            <w:r>
              <w:t xml:space="preserve"> p</w:t>
            </w:r>
            <w:r w:rsidRPr="00816ECD">
              <w:t>re</w:t>
            </w:r>
            <w:r>
              <w:t>-</w:t>
            </w:r>
            <w:r w:rsidRPr="00816ECD">
              <w:t xml:space="preserve">DKD (CKD </w:t>
            </w:r>
            <w:r>
              <w:t>S</w:t>
            </w:r>
            <w:r w:rsidRPr="00816ECD">
              <w:t xml:space="preserve">tage 1 and CKD </w:t>
            </w:r>
            <w:r>
              <w:t>S</w:t>
            </w:r>
            <w:r w:rsidRPr="00816ECD">
              <w:t xml:space="preserve">tage 2) </w:t>
            </w:r>
            <w:r>
              <w:t>to</w:t>
            </w:r>
            <w:r w:rsidRPr="00816ECD">
              <w:t xml:space="preserve"> DKD </w:t>
            </w:r>
            <w:r>
              <w:t>S</w:t>
            </w:r>
            <w:r w:rsidRPr="00816ECD">
              <w:t>tage 3a</w:t>
            </w:r>
            <w:r>
              <w:t xml:space="preserve">. </w:t>
            </w:r>
            <w:r w:rsidRPr="00816ECD">
              <w:t xml:space="preserve">The transition probabilities </w:t>
            </w:r>
            <w:r>
              <w:t xml:space="preserve">for later stages include the use of the </w:t>
            </w:r>
            <w:r w:rsidRPr="00816ECD">
              <w:t>Cid Ruzafa et al</w:t>
            </w:r>
            <w:r>
              <w:t xml:space="preserve"> (</w:t>
            </w:r>
            <w:r w:rsidRPr="00816ECD">
              <w:t>2015)</w:t>
            </w:r>
            <w:r>
              <w:t xml:space="preserve"> study for Stages 3a-5, </w:t>
            </w:r>
            <w:r w:rsidRPr="00816ECD">
              <w:t>wait tim</w:t>
            </w:r>
            <w:r>
              <w:t>es for transplant</w:t>
            </w:r>
            <w:r w:rsidRPr="00816ECD">
              <w:t xml:space="preserve"> from the National Clinical Taskforce on Organ and Tissue Donation (2008) </w:t>
            </w:r>
            <w:r>
              <w:t xml:space="preserve">and </w:t>
            </w:r>
            <w:r w:rsidRPr="00816ECD">
              <w:t xml:space="preserve">transition to death </w:t>
            </w:r>
            <w:r>
              <w:t xml:space="preserve">from studies such as </w:t>
            </w:r>
            <w:r w:rsidRPr="00816ECD">
              <w:t xml:space="preserve">Lim et al </w:t>
            </w:r>
            <w:r>
              <w:t>(</w:t>
            </w:r>
            <w:r w:rsidRPr="00816ECD">
              <w:t>2017)</w:t>
            </w:r>
            <w:r>
              <w:t>.</w:t>
            </w:r>
          </w:p>
        </w:tc>
      </w:tr>
      <w:tr w:rsidR="00104513" w:rsidRPr="000449D1" w14:paraId="774886CA" w14:textId="77777777" w:rsidTr="002F6658">
        <w:tc>
          <w:tcPr>
            <w:tcW w:w="1285" w:type="pct"/>
          </w:tcPr>
          <w:p w14:paraId="4504C7C6" w14:textId="77777777" w:rsidR="00104513" w:rsidRPr="000449D1" w:rsidRDefault="00104513" w:rsidP="002F6658">
            <w:pPr>
              <w:pStyle w:val="TableText"/>
            </w:pPr>
            <w:r w:rsidRPr="000449D1">
              <w:t>Discount rate</w:t>
            </w:r>
          </w:p>
        </w:tc>
        <w:tc>
          <w:tcPr>
            <w:tcW w:w="3715" w:type="pct"/>
          </w:tcPr>
          <w:p w14:paraId="6370BE7C" w14:textId="77777777" w:rsidR="00104513" w:rsidRPr="000449D1" w:rsidRDefault="00104513" w:rsidP="002F6658">
            <w:pPr>
              <w:pStyle w:val="TableText"/>
            </w:pPr>
            <w:r w:rsidRPr="000449D1">
              <w:t>5% for both costs and outcomes</w:t>
            </w:r>
          </w:p>
        </w:tc>
      </w:tr>
      <w:tr w:rsidR="00104513" w:rsidRPr="000449D1" w14:paraId="55439C5D" w14:textId="77777777" w:rsidTr="002F6658">
        <w:tc>
          <w:tcPr>
            <w:tcW w:w="1285" w:type="pct"/>
          </w:tcPr>
          <w:p w14:paraId="3467FB3B" w14:textId="77777777" w:rsidR="00104513" w:rsidRPr="000449D1" w:rsidRDefault="00104513" w:rsidP="002F6658">
            <w:pPr>
              <w:pStyle w:val="TableText"/>
            </w:pPr>
            <w:r w:rsidRPr="000449D1">
              <w:t>Software</w:t>
            </w:r>
          </w:p>
        </w:tc>
        <w:tc>
          <w:tcPr>
            <w:tcW w:w="3715" w:type="pct"/>
          </w:tcPr>
          <w:p w14:paraId="141DC60D" w14:textId="77777777" w:rsidR="00104513" w:rsidRPr="000449D1" w:rsidRDefault="00104513" w:rsidP="002F6658">
            <w:pPr>
              <w:pStyle w:val="TableText"/>
            </w:pPr>
            <w:r w:rsidRPr="000449D1">
              <w:t>Excel</w:t>
            </w:r>
          </w:p>
        </w:tc>
      </w:tr>
    </w:tbl>
    <w:bookmarkEnd w:id="36"/>
    <w:p w14:paraId="1DD28C1B" w14:textId="77777777" w:rsidR="00104513" w:rsidRDefault="00104513" w:rsidP="00104513">
      <w:pPr>
        <w:pStyle w:val="Tablenotes"/>
      </w:pPr>
      <w:r w:rsidRPr="00E6458E">
        <w:rPr>
          <w:b/>
          <w:bCs/>
          <w:u w:val="single"/>
        </w:rPr>
        <w:t>Abbreviations</w:t>
      </w:r>
      <w:r w:rsidRPr="00816ECD">
        <w:t>: DKD</w:t>
      </w:r>
      <w:r>
        <w:t xml:space="preserve"> = diabetic kidney disease</w:t>
      </w:r>
      <w:r w:rsidRPr="00816ECD">
        <w:t>, eGFR</w:t>
      </w:r>
      <w:r>
        <w:t xml:space="preserve"> = </w:t>
      </w:r>
      <w:r w:rsidRPr="00816ECD">
        <w:t xml:space="preserve">estimated </w:t>
      </w:r>
      <w:r>
        <w:t>g</w:t>
      </w:r>
      <w:r w:rsidRPr="00816ECD">
        <w:t xml:space="preserve">lomerular </w:t>
      </w:r>
      <w:r>
        <w:t>f</w:t>
      </w:r>
      <w:r w:rsidRPr="00816ECD">
        <w:t xml:space="preserve">iltration </w:t>
      </w:r>
      <w:r>
        <w:t>r</w:t>
      </w:r>
      <w:r w:rsidRPr="00816ECD">
        <w:t>ate, KDIG</w:t>
      </w:r>
      <w:r>
        <w:t>O = K</w:t>
      </w:r>
      <w:r w:rsidRPr="00816ECD">
        <w:t xml:space="preserve">idney </w:t>
      </w:r>
      <w:r>
        <w:t>D</w:t>
      </w:r>
      <w:r w:rsidRPr="00816ECD">
        <w:t>isease Improving Global Outcomes</w:t>
      </w:r>
      <w:r>
        <w:t xml:space="preserve">, </w:t>
      </w:r>
      <w:r w:rsidRPr="00816ECD">
        <w:t>QALY</w:t>
      </w:r>
      <w:r>
        <w:t xml:space="preserve"> = </w:t>
      </w:r>
      <w:r w:rsidRPr="000449D1">
        <w:t>quality-adjusted life years</w:t>
      </w:r>
      <w:r w:rsidRPr="00816ECD">
        <w:t>, T2DM</w:t>
      </w:r>
      <w:r>
        <w:t xml:space="preserve"> = type 2 d</w:t>
      </w:r>
      <w:r w:rsidRPr="00816ECD">
        <w:t>iabetes mellitus</w:t>
      </w:r>
      <w:r>
        <w:t xml:space="preserve">, </w:t>
      </w:r>
      <w:r w:rsidRPr="00816ECD">
        <w:t>uACR</w:t>
      </w:r>
      <w:r>
        <w:t xml:space="preserve"> = </w:t>
      </w:r>
      <w:r w:rsidRPr="003F7410">
        <w:t>urine albumin</w:t>
      </w:r>
      <w:r>
        <w:t xml:space="preserve"> </w:t>
      </w:r>
      <w:r w:rsidRPr="003F7410">
        <w:t>creatinine ratio</w:t>
      </w:r>
      <w:r>
        <w:t>.</w:t>
      </w:r>
    </w:p>
    <w:p w14:paraId="3155A600" w14:textId="77777777" w:rsidR="00104513" w:rsidRPr="00816ECD" w:rsidRDefault="00104513" w:rsidP="00104513">
      <w:pPr>
        <w:pStyle w:val="Tablenotes"/>
        <w:rPr>
          <w:rFonts w:eastAsia="Calibri"/>
        </w:rPr>
      </w:pPr>
      <w:r w:rsidRPr="00A47444">
        <w:rPr>
          <w:rFonts w:eastAsia="Calibri"/>
          <w:b/>
          <w:bCs/>
          <w:u w:val="single"/>
        </w:rPr>
        <w:t>Source</w:t>
      </w:r>
      <w:r w:rsidRPr="0086353C">
        <w:rPr>
          <w:rFonts w:eastAsia="Calibri"/>
        </w:rPr>
        <w:t xml:space="preserve">: Submission, Table </w:t>
      </w:r>
      <w:r>
        <w:rPr>
          <w:rFonts w:eastAsia="Calibri"/>
        </w:rPr>
        <w:t>34</w:t>
      </w:r>
      <w:r w:rsidRPr="0086353C">
        <w:rPr>
          <w:rFonts w:eastAsia="Calibri"/>
        </w:rPr>
        <w:t xml:space="preserve"> (p.</w:t>
      </w:r>
      <w:r>
        <w:rPr>
          <w:rFonts w:eastAsia="Calibri"/>
        </w:rPr>
        <w:t xml:space="preserve"> 59</w:t>
      </w:r>
      <w:r w:rsidRPr="0086353C">
        <w:rPr>
          <w:rFonts w:eastAsia="Calibri"/>
        </w:rPr>
        <w:t xml:space="preserve">) and compiled for the </w:t>
      </w:r>
      <w:r>
        <w:rPr>
          <w:rFonts w:eastAsia="Calibri"/>
        </w:rPr>
        <w:t>commentary.</w:t>
      </w:r>
    </w:p>
    <w:p w14:paraId="3DCE1EB3" w14:textId="77777777" w:rsidR="00104513" w:rsidRPr="0086353C" w:rsidRDefault="00104513" w:rsidP="00104513">
      <w:pPr>
        <w:pStyle w:val="Heading3nonumbers"/>
        <w:rPr>
          <w:rFonts w:asciiTheme="minorHAnsi" w:hAnsiTheme="minorHAnsi" w:cstheme="minorHAnsi"/>
          <w:spacing w:val="-1"/>
          <w:u w:color="000000"/>
        </w:rPr>
      </w:pPr>
      <w:r w:rsidRPr="0086353C">
        <w:t xml:space="preserve">Incremental </w:t>
      </w:r>
      <w:r>
        <w:t>c</w:t>
      </w:r>
      <w:r w:rsidRPr="0086353C">
        <w:t xml:space="preserve">osts and </w:t>
      </w:r>
      <w:r>
        <w:t>e</w:t>
      </w:r>
      <w:r w:rsidRPr="0086353C">
        <w:t xml:space="preserve">ffectiveness </w:t>
      </w:r>
    </w:p>
    <w:p w14:paraId="277C848F" w14:textId="79F4C5CE" w:rsidR="00104513" w:rsidRPr="00FB2A23" w:rsidRDefault="00104513" w:rsidP="00104513">
      <w:r w:rsidRPr="00FB2A23">
        <w:t>The ICER over 30 year</w:t>
      </w:r>
      <w:r>
        <w:t>s</w:t>
      </w:r>
      <w:r w:rsidRPr="00FB2A23">
        <w:t xml:space="preserve"> was estimated to be $3,615 per</w:t>
      </w:r>
      <w:r w:rsidRPr="00637A3D">
        <w:rPr>
          <w:rStyle w:val="BodyTextSTDChar"/>
          <w:rFonts w:eastAsiaTheme="minorHAnsi"/>
        </w:rPr>
        <w:t xml:space="preserve"> </w:t>
      </w:r>
      <w:r w:rsidRPr="00FB2A23">
        <w:t>quality-adjusted life</w:t>
      </w:r>
      <w:r>
        <w:t xml:space="preserve"> </w:t>
      </w:r>
      <w:r w:rsidRPr="00FB2A23">
        <w:t xml:space="preserve">year (QALY) gained and $4,337 per life year gained </w:t>
      </w:r>
      <w:r w:rsidR="00B0586A">
        <w:t xml:space="preserve">for one run of the base case analysis </w:t>
      </w:r>
      <w:r w:rsidRPr="00FB2A23">
        <w:t xml:space="preserve">(see Table </w:t>
      </w:r>
      <w:r w:rsidR="00632805">
        <w:t>8</w:t>
      </w:r>
      <w:r w:rsidRPr="00FB2A23">
        <w:t xml:space="preserve">). </w:t>
      </w:r>
    </w:p>
    <w:p w14:paraId="23487C66" w14:textId="35F279D0" w:rsidR="00104513" w:rsidRDefault="00104513" w:rsidP="00104513">
      <w:pPr>
        <w:pStyle w:val="Caption"/>
      </w:pPr>
      <w:r>
        <w:lastRenderedPageBreak/>
        <w:t xml:space="preserve">Table </w:t>
      </w:r>
      <w:r w:rsidR="00453E31">
        <w:t>8</w:t>
      </w:r>
      <w:r w:rsidR="006C5AEF" w:rsidRPr="00104513">
        <w:t xml:space="preserve"> </w:t>
      </w:r>
      <w:r>
        <w:tab/>
      </w:r>
      <w:r w:rsidRPr="0086353C">
        <w:t>Results of the economic analysis</w:t>
      </w:r>
    </w:p>
    <w:tbl>
      <w:tblPr>
        <w:tblStyle w:val="TableGrid1"/>
        <w:tblW w:w="5000" w:type="pct"/>
        <w:tblLayout w:type="fixed"/>
        <w:tblLook w:val="04A0" w:firstRow="1" w:lastRow="0" w:firstColumn="1" w:lastColumn="0" w:noHBand="0" w:noVBand="1"/>
        <w:tblCaption w:val="Results of the stepped economic analyses"/>
      </w:tblPr>
      <w:tblGrid>
        <w:gridCol w:w="3539"/>
        <w:gridCol w:w="1323"/>
        <w:gridCol w:w="1324"/>
        <w:gridCol w:w="1324"/>
        <w:gridCol w:w="1506"/>
      </w:tblGrid>
      <w:tr w:rsidR="00104513" w:rsidRPr="00CE28E3" w14:paraId="039D204A" w14:textId="77777777" w:rsidTr="002F6658">
        <w:trPr>
          <w:cnfStyle w:val="100000000000" w:firstRow="1" w:lastRow="0" w:firstColumn="0" w:lastColumn="0" w:oddVBand="0" w:evenVBand="0" w:oddHBand="0" w:evenHBand="0" w:firstRowFirstColumn="0" w:firstRowLastColumn="0" w:lastRowFirstColumn="0" w:lastRowLastColumn="0"/>
          <w:cantSplit/>
          <w:trHeight w:val="300"/>
          <w:tblHeader/>
        </w:trPr>
        <w:tc>
          <w:tcPr>
            <w:tcW w:w="1963" w:type="pct"/>
            <w:noWrap/>
            <w:hideMark/>
          </w:tcPr>
          <w:p w14:paraId="722AC20F" w14:textId="77777777" w:rsidR="00104513" w:rsidRPr="00CE28E3" w:rsidRDefault="00104513" w:rsidP="002F6658">
            <w:pPr>
              <w:pStyle w:val="TableHeading"/>
            </w:pPr>
            <w:bookmarkStart w:id="37" w:name="Title_Table7" w:colFirst="0" w:colLast="0"/>
            <w:r w:rsidRPr="00A662DC">
              <w:t>Step</w:t>
            </w:r>
          </w:p>
        </w:tc>
        <w:tc>
          <w:tcPr>
            <w:tcW w:w="734" w:type="pct"/>
            <w:noWrap/>
            <w:hideMark/>
          </w:tcPr>
          <w:p w14:paraId="6D63B35B" w14:textId="77777777" w:rsidR="00104513" w:rsidRPr="00CE28E3" w:rsidRDefault="00104513" w:rsidP="002F6658">
            <w:pPr>
              <w:pStyle w:val="TableHeading"/>
              <w:jc w:val="center"/>
            </w:pPr>
            <w:r>
              <w:t>PromarkerD</w:t>
            </w:r>
          </w:p>
        </w:tc>
        <w:tc>
          <w:tcPr>
            <w:tcW w:w="734" w:type="pct"/>
            <w:noWrap/>
            <w:hideMark/>
          </w:tcPr>
          <w:p w14:paraId="24E49848" w14:textId="77777777" w:rsidR="00104513" w:rsidRPr="00CE28E3" w:rsidRDefault="00104513" w:rsidP="002F6658">
            <w:pPr>
              <w:pStyle w:val="TableHeading"/>
              <w:jc w:val="center"/>
            </w:pPr>
            <w:r>
              <w:t>Standard care</w:t>
            </w:r>
          </w:p>
        </w:tc>
        <w:tc>
          <w:tcPr>
            <w:tcW w:w="734" w:type="pct"/>
            <w:noWrap/>
            <w:hideMark/>
          </w:tcPr>
          <w:p w14:paraId="70B2BD1F" w14:textId="77777777" w:rsidR="00104513" w:rsidRPr="00CE28E3" w:rsidRDefault="00104513" w:rsidP="002F6658">
            <w:pPr>
              <w:pStyle w:val="TableHeading"/>
              <w:jc w:val="center"/>
            </w:pPr>
            <w:r w:rsidRPr="009E23EC">
              <w:t>Increment</w:t>
            </w:r>
          </w:p>
        </w:tc>
        <w:tc>
          <w:tcPr>
            <w:tcW w:w="835" w:type="pct"/>
          </w:tcPr>
          <w:p w14:paraId="140E4C98" w14:textId="77777777" w:rsidR="00104513" w:rsidRPr="00CE28E3" w:rsidRDefault="00104513" w:rsidP="002F6658">
            <w:pPr>
              <w:pStyle w:val="TableHeading"/>
              <w:jc w:val="center"/>
            </w:pPr>
            <w:r w:rsidRPr="00CE28E3">
              <w:t>ICER</w:t>
            </w:r>
          </w:p>
        </w:tc>
      </w:tr>
      <w:bookmarkEnd w:id="37"/>
      <w:tr w:rsidR="00104513" w:rsidRPr="00CE28E3" w14:paraId="54D7D708" w14:textId="77777777" w:rsidTr="002F6658">
        <w:trPr>
          <w:cantSplit/>
          <w:trHeight w:val="300"/>
        </w:trPr>
        <w:tc>
          <w:tcPr>
            <w:tcW w:w="5000" w:type="pct"/>
            <w:gridSpan w:val="5"/>
            <w:tcBorders>
              <w:bottom w:val="single" w:sz="4" w:space="0" w:color="auto"/>
            </w:tcBorders>
            <w:noWrap/>
            <w:hideMark/>
          </w:tcPr>
          <w:p w14:paraId="3DEC6BC8" w14:textId="77777777" w:rsidR="00104513" w:rsidRDefault="00104513" w:rsidP="002F6658">
            <w:pPr>
              <w:pStyle w:val="Tabletext0"/>
              <w:keepNext/>
            </w:pPr>
            <w:r>
              <w:t xml:space="preserve">Step 1 – Comparative diagnostic accuracy, as applied to the prevalence in the eligible Australian population </w:t>
            </w:r>
          </w:p>
          <w:p w14:paraId="31EFBAA3" w14:textId="77777777" w:rsidR="00104513" w:rsidRPr="00CE28E3" w:rsidRDefault="00104513" w:rsidP="002F6658">
            <w:pPr>
              <w:pStyle w:val="Tabletext0"/>
              <w:keepNext/>
            </w:pPr>
            <w:r>
              <w:t>Time horizon: time to reach a diagnosis</w:t>
            </w:r>
          </w:p>
        </w:tc>
      </w:tr>
      <w:tr w:rsidR="00104513" w:rsidRPr="00CE28E3" w14:paraId="4CF0F6DA" w14:textId="77777777" w:rsidTr="002F6658">
        <w:trPr>
          <w:cantSplit/>
          <w:trHeight w:val="300"/>
        </w:trPr>
        <w:tc>
          <w:tcPr>
            <w:tcW w:w="1963" w:type="pct"/>
            <w:tcBorders>
              <w:bottom w:val="nil"/>
            </w:tcBorders>
            <w:noWrap/>
          </w:tcPr>
          <w:p w14:paraId="7761233F" w14:textId="77777777" w:rsidR="00104513" w:rsidRPr="00CE28E3" w:rsidRDefault="00104513" w:rsidP="002F6658">
            <w:pPr>
              <w:pStyle w:val="Tabletext0"/>
              <w:keepNext/>
            </w:pPr>
            <w:r>
              <w:t>Costs</w:t>
            </w:r>
          </w:p>
        </w:tc>
        <w:tc>
          <w:tcPr>
            <w:tcW w:w="734" w:type="pct"/>
            <w:tcBorders>
              <w:bottom w:val="nil"/>
            </w:tcBorders>
            <w:noWrap/>
          </w:tcPr>
          <w:p w14:paraId="649223D1" w14:textId="77777777" w:rsidR="00104513" w:rsidRPr="00CE28E3" w:rsidRDefault="00104513" w:rsidP="002F6658">
            <w:pPr>
              <w:pStyle w:val="Tabletext0"/>
              <w:keepNext/>
              <w:jc w:val="right"/>
            </w:pPr>
            <w:r w:rsidRPr="006B745C">
              <w:t>Not included</w:t>
            </w:r>
          </w:p>
        </w:tc>
        <w:tc>
          <w:tcPr>
            <w:tcW w:w="734" w:type="pct"/>
            <w:tcBorders>
              <w:bottom w:val="nil"/>
            </w:tcBorders>
            <w:noWrap/>
          </w:tcPr>
          <w:p w14:paraId="5574F38C" w14:textId="77777777" w:rsidR="00104513" w:rsidRPr="00CE28E3" w:rsidRDefault="00104513" w:rsidP="002F6658">
            <w:pPr>
              <w:pStyle w:val="Tabletext0"/>
              <w:keepNext/>
              <w:jc w:val="right"/>
            </w:pPr>
            <w:r w:rsidRPr="006B745C">
              <w:t>Not included</w:t>
            </w:r>
          </w:p>
        </w:tc>
        <w:tc>
          <w:tcPr>
            <w:tcW w:w="734" w:type="pct"/>
            <w:tcBorders>
              <w:bottom w:val="nil"/>
            </w:tcBorders>
            <w:noWrap/>
          </w:tcPr>
          <w:p w14:paraId="02B02DE9" w14:textId="77777777" w:rsidR="00104513" w:rsidRPr="00CE28E3" w:rsidRDefault="00104513" w:rsidP="002F6658">
            <w:pPr>
              <w:pStyle w:val="Tabletext0"/>
              <w:keepNext/>
              <w:jc w:val="right"/>
            </w:pPr>
            <w:r w:rsidRPr="006B745C">
              <w:t>Not included</w:t>
            </w:r>
          </w:p>
        </w:tc>
        <w:tc>
          <w:tcPr>
            <w:tcW w:w="835" w:type="pct"/>
            <w:tcBorders>
              <w:bottom w:val="nil"/>
            </w:tcBorders>
          </w:tcPr>
          <w:p w14:paraId="3BDDF446" w14:textId="77777777" w:rsidR="00104513" w:rsidRPr="00CE28E3" w:rsidRDefault="00104513" w:rsidP="002F6658">
            <w:pPr>
              <w:pStyle w:val="Tabletext0"/>
              <w:keepNext/>
              <w:jc w:val="right"/>
            </w:pPr>
            <w:r w:rsidRPr="006B745C">
              <w:t>Not included</w:t>
            </w:r>
          </w:p>
        </w:tc>
      </w:tr>
      <w:tr w:rsidR="00104513" w:rsidRPr="00CE28E3" w14:paraId="77397504" w14:textId="77777777" w:rsidTr="002F6658">
        <w:trPr>
          <w:cantSplit/>
          <w:trHeight w:val="300"/>
        </w:trPr>
        <w:tc>
          <w:tcPr>
            <w:tcW w:w="1963" w:type="pct"/>
            <w:tcBorders>
              <w:top w:val="nil"/>
            </w:tcBorders>
            <w:noWrap/>
          </w:tcPr>
          <w:p w14:paraId="533AD65F" w14:textId="77777777" w:rsidR="00104513" w:rsidRDefault="00104513" w:rsidP="002F6658">
            <w:pPr>
              <w:pStyle w:val="Tabletext0"/>
              <w:keepNext/>
            </w:pPr>
            <w:r>
              <w:t>Total correct diagnoses</w:t>
            </w:r>
          </w:p>
        </w:tc>
        <w:tc>
          <w:tcPr>
            <w:tcW w:w="734" w:type="pct"/>
            <w:tcBorders>
              <w:top w:val="nil"/>
            </w:tcBorders>
            <w:noWrap/>
          </w:tcPr>
          <w:p w14:paraId="133ED7CD" w14:textId="77777777" w:rsidR="00104513" w:rsidRPr="00CE28E3" w:rsidRDefault="00104513" w:rsidP="002F6658">
            <w:pPr>
              <w:pStyle w:val="Tabletext0"/>
              <w:keepNext/>
              <w:jc w:val="right"/>
            </w:pPr>
            <w:r w:rsidRPr="006B745C">
              <w:t>Not included</w:t>
            </w:r>
          </w:p>
        </w:tc>
        <w:tc>
          <w:tcPr>
            <w:tcW w:w="734" w:type="pct"/>
            <w:tcBorders>
              <w:top w:val="nil"/>
            </w:tcBorders>
            <w:noWrap/>
          </w:tcPr>
          <w:p w14:paraId="6CE98C6A" w14:textId="77777777" w:rsidR="00104513" w:rsidRPr="00CE28E3" w:rsidRDefault="00104513" w:rsidP="002F6658">
            <w:pPr>
              <w:pStyle w:val="Tabletext0"/>
              <w:keepNext/>
              <w:jc w:val="right"/>
            </w:pPr>
            <w:r w:rsidRPr="006B745C">
              <w:t>Not included</w:t>
            </w:r>
          </w:p>
        </w:tc>
        <w:tc>
          <w:tcPr>
            <w:tcW w:w="734" w:type="pct"/>
            <w:tcBorders>
              <w:top w:val="nil"/>
            </w:tcBorders>
            <w:noWrap/>
          </w:tcPr>
          <w:p w14:paraId="56BCC082" w14:textId="77777777" w:rsidR="00104513" w:rsidRPr="00CE28E3" w:rsidRDefault="00104513" w:rsidP="002F6658">
            <w:pPr>
              <w:pStyle w:val="Tabletext0"/>
              <w:keepNext/>
              <w:jc w:val="right"/>
            </w:pPr>
            <w:r w:rsidRPr="006B745C">
              <w:t>Not included</w:t>
            </w:r>
          </w:p>
        </w:tc>
        <w:tc>
          <w:tcPr>
            <w:tcW w:w="835" w:type="pct"/>
            <w:tcBorders>
              <w:top w:val="nil"/>
            </w:tcBorders>
          </w:tcPr>
          <w:p w14:paraId="22321AC3" w14:textId="77777777" w:rsidR="00104513" w:rsidRPr="00CE28E3" w:rsidRDefault="00104513" w:rsidP="002F6658">
            <w:pPr>
              <w:pStyle w:val="Tabletext0"/>
              <w:keepNext/>
              <w:jc w:val="right"/>
            </w:pPr>
            <w:r w:rsidRPr="006B745C">
              <w:t>Not included</w:t>
            </w:r>
          </w:p>
        </w:tc>
      </w:tr>
      <w:tr w:rsidR="00104513" w:rsidRPr="00CE28E3" w14:paraId="4547BC6B" w14:textId="77777777" w:rsidTr="002F6658">
        <w:trPr>
          <w:cantSplit/>
          <w:trHeight w:val="300"/>
        </w:trPr>
        <w:tc>
          <w:tcPr>
            <w:tcW w:w="5000" w:type="pct"/>
            <w:gridSpan w:val="5"/>
            <w:noWrap/>
          </w:tcPr>
          <w:p w14:paraId="724B13E9" w14:textId="77777777" w:rsidR="00104513" w:rsidRPr="00CE28E3" w:rsidRDefault="00104513" w:rsidP="002F6658">
            <w:pPr>
              <w:pStyle w:val="Tabletext0"/>
              <w:keepNext/>
            </w:pPr>
            <w:r>
              <w:t xml:space="preserve">Step 2 – Incorporation of effectiveness of treatment (e.g. survival benefit) translated to the Australian population and/or setting, and extrapolated to the appropriate time horizon </w:t>
            </w:r>
          </w:p>
        </w:tc>
      </w:tr>
      <w:tr w:rsidR="00104513" w:rsidRPr="00CE28E3" w14:paraId="034B6D2C" w14:textId="77777777" w:rsidTr="004B6555">
        <w:trPr>
          <w:cantSplit/>
          <w:trHeight w:val="300"/>
        </w:trPr>
        <w:tc>
          <w:tcPr>
            <w:tcW w:w="1963" w:type="pct"/>
            <w:tcBorders>
              <w:bottom w:val="nil"/>
            </w:tcBorders>
            <w:noWrap/>
          </w:tcPr>
          <w:p w14:paraId="6C142890" w14:textId="77777777" w:rsidR="00104513" w:rsidRPr="00CE28E3" w:rsidRDefault="00104513" w:rsidP="002F6658">
            <w:pPr>
              <w:pStyle w:val="Tabletext0"/>
              <w:keepNext/>
            </w:pPr>
            <w:r>
              <w:t>Costs</w:t>
            </w:r>
          </w:p>
        </w:tc>
        <w:tc>
          <w:tcPr>
            <w:tcW w:w="734" w:type="pct"/>
            <w:tcBorders>
              <w:bottom w:val="nil"/>
            </w:tcBorders>
            <w:shd w:val="solid" w:color="000000" w:fill="000000"/>
            <w:noWrap/>
          </w:tcPr>
          <w:p w14:paraId="5C651864" w14:textId="2EFC5B41" w:rsidR="00104513" w:rsidRPr="00201E72" w:rsidRDefault="004B6555" w:rsidP="002F6658">
            <w:pPr>
              <w:pStyle w:val="Tabletext0"/>
              <w:keepNext/>
              <w:jc w:val="right"/>
              <w:rPr>
                <w:b/>
                <w:bCs/>
              </w:rPr>
            </w:pPr>
            <w:r w:rsidRPr="009E577F">
              <w:rPr>
                <w:b/>
                <w:bCs/>
                <w:color w:val="000000"/>
                <w:spacing w:val="32"/>
                <w:fitText w:val="592" w:id="-1286897152"/>
                <w14:textFill>
                  <w14:solidFill>
                    <w14:srgbClr w14:val="000000">
                      <w14:alpha w14:val="100000"/>
                    </w14:srgbClr>
                  </w14:solidFill>
                </w14:textFill>
              </w:rPr>
              <w:t>|||||||</w:t>
            </w:r>
            <w:r w:rsidRPr="009E577F">
              <w:rPr>
                <w:b/>
                <w:bCs/>
                <w:color w:val="000000"/>
                <w:spacing w:val="1"/>
                <w:fitText w:val="592" w:id="-1286897152"/>
                <w14:textFill>
                  <w14:solidFill>
                    <w14:srgbClr w14:val="000000">
                      <w14:alpha w14:val="100000"/>
                    </w14:srgbClr>
                  </w14:solidFill>
                </w14:textFill>
              </w:rPr>
              <w:t>|</w:t>
            </w:r>
          </w:p>
        </w:tc>
        <w:tc>
          <w:tcPr>
            <w:tcW w:w="734" w:type="pct"/>
            <w:tcBorders>
              <w:bottom w:val="nil"/>
            </w:tcBorders>
            <w:shd w:val="solid" w:color="000000" w:fill="000000"/>
            <w:noWrap/>
          </w:tcPr>
          <w:p w14:paraId="2D65ACBD" w14:textId="47B2A0FF" w:rsidR="00104513" w:rsidRPr="00CE28E3" w:rsidRDefault="004B6555" w:rsidP="002F6658">
            <w:pPr>
              <w:pStyle w:val="Tabletext0"/>
              <w:keepNext/>
              <w:jc w:val="right"/>
            </w:pPr>
            <w:r w:rsidRPr="009E577F">
              <w:rPr>
                <w:b/>
                <w:bCs/>
                <w:color w:val="000000"/>
                <w:spacing w:val="32"/>
                <w:fitText w:val="592" w:id="-1286897151"/>
                <w14:textFill>
                  <w14:solidFill>
                    <w14:srgbClr w14:val="000000">
                      <w14:alpha w14:val="100000"/>
                    </w14:srgbClr>
                  </w14:solidFill>
                </w14:textFill>
              </w:rPr>
              <w:t>|||||||</w:t>
            </w:r>
            <w:r w:rsidRPr="009E577F">
              <w:rPr>
                <w:b/>
                <w:bCs/>
                <w:color w:val="000000"/>
                <w:spacing w:val="1"/>
                <w:fitText w:val="592" w:id="-1286897151"/>
                <w14:textFill>
                  <w14:solidFill>
                    <w14:srgbClr w14:val="000000">
                      <w14:alpha w14:val="100000"/>
                    </w14:srgbClr>
                  </w14:solidFill>
                </w14:textFill>
              </w:rPr>
              <w:t>|</w:t>
            </w:r>
          </w:p>
        </w:tc>
        <w:tc>
          <w:tcPr>
            <w:tcW w:w="734" w:type="pct"/>
            <w:tcBorders>
              <w:bottom w:val="nil"/>
            </w:tcBorders>
            <w:shd w:val="solid" w:color="000000" w:fill="000000"/>
            <w:noWrap/>
          </w:tcPr>
          <w:p w14:paraId="30A0A487" w14:textId="5233F34C" w:rsidR="00104513" w:rsidRPr="00CE28E3" w:rsidRDefault="004B6555" w:rsidP="002F6658">
            <w:pPr>
              <w:pStyle w:val="Tabletext0"/>
              <w:keepNext/>
              <w:jc w:val="right"/>
            </w:pPr>
            <w:r w:rsidRPr="009E577F">
              <w:rPr>
                <w:b/>
                <w:bCs/>
                <w:color w:val="000000"/>
                <w:spacing w:val="32"/>
                <w:fitText w:val="592" w:id="-1286897150"/>
                <w14:textFill>
                  <w14:solidFill>
                    <w14:srgbClr w14:val="000000">
                      <w14:alpha w14:val="100000"/>
                    </w14:srgbClr>
                  </w14:solidFill>
                </w14:textFill>
              </w:rPr>
              <w:t>|||||||</w:t>
            </w:r>
            <w:r w:rsidRPr="009E577F">
              <w:rPr>
                <w:b/>
                <w:bCs/>
                <w:color w:val="000000"/>
                <w:spacing w:val="1"/>
                <w:fitText w:val="592" w:id="-1286897150"/>
                <w14:textFill>
                  <w14:solidFill>
                    <w14:srgbClr w14:val="000000">
                      <w14:alpha w14:val="100000"/>
                    </w14:srgbClr>
                  </w14:solidFill>
                </w14:textFill>
              </w:rPr>
              <w:t>|</w:t>
            </w:r>
          </w:p>
        </w:tc>
        <w:tc>
          <w:tcPr>
            <w:tcW w:w="835" w:type="pct"/>
            <w:tcBorders>
              <w:bottom w:val="nil"/>
            </w:tcBorders>
          </w:tcPr>
          <w:p w14:paraId="1DD4AF07" w14:textId="77777777" w:rsidR="00104513" w:rsidRPr="00CE28E3" w:rsidRDefault="00104513" w:rsidP="002F6658">
            <w:pPr>
              <w:pStyle w:val="Tabletext0"/>
              <w:keepNext/>
              <w:jc w:val="right"/>
            </w:pPr>
          </w:p>
        </w:tc>
      </w:tr>
      <w:tr w:rsidR="00F522E5" w:rsidRPr="00CE28E3" w14:paraId="1255A818" w14:textId="77777777" w:rsidTr="004B6555">
        <w:trPr>
          <w:cantSplit/>
          <w:trHeight w:val="300"/>
        </w:trPr>
        <w:tc>
          <w:tcPr>
            <w:tcW w:w="1963" w:type="pct"/>
            <w:tcBorders>
              <w:top w:val="nil"/>
            </w:tcBorders>
            <w:noWrap/>
          </w:tcPr>
          <w:p w14:paraId="7FA7EB5A" w14:textId="77777777" w:rsidR="00F522E5" w:rsidRDefault="00F522E5" w:rsidP="00F522E5">
            <w:pPr>
              <w:pStyle w:val="Tabletext0"/>
              <w:keepNext/>
            </w:pPr>
            <w:r>
              <w:t>Life years gained</w:t>
            </w:r>
          </w:p>
        </w:tc>
        <w:tc>
          <w:tcPr>
            <w:tcW w:w="734" w:type="pct"/>
            <w:tcBorders>
              <w:top w:val="nil"/>
            </w:tcBorders>
            <w:shd w:val="solid" w:color="000000" w:fill="000000"/>
            <w:noWrap/>
          </w:tcPr>
          <w:p w14:paraId="67FCC8A4" w14:textId="190958ED" w:rsidR="00F522E5" w:rsidRDefault="004B6555" w:rsidP="00F522E5">
            <w:pPr>
              <w:pStyle w:val="Tabletext0"/>
              <w:keepNext/>
              <w:jc w:val="right"/>
            </w:pPr>
            <w:r w:rsidRPr="009E577F">
              <w:rPr>
                <w:b/>
                <w:bCs/>
                <w:color w:val="000000"/>
                <w:spacing w:val="32"/>
                <w:fitText w:val="592" w:id="-1286897149"/>
                <w14:textFill>
                  <w14:solidFill>
                    <w14:srgbClr w14:val="000000">
                      <w14:alpha w14:val="100000"/>
                    </w14:srgbClr>
                  </w14:solidFill>
                </w14:textFill>
              </w:rPr>
              <w:t>|||||||</w:t>
            </w:r>
            <w:r w:rsidRPr="009E577F">
              <w:rPr>
                <w:b/>
                <w:bCs/>
                <w:color w:val="000000"/>
                <w:spacing w:val="1"/>
                <w:fitText w:val="592" w:id="-1286897149"/>
                <w14:textFill>
                  <w14:solidFill>
                    <w14:srgbClr w14:val="000000">
                      <w14:alpha w14:val="100000"/>
                    </w14:srgbClr>
                  </w14:solidFill>
                </w14:textFill>
              </w:rPr>
              <w:t>|</w:t>
            </w:r>
          </w:p>
        </w:tc>
        <w:tc>
          <w:tcPr>
            <w:tcW w:w="734" w:type="pct"/>
            <w:tcBorders>
              <w:top w:val="nil"/>
            </w:tcBorders>
            <w:shd w:val="solid" w:color="000000" w:fill="000000"/>
            <w:noWrap/>
          </w:tcPr>
          <w:p w14:paraId="67AA308A" w14:textId="4DC71748" w:rsidR="00F522E5" w:rsidRDefault="004B6555" w:rsidP="00F522E5">
            <w:pPr>
              <w:pStyle w:val="Tabletext0"/>
              <w:keepNext/>
              <w:jc w:val="right"/>
            </w:pPr>
            <w:r w:rsidRPr="009E577F">
              <w:rPr>
                <w:b/>
                <w:bCs/>
                <w:color w:val="000000"/>
                <w:spacing w:val="32"/>
                <w:fitText w:val="592" w:id="-1286897148"/>
                <w14:textFill>
                  <w14:solidFill>
                    <w14:srgbClr w14:val="000000">
                      <w14:alpha w14:val="100000"/>
                    </w14:srgbClr>
                  </w14:solidFill>
                </w14:textFill>
              </w:rPr>
              <w:t>|||||||</w:t>
            </w:r>
            <w:r w:rsidRPr="009E577F">
              <w:rPr>
                <w:b/>
                <w:bCs/>
                <w:color w:val="000000"/>
                <w:spacing w:val="1"/>
                <w:fitText w:val="592" w:id="-1286897148"/>
                <w14:textFill>
                  <w14:solidFill>
                    <w14:srgbClr w14:val="000000">
                      <w14:alpha w14:val="100000"/>
                    </w14:srgbClr>
                  </w14:solidFill>
                </w14:textFill>
              </w:rPr>
              <w:t>|</w:t>
            </w:r>
          </w:p>
        </w:tc>
        <w:tc>
          <w:tcPr>
            <w:tcW w:w="734" w:type="pct"/>
            <w:tcBorders>
              <w:top w:val="nil"/>
            </w:tcBorders>
            <w:shd w:val="solid" w:color="000000" w:fill="000000"/>
            <w:noWrap/>
          </w:tcPr>
          <w:p w14:paraId="07150CBB" w14:textId="446D08A4" w:rsidR="00F522E5" w:rsidRDefault="004B6555" w:rsidP="00F522E5">
            <w:pPr>
              <w:pStyle w:val="Tabletext0"/>
              <w:keepNext/>
              <w:jc w:val="right"/>
            </w:pPr>
            <w:r w:rsidRPr="009E577F">
              <w:rPr>
                <w:b/>
                <w:bCs/>
                <w:color w:val="000000"/>
                <w:spacing w:val="32"/>
                <w:fitText w:val="592" w:id="-1286896896"/>
                <w14:textFill>
                  <w14:solidFill>
                    <w14:srgbClr w14:val="000000">
                      <w14:alpha w14:val="100000"/>
                    </w14:srgbClr>
                  </w14:solidFill>
                </w14:textFill>
              </w:rPr>
              <w:t>|||||||</w:t>
            </w:r>
            <w:r w:rsidRPr="009E577F">
              <w:rPr>
                <w:b/>
                <w:bCs/>
                <w:color w:val="000000"/>
                <w:spacing w:val="1"/>
                <w:fitText w:val="592" w:id="-1286896896"/>
                <w14:textFill>
                  <w14:solidFill>
                    <w14:srgbClr w14:val="000000">
                      <w14:alpha w14:val="100000"/>
                    </w14:srgbClr>
                  </w14:solidFill>
                </w14:textFill>
              </w:rPr>
              <w:t>|</w:t>
            </w:r>
          </w:p>
        </w:tc>
        <w:tc>
          <w:tcPr>
            <w:tcW w:w="835" w:type="pct"/>
            <w:tcBorders>
              <w:top w:val="nil"/>
            </w:tcBorders>
          </w:tcPr>
          <w:p w14:paraId="4D96194E" w14:textId="77777777" w:rsidR="00F522E5" w:rsidRPr="00CE28E3" w:rsidRDefault="00F522E5" w:rsidP="00F522E5">
            <w:pPr>
              <w:pStyle w:val="Tabletext0"/>
              <w:keepNext/>
              <w:jc w:val="right"/>
            </w:pPr>
            <w:r w:rsidRPr="00E246AB">
              <w:t>$4,337</w:t>
            </w:r>
          </w:p>
        </w:tc>
      </w:tr>
      <w:tr w:rsidR="00104513" w:rsidRPr="00CE28E3" w14:paraId="57E0F932" w14:textId="77777777" w:rsidTr="002F6658">
        <w:trPr>
          <w:cantSplit/>
          <w:trHeight w:val="300"/>
        </w:trPr>
        <w:tc>
          <w:tcPr>
            <w:tcW w:w="5000" w:type="pct"/>
            <w:gridSpan w:val="5"/>
            <w:noWrap/>
          </w:tcPr>
          <w:p w14:paraId="7B1E63A0" w14:textId="77777777" w:rsidR="00104513" w:rsidRPr="00CE28E3" w:rsidRDefault="00104513" w:rsidP="002F6658">
            <w:pPr>
              <w:pStyle w:val="Tabletext0"/>
              <w:keepNext/>
            </w:pPr>
            <w:r w:rsidRPr="00DB7BCF">
              <w:t xml:space="preserve">Step </w:t>
            </w:r>
            <w:r>
              <w:t>3</w:t>
            </w:r>
            <w:r w:rsidRPr="00DB7BCF">
              <w:t xml:space="preserve"> </w:t>
            </w:r>
            <w:r>
              <w:t>–</w:t>
            </w:r>
            <w:r w:rsidRPr="00DB7BCF">
              <w:t xml:space="preserve"> Outcomes transformed into a relevant health outcome (e.g. QALYs)</w:t>
            </w:r>
          </w:p>
        </w:tc>
      </w:tr>
      <w:tr w:rsidR="00F522E5" w:rsidRPr="00CE28E3" w14:paraId="57A409D0" w14:textId="77777777" w:rsidTr="004B6555">
        <w:trPr>
          <w:cantSplit/>
          <w:trHeight w:val="300"/>
        </w:trPr>
        <w:tc>
          <w:tcPr>
            <w:tcW w:w="1963" w:type="pct"/>
            <w:tcBorders>
              <w:bottom w:val="nil"/>
            </w:tcBorders>
            <w:noWrap/>
          </w:tcPr>
          <w:p w14:paraId="6CC4C79B" w14:textId="77777777" w:rsidR="00F522E5" w:rsidRPr="00CE28E3" w:rsidRDefault="00F522E5" w:rsidP="00F522E5">
            <w:pPr>
              <w:pStyle w:val="Tabletext0"/>
              <w:keepNext/>
            </w:pPr>
            <w:r>
              <w:t>Costs</w:t>
            </w:r>
          </w:p>
        </w:tc>
        <w:tc>
          <w:tcPr>
            <w:tcW w:w="734" w:type="pct"/>
            <w:tcBorders>
              <w:bottom w:val="nil"/>
            </w:tcBorders>
            <w:shd w:val="solid" w:color="000000" w:fill="000000"/>
            <w:noWrap/>
          </w:tcPr>
          <w:p w14:paraId="542A7A58" w14:textId="44C374F5" w:rsidR="00F522E5" w:rsidRPr="00CE28E3" w:rsidRDefault="004B6555" w:rsidP="00F522E5">
            <w:pPr>
              <w:pStyle w:val="Tabletext0"/>
              <w:keepNext/>
              <w:jc w:val="right"/>
            </w:pPr>
            <w:r w:rsidRPr="009E577F">
              <w:rPr>
                <w:b/>
                <w:bCs/>
                <w:color w:val="000000"/>
                <w:spacing w:val="32"/>
                <w:fitText w:val="592" w:id="-1286896895"/>
                <w14:textFill>
                  <w14:solidFill>
                    <w14:srgbClr w14:val="000000">
                      <w14:alpha w14:val="100000"/>
                    </w14:srgbClr>
                  </w14:solidFill>
                </w14:textFill>
              </w:rPr>
              <w:t>|||||||</w:t>
            </w:r>
            <w:r w:rsidRPr="009E577F">
              <w:rPr>
                <w:b/>
                <w:bCs/>
                <w:color w:val="000000"/>
                <w:spacing w:val="1"/>
                <w:fitText w:val="592" w:id="-1286896895"/>
                <w14:textFill>
                  <w14:solidFill>
                    <w14:srgbClr w14:val="000000">
                      <w14:alpha w14:val="100000"/>
                    </w14:srgbClr>
                  </w14:solidFill>
                </w14:textFill>
              </w:rPr>
              <w:t>|</w:t>
            </w:r>
          </w:p>
        </w:tc>
        <w:tc>
          <w:tcPr>
            <w:tcW w:w="734" w:type="pct"/>
            <w:tcBorders>
              <w:bottom w:val="nil"/>
            </w:tcBorders>
            <w:shd w:val="solid" w:color="000000" w:fill="000000"/>
            <w:noWrap/>
          </w:tcPr>
          <w:p w14:paraId="7CA477AD" w14:textId="733B9892" w:rsidR="00F522E5" w:rsidRPr="00CE28E3" w:rsidRDefault="004B6555" w:rsidP="00F522E5">
            <w:pPr>
              <w:pStyle w:val="Tabletext0"/>
              <w:keepNext/>
              <w:jc w:val="right"/>
            </w:pPr>
            <w:r w:rsidRPr="009E577F">
              <w:rPr>
                <w:b/>
                <w:bCs/>
                <w:color w:val="000000"/>
                <w:spacing w:val="32"/>
                <w:fitText w:val="592" w:id="-1286896894"/>
                <w14:textFill>
                  <w14:solidFill>
                    <w14:srgbClr w14:val="000000">
                      <w14:alpha w14:val="100000"/>
                    </w14:srgbClr>
                  </w14:solidFill>
                </w14:textFill>
              </w:rPr>
              <w:t>|||||||</w:t>
            </w:r>
            <w:r w:rsidRPr="009E577F">
              <w:rPr>
                <w:b/>
                <w:bCs/>
                <w:color w:val="000000"/>
                <w:spacing w:val="1"/>
                <w:fitText w:val="592" w:id="-1286896894"/>
                <w14:textFill>
                  <w14:solidFill>
                    <w14:srgbClr w14:val="000000">
                      <w14:alpha w14:val="100000"/>
                    </w14:srgbClr>
                  </w14:solidFill>
                </w14:textFill>
              </w:rPr>
              <w:t>|</w:t>
            </w:r>
          </w:p>
        </w:tc>
        <w:tc>
          <w:tcPr>
            <w:tcW w:w="734" w:type="pct"/>
            <w:tcBorders>
              <w:bottom w:val="nil"/>
            </w:tcBorders>
            <w:shd w:val="solid" w:color="000000" w:fill="000000"/>
            <w:noWrap/>
          </w:tcPr>
          <w:p w14:paraId="4C9035C3" w14:textId="4583F299" w:rsidR="00F522E5" w:rsidRPr="00CE28E3" w:rsidRDefault="004B6555" w:rsidP="00F522E5">
            <w:pPr>
              <w:pStyle w:val="Tabletext0"/>
              <w:keepNext/>
              <w:jc w:val="right"/>
            </w:pPr>
            <w:r w:rsidRPr="009E577F">
              <w:rPr>
                <w:b/>
                <w:bCs/>
                <w:color w:val="000000"/>
                <w:spacing w:val="32"/>
                <w:fitText w:val="592" w:id="-1286896893"/>
                <w14:textFill>
                  <w14:solidFill>
                    <w14:srgbClr w14:val="000000">
                      <w14:alpha w14:val="100000"/>
                    </w14:srgbClr>
                  </w14:solidFill>
                </w14:textFill>
              </w:rPr>
              <w:t>|||||||</w:t>
            </w:r>
            <w:r w:rsidRPr="009E577F">
              <w:rPr>
                <w:b/>
                <w:bCs/>
                <w:color w:val="000000"/>
                <w:spacing w:val="1"/>
                <w:fitText w:val="592" w:id="-1286896893"/>
                <w14:textFill>
                  <w14:solidFill>
                    <w14:srgbClr w14:val="000000">
                      <w14:alpha w14:val="100000"/>
                    </w14:srgbClr>
                  </w14:solidFill>
                </w14:textFill>
              </w:rPr>
              <w:t>|</w:t>
            </w:r>
          </w:p>
        </w:tc>
        <w:tc>
          <w:tcPr>
            <w:tcW w:w="835" w:type="pct"/>
            <w:tcBorders>
              <w:bottom w:val="nil"/>
            </w:tcBorders>
          </w:tcPr>
          <w:p w14:paraId="536B54E0" w14:textId="77777777" w:rsidR="00F522E5" w:rsidRPr="00CE28E3" w:rsidRDefault="00F522E5" w:rsidP="00F522E5">
            <w:pPr>
              <w:pStyle w:val="Tabletext0"/>
              <w:keepNext/>
              <w:jc w:val="right"/>
            </w:pPr>
          </w:p>
        </w:tc>
      </w:tr>
      <w:tr w:rsidR="00F522E5" w:rsidRPr="00CE28E3" w14:paraId="36914B44" w14:textId="77777777" w:rsidTr="004B6555">
        <w:trPr>
          <w:cantSplit/>
          <w:trHeight w:val="300"/>
        </w:trPr>
        <w:tc>
          <w:tcPr>
            <w:tcW w:w="1963" w:type="pct"/>
            <w:tcBorders>
              <w:top w:val="nil"/>
            </w:tcBorders>
            <w:noWrap/>
          </w:tcPr>
          <w:p w14:paraId="4B1954BE" w14:textId="77777777" w:rsidR="00F522E5" w:rsidRDefault="00F522E5" w:rsidP="00F522E5">
            <w:pPr>
              <w:pStyle w:val="Tabletext0"/>
              <w:keepNext/>
            </w:pPr>
            <w:r>
              <w:t>QALYs</w:t>
            </w:r>
          </w:p>
        </w:tc>
        <w:tc>
          <w:tcPr>
            <w:tcW w:w="734" w:type="pct"/>
            <w:tcBorders>
              <w:top w:val="nil"/>
            </w:tcBorders>
            <w:shd w:val="solid" w:color="000000" w:fill="000000"/>
            <w:noWrap/>
          </w:tcPr>
          <w:p w14:paraId="25D4D13F" w14:textId="5A50E004" w:rsidR="00F522E5" w:rsidRDefault="004B6555" w:rsidP="00F522E5">
            <w:pPr>
              <w:pStyle w:val="Tabletext0"/>
              <w:keepNext/>
              <w:jc w:val="right"/>
            </w:pPr>
            <w:r w:rsidRPr="009E577F">
              <w:rPr>
                <w:b/>
                <w:bCs/>
                <w:color w:val="000000"/>
                <w:spacing w:val="32"/>
                <w:fitText w:val="592" w:id="-1286896892"/>
                <w14:textFill>
                  <w14:solidFill>
                    <w14:srgbClr w14:val="000000">
                      <w14:alpha w14:val="100000"/>
                    </w14:srgbClr>
                  </w14:solidFill>
                </w14:textFill>
              </w:rPr>
              <w:t>|||||||</w:t>
            </w:r>
            <w:r w:rsidRPr="009E577F">
              <w:rPr>
                <w:b/>
                <w:bCs/>
                <w:color w:val="000000"/>
                <w:spacing w:val="1"/>
                <w:fitText w:val="592" w:id="-1286896892"/>
                <w14:textFill>
                  <w14:solidFill>
                    <w14:srgbClr w14:val="000000">
                      <w14:alpha w14:val="100000"/>
                    </w14:srgbClr>
                  </w14:solidFill>
                </w14:textFill>
              </w:rPr>
              <w:t>|</w:t>
            </w:r>
          </w:p>
        </w:tc>
        <w:tc>
          <w:tcPr>
            <w:tcW w:w="734" w:type="pct"/>
            <w:tcBorders>
              <w:top w:val="nil"/>
            </w:tcBorders>
            <w:shd w:val="solid" w:color="000000" w:fill="000000"/>
            <w:noWrap/>
          </w:tcPr>
          <w:p w14:paraId="706C17A7" w14:textId="3047A16A" w:rsidR="00F522E5" w:rsidRDefault="004B6555" w:rsidP="00F522E5">
            <w:pPr>
              <w:pStyle w:val="Tabletext0"/>
              <w:keepNext/>
              <w:jc w:val="right"/>
            </w:pPr>
            <w:r w:rsidRPr="009E577F">
              <w:rPr>
                <w:b/>
                <w:bCs/>
                <w:color w:val="000000"/>
                <w:spacing w:val="32"/>
                <w:fitText w:val="592" w:id="-1286896891"/>
                <w14:textFill>
                  <w14:solidFill>
                    <w14:srgbClr w14:val="000000">
                      <w14:alpha w14:val="100000"/>
                    </w14:srgbClr>
                  </w14:solidFill>
                </w14:textFill>
              </w:rPr>
              <w:t>|||||||</w:t>
            </w:r>
            <w:r w:rsidRPr="009E577F">
              <w:rPr>
                <w:b/>
                <w:bCs/>
                <w:color w:val="000000"/>
                <w:spacing w:val="1"/>
                <w:fitText w:val="592" w:id="-1286896891"/>
                <w14:textFill>
                  <w14:solidFill>
                    <w14:srgbClr w14:val="000000">
                      <w14:alpha w14:val="100000"/>
                    </w14:srgbClr>
                  </w14:solidFill>
                </w14:textFill>
              </w:rPr>
              <w:t>|</w:t>
            </w:r>
          </w:p>
        </w:tc>
        <w:tc>
          <w:tcPr>
            <w:tcW w:w="734" w:type="pct"/>
            <w:tcBorders>
              <w:top w:val="nil"/>
            </w:tcBorders>
            <w:shd w:val="solid" w:color="000000" w:fill="000000"/>
            <w:noWrap/>
          </w:tcPr>
          <w:p w14:paraId="7DD46397" w14:textId="0C171790" w:rsidR="00F522E5" w:rsidRDefault="004B6555" w:rsidP="00F522E5">
            <w:pPr>
              <w:pStyle w:val="Tabletext0"/>
              <w:keepNext/>
              <w:jc w:val="right"/>
            </w:pPr>
            <w:r w:rsidRPr="009E577F">
              <w:rPr>
                <w:b/>
                <w:bCs/>
                <w:color w:val="000000"/>
                <w:spacing w:val="32"/>
                <w:fitText w:val="592" w:id="-1286896890"/>
                <w14:textFill>
                  <w14:solidFill>
                    <w14:srgbClr w14:val="000000">
                      <w14:alpha w14:val="100000"/>
                    </w14:srgbClr>
                  </w14:solidFill>
                </w14:textFill>
              </w:rPr>
              <w:t>|||||||</w:t>
            </w:r>
            <w:r w:rsidRPr="009E577F">
              <w:rPr>
                <w:b/>
                <w:bCs/>
                <w:color w:val="000000"/>
                <w:spacing w:val="1"/>
                <w:fitText w:val="592" w:id="-1286896890"/>
                <w14:textFill>
                  <w14:solidFill>
                    <w14:srgbClr w14:val="000000">
                      <w14:alpha w14:val="100000"/>
                    </w14:srgbClr>
                  </w14:solidFill>
                </w14:textFill>
              </w:rPr>
              <w:t>|</w:t>
            </w:r>
          </w:p>
        </w:tc>
        <w:tc>
          <w:tcPr>
            <w:tcW w:w="835" w:type="pct"/>
            <w:tcBorders>
              <w:top w:val="nil"/>
            </w:tcBorders>
          </w:tcPr>
          <w:p w14:paraId="57FD96DC" w14:textId="77777777" w:rsidR="00F522E5" w:rsidRPr="00CE28E3" w:rsidRDefault="00F522E5" w:rsidP="00F522E5">
            <w:pPr>
              <w:pStyle w:val="Tabletext0"/>
              <w:keepNext/>
              <w:jc w:val="right"/>
            </w:pPr>
            <w:r w:rsidRPr="00835F36">
              <w:t>$3,615</w:t>
            </w:r>
          </w:p>
        </w:tc>
      </w:tr>
    </w:tbl>
    <w:p w14:paraId="7F014545" w14:textId="77777777" w:rsidR="00104513" w:rsidRDefault="00104513" w:rsidP="00104513">
      <w:pPr>
        <w:pStyle w:val="Tablenotes"/>
      </w:pPr>
      <w:r w:rsidRPr="00E6458E">
        <w:rPr>
          <w:b/>
          <w:bCs/>
          <w:u w:val="single"/>
        </w:rPr>
        <w:t>Abbreviations</w:t>
      </w:r>
      <w:r>
        <w:br/>
        <w:t>ICER = incremental cost-effectiveness ratio, QALYs = q</w:t>
      </w:r>
      <w:r w:rsidRPr="006267F4">
        <w:t>uality-adjusted life</w:t>
      </w:r>
      <w:r>
        <w:t xml:space="preserve"> </w:t>
      </w:r>
      <w:r w:rsidRPr="006267F4">
        <w:t>years</w:t>
      </w:r>
      <w:r>
        <w:t xml:space="preserve">. </w:t>
      </w:r>
    </w:p>
    <w:p w14:paraId="092A5652" w14:textId="532BE96E" w:rsidR="00104513" w:rsidRPr="0086353C" w:rsidRDefault="00104513" w:rsidP="00104513">
      <w:pPr>
        <w:pStyle w:val="Tablenotes"/>
        <w:rPr>
          <w:rFonts w:eastAsia="Calibri"/>
        </w:rPr>
      </w:pPr>
      <w:r w:rsidRPr="00E6458E">
        <w:rPr>
          <w:rFonts w:eastAsia="Calibri"/>
          <w:b/>
          <w:bCs/>
          <w:u w:val="single"/>
        </w:rPr>
        <w:t>Source</w:t>
      </w:r>
      <w:r>
        <w:rPr>
          <w:rFonts w:eastAsia="Calibri"/>
        </w:rPr>
        <w:br/>
      </w:r>
      <w:r w:rsidRPr="0086353C">
        <w:rPr>
          <w:rFonts w:eastAsia="Calibri"/>
        </w:rPr>
        <w:t>Submission</w:t>
      </w:r>
      <w:r>
        <w:rPr>
          <w:rFonts w:eastAsia="Calibri"/>
        </w:rPr>
        <w:t xml:space="preserve"> </w:t>
      </w:r>
      <w:r w:rsidRPr="0086353C">
        <w:rPr>
          <w:rFonts w:eastAsia="Calibri"/>
        </w:rPr>
        <w:t xml:space="preserve">and compiled for the </w:t>
      </w:r>
      <w:r>
        <w:rPr>
          <w:rFonts w:eastAsia="Calibri"/>
        </w:rPr>
        <w:t>commentary.</w:t>
      </w:r>
    </w:p>
    <w:p w14:paraId="64622775" w14:textId="067AADD8" w:rsidR="003D4B27" w:rsidRDefault="00E22935" w:rsidP="00104513">
      <w:bookmarkStart w:id="38" w:name="_Ref378945269"/>
      <w:r>
        <w:t xml:space="preserve">The Commentary noted </w:t>
      </w:r>
      <w:r w:rsidR="00104513" w:rsidRPr="00913C05">
        <w:t xml:space="preserve">some uncertainties and evidence gaps in the economic model. </w:t>
      </w:r>
      <w:r w:rsidR="00104513">
        <w:t>The model uses the equation of Nelson to derive the transition probability of patient progression from pre-DKD to DKD</w:t>
      </w:r>
      <w:r w:rsidR="00372234">
        <w:t xml:space="preserve"> and this equation is formulated based on US military </w:t>
      </w:r>
      <w:r w:rsidR="00372234" w:rsidRPr="001D3C36">
        <w:t>veterans’ cohort</w:t>
      </w:r>
      <w:r w:rsidR="00816AAF">
        <w:t xml:space="preserve"> data</w:t>
      </w:r>
      <w:r w:rsidR="00DA2976">
        <w:t>, which may not be generalisable to the Australian population</w:t>
      </w:r>
      <w:r w:rsidR="00372234">
        <w:t>. This results in, among other things, an assumption in the model that 2.4% of the population is African American</w:t>
      </w:r>
      <w:r w:rsidR="00104513">
        <w:t xml:space="preserve">. No validation of the equation using Australian data was undertaken or comparison with PromarkerD and </w:t>
      </w:r>
      <w:r w:rsidR="00104513" w:rsidRPr="00950F3A">
        <w:t>KDIGO</w:t>
      </w:r>
      <w:r w:rsidR="00104513">
        <w:t xml:space="preserve"> prognostic performance presented.</w:t>
      </w:r>
      <w:r w:rsidR="005254BF">
        <w:t xml:space="preserve"> </w:t>
      </w:r>
      <w:r w:rsidR="00104513" w:rsidRPr="003F7410">
        <w:t>The model</w:t>
      </w:r>
      <w:r w:rsidR="00104513">
        <w:t>ling does not explicitly consider the incremental prognostic accuracy of PromarkerD over current standard care (</w:t>
      </w:r>
      <w:r w:rsidR="00104513" w:rsidRPr="00950F3A">
        <w:t>KDIGO</w:t>
      </w:r>
      <w:r w:rsidR="00104513" w:rsidRPr="003F7410">
        <w:t xml:space="preserve"> </w:t>
      </w:r>
      <w:r w:rsidR="00104513">
        <w:t>assessment), and n</w:t>
      </w:r>
      <w:r w:rsidR="00104513" w:rsidRPr="005B6F17">
        <w:t xml:space="preserve">o allowance </w:t>
      </w:r>
      <w:r w:rsidR="00104513">
        <w:t xml:space="preserve">was </w:t>
      </w:r>
      <w:r w:rsidR="00104513" w:rsidRPr="005B6F17">
        <w:t xml:space="preserve">included for costs and utility impacts on false </w:t>
      </w:r>
      <w:r w:rsidR="00104513">
        <w:t>positive</w:t>
      </w:r>
      <w:r w:rsidR="00104513" w:rsidRPr="005B6F17">
        <w:t xml:space="preserve"> patients</w:t>
      </w:r>
      <w:r w:rsidR="00104513">
        <w:t xml:space="preserve"> </w:t>
      </w:r>
      <w:r w:rsidR="00104513" w:rsidRPr="003F7410">
        <w:t xml:space="preserve">who would </w:t>
      </w:r>
      <w:r w:rsidR="00104513">
        <w:t xml:space="preserve">not </w:t>
      </w:r>
      <w:r w:rsidR="00104513" w:rsidRPr="003F7410">
        <w:t>benefit from increased medication regimes</w:t>
      </w:r>
      <w:r w:rsidR="00104513">
        <w:t>. False negative prognosis could also falsely</w:t>
      </w:r>
      <w:r w:rsidR="00104513" w:rsidRPr="007F2C07">
        <w:t xml:space="preserve"> reassure the clinician and the patient and </w:t>
      </w:r>
      <w:r w:rsidR="007676E6">
        <w:t xml:space="preserve">potentially </w:t>
      </w:r>
      <w:r w:rsidR="00104513" w:rsidRPr="007F2C07">
        <w:t>delay treatment</w:t>
      </w:r>
      <w:r w:rsidR="00104513">
        <w:t xml:space="preserve"> leading to reduced health outcomes</w:t>
      </w:r>
      <w:r w:rsidR="00A908A8">
        <w:t>.</w:t>
      </w:r>
      <w:r w:rsidR="003D4B27">
        <w:t xml:space="preserve"> </w:t>
      </w:r>
      <w:r>
        <w:t>The Commentary noted that t</w:t>
      </w:r>
      <w:r w:rsidR="00F350A4">
        <w:t xml:space="preserve">he diagnostic effectiveness of </w:t>
      </w:r>
      <w:r w:rsidR="00F350A4" w:rsidRPr="00D8192B">
        <w:t>Promarker</w:t>
      </w:r>
      <w:r w:rsidR="00F07770">
        <w:t>D</w:t>
      </w:r>
      <w:r w:rsidR="00F350A4" w:rsidRPr="00D8192B">
        <w:t xml:space="preserve"> should be compared to</w:t>
      </w:r>
      <w:r w:rsidR="00F350A4" w:rsidRPr="005254BF">
        <w:t xml:space="preserve"> </w:t>
      </w:r>
      <w:r w:rsidR="00F350A4">
        <w:t>the current diagnostic effectiveness of</w:t>
      </w:r>
      <w:r w:rsidR="00F350A4" w:rsidRPr="00D8192B">
        <w:t xml:space="preserve"> KDIGO assessment and resulting clinical management in the economic model</w:t>
      </w:r>
      <w:r w:rsidR="00F350A4">
        <w:t xml:space="preserve">. </w:t>
      </w:r>
      <w:r w:rsidR="00104513" w:rsidRPr="00610ECC">
        <w:t>The modelled prognostic accuracy of PromarkerD compared to KDIGO needs to be described and validated using Australian data</w:t>
      </w:r>
      <w:r w:rsidR="00104513">
        <w:t xml:space="preserve">. This analysis would provide background as to whether false positive </w:t>
      </w:r>
      <w:r w:rsidR="00BC6E19">
        <w:t xml:space="preserve">and false </w:t>
      </w:r>
      <w:r w:rsidR="00104513">
        <w:t>negative costs are being captured in the modelling framework.</w:t>
      </w:r>
      <w:r w:rsidR="00372234">
        <w:t xml:space="preserve"> </w:t>
      </w:r>
      <w:r w:rsidR="003D4B27">
        <w:t>However</w:t>
      </w:r>
      <w:r w:rsidR="008F4EA7">
        <w:t>,</w:t>
      </w:r>
      <w:r w:rsidR="003D4B27">
        <w:t xml:space="preserve"> in the pre-ESC response the applicant stated that t</w:t>
      </w:r>
      <w:r w:rsidR="003D4B27" w:rsidRPr="003D4B27">
        <w:t xml:space="preserve">he model does not explicitly consider the incremental prognostic accuracy because </w:t>
      </w:r>
      <w:r w:rsidR="003D4B27">
        <w:t>Pro</w:t>
      </w:r>
      <w:r w:rsidR="004E071B">
        <w:t>m</w:t>
      </w:r>
      <w:r w:rsidR="003D4B27">
        <w:t xml:space="preserve">arkerD and DKD are not directly comparable - </w:t>
      </w:r>
      <w:r w:rsidR="003D4B27" w:rsidRPr="003D4B27">
        <w:t>PromarkerD assigns a level of risk of developing DKD for a patient, whereas the KDIGO assessment only measures eGFR and uACR and only points at high risk once kidney damage is done</w:t>
      </w:r>
      <w:r w:rsidR="003D4B27">
        <w:t>.</w:t>
      </w:r>
    </w:p>
    <w:p w14:paraId="37E5FE4B" w14:textId="00422B42" w:rsidR="003376A2" w:rsidRDefault="00E22935" w:rsidP="00104513">
      <w:r>
        <w:t>The Commentary considered that t</w:t>
      </w:r>
      <w:r w:rsidR="00372234">
        <w:t xml:space="preserve">his validation also needs to consider, among other things, the </w:t>
      </w:r>
      <w:r w:rsidR="00BC6E19">
        <w:t xml:space="preserve">implications of the </w:t>
      </w:r>
      <w:r w:rsidR="00372234">
        <w:t>demographic assumption in the model that 2.4% of the population is African-America</w:t>
      </w:r>
      <w:r w:rsidR="008B4600">
        <w:t xml:space="preserve">n, especially given that the sensitivity analysis (see Table </w:t>
      </w:r>
      <w:r w:rsidR="00512E55">
        <w:t>9</w:t>
      </w:r>
      <w:r w:rsidR="008B4600">
        <w:t>) finds that the cost per QALY more than triples with a 20% decrease in the assumed base case population share which is African-American.</w:t>
      </w:r>
    </w:p>
    <w:p w14:paraId="3A398597" w14:textId="1EE0ED76" w:rsidR="00104513" w:rsidRDefault="00104513" w:rsidP="00104513">
      <w:pPr>
        <w:rPr>
          <w:i/>
          <w:iCs/>
        </w:rPr>
      </w:pPr>
      <w:r>
        <w:t>T</w:t>
      </w:r>
      <w:r w:rsidRPr="00913C05">
        <w:t>he calculated ICER</w:t>
      </w:r>
      <w:r>
        <w:t xml:space="preserve">s were </w:t>
      </w:r>
      <w:r w:rsidRPr="00913C05">
        <w:t xml:space="preserve">sensitive </w:t>
      </w:r>
      <w:r>
        <w:t xml:space="preserve">to </w:t>
      </w:r>
      <w:r w:rsidRPr="00913C05">
        <w:t>assumption</w:t>
      </w:r>
      <w:r>
        <w:t xml:space="preserve">s such as age, </w:t>
      </w:r>
      <w:r w:rsidRPr="00E86B37">
        <w:t xml:space="preserve">GFR, </w:t>
      </w:r>
      <w:r>
        <w:t xml:space="preserve">baseline PromarkerD risk, along with </w:t>
      </w:r>
      <w:r w:rsidRPr="00E86B37">
        <w:t xml:space="preserve">CKD Stage 4 </w:t>
      </w:r>
      <w:r>
        <w:t>d</w:t>
      </w:r>
      <w:r w:rsidRPr="00E86B37">
        <w:t xml:space="preserve">ialysis </w:t>
      </w:r>
      <w:r>
        <w:t xml:space="preserve">and lower </w:t>
      </w:r>
      <w:r w:rsidRPr="001579B2">
        <w:t>CKD Stage 1</w:t>
      </w:r>
      <w:r>
        <w:t>–</w:t>
      </w:r>
      <w:r w:rsidRPr="001579B2">
        <w:t>2</w:t>
      </w:r>
      <w:r>
        <w:t xml:space="preserve"> assigned utilities. </w:t>
      </w:r>
      <w:r w:rsidRPr="001850D9">
        <w:t>The ICER direc</w:t>
      </w:r>
      <w:r w:rsidRPr="00C10BC4">
        <w:t xml:space="preserve">tion </w:t>
      </w:r>
      <w:r>
        <w:t>of some of the</w:t>
      </w:r>
      <w:r w:rsidRPr="00C10BC4">
        <w:t xml:space="preserve"> sensitivity analyses </w:t>
      </w:r>
      <w:r>
        <w:t>were</w:t>
      </w:r>
      <w:r w:rsidRPr="00C10BC4">
        <w:t xml:space="preserve"> not </w:t>
      </w:r>
      <w:r w:rsidRPr="00F04963">
        <w:t>explained in the</w:t>
      </w:r>
      <w:r w:rsidR="0083205D">
        <w:t xml:space="preserve"> </w:t>
      </w:r>
      <w:r w:rsidR="00E22935">
        <w:t>ADAR</w:t>
      </w:r>
      <w:r w:rsidRPr="00F04963">
        <w:t xml:space="preserve">. </w:t>
      </w:r>
      <w:r w:rsidRPr="00F04963">
        <w:rPr>
          <w:rFonts w:cstheme="minorHAnsi"/>
        </w:rPr>
        <w:t xml:space="preserve">For example, changes in the time horizon (20 and 40 years) both increased cost-effectiveness. These results were presented in the </w:t>
      </w:r>
      <w:r w:rsidR="00E22935">
        <w:rPr>
          <w:rFonts w:cstheme="minorHAnsi"/>
        </w:rPr>
        <w:t>ADAR</w:t>
      </w:r>
      <w:r w:rsidRPr="00F04963">
        <w:rPr>
          <w:rFonts w:cstheme="minorHAnsi"/>
        </w:rPr>
        <w:t xml:space="preserve"> and outlined in the following table.</w:t>
      </w:r>
    </w:p>
    <w:p w14:paraId="621128E0" w14:textId="43FC27FB" w:rsidR="00104513" w:rsidRDefault="00104513" w:rsidP="00104513">
      <w:pPr>
        <w:pStyle w:val="Caption"/>
      </w:pPr>
      <w:r>
        <w:lastRenderedPageBreak/>
        <w:t>Table</w:t>
      </w:r>
      <w:r w:rsidR="00D561B1">
        <w:t xml:space="preserve"> </w:t>
      </w:r>
      <w:r w:rsidR="00453E31">
        <w:t>9</w:t>
      </w:r>
      <w:r>
        <w:tab/>
        <w:t>Submission s</w:t>
      </w:r>
      <w:r w:rsidRPr="00D150CE">
        <w:t>ensitivity analyses</w:t>
      </w:r>
    </w:p>
    <w:tbl>
      <w:tblPr>
        <w:tblStyle w:val="TableGrid1"/>
        <w:tblW w:w="5000" w:type="pct"/>
        <w:tblLook w:val="04A0" w:firstRow="1" w:lastRow="0" w:firstColumn="1" w:lastColumn="0" w:noHBand="0" w:noVBand="1"/>
      </w:tblPr>
      <w:tblGrid>
        <w:gridCol w:w="4248"/>
        <w:gridCol w:w="2126"/>
        <w:gridCol w:w="2642"/>
      </w:tblGrid>
      <w:tr w:rsidR="00104513" w:rsidRPr="005D6403" w14:paraId="6417C79F" w14:textId="77777777" w:rsidTr="002F6658">
        <w:trPr>
          <w:cnfStyle w:val="100000000000" w:firstRow="1" w:lastRow="0" w:firstColumn="0" w:lastColumn="0" w:oddVBand="0" w:evenVBand="0" w:oddHBand="0" w:evenHBand="0" w:firstRowFirstColumn="0" w:firstRowLastColumn="0" w:lastRowFirstColumn="0" w:lastRowLastColumn="0"/>
          <w:trHeight w:val="355"/>
          <w:tblHeader/>
        </w:trPr>
        <w:tc>
          <w:tcPr>
            <w:tcW w:w="2356" w:type="pct"/>
            <w:shd w:val="clear" w:color="auto" w:fill="auto"/>
          </w:tcPr>
          <w:p w14:paraId="210BE52C" w14:textId="77777777" w:rsidR="00104513" w:rsidRPr="005D6403" w:rsidRDefault="00104513" w:rsidP="002F6658">
            <w:pPr>
              <w:pStyle w:val="TableText"/>
              <w:rPr>
                <w:b/>
                <w:bCs/>
              </w:rPr>
            </w:pPr>
            <w:r w:rsidRPr="005D6403">
              <w:rPr>
                <w:b/>
                <w:bCs/>
              </w:rPr>
              <w:t>Sensitivity analysis parameter</w:t>
            </w:r>
          </w:p>
        </w:tc>
        <w:tc>
          <w:tcPr>
            <w:tcW w:w="2644" w:type="pct"/>
            <w:gridSpan w:val="2"/>
            <w:shd w:val="clear" w:color="auto" w:fill="auto"/>
          </w:tcPr>
          <w:p w14:paraId="60637F4E" w14:textId="77777777" w:rsidR="00104513" w:rsidRPr="005D6403" w:rsidRDefault="00104513" w:rsidP="002F6658">
            <w:pPr>
              <w:pStyle w:val="TableText"/>
              <w:jc w:val="center"/>
              <w:rPr>
                <w:b/>
                <w:bCs/>
              </w:rPr>
            </w:pPr>
            <w:r w:rsidRPr="005D6403">
              <w:rPr>
                <w:b/>
                <w:bCs/>
              </w:rPr>
              <w:t>Cost/QALY</w:t>
            </w:r>
          </w:p>
        </w:tc>
      </w:tr>
      <w:tr w:rsidR="00104513" w:rsidRPr="005D6403" w14:paraId="2E405D35" w14:textId="77777777" w:rsidTr="002F6658">
        <w:trPr>
          <w:trHeight w:val="56"/>
        </w:trPr>
        <w:tc>
          <w:tcPr>
            <w:tcW w:w="2356" w:type="pct"/>
          </w:tcPr>
          <w:p w14:paraId="7F521B5D" w14:textId="77777777" w:rsidR="00104513" w:rsidRPr="00D87B1E" w:rsidRDefault="00104513" w:rsidP="002F6658">
            <w:pPr>
              <w:pStyle w:val="TableText"/>
              <w:rPr>
                <w:b/>
                <w:bCs/>
              </w:rPr>
            </w:pPr>
            <w:r>
              <w:rPr>
                <w:b/>
                <w:bCs/>
              </w:rPr>
              <w:t>Base</w:t>
            </w:r>
          </w:p>
        </w:tc>
        <w:tc>
          <w:tcPr>
            <w:tcW w:w="2644" w:type="pct"/>
            <w:gridSpan w:val="2"/>
          </w:tcPr>
          <w:p w14:paraId="0BF0C19D" w14:textId="77777777" w:rsidR="00104513" w:rsidRDefault="00104513" w:rsidP="002F6658">
            <w:pPr>
              <w:pStyle w:val="TableText"/>
              <w:jc w:val="center"/>
              <w:rPr>
                <w:b/>
                <w:bCs/>
              </w:rPr>
            </w:pPr>
            <w:r w:rsidRPr="00367529">
              <w:rPr>
                <w:b/>
                <w:bCs/>
              </w:rPr>
              <w:t>$3,615</w:t>
            </w:r>
          </w:p>
        </w:tc>
      </w:tr>
      <w:tr w:rsidR="00104513" w:rsidRPr="005D6403" w14:paraId="37B44590" w14:textId="77777777" w:rsidTr="009C1643">
        <w:trPr>
          <w:trHeight w:val="56"/>
        </w:trPr>
        <w:tc>
          <w:tcPr>
            <w:tcW w:w="2356" w:type="pct"/>
          </w:tcPr>
          <w:p w14:paraId="7644846E" w14:textId="77777777" w:rsidR="00104513" w:rsidRPr="00D87B1E" w:rsidRDefault="00104513" w:rsidP="002F6658">
            <w:pPr>
              <w:pStyle w:val="TableText"/>
              <w:rPr>
                <w:b/>
                <w:bCs/>
              </w:rPr>
            </w:pPr>
            <w:r>
              <w:rPr>
                <w:b/>
                <w:bCs/>
              </w:rPr>
              <w:t>Sensitivity</w:t>
            </w:r>
          </w:p>
        </w:tc>
        <w:tc>
          <w:tcPr>
            <w:tcW w:w="1179" w:type="pct"/>
            <w:tcBorders>
              <w:bottom w:val="single" w:sz="4" w:space="0" w:color="auto"/>
            </w:tcBorders>
          </w:tcPr>
          <w:p w14:paraId="3D99696C" w14:textId="77777777" w:rsidR="00104513" w:rsidRPr="00D87B1E" w:rsidRDefault="00104513" w:rsidP="002F6658">
            <w:pPr>
              <w:pStyle w:val="TableText"/>
              <w:jc w:val="center"/>
              <w:rPr>
                <w:b/>
                <w:bCs/>
              </w:rPr>
            </w:pPr>
            <w:r>
              <w:rPr>
                <w:b/>
                <w:bCs/>
              </w:rPr>
              <w:t>Upper +20%</w:t>
            </w:r>
          </w:p>
        </w:tc>
        <w:tc>
          <w:tcPr>
            <w:tcW w:w="1465" w:type="pct"/>
            <w:tcBorders>
              <w:bottom w:val="single" w:sz="4" w:space="0" w:color="auto"/>
            </w:tcBorders>
          </w:tcPr>
          <w:p w14:paraId="416E18A5" w14:textId="77777777" w:rsidR="00104513" w:rsidRPr="00D87B1E" w:rsidRDefault="00104513" w:rsidP="002F6658">
            <w:pPr>
              <w:pStyle w:val="TableText"/>
              <w:jc w:val="center"/>
              <w:rPr>
                <w:b/>
                <w:bCs/>
              </w:rPr>
            </w:pPr>
            <w:r>
              <w:rPr>
                <w:b/>
                <w:bCs/>
              </w:rPr>
              <w:t>Lower- 20%</w:t>
            </w:r>
          </w:p>
        </w:tc>
      </w:tr>
      <w:tr w:rsidR="00F522E5" w:rsidRPr="005D6403" w14:paraId="1BDDD15B" w14:textId="77777777" w:rsidTr="009C1643">
        <w:trPr>
          <w:trHeight w:val="56"/>
        </w:trPr>
        <w:tc>
          <w:tcPr>
            <w:tcW w:w="2356" w:type="pct"/>
          </w:tcPr>
          <w:p w14:paraId="19DD7411" w14:textId="77777777" w:rsidR="00F522E5" w:rsidRPr="005D6403" w:rsidRDefault="00F522E5" w:rsidP="00F522E5">
            <w:pPr>
              <w:pStyle w:val="TableText"/>
            </w:pPr>
            <w:r w:rsidRPr="005D6403">
              <w:t xml:space="preserve">Age (years) </w:t>
            </w:r>
          </w:p>
        </w:tc>
        <w:tc>
          <w:tcPr>
            <w:tcW w:w="1179" w:type="pct"/>
            <w:tcBorders>
              <w:bottom w:val="single" w:sz="4" w:space="0" w:color="auto"/>
            </w:tcBorders>
            <w:shd w:val="solid" w:color="000000" w:fill="000000"/>
          </w:tcPr>
          <w:p w14:paraId="5FBA5FFA" w14:textId="61194758" w:rsidR="00F522E5" w:rsidRPr="001579B2" w:rsidRDefault="009C1643" w:rsidP="00F522E5">
            <w:pPr>
              <w:pStyle w:val="TableText"/>
              <w:jc w:val="center"/>
            </w:pPr>
            <w:r w:rsidRPr="009C1643">
              <w:rPr>
                <w:b/>
                <w:bCs/>
                <w:color w:val="000000"/>
                <w:spacing w:val="204"/>
                <w:fitText w:val="296" w:id="-1286895616"/>
                <w14:textFill>
                  <w14:solidFill>
                    <w14:srgbClr w14:val="000000">
                      <w14:alpha w14:val="100000"/>
                    </w14:srgbClr>
                  </w14:solidFill>
                </w14:textFill>
              </w:rPr>
              <w:t>|</w:t>
            </w:r>
            <w:r w:rsidRPr="009C1643">
              <w:rPr>
                <w:b/>
                <w:bCs/>
                <w:color w:val="000000"/>
                <w:fitText w:val="296" w:id="-1286895616"/>
                <w14:textFill>
                  <w14:solidFill>
                    <w14:srgbClr w14:val="000000">
                      <w14:alpha w14:val="100000"/>
                    </w14:srgbClr>
                  </w14:solidFill>
                </w14:textFill>
              </w:rPr>
              <w:t>|</w:t>
            </w:r>
          </w:p>
        </w:tc>
        <w:tc>
          <w:tcPr>
            <w:tcW w:w="1465" w:type="pct"/>
            <w:tcBorders>
              <w:bottom w:val="single" w:sz="4" w:space="0" w:color="auto"/>
            </w:tcBorders>
            <w:shd w:val="solid" w:color="000000" w:fill="000000"/>
          </w:tcPr>
          <w:p w14:paraId="0C00F5AE" w14:textId="15112C6C" w:rsidR="00F522E5" w:rsidRPr="001579B2" w:rsidRDefault="009C1643" w:rsidP="00F522E5">
            <w:pPr>
              <w:pStyle w:val="TableText"/>
              <w:jc w:val="center"/>
            </w:pPr>
            <w:r w:rsidRPr="009C1643">
              <w:rPr>
                <w:rFonts w:hint="eastAsia"/>
                <w:b/>
                <w:bCs/>
                <w:color w:val="000000"/>
                <w:w w:val="15"/>
                <w:fitText w:val="40" w:id="-1286895615"/>
                <w14:textFill>
                  <w14:solidFill>
                    <w14:srgbClr w14:val="000000">
                      <w14:alpha w14:val="100000"/>
                    </w14:srgbClr>
                  </w14:solidFill>
                </w14:textFill>
              </w:rPr>
              <w:t xml:space="preserve">　</w:t>
            </w:r>
            <w:r w:rsidRPr="009C1643">
              <w:rPr>
                <w:b/>
                <w:bCs/>
                <w:color w:val="000000"/>
                <w:w w:val="15"/>
                <w:fitText w:val="40" w:id="-1286895615"/>
                <w14:textFill>
                  <w14:solidFill>
                    <w14:srgbClr w14:val="000000">
                      <w14:alpha w14:val="100000"/>
                    </w14:srgbClr>
                  </w14:solidFill>
                </w14:textFill>
              </w:rPr>
              <w:t>|</w:t>
            </w:r>
            <w:r w:rsidRPr="009C1643">
              <w:rPr>
                <w:rFonts w:hint="eastAsia"/>
                <w:b/>
                <w:bCs/>
                <w:color w:val="000000"/>
                <w:spacing w:val="-26"/>
                <w:w w:val="15"/>
                <w:fitText w:val="40" w:id="-1286895615"/>
                <w14:textFill>
                  <w14:solidFill>
                    <w14:srgbClr w14:val="000000">
                      <w14:alpha w14:val="100000"/>
                    </w14:srgbClr>
                  </w14:solidFill>
                </w14:textFill>
              </w:rPr>
              <w:t xml:space="preserve">　</w:t>
            </w:r>
          </w:p>
        </w:tc>
      </w:tr>
      <w:tr w:rsidR="00F522E5" w:rsidRPr="005D6403" w14:paraId="40C8AC10" w14:textId="77777777" w:rsidTr="009C1643">
        <w:trPr>
          <w:trHeight w:val="101"/>
        </w:trPr>
        <w:tc>
          <w:tcPr>
            <w:tcW w:w="2356" w:type="pct"/>
          </w:tcPr>
          <w:p w14:paraId="27B54BEE" w14:textId="77777777" w:rsidR="00F522E5" w:rsidRPr="005D6403" w:rsidRDefault="00F522E5" w:rsidP="00F522E5">
            <w:pPr>
              <w:pStyle w:val="TableText"/>
            </w:pPr>
            <w:r w:rsidRPr="005D6403">
              <w:t xml:space="preserve">Duration of diabetes (years) </w:t>
            </w:r>
          </w:p>
        </w:tc>
        <w:tc>
          <w:tcPr>
            <w:tcW w:w="1179" w:type="pct"/>
            <w:tcBorders>
              <w:bottom w:val="single" w:sz="4" w:space="0" w:color="auto"/>
            </w:tcBorders>
            <w:shd w:val="solid" w:color="000000" w:fill="000000"/>
          </w:tcPr>
          <w:p w14:paraId="712EA1F4" w14:textId="5EECF726" w:rsidR="00F522E5" w:rsidRPr="001579B2" w:rsidRDefault="009C1643" w:rsidP="00F522E5">
            <w:pPr>
              <w:pStyle w:val="TableText"/>
              <w:jc w:val="center"/>
            </w:pPr>
            <w:r w:rsidRPr="009C1643">
              <w:rPr>
                <w:b/>
                <w:bCs/>
                <w:color w:val="000000"/>
                <w:spacing w:val="204"/>
                <w:fitText w:val="296" w:id="-1286895614"/>
                <w14:textFill>
                  <w14:solidFill>
                    <w14:srgbClr w14:val="000000">
                      <w14:alpha w14:val="100000"/>
                    </w14:srgbClr>
                  </w14:solidFill>
                </w14:textFill>
              </w:rPr>
              <w:t>|</w:t>
            </w:r>
            <w:r w:rsidRPr="009C1643">
              <w:rPr>
                <w:b/>
                <w:bCs/>
                <w:color w:val="000000"/>
                <w:fitText w:val="296" w:id="-1286895614"/>
                <w14:textFill>
                  <w14:solidFill>
                    <w14:srgbClr w14:val="000000">
                      <w14:alpha w14:val="100000"/>
                    </w14:srgbClr>
                  </w14:solidFill>
                </w14:textFill>
              </w:rPr>
              <w:t>|</w:t>
            </w:r>
          </w:p>
        </w:tc>
        <w:tc>
          <w:tcPr>
            <w:tcW w:w="1465" w:type="pct"/>
            <w:tcBorders>
              <w:bottom w:val="single" w:sz="4" w:space="0" w:color="auto"/>
            </w:tcBorders>
            <w:shd w:val="solid" w:color="000000" w:fill="000000"/>
          </w:tcPr>
          <w:p w14:paraId="25080C32" w14:textId="3E918A17" w:rsidR="00F522E5" w:rsidRPr="001579B2" w:rsidRDefault="009C1643" w:rsidP="00F522E5">
            <w:pPr>
              <w:pStyle w:val="TableText"/>
              <w:jc w:val="center"/>
            </w:pPr>
            <w:r w:rsidRPr="009C1643">
              <w:rPr>
                <w:rFonts w:hint="eastAsia"/>
                <w:b/>
                <w:bCs/>
                <w:color w:val="000000"/>
                <w:w w:val="15"/>
                <w:fitText w:val="40" w:id="-1286895613"/>
                <w14:textFill>
                  <w14:solidFill>
                    <w14:srgbClr w14:val="000000">
                      <w14:alpha w14:val="100000"/>
                    </w14:srgbClr>
                  </w14:solidFill>
                </w14:textFill>
              </w:rPr>
              <w:t xml:space="preserve">　</w:t>
            </w:r>
            <w:r w:rsidRPr="009C1643">
              <w:rPr>
                <w:b/>
                <w:bCs/>
                <w:color w:val="000000"/>
                <w:w w:val="15"/>
                <w:fitText w:val="40" w:id="-1286895613"/>
                <w14:textFill>
                  <w14:solidFill>
                    <w14:srgbClr w14:val="000000">
                      <w14:alpha w14:val="100000"/>
                    </w14:srgbClr>
                  </w14:solidFill>
                </w14:textFill>
              </w:rPr>
              <w:t>|</w:t>
            </w:r>
            <w:r w:rsidRPr="009C1643">
              <w:rPr>
                <w:rFonts w:hint="eastAsia"/>
                <w:b/>
                <w:bCs/>
                <w:color w:val="000000"/>
                <w:spacing w:val="-26"/>
                <w:w w:val="15"/>
                <w:fitText w:val="40" w:id="-1286895613"/>
                <w14:textFill>
                  <w14:solidFill>
                    <w14:srgbClr w14:val="000000">
                      <w14:alpha w14:val="100000"/>
                    </w14:srgbClr>
                  </w14:solidFill>
                </w14:textFill>
              </w:rPr>
              <w:t xml:space="preserve">　</w:t>
            </w:r>
          </w:p>
        </w:tc>
      </w:tr>
      <w:tr w:rsidR="00F522E5" w:rsidRPr="005D6403" w14:paraId="1EA55D46" w14:textId="77777777" w:rsidTr="009C1643">
        <w:trPr>
          <w:trHeight w:val="64"/>
        </w:trPr>
        <w:tc>
          <w:tcPr>
            <w:tcW w:w="2356" w:type="pct"/>
          </w:tcPr>
          <w:p w14:paraId="6D7DA9BE" w14:textId="77777777" w:rsidR="00F522E5" w:rsidRPr="005D6403" w:rsidRDefault="00F522E5" w:rsidP="00F522E5">
            <w:pPr>
              <w:pStyle w:val="TableText"/>
            </w:pPr>
            <w:r w:rsidRPr="005D6403">
              <w:t xml:space="preserve">Male (%) </w:t>
            </w:r>
          </w:p>
        </w:tc>
        <w:tc>
          <w:tcPr>
            <w:tcW w:w="1179" w:type="pct"/>
            <w:tcBorders>
              <w:bottom w:val="single" w:sz="4" w:space="0" w:color="auto"/>
            </w:tcBorders>
            <w:shd w:val="solid" w:color="000000" w:fill="000000"/>
          </w:tcPr>
          <w:p w14:paraId="08E5C641" w14:textId="015E6720" w:rsidR="00F522E5" w:rsidRPr="001579B2" w:rsidRDefault="009C1643" w:rsidP="00F522E5">
            <w:pPr>
              <w:pStyle w:val="TableText"/>
              <w:jc w:val="center"/>
            </w:pPr>
            <w:r w:rsidRPr="009C1643">
              <w:rPr>
                <w:b/>
                <w:bCs/>
                <w:color w:val="000000"/>
                <w:spacing w:val="204"/>
                <w:fitText w:val="296" w:id="-1286895612"/>
                <w14:textFill>
                  <w14:solidFill>
                    <w14:srgbClr w14:val="000000">
                      <w14:alpha w14:val="100000"/>
                    </w14:srgbClr>
                  </w14:solidFill>
                </w14:textFill>
              </w:rPr>
              <w:t>|</w:t>
            </w:r>
            <w:r w:rsidRPr="009C1643">
              <w:rPr>
                <w:b/>
                <w:bCs/>
                <w:color w:val="000000"/>
                <w:fitText w:val="296" w:id="-1286895612"/>
                <w14:textFill>
                  <w14:solidFill>
                    <w14:srgbClr w14:val="000000">
                      <w14:alpha w14:val="100000"/>
                    </w14:srgbClr>
                  </w14:solidFill>
                </w14:textFill>
              </w:rPr>
              <w:t>|</w:t>
            </w:r>
          </w:p>
        </w:tc>
        <w:tc>
          <w:tcPr>
            <w:tcW w:w="1465" w:type="pct"/>
            <w:tcBorders>
              <w:bottom w:val="single" w:sz="4" w:space="0" w:color="auto"/>
            </w:tcBorders>
            <w:shd w:val="solid" w:color="000000" w:fill="000000"/>
          </w:tcPr>
          <w:p w14:paraId="71F35233" w14:textId="76449AB4" w:rsidR="00F522E5" w:rsidRPr="001579B2" w:rsidRDefault="009C1643" w:rsidP="00F522E5">
            <w:pPr>
              <w:pStyle w:val="TableText"/>
              <w:jc w:val="center"/>
            </w:pPr>
            <w:r w:rsidRPr="009C1643">
              <w:rPr>
                <w:rFonts w:hint="eastAsia"/>
                <w:b/>
                <w:bCs/>
                <w:color w:val="000000"/>
                <w:w w:val="15"/>
                <w:fitText w:val="40" w:id="-1286895611"/>
                <w14:textFill>
                  <w14:solidFill>
                    <w14:srgbClr w14:val="000000">
                      <w14:alpha w14:val="100000"/>
                    </w14:srgbClr>
                  </w14:solidFill>
                </w14:textFill>
              </w:rPr>
              <w:t xml:space="preserve">　</w:t>
            </w:r>
            <w:r w:rsidRPr="009C1643">
              <w:rPr>
                <w:b/>
                <w:bCs/>
                <w:color w:val="000000"/>
                <w:w w:val="15"/>
                <w:fitText w:val="40" w:id="-1286895611"/>
                <w14:textFill>
                  <w14:solidFill>
                    <w14:srgbClr w14:val="000000">
                      <w14:alpha w14:val="100000"/>
                    </w14:srgbClr>
                  </w14:solidFill>
                </w14:textFill>
              </w:rPr>
              <w:t>|</w:t>
            </w:r>
            <w:r w:rsidRPr="009C1643">
              <w:rPr>
                <w:rFonts w:hint="eastAsia"/>
                <w:b/>
                <w:bCs/>
                <w:color w:val="000000"/>
                <w:spacing w:val="-26"/>
                <w:w w:val="15"/>
                <w:fitText w:val="40" w:id="-1286895611"/>
                <w14:textFill>
                  <w14:solidFill>
                    <w14:srgbClr w14:val="000000">
                      <w14:alpha w14:val="100000"/>
                    </w14:srgbClr>
                  </w14:solidFill>
                </w14:textFill>
              </w:rPr>
              <w:t xml:space="preserve">　</w:t>
            </w:r>
          </w:p>
        </w:tc>
      </w:tr>
      <w:tr w:rsidR="00F522E5" w:rsidRPr="005D6403" w14:paraId="70058DDE" w14:textId="77777777" w:rsidTr="009C1643">
        <w:trPr>
          <w:trHeight w:val="56"/>
        </w:trPr>
        <w:tc>
          <w:tcPr>
            <w:tcW w:w="2356" w:type="pct"/>
          </w:tcPr>
          <w:p w14:paraId="48F80BE3" w14:textId="77777777" w:rsidR="00F522E5" w:rsidRPr="005D6403" w:rsidRDefault="00F522E5" w:rsidP="00F522E5">
            <w:pPr>
              <w:pStyle w:val="TableText"/>
            </w:pPr>
            <w:r w:rsidRPr="005D6403">
              <w:t xml:space="preserve">Ever smoker (%) </w:t>
            </w:r>
          </w:p>
        </w:tc>
        <w:tc>
          <w:tcPr>
            <w:tcW w:w="1179" w:type="pct"/>
            <w:tcBorders>
              <w:bottom w:val="single" w:sz="4" w:space="0" w:color="auto"/>
            </w:tcBorders>
            <w:shd w:val="solid" w:color="000000" w:fill="000000"/>
          </w:tcPr>
          <w:p w14:paraId="6EECEBEA" w14:textId="67A54330" w:rsidR="00F522E5" w:rsidRPr="001579B2" w:rsidRDefault="009C1643" w:rsidP="00F522E5">
            <w:pPr>
              <w:pStyle w:val="TableText"/>
              <w:jc w:val="center"/>
            </w:pPr>
            <w:r w:rsidRPr="009C1643">
              <w:rPr>
                <w:b/>
                <w:bCs/>
                <w:color w:val="000000"/>
                <w:spacing w:val="204"/>
                <w:fitText w:val="296" w:id="-1286895610"/>
                <w14:textFill>
                  <w14:solidFill>
                    <w14:srgbClr w14:val="000000">
                      <w14:alpha w14:val="100000"/>
                    </w14:srgbClr>
                  </w14:solidFill>
                </w14:textFill>
              </w:rPr>
              <w:t>|</w:t>
            </w:r>
            <w:r w:rsidRPr="009C1643">
              <w:rPr>
                <w:b/>
                <w:bCs/>
                <w:color w:val="000000"/>
                <w:fitText w:val="296" w:id="-1286895610"/>
                <w14:textFill>
                  <w14:solidFill>
                    <w14:srgbClr w14:val="000000">
                      <w14:alpha w14:val="100000"/>
                    </w14:srgbClr>
                  </w14:solidFill>
                </w14:textFill>
              </w:rPr>
              <w:t>|</w:t>
            </w:r>
          </w:p>
        </w:tc>
        <w:tc>
          <w:tcPr>
            <w:tcW w:w="1465" w:type="pct"/>
            <w:tcBorders>
              <w:bottom w:val="single" w:sz="4" w:space="0" w:color="auto"/>
            </w:tcBorders>
            <w:shd w:val="solid" w:color="000000" w:fill="000000"/>
          </w:tcPr>
          <w:p w14:paraId="122351CB" w14:textId="11C63A6A" w:rsidR="00F522E5" w:rsidRPr="001579B2" w:rsidRDefault="009C1643" w:rsidP="00F522E5">
            <w:pPr>
              <w:pStyle w:val="TableText"/>
              <w:jc w:val="center"/>
            </w:pPr>
            <w:r w:rsidRPr="009C1643">
              <w:rPr>
                <w:rFonts w:hint="eastAsia"/>
                <w:b/>
                <w:bCs/>
                <w:color w:val="000000"/>
                <w:w w:val="15"/>
                <w:fitText w:val="40" w:id="-1286895609"/>
                <w14:textFill>
                  <w14:solidFill>
                    <w14:srgbClr w14:val="000000">
                      <w14:alpha w14:val="100000"/>
                    </w14:srgbClr>
                  </w14:solidFill>
                </w14:textFill>
              </w:rPr>
              <w:t xml:space="preserve">　</w:t>
            </w:r>
            <w:r w:rsidRPr="009C1643">
              <w:rPr>
                <w:b/>
                <w:bCs/>
                <w:color w:val="000000"/>
                <w:w w:val="15"/>
                <w:fitText w:val="40" w:id="-1286895609"/>
                <w14:textFill>
                  <w14:solidFill>
                    <w14:srgbClr w14:val="000000">
                      <w14:alpha w14:val="100000"/>
                    </w14:srgbClr>
                  </w14:solidFill>
                </w14:textFill>
              </w:rPr>
              <w:t>|</w:t>
            </w:r>
            <w:r w:rsidRPr="009C1643">
              <w:rPr>
                <w:rFonts w:hint="eastAsia"/>
                <w:b/>
                <w:bCs/>
                <w:color w:val="000000"/>
                <w:spacing w:val="-26"/>
                <w:w w:val="15"/>
                <w:fitText w:val="40" w:id="-1286895609"/>
                <w14:textFill>
                  <w14:solidFill>
                    <w14:srgbClr w14:val="000000">
                      <w14:alpha w14:val="100000"/>
                    </w14:srgbClr>
                  </w14:solidFill>
                </w14:textFill>
              </w:rPr>
              <w:t xml:space="preserve">　</w:t>
            </w:r>
          </w:p>
        </w:tc>
      </w:tr>
      <w:tr w:rsidR="00F522E5" w:rsidRPr="005D6403" w14:paraId="5DB93A59" w14:textId="77777777" w:rsidTr="009C1643">
        <w:trPr>
          <w:trHeight w:val="56"/>
        </w:trPr>
        <w:tc>
          <w:tcPr>
            <w:tcW w:w="2356" w:type="pct"/>
          </w:tcPr>
          <w:p w14:paraId="20207589" w14:textId="77777777" w:rsidR="00F522E5" w:rsidRPr="005D6403" w:rsidRDefault="00F522E5" w:rsidP="00F522E5">
            <w:pPr>
              <w:pStyle w:val="TableText"/>
            </w:pPr>
            <w:r w:rsidRPr="005D6403">
              <w:t xml:space="preserve">Black or African American (%) </w:t>
            </w:r>
          </w:p>
        </w:tc>
        <w:tc>
          <w:tcPr>
            <w:tcW w:w="1179" w:type="pct"/>
            <w:tcBorders>
              <w:bottom w:val="single" w:sz="4" w:space="0" w:color="auto"/>
            </w:tcBorders>
            <w:shd w:val="solid" w:color="000000" w:fill="000000"/>
          </w:tcPr>
          <w:p w14:paraId="1849D43A" w14:textId="388AD4FD" w:rsidR="00F522E5" w:rsidRPr="001579B2" w:rsidRDefault="009C1643" w:rsidP="00F522E5">
            <w:pPr>
              <w:pStyle w:val="TableText"/>
              <w:jc w:val="center"/>
            </w:pPr>
            <w:r w:rsidRPr="009C1643">
              <w:rPr>
                <w:b/>
                <w:bCs/>
                <w:color w:val="000000"/>
                <w:spacing w:val="204"/>
                <w:fitText w:val="296" w:id="-1286895608"/>
                <w14:textFill>
                  <w14:solidFill>
                    <w14:srgbClr w14:val="000000">
                      <w14:alpha w14:val="100000"/>
                    </w14:srgbClr>
                  </w14:solidFill>
                </w14:textFill>
              </w:rPr>
              <w:t>|</w:t>
            </w:r>
            <w:r w:rsidRPr="009C1643">
              <w:rPr>
                <w:b/>
                <w:bCs/>
                <w:color w:val="000000"/>
                <w:fitText w:val="296" w:id="-1286895608"/>
                <w14:textFill>
                  <w14:solidFill>
                    <w14:srgbClr w14:val="000000">
                      <w14:alpha w14:val="100000"/>
                    </w14:srgbClr>
                  </w14:solidFill>
                </w14:textFill>
              </w:rPr>
              <w:t>|</w:t>
            </w:r>
          </w:p>
        </w:tc>
        <w:tc>
          <w:tcPr>
            <w:tcW w:w="1465" w:type="pct"/>
            <w:tcBorders>
              <w:bottom w:val="single" w:sz="4" w:space="0" w:color="auto"/>
            </w:tcBorders>
            <w:shd w:val="solid" w:color="000000" w:fill="000000"/>
          </w:tcPr>
          <w:p w14:paraId="635F652C" w14:textId="63E55787" w:rsidR="00F522E5" w:rsidRPr="001579B2" w:rsidRDefault="009C1643" w:rsidP="00F522E5">
            <w:pPr>
              <w:pStyle w:val="TableText"/>
              <w:jc w:val="center"/>
            </w:pPr>
            <w:r w:rsidRPr="009C1643">
              <w:rPr>
                <w:rFonts w:hint="eastAsia"/>
                <w:b/>
                <w:bCs/>
                <w:color w:val="000000"/>
                <w:w w:val="15"/>
                <w:fitText w:val="40" w:id="-1286895607"/>
                <w14:textFill>
                  <w14:solidFill>
                    <w14:srgbClr w14:val="000000">
                      <w14:alpha w14:val="100000"/>
                    </w14:srgbClr>
                  </w14:solidFill>
                </w14:textFill>
              </w:rPr>
              <w:t xml:space="preserve">　</w:t>
            </w:r>
            <w:r w:rsidRPr="009C1643">
              <w:rPr>
                <w:b/>
                <w:bCs/>
                <w:color w:val="000000"/>
                <w:w w:val="15"/>
                <w:fitText w:val="40" w:id="-1286895607"/>
                <w14:textFill>
                  <w14:solidFill>
                    <w14:srgbClr w14:val="000000">
                      <w14:alpha w14:val="100000"/>
                    </w14:srgbClr>
                  </w14:solidFill>
                </w14:textFill>
              </w:rPr>
              <w:t>|</w:t>
            </w:r>
            <w:r w:rsidRPr="009C1643">
              <w:rPr>
                <w:rFonts w:hint="eastAsia"/>
                <w:b/>
                <w:bCs/>
                <w:color w:val="000000"/>
                <w:spacing w:val="-26"/>
                <w:w w:val="15"/>
                <w:fitText w:val="40" w:id="-1286895607"/>
                <w14:textFill>
                  <w14:solidFill>
                    <w14:srgbClr w14:val="000000">
                      <w14:alpha w14:val="100000"/>
                    </w14:srgbClr>
                  </w14:solidFill>
                </w14:textFill>
              </w:rPr>
              <w:t xml:space="preserve">　</w:t>
            </w:r>
          </w:p>
        </w:tc>
      </w:tr>
      <w:tr w:rsidR="00F522E5" w:rsidRPr="005D6403" w14:paraId="4EA4CBF9" w14:textId="77777777" w:rsidTr="009C1643">
        <w:trPr>
          <w:trHeight w:val="56"/>
        </w:trPr>
        <w:tc>
          <w:tcPr>
            <w:tcW w:w="2356" w:type="pct"/>
          </w:tcPr>
          <w:p w14:paraId="260061B8" w14:textId="77777777" w:rsidR="00F522E5" w:rsidRPr="005D6403" w:rsidRDefault="00F522E5" w:rsidP="00F522E5">
            <w:pPr>
              <w:pStyle w:val="TableText"/>
            </w:pPr>
            <w:r w:rsidRPr="005D6403">
              <w:t>HbA</w:t>
            </w:r>
            <w:r w:rsidRPr="005D6403">
              <w:rPr>
                <w:vertAlign w:val="subscript"/>
              </w:rPr>
              <w:t>1c</w:t>
            </w:r>
            <w:r w:rsidRPr="005D6403">
              <w:t xml:space="preserve">, % </w:t>
            </w:r>
          </w:p>
        </w:tc>
        <w:tc>
          <w:tcPr>
            <w:tcW w:w="1179" w:type="pct"/>
            <w:tcBorders>
              <w:bottom w:val="single" w:sz="4" w:space="0" w:color="auto"/>
            </w:tcBorders>
            <w:shd w:val="solid" w:color="000000" w:fill="000000"/>
          </w:tcPr>
          <w:p w14:paraId="77B18D35" w14:textId="0CF2E06F" w:rsidR="00F522E5" w:rsidRPr="001579B2" w:rsidRDefault="009C1643" w:rsidP="00F522E5">
            <w:pPr>
              <w:pStyle w:val="TableText"/>
              <w:jc w:val="center"/>
            </w:pPr>
            <w:r w:rsidRPr="009C1643">
              <w:rPr>
                <w:b/>
                <w:bCs/>
                <w:color w:val="000000"/>
                <w:spacing w:val="204"/>
                <w:fitText w:val="296" w:id="-1286895606"/>
                <w14:textFill>
                  <w14:solidFill>
                    <w14:srgbClr w14:val="000000">
                      <w14:alpha w14:val="100000"/>
                    </w14:srgbClr>
                  </w14:solidFill>
                </w14:textFill>
              </w:rPr>
              <w:t>|</w:t>
            </w:r>
            <w:r w:rsidRPr="009C1643">
              <w:rPr>
                <w:b/>
                <w:bCs/>
                <w:color w:val="000000"/>
                <w:fitText w:val="296" w:id="-1286895606"/>
                <w14:textFill>
                  <w14:solidFill>
                    <w14:srgbClr w14:val="000000">
                      <w14:alpha w14:val="100000"/>
                    </w14:srgbClr>
                  </w14:solidFill>
                </w14:textFill>
              </w:rPr>
              <w:t>|</w:t>
            </w:r>
          </w:p>
        </w:tc>
        <w:tc>
          <w:tcPr>
            <w:tcW w:w="1465" w:type="pct"/>
            <w:tcBorders>
              <w:bottom w:val="single" w:sz="4" w:space="0" w:color="auto"/>
            </w:tcBorders>
            <w:shd w:val="solid" w:color="000000" w:fill="000000"/>
          </w:tcPr>
          <w:p w14:paraId="71832163" w14:textId="1278ACC9" w:rsidR="00F522E5" w:rsidRPr="001579B2" w:rsidRDefault="009C1643" w:rsidP="00F522E5">
            <w:pPr>
              <w:pStyle w:val="TableText"/>
              <w:jc w:val="center"/>
            </w:pPr>
            <w:r w:rsidRPr="009C1643">
              <w:rPr>
                <w:rFonts w:hint="eastAsia"/>
                <w:b/>
                <w:bCs/>
                <w:color w:val="000000"/>
                <w:w w:val="15"/>
                <w:fitText w:val="40" w:id="-1286895605"/>
                <w14:textFill>
                  <w14:solidFill>
                    <w14:srgbClr w14:val="000000">
                      <w14:alpha w14:val="100000"/>
                    </w14:srgbClr>
                  </w14:solidFill>
                </w14:textFill>
              </w:rPr>
              <w:t xml:space="preserve">　</w:t>
            </w:r>
            <w:r w:rsidRPr="009C1643">
              <w:rPr>
                <w:b/>
                <w:bCs/>
                <w:color w:val="000000"/>
                <w:w w:val="15"/>
                <w:fitText w:val="40" w:id="-1286895605"/>
                <w14:textFill>
                  <w14:solidFill>
                    <w14:srgbClr w14:val="000000">
                      <w14:alpha w14:val="100000"/>
                    </w14:srgbClr>
                  </w14:solidFill>
                </w14:textFill>
              </w:rPr>
              <w:t>|</w:t>
            </w:r>
            <w:r w:rsidRPr="009C1643">
              <w:rPr>
                <w:rFonts w:hint="eastAsia"/>
                <w:b/>
                <w:bCs/>
                <w:color w:val="000000"/>
                <w:spacing w:val="-26"/>
                <w:w w:val="15"/>
                <w:fitText w:val="40" w:id="-1286895605"/>
                <w14:textFill>
                  <w14:solidFill>
                    <w14:srgbClr w14:val="000000">
                      <w14:alpha w14:val="100000"/>
                    </w14:srgbClr>
                  </w14:solidFill>
                </w14:textFill>
              </w:rPr>
              <w:t xml:space="preserve">　</w:t>
            </w:r>
          </w:p>
        </w:tc>
      </w:tr>
      <w:tr w:rsidR="00F522E5" w:rsidRPr="005D6403" w14:paraId="2FB68E95" w14:textId="77777777" w:rsidTr="009C1643">
        <w:trPr>
          <w:trHeight w:val="56"/>
        </w:trPr>
        <w:tc>
          <w:tcPr>
            <w:tcW w:w="2356" w:type="pct"/>
          </w:tcPr>
          <w:p w14:paraId="2331F6C9" w14:textId="77777777" w:rsidR="00F522E5" w:rsidRPr="005D6403" w:rsidRDefault="00F522E5" w:rsidP="00F522E5">
            <w:pPr>
              <w:pStyle w:val="TableText"/>
            </w:pPr>
            <w:r w:rsidRPr="005D6403">
              <w:t>BMI, kg/m</w:t>
            </w:r>
            <w:r w:rsidRPr="005D6403">
              <w:rPr>
                <w:vertAlign w:val="superscript"/>
              </w:rPr>
              <w:t>2</w:t>
            </w:r>
            <w:r w:rsidRPr="005D6403">
              <w:t xml:space="preserve"> </w:t>
            </w:r>
          </w:p>
        </w:tc>
        <w:tc>
          <w:tcPr>
            <w:tcW w:w="1179" w:type="pct"/>
            <w:tcBorders>
              <w:bottom w:val="single" w:sz="4" w:space="0" w:color="auto"/>
            </w:tcBorders>
            <w:shd w:val="solid" w:color="000000" w:fill="000000"/>
          </w:tcPr>
          <w:p w14:paraId="4ED54301" w14:textId="53CF8757" w:rsidR="00F522E5" w:rsidRPr="001579B2" w:rsidRDefault="009C1643" w:rsidP="00F522E5">
            <w:pPr>
              <w:pStyle w:val="TableText"/>
              <w:jc w:val="center"/>
            </w:pPr>
            <w:r w:rsidRPr="009C1643">
              <w:rPr>
                <w:b/>
                <w:bCs/>
                <w:color w:val="000000"/>
                <w:spacing w:val="204"/>
                <w:fitText w:val="296" w:id="-1286895604"/>
                <w14:textFill>
                  <w14:solidFill>
                    <w14:srgbClr w14:val="000000">
                      <w14:alpha w14:val="100000"/>
                    </w14:srgbClr>
                  </w14:solidFill>
                </w14:textFill>
              </w:rPr>
              <w:t>|</w:t>
            </w:r>
            <w:r w:rsidRPr="009C1643">
              <w:rPr>
                <w:b/>
                <w:bCs/>
                <w:color w:val="000000"/>
                <w:fitText w:val="296" w:id="-1286895604"/>
                <w14:textFill>
                  <w14:solidFill>
                    <w14:srgbClr w14:val="000000">
                      <w14:alpha w14:val="100000"/>
                    </w14:srgbClr>
                  </w14:solidFill>
                </w14:textFill>
              </w:rPr>
              <w:t>|</w:t>
            </w:r>
          </w:p>
        </w:tc>
        <w:tc>
          <w:tcPr>
            <w:tcW w:w="1465" w:type="pct"/>
            <w:tcBorders>
              <w:bottom w:val="single" w:sz="4" w:space="0" w:color="auto"/>
            </w:tcBorders>
            <w:shd w:val="solid" w:color="000000" w:fill="000000"/>
          </w:tcPr>
          <w:p w14:paraId="667849DD" w14:textId="79198BFC" w:rsidR="00F522E5" w:rsidRPr="001579B2" w:rsidRDefault="009C1643" w:rsidP="00F522E5">
            <w:pPr>
              <w:pStyle w:val="TableText"/>
              <w:jc w:val="center"/>
            </w:pPr>
            <w:r w:rsidRPr="009C1643">
              <w:rPr>
                <w:rFonts w:hint="eastAsia"/>
                <w:b/>
                <w:bCs/>
                <w:color w:val="000000"/>
                <w:w w:val="15"/>
                <w:fitText w:val="40" w:id="-1286895603"/>
                <w14:textFill>
                  <w14:solidFill>
                    <w14:srgbClr w14:val="000000">
                      <w14:alpha w14:val="100000"/>
                    </w14:srgbClr>
                  </w14:solidFill>
                </w14:textFill>
              </w:rPr>
              <w:t xml:space="preserve">　</w:t>
            </w:r>
            <w:r w:rsidRPr="009C1643">
              <w:rPr>
                <w:b/>
                <w:bCs/>
                <w:color w:val="000000"/>
                <w:w w:val="15"/>
                <w:fitText w:val="40" w:id="-1286895603"/>
                <w14:textFill>
                  <w14:solidFill>
                    <w14:srgbClr w14:val="000000">
                      <w14:alpha w14:val="100000"/>
                    </w14:srgbClr>
                  </w14:solidFill>
                </w14:textFill>
              </w:rPr>
              <w:t>|</w:t>
            </w:r>
            <w:r w:rsidRPr="009C1643">
              <w:rPr>
                <w:rFonts w:hint="eastAsia"/>
                <w:b/>
                <w:bCs/>
                <w:color w:val="000000"/>
                <w:spacing w:val="-26"/>
                <w:w w:val="15"/>
                <w:fitText w:val="40" w:id="-1286895603"/>
                <w14:textFill>
                  <w14:solidFill>
                    <w14:srgbClr w14:val="000000">
                      <w14:alpha w14:val="100000"/>
                    </w14:srgbClr>
                  </w14:solidFill>
                </w14:textFill>
              </w:rPr>
              <w:t xml:space="preserve">　</w:t>
            </w:r>
          </w:p>
        </w:tc>
      </w:tr>
      <w:tr w:rsidR="00F522E5" w:rsidRPr="005D6403" w14:paraId="3D0C5ACD" w14:textId="77777777" w:rsidTr="009C1643">
        <w:trPr>
          <w:trHeight w:val="56"/>
        </w:trPr>
        <w:tc>
          <w:tcPr>
            <w:tcW w:w="2356" w:type="pct"/>
          </w:tcPr>
          <w:p w14:paraId="0988C82B" w14:textId="77777777" w:rsidR="00F522E5" w:rsidRPr="005D6403" w:rsidRDefault="00F522E5" w:rsidP="00F522E5">
            <w:pPr>
              <w:pStyle w:val="TableText"/>
            </w:pPr>
            <w:r w:rsidRPr="005D6403">
              <w:t xml:space="preserve">SBP, mmHg </w:t>
            </w:r>
          </w:p>
        </w:tc>
        <w:tc>
          <w:tcPr>
            <w:tcW w:w="1179" w:type="pct"/>
            <w:tcBorders>
              <w:bottom w:val="single" w:sz="4" w:space="0" w:color="auto"/>
            </w:tcBorders>
            <w:shd w:val="solid" w:color="000000" w:fill="000000"/>
          </w:tcPr>
          <w:p w14:paraId="5F73CB86" w14:textId="20F54148" w:rsidR="00F522E5" w:rsidRPr="001579B2" w:rsidRDefault="009C1643" w:rsidP="00F522E5">
            <w:pPr>
              <w:pStyle w:val="TableText"/>
              <w:jc w:val="center"/>
            </w:pPr>
            <w:r w:rsidRPr="009C1643">
              <w:rPr>
                <w:b/>
                <w:bCs/>
                <w:color w:val="000000"/>
                <w:spacing w:val="204"/>
                <w:fitText w:val="296" w:id="-1286895602"/>
                <w14:textFill>
                  <w14:solidFill>
                    <w14:srgbClr w14:val="000000">
                      <w14:alpha w14:val="100000"/>
                    </w14:srgbClr>
                  </w14:solidFill>
                </w14:textFill>
              </w:rPr>
              <w:t>|</w:t>
            </w:r>
            <w:r w:rsidRPr="009C1643">
              <w:rPr>
                <w:b/>
                <w:bCs/>
                <w:color w:val="000000"/>
                <w:fitText w:val="296" w:id="-1286895602"/>
                <w14:textFill>
                  <w14:solidFill>
                    <w14:srgbClr w14:val="000000">
                      <w14:alpha w14:val="100000"/>
                    </w14:srgbClr>
                  </w14:solidFill>
                </w14:textFill>
              </w:rPr>
              <w:t>|</w:t>
            </w:r>
          </w:p>
        </w:tc>
        <w:tc>
          <w:tcPr>
            <w:tcW w:w="1465" w:type="pct"/>
            <w:tcBorders>
              <w:bottom w:val="single" w:sz="4" w:space="0" w:color="auto"/>
            </w:tcBorders>
            <w:shd w:val="solid" w:color="000000" w:fill="000000"/>
          </w:tcPr>
          <w:p w14:paraId="7853AC77" w14:textId="187AAF81" w:rsidR="00F522E5" w:rsidRPr="001579B2" w:rsidRDefault="009C1643" w:rsidP="00F522E5">
            <w:pPr>
              <w:pStyle w:val="TableText"/>
              <w:jc w:val="center"/>
            </w:pPr>
            <w:r w:rsidRPr="009C1643">
              <w:rPr>
                <w:rFonts w:hint="eastAsia"/>
                <w:b/>
                <w:bCs/>
                <w:color w:val="000000"/>
                <w:w w:val="15"/>
                <w:fitText w:val="40" w:id="-1286895601"/>
                <w14:textFill>
                  <w14:solidFill>
                    <w14:srgbClr w14:val="000000">
                      <w14:alpha w14:val="100000"/>
                    </w14:srgbClr>
                  </w14:solidFill>
                </w14:textFill>
              </w:rPr>
              <w:t xml:space="preserve">　</w:t>
            </w:r>
            <w:r w:rsidRPr="009C1643">
              <w:rPr>
                <w:b/>
                <w:bCs/>
                <w:color w:val="000000"/>
                <w:w w:val="15"/>
                <w:fitText w:val="40" w:id="-1286895601"/>
                <w14:textFill>
                  <w14:solidFill>
                    <w14:srgbClr w14:val="000000">
                      <w14:alpha w14:val="100000"/>
                    </w14:srgbClr>
                  </w14:solidFill>
                </w14:textFill>
              </w:rPr>
              <w:t>|</w:t>
            </w:r>
            <w:r w:rsidRPr="009C1643">
              <w:rPr>
                <w:rFonts w:hint="eastAsia"/>
                <w:b/>
                <w:bCs/>
                <w:color w:val="000000"/>
                <w:spacing w:val="-26"/>
                <w:w w:val="15"/>
                <w:fitText w:val="40" w:id="-1286895601"/>
                <w14:textFill>
                  <w14:solidFill>
                    <w14:srgbClr w14:val="000000">
                      <w14:alpha w14:val="100000"/>
                    </w14:srgbClr>
                  </w14:solidFill>
                </w14:textFill>
              </w:rPr>
              <w:t xml:space="preserve">　</w:t>
            </w:r>
          </w:p>
        </w:tc>
      </w:tr>
      <w:tr w:rsidR="00F522E5" w:rsidRPr="005D6403" w14:paraId="760F9C71" w14:textId="77777777" w:rsidTr="009C1643">
        <w:trPr>
          <w:trHeight w:val="119"/>
        </w:trPr>
        <w:tc>
          <w:tcPr>
            <w:tcW w:w="2356" w:type="pct"/>
          </w:tcPr>
          <w:p w14:paraId="1E0430D5" w14:textId="77777777" w:rsidR="00F522E5" w:rsidRPr="005D6403" w:rsidRDefault="00F522E5" w:rsidP="00F522E5">
            <w:pPr>
              <w:pStyle w:val="TableText"/>
            </w:pPr>
            <w:r w:rsidRPr="005D6403">
              <w:t xml:space="preserve">DBP, mmHg </w:t>
            </w:r>
          </w:p>
        </w:tc>
        <w:tc>
          <w:tcPr>
            <w:tcW w:w="1179" w:type="pct"/>
            <w:tcBorders>
              <w:bottom w:val="single" w:sz="4" w:space="0" w:color="auto"/>
            </w:tcBorders>
            <w:shd w:val="solid" w:color="000000" w:fill="000000"/>
          </w:tcPr>
          <w:p w14:paraId="21D2245C" w14:textId="25B39099" w:rsidR="00F522E5" w:rsidRPr="001579B2" w:rsidRDefault="009C1643" w:rsidP="00F522E5">
            <w:pPr>
              <w:pStyle w:val="TableText"/>
              <w:jc w:val="center"/>
              <w:rPr>
                <w:highlight w:val="yellow"/>
              </w:rPr>
            </w:pPr>
            <w:r w:rsidRPr="009C1643">
              <w:rPr>
                <w:b/>
                <w:bCs/>
                <w:color w:val="000000"/>
                <w:spacing w:val="204"/>
                <w:fitText w:val="296" w:id="-1286895600"/>
                <w14:textFill>
                  <w14:solidFill>
                    <w14:srgbClr w14:val="000000">
                      <w14:alpha w14:val="100000"/>
                    </w14:srgbClr>
                  </w14:solidFill>
                </w14:textFill>
              </w:rPr>
              <w:t>|</w:t>
            </w:r>
            <w:r w:rsidRPr="009C1643">
              <w:rPr>
                <w:b/>
                <w:bCs/>
                <w:color w:val="000000"/>
                <w:fitText w:val="296" w:id="-1286895600"/>
                <w14:textFill>
                  <w14:solidFill>
                    <w14:srgbClr w14:val="000000">
                      <w14:alpha w14:val="100000"/>
                    </w14:srgbClr>
                  </w14:solidFill>
                </w14:textFill>
              </w:rPr>
              <w:t>|</w:t>
            </w:r>
          </w:p>
        </w:tc>
        <w:tc>
          <w:tcPr>
            <w:tcW w:w="1465" w:type="pct"/>
            <w:tcBorders>
              <w:bottom w:val="single" w:sz="4" w:space="0" w:color="auto"/>
            </w:tcBorders>
            <w:shd w:val="solid" w:color="000000" w:fill="000000"/>
          </w:tcPr>
          <w:p w14:paraId="15C9B41E" w14:textId="67EBFFB8" w:rsidR="00F522E5" w:rsidRPr="001579B2" w:rsidRDefault="009C1643" w:rsidP="00F522E5">
            <w:pPr>
              <w:pStyle w:val="TableText"/>
              <w:jc w:val="center"/>
              <w:rPr>
                <w:highlight w:val="yellow"/>
              </w:rPr>
            </w:pPr>
            <w:r w:rsidRPr="009C1643">
              <w:rPr>
                <w:rFonts w:hint="eastAsia"/>
                <w:b/>
                <w:bCs/>
                <w:color w:val="000000"/>
                <w:w w:val="15"/>
                <w:fitText w:val="40" w:id="-1286895616"/>
                <w14:textFill>
                  <w14:solidFill>
                    <w14:srgbClr w14:val="000000">
                      <w14:alpha w14:val="100000"/>
                    </w14:srgbClr>
                  </w14:solidFill>
                </w14:textFill>
              </w:rPr>
              <w:t xml:space="preserve">　</w:t>
            </w:r>
            <w:r w:rsidRPr="009C1643">
              <w:rPr>
                <w:b/>
                <w:bCs/>
                <w:color w:val="000000"/>
                <w:w w:val="15"/>
                <w:fitText w:val="40" w:id="-1286895616"/>
                <w14:textFill>
                  <w14:solidFill>
                    <w14:srgbClr w14:val="000000">
                      <w14:alpha w14:val="100000"/>
                    </w14:srgbClr>
                  </w14:solidFill>
                </w14:textFill>
              </w:rPr>
              <w:t>|</w:t>
            </w:r>
            <w:r w:rsidRPr="009C1643">
              <w:rPr>
                <w:rFonts w:hint="eastAsia"/>
                <w:b/>
                <w:bCs/>
                <w:color w:val="000000"/>
                <w:spacing w:val="-26"/>
                <w:w w:val="15"/>
                <w:fitText w:val="40" w:id="-1286895616"/>
                <w14:textFill>
                  <w14:solidFill>
                    <w14:srgbClr w14:val="000000">
                      <w14:alpha w14:val="100000"/>
                    </w14:srgbClr>
                  </w14:solidFill>
                </w14:textFill>
              </w:rPr>
              <w:t xml:space="preserve">　</w:t>
            </w:r>
          </w:p>
        </w:tc>
      </w:tr>
      <w:tr w:rsidR="00F522E5" w:rsidRPr="005D6403" w14:paraId="4BB94200" w14:textId="77777777" w:rsidTr="009C1643">
        <w:trPr>
          <w:trHeight w:val="56"/>
        </w:trPr>
        <w:tc>
          <w:tcPr>
            <w:tcW w:w="2356" w:type="pct"/>
          </w:tcPr>
          <w:p w14:paraId="4FF18812" w14:textId="77777777" w:rsidR="00F522E5" w:rsidRPr="005D6403" w:rsidRDefault="00F522E5" w:rsidP="00F522E5">
            <w:pPr>
              <w:pStyle w:val="TableText"/>
            </w:pPr>
            <w:r w:rsidRPr="005D6403">
              <w:t xml:space="preserve">HDL cholesterol, mmol/l </w:t>
            </w:r>
          </w:p>
        </w:tc>
        <w:tc>
          <w:tcPr>
            <w:tcW w:w="1179" w:type="pct"/>
            <w:tcBorders>
              <w:bottom w:val="single" w:sz="4" w:space="0" w:color="auto"/>
            </w:tcBorders>
            <w:shd w:val="solid" w:color="000000" w:fill="000000"/>
          </w:tcPr>
          <w:p w14:paraId="7FFDFF77" w14:textId="51EFC24A" w:rsidR="00F522E5" w:rsidRPr="001579B2" w:rsidRDefault="009C1643" w:rsidP="00F522E5">
            <w:pPr>
              <w:pStyle w:val="TableText"/>
              <w:jc w:val="center"/>
            </w:pPr>
            <w:r w:rsidRPr="009C1643">
              <w:rPr>
                <w:b/>
                <w:bCs/>
                <w:color w:val="000000"/>
                <w:spacing w:val="204"/>
                <w:fitText w:val="296" w:id="-1286895615"/>
                <w14:textFill>
                  <w14:solidFill>
                    <w14:srgbClr w14:val="000000">
                      <w14:alpha w14:val="100000"/>
                    </w14:srgbClr>
                  </w14:solidFill>
                </w14:textFill>
              </w:rPr>
              <w:t>|</w:t>
            </w:r>
            <w:r w:rsidRPr="009C1643">
              <w:rPr>
                <w:b/>
                <w:bCs/>
                <w:color w:val="000000"/>
                <w:fitText w:val="296" w:id="-1286895615"/>
                <w14:textFill>
                  <w14:solidFill>
                    <w14:srgbClr w14:val="000000">
                      <w14:alpha w14:val="100000"/>
                    </w14:srgbClr>
                  </w14:solidFill>
                </w14:textFill>
              </w:rPr>
              <w:t>|</w:t>
            </w:r>
          </w:p>
        </w:tc>
        <w:tc>
          <w:tcPr>
            <w:tcW w:w="1465" w:type="pct"/>
            <w:tcBorders>
              <w:bottom w:val="single" w:sz="4" w:space="0" w:color="auto"/>
            </w:tcBorders>
            <w:shd w:val="solid" w:color="000000" w:fill="000000"/>
          </w:tcPr>
          <w:p w14:paraId="4E3E6BC5" w14:textId="18595F93" w:rsidR="00F522E5" w:rsidRPr="001579B2" w:rsidRDefault="009C1643" w:rsidP="00F522E5">
            <w:pPr>
              <w:pStyle w:val="TableText"/>
              <w:jc w:val="center"/>
            </w:pPr>
            <w:r w:rsidRPr="009C1643">
              <w:rPr>
                <w:rFonts w:hint="eastAsia"/>
                <w:b/>
                <w:bCs/>
                <w:color w:val="000000"/>
                <w:w w:val="15"/>
                <w:fitText w:val="40" w:id="-1286895614"/>
                <w14:textFill>
                  <w14:solidFill>
                    <w14:srgbClr w14:val="000000">
                      <w14:alpha w14:val="100000"/>
                    </w14:srgbClr>
                  </w14:solidFill>
                </w14:textFill>
              </w:rPr>
              <w:t xml:space="preserve">　</w:t>
            </w:r>
            <w:r w:rsidRPr="009C1643">
              <w:rPr>
                <w:b/>
                <w:bCs/>
                <w:color w:val="000000"/>
                <w:w w:val="15"/>
                <w:fitText w:val="40" w:id="-1286895614"/>
                <w14:textFill>
                  <w14:solidFill>
                    <w14:srgbClr w14:val="000000">
                      <w14:alpha w14:val="100000"/>
                    </w14:srgbClr>
                  </w14:solidFill>
                </w14:textFill>
              </w:rPr>
              <w:t>|</w:t>
            </w:r>
            <w:r w:rsidRPr="009C1643">
              <w:rPr>
                <w:rFonts w:hint="eastAsia"/>
                <w:b/>
                <w:bCs/>
                <w:color w:val="000000"/>
                <w:spacing w:val="-26"/>
                <w:w w:val="15"/>
                <w:fitText w:val="40" w:id="-1286895614"/>
                <w14:textFill>
                  <w14:solidFill>
                    <w14:srgbClr w14:val="000000">
                      <w14:alpha w14:val="100000"/>
                    </w14:srgbClr>
                  </w14:solidFill>
                </w14:textFill>
              </w:rPr>
              <w:t xml:space="preserve">　</w:t>
            </w:r>
          </w:p>
        </w:tc>
      </w:tr>
      <w:tr w:rsidR="00F522E5" w:rsidRPr="005D6403" w14:paraId="79D47B50" w14:textId="77777777" w:rsidTr="009C1643">
        <w:trPr>
          <w:trHeight w:val="56"/>
        </w:trPr>
        <w:tc>
          <w:tcPr>
            <w:tcW w:w="2356" w:type="pct"/>
          </w:tcPr>
          <w:p w14:paraId="1D25E73F" w14:textId="77777777" w:rsidR="00F522E5" w:rsidRPr="005D6403" w:rsidRDefault="00F522E5" w:rsidP="00F522E5">
            <w:pPr>
              <w:pStyle w:val="TableText"/>
            </w:pPr>
            <w:r w:rsidRPr="005D6403">
              <w:t xml:space="preserve">ACR, mg/g </w:t>
            </w:r>
          </w:p>
        </w:tc>
        <w:tc>
          <w:tcPr>
            <w:tcW w:w="1179" w:type="pct"/>
            <w:tcBorders>
              <w:bottom w:val="single" w:sz="4" w:space="0" w:color="auto"/>
            </w:tcBorders>
            <w:shd w:val="solid" w:color="000000" w:fill="000000"/>
          </w:tcPr>
          <w:p w14:paraId="52252F48" w14:textId="1A2D5D21" w:rsidR="00F522E5" w:rsidRPr="001579B2" w:rsidRDefault="009C1643" w:rsidP="00F522E5">
            <w:pPr>
              <w:pStyle w:val="TableText"/>
              <w:jc w:val="center"/>
            </w:pPr>
            <w:r w:rsidRPr="009C1643">
              <w:rPr>
                <w:b/>
                <w:bCs/>
                <w:color w:val="000000"/>
                <w:spacing w:val="204"/>
                <w:fitText w:val="296" w:id="-1286895613"/>
                <w14:textFill>
                  <w14:solidFill>
                    <w14:srgbClr w14:val="000000">
                      <w14:alpha w14:val="100000"/>
                    </w14:srgbClr>
                  </w14:solidFill>
                </w14:textFill>
              </w:rPr>
              <w:t>|</w:t>
            </w:r>
            <w:r w:rsidRPr="009C1643">
              <w:rPr>
                <w:b/>
                <w:bCs/>
                <w:color w:val="000000"/>
                <w:fitText w:val="296" w:id="-1286895613"/>
                <w14:textFill>
                  <w14:solidFill>
                    <w14:srgbClr w14:val="000000">
                      <w14:alpha w14:val="100000"/>
                    </w14:srgbClr>
                  </w14:solidFill>
                </w14:textFill>
              </w:rPr>
              <w:t>|</w:t>
            </w:r>
          </w:p>
        </w:tc>
        <w:tc>
          <w:tcPr>
            <w:tcW w:w="1465" w:type="pct"/>
            <w:tcBorders>
              <w:bottom w:val="single" w:sz="4" w:space="0" w:color="auto"/>
            </w:tcBorders>
            <w:shd w:val="solid" w:color="000000" w:fill="000000"/>
          </w:tcPr>
          <w:p w14:paraId="7793BD5C" w14:textId="72ACC3AF" w:rsidR="00F522E5" w:rsidRPr="001579B2" w:rsidRDefault="009C1643" w:rsidP="00F522E5">
            <w:pPr>
              <w:pStyle w:val="TableText"/>
              <w:jc w:val="center"/>
            </w:pPr>
            <w:r w:rsidRPr="009C1643">
              <w:rPr>
                <w:rFonts w:hint="eastAsia"/>
                <w:b/>
                <w:bCs/>
                <w:color w:val="000000"/>
                <w:w w:val="15"/>
                <w:fitText w:val="40" w:id="-1286895612"/>
                <w14:textFill>
                  <w14:solidFill>
                    <w14:srgbClr w14:val="000000">
                      <w14:alpha w14:val="100000"/>
                    </w14:srgbClr>
                  </w14:solidFill>
                </w14:textFill>
              </w:rPr>
              <w:t xml:space="preserve">　</w:t>
            </w:r>
            <w:r w:rsidRPr="009C1643">
              <w:rPr>
                <w:b/>
                <w:bCs/>
                <w:color w:val="000000"/>
                <w:w w:val="15"/>
                <w:fitText w:val="40" w:id="-1286895612"/>
                <w14:textFill>
                  <w14:solidFill>
                    <w14:srgbClr w14:val="000000">
                      <w14:alpha w14:val="100000"/>
                    </w14:srgbClr>
                  </w14:solidFill>
                </w14:textFill>
              </w:rPr>
              <w:t>|</w:t>
            </w:r>
            <w:r w:rsidRPr="009C1643">
              <w:rPr>
                <w:rFonts w:hint="eastAsia"/>
                <w:b/>
                <w:bCs/>
                <w:color w:val="000000"/>
                <w:spacing w:val="-26"/>
                <w:w w:val="15"/>
                <w:fitText w:val="40" w:id="-1286895612"/>
                <w14:textFill>
                  <w14:solidFill>
                    <w14:srgbClr w14:val="000000">
                      <w14:alpha w14:val="100000"/>
                    </w14:srgbClr>
                  </w14:solidFill>
                </w14:textFill>
              </w:rPr>
              <w:t xml:space="preserve">　</w:t>
            </w:r>
          </w:p>
        </w:tc>
      </w:tr>
      <w:tr w:rsidR="00F522E5" w:rsidRPr="005D6403" w14:paraId="2758945F" w14:textId="77777777" w:rsidTr="009C1643">
        <w:trPr>
          <w:trHeight w:val="56"/>
        </w:trPr>
        <w:tc>
          <w:tcPr>
            <w:tcW w:w="2356" w:type="pct"/>
          </w:tcPr>
          <w:p w14:paraId="678BA6DE" w14:textId="77777777" w:rsidR="00F522E5" w:rsidRPr="005D6403" w:rsidRDefault="00F522E5" w:rsidP="00F522E5">
            <w:pPr>
              <w:pStyle w:val="TableText"/>
              <w:rPr>
                <w:lang w:val="de-CH"/>
              </w:rPr>
            </w:pPr>
            <w:r w:rsidRPr="005D6403">
              <w:rPr>
                <w:lang w:val="de-CH"/>
              </w:rPr>
              <w:t>GFR (MDRD), mL/min/1.73m</w:t>
            </w:r>
            <w:r w:rsidRPr="005D6403">
              <w:rPr>
                <w:vertAlign w:val="superscript"/>
                <w:lang w:val="de-CH"/>
              </w:rPr>
              <w:t>2</w:t>
            </w:r>
            <w:r w:rsidRPr="005D6403">
              <w:rPr>
                <w:lang w:val="de-CH"/>
              </w:rPr>
              <w:t xml:space="preserve"> </w:t>
            </w:r>
          </w:p>
        </w:tc>
        <w:tc>
          <w:tcPr>
            <w:tcW w:w="1179" w:type="pct"/>
            <w:tcBorders>
              <w:bottom w:val="single" w:sz="4" w:space="0" w:color="auto"/>
            </w:tcBorders>
            <w:shd w:val="solid" w:color="000000" w:fill="000000"/>
          </w:tcPr>
          <w:p w14:paraId="738D87C2" w14:textId="0C0406CA" w:rsidR="00F522E5" w:rsidRPr="001579B2" w:rsidRDefault="009C1643" w:rsidP="00F522E5">
            <w:pPr>
              <w:pStyle w:val="TableText"/>
              <w:jc w:val="center"/>
            </w:pPr>
            <w:r w:rsidRPr="009C1643">
              <w:rPr>
                <w:b/>
                <w:bCs/>
                <w:color w:val="000000"/>
                <w:spacing w:val="204"/>
                <w:fitText w:val="296" w:id="-1286895611"/>
                <w14:textFill>
                  <w14:solidFill>
                    <w14:srgbClr w14:val="000000">
                      <w14:alpha w14:val="100000"/>
                    </w14:srgbClr>
                  </w14:solidFill>
                </w14:textFill>
              </w:rPr>
              <w:t>|</w:t>
            </w:r>
            <w:r w:rsidRPr="009C1643">
              <w:rPr>
                <w:b/>
                <w:bCs/>
                <w:color w:val="000000"/>
                <w:fitText w:val="296" w:id="-1286895611"/>
                <w14:textFill>
                  <w14:solidFill>
                    <w14:srgbClr w14:val="000000">
                      <w14:alpha w14:val="100000"/>
                    </w14:srgbClr>
                  </w14:solidFill>
                </w14:textFill>
              </w:rPr>
              <w:t>|</w:t>
            </w:r>
          </w:p>
        </w:tc>
        <w:tc>
          <w:tcPr>
            <w:tcW w:w="1465" w:type="pct"/>
            <w:tcBorders>
              <w:bottom w:val="single" w:sz="4" w:space="0" w:color="auto"/>
            </w:tcBorders>
            <w:shd w:val="solid" w:color="000000" w:fill="000000"/>
          </w:tcPr>
          <w:p w14:paraId="179E1A03" w14:textId="5779FBC9" w:rsidR="00F522E5" w:rsidRPr="001579B2" w:rsidRDefault="009C1643" w:rsidP="00F522E5">
            <w:pPr>
              <w:pStyle w:val="TableText"/>
              <w:jc w:val="center"/>
            </w:pPr>
            <w:r w:rsidRPr="009C1643">
              <w:rPr>
                <w:rFonts w:hint="eastAsia"/>
                <w:b/>
                <w:bCs/>
                <w:color w:val="000000"/>
                <w:w w:val="15"/>
                <w:fitText w:val="40" w:id="-1286895610"/>
                <w14:textFill>
                  <w14:solidFill>
                    <w14:srgbClr w14:val="000000">
                      <w14:alpha w14:val="100000"/>
                    </w14:srgbClr>
                  </w14:solidFill>
                </w14:textFill>
              </w:rPr>
              <w:t xml:space="preserve">　</w:t>
            </w:r>
            <w:r w:rsidRPr="009C1643">
              <w:rPr>
                <w:b/>
                <w:bCs/>
                <w:color w:val="000000"/>
                <w:w w:val="15"/>
                <w:fitText w:val="40" w:id="-1286895610"/>
                <w14:textFill>
                  <w14:solidFill>
                    <w14:srgbClr w14:val="000000">
                      <w14:alpha w14:val="100000"/>
                    </w14:srgbClr>
                  </w14:solidFill>
                </w14:textFill>
              </w:rPr>
              <w:t>|</w:t>
            </w:r>
            <w:r w:rsidRPr="009C1643">
              <w:rPr>
                <w:rFonts w:hint="eastAsia"/>
                <w:b/>
                <w:bCs/>
                <w:color w:val="000000"/>
                <w:spacing w:val="-26"/>
                <w:w w:val="15"/>
                <w:fitText w:val="40" w:id="-1286895610"/>
                <w14:textFill>
                  <w14:solidFill>
                    <w14:srgbClr w14:val="000000">
                      <w14:alpha w14:val="100000"/>
                    </w14:srgbClr>
                  </w14:solidFill>
                </w14:textFill>
              </w:rPr>
              <w:t xml:space="preserve">　</w:t>
            </w:r>
          </w:p>
        </w:tc>
      </w:tr>
      <w:tr w:rsidR="00F522E5" w:rsidRPr="005D6403" w14:paraId="647C1769" w14:textId="77777777" w:rsidTr="009C1643">
        <w:trPr>
          <w:trHeight w:val="333"/>
        </w:trPr>
        <w:tc>
          <w:tcPr>
            <w:tcW w:w="2356" w:type="pct"/>
          </w:tcPr>
          <w:p w14:paraId="0C40CB98" w14:textId="77777777" w:rsidR="00F522E5" w:rsidRPr="005D6403" w:rsidRDefault="00F522E5" w:rsidP="00F522E5">
            <w:pPr>
              <w:pStyle w:val="TableText"/>
            </w:pPr>
            <w:r w:rsidRPr="005D6403">
              <w:t xml:space="preserve">PromarkerD risk category </w:t>
            </w:r>
          </w:p>
        </w:tc>
        <w:tc>
          <w:tcPr>
            <w:tcW w:w="1179" w:type="pct"/>
            <w:tcBorders>
              <w:bottom w:val="single" w:sz="4" w:space="0" w:color="auto"/>
            </w:tcBorders>
            <w:shd w:val="solid" w:color="000000" w:fill="000000"/>
          </w:tcPr>
          <w:p w14:paraId="2CCF39D9" w14:textId="4D950010" w:rsidR="00F522E5" w:rsidRPr="001579B2" w:rsidRDefault="009C1643" w:rsidP="00F522E5">
            <w:pPr>
              <w:pStyle w:val="TableText"/>
              <w:jc w:val="center"/>
            </w:pPr>
            <w:r w:rsidRPr="009C1643">
              <w:rPr>
                <w:b/>
                <w:bCs/>
                <w:color w:val="000000"/>
                <w:spacing w:val="204"/>
                <w:fitText w:val="296" w:id="-1286895609"/>
                <w14:textFill>
                  <w14:solidFill>
                    <w14:srgbClr w14:val="000000">
                      <w14:alpha w14:val="100000"/>
                    </w14:srgbClr>
                  </w14:solidFill>
                </w14:textFill>
              </w:rPr>
              <w:t>|</w:t>
            </w:r>
            <w:r w:rsidRPr="009C1643">
              <w:rPr>
                <w:b/>
                <w:bCs/>
                <w:color w:val="000000"/>
                <w:fitText w:val="296" w:id="-1286895609"/>
                <w14:textFill>
                  <w14:solidFill>
                    <w14:srgbClr w14:val="000000">
                      <w14:alpha w14:val="100000"/>
                    </w14:srgbClr>
                  </w14:solidFill>
                </w14:textFill>
              </w:rPr>
              <w:t>|</w:t>
            </w:r>
          </w:p>
        </w:tc>
        <w:tc>
          <w:tcPr>
            <w:tcW w:w="1465" w:type="pct"/>
            <w:tcBorders>
              <w:bottom w:val="single" w:sz="4" w:space="0" w:color="auto"/>
            </w:tcBorders>
            <w:shd w:val="solid" w:color="000000" w:fill="000000"/>
          </w:tcPr>
          <w:p w14:paraId="24EAF314" w14:textId="7485DD77" w:rsidR="00F522E5" w:rsidRPr="001579B2" w:rsidRDefault="009C1643" w:rsidP="00F522E5">
            <w:pPr>
              <w:pStyle w:val="TableText"/>
              <w:jc w:val="center"/>
            </w:pPr>
            <w:r w:rsidRPr="009C1643">
              <w:rPr>
                <w:rFonts w:hint="eastAsia"/>
                <w:b/>
                <w:bCs/>
                <w:color w:val="000000"/>
                <w:w w:val="15"/>
                <w:fitText w:val="40" w:id="-1286895608"/>
                <w14:textFill>
                  <w14:solidFill>
                    <w14:srgbClr w14:val="000000">
                      <w14:alpha w14:val="100000"/>
                    </w14:srgbClr>
                  </w14:solidFill>
                </w14:textFill>
              </w:rPr>
              <w:t xml:space="preserve">　</w:t>
            </w:r>
            <w:r w:rsidRPr="009C1643">
              <w:rPr>
                <w:b/>
                <w:bCs/>
                <w:color w:val="000000"/>
                <w:w w:val="15"/>
                <w:fitText w:val="40" w:id="-1286895608"/>
                <w14:textFill>
                  <w14:solidFill>
                    <w14:srgbClr w14:val="000000">
                      <w14:alpha w14:val="100000"/>
                    </w14:srgbClr>
                  </w14:solidFill>
                </w14:textFill>
              </w:rPr>
              <w:t>|</w:t>
            </w:r>
            <w:r w:rsidRPr="009C1643">
              <w:rPr>
                <w:rFonts w:hint="eastAsia"/>
                <w:b/>
                <w:bCs/>
                <w:color w:val="000000"/>
                <w:spacing w:val="-26"/>
                <w:w w:val="15"/>
                <w:fitText w:val="40" w:id="-1286895608"/>
                <w14:textFill>
                  <w14:solidFill>
                    <w14:srgbClr w14:val="000000">
                      <w14:alpha w14:val="100000"/>
                    </w14:srgbClr>
                  </w14:solidFill>
                </w14:textFill>
              </w:rPr>
              <w:t xml:space="preserve">　</w:t>
            </w:r>
          </w:p>
        </w:tc>
      </w:tr>
      <w:tr w:rsidR="00F522E5" w:rsidRPr="005D6403" w14:paraId="3293CAF0" w14:textId="77777777" w:rsidTr="009C1643">
        <w:trPr>
          <w:trHeight w:val="56"/>
        </w:trPr>
        <w:tc>
          <w:tcPr>
            <w:tcW w:w="2356" w:type="pct"/>
          </w:tcPr>
          <w:p w14:paraId="079B0C7C" w14:textId="77777777" w:rsidR="00F522E5" w:rsidRPr="005D6403" w:rsidRDefault="00F522E5" w:rsidP="00F522E5">
            <w:pPr>
              <w:pStyle w:val="TableText"/>
            </w:pPr>
            <w:r w:rsidRPr="005D6403">
              <w:t>CKD Stage 1</w:t>
            </w:r>
            <w:r>
              <w:t>–</w:t>
            </w:r>
            <w:r w:rsidRPr="005D6403">
              <w:t xml:space="preserve">2 </w:t>
            </w:r>
            <w:r>
              <w:t>u</w:t>
            </w:r>
            <w:r w:rsidRPr="005D6403">
              <w:t>tility</w:t>
            </w:r>
          </w:p>
        </w:tc>
        <w:tc>
          <w:tcPr>
            <w:tcW w:w="1179" w:type="pct"/>
            <w:tcBorders>
              <w:bottom w:val="single" w:sz="4" w:space="0" w:color="auto"/>
            </w:tcBorders>
            <w:shd w:val="solid" w:color="000000" w:fill="000000"/>
          </w:tcPr>
          <w:p w14:paraId="623AB5C1" w14:textId="224C9FC8" w:rsidR="00F522E5" w:rsidRPr="001579B2" w:rsidRDefault="009C1643" w:rsidP="00F522E5">
            <w:pPr>
              <w:pStyle w:val="TableText"/>
              <w:jc w:val="center"/>
            </w:pPr>
            <w:r w:rsidRPr="009C1643">
              <w:rPr>
                <w:b/>
                <w:bCs/>
                <w:color w:val="000000"/>
                <w:spacing w:val="204"/>
                <w:fitText w:val="296" w:id="-1286895607"/>
                <w14:textFill>
                  <w14:solidFill>
                    <w14:srgbClr w14:val="000000">
                      <w14:alpha w14:val="100000"/>
                    </w14:srgbClr>
                  </w14:solidFill>
                </w14:textFill>
              </w:rPr>
              <w:t>|</w:t>
            </w:r>
            <w:r w:rsidRPr="009C1643">
              <w:rPr>
                <w:b/>
                <w:bCs/>
                <w:color w:val="000000"/>
                <w:fitText w:val="296" w:id="-1286895607"/>
                <w14:textFill>
                  <w14:solidFill>
                    <w14:srgbClr w14:val="000000">
                      <w14:alpha w14:val="100000"/>
                    </w14:srgbClr>
                  </w14:solidFill>
                </w14:textFill>
              </w:rPr>
              <w:t>|</w:t>
            </w:r>
          </w:p>
        </w:tc>
        <w:tc>
          <w:tcPr>
            <w:tcW w:w="1465" w:type="pct"/>
            <w:tcBorders>
              <w:bottom w:val="single" w:sz="4" w:space="0" w:color="auto"/>
            </w:tcBorders>
            <w:shd w:val="solid" w:color="000000" w:fill="000000"/>
          </w:tcPr>
          <w:p w14:paraId="015B9C9C" w14:textId="586CDDE5" w:rsidR="00F522E5" w:rsidRPr="001579B2" w:rsidRDefault="009C1643" w:rsidP="00F522E5">
            <w:pPr>
              <w:pStyle w:val="TableText"/>
              <w:jc w:val="center"/>
            </w:pPr>
            <w:r w:rsidRPr="009C1643">
              <w:rPr>
                <w:rFonts w:hint="eastAsia"/>
                <w:b/>
                <w:bCs/>
                <w:color w:val="000000"/>
                <w:w w:val="15"/>
                <w:fitText w:val="40" w:id="-1286895606"/>
                <w14:textFill>
                  <w14:solidFill>
                    <w14:srgbClr w14:val="000000">
                      <w14:alpha w14:val="100000"/>
                    </w14:srgbClr>
                  </w14:solidFill>
                </w14:textFill>
              </w:rPr>
              <w:t xml:space="preserve">　</w:t>
            </w:r>
            <w:r w:rsidRPr="009C1643">
              <w:rPr>
                <w:b/>
                <w:bCs/>
                <w:color w:val="000000"/>
                <w:w w:val="15"/>
                <w:fitText w:val="40" w:id="-1286895606"/>
                <w14:textFill>
                  <w14:solidFill>
                    <w14:srgbClr w14:val="000000">
                      <w14:alpha w14:val="100000"/>
                    </w14:srgbClr>
                  </w14:solidFill>
                </w14:textFill>
              </w:rPr>
              <w:t>|</w:t>
            </w:r>
            <w:r w:rsidRPr="009C1643">
              <w:rPr>
                <w:rFonts w:hint="eastAsia"/>
                <w:b/>
                <w:bCs/>
                <w:color w:val="000000"/>
                <w:spacing w:val="-26"/>
                <w:w w:val="15"/>
                <w:fitText w:val="40" w:id="-1286895606"/>
                <w14:textFill>
                  <w14:solidFill>
                    <w14:srgbClr w14:val="000000">
                      <w14:alpha w14:val="100000"/>
                    </w14:srgbClr>
                  </w14:solidFill>
                </w14:textFill>
              </w:rPr>
              <w:t xml:space="preserve">　</w:t>
            </w:r>
          </w:p>
        </w:tc>
      </w:tr>
      <w:tr w:rsidR="00F522E5" w:rsidRPr="005D6403" w14:paraId="5EB96AE1" w14:textId="77777777" w:rsidTr="009C1643">
        <w:trPr>
          <w:trHeight w:val="56"/>
        </w:trPr>
        <w:tc>
          <w:tcPr>
            <w:tcW w:w="2356" w:type="pct"/>
          </w:tcPr>
          <w:p w14:paraId="6ADD30DA" w14:textId="77777777" w:rsidR="00F522E5" w:rsidRPr="005D6403" w:rsidRDefault="00F522E5" w:rsidP="00F522E5">
            <w:pPr>
              <w:pStyle w:val="TableText"/>
            </w:pPr>
            <w:r w:rsidRPr="005D6403">
              <w:t xml:space="preserve">CKD Stage 3a </w:t>
            </w:r>
            <w:r>
              <w:t>u</w:t>
            </w:r>
            <w:r w:rsidRPr="005D6403">
              <w:t xml:space="preserve">tility </w:t>
            </w:r>
          </w:p>
        </w:tc>
        <w:tc>
          <w:tcPr>
            <w:tcW w:w="1179" w:type="pct"/>
            <w:tcBorders>
              <w:bottom w:val="single" w:sz="4" w:space="0" w:color="auto"/>
            </w:tcBorders>
            <w:shd w:val="solid" w:color="000000" w:fill="000000"/>
          </w:tcPr>
          <w:p w14:paraId="42A81478" w14:textId="0643A35A" w:rsidR="00F522E5" w:rsidRPr="001579B2" w:rsidRDefault="009C1643" w:rsidP="00F522E5">
            <w:pPr>
              <w:pStyle w:val="TableText"/>
              <w:jc w:val="center"/>
            </w:pPr>
            <w:r w:rsidRPr="009C1643">
              <w:rPr>
                <w:b/>
                <w:bCs/>
                <w:color w:val="000000"/>
                <w:spacing w:val="204"/>
                <w:fitText w:val="296" w:id="-1286895605"/>
                <w14:textFill>
                  <w14:solidFill>
                    <w14:srgbClr w14:val="000000">
                      <w14:alpha w14:val="100000"/>
                    </w14:srgbClr>
                  </w14:solidFill>
                </w14:textFill>
              </w:rPr>
              <w:t>|</w:t>
            </w:r>
            <w:r w:rsidRPr="009C1643">
              <w:rPr>
                <w:b/>
                <w:bCs/>
                <w:color w:val="000000"/>
                <w:fitText w:val="296" w:id="-1286895605"/>
                <w14:textFill>
                  <w14:solidFill>
                    <w14:srgbClr w14:val="000000">
                      <w14:alpha w14:val="100000"/>
                    </w14:srgbClr>
                  </w14:solidFill>
                </w14:textFill>
              </w:rPr>
              <w:t>|</w:t>
            </w:r>
          </w:p>
        </w:tc>
        <w:tc>
          <w:tcPr>
            <w:tcW w:w="1465" w:type="pct"/>
            <w:tcBorders>
              <w:bottom w:val="single" w:sz="4" w:space="0" w:color="auto"/>
            </w:tcBorders>
            <w:shd w:val="solid" w:color="000000" w:fill="000000"/>
          </w:tcPr>
          <w:p w14:paraId="452605CD" w14:textId="4A445DD3" w:rsidR="00F522E5" w:rsidRPr="001579B2" w:rsidRDefault="009C1643" w:rsidP="00F522E5">
            <w:pPr>
              <w:pStyle w:val="TableText"/>
              <w:jc w:val="center"/>
            </w:pPr>
            <w:r w:rsidRPr="009C1643">
              <w:rPr>
                <w:rFonts w:hint="eastAsia"/>
                <w:b/>
                <w:bCs/>
                <w:color w:val="000000"/>
                <w:w w:val="15"/>
                <w:fitText w:val="40" w:id="-1286895360"/>
                <w14:textFill>
                  <w14:solidFill>
                    <w14:srgbClr w14:val="000000">
                      <w14:alpha w14:val="100000"/>
                    </w14:srgbClr>
                  </w14:solidFill>
                </w14:textFill>
              </w:rPr>
              <w:t xml:space="preserve">　</w:t>
            </w:r>
            <w:r w:rsidRPr="009C1643">
              <w:rPr>
                <w:b/>
                <w:bCs/>
                <w:color w:val="000000"/>
                <w:w w:val="15"/>
                <w:fitText w:val="40" w:id="-1286895360"/>
                <w14:textFill>
                  <w14:solidFill>
                    <w14:srgbClr w14:val="000000">
                      <w14:alpha w14:val="100000"/>
                    </w14:srgbClr>
                  </w14:solidFill>
                </w14:textFill>
              </w:rPr>
              <w:t>|</w:t>
            </w:r>
            <w:r w:rsidRPr="009C1643">
              <w:rPr>
                <w:rFonts w:hint="eastAsia"/>
                <w:b/>
                <w:bCs/>
                <w:color w:val="000000"/>
                <w:spacing w:val="-26"/>
                <w:w w:val="15"/>
                <w:fitText w:val="40" w:id="-1286895360"/>
                <w14:textFill>
                  <w14:solidFill>
                    <w14:srgbClr w14:val="000000">
                      <w14:alpha w14:val="100000"/>
                    </w14:srgbClr>
                  </w14:solidFill>
                </w14:textFill>
              </w:rPr>
              <w:t xml:space="preserve">　</w:t>
            </w:r>
          </w:p>
        </w:tc>
      </w:tr>
      <w:tr w:rsidR="00F522E5" w:rsidRPr="005D6403" w14:paraId="3C188B48" w14:textId="77777777" w:rsidTr="009C1643">
        <w:trPr>
          <w:trHeight w:val="56"/>
        </w:trPr>
        <w:tc>
          <w:tcPr>
            <w:tcW w:w="2356" w:type="pct"/>
          </w:tcPr>
          <w:p w14:paraId="0A4618AD" w14:textId="77777777" w:rsidR="00F522E5" w:rsidRPr="005D6403" w:rsidRDefault="00F522E5" w:rsidP="00F522E5">
            <w:pPr>
              <w:pStyle w:val="TableText"/>
            </w:pPr>
            <w:r w:rsidRPr="005D6403">
              <w:t xml:space="preserve">CKD Stage 3b </w:t>
            </w:r>
            <w:r>
              <w:t>u</w:t>
            </w:r>
            <w:r w:rsidRPr="005D6403">
              <w:t xml:space="preserve">tility </w:t>
            </w:r>
          </w:p>
        </w:tc>
        <w:tc>
          <w:tcPr>
            <w:tcW w:w="1179" w:type="pct"/>
            <w:tcBorders>
              <w:bottom w:val="single" w:sz="4" w:space="0" w:color="auto"/>
            </w:tcBorders>
            <w:shd w:val="solid" w:color="000000" w:fill="000000"/>
          </w:tcPr>
          <w:p w14:paraId="3E2D5DA5" w14:textId="11503BD6" w:rsidR="00F522E5" w:rsidRPr="001579B2" w:rsidRDefault="009C1643" w:rsidP="00F522E5">
            <w:pPr>
              <w:pStyle w:val="TableText"/>
              <w:jc w:val="center"/>
            </w:pPr>
            <w:r w:rsidRPr="009C1643">
              <w:rPr>
                <w:b/>
                <w:bCs/>
                <w:color w:val="000000"/>
                <w:spacing w:val="204"/>
                <w:fitText w:val="296" w:id="-1286895359"/>
                <w14:textFill>
                  <w14:solidFill>
                    <w14:srgbClr w14:val="000000">
                      <w14:alpha w14:val="100000"/>
                    </w14:srgbClr>
                  </w14:solidFill>
                </w14:textFill>
              </w:rPr>
              <w:t>|</w:t>
            </w:r>
            <w:r w:rsidRPr="009C1643">
              <w:rPr>
                <w:b/>
                <w:bCs/>
                <w:color w:val="000000"/>
                <w:fitText w:val="296" w:id="-1286895359"/>
                <w14:textFill>
                  <w14:solidFill>
                    <w14:srgbClr w14:val="000000">
                      <w14:alpha w14:val="100000"/>
                    </w14:srgbClr>
                  </w14:solidFill>
                </w14:textFill>
              </w:rPr>
              <w:t>|</w:t>
            </w:r>
          </w:p>
        </w:tc>
        <w:tc>
          <w:tcPr>
            <w:tcW w:w="1465" w:type="pct"/>
            <w:tcBorders>
              <w:bottom w:val="single" w:sz="4" w:space="0" w:color="auto"/>
            </w:tcBorders>
            <w:shd w:val="solid" w:color="000000" w:fill="000000"/>
          </w:tcPr>
          <w:p w14:paraId="6D6E50A4" w14:textId="2CBF9CE9" w:rsidR="00F522E5" w:rsidRPr="001579B2" w:rsidRDefault="009C1643" w:rsidP="00F522E5">
            <w:pPr>
              <w:pStyle w:val="TableText"/>
              <w:jc w:val="center"/>
            </w:pPr>
            <w:r w:rsidRPr="009C1643">
              <w:rPr>
                <w:rFonts w:hint="eastAsia"/>
                <w:b/>
                <w:bCs/>
                <w:color w:val="000000"/>
                <w:w w:val="15"/>
                <w:fitText w:val="40" w:id="-1286895358"/>
                <w14:textFill>
                  <w14:solidFill>
                    <w14:srgbClr w14:val="000000">
                      <w14:alpha w14:val="100000"/>
                    </w14:srgbClr>
                  </w14:solidFill>
                </w14:textFill>
              </w:rPr>
              <w:t xml:space="preserve">　</w:t>
            </w:r>
            <w:r w:rsidRPr="009C1643">
              <w:rPr>
                <w:b/>
                <w:bCs/>
                <w:color w:val="000000"/>
                <w:w w:val="15"/>
                <w:fitText w:val="40" w:id="-1286895358"/>
                <w14:textFill>
                  <w14:solidFill>
                    <w14:srgbClr w14:val="000000">
                      <w14:alpha w14:val="100000"/>
                    </w14:srgbClr>
                  </w14:solidFill>
                </w14:textFill>
              </w:rPr>
              <w:t>|</w:t>
            </w:r>
            <w:r w:rsidRPr="009C1643">
              <w:rPr>
                <w:rFonts w:hint="eastAsia"/>
                <w:b/>
                <w:bCs/>
                <w:color w:val="000000"/>
                <w:spacing w:val="-26"/>
                <w:w w:val="15"/>
                <w:fitText w:val="40" w:id="-1286895358"/>
                <w14:textFill>
                  <w14:solidFill>
                    <w14:srgbClr w14:val="000000">
                      <w14:alpha w14:val="100000"/>
                    </w14:srgbClr>
                  </w14:solidFill>
                </w14:textFill>
              </w:rPr>
              <w:t xml:space="preserve">　</w:t>
            </w:r>
          </w:p>
        </w:tc>
      </w:tr>
      <w:tr w:rsidR="00F522E5" w:rsidRPr="005D6403" w14:paraId="3FE46365" w14:textId="77777777" w:rsidTr="009C1643">
        <w:trPr>
          <w:trHeight w:val="56"/>
        </w:trPr>
        <w:tc>
          <w:tcPr>
            <w:tcW w:w="2356" w:type="pct"/>
          </w:tcPr>
          <w:p w14:paraId="14A40B9F" w14:textId="77777777" w:rsidR="00F522E5" w:rsidRPr="005D6403" w:rsidRDefault="00F522E5" w:rsidP="00F522E5">
            <w:pPr>
              <w:pStyle w:val="TableText"/>
            </w:pPr>
            <w:r w:rsidRPr="005D6403">
              <w:t xml:space="preserve">CKD Stage 4 </w:t>
            </w:r>
            <w:r>
              <w:t>u</w:t>
            </w:r>
            <w:r w:rsidRPr="005D6403">
              <w:t xml:space="preserve">tility </w:t>
            </w:r>
          </w:p>
        </w:tc>
        <w:tc>
          <w:tcPr>
            <w:tcW w:w="1179" w:type="pct"/>
            <w:tcBorders>
              <w:bottom w:val="single" w:sz="4" w:space="0" w:color="auto"/>
            </w:tcBorders>
            <w:shd w:val="solid" w:color="000000" w:fill="000000"/>
          </w:tcPr>
          <w:p w14:paraId="745E8AA8" w14:textId="54A1B924" w:rsidR="00F522E5" w:rsidRPr="001579B2" w:rsidRDefault="009C1643" w:rsidP="00F522E5">
            <w:pPr>
              <w:pStyle w:val="TableText"/>
              <w:jc w:val="center"/>
            </w:pPr>
            <w:r w:rsidRPr="009C1643">
              <w:rPr>
                <w:b/>
                <w:bCs/>
                <w:color w:val="000000"/>
                <w:spacing w:val="204"/>
                <w:fitText w:val="296" w:id="-1286895357"/>
                <w14:textFill>
                  <w14:solidFill>
                    <w14:srgbClr w14:val="000000">
                      <w14:alpha w14:val="100000"/>
                    </w14:srgbClr>
                  </w14:solidFill>
                </w14:textFill>
              </w:rPr>
              <w:t>|</w:t>
            </w:r>
            <w:r w:rsidRPr="009C1643">
              <w:rPr>
                <w:b/>
                <w:bCs/>
                <w:color w:val="000000"/>
                <w:fitText w:val="296" w:id="-1286895357"/>
                <w14:textFill>
                  <w14:solidFill>
                    <w14:srgbClr w14:val="000000">
                      <w14:alpha w14:val="100000"/>
                    </w14:srgbClr>
                  </w14:solidFill>
                </w14:textFill>
              </w:rPr>
              <w:t>|</w:t>
            </w:r>
          </w:p>
        </w:tc>
        <w:tc>
          <w:tcPr>
            <w:tcW w:w="1465" w:type="pct"/>
            <w:tcBorders>
              <w:bottom w:val="single" w:sz="4" w:space="0" w:color="auto"/>
            </w:tcBorders>
            <w:shd w:val="solid" w:color="000000" w:fill="000000"/>
          </w:tcPr>
          <w:p w14:paraId="69FA3C33" w14:textId="79713DA6" w:rsidR="00F522E5" w:rsidRPr="001579B2" w:rsidRDefault="009C1643" w:rsidP="00F522E5">
            <w:pPr>
              <w:pStyle w:val="TableText"/>
              <w:jc w:val="center"/>
            </w:pPr>
            <w:r w:rsidRPr="009C1643">
              <w:rPr>
                <w:rFonts w:hint="eastAsia"/>
                <w:b/>
                <w:bCs/>
                <w:color w:val="000000"/>
                <w:w w:val="15"/>
                <w:fitText w:val="40" w:id="-1286895356"/>
                <w14:textFill>
                  <w14:solidFill>
                    <w14:srgbClr w14:val="000000">
                      <w14:alpha w14:val="100000"/>
                    </w14:srgbClr>
                  </w14:solidFill>
                </w14:textFill>
              </w:rPr>
              <w:t xml:space="preserve">　</w:t>
            </w:r>
            <w:r w:rsidRPr="009C1643">
              <w:rPr>
                <w:b/>
                <w:bCs/>
                <w:color w:val="000000"/>
                <w:w w:val="15"/>
                <w:fitText w:val="40" w:id="-1286895356"/>
                <w14:textFill>
                  <w14:solidFill>
                    <w14:srgbClr w14:val="000000">
                      <w14:alpha w14:val="100000"/>
                    </w14:srgbClr>
                  </w14:solidFill>
                </w14:textFill>
              </w:rPr>
              <w:t>|</w:t>
            </w:r>
            <w:r w:rsidRPr="009C1643">
              <w:rPr>
                <w:rFonts w:hint="eastAsia"/>
                <w:b/>
                <w:bCs/>
                <w:color w:val="000000"/>
                <w:spacing w:val="-26"/>
                <w:w w:val="15"/>
                <w:fitText w:val="40" w:id="-1286895356"/>
                <w14:textFill>
                  <w14:solidFill>
                    <w14:srgbClr w14:val="000000">
                      <w14:alpha w14:val="100000"/>
                    </w14:srgbClr>
                  </w14:solidFill>
                </w14:textFill>
              </w:rPr>
              <w:t xml:space="preserve">　</w:t>
            </w:r>
          </w:p>
        </w:tc>
      </w:tr>
      <w:tr w:rsidR="00F522E5" w:rsidRPr="005D6403" w14:paraId="1439D4B0" w14:textId="77777777" w:rsidTr="009C1643">
        <w:trPr>
          <w:trHeight w:val="56"/>
        </w:trPr>
        <w:tc>
          <w:tcPr>
            <w:tcW w:w="2356" w:type="pct"/>
          </w:tcPr>
          <w:p w14:paraId="37C5DEA0" w14:textId="77777777" w:rsidR="00F522E5" w:rsidRPr="005D6403" w:rsidRDefault="00F522E5" w:rsidP="00F522E5">
            <w:pPr>
              <w:pStyle w:val="TableText"/>
            </w:pPr>
            <w:r w:rsidRPr="005D6403">
              <w:t xml:space="preserve">Adjusted </w:t>
            </w:r>
            <w:r>
              <w:t>d</w:t>
            </w:r>
            <w:r w:rsidRPr="005D6403">
              <w:t xml:space="preserve">ialysis </w:t>
            </w:r>
            <w:r>
              <w:t>u</w:t>
            </w:r>
            <w:r w:rsidRPr="005D6403">
              <w:t xml:space="preserve">tility </w:t>
            </w:r>
          </w:p>
        </w:tc>
        <w:tc>
          <w:tcPr>
            <w:tcW w:w="1179" w:type="pct"/>
            <w:tcBorders>
              <w:bottom w:val="single" w:sz="4" w:space="0" w:color="auto"/>
            </w:tcBorders>
            <w:shd w:val="solid" w:color="000000" w:fill="000000"/>
          </w:tcPr>
          <w:p w14:paraId="3CFA7E29" w14:textId="549777EB" w:rsidR="00F522E5" w:rsidRPr="001579B2" w:rsidRDefault="009C1643" w:rsidP="00F522E5">
            <w:pPr>
              <w:pStyle w:val="TableText"/>
              <w:jc w:val="center"/>
            </w:pPr>
            <w:r w:rsidRPr="009C1643">
              <w:rPr>
                <w:b/>
                <w:bCs/>
                <w:color w:val="000000"/>
                <w:spacing w:val="204"/>
                <w:fitText w:val="296" w:id="-1286895355"/>
                <w14:textFill>
                  <w14:solidFill>
                    <w14:srgbClr w14:val="000000">
                      <w14:alpha w14:val="100000"/>
                    </w14:srgbClr>
                  </w14:solidFill>
                </w14:textFill>
              </w:rPr>
              <w:t>|</w:t>
            </w:r>
            <w:r w:rsidRPr="009C1643">
              <w:rPr>
                <w:b/>
                <w:bCs/>
                <w:color w:val="000000"/>
                <w:fitText w:val="296" w:id="-1286895355"/>
                <w14:textFill>
                  <w14:solidFill>
                    <w14:srgbClr w14:val="000000">
                      <w14:alpha w14:val="100000"/>
                    </w14:srgbClr>
                  </w14:solidFill>
                </w14:textFill>
              </w:rPr>
              <w:t>|</w:t>
            </w:r>
          </w:p>
        </w:tc>
        <w:tc>
          <w:tcPr>
            <w:tcW w:w="1465" w:type="pct"/>
            <w:tcBorders>
              <w:bottom w:val="single" w:sz="4" w:space="0" w:color="auto"/>
            </w:tcBorders>
            <w:shd w:val="solid" w:color="000000" w:fill="000000"/>
          </w:tcPr>
          <w:p w14:paraId="70C6C328" w14:textId="664E0387" w:rsidR="00F522E5" w:rsidRPr="001579B2" w:rsidRDefault="009C1643" w:rsidP="00F522E5">
            <w:pPr>
              <w:pStyle w:val="TableText"/>
              <w:jc w:val="center"/>
            </w:pPr>
            <w:r w:rsidRPr="009C1643">
              <w:rPr>
                <w:rFonts w:hint="eastAsia"/>
                <w:b/>
                <w:bCs/>
                <w:color w:val="000000"/>
                <w:w w:val="15"/>
                <w:fitText w:val="40" w:id="-1286895354"/>
                <w14:textFill>
                  <w14:solidFill>
                    <w14:srgbClr w14:val="000000">
                      <w14:alpha w14:val="100000"/>
                    </w14:srgbClr>
                  </w14:solidFill>
                </w14:textFill>
              </w:rPr>
              <w:t xml:space="preserve">　</w:t>
            </w:r>
            <w:r w:rsidRPr="009C1643">
              <w:rPr>
                <w:b/>
                <w:bCs/>
                <w:color w:val="000000"/>
                <w:w w:val="15"/>
                <w:fitText w:val="40" w:id="-1286895354"/>
                <w14:textFill>
                  <w14:solidFill>
                    <w14:srgbClr w14:val="000000">
                      <w14:alpha w14:val="100000"/>
                    </w14:srgbClr>
                  </w14:solidFill>
                </w14:textFill>
              </w:rPr>
              <w:t>|</w:t>
            </w:r>
            <w:r w:rsidRPr="009C1643">
              <w:rPr>
                <w:rFonts w:hint="eastAsia"/>
                <w:b/>
                <w:bCs/>
                <w:color w:val="000000"/>
                <w:spacing w:val="-26"/>
                <w:w w:val="15"/>
                <w:fitText w:val="40" w:id="-1286895354"/>
                <w14:textFill>
                  <w14:solidFill>
                    <w14:srgbClr w14:val="000000">
                      <w14:alpha w14:val="100000"/>
                    </w14:srgbClr>
                  </w14:solidFill>
                </w14:textFill>
              </w:rPr>
              <w:t xml:space="preserve">　</w:t>
            </w:r>
          </w:p>
        </w:tc>
      </w:tr>
      <w:tr w:rsidR="00F522E5" w:rsidRPr="005D6403" w14:paraId="448AFA38" w14:textId="77777777" w:rsidTr="009C1643">
        <w:trPr>
          <w:trHeight w:val="56"/>
        </w:trPr>
        <w:tc>
          <w:tcPr>
            <w:tcW w:w="2356" w:type="pct"/>
          </w:tcPr>
          <w:p w14:paraId="09A120DC" w14:textId="77777777" w:rsidR="00F522E5" w:rsidRPr="005D6403" w:rsidRDefault="00F522E5" w:rsidP="00F522E5">
            <w:pPr>
              <w:pStyle w:val="TableText"/>
            </w:pPr>
            <w:r w:rsidRPr="005D6403">
              <w:t xml:space="preserve">Kidney </w:t>
            </w:r>
            <w:r>
              <w:t>t</w:t>
            </w:r>
            <w:r w:rsidRPr="005D6403">
              <w:t xml:space="preserve">ransplant </w:t>
            </w:r>
            <w:r>
              <w:t>u</w:t>
            </w:r>
            <w:r w:rsidRPr="005D6403">
              <w:t xml:space="preserve">tility </w:t>
            </w:r>
          </w:p>
        </w:tc>
        <w:tc>
          <w:tcPr>
            <w:tcW w:w="1179" w:type="pct"/>
            <w:tcBorders>
              <w:bottom w:val="single" w:sz="4" w:space="0" w:color="auto"/>
            </w:tcBorders>
            <w:shd w:val="solid" w:color="000000" w:fill="000000"/>
          </w:tcPr>
          <w:p w14:paraId="05763EE3" w14:textId="0D5EA756" w:rsidR="00F522E5" w:rsidRPr="001579B2" w:rsidRDefault="009C1643" w:rsidP="00F522E5">
            <w:pPr>
              <w:pStyle w:val="TableText"/>
              <w:jc w:val="center"/>
            </w:pPr>
            <w:r w:rsidRPr="009C1643">
              <w:rPr>
                <w:b/>
                <w:bCs/>
                <w:color w:val="000000"/>
                <w:spacing w:val="204"/>
                <w:fitText w:val="296" w:id="-1286895353"/>
                <w14:textFill>
                  <w14:solidFill>
                    <w14:srgbClr w14:val="000000">
                      <w14:alpha w14:val="100000"/>
                    </w14:srgbClr>
                  </w14:solidFill>
                </w14:textFill>
              </w:rPr>
              <w:t>|</w:t>
            </w:r>
            <w:r w:rsidRPr="009C1643">
              <w:rPr>
                <w:b/>
                <w:bCs/>
                <w:color w:val="000000"/>
                <w:fitText w:val="296" w:id="-1286895353"/>
                <w14:textFill>
                  <w14:solidFill>
                    <w14:srgbClr w14:val="000000">
                      <w14:alpha w14:val="100000"/>
                    </w14:srgbClr>
                  </w14:solidFill>
                </w14:textFill>
              </w:rPr>
              <w:t>|</w:t>
            </w:r>
          </w:p>
        </w:tc>
        <w:tc>
          <w:tcPr>
            <w:tcW w:w="1465" w:type="pct"/>
            <w:tcBorders>
              <w:bottom w:val="single" w:sz="4" w:space="0" w:color="auto"/>
            </w:tcBorders>
            <w:shd w:val="solid" w:color="000000" w:fill="000000"/>
          </w:tcPr>
          <w:p w14:paraId="24574F53" w14:textId="215FECB4" w:rsidR="00F522E5" w:rsidRPr="001579B2" w:rsidRDefault="009C1643" w:rsidP="00F522E5">
            <w:pPr>
              <w:pStyle w:val="TableText"/>
              <w:jc w:val="center"/>
            </w:pPr>
            <w:r w:rsidRPr="009C1643">
              <w:rPr>
                <w:rFonts w:hint="eastAsia"/>
                <w:b/>
                <w:bCs/>
                <w:color w:val="000000"/>
                <w:w w:val="15"/>
                <w:fitText w:val="40" w:id="-1286895352"/>
                <w14:textFill>
                  <w14:solidFill>
                    <w14:srgbClr w14:val="000000">
                      <w14:alpha w14:val="100000"/>
                    </w14:srgbClr>
                  </w14:solidFill>
                </w14:textFill>
              </w:rPr>
              <w:t xml:space="preserve">　</w:t>
            </w:r>
            <w:r w:rsidRPr="009C1643">
              <w:rPr>
                <w:b/>
                <w:bCs/>
                <w:color w:val="000000"/>
                <w:w w:val="15"/>
                <w:fitText w:val="40" w:id="-1286895352"/>
                <w14:textFill>
                  <w14:solidFill>
                    <w14:srgbClr w14:val="000000">
                      <w14:alpha w14:val="100000"/>
                    </w14:srgbClr>
                  </w14:solidFill>
                </w14:textFill>
              </w:rPr>
              <w:t>|</w:t>
            </w:r>
            <w:r w:rsidRPr="009C1643">
              <w:rPr>
                <w:rFonts w:hint="eastAsia"/>
                <w:b/>
                <w:bCs/>
                <w:color w:val="000000"/>
                <w:spacing w:val="-26"/>
                <w:w w:val="15"/>
                <w:fitText w:val="40" w:id="-1286895352"/>
                <w14:textFill>
                  <w14:solidFill>
                    <w14:srgbClr w14:val="000000">
                      <w14:alpha w14:val="100000"/>
                    </w14:srgbClr>
                  </w14:solidFill>
                </w14:textFill>
              </w:rPr>
              <w:t xml:space="preserve">　</w:t>
            </w:r>
          </w:p>
        </w:tc>
      </w:tr>
      <w:tr w:rsidR="00F522E5" w:rsidRPr="005D6403" w14:paraId="7B17EB69" w14:textId="77777777" w:rsidTr="009C1643">
        <w:trPr>
          <w:trHeight w:val="56"/>
        </w:trPr>
        <w:tc>
          <w:tcPr>
            <w:tcW w:w="2356" w:type="pct"/>
          </w:tcPr>
          <w:p w14:paraId="22AE12BC" w14:textId="77777777" w:rsidR="00F522E5" w:rsidRPr="005D6403" w:rsidRDefault="00F522E5" w:rsidP="00F522E5">
            <w:pPr>
              <w:pStyle w:val="TableText"/>
            </w:pPr>
            <w:r w:rsidRPr="005D6403">
              <w:t>Post-</w:t>
            </w:r>
            <w:r>
              <w:t>t</w:t>
            </w:r>
            <w:r w:rsidRPr="005D6403">
              <w:t>ransplant CKD Stage 1</w:t>
            </w:r>
            <w:r>
              <w:t>–</w:t>
            </w:r>
            <w:r w:rsidRPr="005D6403">
              <w:t xml:space="preserve">2 </w:t>
            </w:r>
            <w:r>
              <w:t>u</w:t>
            </w:r>
            <w:r w:rsidRPr="005D6403">
              <w:t xml:space="preserve">tility </w:t>
            </w:r>
          </w:p>
        </w:tc>
        <w:tc>
          <w:tcPr>
            <w:tcW w:w="1179" w:type="pct"/>
            <w:tcBorders>
              <w:bottom w:val="single" w:sz="4" w:space="0" w:color="auto"/>
            </w:tcBorders>
            <w:shd w:val="solid" w:color="000000" w:fill="000000"/>
          </w:tcPr>
          <w:p w14:paraId="0B11685A" w14:textId="18A59C7A" w:rsidR="00F522E5" w:rsidRPr="001579B2" w:rsidRDefault="009C1643" w:rsidP="00F522E5">
            <w:pPr>
              <w:pStyle w:val="TableText"/>
              <w:jc w:val="center"/>
            </w:pPr>
            <w:r w:rsidRPr="009C1643">
              <w:rPr>
                <w:b/>
                <w:bCs/>
                <w:color w:val="000000"/>
                <w:spacing w:val="204"/>
                <w:fitText w:val="296" w:id="-1286895351"/>
                <w14:textFill>
                  <w14:solidFill>
                    <w14:srgbClr w14:val="000000">
                      <w14:alpha w14:val="100000"/>
                    </w14:srgbClr>
                  </w14:solidFill>
                </w14:textFill>
              </w:rPr>
              <w:t>|</w:t>
            </w:r>
            <w:r w:rsidRPr="009C1643">
              <w:rPr>
                <w:b/>
                <w:bCs/>
                <w:color w:val="000000"/>
                <w:fitText w:val="296" w:id="-1286895351"/>
                <w14:textFill>
                  <w14:solidFill>
                    <w14:srgbClr w14:val="000000">
                      <w14:alpha w14:val="100000"/>
                    </w14:srgbClr>
                  </w14:solidFill>
                </w14:textFill>
              </w:rPr>
              <w:t>|</w:t>
            </w:r>
          </w:p>
        </w:tc>
        <w:tc>
          <w:tcPr>
            <w:tcW w:w="1465" w:type="pct"/>
            <w:tcBorders>
              <w:bottom w:val="single" w:sz="4" w:space="0" w:color="auto"/>
            </w:tcBorders>
            <w:shd w:val="solid" w:color="000000" w:fill="000000"/>
          </w:tcPr>
          <w:p w14:paraId="35DD050F" w14:textId="7E3A4838" w:rsidR="00F522E5" w:rsidRPr="001579B2" w:rsidRDefault="009C1643" w:rsidP="00F522E5">
            <w:pPr>
              <w:pStyle w:val="TableText"/>
              <w:jc w:val="center"/>
            </w:pPr>
            <w:r w:rsidRPr="009C1643">
              <w:rPr>
                <w:rFonts w:hint="eastAsia"/>
                <w:b/>
                <w:bCs/>
                <w:color w:val="000000"/>
                <w:w w:val="15"/>
                <w:fitText w:val="40" w:id="-1286895350"/>
                <w14:textFill>
                  <w14:solidFill>
                    <w14:srgbClr w14:val="000000">
                      <w14:alpha w14:val="100000"/>
                    </w14:srgbClr>
                  </w14:solidFill>
                </w14:textFill>
              </w:rPr>
              <w:t xml:space="preserve">　</w:t>
            </w:r>
            <w:r w:rsidRPr="009C1643">
              <w:rPr>
                <w:b/>
                <w:bCs/>
                <w:color w:val="000000"/>
                <w:w w:val="15"/>
                <w:fitText w:val="40" w:id="-1286895350"/>
                <w14:textFill>
                  <w14:solidFill>
                    <w14:srgbClr w14:val="000000">
                      <w14:alpha w14:val="100000"/>
                    </w14:srgbClr>
                  </w14:solidFill>
                </w14:textFill>
              </w:rPr>
              <w:t>|</w:t>
            </w:r>
            <w:r w:rsidRPr="009C1643">
              <w:rPr>
                <w:rFonts w:hint="eastAsia"/>
                <w:b/>
                <w:bCs/>
                <w:color w:val="000000"/>
                <w:spacing w:val="-26"/>
                <w:w w:val="15"/>
                <w:fitText w:val="40" w:id="-1286895350"/>
                <w14:textFill>
                  <w14:solidFill>
                    <w14:srgbClr w14:val="000000">
                      <w14:alpha w14:val="100000"/>
                    </w14:srgbClr>
                  </w14:solidFill>
                </w14:textFill>
              </w:rPr>
              <w:t xml:space="preserve">　</w:t>
            </w:r>
          </w:p>
        </w:tc>
      </w:tr>
      <w:tr w:rsidR="00F522E5" w:rsidRPr="005D6403" w14:paraId="6E116389" w14:textId="77777777" w:rsidTr="009C1643">
        <w:trPr>
          <w:trHeight w:val="56"/>
        </w:trPr>
        <w:tc>
          <w:tcPr>
            <w:tcW w:w="2356" w:type="pct"/>
          </w:tcPr>
          <w:p w14:paraId="5FAF089D" w14:textId="77777777" w:rsidR="00F522E5" w:rsidRPr="005D6403" w:rsidRDefault="00F522E5" w:rsidP="00F522E5">
            <w:pPr>
              <w:pStyle w:val="TableText"/>
            </w:pPr>
            <w:r w:rsidRPr="005D6403">
              <w:t>Post-</w:t>
            </w:r>
            <w:r>
              <w:t>t</w:t>
            </w:r>
            <w:r w:rsidRPr="005D6403">
              <w:t xml:space="preserve">ransplant CKD Stage 3a </w:t>
            </w:r>
            <w:r>
              <w:t>u</w:t>
            </w:r>
            <w:r w:rsidRPr="005D6403">
              <w:t xml:space="preserve">tility </w:t>
            </w:r>
          </w:p>
        </w:tc>
        <w:tc>
          <w:tcPr>
            <w:tcW w:w="1179" w:type="pct"/>
            <w:tcBorders>
              <w:bottom w:val="single" w:sz="4" w:space="0" w:color="auto"/>
            </w:tcBorders>
            <w:shd w:val="solid" w:color="000000" w:fill="000000"/>
          </w:tcPr>
          <w:p w14:paraId="58EA5769" w14:textId="6441E1D1" w:rsidR="00F522E5" w:rsidRPr="001579B2" w:rsidRDefault="009C1643" w:rsidP="00F522E5">
            <w:pPr>
              <w:pStyle w:val="TableText"/>
              <w:jc w:val="center"/>
            </w:pPr>
            <w:r w:rsidRPr="009C1643">
              <w:rPr>
                <w:b/>
                <w:bCs/>
                <w:color w:val="000000"/>
                <w:spacing w:val="204"/>
                <w:fitText w:val="296" w:id="-1286895349"/>
                <w14:textFill>
                  <w14:solidFill>
                    <w14:srgbClr w14:val="000000">
                      <w14:alpha w14:val="100000"/>
                    </w14:srgbClr>
                  </w14:solidFill>
                </w14:textFill>
              </w:rPr>
              <w:t>|</w:t>
            </w:r>
            <w:r w:rsidRPr="009C1643">
              <w:rPr>
                <w:b/>
                <w:bCs/>
                <w:color w:val="000000"/>
                <w:fitText w:val="296" w:id="-1286895349"/>
                <w14:textFill>
                  <w14:solidFill>
                    <w14:srgbClr w14:val="000000">
                      <w14:alpha w14:val="100000"/>
                    </w14:srgbClr>
                  </w14:solidFill>
                </w14:textFill>
              </w:rPr>
              <w:t>|</w:t>
            </w:r>
          </w:p>
        </w:tc>
        <w:tc>
          <w:tcPr>
            <w:tcW w:w="1465" w:type="pct"/>
            <w:tcBorders>
              <w:bottom w:val="single" w:sz="4" w:space="0" w:color="auto"/>
            </w:tcBorders>
            <w:shd w:val="solid" w:color="000000" w:fill="000000"/>
          </w:tcPr>
          <w:p w14:paraId="312831F5" w14:textId="27B45B64" w:rsidR="00F522E5" w:rsidRPr="001579B2" w:rsidRDefault="009C1643" w:rsidP="00F522E5">
            <w:pPr>
              <w:pStyle w:val="TableText"/>
              <w:jc w:val="center"/>
            </w:pPr>
            <w:r w:rsidRPr="009C1643">
              <w:rPr>
                <w:rFonts w:hint="eastAsia"/>
                <w:b/>
                <w:bCs/>
                <w:color w:val="000000"/>
                <w:w w:val="15"/>
                <w:fitText w:val="40" w:id="-1286895348"/>
                <w14:textFill>
                  <w14:solidFill>
                    <w14:srgbClr w14:val="000000">
                      <w14:alpha w14:val="100000"/>
                    </w14:srgbClr>
                  </w14:solidFill>
                </w14:textFill>
              </w:rPr>
              <w:t xml:space="preserve">　</w:t>
            </w:r>
            <w:r w:rsidRPr="009C1643">
              <w:rPr>
                <w:b/>
                <w:bCs/>
                <w:color w:val="000000"/>
                <w:w w:val="15"/>
                <w:fitText w:val="40" w:id="-1286895348"/>
                <w14:textFill>
                  <w14:solidFill>
                    <w14:srgbClr w14:val="000000">
                      <w14:alpha w14:val="100000"/>
                    </w14:srgbClr>
                  </w14:solidFill>
                </w14:textFill>
              </w:rPr>
              <w:t>|</w:t>
            </w:r>
            <w:r w:rsidRPr="009C1643">
              <w:rPr>
                <w:rFonts w:hint="eastAsia"/>
                <w:b/>
                <w:bCs/>
                <w:color w:val="000000"/>
                <w:spacing w:val="-26"/>
                <w:w w:val="15"/>
                <w:fitText w:val="40" w:id="-1286895348"/>
                <w14:textFill>
                  <w14:solidFill>
                    <w14:srgbClr w14:val="000000">
                      <w14:alpha w14:val="100000"/>
                    </w14:srgbClr>
                  </w14:solidFill>
                </w14:textFill>
              </w:rPr>
              <w:t xml:space="preserve">　</w:t>
            </w:r>
          </w:p>
        </w:tc>
      </w:tr>
      <w:tr w:rsidR="00F522E5" w:rsidRPr="005D6403" w14:paraId="349097DE" w14:textId="77777777" w:rsidTr="009C1643">
        <w:trPr>
          <w:trHeight w:val="56"/>
        </w:trPr>
        <w:tc>
          <w:tcPr>
            <w:tcW w:w="2356" w:type="pct"/>
          </w:tcPr>
          <w:p w14:paraId="2C246F50" w14:textId="77777777" w:rsidR="00F522E5" w:rsidRPr="005D6403" w:rsidRDefault="00F522E5" w:rsidP="00F522E5">
            <w:pPr>
              <w:pStyle w:val="TableText"/>
            </w:pPr>
            <w:r w:rsidRPr="005D6403">
              <w:t>Post-</w:t>
            </w:r>
            <w:r>
              <w:t>t</w:t>
            </w:r>
            <w:r w:rsidRPr="005D6403">
              <w:t xml:space="preserve">ransplant CKD Stage 3b </w:t>
            </w:r>
            <w:r>
              <w:t>u</w:t>
            </w:r>
            <w:r w:rsidRPr="005D6403">
              <w:t xml:space="preserve">tility </w:t>
            </w:r>
          </w:p>
        </w:tc>
        <w:tc>
          <w:tcPr>
            <w:tcW w:w="1179" w:type="pct"/>
            <w:tcBorders>
              <w:bottom w:val="single" w:sz="4" w:space="0" w:color="auto"/>
            </w:tcBorders>
            <w:shd w:val="solid" w:color="000000" w:fill="000000"/>
          </w:tcPr>
          <w:p w14:paraId="0CCF2350" w14:textId="3A8523EC" w:rsidR="00F522E5" w:rsidRPr="001579B2" w:rsidRDefault="009C1643" w:rsidP="00F522E5">
            <w:pPr>
              <w:pStyle w:val="TableText"/>
              <w:jc w:val="center"/>
            </w:pPr>
            <w:r w:rsidRPr="009C1643">
              <w:rPr>
                <w:b/>
                <w:bCs/>
                <w:color w:val="000000"/>
                <w:spacing w:val="204"/>
                <w:fitText w:val="296" w:id="-1286895347"/>
                <w14:textFill>
                  <w14:solidFill>
                    <w14:srgbClr w14:val="000000">
                      <w14:alpha w14:val="100000"/>
                    </w14:srgbClr>
                  </w14:solidFill>
                </w14:textFill>
              </w:rPr>
              <w:t>|</w:t>
            </w:r>
            <w:r w:rsidRPr="009C1643">
              <w:rPr>
                <w:b/>
                <w:bCs/>
                <w:color w:val="000000"/>
                <w:fitText w:val="296" w:id="-1286895347"/>
                <w14:textFill>
                  <w14:solidFill>
                    <w14:srgbClr w14:val="000000">
                      <w14:alpha w14:val="100000"/>
                    </w14:srgbClr>
                  </w14:solidFill>
                </w14:textFill>
              </w:rPr>
              <w:t>|</w:t>
            </w:r>
          </w:p>
        </w:tc>
        <w:tc>
          <w:tcPr>
            <w:tcW w:w="1465" w:type="pct"/>
            <w:tcBorders>
              <w:bottom w:val="single" w:sz="4" w:space="0" w:color="auto"/>
            </w:tcBorders>
            <w:shd w:val="solid" w:color="000000" w:fill="000000"/>
          </w:tcPr>
          <w:p w14:paraId="018A5FFA" w14:textId="359F69B5" w:rsidR="00F522E5" w:rsidRPr="001579B2" w:rsidRDefault="009C1643" w:rsidP="00F522E5">
            <w:pPr>
              <w:pStyle w:val="TableText"/>
              <w:jc w:val="center"/>
            </w:pPr>
            <w:r w:rsidRPr="009C1643">
              <w:rPr>
                <w:rFonts w:hint="eastAsia"/>
                <w:b/>
                <w:bCs/>
                <w:color w:val="000000"/>
                <w:w w:val="15"/>
                <w:fitText w:val="40" w:id="-1286895346"/>
                <w14:textFill>
                  <w14:solidFill>
                    <w14:srgbClr w14:val="000000">
                      <w14:alpha w14:val="100000"/>
                    </w14:srgbClr>
                  </w14:solidFill>
                </w14:textFill>
              </w:rPr>
              <w:t xml:space="preserve">　</w:t>
            </w:r>
            <w:r w:rsidRPr="009C1643">
              <w:rPr>
                <w:b/>
                <w:bCs/>
                <w:color w:val="000000"/>
                <w:w w:val="15"/>
                <w:fitText w:val="40" w:id="-1286895346"/>
                <w14:textFill>
                  <w14:solidFill>
                    <w14:srgbClr w14:val="000000">
                      <w14:alpha w14:val="100000"/>
                    </w14:srgbClr>
                  </w14:solidFill>
                </w14:textFill>
              </w:rPr>
              <w:t>|</w:t>
            </w:r>
            <w:r w:rsidRPr="009C1643">
              <w:rPr>
                <w:rFonts w:hint="eastAsia"/>
                <w:b/>
                <w:bCs/>
                <w:color w:val="000000"/>
                <w:spacing w:val="-26"/>
                <w:w w:val="15"/>
                <w:fitText w:val="40" w:id="-1286895346"/>
                <w14:textFill>
                  <w14:solidFill>
                    <w14:srgbClr w14:val="000000">
                      <w14:alpha w14:val="100000"/>
                    </w14:srgbClr>
                  </w14:solidFill>
                </w14:textFill>
              </w:rPr>
              <w:t xml:space="preserve">　</w:t>
            </w:r>
          </w:p>
        </w:tc>
      </w:tr>
      <w:tr w:rsidR="00F522E5" w:rsidRPr="005D6403" w14:paraId="6733406E" w14:textId="77777777" w:rsidTr="009C1643">
        <w:trPr>
          <w:trHeight w:val="56"/>
        </w:trPr>
        <w:tc>
          <w:tcPr>
            <w:tcW w:w="2356" w:type="pct"/>
          </w:tcPr>
          <w:p w14:paraId="2A1EF345" w14:textId="77777777" w:rsidR="00F522E5" w:rsidRPr="005D6403" w:rsidRDefault="00F522E5" w:rsidP="00F522E5">
            <w:pPr>
              <w:pStyle w:val="TableText"/>
            </w:pPr>
            <w:r w:rsidRPr="005D6403">
              <w:t>Post-</w:t>
            </w:r>
            <w:r>
              <w:t>t</w:t>
            </w:r>
            <w:r w:rsidRPr="005D6403">
              <w:t xml:space="preserve">ransplant CKD Stage 4 </w:t>
            </w:r>
            <w:r>
              <w:t>u</w:t>
            </w:r>
            <w:r w:rsidRPr="005D6403">
              <w:t xml:space="preserve">tility </w:t>
            </w:r>
          </w:p>
        </w:tc>
        <w:tc>
          <w:tcPr>
            <w:tcW w:w="1179" w:type="pct"/>
            <w:tcBorders>
              <w:bottom w:val="single" w:sz="4" w:space="0" w:color="auto"/>
            </w:tcBorders>
            <w:shd w:val="solid" w:color="000000" w:fill="000000"/>
          </w:tcPr>
          <w:p w14:paraId="00677852" w14:textId="450E3457" w:rsidR="00F522E5" w:rsidRPr="001579B2" w:rsidRDefault="009C1643" w:rsidP="00F522E5">
            <w:pPr>
              <w:pStyle w:val="TableText"/>
              <w:jc w:val="center"/>
            </w:pPr>
            <w:r w:rsidRPr="009C1643">
              <w:rPr>
                <w:b/>
                <w:bCs/>
                <w:color w:val="000000"/>
                <w:spacing w:val="204"/>
                <w:fitText w:val="296" w:id="-1286895345"/>
                <w14:textFill>
                  <w14:solidFill>
                    <w14:srgbClr w14:val="000000">
                      <w14:alpha w14:val="100000"/>
                    </w14:srgbClr>
                  </w14:solidFill>
                </w14:textFill>
              </w:rPr>
              <w:t>|</w:t>
            </w:r>
            <w:r w:rsidRPr="009C1643">
              <w:rPr>
                <w:b/>
                <w:bCs/>
                <w:color w:val="000000"/>
                <w:fitText w:val="296" w:id="-1286895345"/>
                <w14:textFill>
                  <w14:solidFill>
                    <w14:srgbClr w14:val="000000">
                      <w14:alpha w14:val="100000"/>
                    </w14:srgbClr>
                  </w14:solidFill>
                </w14:textFill>
              </w:rPr>
              <w:t>|</w:t>
            </w:r>
          </w:p>
        </w:tc>
        <w:tc>
          <w:tcPr>
            <w:tcW w:w="1465" w:type="pct"/>
            <w:tcBorders>
              <w:bottom w:val="single" w:sz="4" w:space="0" w:color="auto"/>
            </w:tcBorders>
            <w:shd w:val="solid" w:color="000000" w:fill="000000"/>
          </w:tcPr>
          <w:p w14:paraId="1C7FA03F" w14:textId="20BB3F25" w:rsidR="00F522E5" w:rsidRPr="001579B2" w:rsidRDefault="009C1643" w:rsidP="00F522E5">
            <w:pPr>
              <w:pStyle w:val="TableText"/>
              <w:jc w:val="center"/>
            </w:pPr>
            <w:r w:rsidRPr="009C1643">
              <w:rPr>
                <w:rFonts w:hint="eastAsia"/>
                <w:b/>
                <w:bCs/>
                <w:color w:val="000000"/>
                <w:w w:val="15"/>
                <w:fitText w:val="40" w:id="-1286895344"/>
                <w14:textFill>
                  <w14:solidFill>
                    <w14:srgbClr w14:val="000000">
                      <w14:alpha w14:val="100000"/>
                    </w14:srgbClr>
                  </w14:solidFill>
                </w14:textFill>
              </w:rPr>
              <w:t xml:space="preserve">　</w:t>
            </w:r>
            <w:r w:rsidRPr="009C1643">
              <w:rPr>
                <w:b/>
                <w:bCs/>
                <w:color w:val="000000"/>
                <w:w w:val="15"/>
                <w:fitText w:val="40" w:id="-1286895344"/>
                <w14:textFill>
                  <w14:solidFill>
                    <w14:srgbClr w14:val="000000">
                      <w14:alpha w14:val="100000"/>
                    </w14:srgbClr>
                  </w14:solidFill>
                </w14:textFill>
              </w:rPr>
              <w:t>|</w:t>
            </w:r>
            <w:r w:rsidRPr="009C1643">
              <w:rPr>
                <w:rFonts w:hint="eastAsia"/>
                <w:b/>
                <w:bCs/>
                <w:color w:val="000000"/>
                <w:spacing w:val="-26"/>
                <w:w w:val="15"/>
                <w:fitText w:val="40" w:id="-1286895344"/>
                <w14:textFill>
                  <w14:solidFill>
                    <w14:srgbClr w14:val="000000">
                      <w14:alpha w14:val="100000"/>
                    </w14:srgbClr>
                  </w14:solidFill>
                </w14:textFill>
              </w:rPr>
              <w:t xml:space="preserve">　</w:t>
            </w:r>
          </w:p>
        </w:tc>
      </w:tr>
      <w:tr w:rsidR="00F522E5" w:rsidRPr="005D6403" w14:paraId="59ED50D0" w14:textId="77777777" w:rsidTr="009C1643">
        <w:trPr>
          <w:trHeight w:val="56"/>
        </w:trPr>
        <w:tc>
          <w:tcPr>
            <w:tcW w:w="2356" w:type="pct"/>
          </w:tcPr>
          <w:p w14:paraId="343B9AA2" w14:textId="77777777" w:rsidR="00F522E5" w:rsidRPr="005D6403" w:rsidRDefault="00F522E5" w:rsidP="00F522E5">
            <w:pPr>
              <w:pStyle w:val="TableText"/>
            </w:pPr>
            <w:r w:rsidRPr="005D6403">
              <w:t xml:space="preserve">Discount rate </w:t>
            </w:r>
          </w:p>
        </w:tc>
        <w:tc>
          <w:tcPr>
            <w:tcW w:w="1179" w:type="pct"/>
            <w:tcBorders>
              <w:bottom w:val="single" w:sz="4" w:space="0" w:color="auto"/>
            </w:tcBorders>
            <w:shd w:val="solid" w:color="000000" w:fill="000000"/>
          </w:tcPr>
          <w:p w14:paraId="6DA812C3" w14:textId="0DA55757" w:rsidR="00F522E5" w:rsidRPr="001579B2" w:rsidRDefault="009C1643" w:rsidP="00F522E5">
            <w:pPr>
              <w:pStyle w:val="TableText"/>
              <w:jc w:val="center"/>
            </w:pPr>
            <w:r w:rsidRPr="009C1643">
              <w:rPr>
                <w:b/>
                <w:bCs/>
                <w:color w:val="000000"/>
                <w:spacing w:val="204"/>
                <w:fitText w:val="296" w:id="-1286895360"/>
                <w14:textFill>
                  <w14:solidFill>
                    <w14:srgbClr w14:val="000000">
                      <w14:alpha w14:val="100000"/>
                    </w14:srgbClr>
                  </w14:solidFill>
                </w14:textFill>
              </w:rPr>
              <w:t>|</w:t>
            </w:r>
            <w:r w:rsidRPr="009C1643">
              <w:rPr>
                <w:b/>
                <w:bCs/>
                <w:color w:val="000000"/>
                <w:fitText w:val="296" w:id="-1286895360"/>
                <w14:textFill>
                  <w14:solidFill>
                    <w14:srgbClr w14:val="000000">
                      <w14:alpha w14:val="100000"/>
                    </w14:srgbClr>
                  </w14:solidFill>
                </w14:textFill>
              </w:rPr>
              <w:t>|</w:t>
            </w:r>
          </w:p>
        </w:tc>
        <w:tc>
          <w:tcPr>
            <w:tcW w:w="1465" w:type="pct"/>
            <w:tcBorders>
              <w:bottom w:val="single" w:sz="4" w:space="0" w:color="auto"/>
            </w:tcBorders>
            <w:shd w:val="solid" w:color="000000" w:fill="000000"/>
          </w:tcPr>
          <w:p w14:paraId="63E4C1D7" w14:textId="600648E6" w:rsidR="00F522E5" w:rsidRPr="001579B2" w:rsidRDefault="009C1643" w:rsidP="00F522E5">
            <w:pPr>
              <w:pStyle w:val="TableText"/>
              <w:jc w:val="center"/>
            </w:pPr>
            <w:r w:rsidRPr="009C1643">
              <w:rPr>
                <w:rFonts w:hint="eastAsia"/>
                <w:b/>
                <w:bCs/>
                <w:color w:val="000000"/>
                <w:w w:val="15"/>
                <w:fitText w:val="40" w:id="-1286895359"/>
                <w14:textFill>
                  <w14:solidFill>
                    <w14:srgbClr w14:val="000000">
                      <w14:alpha w14:val="100000"/>
                    </w14:srgbClr>
                  </w14:solidFill>
                </w14:textFill>
              </w:rPr>
              <w:t xml:space="preserve">　</w:t>
            </w:r>
            <w:r w:rsidRPr="009C1643">
              <w:rPr>
                <w:b/>
                <w:bCs/>
                <w:color w:val="000000"/>
                <w:w w:val="15"/>
                <w:fitText w:val="40" w:id="-1286895359"/>
                <w14:textFill>
                  <w14:solidFill>
                    <w14:srgbClr w14:val="000000">
                      <w14:alpha w14:val="100000"/>
                    </w14:srgbClr>
                  </w14:solidFill>
                </w14:textFill>
              </w:rPr>
              <w:t>|</w:t>
            </w:r>
            <w:r w:rsidRPr="009C1643">
              <w:rPr>
                <w:rFonts w:hint="eastAsia"/>
                <w:b/>
                <w:bCs/>
                <w:color w:val="000000"/>
                <w:spacing w:val="-26"/>
                <w:w w:val="15"/>
                <w:fitText w:val="40" w:id="-1286895359"/>
                <w14:textFill>
                  <w14:solidFill>
                    <w14:srgbClr w14:val="000000">
                      <w14:alpha w14:val="100000"/>
                    </w14:srgbClr>
                  </w14:solidFill>
                </w14:textFill>
              </w:rPr>
              <w:t xml:space="preserve">　</w:t>
            </w:r>
          </w:p>
        </w:tc>
      </w:tr>
      <w:tr w:rsidR="00F522E5" w:rsidRPr="005D6403" w14:paraId="3417516E" w14:textId="77777777" w:rsidTr="009C1643">
        <w:trPr>
          <w:trHeight w:val="56"/>
        </w:trPr>
        <w:tc>
          <w:tcPr>
            <w:tcW w:w="2356" w:type="pct"/>
          </w:tcPr>
          <w:p w14:paraId="00421123" w14:textId="77777777" w:rsidR="00F522E5" w:rsidRPr="00075AC5" w:rsidRDefault="00F522E5" w:rsidP="00F522E5">
            <w:pPr>
              <w:pStyle w:val="TableText"/>
            </w:pPr>
            <w:r w:rsidRPr="00075AC5">
              <w:t>Time horizon 40/20 years</w:t>
            </w:r>
          </w:p>
        </w:tc>
        <w:tc>
          <w:tcPr>
            <w:tcW w:w="1179" w:type="pct"/>
            <w:tcBorders>
              <w:bottom w:val="single" w:sz="4" w:space="0" w:color="auto"/>
            </w:tcBorders>
            <w:shd w:val="solid" w:color="000000" w:fill="000000"/>
          </w:tcPr>
          <w:p w14:paraId="01980977" w14:textId="53C0BE37" w:rsidR="00F522E5" w:rsidRPr="00075AC5" w:rsidRDefault="009C1643" w:rsidP="00F522E5">
            <w:pPr>
              <w:pStyle w:val="TableText"/>
              <w:jc w:val="center"/>
            </w:pPr>
            <w:r w:rsidRPr="009C1643">
              <w:rPr>
                <w:b/>
                <w:bCs/>
                <w:color w:val="000000"/>
                <w:spacing w:val="204"/>
                <w:fitText w:val="296" w:id="-1286895358"/>
                <w14:textFill>
                  <w14:solidFill>
                    <w14:srgbClr w14:val="000000">
                      <w14:alpha w14:val="100000"/>
                    </w14:srgbClr>
                  </w14:solidFill>
                </w14:textFill>
              </w:rPr>
              <w:t>|</w:t>
            </w:r>
            <w:r w:rsidRPr="009C1643">
              <w:rPr>
                <w:b/>
                <w:bCs/>
                <w:color w:val="000000"/>
                <w:fitText w:val="296" w:id="-1286895358"/>
                <w14:textFill>
                  <w14:solidFill>
                    <w14:srgbClr w14:val="000000">
                      <w14:alpha w14:val="100000"/>
                    </w14:srgbClr>
                  </w14:solidFill>
                </w14:textFill>
              </w:rPr>
              <w:t>|</w:t>
            </w:r>
          </w:p>
        </w:tc>
        <w:tc>
          <w:tcPr>
            <w:tcW w:w="1465" w:type="pct"/>
            <w:tcBorders>
              <w:bottom w:val="single" w:sz="4" w:space="0" w:color="auto"/>
            </w:tcBorders>
            <w:shd w:val="solid" w:color="000000" w:fill="000000"/>
          </w:tcPr>
          <w:p w14:paraId="40AFD1FB" w14:textId="16374989" w:rsidR="00F522E5" w:rsidRPr="00075AC5" w:rsidRDefault="009C1643" w:rsidP="00F522E5">
            <w:pPr>
              <w:pStyle w:val="TableText"/>
              <w:jc w:val="center"/>
            </w:pPr>
            <w:r w:rsidRPr="009C1643">
              <w:rPr>
                <w:rFonts w:hint="eastAsia"/>
                <w:b/>
                <w:bCs/>
                <w:color w:val="000000"/>
                <w:w w:val="15"/>
                <w:fitText w:val="40" w:id="-1286895357"/>
                <w14:textFill>
                  <w14:solidFill>
                    <w14:srgbClr w14:val="000000">
                      <w14:alpha w14:val="100000"/>
                    </w14:srgbClr>
                  </w14:solidFill>
                </w14:textFill>
              </w:rPr>
              <w:t xml:space="preserve">　</w:t>
            </w:r>
            <w:r w:rsidRPr="009C1643">
              <w:rPr>
                <w:b/>
                <w:bCs/>
                <w:color w:val="000000"/>
                <w:w w:val="15"/>
                <w:fitText w:val="40" w:id="-1286895357"/>
                <w14:textFill>
                  <w14:solidFill>
                    <w14:srgbClr w14:val="000000">
                      <w14:alpha w14:val="100000"/>
                    </w14:srgbClr>
                  </w14:solidFill>
                </w14:textFill>
              </w:rPr>
              <w:t>|</w:t>
            </w:r>
            <w:r w:rsidRPr="009C1643">
              <w:rPr>
                <w:rFonts w:hint="eastAsia"/>
                <w:b/>
                <w:bCs/>
                <w:color w:val="000000"/>
                <w:spacing w:val="-26"/>
                <w:w w:val="15"/>
                <w:fitText w:val="40" w:id="-1286895357"/>
                <w14:textFill>
                  <w14:solidFill>
                    <w14:srgbClr w14:val="000000">
                      <w14:alpha w14:val="100000"/>
                    </w14:srgbClr>
                  </w14:solidFill>
                </w14:textFill>
              </w:rPr>
              <w:t xml:space="preserve">　</w:t>
            </w:r>
          </w:p>
        </w:tc>
      </w:tr>
      <w:tr w:rsidR="00F522E5" w:rsidRPr="005D6403" w14:paraId="796CC7AF" w14:textId="77777777" w:rsidTr="009C1643">
        <w:trPr>
          <w:trHeight w:val="56"/>
        </w:trPr>
        <w:tc>
          <w:tcPr>
            <w:tcW w:w="2356" w:type="pct"/>
          </w:tcPr>
          <w:p w14:paraId="7D9BAD71" w14:textId="77777777" w:rsidR="00F522E5" w:rsidRPr="00821A4C" w:rsidRDefault="00F522E5" w:rsidP="00F522E5">
            <w:pPr>
              <w:pStyle w:val="TableText"/>
            </w:pPr>
            <w:r w:rsidRPr="00821A4C">
              <w:t>HbA</w:t>
            </w:r>
            <w:r w:rsidRPr="00821A4C">
              <w:rPr>
                <w:vertAlign w:val="subscript"/>
              </w:rPr>
              <w:t>1c</w:t>
            </w:r>
            <w:r w:rsidRPr="00821A4C">
              <w:t xml:space="preserve"> effect </w:t>
            </w:r>
          </w:p>
        </w:tc>
        <w:tc>
          <w:tcPr>
            <w:tcW w:w="1179" w:type="pct"/>
            <w:tcBorders>
              <w:bottom w:val="single" w:sz="4" w:space="0" w:color="auto"/>
            </w:tcBorders>
            <w:shd w:val="solid" w:color="000000" w:fill="000000"/>
          </w:tcPr>
          <w:p w14:paraId="5859C900" w14:textId="5EC36C86" w:rsidR="00F522E5" w:rsidRPr="00821A4C" w:rsidRDefault="009C1643" w:rsidP="00F522E5">
            <w:pPr>
              <w:pStyle w:val="TableText"/>
              <w:jc w:val="center"/>
            </w:pPr>
            <w:r w:rsidRPr="009C1643">
              <w:rPr>
                <w:b/>
                <w:bCs/>
                <w:color w:val="000000"/>
                <w:spacing w:val="204"/>
                <w:fitText w:val="296" w:id="-1286895356"/>
                <w14:textFill>
                  <w14:solidFill>
                    <w14:srgbClr w14:val="000000">
                      <w14:alpha w14:val="100000"/>
                    </w14:srgbClr>
                  </w14:solidFill>
                </w14:textFill>
              </w:rPr>
              <w:t>|</w:t>
            </w:r>
            <w:r w:rsidRPr="009C1643">
              <w:rPr>
                <w:b/>
                <w:bCs/>
                <w:color w:val="000000"/>
                <w:fitText w:val="296" w:id="-1286895356"/>
                <w14:textFill>
                  <w14:solidFill>
                    <w14:srgbClr w14:val="000000">
                      <w14:alpha w14:val="100000"/>
                    </w14:srgbClr>
                  </w14:solidFill>
                </w14:textFill>
              </w:rPr>
              <w:t>|</w:t>
            </w:r>
          </w:p>
        </w:tc>
        <w:tc>
          <w:tcPr>
            <w:tcW w:w="1465" w:type="pct"/>
            <w:tcBorders>
              <w:bottom w:val="single" w:sz="4" w:space="0" w:color="auto"/>
            </w:tcBorders>
            <w:shd w:val="solid" w:color="000000" w:fill="000000"/>
          </w:tcPr>
          <w:p w14:paraId="0780F612" w14:textId="1BCB4B7A" w:rsidR="00F522E5" w:rsidRPr="00821A4C" w:rsidRDefault="009C1643" w:rsidP="00F522E5">
            <w:pPr>
              <w:pStyle w:val="TableText"/>
              <w:jc w:val="center"/>
            </w:pPr>
            <w:r w:rsidRPr="009C1643">
              <w:rPr>
                <w:rFonts w:hint="eastAsia"/>
                <w:b/>
                <w:bCs/>
                <w:color w:val="000000"/>
                <w:w w:val="15"/>
                <w:fitText w:val="40" w:id="-1286895355"/>
                <w14:textFill>
                  <w14:solidFill>
                    <w14:srgbClr w14:val="000000">
                      <w14:alpha w14:val="100000"/>
                    </w14:srgbClr>
                  </w14:solidFill>
                </w14:textFill>
              </w:rPr>
              <w:t xml:space="preserve">　</w:t>
            </w:r>
            <w:r w:rsidRPr="009C1643">
              <w:rPr>
                <w:b/>
                <w:bCs/>
                <w:color w:val="000000"/>
                <w:w w:val="15"/>
                <w:fitText w:val="40" w:id="-1286895355"/>
                <w14:textFill>
                  <w14:solidFill>
                    <w14:srgbClr w14:val="000000">
                      <w14:alpha w14:val="100000"/>
                    </w14:srgbClr>
                  </w14:solidFill>
                </w14:textFill>
              </w:rPr>
              <w:t>|</w:t>
            </w:r>
            <w:r w:rsidRPr="009C1643">
              <w:rPr>
                <w:rFonts w:hint="eastAsia"/>
                <w:b/>
                <w:bCs/>
                <w:color w:val="000000"/>
                <w:spacing w:val="-26"/>
                <w:w w:val="15"/>
                <w:fitText w:val="40" w:id="-1286895355"/>
                <w14:textFill>
                  <w14:solidFill>
                    <w14:srgbClr w14:val="000000">
                      <w14:alpha w14:val="100000"/>
                    </w14:srgbClr>
                  </w14:solidFill>
                </w14:textFill>
              </w:rPr>
              <w:t xml:space="preserve">　</w:t>
            </w:r>
          </w:p>
        </w:tc>
      </w:tr>
      <w:tr w:rsidR="00F522E5" w:rsidRPr="005D6403" w14:paraId="1A8D94F0" w14:textId="77777777" w:rsidTr="009C1643">
        <w:trPr>
          <w:trHeight w:val="56"/>
        </w:trPr>
        <w:tc>
          <w:tcPr>
            <w:tcW w:w="2356" w:type="pct"/>
          </w:tcPr>
          <w:p w14:paraId="5D3578C9" w14:textId="77777777" w:rsidR="00F522E5" w:rsidRPr="00821A4C" w:rsidRDefault="00F522E5" w:rsidP="00F522E5">
            <w:pPr>
              <w:pStyle w:val="TableText"/>
            </w:pPr>
            <w:r w:rsidRPr="00821A4C">
              <w:t xml:space="preserve">BMI effect </w:t>
            </w:r>
          </w:p>
        </w:tc>
        <w:tc>
          <w:tcPr>
            <w:tcW w:w="1179" w:type="pct"/>
            <w:tcBorders>
              <w:bottom w:val="single" w:sz="4" w:space="0" w:color="auto"/>
            </w:tcBorders>
            <w:shd w:val="solid" w:color="000000" w:fill="000000"/>
          </w:tcPr>
          <w:p w14:paraId="6767ACBB" w14:textId="38577A2E" w:rsidR="00F522E5" w:rsidRPr="00821A4C" w:rsidRDefault="009C1643" w:rsidP="00F522E5">
            <w:pPr>
              <w:pStyle w:val="TableText"/>
              <w:jc w:val="center"/>
            </w:pPr>
            <w:r w:rsidRPr="009C1643">
              <w:rPr>
                <w:b/>
                <w:bCs/>
                <w:color w:val="000000"/>
                <w:spacing w:val="204"/>
                <w:fitText w:val="296" w:id="-1286895354"/>
                <w14:textFill>
                  <w14:solidFill>
                    <w14:srgbClr w14:val="000000">
                      <w14:alpha w14:val="100000"/>
                    </w14:srgbClr>
                  </w14:solidFill>
                </w14:textFill>
              </w:rPr>
              <w:t>|</w:t>
            </w:r>
            <w:r w:rsidRPr="009C1643">
              <w:rPr>
                <w:b/>
                <w:bCs/>
                <w:color w:val="000000"/>
                <w:fitText w:val="296" w:id="-1286895354"/>
                <w14:textFill>
                  <w14:solidFill>
                    <w14:srgbClr w14:val="000000">
                      <w14:alpha w14:val="100000"/>
                    </w14:srgbClr>
                  </w14:solidFill>
                </w14:textFill>
              </w:rPr>
              <w:t>|</w:t>
            </w:r>
          </w:p>
        </w:tc>
        <w:tc>
          <w:tcPr>
            <w:tcW w:w="1465" w:type="pct"/>
            <w:tcBorders>
              <w:bottom w:val="single" w:sz="4" w:space="0" w:color="auto"/>
            </w:tcBorders>
            <w:shd w:val="solid" w:color="000000" w:fill="000000"/>
          </w:tcPr>
          <w:p w14:paraId="0F5A697D" w14:textId="531372BC" w:rsidR="00F522E5" w:rsidRPr="00821A4C" w:rsidRDefault="009C1643" w:rsidP="00F522E5">
            <w:pPr>
              <w:pStyle w:val="TableText"/>
              <w:jc w:val="center"/>
            </w:pPr>
            <w:r w:rsidRPr="009C1643">
              <w:rPr>
                <w:rFonts w:hint="eastAsia"/>
                <w:b/>
                <w:bCs/>
                <w:color w:val="000000"/>
                <w:w w:val="15"/>
                <w:fitText w:val="40" w:id="-1286895353"/>
                <w14:textFill>
                  <w14:solidFill>
                    <w14:srgbClr w14:val="000000">
                      <w14:alpha w14:val="100000"/>
                    </w14:srgbClr>
                  </w14:solidFill>
                </w14:textFill>
              </w:rPr>
              <w:t xml:space="preserve">　</w:t>
            </w:r>
            <w:r w:rsidRPr="009C1643">
              <w:rPr>
                <w:b/>
                <w:bCs/>
                <w:color w:val="000000"/>
                <w:w w:val="15"/>
                <w:fitText w:val="40" w:id="-1286895353"/>
                <w14:textFill>
                  <w14:solidFill>
                    <w14:srgbClr w14:val="000000">
                      <w14:alpha w14:val="100000"/>
                    </w14:srgbClr>
                  </w14:solidFill>
                </w14:textFill>
              </w:rPr>
              <w:t>|</w:t>
            </w:r>
            <w:r w:rsidRPr="009C1643">
              <w:rPr>
                <w:rFonts w:hint="eastAsia"/>
                <w:b/>
                <w:bCs/>
                <w:color w:val="000000"/>
                <w:spacing w:val="-26"/>
                <w:w w:val="15"/>
                <w:fitText w:val="40" w:id="-1286895353"/>
                <w14:textFill>
                  <w14:solidFill>
                    <w14:srgbClr w14:val="000000">
                      <w14:alpha w14:val="100000"/>
                    </w14:srgbClr>
                  </w14:solidFill>
                </w14:textFill>
              </w:rPr>
              <w:t xml:space="preserve">　</w:t>
            </w:r>
          </w:p>
        </w:tc>
      </w:tr>
      <w:tr w:rsidR="00F522E5" w:rsidRPr="005D6403" w14:paraId="57162730" w14:textId="77777777" w:rsidTr="009C1643">
        <w:trPr>
          <w:trHeight w:val="56"/>
        </w:trPr>
        <w:tc>
          <w:tcPr>
            <w:tcW w:w="2356" w:type="pct"/>
          </w:tcPr>
          <w:p w14:paraId="44977B53" w14:textId="77777777" w:rsidR="00F522E5" w:rsidRPr="00821A4C" w:rsidRDefault="00F522E5" w:rsidP="00F522E5">
            <w:pPr>
              <w:pStyle w:val="TableText"/>
            </w:pPr>
            <w:r w:rsidRPr="00821A4C">
              <w:t xml:space="preserve">eGFR effect </w:t>
            </w:r>
          </w:p>
        </w:tc>
        <w:tc>
          <w:tcPr>
            <w:tcW w:w="1179" w:type="pct"/>
            <w:tcBorders>
              <w:bottom w:val="single" w:sz="4" w:space="0" w:color="auto"/>
            </w:tcBorders>
            <w:shd w:val="solid" w:color="000000" w:fill="000000"/>
          </w:tcPr>
          <w:p w14:paraId="02630B94" w14:textId="5CBCAAC2" w:rsidR="00F522E5" w:rsidRPr="00821A4C" w:rsidRDefault="009C1643" w:rsidP="00F522E5">
            <w:pPr>
              <w:pStyle w:val="TableText"/>
              <w:jc w:val="center"/>
            </w:pPr>
            <w:r w:rsidRPr="009C1643">
              <w:rPr>
                <w:b/>
                <w:bCs/>
                <w:color w:val="000000"/>
                <w:spacing w:val="204"/>
                <w:fitText w:val="296" w:id="-1286895352"/>
                <w14:textFill>
                  <w14:solidFill>
                    <w14:srgbClr w14:val="000000">
                      <w14:alpha w14:val="100000"/>
                    </w14:srgbClr>
                  </w14:solidFill>
                </w14:textFill>
              </w:rPr>
              <w:t>|</w:t>
            </w:r>
            <w:r w:rsidRPr="009C1643">
              <w:rPr>
                <w:b/>
                <w:bCs/>
                <w:color w:val="000000"/>
                <w:fitText w:val="296" w:id="-1286895352"/>
                <w14:textFill>
                  <w14:solidFill>
                    <w14:srgbClr w14:val="000000">
                      <w14:alpha w14:val="100000"/>
                    </w14:srgbClr>
                  </w14:solidFill>
                </w14:textFill>
              </w:rPr>
              <w:t>|</w:t>
            </w:r>
          </w:p>
        </w:tc>
        <w:tc>
          <w:tcPr>
            <w:tcW w:w="1465" w:type="pct"/>
            <w:tcBorders>
              <w:bottom w:val="single" w:sz="4" w:space="0" w:color="auto"/>
            </w:tcBorders>
            <w:shd w:val="solid" w:color="000000" w:fill="000000"/>
          </w:tcPr>
          <w:p w14:paraId="2CBFD9E0" w14:textId="73A5DE96" w:rsidR="00F522E5" w:rsidRPr="00821A4C" w:rsidRDefault="009C1643" w:rsidP="00F522E5">
            <w:pPr>
              <w:pStyle w:val="TableText"/>
              <w:jc w:val="center"/>
            </w:pPr>
            <w:r w:rsidRPr="009C1643">
              <w:rPr>
                <w:rFonts w:hint="eastAsia"/>
                <w:b/>
                <w:bCs/>
                <w:color w:val="000000"/>
                <w:w w:val="15"/>
                <w:fitText w:val="40" w:id="-1286895351"/>
                <w14:textFill>
                  <w14:solidFill>
                    <w14:srgbClr w14:val="000000">
                      <w14:alpha w14:val="100000"/>
                    </w14:srgbClr>
                  </w14:solidFill>
                </w14:textFill>
              </w:rPr>
              <w:t xml:space="preserve">　</w:t>
            </w:r>
            <w:r w:rsidRPr="009C1643">
              <w:rPr>
                <w:b/>
                <w:bCs/>
                <w:color w:val="000000"/>
                <w:w w:val="15"/>
                <w:fitText w:val="40" w:id="-1286895351"/>
                <w14:textFill>
                  <w14:solidFill>
                    <w14:srgbClr w14:val="000000">
                      <w14:alpha w14:val="100000"/>
                    </w14:srgbClr>
                  </w14:solidFill>
                </w14:textFill>
              </w:rPr>
              <w:t>|</w:t>
            </w:r>
            <w:r w:rsidRPr="009C1643">
              <w:rPr>
                <w:rFonts w:hint="eastAsia"/>
                <w:b/>
                <w:bCs/>
                <w:color w:val="000000"/>
                <w:spacing w:val="-26"/>
                <w:w w:val="15"/>
                <w:fitText w:val="40" w:id="-1286895351"/>
                <w14:textFill>
                  <w14:solidFill>
                    <w14:srgbClr w14:val="000000">
                      <w14:alpha w14:val="100000"/>
                    </w14:srgbClr>
                  </w14:solidFill>
                </w14:textFill>
              </w:rPr>
              <w:t xml:space="preserve">　</w:t>
            </w:r>
          </w:p>
        </w:tc>
      </w:tr>
      <w:tr w:rsidR="00F522E5" w:rsidRPr="005D6403" w14:paraId="46600D9B" w14:textId="77777777" w:rsidTr="009C1643">
        <w:trPr>
          <w:trHeight w:val="56"/>
        </w:trPr>
        <w:tc>
          <w:tcPr>
            <w:tcW w:w="2356" w:type="pct"/>
          </w:tcPr>
          <w:p w14:paraId="07EA51DB" w14:textId="77777777" w:rsidR="00F522E5" w:rsidRPr="00821A4C" w:rsidRDefault="00F522E5" w:rsidP="00F522E5">
            <w:pPr>
              <w:pStyle w:val="TableText"/>
            </w:pPr>
            <w:r w:rsidRPr="00821A4C">
              <w:t xml:space="preserve">uACR effect </w:t>
            </w:r>
          </w:p>
        </w:tc>
        <w:tc>
          <w:tcPr>
            <w:tcW w:w="1179" w:type="pct"/>
            <w:tcBorders>
              <w:bottom w:val="single" w:sz="4" w:space="0" w:color="auto"/>
            </w:tcBorders>
            <w:shd w:val="solid" w:color="000000" w:fill="000000"/>
          </w:tcPr>
          <w:p w14:paraId="4352E3DF" w14:textId="78416ED3" w:rsidR="00F522E5" w:rsidRPr="00821A4C" w:rsidRDefault="009C1643" w:rsidP="00F522E5">
            <w:pPr>
              <w:pStyle w:val="TableText"/>
              <w:jc w:val="center"/>
            </w:pPr>
            <w:r w:rsidRPr="009C1643">
              <w:rPr>
                <w:b/>
                <w:bCs/>
                <w:color w:val="000000"/>
                <w:spacing w:val="204"/>
                <w:fitText w:val="296" w:id="-1286895350"/>
                <w14:textFill>
                  <w14:solidFill>
                    <w14:srgbClr w14:val="000000">
                      <w14:alpha w14:val="100000"/>
                    </w14:srgbClr>
                  </w14:solidFill>
                </w14:textFill>
              </w:rPr>
              <w:t>|</w:t>
            </w:r>
            <w:r w:rsidRPr="009C1643">
              <w:rPr>
                <w:b/>
                <w:bCs/>
                <w:color w:val="000000"/>
                <w:fitText w:val="296" w:id="-1286895350"/>
                <w14:textFill>
                  <w14:solidFill>
                    <w14:srgbClr w14:val="000000">
                      <w14:alpha w14:val="100000"/>
                    </w14:srgbClr>
                  </w14:solidFill>
                </w14:textFill>
              </w:rPr>
              <w:t>|</w:t>
            </w:r>
          </w:p>
        </w:tc>
        <w:tc>
          <w:tcPr>
            <w:tcW w:w="1465" w:type="pct"/>
            <w:tcBorders>
              <w:bottom w:val="single" w:sz="4" w:space="0" w:color="auto"/>
            </w:tcBorders>
            <w:shd w:val="solid" w:color="000000" w:fill="000000"/>
          </w:tcPr>
          <w:p w14:paraId="5DFCCD62" w14:textId="2832E0CD" w:rsidR="00F522E5" w:rsidRPr="00821A4C" w:rsidRDefault="009C1643" w:rsidP="00F522E5">
            <w:pPr>
              <w:pStyle w:val="TableText"/>
              <w:jc w:val="center"/>
            </w:pPr>
            <w:r w:rsidRPr="009C1643">
              <w:rPr>
                <w:rFonts w:hint="eastAsia"/>
                <w:b/>
                <w:bCs/>
                <w:color w:val="000000"/>
                <w:w w:val="15"/>
                <w:fitText w:val="40" w:id="-1286895349"/>
                <w14:textFill>
                  <w14:solidFill>
                    <w14:srgbClr w14:val="000000">
                      <w14:alpha w14:val="100000"/>
                    </w14:srgbClr>
                  </w14:solidFill>
                </w14:textFill>
              </w:rPr>
              <w:t xml:space="preserve">　</w:t>
            </w:r>
            <w:r w:rsidRPr="009C1643">
              <w:rPr>
                <w:b/>
                <w:bCs/>
                <w:color w:val="000000"/>
                <w:w w:val="15"/>
                <w:fitText w:val="40" w:id="-1286895349"/>
                <w14:textFill>
                  <w14:solidFill>
                    <w14:srgbClr w14:val="000000">
                      <w14:alpha w14:val="100000"/>
                    </w14:srgbClr>
                  </w14:solidFill>
                </w14:textFill>
              </w:rPr>
              <w:t>|</w:t>
            </w:r>
            <w:r w:rsidRPr="009C1643">
              <w:rPr>
                <w:rFonts w:hint="eastAsia"/>
                <w:b/>
                <w:bCs/>
                <w:color w:val="000000"/>
                <w:spacing w:val="-26"/>
                <w:w w:val="15"/>
                <w:fitText w:val="40" w:id="-1286895349"/>
                <w14:textFill>
                  <w14:solidFill>
                    <w14:srgbClr w14:val="000000">
                      <w14:alpha w14:val="100000"/>
                    </w14:srgbClr>
                  </w14:solidFill>
                </w14:textFill>
              </w:rPr>
              <w:t xml:space="preserve">　</w:t>
            </w:r>
          </w:p>
        </w:tc>
      </w:tr>
      <w:tr w:rsidR="00F522E5" w:rsidRPr="005D6403" w14:paraId="2FF4DDAD" w14:textId="77777777" w:rsidTr="009C1643">
        <w:trPr>
          <w:trHeight w:val="56"/>
        </w:trPr>
        <w:tc>
          <w:tcPr>
            <w:tcW w:w="2356" w:type="pct"/>
          </w:tcPr>
          <w:p w14:paraId="6DF6C773" w14:textId="77777777" w:rsidR="00F522E5" w:rsidRPr="00821A4C" w:rsidRDefault="00F522E5" w:rsidP="00F522E5">
            <w:pPr>
              <w:pStyle w:val="TableText"/>
            </w:pPr>
            <w:r w:rsidRPr="00821A4C">
              <w:t>SBP effect</w:t>
            </w:r>
          </w:p>
        </w:tc>
        <w:tc>
          <w:tcPr>
            <w:tcW w:w="1179" w:type="pct"/>
            <w:tcBorders>
              <w:bottom w:val="single" w:sz="4" w:space="0" w:color="auto"/>
            </w:tcBorders>
            <w:shd w:val="solid" w:color="000000" w:fill="000000"/>
          </w:tcPr>
          <w:p w14:paraId="2F4E864F" w14:textId="713D9881" w:rsidR="00F522E5" w:rsidRPr="00821A4C" w:rsidRDefault="009C1643" w:rsidP="00F522E5">
            <w:pPr>
              <w:pStyle w:val="TableText"/>
              <w:jc w:val="center"/>
            </w:pPr>
            <w:r w:rsidRPr="009C1643">
              <w:rPr>
                <w:b/>
                <w:bCs/>
                <w:color w:val="000000"/>
                <w:spacing w:val="204"/>
                <w:fitText w:val="296" w:id="-1286895348"/>
                <w14:textFill>
                  <w14:solidFill>
                    <w14:srgbClr w14:val="000000">
                      <w14:alpha w14:val="100000"/>
                    </w14:srgbClr>
                  </w14:solidFill>
                </w14:textFill>
              </w:rPr>
              <w:t>|</w:t>
            </w:r>
            <w:r w:rsidRPr="009C1643">
              <w:rPr>
                <w:b/>
                <w:bCs/>
                <w:color w:val="000000"/>
                <w:fitText w:val="296" w:id="-1286895348"/>
                <w14:textFill>
                  <w14:solidFill>
                    <w14:srgbClr w14:val="000000">
                      <w14:alpha w14:val="100000"/>
                    </w14:srgbClr>
                  </w14:solidFill>
                </w14:textFill>
              </w:rPr>
              <w:t>|</w:t>
            </w:r>
          </w:p>
        </w:tc>
        <w:tc>
          <w:tcPr>
            <w:tcW w:w="1465" w:type="pct"/>
            <w:tcBorders>
              <w:bottom w:val="single" w:sz="4" w:space="0" w:color="auto"/>
            </w:tcBorders>
            <w:shd w:val="solid" w:color="000000" w:fill="000000"/>
          </w:tcPr>
          <w:p w14:paraId="72833E2B" w14:textId="350A60F4" w:rsidR="00F522E5" w:rsidRPr="00821A4C" w:rsidRDefault="009C1643" w:rsidP="00F522E5">
            <w:pPr>
              <w:pStyle w:val="TableText"/>
              <w:jc w:val="center"/>
            </w:pPr>
            <w:r w:rsidRPr="009C1643">
              <w:rPr>
                <w:rFonts w:hint="eastAsia"/>
                <w:b/>
                <w:bCs/>
                <w:color w:val="000000"/>
                <w:w w:val="15"/>
                <w:fitText w:val="40" w:id="-1286895347"/>
                <w14:textFill>
                  <w14:solidFill>
                    <w14:srgbClr w14:val="000000">
                      <w14:alpha w14:val="100000"/>
                    </w14:srgbClr>
                  </w14:solidFill>
                </w14:textFill>
              </w:rPr>
              <w:t xml:space="preserve">　</w:t>
            </w:r>
            <w:r w:rsidRPr="009C1643">
              <w:rPr>
                <w:b/>
                <w:bCs/>
                <w:color w:val="000000"/>
                <w:w w:val="15"/>
                <w:fitText w:val="40" w:id="-1286895347"/>
                <w14:textFill>
                  <w14:solidFill>
                    <w14:srgbClr w14:val="000000">
                      <w14:alpha w14:val="100000"/>
                    </w14:srgbClr>
                  </w14:solidFill>
                </w14:textFill>
              </w:rPr>
              <w:t>|</w:t>
            </w:r>
            <w:r w:rsidRPr="009C1643">
              <w:rPr>
                <w:rFonts w:hint="eastAsia"/>
                <w:b/>
                <w:bCs/>
                <w:color w:val="000000"/>
                <w:spacing w:val="-26"/>
                <w:w w:val="15"/>
                <w:fitText w:val="40" w:id="-1286895347"/>
                <w14:textFill>
                  <w14:solidFill>
                    <w14:srgbClr w14:val="000000">
                      <w14:alpha w14:val="100000"/>
                    </w14:srgbClr>
                  </w14:solidFill>
                </w14:textFill>
              </w:rPr>
              <w:t xml:space="preserve">　</w:t>
            </w:r>
          </w:p>
        </w:tc>
      </w:tr>
      <w:tr w:rsidR="00F522E5" w:rsidRPr="005D6403" w14:paraId="003B8B97" w14:textId="77777777" w:rsidTr="009C1643">
        <w:trPr>
          <w:trHeight w:val="56"/>
        </w:trPr>
        <w:tc>
          <w:tcPr>
            <w:tcW w:w="2356" w:type="pct"/>
          </w:tcPr>
          <w:p w14:paraId="5FE8F89B" w14:textId="77777777" w:rsidR="00F522E5" w:rsidRPr="00821A4C" w:rsidRDefault="00F522E5" w:rsidP="00F522E5">
            <w:pPr>
              <w:pStyle w:val="TableText"/>
            </w:pPr>
            <w:r w:rsidRPr="00821A4C">
              <w:t>DBP effect</w:t>
            </w:r>
          </w:p>
        </w:tc>
        <w:tc>
          <w:tcPr>
            <w:tcW w:w="1179" w:type="pct"/>
            <w:tcBorders>
              <w:bottom w:val="single" w:sz="4" w:space="0" w:color="auto"/>
            </w:tcBorders>
            <w:shd w:val="solid" w:color="000000" w:fill="000000"/>
          </w:tcPr>
          <w:p w14:paraId="07964C72" w14:textId="701F6887" w:rsidR="00F522E5" w:rsidRPr="00821A4C" w:rsidRDefault="009C1643" w:rsidP="00F522E5">
            <w:pPr>
              <w:pStyle w:val="TableText"/>
              <w:jc w:val="center"/>
            </w:pPr>
            <w:r w:rsidRPr="009C1643">
              <w:rPr>
                <w:b/>
                <w:bCs/>
                <w:color w:val="000000"/>
                <w:spacing w:val="204"/>
                <w:fitText w:val="296" w:id="-1286895346"/>
                <w14:textFill>
                  <w14:solidFill>
                    <w14:srgbClr w14:val="000000">
                      <w14:alpha w14:val="100000"/>
                    </w14:srgbClr>
                  </w14:solidFill>
                </w14:textFill>
              </w:rPr>
              <w:t>|</w:t>
            </w:r>
            <w:r w:rsidRPr="009C1643">
              <w:rPr>
                <w:b/>
                <w:bCs/>
                <w:color w:val="000000"/>
                <w:fitText w:val="296" w:id="-1286895346"/>
                <w14:textFill>
                  <w14:solidFill>
                    <w14:srgbClr w14:val="000000">
                      <w14:alpha w14:val="100000"/>
                    </w14:srgbClr>
                  </w14:solidFill>
                </w14:textFill>
              </w:rPr>
              <w:t>|</w:t>
            </w:r>
          </w:p>
        </w:tc>
        <w:tc>
          <w:tcPr>
            <w:tcW w:w="1465" w:type="pct"/>
            <w:tcBorders>
              <w:bottom w:val="single" w:sz="4" w:space="0" w:color="auto"/>
            </w:tcBorders>
            <w:shd w:val="solid" w:color="000000" w:fill="000000"/>
          </w:tcPr>
          <w:p w14:paraId="2BFF67BD" w14:textId="358CEF05" w:rsidR="00F522E5" w:rsidRPr="00821A4C" w:rsidRDefault="009C1643" w:rsidP="00F522E5">
            <w:pPr>
              <w:pStyle w:val="TableText"/>
              <w:jc w:val="center"/>
            </w:pPr>
            <w:r w:rsidRPr="009C1643">
              <w:rPr>
                <w:rFonts w:hint="eastAsia"/>
                <w:b/>
                <w:bCs/>
                <w:color w:val="000000"/>
                <w:w w:val="15"/>
                <w:fitText w:val="40" w:id="-1286895345"/>
                <w14:textFill>
                  <w14:solidFill>
                    <w14:srgbClr w14:val="000000">
                      <w14:alpha w14:val="100000"/>
                    </w14:srgbClr>
                  </w14:solidFill>
                </w14:textFill>
              </w:rPr>
              <w:t xml:space="preserve">　</w:t>
            </w:r>
            <w:r w:rsidRPr="009C1643">
              <w:rPr>
                <w:b/>
                <w:bCs/>
                <w:color w:val="000000"/>
                <w:w w:val="15"/>
                <w:fitText w:val="40" w:id="-1286895345"/>
                <w14:textFill>
                  <w14:solidFill>
                    <w14:srgbClr w14:val="000000">
                      <w14:alpha w14:val="100000"/>
                    </w14:srgbClr>
                  </w14:solidFill>
                </w14:textFill>
              </w:rPr>
              <w:t>|</w:t>
            </w:r>
            <w:r w:rsidRPr="009C1643">
              <w:rPr>
                <w:rFonts w:hint="eastAsia"/>
                <w:b/>
                <w:bCs/>
                <w:color w:val="000000"/>
                <w:spacing w:val="-26"/>
                <w:w w:val="15"/>
                <w:fitText w:val="40" w:id="-1286895345"/>
                <w14:textFill>
                  <w14:solidFill>
                    <w14:srgbClr w14:val="000000">
                      <w14:alpha w14:val="100000"/>
                    </w14:srgbClr>
                  </w14:solidFill>
                </w14:textFill>
              </w:rPr>
              <w:t xml:space="preserve">　</w:t>
            </w:r>
          </w:p>
        </w:tc>
      </w:tr>
      <w:tr w:rsidR="00F522E5" w:rsidRPr="005D6403" w14:paraId="5F3145B9" w14:textId="77777777" w:rsidTr="009C1643">
        <w:trPr>
          <w:trHeight w:val="56"/>
        </w:trPr>
        <w:tc>
          <w:tcPr>
            <w:tcW w:w="2356" w:type="pct"/>
          </w:tcPr>
          <w:p w14:paraId="0766CFBD" w14:textId="77777777" w:rsidR="00F522E5" w:rsidRPr="00821A4C" w:rsidRDefault="00F522E5" w:rsidP="00F522E5">
            <w:pPr>
              <w:pStyle w:val="TableText"/>
            </w:pPr>
            <w:r w:rsidRPr="00821A4C">
              <w:t xml:space="preserve">HDL effect </w:t>
            </w:r>
          </w:p>
        </w:tc>
        <w:tc>
          <w:tcPr>
            <w:tcW w:w="1179" w:type="pct"/>
            <w:shd w:val="solid" w:color="000000" w:fill="000000"/>
          </w:tcPr>
          <w:p w14:paraId="0E3C3BC3" w14:textId="5A0DD00E" w:rsidR="00F522E5" w:rsidRPr="00821A4C" w:rsidRDefault="009C1643" w:rsidP="00F522E5">
            <w:pPr>
              <w:pStyle w:val="TableText"/>
              <w:jc w:val="center"/>
            </w:pPr>
            <w:r w:rsidRPr="009C1643">
              <w:rPr>
                <w:b/>
                <w:bCs/>
                <w:color w:val="000000"/>
                <w:spacing w:val="204"/>
                <w:fitText w:val="296" w:id="-1286895344"/>
                <w14:textFill>
                  <w14:solidFill>
                    <w14:srgbClr w14:val="000000">
                      <w14:alpha w14:val="100000"/>
                    </w14:srgbClr>
                  </w14:solidFill>
                </w14:textFill>
              </w:rPr>
              <w:t>|</w:t>
            </w:r>
            <w:r w:rsidRPr="009C1643">
              <w:rPr>
                <w:b/>
                <w:bCs/>
                <w:color w:val="000000"/>
                <w:fitText w:val="296" w:id="-1286895344"/>
                <w14:textFill>
                  <w14:solidFill>
                    <w14:srgbClr w14:val="000000">
                      <w14:alpha w14:val="100000"/>
                    </w14:srgbClr>
                  </w14:solidFill>
                </w14:textFill>
              </w:rPr>
              <w:t>|</w:t>
            </w:r>
          </w:p>
        </w:tc>
        <w:tc>
          <w:tcPr>
            <w:tcW w:w="1465" w:type="pct"/>
            <w:shd w:val="solid" w:color="000000" w:fill="000000"/>
          </w:tcPr>
          <w:p w14:paraId="37CD6F3D" w14:textId="2B58D7C5" w:rsidR="00F522E5" w:rsidRPr="00821A4C" w:rsidRDefault="009C1643" w:rsidP="00F522E5">
            <w:pPr>
              <w:pStyle w:val="TableText"/>
              <w:jc w:val="center"/>
            </w:pPr>
            <w:r w:rsidRPr="009C1643">
              <w:rPr>
                <w:rFonts w:hint="eastAsia"/>
                <w:b/>
                <w:bCs/>
                <w:color w:val="000000"/>
                <w:w w:val="15"/>
                <w:fitText w:val="40" w:id="-1286895360"/>
                <w14:textFill>
                  <w14:solidFill>
                    <w14:srgbClr w14:val="000000">
                      <w14:alpha w14:val="100000"/>
                    </w14:srgbClr>
                  </w14:solidFill>
                </w14:textFill>
              </w:rPr>
              <w:t xml:space="preserve">　</w:t>
            </w:r>
            <w:r w:rsidRPr="009C1643">
              <w:rPr>
                <w:b/>
                <w:bCs/>
                <w:color w:val="000000"/>
                <w:w w:val="15"/>
                <w:fitText w:val="40" w:id="-1286895360"/>
                <w14:textFill>
                  <w14:solidFill>
                    <w14:srgbClr w14:val="000000">
                      <w14:alpha w14:val="100000"/>
                    </w14:srgbClr>
                  </w14:solidFill>
                </w14:textFill>
              </w:rPr>
              <w:t>|</w:t>
            </w:r>
            <w:r w:rsidRPr="009C1643">
              <w:rPr>
                <w:rFonts w:hint="eastAsia"/>
                <w:b/>
                <w:bCs/>
                <w:color w:val="000000"/>
                <w:spacing w:val="-26"/>
                <w:w w:val="15"/>
                <w:fitText w:val="40" w:id="-1286895360"/>
                <w14:textFill>
                  <w14:solidFill>
                    <w14:srgbClr w14:val="000000">
                      <w14:alpha w14:val="100000"/>
                    </w14:srgbClr>
                  </w14:solidFill>
                </w14:textFill>
              </w:rPr>
              <w:t xml:space="preserve">　</w:t>
            </w:r>
          </w:p>
        </w:tc>
      </w:tr>
      <w:tr w:rsidR="00104513" w:rsidRPr="005D6403" w14:paraId="0331DF09" w14:textId="77777777" w:rsidTr="00201E72">
        <w:trPr>
          <w:trHeight w:val="56"/>
        </w:trPr>
        <w:tc>
          <w:tcPr>
            <w:tcW w:w="2356" w:type="pct"/>
          </w:tcPr>
          <w:p w14:paraId="004CA22D" w14:textId="77777777" w:rsidR="00104513" w:rsidRPr="005D6403" w:rsidRDefault="00104513" w:rsidP="002F6658">
            <w:pPr>
              <w:pStyle w:val="TableText"/>
            </w:pPr>
            <w:r w:rsidRPr="00E973C8">
              <w:t>Scenario analysis – cost of MBS item 66500 added to PromarkerD test cost</w:t>
            </w:r>
          </w:p>
        </w:tc>
        <w:tc>
          <w:tcPr>
            <w:tcW w:w="2644" w:type="pct"/>
            <w:gridSpan w:val="2"/>
            <w:vAlign w:val="center"/>
          </w:tcPr>
          <w:p w14:paraId="16F65544" w14:textId="77777777" w:rsidR="00104513" w:rsidRPr="005D6403" w:rsidRDefault="00104513" w:rsidP="00A03A09">
            <w:pPr>
              <w:pStyle w:val="TableText"/>
              <w:jc w:val="center"/>
            </w:pPr>
            <w:r w:rsidRPr="00075AC5">
              <w:t>$4,757</w:t>
            </w:r>
          </w:p>
        </w:tc>
      </w:tr>
    </w:tbl>
    <w:p w14:paraId="2B460922" w14:textId="77777777" w:rsidR="00104513" w:rsidRPr="00E6458E" w:rsidDel="00E83BFB" w:rsidRDefault="00104513" w:rsidP="00104513">
      <w:pPr>
        <w:pStyle w:val="Notes-TableFigure"/>
        <w:rPr>
          <w:b/>
          <w:bCs/>
          <w:u w:val="single"/>
        </w:rPr>
      </w:pPr>
      <w:r w:rsidRPr="00E6458E">
        <w:rPr>
          <w:b/>
          <w:bCs/>
          <w:u w:val="single"/>
        </w:rPr>
        <w:t>Abbreviations</w:t>
      </w:r>
    </w:p>
    <w:p w14:paraId="38D9377A" w14:textId="77777777" w:rsidR="00104513" w:rsidRDefault="00104513" w:rsidP="00104513">
      <w:pPr>
        <w:pStyle w:val="Notes-TableFigure"/>
      </w:pPr>
      <w:r>
        <w:t xml:space="preserve">ACR = </w:t>
      </w:r>
      <w:r w:rsidRPr="0082702A">
        <w:t>albumin creatinine ratio</w:t>
      </w:r>
      <w:r>
        <w:t>; BMI = body mass index; CKD = chronic kidney disease; DBP =</w:t>
      </w:r>
      <w:r w:rsidRPr="000958E0">
        <w:t xml:space="preserve"> diastolic blood pressure</w:t>
      </w:r>
      <w:r>
        <w:t xml:space="preserve">; eGFR = </w:t>
      </w:r>
      <w:r w:rsidRPr="00D34779">
        <w:t>estimated Glomerular Filtration Rate</w:t>
      </w:r>
      <w:r>
        <w:t xml:space="preserve">; HbA1c = </w:t>
      </w:r>
      <w:r w:rsidRPr="001B6C83">
        <w:t>glycosylated haemoglobin</w:t>
      </w:r>
      <w:r>
        <w:t xml:space="preserve">; HDL = </w:t>
      </w:r>
      <w:r w:rsidRPr="00084AAC">
        <w:t>high-density lipoprotein</w:t>
      </w:r>
      <w:r>
        <w:t xml:space="preserve">; GFR (MDRD) = </w:t>
      </w:r>
      <w:r w:rsidRPr="008B4BEE">
        <w:t>glomerular filtration rate</w:t>
      </w:r>
      <w:r>
        <w:t xml:space="preserve"> (modification of diet in renal disease); </w:t>
      </w:r>
      <w:r w:rsidRPr="009B473A">
        <w:t>ICER = incremental cost-effectiveness ratio</w:t>
      </w:r>
      <w:r>
        <w:t>,</w:t>
      </w:r>
      <w:r w:rsidRPr="009B473A">
        <w:t xml:space="preserve"> QALY = quality</w:t>
      </w:r>
      <w:r>
        <w:t>-</w:t>
      </w:r>
      <w:r w:rsidRPr="009B473A">
        <w:t>adjusted life year</w:t>
      </w:r>
      <w:r>
        <w:t xml:space="preserve">; SBP = </w:t>
      </w:r>
      <w:r w:rsidRPr="008F0C49">
        <w:t>systolic blood pressure</w:t>
      </w:r>
      <w:r>
        <w:t xml:space="preserve">; uACR = urinary </w:t>
      </w:r>
      <w:r w:rsidRPr="0082702A">
        <w:t>albumin creatinine ratio</w:t>
      </w:r>
      <w:r w:rsidRPr="009B473A">
        <w:t xml:space="preserve">. </w:t>
      </w:r>
    </w:p>
    <w:p w14:paraId="003202FA" w14:textId="77777777" w:rsidR="00104513" w:rsidRPr="00E6458E" w:rsidRDefault="00104513" w:rsidP="00104513">
      <w:pPr>
        <w:pStyle w:val="Notes-TableFigure"/>
        <w:rPr>
          <w:b/>
          <w:bCs/>
          <w:u w:val="single"/>
        </w:rPr>
      </w:pPr>
      <w:r w:rsidRPr="00E6458E">
        <w:rPr>
          <w:b/>
          <w:bCs/>
          <w:u w:val="single"/>
        </w:rPr>
        <w:t>Source</w:t>
      </w:r>
    </w:p>
    <w:p w14:paraId="19A8DCBB" w14:textId="77777777" w:rsidR="00104513" w:rsidRDefault="00104513" w:rsidP="00104513">
      <w:pPr>
        <w:pStyle w:val="Notes-TableFigure"/>
      </w:pPr>
      <w:r>
        <w:t>Submission, Table 61, p. 106.</w:t>
      </w:r>
    </w:p>
    <w:p w14:paraId="7E28B657" w14:textId="5978B642" w:rsidR="00104513" w:rsidRPr="006F7C8A" w:rsidRDefault="00104513" w:rsidP="00104513">
      <w:pPr>
        <w:pStyle w:val="Rosscomments"/>
        <w:rPr>
          <w:i w:val="0"/>
          <w:iCs w:val="0"/>
          <w:color w:val="auto"/>
        </w:rPr>
      </w:pPr>
      <w:r>
        <w:rPr>
          <w:rFonts w:cstheme="minorHAnsi"/>
          <w:i w:val="0"/>
          <w:iCs w:val="0"/>
          <w:color w:val="auto"/>
        </w:rPr>
        <w:lastRenderedPageBreak/>
        <w:t xml:space="preserve">A number of additional sensitivity analyses were conducted as part of the commentary. The inclusion of a hypertension threshold of 140/90 aligned with the Nelson study had an impact on the estimated </w:t>
      </w:r>
      <w:r w:rsidRPr="006F7C8A">
        <w:rPr>
          <w:rFonts w:cstheme="minorHAnsi"/>
          <w:i w:val="0"/>
          <w:iCs w:val="0"/>
          <w:color w:val="auto"/>
        </w:rPr>
        <w:t>ICER (</w:t>
      </w:r>
      <w:r w:rsidR="004B6555" w:rsidRPr="00680118">
        <w:rPr>
          <w:b/>
          <w:bCs/>
          <w:i w:val="0"/>
          <w:iCs w:val="0"/>
          <w:color w:val="000000"/>
          <w:w w:val="61"/>
          <w:shd w:val="solid" w:color="000000" w:fill="000000"/>
          <w:fitText w:val="880" w:id="-1286896640"/>
          <w14:textFill>
            <w14:solidFill>
              <w14:srgbClr w14:val="000000">
                <w14:alpha w14:val="100000"/>
              </w14:srgbClr>
            </w14:solidFill>
          </w14:textFill>
        </w:rPr>
        <w:t>|||||||||||</w:t>
      </w:r>
      <w:r w:rsidR="004B6555" w:rsidRPr="00680118">
        <w:rPr>
          <w:b/>
          <w:bCs/>
          <w:i w:val="0"/>
          <w:iCs w:val="0"/>
          <w:color w:val="000000"/>
          <w:spacing w:val="80"/>
          <w:w w:val="61"/>
          <w:shd w:val="solid" w:color="000000" w:fill="000000"/>
          <w:fitText w:val="880" w:id="-1286896640"/>
          <w14:textFill>
            <w14:solidFill>
              <w14:srgbClr w14:val="000000">
                <w14:alpha w14:val="100000"/>
              </w14:srgbClr>
            </w14:solidFill>
          </w14:textFill>
        </w:rPr>
        <w:t>|</w:t>
      </w:r>
      <w:r w:rsidRPr="006F7C8A">
        <w:rPr>
          <w:rFonts w:cstheme="minorHAnsi"/>
          <w:i w:val="0"/>
          <w:iCs w:val="0"/>
          <w:color w:val="auto"/>
        </w:rPr>
        <w:t>)</w:t>
      </w:r>
      <w:r w:rsidR="00D561B1" w:rsidRPr="006F7C8A">
        <w:rPr>
          <w:rFonts w:cstheme="minorHAnsi"/>
          <w:i w:val="0"/>
          <w:iCs w:val="0"/>
          <w:color w:val="auto"/>
        </w:rPr>
        <w:t xml:space="preserve"> (the current threshold for hypertension is </w:t>
      </w:r>
      <w:r w:rsidR="00D04AA5" w:rsidRPr="006F7C8A">
        <w:rPr>
          <w:rFonts w:cstheme="minorHAnsi"/>
          <w:i w:val="0"/>
          <w:iCs w:val="0"/>
          <w:color w:val="auto"/>
        </w:rPr>
        <w:t xml:space="preserve">actually </w:t>
      </w:r>
      <w:r w:rsidR="00D561B1" w:rsidRPr="006F7C8A">
        <w:rPr>
          <w:rFonts w:cstheme="minorHAnsi"/>
          <w:i w:val="0"/>
          <w:iCs w:val="0"/>
          <w:color w:val="auto"/>
        </w:rPr>
        <w:t>1</w:t>
      </w:r>
      <w:r w:rsidR="00C977DC" w:rsidRPr="006F7C8A">
        <w:rPr>
          <w:rFonts w:cstheme="minorHAnsi"/>
          <w:i w:val="0"/>
          <w:iCs w:val="0"/>
          <w:color w:val="auto"/>
        </w:rPr>
        <w:t>30</w:t>
      </w:r>
      <w:r w:rsidR="00D561B1" w:rsidRPr="006F7C8A">
        <w:rPr>
          <w:rFonts w:cstheme="minorHAnsi"/>
          <w:i w:val="0"/>
          <w:iCs w:val="0"/>
          <w:color w:val="auto"/>
        </w:rPr>
        <w:t>/80).</w:t>
      </w:r>
      <w:r w:rsidRPr="006F7C8A">
        <w:rPr>
          <w:rFonts w:cstheme="minorHAnsi"/>
          <w:i w:val="0"/>
          <w:iCs w:val="0"/>
          <w:color w:val="auto"/>
        </w:rPr>
        <w:t xml:space="preserve"> It was not clear how SGLT2 eligibility (HbA1c&gt;7%) was included in the model. Omission of SGLT2 inhibitors effects increased the ICER (</w:t>
      </w:r>
      <w:r w:rsidR="004B6555" w:rsidRPr="009E577F">
        <w:rPr>
          <w:b/>
          <w:bCs/>
          <w:i w:val="0"/>
          <w:iCs w:val="0"/>
          <w:color w:val="000000"/>
          <w:spacing w:val="7"/>
          <w:w w:val="60"/>
          <w:shd w:val="solid" w:color="000000" w:fill="000000"/>
          <w:fitText w:val="872" w:id="-1286896639"/>
          <w14:textFill>
            <w14:solidFill>
              <w14:srgbClr w14:val="000000">
                <w14:alpha w14:val="100000"/>
              </w14:srgbClr>
            </w14:solidFill>
          </w14:textFill>
        </w:rPr>
        <w:t>|||||||||||</w:t>
      </w:r>
      <w:r w:rsidR="004B6555" w:rsidRPr="009E577F">
        <w:rPr>
          <w:b/>
          <w:bCs/>
          <w:i w:val="0"/>
          <w:iCs w:val="0"/>
          <w:color w:val="000000"/>
          <w:spacing w:val="4"/>
          <w:w w:val="60"/>
          <w:shd w:val="solid" w:color="000000" w:fill="000000"/>
          <w:fitText w:val="872" w:id="-1286896639"/>
          <w14:textFill>
            <w14:solidFill>
              <w14:srgbClr w14:val="000000">
                <w14:alpha w14:val="100000"/>
              </w14:srgbClr>
            </w14:solidFill>
          </w14:textFill>
        </w:rPr>
        <w:t>|</w:t>
      </w:r>
      <w:r w:rsidR="006F7C8A">
        <w:rPr>
          <w:b/>
          <w:bCs/>
          <w:i w:val="0"/>
          <w:iCs w:val="0"/>
          <w:color w:val="auto"/>
        </w:rPr>
        <w:t>)</w:t>
      </w:r>
      <w:r w:rsidRPr="006F7C8A">
        <w:rPr>
          <w:rFonts w:cstheme="minorHAnsi"/>
          <w:i w:val="0"/>
          <w:iCs w:val="0"/>
          <w:color w:val="auto"/>
        </w:rPr>
        <w:t>.</w:t>
      </w:r>
    </w:p>
    <w:p w14:paraId="7AE82FF4" w14:textId="1CD307EA" w:rsidR="00104513" w:rsidRDefault="00104513" w:rsidP="00104513">
      <w:pPr>
        <w:pStyle w:val="Caption"/>
      </w:pPr>
      <w:r w:rsidRPr="00D150CE">
        <w:t xml:space="preserve">Table </w:t>
      </w:r>
      <w:r w:rsidR="00453E31">
        <w:t>10</w:t>
      </w:r>
      <w:r w:rsidRPr="00D150CE">
        <w:tab/>
      </w:r>
      <w:r>
        <w:t>Commentary s</w:t>
      </w:r>
      <w:r w:rsidRPr="00D150CE">
        <w:t>ensitivity analyses</w:t>
      </w:r>
      <w:r>
        <w:t xml:space="preserve"> </w:t>
      </w:r>
    </w:p>
    <w:tbl>
      <w:tblPr>
        <w:tblStyle w:val="TableGrid1"/>
        <w:tblW w:w="5000" w:type="pct"/>
        <w:tblLook w:val="04A0" w:firstRow="1" w:lastRow="0" w:firstColumn="1" w:lastColumn="0" w:noHBand="0" w:noVBand="1"/>
      </w:tblPr>
      <w:tblGrid>
        <w:gridCol w:w="4248"/>
        <w:gridCol w:w="4768"/>
      </w:tblGrid>
      <w:tr w:rsidR="00F522E5" w:rsidRPr="005D6403" w14:paraId="6FF2B0ED" w14:textId="77777777" w:rsidTr="009C1643">
        <w:trPr>
          <w:cnfStyle w:val="100000000000" w:firstRow="1" w:lastRow="0" w:firstColumn="0" w:lastColumn="0" w:oddVBand="0" w:evenVBand="0" w:oddHBand="0" w:evenHBand="0" w:firstRowFirstColumn="0" w:firstRowLastColumn="0" w:lastRowFirstColumn="0" w:lastRowLastColumn="0"/>
          <w:trHeight w:val="56"/>
        </w:trPr>
        <w:tc>
          <w:tcPr>
            <w:tcW w:w="2356" w:type="pct"/>
          </w:tcPr>
          <w:p w14:paraId="38849BE7" w14:textId="77777777" w:rsidR="00F522E5" w:rsidRPr="005D6403" w:rsidRDefault="00F522E5" w:rsidP="00F522E5">
            <w:pPr>
              <w:pStyle w:val="TableText"/>
            </w:pPr>
            <w:r>
              <w:t>Hypertension definition (140/90)</w:t>
            </w:r>
          </w:p>
        </w:tc>
        <w:tc>
          <w:tcPr>
            <w:tcW w:w="2644" w:type="pct"/>
            <w:tcBorders>
              <w:bottom w:val="single" w:sz="4" w:space="0" w:color="auto"/>
            </w:tcBorders>
            <w:shd w:val="solid" w:color="000000" w:fill="000000"/>
          </w:tcPr>
          <w:p w14:paraId="525DB4EC" w14:textId="46A504E4" w:rsidR="00F522E5" w:rsidRPr="005D6403" w:rsidRDefault="009C1643" w:rsidP="00F522E5">
            <w:pPr>
              <w:pStyle w:val="TableText"/>
              <w:jc w:val="center"/>
            </w:pPr>
            <w:r w:rsidRPr="009C1643">
              <w:rPr>
                <w:b/>
                <w:bCs/>
                <w:color w:val="000000"/>
                <w14:textFill>
                  <w14:solidFill>
                    <w14:srgbClr w14:val="000000">
                      <w14:alpha w14:val="100000"/>
                    </w14:srgbClr>
                  </w14:solidFill>
                </w14:textFill>
              </w:rPr>
              <w:t>|</w:t>
            </w:r>
          </w:p>
        </w:tc>
      </w:tr>
      <w:tr w:rsidR="00F522E5" w:rsidRPr="005D6403" w14:paraId="59964721" w14:textId="77777777" w:rsidTr="009C1643">
        <w:trPr>
          <w:trHeight w:val="56"/>
        </w:trPr>
        <w:tc>
          <w:tcPr>
            <w:tcW w:w="2356" w:type="pct"/>
          </w:tcPr>
          <w:p w14:paraId="4C7A6337" w14:textId="77777777" w:rsidR="00F522E5" w:rsidRDefault="00F522E5" w:rsidP="00F522E5">
            <w:pPr>
              <w:pStyle w:val="TableText"/>
            </w:pPr>
            <w:r w:rsidRPr="005D6403">
              <w:t xml:space="preserve">CKD Stage 4 </w:t>
            </w:r>
            <w:r>
              <w:t>u</w:t>
            </w:r>
            <w:r w:rsidRPr="005D6403">
              <w:t>tility</w:t>
            </w:r>
            <w:r>
              <w:t xml:space="preserve"> (0.55)</w:t>
            </w:r>
          </w:p>
        </w:tc>
        <w:tc>
          <w:tcPr>
            <w:tcW w:w="2644" w:type="pct"/>
            <w:tcBorders>
              <w:bottom w:val="single" w:sz="4" w:space="0" w:color="auto"/>
            </w:tcBorders>
            <w:shd w:val="solid" w:color="000000" w:fill="000000"/>
          </w:tcPr>
          <w:p w14:paraId="0E3D1D36" w14:textId="3F0C7949" w:rsidR="00F522E5" w:rsidRDefault="009C1643" w:rsidP="00F522E5">
            <w:pPr>
              <w:pStyle w:val="TableText"/>
              <w:jc w:val="center"/>
            </w:pPr>
            <w:r w:rsidRPr="009C1643">
              <w:rPr>
                <w:b/>
                <w:bCs/>
                <w:color w:val="000000"/>
                <w14:textFill>
                  <w14:solidFill>
                    <w14:srgbClr w14:val="000000">
                      <w14:alpha w14:val="100000"/>
                    </w14:srgbClr>
                  </w14:solidFill>
                </w14:textFill>
              </w:rPr>
              <w:t>|</w:t>
            </w:r>
          </w:p>
        </w:tc>
      </w:tr>
      <w:tr w:rsidR="00F522E5" w:rsidRPr="005D6403" w14:paraId="3D056CFE" w14:textId="77777777" w:rsidTr="009C1643">
        <w:trPr>
          <w:trHeight w:val="56"/>
        </w:trPr>
        <w:tc>
          <w:tcPr>
            <w:tcW w:w="2356" w:type="pct"/>
          </w:tcPr>
          <w:p w14:paraId="7533A4C3" w14:textId="77777777" w:rsidR="00F522E5" w:rsidRDefault="00F522E5" w:rsidP="00F522E5">
            <w:pPr>
              <w:pStyle w:val="TableText"/>
            </w:pPr>
            <w:r w:rsidRPr="005D6403">
              <w:t xml:space="preserve">CKD Stage </w:t>
            </w:r>
            <w:r>
              <w:t>5</w:t>
            </w:r>
            <w:r w:rsidRPr="005D6403">
              <w:t xml:space="preserve"> </w:t>
            </w:r>
            <w:r>
              <w:t>u</w:t>
            </w:r>
            <w:r w:rsidRPr="005D6403">
              <w:t>tility</w:t>
            </w:r>
            <w:r>
              <w:t xml:space="preserve"> (0.54)</w:t>
            </w:r>
          </w:p>
        </w:tc>
        <w:tc>
          <w:tcPr>
            <w:tcW w:w="2644" w:type="pct"/>
            <w:tcBorders>
              <w:bottom w:val="single" w:sz="4" w:space="0" w:color="auto"/>
            </w:tcBorders>
            <w:shd w:val="solid" w:color="000000" w:fill="000000"/>
          </w:tcPr>
          <w:p w14:paraId="5944BCA2" w14:textId="272A335C" w:rsidR="00F522E5" w:rsidRDefault="009C1643" w:rsidP="00F522E5">
            <w:pPr>
              <w:pStyle w:val="TableText"/>
              <w:jc w:val="center"/>
            </w:pPr>
            <w:r w:rsidRPr="009C1643">
              <w:rPr>
                <w:b/>
                <w:bCs/>
                <w:color w:val="000000"/>
                <w14:textFill>
                  <w14:solidFill>
                    <w14:srgbClr w14:val="000000">
                      <w14:alpha w14:val="100000"/>
                    </w14:srgbClr>
                  </w14:solidFill>
                </w14:textFill>
              </w:rPr>
              <w:t>|</w:t>
            </w:r>
          </w:p>
        </w:tc>
      </w:tr>
      <w:tr w:rsidR="00F522E5" w:rsidRPr="005D6403" w14:paraId="3346E3DF" w14:textId="77777777" w:rsidTr="009C1643">
        <w:trPr>
          <w:trHeight w:val="56"/>
        </w:trPr>
        <w:tc>
          <w:tcPr>
            <w:tcW w:w="2356" w:type="pct"/>
          </w:tcPr>
          <w:p w14:paraId="14331375" w14:textId="77777777" w:rsidR="00F522E5" w:rsidRDefault="00F522E5" w:rsidP="00F522E5">
            <w:pPr>
              <w:pStyle w:val="TableText"/>
            </w:pPr>
            <w:r>
              <w:t>Haemod</w:t>
            </w:r>
            <w:r w:rsidRPr="005D6403">
              <w:t xml:space="preserve">ialysis </w:t>
            </w:r>
            <w:r>
              <w:t>u</w:t>
            </w:r>
            <w:r w:rsidRPr="005D6403">
              <w:t>tility</w:t>
            </w:r>
            <w:r>
              <w:t xml:space="preserve"> (0.44)</w:t>
            </w:r>
          </w:p>
        </w:tc>
        <w:tc>
          <w:tcPr>
            <w:tcW w:w="2644" w:type="pct"/>
            <w:tcBorders>
              <w:bottom w:val="single" w:sz="4" w:space="0" w:color="auto"/>
            </w:tcBorders>
            <w:shd w:val="solid" w:color="000000" w:fill="000000"/>
          </w:tcPr>
          <w:p w14:paraId="067E386A" w14:textId="074738E1" w:rsidR="00F522E5" w:rsidRDefault="009C1643" w:rsidP="00F522E5">
            <w:pPr>
              <w:pStyle w:val="TableText"/>
              <w:jc w:val="center"/>
            </w:pPr>
            <w:r w:rsidRPr="009C1643">
              <w:rPr>
                <w:b/>
                <w:bCs/>
                <w:color w:val="000000"/>
                <w14:textFill>
                  <w14:solidFill>
                    <w14:srgbClr w14:val="000000">
                      <w14:alpha w14:val="100000"/>
                    </w14:srgbClr>
                  </w14:solidFill>
                </w14:textFill>
              </w:rPr>
              <w:t>|</w:t>
            </w:r>
          </w:p>
        </w:tc>
      </w:tr>
      <w:tr w:rsidR="00F522E5" w:rsidRPr="005D6403" w14:paraId="79F27625" w14:textId="77777777" w:rsidTr="009C1643">
        <w:trPr>
          <w:trHeight w:val="56"/>
        </w:trPr>
        <w:tc>
          <w:tcPr>
            <w:tcW w:w="2356" w:type="pct"/>
          </w:tcPr>
          <w:p w14:paraId="41A09FAE" w14:textId="66E3545B" w:rsidR="00F522E5" w:rsidRDefault="00F522E5" w:rsidP="00F522E5">
            <w:pPr>
              <w:pStyle w:val="TableText"/>
            </w:pPr>
            <w:r w:rsidRPr="005D6403">
              <w:t>Post-</w:t>
            </w:r>
            <w:r>
              <w:t>t</w:t>
            </w:r>
            <w:r w:rsidRPr="005D6403">
              <w:t xml:space="preserve">ransplant CKD Stage 3a </w:t>
            </w:r>
            <w:r>
              <w:t>u</w:t>
            </w:r>
            <w:r w:rsidRPr="005D6403">
              <w:t>tility</w:t>
            </w:r>
            <w:r>
              <w:t xml:space="preserve"> (0.75)</w:t>
            </w:r>
          </w:p>
        </w:tc>
        <w:tc>
          <w:tcPr>
            <w:tcW w:w="2644" w:type="pct"/>
            <w:tcBorders>
              <w:bottom w:val="single" w:sz="4" w:space="0" w:color="auto"/>
            </w:tcBorders>
            <w:shd w:val="solid" w:color="000000" w:fill="000000"/>
          </w:tcPr>
          <w:p w14:paraId="4A1A9C7E" w14:textId="62E8FC76" w:rsidR="00F522E5" w:rsidRDefault="009C1643" w:rsidP="00F522E5">
            <w:pPr>
              <w:pStyle w:val="TableText"/>
              <w:jc w:val="center"/>
            </w:pPr>
            <w:r w:rsidRPr="009C1643">
              <w:rPr>
                <w:b/>
                <w:bCs/>
                <w:color w:val="000000"/>
                <w14:textFill>
                  <w14:solidFill>
                    <w14:srgbClr w14:val="000000">
                      <w14:alpha w14:val="100000"/>
                    </w14:srgbClr>
                  </w14:solidFill>
                </w14:textFill>
              </w:rPr>
              <w:t>|</w:t>
            </w:r>
          </w:p>
        </w:tc>
      </w:tr>
      <w:tr w:rsidR="00F522E5" w:rsidRPr="005D6403" w14:paraId="5B17B100" w14:textId="77777777" w:rsidTr="009C1643">
        <w:trPr>
          <w:trHeight w:val="56"/>
        </w:trPr>
        <w:tc>
          <w:tcPr>
            <w:tcW w:w="2356" w:type="pct"/>
          </w:tcPr>
          <w:p w14:paraId="65AB6A9E" w14:textId="77777777" w:rsidR="00F522E5" w:rsidRPr="005D6403" w:rsidRDefault="00F522E5" w:rsidP="00F522E5">
            <w:pPr>
              <w:pStyle w:val="TableText"/>
            </w:pPr>
            <w:r w:rsidRPr="005D6403">
              <w:t>Post-</w:t>
            </w:r>
            <w:r>
              <w:t>t</w:t>
            </w:r>
            <w:r w:rsidRPr="005D6403">
              <w:t xml:space="preserve">ransplant CKD Stage </w:t>
            </w:r>
            <w:r>
              <w:t>5</w:t>
            </w:r>
            <w:r w:rsidRPr="005D6403">
              <w:t xml:space="preserve"> </w:t>
            </w:r>
            <w:r>
              <w:t>u</w:t>
            </w:r>
            <w:r w:rsidRPr="005D6403">
              <w:t>tility</w:t>
            </w:r>
            <w:r>
              <w:t xml:space="preserve"> (0.67)</w:t>
            </w:r>
          </w:p>
        </w:tc>
        <w:tc>
          <w:tcPr>
            <w:tcW w:w="2644" w:type="pct"/>
            <w:tcBorders>
              <w:bottom w:val="single" w:sz="4" w:space="0" w:color="auto"/>
            </w:tcBorders>
            <w:shd w:val="solid" w:color="000000" w:fill="000000"/>
          </w:tcPr>
          <w:p w14:paraId="7C260EEE" w14:textId="212B82FB" w:rsidR="00F522E5" w:rsidRDefault="009C1643" w:rsidP="00F522E5">
            <w:pPr>
              <w:pStyle w:val="TableText"/>
              <w:jc w:val="center"/>
            </w:pPr>
            <w:r w:rsidRPr="009C1643">
              <w:rPr>
                <w:b/>
                <w:bCs/>
                <w:color w:val="000000"/>
                <w14:textFill>
                  <w14:solidFill>
                    <w14:srgbClr w14:val="000000">
                      <w14:alpha w14:val="100000"/>
                    </w14:srgbClr>
                  </w14:solidFill>
                </w14:textFill>
              </w:rPr>
              <w:t>|</w:t>
            </w:r>
          </w:p>
        </w:tc>
      </w:tr>
      <w:tr w:rsidR="00F522E5" w:rsidRPr="005D6403" w14:paraId="1B862853" w14:textId="77777777" w:rsidTr="009C1643">
        <w:trPr>
          <w:trHeight w:val="56"/>
        </w:trPr>
        <w:tc>
          <w:tcPr>
            <w:tcW w:w="2356" w:type="pct"/>
          </w:tcPr>
          <w:p w14:paraId="36EE469C" w14:textId="77777777" w:rsidR="00F522E5" w:rsidRPr="005D6403" w:rsidRDefault="00F522E5" w:rsidP="00F522E5">
            <w:pPr>
              <w:pStyle w:val="TableText"/>
            </w:pPr>
            <w:r>
              <w:t xml:space="preserve">No </w:t>
            </w:r>
            <w:r w:rsidRPr="0009640A">
              <w:t>SGLT2 inhibitors</w:t>
            </w:r>
            <w:r>
              <w:t xml:space="preserve"> effect</w:t>
            </w:r>
          </w:p>
        </w:tc>
        <w:tc>
          <w:tcPr>
            <w:tcW w:w="2644" w:type="pct"/>
            <w:tcBorders>
              <w:bottom w:val="single" w:sz="4" w:space="0" w:color="auto"/>
            </w:tcBorders>
            <w:shd w:val="solid" w:color="000000" w:fill="000000"/>
          </w:tcPr>
          <w:p w14:paraId="6E17A0F1" w14:textId="21AC8F43" w:rsidR="00F522E5" w:rsidRPr="005D6403" w:rsidRDefault="009C1643" w:rsidP="00F522E5">
            <w:pPr>
              <w:pStyle w:val="TableText"/>
              <w:jc w:val="center"/>
            </w:pPr>
            <w:r w:rsidRPr="009C1643">
              <w:rPr>
                <w:b/>
                <w:bCs/>
                <w:color w:val="000000"/>
                <w14:textFill>
                  <w14:solidFill>
                    <w14:srgbClr w14:val="000000">
                      <w14:alpha w14:val="100000"/>
                    </w14:srgbClr>
                  </w14:solidFill>
                </w14:textFill>
              </w:rPr>
              <w:t>|</w:t>
            </w:r>
          </w:p>
        </w:tc>
      </w:tr>
      <w:tr w:rsidR="00F522E5" w14:paraId="71230844" w14:textId="77777777" w:rsidTr="009C1643">
        <w:trPr>
          <w:trHeight w:val="56"/>
        </w:trPr>
        <w:tc>
          <w:tcPr>
            <w:tcW w:w="2356" w:type="pct"/>
          </w:tcPr>
          <w:p w14:paraId="04C5CBDA" w14:textId="77777777" w:rsidR="00F522E5" w:rsidRDefault="00F522E5" w:rsidP="00F522E5">
            <w:pPr>
              <w:pStyle w:val="TableText"/>
            </w:pPr>
            <w:r>
              <w:t xml:space="preserve">No </w:t>
            </w:r>
            <w:r w:rsidRPr="0009640A">
              <w:t>ACE inhibitors</w:t>
            </w:r>
            <w:r>
              <w:t xml:space="preserve"> effect</w:t>
            </w:r>
          </w:p>
        </w:tc>
        <w:tc>
          <w:tcPr>
            <w:tcW w:w="2644" w:type="pct"/>
            <w:tcBorders>
              <w:bottom w:val="single" w:sz="4" w:space="0" w:color="auto"/>
            </w:tcBorders>
            <w:shd w:val="solid" w:color="000000" w:fill="000000"/>
          </w:tcPr>
          <w:p w14:paraId="332A198D" w14:textId="529DDE68" w:rsidR="00F522E5" w:rsidRDefault="009C1643" w:rsidP="00F522E5">
            <w:pPr>
              <w:pStyle w:val="TableText"/>
              <w:jc w:val="center"/>
            </w:pPr>
            <w:r w:rsidRPr="009C1643">
              <w:rPr>
                <w:b/>
                <w:bCs/>
                <w:color w:val="000000"/>
                <w14:textFill>
                  <w14:solidFill>
                    <w14:srgbClr w14:val="000000">
                      <w14:alpha w14:val="100000"/>
                    </w14:srgbClr>
                  </w14:solidFill>
                </w14:textFill>
              </w:rPr>
              <w:t>|</w:t>
            </w:r>
          </w:p>
        </w:tc>
      </w:tr>
      <w:tr w:rsidR="00F522E5" w14:paraId="169E3692" w14:textId="77777777" w:rsidTr="009C1643">
        <w:trPr>
          <w:trHeight w:val="56"/>
        </w:trPr>
        <w:tc>
          <w:tcPr>
            <w:tcW w:w="2356" w:type="pct"/>
          </w:tcPr>
          <w:p w14:paraId="680114EF" w14:textId="77777777" w:rsidR="00F522E5" w:rsidRDefault="00F522E5" w:rsidP="00F522E5">
            <w:pPr>
              <w:pStyle w:val="TableText"/>
            </w:pPr>
            <w:r>
              <w:t xml:space="preserve">No </w:t>
            </w:r>
            <w:r w:rsidRPr="0009640A">
              <w:t>ARBs</w:t>
            </w:r>
            <w:r>
              <w:t xml:space="preserve"> effect</w:t>
            </w:r>
          </w:p>
        </w:tc>
        <w:tc>
          <w:tcPr>
            <w:tcW w:w="2644" w:type="pct"/>
            <w:tcBorders>
              <w:bottom w:val="single" w:sz="4" w:space="0" w:color="auto"/>
            </w:tcBorders>
            <w:shd w:val="solid" w:color="000000" w:fill="000000"/>
          </w:tcPr>
          <w:p w14:paraId="0C8CF4F6" w14:textId="1BC0EA94" w:rsidR="00F522E5" w:rsidRDefault="009C1643" w:rsidP="00F522E5">
            <w:pPr>
              <w:pStyle w:val="TableText"/>
              <w:jc w:val="center"/>
            </w:pPr>
            <w:r w:rsidRPr="009C1643">
              <w:rPr>
                <w:b/>
                <w:bCs/>
                <w:color w:val="000000"/>
                <w14:textFill>
                  <w14:solidFill>
                    <w14:srgbClr w14:val="000000">
                      <w14:alpha w14:val="100000"/>
                    </w14:srgbClr>
                  </w14:solidFill>
                </w14:textFill>
              </w:rPr>
              <w:t>|</w:t>
            </w:r>
          </w:p>
        </w:tc>
      </w:tr>
      <w:tr w:rsidR="00F522E5" w14:paraId="5A70387B" w14:textId="77777777" w:rsidTr="009C1643">
        <w:trPr>
          <w:trHeight w:val="56"/>
        </w:trPr>
        <w:tc>
          <w:tcPr>
            <w:tcW w:w="2356" w:type="pct"/>
          </w:tcPr>
          <w:p w14:paraId="4EA0312A" w14:textId="77777777" w:rsidR="00F522E5" w:rsidRDefault="00F522E5" w:rsidP="00F522E5">
            <w:pPr>
              <w:pStyle w:val="TableText"/>
            </w:pPr>
            <w:r>
              <w:t>No s</w:t>
            </w:r>
            <w:r w:rsidRPr="0009640A">
              <w:t>tatins</w:t>
            </w:r>
            <w:r>
              <w:t xml:space="preserve"> effect</w:t>
            </w:r>
          </w:p>
        </w:tc>
        <w:tc>
          <w:tcPr>
            <w:tcW w:w="2644" w:type="pct"/>
            <w:tcBorders>
              <w:bottom w:val="single" w:sz="4" w:space="0" w:color="auto"/>
            </w:tcBorders>
            <w:shd w:val="solid" w:color="000000" w:fill="000000"/>
          </w:tcPr>
          <w:p w14:paraId="728B05F3" w14:textId="187AFBD8" w:rsidR="00F522E5" w:rsidRDefault="009C1643" w:rsidP="00F522E5">
            <w:pPr>
              <w:pStyle w:val="TableText"/>
              <w:jc w:val="center"/>
            </w:pPr>
            <w:r w:rsidRPr="009C1643">
              <w:rPr>
                <w:b/>
                <w:bCs/>
                <w:color w:val="000000"/>
                <w14:textFill>
                  <w14:solidFill>
                    <w14:srgbClr w14:val="000000">
                      <w14:alpha w14:val="100000"/>
                    </w14:srgbClr>
                  </w14:solidFill>
                </w14:textFill>
              </w:rPr>
              <w:t>|</w:t>
            </w:r>
          </w:p>
        </w:tc>
      </w:tr>
      <w:tr w:rsidR="00F522E5" w14:paraId="7D915EC7" w14:textId="77777777" w:rsidTr="009C1643">
        <w:trPr>
          <w:trHeight w:val="56"/>
        </w:trPr>
        <w:tc>
          <w:tcPr>
            <w:tcW w:w="2356" w:type="pct"/>
          </w:tcPr>
          <w:p w14:paraId="1E33B49B" w14:textId="77777777" w:rsidR="00F522E5" w:rsidRDefault="00F522E5" w:rsidP="00F522E5">
            <w:pPr>
              <w:pStyle w:val="TableText"/>
            </w:pPr>
            <w:r>
              <w:t>No IHD impact on Nelson equation</w:t>
            </w:r>
          </w:p>
        </w:tc>
        <w:tc>
          <w:tcPr>
            <w:tcW w:w="2644" w:type="pct"/>
            <w:tcBorders>
              <w:bottom w:val="single" w:sz="4" w:space="0" w:color="auto"/>
            </w:tcBorders>
            <w:shd w:val="solid" w:color="000000" w:fill="000000"/>
          </w:tcPr>
          <w:p w14:paraId="40A463B1" w14:textId="58EBADEC" w:rsidR="00F522E5" w:rsidRDefault="009C1643" w:rsidP="00F522E5">
            <w:pPr>
              <w:pStyle w:val="TableText"/>
              <w:jc w:val="center"/>
            </w:pPr>
            <w:r w:rsidRPr="009C1643">
              <w:rPr>
                <w:b/>
                <w:bCs/>
                <w:color w:val="000000"/>
                <w14:textFill>
                  <w14:solidFill>
                    <w14:srgbClr w14:val="000000">
                      <w14:alpha w14:val="100000"/>
                    </w14:srgbClr>
                  </w14:solidFill>
                </w14:textFill>
              </w:rPr>
              <w:t>|</w:t>
            </w:r>
          </w:p>
        </w:tc>
      </w:tr>
      <w:tr w:rsidR="00F522E5" w14:paraId="292C03FD" w14:textId="77777777" w:rsidTr="009C1643">
        <w:trPr>
          <w:trHeight w:val="56"/>
        </w:trPr>
        <w:tc>
          <w:tcPr>
            <w:tcW w:w="2356" w:type="pct"/>
          </w:tcPr>
          <w:p w14:paraId="4CEE048F" w14:textId="77777777" w:rsidR="00F522E5" w:rsidRPr="005D6403" w:rsidRDefault="00F522E5" w:rsidP="00F522E5">
            <w:pPr>
              <w:pStyle w:val="TableText"/>
            </w:pPr>
            <w:r>
              <w:t>No CHF on Nelson equation</w:t>
            </w:r>
          </w:p>
        </w:tc>
        <w:tc>
          <w:tcPr>
            <w:tcW w:w="2644" w:type="pct"/>
            <w:shd w:val="solid" w:color="000000" w:fill="000000"/>
          </w:tcPr>
          <w:p w14:paraId="6231BCFC" w14:textId="5925D76E" w:rsidR="00F522E5" w:rsidRDefault="009C1643" w:rsidP="00F522E5">
            <w:pPr>
              <w:pStyle w:val="TableText"/>
              <w:jc w:val="center"/>
            </w:pPr>
            <w:r w:rsidRPr="009C1643">
              <w:rPr>
                <w:b/>
                <w:bCs/>
                <w:color w:val="000000"/>
                <w14:textFill>
                  <w14:solidFill>
                    <w14:srgbClr w14:val="000000">
                      <w14:alpha w14:val="100000"/>
                    </w14:srgbClr>
                  </w14:solidFill>
                </w14:textFill>
              </w:rPr>
              <w:t>|</w:t>
            </w:r>
          </w:p>
        </w:tc>
      </w:tr>
    </w:tbl>
    <w:p w14:paraId="18A1BEBB" w14:textId="77777777" w:rsidR="00104513" w:rsidRPr="00E6458E" w:rsidDel="007C2D37" w:rsidRDefault="00104513" w:rsidP="00104513">
      <w:pPr>
        <w:pStyle w:val="Notes-TableFigure"/>
        <w:rPr>
          <w:b/>
          <w:bCs/>
          <w:u w:val="single"/>
        </w:rPr>
      </w:pPr>
      <w:r w:rsidRPr="00E6458E">
        <w:rPr>
          <w:b/>
          <w:bCs/>
          <w:u w:val="single"/>
        </w:rPr>
        <w:t>Abreviations</w:t>
      </w:r>
    </w:p>
    <w:p w14:paraId="101EB9CB" w14:textId="77777777" w:rsidR="00104513" w:rsidRDefault="00104513" w:rsidP="00104513">
      <w:pPr>
        <w:pStyle w:val="Notes-TableFigure"/>
      </w:pPr>
      <w:r>
        <w:t>ACE = a</w:t>
      </w:r>
      <w:r w:rsidRPr="0097165F">
        <w:t>ngiotensin-converting enzyme</w:t>
      </w:r>
      <w:r>
        <w:t>, ARBs = a</w:t>
      </w:r>
      <w:r w:rsidRPr="005F4D02">
        <w:t>ngiotensin II receptor blockers</w:t>
      </w:r>
      <w:r>
        <w:t xml:space="preserve">, CHF = Congestive heart failure, CKD = chronic kidney disease, </w:t>
      </w:r>
      <w:r w:rsidRPr="009B473A">
        <w:t>ICER = incremental cost-effectiveness ratio</w:t>
      </w:r>
      <w:r>
        <w:t>,</w:t>
      </w:r>
      <w:r w:rsidRPr="009B473A">
        <w:t xml:space="preserve"> </w:t>
      </w:r>
      <w:r>
        <w:t xml:space="preserve">IHD = ischaemic heart disease, </w:t>
      </w:r>
      <w:r w:rsidRPr="009B473A">
        <w:t>QALY = quality</w:t>
      </w:r>
      <w:r>
        <w:t>-</w:t>
      </w:r>
      <w:r w:rsidRPr="009B473A">
        <w:t xml:space="preserve">adjusted life year. </w:t>
      </w:r>
    </w:p>
    <w:p w14:paraId="05CA5A85" w14:textId="77777777" w:rsidR="00104513" w:rsidRPr="00E6458E" w:rsidRDefault="00104513" w:rsidP="00104513">
      <w:pPr>
        <w:pStyle w:val="Notes-TableFigure"/>
        <w:rPr>
          <w:b/>
          <w:bCs/>
          <w:u w:val="single"/>
        </w:rPr>
      </w:pPr>
      <w:r w:rsidRPr="00E6458E">
        <w:rPr>
          <w:b/>
          <w:bCs/>
          <w:u w:val="single"/>
        </w:rPr>
        <w:t>Source</w:t>
      </w:r>
    </w:p>
    <w:p w14:paraId="64808171" w14:textId="2053CDF6" w:rsidR="00104513" w:rsidRPr="009B473A" w:rsidRDefault="00104513" w:rsidP="00104513">
      <w:pPr>
        <w:pStyle w:val="Notes-TableFigure"/>
      </w:pPr>
      <w:r>
        <w:t>Calculated as part of the commentary.</w:t>
      </w:r>
    </w:p>
    <w:p w14:paraId="30F2B9BF" w14:textId="2CD3DC6D" w:rsidR="00104513" w:rsidRPr="00637A3D" w:rsidRDefault="00104513" w:rsidP="00104513">
      <w:pPr>
        <w:rPr>
          <w:i/>
          <w:iCs/>
        </w:rPr>
      </w:pPr>
      <w:r w:rsidRPr="00637A3D">
        <w:t xml:space="preserve">Key </w:t>
      </w:r>
      <w:r>
        <w:t xml:space="preserve">uncertainties and </w:t>
      </w:r>
      <w:r w:rsidRPr="00637A3D">
        <w:t>drivers of the model are summarised in</w:t>
      </w:r>
      <w:r w:rsidR="00883923">
        <w:t xml:space="preserve"> Table 11</w:t>
      </w:r>
      <w:r w:rsidRPr="00637A3D">
        <w:t>.</w:t>
      </w:r>
    </w:p>
    <w:p w14:paraId="6ACCAB3A" w14:textId="56BC02A2" w:rsidR="00104513" w:rsidRPr="00AB6C30" w:rsidRDefault="00104513" w:rsidP="00104513">
      <w:pPr>
        <w:pStyle w:val="Caption"/>
      </w:pPr>
      <w:bookmarkStart w:id="39" w:name="_Ref110021481"/>
      <w:r>
        <w:t xml:space="preserve">Table </w:t>
      </w:r>
      <w:bookmarkEnd w:id="39"/>
      <w:r w:rsidR="00453E31">
        <w:t>11</w:t>
      </w:r>
      <w:r w:rsidRPr="00AB6C30">
        <w:tab/>
        <w:t xml:space="preserve">Key </w:t>
      </w:r>
      <w:r>
        <w:t xml:space="preserve">uncertainties and </w:t>
      </w:r>
      <w:r w:rsidRPr="00AB6C30">
        <w:t>drivers of the model</w:t>
      </w:r>
    </w:p>
    <w:tbl>
      <w:tblPr>
        <w:tblStyle w:val="TableGrid1"/>
        <w:tblW w:w="5000" w:type="pct"/>
        <w:tblLayout w:type="fixed"/>
        <w:tblLook w:val="04A0" w:firstRow="1" w:lastRow="0" w:firstColumn="1" w:lastColumn="0" w:noHBand="0" w:noVBand="1"/>
      </w:tblPr>
      <w:tblGrid>
        <w:gridCol w:w="1555"/>
        <w:gridCol w:w="5386"/>
        <w:gridCol w:w="2075"/>
      </w:tblGrid>
      <w:tr w:rsidR="00104513" w:rsidRPr="00AB6C30" w14:paraId="53330F12" w14:textId="77777777" w:rsidTr="002F6658">
        <w:trPr>
          <w:cnfStyle w:val="100000000000" w:firstRow="1" w:lastRow="0" w:firstColumn="0" w:lastColumn="0" w:oddVBand="0" w:evenVBand="0" w:oddHBand="0" w:evenHBand="0" w:firstRowFirstColumn="0" w:firstRowLastColumn="0" w:lastRowFirstColumn="0" w:lastRowLastColumn="0"/>
          <w:tblHeader/>
        </w:trPr>
        <w:tc>
          <w:tcPr>
            <w:tcW w:w="862" w:type="pct"/>
            <w:shd w:val="clear" w:color="auto" w:fill="auto"/>
            <w:vAlign w:val="center"/>
          </w:tcPr>
          <w:p w14:paraId="48D1BDEA" w14:textId="77777777" w:rsidR="00104513" w:rsidRPr="00AB6C30" w:rsidRDefault="00104513" w:rsidP="002F6658">
            <w:pPr>
              <w:pStyle w:val="In-tableHeading"/>
              <w:spacing w:after="40"/>
              <w:jc w:val="center"/>
            </w:pPr>
            <w:bookmarkStart w:id="40" w:name="Title_Table10" w:colFirst="0" w:colLast="0"/>
            <w:bookmarkStart w:id="41" w:name="_Hlk68276626"/>
            <w:r w:rsidRPr="00AB6C30">
              <w:t>Description</w:t>
            </w:r>
          </w:p>
        </w:tc>
        <w:tc>
          <w:tcPr>
            <w:tcW w:w="2987" w:type="pct"/>
            <w:shd w:val="clear" w:color="auto" w:fill="auto"/>
            <w:vAlign w:val="center"/>
          </w:tcPr>
          <w:p w14:paraId="316F9EF0" w14:textId="77777777" w:rsidR="00104513" w:rsidRPr="00AB6C30" w:rsidRDefault="00104513" w:rsidP="002F6658">
            <w:pPr>
              <w:pStyle w:val="In-tableHeading"/>
              <w:spacing w:after="40"/>
              <w:jc w:val="center"/>
            </w:pPr>
            <w:r w:rsidRPr="00AB6C30">
              <w:t>Method/</w:t>
            </w:r>
            <w:r>
              <w:t>v</w:t>
            </w:r>
            <w:r w:rsidRPr="00AB6C30">
              <w:t>alue</w:t>
            </w:r>
          </w:p>
        </w:tc>
        <w:tc>
          <w:tcPr>
            <w:tcW w:w="1151" w:type="pct"/>
            <w:shd w:val="clear" w:color="auto" w:fill="auto"/>
            <w:vAlign w:val="center"/>
          </w:tcPr>
          <w:p w14:paraId="22312A5E" w14:textId="3D3B6108" w:rsidR="00104513" w:rsidRPr="00AB6C30" w:rsidRDefault="00104513" w:rsidP="002F6658">
            <w:pPr>
              <w:pStyle w:val="In-tableHeading"/>
              <w:spacing w:after="40"/>
              <w:jc w:val="center"/>
            </w:pPr>
            <w:r w:rsidRPr="00AB6C30">
              <w:t xml:space="preserve">Impact </w:t>
            </w:r>
            <w:r w:rsidR="00927753">
              <w:t>as assessed by Commentary</w:t>
            </w:r>
          </w:p>
        </w:tc>
      </w:tr>
      <w:tr w:rsidR="00104513" w:rsidRPr="00AB6C30" w14:paraId="0B94DF73" w14:textId="77777777" w:rsidTr="002F6658">
        <w:tc>
          <w:tcPr>
            <w:tcW w:w="862" w:type="pct"/>
            <w:shd w:val="clear" w:color="auto" w:fill="auto"/>
          </w:tcPr>
          <w:p w14:paraId="68D604D8" w14:textId="05BDF42C" w:rsidR="00104513" w:rsidRPr="009D6AE4" w:rsidRDefault="00104513" w:rsidP="002F6658">
            <w:pPr>
              <w:pStyle w:val="TableText"/>
              <w:rPr>
                <w:lang w:val="en-US"/>
              </w:rPr>
            </w:pPr>
            <w:r>
              <w:rPr>
                <w:lang w:val="en-US"/>
              </w:rPr>
              <w:t>No explicit allowance was included for costs and utility impacts on false positive patients.</w:t>
            </w:r>
          </w:p>
        </w:tc>
        <w:tc>
          <w:tcPr>
            <w:tcW w:w="2987" w:type="pct"/>
            <w:shd w:val="clear" w:color="auto" w:fill="auto"/>
          </w:tcPr>
          <w:p w14:paraId="7584D477" w14:textId="634CDE00" w:rsidR="00104513" w:rsidRPr="00AB6C30" w:rsidRDefault="00104513" w:rsidP="002F6658">
            <w:pPr>
              <w:pStyle w:val="TableText"/>
              <w:rPr>
                <w:lang w:val="en-US"/>
              </w:rPr>
            </w:pPr>
            <w:r>
              <w:rPr>
                <w:lang w:val="en-US"/>
              </w:rPr>
              <w:t>The positive predictive value of PromarkerD is 54–68% (incident CKD using Peters 2020 placebo arm in CANVAS or lower using</w:t>
            </w:r>
            <w:r w:rsidRPr="005367D8">
              <w:rPr>
                <w:lang w:val="en-US"/>
              </w:rPr>
              <w:t xml:space="preserve"> FDS2 data</w:t>
            </w:r>
            <w:r>
              <w:rPr>
                <w:lang w:val="en-US"/>
              </w:rPr>
              <w:t>), so a substantial proportion of patients are false positive. The safety description in the Submission indicates ‘</w:t>
            </w:r>
            <w:r w:rsidRPr="00F80975">
              <w:rPr>
                <w:lang w:val="en-US"/>
              </w:rPr>
              <w:t>The risk of a false positive will be stricter management of diabetes, which will have minimal risks for the patient, and will likely benefit their overall diabetes health</w:t>
            </w:r>
            <w:r>
              <w:rPr>
                <w:lang w:val="en-US"/>
              </w:rPr>
              <w:t xml:space="preserve">’. Clinical feedback during the evaluation suggested this may not be the case. Prognostic inaccuracy of this nature may lead to </w:t>
            </w:r>
            <w:r w:rsidRPr="00E64996">
              <w:rPr>
                <w:lang w:val="en-US"/>
              </w:rPr>
              <w:t xml:space="preserve">unnecessary blood tests and venepuncture discomfort, patient anxiety </w:t>
            </w:r>
            <w:r>
              <w:rPr>
                <w:lang w:val="en-US"/>
              </w:rPr>
              <w:t>(</w:t>
            </w:r>
            <w:r w:rsidRPr="00E64996">
              <w:rPr>
                <w:lang w:val="en-US"/>
              </w:rPr>
              <w:t>which can be considerable</w:t>
            </w:r>
            <w:r>
              <w:rPr>
                <w:lang w:val="en-US"/>
              </w:rPr>
              <w:t>) and</w:t>
            </w:r>
            <w:r w:rsidRPr="00E64996">
              <w:rPr>
                <w:lang w:val="en-US"/>
              </w:rPr>
              <w:t xml:space="preserve"> cost of unnecessary tests and appointments on finite health budget.</w:t>
            </w:r>
            <w:r>
              <w:rPr>
                <w:lang w:val="en-US"/>
              </w:rPr>
              <w:t xml:space="preserve"> </w:t>
            </w:r>
            <w:r w:rsidRPr="00354312">
              <w:rPr>
                <w:lang w:val="en-US"/>
              </w:rPr>
              <w:t>The clinician suggested that, in some cases, more intrusive scans are likely to be done; if contrast or radiolabelled agents are given, this can also (rarely) cause harm.</w:t>
            </w:r>
            <w:r>
              <w:rPr>
                <w:lang w:val="en-US"/>
              </w:rPr>
              <w:t xml:space="preserve"> In addition, </w:t>
            </w:r>
            <w:r w:rsidRPr="00FA533C">
              <w:rPr>
                <w:lang w:val="en-US"/>
              </w:rPr>
              <w:t xml:space="preserve">if the patient is started on medication, there are the costs of the medication, along with the potential harm of exposing the patient to side effects of the medication </w:t>
            </w:r>
            <w:r>
              <w:rPr>
                <w:lang w:val="en-US"/>
              </w:rPr>
              <w:t>There is no discussion about possible unnecessary costs for patients who are false positive or allowance in the model for them to be quantified.</w:t>
            </w:r>
          </w:p>
        </w:tc>
        <w:tc>
          <w:tcPr>
            <w:tcW w:w="1151" w:type="pct"/>
            <w:shd w:val="clear" w:color="auto" w:fill="auto"/>
          </w:tcPr>
          <w:p w14:paraId="03D7DF0E" w14:textId="77777777" w:rsidR="00104513" w:rsidRDefault="00104513" w:rsidP="002F6658">
            <w:pPr>
              <w:pStyle w:val="TableText"/>
              <w:rPr>
                <w:lang w:val="en-US"/>
              </w:rPr>
            </w:pPr>
            <w:r>
              <w:rPr>
                <w:lang w:val="en-US"/>
              </w:rPr>
              <w:t>Possibly high, favours intervention. The disutility associated with adverse events and additional costs of unnecessary medicines are not captured in the model. Given the PPV of the intervention, these costs could be significant.</w:t>
            </w:r>
          </w:p>
        </w:tc>
      </w:tr>
      <w:tr w:rsidR="00104513" w:rsidRPr="00AB6C30" w14:paraId="2B870D7D" w14:textId="77777777" w:rsidTr="002F6658">
        <w:tc>
          <w:tcPr>
            <w:tcW w:w="862" w:type="pct"/>
            <w:shd w:val="clear" w:color="auto" w:fill="auto"/>
          </w:tcPr>
          <w:p w14:paraId="694CFD91" w14:textId="478F19A9" w:rsidR="00104513" w:rsidRDefault="00104513" w:rsidP="002F6658">
            <w:pPr>
              <w:pStyle w:val="TableText"/>
              <w:rPr>
                <w:lang w:val="en-US"/>
              </w:rPr>
            </w:pPr>
            <w:r>
              <w:rPr>
                <w:lang w:val="en-US"/>
              </w:rPr>
              <w:t xml:space="preserve">The incremental prognostic accuracy of </w:t>
            </w:r>
            <w:r>
              <w:rPr>
                <w:lang w:val="en-US"/>
              </w:rPr>
              <w:lastRenderedPageBreak/>
              <w:t>PromarkerD over the relevant comparator is not included in the mode</w:t>
            </w:r>
            <w:r w:rsidR="007805FE">
              <w:rPr>
                <w:lang w:val="en-US"/>
              </w:rPr>
              <w:t>l</w:t>
            </w:r>
          </w:p>
        </w:tc>
        <w:tc>
          <w:tcPr>
            <w:tcW w:w="2987" w:type="pct"/>
            <w:shd w:val="clear" w:color="auto" w:fill="auto"/>
          </w:tcPr>
          <w:p w14:paraId="49A885C2" w14:textId="31D45C0A" w:rsidR="00104513" w:rsidRPr="00AB6C30" w:rsidRDefault="00104513" w:rsidP="002F6658">
            <w:pPr>
              <w:pStyle w:val="TableText"/>
              <w:rPr>
                <w:lang w:val="en-US"/>
              </w:rPr>
            </w:pPr>
            <w:r>
              <w:rPr>
                <w:lang w:val="en-US"/>
              </w:rPr>
              <w:lastRenderedPageBreak/>
              <w:t xml:space="preserve">The model does not capture incremental prognostic accuracy of PromarkerD over the relevant comparator. </w:t>
            </w:r>
            <w:r w:rsidRPr="00EC7A60">
              <w:rPr>
                <w:lang w:val="en-US"/>
              </w:rPr>
              <w:t xml:space="preserve">The </w:t>
            </w:r>
            <w:r>
              <w:rPr>
                <w:lang w:val="en-US"/>
              </w:rPr>
              <w:t>S</w:t>
            </w:r>
            <w:r w:rsidRPr="00EC7A60">
              <w:rPr>
                <w:lang w:val="en-US"/>
              </w:rPr>
              <w:t xml:space="preserve">ubmission indicates there is no direct comparator as current standard of care diagnoses </w:t>
            </w:r>
            <w:r w:rsidRPr="00EC7A60">
              <w:rPr>
                <w:lang w:val="en-US"/>
              </w:rPr>
              <w:lastRenderedPageBreak/>
              <w:t xml:space="preserve">DKD after clinical symptoms appear rather than predicting risk of DKD. </w:t>
            </w:r>
            <w:r>
              <w:rPr>
                <w:lang w:val="en-US"/>
              </w:rPr>
              <w:t>Tests are available that quantify r</w:t>
            </w:r>
            <w:r w:rsidRPr="00EC7A60">
              <w:rPr>
                <w:lang w:val="en-US"/>
              </w:rPr>
              <w:t>isk factors</w:t>
            </w:r>
            <w:r>
              <w:rPr>
                <w:lang w:val="en-US"/>
              </w:rPr>
              <w:t xml:space="preserve">, along with a </w:t>
            </w:r>
            <w:r w:rsidRPr="00950F3A">
              <w:rPr>
                <w:rFonts w:cstheme="minorHAnsi"/>
              </w:rPr>
              <w:t>KDIGO</w:t>
            </w:r>
            <w:r>
              <w:rPr>
                <w:rFonts w:cstheme="minorHAnsi"/>
              </w:rPr>
              <w:t xml:space="preserve"> risk assessment framework</w:t>
            </w:r>
            <w:r>
              <w:rPr>
                <w:lang w:val="en-US"/>
              </w:rPr>
              <w:t xml:space="preserve">. KDIGO should be used as a comparator for the intervention. </w:t>
            </w:r>
          </w:p>
        </w:tc>
        <w:tc>
          <w:tcPr>
            <w:tcW w:w="1151" w:type="pct"/>
            <w:shd w:val="clear" w:color="auto" w:fill="auto"/>
          </w:tcPr>
          <w:p w14:paraId="61203466" w14:textId="77777777" w:rsidR="00104513" w:rsidRDefault="00104513" w:rsidP="002F6658">
            <w:pPr>
              <w:pStyle w:val="TableText"/>
              <w:rPr>
                <w:lang w:val="en-US"/>
              </w:rPr>
            </w:pPr>
            <w:r>
              <w:rPr>
                <w:lang w:val="en-US"/>
              </w:rPr>
              <w:lastRenderedPageBreak/>
              <w:t xml:space="preserve">Possibly high, favours intervention. The improved accuracy of </w:t>
            </w:r>
            <w:r>
              <w:rPr>
                <w:lang w:val="en-US"/>
              </w:rPr>
              <w:lastRenderedPageBreak/>
              <w:t xml:space="preserve">PromarkerD over </w:t>
            </w:r>
            <w:r w:rsidRPr="00950F3A">
              <w:rPr>
                <w:rFonts w:cstheme="minorHAnsi"/>
              </w:rPr>
              <w:t>KDIGO</w:t>
            </w:r>
            <w:r>
              <w:rPr>
                <w:lang w:val="en-US"/>
              </w:rPr>
              <w:t xml:space="preserve"> risk needs to be described and included in the model.</w:t>
            </w:r>
          </w:p>
        </w:tc>
      </w:tr>
      <w:tr w:rsidR="00104513" w:rsidRPr="00AB6C30" w14:paraId="0BC3FB00" w14:textId="77777777" w:rsidTr="002F6658">
        <w:tc>
          <w:tcPr>
            <w:tcW w:w="862" w:type="pct"/>
            <w:shd w:val="clear" w:color="auto" w:fill="auto"/>
          </w:tcPr>
          <w:p w14:paraId="771D457B" w14:textId="77777777" w:rsidR="00104513" w:rsidRPr="009D6AE4" w:rsidRDefault="00104513" w:rsidP="002F6658">
            <w:pPr>
              <w:pStyle w:val="TableText"/>
              <w:rPr>
                <w:lang w:val="en-US"/>
              </w:rPr>
            </w:pPr>
            <w:r>
              <w:rPr>
                <w:lang w:val="en-US"/>
              </w:rPr>
              <w:lastRenderedPageBreak/>
              <w:t>All patients are assumed to be prescribed and adhere to appropriate medicines.</w:t>
            </w:r>
          </w:p>
        </w:tc>
        <w:tc>
          <w:tcPr>
            <w:tcW w:w="2987" w:type="pct"/>
            <w:shd w:val="clear" w:color="auto" w:fill="auto"/>
          </w:tcPr>
          <w:p w14:paraId="38FF6E0E" w14:textId="77777777" w:rsidR="00104513" w:rsidRPr="00AB6C30" w:rsidRDefault="00104513" w:rsidP="002F6658">
            <w:pPr>
              <w:pStyle w:val="TableText"/>
              <w:rPr>
                <w:lang w:val="en-US"/>
              </w:rPr>
            </w:pPr>
            <w:r>
              <w:rPr>
                <w:lang w:val="en-US"/>
              </w:rPr>
              <w:t>The model assumes a proportion of doctors would start or increase treatment based on PromarkerD risk outcomes. This proportion of patients are assumed to be prescribed and adhere to appropriate medicines. This may not be the case, and no allowance is included in the model for this possibility. Clinician feedback during the evaluation suggests only patients with borderline hypertension or cholesterol would be prescribed intensified treatment and gain clinical benefits. The model does not seem to account for this proportion.</w:t>
            </w:r>
          </w:p>
        </w:tc>
        <w:tc>
          <w:tcPr>
            <w:tcW w:w="1151" w:type="pct"/>
            <w:shd w:val="clear" w:color="auto" w:fill="auto"/>
          </w:tcPr>
          <w:p w14:paraId="3A2DD7FE" w14:textId="77777777" w:rsidR="00104513" w:rsidRDefault="00104513" w:rsidP="002F6658">
            <w:pPr>
              <w:pStyle w:val="TableText"/>
              <w:rPr>
                <w:lang w:val="en-US"/>
              </w:rPr>
            </w:pPr>
            <w:r>
              <w:rPr>
                <w:lang w:val="en-US"/>
              </w:rPr>
              <w:t>Possibly high, favours intervention</w:t>
            </w:r>
          </w:p>
        </w:tc>
      </w:tr>
      <w:tr w:rsidR="00104513" w:rsidRPr="00AB6C30" w14:paraId="04BF534E" w14:textId="77777777" w:rsidTr="002F6658">
        <w:tc>
          <w:tcPr>
            <w:tcW w:w="862" w:type="pct"/>
            <w:shd w:val="clear" w:color="auto" w:fill="auto"/>
          </w:tcPr>
          <w:p w14:paraId="7880ECAA" w14:textId="77777777" w:rsidR="00104513" w:rsidRPr="00AB6C30" w:rsidRDefault="00104513" w:rsidP="002F6658">
            <w:pPr>
              <w:pStyle w:val="TableText"/>
              <w:rPr>
                <w:lang w:val="en-US"/>
              </w:rPr>
            </w:pPr>
            <w:r>
              <w:rPr>
                <w:lang w:val="en-US"/>
              </w:rPr>
              <w:t xml:space="preserve">The </w:t>
            </w:r>
            <w:r w:rsidRPr="009D6AE4">
              <w:rPr>
                <w:lang w:val="en-US"/>
              </w:rPr>
              <w:t xml:space="preserve">PromarkerD risk </w:t>
            </w:r>
            <w:r>
              <w:rPr>
                <w:lang w:val="en-US"/>
              </w:rPr>
              <w:t>profile for Australia is uncertain.</w:t>
            </w:r>
          </w:p>
        </w:tc>
        <w:tc>
          <w:tcPr>
            <w:tcW w:w="2987" w:type="pct"/>
            <w:shd w:val="clear" w:color="auto" w:fill="auto"/>
          </w:tcPr>
          <w:p w14:paraId="05042268" w14:textId="7257884F" w:rsidR="00104513" w:rsidRPr="00AB6C30" w:rsidRDefault="00104513" w:rsidP="002F6658">
            <w:pPr>
              <w:pStyle w:val="TableText"/>
              <w:rPr>
                <w:lang w:val="en-US"/>
              </w:rPr>
            </w:pPr>
            <w:r w:rsidRPr="00AB6C30">
              <w:rPr>
                <w:lang w:val="en-US"/>
              </w:rPr>
              <w:t xml:space="preserve">The </w:t>
            </w:r>
            <w:r>
              <w:rPr>
                <w:lang w:val="en-US"/>
              </w:rPr>
              <w:t xml:space="preserve">background </w:t>
            </w:r>
            <w:r w:rsidRPr="009D6AE4">
              <w:rPr>
                <w:lang w:val="en-US"/>
              </w:rPr>
              <w:t>PromarkerD risk category</w:t>
            </w:r>
            <w:r>
              <w:rPr>
                <w:lang w:val="en-US"/>
              </w:rPr>
              <w:t xml:space="preserve"> has the largest impact on the estimated ICER. The Fremantle study has been used to generate this profile, but it is difficult to determine applicability to the whole of Australia. </w:t>
            </w:r>
          </w:p>
        </w:tc>
        <w:tc>
          <w:tcPr>
            <w:tcW w:w="1151" w:type="pct"/>
            <w:shd w:val="clear" w:color="auto" w:fill="auto"/>
          </w:tcPr>
          <w:p w14:paraId="0AA8B1F2" w14:textId="2AA5310B" w:rsidR="00104513" w:rsidRPr="00AB6C30" w:rsidRDefault="00104513" w:rsidP="002F6658">
            <w:pPr>
              <w:pStyle w:val="TableText"/>
              <w:rPr>
                <w:lang w:val="en-US"/>
              </w:rPr>
            </w:pPr>
            <w:r>
              <w:rPr>
                <w:lang w:val="en-US"/>
              </w:rPr>
              <w:t xml:space="preserve">Uncertain. The background </w:t>
            </w:r>
            <w:r w:rsidRPr="009D6AE4">
              <w:rPr>
                <w:lang w:val="en-US"/>
              </w:rPr>
              <w:t xml:space="preserve">PromarkerD risk </w:t>
            </w:r>
            <w:r>
              <w:rPr>
                <w:lang w:val="en-US"/>
              </w:rPr>
              <w:t>profile has the largest impact on calculated ICER (</w:t>
            </w:r>
            <w:proofErr w:type="gramStart"/>
            <w:r>
              <w:rPr>
                <w:lang w:val="en-US"/>
              </w:rPr>
              <w:t>e.g.</w:t>
            </w:r>
            <w:proofErr w:type="gramEnd"/>
            <w:r>
              <w:rPr>
                <w:lang w:val="en-US"/>
              </w:rPr>
              <w:t xml:space="preserve"> a lower profile increased the ICER </w:t>
            </w:r>
            <w:r w:rsidR="004B6555" w:rsidRPr="00C50A4A">
              <w:rPr>
                <w:b/>
                <w:bCs/>
                <w:color w:val="000000"/>
                <w:spacing w:val="21"/>
                <w:shd w:val="solid" w:color="000000" w:fill="000000"/>
                <w:fitText w:val="792" w:id="-1286896638"/>
                <w14:textFill>
                  <w14:solidFill>
                    <w14:srgbClr w14:val="000000">
                      <w14:alpha w14:val="100000"/>
                    </w14:srgbClr>
                  </w14:solidFill>
                </w14:textFill>
              </w:rPr>
              <w:t>|||||||||||</w:t>
            </w:r>
            <w:r w:rsidR="004B6555" w:rsidRPr="00C50A4A">
              <w:rPr>
                <w:b/>
                <w:bCs/>
                <w:color w:val="000000"/>
                <w:spacing w:val="10"/>
                <w:shd w:val="solid" w:color="000000" w:fill="000000"/>
                <w:fitText w:val="792" w:id="-1286896638"/>
                <w14:textFill>
                  <w14:solidFill>
                    <w14:srgbClr w14:val="000000">
                      <w14:alpha w14:val="100000"/>
                    </w14:srgbClr>
                  </w14:solidFill>
                </w14:textFill>
              </w:rPr>
              <w:t>|</w:t>
            </w:r>
            <w:r w:rsidR="00F522E5" w:rsidRPr="00C50A4A" w:rsidDel="00F522E5">
              <w:rPr>
                <w:lang w:val="en-US"/>
              </w:rPr>
              <w:t xml:space="preserve"> </w:t>
            </w:r>
            <w:r w:rsidRPr="00C50A4A">
              <w:rPr>
                <w:lang w:val="en-US"/>
              </w:rPr>
              <w:t>p</w:t>
            </w:r>
            <w:r>
              <w:rPr>
                <w:lang w:val="en-US"/>
              </w:rPr>
              <w:t xml:space="preserve">er QALY gained). </w:t>
            </w:r>
          </w:p>
        </w:tc>
      </w:tr>
      <w:tr w:rsidR="00104513" w:rsidRPr="00AB6C30" w14:paraId="3A86CAD8" w14:textId="77777777" w:rsidTr="002F6658">
        <w:tc>
          <w:tcPr>
            <w:tcW w:w="862" w:type="pct"/>
            <w:shd w:val="clear" w:color="auto" w:fill="auto"/>
          </w:tcPr>
          <w:p w14:paraId="3AEB8844" w14:textId="77777777" w:rsidR="00104513" w:rsidRDefault="00104513" w:rsidP="002F6658">
            <w:pPr>
              <w:pStyle w:val="TableText"/>
              <w:rPr>
                <w:lang w:val="en-US"/>
              </w:rPr>
            </w:pPr>
            <w:r>
              <w:rPr>
                <w:lang w:val="en-US"/>
              </w:rPr>
              <w:t>Prognostic algorithms require validation.</w:t>
            </w:r>
          </w:p>
        </w:tc>
        <w:tc>
          <w:tcPr>
            <w:tcW w:w="2987" w:type="pct"/>
            <w:shd w:val="clear" w:color="auto" w:fill="auto"/>
          </w:tcPr>
          <w:p w14:paraId="78D763A1" w14:textId="117A2515" w:rsidR="00104513" w:rsidRPr="00AB6C30" w:rsidRDefault="00104513" w:rsidP="002F6658">
            <w:pPr>
              <w:pStyle w:val="TableText"/>
              <w:rPr>
                <w:lang w:val="en-US"/>
              </w:rPr>
            </w:pPr>
            <w:r>
              <w:rPr>
                <w:lang w:val="en-US"/>
              </w:rPr>
              <w:t xml:space="preserve">There was limited description of how the PromarkerD algorithm was developed in the Submission, how its prognostic accuracy compares to </w:t>
            </w:r>
            <w:r w:rsidRPr="00950F3A">
              <w:rPr>
                <w:rFonts w:cstheme="minorHAnsi"/>
              </w:rPr>
              <w:t>KDIGO</w:t>
            </w:r>
            <w:r>
              <w:rPr>
                <w:lang w:val="en-US"/>
              </w:rPr>
              <w:t xml:space="preserve"> risk assessment, and the Nelson equation included in the economic model. These prognostic approaches and economic modelling results need to be validated using Australian data. Excel workbooks and Annex E included with the Submission include calculations, but they are not described in the main body of the report and referenced in the economic model.</w:t>
            </w:r>
          </w:p>
        </w:tc>
        <w:tc>
          <w:tcPr>
            <w:tcW w:w="1151" w:type="pct"/>
            <w:shd w:val="clear" w:color="auto" w:fill="auto"/>
          </w:tcPr>
          <w:p w14:paraId="7A1609E7" w14:textId="77777777" w:rsidR="00104513" w:rsidRDefault="00104513" w:rsidP="002F6658">
            <w:pPr>
              <w:pStyle w:val="TableText"/>
              <w:rPr>
                <w:lang w:val="en-US"/>
              </w:rPr>
            </w:pPr>
            <w:r>
              <w:rPr>
                <w:lang w:val="en-US"/>
              </w:rPr>
              <w:t xml:space="preserve">Uncertain. Limited details about how the </w:t>
            </w:r>
            <w:r w:rsidRPr="009D6AE4">
              <w:rPr>
                <w:lang w:val="en-US"/>
              </w:rPr>
              <w:t>PromarkerD</w:t>
            </w:r>
            <w:r>
              <w:rPr>
                <w:lang w:val="en-US"/>
              </w:rPr>
              <w:t xml:space="preserve"> algorithm has been developed were provided. The model is driven by the transition from pre-DKD to DKD using the Nelson equation. </w:t>
            </w:r>
          </w:p>
        </w:tc>
      </w:tr>
      <w:bookmarkEnd w:id="40"/>
      <w:tr w:rsidR="00104513" w:rsidRPr="00AB6C30" w14:paraId="0F98BE95" w14:textId="77777777" w:rsidTr="002F6658">
        <w:tc>
          <w:tcPr>
            <w:tcW w:w="862" w:type="pct"/>
            <w:shd w:val="clear" w:color="auto" w:fill="auto"/>
          </w:tcPr>
          <w:p w14:paraId="30C67723" w14:textId="77777777" w:rsidR="00104513" w:rsidRPr="00AB6C30" w:rsidRDefault="00104513" w:rsidP="002F6658">
            <w:pPr>
              <w:pStyle w:val="TableText"/>
              <w:rPr>
                <w:lang w:val="en-US"/>
              </w:rPr>
            </w:pPr>
            <w:r>
              <w:rPr>
                <w:lang w:val="en-US"/>
              </w:rPr>
              <w:t>Specification of hypertension</w:t>
            </w:r>
          </w:p>
        </w:tc>
        <w:tc>
          <w:tcPr>
            <w:tcW w:w="2987" w:type="pct"/>
            <w:shd w:val="clear" w:color="auto" w:fill="auto"/>
          </w:tcPr>
          <w:p w14:paraId="48D54504" w14:textId="48066108" w:rsidR="00104513" w:rsidRPr="00AB6C30" w:rsidRDefault="00104513" w:rsidP="002F6658">
            <w:pPr>
              <w:pStyle w:val="TableText"/>
              <w:rPr>
                <w:lang w:val="en-US"/>
              </w:rPr>
            </w:pPr>
            <w:r>
              <w:rPr>
                <w:lang w:val="en-US"/>
              </w:rPr>
              <w:t xml:space="preserve">The economic model uses a 130/80 threshold for hypertension which differs to that used in the Nelson study of 140/90 and forms the basis of the transition equation from pre-DKD to 3a stage DKD in the model. </w:t>
            </w:r>
            <w:r w:rsidRPr="00613CBC">
              <w:rPr>
                <w:lang w:val="en-US"/>
              </w:rPr>
              <w:t>The non-alignment of thresholds (140/90 is high) in the economic model and Nelson equation creates uncertainty</w:t>
            </w:r>
            <w:r w:rsidR="00DC77DC">
              <w:rPr>
                <w:lang w:val="en-US"/>
              </w:rPr>
              <w:t>.</w:t>
            </w:r>
            <w:r w:rsidRPr="00613CBC">
              <w:rPr>
                <w:lang w:val="en-US"/>
              </w:rPr>
              <w:t xml:space="preserve"> </w:t>
            </w:r>
            <w:r>
              <w:rPr>
                <w:lang w:val="en-US"/>
              </w:rPr>
              <w:t xml:space="preserve">A sensitivity analysis was included in the commentary with the 140/90 threshold definition. </w:t>
            </w:r>
          </w:p>
        </w:tc>
        <w:tc>
          <w:tcPr>
            <w:tcW w:w="1151" w:type="pct"/>
            <w:shd w:val="clear" w:color="auto" w:fill="auto"/>
          </w:tcPr>
          <w:p w14:paraId="38C59959" w14:textId="705304A2" w:rsidR="00104513" w:rsidRPr="00AB6C30" w:rsidRDefault="00104513" w:rsidP="002F6658">
            <w:pPr>
              <w:pStyle w:val="TableText"/>
              <w:rPr>
                <w:lang w:val="en-US"/>
              </w:rPr>
            </w:pPr>
            <w:r>
              <w:rPr>
                <w:lang w:val="en-US"/>
              </w:rPr>
              <w:t xml:space="preserve">Uncertain. The ICER increased from </w:t>
            </w:r>
            <w:r w:rsidR="004B6555" w:rsidRPr="004B6555">
              <w:rPr>
                <w:b/>
                <w:bCs/>
                <w:color w:val="000000"/>
                <w:spacing w:val="21"/>
                <w:shd w:val="solid" w:color="000000" w:fill="000000"/>
                <w:fitText w:val="792" w:id="-1286896384"/>
                <w14:textFill>
                  <w14:solidFill>
                    <w14:srgbClr w14:val="000000">
                      <w14:alpha w14:val="100000"/>
                    </w14:srgbClr>
                  </w14:solidFill>
                </w14:textFill>
              </w:rPr>
              <w:t>|||||||||||</w:t>
            </w:r>
            <w:r w:rsidR="004B6555" w:rsidRPr="004B6555">
              <w:rPr>
                <w:b/>
                <w:bCs/>
                <w:color w:val="000000"/>
                <w:spacing w:val="10"/>
                <w:shd w:val="solid" w:color="000000" w:fill="000000"/>
                <w:fitText w:val="792" w:id="-1286896384"/>
                <w14:textFill>
                  <w14:solidFill>
                    <w14:srgbClr w14:val="000000">
                      <w14:alpha w14:val="100000"/>
                    </w14:srgbClr>
                  </w14:solidFill>
                </w14:textFill>
              </w:rPr>
              <w:t>|</w:t>
            </w:r>
            <w:r w:rsidR="006F7C8A">
              <w:rPr>
                <w:lang w:val="en-US"/>
              </w:rPr>
              <w:t xml:space="preserve"> to</w:t>
            </w:r>
            <w:r>
              <w:rPr>
                <w:lang w:val="en-US"/>
              </w:rPr>
              <w:t xml:space="preserve"> more than </w:t>
            </w:r>
            <w:r w:rsidR="004B6555" w:rsidRPr="004B6555">
              <w:rPr>
                <w:b/>
                <w:bCs/>
                <w:color w:val="000000"/>
                <w:spacing w:val="21"/>
                <w:shd w:val="solid" w:color="000000" w:fill="000000"/>
                <w:fitText w:val="792" w:id="-1286896383"/>
                <w14:textFill>
                  <w14:solidFill>
                    <w14:srgbClr w14:val="000000">
                      <w14:alpha w14:val="100000"/>
                    </w14:srgbClr>
                  </w14:solidFill>
                </w14:textFill>
              </w:rPr>
              <w:t>|||||||||||</w:t>
            </w:r>
            <w:r w:rsidR="004B6555" w:rsidRPr="004B6555">
              <w:rPr>
                <w:b/>
                <w:bCs/>
                <w:color w:val="000000"/>
                <w:spacing w:val="10"/>
                <w:shd w:val="solid" w:color="000000" w:fill="000000"/>
                <w:fitText w:val="792" w:id="-1286896383"/>
                <w14:textFill>
                  <w14:solidFill>
                    <w14:srgbClr w14:val="000000">
                      <w14:alpha w14:val="100000"/>
                    </w14:srgbClr>
                  </w14:solidFill>
                </w14:textFill>
              </w:rPr>
              <w:t>|</w:t>
            </w:r>
            <w:r w:rsidR="006F7C8A" w:rsidDel="006F7C8A">
              <w:rPr>
                <w:lang w:val="en-US"/>
              </w:rPr>
              <w:t xml:space="preserve"> </w:t>
            </w:r>
            <w:r>
              <w:rPr>
                <w:lang w:val="en-US"/>
              </w:rPr>
              <w:t>with a change in definition of 130/80 to 140/90</w:t>
            </w:r>
          </w:p>
        </w:tc>
      </w:tr>
      <w:tr w:rsidR="00104513" w:rsidRPr="00AB6C30" w14:paraId="679AD317" w14:textId="77777777" w:rsidTr="002F6658">
        <w:tc>
          <w:tcPr>
            <w:tcW w:w="862" w:type="pct"/>
            <w:shd w:val="clear" w:color="auto" w:fill="auto"/>
          </w:tcPr>
          <w:p w14:paraId="71D40609" w14:textId="77777777" w:rsidR="00104513" w:rsidRDefault="00104513" w:rsidP="002F6658">
            <w:pPr>
              <w:pStyle w:val="TableText"/>
              <w:rPr>
                <w:lang w:val="en-US"/>
              </w:rPr>
            </w:pPr>
            <w:r>
              <w:rPr>
                <w:lang w:val="en-US"/>
              </w:rPr>
              <w:t xml:space="preserve">All patients appear to be eligible for SGLT2 inhibitors, despite requiring </w:t>
            </w:r>
            <w:r w:rsidRPr="00B625DF">
              <w:rPr>
                <w:lang w:val="en-US"/>
              </w:rPr>
              <w:t>HbA1c&gt;7%</w:t>
            </w:r>
            <w:r>
              <w:rPr>
                <w:lang w:val="en-US"/>
              </w:rPr>
              <w:t xml:space="preserve"> for Australian PBS eligibility.</w:t>
            </w:r>
          </w:p>
        </w:tc>
        <w:tc>
          <w:tcPr>
            <w:tcW w:w="2987" w:type="pct"/>
            <w:shd w:val="clear" w:color="auto" w:fill="auto"/>
          </w:tcPr>
          <w:p w14:paraId="6DF8720A" w14:textId="17A49507" w:rsidR="00104513" w:rsidRDefault="00104513" w:rsidP="002F6658">
            <w:pPr>
              <w:pStyle w:val="TableText"/>
              <w:rPr>
                <w:lang w:val="en-US"/>
              </w:rPr>
            </w:pPr>
            <w:r>
              <w:rPr>
                <w:lang w:val="en-US"/>
              </w:rPr>
              <w:t xml:space="preserve">The initiation and increase in SGLT2 inhibitor medication because of PromarkerD risk appears to have a large impact on the ICER, as use of this medicine is estimated to reduce </w:t>
            </w:r>
            <w:r w:rsidRPr="00CA2AEB">
              <w:rPr>
                <w:lang w:val="en-US"/>
              </w:rPr>
              <w:t>HbA1c</w:t>
            </w:r>
            <w:r>
              <w:rPr>
                <w:lang w:val="en-US"/>
              </w:rPr>
              <w:t xml:space="preserve">, </w:t>
            </w:r>
            <w:r w:rsidRPr="00CA2AEB">
              <w:rPr>
                <w:lang w:val="en-US"/>
              </w:rPr>
              <w:t>BMI</w:t>
            </w:r>
            <w:r>
              <w:rPr>
                <w:lang w:val="en-US"/>
              </w:rPr>
              <w:t xml:space="preserve">, </w:t>
            </w:r>
            <w:r w:rsidRPr="00CA2AEB">
              <w:rPr>
                <w:lang w:val="en-US"/>
              </w:rPr>
              <w:t>eGFR</w:t>
            </w:r>
            <w:r>
              <w:rPr>
                <w:lang w:val="en-US"/>
              </w:rPr>
              <w:t xml:space="preserve">, </w:t>
            </w:r>
            <w:r w:rsidRPr="00CA2AEB">
              <w:rPr>
                <w:lang w:val="en-US"/>
              </w:rPr>
              <w:t>SBP</w:t>
            </w:r>
            <w:r>
              <w:rPr>
                <w:lang w:val="en-US"/>
              </w:rPr>
              <w:t xml:space="preserve"> and </w:t>
            </w:r>
            <w:r w:rsidRPr="00CA2AEB">
              <w:rPr>
                <w:lang w:val="en-US"/>
              </w:rPr>
              <w:t>uACR</w:t>
            </w:r>
            <w:r>
              <w:rPr>
                <w:lang w:val="en-US"/>
              </w:rPr>
              <w:t xml:space="preserve">. The Australian PBS requires patients </w:t>
            </w:r>
            <w:r w:rsidR="00EE78ED">
              <w:rPr>
                <w:lang w:val="en-US"/>
              </w:rPr>
              <w:t xml:space="preserve">to </w:t>
            </w:r>
            <w:r>
              <w:rPr>
                <w:lang w:val="en-US"/>
              </w:rPr>
              <w:t xml:space="preserve">have an </w:t>
            </w:r>
            <w:r w:rsidRPr="00B625DF">
              <w:rPr>
                <w:lang w:val="en-US"/>
              </w:rPr>
              <w:t>HbA1c&gt;7%</w:t>
            </w:r>
            <w:r>
              <w:rPr>
                <w:lang w:val="en-US"/>
              </w:rPr>
              <w:t xml:space="preserve"> for eligibility. It is unclear how this is factored into treatment allocation in the model, or treatment being stopped once </w:t>
            </w:r>
            <w:r w:rsidRPr="00B625DF">
              <w:rPr>
                <w:lang w:val="en-US"/>
              </w:rPr>
              <w:t>HbA1c</w:t>
            </w:r>
            <w:r>
              <w:rPr>
                <w:lang w:val="en-US"/>
              </w:rPr>
              <w:t xml:space="preserve"> falls below </w:t>
            </w:r>
            <w:r w:rsidRPr="00B625DF">
              <w:rPr>
                <w:lang w:val="en-US"/>
              </w:rPr>
              <w:t>7%</w:t>
            </w:r>
            <w:r>
              <w:rPr>
                <w:lang w:val="en-US"/>
              </w:rPr>
              <w:t xml:space="preserve">. Baseline </w:t>
            </w:r>
            <w:r w:rsidRPr="00F94D14">
              <w:rPr>
                <w:lang w:val="en-US"/>
              </w:rPr>
              <w:t xml:space="preserve">HbA1c </w:t>
            </w:r>
            <w:r>
              <w:rPr>
                <w:lang w:val="en-US"/>
              </w:rPr>
              <w:t xml:space="preserve">in the economic model is </w:t>
            </w:r>
            <w:r w:rsidRPr="00F94D14">
              <w:rPr>
                <w:lang w:val="en-US"/>
              </w:rPr>
              <w:t>6.90%</w:t>
            </w:r>
            <w:r>
              <w:rPr>
                <w:lang w:val="en-US"/>
              </w:rPr>
              <w:t xml:space="preserve"> taken from the </w:t>
            </w:r>
            <w:r w:rsidRPr="00F94D14">
              <w:rPr>
                <w:lang w:val="en-US"/>
              </w:rPr>
              <w:t>VERIFY study</w:t>
            </w:r>
            <w:r>
              <w:rPr>
                <w:lang w:val="en-US"/>
              </w:rPr>
              <w:t>.</w:t>
            </w:r>
          </w:p>
        </w:tc>
        <w:tc>
          <w:tcPr>
            <w:tcW w:w="1151" w:type="pct"/>
            <w:shd w:val="clear" w:color="auto" w:fill="auto"/>
          </w:tcPr>
          <w:p w14:paraId="6F3BE3B0" w14:textId="0F7C0427" w:rsidR="00104513" w:rsidRDefault="00104513" w:rsidP="002F6658">
            <w:pPr>
              <w:pStyle w:val="TableText"/>
              <w:rPr>
                <w:lang w:val="en-US"/>
              </w:rPr>
            </w:pPr>
            <w:r>
              <w:rPr>
                <w:lang w:val="en-US"/>
              </w:rPr>
              <w:t xml:space="preserve">High, favours intervention. The ICER increased from </w:t>
            </w:r>
            <w:r w:rsidR="004B6555" w:rsidRPr="009E577F">
              <w:rPr>
                <w:b/>
                <w:bCs/>
                <w:color w:val="000000"/>
                <w:spacing w:val="21"/>
                <w:shd w:val="solid" w:color="000000" w:fill="000000"/>
                <w:fitText w:val="792" w:id="-1286896382"/>
                <w14:textFill>
                  <w14:solidFill>
                    <w14:srgbClr w14:val="000000">
                      <w14:alpha w14:val="100000"/>
                    </w14:srgbClr>
                  </w14:solidFill>
                </w14:textFill>
              </w:rPr>
              <w:t>|||||||||||</w:t>
            </w:r>
            <w:r w:rsidR="004B6555" w:rsidRPr="009E577F">
              <w:rPr>
                <w:b/>
                <w:bCs/>
                <w:color w:val="000000"/>
                <w:spacing w:val="10"/>
                <w:shd w:val="solid" w:color="000000" w:fill="000000"/>
                <w:fitText w:val="792" w:id="-1286896382"/>
                <w14:textFill>
                  <w14:solidFill>
                    <w14:srgbClr w14:val="000000">
                      <w14:alpha w14:val="100000"/>
                    </w14:srgbClr>
                  </w14:solidFill>
                </w14:textFill>
              </w:rPr>
              <w:t>|</w:t>
            </w:r>
            <w:r w:rsidR="006F7C8A" w:rsidRPr="00615A13" w:rsidDel="006F7C8A">
              <w:rPr>
                <w:lang w:val="en-US"/>
              </w:rPr>
              <w:t xml:space="preserve"> </w:t>
            </w:r>
            <w:r>
              <w:rPr>
                <w:lang w:val="en-US"/>
              </w:rPr>
              <w:t xml:space="preserve">to </w:t>
            </w:r>
            <w:r w:rsidR="004B6555" w:rsidRPr="004B6555">
              <w:rPr>
                <w:b/>
                <w:bCs/>
                <w:color w:val="000000"/>
                <w:spacing w:val="21"/>
                <w:shd w:val="solid" w:color="000000" w:fill="000000"/>
                <w:fitText w:val="792" w:id="-1286896381"/>
                <w14:textFill>
                  <w14:solidFill>
                    <w14:srgbClr w14:val="000000">
                      <w14:alpha w14:val="100000"/>
                    </w14:srgbClr>
                  </w14:solidFill>
                </w14:textFill>
              </w:rPr>
              <w:t>|||||||||||</w:t>
            </w:r>
            <w:r w:rsidR="004B6555" w:rsidRPr="004B6555">
              <w:rPr>
                <w:b/>
                <w:bCs/>
                <w:color w:val="000000"/>
                <w:spacing w:val="10"/>
                <w:shd w:val="solid" w:color="000000" w:fill="000000"/>
                <w:fitText w:val="792" w:id="-1286896381"/>
                <w14:textFill>
                  <w14:solidFill>
                    <w14:srgbClr w14:val="000000">
                      <w14:alpha w14:val="100000"/>
                    </w14:srgbClr>
                  </w14:solidFill>
                </w14:textFill>
              </w:rPr>
              <w:t>|</w:t>
            </w:r>
            <w:r w:rsidR="006F7C8A" w:rsidDel="006F7C8A">
              <w:rPr>
                <w:lang w:val="en-US"/>
              </w:rPr>
              <w:t xml:space="preserve"> </w:t>
            </w:r>
            <w:r>
              <w:rPr>
                <w:lang w:val="en-US"/>
              </w:rPr>
              <w:t>with removal of SGLT2 inhibitors effects</w:t>
            </w:r>
          </w:p>
        </w:tc>
      </w:tr>
    </w:tbl>
    <w:p w14:paraId="39A118CF" w14:textId="77777777" w:rsidR="00104513" w:rsidRPr="00E6458E" w:rsidRDefault="00104513" w:rsidP="00104513">
      <w:pPr>
        <w:pStyle w:val="TableFigureFooter"/>
        <w:spacing w:before="40" w:after="40"/>
        <w:rPr>
          <w:b/>
          <w:bCs/>
          <w:u w:val="single"/>
        </w:rPr>
      </w:pPr>
      <w:bookmarkStart w:id="42" w:name="_Hlk68276635"/>
      <w:bookmarkEnd w:id="41"/>
      <w:r w:rsidRPr="00E6458E">
        <w:rPr>
          <w:b/>
          <w:bCs/>
          <w:u w:val="single"/>
        </w:rPr>
        <w:t>Abbreviation</w:t>
      </w:r>
      <w:r>
        <w:rPr>
          <w:b/>
          <w:bCs/>
          <w:u w:val="single"/>
        </w:rPr>
        <w:t>s</w:t>
      </w:r>
      <w:r w:rsidRPr="00E6458E">
        <w:rPr>
          <w:b/>
          <w:bCs/>
          <w:u w:val="single"/>
        </w:rPr>
        <w:br/>
      </w:r>
      <w:r>
        <w:t xml:space="preserve">BMI = body mass index, CANVAS = </w:t>
      </w:r>
      <w:r w:rsidRPr="005E66F6">
        <w:t xml:space="preserve">CANagliflozin </w:t>
      </w:r>
      <w:r>
        <w:t>c</w:t>
      </w:r>
      <w:r w:rsidRPr="005E66F6">
        <w:t>ardioVascular Assessment Study</w:t>
      </w:r>
      <w:r>
        <w:t xml:space="preserve">, CKD = chronic kidney disease, DKD = diabetic kidney disease, eGFR = </w:t>
      </w:r>
      <w:r w:rsidRPr="00A55A6B">
        <w:t>estimated glomerular filtration rate</w:t>
      </w:r>
      <w:r>
        <w:t xml:space="preserve">, FDS2 = </w:t>
      </w:r>
      <w:r w:rsidRPr="005B7B79">
        <w:t>Fremantle Diabetes Study Phase II</w:t>
      </w:r>
      <w:r>
        <w:t xml:space="preserve">, HDL = </w:t>
      </w:r>
      <w:r w:rsidRPr="00CE2113">
        <w:t>high-density lipoprotein</w:t>
      </w:r>
      <w:r>
        <w:t xml:space="preserve">, </w:t>
      </w:r>
      <w:r w:rsidRPr="00B47234">
        <w:t xml:space="preserve">ICER = incremental cost-effectiveness ratio, </w:t>
      </w:r>
      <w:r>
        <w:t xml:space="preserve">KDIGO = </w:t>
      </w:r>
      <w:r w:rsidRPr="00D6748D">
        <w:t>Kidney Disease Improving Global Outcomes</w:t>
      </w:r>
      <w:r>
        <w:t xml:space="preserve">, </w:t>
      </w:r>
      <w:r w:rsidRPr="00B47234">
        <w:t xml:space="preserve">PBS = </w:t>
      </w:r>
      <w:r w:rsidRPr="00402701">
        <w:t>Pharmaceutical Benefits Scheme</w:t>
      </w:r>
      <w:r w:rsidRPr="00B47234">
        <w:t xml:space="preserve">, </w:t>
      </w:r>
      <w:r>
        <w:t xml:space="preserve">PPV = </w:t>
      </w:r>
      <w:r w:rsidRPr="00402701">
        <w:t>positive predictive value</w:t>
      </w:r>
      <w:r>
        <w:t xml:space="preserve">, </w:t>
      </w:r>
      <w:r w:rsidRPr="00B47234">
        <w:t>QALY = quality-adjusted life</w:t>
      </w:r>
      <w:r>
        <w:t xml:space="preserve"> </w:t>
      </w:r>
      <w:r w:rsidRPr="00B47234">
        <w:t>year</w:t>
      </w:r>
      <w:bookmarkEnd w:id="38"/>
      <w:bookmarkEnd w:id="42"/>
      <w:r>
        <w:t>, SBP = systolic blood pressure, SGLT2 = s</w:t>
      </w:r>
      <w:r w:rsidRPr="00265382">
        <w:t xml:space="preserve">odium-glucose </w:t>
      </w:r>
      <w:r>
        <w:t>c</w:t>
      </w:r>
      <w:r w:rsidRPr="00265382">
        <w:t>otransporter-2</w:t>
      </w:r>
      <w:r>
        <w:t xml:space="preserve">, uACR = </w:t>
      </w:r>
      <w:r w:rsidRPr="00383E36">
        <w:t>Urinary albumin creatinine ratio</w:t>
      </w:r>
      <w:r>
        <w:t xml:space="preserve">, VERIFY = </w:t>
      </w:r>
      <w:r w:rsidRPr="006F2470">
        <w:t xml:space="preserve"> Vildagliptin Efficacy in combination with metfoRmIn For earlY treatment of type 2 diabetes</w:t>
      </w:r>
      <w:r>
        <w:t>.</w:t>
      </w:r>
    </w:p>
    <w:p w14:paraId="744195E9" w14:textId="77777777" w:rsidR="00104513" w:rsidRPr="0086353C" w:rsidRDefault="00104513" w:rsidP="00104513">
      <w:pPr>
        <w:pStyle w:val="TableFigureFooter"/>
        <w:spacing w:before="40" w:after="40"/>
      </w:pPr>
      <w:r w:rsidRPr="00E6458E">
        <w:rPr>
          <w:b/>
          <w:bCs/>
          <w:u w:val="single"/>
        </w:rPr>
        <w:t>Source</w:t>
      </w:r>
      <w:r>
        <w:br/>
      </w:r>
      <w:r w:rsidRPr="0086353C">
        <w:t xml:space="preserve">Compiled </w:t>
      </w:r>
      <w:r>
        <w:t>during evaluation.</w:t>
      </w:r>
    </w:p>
    <w:p w14:paraId="13210E3F" w14:textId="73E3F5A3" w:rsidR="00104513" w:rsidRDefault="00104513" w:rsidP="00104513">
      <w:pPr>
        <w:pStyle w:val="Heading2"/>
      </w:pPr>
      <w:r>
        <w:lastRenderedPageBreak/>
        <w:t>1</w:t>
      </w:r>
      <w:r w:rsidR="000D5B30">
        <w:t>4</w:t>
      </w:r>
      <w:r>
        <w:t>.</w:t>
      </w:r>
      <w:r>
        <w:tab/>
      </w:r>
      <w:r w:rsidRPr="005E13F3">
        <w:t>Financial/budgetary impacts</w:t>
      </w:r>
    </w:p>
    <w:p w14:paraId="762C5170" w14:textId="0727C2B1" w:rsidR="00104513" w:rsidRDefault="00104513" w:rsidP="00104513">
      <w:pPr>
        <w:rPr>
          <w:rFonts w:eastAsia="Calibri"/>
        </w:rPr>
      </w:pPr>
      <w:r w:rsidRPr="00B274AF">
        <w:rPr>
          <w:lang w:val="en-US"/>
        </w:rPr>
        <w:t xml:space="preserve">The financial implications to the </w:t>
      </w:r>
      <w:r w:rsidRPr="00914717">
        <w:rPr>
          <w:lang w:val="en-US"/>
        </w:rPr>
        <w:t>MBS resulting from the</w:t>
      </w:r>
      <w:r w:rsidRPr="00B274AF">
        <w:rPr>
          <w:lang w:val="en-US"/>
        </w:rPr>
        <w:t xml:space="preserve"> proposed listing of </w:t>
      </w:r>
      <w:r>
        <w:rPr>
          <w:lang w:val="en-US"/>
        </w:rPr>
        <w:t>PromarkerD</w:t>
      </w:r>
      <w:r w:rsidRPr="00B274AF">
        <w:rPr>
          <w:lang w:val="en-US"/>
        </w:rPr>
        <w:t xml:space="preserve"> are summari</w:t>
      </w:r>
      <w:r>
        <w:rPr>
          <w:lang w:val="en-US"/>
        </w:rPr>
        <w:t>s</w:t>
      </w:r>
      <w:r w:rsidRPr="00B274AF">
        <w:rPr>
          <w:lang w:val="en-US"/>
        </w:rPr>
        <w:t xml:space="preserve">ed in </w:t>
      </w:r>
      <w:r w:rsidR="00883923">
        <w:rPr>
          <w:lang w:val="en-US"/>
        </w:rPr>
        <w:t>Table 12</w:t>
      </w:r>
      <w:r w:rsidRPr="00B274AF">
        <w:rPr>
          <w:lang w:val="en-US"/>
        </w:rPr>
        <w:t xml:space="preserve">. </w:t>
      </w:r>
      <w:r w:rsidR="00BF7E62">
        <w:rPr>
          <w:lang w:val="en-US"/>
        </w:rPr>
        <w:t xml:space="preserve">The Commentary noted that the </w:t>
      </w:r>
      <w:r w:rsidRPr="00D0550A">
        <w:rPr>
          <w:rFonts w:eastAsia="Calibri"/>
        </w:rPr>
        <w:t>epidemiological approach</w:t>
      </w:r>
      <w:r w:rsidR="00DC77DC">
        <w:rPr>
          <w:rFonts w:eastAsia="Calibri"/>
        </w:rPr>
        <w:t xml:space="preserve"> used</w:t>
      </w:r>
      <w:r w:rsidRPr="00D0550A">
        <w:rPr>
          <w:rFonts w:eastAsia="Calibri"/>
        </w:rPr>
        <w:t xml:space="preserve"> is appropriate given that testing would not substitute for a comparator in the market and uptake is estimated as a proportion of T2DM prevalence in Australia, along with the estimated eGFR and uACR defined eligible sub-population</w:t>
      </w:r>
      <w:r>
        <w:rPr>
          <w:rFonts w:eastAsia="Calibri"/>
        </w:rPr>
        <w:t>.</w:t>
      </w:r>
    </w:p>
    <w:p w14:paraId="1CFFBA11" w14:textId="1991EAD5" w:rsidR="008F4EA7" w:rsidRPr="008F4EA7" w:rsidRDefault="00104513" w:rsidP="008F4EA7">
      <w:r w:rsidRPr="0024631D">
        <w:rPr>
          <w:rFonts w:eastAsia="Calibri"/>
          <w:iCs/>
        </w:rPr>
        <w:t xml:space="preserve">The </w:t>
      </w:r>
      <w:r w:rsidR="002C1838">
        <w:rPr>
          <w:rFonts w:eastAsia="Calibri"/>
          <w:iCs/>
        </w:rPr>
        <w:t xml:space="preserve">proposed </w:t>
      </w:r>
      <w:r w:rsidRPr="0024631D">
        <w:rPr>
          <w:rFonts w:eastAsia="Calibri"/>
          <w:iCs/>
        </w:rPr>
        <w:t>MBS eligibility criteria for PromarkerD states that patients with T2DM are only considered eligible if they have both an eGFR of greater than or equal to 60</w:t>
      </w:r>
      <w:r>
        <w:rPr>
          <w:rFonts w:eastAsia="Calibri"/>
          <w:iCs/>
        </w:rPr>
        <w:t> </w:t>
      </w:r>
      <w:r w:rsidRPr="0024631D">
        <w:rPr>
          <w:rFonts w:eastAsia="Calibri"/>
          <w:iCs/>
        </w:rPr>
        <w:t>ml/min/1.73m</w:t>
      </w:r>
      <w:r w:rsidRPr="00E6458E">
        <w:rPr>
          <w:rFonts w:eastAsia="Calibri"/>
          <w:iCs/>
          <w:vertAlign w:val="superscript"/>
        </w:rPr>
        <w:t>2</w:t>
      </w:r>
      <w:r w:rsidRPr="0024631D">
        <w:rPr>
          <w:rFonts w:eastAsia="Calibri"/>
          <w:iCs/>
        </w:rPr>
        <w:t xml:space="preserve"> and uACR test result of less than or equal to 30</w:t>
      </w:r>
      <w:r>
        <w:rPr>
          <w:rFonts w:eastAsia="Calibri"/>
          <w:iCs/>
        </w:rPr>
        <w:t> </w:t>
      </w:r>
      <w:r w:rsidRPr="0024631D">
        <w:rPr>
          <w:rFonts w:eastAsia="Calibri"/>
          <w:iCs/>
        </w:rPr>
        <w:t xml:space="preserve">mg/mmol. Using this criterion, </w:t>
      </w:r>
      <w:r>
        <w:rPr>
          <w:rFonts w:eastAsia="Calibri"/>
          <w:iCs/>
        </w:rPr>
        <w:t xml:space="preserve">the </w:t>
      </w:r>
      <w:r w:rsidR="00BF7E62">
        <w:rPr>
          <w:rFonts w:eastAsia="Calibri"/>
          <w:iCs/>
        </w:rPr>
        <w:t>ADAR</w:t>
      </w:r>
      <w:r>
        <w:rPr>
          <w:rFonts w:eastAsia="Calibri"/>
          <w:iCs/>
        </w:rPr>
        <w:t xml:space="preserve"> estimated </w:t>
      </w:r>
      <w:r w:rsidRPr="0024631D">
        <w:rPr>
          <w:rFonts w:eastAsia="Calibri"/>
          <w:iCs/>
        </w:rPr>
        <w:t xml:space="preserve">that 84.6% of </w:t>
      </w:r>
      <w:r>
        <w:rPr>
          <w:rFonts w:eastAsia="Calibri"/>
          <w:iCs/>
        </w:rPr>
        <w:t xml:space="preserve">Australian </w:t>
      </w:r>
      <w:r w:rsidRPr="0024631D">
        <w:rPr>
          <w:rFonts w:eastAsia="Calibri"/>
          <w:iCs/>
        </w:rPr>
        <w:t>patients with T2DM met the criteria for PromarkerD</w:t>
      </w:r>
      <w:r>
        <w:rPr>
          <w:rFonts w:eastAsia="Calibri"/>
          <w:iCs/>
        </w:rPr>
        <w:t xml:space="preserve">. </w:t>
      </w:r>
      <w:r w:rsidRPr="0024631D">
        <w:rPr>
          <w:rFonts w:eastAsia="Calibri"/>
          <w:iCs/>
        </w:rPr>
        <w:t xml:space="preserve">The projected number of eligible patients was </w:t>
      </w:r>
      <w:r w:rsidRPr="00E4518B">
        <w:rPr>
          <w:rFonts w:eastAsia="Calibri"/>
          <w:iCs/>
        </w:rPr>
        <w:t>930,715</w:t>
      </w:r>
      <w:r w:rsidRPr="0024631D">
        <w:rPr>
          <w:rFonts w:eastAsia="Calibri"/>
          <w:iCs/>
        </w:rPr>
        <w:t xml:space="preserve"> in 2022 and </w:t>
      </w:r>
      <w:r w:rsidRPr="00E4518B">
        <w:rPr>
          <w:rFonts w:eastAsia="Calibri"/>
          <w:iCs/>
        </w:rPr>
        <w:t>674,174</w:t>
      </w:r>
      <w:r w:rsidRPr="0024631D">
        <w:rPr>
          <w:rFonts w:eastAsia="Calibri"/>
          <w:iCs/>
        </w:rPr>
        <w:t xml:space="preserve"> in 2027.</w:t>
      </w:r>
      <w:r>
        <w:rPr>
          <w:rFonts w:eastAsia="Calibri"/>
          <w:iCs/>
        </w:rPr>
        <w:t xml:space="preserve"> Patients re-test </w:t>
      </w:r>
      <w:r w:rsidRPr="0024631D">
        <w:rPr>
          <w:rFonts w:eastAsia="Calibri"/>
          <w:iCs/>
        </w:rPr>
        <w:t xml:space="preserve">after </w:t>
      </w:r>
      <w:r>
        <w:rPr>
          <w:rFonts w:eastAsia="Calibri"/>
          <w:iCs/>
        </w:rPr>
        <w:t>2</w:t>
      </w:r>
      <w:r w:rsidRPr="0024631D">
        <w:rPr>
          <w:rFonts w:eastAsia="Calibri"/>
          <w:iCs/>
        </w:rPr>
        <w:t xml:space="preserve"> or </w:t>
      </w:r>
      <w:r>
        <w:rPr>
          <w:rFonts w:eastAsia="Calibri"/>
          <w:iCs/>
        </w:rPr>
        <w:t>4</w:t>
      </w:r>
      <w:r w:rsidRPr="0024631D">
        <w:rPr>
          <w:rFonts w:eastAsia="Calibri"/>
          <w:iCs/>
        </w:rPr>
        <w:t xml:space="preserve"> years, </w:t>
      </w:r>
      <w:r>
        <w:rPr>
          <w:rFonts w:eastAsia="Calibri"/>
          <w:iCs/>
        </w:rPr>
        <w:t>based on</w:t>
      </w:r>
      <w:r w:rsidRPr="0024631D">
        <w:rPr>
          <w:rFonts w:eastAsia="Calibri"/>
          <w:iCs/>
        </w:rPr>
        <w:t xml:space="preserve"> risk category</w:t>
      </w:r>
      <w:r>
        <w:rPr>
          <w:rFonts w:eastAsia="Calibri"/>
          <w:iCs/>
        </w:rPr>
        <w:t xml:space="preserve">. </w:t>
      </w:r>
      <w:r w:rsidR="0083205D">
        <w:rPr>
          <w:rFonts w:eastAsia="Calibri"/>
          <w:iCs/>
        </w:rPr>
        <w:t>S</w:t>
      </w:r>
      <w:r w:rsidRPr="0057540F">
        <w:rPr>
          <w:rFonts w:eastAsia="Calibri"/>
          <w:iCs/>
        </w:rPr>
        <w:t>ervice volumes and expenditure by financial year is preferred for Governmental implementation purposes. Population for the base calculation and MBS unit costs would not have increased substantially between 2022 and the 2022-23 financial year, so financial cost impact changes would be minor for the current financial year 2022/23.</w:t>
      </w:r>
      <w:bookmarkStart w:id="43" w:name="_Ref112676270"/>
      <w:r w:rsidR="008F4EA7">
        <w:br w:type="page"/>
      </w:r>
    </w:p>
    <w:p w14:paraId="796075C3" w14:textId="36029AF7" w:rsidR="00104513" w:rsidRDefault="00104513" w:rsidP="00104513">
      <w:pPr>
        <w:pStyle w:val="Caption"/>
      </w:pPr>
      <w:r>
        <w:lastRenderedPageBreak/>
        <w:t>Table</w:t>
      </w:r>
      <w:r w:rsidR="00453E31">
        <w:t>12</w:t>
      </w:r>
      <w:bookmarkEnd w:id="43"/>
      <w:r>
        <w:tab/>
      </w:r>
      <w:r w:rsidRPr="00CE28E3">
        <w:t xml:space="preserve">Net financial implications of </w:t>
      </w:r>
      <w:r w:rsidRPr="000A6C9A">
        <w:t>PromarkerD</w:t>
      </w:r>
      <w:r>
        <w:t xml:space="preserve"> </w:t>
      </w:r>
      <w:r w:rsidRPr="00CE28E3">
        <w:t xml:space="preserve">to the </w:t>
      </w:r>
      <w:r>
        <w:t>MBS</w:t>
      </w:r>
    </w:p>
    <w:tbl>
      <w:tblPr>
        <w:tblStyle w:val="TableGrid1"/>
        <w:tblW w:w="0" w:type="auto"/>
        <w:tblLayout w:type="fixed"/>
        <w:tblCellMar>
          <w:left w:w="0" w:type="dxa"/>
          <w:right w:w="0" w:type="dxa"/>
        </w:tblCellMar>
        <w:tblLook w:val="04A0" w:firstRow="1" w:lastRow="0" w:firstColumn="1" w:lastColumn="0" w:noHBand="0" w:noVBand="1"/>
      </w:tblPr>
      <w:tblGrid>
        <w:gridCol w:w="1489"/>
        <w:gridCol w:w="1252"/>
        <w:gridCol w:w="1253"/>
        <w:gridCol w:w="1253"/>
        <w:gridCol w:w="1253"/>
        <w:gridCol w:w="1253"/>
        <w:gridCol w:w="1253"/>
      </w:tblGrid>
      <w:tr w:rsidR="00104513" w:rsidRPr="00CE28E3" w14:paraId="4CE66378" w14:textId="77777777" w:rsidTr="00104513">
        <w:trPr>
          <w:cnfStyle w:val="100000000000" w:firstRow="1" w:lastRow="0" w:firstColumn="0" w:lastColumn="0" w:oddVBand="0" w:evenVBand="0" w:oddHBand="0" w:evenHBand="0" w:firstRowFirstColumn="0" w:firstRowLastColumn="0" w:lastRowFirstColumn="0" w:lastRowLastColumn="0"/>
          <w:tblHeader/>
        </w:trPr>
        <w:tc>
          <w:tcPr>
            <w:tcW w:w="14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20459D" w14:textId="77777777" w:rsidR="00104513" w:rsidRPr="00CE28E3" w:rsidRDefault="00104513" w:rsidP="00104513">
            <w:pPr>
              <w:pStyle w:val="TableText"/>
              <w:ind w:left="-57" w:right="-57"/>
              <w:rPr>
                <w:b/>
                <w:bCs/>
              </w:rPr>
            </w:pPr>
            <w:r>
              <w:rPr>
                <w:b/>
                <w:bCs/>
              </w:rPr>
              <w:t xml:space="preserve">Parameter </w:t>
            </w:r>
          </w:p>
        </w:tc>
        <w:tc>
          <w:tcPr>
            <w:tcW w:w="12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1B510E" w14:textId="52D88B3C" w:rsidR="00104513" w:rsidRPr="00367529" w:rsidRDefault="00104513" w:rsidP="00104513">
            <w:pPr>
              <w:pStyle w:val="TableText"/>
              <w:ind w:left="-57" w:right="-57"/>
              <w:rPr>
                <w:b/>
                <w:bCs/>
              </w:rPr>
            </w:pPr>
            <w:r w:rsidRPr="00367529">
              <w:rPr>
                <w:b/>
                <w:bCs/>
              </w:rPr>
              <w:t>20</w:t>
            </w:r>
            <w:r w:rsidR="002F19AB">
              <w:rPr>
                <w:b/>
                <w:bCs/>
              </w:rPr>
              <w:t>21-</w:t>
            </w:r>
            <w:r w:rsidRPr="00367529">
              <w:rPr>
                <w:b/>
                <w:bCs/>
              </w:rPr>
              <w:t>22</w:t>
            </w:r>
          </w:p>
        </w:tc>
        <w:tc>
          <w:tcPr>
            <w:tcW w:w="1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0168B1" w14:textId="429BBA12" w:rsidR="00104513" w:rsidRPr="00367529" w:rsidRDefault="00104513" w:rsidP="00104513">
            <w:pPr>
              <w:pStyle w:val="TableText"/>
              <w:ind w:left="-57" w:right="-57"/>
              <w:rPr>
                <w:b/>
                <w:bCs/>
              </w:rPr>
            </w:pPr>
            <w:r w:rsidRPr="00367529">
              <w:rPr>
                <w:b/>
                <w:bCs/>
              </w:rPr>
              <w:t>20</w:t>
            </w:r>
            <w:r w:rsidR="002F19AB">
              <w:rPr>
                <w:b/>
                <w:bCs/>
              </w:rPr>
              <w:t>22-</w:t>
            </w:r>
            <w:r w:rsidRPr="00367529">
              <w:rPr>
                <w:b/>
                <w:bCs/>
              </w:rPr>
              <w:t>23</w:t>
            </w:r>
          </w:p>
        </w:tc>
        <w:tc>
          <w:tcPr>
            <w:tcW w:w="1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1A29A4" w14:textId="113EA000" w:rsidR="00104513" w:rsidRPr="00367529" w:rsidRDefault="00104513" w:rsidP="00104513">
            <w:pPr>
              <w:pStyle w:val="TableText"/>
              <w:ind w:left="-57" w:right="-57"/>
              <w:rPr>
                <w:b/>
                <w:bCs/>
              </w:rPr>
            </w:pPr>
            <w:r w:rsidRPr="00367529">
              <w:rPr>
                <w:b/>
                <w:bCs/>
              </w:rPr>
              <w:t>20</w:t>
            </w:r>
            <w:r w:rsidR="002F19AB">
              <w:rPr>
                <w:b/>
                <w:bCs/>
              </w:rPr>
              <w:t>23-</w:t>
            </w:r>
            <w:r w:rsidRPr="00367529">
              <w:rPr>
                <w:b/>
                <w:bCs/>
              </w:rPr>
              <w:t>24</w:t>
            </w:r>
          </w:p>
        </w:tc>
        <w:tc>
          <w:tcPr>
            <w:tcW w:w="1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BC3C2A" w14:textId="40C92877" w:rsidR="00104513" w:rsidRPr="00367529" w:rsidRDefault="00104513" w:rsidP="00104513">
            <w:pPr>
              <w:pStyle w:val="TableText"/>
              <w:ind w:left="-57" w:right="-57"/>
              <w:rPr>
                <w:b/>
                <w:bCs/>
              </w:rPr>
            </w:pPr>
            <w:r w:rsidRPr="00367529">
              <w:rPr>
                <w:b/>
                <w:bCs/>
              </w:rPr>
              <w:t>20</w:t>
            </w:r>
            <w:r w:rsidR="002F19AB">
              <w:rPr>
                <w:b/>
                <w:bCs/>
              </w:rPr>
              <w:t>24-</w:t>
            </w:r>
            <w:r w:rsidRPr="00367529">
              <w:rPr>
                <w:b/>
                <w:bCs/>
              </w:rPr>
              <w:t>25</w:t>
            </w:r>
          </w:p>
        </w:tc>
        <w:tc>
          <w:tcPr>
            <w:tcW w:w="1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5CEAF3" w14:textId="337BA8F3" w:rsidR="00104513" w:rsidRPr="00367529" w:rsidRDefault="00104513" w:rsidP="00104513">
            <w:pPr>
              <w:pStyle w:val="TableText"/>
              <w:ind w:left="-57" w:right="-57"/>
              <w:rPr>
                <w:b/>
                <w:bCs/>
              </w:rPr>
            </w:pPr>
            <w:r w:rsidRPr="00367529">
              <w:rPr>
                <w:b/>
                <w:bCs/>
              </w:rPr>
              <w:t>20</w:t>
            </w:r>
            <w:r w:rsidR="002F19AB">
              <w:rPr>
                <w:b/>
                <w:bCs/>
              </w:rPr>
              <w:t>25-</w:t>
            </w:r>
            <w:r w:rsidRPr="00367529">
              <w:rPr>
                <w:b/>
                <w:bCs/>
              </w:rPr>
              <w:t>26</w:t>
            </w:r>
          </w:p>
        </w:tc>
        <w:tc>
          <w:tcPr>
            <w:tcW w:w="1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BAE685B" w14:textId="3DB4E50F" w:rsidR="00104513" w:rsidRPr="00367529" w:rsidRDefault="00104513" w:rsidP="00104513">
            <w:pPr>
              <w:pStyle w:val="TableText"/>
              <w:ind w:left="-57" w:right="-57"/>
              <w:rPr>
                <w:b/>
                <w:bCs/>
              </w:rPr>
            </w:pPr>
            <w:r w:rsidRPr="00367529">
              <w:rPr>
                <w:b/>
                <w:bCs/>
              </w:rPr>
              <w:t>20</w:t>
            </w:r>
            <w:r w:rsidR="002F19AB">
              <w:rPr>
                <w:b/>
                <w:bCs/>
              </w:rPr>
              <w:t>26-</w:t>
            </w:r>
            <w:r w:rsidRPr="00367529">
              <w:rPr>
                <w:b/>
                <w:bCs/>
              </w:rPr>
              <w:t>27</w:t>
            </w:r>
          </w:p>
        </w:tc>
      </w:tr>
      <w:tr w:rsidR="00104513" w:rsidRPr="00CE28E3" w14:paraId="5D5136D9" w14:textId="77777777" w:rsidTr="00104513">
        <w:tc>
          <w:tcPr>
            <w:tcW w:w="900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2C876" w14:textId="77777777" w:rsidR="00104513" w:rsidRPr="00CE28E3" w:rsidRDefault="00104513" w:rsidP="00104513">
            <w:pPr>
              <w:pStyle w:val="TableText"/>
              <w:ind w:left="-57" w:right="-57"/>
              <w:rPr>
                <w:b/>
                <w:bCs/>
              </w:rPr>
            </w:pPr>
            <w:r w:rsidRPr="00CE28E3">
              <w:rPr>
                <w:b/>
                <w:bCs/>
              </w:rPr>
              <w:t>Estimated use and cost of the proposed health technology</w:t>
            </w:r>
          </w:p>
        </w:tc>
      </w:tr>
      <w:tr w:rsidR="00104513" w:rsidRPr="00CE28E3" w14:paraId="4A5431FA" w14:textId="77777777" w:rsidTr="009C1643">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B216D3" w14:textId="77777777" w:rsidR="00104513" w:rsidRPr="00CE28E3" w:rsidRDefault="00104513" w:rsidP="00104513">
            <w:pPr>
              <w:pStyle w:val="TableText"/>
              <w:ind w:left="-57" w:right="-57"/>
            </w:pPr>
            <w:r w:rsidRPr="00F21511">
              <w:t xml:space="preserve">Eligible </w:t>
            </w:r>
            <w:r>
              <w:t>p</w:t>
            </w:r>
            <w:r w:rsidRPr="00F21511">
              <w:t>opulation per year</w:t>
            </w:r>
          </w:p>
        </w:tc>
        <w:tc>
          <w:tcPr>
            <w:tcW w:w="1252" w:type="dxa"/>
            <w:tcBorders>
              <w:top w:val="nil"/>
              <w:left w:val="nil"/>
              <w:bottom w:val="single" w:sz="8" w:space="0" w:color="auto"/>
              <w:right w:val="single" w:sz="8" w:space="0" w:color="auto"/>
            </w:tcBorders>
            <w:tcMar>
              <w:top w:w="0" w:type="dxa"/>
              <w:left w:w="108" w:type="dxa"/>
              <w:bottom w:w="0" w:type="dxa"/>
              <w:right w:w="108" w:type="dxa"/>
            </w:tcMar>
            <w:vAlign w:val="center"/>
          </w:tcPr>
          <w:p w14:paraId="3E225706" w14:textId="77777777" w:rsidR="00104513" w:rsidRPr="00CE28E3" w:rsidRDefault="00104513" w:rsidP="00104513">
            <w:pPr>
              <w:pStyle w:val="TableText"/>
              <w:ind w:left="-57" w:right="-57"/>
            </w:pPr>
            <w:r w:rsidRPr="00423E01">
              <w:t>930,715</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tcPr>
          <w:p w14:paraId="467147C3" w14:textId="77777777" w:rsidR="00104513" w:rsidRPr="00CE28E3" w:rsidRDefault="00104513" w:rsidP="00104513">
            <w:pPr>
              <w:pStyle w:val="TableText"/>
              <w:ind w:left="-57" w:right="-57"/>
            </w:pPr>
            <w:r w:rsidRPr="00F21511">
              <w:t>896,</w:t>
            </w:r>
            <w:r w:rsidRPr="00423E01">
              <w:t>003</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tcPr>
          <w:p w14:paraId="02DAE1BB" w14:textId="77777777" w:rsidR="00104513" w:rsidRPr="00CE28E3" w:rsidRDefault="00104513" w:rsidP="00104513">
            <w:pPr>
              <w:pStyle w:val="TableText"/>
              <w:ind w:left="-57" w:right="-57"/>
            </w:pPr>
            <w:r w:rsidRPr="00423E01">
              <w:t>866,941</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tcPr>
          <w:p w14:paraId="221266E7" w14:textId="77777777" w:rsidR="00104513" w:rsidRPr="00CE28E3" w:rsidRDefault="00104513" w:rsidP="00104513">
            <w:pPr>
              <w:pStyle w:val="TableText"/>
              <w:ind w:left="-57" w:right="-57"/>
            </w:pPr>
            <w:r w:rsidRPr="00423E01">
              <w:t>817,647</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26697" w14:textId="77777777" w:rsidR="00104513" w:rsidRPr="00CE28E3" w:rsidRDefault="00104513" w:rsidP="00104513">
            <w:pPr>
              <w:pStyle w:val="TableText"/>
              <w:ind w:left="-57" w:right="-57"/>
            </w:pPr>
            <w:r w:rsidRPr="00423E01">
              <w:t>751,998</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tcPr>
          <w:p w14:paraId="722681F3" w14:textId="77777777" w:rsidR="00104513" w:rsidRPr="00CE28E3" w:rsidRDefault="00104513" w:rsidP="00104513">
            <w:pPr>
              <w:pStyle w:val="TableText"/>
              <w:ind w:left="-57" w:right="-57"/>
            </w:pPr>
            <w:r w:rsidRPr="00423E01">
              <w:t>674,174</w:t>
            </w:r>
          </w:p>
        </w:tc>
      </w:tr>
      <w:tr w:rsidR="009C1643" w:rsidRPr="00CE28E3" w14:paraId="263F4AB2" w14:textId="77777777" w:rsidTr="009C1643">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0E1079" w14:textId="77777777" w:rsidR="004165C1" w:rsidRPr="00CE28E3" w:rsidRDefault="004165C1" w:rsidP="004165C1">
            <w:pPr>
              <w:pStyle w:val="TableText"/>
              <w:ind w:left="-57" w:right="-57"/>
            </w:pPr>
            <w:r w:rsidRPr="00CC7697">
              <w:t>PromarkerD</w:t>
            </w:r>
            <w:r w:rsidRPr="00F21511">
              <w:t xml:space="preserve"> </w:t>
            </w:r>
            <w:r>
              <w:t>u</w:t>
            </w:r>
            <w:r w:rsidRPr="00F21511">
              <w:t xml:space="preserve">ptake </w:t>
            </w:r>
            <w:r>
              <w:t>r</w:t>
            </w:r>
            <w:r w:rsidRPr="00F21511">
              <w:t>ate</w:t>
            </w:r>
          </w:p>
        </w:tc>
        <w:tc>
          <w:tcPr>
            <w:tcW w:w="1252" w:type="dxa"/>
            <w:tcBorders>
              <w:top w:val="single" w:sz="8" w:space="0" w:color="auto"/>
              <w:left w:val="nil"/>
              <w:bottom w:val="single" w:sz="8" w:space="0" w:color="auto"/>
              <w:right w:val="single" w:sz="8" w:space="0" w:color="auto"/>
            </w:tcBorders>
            <w:shd w:val="solid" w:color="000000" w:fill="000000"/>
            <w:tcMar>
              <w:top w:w="0" w:type="dxa"/>
              <w:left w:w="108" w:type="dxa"/>
              <w:bottom w:w="0" w:type="dxa"/>
              <w:right w:w="108" w:type="dxa"/>
            </w:tcMar>
          </w:tcPr>
          <w:p w14:paraId="059AC4D5" w14:textId="00DAC04A" w:rsidR="004165C1" w:rsidRPr="00CE28E3" w:rsidRDefault="009C1643" w:rsidP="004165C1">
            <w:pPr>
              <w:pStyle w:val="TableText"/>
              <w:ind w:left="-57" w:right="-57"/>
            </w:pPr>
            <w:r w:rsidRPr="009E577F">
              <w:rPr>
                <w:b/>
                <w:bCs/>
                <w:color w:val="000000"/>
                <w:spacing w:val="26"/>
                <w:fitText w:val="848" w:id="-1286895359"/>
                <w:lang w:val="en-US"/>
                <w14:textFill>
                  <w14:solidFill>
                    <w14:srgbClr w14:val="000000">
                      <w14:alpha w14:val="100000"/>
                    </w14:srgbClr>
                  </w14:solidFill>
                </w14:textFill>
              </w:rPr>
              <w:t>|||||||||||</w:t>
            </w:r>
            <w:r w:rsidRPr="009E577F">
              <w:rPr>
                <w:b/>
                <w:bCs/>
                <w:color w:val="000000"/>
                <w:spacing w:val="11"/>
                <w:fitText w:val="848" w:id="-1286895359"/>
                <w:lang w:val="en-US"/>
                <w14:textFill>
                  <w14:solidFill>
                    <w14:srgbClr w14:val="000000">
                      <w14:alpha w14:val="100000"/>
                    </w14:srgbClr>
                  </w14:solidFill>
                </w14:textFill>
              </w:rPr>
              <w:t>|</w:t>
            </w:r>
          </w:p>
        </w:tc>
        <w:tc>
          <w:tcPr>
            <w:tcW w:w="1253" w:type="dxa"/>
            <w:tcBorders>
              <w:top w:val="single" w:sz="8" w:space="0" w:color="auto"/>
              <w:left w:val="nil"/>
              <w:bottom w:val="single" w:sz="8" w:space="0" w:color="auto"/>
              <w:right w:val="single" w:sz="8" w:space="0" w:color="auto"/>
            </w:tcBorders>
            <w:shd w:val="solid" w:color="000000" w:fill="000000"/>
            <w:tcMar>
              <w:top w:w="0" w:type="dxa"/>
              <w:left w:w="108" w:type="dxa"/>
              <w:bottom w:w="0" w:type="dxa"/>
              <w:right w:w="108" w:type="dxa"/>
            </w:tcMar>
          </w:tcPr>
          <w:p w14:paraId="1D7DCED0" w14:textId="2E94E7BE" w:rsidR="004165C1" w:rsidRPr="00CE28E3" w:rsidRDefault="009C1643" w:rsidP="004165C1">
            <w:pPr>
              <w:pStyle w:val="TableText"/>
              <w:ind w:left="-57" w:right="-57"/>
            </w:pPr>
            <w:r w:rsidRPr="009E577F">
              <w:rPr>
                <w:b/>
                <w:bCs/>
                <w:color w:val="000000"/>
                <w:spacing w:val="26"/>
                <w:fitText w:val="848" w:id="-1286895358"/>
                <w:lang w:val="en-US"/>
                <w14:textFill>
                  <w14:solidFill>
                    <w14:srgbClr w14:val="000000">
                      <w14:alpha w14:val="100000"/>
                    </w14:srgbClr>
                  </w14:solidFill>
                </w14:textFill>
              </w:rPr>
              <w:t>|||||||||||</w:t>
            </w:r>
            <w:r w:rsidRPr="009E577F">
              <w:rPr>
                <w:b/>
                <w:bCs/>
                <w:color w:val="000000"/>
                <w:spacing w:val="11"/>
                <w:fitText w:val="848" w:id="-1286895358"/>
                <w:lang w:val="en-US"/>
                <w14:textFill>
                  <w14:solidFill>
                    <w14:srgbClr w14:val="000000">
                      <w14:alpha w14:val="100000"/>
                    </w14:srgbClr>
                  </w14:solidFill>
                </w14:textFill>
              </w:rPr>
              <w:t>|</w:t>
            </w:r>
          </w:p>
        </w:tc>
        <w:tc>
          <w:tcPr>
            <w:tcW w:w="1253" w:type="dxa"/>
            <w:tcBorders>
              <w:top w:val="single" w:sz="8" w:space="0" w:color="auto"/>
              <w:left w:val="nil"/>
              <w:bottom w:val="single" w:sz="8" w:space="0" w:color="auto"/>
              <w:right w:val="single" w:sz="8" w:space="0" w:color="auto"/>
            </w:tcBorders>
            <w:shd w:val="solid" w:color="000000" w:fill="000000"/>
            <w:tcMar>
              <w:top w:w="0" w:type="dxa"/>
              <w:left w:w="108" w:type="dxa"/>
              <w:bottom w:w="0" w:type="dxa"/>
              <w:right w:w="108" w:type="dxa"/>
            </w:tcMar>
          </w:tcPr>
          <w:p w14:paraId="7E73B436" w14:textId="3DB70D53" w:rsidR="004165C1" w:rsidRPr="00CE28E3" w:rsidRDefault="009C1643" w:rsidP="004165C1">
            <w:pPr>
              <w:pStyle w:val="TableText"/>
              <w:ind w:left="-57" w:right="-57"/>
            </w:pPr>
            <w:r w:rsidRPr="009E577F">
              <w:rPr>
                <w:b/>
                <w:bCs/>
                <w:color w:val="000000"/>
                <w:spacing w:val="26"/>
                <w:fitText w:val="848" w:id="-1286895357"/>
                <w:lang w:val="en-US"/>
                <w14:textFill>
                  <w14:solidFill>
                    <w14:srgbClr w14:val="000000">
                      <w14:alpha w14:val="100000"/>
                    </w14:srgbClr>
                  </w14:solidFill>
                </w14:textFill>
              </w:rPr>
              <w:t>|||||||||||</w:t>
            </w:r>
            <w:r w:rsidRPr="009E577F">
              <w:rPr>
                <w:b/>
                <w:bCs/>
                <w:color w:val="000000"/>
                <w:spacing w:val="11"/>
                <w:fitText w:val="848" w:id="-1286895357"/>
                <w:lang w:val="en-US"/>
                <w14:textFill>
                  <w14:solidFill>
                    <w14:srgbClr w14:val="000000">
                      <w14:alpha w14:val="100000"/>
                    </w14:srgbClr>
                  </w14:solidFill>
                </w14:textFill>
              </w:rPr>
              <w:t>|</w:t>
            </w:r>
          </w:p>
        </w:tc>
        <w:tc>
          <w:tcPr>
            <w:tcW w:w="1253" w:type="dxa"/>
            <w:tcBorders>
              <w:top w:val="single" w:sz="8" w:space="0" w:color="auto"/>
              <w:left w:val="nil"/>
              <w:bottom w:val="single" w:sz="8" w:space="0" w:color="auto"/>
              <w:right w:val="single" w:sz="8" w:space="0" w:color="auto"/>
            </w:tcBorders>
            <w:shd w:val="solid" w:color="000000" w:fill="000000"/>
            <w:tcMar>
              <w:top w:w="0" w:type="dxa"/>
              <w:left w:w="108" w:type="dxa"/>
              <w:bottom w:w="0" w:type="dxa"/>
              <w:right w:w="108" w:type="dxa"/>
            </w:tcMar>
          </w:tcPr>
          <w:p w14:paraId="37D573BA" w14:textId="5DB3BCB4" w:rsidR="004165C1" w:rsidRPr="00CE28E3" w:rsidRDefault="009C1643" w:rsidP="004165C1">
            <w:pPr>
              <w:pStyle w:val="TableText"/>
              <w:ind w:left="-57" w:right="-57"/>
            </w:pPr>
            <w:r w:rsidRPr="009E577F">
              <w:rPr>
                <w:b/>
                <w:bCs/>
                <w:color w:val="000000"/>
                <w:spacing w:val="26"/>
                <w:fitText w:val="848" w:id="-1286895356"/>
                <w:lang w:val="en-US"/>
                <w14:textFill>
                  <w14:solidFill>
                    <w14:srgbClr w14:val="000000">
                      <w14:alpha w14:val="100000"/>
                    </w14:srgbClr>
                  </w14:solidFill>
                </w14:textFill>
              </w:rPr>
              <w:t>|||||||||||</w:t>
            </w:r>
            <w:r w:rsidRPr="009E577F">
              <w:rPr>
                <w:b/>
                <w:bCs/>
                <w:color w:val="000000"/>
                <w:spacing w:val="11"/>
                <w:fitText w:val="848" w:id="-1286895356"/>
                <w:lang w:val="en-US"/>
                <w14:textFill>
                  <w14:solidFill>
                    <w14:srgbClr w14:val="000000">
                      <w14:alpha w14:val="100000"/>
                    </w14:srgbClr>
                  </w14:solidFill>
                </w14:textFill>
              </w:rPr>
              <w:t>|</w:t>
            </w:r>
          </w:p>
        </w:tc>
        <w:tc>
          <w:tcPr>
            <w:tcW w:w="1253" w:type="dxa"/>
            <w:tcBorders>
              <w:top w:val="single" w:sz="8" w:space="0" w:color="auto"/>
              <w:left w:val="nil"/>
              <w:bottom w:val="single" w:sz="8" w:space="0" w:color="auto"/>
              <w:right w:val="single" w:sz="8" w:space="0" w:color="auto"/>
            </w:tcBorders>
            <w:shd w:val="solid" w:color="000000" w:fill="000000"/>
            <w:tcMar>
              <w:top w:w="0" w:type="dxa"/>
              <w:left w:w="108" w:type="dxa"/>
              <w:bottom w:w="0" w:type="dxa"/>
              <w:right w:w="108" w:type="dxa"/>
            </w:tcMar>
          </w:tcPr>
          <w:p w14:paraId="12C58702" w14:textId="65318FB9" w:rsidR="004165C1" w:rsidRPr="00CE28E3" w:rsidRDefault="009C1643" w:rsidP="004165C1">
            <w:pPr>
              <w:pStyle w:val="TableText"/>
              <w:ind w:left="-57" w:right="-57"/>
            </w:pPr>
            <w:r w:rsidRPr="009E577F">
              <w:rPr>
                <w:b/>
                <w:bCs/>
                <w:color w:val="000000"/>
                <w:spacing w:val="26"/>
                <w:fitText w:val="848" w:id="-1286895355"/>
                <w:lang w:val="en-US"/>
                <w14:textFill>
                  <w14:solidFill>
                    <w14:srgbClr w14:val="000000">
                      <w14:alpha w14:val="100000"/>
                    </w14:srgbClr>
                  </w14:solidFill>
                </w14:textFill>
              </w:rPr>
              <w:t>|||||||||||</w:t>
            </w:r>
            <w:r w:rsidRPr="009E577F">
              <w:rPr>
                <w:b/>
                <w:bCs/>
                <w:color w:val="000000"/>
                <w:spacing w:val="11"/>
                <w:fitText w:val="848" w:id="-1286895355"/>
                <w:lang w:val="en-US"/>
                <w14:textFill>
                  <w14:solidFill>
                    <w14:srgbClr w14:val="000000">
                      <w14:alpha w14:val="100000"/>
                    </w14:srgbClr>
                  </w14:solidFill>
                </w14:textFill>
              </w:rPr>
              <w:t>|</w:t>
            </w:r>
          </w:p>
        </w:tc>
        <w:tc>
          <w:tcPr>
            <w:tcW w:w="1253" w:type="dxa"/>
            <w:tcBorders>
              <w:top w:val="single" w:sz="8" w:space="0" w:color="auto"/>
              <w:left w:val="nil"/>
              <w:bottom w:val="single" w:sz="8" w:space="0" w:color="auto"/>
              <w:right w:val="single" w:sz="8" w:space="0" w:color="auto"/>
            </w:tcBorders>
            <w:shd w:val="solid" w:color="000000" w:fill="000000"/>
            <w:tcMar>
              <w:top w:w="0" w:type="dxa"/>
              <w:left w:w="108" w:type="dxa"/>
              <w:bottom w:w="0" w:type="dxa"/>
              <w:right w:w="108" w:type="dxa"/>
            </w:tcMar>
          </w:tcPr>
          <w:p w14:paraId="3ED90270" w14:textId="17C26C28" w:rsidR="004165C1" w:rsidRPr="00CE28E3" w:rsidRDefault="009C1643" w:rsidP="004165C1">
            <w:pPr>
              <w:pStyle w:val="TableText"/>
              <w:ind w:left="-57" w:right="-57"/>
            </w:pPr>
            <w:r w:rsidRPr="009E577F">
              <w:rPr>
                <w:b/>
                <w:bCs/>
                <w:color w:val="000000"/>
                <w:spacing w:val="26"/>
                <w:fitText w:val="848" w:id="-1286895354"/>
                <w:lang w:val="en-US"/>
                <w14:textFill>
                  <w14:solidFill>
                    <w14:srgbClr w14:val="000000">
                      <w14:alpha w14:val="100000"/>
                    </w14:srgbClr>
                  </w14:solidFill>
                </w14:textFill>
              </w:rPr>
              <w:t>|||||||||||</w:t>
            </w:r>
            <w:r w:rsidRPr="009E577F">
              <w:rPr>
                <w:b/>
                <w:bCs/>
                <w:color w:val="000000"/>
                <w:spacing w:val="11"/>
                <w:fitText w:val="848" w:id="-1286895354"/>
                <w:lang w:val="en-US"/>
                <w14:textFill>
                  <w14:solidFill>
                    <w14:srgbClr w14:val="000000">
                      <w14:alpha w14:val="100000"/>
                    </w14:srgbClr>
                  </w14:solidFill>
                </w14:textFill>
              </w:rPr>
              <w:t>|</w:t>
            </w:r>
          </w:p>
        </w:tc>
      </w:tr>
      <w:tr w:rsidR="009C1643" w:rsidRPr="00CE28E3" w14:paraId="4F873971" w14:textId="77777777" w:rsidTr="009C1643">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21577E" w14:textId="77777777" w:rsidR="004165C1" w:rsidRPr="00A00997" w:rsidRDefault="004165C1" w:rsidP="004165C1">
            <w:pPr>
              <w:pStyle w:val="TableText"/>
              <w:ind w:left="-57" w:right="-57"/>
            </w:pPr>
            <w:r w:rsidRPr="00F21511">
              <w:t>Total new patients electing treatment per year</w:t>
            </w:r>
          </w:p>
        </w:tc>
        <w:tc>
          <w:tcPr>
            <w:tcW w:w="1252" w:type="dxa"/>
            <w:tcBorders>
              <w:top w:val="single" w:sz="8" w:space="0" w:color="auto"/>
              <w:left w:val="nil"/>
              <w:bottom w:val="single" w:sz="8" w:space="0" w:color="auto"/>
              <w:right w:val="single" w:sz="8" w:space="0" w:color="auto"/>
            </w:tcBorders>
            <w:shd w:val="solid" w:color="000000" w:fill="000000"/>
            <w:tcMar>
              <w:top w:w="0" w:type="dxa"/>
              <w:left w:w="108" w:type="dxa"/>
              <w:bottom w:w="0" w:type="dxa"/>
              <w:right w:w="108" w:type="dxa"/>
            </w:tcMar>
          </w:tcPr>
          <w:p w14:paraId="4B266BE4" w14:textId="03DF3BFC" w:rsidR="004165C1" w:rsidRPr="00A00997" w:rsidRDefault="009C1643" w:rsidP="004165C1">
            <w:pPr>
              <w:pStyle w:val="TableText"/>
              <w:ind w:left="-57" w:right="-57"/>
            </w:pPr>
            <w:r w:rsidRPr="009E577F">
              <w:rPr>
                <w:b/>
                <w:bCs/>
                <w:color w:val="000000"/>
                <w:spacing w:val="26"/>
                <w:fitText w:val="848" w:id="-1286895353"/>
                <w:lang w:val="en-US"/>
                <w14:textFill>
                  <w14:solidFill>
                    <w14:srgbClr w14:val="000000">
                      <w14:alpha w14:val="100000"/>
                    </w14:srgbClr>
                  </w14:solidFill>
                </w14:textFill>
              </w:rPr>
              <w:t>|||||||||||</w:t>
            </w:r>
            <w:r w:rsidRPr="009E577F">
              <w:rPr>
                <w:b/>
                <w:bCs/>
                <w:color w:val="000000"/>
                <w:spacing w:val="11"/>
                <w:fitText w:val="848" w:id="-1286895353"/>
                <w:lang w:val="en-US"/>
                <w14:textFill>
                  <w14:solidFill>
                    <w14:srgbClr w14:val="000000">
                      <w14:alpha w14:val="100000"/>
                    </w14:srgbClr>
                  </w14:solidFill>
                </w14:textFill>
              </w:rPr>
              <w:t>|</w:t>
            </w:r>
          </w:p>
        </w:tc>
        <w:tc>
          <w:tcPr>
            <w:tcW w:w="1253" w:type="dxa"/>
            <w:tcBorders>
              <w:top w:val="single" w:sz="8" w:space="0" w:color="auto"/>
              <w:left w:val="nil"/>
              <w:bottom w:val="single" w:sz="8" w:space="0" w:color="auto"/>
              <w:right w:val="single" w:sz="8" w:space="0" w:color="auto"/>
            </w:tcBorders>
            <w:shd w:val="solid" w:color="000000" w:fill="000000"/>
            <w:tcMar>
              <w:top w:w="0" w:type="dxa"/>
              <w:left w:w="108" w:type="dxa"/>
              <w:bottom w:w="0" w:type="dxa"/>
              <w:right w:w="108" w:type="dxa"/>
            </w:tcMar>
          </w:tcPr>
          <w:p w14:paraId="1C05F1FB" w14:textId="698D452A" w:rsidR="004165C1" w:rsidRPr="00A00997" w:rsidRDefault="009C1643" w:rsidP="004165C1">
            <w:pPr>
              <w:pStyle w:val="TableText"/>
              <w:ind w:left="-57" w:right="-57"/>
            </w:pPr>
            <w:r w:rsidRPr="009E577F">
              <w:rPr>
                <w:b/>
                <w:bCs/>
                <w:color w:val="000000"/>
                <w:spacing w:val="26"/>
                <w:fitText w:val="848" w:id="-1286895352"/>
                <w:lang w:val="en-US"/>
                <w14:textFill>
                  <w14:solidFill>
                    <w14:srgbClr w14:val="000000">
                      <w14:alpha w14:val="100000"/>
                    </w14:srgbClr>
                  </w14:solidFill>
                </w14:textFill>
              </w:rPr>
              <w:t>|||||||||||</w:t>
            </w:r>
            <w:r w:rsidRPr="009E577F">
              <w:rPr>
                <w:b/>
                <w:bCs/>
                <w:color w:val="000000"/>
                <w:spacing w:val="11"/>
                <w:fitText w:val="848" w:id="-1286895352"/>
                <w:lang w:val="en-US"/>
                <w14:textFill>
                  <w14:solidFill>
                    <w14:srgbClr w14:val="000000">
                      <w14:alpha w14:val="100000"/>
                    </w14:srgbClr>
                  </w14:solidFill>
                </w14:textFill>
              </w:rPr>
              <w:t>|</w:t>
            </w:r>
          </w:p>
        </w:tc>
        <w:tc>
          <w:tcPr>
            <w:tcW w:w="1253" w:type="dxa"/>
            <w:tcBorders>
              <w:top w:val="single" w:sz="8" w:space="0" w:color="auto"/>
              <w:left w:val="nil"/>
              <w:bottom w:val="single" w:sz="8" w:space="0" w:color="auto"/>
              <w:right w:val="single" w:sz="8" w:space="0" w:color="auto"/>
            </w:tcBorders>
            <w:shd w:val="solid" w:color="000000" w:fill="000000"/>
            <w:tcMar>
              <w:top w:w="0" w:type="dxa"/>
              <w:left w:w="108" w:type="dxa"/>
              <w:bottom w:w="0" w:type="dxa"/>
              <w:right w:w="108" w:type="dxa"/>
            </w:tcMar>
          </w:tcPr>
          <w:p w14:paraId="2B20F018" w14:textId="08DC54EC" w:rsidR="004165C1" w:rsidRPr="00A00997" w:rsidRDefault="009C1643" w:rsidP="004165C1">
            <w:pPr>
              <w:pStyle w:val="TableText"/>
              <w:ind w:left="-57" w:right="-57"/>
            </w:pPr>
            <w:r w:rsidRPr="009E577F">
              <w:rPr>
                <w:b/>
                <w:bCs/>
                <w:color w:val="000000"/>
                <w:spacing w:val="26"/>
                <w:fitText w:val="848" w:id="-1286895351"/>
                <w:lang w:val="en-US"/>
                <w14:textFill>
                  <w14:solidFill>
                    <w14:srgbClr w14:val="000000">
                      <w14:alpha w14:val="100000"/>
                    </w14:srgbClr>
                  </w14:solidFill>
                </w14:textFill>
              </w:rPr>
              <w:t>|||||||||||</w:t>
            </w:r>
            <w:r w:rsidRPr="009E577F">
              <w:rPr>
                <w:b/>
                <w:bCs/>
                <w:color w:val="000000"/>
                <w:spacing w:val="11"/>
                <w:fitText w:val="848" w:id="-1286895351"/>
                <w:lang w:val="en-US"/>
                <w14:textFill>
                  <w14:solidFill>
                    <w14:srgbClr w14:val="000000">
                      <w14:alpha w14:val="100000"/>
                    </w14:srgbClr>
                  </w14:solidFill>
                </w14:textFill>
              </w:rPr>
              <w:t>|</w:t>
            </w:r>
          </w:p>
        </w:tc>
        <w:tc>
          <w:tcPr>
            <w:tcW w:w="1253" w:type="dxa"/>
            <w:tcBorders>
              <w:top w:val="single" w:sz="8" w:space="0" w:color="auto"/>
              <w:left w:val="nil"/>
              <w:bottom w:val="single" w:sz="8" w:space="0" w:color="auto"/>
              <w:right w:val="single" w:sz="8" w:space="0" w:color="auto"/>
            </w:tcBorders>
            <w:shd w:val="solid" w:color="000000" w:fill="000000"/>
            <w:tcMar>
              <w:top w:w="0" w:type="dxa"/>
              <w:left w:w="108" w:type="dxa"/>
              <w:bottom w:w="0" w:type="dxa"/>
              <w:right w:w="108" w:type="dxa"/>
            </w:tcMar>
          </w:tcPr>
          <w:p w14:paraId="29A78E41" w14:textId="448274DF" w:rsidR="004165C1" w:rsidRPr="00A00997" w:rsidRDefault="009C1643" w:rsidP="004165C1">
            <w:pPr>
              <w:pStyle w:val="TableText"/>
              <w:ind w:left="-57" w:right="-57"/>
            </w:pPr>
            <w:r w:rsidRPr="009E577F">
              <w:rPr>
                <w:b/>
                <w:bCs/>
                <w:color w:val="000000"/>
                <w:spacing w:val="26"/>
                <w:fitText w:val="848" w:id="-1286895350"/>
                <w:lang w:val="en-US"/>
                <w14:textFill>
                  <w14:solidFill>
                    <w14:srgbClr w14:val="000000">
                      <w14:alpha w14:val="100000"/>
                    </w14:srgbClr>
                  </w14:solidFill>
                </w14:textFill>
              </w:rPr>
              <w:t>|||||||||||</w:t>
            </w:r>
            <w:r w:rsidRPr="009E577F">
              <w:rPr>
                <w:b/>
                <w:bCs/>
                <w:color w:val="000000"/>
                <w:spacing w:val="11"/>
                <w:fitText w:val="848" w:id="-1286895350"/>
                <w:lang w:val="en-US"/>
                <w14:textFill>
                  <w14:solidFill>
                    <w14:srgbClr w14:val="000000">
                      <w14:alpha w14:val="100000"/>
                    </w14:srgbClr>
                  </w14:solidFill>
                </w14:textFill>
              </w:rPr>
              <w:t>|</w:t>
            </w:r>
          </w:p>
        </w:tc>
        <w:tc>
          <w:tcPr>
            <w:tcW w:w="1253" w:type="dxa"/>
            <w:tcBorders>
              <w:top w:val="single" w:sz="8" w:space="0" w:color="auto"/>
              <w:left w:val="nil"/>
              <w:bottom w:val="single" w:sz="8" w:space="0" w:color="auto"/>
              <w:right w:val="single" w:sz="8" w:space="0" w:color="auto"/>
            </w:tcBorders>
            <w:shd w:val="solid" w:color="000000" w:fill="000000"/>
            <w:tcMar>
              <w:top w:w="0" w:type="dxa"/>
              <w:left w:w="108" w:type="dxa"/>
              <w:bottom w:w="0" w:type="dxa"/>
              <w:right w:w="108" w:type="dxa"/>
            </w:tcMar>
          </w:tcPr>
          <w:p w14:paraId="1C091CAC" w14:textId="176ABA14" w:rsidR="004165C1" w:rsidRPr="00A00997" w:rsidRDefault="009C1643" w:rsidP="004165C1">
            <w:pPr>
              <w:pStyle w:val="TableText"/>
              <w:ind w:left="-57" w:right="-57"/>
            </w:pPr>
            <w:r w:rsidRPr="009E577F">
              <w:rPr>
                <w:b/>
                <w:bCs/>
                <w:color w:val="000000"/>
                <w:spacing w:val="26"/>
                <w:fitText w:val="848" w:id="-1286895349"/>
                <w:lang w:val="en-US"/>
                <w14:textFill>
                  <w14:solidFill>
                    <w14:srgbClr w14:val="000000">
                      <w14:alpha w14:val="100000"/>
                    </w14:srgbClr>
                  </w14:solidFill>
                </w14:textFill>
              </w:rPr>
              <w:t>|||||||||||</w:t>
            </w:r>
            <w:r w:rsidRPr="009E577F">
              <w:rPr>
                <w:b/>
                <w:bCs/>
                <w:color w:val="000000"/>
                <w:spacing w:val="11"/>
                <w:fitText w:val="848" w:id="-1286895349"/>
                <w:lang w:val="en-US"/>
                <w14:textFill>
                  <w14:solidFill>
                    <w14:srgbClr w14:val="000000">
                      <w14:alpha w14:val="100000"/>
                    </w14:srgbClr>
                  </w14:solidFill>
                </w14:textFill>
              </w:rPr>
              <w:t>|</w:t>
            </w:r>
          </w:p>
        </w:tc>
        <w:tc>
          <w:tcPr>
            <w:tcW w:w="1253" w:type="dxa"/>
            <w:tcBorders>
              <w:top w:val="single" w:sz="8" w:space="0" w:color="auto"/>
              <w:left w:val="nil"/>
              <w:bottom w:val="single" w:sz="8" w:space="0" w:color="auto"/>
              <w:right w:val="single" w:sz="8" w:space="0" w:color="auto"/>
            </w:tcBorders>
            <w:shd w:val="solid" w:color="000000" w:fill="000000"/>
            <w:tcMar>
              <w:top w:w="0" w:type="dxa"/>
              <w:left w:w="108" w:type="dxa"/>
              <w:bottom w:w="0" w:type="dxa"/>
              <w:right w:w="108" w:type="dxa"/>
            </w:tcMar>
          </w:tcPr>
          <w:p w14:paraId="249DA9C9" w14:textId="2CA30622" w:rsidR="004165C1" w:rsidRPr="00A00997" w:rsidRDefault="009C1643" w:rsidP="004165C1">
            <w:pPr>
              <w:pStyle w:val="TableText"/>
              <w:ind w:left="-57" w:right="-57"/>
            </w:pPr>
            <w:r w:rsidRPr="009E577F">
              <w:rPr>
                <w:b/>
                <w:bCs/>
                <w:color w:val="000000"/>
                <w:spacing w:val="26"/>
                <w:fitText w:val="848" w:id="-1286895348"/>
                <w:lang w:val="en-US"/>
                <w14:textFill>
                  <w14:solidFill>
                    <w14:srgbClr w14:val="000000">
                      <w14:alpha w14:val="100000"/>
                    </w14:srgbClr>
                  </w14:solidFill>
                </w14:textFill>
              </w:rPr>
              <w:t>|||||||||||</w:t>
            </w:r>
            <w:r w:rsidRPr="009E577F">
              <w:rPr>
                <w:b/>
                <w:bCs/>
                <w:color w:val="000000"/>
                <w:spacing w:val="11"/>
                <w:fitText w:val="848" w:id="-1286895348"/>
                <w:lang w:val="en-US"/>
                <w14:textFill>
                  <w14:solidFill>
                    <w14:srgbClr w14:val="000000">
                      <w14:alpha w14:val="100000"/>
                    </w14:srgbClr>
                  </w14:solidFill>
                </w14:textFill>
              </w:rPr>
              <w:t>|</w:t>
            </w:r>
          </w:p>
        </w:tc>
      </w:tr>
      <w:tr w:rsidR="009C1643" w:rsidRPr="00CE28E3" w14:paraId="2E7E2A0A" w14:textId="77777777" w:rsidTr="009C1643">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B39173" w14:textId="77777777" w:rsidR="004165C1" w:rsidRPr="00F21511" w:rsidRDefault="004165C1" w:rsidP="004165C1">
            <w:pPr>
              <w:pStyle w:val="TableText"/>
              <w:ind w:left="-57" w:right="-57"/>
            </w:pPr>
            <w:r>
              <w:t>Patients re-testing</w:t>
            </w:r>
          </w:p>
        </w:tc>
        <w:tc>
          <w:tcPr>
            <w:tcW w:w="1252" w:type="dxa"/>
            <w:tcBorders>
              <w:top w:val="single" w:sz="8" w:space="0" w:color="auto"/>
              <w:left w:val="nil"/>
              <w:bottom w:val="single" w:sz="8" w:space="0" w:color="auto"/>
              <w:right w:val="single" w:sz="8" w:space="0" w:color="auto"/>
            </w:tcBorders>
            <w:shd w:val="solid" w:color="000000" w:fill="000000"/>
            <w:tcMar>
              <w:top w:w="0" w:type="dxa"/>
              <w:left w:w="108" w:type="dxa"/>
              <w:bottom w:w="0" w:type="dxa"/>
              <w:right w:w="108" w:type="dxa"/>
            </w:tcMar>
          </w:tcPr>
          <w:p w14:paraId="30DFA3BF" w14:textId="278B4156" w:rsidR="004165C1" w:rsidRPr="00423E01" w:rsidRDefault="009C1643" w:rsidP="004165C1">
            <w:pPr>
              <w:pStyle w:val="TableText"/>
              <w:ind w:left="-57" w:right="-57"/>
            </w:pPr>
            <w:r w:rsidRPr="009E577F">
              <w:rPr>
                <w:b/>
                <w:bCs/>
                <w:color w:val="000000"/>
                <w:spacing w:val="26"/>
                <w:fitText w:val="848" w:id="-1286895347"/>
                <w:lang w:val="en-US"/>
                <w14:textFill>
                  <w14:solidFill>
                    <w14:srgbClr w14:val="000000">
                      <w14:alpha w14:val="100000"/>
                    </w14:srgbClr>
                  </w14:solidFill>
                </w14:textFill>
              </w:rPr>
              <w:t>|||||||||||</w:t>
            </w:r>
            <w:r w:rsidRPr="009E577F">
              <w:rPr>
                <w:b/>
                <w:bCs/>
                <w:color w:val="000000"/>
                <w:spacing w:val="11"/>
                <w:fitText w:val="848" w:id="-1286895347"/>
                <w:lang w:val="en-US"/>
                <w14:textFill>
                  <w14:solidFill>
                    <w14:srgbClr w14:val="000000">
                      <w14:alpha w14:val="100000"/>
                    </w14:srgbClr>
                  </w14:solidFill>
                </w14:textFill>
              </w:rPr>
              <w:t>|</w:t>
            </w:r>
          </w:p>
        </w:tc>
        <w:tc>
          <w:tcPr>
            <w:tcW w:w="1253" w:type="dxa"/>
            <w:tcBorders>
              <w:top w:val="single" w:sz="8" w:space="0" w:color="auto"/>
              <w:left w:val="nil"/>
              <w:bottom w:val="single" w:sz="8" w:space="0" w:color="auto"/>
              <w:right w:val="single" w:sz="8" w:space="0" w:color="auto"/>
            </w:tcBorders>
            <w:shd w:val="solid" w:color="000000" w:fill="000000"/>
            <w:tcMar>
              <w:top w:w="0" w:type="dxa"/>
              <w:left w:w="108" w:type="dxa"/>
              <w:bottom w:w="0" w:type="dxa"/>
              <w:right w:w="108" w:type="dxa"/>
            </w:tcMar>
          </w:tcPr>
          <w:p w14:paraId="0E99AE5B" w14:textId="5EF67BAE" w:rsidR="004165C1" w:rsidRPr="00423E01" w:rsidRDefault="009C1643" w:rsidP="004165C1">
            <w:pPr>
              <w:pStyle w:val="TableText"/>
              <w:ind w:left="-57" w:right="-57"/>
            </w:pPr>
            <w:r w:rsidRPr="009E577F">
              <w:rPr>
                <w:b/>
                <w:bCs/>
                <w:color w:val="000000"/>
                <w:spacing w:val="26"/>
                <w:fitText w:val="848" w:id="-1286895346"/>
                <w:lang w:val="en-US"/>
                <w14:textFill>
                  <w14:solidFill>
                    <w14:srgbClr w14:val="000000">
                      <w14:alpha w14:val="100000"/>
                    </w14:srgbClr>
                  </w14:solidFill>
                </w14:textFill>
              </w:rPr>
              <w:t>|||||||||||</w:t>
            </w:r>
            <w:r w:rsidRPr="009E577F">
              <w:rPr>
                <w:b/>
                <w:bCs/>
                <w:color w:val="000000"/>
                <w:spacing w:val="11"/>
                <w:fitText w:val="848" w:id="-1286895346"/>
                <w:lang w:val="en-US"/>
                <w14:textFill>
                  <w14:solidFill>
                    <w14:srgbClr w14:val="000000">
                      <w14:alpha w14:val="100000"/>
                    </w14:srgbClr>
                  </w14:solidFill>
                </w14:textFill>
              </w:rPr>
              <w:t>|</w:t>
            </w:r>
          </w:p>
        </w:tc>
        <w:tc>
          <w:tcPr>
            <w:tcW w:w="1253" w:type="dxa"/>
            <w:tcBorders>
              <w:top w:val="single" w:sz="8" w:space="0" w:color="auto"/>
              <w:left w:val="nil"/>
              <w:bottom w:val="single" w:sz="8" w:space="0" w:color="auto"/>
              <w:right w:val="single" w:sz="8" w:space="0" w:color="auto"/>
            </w:tcBorders>
            <w:shd w:val="solid" w:color="000000" w:fill="000000"/>
            <w:tcMar>
              <w:top w:w="0" w:type="dxa"/>
              <w:left w:w="108" w:type="dxa"/>
              <w:bottom w:w="0" w:type="dxa"/>
              <w:right w:w="108" w:type="dxa"/>
            </w:tcMar>
          </w:tcPr>
          <w:p w14:paraId="38C295FA" w14:textId="61567061" w:rsidR="004165C1" w:rsidRPr="00423E01" w:rsidRDefault="009C1643" w:rsidP="004165C1">
            <w:pPr>
              <w:pStyle w:val="TableText"/>
              <w:ind w:left="-57" w:right="-57"/>
            </w:pPr>
            <w:r w:rsidRPr="009E577F">
              <w:rPr>
                <w:b/>
                <w:bCs/>
                <w:color w:val="000000"/>
                <w:spacing w:val="26"/>
                <w:fitText w:val="848" w:id="-1286895345"/>
                <w:lang w:val="en-US"/>
                <w14:textFill>
                  <w14:solidFill>
                    <w14:srgbClr w14:val="000000">
                      <w14:alpha w14:val="100000"/>
                    </w14:srgbClr>
                  </w14:solidFill>
                </w14:textFill>
              </w:rPr>
              <w:t>|||||||||||</w:t>
            </w:r>
            <w:r w:rsidRPr="009E577F">
              <w:rPr>
                <w:b/>
                <w:bCs/>
                <w:color w:val="000000"/>
                <w:spacing w:val="11"/>
                <w:fitText w:val="848" w:id="-1286895345"/>
                <w:lang w:val="en-US"/>
                <w14:textFill>
                  <w14:solidFill>
                    <w14:srgbClr w14:val="000000">
                      <w14:alpha w14:val="100000"/>
                    </w14:srgbClr>
                  </w14:solidFill>
                </w14:textFill>
              </w:rPr>
              <w:t>|</w:t>
            </w:r>
          </w:p>
        </w:tc>
        <w:tc>
          <w:tcPr>
            <w:tcW w:w="1253" w:type="dxa"/>
            <w:tcBorders>
              <w:top w:val="single" w:sz="8" w:space="0" w:color="auto"/>
              <w:left w:val="nil"/>
              <w:bottom w:val="single" w:sz="8" w:space="0" w:color="auto"/>
              <w:right w:val="single" w:sz="8" w:space="0" w:color="auto"/>
            </w:tcBorders>
            <w:shd w:val="solid" w:color="000000" w:fill="000000"/>
            <w:tcMar>
              <w:top w:w="0" w:type="dxa"/>
              <w:left w:w="108" w:type="dxa"/>
              <w:bottom w:w="0" w:type="dxa"/>
              <w:right w:w="108" w:type="dxa"/>
            </w:tcMar>
          </w:tcPr>
          <w:p w14:paraId="1C006526" w14:textId="0AEB574D" w:rsidR="004165C1" w:rsidRPr="00423E01" w:rsidRDefault="009C1643" w:rsidP="004165C1">
            <w:pPr>
              <w:pStyle w:val="TableText"/>
              <w:ind w:left="-57" w:right="-57"/>
            </w:pPr>
            <w:r w:rsidRPr="009E577F">
              <w:rPr>
                <w:b/>
                <w:bCs/>
                <w:color w:val="000000"/>
                <w:spacing w:val="26"/>
                <w:fitText w:val="848" w:id="-1286895344"/>
                <w:lang w:val="en-US"/>
                <w14:textFill>
                  <w14:solidFill>
                    <w14:srgbClr w14:val="000000">
                      <w14:alpha w14:val="100000"/>
                    </w14:srgbClr>
                  </w14:solidFill>
                </w14:textFill>
              </w:rPr>
              <w:t>|||||||||||</w:t>
            </w:r>
            <w:r w:rsidRPr="009E577F">
              <w:rPr>
                <w:b/>
                <w:bCs/>
                <w:color w:val="000000"/>
                <w:spacing w:val="11"/>
                <w:fitText w:val="848" w:id="-1286895344"/>
                <w:lang w:val="en-US"/>
                <w14:textFill>
                  <w14:solidFill>
                    <w14:srgbClr w14:val="000000">
                      <w14:alpha w14:val="100000"/>
                    </w14:srgbClr>
                  </w14:solidFill>
                </w14:textFill>
              </w:rPr>
              <w:t>|</w:t>
            </w:r>
          </w:p>
        </w:tc>
        <w:tc>
          <w:tcPr>
            <w:tcW w:w="1253" w:type="dxa"/>
            <w:tcBorders>
              <w:top w:val="single" w:sz="8" w:space="0" w:color="auto"/>
              <w:left w:val="nil"/>
              <w:bottom w:val="single" w:sz="8" w:space="0" w:color="auto"/>
              <w:right w:val="single" w:sz="8" w:space="0" w:color="auto"/>
            </w:tcBorders>
            <w:shd w:val="solid" w:color="000000" w:fill="000000"/>
            <w:tcMar>
              <w:top w:w="0" w:type="dxa"/>
              <w:left w:w="108" w:type="dxa"/>
              <w:bottom w:w="0" w:type="dxa"/>
              <w:right w:w="108" w:type="dxa"/>
            </w:tcMar>
          </w:tcPr>
          <w:p w14:paraId="563527AA" w14:textId="262C517D" w:rsidR="004165C1" w:rsidRPr="00423E01" w:rsidRDefault="009C1643" w:rsidP="004165C1">
            <w:pPr>
              <w:pStyle w:val="TableText"/>
              <w:ind w:left="-57" w:right="-57"/>
            </w:pPr>
            <w:r w:rsidRPr="009E577F">
              <w:rPr>
                <w:b/>
                <w:bCs/>
                <w:color w:val="000000"/>
                <w:spacing w:val="26"/>
                <w:fitText w:val="848" w:id="-1286895360"/>
                <w:lang w:val="en-US"/>
                <w14:textFill>
                  <w14:solidFill>
                    <w14:srgbClr w14:val="000000">
                      <w14:alpha w14:val="100000"/>
                    </w14:srgbClr>
                  </w14:solidFill>
                </w14:textFill>
              </w:rPr>
              <w:t>|||||||||||</w:t>
            </w:r>
            <w:r w:rsidRPr="009E577F">
              <w:rPr>
                <w:b/>
                <w:bCs/>
                <w:color w:val="000000"/>
                <w:spacing w:val="11"/>
                <w:fitText w:val="848" w:id="-1286895360"/>
                <w:lang w:val="en-US"/>
                <w14:textFill>
                  <w14:solidFill>
                    <w14:srgbClr w14:val="000000">
                      <w14:alpha w14:val="100000"/>
                    </w14:srgbClr>
                  </w14:solidFill>
                </w14:textFill>
              </w:rPr>
              <w:t>|</w:t>
            </w:r>
          </w:p>
        </w:tc>
        <w:tc>
          <w:tcPr>
            <w:tcW w:w="1253" w:type="dxa"/>
            <w:tcBorders>
              <w:top w:val="single" w:sz="8" w:space="0" w:color="auto"/>
              <w:left w:val="nil"/>
              <w:bottom w:val="single" w:sz="8" w:space="0" w:color="auto"/>
              <w:right w:val="single" w:sz="8" w:space="0" w:color="auto"/>
            </w:tcBorders>
            <w:shd w:val="solid" w:color="000000" w:fill="000000"/>
            <w:tcMar>
              <w:top w:w="0" w:type="dxa"/>
              <w:left w:w="108" w:type="dxa"/>
              <w:bottom w:w="0" w:type="dxa"/>
              <w:right w:w="108" w:type="dxa"/>
            </w:tcMar>
          </w:tcPr>
          <w:p w14:paraId="503F7BD3" w14:textId="40F47BB0" w:rsidR="004165C1" w:rsidRPr="00423E01" w:rsidRDefault="009C1643" w:rsidP="004165C1">
            <w:pPr>
              <w:pStyle w:val="TableText"/>
              <w:ind w:left="-57" w:right="-57"/>
            </w:pPr>
            <w:r w:rsidRPr="009E577F">
              <w:rPr>
                <w:b/>
                <w:bCs/>
                <w:color w:val="000000"/>
                <w:spacing w:val="26"/>
                <w:fitText w:val="848" w:id="-1286895359"/>
                <w:lang w:val="en-US"/>
                <w14:textFill>
                  <w14:solidFill>
                    <w14:srgbClr w14:val="000000">
                      <w14:alpha w14:val="100000"/>
                    </w14:srgbClr>
                  </w14:solidFill>
                </w14:textFill>
              </w:rPr>
              <w:t>|||||||||||</w:t>
            </w:r>
            <w:r w:rsidRPr="009E577F">
              <w:rPr>
                <w:b/>
                <w:bCs/>
                <w:color w:val="000000"/>
                <w:spacing w:val="11"/>
                <w:fitText w:val="848" w:id="-1286895359"/>
                <w:lang w:val="en-US"/>
                <w14:textFill>
                  <w14:solidFill>
                    <w14:srgbClr w14:val="000000">
                      <w14:alpha w14:val="100000"/>
                    </w14:srgbClr>
                  </w14:solidFill>
                </w14:textFill>
              </w:rPr>
              <w:t>|</w:t>
            </w:r>
          </w:p>
        </w:tc>
      </w:tr>
      <w:tr w:rsidR="004165C1" w:rsidRPr="00CE28E3" w14:paraId="55D87E2E" w14:textId="77777777" w:rsidTr="009C1643">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F9A0D" w14:textId="77777777" w:rsidR="004165C1" w:rsidRPr="00A00997" w:rsidRDefault="004165C1" w:rsidP="004165C1">
            <w:pPr>
              <w:pStyle w:val="TableText"/>
              <w:ind w:left="-57" w:right="-57"/>
            </w:pPr>
            <w:r w:rsidRPr="00A00997">
              <w:t xml:space="preserve">Total PromarkerD </w:t>
            </w:r>
            <w:r>
              <w:t>s</w:t>
            </w:r>
            <w:r w:rsidRPr="00A00997">
              <w:t>ervices</w:t>
            </w:r>
          </w:p>
        </w:tc>
        <w:tc>
          <w:tcPr>
            <w:tcW w:w="1252" w:type="dxa"/>
            <w:tcBorders>
              <w:top w:val="single" w:sz="8" w:space="0" w:color="auto"/>
              <w:left w:val="nil"/>
              <w:bottom w:val="single" w:sz="8" w:space="0" w:color="auto"/>
              <w:right w:val="single" w:sz="8" w:space="0" w:color="auto"/>
            </w:tcBorders>
            <w:shd w:val="solid" w:color="000000" w:fill="000000"/>
            <w:tcMar>
              <w:top w:w="0" w:type="dxa"/>
              <w:left w:w="108" w:type="dxa"/>
              <w:bottom w:w="0" w:type="dxa"/>
              <w:right w:w="108" w:type="dxa"/>
            </w:tcMar>
          </w:tcPr>
          <w:p w14:paraId="0C65A517" w14:textId="467F8BB8" w:rsidR="004165C1" w:rsidRPr="00A00997" w:rsidRDefault="009C1643" w:rsidP="004165C1">
            <w:pPr>
              <w:pStyle w:val="TableText"/>
              <w:ind w:left="-57" w:right="-57"/>
            </w:pPr>
            <w:r w:rsidRPr="009E577F">
              <w:rPr>
                <w:b/>
                <w:bCs/>
                <w:color w:val="000000"/>
                <w:spacing w:val="26"/>
                <w:fitText w:val="848" w:id="-1286895358"/>
                <w:lang w:val="en-US"/>
                <w14:textFill>
                  <w14:solidFill>
                    <w14:srgbClr w14:val="000000">
                      <w14:alpha w14:val="100000"/>
                    </w14:srgbClr>
                  </w14:solidFill>
                </w14:textFill>
              </w:rPr>
              <w:t>|||||||||||</w:t>
            </w:r>
            <w:r w:rsidRPr="009E577F">
              <w:rPr>
                <w:b/>
                <w:bCs/>
                <w:color w:val="000000"/>
                <w:spacing w:val="11"/>
                <w:fitText w:val="848" w:id="-1286895358"/>
                <w:lang w:val="en-US"/>
                <w14:textFill>
                  <w14:solidFill>
                    <w14:srgbClr w14:val="000000">
                      <w14:alpha w14:val="100000"/>
                    </w14:srgbClr>
                  </w14:solidFill>
                </w14:textFill>
              </w:rPr>
              <w:t>|</w:t>
            </w:r>
          </w:p>
        </w:tc>
        <w:tc>
          <w:tcPr>
            <w:tcW w:w="1253" w:type="dxa"/>
            <w:tcBorders>
              <w:top w:val="single" w:sz="8" w:space="0" w:color="auto"/>
              <w:left w:val="nil"/>
              <w:bottom w:val="single" w:sz="8" w:space="0" w:color="auto"/>
              <w:right w:val="single" w:sz="8" w:space="0" w:color="auto"/>
            </w:tcBorders>
            <w:shd w:val="solid" w:color="000000" w:fill="000000"/>
            <w:tcMar>
              <w:top w:w="0" w:type="dxa"/>
              <w:left w:w="108" w:type="dxa"/>
              <w:bottom w:w="0" w:type="dxa"/>
              <w:right w:w="108" w:type="dxa"/>
            </w:tcMar>
          </w:tcPr>
          <w:p w14:paraId="327B17F5" w14:textId="3B676F30" w:rsidR="004165C1" w:rsidRPr="00A00997" w:rsidRDefault="009C1643" w:rsidP="004165C1">
            <w:pPr>
              <w:pStyle w:val="TableText"/>
              <w:ind w:left="-57" w:right="-57"/>
            </w:pPr>
            <w:r w:rsidRPr="009E577F">
              <w:rPr>
                <w:b/>
                <w:bCs/>
                <w:color w:val="000000"/>
                <w:spacing w:val="26"/>
                <w:fitText w:val="848" w:id="-1286895357"/>
                <w:lang w:val="en-US"/>
                <w14:textFill>
                  <w14:solidFill>
                    <w14:srgbClr w14:val="000000">
                      <w14:alpha w14:val="100000"/>
                    </w14:srgbClr>
                  </w14:solidFill>
                </w14:textFill>
              </w:rPr>
              <w:t>|||||||||||</w:t>
            </w:r>
            <w:r w:rsidRPr="009E577F">
              <w:rPr>
                <w:b/>
                <w:bCs/>
                <w:color w:val="000000"/>
                <w:spacing w:val="11"/>
                <w:fitText w:val="848" w:id="-1286895357"/>
                <w:lang w:val="en-US"/>
                <w14:textFill>
                  <w14:solidFill>
                    <w14:srgbClr w14:val="000000">
                      <w14:alpha w14:val="100000"/>
                    </w14:srgbClr>
                  </w14:solidFill>
                </w14:textFill>
              </w:rPr>
              <w:t>|</w:t>
            </w:r>
          </w:p>
        </w:tc>
        <w:tc>
          <w:tcPr>
            <w:tcW w:w="1253" w:type="dxa"/>
            <w:tcBorders>
              <w:top w:val="single" w:sz="8" w:space="0" w:color="auto"/>
              <w:left w:val="nil"/>
              <w:bottom w:val="single" w:sz="8" w:space="0" w:color="auto"/>
              <w:right w:val="single" w:sz="8" w:space="0" w:color="auto"/>
            </w:tcBorders>
            <w:shd w:val="solid" w:color="000000" w:fill="000000"/>
            <w:tcMar>
              <w:top w:w="0" w:type="dxa"/>
              <w:left w:w="108" w:type="dxa"/>
              <w:bottom w:w="0" w:type="dxa"/>
              <w:right w:w="108" w:type="dxa"/>
            </w:tcMar>
          </w:tcPr>
          <w:p w14:paraId="3752D91D" w14:textId="7EB7720E" w:rsidR="004165C1" w:rsidRPr="00A00997" w:rsidRDefault="009C1643" w:rsidP="004165C1">
            <w:pPr>
              <w:pStyle w:val="TableText"/>
              <w:ind w:left="-57" w:right="-57"/>
            </w:pPr>
            <w:r w:rsidRPr="009E577F">
              <w:rPr>
                <w:b/>
                <w:bCs/>
                <w:color w:val="000000"/>
                <w:spacing w:val="26"/>
                <w:fitText w:val="848" w:id="-1286895356"/>
                <w:lang w:val="en-US"/>
                <w14:textFill>
                  <w14:solidFill>
                    <w14:srgbClr w14:val="000000">
                      <w14:alpha w14:val="100000"/>
                    </w14:srgbClr>
                  </w14:solidFill>
                </w14:textFill>
              </w:rPr>
              <w:t>|||||||||||</w:t>
            </w:r>
            <w:r w:rsidRPr="009E577F">
              <w:rPr>
                <w:b/>
                <w:bCs/>
                <w:color w:val="000000"/>
                <w:spacing w:val="11"/>
                <w:fitText w:val="848" w:id="-1286895356"/>
                <w:lang w:val="en-US"/>
                <w14:textFill>
                  <w14:solidFill>
                    <w14:srgbClr w14:val="000000">
                      <w14:alpha w14:val="100000"/>
                    </w14:srgbClr>
                  </w14:solidFill>
                </w14:textFill>
              </w:rPr>
              <w:t>|</w:t>
            </w:r>
          </w:p>
        </w:tc>
        <w:tc>
          <w:tcPr>
            <w:tcW w:w="1253" w:type="dxa"/>
            <w:tcBorders>
              <w:top w:val="single" w:sz="8" w:space="0" w:color="auto"/>
              <w:left w:val="nil"/>
              <w:bottom w:val="single" w:sz="8" w:space="0" w:color="auto"/>
              <w:right w:val="single" w:sz="8" w:space="0" w:color="auto"/>
            </w:tcBorders>
            <w:shd w:val="solid" w:color="000000" w:fill="000000"/>
            <w:tcMar>
              <w:top w:w="0" w:type="dxa"/>
              <w:left w:w="108" w:type="dxa"/>
              <w:bottom w:w="0" w:type="dxa"/>
              <w:right w:w="108" w:type="dxa"/>
            </w:tcMar>
          </w:tcPr>
          <w:p w14:paraId="005FEF7A" w14:textId="5BAD81D8" w:rsidR="004165C1" w:rsidRPr="00A00997" w:rsidRDefault="009C1643" w:rsidP="004165C1">
            <w:pPr>
              <w:pStyle w:val="TableText"/>
              <w:ind w:left="-57" w:right="-57"/>
            </w:pPr>
            <w:r w:rsidRPr="009E577F">
              <w:rPr>
                <w:b/>
                <w:bCs/>
                <w:color w:val="000000"/>
                <w:spacing w:val="26"/>
                <w:fitText w:val="848" w:id="-1286895355"/>
                <w:lang w:val="en-US"/>
                <w14:textFill>
                  <w14:solidFill>
                    <w14:srgbClr w14:val="000000">
                      <w14:alpha w14:val="100000"/>
                    </w14:srgbClr>
                  </w14:solidFill>
                </w14:textFill>
              </w:rPr>
              <w:t>|||||||||||</w:t>
            </w:r>
            <w:r w:rsidRPr="009E577F">
              <w:rPr>
                <w:b/>
                <w:bCs/>
                <w:color w:val="000000"/>
                <w:spacing w:val="11"/>
                <w:fitText w:val="848" w:id="-1286895355"/>
                <w:lang w:val="en-US"/>
                <w14:textFill>
                  <w14:solidFill>
                    <w14:srgbClr w14:val="000000">
                      <w14:alpha w14:val="100000"/>
                    </w14:srgbClr>
                  </w14:solidFill>
                </w14:textFill>
              </w:rPr>
              <w:t>|</w:t>
            </w:r>
          </w:p>
        </w:tc>
        <w:tc>
          <w:tcPr>
            <w:tcW w:w="1253" w:type="dxa"/>
            <w:tcBorders>
              <w:top w:val="single" w:sz="8" w:space="0" w:color="auto"/>
              <w:left w:val="nil"/>
              <w:bottom w:val="single" w:sz="8" w:space="0" w:color="auto"/>
              <w:right w:val="single" w:sz="8" w:space="0" w:color="auto"/>
            </w:tcBorders>
            <w:shd w:val="solid" w:color="000000" w:fill="000000"/>
            <w:tcMar>
              <w:top w:w="0" w:type="dxa"/>
              <w:left w:w="108" w:type="dxa"/>
              <w:bottom w:w="0" w:type="dxa"/>
              <w:right w:w="108" w:type="dxa"/>
            </w:tcMar>
          </w:tcPr>
          <w:p w14:paraId="7B72C8CC" w14:textId="518D0723" w:rsidR="004165C1" w:rsidRPr="00A00997" w:rsidRDefault="009C1643" w:rsidP="004165C1">
            <w:pPr>
              <w:pStyle w:val="TableText"/>
              <w:ind w:left="-57" w:right="-57"/>
            </w:pPr>
            <w:r w:rsidRPr="009E577F">
              <w:rPr>
                <w:b/>
                <w:bCs/>
                <w:color w:val="000000"/>
                <w:spacing w:val="26"/>
                <w:fitText w:val="848" w:id="-1286895354"/>
                <w:lang w:val="en-US"/>
                <w14:textFill>
                  <w14:solidFill>
                    <w14:srgbClr w14:val="000000">
                      <w14:alpha w14:val="100000"/>
                    </w14:srgbClr>
                  </w14:solidFill>
                </w14:textFill>
              </w:rPr>
              <w:t>|||||||||||</w:t>
            </w:r>
            <w:r w:rsidRPr="009E577F">
              <w:rPr>
                <w:b/>
                <w:bCs/>
                <w:color w:val="000000"/>
                <w:spacing w:val="11"/>
                <w:fitText w:val="848" w:id="-1286895354"/>
                <w:lang w:val="en-US"/>
                <w14:textFill>
                  <w14:solidFill>
                    <w14:srgbClr w14:val="000000">
                      <w14:alpha w14:val="100000"/>
                    </w14:srgbClr>
                  </w14:solidFill>
                </w14:textFill>
              </w:rPr>
              <w:t>|</w:t>
            </w:r>
          </w:p>
        </w:tc>
        <w:tc>
          <w:tcPr>
            <w:tcW w:w="1253" w:type="dxa"/>
            <w:tcBorders>
              <w:top w:val="single" w:sz="8" w:space="0" w:color="auto"/>
              <w:left w:val="nil"/>
              <w:bottom w:val="single" w:sz="8" w:space="0" w:color="auto"/>
              <w:right w:val="single" w:sz="8" w:space="0" w:color="auto"/>
            </w:tcBorders>
            <w:shd w:val="solid" w:color="000000" w:fill="000000"/>
            <w:tcMar>
              <w:top w:w="0" w:type="dxa"/>
              <w:left w:w="108" w:type="dxa"/>
              <w:bottom w:w="0" w:type="dxa"/>
              <w:right w:w="108" w:type="dxa"/>
            </w:tcMar>
          </w:tcPr>
          <w:p w14:paraId="7D8E4420" w14:textId="43AD8FA6" w:rsidR="004165C1" w:rsidRPr="00A00997" w:rsidRDefault="009C1643" w:rsidP="004165C1">
            <w:pPr>
              <w:pStyle w:val="TableText"/>
              <w:ind w:left="-57" w:right="-57"/>
            </w:pPr>
            <w:r w:rsidRPr="009E577F">
              <w:rPr>
                <w:b/>
                <w:bCs/>
                <w:color w:val="000000"/>
                <w:spacing w:val="26"/>
                <w:fitText w:val="848" w:id="-1286895353"/>
                <w:lang w:val="en-US"/>
                <w14:textFill>
                  <w14:solidFill>
                    <w14:srgbClr w14:val="000000">
                      <w14:alpha w14:val="100000"/>
                    </w14:srgbClr>
                  </w14:solidFill>
                </w14:textFill>
              </w:rPr>
              <w:t>|||||||||||</w:t>
            </w:r>
            <w:r w:rsidRPr="009E577F">
              <w:rPr>
                <w:b/>
                <w:bCs/>
                <w:color w:val="000000"/>
                <w:spacing w:val="11"/>
                <w:fitText w:val="848" w:id="-1286895353"/>
                <w:lang w:val="en-US"/>
                <w14:textFill>
                  <w14:solidFill>
                    <w14:srgbClr w14:val="000000">
                      <w14:alpha w14:val="100000"/>
                    </w14:srgbClr>
                  </w14:solidFill>
                </w14:textFill>
              </w:rPr>
              <w:t>|</w:t>
            </w:r>
          </w:p>
        </w:tc>
      </w:tr>
      <w:tr w:rsidR="00104513" w:rsidRPr="00CE28E3" w14:paraId="66D5F61F" w14:textId="77777777" w:rsidTr="00104513">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6D7C9B" w14:textId="3304EEE2" w:rsidR="00104513" w:rsidRPr="00CE28E3" w:rsidRDefault="00104513" w:rsidP="00104513">
            <w:pPr>
              <w:pStyle w:val="TableText"/>
              <w:ind w:left="-57" w:right="-57"/>
            </w:pPr>
            <w:r>
              <w:rPr>
                <w:b/>
              </w:rPr>
              <w:t>MBS</w:t>
            </w:r>
            <w:r w:rsidRPr="00BA5AE5">
              <w:rPr>
                <w:b/>
              </w:rPr>
              <w:t xml:space="preserve"> cost of PromarkerD</w:t>
            </w:r>
            <w:r w:rsidR="000125EB">
              <w:rPr>
                <w:b/>
              </w:rPr>
              <w:t xml:space="preserve"> (80% benefit)</w:t>
            </w:r>
          </w:p>
        </w:tc>
        <w:tc>
          <w:tcPr>
            <w:tcW w:w="1252" w:type="dxa"/>
            <w:tcBorders>
              <w:top w:val="nil"/>
              <w:left w:val="nil"/>
              <w:bottom w:val="single" w:sz="8" w:space="0" w:color="auto"/>
              <w:right w:val="single" w:sz="8" w:space="0" w:color="auto"/>
            </w:tcBorders>
            <w:tcMar>
              <w:top w:w="0" w:type="dxa"/>
              <w:left w:w="108" w:type="dxa"/>
              <w:bottom w:w="0" w:type="dxa"/>
              <w:right w:w="108" w:type="dxa"/>
            </w:tcMar>
          </w:tcPr>
          <w:p w14:paraId="1C52349B" w14:textId="77777777" w:rsidR="00104513" w:rsidRPr="00BB4451" w:rsidRDefault="00104513" w:rsidP="00104513">
            <w:pPr>
              <w:pStyle w:val="TableText"/>
              <w:ind w:left="-57" w:right="-57"/>
              <w:rPr>
                <w:b/>
                <w:bCs/>
              </w:rPr>
            </w:pPr>
            <w:r w:rsidRPr="00BB4451">
              <w:rPr>
                <w:b/>
                <w:bCs/>
              </w:rPr>
              <w:t>$4,653,576</w:t>
            </w:r>
          </w:p>
        </w:tc>
        <w:tc>
          <w:tcPr>
            <w:tcW w:w="1253" w:type="dxa"/>
            <w:tcBorders>
              <w:top w:val="nil"/>
              <w:left w:val="nil"/>
              <w:bottom w:val="single" w:sz="8" w:space="0" w:color="auto"/>
              <w:right w:val="single" w:sz="8" w:space="0" w:color="auto"/>
            </w:tcBorders>
            <w:tcMar>
              <w:top w:w="0" w:type="dxa"/>
              <w:left w:w="108" w:type="dxa"/>
              <w:bottom w:w="0" w:type="dxa"/>
              <w:right w:w="108" w:type="dxa"/>
            </w:tcMar>
          </w:tcPr>
          <w:p w14:paraId="18B8E02C" w14:textId="77777777" w:rsidR="00104513" w:rsidRPr="00BB4451" w:rsidRDefault="00104513" w:rsidP="00104513">
            <w:pPr>
              <w:pStyle w:val="TableText"/>
              <w:ind w:left="-57" w:right="-57"/>
              <w:rPr>
                <w:b/>
                <w:bCs/>
              </w:rPr>
            </w:pPr>
            <w:r w:rsidRPr="00BB4451">
              <w:rPr>
                <w:b/>
                <w:bCs/>
              </w:rPr>
              <w:t>$8,960,034</w:t>
            </w:r>
          </w:p>
        </w:tc>
        <w:tc>
          <w:tcPr>
            <w:tcW w:w="1253" w:type="dxa"/>
            <w:tcBorders>
              <w:top w:val="nil"/>
              <w:left w:val="nil"/>
              <w:bottom w:val="single" w:sz="8" w:space="0" w:color="auto"/>
              <w:right w:val="single" w:sz="8" w:space="0" w:color="auto"/>
            </w:tcBorders>
            <w:tcMar>
              <w:top w:w="0" w:type="dxa"/>
              <w:left w:w="108" w:type="dxa"/>
              <w:bottom w:w="0" w:type="dxa"/>
              <w:right w:w="108" w:type="dxa"/>
            </w:tcMar>
          </w:tcPr>
          <w:p w14:paraId="077CC4DD" w14:textId="77777777" w:rsidR="00104513" w:rsidRPr="00BB4451" w:rsidRDefault="00104513" w:rsidP="00104513">
            <w:pPr>
              <w:pStyle w:val="TableText"/>
              <w:ind w:left="-57" w:right="-57"/>
              <w:rPr>
                <w:b/>
                <w:bCs/>
              </w:rPr>
            </w:pPr>
            <w:r w:rsidRPr="00BB4451">
              <w:rPr>
                <w:b/>
                <w:bCs/>
              </w:rPr>
              <w:t>$13,956,656</w:t>
            </w:r>
          </w:p>
        </w:tc>
        <w:tc>
          <w:tcPr>
            <w:tcW w:w="1253" w:type="dxa"/>
            <w:tcBorders>
              <w:top w:val="nil"/>
              <w:left w:val="nil"/>
              <w:bottom w:val="single" w:sz="8" w:space="0" w:color="auto"/>
              <w:right w:val="single" w:sz="8" w:space="0" w:color="auto"/>
            </w:tcBorders>
            <w:tcMar>
              <w:top w:w="0" w:type="dxa"/>
              <w:left w:w="108" w:type="dxa"/>
              <w:bottom w:w="0" w:type="dxa"/>
              <w:right w:w="108" w:type="dxa"/>
            </w:tcMar>
          </w:tcPr>
          <w:p w14:paraId="589913B2" w14:textId="77777777" w:rsidR="00104513" w:rsidRPr="00BB4451" w:rsidRDefault="00104513" w:rsidP="00104513">
            <w:pPr>
              <w:pStyle w:val="TableText"/>
              <w:ind w:left="-57" w:right="-57"/>
              <w:rPr>
                <w:b/>
                <w:bCs/>
              </w:rPr>
            </w:pPr>
            <w:r w:rsidRPr="00BB4451">
              <w:rPr>
                <w:b/>
                <w:bCs/>
              </w:rPr>
              <w:t>$18,186,970</w:t>
            </w:r>
          </w:p>
        </w:tc>
        <w:tc>
          <w:tcPr>
            <w:tcW w:w="1253" w:type="dxa"/>
            <w:tcBorders>
              <w:top w:val="nil"/>
              <w:left w:val="nil"/>
              <w:bottom w:val="single" w:sz="8" w:space="0" w:color="auto"/>
              <w:right w:val="single" w:sz="8" w:space="0" w:color="auto"/>
            </w:tcBorders>
            <w:tcMar>
              <w:top w:w="0" w:type="dxa"/>
              <w:left w:w="108" w:type="dxa"/>
              <w:bottom w:w="0" w:type="dxa"/>
              <w:right w:w="108" w:type="dxa"/>
            </w:tcMar>
          </w:tcPr>
          <w:p w14:paraId="03958376" w14:textId="77777777" w:rsidR="00104513" w:rsidRPr="00BB4451" w:rsidRDefault="00104513" w:rsidP="00104513">
            <w:pPr>
              <w:pStyle w:val="TableText"/>
              <w:ind w:left="-57" w:right="-57"/>
              <w:rPr>
                <w:b/>
                <w:bCs/>
              </w:rPr>
            </w:pPr>
            <w:r w:rsidRPr="00BB4451">
              <w:rPr>
                <w:b/>
                <w:bCs/>
              </w:rPr>
              <w:t>$24,433,498</w:t>
            </w:r>
          </w:p>
        </w:tc>
        <w:tc>
          <w:tcPr>
            <w:tcW w:w="1253" w:type="dxa"/>
            <w:tcBorders>
              <w:top w:val="nil"/>
              <w:left w:val="nil"/>
              <w:bottom w:val="single" w:sz="8" w:space="0" w:color="auto"/>
              <w:right w:val="single" w:sz="8" w:space="0" w:color="auto"/>
            </w:tcBorders>
            <w:tcMar>
              <w:top w:w="0" w:type="dxa"/>
              <w:left w:w="108" w:type="dxa"/>
              <w:bottom w:w="0" w:type="dxa"/>
              <w:right w:w="108" w:type="dxa"/>
            </w:tcMar>
          </w:tcPr>
          <w:p w14:paraId="19E0F9A5" w14:textId="77777777" w:rsidR="00104513" w:rsidRPr="00BB4451" w:rsidRDefault="00104513" w:rsidP="00104513">
            <w:pPr>
              <w:pStyle w:val="TableText"/>
              <w:ind w:left="-57" w:right="-57"/>
              <w:rPr>
                <w:b/>
                <w:bCs/>
              </w:rPr>
            </w:pPr>
            <w:r w:rsidRPr="00BB4451">
              <w:rPr>
                <w:b/>
                <w:bCs/>
              </w:rPr>
              <w:t>$29,294,321</w:t>
            </w:r>
          </w:p>
        </w:tc>
      </w:tr>
      <w:tr w:rsidR="00104513" w:rsidRPr="00CE28E3" w14:paraId="3A1A90D8" w14:textId="77777777" w:rsidTr="00104513">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4FF288" w14:textId="1440998B" w:rsidR="00104513" w:rsidRDefault="00104513" w:rsidP="00104513">
            <w:pPr>
              <w:pStyle w:val="TableText"/>
              <w:ind w:left="-57" w:right="-57"/>
              <w:rPr>
                <w:b/>
              </w:rPr>
            </w:pPr>
            <w:r>
              <w:rPr>
                <w:b/>
              </w:rPr>
              <w:t>MBS</w:t>
            </w:r>
            <w:r w:rsidRPr="00BA5AE5">
              <w:rPr>
                <w:b/>
              </w:rPr>
              <w:t xml:space="preserve"> cost of PromarkerD</w:t>
            </w:r>
            <w:r>
              <w:rPr>
                <w:b/>
              </w:rPr>
              <w:t xml:space="preserve"> (</w:t>
            </w:r>
            <w:r w:rsidR="008B28D1">
              <w:rPr>
                <w:b/>
              </w:rPr>
              <w:t xml:space="preserve">revised; </w:t>
            </w:r>
            <w:r>
              <w:rPr>
                <w:b/>
              </w:rPr>
              <w:t>85% benefit)</w:t>
            </w:r>
          </w:p>
        </w:tc>
        <w:tc>
          <w:tcPr>
            <w:tcW w:w="1252" w:type="dxa"/>
            <w:tcBorders>
              <w:top w:val="nil"/>
              <w:left w:val="nil"/>
              <w:bottom w:val="single" w:sz="8" w:space="0" w:color="auto"/>
              <w:right w:val="single" w:sz="8" w:space="0" w:color="auto"/>
            </w:tcBorders>
            <w:tcMar>
              <w:top w:w="0" w:type="dxa"/>
              <w:left w:w="108" w:type="dxa"/>
              <w:bottom w:w="0" w:type="dxa"/>
              <w:right w:w="108" w:type="dxa"/>
            </w:tcMar>
          </w:tcPr>
          <w:p w14:paraId="4B181B21" w14:textId="77777777" w:rsidR="00104513" w:rsidRPr="00BB4451" w:rsidRDefault="00104513" w:rsidP="00104513">
            <w:pPr>
              <w:pStyle w:val="TableText"/>
              <w:ind w:left="-57" w:right="-57"/>
              <w:rPr>
                <w:b/>
                <w:bCs/>
              </w:rPr>
            </w:pPr>
            <w:r w:rsidRPr="005824EF">
              <w:t>$4,944,425</w:t>
            </w:r>
          </w:p>
        </w:tc>
        <w:tc>
          <w:tcPr>
            <w:tcW w:w="1253" w:type="dxa"/>
            <w:tcBorders>
              <w:top w:val="nil"/>
              <w:left w:val="nil"/>
              <w:bottom w:val="single" w:sz="8" w:space="0" w:color="auto"/>
              <w:right w:val="single" w:sz="8" w:space="0" w:color="auto"/>
            </w:tcBorders>
            <w:tcMar>
              <w:top w:w="0" w:type="dxa"/>
              <w:left w:w="108" w:type="dxa"/>
              <w:bottom w:w="0" w:type="dxa"/>
              <w:right w:w="108" w:type="dxa"/>
            </w:tcMar>
          </w:tcPr>
          <w:p w14:paraId="76D5A504" w14:textId="77777777" w:rsidR="00104513" w:rsidRPr="00BB4451" w:rsidRDefault="00104513" w:rsidP="00104513">
            <w:pPr>
              <w:pStyle w:val="TableText"/>
              <w:ind w:left="-57" w:right="-57"/>
              <w:rPr>
                <w:b/>
                <w:bCs/>
              </w:rPr>
            </w:pPr>
            <w:r w:rsidRPr="005824EF">
              <w:t>$9,520,036</w:t>
            </w:r>
          </w:p>
        </w:tc>
        <w:tc>
          <w:tcPr>
            <w:tcW w:w="1253" w:type="dxa"/>
            <w:tcBorders>
              <w:top w:val="nil"/>
              <w:left w:val="nil"/>
              <w:bottom w:val="single" w:sz="8" w:space="0" w:color="auto"/>
              <w:right w:val="single" w:sz="8" w:space="0" w:color="auto"/>
            </w:tcBorders>
            <w:tcMar>
              <w:top w:w="0" w:type="dxa"/>
              <w:left w:w="108" w:type="dxa"/>
              <w:bottom w:w="0" w:type="dxa"/>
              <w:right w:w="108" w:type="dxa"/>
            </w:tcMar>
          </w:tcPr>
          <w:p w14:paraId="7D287719" w14:textId="77777777" w:rsidR="00104513" w:rsidRPr="00BB4451" w:rsidRDefault="00104513" w:rsidP="00104513">
            <w:pPr>
              <w:pStyle w:val="TableText"/>
              <w:ind w:left="-57" w:right="-57"/>
              <w:rPr>
                <w:b/>
                <w:bCs/>
              </w:rPr>
            </w:pPr>
            <w:r w:rsidRPr="005824EF">
              <w:t>$14,828,947</w:t>
            </w:r>
          </w:p>
        </w:tc>
        <w:tc>
          <w:tcPr>
            <w:tcW w:w="1253" w:type="dxa"/>
            <w:tcBorders>
              <w:top w:val="nil"/>
              <w:left w:val="nil"/>
              <w:bottom w:val="single" w:sz="8" w:space="0" w:color="auto"/>
              <w:right w:val="single" w:sz="8" w:space="0" w:color="auto"/>
            </w:tcBorders>
            <w:tcMar>
              <w:top w:w="0" w:type="dxa"/>
              <w:left w:w="108" w:type="dxa"/>
              <w:bottom w:w="0" w:type="dxa"/>
              <w:right w:w="108" w:type="dxa"/>
            </w:tcMar>
          </w:tcPr>
          <w:p w14:paraId="146DE29C" w14:textId="77777777" w:rsidR="00104513" w:rsidRPr="00BB4451" w:rsidRDefault="00104513" w:rsidP="00104513">
            <w:pPr>
              <w:pStyle w:val="TableText"/>
              <w:ind w:left="-57" w:right="-57"/>
              <w:rPr>
                <w:b/>
                <w:bCs/>
              </w:rPr>
            </w:pPr>
            <w:r w:rsidRPr="005824EF">
              <w:t>$19,323,656</w:t>
            </w:r>
          </w:p>
        </w:tc>
        <w:tc>
          <w:tcPr>
            <w:tcW w:w="1253" w:type="dxa"/>
            <w:tcBorders>
              <w:top w:val="nil"/>
              <w:left w:val="nil"/>
              <w:bottom w:val="single" w:sz="8" w:space="0" w:color="auto"/>
              <w:right w:val="single" w:sz="8" w:space="0" w:color="auto"/>
            </w:tcBorders>
            <w:tcMar>
              <w:top w:w="0" w:type="dxa"/>
              <w:left w:w="108" w:type="dxa"/>
              <w:bottom w:w="0" w:type="dxa"/>
              <w:right w:w="108" w:type="dxa"/>
            </w:tcMar>
          </w:tcPr>
          <w:p w14:paraId="569B3D22" w14:textId="77777777" w:rsidR="00104513" w:rsidRPr="00BB4451" w:rsidRDefault="00104513" w:rsidP="00104513">
            <w:pPr>
              <w:pStyle w:val="TableText"/>
              <w:ind w:left="-57" w:right="-57"/>
              <w:rPr>
                <w:b/>
                <w:bCs/>
              </w:rPr>
            </w:pPr>
            <w:r w:rsidRPr="005824EF">
              <w:t>$25,960,591</w:t>
            </w:r>
          </w:p>
        </w:tc>
        <w:tc>
          <w:tcPr>
            <w:tcW w:w="1253" w:type="dxa"/>
            <w:tcBorders>
              <w:top w:val="nil"/>
              <w:left w:val="nil"/>
              <w:bottom w:val="single" w:sz="8" w:space="0" w:color="auto"/>
              <w:right w:val="single" w:sz="8" w:space="0" w:color="auto"/>
            </w:tcBorders>
            <w:tcMar>
              <w:top w:w="0" w:type="dxa"/>
              <w:left w:w="108" w:type="dxa"/>
              <w:bottom w:w="0" w:type="dxa"/>
              <w:right w:w="108" w:type="dxa"/>
            </w:tcMar>
          </w:tcPr>
          <w:p w14:paraId="1C851F9D" w14:textId="77777777" w:rsidR="00104513" w:rsidRPr="00BB4451" w:rsidRDefault="00104513" w:rsidP="00104513">
            <w:pPr>
              <w:pStyle w:val="TableText"/>
              <w:ind w:left="-57" w:right="-57"/>
              <w:rPr>
                <w:b/>
                <w:bCs/>
              </w:rPr>
            </w:pPr>
            <w:r w:rsidRPr="005824EF">
              <w:t>$31,125,216</w:t>
            </w:r>
          </w:p>
        </w:tc>
      </w:tr>
      <w:tr w:rsidR="00104513" w:rsidRPr="00CE28E3" w14:paraId="59FE8785" w14:textId="77777777" w:rsidTr="00104513">
        <w:tc>
          <w:tcPr>
            <w:tcW w:w="900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37AE6" w14:textId="77777777" w:rsidR="00104513" w:rsidRPr="00CE28E3" w:rsidRDefault="00104513" w:rsidP="00104513">
            <w:pPr>
              <w:pStyle w:val="TableText"/>
              <w:ind w:left="-57" w:right="-57"/>
              <w:rPr>
                <w:b/>
                <w:bCs/>
              </w:rPr>
            </w:pPr>
            <w:r w:rsidRPr="00CE28E3">
              <w:rPr>
                <w:b/>
                <w:bCs/>
              </w:rPr>
              <w:t>Change in use and cost of other health technologies</w:t>
            </w:r>
          </w:p>
        </w:tc>
      </w:tr>
      <w:tr w:rsidR="009C1643" w:rsidRPr="00CE28E3" w14:paraId="069E4A74" w14:textId="77777777" w:rsidTr="009C1643">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A1DB7A" w14:textId="77777777" w:rsidR="004165C1" w:rsidRPr="00CE28E3" w:rsidRDefault="004165C1" w:rsidP="004165C1">
            <w:pPr>
              <w:pStyle w:val="TableText"/>
              <w:ind w:left="-57" w:right="-57"/>
            </w:pPr>
            <w:r>
              <w:t xml:space="preserve">Increase in </w:t>
            </w:r>
            <w:r w:rsidRPr="00CC7697">
              <w:t>MBS Item 104</w:t>
            </w:r>
            <w:r>
              <w:t xml:space="preserve"> (p</w:t>
            </w:r>
            <w:r w:rsidRPr="00BB4451">
              <w:t>rofessional attendance by a specialist</w:t>
            </w:r>
            <w:r>
              <w:t>)</w:t>
            </w:r>
          </w:p>
        </w:tc>
        <w:tc>
          <w:tcPr>
            <w:tcW w:w="1252" w:type="dxa"/>
            <w:tcBorders>
              <w:top w:val="nil"/>
              <w:left w:val="nil"/>
              <w:bottom w:val="single" w:sz="8" w:space="0" w:color="auto"/>
              <w:right w:val="single" w:sz="8" w:space="0" w:color="auto"/>
            </w:tcBorders>
            <w:shd w:val="solid" w:color="000000" w:fill="000000"/>
            <w:tcMar>
              <w:top w:w="0" w:type="dxa"/>
              <w:left w:w="108" w:type="dxa"/>
              <w:bottom w:w="0" w:type="dxa"/>
              <w:right w:w="108" w:type="dxa"/>
            </w:tcMar>
          </w:tcPr>
          <w:p w14:paraId="206D88DA" w14:textId="34D6B8EA" w:rsidR="004165C1" w:rsidRPr="00CE28E3" w:rsidRDefault="009C1643" w:rsidP="004165C1">
            <w:pPr>
              <w:pStyle w:val="TableText"/>
              <w:ind w:left="-57" w:right="-57"/>
            </w:pPr>
            <w:r w:rsidRPr="009E577F">
              <w:rPr>
                <w:b/>
                <w:bCs/>
                <w:color w:val="000000"/>
                <w:spacing w:val="26"/>
                <w:fitText w:val="848" w:id="-1286895352"/>
                <w:lang w:val="en-US"/>
                <w14:textFill>
                  <w14:solidFill>
                    <w14:srgbClr w14:val="000000">
                      <w14:alpha w14:val="100000"/>
                    </w14:srgbClr>
                  </w14:solidFill>
                </w14:textFill>
              </w:rPr>
              <w:t>|||||||||||</w:t>
            </w:r>
            <w:r w:rsidRPr="009E577F">
              <w:rPr>
                <w:b/>
                <w:bCs/>
                <w:color w:val="000000"/>
                <w:spacing w:val="11"/>
                <w:fitText w:val="848" w:id="-1286895352"/>
                <w:lang w:val="en-US"/>
                <w14:textFill>
                  <w14:solidFill>
                    <w14:srgbClr w14:val="000000">
                      <w14:alpha w14:val="100000"/>
                    </w14:srgbClr>
                  </w14:solidFill>
                </w14:textFill>
              </w:rPr>
              <w:t>|</w:t>
            </w:r>
          </w:p>
        </w:tc>
        <w:tc>
          <w:tcPr>
            <w:tcW w:w="1253" w:type="dxa"/>
            <w:tcBorders>
              <w:top w:val="nil"/>
              <w:left w:val="nil"/>
              <w:bottom w:val="single" w:sz="8" w:space="0" w:color="auto"/>
              <w:right w:val="single" w:sz="8" w:space="0" w:color="auto"/>
            </w:tcBorders>
            <w:shd w:val="solid" w:color="000000" w:fill="000000"/>
            <w:tcMar>
              <w:top w:w="0" w:type="dxa"/>
              <w:left w:w="108" w:type="dxa"/>
              <w:bottom w:w="0" w:type="dxa"/>
              <w:right w:w="108" w:type="dxa"/>
            </w:tcMar>
          </w:tcPr>
          <w:p w14:paraId="2527C925" w14:textId="4B62E2A3" w:rsidR="004165C1" w:rsidRPr="00CE28E3" w:rsidRDefault="009C1643" w:rsidP="004165C1">
            <w:pPr>
              <w:pStyle w:val="TableText"/>
              <w:ind w:left="-57" w:right="-57"/>
            </w:pPr>
            <w:r w:rsidRPr="009E577F">
              <w:rPr>
                <w:b/>
                <w:bCs/>
                <w:color w:val="000000"/>
                <w:spacing w:val="26"/>
                <w:fitText w:val="848" w:id="-1286895351"/>
                <w:lang w:val="en-US"/>
                <w14:textFill>
                  <w14:solidFill>
                    <w14:srgbClr w14:val="000000">
                      <w14:alpha w14:val="100000"/>
                    </w14:srgbClr>
                  </w14:solidFill>
                </w14:textFill>
              </w:rPr>
              <w:t>|||||||||||</w:t>
            </w:r>
            <w:r w:rsidRPr="009E577F">
              <w:rPr>
                <w:b/>
                <w:bCs/>
                <w:color w:val="000000"/>
                <w:spacing w:val="11"/>
                <w:fitText w:val="848" w:id="-1286895351"/>
                <w:lang w:val="en-US"/>
                <w14:textFill>
                  <w14:solidFill>
                    <w14:srgbClr w14:val="000000">
                      <w14:alpha w14:val="100000"/>
                    </w14:srgbClr>
                  </w14:solidFill>
                </w14:textFill>
              </w:rPr>
              <w:t>|</w:t>
            </w:r>
          </w:p>
        </w:tc>
        <w:tc>
          <w:tcPr>
            <w:tcW w:w="1253" w:type="dxa"/>
            <w:tcBorders>
              <w:top w:val="nil"/>
              <w:left w:val="nil"/>
              <w:bottom w:val="single" w:sz="8" w:space="0" w:color="auto"/>
              <w:right w:val="single" w:sz="8" w:space="0" w:color="auto"/>
            </w:tcBorders>
            <w:shd w:val="solid" w:color="000000" w:fill="000000"/>
            <w:tcMar>
              <w:top w:w="0" w:type="dxa"/>
              <w:left w:w="108" w:type="dxa"/>
              <w:bottom w:w="0" w:type="dxa"/>
              <w:right w:w="108" w:type="dxa"/>
            </w:tcMar>
          </w:tcPr>
          <w:p w14:paraId="025C61E4" w14:textId="42F0A8DF" w:rsidR="004165C1" w:rsidRPr="00CE28E3" w:rsidRDefault="009C1643" w:rsidP="004165C1">
            <w:pPr>
              <w:pStyle w:val="TableText"/>
              <w:ind w:left="-57" w:right="-57"/>
            </w:pPr>
            <w:r w:rsidRPr="009E577F">
              <w:rPr>
                <w:b/>
                <w:bCs/>
                <w:color w:val="000000"/>
                <w:spacing w:val="26"/>
                <w:fitText w:val="848" w:id="-1286895350"/>
                <w:lang w:val="en-US"/>
                <w14:textFill>
                  <w14:solidFill>
                    <w14:srgbClr w14:val="000000">
                      <w14:alpha w14:val="100000"/>
                    </w14:srgbClr>
                  </w14:solidFill>
                </w14:textFill>
              </w:rPr>
              <w:t>|||||||||||</w:t>
            </w:r>
            <w:r w:rsidRPr="009E577F">
              <w:rPr>
                <w:b/>
                <w:bCs/>
                <w:color w:val="000000"/>
                <w:spacing w:val="11"/>
                <w:fitText w:val="848" w:id="-1286895350"/>
                <w:lang w:val="en-US"/>
                <w14:textFill>
                  <w14:solidFill>
                    <w14:srgbClr w14:val="000000">
                      <w14:alpha w14:val="100000"/>
                    </w14:srgbClr>
                  </w14:solidFill>
                </w14:textFill>
              </w:rPr>
              <w:t>|</w:t>
            </w:r>
          </w:p>
        </w:tc>
        <w:tc>
          <w:tcPr>
            <w:tcW w:w="1253" w:type="dxa"/>
            <w:tcBorders>
              <w:top w:val="nil"/>
              <w:left w:val="nil"/>
              <w:bottom w:val="single" w:sz="8" w:space="0" w:color="auto"/>
              <w:right w:val="single" w:sz="8" w:space="0" w:color="auto"/>
            </w:tcBorders>
            <w:shd w:val="solid" w:color="000000" w:fill="000000"/>
            <w:tcMar>
              <w:top w:w="0" w:type="dxa"/>
              <w:left w:w="108" w:type="dxa"/>
              <w:bottom w:w="0" w:type="dxa"/>
              <w:right w:w="108" w:type="dxa"/>
            </w:tcMar>
          </w:tcPr>
          <w:p w14:paraId="2D242C50" w14:textId="783CEE53" w:rsidR="004165C1" w:rsidRPr="00CE28E3" w:rsidRDefault="009C1643" w:rsidP="004165C1">
            <w:pPr>
              <w:pStyle w:val="TableText"/>
              <w:ind w:left="-57" w:right="-57"/>
            </w:pPr>
            <w:r w:rsidRPr="009E577F">
              <w:rPr>
                <w:b/>
                <w:bCs/>
                <w:color w:val="000000"/>
                <w:spacing w:val="26"/>
                <w:fitText w:val="848" w:id="-1286895349"/>
                <w:lang w:val="en-US"/>
                <w14:textFill>
                  <w14:solidFill>
                    <w14:srgbClr w14:val="000000">
                      <w14:alpha w14:val="100000"/>
                    </w14:srgbClr>
                  </w14:solidFill>
                </w14:textFill>
              </w:rPr>
              <w:t>|||||||||||</w:t>
            </w:r>
            <w:r w:rsidRPr="009E577F">
              <w:rPr>
                <w:b/>
                <w:bCs/>
                <w:color w:val="000000"/>
                <w:spacing w:val="11"/>
                <w:fitText w:val="848" w:id="-1286895349"/>
                <w:lang w:val="en-US"/>
                <w14:textFill>
                  <w14:solidFill>
                    <w14:srgbClr w14:val="000000">
                      <w14:alpha w14:val="100000"/>
                    </w14:srgbClr>
                  </w14:solidFill>
                </w14:textFill>
              </w:rPr>
              <w:t>|</w:t>
            </w:r>
          </w:p>
        </w:tc>
        <w:tc>
          <w:tcPr>
            <w:tcW w:w="1253" w:type="dxa"/>
            <w:tcBorders>
              <w:top w:val="nil"/>
              <w:left w:val="nil"/>
              <w:bottom w:val="single" w:sz="8" w:space="0" w:color="auto"/>
              <w:right w:val="single" w:sz="8" w:space="0" w:color="auto"/>
            </w:tcBorders>
            <w:shd w:val="solid" w:color="000000" w:fill="000000"/>
            <w:tcMar>
              <w:top w:w="0" w:type="dxa"/>
              <w:left w:w="108" w:type="dxa"/>
              <w:bottom w:w="0" w:type="dxa"/>
              <w:right w:w="108" w:type="dxa"/>
            </w:tcMar>
          </w:tcPr>
          <w:p w14:paraId="5FC4D3A7" w14:textId="3BC8025C" w:rsidR="004165C1" w:rsidRPr="00CE28E3" w:rsidRDefault="009C1643" w:rsidP="004165C1">
            <w:pPr>
              <w:pStyle w:val="TableText"/>
              <w:ind w:left="-57" w:right="-57"/>
            </w:pPr>
            <w:r w:rsidRPr="009E577F">
              <w:rPr>
                <w:b/>
                <w:bCs/>
                <w:color w:val="000000"/>
                <w:spacing w:val="26"/>
                <w:fitText w:val="848" w:id="-1286895348"/>
                <w:lang w:val="en-US"/>
                <w14:textFill>
                  <w14:solidFill>
                    <w14:srgbClr w14:val="000000">
                      <w14:alpha w14:val="100000"/>
                    </w14:srgbClr>
                  </w14:solidFill>
                </w14:textFill>
              </w:rPr>
              <w:t>|||||||||||</w:t>
            </w:r>
            <w:r w:rsidRPr="009E577F">
              <w:rPr>
                <w:b/>
                <w:bCs/>
                <w:color w:val="000000"/>
                <w:spacing w:val="11"/>
                <w:fitText w:val="848" w:id="-1286895348"/>
                <w:lang w:val="en-US"/>
                <w14:textFill>
                  <w14:solidFill>
                    <w14:srgbClr w14:val="000000">
                      <w14:alpha w14:val="100000"/>
                    </w14:srgbClr>
                  </w14:solidFill>
                </w14:textFill>
              </w:rPr>
              <w:t>|</w:t>
            </w:r>
          </w:p>
        </w:tc>
        <w:tc>
          <w:tcPr>
            <w:tcW w:w="1253" w:type="dxa"/>
            <w:tcBorders>
              <w:top w:val="nil"/>
              <w:left w:val="nil"/>
              <w:bottom w:val="single" w:sz="8" w:space="0" w:color="auto"/>
              <w:right w:val="single" w:sz="8" w:space="0" w:color="auto"/>
            </w:tcBorders>
            <w:shd w:val="solid" w:color="000000" w:fill="000000"/>
            <w:tcMar>
              <w:top w:w="0" w:type="dxa"/>
              <w:left w:w="108" w:type="dxa"/>
              <w:bottom w:w="0" w:type="dxa"/>
              <w:right w:w="108" w:type="dxa"/>
            </w:tcMar>
          </w:tcPr>
          <w:p w14:paraId="1CF88F4D" w14:textId="4935E9D2" w:rsidR="004165C1" w:rsidRPr="00CE28E3" w:rsidRDefault="009C1643" w:rsidP="004165C1">
            <w:pPr>
              <w:pStyle w:val="TableText"/>
              <w:ind w:left="-57" w:right="-57"/>
            </w:pPr>
            <w:r w:rsidRPr="009E577F">
              <w:rPr>
                <w:b/>
                <w:bCs/>
                <w:color w:val="000000"/>
                <w:spacing w:val="26"/>
                <w:fitText w:val="848" w:id="-1286895347"/>
                <w:lang w:val="en-US"/>
                <w14:textFill>
                  <w14:solidFill>
                    <w14:srgbClr w14:val="000000">
                      <w14:alpha w14:val="100000"/>
                    </w14:srgbClr>
                  </w14:solidFill>
                </w14:textFill>
              </w:rPr>
              <w:t>|||||||||||</w:t>
            </w:r>
            <w:r w:rsidRPr="009E577F">
              <w:rPr>
                <w:b/>
                <w:bCs/>
                <w:color w:val="000000"/>
                <w:spacing w:val="11"/>
                <w:fitText w:val="848" w:id="-1286895347"/>
                <w:lang w:val="en-US"/>
                <w14:textFill>
                  <w14:solidFill>
                    <w14:srgbClr w14:val="000000">
                      <w14:alpha w14:val="100000"/>
                    </w14:srgbClr>
                  </w14:solidFill>
                </w14:textFill>
              </w:rPr>
              <w:t>|</w:t>
            </w:r>
          </w:p>
        </w:tc>
      </w:tr>
      <w:tr w:rsidR="009C1643" w:rsidRPr="00CE28E3" w14:paraId="131C9B82" w14:textId="77777777" w:rsidTr="009C1643">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9AF094" w14:textId="77777777" w:rsidR="004165C1" w:rsidRPr="00CE28E3" w:rsidRDefault="004165C1" w:rsidP="004165C1">
            <w:pPr>
              <w:pStyle w:val="TableText"/>
              <w:ind w:left="-57" w:right="-57"/>
            </w:pPr>
            <w:r>
              <w:t xml:space="preserve">Increased </w:t>
            </w:r>
            <w:r w:rsidRPr="00EE44B2">
              <w:t xml:space="preserve">cost </w:t>
            </w:r>
            <w:r>
              <w:t>to MBS from MBS 104</w:t>
            </w:r>
          </w:p>
        </w:tc>
        <w:tc>
          <w:tcPr>
            <w:tcW w:w="1252" w:type="dxa"/>
            <w:tcBorders>
              <w:top w:val="single" w:sz="8" w:space="0" w:color="auto"/>
              <w:left w:val="nil"/>
              <w:bottom w:val="single" w:sz="8" w:space="0" w:color="auto"/>
              <w:right w:val="single" w:sz="8" w:space="0" w:color="auto"/>
            </w:tcBorders>
            <w:shd w:val="solid" w:color="000000" w:fill="000000"/>
            <w:tcMar>
              <w:top w:w="0" w:type="dxa"/>
              <w:left w:w="108" w:type="dxa"/>
              <w:bottom w:w="0" w:type="dxa"/>
              <w:right w:w="108" w:type="dxa"/>
            </w:tcMar>
          </w:tcPr>
          <w:p w14:paraId="300C063A" w14:textId="37497A71" w:rsidR="004165C1" w:rsidRPr="00CE28E3" w:rsidRDefault="009C1643" w:rsidP="004165C1">
            <w:pPr>
              <w:pStyle w:val="TableText"/>
              <w:ind w:left="-57" w:right="-57"/>
            </w:pPr>
            <w:r w:rsidRPr="009E577F">
              <w:rPr>
                <w:b/>
                <w:bCs/>
                <w:color w:val="000000"/>
                <w:spacing w:val="26"/>
                <w:fitText w:val="848" w:id="-1286895346"/>
                <w:lang w:val="en-US"/>
                <w14:textFill>
                  <w14:solidFill>
                    <w14:srgbClr w14:val="000000">
                      <w14:alpha w14:val="100000"/>
                    </w14:srgbClr>
                  </w14:solidFill>
                </w14:textFill>
              </w:rPr>
              <w:t>|||||||||||</w:t>
            </w:r>
            <w:r w:rsidRPr="009E577F">
              <w:rPr>
                <w:b/>
                <w:bCs/>
                <w:color w:val="000000"/>
                <w:spacing w:val="11"/>
                <w:fitText w:val="848" w:id="-1286895346"/>
                <w:lang w:val="en-US"/>
                <w14:textFill>
                  <w14:solidFill>
                    <w14:srgbClr w14:val="000000">
                      <w14:alpha w14:val="100000"/>
                    </w14:srgbClr>
                  </w14:solidFill>
                </w14:textFill>
              </w:rPr>
              <w:t>|</w:t>
            </w:r>
          </w:p>
        </w:tc>
        <w:tc>
          <w:tcPr>
            <w:tcW w:w="1253" w:type="dxa"/>
            <w:tcBorders>
              <w:top w:val="single" w:sz="8" w:space="0" w:color="auto"/>
              <w:left w:val="nil"/>
              <w:bottom w:val="single" w:sz="8" w:space="0" w:color="auto"/>
              <w:right w:val="single" w:sz="8" w:space="0" w:color="auto"/>
            </w:tcBorders>
            <w:shd w:val="solid" w:color="000000" w:fill="000000"/>
            <w:tcMar>
              <w:top w:w="0" w:type="dxa"/>
              <w:left w:w="108" w:type="dxa"/>
              <w:bottom w:w="0" w:type="dxa"/>
              <w:right w:w="108" w:type="dxa"/>
            </w:tcMar>
          </w:tcPr>
          <w:p w14:paraId="5857BC35" w14:textId="19EA6DF8" w:rsidR="004165C1" w:rsidRPr="00CE28E3" w:rsidRDefault="009C1643" w:rsidP="004165C1">
            <w:pPr>
              <w:pStyle w:val="TableText"/>
              <w:ind w:left="-57" w:right="-57"/>
            </w:pPr>
            <w:r w:rsidRPr="009E577F">
              <w:rPr>
                <w:b/>
                <w:bCs/>
                <w:color w:val="000000"/>
                <w:spacing w:val="26"/>
                <w:fitText w:val="848" w:id="-1286895345"/>
                <w:lang w:val="en-US"/>
                <w14:textFill>
                  <w14:solidFill>
                    <w14:srgbClr w14:val="000000">
                      <w14:alpha w14:val="100000"/>
                    </w14:srgbClr>
                  </w14:solidFill>
                </w14:textFill>
              </w:rPr>
              <w:t>|||||||||||</w:t>
            </w:r>
            <w:r w:rsidRPr="009E577F">
              <w:rPr>
                <w:b/>
                <w:bCs/>
                <w:color w:val="000000"/>
                <w:spacing w:val="11"/>
                <w:fitText w:val="848" w:id="-1286895345"/>
                <w:lang w:val="en-US"/>
                <w14:textFill>
                  <w14:solidFill>
                    <w14:srgbClr w14:val="000000">
                      <w14:alpha w14:val="100000"/>
                    </w14:srgbClr>
                  </w14:solidFill>
                </w14:textFill>
              </w:rPr>
              <w:t>|</w:t>
            </w:r>
          </w:p>
        </w:tc>
        <w:tc>
          <w:tcPr>
            <w:tcW w:w="1253" w:type="dxa"/>
            <w:tcBorders>
              <w:top w:val="single" w:sz="8" w:space="0" w:color="auto"/>
              <w:left w:val="nil"/>
              <w:bottom w:val="single" w:sz="8" w:space="0" w:color="auto"/>
              <w:right w:val="single" w:sz="8" w:space="0" w:color="auto"/>
            </w:tcBorders>
            <w:shd w:val="solid" w:color="000000" w:fill="000000"/>
            <w:tcMar>
              <w:top w:w="0" w:type="dxa"/>
              <w:left w:w="108" w:type="dxa"/>
              <w:bottom w:w="0" w:type="dxa"/>
              <w:right w:w="108" w:type="dxa"/>
            </w:tcMar>
          </w:tcPr>
          <w:p w14:paraId="38DC1A21" w14:textId="52846591" w:rsidR="004165C1" w:rsidRPr="00CE28E3" w:rsidRDefault="009C1643" w:rsidP="004165C1">
            <w:pPr>
              <w:pStyle w:val="TableText"/>
              <w:ind w:left="-57" w:right="-57"/>
            </w:pPr>
            <w:r w:rsidRPr="009E577F">
              <w:rPr>
                <w:b/>
                <w:bCs/>
                <w:color w:val="000000"/>
                <w:spacing w:val="26"/>
                <w:fitText w:val="848" w:id="-1286895344"/>
                <w:lang w:val="en-US"/>
                <w14:textFill>
                  <w14:solidFill>
                    <w14:srgbClr w14:val="000000">
                      <w14:alpha w14:val="100000"/>
                    </w14:srgbClr>
                  </w14:solidFill>
                </w14:textFill>
              </w:rPr>
              <w:t>|||||||||||</w:t>
            </w:r>
            <w:r w:rsidRPr="009E577F">
              <w:rPr>
                <w:b/>
                <w:bCs/>
                <w:color w:val="000000"/>
                <w:spacing w:val="11"/>
                <w:fitText w:val="848" w:id="-1286895344"/>
                <w:lang w:val="en-US"/>
                <w14:textFill>
                  <w14:solidFill>
                    <w14:srgbClr w14:val="000000">
                      <w14:alpha w14:val="100000"/>
                    </w14:srgbClr>
                  </w14:solidFill>
                </w14:textFill>
              </w:rPr>
              <w:t>|</w:t>
            </w:r>
          </w:p>
        </w:tc>
        <w:tc>
          <w:tcPr>
            <w:tcW w:w="1253" w:type="dxa"/>
            <w:tcBorders>
              <w:top w:val="single" w:sz="8" w:space="0" w:color="auto"/>
              <w:left w:val="nil"/>
              <w:bottom w:val="single" w:sz="8" w:space="0" w:color="auto"/>
              <w:right w:val="single" w:sz="8" w:space="0" w:color="auto"/>
            </w:tcBorders>
            <w:shd w:val="solid" w:color="000000" w:fill="000000"/>
            <w:tcMar>
              <w:top w:w="0" w:type="dxa"/>
              <w:left w:w="108" w:type="dxa"/>
              <w:bottom w:w="0" w:type="dxa"/>
              <w:right w:w="108" w:type="dxa"/>
            </w:tcMar>
          </w:tcPr>
          <w:p w14:paraId="6EE3301D" w14:textId="67489DC5" w:rsidR="004165C1" w:rsidRPr="00CE28E3" w:rsidRDefault="009C1643" w:rsidP="004165C1">
            <w:pPr>
              <w:pStyle w:val="TableText"/>
              <w:ind w:left="-57" w:right="-57"/>
            </w:pPr>
            <w:r w:rsidRPr="009E577F">
              <w:rPr>
                <w:b/>
                <w:bCs/>
                <w:color w:val="000000"/>
                <w:spacing w:val="26"/>
                <w:fitText w:val="848" w:id="-1286895360"/>
                <w:lang w:val="en-US"/>
                <w14:textFill>
                  <w14:solidFill>
                    <w14:srgbClr w14:val="000000">
                      <w14:alpha w14:val="100000"/>
                    </w14:srgbClr>
                  </w14:solidFill>
                </w14:textFill>
              </w:rPr>
              <w:t>|||||||||||</w:t>
            </w:r>
            <w:r w:rsidRPr="009E577F">
              <w:rPr>
                <w:b/>
                <w:bCs/>
                <w:color w:val="000000"/>
                <w:spacing w:val="11"/>
                <w:fitText w:val="848" w:id="-1286895360"/>
                <w:lang w:val="en-US"/>
                <w14:textFill>
                  <w14:solidFill>
                    <w14:srgbClr w14:val="000000">
                      <w14:alpha w14:val="100000"/>
                    </w14:srgbClr>
                  </w14:solidFill>
                </w14:textFill>
              </w:rPr>
              <w:t>|</w:t>
            </w:r>
          </w:p>
        </w:tc>
        <w:tc>
          <w:tcPr>
            <w:tcW w:w="1253" w:type="dxa"/>
            <w:tcBorders>
              <w:top w:val="single" w:sz="8" w:space="0" w:color="auto"/>
              <w:left w:val="nil"/>
              <w:bottom w:val="single" w:sz="8" w:space="0" w:color="auto"/>
              <w:right w:val="single" w:sz="8" w:space="0" w:color="auto"/>
            </w:tcBorders>
            <w:shd w:val="solid" w:color="000000" w:fill="000000"/>
            <w:tcMar>
              <w:top w:w="0" w:type="dxa"/>
              <w:left w:w="108" w:type="dxa"/>
              <w:bottom w:w="0" w:type="dxa"/>
              <w:right w:w="108" w:type="dxa"/>
            </w:tcMar>
          </w:tcPr>
          <w:p w14:paraId="1CB9B75B" w14:textId="36BEE7B8" w:rsidR="004165C1" w:rsidRPr="00CE28E3" w:rsidRDefault="009C1643" w:rsidP="004165C1">
            <w:pPr>
              <w:pStyle w:val="TableText"/>
              <w:ind w:left="-57" w:right="-57"/>
            </w:pPr>
            <w:r w:rsidRPr="009E577F">
              <w:rPr>
                <w:b/>
                <w:bCs/>
                <w:color w:val="000000"/>
                <w:spacing w:val="26"/>
                <w:fitText w:val="848" w:id="-1286895359"/>
                <w:lang w:val="en-US"/>
                <w14:textFill>
                  <w14:solidFill>
                    <w14:srgbClr w14:val="000000">
                      <w14:alpha w14:val="100000"/>
                    </w14:srgbClr>
                  </w14:solidFill>
                </w14:textFill>
              </w:rPr>
              <w:t>|||||||||||</w:t>
            </w:r>
            <w:r w:rsidRPr="009E577F">
              <w:rPr>
                <w:b/>
                <w:bCs/>
                <w:color w:val="000000"/>
                <w:spacing w:val="11"/>
                <w:fitText w:val="848" w:id="-1286895359"/>
                <w:lang w:val="en-US"/>
                <w14:textFill>
                  <w14:solidFill>
                    <w14:srgbClr w14:val="000000">
                      <w14:alpha w14:val="100000"/>
                    </w14:srgbClr>
                  </w14:solidFill>
                </w14:textFill>
              </w:rPr>
              <w:t>|</w:t>
            </w:r>
          </w:p>
        </w:tc>
        <w:tc>
          <w:tcPr>
            <w:tcW w:w="1253" w:type="dxa"/>
            <w:tcBorders>
              <w:top w:val="single" w:sz="8" w:space="0" w:color="auto"/>
              <w:left w:val="nil"/>
              <w:bottom w:val="single" w:sz="8" w:space="0" w:color="auto"/>
              <w:right w:val="single" w:sz="8" w:space="0" w:color="auto"/>
            </w:tcBorders>
            <w:shd w:val="solid" w:color="000000" w:fill="000000"/>
            <w:tcMar>
              <w:top w:w="0" w:type="dxa"/>
              <w:left w:w="108" w:type="dxa"/>
              <w:bottom w:w="0" w:type="dxa"/>
              <w:right w:w="108" w:type="dxa"/>
            </w:tcMar>
          </w:tcPr>
          <w:p w14:paraId="1BBBEA6A" w14:textId="0A3E1C32" w:rsidR="004165C1" w:rsidRPr="00CE28E3" w:rsidRDefault="009C1643" w:rsidP="004165C1">
            <w:pPr>
              <w:pStyle w:val="TableText"/>
              <w:ind w:left="-57" w:right="-57"/>
            </w:pPr>
            <w:r w:rsidRPr="009E577F">
              <w:rPr>
                <w:b/>
                <w:bCs/>
                <w:color w:val="000000"/>
                <w:spacing w:val="26"/>
                <w:fitText w:val="848" w:id="-1286895358"/>
                <w:lang w:val="en-US"/>
                <w14:textFill>
                  <w14:solidFill>
                    <w14:srgbClr w14:val="000000">
                      <w14:alpha w14:val="100000"/>
                    </w14:srgbClr>
                  </w14:solidFill>
                </w14:textFill>
              </w:rPr>
              <w:t>|||||||||||</w:t>
            </w:r>
            <w:r w:rsidRPr="009E577F">
              <w:rPr>
                <w:b/>
                <w:bCs/>
                <w:color w:val="000000"/>
                <w:spacing w:val="11"/>
                <w:fitText w:val="848" w:id="-1286895358"/>
                <w:lang w:val="en-US"/>
                <w14:textFill>
                  <w14:solidFill>
                    <w14:srgbClr w14:val="000000">
                      <w14:alpha w14:val="100000"/>
                    </w14:srgbClr>
                  </w14:solidFill>
                </w14:textFill>
              </w:rPr>
              <w:t>|</w:t>
            </w:r>
          </w:p>
        </w:tc>
      </w:tr>
      <w:tr w:rsidR="004165C1" w:rsidRPr="00CE28E3" w14:paraId="66ED2A68" w14:textId="77777777" w:rsidTr="009C1643">
        <w:tc>
          <w:tcPr>
            <w:tcW w:w="1489"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B868A24" w14:textId="2993B879" w:rsidR="004165C1" w:rsidRDefault="004165C1" w:rsidP="004165C1">
            <w:pPr>
              <w:pStyle w:val="TableText"/>
              <w:ind w:left="-57" w:right="-57"/>
            </w:pPr>
            <w:r>
              <w:t xml:space="preserve">Increased </w:t>
            </w:r>
            <w:r w:rsidRPr="00EE44B2">
              <w:t xml:space="preserve">cost </w:t>
            </w:r>
            <w:r>
              <w:t>to MBS from MBS 104 (revised; 85% benefit)</w:t>
            </w:r>
          </w:p>
        </w:tc>
        <w:tc>
          <w:tcPr>
            <w:tcW w:w="1252" w:type="dxa"/>
            <w:tcBorders>
              <w:top w:val="single" w:sz="8" w:space="0" w:color="auto"/>
              <w:left w:val="nil"/>
              <w:bottom w:val="single" w:sz="4" w:space="0" w:color="auto"/>
              <w:right w:val="single" w:sz="8" w:space="0" w:color="auto"/>
            </w:tcBorders>
            <w:shd w:val="solid" w:color="000000" w:fill="000000"/>
            <w:tcMar>
              <w:top w:w="0" w:type="dxa"/>
              <w:left w:w="108" w:type="dxa"/>
              <w:bottom w:w="0" w:type="dxa"/>
              <w:right w:w="108" w:type="dxa"/>
            </w:tcMar>
          </w:tcPr>
          <w:p w14:paraId="036E5E99" w14:textId="55443DF0" w:rsidR="004165C1" w:rsidRPr="002262BB" w:rsidRDefault="009C1643" w:rsidP="004165C1">
            <w:pPr>
              <w:pStyle w:val="TableText"/>
              <w:ind w:left="-57" w:right="-57"/>
            </w:pPr>
            <w:r w:rsidRPr="009E577F">
              <w:rPr>
                <w:b/>
                <w:bCs/>
                <w:color w:val="000000"/>
                <w:spacing w:val="26"/>
                <w:fitText w:val="848" w:id="-1286895357"/>
                <w:lang w:val="en-US"/>
                <w14:textFill>
                  <w14:solidFill>
                    <w14:srgbClr w14:val="000000">
                      <w14:alpha w14:val="100000"/>
                    </w14:srgbClr>
                  </w14:solidFill>
                </w14:textFill>
              </w:rPr>
              <w:t>|||||||||||</w:t>
            </w:r>
            <w:r w:rsidRPr="009E577F">
              <w:rPr>
                <w:b/>
                <w:bCs/>
                <w:color w:val="000000"/>
                <w:spacing w:val="11"/>
                <w:fitText w:val="848" w:id="-1286895357"/>
                <w:lang w:val="en-US"/>
                <w14:textFill>
                  <w14:solidFill>
                    <w14:srgbClr w14:val="000000">
                      <w14:alpha w14:val="100000"/>
                    </w14:srgbClr>
                  </w14:solidFill>
                </w14:textFill>
              </w:rPr>
              <w:t>|</w:t>
            </w:r>
          </w:p>
        </w:tc>
        <w:tc>
          <w:tcPr>
            <w:tcW w:w="1253" w:type="dxa"/>
            <w:tcBorders>
              <w:top w:val="single" w:sz="8" w:space="0" w:color="auto"/>
              <w:left w:val="nil"/>
              <w:bottom w:val="single" w:sz="4" w:space="0" w:color="auto"/>
              <w:right w:val="single" w:sz="8" w:space="0" w:color="auto"/>
            </w:tcBorders>
            <w:shd w:val="solid" w:color="000000" w:fill="000000"/>
            <w:tcMar>
              <w:top w:w="0" w:type="dxa"/>
              <w:left w:w="108" w:type="dxa"/>
              <w:bottom w:w="0" w:type="dxa"/>
              <w:right w:w="108" w:type="dxa"/>
            </w:tcMar>
          </w:tcPr>
          <w:p w14:paraId="3C2FCD0D" w14:textId="6FAC1C4B" w:rsidR="004165C1" w:rsidRPr="002262BB" w:rsidRDefault="009C1643" w:rsidP="004165C1">
            <w:pPr>
              <w:pStyle w:val="TableText"/>
              <w:ind w:left="-57" w:right="-57"/>
            </w:pPr>
            <w:r w:rsidRPr="009E577F">
              <w:rPr>
                <w:b/>
                <w:bCs/>
                <w:color w:val="000000"/>
                <w:spacing w:val="26"/>
                <w:fitText w:val="848" w:id="-1286895356"/>
                <w:lang w:val="en-US"/>
                <w14:textFill>
                  <w14:solidFill>
                    <w14:srgbClr w14:val="000000">
                      <w14:alpha w14:val="100000"/>
                    </w14:srgbClr>
                  </w14:solidFill>
                </w14:textFill>
              </w:rPr>
              <w:t>|||||||||||</w:t>
            </w:r>
            <w:r w:rsidRPr="009E577F">
              <w:rPr>
                <w:b/>
                <w:bCs/>
                <w:color w:val="000000"/>
                <w:spacing w:val="11"/>
                <w:fitText w:val="848" w:id="-1286895356"/>
                <w:lang w:val="en-US"/>
                <w14:textFill>
                  <w14:solidFill>
                    <w14:srgbClr w14:val="000000">
                      <w14:alpha w14:val="100000"/>
                    </w14:srgbClr>
                  </w14:solidFill>
                </w14:textFill>
              </w:rPr>
              <w:t>|</w:t>
            </w:r>
          </w:p>
        </w:tc>
        <w:tc>
          <w:tcPr>
            <w:tcW w:w="1253" w:type="dxa"/>
            <w:tcBorders>
              <w:top w:val="single" w:sz="8" w:space="0" w:color="auto"/>
              <w:left w:val="nil"/>
              <w:bottom w:val="single" w:sz="4" w:space="0" w:color="auto"/>
              <w:right w:val="single" w:sz="8" w:space="0" w:color="auto"/>
            </w:tcBorders>
            <w:shd w:val="solid" w:color="000000" w:fill="000000"/>
            <w:tcMar>
              <w:top w:w="0" w:type="dxa"/>
              <w:left w:w="108" w:type="dxa"/>
              <w:bottom w:w="0" w:type="dxa"/>
              <w:right w:w="108" w:type="dxa"/>
            </w:tcMar>
          </w:tcPr>
          <w:p w14:paraId="10DA51C7" w14:textId="413FDD97" w:rsidR="004165C1" w:rsidRPr="002262BB" w:rsidRDefault="009C1643" w:rsidP="004165C1">
            <w:pPr>
              <w:pStyle w:val="TableText"/>
              <w:ind w:left="-57" w:right="-57"/>
            </w:pPr>
            <w:r w:rsidRPr="009E577F">
              <w:rPr>
                <w:b/>
                <w:bCs/>
                <w:color w:val="000000"/>
                <w:spacing w:val="26"/>
                <w:fitText w:val="848" w:id="-1286895355"/>
                <w:lang w:val="en-US"/>
                <w14:textFill>
                  <w14:solidFill>
                    <w14:srgbClr w14:val="000000">
                      <w14:alpha w14:val="100000"/>
                    </w14:srgbClr>
                  </w14:solidFill>
                </w14:textFill>
              </w:rPr>
              <w:t>|||||||||||</w:t>
            </w:r>
            <w:r w:rsidRPr="009E577F">
              <w:rPr>
                <w:b/>
                <w:bCs/>
                <w:color w:val="000000"/>
                <w:spacing w:val="11"/>
                <w:fitText w:val="848" w:id="-1286895355"/>
                <w:lang w:val="en-US"/>
                <w14:textFill>
                  <w14:solidFill>
                    <w14:srgbClr w14:val="000000">
                      <w14:alpha w14:val="100000"/>
                    </w14:srgbClr>
                  </w14:solidFill>
                </w14:textFill>
              </w:rPr>
              <w:t>|</w:t>
            </w:r>
          </w:p>
        </w:tc>
        <w:tc>
          <w:tcPr>
            <w:tcW w:w="1253" w:type="dxa"/>
            <w:tcBorders>
              <w:top w:val="single" w:sz="8" w:space="0" w:color="auto"/>
              <w:left w:val="nil"/>
              <w:bottom w:val="single" w:sz="4" w:space="0" w:color="auto"/>
              <w:right w:val="single" w:sz="8" w:space="0" w:color="auto"/>
            </w:tcBorders>
            <w:shd w:val="solid" w:color="000000" w:fill="000000"/>
            <w:tcMar>
              <w:top w:w="0" w:type="dxa"/>
              <w:left w:w="108" w:type="dxa"/>
              <w:bottom w:w="0" w:type="dxa"/>
              <w:right w:w="108" w:type="dxa"/>
            </w:tcMar>
          </w:tcPr>
          <w:p w14:paraId="228001E8" w14:textId="71F8B13E" w:rsidR="004165C1" w:rsidRPr="002262BB" w:rsidRDefault="009C1643" w:rsidP="004165C1">
            <w:pPr>
              <w:pStyle w:val="TableText"/>
              <w:ind w:left="-57" w:right="-57"/>
            </w:pPr>
            <w:r w:rsidRPr="009E577F">
              <w:rPr>
                <w:b/>
                <w:bCs/>
                <w:color w:val="000000"/>
                <w:spacing w:val="26"/>
                <w:fitText w:val="848" w:id="-1286895354"/>
                <w:lang w:val="en-US"/>
                <w14:textFill>
                  <w14:solidFill>
                    <w14:srgbClr w14:val="000000">
                      <w14:alpha w14:val="100000"/>
                    </w14:srgbClr>
                  </w14:solidFill>
                </w14:textFill>
              </w:rPr>
              <w:t>|||||||||||</w:t>
            </w:r>
            <w:r w:rsidRPr="009E577F">
              <w:rPr>
                <w:b/>
                <w:bCs/>
                <w:color w:val="000000"/>
                <w:spacing w:val="11"/>
                <w:fitText w:val="848" w:id="-1286895354"/>
                <w:lang w:val="en-US"/>
                <w14:textFill>
                  <w14:solidFill>
                    <w14:srgbClr w14:val="000000">
                      <w14:alpha w14:val="100000"/>
                    </w14:srgbClr>
                  </w14:solidFill>
                </w14:textFill>
              </w:rPr>
              <w:t>|</w:t>
            </w:r>
          </w:p>
        </w:tc>
        <w:tc>
          <w:tcPr>
            <w:tcW w:w="1253" w:type="dxa"/>
            <w:tcBorders>
              <w:top w:val="single" w:sz="8" w:space="0" w:color="auto"/>
              <w:left w:val="nil"/>
              <w:bottom w:val="single" w:sz="4" w:space="0" w:color="auto"/>
              <w:right w:val="single" w:sz="8" w:space="0" w:color="auto"/>
            </w:tcBorders>
            <w:shd w:val="solid" w:color="000000" w:fill="000000"/>
            <w:tcMar>
              <w:top w:w="0" w:type="dxa"/>
              <w:left w:w="108" w:type="dxa"/>
              <w:bottom w:w="0" w:type="dxa"/>
              <w:right w:w="108" w:type="dxa"/>
            </w:tcMar>
          </w:tcPr>
          <w:p w14:paraId="23D5E71E" w14:textId="1152002D" w:rsidR="004165C1" w:rsidRPr="002262BB" w:rsidRDefault="009C1643" w:rsidP="004165C1">
            <w:pPr>
              <w:pStyle w:val="TableText"/>
              <w:ind w:left="-57" w:right="-57"/>
            </w:pPr>
            <w:r w:rsidRPr="009E577F">
              <w:rPr>
                <w:b/>
                <w:bCs/>
                <w:color w:val="000000"/>
                <w:spacing w:val="26"/>
                <w:fitText w:val="848" w:id="-1286895353"/>
                <w:lang w:val="en-US"/>
                <w14:textFill>
                  <w14:solidFill>
                    <w14:srgbClr w14:val="000000">
                      <w14:alpha w14:val="100000"/>
                    </w14:srgbClr>
                  </w14:solidFill>
                </w14:textFill>
              </w:rPr>
              <w:t>|||||||||||</w:t>
            </w:r>
            <w:r w:rsidRPr="009E577F">
              <w:rPr>
                <w:b/>
                <w:bCs/>
                <w:color w:val="000000"/>
                <w:spacing w:val="11"/>
                <w:fitText w:val="848" w:id="-1286895353"/>
                <w:lang w:val="en-US"/>
                <w14:textFill>
                  <w14:solidFill>
                    <w14:srgbClr w14:val="000000">
                      <w14:alpha w14:val="100000"/>
                    </w14:srgbClr>
                  </w14:solidFill>
                </w14:textFill>
              </w:rPr>
              <w:t>|</w:t>
            </w:r>
          </w:p>
        </w:tc>
        <w:tc>
          <w:tcPr>
            <w:tcW w:w="1253" w:type="dxa"/>
            <w:tcBorders>
              <w:top w:val="single" w:sz="8" w:space="0" w:color="auto"/>
              <w:left w:val="nil"/>
              <w:bottom w:val="single" w:sz="4" w:space="0" w:color="auto"/>
              <w:right w:val="single" w:sz="8" w:space="0" w:color="auto"/>
            </w:tcBorders>
            <w:shd w:val="solid" w:color="000000" w:fill="000000"/>
            <w:tcMar>
              <w:top w:w="0" w:type="dxa"/>
              <w:left w:w="108" w:type="dxa"/>
              <w:bottom w:w="0" w:type="dxa"/>
              <w:right w:w="108" w:type="dxa"/>
            </w:tcMar>
          </w:tcPr>
          <w:p w14:paraId="60102876" w14:textId="00AE326C" w:rsidR="004165C1" w:rsidRPr="002262BB" w:rsidRDefault="009C1643" w:rsidP="004165C1">
            <w:pPr>
              <w:pStyle w:val="TableText"/>
              <w:ind w:left="-57" w:right="-57"/>
            </w:pPr>
            <w:r w:rsidRPr="009E577F">
              <w:rPr>
                <w:b/>
                <w:bCs/>
                <w:color w:val="000000"/>
                <w:spacing w:val="26"/>
                <w:fitText w:val="848" w:id="-1286895352"/>
                <w:lang w:val="en-US"/>
                <w14:textFill>
                  <w14:solidFill>
                    <w14:srgbClr w14:val="000000">
                      <w14:alpha w14:val="100000"/>
                    </w14:srgbClr>
                  </w14:solidFill>
                </w14:textFill>
              </w:rPr>
              <w:t>|||||||||||</w:t>
            </w:r>
            <w:r w:rsidRPr="009E577F">
              <w:rPr>
                <w:b/>
                <w:bCs/>
                <w:color w:val="000000"/>
                <w:spacing w:val="11"/>
                <w:fitText w:val="848" w:id="-1286895352"/>
                <w:lang w:val="en-US"/>
                <w14:textFill>
                  <w14:solidFill>
                    <w14:srgbClr w14:val="000000">
                      <w14:alpha w14:val="100000"/>
                    </w14:srgbClr>
                  </w14:solidFill>
                </w14:textFill>
              </w:rPr>
              <w:t>|</w:t>
            </w:r>
          </w:p>
        </w:tc>
      </w:tr>
      <w:tr w:rsidR="00104513" w:rsidRPr="00CE28E3" w14:paraId="1440BA49" w14:textId="77777777" w:rsidTr="00AF3C5F">
        <w:tc>
          <w:tcPr>
            <w:tcW w:w="1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80B511" w14:textId="612315B7" w:rsidR="00104513" w:rsidRPr="00CE28E3" w:rsidRDefault="00104513" w:rsidP="00104513">
            <w:pPr>
              <w:pStyle w:val="TableText"/>
              <w:ind w:left="-57" w:right="-57"/>
              <w:rPr>
                <w:b/>
                <w:bCs/>
              </w:rPr>
            </w:pPr>
            <w:r w:rsidRPr="00CE28E3">
              <w:rPr>
                <w:b/>
                <w:bCs/>
              </w:rPr>
              <w:t xml:space="preserve">Net financial impact to the </w:t>
            </w:r>
            <w:r>
              <w:rPr>
                <w:b/>
                <w:bCs/>
              </w:rPr>
              <w:t>MBS</w:t>
            </w:r>
            <w:r w:rsidR="007E6DA5">
              <w:rPr>
                <w:b/>
                <w:bCs/>
              </w:rPr>
              <w:t>*</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F2C7B" w14:textId="77777777" w:rsidR="00104513" w:rsidRPr="00CE28E3" w:rsidRDefault="00104513" w:rsidP="00104513">
            <w:pPr>
              <w:pStyle w:val="TableText"/>
              <w:ind w:left="-57" w:right="-57"/>
              <w:rPr>
                <w:b/>
                <w:bCs/>
              </w:rPr>
            </w:pPr>
            <w:r w:rsidRPr="002262BB">
              <w:rPr>
                <w:b/>
                <w:bCs/>
              </w:rPr>
              <w:t>$4,821,909</w:t>
            </w:r>
          </w:p>
        </w:tc>
        <w:tc>
          <w:tcPr>
            <w:tcW w:w="1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A6CAF" w14:textId="77777777" w:rsidR="00104513" w:rsidRPr="00CE28E3" w:rsidRDefault="00104513" w:rsidP="00104513">
            <w:pPr>
              <w:pStyle w:val="TableText"/>
              <w:ind w:left="-57" w:right="-57"/>
              <w:rPr>
                <w:b/>
                <w:bCs/>
              </w:rPr>
            </w:pPr>
            <w:r w:rsidRPr="002262BB">
              <w:rPr>
                <w:b/>
                <w:bCs/>
              </w:rPr>
              <w:t>$9,284,143</w:t>
            </w:r>
          </w:p>
        </w:tc>
        <w:tc>
          <w:tcPr>
            <w:tcW w:w="1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8551B" w14:textId="77777777" w:rsidR="00104513" w:rsidRPr="00CE28E3" w:rsidRDefault="00104513" w:rsidP="00104513">
            <w:pPr>
              <w:pStyle w:val="TableText"/>
              <w:ind w:left="-57" w:right="-57"/>
              <w:rPr>
                <w:b/>
                <w:bCs/>
              </w:rPr>
            </w:pPr>
            <w:r w:rsidRPr="002262BB">
              <w:rPr>
                <w:b/>
                <w:bCs/>
              </w:rPr>
              <w:t>$14,427,050</w:t>
            </w:r>
          </w:p>
        </w:tc>
        <w:tc>
          <w:tcPr>
            <w:tcW w:w="1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5DD5B" w14:textId="77777777" w:rsidR="00104513" w:rsidRPr="00CE28E3" w:rsidRDefault="00104513" w:rsidP="00104513">
            <w:pPr>
              <w:pStyle w:val="TableText"/>
              <w:ind w:left="-57" w:right="-57"/>
              <w:rPr>
                <w:b/>
                <w:bCs/>
              </w:rPr>
            </w:pPr>
            <w:r w:rsidRPr="002262BB">
              <w:rPr>
                <w:b/>
                <w:bCs/>
              </w:rPr>
              <w:t>$18,778,500</w:t>
            </w:r>
          </w:p>
        </w:tc>
        <w:tc>
          <w:tcPr>
            <w:tcW w:w="1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998CB" w14:textId="77777777" w:rsidR="00104513" w:rsidRPr="00CE28E3" w:rsidRDefault="00104513" w:rsidP="00104513">
            <w:pPr>
              <w:pStyle w:val="TableText"/>
              <w:ind w:left="-57" w:right="-57"/>
              <w:rPr>
                <w:b/>
                <w:bCs/>
              </w:rPr>
            </w:pPr>
            <w:r w:rsidRPr="002262BB">
              <w:rPr>
                <w:b/>
                <w:bCs/>
              </w:rPr>
              <w:t>$25,113,542</w:t>
            </w:r>
          </w:p>
        </w:tc>
        <w:tc>
          <w:tcPr>
            <w:tcW w:w="1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76814" w14:textId="77777777" w:rsidR="00104513" w:rsidRPr="00CE28E3" w:rsidRDefault="00104513" w:rsidP="00104513">
            <w:pPr>
              <w:pStyle w:val="TableText"/>
              <w:ind w:left="-57" w:right="-57"/>
              <w:rPr>
                <w:b/>
                <w:bCs/>
              </w:rPr>
            </w:pPr>
            <w:r w:rsidRPr="002262BB">
              <w:rPr>
                <w:b/>
                <w:bCs/>
              </w:rPr>
              <w:t>$30,025,922</w:t>
            </w:r>
          </w:p>
        </w:tc>
      </w:tr>
      <w:tr w:rsidR="00104513" w:rsidRPr="00CE28E3" w14:paraId="73F25A6B" w14:textId="77777777" w:rsidTr="00AF3C5F">
        <w:tc>
          <w:tcPr>
            <w:tcW w:w="1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72F08" w14:textId="1855AFE4" w:rsidR="00104513" w:rsidRPr="00CE28E3" w:rsidRDefault="00104513" w:rsidP="00104513">
            <w:pPr>
              <w:pStyle w:val="TableText"/>
              <w:ind w:left="-57" w:right="-57"/>
              <w:rPr>
                <w:b/>
                <w:bCs/>
              </w:rPr>
            </w:pPr>
            <w:r w:rsidRPr="00CE28E3">
              <w:rPr>
                <w:b/>
                <w:bCs/>
              </w:rPr>
              <w:t xml:space="preserve">Net financial impact to the </w:t>
            </w:r>
            <w:r>
              <w:rPr>
                <w:b/>
                <w:bCs/>
              </w:rPr>
              <w:t>MBS (</w:t>
            </w:r>
            <w:r w:rsidR="008B28D1">
              <w:rPr>
                <w:b/>
                <w:bCs/>
              </w:rPr>
              <w:t xml:space="preserve">revised; </w:t>
            </w:r>
            <w:r>
              <w:rPr>
                <w:b/>
                <w:bCs/>
              </w:rPr>
              <w:t>85%)</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3F555" w14:textId="77777777" w:rsidR="00104513" w:rsidRPr="002262BB" w:rsidRDefault="00104513" w:rsidP="00104513">
            <w:pPr>
              <w:pStyle w:val="TableText"/>
              <w:ind w:left="-57" w:right="-57"/>
              <w:rPr>
                <w:b/>
                <w:bCs/>
              </w:rPr>
            </w:pPr>
            <w:r w:rsidRPr="00274D56">
              <w:t>$5,089,841</w:t>
            </w:r>
          </w:p>
        </w:tc>
        <w:tc>
          <w:tcPr>
            <w:tcW w:w="1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7BD42" w14:textId="77777777" w:rsidR="00104513" w:rsidRPr="002262BB" w:rsidRDefault="00104513" w:rsidP="00104513">
            <w:pPr>
              <w:pStyle w:val="TableText"/>
              <w:ind w:left="-57" w:right="-57"/>
              <w:rPr>
                <w:b/>
                <w:bCs/>
              </w:rPr>
            </w:pPr>
            <w:r w:rsidRPr="00274D56">
              <w:t>$9,800,022</w:t>
            </w:r>
          </w:p>
        </w:tc>
        <w:tc>
          <w:tcPr>
            <w:tcW w:w="1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45EBA" w14:textId="77777777" w:rsidR="00104513" w:rsidRPr="002262BB" w:rsidRDefault="00104513" w:rsidP="00104513">
            <w:pPr>
              <w:pStyle w:val="TableText"/>
              <w:ind w:left="-57" w:right="-57"/>
              <w:rPr>
                <w:b/>
                <w:bCs/>
              </w:rPr>
            </w:pPr>
            <w:r w:rsidRPr="00274D56">
              <w:t>$15,235,302</w:t>
            </w:r>
          </w:p>
        </w:tc>
        <w:tc>
          <w:tcPr>
            <w:tcW w:w="1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2BF90" w14:textId="77777777" w:rsidR="00104513" w:rsidRPr="002262BB" w:rsidRDefault="00104513" w:rsidP="00104513">
            <w:pPr>
              <w:pStyle w:val="TableText"/>
              <w:ind w:left="-57" w:right="-57"/>
              <w:rPr>
                <w:b/>
                <w:bCs/>
              </w:rPr>
            </w:pPr>
            <w:r w:rsidRPr="00274D56">
              <w:t>$19,834,656</w:t>
            </w:r>
          </w:p>
        </w:tc>
        <w:tc>
          <w:tcPr>
            <w:tcW w:w="1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BE7C7" w14:textId="77777777" w:rsidR="00104513" w:rsidRPr="002262BB" w:rsidRDefault="00104513" w:rsidP="00104513">
            <w:pPr>
              <w:pStyle w:val="TableText"/>
              <w:ind w:left="-57" w:right="-57"/>
              <w:rPr>
                <w:b/>
                <w:bCs/>
              </w:rPr>
            </w:pPr>
            <w:r w:rsidRPr="00274D56">
              <w:t>$26,548,056</w:t>
            </w:r>
          </w:p>
        </w:tc>
        <w:tc>
          <w:tcPr>
            <w:tcW w:w="1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7AFDB" w14:textId="77777777" w:rsidR="00104513" w:rsidRPr="002262BB" w:rsidRDefault="00104513" w:rsidP="00104513">
            <w:pPr>
              <w:pStyle w:val="TableText"/>
              <w:ind w:left="-57" w:right="-57"/>
              <w:rPr>
                <w:b/>
                <w:bCs/>
              </w:rPr>
            </w:pPr>
            <w:r w:rsidRPr="00274D56">
              <w:t>$31,757,219</w:t>
            </w:r>
          </w:p>
        </w:tc>
      </w:tr>
    </w:tbl>
    <w:p w14:paraId="3383B05C" w14:textId="77777777" w:rsidR="00104513" w:rsidRPr="000856BC" w:rsidRDefault="00104513" w:rsidP="00104513">
      <w:pPr>
        <w:pStyle w:val="TableFigureFooter"/>
        <w:spacing w:before="40" w:after="40"/>
        <w:rPr>
          <w:b/>
          <w:bCs/>
          <w:u w:val="single"/>
        </w:rPr>
      </w:pPr>
      <w:r w:rsidRPr="000856BC">
        <w:rPr>
          <w:b/>
          <w:bCs/>
          <w:u w:val="single"/>
        </w:rPr>
        <w:t>Abbreviations</w:t>
      </w:r>
    </w:p>
    <w:p w14:paraId="5E118C11" w14:textId="77777777" w:rsidR="00104513" w:rsidRDefault="00104513" w:rsidP="00104513">
      <w:pPr>
        <w:pStyle w:val="TableFigureFooter"/>
        <w:spacing w:before="40" w:after="40"/>
      </w:pPr>
      <w:r>
        <w:t>MBS =</w:t>
      </w:r>
      <w:r w:rsidRPr="00CE28E3">
        <w:t xml:space="preserve"> </w:t>
      </w:r>
      <w:r>
        <w:t>Medical Benefits Scheme.</w:t>
      </w:r>
    </w:p>
    <w:p w14:paraId="62374F6D" w14:textId="77777777" w:rsidR="00104513" w:rsidRPr="00E6458E" w:rsidRDefault="00104513" w:rsidP="00104513">
      <w:pPr>
        <w:pStyle w:val="TableFigureFooter"/>
        <w:spacing w:before="40" w:after="40"/>
        <w:rPr>
          <w:b/>
          <w:bCs/>
          <w:u w:val="single"/>
        </w:rPr>
      </w:pPr>
      <w:r w:rsidRPr="00E6458E">
        <w:rPr>
          <w:b/>
          <w:bCs/>
          <w:u w:val="single"/>
        </w:rPr>
        <w:t>Source</w:t>
      </w:r>
    </w:p>
    <w:p w14:paraId="7EEEEDF9" w14:textId="77777777" w:rsidR="00104513" w:rsidRPr="0086353C" w:rsidRDefault="00104513" w:rsidP="00104513">
      <w:pPr>
        <w:pStyle w:val="TableFigureFooter"/>
        <w:spacing w:before="40" w:after="40"/>
      </w:pPr>
      <w:r w:rsidRPr="0086353C">
        <w:t xml:space="preserve">Compiled </w:t>
      </w:r>
      <w:r>
        <w:t>during evaluation from Submission Table 71, p. 119.</w:t>
      </w:r>
    </w:p>
    <w:p w14:paraId="7A598A40" w14:textId="41CA7B21" w:rsidR="00140D4E" w:rsidRPr="00140D4E" w:rsidRDefault="007E6DA5" w:rsidP="007E6DA5">
      <w:pPr>
        <w:pStyle w:val="Style1"/>
        <w:spacing w:before="0"/>
        <w:rPr>
          <w:rFonts w:ascii="Arial Narrow" w:hAnsi="Arial Narrow"/>
          <w:sz w:val="18"/>
          <w:szCs w:val="18"/>
        </w:rPr>
      </w:pPr>
      <w:r w:rsidRPr="00140D4E">
        <w:rPr>
          <w:rFonts w:ascii="Arial Narrow" w:hAnsi="Arial Narrow"/>
          <w:sz w:val="18"/>
          <w:szCs w:val="18"/>
        </w:rPr>
        <w:t>*Figures in this row assumed that the proposed MBS item for Pro</w:t>
      </w:r>
      <w:r w:rsidR="00F07770">
        <w:rPr>
          <w:rFonts w:ascii="Arial Narrow" w:hAnsi="Arial Narrow"/>
          <w:sz w:val="18"/>
          <w:szCs w:val="18"/>
        </w:rPr>
        <w:t>m</w:t>
      </w:r>
      <w:r w:rsidRPr="00140D4E">
        <w:rPr>
          <w:rFonts w:ascii="Arial Narrow" w:hAnsi="Arial Narrow"/>
          <w:sz w:val="18"/>
          <w:szCs w:val="18"/>
        </w:rPr>
        <w:t xml:space="preserve">arker D is reimbursed at a 80% benefit </w:t>
      </w:r>
      <w:r w:rsidR="002455A1" w:rsidRPr="00140D4E">
        <w:rPr>
          <w:rFonts w:ascii="Arial Narrow" w:hAnsi="Arial Narrow"/>
          <w:sz w:val="18"/>
          <w:szCs w:val="18"/>
        </w:rPr>
        <w:t>rate</w:t>
      </w:r>
      <w:r w:rsidRPr="00140D4E">
        <w:rPr>
          <w:rFonts w:ascii="Arial Narrow" w:hAnsi="Arial Narrow"/>
          <w:sz w:val="18"/>
          <w:szCs w:val="18"/>
        </w:rPr>
        <w:t xml:space="preserve"> and item 104 for specialist consultations is reimbursed at a 100% benefit </w:t>
      </w:r>
      <w:r w:rsidR="002455A1" w:rsidRPr="00140D4E">
        <w:rPr>
          <w:rFonts w:ascii="Arial Narrow" w:hAnsi="Arial Narrow"/>
          <w:sz w:val="18"/>
          <w:szCs w:val="18"/>
        </w:rPr>
        <w:t>rate</w:t>
      </w:r>
      <w:r w:rsidRPr="00140D4E">
        <w:rPr>
          <w:rFonts w:ascii="Arial Narrow" w:hAnsi="Arial Narrow"/>
          <w:sz w:val="18"/>
          <w:szCs w:val="18"/>
        </w:rPr>
        <w:t xml:space="preserve"> (but under the</w:t>
      </w:r>
      <w:r w:rsidR="00770A2F" w:rsidRPr="00140D4E">
        <w:rPr>
          <w:rFonts w:ascii="Arial Narrow" w:hAnsi="Arial Narrow"/>
          <w:sz w:val="18"/>
          <w:szCs w:val="18"/>
        </w:rPr>
        <w:t xml:space="preserve"> pre-indexation</w:t>
      </w:r>
      <w:r w:rsidRPr="00140D4E">
        <w:rPr>
          <w:rFonts w:ascii="Arial Narrow" w:hAnsi="Arial Narrow"/>
          <w:sz w:val="18"/>
          <w:szCs w:val="18"/>
        </w:rPr>
        <w:t xml:space="preserve"> rate of $90.35)</w:t>
      </w:r>
    </w:p>
    <w:p w14:paraId="54C1B2A2" w14:textId="0FE27FDA" w:rsidR="007E6DA5" w:rsidRPr="00140D4E" w:rsidRDefault="007E6DA5" w:rsidP="007E6DA5">
      <w:pPr>
        <w:pStyle w:val="Style1"/>
        <w:spacing w:before="0"/>
        <w:rPr>
          <w:rFonts w:ascii="Arial Narrow" w:hAnsi="Arial Narrow"/>
          <w:sz w:val="18"/>
          <w:szCs w:val="18"/>
        </w:rPr>
      </w:pPr>
      <w:r w:rsidRPr="00140D4E">
        <w:rPr>
          <w:rFonts w:ascii="Arial Narrow" w:hAnsi="Arial Narrow"/>
          <w:sz w:val="18"/>
          <w:szCs w:val="18"/>
        </w:rPr>
        <w:t>**</w:t>
      </w:r>
      <w:r w:rsidR="002455A1" w:rsidRPr="00140D4E">
        <w:rPr>
          <w:rFonts w:ascii="Arial Narrow" w:hAnsi="Arial Narrow"/>
          <w:sz w:val="18"/>
          <w:szCs w:val="18"/>
        </w:rPr>
        <w:t xml:space="preserve">AG revised figures, assuming </w:t>
      </w:r>
      <w:r w:rsidRPr="00140D4E">
        <w:rPr>
          <w:rFonts w:ascii="Arial Narrow" w:hAnsi="Arial Narrow"/>
          <w:sz w:val="18"/>
          <w:szCs w:val="18"/>
        </w:rPr>
        <w:t>that both the proposed MBS item for Pro</w:t>
      </w:r>
      <w:r w:rsidR="00F07770">
        <w:rPr>
          <w:rFonts w:ascii="Arial Narrow" w:hAnsi="Arial Narrow"/>
          <w:sz w:val="18"/>
          <w:szCs w:val="18"/>
        </w:rPr>
        <w:t>m</w:t>
      </w:r>
      <w:r w:rsidRPr="00140D4E">
        <w:rPr>
          <w:rFonts w:ascii="Arial Narrow" w:hAnsi="Arial Narrow"/>
          <w:sz w:val="18"/>
          <w:szCs w:val="18"/>
        </w:rPr>
        <w:t xml:space="preserve">arker D and item 104 for specialist consultations are reimbursed at a 85% benefit </w:t>
      </w:r>
      <w:r w:rsidR="002455A1" w:rsidRPr="00140D4E">
        <w:rPr>
          <w:rFonts w:ascii="Arial Narrow" w:hAnsi="Arial Narrow"/>
          <w:sz w:val="18"/>
          <w:szCs w:val="18"/>
        </w:rPr>
        <w:t>rate</w:t>
      </w:r>
    </w:p>
    <w:p w14:paraId="547CB9F9" w14:textId="24D84E3D" w:rsidR="00104513" w:rsidRPr="00F04963" w:rsidRDefault="00104513" w:rsidP="00104513">
      <w:pPr>
        <w:rPr>
          <w:lang w:val="en-US"/>
        </w:rPr>
      </w:pPr>
      <w:bookmarkStart w:id="44" w:name="_Hlk113356035"/>
      <w:r w:rsidRPr="0024631D">
        <w:rPr>
          <w:lang w:val="en-US"/>
        </w:rPr>
        <w:t xml:space="preserve">It was estimated that there would be </w:t>
      </w:r>
      <w:r w:rsidR="004B6555" w:rsidRPr="009C1643">
        <w:rPr>
          <w:b/>
          <w:bCs/>
          <w:color w:val="000000"/>
          <w:w w:val="61"/>
          <w:shd w:val="solid" w:color="000000" w:fill="000000"/>
          <w:fitText w:val="880" w:id="-1286896380"/>
          <w:lang w:val="en-US"/>
          <w14:textFill>
            <w14:solidFill>
              <w14:srgbClr w14:val="000000">
                <w14:alpha w14:val="100000"/>
              </w14:srgbClr>
            </w14:solidFill>
          </w14:textFill>
        </w:rPr>
        <w:t>|||||||||||</w:t>
      </w:r>
      <w:r w:rsidR="004B6555" w:rsidRPr="009C1643">
        <w:rPr>
          <w:b/>
          <w:bCs/>
          <w:color w:val="000000"/>
          <w:spacing w:val="80"/>
          <w:w w:val="61"/>
          <w:shd w:val="solid" w:color="000000" w:fill="000000"/>
          <w:fitText w:val="880" w:id="-1286896380"/>
          <w:lang w:val="en-US"/>
          <w14:textFill>
            <w14:solidFill>
              <w14:srgbClr w14:val="000000">
                <w14:alpha w14:val="100000"/>
              </w14:srgbClr>
            </w14:solidFill>
          </w14:textFill>
        </w:rPr>
        <w:t>|</w:t>
      </w:r>
      <w:r w:rsidR="004165C1" w:rsidRPr="0024631D">
        <w:rPr>
          <w:lang w:val="en-US"/>
        </w:rPr>
        <w:t xml:space="preserve"> </w:t>
      </w:r>
      <w:r w:rsidRPr="0024631D">
        <w:rPr>
          <w:lang w:val="en-US"/>
        </w:rPr>
        <w:t xml:space="preserve">PromarkerD services in 2022 and </w:t>
      </w:r>
      <w:r w:rsidR="004B6555" w:rsidRPr="009C1643">
        <w:rPr>
          <w:b/>
          <w:bCs/>
          <w:color w:val="000000"/>
          <w:w w:val="61"/>
          <w:shd w:val="solid" w:color="000000" w:fill="000000"/>
          <w:fitText w:val="880" w:id="-1286896128"/>
          <w:lang w:val="en-US"/>
          <w14:textFill>
            <w14:solidFill>
              <w14:srgbClr w14:val="000000">
                <w14:alpha w14:val="100000"/>
              </w14:srgbClr>
            </w14:solidFill>
          </w14:textFill>
        </w:rPr>
        <w:t>|||||||||||</w:t>
      </w:r>
      <w:r w:rsidR="004B6555" w:rsidRPr="009C1643">
        <w:rPr>
          <w:b/>
          <w:bCs/>
          <w:color w:val="000000"/>
          <w:spacing w:val="80"/>
          <w:w w:val="61"/>
          <w:shd w:val="solid" w:color="000000" w:fill="000000"/>
          <w:fitText w:val="880" w:id="-1286896128"/>
          <w:lang w:val="en-US"/>
          <w14:textFill>
            <w14:solidFill>
              <w14:srgbClr w14:val="000000">
                <w14:alpha w14:val="100000"/>
              </w14:srgbClr>
            </w14:solidFill>
          </w14:textFill>
        </w:rPr>
        <w:t>|</w:t>
      </w:r>
      <w:r w:rsidR="004165C1" w:rsidRPr="0024631D">
        <w:rPr>
          <w:lang w:val="en-US"/>
        </w:rPr>
        <w:t xml:space="preserve"> </w:t>
      </w:r>
      <w:r w:rsidRPr="0024631D">
        <w:rPr>
          <w:lang w:val="en-US"/>
        </w:rPr>
        <w:t>in 2027</w:t>
      </w:r>
      <w:r>
        <w:rPr>
          <w:lang w:val="en-US"/>
        </w:rPr>
        <w:t xml:space="preserve">. </w:t>
      </w:r>
      <w:bookmarkStart w:id="45" w:name="_Hlk111211775"/>
      <w:r w:rsidR="00AB7DEF">
        <w:rPr>
          <w:lang w:val="en-US"/>
        </w:rPr>
        <w:t>The Commentary noted that t</w:t>
      </w:r>
      <w:r w:rsidRPr="00D0550A">
        <w:rPr>
          <w:lang w:val="en-US"/>
        </w:rPr>
        <w:t>he uptake of the test is highly uncertain</w:t>
      </w:r>
      <w:bookmarkEnd w:id="45"/>
      <w:r w:rsidRPr="00D0550A">
        <w:rPr>
          <w:lang w:val="en-US"/>
        </w:rPr>
        <w:t xml:space="preserve">. Clinician feedback </w:t>
      </w:r>
      <w:r w:rsidR="00AB7DEF">
        <w:rPr>
          <w:lang w:val="en-US"/>
        </w:rPr>
        <w:t xml:space="preserve">reported in the Commentary was that </w:t>
      </w:r>
      <w:r w:rsidRPr="00D0550A">
        <w:rPr>
          <w:lang w:val="en-US"/>
        </w:rPr>
        <w:t xml:space="preserve">the test would be widely used if it were shown to </w:t>
      </w:r>
      <w:r>
        <w:rPr>
          <w:lang w:val="en-US"/>
        </w:rPr>
        <w:t xml:space="preserve">have </w:t>
      </w:r>
      <w:r w:rsidRPr="00D0550A">
        <w:rPr>
          <w:lang w:val="en-US"/>
        </w:rPr>
        <w:t xml:space="preserve">high </w:t>
      </w:r>
      <w:r w:rsidRPr="00D0550A">
        <w:rPr>
          <w:lang w:val="en-US"/>
        </w:rPr>
        <w:lastRenderedPageBreak/>
        <w:t>prognostic accuracy, be simple to use (</w:t>
      </w:r>
      <w:proofErr w:type="gramStart"/>
      <w:r w:rsidRPr="00D0550A">
        <w:rPr>
          <w:lang w:val="en-US"/>
        </w:rPr>
        <w:t>e.g.</w:t>
      </w:r>
      <w:proofErr w:type="gramEnd"/>
      <w:r w:rsidRPr="00D0550A">
        <w:rPr>
          <w:lang w:val="en-US"/>
        </w:rPr>
        <w:t xml:space="preserve"> the risk score was estimated by the pathology service) and the test </w:t>
      </w:r>
      <w:r>
        <w:rPr>
          <w:lang w:val="en-US"/>
        </w:rPr>
        <w:t xml:space="preserve">cost </w:t>
      </w:r>
      <w:r w:rsidRPr="00D0550A">
        <w:rPr>
          <w:lang w:val="en-US"/>
        </w:rPr>
        <w:t xml:space="preserve">was </w:t>
      </w:r>
      <w:r w:rsidRPr="00F04963">
        <w:rPr>
          <w:lang w:val="en-US"/>
        </w:rPr>
        <w:t xml:space="preserve">similar to currently available tests. </w:t>
      </w:r>
    </w:p>
    <w:p w14:paraId="4FF76703" w14:textId="1F443F54" w:rsidR="00104513" w:rsidRDefault="00104513" w:rsidP="00104513">
      <w:pPr>
        <w:pStyle w:val="Style1"/>
        <w:rPr>
          <w:lang w:val="en-US"/>
        </w:rPr>
      </w:pPr>
      <w:r w:rsidRPr="00F04963">
        <w:t>The proposed fee for PromarkerD is $250.00. The overall financial impact of the first 6 years post listing was calculated and is shown in the table below.  In 2022, the listing of PromarkerD will cost the MBS $4.8M, increasing to $30.0M in 2027</w:t>
      </w:r>
      <w:r>
        <w:t xml:space="preserve"> assuming 80% benefit for the test</w:t>
      </w:r>
      <w:r w:rsidRPr="00F04963">
        <w:t xml:space="preserve">. </w:t>
      </w:r>
      <w:r w:rsidR="00952C9D">
        <w:t xml:space="preserve">Assuming </w:t>
      </w:r>
      <w:r>
        <w:t xml:space="preserve">85% benefit for </w:t>
      </w:r>
      <w:r w:rsidR="00952C9D">
        <w:t xml:space="preserve">both </w:t>
      </w:r>
      <w:r>
        <w:t>Promarker</w:t>
      </w:r>
      <w:r w:rsidR="00B935C5">
        <w:t>D</w:t>
      </w:r>
      <w:r>
        <w:t xml:space="preserve"> and specialist services (MBS </w:t>
      </w:r>
      <w:r w:rsidR="00870CE4">
        <w:t xml:space="preserve">item </w:t>
      </w:r>
      <w:r>
        <w:t>104, 85% benefit) generates a 2027 net MBS financial cost of $31.8 million</w:t>
      </w:r>
      <w:r w:rsidR="00952C9D">
        <w:t>.</w:t>
      </w:r>
      <w:r w:rsidRPr="00F04963">
        <w:t xml:space="preserve"> </w:t>
      </w:r>
      <w:r w:rsidRPr="00F04963">
        <w:rPr>
          <w:lang w:val="en-US"/>
        </w:rPr>
        <w:t xml:space="preserve">The listing of PromarkerD on the MBS was not calculated in the </w:t>
      </w:r>
      <w:r w:rsidR="00CD0208">
        <w:rPr>
          <w:lang w:val="en-US"/>
        </w:rPr>
        <w:t>ADAR</w:t>
      </w:r>
      <w:r w:rsidRPr="00F04963">
        <w:rPr>
          <w:lang w:val="en-US"/>
        </w:rPr>
        <w:t xml:space="preserve"> to impact other health budgets during the first six years of listing. In the short term (6 years), however, use of PromarkerD is expected to increase PBS costs. These costs included SGLT2 inhibitors, statins, ARBS and ACE inhibitors. </w:t>
      </w:r>
      <w:r w:rsidR="00CD0208">
        <w:rPr>
          <w:lang w:val="en-US"/>
        </w:rPr>
        <w:t>The Commentary noted that t</w:t>
      </w:r>
      <w:r w:rsidRPr="00F04963">
        <w:rPr>
          <w:lang w:val="en-US"/>
        </w:rPr>
        <w:t>he omission of these costs understates the budget impact of PromarkerD uptake on other health budgets</w:t>
      </w:r>
      <w:r w:rsidR="00CD0208">
        <w:rPr>
          <w:lang w:val="en-US"/>
        </w:rPr>
        <w:t xml:space="preserve">. </w:t>
      </w:r>
      <w:r w:rsidR="005D1C88">
        <w:rPr>
          <w:lang w:val="en-US"/>
        </w:rPr>
        <w:t xml:space="preserve">In its pre-ESC response, the applicant </w:t>
      </w:r>
      <w:r w:rsidR="005D1C88" w:rsidRPr="005D1C88">
        <w:rPr>
          <w:lang w:val="en-US"/>
        </w:rPr>
        <w:t>acknowledge</w:t>
      </w:r>
      <w:r w:rsidR="005D1C88">
        <w:rPr>
          <w:lang w:val="en-US"/>
        </w:rPr>
        <w:t>d</w:t>
      </w:r>
      <w:r w:rsidR="005D1C88" w:rsidRPr="005D1C88">
        <w:rPr>
          <w:lang w:val="en-US"/>
        </w:rPr>
        <w:t xml:space="preserve"> that </w:t>
      </w:r>
      <w:r w:rsidR="005D1C88">
        <w:rPr>
          <w:lang w:val="en-US"/>
        </w:rPr>
        <w:t xml:space="preserve">the listing of </w:t>
      </w:r>
      <w:r w:rsidR="005D1C88" w:rsidRPr="005D1C88">
        <w:rPr>
          <w:lang w:val="en-US"/>
        </w:rPr>
        <w:t>PromarkerD will increase the usage of certain PBS items in the first six years of listing, due to early diagnosis of DKD risk</w:t>
      </w:r>
      <w:r w:rsidR="005D1C88">
        <w:rPr>
          <w:lang w:val="en-US"/>
        </w:rPr>
        <w:t>, generating</w:t>
      </w:r>
      <w:r w:rsidR="005D1C88" w:rsidRPr="005D1C88">
        <w:rPr>
          <w:lang w:val="en-US"/>
        </w:rPr>
        <w:t xml:space="preserve"> a minor cost (&lt;$10M) to the PBS in each of the first six years of listing, </w:t>
      </w:r>
      <w:proofErr w:type="gramStart"/>
      <w:r w:rsidR="005D1C88" w:rsidRPr="005D1C88">
        <w:rPr>
          <w:lang w:val="en-US"/>
        </w:rPr>
        <w:t>as a result of</w:t>
      </w:r>
      <w:proofErr w:type="gramEnd"/>
      <w:r w:rsidR="005D1C88" w:rsidRPr="005D1C88">
        <w:rPr>
          <w:lang w:val="en-US"/>
        </w:rPr>
        <w:t xml:space="preserve"> introducing new treatment to T2DM patients. However,</w:t>
      </w:r>
      <w:r w:rsidR="005D1C88">
        <w:rPr>
          <w:lang w:val="en-US"/>
        </w:rPr>
        <w:t xml:space="preserve"> the applicant contended that</w:t>
      </w:r>
      <w:r w:rsidR="005D1C88" w:rsidRPr="005D1C88">
        <w:rPr>
          <w:lang w:val="en-US"/>
        </w:rPr>
        <w:t xml:space="preserve"> improvements in DKD related outcomes because of early diagnosis will generate even greater savings for the PBS beyond the first six years of listing</w:t>
      </w:r>
      <w:r w:rsidR="005D1C88">
        <w:rPr>
          <w:lang w:val="en-US"/>
        </w:rPr>
        <w:t>.</w:t>
      </w:r>
      <w:r w:rsidR="006F7C8A">
        <w:rPr>
          <w:lang w:val="en-US"/>
        </w:rPr>
        <w:t xml:space="preserve"> </w:t>
      </w:r>
    </w:p>
    <w:p w14:paraId="193796E1" w14:textId="64B59EBA" w:rsidR="000D5B30" w:rsidRDefault="00104513" w:rsidP="00D17F9E">
      <w:pPr>
        <w:rPr>
          <w:lang w:val="en-US"/>
        </w:rPr>
      </w:pPr>
      <w:r w:rsidRPr="00D0550A">
        <w:rPr>
          <w:lang w:val="en-US"/>
        </w:rPr>
        <w:t>The</w:t>
      </w:r>
      <w:r w:rsidR="004A4023">
        <w:rPr>
          <w:lang w:val="en-US"/>
        </w:rPr>
        <w:t xml:space="preserve"> Commentary noted that the</w:t>
      </w:r>
      <w:r w:rsidRPr="00D0550A">
        <w:rPr>
          <w:lang w:val="en-US"/>
        </w:rPr>
        <w:t xml:space="preserve"> prognostic accuracy of developing kidney disease using PromarkerD compared to low</w:t>
      </w:r>
      <w:r>
        <w:rPr>
          <w:lang w:val="en-US"/>
        </w:rPr>
        <w:t>-</w:t>
      </w:r>
      <w:r w:rsidRPr="00D0550A">
        <w:rPr>
          <w:lang w:val="en-US"/>
        </w:rPr>
        <w:t xml:space="preserve"> and moderate</w:t>
      </w:r>
      <w:r>
        <w:rPr>
          <w:lang w:val="en-US"/>
        </w:rPr>
        <w:t>-</w:t>
      </w:r>
      <w:r w:rsidRPr="00D0550A">
        <w:rPr>
          <w:lang w:val="en-US"/>
        </w:rPr>
        <w:t xml:space="preserve">risk CKD classifications was not presented in the </w:t>
      </w:r>
      <w:r>
        <w:rPr>
          <w:lang w:val="en-US"/>
        </w:rPr>
        <w:t xml:space="preserve">main body of the </w:t>
      </w:r>
      <w:r w:rsidR="004A4023">
        <w:rPr>
          <w:lang w:val="en-US"/>
        </w:rPr>
        <w:t>ADA</w:t>
      </w:r>
      <w:r w:rsidR="008F022F">
        <w:rPr>
          <w:lang w:val="en-US"/>
        </w:rPr>
        <w:t>R</w:t>
      </w:r>
      <w:r w:rsidRPr="00D0550A">
        <w:rPr>
          <w:lang w:val="en-US"/>
        </w:rPr>
        <w:t xml:space="preserve">. Establishing that PromarkerD has high predictive accuracy in the KDIGO green risk group is particularly important as low-risk patients account for 71% of the </w:t>
      </w:r>
      <w:r w:rsidR="008F022F">
        <w:rPr>
          <w:lang w:val="en-US"/>
        </w:rPr>
        <w:t xml:space="preserve">T2DM </w:t>
      </w:r>
      <w:r w:rsidRPr="00D0550A">
        <w:rPr>
          <w:lang w:val="en-US"/>
        </w:rPr>
        <w:t>population and moderate-/high-risk around 29% of the populations. If only moderate</w:t>
      </w:r>
      <w:r>
        <w:rPr>
          <w:lang w:val="en-US"/>
        </w:rPr>
        <w:t>-</w:t>
      </w:r>
      <w:r w:rsidRPr="00D0550A">
        <w:rPr>
          <w:lang w:val="en-US"/>
        </w:rPr>
        <w:t>risk patients were eligible to use the test, the 2027 financial cost would be $1</w:t>
      </w:r>
      <w:r>
        <w:rPr>
          <w:lang w:val="en-US"/>
        </w:rPr>
        <w:t>2</w:t>
      </w:r>
      <w:r w:rsidRPr="00D0550A">
        <w:rPr>
          <w:lang w:val="en-US"/>
        </w:rPr>
        <w:t xml:space="preserve"> million, rather than $3</w:t>
      </w:r>
      <w:r>
        <w:rPr>
          <w:lang w:val="en-US"/>
        </w:rPr>
        <w:t>1.8</w:t>
      </w:r>
      <w:r w:rsidRPr="00D0550A">
        <w:rPr>
          <w:lang w:val="en-US"/>
        </w:rPr>
        <w:t xml:space="preserve"> million </w:t>
      </w:r>
      <w:r>
        <w:rPr>
          <w:lang w:val="en-US"/>
        </w:rPr>
        <w:t>for</w:t>
      </w:r>
      <w:r w:rsidRPr="00D0550A">
        <w:rPr>
          <w:lang w:val="en-US"/>
        </w:rPr>
        <w:t xml:space="preserve"> both populations</w:t>
      </w:r>
      <w:bookmarkEnd w:id="44"/>
      <w:r w:rsidR="000D5B30">
        <w:rPr>
          <w:lang w:val="en-US"/>
        </w:rPr>
        <w:t>.</w:t>
      </w:r>
    </w:p>
    <w:p w14:paraId="52DAF8EF" w14:textId="77777777" w:rsidR="000D5B30" w:rsidRPr="00CE28E3" w:rsidRDefault="000D5B30" w:rsidP="000D5B30">
      <w:pPr>
        <w:pStyle w:val="Heading2"/>
        <w:numPr>
          <w:ilvl w:val="0"/>
          <w:numId w:val="0"/>
        </w:numPr>
      </w:pPr>
      <w:r>
        <w:t>15.</w:t>
      </w:r>
      <w:r>
        <w:tab/>
      </w:r>
      <w:r w:rsidRPr="00CE28E3">
        <w:t xml:space="preserve">Other relevant </w:t>
      </w:r>
      <w:r>
        <w:t>information</w:t>
      </w:r>
    </w:p>
    <w:p w14:paraId="0F355506" w14:textId="0C0B812D" w:rsidR="008F4EA7" w:rsidRDefault="000D5B30" w:rsidP="008F4EA7">
      <w:pPr>
        <w:rPr>
          <w:lang w:val="en-US"/>
        </w:rPr>
      </w:pPr>
      <w:r>
        <w:rPr>
          <w:lang w:val="en-US"/>
        </w:rPr>
        <w:t>Nil.</w:t>
      </w:r>
      <w:r w:rsidR="008F4EA7">
        <w:rPr>
          <w:lang w:val="en-US"/>
        </w:rPr>
        <w:br w:type="page"/>
      </w:r>
    </w:p>
    <w:p w14:paraId="2B34A068" w14:textId="1D19D44F" w:rsidR="000D5B30" w:rsidRPr="000D5B30" w:rsidRDefault="000D5B30" w:rsidP="000D5B30">
      <w:pPr>
        <w:pStyle w:val="Heading2"/>
        <w:numPr>
          <w:ilvl w:val="0"/>
          <w:numId w:val="0"/>
        </w:numPr>
      </w:pPr>
      <w:r>
        <w:lastRenderedPageBreak/>
        <w:t>16.</w:t>
      </w:r>
      <w:r>
        <w:tab/>
        <w:t>Key issues from ESC to MSAC</w:t>
      </w:r>
    </w:p>
    <w:p w14:paraId="07883901" w14:textId="77777777" w:rsidR="000D5B30" w:rsidRDefault="000D5B30" w:rsidP="000D5B30">
      <w:pPr>
        <w:pStyle w:val="BoxName0"/>
      </w:pPr>
      <w:r w:rsidRPr="00C749CB">
        <w:t>Main issues for MSAC consideration</w:t>
      </w:r>
    </w:p>
    <w:p w14:paraId="0FFF9CDB" w14:textId="77777777" w:rsidR="000D5B30" w:rsidRDefault="000D5B30" w:rsidP="000D5B30">
      <w:pPr>
        <w:pStyle w:val="BoxName0"/>
      </w:pPr>
      <w:r>
        <w:t>Clinical issues:</w:t>
      </w:r>
    </w:p>
    <w:p w14:paraId="5C312798" w14:textId="77777777" w:rsidR="000D5B30" w:rsidRPr="007851D5" w:rsidRDefault="000D5B30" w:rsidP="000D5B30">
      <w:pPr>
        <w:pStyle w:val="BoxBullet"/>
        <w:rPr>
          <w:b/>
          <w:bCs/>
          <w:color w:val="auto"/>
        </w:rPr>
      </w:pPr>
      <w:r>
        <w:t xml:space="preserve">There are significant concerns about the clinical utility of this test for patients who fall into the medium-risk category </w:t>
      </w:r>
      <w:r w:rsidRPr="007851D5">
        <w:rPr>
          <w:color w:val="auto"/>
        </w:rPr>
        <w:t xml:space="preserve">(yellow category) according to KDIGO guidelines (normal eGFR but evidence of microalbuminuria defined as </w:t>
      </w:r>
      <w:bookmarkStart w:id="46" w:name="_Hlk117685655"/>
      <w:r w:rsidRPr="007851D5">
        <w:rPr>
          <w:color w:val="auto"/>
        </w:rPr>
        <w:t>uACR &gt;2.5 mg/mmol in males and 3.5 mg/mmol in females</w:t>
      </w:r>
      <w:bookmarkEnd w:id="46"/>
      <w:r w:rsidRPr="007851D5">
        <w:rPr>
          <w:color w:val="auto"/>
        </w:rPr>
        <w:t>). These patients should already be receiving treatment to prevent DKD progression. Therefore the clinical utility of PromarkerD in this population is uncertain.</w:t>
      </w:r>
    </w:p>
    <w:p w14:paraId="64C8C83C" w14:textId="77777777" w:rsidR="000D5B30" w:rsidRPr="007851D5" w:rsidRDefault="000D5B30" w:rsidP="000D5B30">
      <w:pPr>
        <w:pStyle w:val="BoxBullet"/>
        <w:rPr>
          <w:b/>
          <w:bCs/>
        </w:rPr>
      </w:pPr>
      <w:r>
        <w:t xml:space="preserve">The item descriptor should be amended to restrict PromarkerD use to patients who are currently in the low-risk category (green category) only. This means the eligible population should be restricted to patients with </w:t>
      </w:r>
      <w:r w:rsidRPr="00196EAA">
        <w:t xml:space="preserve">uACR </w:t>
      </w:r>
      <w:r>
        <w:t>&lt;</w:t>
      </w:r>
      <w:r w:rsidRPr="00196EAA">
        <w:t>2.5 mg/mmol i</w:t>
      </w:r>
      <w:r>
        <w:t xml:space="preserve">f </w:t>
      </w:r>
      <w:r w:rsidRPr="00196EAA">
        <w:t>male and 3.5 mg/mmol i</w:t>
      </w:r>
      <w:r>
        <w:t>f</w:t>
      </w:r>
      <w:r w:rsidRPr="00196EAA">
        <w:t xml:space="preserve"> female</w:t>
      </w:r>
      <w:r>
        <w:t>, and eGFR of 60 ml/min/1.73m</w:t>
      </w:r>
      <w:r w:rsidRPr="00F85C26">
        <w:rPr>
          <w:vertAlign w:val="superscript"/>
        </w:rPr>
        <w:t>2</w:t>
      </w:r>
      <w:r>
        <w:t xml:space="preserve"> or greater. </w:t>
      </w:r>
    </w:p>
    <w:p w14:paraId="05B693B8" w14:textId="6DB2BA96" w:rsidR="000D5B30" w:rsidRPr="00F85C26" w:rsidRDefault="000D5B30" w:rsidP="000D5B30">
      <w:pPr>
        <w:pStyle w:val="BoxBullet"/>
        <w:rPr>
          <w:b/>
          <w:bCs/>
        </w:rPr>
      </w:pPr>
      <w:r>
        <w:t>Retesting for patients identified by PromarkerD as being of medium and high risk for DKD should not be necessary.</w:t>
      </w:r>
    </w:p>
    <w:p w14:paraId="484DBF3A" w14:textId="7CACF9E2" w:rsidR="000D5B30" w:rsidRPr="00C07C45" w:rsidRDefault="000D5B30" w:rsidP="000D5B30">
      <w:pPr>
        <w:pStyle w:val="BoxBullet"/>
        <w:rPr>
          <w:b/>
          <w:bCs/>
        </w:rPr>
      </w:pPr>
      <w:r>
        <w:t>The prognostic evidence for PromarkerD is subject to a high risk of bias. Additionally, the change in management that is claimed would arise from use of this test is only based on a survey of clinicians’ intent, not real-world evidence; the evidence regarding change in management is poor and has a high risk of bias.</w:t>
      </w:r>
    </w:p>
    <w:p w14:paraId="69ADF58D" w14:textId="77777777" w:rsidR="000D5B30" w:rsidRPr="004448C6" w:rsidRDefault="000D5B30" w:rsidP="000D5B30">
      <w:pPr>
        <w:pStyle w:val="BoxBullet"/>
        <w:rPr>
          <w:b/>
          <w:bCs/>
        </w:rPr>
      </w:pPr>
      <w:r>
        <w:t>The main safety issues which are regarding false positive and false negative results have not been sufficiently addressed by the ADAR. The positive predictive value for this test appears to be low.</w:t>
      </w:r>
    </w:p>
    <w:p w14:paraId="51B20820" w14:textId="77777777" w:rsidR="000D5B30" w:rsidRPr="00F85C26" w:rsidRDefault="000D5B30" w:rsidP="000D5B30">
      <w:pPr>
        <w:pStyle w:val="BoxBullet"/>
        <w:rPr>
          <w:b/>
          <w:bCs/>
        </w:rPr>
      </w:pPr>
      <w:r w:rsidRPr="009E6940">
        <w:t>The</w:t>
      </w:r>
      <w:r>
        <w:t xml:space="preserve"> applicant has not provided sufficient information </w:t>
      </w:r>
      <w:r w:rsidRPr="009E6940">
        <w:t xml:space="preserve">that is important for MSAC decision-making, including </w:t>
      </w:r>
      <w:r>
        <w:t xml:space="preserve">on </w:t>
      </w:r>
      <w:r w:rsidRPr="009E6940">
        <w:t>the effect of individual input variables on the output of prediction models, the incremental benefit of the biomarkers, how comorbidities are accounted for in the PromarkerD algorithm</w:t>
      </w:r>
      <w:r>
        <w:t xml:space="preserve"> and </w:t>
      </w:r>
      <w:r w:rsidRPr="009E6940">
        <w:t>information about the algorithm used to generate results</w:t>
      </w:r>
      <w:r>
        <w:t xml:space="preserve">. </w:t>
      </w:r>
    </w:p>
    <w:p w14:paraId="35EE8EAA" w14:textId="77777777" w:rsidR="000D5B30" w:rsidRDefault="000D5B30" w:rsidP="000D5B30">
      <w:pPr>
        <w:pStyle w:val="BoxHeading"/>
      </w:pPr>
      <w:r>
        <w:t>Economic issues:</w:t>
      </w:r>
    </w:p>
    <w:p w14:paraId="1BE3DDD6" w14:textId="77777777" w:rsidR="000D5B30" w:rsidRDefault="000D5B30" w:rsidP="000D5B30">
      <w:pPr>
        <w:pStyle w:val="BoxBullet"/>
      </w:pPr>
      <w:r>
        <w:t>Test outcomes have not been accounted for in the economic model. Including test outcomes would allow comparisons with the current clinical approach. Test outcomes should be included as a decision tree component before the state transition model.</w:t>
      </w:r>
    </w:p>
    <w:p w14:paraId="0FC21890" w14:textId="77777777" w:rsidR="000D5B30" w:rsidRDefault="000D5B30" w:rsidP="000D5B30">
      <w:pPr>
        <w:pStyle w:val="BoxBullet"/>
      </w:pPr>
      <w:r>
        <w:t>To improve the stability of results, the number of simulated individuals needs to be increased. Stability should then be justified by demonstrating that the variance from multiple runs is much smaller than expected differences between strategies.</w:t>
      </w:r>
    </w:p>
    <w:p w14:paraId="2434FA2C" w14:textId="4B8FA4BE" w:rsidR="000D5B30" w:rsidRDefault="000D5B30" w:rsidP="000D5B30">
      <w:pPr>
        <w:pStyle w:val="BoxBullet"/>
      </w:pPr>
      <w:r>
        <w:t>The sensitivity of the ICER to the mean PromarkerD risk category score is high. However it may be more appropriate to estimate the impact to the ICER of changes in the Pro</w:t>
      </w:r>
      <w:r w:rsidR="004E071B">
        <w:t>m</w:t>
      </w:r>
      <w:r>
        <w:t>arkerD risk category score by changes to the risk categories of proportions of the test population rather than basing the sensitivity analysis on changes in the overall mean risk category score of the entire population.</w:t>
      </w:r>
    </w:p>
    <w:p w14:paraId="1F6E23C2" w14:textId="77777777" w:rsidR="000D5B30" w:rsidRDefault="000D5B30" w:rsidP="000D5B30">
      <w:pPr>
        <w:pStyle w:val="BoxHeading"/>
      </w:pPr>
      <w:r>
        <w:t>Financial issues:</w:t>
      </w:r>
    </w:p>
    <w:p w14:paraId="5F5E7EAD" w14:textId="77777777" w:rsidR="000D5B30" w:rsidRDefault="000D5B30" w:rsidP="000D5B30">
      <w:pPr>
        <w:pStyle w:val="BoxBullet"/>
      </w:pPr>
      <w:r>
        <w:t>The all-encompassing fee is high compared to other MBS items in Group P2 – Chemical. A breakdown of component costs to justify the proposed fee was not provided.</w:t>
      </w:r>
    </w:p>
    <w:p w14:paraId="472E8B56" w14:textId="77777777" w:rsidR="000D5B30" w:rsidRPr="007851D5" w:rsidRDefault="000D5B30" w:rsidP="000D5B30">
      <w:pPr>
        <w:pStyle w:val="BoxBullet"/>
      </w:pPr>
      <w:r w:rsidRPr="007851D5">
        <w:t xml:space="preserve">The potential uptake of the test is highly uncertain. Additionally, the impact on PBS costs in the first 6 years of listing was not included in the financial analysis, and should be included as the amount is not insubstantial (approximately $10 </w:t>
      </w:r>
      <w:r>
        <w:t>m</w:t>
      </w:r>
      <w:r w:rsidRPr="007851D5">
        <w:t>illion annually).</w:t>
      </w:r>
    </w:p>
    <w:p w14:paraId="5FA44FF0" w14:textId="77777777" w:rsidR="000D5B30" w:rsidRDefault="000D5B30" w:rsidP="008F4EA7">
      <w:pPr>
        <w:keepNext/>
        <w:keepLines/>
        <w:spacing w:before="240"/>
        <w:rPr>
          <w:rStyle w:val="Strong"/>
        </w:rPr>
      </w:pPr>
      <w:r w:rsidRPr="00194327">
        <w:rPr>
          <w:rStyle w:val="Strong"/>
        </w:rPr>
        <w:lastRenderedPageBreak/>
        <w:t>ESC discussion</w:t>
      </w:r>
    </w:p>
    <w:p w14:paraId="3D9B8108" w14:textId="60AFE6A3" w:rsidR="000D5B30" w:rsidRDefault="000D5B30" w:rsidP="008F4EA7">
      <w:pPr>
        <w:keepNext/>
        <w:keepLines/>
      </w:pPr>
      <w:r>
        <w:t>ESC noted that this application from Proteomics International is requesting Medicare Benefits Schedule (MBS) listing of PromarkerD, a prognostic test predicting the risk of patients with type 2 diabetes mellitus (T2DM) developing diabetic kidney disease (DKD) over the next 4 years. This test is proposed for people who have T2DM, a urine albumin:creatinine ratio (uACR) of 30 mg/mmol or less, and an estimated glomerular filtration rate (eGFR) of at least 60 ml/min/1.73m</w:t>
      </w:r>
      <w:r w:rsidRPr="007A1C16">
        <w:rPr>
          <w:vertAlign w:val="superscript"/>
        </w:rPr>
        <w:t>2</w:t>
      </w:r>
      <w:r>
        <w:t>. ESC noted that PromarkerD measures three protein biomarkers in human plasma (Apo</w:t>
      </w:r>
      <w:r w:rsidR="00282874">
        <w:t>A</w:t>
      </w:r>
      <w:r>
        <w:t>4, CD5L and IBP3), which are entered into a proprietary software along with age, high-density lipoprotein (HDL) cholesterol level and eGFR. The software then characterises a patient as having a low, moderate or high risk of developing DKD within the next 4 years.</w:t>
      </w:r>
    </w:p>
    <w:p w14:paraId="11B1D764" w14:textId="77777777" w:rsidR="000D5B30" w:rsidRPr="00115754" w:rsidRDefault="000D5B30" w:rsidP="000D5B30">
      <w:r w:rsidRPr="00B17D0A">
        <w:t>ESC advised that this would be an outpatient service</w:t>
      </w:r>
      <w:r w:rsidRPr="00A11D0F">
        <w:t>.</w:t>
      </w:r>
    </w:p>
    <w:p w14:paraId="6EA0D5BE" w14:textId="7F81951B" w:rsidR="000D5B30" w:rsidRPr="008C1003" w:rsidRDefault="000D5B30" w:rsidP="000D5B30">
      <w:r>
        <w:t xml:space="preserve">ESC noted the current best practice guidelines from Diabetes Australia recommend that people with type 2 diabetes should be screened annually for DKD using eGFR and uACR. ESC noted that uACR above 2.5–3.0 mg/mmol is indicative of microalbuminuria. Patients who initially demonstrate microalbuminuria should have their uACR tests repeated several times over at least three months to confirm that the elevated uACR is not transient, prior to assigning the patient’s risk of DKD. ESC noted that an uACR of 25–30 mg/mmol is indicative of macroalbuminuria. </w:t>
      </w:r>
      <w:r w:rsidRPr="007851D5">
        <w:t>Patients with type 2 diabetes and DKD with either hypertension and/or albuminuria should receive either an ACE inhibitor or an angiotensin receptor blocker (ARB) to delay progression of DKD and treat hypertension if present. The current</w:t>
      </w:r>
      <w:r>
        <w:t xml:space="preserve"> clinical guidelines recommend that treatment should be started early to prevent progression.</w:t>
      </w:r>
    </w:p>
    <w:p w14:paraId="2B34BFA1" w14:textId="77777777" w:rsidR="000D5B30" w:rsidRDefault="000D5B30" w:rsidP="000D5B30">
      <w:r>
        <w:t xml:space="preserve">ESC noted the current algorithm for the initial detection of chronic kidney disease, which was based on the Kidney Disease Improving Global Outcomes (KDIGO) clinical practice guidelines. ESC noted that, according to the guidelines, one of the proposed populations for this application would fall into the “medium-risk” category requiring treatment and intensive management (the yellow category). Therefore, ESC questioned the clinical utility of this application for the medium-risk category of patients. </w:t>
      </w:r>
    </w:p>
    <w:p w14:paraId="21A842A8" w14:textId="77777777" w:rsidR="000D5B30" w:rsidRDefault="000D5B30" w:rsidP="000D5B30">
      <w:r>
        <w:t>ESC noted the proposed changes to the item descriptor suggested by the policy paper, which relate to when PromarkerD testing and retesting should be done. ESC considered that as the test predicts a patient’s risk of developing DKD, it should be restricted to use in patients who are currently in the low-risk category i.e. those with eGFR greater than or equal to 60mL/min/1.73m</w:t>
      </w:r>
      <w:r w:rsidRPr="00201E72">
        <w:rPr>
          <w:vertAlign w:val="superscript"/>
        </w:rPr>
        <w:t>2</w:t>
      </w:r>
      <w:r>
        <w:t xml:space="preserve"> and/or </w:t>
      </w:r>
      <w:r w:rsidRPr="005255FB">
        <w:t xml:space="preserve">uACR </w:t>
      </w:r>
      <w:r>
        <w:t>&lt;</w:t>
      </w:r>
      <w:r w:rsidRPr="005255FB">
        <w:t>2.5 mg/mmol if male and 3.5 mg/mmol if female</w:t>
      </w:r>
      <w:r>
        <w:t>. Therefore, ESC questioned whether the uACR limit of 30 mg/mmol should be accordingly amended to reflect these new proposed thresholds. Regarding frequency of re-testing, ESC considered that, for patients deemed to be at low risk of developing DKD as determined by their PromarkerD result, a minimum of 4 years before retesting is reasonable and evidence-based. ESC considered that retesting patients deemed to be at medium to high risk of DKD as determined by their PromarkerD result, may not be necessary. ESC advised that if the re-testing population is limited to avoid frequent retesting, then the economic model would need to be amended.</w:t>
      </w:r>
    </w:p>
    <w:p w14:paraId="4F11DF3A" w14:textId="77777777" w:rsidR="000D5B30" w:rsidRDefault="000D5B30" w:rsidP="000D5B30">
      <w:r>
        <w:t>ESC noted concerns that there is a risk of leakage due to the non-specific nature of the item descriptor</w:t>
      </w:r>
      <w:r w:rsidRPr="00FE7849">
        <w:t xml:space="preserve"> </w:t>
      </w:r>
      <w:r>
        <w:t xml:space="preserve">which may result in it being </w:t>
      </w:r>
      <w:r w:rsidRPr="00FE7849">
        <w:t>utilised for any service that claims to quantify the risk of diabetic kidney disease</w:t>
      </w:r>
      <w:r>
        <w:t xml:space="preserve">. ESC considered that because this test is so specific, with a proprietary and “black box” software algorithm, the item descriptor should </w:t>
      </w:r>
      <w:r w:rsidRPr="00A11D0F">
        <w:t>explici</w:t>
      </w:r>
      <w:r>
        <w:t xml:space="preserve">tly </w:t>
      </w:r>
      <w:r w:rsidRPr="00A11D0F">
        <w:t>stat</w:t>
      </w:r>
      <w:r>
        <w:t>e</w:t>
      </w:r>
      <w:r w:rsidRPr="00A11D0F">
        <w:t xml:space="preserve"> that the ApoA4, CD5L, and IBP3 biomarkers must be quantified and that the proprietary PromarkerD algorithm must be used to quantify the risk of developing DKD</w:t>
      </w:r>
      <w:r>
        <w:t xml:space="preserve"> to avoid leakage to other tests.</w:t>
      </w:r>
    </w:p>
    <w:p w14:paraId="7BAD96BF" w14:textId="77777777" w:rsidR="000D5B30" w:rsidRDefault="000D5B30" w:rsidP="000D5B30">
      <w:r w:rsidRPr="009D24A9">
        <w:lastRenderedPageBreak/>
        <w:t>ESC also noted</w:t>
      </w:r>
      <w:r>
        <w:t xml:space="preserve"> that the ADAR did not adequately address </w:t>
      </w:r>
      <w:r w:rsidRPr="009D24A9">
        <w:t>implementation concerns</w:t>
      </w:r>
      <w:r>
        <w:t xml:space="preserve"> around the capability of pathologists to access the PromarkerD test kits, and the need for extra consultations and blood collection for repeat testing (and the costs associated with these).</w:t>
      </w:r>
    </w:p>
    <w:p w14:paraId="4D7D260E" w14:textId="77777777" w:rsidR="000D5B30" w:rsidRPr="008C1003" w:rsidRDefault="000D5B30" w:rsidP="000D5B30">
      <w:r w:rsidRPr="007851D5">
        <w:t>ESC noted that some patients consider the self-management regimes for T2DM to be burdensome and difficult to manage at times, which can lead to distress and feelings of regret when they develop DKD. However, the feedback from public consultation expressed uncertainty about whether this test would change clinical management, as there are already tests that predict the risk of developing DKD. In particular ESC noted the feedback from the Endocrine Society of Australia that the test may have limited additional value to clinicians.</w:t>
      </w:r>
      <w:r>
        <w:t xml:space="preserve"> Feedback also noted that the application did not provide analysis comparing the performance of this test against other proteomic-derived biomarkers, and questioned why PromarkerD biomarkers should be funded over other biomarkers being studied and developed. Other feedback noted that the software and associated proprietary algorithm required further independent validation, as several authors declared conflicts of interest as stakeholders of the patent relating to the biomarkers used in PromarkerD. ESC noted that there were no consumer responses for this application.</w:t>
      </w:r>
    </w:p>
    <w:p w14:paraId="5529CCEA" w14:textId="572FDE58" w:rsidR="000D5B30" w:rsidRPr="008C1003" w:rsidRDefault="000D5B30" w:rsidP="000D5B30">
      <w:r>
        <w:t>ESC noted that the clinical trial data were based on linked evidence. The prognostic evidence on longitudinal accuracy centred on two studies of prognostic models, one of which was a development and temporal validation study and the other an external validation study. ESC agreed with the Commentary that both these studies were subject to a high risk of bias. ESC also agreed that the evidence base for the claimed change in patient management which was based on the applicant’s survey of clinicians has a high risk of bias. ESC noted that the linked evidence for health outcomes comprised seven studies reporting the outcomes of different interventions</w:t>
      </w:r>
      <w:r w:rsidRPr="001B01FC">
        <w:t xml:space="preserve"> including SGLT2, statins and blood-pressure-lowering regimens</w:t>
      </w:r>
      <w:r>
        <w:t>.  ESC considered the effect on health outcomes reported in these studies to be well-established in literature but noted that this evidence was not assessed in the Commentary for risk of bias because of the lack of evidence that a change in patient management could be linked to the use of Pro</w:t>
      </w:r>
      <w:r w:rsidR="002550A6">
        <w:t>m</w:t>
      </w:r>
      <w:r>
        <w:t xml:space="preserve">arkerD. </w:t>
      </w:r>
    </w:p>
    <w:p w14:paraId="3FA70114" w14:textId="74BAC07D" w:rsidR="000D5B30" w:rsidRPr="008C1003" w:rsidRDefault="000D5B30" w:rsidP="000D5B30">
      <w:r>
        <w:t xml:space="preserve">ESC acknowledged that there were no safety issues arising from drawing blood for the test but noted that the main issues identified by the Commentary were around the impact of false positive and false negative results. Some patients may commence treatment or have their treatment increased based on a falsely positive risk score, putting them at risk of subsequent harms from the treatment. Conversely, some patients and clinicians may “feel relaxed” about a falsely negative score, possibly leading to complacency in future management. ESC considered that these issues were not adequately addressed by the applicant. ESC noted the conclusion from the </w:t>
      </w:r>
      <w:r w:rsidRPr="00631404">
        <w:t>ADAR</w:t>
      </w:r>
      <w:r>
        <w:t xml:space="preserve"> was that “the use of PromarkerD results in inferior safety compared with standard of care (no predictive tests) solely as a result of downstream changes in management and these safety implications are not directly related to the use of the PromarkerD test itself”, which was not supported by the Commentary given the safety issues associated with the impact of false positive and false negative results.</w:t>
      </w:r>
    </w:p>
    <w:p w14:paraId="04E12E77" w14:textId="77777777" w:rsidR="000D5B30" w:rsidRDefault="000D5B30" w:rsidP="000D5B30">
      <w:pPr>
        <w:pStyle w:val="NormalBeforeBullet0"/>
      </w:pPr>
      <w:r>
        <w:t>Regarding comparative effectiveness, ESC noted that the evidence for test accuracy relied on two studies (Peters at al. 2019</w:t>
      </w:r>
      <w:r>
        <w:rPr>
          <w:rStyle w:val="FootnoteReference"/>
        </w:rPr>
        <w:footnoteReference w:id="9"/>
      </w:r>
      <w:r>
        <w:t xml:space="preserve"> and 2020</w:t>
      </w:r>
      <w:r>
        <w:rPr>
          <w:rStyle w:val="FootnoteReference"/>
        </w:rPr>
        <w:footnoteReference w:id="10"/>
      </w:r>
      <w:r>
        <w:t xml:space="preserve">). ESC considered that although the methodology used to determine test accuracy seemed appropriate, ESC agreed with the Commentary that issues remain around the external validity study of the Peters et al 2020. ESC noted that the </w:t>
      </w:r>
      <w:r>
        <w:lastRenderedPageBreak/>
        <w:t>Commentary calculated the following additional measures based on data extracted from this study:</w:t>
      </w:r>
    </w:p>
    <w:p w14:paraId="4DC048AC" w14:textId="77777777" w:rsidR="000D5B30" w:rsidRDefault="000D5B30" w:rsidP="000D5B30">
      <w:pPr>
        <w:pStyle w:val="ListParagraph"/>
        <w:numPr>
          <w:ilvl w:val="0"/>
          <w:numId w:val="25"/>
        </w:numPr>
      </w:pPr>
      <w:r>
        <w:t>C-statistic (area under the curve, concordance index) for test discrimination, which was found to be adequate.</w:t>
      </w:r>
    </w:p>
    <w:p w14:paraId="64B0C639" w14:textId="77777777" w:rsidR="000D5B30" w:rsidRDefault="000D5B30" w:rsidP="000D5B30">
      <w:pPr>
        <w:pStyle w:val="ListParagraph"/>
        <w:numPr>
          <w:ilvl w:val="0"/>
          <w:numId w:val="25"/>
        </w:numPr>
      </w:pPr>
      <w:r>
        <w:t>calibration as a measure of accuracy of predicted risk probabilities, which showed moderate to poor calibration.</w:t>
      </w:r>
    </w:p>
    <w:p w14:paraId="6CB16D71" w14:textId="29423A46" w:rsidR="000D5B30" w:rsidRDefault="000D5B30" w:rsidP="000D5B30">
      <w:pPr>
        <w:pStyle w:val="ListParagraph"/>
        <w:numPr>
          <w:ilvl w:val="0"/>
          <w:numId w:val="25"/>
        </w:numPr>
      </w:pPr>
      <w:r>
        <w:t>positive and negative predictive values (PPVs and NPVs) – the PPV appeared to be low. In response to this observation the applicant stated that a low PPV is common with tests but that this test may still be useful due to its high NPV.</w:t>
      </w:r>
    </w:p>
    <w:p w14:paraId="6DC0881A" w14:textId="77777777" w:rsidR="000D5B30" w:rsidRDefault="000D5B30" w:rsidP="000D5B30">
      <w:pPr>
        <w:pStyle w:val="ListParagraph"/>
        <w:numPr>
          <w:ilvl w:val="0"/>
          <w:numId w:val="25"/>
        </w:numPr>
      </w:pPr>
      <w:r>
        <w:t>ability to predict a decline in eGFR over 4 years, which was shown to be poor.</w:t>
      </w:r>
    </w:p>
    <w:p w14:paraId="0E32379F" w14:textId="6271BBB8" w:rsidR="000D5B30" w:rsidRDefault="000D5B30" w:rsidP="000D5B30">
      <w:r>
        <w:t>On the evidence for a change in management, ESC noted the claim from the applicant that the test would affect clinician intent to treat, as currently half of patients do not get treated in accordance with the guidelines. However, ESC noted that this claim was based solely on a survey of intentions conducted by the applicant rather than from observed changes in management from use of Pro</w:t>
      </w:r>
      <w:r w:rsidR="002550A6">
        <w:t>m</w:t>
      </w:r>
      <w:r>
        <w:t xml:space="preserve">arkerD. The pre-ESC response stated that real-world evidence for change in management was not necessary. However, ESC agreed with the Commentary that the ADAR does not adequately demonstrate the benefit of the PromarkerD test. ESC also noted that there are many other factors that may lead to a patient starting on treatment like an ACE-I or ARB, irrespective of the urine ACR. These factors include the patient’s blood pressure and other cardiovascular risk factors. </w:t>
      </w:r>
    </w:p>
    <w:p w14:paraId="378C9113" w14:textId="77777777" w:rsidR="000D5B30" w:rsidRDefault="000D5B30" w:rsidP="000D5B30">
      <w:r>
        <w:t xml:space="preserve">ESC noted that the Commentary identified several other key limitations and missing data including insufficient information about </w:t>
      </w:r>
    </w:p>
    <w:p w14:paraId="26A6563A" w14:textId="77777777" w:rsidR="000D5B30" w:rsidRDefault="000D5B30" w:rsidP="000D5B30">
      <w:pPr>
        <w:pStyle w:val="ListParagraph"/>
        <w:numPr>
          <w:ilvl w:val="0"/>
          <w:numId w:val="26"/>
        </w:numPr>
      </w:pPr>
      <w:r>
        <w:t xml:space="preserve">the effect of individual input variables on the output of prediction models, </w:t>
      </w:r>
    </w:p>
    <w:p w14:paraId="5646BE1E" w14:textId="77777777" w:rsidR="000D5B30" w:rsidRDefault="000D5B30" w:rsidP="000D5B30">
      <w:pPr>
        <w:pStyle w:val="ListParagraph"/>
        <w:numPr>
          <w:ilvl w:val="0"/>
          <w:numId w:val="26"/>
        </w:numPr>
      </w:pPr>
      <w:r>
        <w:t xml:space="preserve">the incremental benefit of the biomarkers, </w:t>
      </w:r>
    </w:p>
    <w:p w14:paraId="72F876F0" w14:textId="77777777" w:rsidR="000D5B30" w:rsidRDefault="000D5B30" w:rsidP="000D5B30">
      <w:pPr>
        <w:pStyle w:val="ListParagraph"/>
        <w:numPr>
          <w:ilvl w:val="0"/>
          <w:numId w:val="26"/>
        </w:numPr>
      </w:pPr>
      <w:r>
        <w:t xml:space="preserve">how comorbidities are accounted for in the PromarkerD algorithm and </w:t>
      </w:r>
    </w:p>
    <w:p w14:paraId="40F7C08F" w14:textId="77777777" w:rsidR="000D5B30" w:rsidRDefault="000D5B30" w:rsidP="000D5B30">
      <w:pPr>
        <w:pStyle w:val="ListParagraph"/>
        <w:numPr>
          <w:ilvl w:val="0"/>
          <w:numId w:val="26"/>
        </w:numPr>
      </w:pPr>
      <w:r>
        <w:t xml:space="preserve">information about the algorithm used to generate results. </w:t>
      </w:r>
    </w:p>
    <w:p w14:paraId="7BA31306" w14:textId="77777777" w:rsidR="000D5B30" w:rsidRDefault="000D5B30" w:rsidP="000D5B30">
      <w:r>
        <w:t xml:space="preserve">ESC noted that in its pre-ESC response, the applicant had supplied further information on these matters and in particular on the incremental value for the test over and above the KDIGO guidelines while also noting that the algorithm for the test is a “black box”. ESC noted that “black box” algorithms are acceptable according to MSAC guidelines. However ESC considered that the pre-ESC response had not sufficiently addressed all the issues as identified by the Commentary above. </w:t>
      </w:r>
    </w:p>
    <w:p w14:paraId="3A1DCEA8" w14:textId="77777777" w:rsidR="000D5B30" w:rsidRDefault="000D5B30" w:rsidP="000D5B30">
      <w:r>
        <w:t xml:space="preserve">ESC noted that the economic evaluation was a cost-utility analysis, with outcomes of life years gained and quality-adjusted life years (QALYs), and a time horizon of 30 years. An individual Monte Carlo simulation state transition model was used, which aggregates individual costs and outcomes (in this case, from 10,000 patients) and averages these to determine the base case result. ESC noted that the economic model did not include test outcomes, the accuracy of tests or the frequency of retesting. ESC considered that including test outcomes as a decision tree component before the state transition model as recommended by </w:t>
      </w:r>
      <w:r w:rsidRPr="00A13B61">
        <w:t xml:space="preserve">guidelines from the International Society for Pharmacoeconomics and Outcomes Research–Society for Medical Decision Making (ISPOR-SMDM) on good modelling practices </w:t>
      </w:r>
      <w:r>
        <w:t>would improve the model, as it would allow comparisons with the current clinical approach based on KDIGO guidelines. Test outcomes could be incorporated with the prognostic accuracy of developing DKD using PromarkerD compared to low- and moderate-risk classifications in the KDIGO guidelines. ESC considered that this would be appropriate for this application, given the high rate of false positive results. ESC also noted that in the current model, non-DKD clinical events only figure into the risk of DKD, not the costs or outcomes.</w:t>
      </w:r>
    </w:p>
    <w:p w14:paraId="248DD814" w14:textId="77777777" w:rsidR="000D5B30" w:rsidRDefault="000D5B30" w:rsidP="000D5B30">
      <w:r>
        <w:lastRenderedPageBreak/>
        <w:t>ESC noted other recommendations from the ISPOR-SMDM guidelines that, to generate stable results, a sufficient number of individuals needs to be simulated so that variance from multiple runs is much smaller than expected differences between strategies. This was not the case for this application. ESC noted that the models used in this application sometimes require millions of simulated individuals for stable results, but this analysis only used 10,000 individuals. ESC noted from data provided from 25 runs that instability in the incremental cost-effectiveness ratio (ICER) is mostly driven by instability in costs. ESC noted that t</w:t>
      </w:r>
      <w:r w:rsidRPr="00FB2A23">
        <w:t>he ICER over 30 year</w:t>
      </w:r>
      <w:r>
        <w:t>s</w:t>
      </w:r>
      <w:r w:rsidRPr="00FB2A23">
        <w:t xml:space="preserve"> was estimated to be $3,615 per</w:t>
      </w:r>
      <w:r w:rsidRPr="00637A3D">
        <w:rPr>
          <w:rStyle w:val="BodyTextSTDChar"/>
          <w:rFonts w:eastAsiaTheme="minorHAnsi"/>
        </w:rPr>
        <w:t xml:space="preserve"> </w:t>
      </w:r>
      <w:r w:rsidRPr="00FB2A23">
        <w:t>quality-adjusted life</w:t>
      </w:r>
      <w:r>
        <w:t xml:space="preserve"> </w:t>
      </w:r>
      <w:r w:rsidRPr="00FB2A23">
        <w:t>year (QALY</w:t>
      </w:r>
      <w:r>
        <w:t>),</w:t>
      </w:r>
    </w:p>
    <w:p w14:paraId="70A730F5" w14:textId="04430208" w:rsidR="000D5B30" w:rsidRDefault="000D5B30" w:rsidP="000D5B30">
      <w:r>
        <w:t>ESC noted that the Commentary raised concerns about the applicability of the Nelson equation (used to inform transition probabilities) to the Australian population, as it was modelled off an American population with a different ethnic profile. ESC noted that the trial data population’s mean for Pro</w:t>
      </w:r>
      <w:r w:rsidR="002550A6">
        <w:t>m</w:t>
      </w:r>
      <w:r>
        <w:t>arkerD risk category scores (0= low, 1 = moderate, 2 = high) was used as an input in the simulation. The sensitivity analysis for Pro</w:t>
      </w:r>
      <w:r w:rsidR="002550A6">
        <w:t>m</w:t>
      </w:r>
      <w:r>
        <w:t xml:space="preserve">arkerD risk then simply adjusted this mean of the categorical variable up and down by 20%.  ESC noted that according to the sensitivity analysis, a change of 20% (upwards or downwards) changes the ICER substantially (in particular a 20% decrease in the mean score resulted in an ICER of </w:t>
      </w:r>
      <w:r w:rsidR="004B6555" w:rsidRPr="00680118">
        <w:rPr>
          <w:b/>
          <w:bCs/>
          <w:color w:val="000000"/>
          <w:w w:val="61"/>
          <w:shd w:val="solid" w:color="000000" w:fill="000000"/>
          <w:fitText w:val="880" w:id="-1286896127"/>
          <w14:textFill>
            <w14:solidFill>
              <w14:srgbClr w14:val="000000">
                <w14:alpha w14:val="100000"/>
              </w14:srgbClr>
            </w14:solidFill>
          </w14:textFill>
        </w:rPr>
        <w:t>|||||||||||</w:t>
      </w:r>
      <w:r w:rsidR="004B6555" w:rsidRPr="00680118">
        <w:rPr>
          <w:b/>
          <w:bCs/>
          <w:color w:val="000000"/>
          <w:spacing w:val="80"/>
          <w:w w:val="61"/>
          <w:shd w:val="solid" w:color="000000" w:fill="000000"/>
          <w:fitText w:val="880" w:id="-1286896127"/>
          <w14:textFill>
            <w14:solidFill>
              <w14:srgbClr w14:val="000000">
                <w14:alpha w14:val="100000"/>
              </w14:srgbClr>
            </w14:solidFill>
          </w14:textFill>
        </w:rPr>
        <w:t>|</w:t>
      </w:r>
      <w:r w:rsidR="00A1295F">
        <w:rPr>
          <w:b/>
          <w:bCs/>
        </w:rPr>
        <w:t xml:space="preserve"> </w:t>
      </w:r>
      <w:r>
        <w:t xml:space="preserve">while a 20% increase in the mean score resulted in an ICER of </w:t>
      </w:r>
      <w:r w:rsidR="004B6555" w:rsidRPr="00680118">
        <w:rPr>
          <w:b/>
          <w:bCs/>
          <w:color w:val="000000"/>
          <w:w w:val="61"/>
          <w:shd w:val="solid" w:color="000000" w:fill="000000"/>
          <w:fitText w:val="880" w:id="-1286896126"/>
          <w14:textFill>
            <w14:solidFill>
              <w14:srgbClr w14:val="000000">
                <w14:alpha w14:val="100000"/>
              </w14:srgbClr>
            </w14:solidFill>
          </w14:textFill>
        </w:rPr>
        <w:t>|||||||||||</w:t>
      </w:r>
      <w:r w:rsidR="004B6555" w:rsidRPr="00680118">
        <w:rPr>
          <w:b/>
          <w:bCs/>
          <w:color w:val="000000"/>
          <w:spacing w:val="80"/>
          <w:w w:val="61"/>
          <w:shd w:val="solid" w:color="000000" w:fill="000000"/>
          <w:fitText w:val="880" w:id="-1286896126"/>
          <w14:textFill>
            <w14:solidFill>
              <w14:srgbClr w14:val="000000">
                <w14:alpha w14:val="100000"/>
              </w14:srgbClr>
            </w14:solidFill>
          </w14:textFill>
        </w:rPr>
        <w:t>|</w:t>
      </w:r>
      <w:r>
        <w:t xml:space="preserve">). ESC questioned the appropriateness of this approach in accounting for changes in risk scores in the population and considered it would be more appropriate to estimate the impact of modelling a change in risk categories of set proportions of the population. </w:t>
      </w:r>
    </w:p>
    <w:p w14:paraId="590E21F6" w14:textId="1534F041" w:rsidR="000D5B30" w:rsidRDefault="000D5B30" w:rsidP="000D5B30">
      <w:r>
        <w:t xml:space="preserve">ESC noted from the clinician survey undertaken by the applicant that the use of PromarkerD is predicted to increase the use of sodium–glucose co-transporter-2 (SGLT2) inhibitors for glucose control. ESC noted that Pharmaceutical Benefits Scheme (PBS) eligibility for SGLT2 inhibitors depends on blood glucose levels being greater than 7.0%. Because of this, ESC considered that only patients with a high risk of developing DKD would be eligible for SGLT2 inhibitors through the PBS. ESC noted that if eligibility for PromarkerD is excluded for patients with blood glucose levels of less than 7%, the ICER increased from </w:t>
      </w:r>
      <w:r w:rsidR="004B6555" w:rsidRPr="009E577F">
        <w:rPr>
          <w:b/>
          <w:bCs/>
          <w:color w:val="000000"/>
          <w:spacing w:val="7"/>
          <w:w w:val="60"/>
          <w:shd w:val="solid" w:color="000000" w:fill="000000"/>
          <w:fitText w:val="872" w:id="-1286896125"/>
          <w14:textFill>
            <w14:solidFill>
              <w14:srgbClr w14:val="000000">
                <w14:alpha w14:val="100000"/>
              </w14:srgbClr>
            </w14:solidFill>
          </w14:textFill>
        </w:rPr>
        <w:t>|||||||||||</w:t>
      </w:r>
      <w:r w:rsidR="004B6555" w:rsidRPr="009E577F">
        <w:rPr>
          <w:b/>
          <w:bCs/>
          <w:color w:val="000000"/>
          <w:spacing w:val="4"/>
          <w:w w:val="60"/>
          <w:shd w:val="solid" w:color="000000" w:fill="000000"/>
          <w:fitText w:val="872" w:id="-1286896125"/>
          <w14:textFill>
            <w14:solidFill>
              <w14:srgbClr w14:val="000000">
                <w14:alpha w14:val="100000"/>
              </w14:srgbClr>
            </w14:solidFill>
          </w14:textFill>
        </w:rPr>
        <w:t>|</w:t>
      </w:r>
      <w:r w:rsidR="00A1295F">
        <w:rPr>
          <w:b/>
          <w:bCs/>
        </w:rPr>
        <w:t xml:space="preserve"> </w:t>
      </w:r>
      <w:r w:rsidRPr="00A1295F">
        <w:t xml:space="preserve">to </w:t>
      </w:r>
      <w:r w:rsidR="004B6555" w:rsidRPr="00680118">
        <w:rPr>
          <w:b/>
          <w:bCs/>
          <w:color w:val="000000"/>
          <w:w w:val="61"/>
          <w:shd w:val="solid" w:color="000000" w:fill="000000"/>
          <w:fitText w:val="880" w:id="-1286896124"/>
          <w14:textFill>
            <w14:solidFill>
              <w14:srgbClr w14:val="000000">
                <w14:alpha w14:val="100000"/>
              </w14:srgbClr>
            </w14:solidFill>
          </w14:textFill>
        </w:rPr>
        <w:t>|||||||||||</w:t>
      </w:r>
      <w:r w:rsidR="004B6555" w:rsidRPr="00680118">
        <w:rPr>
          <w:b/>
          <w:bCs/>
          <w:color w:val="000000"/>
          <w:spacing w:val="80"/>
          <w:w w:val="61"/>
          <w:shd w:val="solid" w:color="000000" w:fill="000000"/>
          <w:fitText w:val="880" w:id="-1286896124"/>
          <w14:textFill>
            <w14:solidFill>
              <w14:srgbClr w14:val="000000">
                <w14:alpha w14:val="100000"/>
              </w14:srgbClr>
            </w14:solidFill>
          </w14:textFill>
        </w:rPr>
        <w:t>|</w:t>
      </w:r>
      <w:r w:rsidRPr="00A1295F">
        <w:t>.</w:t>
      </w:r>
    </w:p>
    <w:p w14:paraId="0E39B70F" w14:textId="77777777" w:rsidR="000D5B30" w:rsidRDefault="000D5B30" w:rsidP="000D5B30">
      <w:r>
        <w:t xml:space="preserve">ESC considered that the model may overestimate prescription as well as compliance with treatment which would result in a bias towards a lower ICER.  ESC noted that the frequency of re-testing also has an </w:t>
      </w:r>
      <w:r w:rsidRPr="007851D5">
        <w:t>impact on the ICER and therefore if the frequency of retesting were to be revisited (in particular re-considering whether retesting of medium to high-risk patients is required) the model would need to be re-estimated.</w:t>
      </w:r>
      <w:r>
        <w:t xml:space="preserve"> </w:t>
      </w:r>
    </w:p>
    <w:p w14:paraId="57306203" w14:textId="77777777" w:rsidR="000D5B30" w:rsidRDefault="000D5B30" w:rsidP="000D5B30">
      <w:r>
        <w:t xml:space="preserve">ESC noted that the inclusion of impact for the KDIGO medium-risk (yellow) group (in increased treatment, assessment and referral) was based on the clinician survey. ESC noted that no scenario or stepped analysis was provided to show the impact of including this group in the economic model. </w:t>
      </w:r>
    </w:p>
    <w:p w14:paraId="762CE354" w14:textId="77777777" w:rsidR="000D5B30" w:rsidRDefault="000D5B30" w:rsidP="000D5B30">
      <w:r>
        <w:t>ESC noted that only a small range of utility values were covered in the sensitivity analyses in the ADAR with the utility weights based on the</w:t>
      </w:r>
      <w:r w:rsidRPr="00A124A9">
        <w:t xml:space="preserve"> EQ-5D-3L</w:t>
      </w:r>
      <w:r>
        <w:t xml:space="preserve"> instrument favoured, but also noted from the Commentary that sensitivity analyses using lower-range utility weights had only a minor impact on the ICER.</w:t>
      </w:r>
    </w:p>
    <w:p w14:paraId="331A1057" w14:textId="77777777" w:rsidR="000D5B30" w:rsidRDefault="000D5B30" w:rsidP="000D5B30">
      <w:r>
        <w:t xml:space="preserve">ESC noted that only one-way sensitivity analyses were presented in the ADAR, and considered that a multi-way sensitivity analysis may be more helpful. </w:t>
      </w:r>
    </w:p>
    <w:p w14:paraId="09F1B925" w14:textId="747E5647" w:rsidR="000D5B30" w:rsidRDefault="000D5B30" w:rsidP="000D5B30">
      <w:r>
        <w:t xml:space="preserve">ESC noted that as </w:t>
      </w:r>
      <w:r w:rsidRPr="00CC1EE0">
        <w:t>there are no tests similar to PromarkerD currently listed on the MBS, the proposed service would likely be listed in Group P2 – Chemical, given it involves a blood test for the quantification of biomarker concentrations</w:t>
      </w:r>
      <w:r>
        <w:t>. ESC therefore noted concerns about the all-encompassing fee of $250, which exceeds the schedule fees of other MBS items in Group P2 – Chemical (all less than $100). ESC noted that a</w:t>
      </w:r>
      <w:r w:rsidRPr="009225A2">
        <w:t xml:space="preserve"> breakdown of </w:t>
      </w:r>
      <w:r>
        <w:t xml:space="preserve">component </w:t>
      </w:r>
      <w:r w:rsidRPr="003C7FAA">
        <w:t>cost</w:t>
      </w:r>
      <w:r w:rsidRPr="00CD5915">
        <w:t>s</w:t>
      </w:r>
      <w:r w:rsidRPr="009225A2">
        <w:t xml:space="preserve"> was not provided </w:t>
      </w:r>
      <w:r w:rsidRPr="009225A2">
        <w:lastRenderedPageBreak/>
        <w:t>by the applicant</w:t>
      </w:r>
      <w:r>
        <w:t>; the ADAR stated that the fee was determined by costs of the developing technology, the ongoing supply of kits, and an “industry standard profit margin”. The fee did not include the costs of associated tests for the PromarkerD risk score, which were assumed to be covered by MBS item 66500. However, ESC noted from the Commentary that adding the cost of these tests ($9.70, from 66500) had little impact on the ICER, even if they were repeated.</w:t>
      </w:r>
    </w:p>
    <w:p w14:paraId="19586443" w14:textId="158ACE78" w:rsidR="000D5B30" w:rsidRDefault="000D5B30" w:rsidP="000D5B30">
      <w:r>
        <w:t>ESC noted the estimated net cost to the MBS of listing Pro</w:t>
      </w:r>
      <w:r w:rsidR="00B4590F">
        <w:t>m</w:t>
      </w:r>
      <w:r>
        <w:t>arker D is $4.8 million in year 1 increasing to $30.0 million in year 6. ESC noted that in the short term after listing, there is likely to be an increase in PBS use for low-risk patients (the green risk category) who are predicted to have an increased DKD risk and therefore will require medication to manage their risk. These costs were not included in the financial analysis. ESC noted that although the ADAR stated the test was “not expected to impact other health budgets during the first 6 years of listing”, the pre-ESC response acknowledged that “the listing of PromarkerD will generate a minor cost (&lt;$10 million) to the PBS in each of the first 6 years of listing, as a result of introducing new treatment to T2DM patients”. ESC considered that these were not insubstantial costs when compared against the reported net costs to the MBS (from $4.8 million in year 1 to $30 million in year 6). In the long term (likely greater than 6 years), the use of Pro</w:t>
      </w:r>
      <w:r w:rsidR="002550A6">
        <w:t>m</w:t>
      </w:r>
      <w:r>
        <w:t>arkerD was predicted to lead to lower PBS and MBS costs due to the prevention or delay of onset of DKD, primarily through the avoidance of procedures such as dialysis and kidney transplants along with associated medication costs</w:t>
      </w:r>
      <w:r w:rsidR="00B935C5">
        <w:t>.</w:t>
      </w:r>
    </w:p>
    <w:p w14:paraId="6F0B0B12" w14:textId="7BDC9292" w:rsidR="000D5B30" w:rsidRDefault="000D5B30" w:rsidP="000D5B30">
      <w:r>
        <w:t xml:space="preserve">ESC noted that the Commentary identified a wider range of potential uptake of the test (up to </w:t>
      </w:r>
      <w:r w:rsidR="00A1295F">
        <w:rPr>
          <w:b/>
          <w:bCs/>
        </w:rPr>
        <w:t xml:space="preserve"> </w:t>
      </w:r>
      <w:r>
        <w:t>30% by year 6) as opposed to 15% estimated by the applicant. This increases the estimated net cost to the MBS to $45 million in year 6.</w:t>
      </w:r>
    </w:p>
    <w:p w14:paraId="2F96FC8F" w14:textId="77777777" w:rsidR="000D5B30" w:rsidRDefault="000D5B30" w:rsidP="000D5B30">
      <w:pPr>
        <w:pStyle w:val="Heading2"/>
        <w:numPr>
          <w:ilvl w:val="0"/>
          <w:numId w:val="0"/>
        </w:numPr>
      </w:pPr>
      <w:r>
        <w:t>17.</w:t>
      </w:r>
      <w:r>
        <w:tab/>
        <w:t>Applicant comments on MSAC’s Public Summary Document</w:t>
      </w:r>
    </w:p>
    <w:p w14:paraId="0FFD85B5" w14:textId="30ED96BF" w:rsidR="00797470" w:rsidRPr="00FB42F2" w:rsidRDefault="00797470" w:rsidP="00797470">
      <w:pPr>
        <w:spacing w:after="240"/>
        <w:jc w:val="both"/>
        <w:rPr>
          <w:szCs w:val="24"/>
        </w:rPr>
      </w:pPr>
      <w:r w:rsidRPr="00FB42F2">
        <w:rPr>
          <w:szCs w:val="24"/>
        </w:rPr>
        <w:t>Proteomics International thanks the MSAC for its consideration but is disappointed in the decision to not support PromarkerD funding. Diabetic kidney disease is a significant and growing issue in Australia, and as noted in the commentary there was likely to be significant uptake of the test. With this decision there will remain no publicly funded option for predicting and therefore mitigating DKD risk for individuals with diabetes. Proteomics International also notes the costs per quality-of-life year (QALY) gained for introducing PromarkerD are well below accepted thresholds, with longer term (&gt;6 years) benefits in PBS/MBS costs likely as earlier detection of DKD will reduce the need for dialysis and kidney transplant. Proteomics International is confident in the strength of its published clinical evidence demonstrating the performance of PromarkerD and looks forward to re-engaging with MSAC to address concerns and to clarify any misunderstandings which may have detracted from the Committee making a positive decision.</w:t>
      </w:r>
    </w:p>
    <w:p w14:paraId="625CD09F" w14:textId="77777777" w:rsidR="000D5B30" w:rsidRDefault="000D5B30" w:rsidP="000D5B30">
      <w:pPr>
        <w:pStyle w:val="Heading2"/>
        <w:numPr>
          <w:ilvl w:val="0"/>
          <w:numId w:val="0"/>
        </w:numPr>
      </w:pPr>
      <w:r>
        <w:t>18.</w:t>
      </w:r>
      <w:r>
        <w:tab/>
        <w:t>Further information on MSAC</w:t>
      </w:r>
    </w:p>
    <w:p w14:paraId="69C00B8E" w14:textId="3B777612" w:rsidR="000D5B30" w:rsidRPr="008F4EA7" w:rsidRDefault="000D5B30" w:rsidP="008F4EA7">
      <w:pPr>
        <w:pStyle w:val="BodyText"/>
        <w:rPr>
          <w:rFonts w:ascii="Franklin Gothic Book" w:hAnsi="Franklin Gothic Book" w:cstheme="minorBidi"/>
          <w:b w:val="0"/>
          <w:bCs/>
          <w:i w:val="0"/>
          <w:iCs/>
          <w:sz w:val="22"/>
        </w:rPr>
      </w:pPr>
      <w:r w:rsidRPr="00F309FA">
        <w:rPr>
          <w:rFonts w:ascii="Franklin Gothic Book" w:hAnsi="Franklin Gothic Book"/>
          <w:b w:val="0"/>
          <w:bCs/>
          <w:i w:val="0"/>
          <w:iCs/>
          <w:sz w:val="22"/>
        </w:rPr>
        <w:t xml:space="preserve">MSAC Terms of Reference and other information are available on the MSAC Website: </w:t>
      </w:r>
      <w:hyperlink r:id="rId10" w:tooltip="Link to the MSAC website" w:history="1">
        <w:r w:rsidRPr="00F309FA">
          <w:rPr>
            <w:rStyle w:val="Hyperlink"/>
            <w:rFonts w:ascii="Franklin Gothic Book" w:hAnsi="Franklin Gothic Book"/>
            <w:b w:val="0"/>
            <w:bCs/>
            <w:i w:val="0"/>
            <w:iCs/>
            <w:sz w:val="22"/>
          </w:rPr>
          <w:t>visit the MSAC website</w:t>
        </w:r>
      </w:hyperlink>
    </w:p>
    <w:sectPr w:rsidR="000D5B30" w:rsidRPr="008F4EA7" w:rsidSect="00D17F9E">
      <w:footerReference w:type="even" r:id="rId11"/>
      <w:footerReference w:type="default" r:id="rId12"/>
      <w:type w:val="oddPag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15F96" w14:textId="77777777" w:rsidR="00FA3144" w:rsidRDefault="00FA3144" w:rsidP="00B62DF2">
      <w:pPr>
        <w:spacing w:after="0" w:line="240" w:lineRule="auto"/>
      </w:pPr>
      <w:r>
        <w:separator/>
      </w:r>
    </w:p>
  </w:endnote>
  <w:endnote w:type="continuationSeparator" w:id="0">
    <w:p w14:paraId="07C3781A" w14:textId="77777777" w:rsidR="00FA3144" w:rsidRDefault="00FA3144" w:rsidP="00B62DF2">
      <w:pPr>
        <w:spacing w:after="0" w:line="240" w:lineRule="auto"/>
      </w:pPr>
      <w:r>
        <w:continuationSeparator/>
      </w:r>
    </w:p>
  </w:endnote>
  <w:endnote w:type="continuationNotice" w:id="1">
    <w:p w14:paraId="545D5BFC" w14:textId="77777777" w:rsidR="00FA3144" w:rsidRDefault="00FA314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EYInterstate Regular">
    <w:altName w:val="Calibri"/>
    <w:panose1 w:val="00000000000000000000"/>
    <w:charset w:val="00"/>
    <w:family w:val="roman"/>
    <w:notTrueType/>
    <w:pitch w:val="default"/>
  </w:font>
  <w:font w:name="Helv">
    <w:panose1 w:val="020B0604020202030204"/>
    <w:charset w:val="00"/>
    <w:family w:val="auto"/>
    <w:notTrueType/>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D499" w14:textId="44F6582C" w:rsidR="000D7486" w:rsidRDefault="000D7486" w:rsidP="001E6BED">
    <w:pPr>
      <w:pStyle w:val="Footer"/>
      <w:tabs>
        <w:tab w:val="clear" w:pos="4513"/>
        <w:tab w:val="center" w:pos="3828"/>
      </w:tabs>
    </w:pPr>
    <w:r>
      <w:fldChar w:fldCharType="begin"/>
    </w:r>
    <w:r>
      <w:instrText xml:space="preserve"> PAGE   \* MERGEFORMAT </w:instrText>
    </w:r>
    <w:r>
      <w:fldChar w:fldCharType="separate"/>
    </w:r>
    <w:r>
      <w:rPr>
        <w:noProof/>
      </w:rPr>
      <w:t>22</w:t>
    </w:r>
    <w:r>
      <w:rPr>
        <w:noProof/>
      </w:rPr>
      <w:fldChar w:fldCharType="end"/>
    </w:r>
    <w:r>
      <w:rPr>
        <w:noProof/>
      </w:rPr>
      <w:tab/>
    </w:r>
    <w:r>
      <w:rPr>
        <w:noProof/>
      </w:rPr>
      <w:tab/>
    </w:r>
    <w:r>
      <w:t xml:space="preserve">MSAC </w:t>
    </w:r>
    <w:r w:rsidRPr="00807A3E">
      <w:t xml:space="preserve">assessment report </w:t>
    </w:r>
    <w:r>
      <w:t>1691 – PromarkerD testing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847"/>
      <w:docPartObj>
        <w:docPartGallery w:val="Page Numbers (Bottom of Page)"/>
        <w:docPartUnique/>
      </w:docPartObj>
    </w:sdtPr>
    <w:sdtEndPr>
      <w:rPr>
        <w:noProof/>
      </w:rPr>
    </w:sdtEndPr>
    <w:sdtContent>
      <w:p w14:paraId="6BE9385A" w14:textId="646CC782" w:rsidR="000D7486" w:rsidRDefault="000D7486" w:rsidP="00052DD3">
        <w:pPr>
          <w:pStyle w:val="Footer"/>
          <w:jc w:val="right"/>
        </w:pPr>
        <w:r>
          <w:fldChar w:fldCharType="begin"/>
        </w:r>
        <w:r>
          <w:instrText xml:space="preserve"> PAGE   \* MERGEFORMAT </w:instrText>
        </w:r>
        <w:r>
          <w:fldChar w:fldCharType="separate"/>
        </w:r>
        <w:r>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66D1B" w14:textId="77777777" w:rsidR="00FA3144" w:rsidRDefault="00FA3144" w:rsidP="00B62DF2">
      <w:pPr>
        <w:spacing w:after="0" w:line="240" w:lineRule="auto"/>
      </w:pPr>
      <w:r>
        <w:separator/>
      </w:r>
    </w:p>
  </w:footnote>
  <w:footnote w:type="continuationSeparator" w:id="0">
    <w:p w14:paraId="1A4E57DA" w14:textId="77777777" w:rsidR="00FA3144" w:rsidRDefault="00FA3144" w:rsidP="00B62DF2">
      <w:pPr>
        <w:spacing w:after="0" w:line="240" w:lineRule="auto"/>
      </w:pPr>
      <w:r>
        <w:continuationSeparator/>
      </w:r>
    </w:p>
  </w:footnote>
  <w:footnote w:type="continuationNotice" w:id="1">
    <w:p w14:paraId="1CA3B50C" w14:textId="77777777" w:rsidR="00FA3144" w:rsidRDefault="00FA3144">
      <w:pPr>
        <w:spacing w:before="0" w:after="0" w:line="240" w:lineRule="auto"/>
      </w:pPr>
    </w:p>
  </w:footnote>
  <w:footnote w:id="2">
    <w:p w14:paraId="304131B8" w14:textId="689EC7A2" w:rsidR="0059516F" w:rsidRDefault="0059516F">
      <w:pPr>
        <w:pStyle w:val="FootnoteText"/>
      </w:pPr>
      <w:r>
        <w:rPr>
          <w:rStyle w:val="FootnoteReference"/>
        </w:rPr>
        <w:footnoteRef/>
      </w:r>
      <w:r>
        <w:t xml:space="preserve"> Peters KE, Davis WA, Ito J, et al. (2019). Validation of a protein biomarker test for predicting renal decline in type 2 diabetes: The Fremantle Diabetes Study Phase II. </w:t>
      </w:r>
      <w:r>
        <w:rPr>
          <w:i/>
          <w:iCs/>
        </w:rPr>
        <w:t>Journal of Diabetes and its Complications</w:t>
      </w:r>
      <w:r>
        <w:t>, 33, 107406</w:t>
      </w:r>
      <w:r w:rsidR="004A76A2">
        <w:t>.</w:t>
      </w:r>
    </w:p>
  </w:footnote>
  <w:footnote w:id="3">
    <w:p w14:paraId="3B7DC267" w14:textId="3AB6DB00" w:rsidR="0059516F" w:rsidRPr="009A510D" w:rsidRDefault="0059516F">
      <w:pPr>
        <w:pStyle w:val="FootnoteText"/>
        <w:rPr>
          <w:rFonts w:ascii="Calibri" w:eastAsia="Calibri" w:hAnsi="Calibri" w:cs="Times New Roman"/>
        </w:rPr>
      </w:pPr>
      <w:r>
        <w:rPr>
          <w:rStyle w:val="FootnoteReference"/>
        </w:rPr>
        <w:footnoteRef/>
      </w:r>
      <w:r>
        <w:t xml:space="preserve"> </w:t>
      </w:r>
      <w:r w:rsidRPr="0059516F">
        <w:rPr>
          <w:rFonts w:ascii="Calibri" w:eastAsia="Calibri" w:hAnsi="Calibri" w:cs="Times New Roman"/>
        </w:rPr>
        <w:t xml:space="preserve">Peters KE, Xu J, Bringans SD, et al. (2020). PromarkerD Predicts Renal Function Decline in Type 2 Diabetes in the Canagliflozin Cardiovascular Assessment Study (CANVAS). </w:t>
      </w:r>
      <w:r w:rsidRPr="0059516F">
        <w:rPr>
          <w:rFonts w:ascii="Calibri" w:eastAsia="Calibri" w:hAnsi="Calibri" w:cs="Times New Roman"/>
          <w:i/>
          <w:iCs/>
        </w:rPr>
        <w:t>Journal of clinical medicine</w:t>
      </w:r>
      <w:r w:rsidRPr="0059516F">
        <w:rPr>
          <w:rFonts w:ascii="Calibri" w:eastAsia="Calibri" w:hAnsi="Calibri" w:cs="Times New Roman"/>
        </w:rPr>
        <w:t>, 9, 3212</w:t>
      </w:r>
      <w:r>
        <w:rPr>
          <w:rFonts w:ascii="Calibri" w:eastAsia="Calibri" w:hAnsi="Calibri" w:cs="Times New Roman"/>
        </w:rPr>
        <w:t xml:space="preserve">. </w:t>
      </w:r>
    </w:p>
  </w:footnote>
  <w:footnote w:id="4">
    <w:p w14:paraId="4E22F278" w14:textId="7369852A" w:rsidR="00BF1C8C" w:rsidRDefault="00BF1C8C">
      <w:pPr>
        <w:pStyle w:val="FootnoteText"/>
      </w:pPr>
      <w:r>
        <w:rPr>
          <w:rStyle w:val="FootnoteReference"/>
        </w:rPr>
        <w:footnoteRef/>
      </w:r>
      <w:r>
        <w:t xml:space="preserve"> </w:t>
      </w:r>
      <w:r w:rsidRPr="00BF1C8C">
        <w:t>Fusfeld L, Murphy JT, Yoon Y, et al. (2022). Evaluation of the clinical utility of the PromarkerD in-vitro test in predicting diabetic kidney disease and rapid renal decline through a conjoint analysis. PLoS One. Aug 1;17(8):e0271740</w:t>
      </w:r>
      <w:r>
        <w:t xml:space="preserve">. </w:t>
      </w:r>
    </w:p>
  </w:footnote>
  <w:footnote w:id="5">
    <w:p w14:paraId="78946AAD" w14:textId="22DE1770" w:rsidR="000D7486" w:rsidRDefault="000D7486" w:rsidP="00210CE8">
      <w:pPr>
        <w:pStyle w:val="FootnoteText"/>
      </w:pPr>
      <w:r>
        <w:rPr>
          <w:rStyle w:val="FootnoteReference"/>
        </w:rPr>
        <w:footnoteRef/>
      </w:r>
      <w:r>
        <w:t xml:space="preserve"> TGA </w:t>
      </w:r>
      <w:r w:rsidRPr="00FC2127">
        <w:t xml:space="preserve">Guidance for IVD sponsors </w:t>
      </w:r>
      <w:r>
        <w:t>–</w:t>
      </w:r>
      <w:r w:rsidRPr="00FC2127">
        <w:t xml:space="preserve"> a roadmap to market</w:t>
      </w:r>
      <w:r>
        <w:t xml:space="preserve">: </w:t>
      </w:r>
      <w:hyperlink r:id="rId1" w:history="1">
        <w:r w:rsidRPr="00F45E28">
          <w:rPr>
            <w:rStyle w:val="Hyperlink"/>
          </w:rPr>
          <w:t>https://www.tga.gov.au/guidance-ivd-sponsors-roadmap-market</w:t>
        </w:r>
      </w:hyperlink>
      <w:r>
        <w:t xml:space="preserve"> </w:t>
      </w:r>
    </w:p>
  </w:footnote>
  <w:footnote w:id="6">
    <w:p w14:paraId="77B35EE1" w14:textId="3C8F4994" w:rsidR="009F4B44" w:rsidRDefault="009F4B44">
      <w:pPr>
        <w:pStyle w:val="FootnoteText"/>
      </w:pPr>
      <w:r>
        <w:rPr>
          <w:rStyle w:val="FootnoteReference"/>
        </w:rPr>
        <w:footnoteRef/>
      </w:r>
      <w:r>
        <w:t xml:space="preserve"> </w:t>
      </w:r>
      <w:r w:rsidRPr="009F4B44">
        <w:t>L</w:t>
      </w:r>
      <w:r>
        <w:t>evin</w:t>
      </w:r>
      <w:r w:rsidRPr="009F4B44">
        <w:t xml:space="preserve"> A, S</w:t>
      </w:r>
      <w:r>
        <w:t>tevens</w:t>
      </w:r>
      <w:r w:rsidRPr="009F4B44">
        <w:t xml:space="preserve"> PE, B</w:t>
      </w:r>
      <w:r>
        <w:t>ilous</w:t>
      </w:r>
      <w:r w:rsidRPr="009F4B44">
        <w:t xml:space="preserve"> RW, </w:t>
      </w:r>
      <w:r>
        <w:t>et al.</w:t>
      </w:r>
      <w:r w:rsidRPr="009F4B44">
        <w:t xml:space="preserve"> </w:t>
      </w:r>
      <w:r w:rsidR="001D231B">
        <w:t>(</w:t>
      </w:r>
      <w:r w:rsidRPr="009F4B44">
        <w:t>2013</w:t>
      </w:r>
      <w:r w:rsidR="001D231B">
        <w:t>)</w:t>
      </w:r>
      <w:r w:rsidRPr="009F4B44">
        <w:t xml:space="preserve">. Kidney Disease: Improving Global Outcomes (KDIGO) CKD Work Group. KDIGO 2012 clinical practice guideline for the evaluation and management of chronic kidney disease. </w:t>
      </w:r>
      <w:r w:rsidRPr="009F4B44">
        <w:rPr>
          <w:i/>
          <w:iCs/>
        </w:rPr>
        <w:t>Kidney international supplements</w:t>
      </w:r>
      <w:r w:rsidRPr="009F4B44">
        <w:t>, 3, 1-150</w:t>
      </w:r>
    </w:p>
  </w:footnote>
  <w:footnote w:id="7">
    <w:p w14:paraId="422E97BB" w14:textId="77777777" w:rsidR="000D7486" w:rsidRPr="005D08D7" w:rsidRDefault="000D7486" w:rsidP="00E92D42">
      <w:pPr>
        <w:pStyle w:val="FootnoteText"/>
        <w:rPr>
          <w:i/>
          <w:iCs/>
          <w:lang w:val="en-NZ"/>
        </w:rPr>
      </w:pPr>
      <w:r w:rsidRPr="005D08D7">
        <w:rPr>
          <w:rStyle w:val="FootnoteReference"/>
          <w:i/>
          <w:iCs/>
        </w:rPr>
        <w:footnoteRef/>
      </w:r>
      <w:r w:rsidRPr="005D08D7">
        <w:rPr>
          <w:i/>
          <w:iCs/>
        </w:rPr>
        <w:t xml:space="preserve"> The accuracy of risk estimates relating to the agreement between the estimated and observed number of events</w:t>
      </w:r>
    </w:p>
  </w:footnote>
  <w:footnote w:id="8">
    <w:p w14:paraId="107FB8D4" w14:textId="77777777" w:rsidR="000D7486" w:rsidRPr="007723E0" w:rsidRDefault="000D7486" w:rsidP="00E92D42">
      <w:pPr>
        <w:pStyle w:val="FootnoteText"/>
        <w:rPr>
          <w:lang w:val="en-NZ"/>
        </w:rPr>
      </w:pPr>
      <w:r w:rsidRPr="005D08D7">
        <w:rPr>
          <w:rStyle w:val="FootnoteReference"/>
          <w:i/>
          <w:iCs/>
        </w:rPr>
        <w:footnoteRef/>
      </w:r>
      <w:r w:rsidRPr="005D08D7">
        <w:rPr>
          <w:i/>
          <w:iCs/>
        </w:rPr>
        <w:t xml:space="preserve"> </w:t>
      </w:r>
      <w:r w:rsidRPr="005D08D7">
        <w:rPr>
          <w:i/>
          <w:iCs/>
          <w:lang w:val="en-NZ"/>
        </w:rPr>
        <w:t>At the optimal cut-off defined by maximum Youden Index</w:t>
      </w:r>
    </w:p>
  </w:footnote>
  <w:footnote w:id="9">
    <w:p w14:paraId="15B49C3D" w14:textId="77777777" w:rsidR="000D5B30" w:rsidRDefault="000D5B30" w:rsidP="000D5B30">
      <w:pPr>
        <w:pStyle w:val="FootnoteText"/>
      </w:pPr>
      <w:r>
        <w:rPr>
          <w:rStyle w:val="FootnoteReference"/>
        </w:rPr>
        <w:footnoteRef/>
      </w:r>
      <w:r>
        <w:t xml:space="preserve"> </w:t>
      </w:r>
      <w:r w:rsidRPr="009F4B44">
        <w:t>P</w:t>
      </w:r>
      <w:r>
        <w:t>eters</w:t>
      </w:r>
      <w:r w:rsidRPr="009F4B44">
        <w:t xml:space="preserve"> KE,</w:t>
      </w:r>
      <w:r>
        <w:t xml:space="preserve"> Davis WA, Ito J, et al</w:t>
      </w:r>
      <w:r w:rsidRPr="009F4B44">
        <w:t xml:space="preserve">. </w:t>
      </w:r>
      <w:r>
        <w:t>(</w:t>
      </w:r>
      <w:r w:rsidRPr="009F4B44">
        <w:t>2019</w:t>
      </w:r>
      <w:r>
        <w:t>)</w:t>
      </w:r>
      <w:r w:rsidRPr="009F4B44">
        <w:t xml:space="preserve">. Validation of a protein biomarker test for predicting renal decline in type 2 diabetes: The Fremantle Diabetes Study Phase II. </w:t>
      </w:r>
      <w:r w:rsidRPr="00C7666C">
        <w:rPr>
          <w:i/>
          <w:iCs/>
        </w:rPr>
        <w:t>Journal of Diabetes and its Complications</w:t>
      </w:r>
      <w:r w:rsidRPr="009F4B44">
        <w:t>, 33, 107406</w:t>
      </w:r>
      <w:r>
        <w:t>.</w:t>
      </w:r>
    </w:p>
  </w:footnote>
  <w:footnote w:id="10">
    <w:p w14:paraId="4CDA9CD0" w14:textId="77777777" w:rsidR="000D5B30" w:rsidRDefault="000D5B30" w:rsidP="000D5B30">
      <w:pPr>
        <w:pStyle w:val="FootnoteText"/>
      </w:pPr>
      <w:r>
        <w:rPr>
          <w:rStyle w:val="FootnoteReference"/>
        </w:rPr>
        <w:footnoteRef/>
      </w:r>
      <w:r>
        <w:t xml:space="preserve"> </w:t>
      </w:r>
      <w:r w:rsidRPr="00D72F6D">
        <w:t>P</w:t>
      </w:r>
      <w:r>
        <w:t>eters KE, Xu J, Bringans SD, et al.</w:t>
      </w:r>
      <w:r w:rsidRPr="00D72F6D">
        <w:t xml:space="preserve"> </w:t>
      </w:r>
      <w:r>
        <w:t>(</w:t>
      </w:r>
      <w:r w:rsidRPr="00D72F6D">
        <w:t>2020</w:t>
      </w:r>
      <w:r>
        <w:t>)</w:t>
      </w:r>
      <w:r w:rsidRPr="00D72F6D">
        <w:t xml:space="preserve">. PromarkerD Predicts Renal Function Decline in Type 2 Diabetes in the Canagliflozin Cardiovascular Assessment Study (CANVAS). </w:t>
      </w:r>
      <w:r w:rsidRPr="00D72F6D">
        <w:rPr>
          <w:i/>
          <w:iCs/>
        </w:rPr>
        <w:t>Journal of clinical medicine</w:t>
      </w:r>
      <w:r w:rsidRPr="00D72F6D">
        <w:t>, 9, 3212</w:t>
      </w:r>
      <w:r>
        <w:t>.</w:t>
      </w:r>
    </w:p>
    <w:p w14:paraId="79BEAA6E" w14:textId="77777777" w:rsidR="000D5B30" w:rsidRDefault="000D5B30" w:rsidP="000D5B3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5619"/>
    <w:multiLevelType w:val="hybridMultilevel"/>
    <w:tmpl w:val="9A9869C8"/>
    <w:lvl w:ilvl="0" w:tplc="C3BA6D5A">
      <w:numFmt w:val="bullet"/>
      <w:lvlText w:val="-"/>
      <w:lvlJc w:val="left"/>
      <w:pPr>
        <w:ind w:left="720" w:hanging="36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172BA6"/>
    <w:multiLevelType w:val="hybridMultilevel"/>
    <w:tmpl w:val="674A174A"/>
    <w:lvl w:ilvl="0" w:tplc="C3BA6D5A">
      <w:numFmt w:val="bullet"/>
      <w:lvlText w:val="-"/>
      <w:lvlJc w:val="left"/>
      <w:pPr>
        <w:ind w:left="720" w:hanging="36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CB7D83"/>
    <w:multiLevelType w:val="hybridMultilevel"/>
    <w:tmpl w:val="DE8E83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1F579B"/>
    <w:multiLevelType w:val="hybridMultilevel"/>
    <w:tmpl w:val="2976F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5161F"/>
    <w:multiLevelType w:val="hybridMultilevel"/>
    <w:tmpl w:val="90349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8" w15:restartNumberingAfterBreak="0">
    <w:nsid w:val="275516E0"/>
    <w:multiLevelType w:val="hybridMultilevel"/>
    <w:tmpl w:val="97284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BED5D83"/>
    <w:multiLevelType w:val="hybridMultilevel"/>
    <w:tmpl w:val="623AB768"/>
    <w:lvl w:ilvl="0" w:tplc="6D32A8DC">
      <w:start w:val="1"/>
      <w:numFmt w:val="decimal"/>
      <w:pStyle w:val="Heading2execsummary"/>
      <w:lvlText w:val="%1."/>
      <w:lvlJc w:val="left"/>
      <w:pPr>
        <w:ind w:left="737" w:hanging="73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BB7EC8"/>
    <w:multiLevelType w:val="hybridMultilevel"/>
    <w:tmpl w:val="EAA66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numFmt w:val="none"/>
      <w:pStyle w:val="Heading2"/>
      <w:lvlText w:val=""/>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漀(耗萏 萑ﺘ葞 葠ﺘ䩏"/>
      <w:lvlJc w:val="left"/>
      <w:rPr>
        <w:rFonts w:ascii="Symbol" w:hAnsi="Wingdings" w:cs="Wingdings" w:hint="default"/>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5" w15:restartNumberingAfterBreak="0">
    <w:nsid w:val="33935EA0"/>
    <w:multiLevelType w:val="hybridMultilevel"/>
    <w:tmpl w:val="E2D45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4F7BA4"/>
    <w:multiLevelType w:val="hybridMultilevel"/>
    <w:tmpl w:val="462EA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D0112"/>
    <w:multiLevelType w:val="hybridMultilevel"/>
    <w:tmpl w:val="6448B19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4F368B"/>
    <w:multiLevelType w:val="hybridMultilevel"/>
    <w:tmpl w:val="7F36D186"/>
    <w:lvl w:ilvl="0" w:tplc="A86E385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7095746"/>
    <w:multiLevelType w:val="hybridMultilevel"/>
    <w:tmpl w:val="28BC0FCE"/>
    <w:lvl w:ilvl="0" w:tplc="A26EFB64">
      <w:numFmt w:val="decimal"/>
      <w:pStyle w:val="Instructionaltext-bullet"/>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20" w15:restartNumberingAfterBreak="0">
    <w:nsid w:val="4E8C2950"/>
    <w:multiLevelType w:val="hybridMultilevel"/>
    <w:tmpl w:val="4F0E6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7E051C"/>
    <w:multiLevelType w:val="hybridMultilevel"/>
    <w:tmpl w:val="E8582E76"/>
    <w:lvl w:ilvl="0" w:tplc="7FCC4FDE">
      <w:start w:val="1"/>
      <w:numFmt w:val="bullet"/>
      <w:pStyle w:val="ListParagraph"/>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7D2495"/>
    <w:multiLevelType w:val="hybridMultilevel"/>
    <w:tmpl w:val="2A9060D6"/>
    <w:lvl w:ilvl="0" w:tplc="0C090001">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24" w15:restartNumberingAfterBreak="0">
    <w:nsid w:val="6949739E"/>
    <w:multiLevelType w:val="hybridMultilevel"/>
    <w:tmpl w:val="65DC417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EA75FC"/>
    <w:multiLevelType w:val="hybridMultilevel"/>
    <w:tmpl w:val="2412531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16266E"/>
    <w:multiLevelType w:val="hybridMultilevel"/>
    <w:tmpl w:val="BA7A4C22"/>
    <w:lvl w:ilvl="0" w:tplc="0C090001">
      <w:start w:val="1"/>
      <w:numFmt w:val="bullet"/>
      <w:lvlText w:val=""/>
      <w:lvlJc w:val="left"/>
      <w:rPr>
        <w:rFonts w:ascii="Symbol" w:hAnsi="Symbol" w:hint="default"/>
      </w:rPr>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27" w15:restartNumberingAfterBreak="0">
    <w:nsid w:val="784D033C"/>
    <w:multiLevelType w:val="multilevel"/>
    <w:tmpl w:val="45FC285E"/>
    <w:lvl w:ilvl="0">
      <w:numFmt w:val="decimal"/>
      <w:pStyle w:val="2-SectionHeading"/>
      <w:lvlText w:val=""/>
      <w:lvlJc w:val="left"/>
    </w:lvl>
    <w:lvl w:ilvl="1">
      <w:numFmt w:val="decimal"/>
      <w:pStyle w:val="3-BodyText"/>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181516"/>
    <w:multiLevelType w:val="hybridMultilevel"/>
    <w:tmpl w:val="FF9EE7EA"/>
    <w:lvl w:ilvl="0" w:tplc="99525AAE">
      <w:numFmt w:val="decimal"/>
      <w:pStyle w:val="Nnumberedlist"/>
      <w:lvlText w:val=""/>
      <w:lvlJc w:val="left"/>
    </w:lvl>
    <w:lvl w:ilvl="1" w:tplc="389C2200">
      <w:numFmt w:val="decimal"/>
      <w:lvlText w:val=""/>
      <w:lvlJc w:val="left"/>
    </w:lvl>
    <w:lvl w:ilvl="2" w:tplc="C3F8B188">
      <w:numFmt w:val="decimal"/>
      <w:lvlText w:val=""/>
      <w:lvlJc w:val="left"/>
    </w:lvl>
    <w:lvl w:ilvl="3" w:tplc="391E97F0">
      <w:numFmt w:val="decimal"/>
      <w:lvlText w:val=""/>
      <w:lvlJc w:val="left"/>
    </w:lvl>
    <w:lvl w:ilvl="4" w:tplc="4F42265E">
      <w:numFmt w:val="decimal"/>
      <w:lvlText w:val=""/>
      <w:lvlJc w:val="left"/>
    </w:lvl>
    <w:lvl w:ilvl="5" w:tplc="30546058">
      <w:numFmt w:val="decimal"/>
      <w:lvlText w:val=""/>
      <w:lvlJc w:val="left"/>
    </w:lvl>
    <w:lvl w:ilvl="6" w:tplc="6E10F0C6">
      <w:numFmt w:val="decimal"/>
      <w:lvlText w:val=""/>
      <w:lvlJc w:val="left"/>
    </w:lvl>
    <w:lvl w:ilvl="7" w:tplc="70B07B9C">
      <w:numFmt w:val="decimal"/>
      <w:lvlText w:val=""/>
      <w:lvlJc w:val="left"/>
    </w:lvl>
    <w:lvl w:ilvl="8" w:tplc="9BF48AAC">
      <w:numFmt w:val="decimal"/>
      <w:lvlText w:val=""/>
      <w:lvlJc w:val="left"/>
    </w:lvl>
  </w:abstractNum>
  <w:num w:numId="1">
    <w:abstractNumId w:val="14"/>
  </w:num>
  <w:num w:numId="2">
    <w:abstractNumId w:val="29"/>
  </w:num>
  <w:num w:numId="3">
    <w:abstractNumId w:val="1"/>
  </w:num>
  <w:num w:numId="4">
    <w:abstractNumId w:val="7"/>
  </w:num>
  <w:num w:numId="5">
    <w:abstractNumId w:val="27"/>
  </w:num>
  <w:num w:numId="6">
    <w:abstractNumId w:val="9"/>
  </w:num>
  <w:num w:numId="7">
    <w:abstractNumId w:val="10"/>
  </w:num>
  <w:num w:numId="8">
    <w:abstractNumId w:val="13"/>
  </w:num>
  <w:num w:numId="9">
    <w:abstractNumId w:val="19"/>
  </w:num>
  <w:num w:numId="10">
    <w:abstractNumId w:val="26"/>
  </w:num>
  <w:num w:numId="11">
    <w:abstractNumId w:val="23"/>
  </w:num>
  <w:num w:numId="12">
    <w:abstractNumId w:val="3"/>
  </w:num>
  <w:num w:numId="13">
    <w:abstractNumId w:val="15"/>
  </w:num>
  <w:num w:numId="14">
    <w:abstractNumId w:val="21"/>
  </w:num>
  <w:num w:numId="15">
    <w:abstractNumId w:val="8"/>
  </w:num>
  <w:num w:numId="16">
    <w:abstractNumId w:val="11"/>
    <w:lvlOverride w:ilvl="0">
      <w:startOverride w:val="1"/>
    </w:lvlOverride>
  </w:num>
  <w:num w:numId="17">
    <w:abstractNumId w:val="17"/>
  </w:num>
  <w:num w:numId="18">
    <w:abstractNumId w:val="24"/>
  </w:num>
  <w:num w:numId="19">
    <w:abstractNumId w:val="25"/>
  </w:num>
  <w:num w:numId="20">
    <w:abstractNumId w:val="16"/>
  </w:num>
  <w:num w:numId="21">
    <w:abstractNumId w:val="6"/>
  </w:num>
  <w:num w:numId="22">
    <w:abstractNumId w:val="22"/>
  </w:num>
  <w:num w:numId="23">
    <w:abstractNumId w:val="28"/>
  </w:num>
  <w:num w:numId="24">
    <w:abstractNumId w:val="5"/>
  </w:num>
  <w:num w:numId="25">
    <w:abstractNumId w:val="12"/>
  </w:num>
  <w:num w:numId="26">
    <w:abstractNumId w:val="0"/>
  </w:num>
  <w:num w:numId="27">
    <w:abstractNumId w:val="2"/>
  </w:num>
  <w:num w:numId="28">
    <w:abstractNumId w:val="18"/>
  </w:num>
  <w:num w:numId="29">
    <w:abstractNumId w:val="20"/>
  </w:num>
  <w:num w:numId="30">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yNLcwMTQzMjMwNTJS0lEKTi0uzszPAykwqgUAVubteCwAAAA="/>
  </w:docVars>
  <w:rsids>
    <w:rsidRoot w:val="008157F1"/>
    <w:rsid w:val="0000109A"/>
    <w:rsid w:val="00001145"/>
    <w:rsid w:val="00001A65"/>
    <w:rsid w:val="00001A9C"/>
    <w:rsid w:val="00001AE6"/>
    <w:rsid w:val="00001D55"/>
    <w:rsid w:val="0000308D"/>
    <w:rsid w:val="00004D69"/>
    <w:rsid w:val="00004F7F"/>
    <w:rsid w:val="000054C9"/>
    <w:rsid w:val="000062CA"/>
    <w:rsid w:val="00006DF3"/>
    <w:rsid w:val="00007360"/>
    <w:rsid w:val="00007FEA"/>
    <w:rsid w:val="00011568"/>
    <w:rsid w:val="000125EB"/>
    <w:rsid w:val="000129F7"/>
    <w:rsid w:val="00014543"/>
    <w:rsid w:val="00014974"/>
    <w:rsid w:val="000151D2"/>
    <w:rsid w:val="000228B8"/>
    <w:rsid w:val="0002360A"/>
    <w:rsid w:val="0002381B"/>
    <w:rsid w:val="00024EA5"/>
    <w:rsid w:val="0002730D"/>
    <w:rsid w:val="0002755F"/>
    <w:rsid w:val="0003423A"/>
    <w:rsid w:val="0003477F"/>
    <w:rsid w:val="00036AD8"/>
    <w:rsid w:val="00037037"/>
    <w:rsid w:val="00037302"/>
    <w:rsid w:val="0003761C"/>
    <w:rsid w:val="0004005D"/>
    <w:rsid w:val="00040ADF"/>
    <w:rsid w:val="00040B19"/>
    <w:rsid w:val="00040FB4"/>
    <w:rsid w:val="00041220"/>
    <w:rsid w:val="0004178C"/>
    <w:rsid w:val="00041A04"/>
    <w:rsid w:val="00041F5D"/>
    <w:rsid w:val="000440DC"/>
    <w:rsid w:val="000443A6"/>
    <w:rsid w:val="000449D1"/>
    <w:rsid w:val="00045AC7"/>
    <w:rsid w:val="00045B8D"/>
    <w:rsid w:val="00045CC5"/>
    <w:rsid w:val="00046B6A"/>
    <w:rsid w:val="000470E9"/>
    <w:rsid w:val="000472D4"/>
    <w:rsid w:val="00052DD3"/>
    <w:rsid w:val="0005326D"/>
    <w:rsid w:val="00053F6C"/>
    <w:rsid w:val="00060CE6"/>
    <w:rsid w:val="00061CCD"/>
    <w:rsid w:val="00063365"/>
    <w:rsid w:val="0006339C"/>
    <w:rsid w:val="00063E3A"/>
    <w:rsid w:val="000643EC"/>
    <w:rsid w:val="00064783"/>
    <w:rsid w:val="000647C2"/>
    <w:rsid w:val="00064CF3"/>
    <w:rsid w:val="00065956"/>
    <w:rsid w:val="00066948"/>
    <w:rsid w:val="00067A24"/>
    <w:rsid w:val="0007021F"/>
    <w:rsid w:val="000709A0"/>
    <w:rsid w:val="000710AC"/>
    <w:rsid w:val="00071733"/>
    <w:rsid w:val="00073CA4"/>
    <w:rsid w:val="00074000"/>
    <w:rsid w:val="00074199"/>
    <w:rsid w:val="000746A9"/>
    <w:rsid w:val="00074E14"/>
    <w:rsid w:val="000774E7"/>
    <w:rsid w:val="000774F0"/>
    <w:rsid w:val="00080241"/>
    <w:rsid w:val="00081778"/>
    <w:rsid w:val="0008189F"/>
    <w:rsid w:val="00081CFA"/>
    <w:rsid w:val="00081F7F"/>
    <w:rsid w:val="00084A1E"/>
    <w:rsid w:val="00084AAC"/>
    <w:rsid w:val="000856BC"/>
    <w:rsid w:val="0008591A"/>
    <w:rsid w:val="000860CD"/>
    <w:rsid w:val="000870B6"/>
    <w:rsid w:val="00090613"/>
    <w:rsid w:val="00090BD1"/>
    <w:rsid w:val="00091797"/>
    <w:rsid w:val="00091857"/>
    <w:rsid w:val="00091B6D"/>
    <w:rsid w:val="00091C59"/>
    <w:rsid w:val="00092978"/>
    <w:rsid w:val="00092A21"/>
    <w:rsid w:val="00093D9A"/>
    <w:rsid w:val="00094656"/>
    <w:rsid w:val="00094930"/>
    <w:rsid w:val="00094E16"/>
    <w:rsid w:val="000958E0"/>
    <w:rsid w:val="00095E54"/>
    <w:rsid w:val="00096B52"/>
    <w:rsid w:val="000974FF"/>
    <w:rsid w:val="000A10BF"/>
    <w:rsid w:val="000A2867"/>
    <w:rsid w:val="000A2ACD"/>
    <w:rsid w:val="000A2B65"/>
    <w:rsid w:val="000A2DA8"/>
    <w:rsid w:val="000A4F9E"/>
    <w:rsid w:val="000A5C47"/>
    <w:rsid w:val="000A629E"/>
    <w:rsid w:val="000A67FB"/>
    <w:rsid w:val="000A6B30"/>
    <w:rsid w:val="000B11A7"/>
    <w:rsid w:val="000B3330"/>
    <w:rsid w:val="000B5816"/>
    <w:rsid w:val="000B5D82"/>
    <w:rsid w:val="000B6CF0"/>
    <w:rsid w:val="000B720C"/>
    <w:rsid w:val="000B7665"/>
    <w:rsid w:val="000C172C"/>
    <w:rsid w:val="000C22FC"/>
    <w:rsid w:val="000C7C46"/>
    <w:rsid w:val="000D0A7A"/>
    <w:rsid w:val="000D1B52"/>
    <w:rsid w:val="000D4979"/>
    <w:rsid w:val="000D4C1B"/>
    <w:rsid w:val="000D4FDF"/>
    <w:rsid w:val="000D5523"/>
    <w:rsid w:val="000D5749"/>
    <w:rsid w:val="000D5B30"/>
    <w:rsid w:val="000D7486"/>
    <w:rsid w:val="000E03DC"/>
    <w:rsid w:val="000E0620"/>
    <w:rsid w:val="000E0D7B"/>
    <w:rsid w:val="000E1124"/>
    <w:rsid w:val="000E4235"/>
    <w:rsid w:val="000E5531"/>
    <w:rsid w:val="000E594B"/>
    <w:rsid w:val="000E5D9F"/>
    <w:rsid w:val="000E6410"/>
    <w:rsid w:val="000E678B"/>
    <w:rsid w:val="000F2E01"/>
    <w:rsid w:val="000F4FB5"/>
    <w:rsid w:val="000F5A54"/>
    <w:rsid w:val="000F5B72"/>
    <w:rsid w:val="000F63F9"/>
    <w:rsid w:val="000F7987"/>
    <w:rsid w:val="0010051C"/>
    <w:rsid w:val="0010448B"/>
    <w:rsid w:val="00104513"/>
    <w:rsid w:val="0010521F"/>
    <w:rsid w:val="0010625A"/>
    <w:rsid w:val="00106C56"/>
    <w:rsid w:val="00107524"/>
    <w:rsid w:val="00107DCD"/>
    <w:rsid w:val="00107EF0"/>
    <w:rsid w:val="0011054A"/>
    <w:rsid w:val="00110FC8"/>
    <w:rsid w:val="00111417"/>
    <w:rsid w:val="00113C60"/>
    <w:rsid w:val="00113F7D"/>
    <w:rsid w:val="00114C3B"/>
    <w:rsid w:val="00115691"/>
    <w:rsid w:val="00117039"/>
    <w:rsid w:val="00117F04"/>
    <w:rsid w:val="00120BD3"/>
    <w:rsid w:val="00122AE3"/>
    <w:rsid w:val="00122EE1"/>
    <w:rsid w:val="0012350D"/>
    <w:rsid w:val="00123658"/>
    <w:rsid w:val="001237AF"/>
    <w:rsid w:val="00123A90"/>
    <w:rsid w:val="001247EB"/>
    <w:rsid w:val="00124A54"/>
    <w:rsid w:val="00124F3C"/>
    <w:rsid w:val="00125B61"/>
    <w:rsid w:val="00126122"/>
    <w:rsid w:val="00127437"/>
    <w:rsid w:val="00127438"/>
    <w:rsid w:val="001308EA"/>
    <w:rsid w:val="00131D45"/>
    <w:rsid w:val="001320F0"/>
    <w:rsid w:val="00132774"/>
    <w:rsid w:val="00132EA5"/>
    <w:rsid w:val="001336E0"/>
    <w:rsid w:val="00133F34"/>
    <w:rsid w:val="001348B1"/>
    <w:rsid w:val="001349B3"/>
    <w:rsid w:val="00135273"/>
    <w:rsid w:val="00135C71"/>
    <w:rsid w:val="00135FC9"/>
    <w:rsid w:val="00140D4E"/>
    <w:rsid w:val="001415D4"/>
    <w:rsid w:val="00143478"/>
    <w:rsid w:val="00143F2F"/>
    <w:rsid w:val="00146624"/>
    <w:rsid w:val="00150376"/>
    <w:rsid w:val="00150473"/>
    <w:rsid w:val="001506E1"/>
    <w:rsid w:val="00151DBD"/>
    <w:rsid w:val="0015301F"/>
    <w:rsid w:val="001531D6"/>
    <w:rsid w:val="00153868"/>
    <w:rsid w:val="001548F6"/>
    <w:rsid w:val="00155434"/>
    <w:rsid w:val="001556B4"/>
    <w:rsid w:val="00155BDA"/>
    <w:rsid w:val="00156042"/>
    <w:rsid w:val="00156FA7"/>
    <w:rsid w:val="00157E4B"/>
    <w:rsid w:val="0016023A"/>
    <w:rsid w:val="00160BE2"/>
    <w:rsid w:val="00162DBF"/>
    <w:rsid w:val="001644BC"/>
    <w:rsid w:val="00164C16"/>
    <w:rsid w:val="00164CF8"/>
    <w:rsid w:val="001653AE"/>
    <w:rsid w:val="0016569F"/>
    <w:rsid w:val="001666CC"/>
    <w:rsid w:val="00166FF7"/>
    <w:rsid w:val="00170494"/>
    <w:rsid w:val="00170D5B"/>
    <w:rsid w:val="0017123A"/>
    <w:rsid w:val="00171B3C"/>
    <w:rsid w:val="001726B1"/>
    <w:rsid w:val="00172B8F"/>
    <w:rsid w:val="00172DDD"/>
    <w:rsid w:val="00173255"/>
    <w:rsid w:val="001736F8"/>
    <w:rsid w:val="00173D04"/>
    <w:rsid w:val="00173D85"/>
    <w:rsid w:val="00174481"/>
    <w:rsid w:val="00174CB4"/>
    <w:rsid w:val="00174FD4"/>
    <w:rsid w:val="00175705"/>
    <w:rsid w:val="001766F0"/>
    <w:rsid w:val="00183EEB"/>
    <w:rsid w:val="00184BAE"/>
    <w:rsid w:val="001850D9"/>
    <w:rsid w:val="001868F6"/>
    <w:rsid w:val="00190625"/>
    <w:rsid w:val="00190D8B"/>
    <w:rsid w:val="0019362A"/>
    <w:rsid w:val="00193679"/>
    <w:rsid w:val="00193B03"/>
    <w:rsid w:val="0019474E"/>
    <w:rsid w:val="00195728"/>
    <w:rsid w:val="00196EAA"/>
    <w:rsid w:val="001970C0"/>
    <w:rsid w:val="00197CB5"/>
    <w:rsid w:val="001A0833"/>
    <w:rsid w:val="001A1CB7"/>
    <w:rsid w:val="001A420B"/>
    <w:rsid w:val="001A4380"/>
    <w:rsid w:val="001A4B97"/>
    <w:rsid w:val="001A4EBD"/>
    <w:rsid w:val="001A4F7D"/>
    <w:rsid w:val="001A7B42"/>
    <w:rsid w:val="001A7D8F"/>
    <w:rsid w:val="001B01FC"/>
    <w:rsid w:val="001B0A31"/>
    <w:rsid w:val="001B2688"/>
    <w:rsid w:val="001B2A97"/>
    <w:rsid w:val="001B2CD4"/>
    <w:rsid w:val="001B334D"/>
    <w:rsid w:val="001B49D5"/>
    <w:rsid w:val="001B6C83"/>
    <w:rsid w:val="001B7329"/>
    <w:rsid w:val="001C06EC"/>
    <w:rsid w:val="001C174A"/>
    <w:rsid w:val="001C1D05"/>
    <w:rsid w:val="001C26F5"/>
    <w:rsid w:val="001C2A48"/>
    <w:rsid w:val="001C3384"/>
    <w:rsid w:val="001C3524"/>
    <w:rsid w:val="001C42CB"/>
    <w:rsid w:val="001C5EC6"/>
    <w:rsid w:val="001C69E3"/>
    <w:rsid w:val="001C6DFD"/>
    <w:rsid w:val="001C7A46"/>
    <w:rsid w:val="001D231B"/>
    <w:rsid w:val="001D32C0"/>
    <w:rsid w:val="001D3A64"/>
    <w:rsid w:val="001D3C36"/>
    <w:rsid w:val="001D4BE5"/>
    <w:rsid w:val="001D5793"/>
    <w:rsid w:val="001D5A0C"/>
    <w:rsid w:val="001D74A7"/>
    <w:rsid w:val="001E1495"/>
    <w:rsid w:val="001E15F2"/>
    <w:rsid w:val="001E22F7"/>
    <w:rsid w:val="001E2B9F"/>
    <w:rsid w:val="001E2F9E"/>
    <w:rsid w:val="001E465F"/>
    <w:rsid w:val="001E62A8"/>
    <w:rsid w:val="001E6BED"/>
    <w:rsid w:val="001E6CED"/>
    <w:rsid w:val="001F075F"/>
    <w:rsid w:val="001F2902"/>
    <w:rsid w:val="001F3F36"/>
    <w:rsid w:val="001F41FC"/>
    <w:rsid w:val="001F658C"/>
    <w:rsid w:val="001F66FD"/>
    <w:rsid w:val="001F675C"/>
    <w:rsid w:val="001F6F44"/>
    <w:rsid w:val="001F6F7C"/>
    <w:rsid w:val="001F7563"/>
    <w:rsid w:val="00200F04"/>
    <w:rsid w:val="00201E72"/>
    <w:rsid w:val="00204CB9"/>
    <w:rsid w:val="00207135"/>
    <w:rsid w:val="00207F59"/>
    <w:rsid w:val="00210CE8"/>
    <w:rsid w:val="00210FD7"/>
    <w:rsid w:val="00211DC3"/>
    <w:rsid w:val="002155B6"/>
    <w:rsid w:val="002157E4"/>
    <w:rsid w:val="00215AFB"/>
    <w:rsid w:val="00215DEA"/>
    <w:rsid w:val="002160DC"/>
    <w:rsid w:val="00220079"/>
    <w:rsid w:val="002200D8"/>
    <w:rsid w:val="00220B14"/>
    <w:rsid w:val="00222525"/>
    <w:rsid w:val="002226ED"/>
    <w:rsid w:val="00223159"/>
    <w:rsid w:val="00223664"/>
    <w:rsid w:val="00223A56"/>
    <w:rsid w:val="00223F4B"/>
    <w:rsid w:val="002251F8"/>
    <w:rsid w:val="00225833"/>
    <w:rsid w:val="00226095"/>
    <w:rsid w:val="00226116"/>
    <w:rsid w:val="00227B89"/>
    <w:rsid w:val="00227F43"/>
    <w:rsid w:val="002300AB"/>
    <w:rsid w:val="00230488"/>
    <w:rsid w:val="00230538"/>
    <w:rsid w:val="002307E6"/>
    <w:rsid w:val="00231082"/>
    <w:rsid w:val="002327A2"/>
    <w:rsid w:val="002345C3"/>
    <w:rsid w:val="00234640"/>
    <w:rsid w:val="00240106"/>
    <w:rsid w:val="002411C7"/>
    <w:rsid w:val="00242F4E"/>
    <w:rsid w:val="00244191"/>
    <w:rsid w:val="00245146"/>
    <w:rsid w:val="002452A0"/>
    <w:rsid w:val="002455A1"/>
    <w:rsid w:val="002463A6"/>
    <w:rsid w:val="00246ADB"/>
    <w:rsid w:val="002478AA"/>
    <w:rsid w:val="00251356"/>
    <w:rsid w:val="002517A5"/>
    <w:rsid w:val="00251F6C"/>
    <w:rsid w:val="0025249C"/>
    <w:rsid w:val="002536C1"/>
    <w:rsid w:val="002539ED"/>
    <w:rsid w:val="0025440D"/>
    <w:rsid w:val="0025450E"/>
    <w:rsid w:val="00254F87"/>
    <w:rsid w:val="002550A6"/>
    <w:rsid w:val="00255152"/>
    <w:rsid w:val="0025554E"/>
    <w:rsid w:val="00256AF8"/>
    <w:rsid w:val="0026015B"/>
    <w:rsid w:val="0026141C"/>
    <w:rsid w:val="0026159C"/>
    <w:rsid w:val="0026197B"/>
    <w:rsid w:val="00262213"/>
    <w:rsid w:val="002624E2"/>
    <w:rsid w:val="00262A8E"/>
    <w:rsid w:val="002638F4"/>
    <w:rsid w:val="002646F0"/>
    <w:rsid w:val="00264961"/>
    <w:rsid w:val="00265382"/>
    <w:rsid w:val="0027160C"/>
    <w:rsid w:val="002731F2"/>
    <w:rsid w:val="00274B74"/>
    <w:rsid w:val="002751D1"/>
    <w:rsid w:val="00275209"/>
    <w:rsid w:val="002768C1"/>
    <w:rsid w:val="00277BC4"/>
    <w:rsid w:val="00277BDA"/>
    <w:rsid w:val="002805F4"/>
    <w:rsid w:val="00282874"/>
    <w:rsid w:val="00284340"/>
    <w:rsid w:val="00287AE8"/>
    <w:rsid w:val="00287E78"/>
    <w:rsid w:val="00290676"/>
    <w:rsid w:val="00291462"/>
    <w:rsid w:val="00291572"/>
    <w:rsid w:val="00292623"/>
    <w:rsid w:val="00294495"/>
    <w:rsid w:val="00295846"/>
    <w:rsid w:val="002A04B4"/>
    <w:rsid w:val="002A145B"/>
    <w:rsid w:val="002A149D"/>
    <w:rsid w:val="002A18BE"/>
    <w:rsid w:val="002A36F6"/>
    <w:rsid w:val="002A3802"/>
    <w:rsid w:val="002A39D2"/>
    <w:rsid w:val="002A4084"/>
    <w:rsid w:val="002A4AD6"/>
    <w:rsid w:val="002A4FB1"/>
    <w:rsid w:val="002A622C"/>
    <w:rsid w:val="002A6E9F"/>
    <w:rsid w:val="002A7196"/>
    <w:rsid w:val="002A76AE"/>
    <w:rsid w:val="002B1384"/>
    <w:rsid w:val="002B14C3"/>
    <w:rsid w:val="002B1BEF"/>
    <w:rsid w:val="002B3681"/>
    <w:rsid w:val="002B55AB"/>
    <w:rsid w:val="002B667C"/>
    <w:rsid w:val="002B6A39"/>
    <w:rsid w:val="002C11CA"/>
    <w:rsid w:val="002C1838"/>
    <w:rsid w:val="002C3A6E"/>
    <w:rsid w:val="002C45E8"/>
    <w:rsid w:val="002C4C81"/>
    <w:rsid w:val="002C4D3F"/>
    <w:rsid w:val="002C70CE"/>
    <w:rsid w:val="002C7232"/>
    <w:rsid w:val="002C7618"/>
    <w:rsid w:val="002D2DC4"/>
    <w:rsid w:val="002D47B1"/>
    <w:rsid w:val="002D5097"/>
    <w:rsid w:val="002D5157"/>
    <w:rsid w:val="002D55E4"/>
    <w:rsid w:val="002D6889"/>
    <w:rsid w:val="002D690D"/>
    <w:rsid w:val="002D72C9"/>
    <w:rsid w:val="002E27A7"/>
    <w:rsid w:val="002E63BE"/>
    <w:rsid w:val="002E65C9"/>
    <w:rsid w:val="002E675C"/>
    <w:rsid w:val="002E6D88"/>
    <w:rsid w:val="002E6DFE"/>
    <w:rsid w:val="002E714A"/>
    <w:rsid w:val="002E7775"/>
    <w:rsid w:val="002E7A96"/>
    <w:rsid w:val="002E7AD2"/>
    <w:rsid w:val="002F1399"/>
    <w:rsid w:val="002F140E"/>
    <w:rsid w:val="002F19AB"/>
    <w:rsid w:val="002F2718"/>
    <w:rsid w:val="002F2C0C"/>
    <w:rsid w:val="002F32FB"/>
    <w:rsid w:val="002F4072"/>
    <w:rsid w:val="002F5611"/>
    <w:rsid w:val="002F5F5E"/>
    <w:rsid w:val="002F5F85"/>
    <w:rsid w:val="002F6235"/>
    <w:rsid w:val="002F693F"/>
    <w:rsid w:val="003008CC"/>
    <w:rsid w:val="00301763"/>
    <w:rsid w:val="00302252"/>
    <w:rsid w:val="0030347C"/>
    <w:rsid w:val="00303C60"/>
    <w:rsid w:val="00304FB8"/>
    <w:rsid w:val="0030696E"/>
    <w:rsid w:val="00307299"/>
    <w:rsid w:val="00310938"/>
    <w:rsid w:val="00310B9B"/>
    <w:rsid w:val="00310C3F"/>
    <w:rsid w:val="003122F2"/>
    <w:rsid w:val="003140D2"/>
    <w:rsid w:val="00314B01"/>
    <w:rsid w:val="00314C03"/>
    <w:rsid w:val="00317714"/>
    <w:rsid w:val="00320A17"/>
    <w:rsid w:val="00321E22"/>
    <w:rsid w:val="00322DA9"/>
    <w:rsid w:val="00323558"/>
    <w:rsid w:val="003235F2"/>
    <w:rsid w:val="00323AF6"/>
    <w:rsid w:val="003251C2"/>
    <w:rsid w:val="00325FA0"/>
    <w:rsid w:val="00326F1C"/>
    <w:rsid w:val="00327162"/>
    <w:rsid w:val="00330407"/>
    <w:rsid w:val="00330A0A"/>
    <w:rsid w:val="00331CD7"/>
    <w:rsid w:val="003328A9"/>
    <w:rsid w:val="0033393F"/>
    <w:rsid w:val="00334A30"/>
    <w:rsid w:val="003362FE"/>
    <w:rsid w:val="00336EFB"/>
    <w:rsid w:val="00337135"/>
    <w:rsid w:val="003371B5"/>
    <w:rsid w:val="003376A2"/>
    <w:rsid w:val="00337BAF"/>
    <w:rsid w:val="00340341"/>
    <w:rsid w:val="00340B4E"/>
    <w:rsid w:val="003417CB"/>
    <w:rsid w:val="003427DB"/>
    <w:rsid w:val="003435A9"/>
    <w:rsid w:val="00344649"/>
    <w:rsid w:val="0034532E"/>
    <w:rsid w:val="00345496"/>
    <w:rsid w:val="00345BCF"/>
    <w:rsid w:val="003466F9"/>
    <w:rsid w:val="00346AD0"/>
    <w:rsid w:val="0034785C"/>
    <w:rsid w:val="003479C4"/>
    <w:rsid w:val="00350092"/>
    <w:rsid w:val="003504FC"/>
    <w:rsid w:val="003519AD"/>
    <w:rsid w:val="00351E0E"/>
    <w:rsid w:val="0035266A"/>
    <w:rsid w:val="00352F1B"/>
    <w:rsid w:val="003534E1"/>
    <w:rsid w:val="00354312"/>
    <w:rsid w:val="00354EB4"/>
    <w:rsid w:val="00355B91"/>
    <w:rsid w:val="00356D29"/>
    <w:rsid w:val="00356FF4"/>
    <w:rsid w:val="003571C2"/>
    <w:rsid w:val="003575E5"/>
    <w:rsid w:val="00360328"/>
    <w:rsid w:val="00360668"/>
    <w:rsid w:val="00360DF7"/>
    <w:rsid w:val="00363FB2"/>
    <w:rsid w:val="003640A7"/>
    <w:rsid w:val="00364192"/>
    <w:rsid w:val="00364FF2"/>
    <w:rsid w:val="00365447"/>
    <w:rsid w:val="00365CDC"/>
    <w:rsid w:val="0036794E"/>
    <w:rsid w:val="00372234"/>
    <w:rsid w:val="0037250F"/>
    <w:rsid w:val="003732E7"/>
    <w:rsid w:val="00373A91"/>
    <w:rsid w:val="00374E43"/>
    <w:rsid w:val="00376547"/>
    <w:rsid w:val="00377EC5"/>
    <w:rsid w:val="0038037A"/>
    <w:rsid w:val="003805E4"/>
    <w:rsid w:val="0038146C"/>
    <w:rsid w:val="00381FCB"/>
    <w:rsid w:val="00382609"/>
    <w:rsid w:val="00383E36"/>
    <w:rsid w:val="00383FCA"/>
    <w:rsid w:val="00384219"/>
    <w:rsid w:val="00386124"/>
    <w:rsid w:val="00386366"/>
    <w:rsid w:val="003864D5"/>
    <w:rsid w:val="003865DD"/>
    <w:rsid w:val="00387537"/>
    <w:rsid w:val="00387BA9"/>
    <w:rsid w:val="00390567"/>
    <w:rsid w:val="003966F6"/>
    <w:rsid w:val="0039677D"/>
    <w:rsid w:val="003A0660"/>
    <w:rsid w:val="003A0D52"/>
    <w:rsid w:val="003A1BAC"/>
    <w:rsid w:val="003A2CD6"/>
    <w:rsid w:val="003A2ED1"/>
    <w:rsid w:val="003A4575"/>
    <w:rsid w:val="003A4C47"/>
    <w:rsid w:val="003A4E56"/>
    <w:rsid w:val="003A6724"/>
    <w:rsid w:val="003A6E1A"/>
    <w:rsid w:val="003B0BA1"/>
    <w:rsid w:val="003B39CE"/>
    <w:rsid w:val="003B4599"/>
    <w:rsid w:val="003B595F"/>
    <w:rsid w:val="003B5A51"/>
    <w:rsid w:val="003B60F2"/>
    <w:rsid w:val="003B61B7"/>
    <w:rsid w:val="003B6ABA"/>
    <w:rsid w:val="003C1AE2"/>
    <w:rsid w:val="003C2AB6"/>
    <w:rsid w:val="003C2AEE"/>
    <w:rsid w:val="003C4D3D"/>
    <w:rsid w:val="003C4F8F"/>
    <w:rsid w:val="003C6B59"/>
    <w:rsid w:val="003D299E"/>
    <w:rsid w:val="003D33FE"/>
    <w:rsid w:val="003D4B27"/>
    <w:rsid w:val="003D55E1"/>
    <w:rsid w:val="003D641A"/>
    <w:rsid w:val="003D71EB"/>
    <w:rsid w:val="003E1006"/>
    <w:rsid w:val="003E1D24"/>
    <w:rsid w:val="003E22CB"/>
    <w:rsid w:val="003E2343"/>
    <w:rsid w:val="003E2779"/>
    <w:rsid w:val="003E31C2"/>
    <w:rsid w:val="003E3CA7"/>
    <w:rsid w:val="003E406B"/>
    <w:rsid w:val="003E4F96"/>
    <w:rsid w:val="003E52B7"/>
    <w:rsid w:val="003E5CCA"/>
    <w:rsid w:val="003E7100"/>
    <w:rsid w:val="003E7773"/>
    <w:rsid w:val="003E79B7"/>
    <w:rsid w:val="003E7DF7"/>
    <w:rsid w:val="003F115E"/>
    <w:rsid w:val="003F14C2"/>
    <w:rsid w:val="003F16B8"/>
    <w:rsid w:val="003F2210"/>
    <w:rsid w:val="003F3D2F"/>
    <w:rsid w:val="003F4BC2"/>
    <w:rsid w:val="003F4E97"/>
    <w:rsid w:val="003F535C"/>
    <w:rsid w:val="003F556E"/>
    <w:rsid w:val="003F6D6F"/>
    <w:rsid w:val="003F7196"/>
    <w:rsid w:val="004008AF"/>
    <w:rsid w:val="00400B5F"/>
    <w:rsid w:val="004018CE"/>
    <w:rsid w:val="00401DBF"/>
    <w:rsid w:val="004026C9"/>
    <w:rsid w:val="00402701"/>
    <w:rsid w:val="004033D9"/>
    <w:rsid w:val="0040416E"/>
    <w:rsid w:val="00404760"/>
    <w:rsid w:val="00404A94"/>
    <w:rsid w:val="0040551F"/>
    <w:rsid w:val="00407019"/>
    <w:rsid w:val="0040761A"/>
    <w:rsid w:val="0040771F"/>
    <w:rsid w:val="004111F7"/>
    <w:rsid w:val="0041217D"/>
    <w:rsid w:val="004125C6"/>
    <w:rsid w:val="0041275F"/>
    <w:rsid w:val="00412EE3"/>
    <w:rsid w:val="00413E6A"/>
    <w:rsid w:val="00413F4E"/>
    <w:rsid w:val="00414EAF"/>
    <w:rsid w:val="0041534C"/>
    <w:rsid w:val="00415400"/>
    <w:rsid w:val="0041598C"/>
    <w:rsid w:val="00415F79"/>
    <w:rsid w:val="004165C1"/>
    <w:rsid w:val="00416B40"/>
    <w:rsid w:val="00420F03"/>
    <w:rsid w:val="00421A89"/>
    <w:rsid w:val="00421EBC"/>
    <w:rsid w:val="0042304B"/>
    <w:rsid w:val="0042384B"/>
    <w:rsid w:val="00424084"/>
    <w:rsid w:val="004246C9"/>
    <w:rsid w:val="0042597B"/>
    <w:rsid w:val="004265D4"/>
    <w:rsid w:val="004273AD"/>
    <w:rsid w:val="004305AE"/>
    <w:rsid w:val="00431469"/>
    <w:rsid w:val="00431800"/>
    <w:rsid w:val="00433541"/>
    <w:rsid w:val="00434C91"/>
    <w:rsid w:val="00435E63"/>
    <w:rsid w:val="00436514"/>
    <w:rsid w:val="004406D4"/>
    <w:rsid w:val="00441EFA"/>
    <w:rsid w:val="004423F7"/>
    <w:rsid w:val="00442A49"/>
    <w:rsid w:val="004448C6"/>
    <w:rsid w:val="0044491B"/>
    <w:rsid w:val="0044690B"/>
    <w:rsid w:val="00446BBE"/>
    <w:rsid w:val="0044745D"/>
    <w:rsid w:val="0044782C"/>
    <w:rsid w:val="0045093D"/>
    <w:rsid w:val="00451645"/>
    <w:rsid w:val="00453E31"/>
    <w:rsid w:val="00454F8E"/>
    <w:rsid w:val="004558BD"/>
    <w:rsid w:val="004560B1"/>
    <w:rsid w:val="004560F5"/>
    <w:rsid w:val="00462778"/>
    <w:rsid w:val="00462AF9"/>
    <w:rsid w:val="00464F6C"/>
    <w:rsid w:val="004651CA"/>
    <w:rsid w:val="004704F0"/>
    <w:rsid w:val="00471611"/>
    <w:rsid w:val="00471908"/>
    <w:rsid w:val="00471D0D"/>
    <w:rsid w:val="00471E34"/>
    <w:rsid w:val="004736D0"/>
    <w:rsid w:val="0047445B"/>
    <w:rsid w:val="004746C5"/>
    <w:rsid w:val="00474E01"/>
    <w:rsid w:val="00476F3B"/>
    <w:rsid w:val="00477681"/>
    <w:rsid w:val="00480726"/>
    <w:rsid w:val="004810D1"/>
    <w:rsid w:val="00482804"/>
    <w:rsid w:val="00482B47"/>
    <w:rsid w:val="0048323E"/>
    <w:rsid w:val="00484D92"/>
    <w:rsid w:val="00484DC5"/>
    <w:rsid w:val="00485675"/>
    <w:rsid w:val="00485AC0"/>
    <w:rsid w:val="00486B53"/>
    <w:rsid w:val="004873FD"/>
    <w:rsid w:val="00487C08"/>
    <w:rsid w:val="00487C85"/>
    <w:rsid w:val="00490DC4"/>
    <w:rsid w:val="0049222A"/>
    <w:rsid w:val="00494F64"/>
    <w:rsid w:val="00497016"/>
    <w:rsid w:val="00497B9F"/>
    <w:rsid w:val="004A0DE8"/>
    <w:rsid w:val="004A0FBC"/>
    <w:rsid w:val="004A10BC"/>
    <w:rsid w:val="004A151C"/>
    <w:rsid w:val="004A2084"/>
    <w:rsid w:val="004A36FC"/>
    <w:rsid w:val="004A393B"/>
    <w:rsid w:val="004A4023"/>
    <w:rsid w:val="004A4430"/>
    <w:rsid w:val="004A4FDF"/>
    <w:rsid w:val="004A5489"/>
    <w:rsid w:val="004A5E73"/>
    <w:rsid w:val="004A608E"/>
    <w:rsid w:val="004A61D0"/>
    <w:rsid w:val="004A6339"/>
    <w:rsid w:val="004A6535"/>
    <w:rsid w:val="004A7186"/>
    <w:rsid w:val="004A76A2"/>
    <w:rsid w:val="004A7A52"/>
    <w:rsid w:val="004B051E"/>
    <w:rsid w:val="004B19FE"/>
    <w:rsid w:val="004B2A4D"/>
    <w:rsid w:val="004B2CE2"/>
    <w:rsid w:val="004B2F45"/>
    <w:rsid w:val="004B33C2"/>
    <w:rsid w:val="004B4214"/>
    <w:rsid w:val="004B4E21"/>
    <w:rsid w:val="004B5B09"/>
    <w:rsid w:val="004B6555"/>
    <w:rsid w:val="004B689D"/>
    <w:rsid w:val="004C0E97"/>
    <w:rsid w:val="004C48C8"/>
    <w:rsid w:val="004C598D"/>
    <w:rsid w:val="004C65EC"/>
    <w:rsid w:val="004C6EE1"/>
    <w:rsid w:val="004C71D2"/>
    <w:rsid w:val="004D0323"/>
    <w:rsid w:val="004D169E"/>
    <w:rsid w:val="004D3648"/>
    <w:rsid w:val="004D3897"/>
    <w:rsid w:val="004D4425"/>
    <w:rsid w:val="004D75F6"/>
    <w:rsid w:val="004E071B"/>
    <w:rsid w:val="004E1449"/>
    <w:rsid w:val="004E2752"/>
    <w:rsid w:val="004E2B45"/>
    <w:rsid w:val="004E2BD6"/>
    <w:rsid w:val="004E50CE"/>
    <w:rsid w:val="004E5AB5"/>
    <w:rsid w:val="004F0C08"/>
    <w:rsid w:val="004F6AD3"/>
    <w:rsid w:val="004F7B30"/>
    <w:rsid w:val="00501386"/>
    <w:rsid w:val="00501BD9"/>
    <w:rsid w:val="00501C25"/>
    <w:rsid w:val="005027A6"/>
    <w:rsid w:val="00502DAE"/>
    <w:rsid w:val="00502FFB"/>
    <w:rsid w:val="00503796"/>
    <w:rsid w:val="005038A0"/>
    <w:rsid w:val="00504A82"/>
    <w:rsid w:val="00505E19"/>
    <w:rsid w:val="0050612B"/>
    <w:rsid w:val="00506F10"/>
    <w:rsid w:val="005103C5"/>
    <w:rsid w:val="005127F7"/>
    <w:rsid w:val="00512E55"/>
    <w:rsid w:val="005131D3"/>
    <w:rsid w:val="0051352C"/>
    <w:rsid w:val="005138E5"/>
    <w:rsid w:val="005149C0"/>
    <w:rsid w:val="00514FC2"/>
    <w:rsid w:val="0051504D"/>
    <w:rsid w:val="00515BFA"/>
    <w:rsid w:val="005173CF"/>
    <w:rsid w:val="00517A86"/>
    <w:rsid w:val="00517FE3"/>
    <w:rsid w:val="0052349D"/>
    <w:rsid w:val="00524BE8"/>
    <w:rsid w:val="005254BF"/>
    <w:rsid w:val="005255FB"/>
    <w:rsid w:val="0052560D"/>
    <w:rsid w:val="0052575D"/>
    <w:rsid w:val="0052607E"/>
    <w:rsid w:val="005261CF"/>
    <w:rsid w:val="00526C92"/>
    <w:rsid w:val="0052724C"/>
    <w:rsid w:val="005275FC"/>
    <w:rsid w:val="0052768C"/>
    <w:rsid w:val="00530896"/>
    <w:rsid w:val="005310AF"/>
    <w:rsid w:val="00531CA7"/>
    <w:rsid w:val="00532571"/>
    <w:rsid w:val="005342C3"/>
    <w:rsid w:val="005343F6"/>
    <w:rsid w:val="005362F5"/>
    <w:rsid w:val="00536E7E"/>
    <w:rsid w:val="0053725B"/>
    <w:rsid w:val="00540C57"/>
    <w:rsid w:val="00541122"/>
    <w:rsid w:val="00543AE7"/>
    <w:rsid w:val="005501EC"/>
    <w:rsid w:val="00550DC3"/>
    <w:rsid w:val="005510D6"/>
    <w:rsid w:val="0055310D"/>
    <w:rsid w:val="005531BD"/>
    <w:rsid w:val="00553332"/>
    <w:rsid w:val="00554209"/>
    <w:rsid w:val="005567B2"/>
    <w:rsid w:val="00557870"/>
    <w:rsid w:val="00560277"/>
    <w:rsid w:val="00560938"/>
    <w:rsid w:val="00560AF1"/>
    <w:rsid w:val="00561562"/>
    <w:rsid w:val="00562650"/>
    <w:rsid w:val="00563DE6"/>
    <w:rsid w:val="00564F70"/>
    <w:rsid w:val="0056528D"/>
    <w:rsid w:val="0056628B"/>
    <w:rsid w:val="00566298"/>
    <w:rsid w:val="00567F31"/>
    <w:rsid w:val="005708B7"/>
    <w:rsid w:val="0057091E"/>
    <w:rsid w:val="00570E4B"/>
    <w:rsid w:val="00571C72"/>
    <w:rsid w:val="0057214C"/>
    <w:rsid w:val="005723D6"/>
    <w:rsid w:val="0057381E"/>
    <w:rsid w:val="00573E81"/>
    <w:rsid w:val="00574365"/>
    <w:rsid w:val="00574A6E"/>
    <w:rsid w:val="00577145"/>
    <w:rsid w:val="005773BE"/>
    <w:rsid w:val="00577806"/>
    <w:rsid w:val="00580F38"/>
    <w:rsid w:val="00581F4A"/>
    <w:rsid w:val="00582259"/>
    <w:rsid w:val="00582365"/>
    <w:rsid w:val="00585869"/>
    <w:rsid w:val="00585B6F"/>
    <w:rsid w:val="00585C1B"/>
    <w:rsid w:val="00586A73"/>
    <w:rsid w:val="00587639"/>
    <w:rsid w:val="005920BF"/>
    <w:rsid w:val="00592638"/>
    <w:rsid w:val="00593138"/>
    <w:rsid w:val="005934F1"/>
    <w:rsid w:val="00593A33"/>
    <w:rsid w:val="005947B5"/>
    <w:rsid w:val="0059516F"/>
    <w:rsid w:val="005960BB"/>
    <w:rsid w:val="00596704"/>
    <w:rsid w:val="00597407"/>
    <w:rsid w:val="005A0496"/>
    <w:rsid w:val="005A08E0"/>
    <w:rsid w:val="005A103F"/>
    <w:rsid w:val="005A116D"/>
    <w:rsid w:val="005A4047"/>
    <w:rsid w:val="005A41D5"/>
    <w:rsid w:val="005A4384"/>
    <w:rsid w:val="005A7012"/>
    <w:rsid w:val="005A7A5E"/>
    <w:rsid w:val="005A7D37"/>
    <w:rsid w:val="005B0B46"/>
    <w:rsid w:val="005B1C07"/>
    <w:rsid w:val="005B32D2"/>
    <w:rsid w:val="005B3432"/>
    <w:rsid w:val="005B3BD6"/>
    <w:rsid w:val="005B5167"/>
    <w:rsid w:val="005B5954"/>
    <w:rsid w:val="005B7B79"/>
    <w:rsid w:val="005B7D6C"/>
    <w:rsid w:val="005C1A83"/>
    <w:rsid w:val="005C30FD"/>
    <w:rsid w:val="005C3680"/>
    <w:rsid w:val="005C4AD9"/>
    <w:rsid w:val="005C5A5E"/>
    <w:rsid w:val="005C6D01"/>
    <w:rsid w:val="005C7201"/>
    <w:rsid w:val="005C7215"/>
    <w:rsid w:val="005C73C4"/>
    <w:rsid w:val="005D00EA"/>
    <w:rsid w:val="005D023B"/>
    <w:rsid w:val="005D02C4"/>
    <w:rsid w:val="005D08D7"/>
    <w:rsid w:val="005D1C88"/>
    <w:rsid w:val="005D2304"/>
    <w:rsid w:val="005D3A04"/>
    <w:rsid w:val="005D48FE"/>
    <w:rsid w:val="005D6956"/>
    <w:rsid w:val="005D7471"/>
    <w:rsid w:val="005D749D"/>
    <w:rsid w:val="005E1B28"/>
    <w:rsid w:val="005E221C"/>
    <w:rsid w:val="005E234F"/>
    <w:rsid w:val="005E245C"/>
    <w:rsid w:val="005E2702"/>
    <w:rsid w:val="005E2783"/>
    <w:rsid w:val="005E5874"/>
    <w:rsid w:val="005E66F6"/>
    <w:rsid w:val="005E6D0A"/>
    <w:rsid w:val="005E75D5"/>
    <w:rsid w:val="005F1555"/>
    <w:rsid w:val="005F2978"/>
    <w:rsid w:val="005F40DF"/>
    <w:rsid w:val="005F4721"/>
    <w:rsid w:val="005F4CA6"/>
    <w:rsid w:val="005F4D02"/>
    <w:rsid w:val="005F6484"/>
    <w:rsid w:val="005F6BB9"/>
    <w:rsid w:val="005F6C01"/>
    <w:rsid w:val="005F720A"/>
    <w:rsid w:val="006016F6"/>
    <w:rsid w:val="00602F43"/>
    <w:rsid w:val="00603B08"/>
    <w:rsid w:val="00604FD0"/>
    <w:rsid w:val="00605776"/>
    <w:rsid w:val="006061AB"/>
    <w:rsid w:val="006075C4"/>
    <w:rsid w:val="00607B91"/>
    <w:rsid w:val="00610162"/>
    <w:rsid w:val="00610ABA"/>
    <w:rsid w:val="00611AD6"/>
    <w:rsid w:val="00611E3B"/>
    <w:rsid w:val="00613037"/>
    <w:rsid w:val="006135AB"/>
    <w:rsid w:val="006138E4"/>
    <w:rsid w:val="006144F6"/>
    <w:rsid w:val="006153D0"/>
    <w:rsid w:val="0061559F"/>
    <w:rsid w:val="00615EC7"/>
    <w:rsid w:val="00616407"/>
    <w:rsid w:val="00616C35"/>
    <w:rsid w:val="006176E4"/>
    <w:rsid w:val="00620E5A"/>
    <w:rsid w:val="00622312"/>
    <w:rsid w:val="006250E9"/>
    <w:rsid w:val="00625720"/>
    <w:rsid w:val="006270BB"/>
    <w:rsid w:val="0063009C"/>
    <w:rsid w:val="00630A95"/>
    <w:rsid w:val="00632805"/>
    <w:rsid w:val="006328C2"/>
    <w:rsid w:val="006336E7"/>
    <w:rsid w:val="00633B2F"/>
    <w:rsid w:val="00635E5D"/>
    <w:rsid w:val="006371F8"/>
    <w:rsid w:val="006376F2"/>
    <w:rsid w:val="00640C31"/>
    <w:rsid w:val="006411FA"/>
    <w:rsid w:val="00641C9D"/>
    <w:rsid w:val="00642836"/>
    <w:rsid w:val="00643226"/>
    <w:rsid w:val="006459EF"/>
    <w:rsid w:val="006465F3"/>
    <w:rsid w:val="0065256F"/>
    <w:rsid w:val="006534BF"/>
    <w:rsid w:val="006537D7"/>
    <w:rsid w:val="0065444A"/>
    <w:rsid w:val="0065446D"/>
    <w:rsid w:val="00654F68"/>
    <w:rsid w:val="00655CF9"/>
    <w:rsid w:val="00655D45"/>
    <w:rsid w:val="0065714C"/>
    <w:rsid w:val="00660A74"/>
    <w:rsid w:val="00662E5F"/>
    <w:rsid w:val="00664434"/>
    <w:rsid w:val="00665371"/>
    <w:rsid w:val="0066561F"/>
    <w:rsid w:val="00666A58"/>
    <w:rsid w:val="0066724E"/>
    <w:rsid w:val="00670650"/>
    <w:rsid w:val="006712C0"/>
    <w:rsid w:val="00672EC7"/>
    <w:rsid w:val="006744AC"/>
    <w:rsid w:val="00674C7D"/>
    <w:rsid w:val="00675FF0"/>
    <w:rsid w:val="00676E2E"/>
    <w:rsid w:val="00677BDA"/>
    <w:rsid w:val="00677FBD"/>
    <w:rsid w:val="00680118"/>
    <w:rsid w:val="00680B40"/>
    <w:rsid w:val="00681EC9"/>
    <w:rsid w:val="006822FA"/>
    <w:rsid w:val="0068288C"/>
    <w:rsid w:val="00683F36"/>
    <w:rsid w:val="00685589"/>
    <w:rsid w:val="0068682C"/>
    <w:rsid w:val="006869B3"/>
    <w:rsid w:val="00692785"/>
    <w:rsid w:val="00692B71"/>
    <w:rsid w:val="006938AA"/>
    <w:rsid w:val="00693B2C"/>
    <w:rsid w:val="00694481"/>
    <w:rsid w:val="0069474B"/>
    <w:rsid w:val="0069475D"/>
    <w:rsid w:val="0069549A"/>
    <w:rsid w:val="00695ABF"/>
    <w:rsid w:val="006960D0"/>
    <w:rsid w:val="00697966"/>
    <w:rsid w:val="006A0CEF"/>
    <w:rsid w:val="006A19EF"/>
    <w:rsid w:val="006A1CDE"/>
    <w:rsid w:val="006A1E57"/>
    <w:rsid w:val="006A3A2B"/>
    <w:rsid w:val="006A4619"/>
    <w:rsid w:val="006A486F"/>
    <w:rsid w:val="006A699D"/>
    <w:rsid w:val="006A6BF1"/>
    <w:rsid w:val="006B2A26"/>
    <w:rsid w:val="006B3032"/>
    <w:rsid w:val="006B4B4A"/>
    <w:rsid w:val="006B57BA"/>
    <w:rsid w:val="006B75C6"/>
    <w:rsid w:val="006C03C0"/>
    <w:rsid w:val="006C146D"/>
    <w:rsid w:val="006C354C"/>
    <w:rsid w:val="006C3B76"/>
    <w:rsid w:val="006C4572"/>
    <w:rsid w:val="006C5AEF"/>
    <w:rsid w:val="006C770F"/>
    <w:rsid w:val="006C7B03"/>
    <w:rsid w:val="006D04D8"/>
    <w:rsid w:val="006D0EC2"/>
    <w:rsid w:val="006D1A56"/>
    <w:rsid w:val="006D4C72"/>
    <w:rsid w:val="006D4E4C"/>
    <w:rsid w:val="006D5585"/>
    <w:rsid w:val="006D5F76"/>
    <w:rsid w:val="006D6D96"/>
    <w:rsid w:val="006D7211"/>
    <w:rsid w:val="006D75C8"/>
    <w:rsid w:val="006E3BD1"/>
    <w:rsid w:val="006E42EA"/>
    <w:rsid w:val="006E43BE"/>
    <w:rsid w:val="006E5A41"/>
    <w:rsid w:val="006E7B67"/>
    <w:rsid w:val="006F0071"/>
    <w:rsid w:val="006F0D46"/>
    <w:rsid w:val="006F1948"/>
    <w:rsid w:val="006F23DD"/>
    <w:rsid w:val="006F2470"/>
    <w:rsid w:val="006F30BE"/>
    <w:rsid w:val="006F3AA2"/>
    <w:rsid w:val="006F5158"/>
    <w:rsid w:val="006F6004"/>
    <w:rsid w:val="006F77AF"/>
    <w:rsid w:val="006F7C70"/>
    <w:rsid w:val="006F7C8A"/>
    <w:rsid w:val="00700950"/>
    <w:rsid w:val="00701136"/>
    <w:rsid w:val="007019FE"/>
    <w:rsid w:val="0070319A"/>
    <w:rsid w:val="00703CB4"/>
    <w:rsid w:val="00707C18"/>
    <w:rsid w:val="007103A9"/>
    <w:rsid w:val="0071049F"/>
    <w:rsid w:val="007130B6"/>
    <w:rsid w:val="00713C89"/>
    <w:rsid w:val="00714458"/>
    <w:rsid w:val="00716AD2"/>
    <w:rsid w:val="007203CA"/>
    <w:rsid w:val="00722574"/>
    <w:rsid w:val="007226F5"/>
    <w:rsid w:val="00723B2C"/>
    <w:rsid w:val="007249CF"/>
    <w:rsid w:val="00724ED0"/>
    <w:rsid w:val="00724F92"/>
    <w:rsid w:val="007253D6"/>
    <w:rsid w:val="0072578A"/>
    <w:rsid w:val="0072597A"/>
    <w:rsid w:val="0072652E"/>
    <w:rsid w:val="00726D21"/>
    <w:rsid w:val="00730C1A"/>
    <w:rsid w:val="00731368"/>
    <w:rsid w:val="00731DBE"/>
    <w:rsid w:val="0073513F"/>
    <w:rsid w:val="00736609"/>
    <w:rsid w:val="007373AF"/>
    <w:rsid w:val="0073792C"/>
    <w:rsid w:val="007405EB"/>
    <w:rsid w:val="007413D1"/>
    <w:rsid w:val="00741CF7"/>
    <w:rsid w:val="00741F0B"/>
    <w:rsid w:val="0074257A"/>
    <w:rsid w:val="0074485F"/>
    <w:rsid w:val="0074597C"/>
    <w:rsid w:val="00747434"/>
    <w:rsid w:val="0074788B"/>
    <w:rsid w:val="0075137C"/>
    <w:rsid w:val="00753EE5"/>
    <w:rsid w:val="00754099"/>
    <w:rsid w:val="0075418A"/>
    <w:rsid w:val="00755C91"/>
    <w:rsid w:val="0076260D"/>
    <w:rsid w:val="00763B77"/>
    <w:rsid w:val="00764151"/>
    <w:rsid w:val="0076512C"/>
    <w:rsid w:val="0076702C"/>
    <w:rsid w:val="007676E6"/>
    <w:rsid w:val="00767F6C"/>
    <w:rsid w:val="00770A2F"/>
    <w:rsid w:val="00771D94"/>
    <w:rsid w:val="00772829"/>
    <w:rsid w:val="00773A2D"/>
    <w:rsid w:val="00773E80"/>
    <w:rsid w:val="007752A0"/>
    <w:rsid w:val="00777382"/>
    <w:rsid w:val="007773C0"/>
    <w:rsid w:val="00777848"/>
    <w:rsid w:val="00777893"/>
    <w:rsid w:val="00777DD6"/>
    <w:rsid w:val="00777F4A"/>
    <w:rsid w:val="007805FE"/>
    <w:rsid w:val="00782B83"/>
    <w:rsid w:val="00784341"/>
    <w:rsid w:val="007851D5"/>
    <w:rsid w:val="007852E9"/>
    <w:rsid w:val="00785531"/>
    <w:rsid w:val="00790B15"/>
    <w:rsid w:val="00790F49"/>
    <w:rsid w:val="007931CB"/>
    <w:rsid w:val="007942AB"/>
    <w:rsid w:val="007951D4"/>
    <w:rsid w:val="00795238"/>
    <w:rsid w:val="00797470"/>
    <w:rsid w:val="00797C46"/>
    <w:rsid w:val="00797F83"/>
    <w:rsid w:val="007A19F6"/>
    <w:rsid w:val="007A2B65"/>
    <w:rsid w:val="007A40A2"/>
    <w:rsid w:val="007A4C26"/>
    <w:rsid w:val="007A5617"/>
    <w:rsid w:val="007A6FD2"/>
    <w:rsid w:val="007B0245"/>
    <w:rsid w:val="007B083F"/>
    <w:rsid w:val="007B0880"/>
    <w:rsid w:val="007B0D01"/>
    <w:rsid w:val="007B15F6"/>
    <w:rsid w:val="007B1BD8"/>
    <w:rsid w:val="007B2085"/>
    <w:rsid w:val="007B2FDC"/>
    <w:rsid w:val="007B38A0"/>
    <w:rsid w:val="007B38B7"/>
    <w:rsid w:val="007B4F7B"/>
    <w:rsid w:val="007B5717"/>
    <w:rsid w:val="007B583D"/>
    <w:rsid w:val="007B6684"/>
    <w:rsid w:val="007B6B21"/>
    <w:rsid w:val="007B7024"/>
    <w:rsid w:val="007C0390"/>
    <w:rsid w:val="007C0521"/>
    <w:rsid w:val="007C0912"/>
    <w:rsid w:val="007C14A2"/>
    <w:rsid w:val="007C2D37"/>
    <w:rsid w:val="007C300E"/>
    <w:rsid w:val="007C328D"/>
    <w:rsid w:val="007C336F"/>
    <w:rsid w:val="007C41B1"/>
    <w:rsid w:val="007C4F21"/>
    <w:rsid w:val="007C6A39"/>
    <w:rsid w:val="007D2E6D"/>
    <w:rsid w:val="007D30B7"/>
    <w:rsid w:val="007D6405"/>
    <w:rsid w:val="007D7567"/>
    <w:rsid w:val="007D7725"/>
    <w:rsid w:val="007E15AD"/>
    <w:rsid w:val="007E25ED"/>
    <w:rsid w:val="007E2BC0"/>
    <w:rsid w:val="007E2F4D"/>
    <w:rsid w:val="007E4529"/>
    <w:rsid w:val="007E5379"/>
    <w:rsid w:val="007E69AD"/>
    <w:rsid w:val="007E6DA5"/>
    <w:rsid w:val="007F214F"/>
    <w:rsid w:val="007F5585"/>
    <w:rsid w:val="007F5C1F"/>
    <w:rsid w:val="007F67E9"/>
    <w:rsid w:val="007F70EA"/>
    <w:rsid w:val="007F7259"/>
    <w:rsid w:val="007F7C7B"/>
    <w:rsid w:val="00802DA9"/>
    <w:rsid w:val="00803E09"/>
    <w:rsid w:val="008040A2"/>
    <w:rsid w:val="00804632"/>
    <w:rsid w:val="00804694"/>
    <w:rsid w:val="008054D9"/>
    <w:rsid w:val="008065A0"/>
    <w:rsid w:val="00806688"/>
    <w:rsid w:val="00807A3E"/>
    <w:rsid w:val="00810338"/>
    <w:rsid w:val="00812282"/>
    <w:rsid w:val="00812D9E"/>
    <w:rsid w:val="00813037"/>
    <w:rsid w:val="008148E4"/>
    <w:rsid w:val="0081529A"/>
    <w:rsid w:val="008157F1"/>
    <w:rsid w:val="008163FB"/>
    <w:rsid w:val="00816AAF"/>
    <w:rsid w:val="00816EC2"/>
    <w:rsid w:val="00817F96"/>
    <w:rsid w:val="008203D3"/>
    <w:rsid w:val="00822291"/>
    <w:rsid w:val="008235B1"/>
    <w:rsid w:val="008236E1"/>
    <w:rsid w:val="00824458"/>
    <w:rsid w:val="0082475A"/>
    <w:rsid w:val="0082494A"/>
    <w:rsid w:val="008249F7"/>
    <w:rsid w:val="00824B74"/>
    <w:rsid w:val="00824E8F"/>
    <w:rsid w:val="00827027"/>
    <w:rsid w:val="0082702A"/>
    <w:rsid w:val="0083205D"/>
    <w:rsid w:val="00833AB5"/>
    <w:rsid w:val="00833C1E"/>
    <w:rsid w:val="008351E7"/>
    <w:rsid w:val="00835EC9"/>
    <w:rsid w:val="00840DA8"/>
    <w:rsid w:val="00841388"/>
    <w:rsid w:val="0084142F"/>
    <w:rsid w:val="00841EFB"/>
    <w:rsid w:val="00841F44"/>
    <w:rsid w:val="00842C82"/>
    <w:rsid w:val="008436D7"/>
    <w:rsid w:val="008440FE"/>
    <w:rsid w:val="00846119"/>
    <w:rsid w:val="008474E3"/>
    <w:rsid w:val="00850276"/>
    <w:rsid w:val="00850816"/>
    <w:rsid w:val="00851EC5"/>
    <w:rsid w:val="008527ED"/>
    <w:rsid w:val="008537F7"/>
    <w:rsid w:val="00853B90"/>
    <w:rsid w:val="0085424F"/>
    <w:rsid w:val="008546BE"/>
    <w:rsid w:val="00855496"/>
    <w:rsid w:val="00855840"/>
    <w:rsid w:val="00856074"/>
    <w:rsid w:val="00857949"/>
    <w:rsid w:val="008606EC"/>
    <w:rsid w:val="008638A2"/>
    <w:rsid w:val="00865268"/>
    <w:rsid w:val="0086678C"/>
    <w:rsid w:val="00870790"/>
    <w:rsid w:val="00870CE4"/>
    <w:rsid w:val="008718F3"/>
    <w:rsid w:val="008719C2"/>
    <w:rsid w:val="00872148"/>
    <w:rsid w:val="0087224D"/>
    <w:rsid w:val="0087277A"/>
    <w:rsid w:val="00872953"/>
    <w:rsid w:val="00872A47"/>
    <w:rsid w:val="00872E5A"/>
    <w:rsid w:val="008730AA"/>
    <w:rsid w:val="008736E2"/>
    <w:rsid w:val="00873A01"/>
    <w:rsid w:val="00873EED"/>
    <w:rsid w:val="00874565"/>
    <w:rsid w:val="00875AAA"/>
    <w:rsid w:val="00876C84"/>
    <w:rsid w:val="00877247"/>
    <w:rsid w:val="00877C8D"/>
    <w:rsid w:val="008801AE"/>
    <w:rsid w:val="00880AA3"/>
    <w:rsid w:val="00880BB7"/>
    <w:rsid w:val="00881EDA"/>
    <w:rsid w:val="00883923"/>
    <w:rsid w:val="0088421C"/>
    <w:rsid w:val="0088445B"/>
    <w:rsid w:val="008917E0"/>
    <w:rsid w:val="00891AF6"/>
    <w:rsid w:val="00891BC3"/>
    <w:rsid w:val="008923C4"/>
    <w:rsid w:val="008937C8"/>
    <w:rsid w:val="00893EB7"/>
    <w:rsid w:val="008960D1"/>
    <w:rsid w:val="008967C4"/>
    <w:rsid w:val="00897CD8"/>
    <w:rsid w:val="008A09AA"/>
    <w:rsid w:val="008A0D2A"/>
    <w:rsid w:val="008A1168"/>
    <w:rsid w:val="008A1311"/>
    <w:rsid w:val="008A1693"/>
    <w:rsid w:val="008A254F"/>
    <w:rsid w:val="008A2630"/>
    <w:rsid w:val="008A263B"/>
    <w:rsid w:val="008A3988"/>
    <w:rsid w:val="008A5833"/>
    <w:rsid w:val="008A61FD"/>
    <w:rsid w:val="008A7895"/>
    <w:rsid w:val="008A7D86"/>
    <w:rsid w:val="008B0DE1"/>
    <w:rsid w:val="008B28D1"/>
    <w:rsid w:val="008B2BD4"/>
    <w:rsid w:val="008B3425"/>
    <w:rsid w:val="008B3A88"/>
    <w:rsid w:val="008B4106"/>
    <w:rsid w:val="008B4600"/>
    <w:rsid w:val="008B4BEE"/>
    <w:rsid w:val="008B4BFC"/>
    <w:rsid w:val="008B4E82"/>
    <w:rsid w:val="008B51B4"/>
    <w:rsid w:val="008B5882"/>
    <w:rsid w:val="008B5B67"/>
    <w:rsid w:val="008B5D7A"/>
    <w:rsid w:val="008B66E3"/>
    <w:rsid w:val="008B6DCF"/>
    <w:rsid w:val="008B7848"/>
    <w:rsid w:val="008C15D4"/>
    <w:rsid w:val="008C1E05"/>
    <w:rsid w:val="008C21D1"/>
    <w:rsid w:val="008C34BB"/>
    <w:rsid w:val="008C45E2"/>
    <w:rsid w:val="008D1BB6"/>
    <w:rsid w:val="008D21A0"/>
    <w:rsid w:val="008D2209"/>
    <w:rsid w:val="008D33FD"/>
    <w:rsid w:val="008D3726"/>
    <w:rsid w:val="008D3ABB"/>
    <w:rsid w:val="008D4CB0"/>
    <w:rsid w:val="008D54E4"/>
    <w:rsid w:val="008D5E27"/>
    <w:rsid w:val="008D6397"/>
    <w:rsid w:val="008D73C9"/>
    <w:rsid w:val="008E02B2"/>
    <w:rsid w:val="008E16BF"/>
    <w:rsid w:val="008E2685"/>
    <w:rsid w:val="008E3049"/>
    <w:rsid w:val="008E31C4"/>
    <w:rsid w:val="008E35A3"/>
    <w:rsid w:val="008E7274"/>
    <w:rsid w:val="008F022F"/>
    <w:rsid w:val="008F0562"/>
    <w:rsid w:val="008F07E3"/>
    <w:rsid w:val="008F0C49"/>
    <w:rsid w:val="008F0FC1"/>
    <w:rsid w:val="008F120E"/>
    <w:rsid w:val="008F1570"/>
    <w:rsid w:val="008F260B"/>
    <w:rsid w:val="008F4688"/>
    <w:rsid w:val="008F4EA7"/>
    <w:rsid w:val="008F5C81"/>
    <w:rsid w:val="008F68F4"/>
    <w:rsid w:val="008F6A7B"/>
    <w:rsid w:val="008F7220"/>
    <w:rsid w:val="008F7A34"/>
    <w:rsid w:val="00901E30"/>
    <w:rsid w:val="00901EE0"/>
    <w:rsid w:val="00903A61"/>
    <w:rsid w:val="00906821"/>
    <w:rsid w:val="00906E65"/>
    <w:rsid w:val="0090796F"/>
    <w:rsid w:val="00911431"/>
    <w:rsid w:val="00912C0A"/>
    <w:rsid w:val="0091431D"/>
    <w:rsid w:val="009144D5"/>
    <w:rsid w:val="00915F98"/>
    <w:rsid w:val="00915FA3"/>
    <w:rsid w:val="009167C5"/>
    <w:rsid w:val="009217F8"/>
    <w:rsid w:val="0092470E"/>
    <w:rsid w:val="00924A27"/>
    <w:rsid w:val="00925038"/>
    <w:rsid w:val="00925187"/>
    <w:rsid w:val="00925EAE"/>
    <w:rsid w:val="0092600B"/>
    <w:rsid w:val="0092709C"/>
    <w:rsid w:val="0092717F"/>
    <w:rsid w:val="00927744"/>
    <w:rsid w:val="00927753"/>
    <w:rsid w:val="00927B05"/>
    <w:rsid w:val="00930F4E"/>
    <w:rsid w:val="0093108B"/>
    <w:rsid w:val="00935E27"/>
    <w:rsid w:val="00936062"/>
    <w:rsid w:val="00937CBE"/>
    <w:rsid w:val="00940E74"/>
    <w:rsid w:val="00942AC0"/>
    <w:rsid w:val="00943C64"/>
    <w:rsid w:val="00944087"/>
    <w:rsid w:val="00944E74"/>
    <w:rsid w:val="0094504B"/>
    <w:rsid w:val="0095008A"/>
    <w:rsid w:val="0095012E"/>
    <w:rsid w:val="00950FCC"/>
    <w:rsid w:val="00951934"/>
    <w:rsid w:val="0095207B"/>
    <w:rsid w:val="00952C9D"/>
    <w:rsid w:val="00953EB1"/>
    <w:rsid w:val="00954C8C"/>
    <w:rsid w:val="00956ACE"/>
    <w:rsid w:val="00956C95"/>
    <w:rsid w:val="009572A0"/>
    <w:rsid w:val="00957D24"/>
    <w:rsid w:val="00957D49"/>
    <w:rsid w:val="00960955"/>
    <w:rsid w:val="00960DCF"/>
    <w:rsid w:val="00961B53"/>
    <w:rsid w:val="00963264"/>
    <w:rsid w:val="0096389D"/>
    <w:rsid w:val="00964E09"/>
    <w:rsid w:val="00966D16"/>
    <w:rsid w:val="009676C0"/>
    <w:rsid w:val="0097165F"/>
    <w:rsid w:val="009718EA"/>
    <w:rsid w:val="00971E04"/>
    <w:rsid w:val="00976E05"/>
    <w:rsid w:val="00977BE4"/>
    <w:rsid w:val="009803A9"/>
    <w:rsid w:val="009803CB"/>
    <w:rsid w:val="009803D4"/>
    <w:rsid w:val="0098040B"/>
    <w:rsid w:val="009807A2"/>
    <w:rsid w:val="0098199C"/>
    <w:rsid w:val="00985CD5"/>
    <w:rsid w:val="0098706C"/>
    <w:rsid w:val="009873F3"/>
    <w:rsid w:val="00990FD9"/>
    <w:rsid w:val="009913BE"/>
    <w:rsid w:val="009926C4"/>
    <w:rsid w:val="00992FC1"/>
    <w:rsid w:val="00993261"/>
    <w:rsid w:val="009949D6"/>
    <w:rsid w:val="00994E04"/>
    <w:rsid w:val="00995E98"/>
    <w:rsid w:val="00996B0B"/>
    <w:rsid w:val="00996F15"/>
    <w:rsid w:val="00997BA8"/>
    <w:rsid w:val="00997FB8"/>
    <w:rsid w:val="009A01E4"/>
    <w:rsid w:val="009A0282"/>
    <w:rsid w:val="009A06F4"/>
    <w:rsid w:val="009A3778"/>
    <w:rsid w:val="009A3E2E"/>
    <w:rsid w:val="009A4D0B"/>
    <w:rsid w:val="009A510D"/>
    <w:rsid w:val="009A7B07"/>
    <w:rsid w:val="009A7F34"/>
    <w:rsid w:val="009B13C5"/>
    <w:rsid w:val="009B1B43"/>
    <w:rsid w:val="009B2245"/>
    <w:rsid w:val="009B258E"/>
    <w:rsid w:val="009B35BC"/>
    <w:rsid w:val="009B4C48"/>
    <w:rsid w:val="009B5208"/>
    <w:rsid w:val="009B5717"/>
    <w:rsid w:val="009B5997"/>
    <w:rsid w:val="009B6B23"/>
    <w:rsid w:val="009B7ABD"/>
    <w:rsid w:val="009C1643"/>
    <w:rsid w:val="009C189C"/>
    <w:rsid w:val="009C1D27"/>
    <w:rsid w:val="009C3BD9"/>
    <w:rsid w:val="009C4A5D"/>
    <w:rsid w:val="009C52A1"/>
    <w:rsid w:val="009C5B82"/>
    <w:rsid w:val="009C5C23"/>
    <w:rsid w:val="009C756E"/>
    <w:rsid w:val="009C75AA"/>
    <w:rsid w:val="009D21BE"/>
    <w:rsid w:val="009D3C3D"/>
    <w:rsid w:val="009D4302"/>
    <w:rsid w:val="009D4B3E"/>
    <w:rsid w:val="009D5288"/>
    <w:rsid w:val="009D5886"/>
    <w:rsid w:val="009D7BE7"/>
    <w:rsid w:val="009E1798"/>
    <w:rsid w:val="009E2AD3"/>
    <w:rsid w:val="009E439E"/>
    <w:rsid w:val="009E47E5"/>
    <w:rsid w:val="009E54F3"/>
    <w:rsid w:val="009E577F"/>
    <w:rsid w:val="009E6940"/>
    <w:rsid w:val="009E75A0"/>
    <w:rsid w:val="009F116B"/>
    <w:rsid w:val="009F146F"/>
    <w:rsid w:val="009F1E8D"/>
    <w:rsid w:val="009F2051"/>
    <w:rsid w:val="009F3686"/>
    <w:rsid w:val="009F3C75"/>
    <w:rsid w:val="009F4B44"/>
    <w:rsid w:val="009F66CE"/>
    <w:rsid w:val="00A0037E"/>
    <w:rsid w:val="00A01303"/>
    <w:rsid w:val="00A02C4F"/>
    <w:rsid w:val="00A03A09"/>
    <w:rsid w:val="00A04A09"/>
    <w:rsid w:val="00A053E3"/>
    <w:rsid w:val="00A05821"/>
    <w:rsid w:val="00A05B31"/>
    <w:rsid w:val="00A05D1D"/>
    <w:rsid w:val="00A05EA2"/>
    <w:rsid w:val="00A06C5D"/>
    <w:rsid w:val="00A074D2"/>
    <w:rsid w:val="00A076CC"/>
    <w:rsid w:val="00A1165C"/>
    <w:rsid w:val="00A11D0F"/>
    <w:rsid w:val="00A124A9"/>
    <w:rsid w:val="00A125D6"/>
    <w:rsid w:val="00A1295F"/>
    <w:rsid w:val="00A13B61"/>
    <w:rsid w:val="00A14E53"/>
    <w:rsid w:val="00A15580"/>
    <w:rsid w:val="00A16449"/>
    <w:rsid w:val="00A16517"/>
    <w:rsid w:val="00A16AE2"/>
    <w:rsid w:val="00A1762B"/>
    <w:rsid w:val="00A1775F"/>
    <w:rsid w:val="00A213E2"/>
    <w:rsid w:val="00A22EFC"/>
    <w:rsid w:val="00A241B1"/>
    <w:rsid w:val="00A24751"/>
    <w:rsid w:val="00A26389"/>
    <w:rsid w:val="00A26FC5"/>
    <w:rsid w:val="00A27217"/>
    <w:rsid w:val="00A303B8"/>
    <w:rsid w:val="00A303C7"/>
    <w:rsid w:val="00A330CF"/>
    <w:rsid w:val="00A34735"/>
    <w:rsid w:val="00A35B30"/>
    <w:rsid w:val="00A361C3"/>
    <w:rsid w:val="00A36901"/>
    <w:rsid w:val="00A40721"/>
    <w:rsid w:val="00A411FA"/>
    <w:rsid w:val="00A44EC1"/>
    <w:rsid w:val="00A4510E"/>
    <w:rsid w:val="00A454B3"/>
    <w:rsid w:val="00A45B3F"/>
    <w:rsid w:val="00A45E52"/>
    <w:rsid w:val="00A46652"/>
    <w:rsid w:val="00A46D15"/>
    <w:rsid w:val="00A46FDD"/>
    <w:rsid w:val="00A4713D"/>
    <w:rsid w:val="00A5284F"/>
    <w:rsid w:val="00A52EC7"/>
    <w:rsid w:val="00A5323B"/>
    <w:rsid w:val="00A54FB4"/>
    <w:rsid w:val="00A55A6B"/>
    <w:rsid w:val="00A56D1F"/>
    <w:rsid w:val="00A56DE0"/>
    <w:rsid w:val="00A60073"/>
    <w:rsid w:val="00A62B49"/>
    <w:rsid w:val="00A63C07"/>
    <w:rsid w:val="00A63C18"/>
    <w:rsid w:val="00A662DC"/>
    <w:rsid w:val="00A67071"/>
    <w:rsid w:val="00A6709F"/>
    <w:rsid w:val="00A6741B"/>
    <w:rsid w:val="00A71305"/>
    <w:rsid w:val="00A74226"/>
    <w:rsid w:val="00A749EB"/>
    <w:rsid w:val="00A757B0"/>
    <w:rsid w:val="00A77247"/>
    <w:rsid w:val="00A776A4"/>
    <w:rsid w:val="00A8049D"/>
    <w:rsid w:val="00A80C0F"/>
    <w:rsid w:val="00A822C2"/>
    <w:rsid w:val="00A8274D"/>
    <w:rsid w:val="00A82990"/>
    <w:rsid w:val="00A83B4F"/>
    <w:rsid w:val="00A84958"/>
    <w:rsid w:val="00A8658D"/>
    <w:rsid w:val="00A90401"/>
    <w:rsid w:val="00A908A8"/>
    <w:rsid w:val="00A91A23"/>
    <w:rsid w:val="00A91E30"/>
    <w:rsid w:val="00A921E3"/>
    <w:rsid w:val="00A94D20"/>
    <w:rsid w:val="00A9752B"/>
    <w:rsid w:val="00AA2273"/>
    <w:rsid w:val="00AA2461"/>
    <w:rsid w:val="00AA255A"/>
    <w:rsid w:val="00AA2865"/>
    <w:rsid w:val="00AA3A9B"/>
    <w:rsid w:val="00AA3BF1"/>
    <w:rsid w:val="00AA420D"/>
    <w:rsid w:val="00AA5410"/>
    <w:rsid w:val="00AB0C35"/>
    <w:rsid w:val="00AB127F"/>
    <w:rsid w:val="00AB18DC"/>
    <w:rsid w:val="00AB21C6"/>
    <w:rsid w:val="00AB2841"/>
    <w:rsid w:val="00AB2BA1"/>
    <w:rsid w:val="00AB2E3B"/>
    <w:rsid w:val="00AB4047"/>
    <w:rsid w:val="00AB5F3B"/>
    <w:rsid w:val="00AB77E8"/>
    <w:rsid w:val="00AB7DEF"/>
    <w:rsid w:val="00AC0E9D"/>
    <w:rsid w:val="00AC1A15"/>
    <w:rsid w:val="00AC32CC"/>
    <w:rsid w:val="00AC64E8"/>
    <w:rsid w:val="00AC6F7D"/>
    <w:rsid w:val="00AC720A"/>
    <w:rsid w:val="00AD1100"/>
    <w:rsid w:val="00AD146A"/>
    <w:rsid w:val="00AD45C5"/>
    <w:rsid w:val="00AD60EA"/>
    <w:rsid w:val="00AD67D4"/>
    <w:rsid w:val="00AD70F9"/>
    <w:rsid w:val="00AE17F1"/>
    <w:rsid w:val="00AE279F"/>
    <w:rsid w:val="00AE2B8D"/>
    <w:rsid w:val="00AE3938"/>
    <w:rsid w:val="00AE4090"/>
    <w:rsid w:val="00AE4331"/>
    <w:rsid w:val="00AE614D"/>
    <w:rsid w:val="00AE6680"/>
    <w:rsid w:val="00AE7849"/>
    <w:rsid w:val="00AE7977"/>
    <w:rsid w:val="00AE7CAF"/>
    <w:rsid w:val="00AF1F10"/>
    <w:rsid w:val="00AF2B09"/>
    <w:rsid w:val="00AF3C5F"/>
    <w:rsid w:val="00AF3D39"/>
    <w:rsid w:val="00AF497B"/>
    <w:rsid w:val="00AF5AE5"/>
    <w:rsid w:val="00AF62D3"/>
    <w:rsid w:val="00AF6A4C"/>
    <w:rsid w:val="00AF7D78"/>
    <w:rsid w:val="00B01F49"/>
    <w:rsid w:val="00B02183"/>
    <w:rsid w:val="00B04161"/>
    <w:rsid w:val="00B047C2"/>
    <w:rsid w:val="00B04CB1"/>
    <w:rsid w:val="00B05635"/>
    <w:rsid w:val="00B0586A"/>
    <w:rsid w:val="00B06B2E"/>
    <w:rsid w:val="00B06D99"/>
    <w:rsid w:val="00B07620"/>
    <w:rsid w:val="00B105D4"/>
    <w:rsid w:val="00B1163E"/>
    <w:rsid w:val="00B11D85"/>
    <w:rsid w:val="00B1314F"/>
    <w:rsid w:val="00B151CF"/>
    <w:rsid w:val="00B17D0A"/>
    <w:rsid w:val="00B2029A"/>
    <w:rsid w:val="00B20445"/>
    <w:rsid w:val="00B2271A"/>
    <w:rsid w:val="00B24366"/>
    <w:rsid w:val="00B247AD"/>
    <w:rsid w:val="00B25D05"/>
    <w:rsid w:val="00B26622"/>
    <w:rsid w:val="00B26669"/>
    <w:rsid w:val="00B26798"/>
    <w:rsid w:val="00B276B4"/>
    <w:rsid w:val="00B27DC3"/>
    <w:rsid w:val="00B303F6"/>
    <w:rsid w:val="00B307B7"/>
    <w:rsid w:val="00B3328B"/>
    <w:rsid w:val="00B35289"/>
    <w:rsid w:val="00B36028"/>
    <w:rsid w:val="00B37228"/>
    <w:rsid w:val="00B40064"/>
    <w:rsid w:val="00B42976"/>
    <w:rsid w:val="00B44349"/>
    <w:rsid w:val="00B44B53"/>
    <w:rsid w:val="00B44BCC"/>
    <w:rsid w:val="00B452F9"/>
    <w:rsid w:val="00B4590F"/>
    <w:rsid w:val="00B45ECC"/>
    <w:rsid w:val="00B46697"/>
    <w:rsid w:val="00B47234"/>
    <w:rsid w:val="00B50A44"/>
    <w:rsid w:val="00B5158C"/>
    <w:rsid w:val="00B55524"/>
    <w:rsid w:val="00B575BF"/>
    <w:rsid w:val="00B6030A"/>
    <w:rsid w:val="00B612EA"/>
    <w:rsid w:val="00B61C66"/>
    <w:rsid w:val="00B62604"/>
    <w:rsid w:val="00B62DF2"/>
    <w:rsid w:val="00B64344"/>
    <w:rsid w:val="00B65254"/>
    <w:rsid w:val="00B65AD4"/>
    <w:rsid w:val="00B66A87"/>
    <w:rsid w:val="00B6799E"/>
    <w:rsid w:val="00B7019F"/>
    <w:rsid w:val="00B71225"/>
    <w:rsid w:val="00B712D0"/>
    <w:rsid w:val="00B73795"/>
    <w:rsid w:val="00B7388B"/>
    <w:rsid w:val="00B739F1"/>
    <w:rsid w:val="00B755F4"/>
    <w:rsid w:val="00B757E5"/>
    <w:rsid w:val="00B80C18"/>
    <w:rsid w:val="00B81F38"/>
    <w:rsid w:val="00B821BC"/>
    <w:rsid w:val="00B83B62"/>
    <w:rsid w:val="00B8535F"/>
    <w:rsid w:val="00B85ABE"/>
    <w:rsid w:val="00B85C37"/>
    <w:rsid w:val="00B86121"/>
    <w:rsid w:val="00B878CD"/>
    <w:rsid w:val="00B91CB1"/>
    <w:rsid w:val="00B92032"/>
    <w:rsid w:val="00B92362"/>
    <w:rsid w:val="00B9249B"/>
    <w:rsid w:val="00B935C5"/>
    <w:rsid w:val="00B9536C"/>
    <w:rsid w:val="00B95B54"/>
    <w:rsid w:val="00B9640D"/>
    <w:rsid w:val="00BA1FFB"/>
    <w:rsid w:val="00BA25B8"/>
    <w:rsid w:val="00BA2B3F"/>
    <w:rsid w:val="00BA4E45"/>
    <w:rsid w:val="00BA4FB2"/>
    <w:rsid w:val="00BA59BD"/>
    <w:rsid w:val="00BA59FB"/>
    <w:rsid w:val="00BB14A3"/>
    <w:rsid w:val="00BB15B1"/>
    <w:rsid w:val="00BB2471"/>
    <w:rsid w:val="00BB3166"/>
    <w:rsid w:val="00BB3291"/>
    <w:rsid w:val="00BB45D3"/>
    <w:rsid w:val="00BB56D2"/>
    <w:rsid w:val="00BB66DE"/>
    <w:rsid w:val="00BB73D3"/>
    <w:rsid w:val="00BB773C"/>
    <w:rsid w:val="00BC15DE"/>
    <w:rsid w:val="00BC17C8"/>
    <w:rsid w:val="00BC1A4B"/>
    <w:rsid w:val="00BC2241"/>
    <w:rsid w:val="00BC3458"/>
    <w:rsid w:val="00BC369C"/>
    <w:rsid w:val="00BC4972"/>
    <w:rsid w:val="00BC6897"/>
    <w:rsid w:val="00BC6BF8"/>
    <w:rsid w:val="00BC6E19"/>
    <w:rsid w:val="00BC7B76"/>
    <w:rsid w:val="00BD141B"/>
    <w:rsid w:val="00BD1B8D"/>
    <w:rsid w:val="00BD2F2B"/>
    <w:rsid w:val="00BD33D4"/>
    <w:rsid w:val="00BD40B1"/>
    <w:rsid w:val="00BE178C"/>
    <w:rsid w:val="00BE25AD"/>
    <w:rsid w:val="00BE3B68"/>
    <w:rsid w:val="00BE41D8"/>
    <w:rsid w:val="00BE47BF"/>
    <w:rsid w:val="00BE5374"/>
    <w:rsid w:val="00BE627A"/>
    <w:rsid w:val="00BE6CE8"/>
    <w:rsid w:val="00BE704F"/>
    <w:rsid w:val="00BE78E1"/>
    <w:rsid w:val="00BF168E"/>
    <w:rsid w:val="00BF1A50"/>
    <w:rsid w:val="00BF1A7A"/>
    <w:rsid w:val="00BF1C8C"/>
    <w:rsid w:val="00BF6A14"/>
    <w:rsid w:val="00BF7202"/>
    <w:rsid w:val="00BF7C54"/>
    <w:rsid w:val="00BF7E62"/>
    <w:rsid w:val="00C00FF9"/>
    <w:rsid w:val="00C01D5F"/>
    <w:rsid w:val="00C021DA"/>
    <w:rsid w:val="00C0345A"/>
    <w:rsid w:val="00C03511"/>
    <w:rsid w:val="00C035B3"/>
    <w:rsid w:val="00C04779"/>
    <w:rsid w:val="00C04C3A"/>
    <w:rsid w:val="00C05700"/>
    <w:rsid w:val="00C0576C"/>
    <w:rsid w:val="00C074CD"/>
    <w:rsid w:val="00C107C3"/>
    <w:rsid w:val="00C10F17"/>
    <w:rsid w:val="00C1154F"/>
    <w:rsid w:val="00C13520"/>
    <w:rsid w:val="00C14F9B"/>
    <w:rsid w:val="00C14FAB"/>
    <w:rsid w:val="00C15F42"/>
    <w:rsid w:val="00C1610B"/>
    <w:rsid w:val="00C1611D"/>
    <w:rsid w:val="00C16C9A"/>
    <w:rsid w:val="00C17155"/>
    <w:rsid w:val="00C175E4"/>
    <w:rsid w:val="00C17CFB"/>
    <w:rsid w:val="00C20F06"/>
    <w:rsid w:val="00C20FFD"/>
    <w:rsid w:val="00C232E0"/>
    <w:rsid w:val="00C24B5E"/>
    <w:rsid w:val="00C2534F"/>
    <w:rsid w:val="00C30058"/>
    <w:rsid w:val="00C317A2"/>
    <w:rsid w:val="00C325FA"/>
    <w:rsid w:val="00C34254"/>
    <w:rsid w:val="00C343FC"/>
    <w:rsid w:val="00C3442F"/>
    <w:rsid w:val="00C35A07"/>
    <w:rsid w:val="00C36159"/>
    <w:rsid w:val="00C3651F"/>
    <w:rsid w:val="00C36633"/>
    <w:rsid w:val="00C36E9D"/>
    <w:rsid w:val="00C37C86"/>
    <w:rsid w:val="00C40637"/>
    <w:rsid w:val="00C412B1"/>
    <w:rsid w:val="00C42173"/>
    <w:rsid w:val="00C4436C"/>
    <w:rsid w:val="00C44F17"/>
    <w:rsid w:val="00C452EA"/>
    <w:rsid w:val="00C461B2"/>
    <w:rsid w:val="00C474FB"/>
    <w:rsid w:val="00C47C8E"/>
    <w:rsid w:val="00C50A4A"/>
    <w:rsid w:val="00C51524"/>
    <w:rsid w:val="00C52FD1"/>
    <w:rsid w:val="00C5359B"/>
    <w:rsid w:val="00C53AF7"/>
    <w:rsid w:val="00C554B5"/>
    <w:rsid w:val="00C5600F"/>
    <w:rsid w:val="00C56EF2"/>
    <w:rsid w:val="00C570A6"/>
    <w:rsid w:val="00C579F3"/>
    <w:rsid w:val="00C57E44"/>
    <w:rsid w:val="00C600B3"/>
    <w:rsid w:val="00C60DE1"/>
    <w:rsid w:val="00C61464"/>
    <w:rsid w:val="00C62A7B"/>
    <w:rsid w:val="00C62EBE"/>
    <w:rsid w:val="00C63989"/>
    <w:rsid w:val="00C641BC"/>
    <w:rsid w:val="00C64670"/>
    <w:rsid w:val="00C64A82"/>
    <w:rsid w:val="00C67E8E"/>
    <w:rsid w:val="00C72177"/>
    <w:rsid w:val="00C74B0E"/>
    <w:rsid w:val="00C74B8C"/>
    <w:rsid w:val="00C7666C"/>
    <w:rsid w:val="00C800E9"/>
    <w:rsid w:val="00C816D1"/>
    <w:rsid w:val="00C8268F"/>
    <w:rsid w:val="00C83090"/>
    <w:rsid w:val="00C83535"/>
    <w:rsid w:val="00C83D00"/>
    <w:rsid w:val="00C83D84"/>
    <w:rsid w:val="00C8508D"/>
    <w:rsid w:val="00C87436"/>
    <w:rsid w:val="00C90EEA"/>
    <w:rsid w:val="00C91651"/>
    <w:rsid w:val="00C917A4"/>
    <w:rsid w:val="00C922A2"/>
    <w:rsid w:val="00C94E1C"/>
    <w:rsid w:val="00C9598F"/>
    <w:rsid w:val="00C977DC"/>
    <w:rsid w:val="00C97CEE"/>
    <w:rsid w:val="00C97E90"/>
    <w:rsid w:val="00CA0263"/>
    <w:rsid w:val="00CA26EA"/>
    <w:rsid w:val="00CA2FB2"/>
    <w:rsid w:val="00CA3A53"/>
    <w:rsid w:val="00CA3D3A"/>
    <w:rsid w:val="00CA42D6"/>
    <w:rsid w:val="00CA42D9"/>
    <w:rsid w:val="00CA5265"/>
    <w:rsid w:val="00CA528A"/>
    <w:rsid w:val="00CA6599"/>
    <w:rsid w:val="00CB0113"/>
    <w:rsid w:val="00CB1421"/>
    <w:rsid w:val="00CB15E9"/>
    <w:rsid w:val="00CB2BD5"/>
    <w:rsid w:val="00CB4D2E"/>
    <w:rsid w:val="00CB5C55"/>
    <w:rsid w:val="00CB770D"/>
    <w:rsid w:val="00CC1D1A"/>
    <w:rsid w:val="00CC1EE0"/>
    <w:rsid w:val="00CC2CD3"/>
    <w:rsid w:val="00CC35B6"/>
    <w:rsid w:val="00CC5682"/>
    <w:rsid w:val="00CC5956"/>
    <w:rsid w:val="00CC6260"/>
    <w:rsid w:val="00CC7344"/>
    <w:rsid w:val="00CD0208"/>
    <w:rsid w:val="00CD06DD"/>
    <w:rsid w:val="00CD120E"/>
    <w:rsid w:val="00CD1404"/>
    <w:rsid w:val="00CD5DAB"/>
    <w:rsid w:val="00CD6E86"/>
    <w:rsid w:val="00CD6F2D"/>
    <w:rsid w:val="00CD74A9"/>
    <w:rsid w:val="00CD7E91"/>
    <w:rsid w:val="00CE1EEF"/>
    <w:rsid w:val="00CE2113"/>
    <w:rsid w:val="00CE28E3"/>
    <w:rsid w:val="00CF0389"/>
    <w:rsid w:val="00CF1A2D"/>
    <w:rsid w:val="00CF2208"/>
    <w:rsid w:val="00CF22CD"/>
    <w:rsid w:val="00CF2913"/>
    <w:rsid w:val="00CF42E3"/>
    <w:rsid w:val="00CF439F"/>
    <w:rsid w:val="00CF578B"/>
    <w:rsid w:val="00CF7120"/>
    <w:rsid w:val="00CF724C"/>
    <w:rsid w:val="00CF767B"/>
    <w:rsid w:val="00D001B4"/>
    <w:rsid w:val="00D003B7"/>
    <w:rsid w:val="00D00E36"/>
    <w:rsid w:val="00D02F4F"/>
    <w:rsid w:val="00D04AA5"/>
    <w:rsid w:val="00D04B44"/>
    <w:rsid w:val="00D04CB3"/>
    <w:rsid w:val="00D065FB"/>
    <w:rsid w:val="00D104DE"/>
    <w:rsid w:val="00D10FBC"/>
    <w:rsid w:val="00D12635"/>
    <w:rsid w:val="00D14A7D"/>
    <w:rsid w:val="00D14E59"/>
    <w:rsid w:val="00D165BD"/>
    <w:rsid w:val="00D17DA1"/>
    <w:rsid w:val="00D17F9E"/>
    <w:rsid w:val="00D20031"/>
    <w:rsid w:val="00D21AE6"/>
    <w:rsid w:val="00D21D5C"/>
    <w:rsid w:val="00D225CE"/>
    <w:rsid w:val="00D24153"/>
    <w:rsid w:val="00D248DE"/>
    <w:rsid w:val="00D24B19"/>
    <w:rsid w:val="00D24FB5"/>
    <w:rsid w:val="00D251AE"/>
    <w:rsid w:val="00D313B3"/>
    <w:rsid w:val="00D3292B"/>
    <w:rsid w:val="00D33F02"/>
    <w:rsid w:val="00D34779"/>
    <w:rsid w:val="00D358F7"/>
    <w:rsid w:val="00D36376"/>
    <w:rsid w:val="00D36E67"/>
    <w:rsid w:val="00D37EF5"/>
    <w:rsid w:val="00D418D3"/>
    <w:rsid w:val="00D419C9"/>
    <w:rsid w:val="00D41B02"/>
    <w:rsid w:val="00D41E7B"/>
    <w:rsid w:val="00D428B9"/>
    <w:rsid w:val="00D43246"/>
    <w:rsid w:val="00D43F8F"/>
    <w:rsid w:val="00D45750"/>
    <w:rsid w:val="00D457EA"/>
    <w:rsid w:val="00D45C42"/>
    <w:rsid w:val="00D50FF1"/>
    <w:rsid w:val="00D52E54"/>
    <w:rsid w:val="00D52FF5"/>
    <w:rsid w:val="00D5431F"/>
    <w:rsid w:val="00D561B1"/>
    <w:rsid w:val="00D5628C"/>
    <w:rsid w:val="00D56DFA"/>
    <w:rsid w:val="00D60E22"/>
    <w:rsid w:val="00D60F55"/>
    <w:rsid w:val="00D61302"/>
    <w:rsid w:val="00D62F4D"/>
    <w:rsid w:val="00D636CB"/>
    <w:rsid w:val="00D64906"/>
    <w:rsid w:val="00D652D9"/>
    <w:rsid w:val="00D65459"/>
    <w:rsid w:val="00D667EF"/>
    <w:rsid w:val="00D6748D"/>
    <w:rsid w:val="00D704B4"/>
    <w:rsid w:val="00D70DDA"/>
    <w:rsid w:val="00D72F6D"/>
    <w:rsid w:val="00D73AD9"/>
    <w:rsid w:val="00D80C29"/>
    <w:rsid w:val="00D822AB"/>
    <w:rsid w:val="00D82AF4"/>
    <w:rsid w:val="00D8316D"/>
    <w:rsid w:val="00D83B51"/>
    <w:rsid w:val="00D8475E"/>
    <w:rsid w:val="00D84885"/>
    <w:rsid w:val="00D84ECA"/>
    <w:rsid w:val="00D8525E"/>
    <w:rsid w:val="00D9041B"/>
    <w:rsid w:val="00D90DBB"/>
    <w:rsid w:val="00D9141D"/>
    <w:rsid w:val="00D917AE"/>
    <w:rsid w:val="00D921E5"/>
    <w:rsid w:val="00D946C9"/>
    <w:rsid w:val="00D94CF3"/>
    <w:rsid w:val="00D967A8"/>
    <w:rsid w:val="00D96DD3"/>
    <w:rsid w:val="00D9779D"/>
    <w:rsid w:val="00D977A8"/>
    <w:rsid w:val="00D9795A"/>
    <w:rsid w:val="00D97B26"/>
    <w:rsid w:val="00DA058E"/>
    <w:rsid w:val="00DA15BC"/>
    <w:rsid w:val="00DA190B"/>
    <w:rsid w:val="00DA2976"/>
    <w:rsid w:val="00DA45DB"/>
    <w:rsid w:val="00DA512C"/>
    <w:rsid w:val="00DA542A"/>
    <w:rsid w:val="00DA55E9"/>
    <w:rsid w:val="00DA6765"/>
    <w:rsid w:val="00DA6C80"/>
    <w:rsid w:val="00DA6EF5"/>
    <w:rsid w:val="00DA744A"/>
    <w:rsid w:val="00DB003C"/>
    <w:rsid w:val="00DB0A86"/>
    <w:rsid w:val="00DB11BD"/>
    <w:rsid w:val="00DB1E91"/>
    <w:rsid w:val="00DB4410"/>
    <w:rsid w:val="00DB464A"/>
    <w:rsid w:val="00DB4FB0"/>
    <w:rsid w:val="00DB5117"/>
    <w:rsid w:val="00DB6031"/>
    <w:rsid w:val="00DB664A"/>
    <w:rsid w:val="00DB7463"/>
    <w:rsid w:val="00DC14AF"/>
    <w:rsid w:val="00DC1720"/>
    <w:rsid w:val="00DC2F7F"/>
    <w:rsid w:val="00DC3633"/>
    <w:rsid w:val="00DC4108"/>
    <w:rsid w:val="00DC44EE"/>
    <w:rsid w:val="00DC4570"/>
    <w:rsid w:val="00DC4EC7"/>
    <w:rsid w:val="00DC4F64"/>
    <w:rsid w:val="00DC50C5"/>
    <w:rsid w:val="00DC64A7"/>
    <w:rsid w:val="00DC77DC"/>
    <w:rsid w:val="00DD0554"/>
    <w:rsid w:val="00DD0953"/>
    <w:rsid w:val="00DD1A95"/>
    <w:rsid w:val="00DD1CBB"/>
    <w:rsid w:val="00DD2390"/>
    <w:rsid w:val="00DD2C81"/>
    <w:rsid w:val="00DD611D"/>
    <w:rsid w:val="00DD6D69"/>
    <w:rsid w:val="00DE1771"/>
    <w:rsid w:val="00DE1982"/>
    <w:rsid w:val="00DE2496"/>
    <w:rsid w:val="00DE50BA"/>
    <w:rsid w:val="00DE7099"/>
    <w:rsid w:val="00DE7302"/>
    <w:rsid w:val="00DE7493"/>
    <w:rsid w:val="00DF0FAA"/>
    <w:rsid w:val="00DF20A4"/>
    <w:rsid w:val="00DF341B"/>
    <w:rsid w:val="00DF39E9"/>
    <w:rsid w:val="00DF3A19"/>
    <w:rsid w:val="00DF41DE"/>
    <w:rsid w:val="00DF431B"/>
    <w:rsid w:val="00DF4733"/>
    <w:rsid w:val="00DF4D91"/>
    <w:rsid w:val="00DF74D9"/>
    <w:rsid w:val="00E01026"/>
    <w:rsid w:val="00E01C7A"/>
    <w:rsid w:val="00E02E7E"/>
    <w:rsid w:val="00E0360B"/>
    <w:rsid w:val="00E03A96"/>
    <w:rsid w:val="00E05D56"/>
    <w:rsid w:val="00E079B8"/>
    <w:rsid w:val="00E105A9"/>
    <w:rsid w:val="00E1071C"/>
    <w:rsid w:val="00E107F5"/>
    <w:rsid w:val="00E118AE"/>
    <w:rsid w:val="00E12A04"/>
    <w:rsid w:val="00E13FDA"/>
    <w:rsid w:val="00E143FF"/>
    <w:rsid w:val="00E15056"/>
    <w:rsid w:val="00E15D47"/>
    <w:rsid w:val="00E15DB1"/>
    <w:rsid w:val="00E1686C"/>
    <w:rsid w:val="00E17552"/>
    <w:rsid w:val="00E209CD"/>
    <w:rsid w:val="00E20D19"/>
    <w:rsid w:val="00E21B03"/>
    <w:rsid w:val="00E22445"/>
    <w:rsid w:val="00E22935"/>
    <w:rsid w:val="00E260A3"/>
    <w:rsid w:val="00E26B54"/>
    <w:rsid w:val="00E26D15"/>
    <w:rsid w:val="00E27DDB"/>
    <w:rsid w:val="00E30BF1"/>
    <w:rsid w:val="00E31702"/>
    <w:rsid w:val="00E31B75"/>
    <w:rsid w:val="00E3242E"/>
    <w:rsid w:val="00E330C9"/>
    <w:rsid w:val="00E3330E"/>
    <w:rsid w:val="00E3351F"/>
    <w:rsid w:val="00E33992"/>
    <w:rsid w:val="00E36FB1"/>
    <w:rsid w:val="00E36FB8"/>
    <w:rsid w:val="00E37DBE"/>
    <w:rsid w:val="00E40DAE"/>
    <w:rsid w:val="00E40F62"/>
    <w:rsid w:val="00E413DC"/>
    <w:rsid w:val="00E4201E"/>
    <w:rsid w:val="00E43249"/>
    <w:rsid w:val="00E436A2"/>
    <w:rsid w:val="00E4518B"/>
    <w:rsid w:val="00E45614"/>
    <w:rsid w:val="00E458D8"/>
    <w:rsid w:val="00E47262"/>
    <w:rsid w:val="00E5079A"/>
    <w:rsid w:val="00E51512"/>
    <w:rsid w:val="00E518A7"/>
    <w:rsid w:val="00E529F5"/>
    <w:rsid w:val="00E52C55"/>
    <w:rsid w:val="00E5356B"/>
    <w:rsid w:val="00E53E00"/>
    <w:rsid w:val="00E54221"/>
    <w:rsid w:val="00E5434A"/>
    <w:rsid w:val="00E545A1"/>
    <w:rsid w:val="00E54801"/>
    <w:rsid w:val="00E54E3C"/>
    <w:rsid w:val="00E553EF"/>
    <w:rsid w:val="00E55C3B"/>
    <w:rsid w:val="00E56247"/>
    <w:rsid w:val="00E5650A"/>
    <w:rsid w:val="00E574EC"/>
    <w:rsid w:val="00E576E6"/>
    <w:rsid w:val="00E57F9C"/>
    <w:rsid w:val="00E6106A"/>
    <w:rsid w:val="00E615F9"/>
    <w:rsid w:val="00E6193C"/>
    <w:rsid w:val="00E61AD7"/>
    <w:rsid w:val="00E62BC2"/>
    <w:rsid w:val="00E63DAA"/>
    <w:rsid w:val="00E64132"/>
    <w:rsid w:val="00E6458E"/>
    <w:rsid w:val="00E655B3"/>
    <w:rsid w:val="00E7221D"/>
    <w:rsid w:val="00E74286"/>
    <w:rsid w:val="00E748BE"/>
    <w:rsid w:val="00E749BE"/>
    <w:rsid w:val="00E74F77"/>
    <w:rsid w:val="00E7615F"/>
    <w:rsid w:val="00E76AE0"/>
    <w:rsid w:val="00E814E4"/>
    <w:rsid w:val="00E81A87"/>
    <w:rsid w:val="00E83948"/>
    <w:rsid w:val="00E83BFB"/>
    <w:rsid w:val="00E83CF9"/>
    <w:rsid w:val="00E87873"/>
    <w:rsid w:val="00E904F0"/>
    <w:rsid w:val="00E90AE9"/>
    <w:rsid w:val="00E92974"/>
    <w:rsid w:val="00E92D42"/>
    <w:rsid w:val="00E92F98"/>
    <w:rsid w:val="00E9331D"/>
    <w:rsid w:val="00E938E4"/>
    <w:rsid w:val="00E95322"/>
    <w:rsid w:val="00E95490"/>
    <w:rsid w:val="00E968C1"/>
    <w:rsid w:val="00E97190"/>
    <w:rsid w:val="00E971F6"/>
    <w:rsid w:val="00EA0E54"/>
    <w:rsid w:val="00EA1769"/>
    <w:rsid w:val="00EA3671"/>
    <w:rsid w:val="00EA3D10"/>
    <w:rsid w:val="00EA4996"/>
    <w:rsid w:val="00EA7BEC"/>
    <w:rsid w:val="00EB0DEA"/>
    <w:rsid w:val="00EB1F63"/>
    <w:rsid w:val="00EB27BC"/>
    <w:rsid w:val="00EB3D70"/>
    <w:rsid w:val="00EB6A32"/>
    <w:rsid w:val="00EB7E2F"/>
    <w:rsid w:val="00EC18DF"/>
    <w:rsid w:val="00EC33A0"/>
    <w:rsid w:val="00EC4836"/>
    <w:rsid w:val="00EC5088"/>
    <w:rsid w:val="00EC5477"/>
    <w:rsid w:val="00EC7D28"/>
    <w:rsid w:val="00ED3123"/>
    <w:rsid w:val="00ED36ED"/>
    <w:rsid w:val="00ED47E4"/>
    <w:rsid w:val="00ED54B8"/>
    <w:rsid w:val="00ED5CC1"/>
    <w:rsid w:val="00ED5E38"/>
    <w:rsid w:val="00EE0068"/>
    <w:rsid w:val="00EE06A8"/>
    <w:rsid w:val="00EE0960"/>
    <w:rsid w:val="00EE22C2"/>
    <w:rsid w:val="00EE4490"/>
    <w:rsid w:val="00EE4EEF"/>
    <w:rsid w:val="00EE6832"/>
    <w:rsid w:val="00EE7586"/>
    <w:rsid w:val="00EE76E9"/>
    <w:rsid w:val="00EE78ED"/>
    <w:rsid w:val="00EF1755"/>
    <w:rsid w:val="00EF3D58"/>
    <w:rsid w:val="00EF59AB"/>
    <w:rsid w:val="00EF6F52"/>
    <w:rsid w:val="00EF7063"/>
    <w:rsid w:val="00EF7084"/>
    <w:rsid w:val="00EF7AE9"/>
    <w:rsid w:val="00F00B0E"/>
    <w:rsid w:val="00F01150"/>
    <w:rsid w:val="00F01172"/>
    <w:rsid w:val="00F0325A"/>
    <w:rsid w:val="00F03B39"/>
    <w:rsid w:val="00F03E92"/>
    <w:rsid w:val="00F04052"/>
    <w:rsid w:val="00F04963"/>
    <w:rsid w:val="00F04FED"/>
    <w:rsid w:val="00F06673"/>
    <w:rsid w:val="00F06961"/>
    <w:rsid w:val="00F074CA"/>
    <w:rsid w:val="00F07770"/>
    <w:rsid w:val="00F1066F"/>
    <w:rsid w:val="00F11C88"/>
    <w:rsid w:val="00F11CA6"/>
    <w:rsid w:val="00F1415F"/>
    <w:rsid w:val="00F14201"/>
    <w:rsid w:val="00F14A28"/>
    <w:rsid w:val="00F1508C"/>
    <w:rsid w:val="00F153F3"/>
    <w:rsid w:val="00F15589"/>
    <w:rsid w:val="00F1578E"/>
    <w:rsid w:val="00F20763"/>
    <w:rsid w:val="00F227C8"/>
    <w:rsid w:val="00F22D20"/>
    <w:rsid w:val="00F23CB7"/>
    <w:rsid w:val="00F2413F"/>
    <w:rsid w:val="00F24CD8"/>
    <w:rsid w:val="00F252BD"/>
    <w:rsid w:val="00F257B5"/>
    <w:rsid w:val="00F25ECB"/>
    <w:rsid w:val="00F2720E"/>
    <w:rsid w:val="00F2776D"/>
    <w:rsid w:val="00F30492"/>
    <w:rsid w:val="00F30DFC"/>
    <w:rsid w:val="00F31B11"/>
    <w:rsid w:val="00F331DA"/>
    <w:rsid w:val="00F33422"/>
    <w:rsid w:val="00F33AD1"/>
    <w:rsid w:val="00F346E6"/>
    <w:rsid w:val="00F350A4"/>
    <w:rsid w:val="00F358EE"/>
    <w:rsid w:val="00F40085"/>
    <w:rsid w:val="00F40215"/>
    <w:rsid w:val="00F40864"/>
    <w:rsid w:val="00F432FB"/>
    <w:rsid w:val="00F4336E"/>
    <w:rsid w:val="00F439D7"/>
    <w:rsid w:val="00F44137"/>
    <w:rsid w:val="00F44895"/>
    <w:rsid w:val="00F45BFE"/>
    <w:rsid w:val="00F4629B"/>
    <w:rsid w:val="00F469A2"/>
    <w:rsid w:val="00F47C4B"/>
    <w:rsid w:val="00F50585"/>
    <w:rsid w:val="00F516E3"/>
    <w:rsid w:val="00F522E5"/>
    <w:rsid w:val="00F54832"/>
    <w:rsid w:val="00F5528C"/>
    <w:rsid w:val="00F5719B"/>
    <w:rsid w:val="00F57545"/>
    <w:rsid w:val="00F57885"/>
    <w:rsid w:val="00F612A4"/>
    <w:rsid w:val="00F660BF"/>
    <w:rsid w:val="00F66144"/>
    <w:rsid w:val="00F668E6"/>
    <w:rsid w:val="00F6713F"/>
    <w:rsid w:val="00F731BB"/>
    <w:rsid w:val="00F7376D"/>
    <w:rsid w:val="00F7478D"/>
    <w:rsid w:val="00F749C1"/>
    <w:rsid w:val="00F749EF"/>
    <w:rsid w:val="00F74B51"/>
    <w:rsid w:val="00F81362"/>
    <w:rsid w:val="00F814C6"/>
    <w:rsid w:val="00F854EE"/>
    <w:rsid w:val="00F86EA0"/>
    <w:rsid w:val="00F87655"/>
    <w:rsid w:val="00F87E5F"/>
    <w:rsid w:val="00F91353"/>
    <w:rsid w:val="00F915DC"/>
    <w:rsid w:val="00F92902"/>
    <w:rsid w:val="00F92E7B"/>
    <w:rsid w:val="00F93599"/>
    <w:rsid w:val="00F936D7"/>
    <w:rsid w:val="00F93772"/>
    <w:rsid w:val="00F95E33"/>
    <w:rsid w:val="00F967A9"/>
    <w:rsid w:val="00F9684A"/>
    <w:rsid w:val="00FA0825"/>
    <w:rsid w:val="00FA08AD"/>
    <w:rsid w:val="00FA0ED4"/>
    <w:rsid w:val="00FA2F27"/>
    <w:rsid w:val="00FA3144"/>
    <w:rsid w:val="00FA4150"/>
    <w:rsid w:val="00FA53AD"/>
    <w:rsid w:val="00FA5766"/>
    <w:rsid w:val="00FA7D7D"/>
    <w:rsid w:val="00FB174A"/>
    <w:rsid w:val="00FB2A23"/>
    <w:rsid w:val="00FB2D72"/>
    <w:rsid w:val="00FB42F2"/>
    <w:rsid w:val="00FB5D87"/>
    <w:rsid w:val="00FB620D"/>
    <w:rsid w:val="00FB6F67"/>
    <w:rsid w:val="00FC0340"/>
    <w:rsid w:val="00FC0AD7"/>
    <w:rsid w:val="00FC10DE"/>
    <w:rsid w:val="00FC1255"/>
    <w:rsid w:val="00FC1591"/>
    <w:rsid w:val="00FC2D5F"/>
    <w:rsid w:val="00FC3DE1"/>
    <w:rsid w:val="00FC4384"/>
    <w:rsid w:val="00FC5603"/>
    <w:rsid w:val="00FD0B28"/>
    <w:rsid w:val="00FD0D99"/>
    <w:rsid w:val="00FD17BA"/>
    <w:rsid w:val="00FD1B5B"/>
    <w:rsid w:val="00FD2C9D"/>
    <w:rsid w:val="00FD2F74"/>
    <w:rsid w:val="00FD3B94"/>
    <w:rsid w:val="00FD40DD"/>
    <w:rsid w:val="00FD43B3"/>
    <w:rsid w:val="00FD6295"/>
    <w:rsid w:val="00FE1118"/>
    <w:rsid w:val="00FE279F"/>
    <w:rsid w:val="00FE3E99"/>
    <w:rsid w:val="00FE40E5"/>
    <w:rsid w:val="00FE4739"/>
    <w:rsid w:val="00FE4DB2"/>
    <w:rsid w:val="00FE4EF7"/>
    <w:rsid w:val="00FE681D"/>
    <w:rsid w:val="00FE6E5B"/>
    <w:rsid w:val="00FE74DF"/>
    <w:rsid w:val="00FE750F"/>
    <w:rsid w:val="00FE7849"/>
    <w:rsid w:val="00FF0DBD"/>
    <w:rsid w:val="00FF1C3D"/>
    <w:rsid w:val="00FF2100"/>
    <w:rsid w:val="00FF26EE"/>
    <w:rsid w:val="00FF3A07"/>
    <w:rsid w:val="00FF3FEA"/>
    <w:rsid w:val="00FF4C68"/>
    <w:rsid w:val="00FF7D4D"/>
    <w:rsid w:val="3DC96301"/>
    <w:rsid w:val="3EF4093A"/>
    <w:rsid w:val="4EADA3F0"/>
    <w:rsid w:val="730D3CB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9"/>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Bold" w:hAnsi="Arial Bold"/>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HealthConsult,HTAtableplain"/>
    <w:basedOn w:val="TableNormal"/>
    <w:uiPriority w:val="59"/>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basedOn w:val="Normal"/>
    <w:link w:val="ListParagraphChar"/>
    <w:uiPriority w:val="34"/>
    <w:qFormat/>
    <w:rsid w:val="00EC7D28"/>
    <w:pPr>
      <w:numPr>
        <w:numId w:val="14"/>
      </w:numPr>
      <w:spacing w:after="0" w:line="240" w:lineRule="auto"/>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basedOn w:val="DefaultParagraphFont"/>
    <w:link w:val="ListParagraph"/>
    <w:uiPriority w:val="34"/>
    <w:rsid w:val="00EC7D28"/>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NZ"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EYInterstate Regular" w:hAnsi="EYInterstate Regular"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EYInterstate Regular" w:hAnsi="EYInterstate Regular"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EYInterstate Regular" w:hAnsi="EYInterstate Regular"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9"/>
      </w:numPr>
      <w:spacing w:before="0" w:after="0"/>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character" w:styleId="UnresolvedMention">
    <w:name w:val="Unresolved Mention"/>
    <w:basedOn w:val="DefaultParagraphFont"/>
    <w:uiPriority w:val="99"/>
    <w:semiHidden/>
    <w:unhideWhenUsed/>
    <w:rsid w:val="00503796"/>
    <w:rPr>
      <w:color w:val="605E5C"/>
      <w:shd w:val="clear" w:color="auto" w:fill="E1DFDD"/>
    </w:rPr>
  </w:style>
  <w:style w:type="character" w:styleId="Mention">
    <w:name w:val="Mention"/>
    <w:basedOn w:val="DefaultParagraphFont"/>
    <w:uiPriority w:val="99"/>
    <w:unhideWhenUsed/>
    <w:rsid w:val="00A83B4F"/>
    <w:rPr>
      <w:color w:val="2B579A"/>
      <w:shd w:val="clear" w:color="auto" w:fill="E1DFDD"/>
    </w:rPr>
  </w:style>
  <w:style w:type="paragraph" w:customStyle="1" w:styleId="Notes-TableFigure">
    <w:name w:val="Notes - Table/Figure"/>
    <w:basedOn w:val="Normal"/>
    <w:link w:val="Notes-TableFigureChar"/>
    <w:qFormat/>
    <w:rsid w:val="00AE279F"/>
    <w:pPr>
      <w:spacing w:after="360" w:line="240" w:lineRule="auto"/>
      <w:contextualSpacing/>
    </w:pPr>
    <w:rPr>
      <w:rFonts w:ascii="Arial Narrow" w:hAnsi="Arial Narrow"/>
      <w:sz w:val="18"/>
      <w:lang w:val="en-US"/>
    </w:rPr>
  </w:style>
  <w:style w:type="character" w:customStyle="1" w:styleId="Notes-TableFigureChar">
    <w:name w:val="Notes - Table/Figure Char"/>
    <w:basedOn w:val="DefaultParagraphFont"/>
    <w:link w:val="Notes-TableFigure"/>
    <w:rsid w:val="00AE279F"/>
    <w:rPr>
      <w:rFonts w:ascii="Arial Narrow" w:hAnsi="Arial Narrow"/>
      <w:sz w:val="18"/>
      <w:lang w:val="en-US"/>
    </w:rPr>
  </w:style>
  <w:style w:type="paragraph" w:customStyle="1" w:styleId="Heading2execsummary">
    <w:name w:val="Heading 2 exec summary"/>
    <w:basedOn w:val="Heading2"/>
    <w:next w:val="Normal"/>
    <w:link w:val="Heading2execsummaryChar"/>
    <w:qFormat/>
    <w:rsid w:val="00AE279F"/>
    <w:pPr>
      <w:numPr>
        <w:ilvl w:val="0"/>
        <w:numId w:val="16"/>
      </w:numPr>
      <w:spacing w:before="0"/>
    </w:pPr>
    <w:rPr>
      <w:lang w:val="en-US"/>
    </w:rPr>
  </w:style>
  <w:style w:type="character" w:customStyle="1" w:styleId="Heading2execsummaryChar">
    <w:name w:val="Heading 2 exec summary Char"/>
    <w:basedOn w:val="Heading2Char"/>
    <w:link w:val="Heading2execsummary"/>
    <w:rsid w:val="00AE279F"/>
    <w:rPr>
      <w:rFonts w:ascii="Franklin Gothic Medium" w:eastAsiaTheme="majorEastAsia" w:hAnsi="Franklin Gothic Medium" w:cstheme="majorBidi"/>
      <w:color w:val="000000" w:themeColor="text1"/>
      <w:sz w:val="32"/>
      <w:szCs w:val="26"/>
      <w:lang w:val="en-US"/>
    </w:rPr>
  </w:style>
  <w:style w:type="paragraph" w:customStyle="1" w:styleId="Heading3nonumbers">
    <w:name w:val="Heading 3 no numbers"/>
    <w:basedOn w:val="Heading3"/>
    <w:next w:val="Normal"/>
    <w:link w:val="Heading3nonumbersChar"/>
    <w:qFormat/>
    <w:rsid w:val="00AE279F"/>
    <w:pPr>
      <w:tabs>
        <w:tab w:val="clear" w:pos="851"/>
      </w:tabs>
    </w:pPr>
    <w:rPr>
      <w:color w:val="000000" w:themeColor="text1"/>
      <w:lang w:val="en-US"/>
    </w:rPr>
  </w:style>
  <w:style w:type="character" w:customStyle="1" w:styleId="Heading3nonumbersChar">
    <w:name w:val="Heading 3 no numbers Char"/>
    <w:basedOn w:val="Heading3Char"/>
    <w:link w:val="Heading3nonumbers"/>
    <w:rsid w:val="00AE279F"/>
    <w:rPr>
      <w:rFonts w:ascii="Franklin Gothic Medium" w:eastAsiaTheme="majorEastAsia" w:hAnsi="Franklin Gothic Medium" w:cstheme="majorBidi"/>
      <w:color w:val="000000" w:themeColor="text1"/>
      <w:sz w:val="24"/>
      <w:szCs w:val="24"/>
      <w:lang w:val="en-US"/>
    </w:rPr>
  </w:style>
  <w:style w:type="paragraph" w:customStyle="1" w:styleId="BodyTextSTD">
    <w:name w:val="Body Text STD"/>
    <w:basedOn w:val="Normal"/>
    <w:link w:val="BodyTextSTDChar"/>
    <w:rsid w:val="00AE279F"/>
    <w:pPr>
      <w:spacing w:before="0" w:after="240" w:line="312" w:lineRule="auto"/>
      <w:jc w:val="both"/>
    </w:pPr>
    <w:rPr>
      <w:rFonts w:ascii="Calibri" w:eastAsia="Times New Roman" w:hAnsi="Calibri" w:cs="Tahoma"/>
      <w:lang w:eastAsia="en-AU"/>
    </w:rPr>
  </w:style>
  <w:style w:type="character" w:customStyle="1" w:styleId="BodyTextSTDChar">
    <w:name w:val="Body Text STD Char"/>
    <w:basedOn w:val="DefaultParagraphFont"/>
    <w:link w:val="BodyTextSTD"/>
    <w:rsid w:val="00AE279F"/>
    <w:rPr>
      <w:rFonts w:ascii="Calibri" w:eastAsia="Times New Roman" w:hAnsi="Calibri" w:cs="Tahoma"/>
      <w:lang w:eastAsia="en-AU"/>
    </w:rPr>
  </w:style>
  <w:style w:type="paragraph" w:customStyle="1" w:styleId="Rosscomments">
    <w:name w:val="Ross comments"/>
    <w:basedOn w:val="Normal"/>
    <w:qFormat/>
    <w:rsid w:val="00AE279F"/>
    <w:rPr>
      <w:i/>
      <w:iCs/>
      <w:color w:val="FF0000"/>
    </w:rPr>
  </w:style>
  <w:style w:type="paragraph" w:customStyle="1" w:styleId="Style1">
    <w:name w:val="Style1"/>
    <w:basedOn w:val="Instructionaltext"/>
    <w:qFormat/>
    <w:rsid w:val="00AE279F"/>
    <w:pPr>
      <w:jc w:val="both"/>
    </w:pPr>
    <w:rPr>
      <w:color w:val="auto"/>
    </w:rPr>
  </w:style>
  <w:style w:type="character" w:customStyle="1" w:styleId="ilfuvd">
    <w:name w:val="ilfuvd"/>
    <w:basedOn w:val="DefaultParagraphFont"/>
    <w:rsid w:val="006A1CDE"/>
  </w:style>
  <w:style w:type="paragraph" w:customStyle="1" w:styleId="TableDash">
    <w:name w:val="TableDash"/>
    <w:basedOn w:val="TableText1"/>
    <w:rsid w:val="000151D2"/>
    <w:pPr>
      <w:numPr>
        <w:numId w:val="22"/>
      </w:numPr>
      <w:tabs>
        <w:tab w:val="clear" w:pos="216"/>
        <w:tab w:val="num" w:pos="432"/>
      </w:tabs>
      <w:spacing w:before="60" w:after="60" w:line="240" w:lineRule="auto"/>
      <w:jc w:val="left"/>
    </w:pPr>
    <w:rPr>
      <w:rFonts w:ascii="Franklin Gothic Book" w:hAnsi="Franklin Gothic Book" w:cs="Times New Roman"/>
      <w:color w:val="000000"/>
      <w:sz w:val="21"/>
      <w:szCs w:val="21"/>
    </w:rPr>
  </w:style>
  <w:style w:type="paragraph" w:customStyle="1" w:styleId="BulletBeforeDash">
    <w:name w:val="BulletBeforeDash"/>
    <w:basedOn w:val="Normal"/>
    <w:rsid w:val="000151D2"/>
    <w:pPr>
      <w:numPr>
        <w:numId w:val="23"/>
      </w:numPr>
      <w:spacing w:before="0" w:after="0" w:line="240" w:lineRule="auto"/>
    </w:pPr>
    <w:rPr>
      <w:rFonts w:eastAsia="Times New Roman" w:cs="Times New Roman"/>
      <w:color w:val="000000"/>
      <w:szCs w:val="20"/>
      <w:lang w:eastAsia="en-AU"/>
    </w:rPr>
  </w:style>
  <w:style w:type="paragraph" w:customStyle="1" w:styleId="BulletLast">
    <w:name w:val="BulletLast"/>
    <w:basedOn w:val="Bullet"/>
    <w:qFormat/>
    <w:rsid w:val="000151D2"/>
    <w:pPr>
      <w:tabs>
        <w:tab w:val="num" w:pos="360"/>
      </w:tabs>
      <w:spacing w:before="0" w:after="240"/>
      <w:ind w:left="360"/>
    </w:pPr>
    <w:rPr>
      <w:rFonts w:ascii="Franklin Gothic Book" w:eastAsia="Times New Roman" w:hAnsi="Franklin Gothic Book" w:cs="Times New Roman"/>
      <w:color w:val="000000"/>
      <w:szCs w:val="20"/>
      <w:lang w:eastAsia="en-AU"/>
    </w:rPr>
  </w:style>
  <w:style w:type="paragraph" w:customStyle="1" w:styleId="NormalBeforeBullet0">
    <w:name w:val="NormalBeforeBullet"/>
    <w:basedOn w:val="Normal"/>
    <w:qFormat/>
    <w:rsid w:val="000151D2"/>
    <w:pPr>
      <w:keepNext/>
      <w:spacing w:before="0" w:after="120" w:line="240" w:lineRule="auto"/>
    </w:pPr>
    <w:rPr>
      <w:rFonts w:eastAsia="Times New Roman" w:cs="Times New Roman"/>
      <w:color w:val="000000"/>
      <w:szCs w:val="20"/>
      <w:lang w:eastAsia="en-AU"/>
    </w:rPr>
  </w:style>
  <w:style w:type="paragraph" w:customStyle="1" w:styleId="BoxName0">
    <w:name w:val="BoxName"/>
    <w:basedOn w:val="Normal"/>
    <w:rsid w:val="000151D2"/>
    <w:pPr>
      <w:keepNext/>
      <w:pBdr>
        <w:top w:val="single" w:sz="4" w:space="4" w:color="000000"/>
        <w:left w:val="single" w:sz="4" w:space="4" w:color="000000"/>
        <w:bottom w:val="single" w:sz="4" w:space="4" w:color="000000"/>
        <w:right w:val="single" w:sz="4" w:space="4" w:color="000000"/>
      </w:pBdr>
      <w:spacing w:before="240" w:after="240" w:line="240" w:lineRule="auto"/>
      <w:ind w:left="1077" w:hanging="1077"/>
    </w:pPr>
    <w:rPr>
      <w:rFonts w:eastAsia="Times New Roman" w:cs="Times New Roman"/>
      <w:b/>
      <w:bCs/>
      <w:color w:val="000000"/>
      <w:sz w:val="24"/>
      <w:szCs w:val="20"/>
      <w:lang w:eastAsia="en-AU"/>
    </w:rPr>
  </w:style>
  <w:style w:type="paragraph" w:customStyle="1" w:styleId="BoxHeading">
    <w:name w:val="BoxHeading"/>
    <w:basedOn w:val="Normal"/>
    <w:rsid w:val="000151D2"/>
    <w:pPr>
      <w:keepNext/>
      <w:pBdr>
        <w:top w:val="single" w:sz="4" w:space="4" w:color="000000"/>
        <w:left w:val="single" w:sz="4" w:space="4" w:color="000000"/>
        <w:bottom w:val="single" w:sz="4" w:space="4" w:color="000000"/>
        <w:right w:val="single" w:sz="4" w:space="4" w:color="000000"/>
      </w:pBdr>
      <w:spacing w:after="60" w:line="240" w:lineRule="auto"/>
    </w:pPr>
    <w:rPr>
      <w:rFonts w:eastAsia="Times New Roman" w:cs="Times New Roman"/>
      <w:b/>
      <w:bCs/>
      <w:color w:val="000000"/>
      <w:szCs w:val="20"/>
      <w:lang w:eastAsia="en-AU"/>
    </w:rPr>
  </w:style>
  <w:style w:type="paragraph" w:customStyle="1" w:styleId="BoxBullet">
    <w:name w:val="BoxBullet"/>
    <w:basedOn w:val="Normal"/>
    <w:rsid w:val="000151D2"/>
    <w:pPr>
      <w:numPr>
        <w:numId w:val="24"/>
      </w:numPr>
      <w:pBdr>
        <w:top w:val="single" w:sz="4" w:space="4" w:color="000000"/>
        <w:left w:val="single" w:sz="4" w:space="4" w:color="000000"/>
        <w:bottom w:val="single" w:sz="4" w:space="4" w:color="000000"/>
        <w:right w:val="single" w:sz="4" w:space="4" w:color="000000"/>
      </w:pBdr>
      <w:spacing w:before="0" w:after="120" w:line="240" w:lineRule="auto"/>
    </w:pPr>
    <w:rPr>
      <w:rFonts w:eastAsia="Times New Roman" w:cs="Times New Roman"/>
      <w:color w:val="000000"/>
      <w:szCs w:val="20"/>
      <w:lang w:eastAsia="en-AU"/>
    </w:rPr>
  </w:style>
  <w:style w:type="paragraph" w:customStyle="1" w:styleId="Default">
    <w:name w:val="Default"/>
    <w:rsid w:val="000D5B30"/>
    <w:pPr>
      <w:autoSpaceDE w:val="0"/>
      <w:autoSpaceDN w:val="0"/>
      <w:adjustRightInd w:val="0"/>
      <w:spacing w:after="0" w:line="240" w:lineRule="auto"/>
    </w:pPr>
    <w:rPr>
      <w:rFonts w:ascii="Arial Narrow" w:eastAsia="Times New Roman" w:hAnsi="Arial Narrow" w:cs="Arial Narrow"/>
      <w:color w:val="000000"/>
      <w:sz w:val="24"/>
      <w:szCs w:val="24"/>
      <w:lang w:eastAsia="en-AU"/>
    </w:rPr>
  </w:style>
  <w:style w:type="paragraph" w:styleId="BodyText">
    <w:name w:val="Body Text"/>
    <w:basedOn w:val="Normal"/>
    <w:link w:val="BodyTextChar"/>
    <w:rsid w:val="000D5B30"/>
    <w:pPr>
      <w:spacing w:before="0" w:after="0" w:line="312" w:lineRule="auto"/>
    </w:pPr>
    <w:rPr>
      <w:rFonts w:ascii="Helv" w:eastAsia="Times New Roman" w:hAnsi="Helv" w:cs="Tahoma"/>
      <w:b/>
      <w:i/>
      <w:snapToGrid w:val="0"/>
      <w:color w:val="000000"/>
      <w:sz w:val="28"/>
    </w:rPr>
  </w:style>
  <w:style w:type="character" w:customStyle="1" w:styleId="BodyTextChar">
    <w:name w:val="Body Text Char"/>
    <w:basedOn w:val="DefaultParagraphFont"/>
    <w:link w:val="BodyText"/>
    <w:rsid w:val="000D5B30"/>
    <w:rPr>
      <w:rFonts w:ascii="Helv" w:eastAsia="Times New Roman" w:hAnsi="Helv" w:cs="Tahoma"/>
      <w:b/>
      <w:i/>
      <w:snapToGrid w:val="0"/>
      <w:color w:val="000000"/>
      <w:sz w:val="28"/>
    </w:rPr>
  </w:style>
  <w:style w:type="character" w:customStyle="1" w:styleId="cf01">
    <w:name w:val="cf01"/>
    <w:basedOn w:val="DefaultParagraphFont"/>
    <w:rsid w:val="00F522E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69874339">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2492130">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463889915">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13669938">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68132247">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1962834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msac.gov.au/internet/msac/publishing.nsf/Content/Home-1"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ga.gov.au/guidance-ivd-sponsors-roadmap-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1D717-F201-48EC-A5F6-19D2D8429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14080</Words>
  <Characters>80262</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94154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2023-03-09T03:57:00Z</dcterms:created>
  <dcterms:modified xsi:type="dcterms:W3CDTF">2023-03-13T23:59:00Z</dcterms:modified>
  <cp:category/>
</cp:coreProperties>
</file>