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AD8BF" w14:textId="77777777" w:rsidR="00191215" w:rsidRDefault="003F4C5A">
      <w:pPr>
        <w:jc w:val="center"/>
        <w:rPr>
          <w:b/>
          <w:szCs w:val="20"/>
        </w:rPr>
      </w:pPr>
      <w:r>
        <w:rPr>
          <w:b/>
          <w:noProof/>
          <w:szCs w:val="20"/>
          <w:lang w:eastAsia="en-AU"/>
        </w:rPr>
        <w:drawing>
          <wp:inline distT="0" distB="0" distL="0" distR="0" wp14:anchorId="33B51EE8" wp14:editId="466F8039">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7C9E1F1" w14:textId="332823F4" w:rsidR="00191215" w:rsidRDefault="003F4C5A">
      <w:pPr>
        <w:pStyle w:val="Title"/>
        <w:spacing w:before="2600"/>
      </w:pPr>
      <w:r>
        <w:t xml:space="preserve">Application </w:t>
      </w:r>
      <w:r w:rsidR="0047743D">
        <w:t>169</w:t>
      </w:r>
      <w:r w:rsidR="004E6856">
        <w:t>1</w:t>
      </w:r>
    </w:p>
    <w:p w14:paraId="47CBA694" w14:textId="3ACB5EF5" w:rsidR="00455523" w:rsidRDefault="00455523" w:rsidP="00455523">
      <w:pPr>
        <w:jc w:val="center"/>
        <w:rPr>
          <w:rFonts w:ascii="Arial" w:hAnsi="Arial" w:cs="Arial"/>
          <w:b/>
          <w:color w:val="548DD4" w:themeColor="text2" w:themeTint="99"/>
          <w:sz w:val="52"/>
          <w:szCs w:val="52"/>
        </w:rPr>
      </w:pPr>
      <w:proofErr w:type="spellStart"/>
      <w:r w:rsidRPr="00455523">
        <w:rPr>
          <w:rFonts w:ascii="Arial" w:hAnsi="Arial" w:cs="Arial"/>
          <w:b/>
          <w:color w:val="548DD4" w:themeColor="text2" w:themeTint="99"/>
          <w:sz w:val="52"/>
          <w:szCs w:val="52"/>
        </w:rPr>
        <w:t>PromarkerD</w:t>
      </w:r>
      <w:proofErr w:type="spellEnd"/>
      <w:r w:rsidRPr="00455523">
        <w:rPr>
          <w:rFonts w:ascii="Arial" w:hAnsi="Arial" w:cs="Arial"/>
          <w:b/>
          <w:color w:val="548DD4" w:themeColor="text2" w:themeTint="99"/>
          <w:sz w:val="52"/>
          <w:szCs w:val="52"/>
        </w:rPr>
        <w:t xml:space="preserve"> testing in patients with type 2 diabetes to determine the risk of developing diabetic kidney disease</w:t>
      </w:r>
    </w:p>
    <w:p w14:paraId="3854F5C6" w14:textId="238BDDE0" w:rsidR="00191215" w:rsidRDefault="003F4C5A">
      <w:r>
        <w:t>This application form is to be completed for new and amended requests for public funding (including but not limited to the Medicare Benefits Schedule (MBS)).  It describes the detailed information that the Australian Government Department of Health requires to determine whether a proposed medical service is suitable.</w:t>
      </w:r>
    </w:p>
    <w:p w14:paraId="2E658EDD" w14:textId="77777777" w:rsidR="00191215" w:rsidRDefault="003F4C5A">
      <w:r>
        <w:t xml:space="preserve">Please use this template, along with the associated </w:t>
      </w:r>
      <w:r>
        <w:rPr>
          <w:u w:val="single"/>
        </w:rPr>
        <w:t>Application Form Instructions</w:t>
      </w:r>
      <w:r>
        <w:t xml:space="preserve"> to prepare your application.  Please complete all questions that are applicable to the proposed service, providing relevant information only.  Applications not completed in full will not be accepted. The separate </w:t>
      </w:r>
      <w:r>
        <w:rPr>
          <w:u w:val="single"/>
        </w:rPr>
        <w:t>MSAC Guidelines</w:t>
      </w:r>
      <w:r>
        <w:t xml:space="preserve"> should be used to guide health technology assessment (HTA) content of the Application Form</w:t>
      </w:r>
    </w:p>
    <w:p w14:paraId="09267746" w14:textId="77777777" w:rsidR="00191215" w:rsidRDefault="003F4C5A">
      <w:r>
        <w:t>Should you require any further assistance, departmental staff are available through the Health Technology Assessment Team (HTA Team) on the email below to discuss the application form, or any other component of the Medical Services Advisory Committee process.</w:t>
      </w:r>
    </w:p>
    <w:p w14:paraId="23BA7ABE" w14:textId="77777777" w:rsidR="00191215" w:rsidRDefault="00191215">
      <w:pPr>
        <w:spacing w:before="0" w:after="0"/>
      </w:pPr>
    </w:p>
    <w:p w14:paraId="44039B59" w14:textId="77777777" w:rsidR="00191215" w:rsidRDefault="003F4C5A">
      <w:pPr>
        <w:spacing w:before="0" w:after="0"/>
      </w:pPr>
      <w:r>
        <w:t xml:space="preserve">Email:  </w:t>
      </w:r>
      <w:hyperlink r:id="rId9" w:tooltip="click here to email the Department of Health HTA Team" w:history="1">
        <w:r>
          <w:rPr>
            <w:rStyle w:val="Hyperlink"/>
            <w:szCs w:val="20"/>
          </w:rPr>
          <w:t>hta@health.gov.au</w:t>
        </w:r>
      </w:hyperlink>
    </w:p>
    <w:p w14:paraId="596B7461" w14:textId="77777777" w:rsidR="00191215" w:rsidRDefault="003F4C5A">
      <w:pPr>
        <w:spacing w:before="0" w:after="0"/>
      </w:pPr>
      <w:r>
        <w:t xml:space="preserve">Website:  </w:t>
      </w:r>
      <w:hyperlink r:id="rId10" w:tooltip="click here to visit the Medical Services Advisory Committee website" w:history="1">
        <w:r>
          <w:rPr>
            <w:rStyle w:val="Hyperlink"/>
          </w:rPr>
          <w:t>www.msac.gov.au</w:t>
        </w:r>
      </w:hyperlink>
      <w:r>
        <w:t xml:space="preserve">  </w:t>
      </w:r>
    </w:p>
    <w:p w14:paraId="0A5C9F48" w14:textId="77777777" w:rsidR="00191215" w:rsidRDefault="003F4C5A">
      <w:pPr>
        <w:pStyle w:val="Heading1"/>
      </w:pPr>
      <w:bookmarkStart w:id="0" w:name="_Toc443555803"/>
      <w:r>
        <w:rPr>
          <w:rStyle w:val="IntenseReference"/>
        </w:rPr>
        <w:br w:type="page"/>
      </w:r>
      <w:bookmarkEnd w:id="0"/>
      <w:r>
        <w:lastRenderedPageBreak/>
        <w:t>PART 1 – APPLICANT DETAILS</w:t>
      </w:r>
    </w:p>
    <w:p w14:paraId="1E57522B" w14:textId="77777777" w:rsidR="00191215" w:rsidRDefault="003F4C5A">
      <w:pPr>
        <w:pStyle w:val="Heading2"/>
      </w:pPr>
      <w:r>
        <w:t>Applicant details (primary and alternative contacts)</w:t>
      </w:r>
    </w:p>
    <w:p w14:paraId="16F7FA44" w14:textId="77777777" w:rsidR="00191215" w:rsidRDefault="003F4C5A">
      <w:pPr>
        <w:pBdr>
          <w:top w:val="single" w:sz="4" w:space="1" w:color="auto"/>
          <w:left w:val="single" w:sz="4" w:space="4" w:color="auto"/>
          <w:bottom w:val="single" w:sz="4" w:space="1" w:color="auto"/>
          <w:right w:val="single" w:sz="4" w:space="4" w:color="auto"/>
        </w:pBdr>
      </w:pPr>
      <w:r>
        <w:t>Corporation / partnership details (where relevant): N/A</w:t>
      </w:r>
    </w:p>
    <w:p w14:paraId="4248B07C" w14:textId="77777777" w:rsidR="00191215" w:rsidRDefault="003F4C5A">
      <w:pPr>
        <w:pBdr>
          <w:top w:val="single" w:sz="4" w:space="1" w:color="auto"/>
          <w:left w:val="single" w:sz="4" w:space="4" w:color="auto"/>
          <w:bottom w:val="single" w:sz="4" w:space="1" w:color="auto"/>
          <w:right w:val="single" w:sz="4" w:space="4" w:color="auto"/>
        </w:pBdr>
      </w:pPr>
      <w:r>
        <w:t>Corporation name: Proteomics International Pty Ltd</w:t>
      </w:r>
    </w:p>
    <w:p w14:paraId="79A75E35" w14:textId="77777777" w:rsidR="00191215" w:rsidRDefault="003F4C5A">
      <w:pPr>
        <w:pBdr>
          <w:top w:val="single" w:sz="4" w:space="1" w:color="auto"/>
          <w:left w:val="single" w:sz="4" w:space="4" w:color="auto"/>
          <w:bottom w:val="single" w:sz="4" w:space="1" w:color="auto"/>
          <w:right w:val="single" w:sz="4" w:space="4" w:color="auto"/>
        </w:pBdr>
      </w:pPr>
      <w:r>
        <w:t>ABN: 78 096 013 455</w:t>
      </w:r>
    </w:p>
    <w:p w14:paraId="24D61D4D" w14:textId="77777777" w:rsidR="00191215" w:rsidRDefault="003F4C5A">
      <w:pPr>
        <w:pBdr>
          <w:top w:val="single" w:sz="4" w:space="1" w:color="auto"/>
          <w:left w:val="single" w:sz="4" w:space="4" w:color="auto"/>
          <w:bottom w:val="single" w:sz="4" w:space="1" w:color="auto"/>
          <w:right w:val="single" w:sz="4" w:space="4" w:color="auto"/>
        </w:pBdr>
      </w:pPr>
      <w:r>
        <w:t>Business trading name: Proteomics International Pty Ltd</w:t>
      </w:r>
    </w:p>
    <w:p w14:paraId="452EEB2A" w14:textId="77777777" w:rsidR="00191215" w:rsidRDefault="00191215"/>
    <w:p w14:paraId="34007C15" w14:textId="185034D1" w:rsidR="00191215" w:rsidRPr="00190BB0" w:rsidRDefault="003F4C5A">
      <w:pPr>
        <w:rPr>
          <w:b/>
        </w:rPr>
      </w:pPr>
      <w:r w:rsidRPr="00190BB0">
        <w:rPr>
          <w:b/>
        </w:rPr>
        <w:t xml:space="preserve">Primary contact name: </w:t>
      </w:r>
      <w:r w:rsidR="00190BB0" w:rsidRPr="00190BB0">
        <w:rPr>
          <w:b/>
          <w:bCs/>
          <w:sz w:val="22"/>
          <w:szCs w:val="24"/>
        </w:rPr>
        <w:t>REDACTED</w:t>
      </w:r>
    </w:p>
    <w:p w14:paraId="11A4F298" w14:textId="77777777" w:rsidR="00191215" w:rsidRPr="00190BB0" w:rsidRDefault="003F4C5A">
      <w:pPr>
        <w:pBdr>
          <w:top w:val="single" w:sz="4" w:space="1" w:color="auto"/>
          <w:left w:val="single" w:sz="4" w:space="4" w:color="auto"/>
          <w:bottom w:val="single" w:sz="4" w:space="1" w:color="auto"/>
          <w:right w:val="single" w:sz="4" w:space="4" w:color="auto"/>
        </w:pBdr>
      </w:pPr>
      <w:r w:rsidRPr="00190BB0">
        <w:t>Primary contact numbers</w:t>
      </w:r>
    </w:p>
    <w:p w14:paraId="7FFB7733" w14:textId="453977DD" w:rsidR="00191215" w:rsidRPr="00190BB0" w:rsidRDefault="003F4C5A">
      <w:pPr>
        <w:pBdr>
          <w:top w:val="single" w:sz="4" w:space="1" w:color="auto"/>
          <w:left w:val="single" w:sz="4" w:space="4" w:color="auto"/>
          <w:bottom w:val="single" w:sz="4" w:space="1" w:color="auto"/>
          <w:right w:val="single" w:sz="4" w:space="4" w:color="auto"/>
        </w:pBdr>
      </w:pPr>
      <w:r w:rsidRPr="00190BB0">
        <w:t xml:space="preserve">Business: </w:t>
      </w:r>
      <w:bookmarkStart w:id="1" w:name="_Hlk78409149"/>
      <w:r w:rsidR="00B40078" w:rsidRPr="00190BB0">
        <w:rPr>
          <w:b/>
          <w:bCs/>
        </w:rPr>
        <w:t>REDACTED</w:t>
      </w:r>
      <w:bookmarkEnd w:id="1"/>
    </w:p>
    <w:p w14:paraId="6D18D264" w14:textId="3276B59D" w:rsidR="00191215" w:rsidRPr="00190BB0" w:rsidRDefault="003F4C5A">
      <w:pPr>
        <w:pBdr>
          <w:top w:val="single" w:sz="4" w:space="1" w:color="auto"/>
          <w:left w:val="single" w:sz="4" w:space="4" w:color="auto"/>
          <w:bottom w:val="single" w:sz="4" w:space="1" w:color="auto"/>
          <w:right w:val="single" w:sz="4" w:space="4" w:color="auto"/>
        </w:pBdr>
      </w:pPr>
      <w:r w:rsidRPr="00190BB0">
        <w:t>Mobile:</w:t>
      </w:r>
      <w:r w:rsidRPr="00190BB0">
        <w:tab/>
      </w:r>
      <w:r w:rsidR="00B40078" w:rsidRPr="00190BB0">
        <w:rPr>
          <w:b/>
          <w:bCs/>
        </w:rPr>
        <w:t>REDACTED</w:t>
      </w:r>
    </w:p>
    <w:p w14:paraId="6C4C31B3" w14:textId="00E4A045" w:rsidR="00191215" w:rsidRPr="00190BB0" w:rsidRDefault="003F4C5A">
      <w:pPr>
        <w:pBdr>
          <w:top w:val="single" w:sz="4" w:space="1" w:color="auto"/>
          <w:left w:val="single" w:sz="4" w:space="4" w:color="auto"/>
          <w:bottom w:val="single" w:sz="4" w:space="1" w:color="auto"/>
          <w:right w:val="single" w:sz="4" w:space="4" w:color="auto"/>
        </w:pBdr>
      </w:pPr>
      <w:r w:rsidRPr="00190BB0">
        <w:t xml:space="preserve">Email: </w:t>
      </w:r>
      <w:r w:rsidR="00B40078" w:rsidRPr="00190BB0">
        <w:rPr>
          <w:b/>
          <w:bCs/>
        </w:rPr>
        <w:t>REDACTED</w:t>
      </w:r>
    </w:p>
    <w:p w14:paraId="421B851B" w14:textId="77777777" w:rsidR="00191215" w:rsidRPr="00190BB0" w:rsidRDefault="00191215">
      <w:pPr>
        <w:rPr>
          <w:b/>
        </w:rPr>
      </w:pPr>
    </w:p>
    <w:p w14:paraId="34CE37FF" w14:textId="1C01286C" w:rsidR="00191215" w:rsidRPr="00190BB0" w:rsidRDefault="003F4C5A">
      <w:pPr>
        <w:rPr>
          <w:b/>
        </w:rPr>
      </w:pPr>
      <w:r w:rsidRPr="00190BB0">
        <w:rPr>
          <w:b/>
        </w:rPr>
        <w:t xml:space="preserve">Alternative contact name: </w:t>
      </w:r>
      <w:r w:rsidR="00190BB0" w:rsidRPr="00190BB0">
        <w:rPr>
          <w:b/>
          <w:bCs/>
          <w:sz w:val="22"/>
          <w:szCs w:val="24"/>
        </w:rPr>
        <w:t>REDACTED</w:t>
      </w:r>
    </w:p>
    <w:p w14:paraId="66470DA6" w14:textId="77777777" w:rsidR="00191215" w:rsidRPr="00190BB0" w:rsidRDefault="003F4C5A">
      <w:pPr>
        <w:pBdr>
          <w:top w:val="single" w:sz="4" w:space="1" w:color="auto"/>
          <w:left w:val="single" w:sz="4" w:space="4" w:color="auto"/>
          <w:bottom w:val="single" w:sz="4" w:space="1" w:color="auto"/>
          <w:right w:val="single" w:sz="4" w:space="4" w:color="auto"/>
        </w:pBdr>
      </w:pPr>
      <w:r w:rsidRPr="00190BB0">
        <w:t>Alternative contact numbers</w:t>
      </w:r>
      <w:r w:rsidRPr="00190BB0">
        <w:tab/>
      </w:r>
    </w:p>
    <w:p w14:paraId="4EE3753E" w14:textId="7F2E7E49" w:rsidR="00191215" w:rsidRPr="00190BB0" w:rsidRDefault="003F4C5A">
      <w:pPr>
        <w:pBdr>
          <w:top w:val="single" w:sz="4" w:space="1" w:color="auto"/>
          <w:left w:val="single" w:sz="4" w:space="4" w:color="auto"/>
          <w:bottom w:val="single" w:sz="4" w:space="1" w:color="auto"/>
          <w:right w:val="single" w:sz="4" w:space="4" w:color="auto"/>
        </w:pBdr>
      </w:pPr>
      <w:r w:rsidRPr="00190BB0">
        <w:t xml:space="preserve">Business: </w:t>
      </w:r>
      <w:r w:rsidR="00B40078" w:rsidRPr="00190BB0">
        <w:rPr>
          <w:b/>
          <w:bCs/>
        </w:rPr>
        <w:t>REDACTED</w:t>
      </w:r>
    </w:p>
    <w:p w14:paraId="0715A07F" w14:textId="301033D2" w:rsidR="00191215" w:rsidRPr="00190BB0" w:rsidRDefault="003F4C5A">
      <w:pPr>
        <w:pBdr>
          <w:top w:val="single" w:sz="4" w:space="1" w:color="auto"/>
          <w:left w:val="single" w:sz="4" w:space="4" w:color="auto"/>
          <w:bottom w:val="single" w:sz="4" w:space="1" w:color="auto"/>
          <w:right w:val="single" w:sz="4" w:space="4" w:color="auto"/>
        </w:pBdr>
      </w:pPr>
      <w:r w:rsidRPr="00190BB0">
        <w:t xml:space="preserve">Mobile: </w:t>
      </w:r>
      <w:r w:rsidR="00B40078" w:rsidRPr="00190BB0">
        <w:rPr>
          <w:b/>
          <w:bCs/>
        </w:rPr>
        <w:t>REDACTED</w:t>
      </w:r>
    </w:p>
    <w:p w14:paraId="63BADADC" w14:textId="09729005" w:rsidR="00191215" w:rsidRDefault="003F4C5A">
      <w:pPr>
        <w:pBdr>
          <w:top w:val="single" w:sz="4" w:space="1" w:color="auto"/>
          <w:left w:val="single" w:sz="4" w:space="4" w:color="auto"/>
          <w:bottom w:val="single" w:sz="4" w:space="1" w:color="auto"/>
          <w:right w:val="single" w:sz="4" w:space="4" w:color="auto"/>
        </w:pBdr>
      </w:pPr>
      <w:r w:rsidRPr="00190BB0">
        <w:t xml:space="preserve">Email: </w:t>
      </w:r>
      <w:r w:rsidR="00B40078" w:rsidRPr="00190BB0">
        <w:rPr>
          <w:b/>
          <w:bCs/>
        </w:rPr>
        <w:t>REDACTED</w:t>
      </w:r>
      <w:r>
        <w:t xml:space="preserve"> </w:t>
      </w:r>
    </w:p>
    <w:p w14:paraId="126B2901" w14:textId="77777777" w:rsidR="00191215" w:rsidRDefault="00191215"/>
    <w:p w14:paraId="3410C13D" w14:textId="77777777" w:rsidR="00191215" w:rsidRDefault="003F4C5A">
      <w:pPr>
        <w:pStyle w:val="Heading2"/>
      </w:pPr>
      <w:r>
        <w:t>(a) Are you a consultant acting on behalf on an applicant?</w:t>
      </w:r>
    </w:p>
    <w:p w14:paraId="01D20BA5" w14:textId="77777777" w:rsidR="00191215" w:rsidRDefault="003F4C5A">
      <w:pPr>
        <w:spacing w:before="0" w:after="0"/>
        <w:ind w:left="426"/>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455523">
        <w:rPr>
          <w:szCs w:val="20"/>
        </w:rPr>
      </w:r>
      <w:r w:rsidR="00455523">
        <w:rPr>
          <w:szCs w:val="20"/>
        </w:rPr>
        <w:fldChar w:fldCharType="separate"/>
      </w:r>
      <w:r>
        <w:rPr>
          <w:szCs w:val="20"/>
        </w:rPr>
        <w:fldChar w:fldCharType="end"/>
      </w:r>
      <w:bookmarkEnd w:id="2"/>
      <w:r>
        <w:rPr>
          <w:szCs w:val="20"/>
        </w:rPr>
        <w:t xml:space="preserve"> Yes</w:t>
      </w:r>
    </w:p>
    <w:p w14:paraId="72155B2E" w14:textId="77777777" w:rsidR="00191215" w:rsidRDefault="003F4C5A">
      <w:pPr>
        <w:spacing w:before="0" w:after="0"/>
        <w:ind w:left="426"/>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No  </w:t>
      </w:r>
    </w:p>
    <w:p w14:paraId="3857F44B" w14:textId="77777777" w:rsidR="00191215" w:rsidRDefault="003F4C5A">
      <w:pPr>
        <w:ind w:firstLine="426"/>
      </w:pPr>
      <w:r>
        <w:rPr>
          <w:b/>
        </w:rPr>
        <w:t>(b) If yes what is the Applicant(s) name that you are acting on behalf of?</w:t>
      </w:r>
      <w:bookmarkStart w:id="3" w:name="_Hlk77143376"/>
      <w:r>
        <w:t xml:space="preserve"> </w:t>
      </w:r>
    </w:p>
    <w:p w14:paraId="2143A01D" w14:textId="77777777" w:rsidR="00191215" w:rsidRDefault="003F4C5A">
      <w:pPr>
        <w:ind w:firstLine="426"/>
      </w:pPr>
      <w:r>
        <w:t>Proteomics International Pty Ltd</w:t>
      </w:r>
      <w:bookmarkEnd w:id="3"/>
    </w:p>
    <w:p w14:paraId="3A623B39" w14:textId="77777777" w:rsidR="00191215" w:rsidRDefault="003F4C5A">
      <w:pPr>
        <w:pStyle w:val="Heading2"/>
      </w:pPr>
      <w:r>
        <w:t>(a) Are you a lobbyist acting on behalf of an Applicant?</w:t>
      </w:r>
    </w:p>
    <w:p w14:paraId="6586C682" w14:textId="77777777" w:rsidR="00191215" w:rsidRDefault="003F4C5A">
      <w:pPr>
        <w:spacing w:before="0" w:after="0"/>
        <w:ind w:left="426"/>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Yes</w:t>
      </w:r>
    </w:p>
    <w:p w14:paraId="7E7A4A08" w14:textId="77777777" w:rsidR="00191215" w:rsidRDefault="003F4C5A">
      <w:pPr>
        <w:spacing w:before="0" w:after="0"/>
        <w:ind w:left="426"/>
        <w:rPr>
          <w:szCs w:val="20"/>
        </w:rPr>
      </w:pPr>
      <w:r>
        <w:rPr>
          <w:szCs w:val="20"/>
        </w:rPr>
        <w:fldChar w:fldCharType="begin">
          <w:ffData>
            <w:name w:val="Check2"/>
            <w:enabled/>
            <w:calcOnExit w:val="0"/>
            <w:checkBox>
              <w:sizeAuto/>
              <w:default w:val="1"/>
            </w:checkBox>
          </w:ffData>
        </w:fldChar>
      </w:r>
      <w:bookmarkStart w:id="4" w:name="Check2"/>
      <w:r>
        <w:rPr>
          <w:szCs w:val="20"/>
        </w:rPr>
        <w:instrText xml:space="preserve"> FORMCHECKBOX </w:instrText>
      </w:r>
      <w:r w:rsidR="00455523">
        <w:rPr>
          <w:szCs w:val="20"/>
        </w:rPr>
      </w:r>
      <w:r w:rsidR="00455523">
        <w:rPr>
          <w:szCs w:val="20"/>
        </w:rPr>
        <w:fldChar w:fldCharType="separate"/>
      </w:r>
      <w:r>
        <w:rPr>
          <w:szCs w:val="20"/>
        </w:rPr>
        <w:fldChar w:fldCharType="end"/>
      </w:r>
      <w:bookmarkEnd w:id="4"/>
      <w:r>
        <w:rPr>
          <w:szCs w:val="20"/>
        </w:rPr>
        <w:t xml:space="preserve"> No  </w:t>
      </w:r>
    </w:p>
    <w:p w14:paraId="347708D2" w14:textId="77777777" w:rsidR="00191215" w:rsidRDefault="003F4C5A">
      <w:pPr>
        <w:pStyle w:val="Heading2"/>
        <w:numPr>
          <w:ilvl w:val="0"/>
          <w:numId w:val="2"/>
        </w:numPr>
      </w:pPr>
      <w:r>
        <w:t>If yes, are you listed on the Register of Lobbyists?</w:t>
      </w:r>
    </w:p>
    <w:p w14:paraId="559A3A21" w14:textId="77777777" w:rsidR="00191215" w:rsidRDefault="003F4C5A">
      <w:pPr>
        <w:spacing w:before="0" w:after="0"/>
        <w:ind w:left="378"/>
        <w:rPr>
          <w:szCs w:val="20"/>
        </w:rPr>
      </w:pPr>
      <w:r>
        <w:rPr>
          <w:szCs w:val="20"/>
        </w:rPr>
        <w:t>Not applicable</w:t>
      </w:r>
    </w:p>
    <w:p w14:paraId="18B4D5AA" w14:textId="77777777" w:rsidR="00191215" w:rsidRDefault="003F4C5A">
      <w:pPr>
        <w:pStyle w:val="Heading2"/>
        <w:numPr>
          <w:ilvl w:val="0"/>
          <w:numId w:val="2"/>
        </w:numPr>
      </w:pPr>
      <w:r>
        <w:t>Have you engaged a consultant on your behalf?</w:t>
      </w:r>
    </w:p>
    <w:p w14:paraId="6C758DC8" w14:textId="77777777" w:rsidR="00191215" w:rsidRDefault="003F4C5A">
      <w:pPr>
        <w:spacing w:before="0" w:after="0"/>
        <w:ind w:left="360"/>
        <w:rPr>
          <w:szCs w:val="20"/>
        </w:rPr>
      </w:pPr>
      <w:r>
        <w:rPr>
          <w:szCs w:val="20"/>
        </w:rPr>
        <w:t>Not applicable</w:t>
      </w:r>
    </w:p>
    <w:p w14:paraId="74CD263E" w14:textId="77777777" w:rsidR="00191215" w:rsidRDefault="00191215">
      <w:pPr>
        <w:spacing w:before="0" w:after="0"/>
        <w:ind w:left="426"/>
        <w:rPr>
          <w:szCs w:val="20"/>
        </w:rPr>
      </w:pPr>
    </w:p>
    <w:p w14:paraId="7D410AA3" w14:textId="77777777" w:rsidR="00191215" w:rsidRDefault="00191215">
      <w:pPr>
        <w:spacing w:before="0" w:after="0"/>
        <w:ind w:left="426"/>
        <w:rPr>
          <w:szCs w:val="20"/>
        </w:rPr>
      </w:pPr>
    </w:p>
    <w:p w14:paraId="434201A1" w14:textId="77777777" w:rsidR="00191215" w:rsidRDefault="003F4C5A">
      <w:pPr>
        <w:spacing w:before="0" w:after="0"/>
        <w:ind w:left="426"/>
        <w:rPr>
          <w:b/>
          <w:szCs w:val="20"/>
        </w:rPr>
      </w:pPr>
      <w:r>
        <w:rPr>
          <w:b/>
          <w:szCs w:val="20"/>
        </w:rPr>
        <w:br w:type="page"/>
      </w:r>
    </w:p>
    <w:p w14:paraId="5645656A" w14:textId="77777777" w:rsidR="00191215" w:rsidRDefault="003F4C5A">
      <w:pPr>
        <w:pStyle w:val="Heading1"/>
      </w:pPr>
      <w:r>
        <w:t>PART 2 – INFORMATION ABOUT THE PROPOSED MEDICAL SERVICE</w:t>
      </w:r>
    </w:p>
    <w:p w14:paraId="3F506AE0" w14:textId="77777777" w:rsidR="00191215" w:rsidRDefault="003F4C5A">
      <w:pPr>
        <w:pStyle w:val="Heading2"/>
      </w:pPr>
      <w:r>
        <w:t xml:space="preserve">Application title </w:t>
      </w:r>
    </w:p>
    <w:p w14:paraId="0B20E546" w14:textId="77777777" w:rsidR="00191215" w:rsidRDefault="003F4C5A">
      <w:pPr>
        <w:ind w:left="364" w:hanging="14"/>
      </w:pPr>
      <w:proofErr w:type="spellStart"/>
      <w:r>
        <w:t>PromarkerD</w:t>
      </w:r>
      <w:proofErr w:type="spellEnd"/>
      <w:r>
        <w:t xml:space="preserve"> – A predictive test for diabetic kidney disease risk in people with type 2 diabetes</w:t>
      </w:r>
    </w:p>
    <w:p w14:paraId="0808765D" w14:textId="70E9AAEF" w:rsidR="00191215" w:rsidRDefault="003F4C5A">
      <w:pPr>
        <w:pStyle w:val="Heading2"/>
      </w:pPr>
      <w:r>
        <w:t>Provide a succinct description of the medical condition relevant to the proposed service (no more than</w:t>
      </w:r>
      <w:r w:rsidR="001B1215">
        <w:t xml:space="preserve"> 150 </w:t>
      </w:r>
      <w:r>
        <w:t>words – further information will be requested at Part F of the Application Form)</w:t>
      </w:r>
    </w:p>
    <w:p w14:paraId="47B18FA6" w14:textId="01137D26" w:rsidR="00191215" w:rsidRDefault="003F4C5A" w:rsidP="008944A2">
      <w:pPr>
        <w:ind w:left="352"/>
        <w:jc w:val="both"/>
      </w:pPr>
      <w:r>
        <w:t>Type 2 diabetes mellitus (T2D) is the leading cause of chronic kidney disease (CKD), accounting</w:t>
      </w:r>
      <w:r>
        <w:rPr>
          <w:b/>
        </w:rPr>
        <w:t xml:space="preserve"> </w:t>
      </w:r>
      <w:r>
        <w:t xml:space="preserve">for up to 50% of cases worldwide </w:t>
      </w:r>
      <w:r>
        <w:fldChar w:fldCharType="begin"/>
      </w:r>
      <w:r>
        <w:instrText xml:space="preserve"> ADDIN EN.CITE &lt;EndNote&gt;&lt;Cite&gt;&lt;Author&gt;Webster&lt;/Author&gt;&lt;Year&gt;2017&lt;/Year&gt;&lt;RecNum&gt;14&lt;/RecNum&gt;&lt;DisplayText&gt;(Webster et al. 2017)&lt;/DisplayText&gt;&lt;record&gt;&lt;rec-number&gt;14&lt;/rec-number&gt;&lt;foreign-keys&gt;&lt;key app="EN" db-id="zfzas9fs9xszx0espvapzadd5dwa9t99wwdr" timestamp="1623822026"&gt;14&lt;/key&gt;&lt;/foreign-keys&gt;&lt;ref-type name="Journal Article"&gt;17&lt;/ref-type&gt;&lt;contributors&gt;&lt;authors&gt;&lt;author&gt;Webster, Angela C&lt;/author&gt;&lt;author&gt;Nagler, Evi V&lt;/author&gt;&lt;author&gt;Morton, Rachael L&lt;/author&gt;&lt;author&gt;Masson, Philip&lt;/author&gt;&lt;/authors&gt;&lt;/contributors&gt;&lt;titles&gt;&lt;title&gt;Chronic kidney disease&lt;/title&gt;&lt;secondary-title&gt;The lancet&lt;/secondary-title&gt;&lt;/titles&gt;&lt;periodical&gt;&lt;full-title&gt;The lancet&lt;/full-title&gt;&lt;/periodical&gt;&lt;pages&gt;1238-1252&lt;/pages&gt;&lt;volume&gt;389&lt;/volume&gt;&lt;number&gt;10075&lt;/number&gt;&lt;dates&gt;&lt;year&gt;2017&lt;/year&gt;&lt;/dates&gt;&lt;isbn&gt;0140-6736&lt;/isbn&gt;&lt;urls&gt;&lt;/urls&gt;&lt;/record&gt;&lt;/Cite&gt;&lt;/EndNote&gt;</w:instrText>
      </w:r>
      <w:r>
        <w:fldChar w:fldCharType="separate"/>
      </w:r>
      <w:r>
        <w:rPr>
          <w:noProof/>
        </w:rPr>
        <w:t>(Webster et al. 2017)</w:t>
      </w:r>
      <w:r>
        <w:fldChar w:fldCharType="end"/>
      </w:r>
      <w:r>
        <w:t xml:space="preserve">. </w:t>
      </w:r>
    </w:p>
    <w:p w14:paraId="01E0A02F" w14:textId="0EBEAE0F" w:rsidR="00191215" w:rsidRDefault="003F4C5A" w:rsidP="008944A2">
      <w:pPr>
        <w:ind w:left="352"/>
        <w:jc w:val="both"/>
      </w:pPr>
      <w:r>
        <w:t xml:space="preserve">The kidneys are the </w:t>
      </w:r>
      <w:r w:rsidR="007B5954">
        <w:t xml:space="preserve">body’s </w:t>
      </w:r>
      <w:r>
        <w:t xml:space="preserve">filtration system, removing waste and extra water from the blood. They also produce hormones and help to control blood pressure. When the kidneys are </w:t>
      </w:r>
      <w:r w:rsidR="002B5D16">
        <w:t>damaged,</w:t>
      </w:r>
      <w:r>
        <w:t xml:space="preserve"> they no longer function effectively causing waste to build up</w:t>
      </w:r>
      <w:r w:rsidR="00701D9A">
        <w:t xml:space="preserve"> leading to a range of</w:t>
      </w:r>
      <w:r>
        <w:t xml:space="preserve"> health problems.</w:t>
      </w:r>
    </w:p>
    <w:p w14:paraId="216DEC7D" w14:textId="023D347E" w:rsidR="00191215" w:rsidRDefault="003F4C5A" w:rsidP="008944A2">
      <w:pPr>
        <w:ind w:left="352"/>
        <w:jc w:val="both"/>
      </w:pPr>
      <w:r>
        <w:t xml:space="preserve">Symptoms of diabetes such as high blood glucose and high blood pressure can damage the kidneys </w:t>
      </w:r>
      <w:r w:rsidR="00701D9A">
        <w:t xml:space="preserve">causing </w:t>
      </w:r>
      <w:r>
        <w:t xml:space="preserve">diabetic nephropathy or diabetic kidney disease (DKD). Around 40% of patients with T2D develop DKD which can eventually lead to end-stage renal disease (ESRD) </w:t>
      </w:r>
      <w:r>
        <w:fldChar w:fldCharType="begin"/>
      </w:r>
      <w:r>
        <w:instrText xml:space="preserve"> ADDIN EN.CITE &lt;EndNote&gt;&lt;Cite&gt;&lt;Author&gt;Hussain&lt;/Author&gt;&lt;Year&gt;2021&lt;/Year&gt;&lt;RecNum&gt;10&lt;/RecNum&gt;&lt;DisplayText&gt;(Hussain et al. 2021)&lt;/DisplayText&gt;&lt;record&gt;&lt;rec-number&gt;10&lt;/rec-number&gt;&lt;foreign-keys&gt;&lt;key app="EN" db-id="zfzas9fs9xszx0espvapzadd5dwa9t99wwdr" timestamp="1623780403"&gt;10&lt;/key&gt;&lt;/foreign-keys&gt;&lt;ref-type name="Journal Article"&gt;17&lt;/ref-type&gt;&lt;contributors&gt;&lt;authors&gt;&lt;author&gt;Hussain, Salman&lt;/author&gt;&lt;author&gt;Jamali, Mohammad Chand&lt;/author&gt;&lt;author&gt;Habib, Anwar&lt;/author&gt;&lt;author&gt;Hussain, Md Sarfaraj&lt;/author&gt;&lt;author&gt;Akhtar, Mohd&lt;/author&gt;&lt;author&gt;Najmi, Abul Kalam&lt;/author&gt;&lt;/authors&gt;&lt;/contributors&gt;&lt;titles&gt;&lt;title&gt;Diabetic kidney disease: An overview of prevalence, risk factors, and biomarkers&lt;/title&gt;&lt;secondary-title&gt;Clinical Epidemiology and Global Health&lt;/secondary-title&gt;&lt;/titles&gt;&lt;periodical&gt;&lt;full-title&gt;Clinical Epidemiology and Global Health&lt;/full-title&gt;&lt;/periodical&gt;&lt;pages&gt;2-6&lt;/pages&gt;&lt;volume&gt;9&lt;/volume&gt;&lt;dates&gt;&lt;year&gt;2021&lt;/year&gt;&lt;/dates&gt;&lt;isbn&gt;2213-3984&lt;/isbn&gt;&lt;urls&gt;&lt;/urls&gt;&lt;/record&gt;&lt;/Cite&gt;&lt;/EndNote&gt;</w:instrText>
      </w:r>
      <w:r>
        <w:fldChar w:fldCharType="separate"/>
      </w:r>
      <w:r>
        <w:rPr>
          <w:noProof/>
        </w:rPr>
        <w:t>(Hussain et al. 2021)</w:t>
      </w:r>
      <w:r>
        <w:fldChar w:fldCharType="end"/>
      </w:r>
      <w:r>
        <w:t xml:space="preserve">. Individuals with </w:t>
      </w:r>
      <w:r w:rsidR="00953AFE">
        <w:t>ESRD</w:t>
      </w:r>
      <w:r>
        <w:t xml:space="preserve"> require haemodialysis and eventually kidney transplantation. </w:t>
      </w:r>
    </w:p>
    <w:p w14:paraId="1DC26940" w14:textId="5D2E3BA5" w:rsidR="00191215" w:rsidRDefault="003F4C5A" w:rsidP="008944A2">
      <w:pPr>
        <w:ind w:left="352"/>
        <w:jc w:val="both"/>
      </w:pPr>
      <w:r>
        <w:t>Early detection of DKD and the implementation of intervention measures is important in reducing further kidney damage and hence progression of the disease.</w:t>
      </w:r>
    </w:p>
    <w:p w14:paraId="464C7A5E" w14:textId="7917A189" w:rsidR="00191215" w:rsidRDefault="003F4C5A">
      <w:pPr>
        <w:pStyle w:val="Heading2"/>
      </w:pPr>
      <w:r>
        <w:t>Provide a succinct description of the proposed medical service (no more than</w:t>
      </w:r>
      <w:r w:rsidR="005036A7">
        <w:t xml:space="preserve"> 150 </w:t>
      </w:r>
      <w:r>
        <w:t>words – further information will be requested at Part 6 of the Application Form)</w:t>
      </w:r>
    </w:p>
    <w:p w14:paraId="0DEE01CA" w14:textId="356CBB01" w:rsidR="003C1D70" w:rsidRDefault="003C1D70" w:rsidP="008944A2">
      <w:pPr>
        <w:ind w:left="357"/>
        <w:jc w:val="both"/>
      </w:pPr>
      <w:proofErr w:type="spellStart"/>
      <w:r>
        <w:rPr>
          <w:rFonts w:cstheme="minorHAnsi"/>
          <w:szCs w:val="20"/>
        </w:rPr>
        <w:t>PromarkerD</w:t>
      </w:r>
      <w:proofErr w:type="spellEnd"/>
      <w:r>
        <w:rPr>
          <w:rFonts w:cstheme="minorHAnsi"/>
          <w:szCs w:val="20"/>
        </w:rPr>
        <w:t xml:space="preserve"> is an in</w:t>
      </w:r>
      <w:r w:rsidR="006B2EB0">
        <w:rPr>
          <w:rFonts w:cstheme="minorHAnsi"/>
          <w:szCs w:val="20"/>
        </w:rPr>
        <w:t>-</w:t>
      </w:r>
      <w:r>
        <w:rPr>
          <w:rFonts w:cstheme="minorHAnsi"/>
          <w:szCs w:val="20"/>
        </w:rPr>
        <w:t>vitro quantitative blood test designed to predict incident DKD or progression of DKD in patients with T2D</w:t>
      </w:r>
      <w:r w:rsidR="005036A7">
        <w:rPr>
          <w:rFonts w:cstheme="minorHAnsi"/>
          <w:szCs w:val="20"/>
        </w:rPr>
        <w:t>.</w:t>
      </w:r>
    </w:p>
    <w:p w14:paraId="7EFF31E0" w14:textId="33A4BA93" w:rsidR="00191215" w:rsidRDefault="003C1D70" w:rsidP="008944A2">
      <w:pPr>
        <w:ind w:left="357"/>
        <w:jc w:val="both"/>
        <w:rPr>
          <w:szCs w:val="20"/>
        </w:rPr>
      </w:pPr>
      <w:r>
        <w:t>The</w:t>
      </w:r>
      <w:r w:rsidR="003F4C5A">
        <w:t xml:space="preserve"> test </w:t>
      </w:r>
      <w:r>
        <w:t>measures</w:t>
      </w:r>
      <w:r w:rsidR="003F4C5A">
        <w:t xml:space="preserve"> three novel plasma </w:t>
      </w:r>
      <w:r w:rsidR="003F4C5A">
        <w:rPr>
          <w:szCs w:val="20"/>
        </w:rPr>
        <w:t>protein biomarkers (</w:t>
      </w:r>
      <w:r w:rsidR="007F1B8B">
        <w:rPr>
          <w:szCs w:val="20"/>
        </w:rPr>
        <w:t>ApoA4</w:t>
      </w:r>
      <w:r w:rsidR="003F4C5A">
        <w:rPr>
          <w:szCs w:val="20"/>
        </w:rPr>
        <w:t xml:space="preserve">, CD5L and IBP3) combined with clinical factors (age, HDL-cholesterol, estimated glomerular filtration rate (eGFR)) to generate prognostic risk scores </w:t>
      </w:r>
      <w:r w:rsidR="00953AFE">
        <w:rPr>
          <w:szCs w:val="20"/>
        </w:rPr>
        <w:t>for</w:t>
      </w:r>
      <w:r w:rsidR="003F4C5A">
        <w:rPr>
          <w:szCs w:val="20"/>
        </w:rPr>
        <w:t xml:space="preserve"> DKD in patients with T2D. </w:t>
      </w:r>
      <w:r w:rsidR="005036A7">
        <w:rPr>
          <w:szCs w:val="20"/>
        </w:rPr>
        <w:t xml:space="preserve">The concentrations of </w:t>
      </w:r>
      <w:r w:rsidR="007B5954">
        <w:rPr>
          <w:szCs w:val="20"/>
        </w:rPr>
        <w:t xml:space="preserve">the </w:t>
      </w:r>
      <w:r w:rsidR="005036A7">
        <w:rPr>
          <w:szCs w:val="20"/>
        </w:rPr>
        <w:t xml:space="preserve">biomarkers, along with the clinical factors, are entered into the </w:t>
      </w:r>
      <w:proofErr w:type="spellStart"/>
      <w:r w:rsidR="005036A7">
        <w:rPr>
          <w:szCs w:val="20"/>
        </w:rPr>
        <w:t>PromarkerD</w:t>
      </w:r>
      <w:proofErr w:type="spellEnd"/>
      <w:r w:rsidR="005036A7">
        <w:rPr>
          <w:szCs w:val="20"/>
        </w:rPr>
        <w:t xml:space="preserve"> Hub, a static proprietary software algorithm which characterises p</w:t>
      </w:r>
      <w:r w:rsidR="003F4C5A">
        <w:rPr>
          <w:szCs w:val="20"/>
        </w:rPr>
        <w:t>atients as low-risk, moderate-risk, or high-risk of developing DKD (defined as eGFR below 60 mL/min/1.73m</w:t>
      </w:r>
      <w:r w:rsidR="003F4C5A">
        <w:rPr>
          <w:szCs w:val="20"/>
          <w:vertAlign w:val="superscript"/>
        </w:rPr>
        <w:t>2</w:t>
      </w:r>
      <w:r w:rsidR="003F4C5A">
        <w:rPr>
          <w:szCs w:val="20"/>
        </w:rPr>
        <w:t xml:space="preserve">) </w:t>
      </w:r>
      <w:r w:rsidR="007B5954">
        <w:rPr>
          <w:szCs w:val="20"/>
        </w:rPr>
        <w:t>with</w:t>
      </w:r>
      <w:r w:rsidR="003F4C5A">
        <w:rPr>
          <w:szCs w:val="20"/>
        </w:rPr>
        <w:t>in 4 years, or a decline in eGFR of ≥30% over 4 years.</w:t>
      </w:r>
    </w:p>
    <w:p w14:paraId="3729B1D1" w14:textId="21949BEB" w:rsidR="00191215" w:rsidRDefault="003F4C5A" w:rsidP="008944A2">
      <w:pPr>
        <w:ind w:left="357"/>
        <w:jc w:val="both"/>
        <w:rPr>
          <w:szCs w:val="20"/>
        </w:rPr>
      </w:pPr>
      <w:r>
        <w:rPr>
          <w:szCs w:val="20"/>
        </w:rPr>
        <w:t xml:space="preserve">Over 95% of patients with kidney damage or reduced kidney function are asymptomatic meaning early detection and treatment of DKD is essential to prevent further kidney injury. </w:t>
      </w:r>
      <w:proofErr w:type="spellStart"/>
      <w:r>
        <w:rPr>
          <w:szCs w:val="20"/>
        </w:rPr>
        <w:t>PromarkerD</w:t>
      </w:r>
      <w:proofErr w:type="spellEnd"/>
      <w:r>
        <w:rPr>
          <w:szCs w:val="20"/>
        </w:rPr>
        <w:t xml:space="preserve"> can predict the risk of DKD in patients with T2D before kidney damage occurs. </w:t>
      </w:r>
    </w:p>
    <w:p w14:paraId="559782CE" w14:textId="77777777" w:rsidR="00191215" w:rsidRDefault="003F4C5A">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(a) Is this a request for MBS funding?</w:t>
      </w:r>
    </w:p>
    <w:p w14:paraId="3081F78C" w14:textId="77777777" w:rsidR="00191215" w:rsidRDefault="003F4C5A" w:rsidP="008944A2">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Yes</w:t>
      </w:r>
    </w:p>
    <w:p w14:paraId="4BF9B299" w14:textId="05089B8E" w:rsidR="00191215" w:rsidRDefault="003F4C5A" w:rsidP="008944A2">
      <w:pPr>
        <w:spacing w:before="0"/>
        <w:ind w:left="360"/>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No  </w:t>
      </w:r>
    </w:p>
    <w:p w14:paraId="45457E29" w14:textId="77777777" w:rsidR="00191215" w:rsidRDefault="003F4C5A">
      <w:pPr>
        <w:pStyle w:val="Heading2"/>
        <w:numPr>
          <w:ilvl w:val="0"/>
          <w:numId w:val="3"/>
        </w:numPr>
        <w:rPr>
          <w:rStyle w:val="Strong"/>
          <w:rFonts w:asciiTheme="minorHAnsi" w:eastAsiaTheme="minorHAnsi" w:hAnsiTheme="minorHAnsi" w:cstheme="minorBidi"/>
          <w:b/>
        </w:rPr>
      </w:pPr>
      <w:r>
        <w:rPr>
          <w:rStyle w:val="Strong"/>
          <w:rFonts w:asciiTheme="minorHAnsi" w:eastAsiaTheme="minorHAnsi" w:hAnsiTheme="minorHAnsi" w:cstheme="minorBidi"/>
          <w:b/>
        </w:rPr>
        <w:t>If yes, is the medical service(s) proposed to be covered under an existing MBS item number(s) or is a new MBS item(s) being sought altogether?</w:t>
      </w:r>
    </w:p>
    <w:p w14:paraId="1605B7EC" w14:textId="77777777" w:rsidR="00191215" w:rsidRDefault="003F4C5A" w:rsidP="008944A2">
      <w:pPr>
        <w:spacing w:before="0" w:after="0"/>
        <w:ind w:left="360"/>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Amendment to existing MBS item(s)</w:t>
      </w:r>
    </w:p>
    <w:p w14:paraId="746DA815" w14:textId="77777777" w:rsidR="00191215" w:rsidRDefault="003F4C5A" w:rsidP="008944A2">
      <w:pPr>
        <w:spacing w:before="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New MBS item(s)</w:t>
      </w:r>
    </w:p>
    <w:p w14:paraId="2DD6152E" w14:textId="36443D66" w:rsidR="00191215" w:rsidRDefault="003F4C5A">
      <w:pPr>
        <w:pStyle w:val="Heading2"/>
        <w:numPr>
          <w:ilvl w:val="0"/>
          <w:numId w:val="3"/>
        </w:numPr>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If an amendment to an existing item(s) is being sought, please list the relevant MBS item number(s) that are to be amended to include the proposed medical service/technology: </w:t>
      </w:r>
    </w:p>
    <w:p w14:paraId="154773D4" w14:textId="7042AF4D" w:rsidR="00191215" w:rsidRPr="008944A2" w:rsidRDefault="003F4C5A" w:rsidP="008944A2">
      <w:pPr>
        <w:ind w:firstLine="360"/>
      </w:pPr>
      <w:r w:rsidRPr="008944A2">
        <w:t xml:space="preserve">N/A </w:t>
      </w:r>
    </w:p>
    <w:p w14:paraId="713349D4" w14:textId="77777777" w:rsidR="00191215" w:rsidRDefault="003F4C5A">
      <w:pPr>
        <w:pStyle w:val="Heading2"/>
        <w:numPr>
          <w:ilvl w:val="0"/>
          <w:numId w:val="3"/>
        </w:numPr>
        <w:rPr>
          <w:rStyle w:val="Strong"/>
          <w:rFonts w:asciiTheme="minorHAnsi" w:eastAsiaTheme="minorHAnsi" w:hAnsiTheme="minorHAnsi" w:cstheme="minorBidi"/>
          <w:b/>
        </w:rPr>
      </w:pPr>
      <w:r>
        <w:rPr>
          <w:rStyle w:val="Strong"/>
          <w:rFonts w:asciiTheme="minorHAnsi" w:eastAsiaTheme="minorHAnsi" w:hAnsiTheme="minorHAnsi" w:cstheme="minorBidi"/>
          <w:b/>
        </w:rPr>
        <w:t>If an amendment to an existing item(s) is being sought, what is the nature of the amendment(s)?</w:t>
      </w:r>
    </w:p>
    <w:p w14:paraId="53E881B7" w14:textId="494C092B" w:rsidR="00191215" w:rsidRPr="008944A2" w:rsidRDefault="003F4C5A" w:rsidP="008944A2">
      <w:pPr>
        <w:ind w:firstLine="360"/>
      </w:pPr>
      <w:r w:rsidRPr="008944A2">
        <w:t>N/A</w:t>
      </w:r>
    </w:p>
    <w:p w14:paraId="43E1056C" w14:textId="77777777" w:rsidR="00190BB0" w:rsidRDefault="00190BB0">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19C5250C" w14:textId="2CB55740" w:rsidR="00191215" w:rsidRDefault="003F4C5A">
      <w:pPr>
        <w:pStyle w:val="Heading2"/>
        <w:numPr>
          <w:ilvl w:val="0"/>
          <w:numId w:val="3"/>
        </w:numPr>
        <w:rPr>
          <w:rStyle w:val="Strong"/>
          <w:rFonts w:asciiTheme="minorHAnsi" w:eastAsiaTheme="minorHAnsi" w:hAnsiTheme="minorHAnsi" w:cstheme="minorBidi"/>
          <w:b/>
        </w:rPr>
      </w:pPr>
      <w:r>
        <w:rPr>
          <w:rStyle w:val="Strong"/>
          <w:rFonts w:asciiTheme="minorHAnsi" w:eastAsiaTheme="minorHAnsi" w:hAnsiTheme="minorHAnsi" w:cstheme="minorBidi"/>
          <w:b/>
        </w:rPr>
        <w:t>If a new item(s) is being requested, what is the nature of the change to the MBS being sought?</w:t>
      </w:r>
    </w:p>
    <w:p w14:paraId="3B2AEF7D" w14:textId="77777777" w:rsidR="00191215" w:rsidRDefault="003F4C5A">
      <w:pPr>
        <w:pStyle w:val="ListParagraph"/>
        <w:numPr>
          <w:ilvl w:val="0"/>
          <w:numId w:val="11"/>
        </w:numPr>
        <w:spacing w:before="0" w:after="0"/>
        <w:ind w:left="851" w:hanging="425"/>
        <w:jc w:val="both"/>
        <w:rPr>
          <w:rStyle w:val="Strong"/>
          <w:b w:val="0"/>
        </w:rPr>
      </w:pPr>
      <w:r>
        <w:rPr>
          <w:b/>
          <w:szCs w:val="20"/>
        </w:rPr>
        <w:fldChar w:fldCharType="begin">
          <w:ffData>
            <w:name w:val="Check2"/>
            <w:enabled/>
            <w:calcOnExit w:val="0"/>
            <w:checkBox>
              <w:sizeAuto/>
              <w:default w:val="0"/>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rPr>
          <w:rStyle w:val="Strong"/>
          <w:b w:val="0"/>
        </w:rPr>
        <w:t>A new item which also seeks to allow access to the MBS for a specific health practitioner group</w:t>
      </w:r>
    </w:p>
    <w:p w14:paraId="793255BD" w14:textId="77777777" w:rsidR="00191215" w:rsidRDefault="003F4C5A">
      <w:pPr>
        <w:pStyle w:val="ListParagraph"/>
        <w:numPr>
          <w:ilvl w:val="0"/>
          <w:numId w:val="11"/>
        </w:numPr>
        <w:spacing w:before="0" w:after="0"/>
        <w:ind w:left="851" w:hanging="425"/>
        <w:jc w:val="both"/>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rPr>
          <w:rStyle w:val="Strong"/>
          <w:b w:val="0"/>
        </w:rPr>
        <w:t>A new item that is proposing a way of clinically delivering a service that is new to the MBS (in terms of new technology and / or population)</w:t>
      </w:r>
    </w:p>
    <w:p w14:paraId="1B1030DE" w14:textId="77777777" w:rsidR="00191215" w:rsidRDefault="003F4C5A">
      <w:pPr>
        <w:pStyle w:val="ListParagraph"/>
        <w:numPr>
          <w:ilvl w:val="0"/>
          <w:numId w:val="11"/>
        </w:numPr>
        <w:spacing w:before="0" w:after="0"/>
        <w:ind w:left="851" w:hanging="425"/>
        <w:jc w:val="both"/>
        <w:rPr>
          <w:rStyle w:val="Strong"/>
          <w:b w:val="0"/>
        </w:rPr>
      </w:pPr>
      <w:r>
        <w:rPr>
          <w:b/>
          <w:szCs w:val="20"/>
        </w:rPr>
        <w:fldChar w:fldCharType="begin">
          <w:ffData>
            <w:name w:val="Check2"/>
            <w:enabled/>
            <w:calcOnExit w:val="0"/>
            <w:checkBox>
              <w:sizeAuto/>
              <w:default w:val="0"/>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rPr>
          <w:rStyle w:val="Strong"/>
          <w:b w:val="0"/>
        </w:rPr>
        <w:t>A new item for a specific single consultation item</w:t>
      </w:r>
    </w:p>
    <w:p w14:paraId="572F7C34" w14:textId="77777777" w:rsidR="00191215" w:rsidRDefault="003F4C5A">
      <w:pPr>
        <w:pStyle w:val="ListParagraph"/>
        <w:numPr>
          <w:ilvl w:val="0"/>
          <w:numId w:val="11"/>
        </w:numPr>
        <w:spacing w:before="0"/>
        <w:ind w:left="851" w:hanging="425"/>
        <w:jc w:val="both"/>
        <w:rPr>
          <w:rStyle w:val="Strong"/>
          <w:b w:val="0"/>
        </w:rPr>
      </w:pPr>
      <w:r>
        <w:rPr>
          <w:b/>
          <w:szCs w:val="20"/>
        </w:rPr>
        <w:fldChar w:fldCharType="begin">
          <w:ffData>
            <w:name w:val="Check2"/>
            <w:enabled/>
            <w:calcOnExit w:val="0"/>
            <w:checkBox>
              <w:sizeAuto/>
              <w:default w:val="0"/>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rPr>
          <w:rStyle w:val="Strong"/>
          <w:b w:val="0"/>
        </w:rPr>
        <w:t>A new item for a global consultation item(s)</w:t>
      </w:r>
    </w:p>
    <w:p w14:paraId="53BCC2A3" w14:textId="77777777" w:rsidR="00191215" w:rsidRDefault="00191215">
      <w:pPr>
        <w:pStyle w:val="ListParagraph"/>
        <w:spacing w:before="0"/>
        <w:ind w:left="851"/>
        <w:jc w:val="both"/>
        <w:rPr>
          <w:rStyle w:val="Strong"/>
          <w:b w:val="0"/>
        </w:rPr>
      </w:pPr>
    </w:p>
    <w:p w14:paraId="0B83C8B3" w14:textId="77777777" w:rsidR="00191215" w:rsidRDefault="003F4C5A">
      <w:pPr>
        <w:pStyle w:val="Heading2"/>
        <w:numPr>
          <w:ilvl w:val="0"/>
          <w:numId w:val="3"/>
        </w:numPr>
        <w:rPr>
          <w:rStyle w:val="Strong"/>
          <w:rFonts w:asciiTheme="minorHAnsi" w:eastAsiaTheme="minorHAnsi" w:hAnsiTheme="minorHAnsi" w:cstheme="minorBidi"/>
          <w:b/>
        </w:rPr>
      </w:pPr>
      <w:r>
        <w:rPr>
          <w:rStyle w:val="Strong"/>
          <w:rFonts w:asciiTheme="minorHAnsi" w:eastAsiaTheme="minorHAnsi" w:hAnsiTheme="minorHAnsi" w:cstheme="minorBidi"/>
          <w:b/>
        </w:rPr>
        <w:t>Is the proposed service seeking public funding other than the MBS?</w:t>
      </w:r>
    </w:p>
    <w:p w14:paraId="59B73A91" w14:textId="77777777" w:rsidR="00191215" w:rsidRDefault="003F4C5A" w:rsidP="00190BB0">
      <w:pPr>
        <w:spacing w:before="0" w:after="0"/>
        <w:ind w:left="360"/>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Yes</w:t>
      </w:r>
    </w:p>
    <w:p w14:paraId="1584E58F" w14:textId="60718E00" w:rsidR="00191215" w:rsidRDefault="003F4C5A" w:rsidP="00190BB0">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No</w:t>
      </w:r>
    </w:p>
    <w:p w14:paraId="26675CC4" w14:textId="77777777" w:rsidR="00191215" w:rsidRDefault="003F4C5A">
      <w:pPr>
        <w:pStyle w:val="Heading2"/>
        <w:numPr>
          <w:ilvl w:val="0"/>
          <w:numId w:val="3"/>
        </w:numPr>
        <w:rPr>
          <w:rStyle w:val="Strong"/>
          <w:rFonts w:asciiTheme="minorHAnsi" w:eastAsiaTheme="minorHAnsi" w:hAnsiTheme="minorHAnsi" w:cstheme="minorBidi"/>
          <w:b/>
        </w:rPr>
      </w:pPr>
      <w:r>
        <w:rPr>
          <w:rStyle w:val="Strong"/>
          <w:rFonts w:asciiTheme="minorHAnsi" w:eastAsiaTheme="minorHAnsi" w:hAnsiTheme="minorHAnsi" w:cstheme="minorBidi"/>
          <w:b/>
        </w:rPr>
        <w:t>If yes, please advise:</w:t>
      </w:r>
    </w:p>
    <w:p w14:paraId="5716D25E" w14:textId="2D02F03B" w:rsidR="00191215" w:rsidRPr="008944A2" w:rsidRDefault="003F4C5A" w:rsidP="008944A2">
      <w:pPr>
        <w:ind w:firstLine="360"/>
        <w:rPr>
          <w:rStyle w:val="Strong"/>
          <w:rFonts w:asciiTheme="minorHAnsi" w:eastAsiaTheme="minorHAnsi" w:hAnsiTheme="minorHAnsi" w:cstheme="minorBidi"/>
          <w:b w:val="0"/>
        </w:rPr>
      </w:pPr>
      <w:r w:rsidRPr="008944A2">
        <w:t>N/A</w:t>
      </w:r>
    </w:p>
    <w:p w14:paraId="21913BB7" w14:textId="77777777" w:rsidR="00191215" w:rsidRDefault="003F4C5A">
      <w:pPr>
        <w:pStyle w:val="Heading2"/>
      </w:pPr>
      <w:r>
        <w:t>What is the type of medical service/technology?</w:t>
      </w:r>
    </w:p>
    <w:p w14:paraId="5BAC8D9B" w14:textId="77777777" w:rsidR="00191215" w:rsidRDefault="003F4C5A" w:rsidP="00190BB0">
      <w:pPr>
        <w:spacing w:before="0" w:after="0"/>
        <w:ind w:left="360"/>
      </w:pPr>
      <w:r>
        <w:rPr>
          <w:b/>
          <w:szCs w:val="20"/>
        </w:rPr>
        <w:fldChar w:fldCharType="begin">
          <w:ffData>
            <w:name w:val="Check2"/>
            <w:enabled/>
            <w:calcOnExit w:val="0"/>
            <w:checkBox>
              <w:sizeAuto/>
              <w:default w:val="0"/>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Therapeutic medical service</w:t>
      </w:r>
    </w:p>
    <w:p w14:paraId="05C16102" w14:textId="77777777" w:rsidR="00191215" w:rsidRDefault="003F4C5A" w:rsidP="00190BB0">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Investigative medical service</w:t>
      </w:r>
    </w:p>
    <w:p w14:paraId="66B33A34" w14:textId="77777777" w:rsidR="00191215" w:rsidRDefault="003F4C5A" w:rsidP="00190BB0">
      <w:pPr>
        <w:spacing w:before="0" w:after="0"/>
        <w:ind w:left="360"/>
      </w:pPr>
      <w:r>
        <w:rPr>
          <w:b/>
          <w:szCs w:val="20"/>
        </w:rPr>
        <w:fldChar w:fldCharType="begin">
          <w:ffData>
            <w:name w:val="Check2"/>
            <w:enabled/>
            <w:calcOnExit w:val="0"/>
            <w:checkBox>
              <w:sizeAuto/>
              <w:default w:val="0"/>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Single consultation medical service</w:t>
      </w:r>
    </w:p>
    <w:p w14:paraId="04CCCABD" w14:textId="77777777" w:rsidR="00191215" w:rsidRDefault="003F4C5A" w:rsidP="00190BB0">
      <w:pPr>
        <w:spacing w:before="0" w:after="0"/>
        <w:ind w:left="360"/>
      </w:pPr>
      <w:r>
        <w:rPr>
          <w:b/>
          <w:szCs w:val="20"/>
        </w:rPr>
        <w:fldChar w:fldCharType="begin">
          <w:ffData>
            <w:name w:val="Check2"/>
            <w:enabled/>
            <w:calcOnExit w:val="0"/>
            <w:checkBox>
              <w:sizeAuto/>
              <w:default w:val="0"/>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Global consultation medical service</w:t>
      </w:r>
    </w:p>
    <w:p w14:paraId="3F8A7313" w14:textId="77777777" w:rsidR="00191215" w:rsidRDefault="003F4C5A" w:rsidP="00190BB0">
      <w:pPr>
        <w:spacing w:before="0" w:after="0"/>
        <w:ind w:left="360"/>
      </w:pPr>
      <w:r>
        <w:rPr>
          <w:b/>
          <w:szCs w:val="20"/>
        </w:rPr>
        <w:fldChar w:fldCharType="begin">
          <w:ffData>
            <w:name w:val="Check2"/>
            <w:enabled/>
            <w:calcOnExit w:val="0"/>
            <w:checkBox>
              <w:sizeAuto/>
              <w:default w:val="0"/>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Allied health service</w:t>
      </w:r>
    </w:p>
    <w:p w14:paraId="3D6D8581" w14:textId="77777777" w:rsidR="00191215" w:rsidRDefault="003F4C5A" w:rsidP="00190BB0">
      <w:pPr>
        <w:spacing w:before="0" w:after="0"/>
        <w:ind w:left="360"/>
      </w:pPr>
      <w:r>
        <w:rPr>
          <w:b/>
          <w:szCs w:val="20"/>
        </w:rPr>
        <w:fldChar w:fldCharType="begin">
          <w:ffData>
            <w:name w:val="Check2"/>
            <w:enabled/>
            <w:calcOnExit w:val="0"/>
            <w:checkBox>
              <w:sizeAuto/>
              <w:default w:val="0"/>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Co-dependent technology</w:t>
      </w:r>
    </w:p>
    <w:p w14:paraId="2DA78B64" w14:textId="77777777" w:rsidR="00191215" w:rsidRDefault="003F4C5A" w:rsidP="00190BB0">
      <w:pPr>
        <w:spacing w:before="0" w:after="0"/>
        <w:ind w:left="360"/>
      </w:pPr>
      <w:r>
        <w:rPr>
          <w:b/>
          <w:szCs w:val="20"/>
        </w:rPr>
        <w:fldChar w:fldCharType="begin">
          <w:ffData>
            <w:name w:val="Check2"/>
            <w:enabled/>
            <w:calcOnExit w:val="0"/>
            <w:checkBox>
              <w:sizeAuto/>
              <w:default w:val="0"/>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Hybrid health technology</w:t>
      </w:r>
    </w:p>
    <w:p w14:paraId="0F9B59E4" w14:textId="77777777" w:rsidR="00191215" w:rsidRDefault="00191215">
      <w:pPr>
        <w:spacing w:before="0" w:after="0"/>
        <w:ind w:left="284"/>
      </w:pPr>
    </w:p>
    <w:p w14:paraId="55D43C25" w14:textId="77777777" w:rsidR="00191215" w:rsidRDefault="003F4C5A">
      <w:pPr>
        <w:pStyle w:val="Heading2"/>
      </w:pPr>
      <w:r>
        <w:t xml:space="preserve">For investigative services, advise the specific purpose of performing the service </w:t>
      </w:r>
      <w:r>
        <w:rPr>
          <w:i/>
        </w:rPr>
        <w:t>(which could be one or more of the following)</w:t>
      </w:r>
      <w:r>
        <w:t>:</w:t>
      </w:r>
    </w:p>
    <w:p w14:paraId="4A1439BF" w14:textId="77777777" w:rsidR="00191215" w:rsidRDefault="003F4C5A">
      <w:pPr>
        <w:pStyle w:val="ListParagraph"/>
        <w:numPr>
          <w:ilvl w:val="0"/>
          <w:numId w:val="12"/>
        </w:numPr>
        <w:spacing w:before="0" w:after="0"/>
        <w:ind w:left="851" w:hanging="425"/>
      </w:pPr>
      <w:r>
        <w:rPr>
          <w:b/>
          <w:szCs w:val="20"/>
        </w:rPr>
        <w:fldChar w:fldCharType="begin">
          <w:ffData>
            <w:name w:val=""/>
            <w:enabled/>
            <w:calcOnExit w:val="0"/>
            <w:checkBox>
              <w:sizeAuto/>
              <w:default w:val="0"/>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 xml:space="preserve">To be used as a screening tool in asymptomatic populations </w:t>
      </w:r>
    </w:p>
    <w:p w14:paraId="04F83A38" w14:textId="77777777" w:rsidR="00191215" w:rsidRDefault="003F4C5A">
      <w:pPr>
        <w:pStyle w:val="ListParagraph"/>
        <w:numPr>
          <w:ilvl w:val="0"/>
          <w:numId w:val="12"/>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Assists in establishing a diagnosis in symptomatic patients</w:t>
      </w:r>
    </w:p>
    <w:p w14:paraId="41DE240D" w14:textId="77777777" w:rsidR="00191215" w:rsidRDefault="003F4C5A">
      <w:pPr>
        <w:pStyle w:val="ListParagraph"/>
        <w:numPr>
          <w:ilvl w:val="0"/>
          <w:numId w:val="12"/>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Provides information about prognosis</w:t>
      </w:r>
    </w:p>
    <w:p w14:paraId="0219D8EC" w14:textId="77777777" w:rsidR="00191215" w:rsidRDefault="003F4C5A">
      <w:pPr>
        <w:pStyle w:val="ListParagraph"/>
        <w:numPr>
          <w:ilvl w:val="0"/>
          <w:numId w:val="12"/>
        </w:numPr>
        <w:spacing w:before="0" w:after="0"/>
        <w:ind w:left="851" w:hanging="425"/>
      </w:pPr>
      <w:r>
        <w:rPr>
          <w:b/>
          <w:szCs w:val="20"/>
        </w:rPr>
        <w:fldChar w:fldCharType="begin">
          <w:ffData>
            <w:name w:val="Check2"/>
            <w:enabled/>
            <w:calcOnExit w:val="0"/>
            <w:checkBox>
              <w:sizeAuto/>
              <w:default w:val="0"/>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Identifies a patient as suitable for therapy by predicting a variation in the effect of the therapy</w:t>
      </w:r>
    </w:p>
    <w:p w14:paraId="34A3932D" w14:textId="675C6B79" w:rsidR="00191215" w:rsidRDefault="003F4C5A">
      <w:pPr>
        <w:pStyle w:val="ListParagraph"/>
        <w:numPr>
          <w:ilvl w:val="0"/>
          <w:numId w:val="12"/>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Monitors a patient over time to assess treatment response and guide subsequent treatment decisions</w:t>
      </w:r>
    </w:p>
    <w:p w14:paraId="0251FD18" w14:textId="77777777" w:rsidR="00191215" w:rsidRDefault="003F4C5A">
      <w:pPr>
        <w:pStyle w:val="Heading2"/>
      </w:pPr>
      <w:r>
        <w:t>Does your service rely on another medical product to achieve or to enhance its intended effect?</w:t>
      </w:r>
    </w:p>
    <w:p w14:paraId="1E6740BC" w14:textId="77777777" w:rsidR="00191215" w:rsidRDefault="003F4C5A" w:rsidP="00190BB0">
      <w:pPr>
        <w:spacing w:before="0" w:after="0"/>
        <w:ind w:left="360"/>
      </w:pPr>
      <w:r>
        <w:rPr>
          <w:b/>
          <w:szCs w:val="20"/>
        </w:rPr>
        <w:fldChar w:fldCharType="begin">
          <w:ffData>
            <w:name w:val="Check2"/>
            <w:enabled/>
            <w:calcOnExit w:val="0"/>
            <w:checkBox>
              <w:sizeAuto/>
              <w:default w:val="0"/>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Pharmaceutical / Biological</w:t>
      </w:r>
    </w:p>
    <w:p w14:paraId="7A2B3CEB" w14:textId="77777777" w:rsidR="00191215" w:rsidRDefault="003F4C5A" w:rsidP="00190BB0">
      <w:pPr>
        <w:spacing w:before="0" w:after="0"/>
        <w:ind w:left="360"/>
      </w:pPr>
      <w:r>
        <w:rPr>
          <w:b/>
          <w:szCs w:val="20"/>
        </w:rPr>
        <w:fldChar w:fldCharType="begin">
          <w:ffData>
            <w:name w:val="Check2"/>
            <w:enabled/>
            <w:calcOnExit w:val="0"/>
            <w:checkBox>
              <w:sizeAuto/>
              <w:default w:val="0"/>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Prosthesis or device</w:t>
      </w:r>
    </w:p>
    <w:p w14:paraId="3F510D40" w14:textId="7F618EA2" w:rsidR="00191215" w:rsidRDefault="003F4C5A" w:rsidP="00190BB0">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455523">
        <w:rPr>
          <w:b/>
          <w:szCs w:val="20"/>
        </w:rPr>
      </w:r>
      <w:r w:rsidR="00455523">
        <w:rPr>
          <w:b/>
          <w:szCs w:val="20"/>
        </w:rPr>
        <w:fldChar w:fldCharType="separate"/>
      </w:r>
      <w:r>
        <w:rPr>
          <w:b/>
          <w:szCs w:val="20"/>
        </w:rPr>
        <w:fldChar w:fldCharType="end"/>
      </w:r>
      <w:r>
        <w:rPr>
          <w:b/>
          <w:szCs w:val="20"/>
        </w:rPr>
        <w:t xml:space="preserve"> </w:t>
      </w:r>
      <w:r>
        <w:t>No</w:t>
      </w:r>
    </w:p>
    <w:p w14:paraId="23762585" w14:textId="77777777" w:rsidR="00191215" w:rsidRDefault="003F4C5A">
      <w:pPr>
        <w:pStyle w:val="Heading2"/>
      </w:pPr>
      <w:r>
        <w:t>(a)  If the proposed service has a pharmaceutical component to it, is it already covered under an existing Pharmaceutical Benefits Scheme (PBS) listing?</w:t>
      </w:r>
    </w:p>
    <w:p w14:paraId="068A2DEC" w14:textId="77777777" w:rsidR="00191215" w:rsidRPr="008944A2" w:rsidRDefault="003F4C5A" w:rsidP="00190BB0">
      <w:pPr>
        <w:ind w:left="284" w:firstLine="76"/>
        <w:rPr>
          <w:b/>
          <w:szCs w:val="20"/>
        </w:rPr>
      </w:pPr>
      <w:r w:rsidRPr="008944A2">
        <w:t>N/A</w:t>
      </w:r>
    </w:p>
    <w:p w14:paraId="7E105899" w14:textId="77777777" w:rsidR="00191215" w:rsidRDefault="003F4C5A">
      <w:pPr>
        <w:pStyle w:val="Heading2"/>
        <w:numPr>
          <w:ilvl w:val="0"/>
          <w:numId w:val="4"/>
        </w:numPr>
      </w:pPr>
      <w:r>
        <w:t>If yes, please list the relevant PBS item code(s):</w:t>
      </w:r>
    </w:p>
    <w:p w14:paraId="00C89B0C" w14:textId="7FC887B1" w:rsidR="00191215" w:rsidRPr="008944A2" w:rsidRDefault="003F4C5A" w:rsidP="00190BB0">
      <w:pPr>
        <w:ind w:left="284" w:firstLine="76"/>
      </w:pPr>
      <w:r w:rsidRPr="008944A2">
        <w:t>N/A</w:t>
      </w:r>
    </w:p>
    <w:p w14:paraId="2AF0BEE1" w14:textId="77777777" w:rsidR="00191215" w:rsidRDefault="003F4C5A">
      <w:pPr>
        <w:pStyle w:val="Heading2"/>
        <w:numPr>
          <w:ilvl w:val="0"/>
          <w:numId w:val="4"/>
        </w:numPr>
      </w:pPr>
      <w:r>
        <w:t>If no, is an application (submission) in the process of being considered by the Pharmaceutical Benefits Advisory Committee (PBAC)?</w:t>
      </w:r>
    </w:p>
    <w:p w14:paraId="1414F6C8" w14:textId="5CA9C79F" w:rsidR="00191215" w:rsidRDefault="003F4C5A" w:rsidP="00190BB0">
      <w:pPr>
        <w:spacing w:before="0" w:after="0"/>
        <w:ind w:left="360"/>
        <w:rPr>
          <w:u w:val="single"/>
        </w:rPr>
      </w:pPr>
      <w:r>
        <w:rPr>
          <w:rFonts w:ascii="Calibri" w:eastAsia="Calibri" w:hAnsi="Calibri" w:cs="Calibri"/>
        </w:rPr>
        <w:t xml:space="preserve">Sodium-glucose cotransporter-2 (SGLT2) inhibitors which are recommended for treatment of patients with a diagnosed risk of DKD are currently listed on the PBS for patients with </w:t>
      </w:r>
      <w:r w:rsidR="003D2E35">
        <w:rPr>
          <w:rFonts w:ascii="Calibri" w:eastAsia="Calibri" w:hAnsi="Calibri" w:cs="Calibri"/>
        </w:rPr>
        <w:t>t</w:t>
      </w:r>
      <w:r>
        <w:rPr>
          <w:rFonts w:ascii="Calibri" w:eastAsia="Calibri" w:hAnsi="Calibri" w:cs="Calibri"/>
        </w:rPr>
        <w:t>ype</w:t>
      </w:r>
      <w:r w:rsidR="003D2E35">
        <w:rPr>
          <w:rFonts w:ascii="Calibri" w:eastAsia="Calibri" w:hAnsi="Calibri" w:cs="Calibri"/>
        </w:rPr>
        <w:t xml:space="preserve"> </w:t>
      </w:r>
      <w:r>
        <w:rPr>
          <w:rFonts w:ascii="Calibri" w:eastAsia="Calibri" w:hAnsi="Calibri" w:cs="Calibri"/>
        </w:rPr>
        <w:t>2 diabetes. Therefore, a co-dependant submission is not required.</w:t>
      </w:r>
    </w:p>
    <w:p w14:paraId="034C01F8" w14:textId="77777777" w:rsidR="00191215" w:rsidRDefault="003F4C5A">
      <w:pPr>
        <w:pStyle w:val="Heading2"/>
        <w:numPr>
          <w:ilvl w:val="0"/>
          <w:numId w:val="4"/>
        </w:numPr>
      </w:pPr>
      <w:r>
        <w:t>If you are seeking both MBS and PBS listing, what is the trade name and generic name of the pharmaceutical?</w:t>
      </w:r>
    </w:p>
    <w:p w14:paraId="5566857D" w14:textId="4B0A95EC" w:rsidR="00191215" w:rsidRPr="008944A2" w:rsidRDefault="003F4C5A" w:rsidP="008944A2">
      <w:pPr>
        <w:spacing w:before="0" w:after="0"/>
        <w:ind w:left="284" w:firstLine="76"/>
      </w:pPr>
      <w:r w:rsidRPr="008944A2">
        <w:t>N/A</w:t>
      </w:r>
    </w:p>
    <w:p w14:paraId="591BEF2A" w14:textId="77777777" w:rsidR="00191215" w:rsidRDefault="003F4C5A">
      <w:pPr>
        <w:pStyle w:val="Heading2"/>
      </w:pPr>
      <w:r>
        <w:t>(a) If the proposed service is dependent on the use of a prosthesis, is it already included on the Prostheses List?</w:t>
      </w:r>
    </w:p>
    <w:p w14:paraId="3234CE1D" w14:textId="27280956" w:rsidR="00191215" w:rsidRDefault="008944A2" w:rsidP="008944A2">
      <w:pPr>
        <w:spacing w:before="0" w:after="0"/>
        <w:ind w:left="284" w:firstLine="76"/>
        <w:rPr>
          <w:szCs w:val="20"/>
          <w:u w:val="single"/>
        </w:rPr>
      </w:pPr>
      <w:r w:rsidRPr="008944A2">
        <w:t>N/A</w:t>
      </w:r>
    </w:p>
    <w:p w14:paraId="2ED402FB" w14:textId="77777777" w:rsidR="00191215" w:rsidRDefault="003F4C5A">
      <w:pPr>
        <w:pStyle w:val="Heading2"/>
        <w:numPr>
          <w:ilvl w:val="0"/>
          <w:numId w:val="5"/>
        </w:numPr>
      </w:pPr>
      <w:r>
        <w:t xml:space="preserve">If yes, please provide the following information (where relevant): </w:t>
      </w:r>
    </w:p>
    <w:p w14:paraId="7DE3B2D4" w14:textId="73F523FB" w:rsidR="008944A2" w:rsidRDefault="008944A2" w:rsidP="008944A2">
      <w:pPr>
        <w:spacing w:before="0" w:after="0"/>
        <w:ind w:left="284" w:firstLine="76"/>
        <w:rPr>
          <w:u w:val="single"/>
        </w:rPr>
      </w:pPr>
      <w:r w:rsidRPr="008944A2">
        <w:t>N/A</w:t>
      </w:r>
    </w:p>
    <w:p w14:paraId="6085D6E0" w14:textId="77777777" w:rsidR="00191215" w:rsidRDefault="003F4C5A">
      <w:pPr>
        <w:pStyle w:val="Heading2"/>
        <w:numPr>
          <w:ilvl w:val="0"/>
          <w:numId w:val="5"/>
        </w:numPr>
        <w:jc w:val="both"/>
      </w:pPr>
      <w:r>
        <w:t>If no, is an application in the process of being considered by a Clinical Advisory Group or the Prostheses List Advisory Committee (PLAC)?</w:t>
      </w:r>
    </w:p>
    <w:p w14:paraId="224B649E" w14:textId="3AD002EF" w:rsidR="00191215" w:rsidRPr="008944A2" w:rsidRDefault="003F4C5A" w:rsidP="008944A2">
      <w:pPr>
        <w:spacing w:before="0" w:after="0"/>
        <w:ind w:left="284" w:firstLine="76"/>
        <w:rPr>
          <w:szCs w:val="20"/>
        </w:rPr>
      </w:pPr>
      <w:r w:rsidRPr="008944A2">
        <w:t>N/A</w:t>
      </w:r>
    </w:p>
    <w:p w14:paraId="415FCE80" w14:textId="77777777" w:rsidR="00191215" w:rsidRDefault="003F4C5A">
      <w:pPr>
        <w:pStyle w:val="Heading2"/>
        <w:numPr>
          <w:ilvl w:val="0"/>
          <w:numId w:val="5"/>
        </w:numPr>
        <w:jc w:val="both"/>
      </w:pPr>
      <w:r>
        <w:t>Are there any other sponsor(s) and / or manufacturer(s) that have a similar prosthesis or device component in the Australian marketplace which this application is relevant to?</w:t>
      </w:r>
    </w:p>
    <w:p w14:paraId="77B4675A" w14:textId="590D536E" w:rsidR="00191215" w:rsidRPr="008944A2" w:rsidRDefault="003F4C5A" w:rsidP="008944A2">
      <w:pPr>
        <w:spacing w:before="0" w:after="0"/>
        <w:ind w:left="284" w:firstLine="76"/>
        <w:rPr>
          <w:szCs w:val="20"/>
        </w:rPr>
      </w:pPr>
      <w:r w:rsidRPr="008944A2">
        <w:t>N/A</w:t>
      </w:r>
    </w:p>
    <w:p w14:paraId="5EEDE952" w14:textId="77777777" w:rsidR="00191215" w:rsidRDefault="003F4C5A">
      <w:pPr>
        <w:pStyle w:val="Heading2"/>
        <w:numPr>
          <w:ilvl w:val="0"/>
          <w:numId w:val="5"/>
        </w:numPr>
      </w:pPr>
      <w:r>
        <w:t>If yes, please provide the name(s) of the sponsor(s) and / or manufacturer(s):</w:t>
      </w:r>
    </w:p>
    <w:p w14:paraId="34AE0A20" w14:textId="6F467D2C" w:rsidR="00191215" w:rsidRPr="008944A2" w:rsidRDefault="003F4C5A" w:rsidP="008944A2">
      <w:pPr>
        <w:ind w:left="284" w:firstLine="76"/>
      </w:pPr>
      <w:r w:rsidRPr="008944A2">
        <w:t>N/A</w:t>
      </w:r>
    </w:p>
    <w:p w14:paraId="13C73ABB" w14:textId="77777777" w:rsidR="00191215" w:rsidRDefault="003F4C5A">
      <w:pPr>
        <w:pStyle w:val="Heading2"/>
      </w:pPr>
      <w:r>
        <w:t>Please identify any single and / or multi-use consumables delivered as part of the service?</w:t>
      </w:r>
    </w:p>
    <w:p w14:paraId="5D24C7E3" w14:textId="3D22E214" w:rsidR="00191215" w:rsidRDefault="003F4C5A" w:rsidP="00BF334D">
      <w:pPr>
        <w:pStyle w:val="ListParagraph"/>
        <w:numPr>
          <w:ilvl w:val="0"/>
          <w:numId w:val="20"/>
        </w:numPr>
        <w:spacing w:before="0" w:after="0"/>
      </w:pPr>
      <w:r>
        <w:t xml:space="preserve">Single-use consumables: 3 x </w:t>
      </w:r>
      <w:proofErr w:type="spellStart"/>
      <w:r>
        <w:t>PromarkerD</w:t>
      </w:r>
      <w:proofErr w:type="spellEnd"/>
      <w:r>
        <w:t xml:space="preserve"> 96-well microplate </w:t>
      </w:r>
      <w:r w:rsidR="00B40078" w:rsidRPr="00190BB0">
        <w:rPr>
          <w:b/>
          <w:bCs/>
          <w:sz w:val="22"/>
          <w:szCs w:val="24"/>
        </w:rPr>
        <w:t>REDACTED</w:t>
      </w:r>
      <w:r w:rsidR="00B40078" w:rsidRPr="00190BB0">
        <w:rPr>
          <w:sz w:val="22"/>
          <w:szCs w:val="24"/>
        </w:rPr>
        <w:t xml:space="preserve"> </w:t>
      </w:r>
    </w:p>
    <w:p w14:paraId="334E5675" w14:textId="48657CF3" w:rsidR="00191215" w:rsidRDefault="003F4C5A">
      <w:pPr>
        <w:pStyle w:val="ListParagraph"/>
        <w:numPr>
          <w:ilvl w:val="0"/>
          <w:numId w:val="20"/>
        </w:numPr>
        <w:spacing w:before="0" w:after="0"/>
      </w:pPr>
      <w:r>
        <w:t>Multi-use consumables: None provided.</w:t>
      </w:r>
    </w:p>
    <w:p w14:paraId="5F57831F" w14:textId="77777777" w:rsidR="00191215" w:rsidRDefault="00191215">
      <w:pPr>
        <w:spacing w:before="0" w:after="0"/>
        <w:ind w:left="284"/>
      </w:pPr>
    </w:p>
    <w:p w14:paraId="3B4E1414" w14:textId="77777777" w:rsidR="00191215" w:rsidRDefault="003F4C5A">
      <w:pPr>
        <w:spacing w:before="0" w:after="0"/>
        <w:ind w:left="284"/>
      </w:pPr>
      <w:r>
        <w:t xml:space="preserve">Required consumables not provided are: </w:t>
      </w:r>
    </w:p>
    <w:p w14:paraId="3D65189C" w14:textId="77777777" w:rsidR="00191215" w:rsidRDefault="003F4C5A">
      <w:pPr>
        <w:pStyle w:val="ListParagraph"/>
        <w:numPr>
          <w:ilvl w:val="0"/>
          <w:numId w:val="14"/>
        </w:numPr>
        <w:spacing w:before="0" w:after="0"/>
      </w:pPr>
      <w:r>
        <w:t>Polypropylene tubes</w:t>
      </w:r>
    </w:p>
    <w:p w14:paraId="6A6DEE3D" w14:textId="77777777" w:rsidR="00191215" w:rsidRDefault="003F4C5A">
      <w:pPr>
        <w:pStyle w:val="ListParagraph"/>
        <w:numPr>
          <w:ilvl w:val="0"/>
          <w:numId w:val="14"/>
        </w:numPr>
        <w:spacing w:before="0" w:after="0"/>
      </w:pPr>
      <w:r>
        <w:t>Polypropylene plates</w:t>
      </w:r>
    </w:p>
    <w:p w14:paraId="165984A3" w14:textId="77777777" w:rsidR="00191215" w:rsidRDefault="003F4C5A">
      <w:pPr>
        <w:pStyle w:val="ListParagraph"/>
        <w:numPr>
          <w:ilvl w:val="0"/>
          <w:numId w:val="14"/>
        </w:numPr>
        <w:spacing w:before="0" w:after="0"/>
      </w:pPr>
      <w:r>
        <w:t>Aluminium foil</w:t>
      </w:r>
    </w:p>
    <w:p w14:paraId="034218F7" w14:textId="77777777" w:rsidR="00191215" w:rsidRDefault="00191215">
      <w:pPr>
        <w:spacing w:before="0" w:after="0"/>
      </w:pPr>
    </w:p>
    <w:p w14:paraId="20BA0C9E" w14:textId="77777777" w:rsidR="00191215" w:rsidRDefault="003F4C5A">
      <w:pPr>
        <w:spacing w:before="0" w:after="0"/>
        <w:ind w:left="284"/>
      </w:pPr>
      <w:r>
        <w:br w:type="page"/>
      </w:r>
    </w:p>
    <w:p w14:paraId="1C82DD9F" w14:textId="77777777" w:rsidR="00191215" w:rsidRDefault="003F4C5A">
      <w:pPr>
        <w:pStyle w:val="Heading1"/>
      </w:pPr>
      <w:r>
        <w:t>PART 3 – INFORMATION ABOUT REGULATORY REQUIREMENTS</w:t>
      </w:r>
    </w:p>
    <w:p w14:paraId="637CD688" w14:textId="77777777" w:rsidR="00191215" w:rsidRDefault="003F4C5A">
      <w:pPr>
        <w:pStyle w:val="Heading2"/>
      </w:pPr>
      <w:r>
        <w:t>(a) If the proposed medical service involves use of a medical device, in-vitro diagnostic test, pharmaceutical product, radioactive tracer, or any other type of therapeutic good, please provide details</w:t>
      </w:r>
    </w:p>
    <w:p w14:paraId="473EFAF8" w14:textId="77777777" w:rsidR="00191215" w:rsidRDefault="003F4C5A">
      <w:pPr>
        <w:spacing w:before="0" w:after="0"/>
        <w:ind w:left="360"/>
        <w:rPr>
          <w:szCs w:val="20"/>
        </w:rPr>
      </w:pPr>
      <w:r>
        <w:rPr>
          <w:szCs w:val="20"/>
        </w:rPr>
        <w:t xml:space="preserve">Type of therapeutic good: </w:t>
      </w:r>
      <w:r>
        <w:t>In-vitro diagnostic test</w:t>
      </w:r>
    </w:p>
    <w:p w14:paraId="562ED495" w14:textId="77777777" w:rsidR="00191215" w:rsidRDefault="003F4C5A">
      <w:pPr>
        <w:spacing w:before="0" w:after="0"/>
        <w:ind w:left="360"/>
        <w:rPr>
          <w:szCs w:val="20"/>
        </w:rPr>
      </w:pPr>
      <w:r>
        <w:rPr>
          <w:szCs w:val="20"/>
        </w:rPr>
        <w:t xml:space="preserve">Manufacturer’s name: </w:t>
      </w:r>
      <w:r>
        <w:t>Proteomics International Pty Ltd</w:t>
      </w:r>
    </w:p>
    <w:p w14:paraId="5D9E45D3" w14:textId="77777777" w:rsidR="00191215" w:rsidRDefault="003F4C5A">
      <w:pPr>
        <w:spacing w:before="0" w:after="0"/>
        <w:ind w:left="360"/>
      </w:pPr>
      <w:r>
        <w:rPr>
          <w:szCs w:val="20"/>
        </w:rPr>
        <w:t xml:space="preserve">Sponsor’s name: </w:t>
      </w:r>
      <w:r>
        <w:t>Proteomics International Pty Ltd</w:t>
      </w:r>
    </w:p>
    <w:p w14:paraId="1BE9867F" w14:textId="77777777" w:rsidR="00191215" w:rsidRDefault="00191215">
      <w:pPr>
        <w:spacing w:before="0" w:after="0"/>
        <w:rPr>
          <w:szCs w:val="20"/>
        </w:rPr>
      </w:pPr>
    </w:p>
    <w:p w14:paraId="68D97D9E" w14:textId="77777777" w:rsidR="00191215" w:rsidRDefault="003F4C5A">
      <w:pPr>
        <w:pStyle w:val="Heading2"/>
        <w:numPr>
          <w:ilvl w:val="0"/>
          <w:numId w:val="6"/>
        </w:numPr>
      </w:pPr>
      <w:r>
        <w:t>Has it been listed on the Australian Register of Therapeutic Goods (ARTG) by the Therapeutic Goods Administration (TGA)? If the therapeutic good has been listed on the ARTG, please state the ARTG identification numbers, TGA-approved indication(s), and TGA-approved purpose(s).</w:t>
      </w:r>
    </w:p>
    <w:p w14:paraId="7AB4FB2C" w14:textId="77777777" w:rsidR="00191215" w:rsidRDefault="003F4C5A">
      <w:pPr>
        <w:spacing w:before="0" w:after="0"/>
        <w:ind w:left="360"/>
        <w:rPr>
          <w:szCs w:val="20"/>
        </w:rPr>
      </w:pPr>
      <w:r>
        <w:t>TGA application being prepared. See 15c.</w:t>
      </w:r>
    </w:p>
    <w:p w14:paraId="15ED99CF" w14:textId="1FB003BD" w:rsidR="00191215" w:rsidRDefault="003F4C5A" w:rsidP="008944A2">
      <w:pPr>
        <w:ind w:left="360"/>
      </w:pPr>
      <w:r>
        <w:t>Currently registered as a Class I Device for export purposes only.</w:t>
      </w:r>
    </w:p>
    <w:p w14:paraId="57325265" w14:textId="77777777" w:rsidR="00191215" w:rsidRDefault="003F4C5A">
      <w:pPr>
        <w:pStyle w:val="Heading2"/>
        <w:numPr>
          <w:ilvl w:val="0"/>
          <w:numId w:val="6"/>
        </w:numPr>
        <w:spacing w:before="0" w:after="0"/>
        <w:ind w:left="709" w:hanging="357"/>
      </w:pPr>
      <w:r>
        <w:t>If a medical device is involved, has the medical device been classified by TGA as a Class III OR Active Implantable Medical Device (AIMD) under the TGA regulatory scheme for devices?</w:t>
      </w:r>
    </w:p>
    <w:p w14:paraId="408FCF5F" w14:textId="77777777" w:rsidR="00191215" w:rsidRDefault="003F4C5A" w:rsidP="008944A2">
      <w:pPr>
        <w:spacing w:before="0" w:after="0"/>
        <w:ind w:left="352"/>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Class III</w:t>
      </w:r>
    </w:p>
    <w:p w14:paraId="681351D1" w14:textId="77777777" w:rsidR="00191215" w:rsidRDefault="003F4C5A" w:rsidP="008944A2">
      <w:pPr>
        <w:spacing w:before="0" w:after="0"/>
        <w:ind w:left="352"/>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AIMD</w:t>
      </w:r>
    </w:p>
    <w:p w14:paraId="735B542E" w14:textId="438A18BE" w:rsidR="00191215" w:rsidRDefault="003F4C5A" w:rsidP="00190BB0">
      <w:pPr>
        <w:spacing w:before="0" w:after="0"/>
        <w:ind w:left="352"/>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N/A</w:t>
      </w:r>
    </w:p>
    <w:p w14:paraId="11B96146" w14:textId="77777777" w:rsidR="00191215" w:rsidRDefault="003F4C5A">
      <w:pPr>
        <w:pStyle w:val="Heading2"/>
        <w:numPr>
          <w:ilvl w:val="0"/>
          <w:numId w:val="6"/>
        </w:numPr>
        <w:rPr>
          <w:bCs/>
          <w:lang w:val="en-GB"/>
        </w:rPr>
      </w:pPr>
      <w:r>
        <w:rPr>
          <w:bCs/>
          <w:lang w:val="en-GB"/>
        </w:rPr>
        <w:t>Is the therapeutic good classified by TGA for Research Use Only (RUO)?</w:t>
      </w:r>
    </w:p>
    <w:p w14:paraId="0B675DA1" w14:textId="1D854491" w:rsidR="00191215" w:rsidRPr="008944A2" w:rsidRDefault="003F4C5A" w:rsidP="008944A2">
      <w:pPr>
        <w:ind w:firstLine="360"/>
        <w:rPr>
          <w:lang w:val="en-GB"/>
        </w:rPr>
      </w:pPr>
      <w:r w:rsidRPr="008944A2">
        <w:rPr>
          <w:lang w:val="en-GB"/>
        </w:rPr>
        <w:t>N/</w:t>
      </w:r>
      <w:r w:rsidR="008944A2" w:rsidRPr="008944A2">
        <w:rPr>
          <w:lang w:val="en-GB"/>
        </w:rPr>
        <w:t>A</w:t>
      </w:r>
    </w:p>
    <w:p w14:paraId="177F8D62" w14:textId="77777777" w:rsidR="00191215" w:rsidRDefault="003F4C5A">
      <w:pPr>
        <w:pStyle w:val="Heading2"/>
      </w:pPr>
      <w:r>
        <w:t xml:space="preserve">(a) </w:t>
      </w:r>
      <w:r>
        <w:rPr>
          <w:u w:val="single"/>
        </w:rPr>
        <w:t>If not listed on the ARTG</w:t>
      </w:r>
      <w:r>
        <w:t xml:space="preserve">, is the therapeutic good to be used in the service exempt from the regulatory requirements of the </w:t>
      </w:r>
      <w:r>
        <w:rPr>
          <w:i/>
        </w:rPr>
        <w:t>Therapeutic Goods Act 1989</w:t>
      </w:r>
      <w:r>
        <w:t>?</w:t>
      </w:r>
    </w:p>
    <w:p w14:paraId="135F9C4E" w14:textId="77777777" w:rsidR="00191215" w:rsidRDefault="003F4C5A" w:rsidP="008944A2">
      <w:pPr>
        <w:spacing w:before="0" w:after="0"/>
        <w:ind w:left="360"/>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Yes (If yes, please provide supporting documentation as an attachment to this application form)</w:t>
      </w:r>
    </w:p>
    <w:p w14:paraId="55FC1C8C" w14:textId="77777777" w:rsidR="00191215" w:rsidRDefault="003F4C5A" w:rsidP="008944A2">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No</w:t>
      </w:r>
    </w:p>
    <w:p w14:paraId="43E01A40" w14:textId="77777777" w:rsidR="00191215" w:rsidRDefault="00191215">
      <w:pPr>
        <w:spacing w:before="0" w:after="0"/>
        <w:ind w:left="284"/>
        <w:rPr>
          <w:b/>
          <w:szCs w:val="20"/>
        </w:rPr>
      </w:pPr>
    </w:p>
    <w:p w14:paraId="075BD89A" w14:textId="77777777" w:rsidR="00191215" w:rsidRDefault="003F4C5A">
      <w:pPr>
        <w:pStyle w:val="Heading2"/>
        <w:numPr>
          <w:ilvl w:val="0"/>
          <w:numId w:val="7"/>
        </w:numPr>
        <w:spacing w:before="0" w:after="0"/>
      </w:pPr>
      <w:r>
        <w:t xml:space="preserve">If the therapeutic good is </w:t>
      </w:r>
      <w:r>
        <w:rPr>
          <w:u w:val="single"/>
        </w:rPr>
        <w:t>not ARTG listed</w:t>
      </w:r>
      <w:r>
        <w:t>, is the therapeutic good in the process of being considered by TGA?</w:t>
      </w:r>
    </w:p>
    <w:p w14:paraId="69914D21" w14:textId="77777777" w:rsidR="00191215" w:rsidRDefault="003F4C5A" w:rsidP="008944A2">
      <w:pPr>
        <w:pStyle w:val="Heading2"/>
        <w:numPr>
          <w:ilvl w:val="0"/>
          <w:numId w:val="0"/>
        </w:numPr>
        <w:spacing w:before="0" w:after="0"/>
        <w:ind w:left="436" w:hanging="76"/>
      </w:pPr>
      <w:r>
        <w:fldChar w:fldCharType="begin">
          <w:ffData>
            <w:name w:val="Check1"/>
            <w:enabled/>
            <w:calcOnExit w:val="0"/>
            <w:checkBox>
              <w:sizeAuto/>
              <w:default w:val="0"/>
            </w:checkBox>
          </w:ffData>
        </w:fldChar>
      </w:r>
      <w:r>
        <w:instrText xml:space="preserve"> FORMCHECKBOX </w:instrText>
      </w:r>
      <w:r w:rsidR="00455523">
        <w:fldChar w:fldCharType="separate"/>
      </w:r>
      <w:r>
        <w:fldChar w:fldCharType="end"/>
      </w:r>
      <w:r>
        <w:t xml:space="preserve"> Yes (if yes, please provide details below)</w:t>
      </w:r>
    </w:p>
    <w:p w14:paraId="0648EC3E" w14:textId="77777777" w:rsidR="00191215" w:rsidRDefault="003F4C5A" w:rsidP="008944A2">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w:t>
      </w:r>
      <w:r>
        <w:rPr>
          <w:b/>
          <w:szCs w:val="20"/>
        </w:rPr>
        <w:t>No</w:t>
      </w:r>
    </w:p>
    <w:p w14:paraId="369BC6AA" w14:textId="77777777" w:rsidR="00191215" w:rsidRDefault="00191215">
      <w:pPr>
        <w:spacing w:before="0" w:after="0"/>
        <w:ind w:left="284"/>
        <w:rPr>
          <w:b/>
          <w:szCs w:val="20"/>
        </w:rPr>
      </w:pPr>
    </w:p>
    <w:p w14:paraId="40E77E65" w14:textId="3E8C36C3" w:rsidR="00191215" w:rsidRDefault="003F4C5A" w:rsidP="008944A2">
      <w:pPr>
        <w:spacing w:before="0" w:after="0"/>
        <w:ind w:firstLine="360"/>
        <w:rPr>
          <w:szCs w:val="20"/>
        </w:rPr>
      </w:pPr>
      <w:r>
        <w:t>TGA application being prepared. See 15c.</w:t>
      </w:r>
    </w:p>
    <w:p w14:paraId="0BE8CFDF" w14:textId="77777777" w:rsidR="00191215" w:rsidRDefault="003F4C5A">
      <w:pPr>
        <w:pStyle w:val="ListParagraph"/>
        <w:numPr>
          <w:ilvl w:val="0"/>
          <w:numId w:val="7"/>
        </w:numPr>
        <w:rPr>
          <w:b/>
          <w:szCs w:val="20"/>
        </w:rPr>
      </w:pPr>
      <w:r>
        <w:rPr>
          <w:b/>
          <w:bCs/>
        </w:rPr>
        <w:t xml:space="preserve">If </w:t>
      </w:r>
      <w:r>
        <w:rPr>
          <w:b/>
          <w:szCs w:val="20"/>
        </w:rPr>
        <w:t>the therapeutic good is NOT in the process of being considered by TGA, is an application to TGA being prepared?</w:t>
      </w:r>
    </w:p>
    <w:p w14:paraId="7D7B560E" w14:textId="77777777" w:rsidR="00191215" w:rsidRDefault="003F4C5A" w:rsidP="008944A2">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Yes (please provide details below)</w:t>
      </w:r>
    </w:p>
    <w:p w14:paraId="7FA15231" w14:textId="77777777" w:rsidR="00191215" w:rsidRDefault="003F4C5A" w:rsidP="008944A2">
      <w:pPr>
        <w:spacing w:before="0" w:after="0"/>
        <w:ind w:left="426"/>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No</w:t>
      </w:r>
    </w:p>
    <w:p w14:paraId="6ADB0C6C" w14:textId="77777777" w:rsidR="00191215" w:rsidRDefault="00191215" w:rsidP="008944A2">
      <w:pPr>
        <w:spacing w:before="0" w:after="0"/>
        <w:ind w:left="426"/>
        <w:rPr>
          <w:szCs w:val="20"/>
        </w:rPr>
      </w:pPr>
    </w:p>
    <w:p w14:paraId="7078775A" w14:textId="00789B54" w:rsidR="00191215" w:rsidRDefault="003F4C5A" w:rsidP="008944A2">
      <w:pPr>
        <w:spacing w:before="0" w:after="0"/>
        <w:ind w:left="426"/>
        <w:rPr>
          <w:szCs w:val="20"/>
        </w:rPr>
      </w:pPr>
      <w:r>
        <w:rPr>
          <w:szCs w:val="20"/>
        </w:rPr>
        <w:t xml:space="preserve">Estimated date of submission to TGA: </w:t>
      </w:r>
      <w:r w:rsidR="00B40078" w:rsidRPr="00190BB0">
        <w:rPr>
          <w:b/>
          <w:bCs/>
          <w:sz w:val="22"/>
          <w:szCs w:val="24"/>
        </w:rPr>
        <w:t>REDACTED</w:t>
      </w:r>
    </w:p>
    <w:p w14:paraId="5887BC18" w14:textId="4CD10A03" w:rsidR="00191215" w:rsidRDefault="003F4C5A" w:rsidP="008944A2">
      <w:pPr>
        <w:spacing w:before="0" w:after="0"/>
        <w:ind w:left="426"/>
        <w:rPr>
          <w:szCs w:val="20"/>
        </w:rPr>
      </w:pPr>
      <w:r>
        <w:rPr>
          <w:szCs w:val="20"/>
        </w:rPr>
        <w:t>Proposed indication(s), if applicable: For all T2D patients (</w:t>
      </w:r>
      <w:r>
        <w:rPr>
          <w:i/>
          <w:iCs/>
        </w:rPr>
        <w:t>Final indication pending)</w:t>
      </w:r>
      <w:r w:rsidR="006B2EB0">
        <w:rPr>
          <w:i/>
          <w:iCs/>
        </w:rPr>
        <w:t>.</w:t>
      </w:r>
    </w:p>
    <w:p w14:paraId="6A47BD0F" w14:textId="0A79E9C3" w:rsidR="00191215" w:rsidRDefault="003F4C5A" w:rsidP="008944A2">
      <w:pPr>
        <w:spacing w:before="0" w:after="0"/>
        <w:ind w:left="426"/>
        <w:rPr>
          <w:i/>
          <w:iCs/>
          <w:szCs w:val="20"/>
        </w:rPr>
      </w:pPr>
      <w:r>
        <w:rPr>
          <w:szCs w:val="20"/>
        </w:rPr>
        <w:t xml:space="preserve">Proposed purpose(s), if applicable: </w:t>
      </w:r>
      <w:r>
        <w:t xml:space="preserve">For the prognosis of diabetic kidney disease in patients with T2D </w:t>
      </w:r>
      <w:r>
        <w:rPr>
          <w:i/>
          <w:iCs/>
        </w:rPr>
        <w:t>(Final intended purpose pending)</w:t>
      </w:r>
      <w:r w:rsidR="006B2EB0">
        <w:rPr>
          <w:i/>
          <w:iCs/>
        </w:rPr>
        <w:t>.</w:t>
      </w:r>
    </w:p>
    <w:p w14:paraId="5D2CC835" w14:textId="77777777" w:rsidR="00191215" w:rsidRDefault="00191215" w:rsidP="008944A2">
      <w:pPr>
        <w:ind w:left="426"/>
        <w:rPr>
          <w:szCs w:val="20"/>
        </w:rPr>
      </w:pPr>
    </w:p>
    <w:p w14:paraId="1A097857" w14:textId="77777777" w:rsidR="00191215" w:rsidRDefault="00191215">
      <w:pPr>
        <w:rPr>
          <w:b/>
          <w:sz w:val="32"/>
          <w:szCs w:val="32"/>
        </w:rPr>
        <w:sectPr w:rsidR="00191215">
          <w:footerReference w:type="default" r:id="rId11"/>
          <w:pgSz w:w="11906" w:h="16838"/>
          <w:pgMar w:top="1440" w:right="1440" w:bottom="1440" w:left="1440" w:header="708" w:footer="708" w:gutter="0"/>
          <w:pgNumType w:start="0"/>
          <w:cols w:space="708"/>
          <w:titlePg/>
          <w:docGrid w:linePitch="360"/>
        </w:sectPr>
      </w:pPr>
    </w:p>
    <w:p w14:paraId="785A6856" w14:textId="77777777" w:rsidR="00191215" w:rsidRDefault="003F4C5A">
      <w:pPr>
        <w:pStyle w:val="Heading1"/>
      </w:pPr>
      <w:r>
        <w:t>PART 4 – SUMMARY OF EVIDENCE</w:t>
      </w:r>
    </w:p>
    <w:p w14:paraId="3F619710" w14:textId="77777777" w:rsidR="00191215" w:rsidRDefault="003F4C5A">
      <w:pPr>
        <w:pStyle w:val="Heading2"/>
      </w:pPr>
      <w:r>
        <w:t>Provide one or more recent (published) high quality clinical studies that support use of the proposed health service/technology. At ‘Application Form lodgement’, please do not attach full text articles; just provide a summary.</w:t>
      </w:r>
    </w:p>
    <w:tbl>
      <w:tblPr>
        <w:tblStyle w:val="TableGrid"/>
        <w:tblW w:w="5162" w:type="pct"/>
        <w:tblInd w:w="80" w:type="dxa"/>
        <w:tblLook w:val="04A0" w:firstRow="1" w:lastRow="0" w:firstColumn="1" w:lastColumn="0" w:noHBand="0" w:noVBand="1"/>
        <w:tblCaption w:val="Summary of Evidence - Published"/>
      </w:tblPr>
      <w:tblGrid>
        <w:gridCol w:w="483"/>
        <w:gridCol w:w="1328"/>
        <w:gridCol w:w="2814"/>
        <w:gridCol w:w="4349"/>
        <w:gridCol w:w="4188"/>
        <w:gridCol w:w="1238"/>
      </w:tblGrid>
      <w:tr w:rsidR="00191215" w14:paraId="664B50B2" w14:textId="77777777">
        <w:trPr>
          <w:cantSplit/>
          <w:tblHeader/>
        </w:trPr>
        <w:tc>
          <w:tcPr>
            <w:tcW w:w="168" w:type="pct"/>
          </w:tcPr>
          <w:p w14:paraId="1DED2957" w14:textId="77777777" w:rsidR="00191215" w:rsidRDefault="00191215">
            <w:pPr>
              <w:pStyle w:val="TableHEADER"/>
            </w:pPr>
          </w:p>
        </w:tc>
        <w:tc>
          <w:tcPr>
            <w:tcW w:w="461" w:type="pct"/>
          </w:tcPr>
          <w:p w14:paraId="2E57B0FE" w14:textId="77777777" w:rsidR="00191215" w:rsidRDefault="003F4C5A">
            <w:pPr>
              <w:pStyle w:val="TableHEADER"/>
            </w:pPr>
            <w:r>
              <w:t>Type of study design</w:t>
            </w:r>
          </w:p>
        </w:tc>
        <w:tc>
          <w:tcPr>
            <w:tcW w:w="977" w:type="pct"/>
          </w:tcPr>
          <w:p w14:paraId="752DD790" w14:textId="046ADEE9" w:rsidR="00191215" w:rsidRDefault="003F4C5A">
            <w:pPr>
              <w:pStyle w:val="TableHEADER"/>
            </w:pPr>
            <w:r>
              <w:t xml:space="preserve">Title of journal article or research project </w:t>
            </w:r>
          </w:p>
        </w:tc>
        <w:tc>
          <w:tcPr>
            <w:tcW w:w="1510" w:type="pct"/>
          </w:tcPr>
          <w:p w14:paraId="7AB3A09A" w14:textId="2C8A02AB" w:rsidR="00191215" w:rsidRDefault="003F4C5A">
            <w:pPr>
              <w:pStyle w:val="TableHEADER"/>
            </w:pPr>
            <w:r>
              <w:t xml:space="preserve">Short description of research </w:t>
            </w:r>
          </w:p>
        </w:tc>
        <w:tc>
          <w:tcPr>
            <w:tcW w:w="1454" w:type="pct"/>
          </w:tcPr>
          <w:p w14:paraId="5825265C" w14:textId="5241DBEE" w:rsidR="00191215" w:rsidRDefault="003F4C5A">
            <w:pPr>
              <w:pStyle w:val="TableHEADER"/>
            </w:pPr>
            <w:r>
              <w:t>Website link to journal article or research</w:t>
            </w:r>
          </w:p>
        </w:tc>
        <w:tc>
          <w:tcPr>
            <w:tcW w:w="430" w:type="pct"/>
          </w:tcPr>
          <w:p w14:paraId="243D7F59" w14:textId="77777777" w:rsidR="00191215" w:rsidRDefault="003F4C5A">
            <w:pPr>
              <w:pStyle w:val="TableHEADER"/>
            </w:pPr>
            <w:r>
              <w:t>Date of publication</w:t>
            </w:r>
          </w:p>
        </w:tc>
      </w:tr>
      <w:tr w:rsidR="00191215" w14:paraId="750F99C1" w14:textId="77777777">
        <w:trPr>
          <w:cantSplit/>
        </w:trPr>
        <w:tc>
          <w:tcPr>
            <w:tcW w:w="168" w:type="pct"/>
          </w:tcPr>
          <w:p w14:paraId="7263B4EC" w14:textId="77777777" w:rsidR="00191215" w:rsidRDefault="003F4C5A">
            <w:pPr>
              <w:rPr>
                <w:szCs w:val="20"/>
              </w:rPr>
            </w:pPr>
            <w:r>
              <w:rPr>
                <w:szCs w:val="20"/>
              </w:rPr>
              <w:t>1.</w:t>
            </w:r>
          </w:p>
        </w:tc>
        <w:tc>
          <w:tcPr>
            <w:tcW w:w="461" w:type="pct"/>
          </w:tcPr>
          <w:p w14:paraId="7620B007" w14:textId="77777777" w:rsidR="00191215" w:rsidRDefault="003F4C5A">
            <w:pPr>
              <w:rPr>
                <w:b/>
                <w:szCs w:val="20"/>
              </w:rPr>
            </w:pPr>
            <w:r>
              <w:t>Biomarker discovery – post-hoc analysis of longitudinal observational study</w:t>
            </w:r>
          </w:p>
        </w:tc>
        <w:tc>
          <w:tcPr>
            <w:tcW w:w="977" w:type="pct"/>
          </w:tcPr>
          <w:p w14:paraId="5F0DE4C4" w14:textId="77777777" w:rsidR="00191215" w:rsidRDefault="003F4C5A">
            <w:pPr>
              <w:rPr>
                <w:b/>
                <w:szCs w:val="20"/>
              </w:rPr>
            </w:pPr>
            <w:r>
              <w:t>Comprehensive mass spectrometry-based biomarker discovery and validation platform as applied to diabetic kidney disease</w:t>
            </w:r>
          </w:p>
        </w:tc>
        <w:tc>
          <w:tcPr>
            <w:tcW w:w="1510" w:type="pct"/>
          </w:tcPr>
          <w:p w14:paraId="330E2685" w14:textId="02099B0F" w:rsidR="00191215" w:rsidRDefault="003F4C5A">
            <w:r>
              <w:t xml:space="preserve">Biomarkers in 572 patients from the Fremantle Diabetes Study Phase II (FDS2) were compared against gold standard tests for evaluating DKD. Protein biomarkers </w:t>
            </w:r>
            <w:r w:rsidR="007F1B8B">
              <w:t>ApoA4</w:t>
            </w:r>
            <w:r>
              <w:t>, CFHR2, IBP3, and AMBP were significantly associated with DKD, improving true positive (88% vs 73%) and false positive rates (32% vs 88%) against standard tests alone.</w:t>
            </w:r>
          </w:p>
        </w:tc>
        <w:tc>
          <w:tcPr>
            <w:tcW w:w="1454" w:type="pct"/>
          </w:tcPr>
          <w:p w14:paraId="40E884B3" w14:textId="77777777" w:rsidR="00191215" w:rsidRDefault="003F4C5A">
            <w:pPr>
              <w:rPr>
                <w:b/>
                <w:szCs w:val="20"/>
              </w:rPr>
            </w:pPr>
            <w:r>
              <w:t>https://pubmed.ncbi.nlm.nih.gov/29900119/</w:t>
            </w:r>
          </w:p>
        </w:tc>
        <w:tc>
          <w:tcPr>
            <w:tcW w:w="430" w:type="pct"/>
          </w:tcPr>
          <w:p w14:paraId="33378C56" w14:textId="77777777" w:rsidR="00191215" w:rsidRDefault="003F4C5A">
            <w:pPr>
              <w:rPr>
                <w:b/>
                <w:szCs w:val="20"/>
              </w:rPr>
            </w:pPr>
            <w:r>
              <w:t>January 2017</w:t>
            </w:r>
          </w:p>
        </w:tc>
      </w:tr>
      <w:tr w:rsidR="00191215" w14:paraId="1E8965B7" w14:textId="77777777">
        <w:trPr>
          <w:cantSplit/>
        </w:trPr>
        <w:tc>
          <w:tcPr>
            <w:tcW w:w="168" w:type="pct"/>
          </w:tcPr>
          <w:p w14:paraId="728A6B22" w14:textId="77777777" w:rsidR="00191215" w:rsidRDefault="003F4C5A">
            <w:pPr>
              <w:rPr>
                <w:szCs w:val="20"/>
              </w:rPr>
            </w:pPr>
            <w:r>
              <w:rPr>
                <w:szCs w:val="20"/>
              </w:rPr>
              <w:t>2.</w:t>
            </w:r>
          </w:p>
        </w:tc>
        <w:tc>
          <w:tcPr>
            <w:tcW w:w="461" w:type="pct"/>
          </w:tcPr>
          <w:p w14:paraId="433CF874" w14:textId="77777777" w:rsidR="00191215" w:rsidRDefault="003F4C5A">
            <w:pPr>
              <w:rPr>
                <w:b/>
                <w:szCs w:val="20"/>
              </w:rPr>
            </w:pPr>
            <w:r>
              <w:t>Biomarker discovery and test development – post-hoc analysis of longitudinal observational study</w:t>
            </w:r>
          </w:p>
        </w:tc>
        <w:tc>
          <w:tcPr>
            <w:tcW w:w="977" w:type="pct"/>
          </w:tcPr>
          <w:p w14:paraId="151452C9" w14:textId="77777777" w:rsidR="00191215" w:rsidRDefault="003F4C5A">
            <w:pPr>
              <w:rPr>
                <w:b/>
                <w:szCs w:val="20"/>
              </w:rPr>
            </w:pPr>
            <w:r>
              <w:t>Identification of Novel Circulating Biomarkers Predicting Rapid Decline in Renal Function in Type 2 Diabetes: The Fremantle Diabetes Study Phase II</w:t>
            </w:r>
          </w:p>
        </w:tc>
        <w:tc>
          <w:tcPr>
            <w:tcW w:w="1510" w:type="pct"/>
          </w:tcPr>
          <w:p w14:paraId="47B897ED" w14:textId="01B2D9E2" w:rsidR="00191215" w:rsidRDefault="003F4C5A">
            <w:r>
              <w:t>Baseline biomarkers in 345 patients from the FDS2 measured by mass spectrometry to determine predictors of rapid eGFR decline over a 4-year follow-up period. Novel plasma biomarkers (</w:t>
            </w:r>
            <w:r w:rsidR="007F1B8B">
              <w:t>ApoA4</w:t>
            </w:r>
            <w:r>
              <w:t xml:space="preserve">, CD5L, C1QB, and IBP3) identified </w:t>
            </w:r>
            <w:r w:rsidR="003D2E35">
              <w:t xml:space="preserve">that could predict outcomes, </w:t>
            </w:r>
            <w:r>
              <w:t xml:space="preserve">independently of recognised clinical risk factors in T2D. </w:t>
            </w:r>
          </w:p>
        </w:tc>
        <w:tc>
          <w:tcPr>
            <w:tcW w:w="1454" w:type="pct"/>
          </w:tcPr>
          <w:p w14:paraId="0FA92DB3" w14:textId="77777777" w:rsidR="00191215" w:rsidRDefault="003F4C5A">
            <w:pPr>
              <w:rPr>
                <w:b/>
                <w:szCs w:val="20"/>
              </w:rPr>
            </w:pPr>
            <w:r>
              <w:t>https://pubmed.ncbi.nlm.nih.gov/28851702/</w:t>
            </w:r>
          </w:p>
        </w:tc>
        <w:tc>
          <w:tcPr>
            <w:tcW w:w="430" w:type="pct"/>
          </w:tcPr>
          <w:p w14:paraId="684AF442" w14:textId="77777777" w:rsidR="00191215" w:rsidRDefault="003F4C5A">
            <w:pPr>
              <w:rPr>
                <w:b/>
                <w:szCs w:val="20"/>
              </w:rPr>
            </w:pPr>
            <w:r>
              <w:t>August 2017</w:t>
            </w:r>
          </w:p>
        </w:tc>
      </w:tr>
      <w:tr w:rsidR="00191215" w14:paraId="6113D28D" w14:textId="77777777">
        <w:trPr>
          <w:cantSplit/>
        </w:trPr>
        <w:tc>
          <w:tcPr>
            <w:tcW w:w="168" w:type="pct"/>
          </w:tcPr>
          <w:p w14:paraId="180FD9E0" w14:textId="77777777" w:rsidR="00191215" w:rsidRDefault="003F4C5A">
            <w:pPr>
              <w:rPr>
                <w:szCs w:val="20"/>
              </w:rPr>
            </w:pPr>
            <w:r>
              <w:rPr>
                <w:szCs w:val="20"/>
              </w:rPr>
              <w:t>3.</w:t>
            </w:r>
          </w:p>
        </w:tc>
        <w:tc>
          <w:tcPr>
            <w:tcW w:w="461" w:type="pct"/>
          </w:tcPr>
          <w:p w14:paraId="33262949" w14:textId="77777777" w:rsidR="00191215" w:rsidRDefault="003F4C5A">
            <w:pPr>
              <w:rPr>
                <w:b/>
                <w:szCs w:val="20"/>
              </w:rPr>
            </w:pPr>
            <w:r>
              <w:t xml:space="preserve">Test validation – post-hoc analysis of longitudinal observational study </w:t>
            </w:r>
          </w:p>
        </w:tc>
        <w:tc>
          <w:tcPr>
            <w:tcW w:w="977" w:type="pct"/>
          </w:tcPr>
          <w:p w14:paraId="5A0AB73A" w14:textId="77777777" w:rsidR="00191215" w:rsidRDefault="003F4C5A">
            <w:pPr>
              <w:rPr>
                <w:b/>
                <w:szCs w:val="20"/>
              </w:rPr>
            </w:pPr>
            <w:r>
              <w:t>Validation of a protein biomarker test for predicting renal decline in type 2 diabetes: The Fremantle Diabetes Study Phase II</w:t>
            </w:r>
          </w:p>
        </w:tc>
        <w:tc>
          <w:tcPr>
            <w:tcW w:w="1510" w:type="pct"/>
          </w:tcPr>
          <w:p w14:paraId="68240083" w14:textId="77777777" w:rsidR="00191215" w:rsidRDefault="003F4C5A">
            <w:pPr>
              <w:rPr>
                <w:b/>
                <w:szCs w:val="20"/>
              </w:rPr>
            </w:pPr>
            <w:r>
              <w:t xml:space="preserve">Identified biomarkers assessed for predicting rapid decline in eGFR in 447 patients with T2D. Addition of biomarkers to the clinical model improved model fit, calibration, discrimination, sensitivity, specificity, and risk classification. </w:t>
            </w:r>
            <w:proofErr w:type="spellStart"/>
            <w:r>
              <w:t>PromarkerD</w:t>
            </w:r>
            <w:proofErr w:type="spellEnd"/>
            <w:r>
              <w:t xml:space="preserve"> had 86% sensitivity to predict DKD development within 4 years in individuals who were disease free at baseline.</w:t>
            </w:r>
          </w:p>
        </w:tc>
        <w:tc>
          <w:tcPr>
            <w:tcW w:w="1454" w:type="pct"/>
          </w:tcPr>
          <w:p w14:paraId="483496A1" w14:textId="77777777" w:rsidR="00191215" w:rsidRDefault="003F4C5A">
            <w:pPr>
              <w:rPr>
                <w:b/>
                <w:szCs w:val="20"/>
              </w:rPr>
            </w:pPr>
            <w:r>
              <w:t>https://pubmed.ncbi.nlm.nih.gov/31669066/</w:t>
            </w:r>
          </w:p>
        </w:tc>
        <w:tc>
          <w:tcPr>
            <w:tcW w:w="430" w:type="pct"/>
          </w:tcPr>
          <w:p w14:paraId="24836DB1" w14:textId="77777777" w:rsidR="00191215" w:rsidRDefault="003F4C5A">
            <w:pPr>
              <w:rPr>
                <w:b/>
                <w:szCs w:val="20"/>
              </w:rPr>
            </w:pPr>
            <w:r>
              <w:t>December 2019</w:t>
            </w:r>
          </w:p>
        </w:tc>
      </w:tr>
      <w:tr w:rsidR="00191215" w14:paraId="4C728A2F" w14:textId="77777777">
        <w:trPr>
          <w:cantSplit/>
        </w:trPr>
        <w:tc>
          <w:tcPr>
            <w:tcW w:w="168" w:type="pct"/>
          </w:tcPr>
          <w:p w14:paraId="50814E5A" w14:textId="77777777" w:rsidR="00191215" w:rsidRDefault="003F4C5A">
            <w:pPr>
              <w:rPr>
                <w:szCs w:val="20"/>
              </w:rPr>
            </w:pPr>
            <w:r>
              <w:rPr>
                <w:szCs w:val="20"/>
              </w:rPr>
              <w:t>4.</w:t>
            </w:r>
          </w:p>
        </w:tc>
        <w:tc>
          <w:tcPr>
            <w:tcW w:w="461" w:type="pct"/>
          </w:tcPr>
          <w:p w14:paraId="0BA7B874" w14:textId="77777777" w:rsidR="00191215" w:rsidRDefault="003F4C5A">
            <w:r>
              <w:t>Protocol optimisation</w:t>
            </w:r>
          </w:p>
        </w:tc>
        <w:tc>
          <w:tcPr>
            <w:tcW w:w="977" w:type="pct"/>
          </w:tcPr>
          <w:p w14:paraId="3C5BE0E1" w14:textId="77777777" w:rsidR="00191215" w:rsidRDefault="003F4C5A">
            <w:r>
              <w:t>A robust multiplex immunoaffinity mass spectrometry assay (</w:t>
            </w:r>
            <w:proofErr w:type="spellStart"/>
            <w:r>
              <w:t>PromarkerD</w:t>
            </w:r>
            <w:proofErr w:type="spellEnd"/>
            <w:r>
              <w:t>) for clinical prediction of diabetic kidney disease</w:t>
            </w:r>
          </w:p>
        </w:tc>
        <w:tc>
          <w:tcPr>
            <w:tcW w:w="1510" w:type="pct"/>
          </w:tcPr>
          <w:p w14:paraId="2BCEEE0F" w14:textId="77777777" w:rsidR="00191215" w:rsidRDefault="003F4C5A">
            <w:proofErr w:type="spellStart"/>
            <w:r>
              <w:t>PromarkerD</w:t>
            </w:r>
            <w:proofErr w:type="spellEnd"/>
            <w:r>
              <w:t xml:space="preserve"> was optimised to a high throughput multiplex immunoaffinity mass spectrometry assay with applications in pathology practice. Processing time was reduced from seven to two days and test results demonstrated strong correlation (R = 0.96) to the original </w:t>
            </w:r>
            <w:proofErr w:type="spellStart"/>
            <w:r>
              <w:t>immunodepletion</w:t>
            </w:r>
            <w:proofErr w:type="spellEnd"/>
            <w:r>
              <w:t xml:space="preserve"> method used in development of the test. </w:t>
            </w:r>
          </w:p>
        </w:tc>
        <w:tc>
          <w:tcPr>
            <w:tcW w:w="1454" w:type="pct"/>
          </w:tcPr>
          <w:p w14:paraId="3C8F7284" w14:textId="77777777" w:rsidR="00191215" w:rsidRDefault="003F4C5A">
            <w:r>
              <w:t>https://clinicalproteomicsjournal.biomedcentral.</w:t>
            </w:r>
          </w:p>
          <w:p w14:paraId="66290D37" w14:textId="77777777" w:rsidR="00191215" w:rsidRDefault="003F4C5A">
            <w:r>
              <w:t>com/articles/10.1186/s12014-020-09302-w</w:t>
            </w:r>
          </w:p>
        </w:tc>
        <w:tc>
          <w:tcPr>
            <w:tcW w:w="430" w:type="pct"/>
          </w:tcPr>
          <w:p w14:paraId="4FECD9F6" w14:textId="77777777" w:rsidR="00191215" w:rsidRDefault="003F4C5A">
            <w:r>
              <w:t>October 2020</w:t>
            </w:r>
          </w:p>
        </w:tc>
      </w:tr>
      <w:tr w:rsidR="00191215" w14:paraId="28BF1C09" w14:textId="77777777">
        <w:trPr>
          <w:cantSplit/>
        </w:trPr>
        <w:tc>
          <w:tcPr>
            <w:tcW w:w="168" w:type="pct"/>
          </w:tcPr>
          <w:p w14:paraId="612C026A" w14:textId="77777777" w:rsidR="00191215" w:rsidRDefault="003F4C5A">
            <w:pPr>
              <w:rPr>
                <w:szCs w:val="20"/>
              </w:rPr>
            </w:pPr>
            <w:r>
              <w:rPr>
                <w:szCs w:val="20"/>
              </w:rPr>
              <w:t>5.</w:t>
            </w:r>
          </w:p>
        </w:tc>
        <w:tc>
          <w:tcPr>
            <w:tcW w:w="461" w:type="pct"/>
          </w:tcPr>
          <w:p w14:paraId="70659870" w14:textId="77777777" w:rsidR="00191215" w:rsidRDefault="003F4C5A">
            <w:r>
              <w:t>Protocol optimisation</w:t>
            </w:r>
          </w:p>
        </w:tc>
        <w:tc>
          <w:tcPr>
            <w:tcW w:w="977" w:type="pct"/>
          </w:tcPr>
          <w:p w14:paraId="0495EB2A" w14:textId="77777777" w:rsidR="00191215" w:rsidRDefault="003F4C5A">
            <w:r>
              <w:t xml:space="preserve">The New and the Old: Platform Cross-Validation of Immunoaffinity MASS Spectrometry versus ELISA for </w:t>
            </w:r>
            <w:proofErr w:type="spellStart"/>
            <w:r>
              <w:t>PromarkerD</w:t>
            </w:r>
            <w:proofErr w:type="spellEnd"/>
            <w:r>
              <w:t>, a Predictive Test for Diabetic Kidney Disease</w:t>
            </w:r>
          </w:p>
        </w:tc>
        <w:tc>
          <w:tcPr>
            <w:tcW w:w="1510" w:type="pct"/>
          </w:tcPr>
          <w:p w14:paraId="066B6215" w14:textId="373F617B" w:rsidR="00191215" w:rsidRDefault="003F4C5A">
            <w:proofErr w:type="spellStart"/>
            <w:r>
              <w:rPr>
                <w:rFonts w:ascii="URWPalladioL-Roma" w:hAnsi="URWPalladioL-Roma" w:cs="URWPalladioL-Roma"/>
                <w:szCs w:val="20"/>
              </w:rPr>
              <w:t>PromarkerD</w:t>
            </w:r>
            <w:proofErr w:type="spellEnd"/>
            <w:r>
              <w:rPr>
                <w:rFonts w:ascii="URWPalladioL-Roma" w:hAnsi="URWPalladioL-Roma" w:cs="URWPalladioL-Roma"/>
                <w:szCs w:val="20"/>
              </w:rPr>
              <w:t xml:space="preserve"> developed into a standard ELISA workflow and compared to multiplexed </w:t>
            </w:r>
            <w:r w:rsidR="003D2E35">
              <w:rPr>
                <w:rFonts w:ascii="URWPalladioL-Roma" w:hAnsi="URWPalladioL-Roma" w:cs="URWPalladioL-Roma"/>
                <w:szCs w:val="20"/>
              </w:rPr>
              <w:t>immunoaffinity</w:t>
            </w:r>
            <w:r>
              <w:rPr>
                <w:rFonts w:ascii="URWPalladioL-Roma" w:hAnsi="URWPalladioL-Roma" w:cs="URWPalladioL-Roma"/>
                <w:szCs w:val="20"/>
              </w:rPr>
              <w:t xml:space="preserve"> capture mass spectrometry assay. The performance characteristics of the two technology platforms were compared using a cohort of 100 samples, with </w:t>
            </w:r>
            <w:proofErr w:type="spellStart"/>
            <w:r>
              <w:rPr>
                <w:rFonts w:ascii="URWPalladioL-Roma" w:hAnsi="URWPalladioL-Roma" w:cs="URWPalladioL-Roma"/>
                <w:szCs w:val="20"/>
              </w:rPr>
              <w:t>PromarkerD</w:t>
            </w:r>
            <w:proofErr w:type="spellEnd"/>
            <w:r>
              <w:rPr>
                <w:rFonts w:ascii="URWPalladioL-Roma" w:hAnsi="URWPalladioL-Roma" w:cs="URWPalladioL-Roma"/>
                <w:szCs w:val="20"/>
              </w:rPr>
              <w:t xml:space="preserve"> test scores demonstrating a high correlation (R </w:t>
            </w:r>
            <w:r>
              <w:rPr>
                <w:rFonts w:ascii="Rpxr" w:hAnsi="Rpxr" w:cs="Rpxr"/>
                <w:szCs w:val="20"/>
              </w:rPr>
              <w:t xml:space="preserve">= </w:t>
            </w:r>
            <w:r>
              <w:rPr>
                <w:rFonts w:ascii="URWPalladioL-Roma" w:hAnsi="URWPalladioL-Roma" w:cs="URWPalladioL-Roma"/>
                <w:szCs w:val="20"/>
              </w:rPr>
              <w:t xml:space="preserve">0.97). </w:t>
            </w:r>
          </w:p>
        </w:tc>
        <w:tc>
          <w:tcPr>
            <w:tcW w:w="1454" w:type="pct"/>
          </w:tcPr>
          <w:p w14:paraId="609E7F77" w14:textId="77777777" w:rsidR="00191215" w:rsidRDefault="003F4C5A">
            <w:r>
              <w:t>https://pubmed.ncbi.nlm.nih.gov/33126588/</w:t>
            </w:r>
          </w:p>
        </w:tc>
        <w:tc>
          <w:tcPr>
            <w:tcW w:w="430" w:type="pct"/>
          </w:tcPr>
          <w:p w14:paraId="3B8CEF24" w14:textId="77777777" w:rsidR="00191215" w:rsidRDefault="003F4C5A">
            <w:r>
              <w:t>October 2020</w:t>
            </w:r>
          </w:p>
        </w:tc>
      </w:tr>
      <w:tr w:rsidR="00191215" w14:paraId="2C46EE69" w14:textId="77777777">
        <w:trPr>
          <w:cantSplit/>
        </w:trPr>
        <w:tc>
          <w:tcPr>
            <w:tcW w:w="168" w:type="pct"/>
          </w:tcPr>
          <w:p w14:paraId="46A34495" w14:textId="77777777" w:rsidR="00191215" w:rsidRDefault="003F4C5A">
            <w:pPr>
              <w:rPr>
                <w:szCs w:val="20"/>
              </w:rPr>
            </w:pPr>
            <w:r>
              <w:rPr>
                <w:szCs w:val="20"/>
              </w:rPr>
              <w:t>6.</w:t>
            </w:r>
          </w:p>
        </w:tc>
        <w:tc>
          <w:tcPr>
            <w:tcW w:w="461" w:type="pct"/>
          </w:tcPr>
          <w:p w14:paraId="008AF4A1" w14:textId="77777777" w:rsidR="00191215" w:rsidRDefault="003F4C5A">
            <w:r>
              <w:t>Post-hoc analysis of Phase III randomised controlled trial</w:t>
            </w:r>
          </w:p>
        </w:tc>
        <w:tc>
          <w:tcPr>
            <w:tcW w:w="977" w:type="pct"/>
          </w:tcPr>
          <w:p w14:paraId="6DD77890" w14:textId="77777777" w:rsidR="00191215" w:rsidRDefault="003F4C5A">
            <w:proofErr w:type="spellStart"/>
            <w:r>
              <w:t>PromarkerD</w:t>
            </w:r>
            <w:proofErr w:type="spellEnd"/>
            <w:r>
              <w:t xml:space="preserve"> Predicts Renal Function Decline in Type 2 Diabetes in the Canagliflozin Cardiovascular Assessment Study (CANVAS)</w:t>
            </w:r>
          </w:p>
        </w:tc>
        <w:tc>
          <w:tcPr>
            <w:tcW w:w="1510" w:type="pct"/>
          </w:tcPr>
          <w:p w14:paraId="7E390F5E" w14:textId="77777777" w:rsidR="00191215" w:rsidRDefault="003F4C5A">
            <w:proofErr w:type="spellStart"/>
            <w:r>
              <w:t>PromarkerD</w:t>
            </w:r>
            <w:proofErr w:type="spellEnd"/>
            <w:r>
              <w:t xml:space="preserve"> scores were measured at baseline in 3568 CANVAS participants with T2D (n = 1195 placebo arm, n = 2373 canagliflozin) and used to predict incident DKD and eGFR decline ≥30% over 4 years. After adjusting for treatment, baseline </w:t>
            </w:r>
            <w:proofErr w:type="spellStart"/>
            <w:r>
              <w:t>PromarkerD</w:t>
            </w:r>
            <w:proofErr w:type="spellEnd"/>
            <w:r>
              <w:t xml:space="preserve"> risk scores were increasingly prognostic for incident DKD.</w:t>
            </w:r>
          </w:p>
        </w:tc>
        <w:tc>
          <w:tcPr>
            <w:tcW w:w="1454" w:type="pct"/>
          </w:tcPr>
          <w:p w14:paraId="6E0F7378" w14:textId="77777777" w:rsidR="00191215" w:rsidRDefault="003F4C5A">
            <w:r>
              <w:t>https://pubmed.ncbi.nlm.nih.gov/33036174/</w:t>
            </w:r>
          </w:p>
        </w:tc>
        <w:tc>
          <w:tcPr>
            <w:tcW w:w="430" w:type="pct"/>
          </w:tcPr>
          <w:p w14:paraId="61CDB934" w14:textId="77777777" w:rsidR="00191215" w:rsidRDefault="003F4C5A">
            <w:r>
              <w:t>October 2020</w:t>
            </w:r>
          </w:p>
        </w:tc>
      </w:tr>
    </w:tbl>
    <w:p w14:paraId="383508EA" w14:textId="77777777" w:rsidR="00191215" w:rsidRDefault="003F4C5A">
      <w:pPr>
        <w:rPr>
          <w:i/>
          <w:szCs w:val="20"/>
        </w:rPr>
      </w:pPr>
      <w:r>
        <w:rPr>
          <w:i/>
          <w:szCs w:val="20"/>
        </w:rPr>
        <w:br w:type="page"/>
      </w:r>
    </w:p>
    <w:p w14:paraId="65A3B985" w14:textId="77777777" w:rsidR="00191215" w:rsidRDefault="00191215">
      <w:pPr>
        <w:rPr>
          <w:b/>
          <w:sz w:val="32"/>
          <w:szCs w:val="32"/>
        </w:rPr>
        <w:sectPr w:rsidR="00191215">
          <w:pgSz w:w="16838" w:h="11906" w:orient="landscape"/>
          <w:pgMar w:top="1440" w:right="1440" w:bottom="1440" w:left="1440" w:header="708" w:footer="708" w:gutter="0"/>
          <w:cols w:space="708"/>
          <w:docGrid w:linePitch="360"/>
        </w:sectPr>
      </w:pPr>
    </w:p>
    <w:p w14:paraId="55110C37" w14:textId="77777777" w:rsidR="00191215" w:rsidRDefault="003F4C5A">
      <w:pPr>
        <w:pStyle w:val="Heading2"/>
      </w:pPr>
      <w:bookmarkStart w:id="5" w:name="_Ref77866238"/>
      <w:r>
        <w:t xml:space="preserve">Identify </w:t>
      </w:r>
      <w:r>
        <w:rPr>
          <w:u w:val="single"/>
        </w:rPr>
        <w:t>yet-to-be-published</w:t>
      </w:r>
      <w:r>
        <w:t xml:space="preserve"> research that may have results available </w:t>
      </w:r>
      <w:proofErr w:type="gramStart"/>
      <w:r>
        <w:t>in the near future</w:t>
      </w:r>
      <w:proofErr w:type="gramEnd"/>
      <w:r>
        <w:t xml:space="preserve"> (that could be relevant to your application). Do not attach full text articles; this is just a summary</w:t>
      </w:r>
      <w:r>
        <w:rPr>
          <w:i/>
        </w:rPr>
        <w:t>.</w:t>
      </w:r>
      <w:bookmarkEnd w:id="5"/>
    </w:p>
    <w:tbl>
      <w:tblPr>
        <w:tblStyle w:val="TableGrid"/>
        <w:tblW w:w="5000" w:type="pct"/>
        <w:tblLook w:val="04A0" w:firstRow="1" w:lastRow="0" w:firstColumn="1" w:lastColumn="0" w:noHBand="0" w:noVBand="1"/>
        <w:tblCaption w:val="Summary of Evidence - Yet to be Published"/>
      </w:tblPr>
      <w:tblGrid>
        <w:gridCol w:w="368"/>
        <w:gridCol w:w="1802"/>
        <w:gridCol w:w="3230"/>
        <w:gridCol w:w="4341"/>
        <w:gridCol w:w="3016"/>
        <w:gridCol w:w="1191"/>
      </w:tblGrid>
      <w:tr w:rsidR="00191215" w14:paraId="7DC30F3A" w14:textId="77777777">
        <w:trPr>
          <w:cantSplit/>
          <w:tblHeader/>
        </w:trPr>
        <w:tc>
          <w:tcPr>
            <w:tcW w:w="131" w:type="pct"/>
          </w:tcPr>
          <w:p w14:paraId="0A0E7F36" w14:textId="77777777" w:rsidR="00191215" w:rsidRDefault="00191215">
            <w:pPr>
              <w:pStyle w:val="TableHEADER"/>
            </w:pPr>
          </w:p>
        </w:tc>
        <w:tc>
          <w:tcPr>
            <w:tcW w:w="674" w:type="pct"/>
          </w:tcPr>
          <w:p w14:paraId="6932FD4D" w14:textId="315DD997" w:rsidR="00191215" w:rsidRDefault="003F4C5A">
            <w:pPr>
              <w:pStyle w:val="TableHEADER"/>
            </w:pPr>
            <w:r>
              <w:t>Type of study design</w:t>
            </w:r>
          </w:p>
        </w:tc>
        <w:tc>
          <w:tcPr>
            <w:tcW w:w="1186" w:type="pct"/>
          </w:tcPr>
          <w:p w14:paraId="642C6623" w14:textId="60F4FB69" w:rsidR="00191215" w:rsidRDefault="003F4C5A">
            <w:pPr>
              <w:pStyle w:val="TableHEADER"/>
            </w:pPr>
            <w:r>
              <w:t xml:space="preserve">Title of research </w:t>
            </w:r>
          </w:p>
        </w:tc>
        <w:tc>
          <w:tcPr>
            <w:tcW w:w="1584" w:type="pct"/>
          </w:tcPr>
          <w:p w14:paraId="16572D86" w14:textId="625E9131" w:rsidR="00191215" w:rsidRDefault="003F4C5A">
            <w:pPr>
              <w:pStyle w:val="TableHEADER"/>
            </w:pPr>
            <w:r>
              <w:t xml:space="preserve">Short description of research </w:t>
            </w:r>
          </w:p>
        </w:tc>
        <w:tc>
          <w:tcPr>
            <w:tcW w:w="1072" w:type="pct"/>
          </w:tcPr>
          <w:p w14:paraId="297A3B3B" w14:textId="6A0B8E3A" w:rsidR="00191215" w:rsidRDefault="003F4C5A">
            <w:pPr>
              <w:pStyle w:val="TableHEADER"/>
            </w:pPr>
            <w:r>
              <w:t>Website link to research</w:t>
            </w:r>
          </w:p>
        </w:tc>
        <w:tc>
          <w:tcPr>
            <w:tcW w:w="354" w:type="pct"/>
          </w:tcPr>
          <w:p w14:paraId="513F2032" w14:textId="30404017" w:rsidR="00191215" w:rsidRDefault="003F4C5A">
            <w:pPr>
              <w:pStyle w:val="TableHEADER"/>
            </w:pPr>
            <w:r>
              <w:t>Date</w:t>
            </w:r>
          </w:p>
        </w:tc>
      </w:tr>
      <w:tr w:rsidR="00191215" w14:paraId="76160E5A" w14:textId="77777777">
        <w:trPr>
          <w:cantSplit/>
        </w:trPr>
        <w:tc>
          <w:tcPr>
            <w:tcW w:w="131" w:type="pct"/>
          </w:tcPr>
          <w:p w14:paraId="3F2C27F2" w14:textId="77777777" w:rsidR="00191215" w:rsidRDefault="003F4C5A">
            <w:pPr>
              <w:rPr>
                <w:szCs w:val="20"/>
              </w:rPr>
            </w:pPr>
            <w:r>
              <w:rPr>
                <w:szCs w:val="20"/>
              </w:rPr>
              <w:t>1.</w:t>
            </w:r>
          </w:p>
        </w:tc>
        <w:tc>
          <w:tcPr>
            <w:tcW w:w="674" w:type="pct"/>
          </w:tcPr>
          <w:p w14:paraId="1C053CC4" w14:textId="77777777" w:rsidR="00191215" w:rsidRDefault="003F4C5A">
            <w:pPr>
              <w:rPr>
                <w:b/>
                <w:szCs w:val="20"/>
              </w:rPr>
            </w:pPr>
            <w:r>
              <w:t>Post-hoc analysis of Phase III randomised controlled trial</w:t>
            </w:r>
          </w:p>
        </w:tc>
        <w:tc>
          <w:tcPr>
            <w:tcW w:w="1186" w:type="pct"/>
          </w:tcPr>
          <w:p w14:paraId="0FF8FA7B" w14:textId="77777777" w:rsidR="00191215" w:rsidRDefault="003F4C5A">
            <w:r>
              <w:t xml:space="preserve">Canagliflozin attenuates </w:t>
            </w:r>
            <w:proofErr w:type="spellStart"/>
            <w:r>
              <w:t>PromarkerD</w:t>
            </w:r>
            <w:proofErr w:type="spellEnd"/>
            <w:r>
              <w:t xml:space="preserve"> diabetic kidney disease risk prediction scores</w:t>
            </w:r>
          </w:p>
          <w:p w14:paraId="5DADFAE7" w14:textId="77777777" w:rsidR="00191215" w:rsidRDefault="00191215">
            <w:pPr>
              <w:rPr>
                <w:b/>
              </w:rPr>
            </w:pPr>
          </w:p>
          <w:p w14:paraId="767F4EED" w14:textId="77777777" w:rsidR="00191215" w:rsidRDefault="003F4C5A">
            <w:pPr>
              <w:rPr>
                <w:b/>
                <w:szCs w:val="20"/>
              </w:rPr>
            </w:pPr>
            <w:r>
              <w:rPr>
                <w:b/>
              </w:rPr>
              <w:t>Poster abstract</w:t>
            </w:r>
          </w:p>
        </w:tc>
        <w:tc>
          <w:tcPr>
            <w:tcW w:w="1584" w:type="pct"/>
          </w:tcPr>
          <w:p w14:paraId="0D03C03A" w14:textId="77777777" w:rsidR="00191215" w:rsidRDefault="003F4C5A">
            <w:pPr>
              <w:rPr>
                <w:bCs/>
                <w:szCs w:val="20"/>
              </w:rPr>
            </w:pPr>
            <w:proofErr w:type="spellStart"/>
            <w:r>
              <w:rPr>
                <w:bCs/>
                <w:szCs w:val="20"/>
              </w:rPr>
              <w:t>PromarkerD</w:t>
            </w:r>
            <w:proofErr w:type="spellEnd"/>
            <w:r>
              <w:rPr>
                <w:bCs/>
                <w:szCs w:val="20"/>
              </w:rPr>
              <w:t xml:space="preserve"> scores were measured at baseline and Year 3 in 2008 participants with a baseline eGFR ≥60mL/min/1.73m</w:t>
            </w:r>
            <w:r>
              <w:rPr>
                <w:bCs/>
                <w:szCs w:val="20"/>
                <w:vertAlign w:val="superscript"/>
              </w:rPr>
              <w:t>2</w:t>
            </w:r>
            <w:r>
              <w:rPr>
                <w:bCs/>
                <w:szCs w:val="20"/>
              </w:rPr>
              <w:t xml:space="preserve">. When stratified by </w:t>
            </w:r>
            <w:proofErr w:type="spellStart"/>
            <w:r>
              <w:rPr>
                <w:bCs/>
                <w:szCs w:val="20"/>
              </w:rPr>
              <w:t>PromarkerD</w:t>
            </w:r>
            <w:proofErr w:type="spellEnd"/>
            <w:r>
              <w:rPr>
                <w:bCs/>
                <w:szCs w:val="20"/>
              </w:rPr>
              <w:t xml:space="preserve"> risk category, patients with high-risk scores at baseline who were randomised to canagliflozin had significantly lower scores at Year 3 while those on placebo remained high.</w:t>
            </w:r>
          </w:p>
        </w:tc>
        <w:tc>
          <w:tcPr>
            <w:tcW w:w="1072" w:type="pct"/>
          </w:tcPr>
          <w:p w14:paraId="63F23AB9" w14:textId="77777777" w:rsidR="00191215" w:rsidRDefault="003F4C5A">
            <w:r>
              <w:t>https://www.xcdsystem.com/adc/</w:t>
            </w:r>
          </w:p>
          <w:p w14:paraId="5EC3BA40" w14:textId="77777777" w:rsidR="00191215" w:rsidRDefault="003F4C5A">
            <w:pPr>
              <w:rPr>
                <w:b/>
                <w:szCs w:val="20"/>
              </w:rPr>
            </w:pPr>
            <w:r>
              <w:t>program/</w:t>
            </w:r>
            <w:proofErr w:type="spellStart"/>
            <w:r>
              <w:t>vPZbWzx</w:t>
            </w:r>
            <w:proofErr w:type="spellEnd"/>
            <w:r>
              <w:t>/</w:t>
            </w:r>
            <w:proofErr w:type="spellStart"/>
            <w:r>
              <w:t>index.cfm</w:t>
            </w:r>
            <w:proofErr w:type="spellEnd"/>
          </w:p>
        </w:tc>
        <w:tc>
          <w:tcPr>
            <w:tcW w:w="354" w:type="pct"/>
          </w:tcPr>
          <w:p w14:paraId="15CD0A6F" w14:textId="77777777" w:rsidR="00191215" w:rsidRDefault="003F4C5A">
            <w:pPr>
              <w:rPr>
                <w:b/>
                <w:szCs w:val="20"/>
              </w:rPr>
            </w:pPr>
            <w:r>
              <w:rPr>
                <w:b/>
                <w:szCs w:val="20"/>
              </w:rPr>
              <w:t>Q3 2021</w:t>
            </w:r>
          </w:p>
        </w:tc>
      </w:tr>
      <w:tr w:rsidR="00191215" w14:paraId="168A5910" w14:textId="77777777">
        <w:trPr>
          <w:cantSplit/>
        </w:trPr>
        <w:tc>
          <w:tcPr>
            <w:tcW w:w="131" w:type="pct"/>
          </w:tcPr>
          <w:p w14:paraId="47317E38" w14:textId="77777777" w:rsidR="00191215" w:rsidRDefault="003F4C5A">
            <w:pPr>
              <w:rPr>
                <w:szCs w:val="20"/>
              </w:rPr>
            </w:pPr>
            <w:r>
              <w:rPr>
                <w:szCs w:val="20"/>
              </w:rPr>
              <w:t>2.</w:t>
            </w:r>
          </w:p>
        </w:tc>
        <w:tc>
          <w:tcPr>
            <w:tcW w:w="674" w:type="pct"/>
          </w:tcPr>
          <w:p w14:paraId="50C3F6FF" w14:textId="77777777" w:rsidR="00191215" w:rsidRDefault="003F4C5A">
            <w:r>
              <w:t xml:space="preserve">Clinical decision impact/utility </w:t>
            </w:r>
          </w:p>
        </w:tc>
        <w:tc>
          <w:tcPr>
            <w:tcW w:w="1186" w:type="pct"/>
          </w:tcPr>
          <w:p w14:paraId="08E76783" w14:textId="77777777" w:rsidR="00191215" w:rsidRDefault="003F4C5A">
            <w:r>
              <w:t xml:space="preserve">Evaluation of the clinical utility of the </w:t>
            </w:r>
            <w:proofErr w:type="spellStart"/>
            <w:r>
              <w:t>PromarkerD</w:t>
            </w:r>
            <w:proofErr w:type="spellEnd"/>
            <w:r>
              <w:t xml:space="preserve"> in-vitro test in predicting diabetic kidney disease and rapid renal decline through a conjoint analysis</w:t>
            </w:r>
          </w:p>
        </w:tc>
        <w:tc>
          <w:tcPr>
            <w:tcW w:w="1584" w:type="pct"/>
          </w:tcPr>
          <w:p w14:paraId="307ABC05" w14:textId="7428B8E6" w:rsidR="00191215" w:rsidRPr="00190BB0" w:rsidRDefault="00B40078">
            <w:pPr>
              <w:rPr>
                <w:bCs/>
                <w:sz w:val="22"/>
                <w:szCs w:val="24"/>
              </w:rPr>
            </w:pPr>
            <w:r w:rsidRPr="00190BB0">
              <w:rPr>
                <w:b/>
                <w:bCs/>
                <w:sz w:val="22"/>
                <w:szCs w:val="24"/>
              </w:rPr>
              <w:t>REDACTED</w:t>
            </w:r>
          </w:p>
        </w:tc>
        <w:tc>
          <w:tcPr>
            <w:tcW w:w="1072" w:type="pct"/>
          </w:tcPr>
          <w:p w14:paraId="6F8BE4D4" w14:textId="216A8665" w:rsidR="00191215" w:rsidRPr="00190BB0" w:rsidRDefault="00B40078">
            <w:pPr>
              <w:rPr>
                <w:sz w:val="22"/>
                <w:szCs w:val="24"/>
              </w:rPr>
            </w:pPr>
            <w:r w:rsidRPr="00190BB0">
              <w:rPr>
                <w:b/>
                <w:bCs/>
                <w:sz w:val="22"/>
                <w:szCs w:val="24"/>
              </w:rPr>
              <w:t>REDACTED</w:t>
            </w:r>
          </w:p>
        </w:tc>
        <w:tc>
          <w:tcPr>
            <w:tcW w:w="354" w:type="pct"/>
          </w:tcPr>
          <w:p w14:paraId="64D69120" w14:textId="16FA2185" w:rsidR="00191215" w:rsidRPr="00190BB0" w:rsidRDefault="00B40078">
            <w:pPr>
              <w:rPr>
                <w:b/>
                <w:sz w:val="22"/>
                <w:szCs w:val="24"/>
              </w:rPr>
            </w:pPr>
            <w:r w:rsidRPr="00190BB0">
              <w:rPr>
                <w:b/>
                <w:bCs/>
                <w:sz w:val="22"/>
                <w:szCs w:val="24"/>
              </w:rPr>
              <w:t>REDACTED</w:t>
            </w:r>
          </w:p>
        </w:tc>
      </w:tr>
    </w:tbl>
    <w:p w14:paraId="28198B53" w14:textId="77777777" w:rsidR="00191215" w:rsidRDefault="003F4C5A">
      <w:pPr>
        <w:rPr>
          <w:b/>
          <w:sz w:val="32"/>
          <w:szCs w:val="32"/>
        </w:rPr>
        <w:sectPr w:rsidR="00191215">
          <w:pgSz w:w="16838" w:h="11906" w:orient="landscape"/>
          <w:pgMar w:top="1440" w:right="1440" w:bottom="1440" w:left="1440" w:header="708" w:footer="708" w:gutter="0"/>
          <w:cols w:space="708"/>
          <w:docGrid w:linePitch="360"/>
        </w:sectPr>
      </w:pPr>
      <w:r>
        <w:rPr>
          <w:b/>
          <w:sz w:val="32"/>
          <w:szCs w:val="32"/>
        </w:rPr>
        <w:br w:type="page"/>
      </w:r>
    </w:p>
    <w:p w14:paraId="7702B0F0" w14:textId="77777777" w:rsidR="00191215" w:rsidRDefault="003F4C5A">
      <w:pPr>
        <w:pStyle w:val="Heading1"/>
      </w:pPr>
      <w:r>
        <w:t>PART 5 – CLINICAL ENDORSEMENT AND CONSUMER INFORMATION</w:t>
      </w:r>
    </w:p>
    <w:p w14:paraId="3D4AD376" w14:textId="77777777" w:rsidR="00191215" w:rsidRDefault="003F4C5A">
      <w:pPr>
        <w:pStyle w:val="Heading2"/>
      </w:pPr>
      <w:r>
        <w:t xml:space="preserve">List all appropriate professional bodies/organisations representing the health professionals who provide the service. For </w:t>
      </w:r>
      <w:r>
        <w:rPr>
          <w:u w:val="single"/>
        </w:rPr>
        <w:t>MBS-related applications</w:t>
      </w:r>
      <w:r>
        <w:t xml:space="preserve"> ONLY, please attach a brief ‘Statement of Clinical Relevance’ from the most relevant college/society.</w:t>
      </w:r>
    </w:p>
    <w:p w14:paraId="7A9F1B79" w14:textId="68769A93" w:rsidR="00191215" w:rsidRDefault="003F4C5A">
      <w:pPr>
        <w:ind w:left="426"/>
      </w:pPr>
      <w:r>
        <w:t xml:space="preserve">The following professional bodies represent the health care professionals responsible for directing treatment of patients with </w:t>
      </w:r>
      <w:r w:rsidR="003D2E35">
        <w:t>t</w:t>
      </w:r>
      <w:r>
        <w:t>ype</w:t>
      </w:r>
      <w:r w:rsidR="003D2E35">
        <w:t xml:space="preserve"> </w:t>
      </w:r>
      <w:r>
        <w:t xml:space="preserve">2 </w:t>
      </w:r>
      <w:r w:rsidR="003D2E35">
        <w:t>d</w:t>
      </w:r>
      <w:r>
        <w:t>iabetes, and who are relevant in the provision of renal-protective care:</w:t>
      </w:r>
    </w:p>
    <w:p w14:paraId="44EDE758" w14:textId="77777777" w:rsidR="00191215" w:rsidRDefault="003F4C5A">
      <w:pPr>
        <w:pStyle w:val="ListParagraph"/>
        <w:numPr>
          <w:ilvl w:val="0"/>
          <w:numId w:val="13"/>
        </w:numPr>
      </w:pPr>
      <w:r>
        <w:t>Kidney Health Australia</w:t>
      </w:r>
    </w:p>
    <w:p w14:paraId="75D0F481" w14:textId="77777777" w:rsidR="00191215" w:rsidRDefault="003F4C5A">
      <w:pPr>
        <w:pStyle w:val="ListParagraph"/>
        <w:numPr>
          <w:ilvl w:val="0"/>
          <w:numId w:val="13"/>
        </w:numPr>
      </w:pPr>
      <w:r>
        <w:t>Australian Diabetes Society (ADS)</w:t>
      </w:r>
    </w:p>
    <w:p w14:paraId="6C40FB63" w14:textId="77777777" w:rsidR="00191215" w:rsidRDefault="003F4C5A">
      <w:pPr>
        <w:pStyle w:val="ListParagraph"/>
        <w:numPr>
          <w:ilvl w:val="0"/>
          <w:numId w:val="13"/>
        </w:numPr>
      </w:pPr>
      <w:r>
        <w:t>Australian and New Zealand Society of Nephrology (ANZSN)</w:t>
      </w:r>
    </w:p>
    <w:p w14:paraId="13F8EEFE" w14:textId="77777777" w:rsidR="00191215" w:rsidRDefault="003F4C5A">
      <w:pPr>
        <w:ind w:left="426"/>
      </w:pPr>
      <w:r>
        <w:t xml:space="preserve">As </w:t>
      </w:r>
      <w:proofErr w:type="spellStart"/>
      <w:r>
        <w:t>PromarkerD</w:t>
      </w:r>
      <w:proofErr w:type="spellEnd"/>
      <w:r>
        <w:t xml:space="preserve"> is a laboratory test, the Royal College of Pathologists of Australasia (RCPA) are also relevant.</w:t>
      </w:r>
    </w:p>
    <w:p w14:paraId="4FF53AA6" w14:textId="33C54967" w:rsidR="00191215" w:rsidRDefault="003F4C5A">
      <w:pPr>
        <w:pStyle w:val="Heading2"/>
      </w:pPr>
      <w:r>
        <w:t>List any professional bodies / organisations that may be impacted by this medical service (</w:t>
      </w:r>
      <w:r w:rsidR="009275AD">
        <w:t>i.e.,</w:t>
      </w:r>
      <w:r>
        <w:t xml:space="preserve"> those who provide the comparator service):</w:t>
      </w:r>
    </w:p>
    <w:p w14:paraId="0DD7CAE0" w14:textId="77777777" w:rsidR="00191215" w:rsidRDefault="003F4C5A">
      <w:pPr>
        <w:ind w:left="426"/>
      </w:pPr>
      <w:r>
        <w:t>There are no comparator services.</w:t>
      </w:r>
    </w:p>
    <w:p w14:paraId="2A8E9B50" w14:textId="77777777" w:rsidR="00191215" w:rsidRDefault="003F4C5A">
      <w:pPr>
        <w:pStyle w:val="Heading2"/>
      </w:pPr>
      <w:r>
        <w:t xml:space="preserve">List the consumer organisations relevant to the proposed medical service (noting there is </w:t>
      </w:r>
      <w:r>
        <w:rPr>
          <w:u w:val="single"/>
        </w:rPr>
        <w:t>NO NEED</w:t>
      </w:r>
      <w:r>
        <w:t xml:space="preserve"> to attach a support letter at the ‘Application Lodgement’ stage of the MSAC process):</w:t>
      </w:r>
    </w:p>
    <w:p w14:paraId="3BE91EC9" w14:textId="77777777" w:rsidR="00191215" w:rsidRDefault="003F4C5A">
      <w:pPr>
        <w:ind w:left="426"/>
        <w:rPr>
          <w:szCs w:val="20"/>
        </w:rPr>
      </w:pPr>
      <w:r>
        <w:t>Diabetes Australia (formerly the Australian Diabetes Council)</w:t>
      </w:r>
    </w:p>
    <w:p w14:paraId="794ECCDF" w14:textId="77777777" w:rsidR="00191215" w:rsidRDefault="003F4C5A">
      <w:pPr>
        <w:pStyle w:val="Heading2"/>
      </w:pPr>
      <w:r>
        <w:t xml:space="preserve">List the relevant sponsor(s) and / or manufacturer(s) who produce </w:t>
      </w:r>
      <w:r>
        <w:rPr>
          <w:u w:val="single"/>
        </w:rPr>
        <w:t>similar</w:t>
      </w:r>
      <w:r>
        <w:t xml:space="preserve"> products relevant to the proposed medical service:</w:t>
      </w:r>
    </w:p>
    <w:p w14:paraId="5F168EA1" w14:textId="77777777" w:rsidR="00191215" w:rsidRDefault="003F4C5A">
      <w:pPr>
        <w:ind w:left="426"/>
        <w:rPr>
          <w:szCs w:val="20"/>
        </w:rPr>
      </w:pPr>
      <w:r>
        <w:t>There is no sponsor which produces a similar product in Australia.</w:t>
      </w:r>
    </w:p>
    <w:p w14:paraId="6ABA7F22" w14:textId="5EC63920" w:rsidR="00953AFE" w:rsidRPr="00190BB0" w:rsidRDefault="003F4C5A" w:rsidP="00190BB0">
      <w:pPr>
        <w:numPr>
          <w:ilvl w:val="0"/>
          <w:numId w:val="1"/>
        </w:numPr>
        <w:rPr>
          <w:b/>
          <w:szCs w:val="20"/>
        </w:rPr>
      </w:pPr>
      <w:r>
        <w:rPr>
          <w:b/>
          <w:szCs w:val="20"/>
        </w:rPr>
        <w:t>Nominate two experts that can be contacted about the proposed medical service, and current clinical management of the condition:</w:t>
      </w:r>
    </w:p>
    <w:p w14:paraId="4E894A9F" w14:textId="6DC0B42C" w:rsidR="00191215" w:rsidRDefault="00190BB0" w:rsidP="00190BB0">
      <w:pPr>
        <w:ind w:firstLine="360"/>
        <w:rPr>
          <w:i/>
          <w:szCs w:val="20"/>
        </w:rPr>
      </w:pPr>
      <w:r w:rsidRPr="00190BB0">
        <w:rPr>
          <w:b/>
          <w:bCs/>
          <w:sz w:val="22"/>
          <w:szCs w:val="24"/>
        </w:rPr>
        <w:t>REDACTED</w:t>
      </w:r>
    </w:p>
    <w:p w14:paraId="436FED67" w14:textId="77777777" w:rsidR="00190BB0" w:rsidRDefault="00190BB0">
      <w:pPr>
        <w:spacing w:before="0" w:after="200" w:line="276" w:lineRule="auto"/>
        <w:rPr>
          <w:bCs/>
          <w:color w:val="4F81BD" w:themeColor="accent1"/>
          <w:sz w:val="40"/>
          <w:szCs w:val="32"/>
        </w:rPr>
      </w:pPr>
      <w:r>
        <w:br w:type="page"/>
      </w:r>
    </w:p>
    <w:p w14:paraId="22E2AC05" w14:textId="2DEBA043" w:rsidR="00191215" w:rsidRDefault="003F4C5A">
      <w:pPr>
        <w:pStyle w:val="Heading1"/>
      </w:pPr>
      <w:r>
        <w:t>PART 6 – POPULATION (AND PRIOR TESTS), INTERVENTION, COMPARATOR, OUTCOME (PICO)</w:t>
      </w:r>
    </w:p>
    <w:p w14:paraId="6CEDF330" w14:textId="77777777" w:rsidR="00191215" w:rsidRDefault="003F4C5A" w:rsidP="008944A2">
      <w:pPr>
        <w:pStyle w:val="Subtitle"/>
        <w:ind w:left="0"/>
      </w:pPr>
      <w:r>
        <w:t>PART 6a – INFORMATION ABOUT THE PROPOSED POPULATION</w:t>
      </w:r>
    </w:p>
    <w:p w14:paraId="7F975B30" w14:textId="77777777" w:rsidR="00191215" w:rsidRDefault="003F4C5A">
      <w:pPr>
        <w:pStyle w:val="Heading2"/>
      </w:pPr>
      <w:r>
        <w:t>Define the medical condition, including providing information on the natural history of the condition and a high-level summary of associated burden of disease (in terms of both morbidity and mortality):</w:t>
      </w:r>
    </w:p>
    <w:p w14:paraId="6C925039" w14:textId="77777777" w:rsidR="00191215" w:rsidRDefault="003F4C5A" w:rsidP="008944A2">
      <w:pPr>
        <w:ind w:left="357"/>
      </w:pPr>
      <w:r>
        <w:rPr>
          <w:rStyle w:val="fontstyle01"/>
          <w:rFonts w:asciiTheme="minorHAnsi" w:hAnsiTheme="minorHAnsi"/>
          <w:sz w:val="20"/>
          <w:szCs w:val="20"/>
        </w:rPr>
        <w:t xml:space="preserve">Almost 1 million Australian adults (5.3% of those aged 18 and over) had type 2 diabetes (T2D) in 2017–18, according to self-reported data from the Australian Bureau of Statistics (ABS) 2017–18 National Health Survey. An estimated 1.7 million (10%) Australian adults aged 18 years and over had biomedical signs of chronic kidney disease (CKD) in 2011–12. </w:t>
      </w:r>
      <w:r>
        <w:t xml:space="preserve">Type 2 diabetes is the leading cause of CKD globally, accounting for up to 50% of cases worldwide </w:t>
      </w:r>
      <w:r>
        <w:fldChar w:fldCharType="begin"/>
      </w:r>
      <w:r>
        <w:instrText xml:space="preserve"> ADDIN EN.CITE &lt;EndNote&gt;&lt;Cite&gt;&lt;Author&gt;Webster&lt;/Author&gt;&lt;Year&gt;2017&lt;/Year&gt;&lt;RecNum&gt;14&lt;/RecNum&gt;&lt;DisplayText&gt;(Webster et al. 2017)&lt;/DisplayText&gt;&lt;record&gt;&lt;rec-number&gt;14&lt;/rec-number&gt;&lt;foreign-keys&gt;&lt;key app="EN" db-id="zfzas9fs9xszx0espvapzadd5dwa9t99wwdr" timestamp="1623822026"&gt;14&lt;/key&gt;&lt;/foreign-keys&gt;&lt;ref-type name="Journal Article"&gt;17&lt;/ref-type&gt;&lt;contributors&gt;&lt;authors&gt;&lt;author&gt;Webster, Angela C&lt;/author&gt;&lt;author&gt;Nagler, Evi V&lt;/author&gt;&lt;author&gt;Morton, Rachael L&lt;/author&gt;&lt;author&gt;Masson, Philip&lt;/author&gt;&lt;/authors&gt;&lt;/contributors&gt;&lt;titles&gt;&lt;title&gt;Chronic kidney disease&lt;/title&gt;&lt;secondary-title&gt;The lancet&lt;/secondary-title&gt;&lt;/titles&gt;&lt;periodical&gt;&lt;full-title&gt;The lancet&lt;/full-title&gt;&lt;/periodical&gt;&lt;pages&gt;1238-1252&lt;/pages&gt;&lt;volume&gt;389&lt;/volume&gt;&lt;number&gt;10075&lt;/number&gt;&lt;dates&gt;&lt;year&gt;2017&lt;/year&gt;&lt;/dates&gt;&lt;isbn&gt;0140-6736&lt;/isbn&gt;&lt;urls&gt;&lt;/urls&gt;&lt;/record&gt;&lt;/Cite&gt;&lt;/EndNote&gt;</w:instrText>
      </w:r>
      <w:r>
        <w:fldChar w:fldCharType="separate"/>
      </w:r>
      <w:r>
        <w:t>(Webster et al. 2017)</w:t>
      </w:r>
      <w:r>
        <w:fldChar w:fldCharType="end"/>
      </w:r>
      <w:r>
        <w:rPr>
          <w:rStyle w:val="fontstyle01"/>
          <w:rFonts w:asciiTheme="minorHAnsi" w:hAnsiTheme="minorHAnsi"/>
          <w:sz w:val="20"/>
          <w:szCs w:val="20"/>
        </w:rPr>
        <w:t xml:space="preserve">. </w:t>
      </w:r>
      <w:r>
        <w:t xml:space="preserve">Diabetes associated CKD, known as diabetic kidney disease (DKD), develops in 40% of patients with T2D and 30% of patients with type 1 </w:t>
      </w:r>
      <w:bookmarkStart w:id="6" w:name="_Hlk76975510"/>
      <w:r>
        <w:t xml:space="preserve">diabetes </w:t>
      </w:r>
      <w:r>
        <w:fldChar w:fldCharType="begin"/>
      </w:r>
      <w:r>
        <w:instrText xml:space="preserve"> ADDIN EN.CITE &lt;EndNote&gt;&lt;Cite&gt;&lt;Author&gt;Hussain&lt;/Author&gt;&lt;Year&gt;2021&lt;/Year&gt;&lt;RecNum&gt;10&lt;/RecNum&gt;&lt;DisplayText&gt;(Hussain et al. 2021)&lt;/DisplayText&gt;&lt;record&gt;&lt;rec-number&gt;10&lt;/rec-number&gt;&lt;foreign-keys&gt;&lt;key app="EN" db-id="zfzas9fs9xszx0espvapzadd5dwa9t99wwdr" timestamp="1623780403"&gt;10&lt;/key&gt;&lt;/foreign-keys&gt;&lt;ref-type name="Journal Article"&gt;17&lt;/ref-type&gt;&lt;contributors&gt;&lt;authors&gt;&lt;author&gt;Hussain, Salman&lt;/author&gt;&lt;author&gt;Jamali, Mohammad Chand&lt;/author&gt;&lt;author&gt;Habib, Anwar&lt;/author&gt;&lt;author&gt;Hussain, Md Sarfaraj&lt;/author&gt;&lt;author&gt;Akhtar, Mohd&lt;/author&gt;&lt;author&gt;Najmi, Abul Kalam&lt;/author&gt;&lt;/authors&gt;&lt;/contributors&gt;&lt;titles&gt;&lt;title&gt;Diabetic kidney disease: An overview of prevalence, risk factors, and biomarkers&lt;/title&gt;&lt;secondary-title&gt;Clinical Epidemiology and Global Health&lt;/secondary-title&gt;&lt;/titles&gt;&lt;periodical&gt;&lt;full-title&gt;Clinical Epidemiology and Global Health&lt;/full-title&gt;&lt;/periodical&gt;&lt;pages&gt;2-6&lt;/pages&gt;&lt;volume&gt;9&lt;/volume&gt;&lt;dates&gt;&lt;year&gt;2021&lt;/year&gt;&lt;/dates&gt;&lt;isbn&gt;2213-3984&lt;/isbn&gt;&lt;urls&gt;&lt;/urls&gt;&lt;/record&gt;&lt;/Cite&gt;&lt;/EndNote&gt;</w:instrText>
      </w:r>
      <w:r>
        <w:fldChar w:fldCharType="separate"/>
      </w:r>
      <w:r>
        <w:t>(Hussain et al. 2021)</w:t>
      </w:r>
      <w:r>
        <w:fldChar w:fldCharType="end"/>
      </w:r>
      <w:r>
        <w:t xml:space="preserve">. </w:t>
      </w:r>
      <w:bookmarkEnd w:id="6"/>
      <w:r>
        <w:t xml:space="preserve">Diabetes-associated kidney disease is the 16th leading cause of death in the US, accounting for 40,000 deaths per year </w:t>
      </w:r>
      <w:r>
        <w:fldChar w:fldCharType="begin"/>
      </w:r>
      <w:r>
        <w:instrText xml:space="preserve"> ADDIN EN.CITE &lt;EndNote&gt;&lt;Cite&gt;&lt;Author&gt;Mokdad&lt;/Author&gt;&lt;Year&gt;2018&lt;/Year&gt;&lt;RecNum&gt;3&lt;/RecNum&gt;&lt;DisplayText&gt;(Mokdad et al. 2018)&lt;/DisplayText&gt;&lt;record&gt;&lt;rec-number&gt;3&lt;/rec-number&gt;&lt;foreign-keys&gt;&lt;key app="EN" db-id="t2pv9vsdntsswsexwe8pspw3pffsrfvdxezt" timestamp="1618293800"&gt;3&lt;/key&gt;&lt;/foreign-keys&gt;&lt;ref-type name="Journal Article"&gt;17&lt;/ref-type&gt;&lt;contributors&gt;&lt;authors&gt;&lt;author&gt;Mokdad, Ali H&lt;/author&gt;&lt;author&gt;Ballestros, Katherine&lt;/author&gt;&lt;author&gt;Echko, Michelle&lt;/author&gt;&lt;author&gt;Glenn, Scott&lt;/author&gt;&lt;author&gt;Olsen, Helen E&lt;/author&gt;&lt;author&gt;Mullany, Erin&lt;/author&gt;&lt;author&gt;Lee, Alex&lt;/author&gt;&lt;author&gt;Khan, Abdur Rahman&lt;/author&gt;&lt;author&gt;Ahmadi, Alireza&lt;/author&gt;&lt;author&gt;Ferrari, Alize J %J Jama&lt;/author&gt;&lt;/authors&gt;&lt;/contributors&gt;&lt;titles&gt;&lt;title&gt;The state of US health, 1990-2016: burden of diseases, injuries, and risk factors among US states&lt;/title&gt;&lt;/titles&gt;&lt;pages&gt;1444-1472&lt;/pages&gt;&lt;volume&gt;319&lt;/volume&gt;&lt;number&gt;14&lt;/number&gt;&lt;dates&gt;&lt;year&gt;2018&lt;/year&gt;&lt;/dates&gt;&lt;isbn&gt;0098-7484&lt;/isbn&gt;&lt;urls&gt;&lt;/urls&gt;&lt;/record&gt;&lt;/Cite&gt;&lt;/EndNote&gt;</w:instrText>
      </w:r>
      <w:r>
        <w:fldChar w:fldCharType="separate"/>
      </w:r>
      <w:r>
        <w:t>(Mokdad et al. 2018)</w:t>
      </w:r>
      <w:r>
        <w:fldChar w:fldCharType="end"/>
      </w:r>
      <w:r>
        <w:t xml:space="preserve">. </w:t>
      </w:r>
    </w:p>
    <w:p w14:paraId="441C8A6D" w14:textId="77777777" w:rsidR="00191215" w:rsidRDefault="003F4C5A" w:rsidP="008944A2">
      <w:pPr>
        <w:ind w:left="357"/>
        <w:rPr>
          <w:rStyle w:val="fontstyle01"/>
          <w:rFonts w:asciiTheme="minorHAnsi" w:hAnsiTheme="minorHAnsi" w:cstheme="minorHAnsi"/>
          <w:sz w:val="20"/>
          <w:szCs w:val="20"/>
        </w:rPr>
      </w:pPr>
      <w:r>
        <w:rPr>
          <w:rFonts w:cstheme="minorHAnsi"/>
          <w:szCs w:val="20"/>
        </w:rPr>
        <w:t xml:space="preserve">In Australia, </w:t>
      </w:r>
      <w:r>
        <w:rPr>
          <w:rStyle w:val="fontstyle01"/>
          <w:rFonts w:asciiTheme="minorHAnsi" w:hAnsiTheme="minorHAnsi" w:cstheme="minorHAnsi"/>
          <w:sz w:val="20"/>
          <w:szCs w:val="20"/>
        </w:rPr>
        <w:t xml:space="preserve">CKD contributed to 11% of all deaths in 2018 (around 16,800 deaths), according to the Australian Institute of Health and Welfare (AIHW) National Mortality Database. Chronic kidney disease was the underlying cause of death in around 3,600 deaths (21% of CKD deaths). It was an associated cause of death in a further 13,200 deaths (79% of CKD deaths). Overall, kidney and urinary diseases accounted for 1.4% of Australia’s total burden of disease in 2015. Chronic kidney disease represented </w:t>
      </w:r>
      <w:proofErr w:type="gramStart"/>
      <w:r>
        <w:rPr>
          <w:rStyle w:val="fontstyle01"/>
          <w:rFonts w:asciiTheme="minorHAnsi" w:hAnsiTheme="minorHAnsi" w:cstheme="minorHAnsi"/>
          <w:sz w:val="20"/>
          <w:szCs w:val="20"/>
        </w:rPr>
        <w:t>the majority of</w:t>
      </w:r>
      <w:proofErr w:type="gramEnd"/>
      <w:r>
        <w:rPr>
          <w:rStyle w:val="fontstyle01"/>
          <w:rFonts w:asciiTheme="minorHAnsi" w:hAnsiTheme="minorHAnsi" w:cstheme="minorHAnsi"/>
          <w:sz w:val="20"/>
          <w:szCs w:val="20"/>
        </w:rPr>
        <w:t xml:space="preserve"> burden from this disease group comprising 1.2% of total burden in 2015 (increasing from 0.8% in 2003 and 0.9% in 2011). Of the total CKD burden, 77% was due to fatal burden and 23% to non-fatal burden </w:t>
      </w:r>
      <w:r>
        <w:rPr>
          <w:rStyle w:val="fontstyle01"/>
          <w:rFonts w:asciiTheme="minorHAnsi" w:hAnsiTheme="minorHAnsi" w:cstheme="minorHAnsi"/>
          <w:sz w:val="20"/>
          <w:szCs w:val="20"/>
        </w:rPr>
        <w:fldChar w:fldCharType="begin"/>
      </w:r>
      <w:r>
        <w:rPr>
          <w:rStyle w:val="fontstyle01"/>
          <w:rFonts w:asciiTheme="minorHAnsi" w:hAnsiTheme="minorHAnsi" w:cstheme="minorHAnsi"/>
          <w:sz w:val="20"/>
          <w:szCs w:val="20"/>
        </w:rPr>
        <w:instrText xml:space="preserve"> ADDIN EN.CITE &lt;EndNote&gt;&lt;Cite&gt;&lt;Author&gt;AIHW&lt;/Author&gt;&lt;Year&gt;2020&lt;/Year&gt;&lt;RecNum&gt;12&lt;/RecNum&gt;&lt;DisplayText&gt;(AIHW 2020a)&lt;/DisplayText&gt;&lt;record&gt;&lt;rec-number&gt;12&lt;/rec-number&gt;&lt;foreign-keys&gt;&lt;key app="EN" db-id="t2pv9vsdntsswsexwe8pspw3pffsrfvdxezt" timestamp="1626837851"&gt;12&lt;/key&gt;&lt;/foreign-keys&gt;&lt;ref-type name="Web Page"&gt;12&lt;/ref-type&gt;&lt;contributors&gt;&lt;authors&gt;&lt;author&gt;AIHW&lt;/author&gt;&lt;/authors&gt;&lt;/contributors&gt;&lt;titles&gt;&lt;title&gt;Chronic Kidney Disease&lt;/title&gt;&lt;/titles&gt;&lt;number&gt;July 2021&lt;/number&gt;&lt;dates&gt;&lt;year&gt;2020&lt;/year&gt;&lt;/dates&gt;&lt;publisher&gt;Australian Institute of Health and Welfare &lt;/publisher&gt;&lt;urls&gt;&lt;related-urls&gt;&lt;url&gt;https://www.aihw.gov.au/reports/chronic-kidney-disease/chronic-kidney-disease/contents/what-is-chronic-kidney-disease&lt;/url&gt;&lt;/related-urls&gt;&lt;/urls&gt;&lt;/record&gt;&lt;/Cite&gt;&lt;/EndNote&gt;</w:instrText>
      </w:r>
      <w:r>
        <w:rPr>
          <w:rStyle w:val="fontstyle01"/>
          <w:rFonts w:asciiTheme="minorHAnsi" w:hAnsiTheme="minorHAnsi" w:cstheme="minorHAnsi"/>
          <w:sz w:val="20"/>
          <w:szCs w:val="20"/>
        </w:rPr>
        <w:fldChar w:fldCharType="separate"/>
      </w:r>
      <w:r>
        <w:rPr>
          <w:rStyle w:val="fontstyle01"/>
          <w:rFonts w:asciiTheme="minorHAnsi" w:hAnsiTheme="minorHAnsi" w:cstheme="minorHAnsi"/>
          <w:noProof/>
          <w:sz w:val="20"/>
          <w:szCs w:val="20"/>
        </w:rPr>
        <w:t>(AIHW 2020a)</w:t>
      </w:r>
      <w:r>
        <w:rPr>
          <w:rStyle w:val="fontstyle01"/>
          <w:rFonts w:asciiTheme="minorHAnsi" w:hAnsiTheme="minorHAnsi" w:cstheme="minorHAnsi"/>
          <w:sz w:val="20"/>
          <w:szCs w:val="20"/>
        </w:rPr>
        <w:fldChar w:fldCharType="end"/>
      </w:r>
      <w:r>
        <w:rPr>
          <w:rStyle w:val="fontstyle01"/>
          <w:rFonts w:asciiTheme="minorHAnsi" w:hAnsiTheme="minorHAnsi" w:cstheme="minorHAnsi"/>
          <w:sz w:val="20"/>
          <w:szCs w:val="20"/>
        </w:rPr>
        <w:t>.</w:t>
      </w:r>
    </w:p>
    <w:p w14:paraId="15F74AD9" w14:textId="063601C9" w:rsidR="00191215" w:rsidRDefault="003F4C5A" w:rsidP="008944A2">
      <w:pPr>
        <w:ind w:left="357"/>
        <w:rPr>
          <w:rStyle w:val="fontstyle01"/>
          <w:rFonts w:asciiTheme="minorHAnsi" w:hAnsiTheme="minorHAnsi"/>
          <w:sz w:val="20"/>
          <w:szCs w:val="20"/>
        </w:rPr>
      </w:pPr>
      <w:r>
        <w:rPr>
          <w:rStyle w:val="fontstyle01"/>
          <w:rFonts w:asciiTheme="minorHAnsi" w:hAnsiTheme="minorHAnsi"/>
          <w:sz w:val="20"/>
          <w:szCs w:val="20"/>
        </w:rPr>
        <w:t>Diabetic kidney disease refers to specific pathological</w:t>
      </w:r>
      <w:r>
        <w:rPr>
          <w:color w:val="000000" w:themeColor="text1"/>
        </w:rPr>
        <w:t xml:space="preserve"> </w:t>
      </w:r>
      <w:r>
        <w:rPr>
          <w:rStyle w:val="fontstyle01"/>
          <w:rFonts w:asciiTheme="minorHAnsi" w:hAnsiTheme="minorHAnsi"/>
          <w:sz w:val="20"/>
          <w:szCs w:val="20"/>
        </w:rPr>
        <w:t>structural and functional changes seen in the kidneys of people with diabetes that</w:t>
      </w:r>
      <w:r>
        <w:rPr>
          <w:color w:val="000000" w:themeColor="text1"/>
        </w:rPr>
        <w:t xml:space="preserve"> </w:t>
      </w:r>
      <w:r>
        <w:rPr>
          <w:rStyle w:val="fontstyle01"/>
          <w:rFonts w:asciiTheme="minorHAnsi" w:hAnsiTheme="minorHAnsi"/>
          <w:sz w:val="20"/>
          <w:szCs w:val="20"/>
        </w:rPr>
        <w:t>result from consistently high blood sugar levels which damages the blood-filtering</w:t>
      </w:r>
      <w:r>
        <w:rPr>
          <w:color w:val="000000" w:themeColor="text1"/>
        </w:rPr>
        <w:t xml:space="preserve"> </w:t>
      </w:r>
      <w:r>
        <w:rPr>
          <w:rStyle w:val="fontstyle01"/>
          <w:rFonts w:asciiTheme="minorHAnsi" w:hAnsiTheme="minorHAnsi"/>
          <w:sz w:val="20"/>
          <w:szCs w:val="20"/>
        </w:rPr>
        <w:t>capillaries in the kidneys. Clinically, DKD is characteri</w:t>
      </w:r>
      <w:r w:rsidR="006B1CA8">
        <w:rPr>
          <w:rStyle w:val="fontstyle01"/>
          <w:rFonts w:asciiTheme="minorHAnsi" w:hAnsiTheme="minorHAnsi"/>
          <w:sz w:val="20"/>
          <w:szCs w:val="20"/>
        </w:rPr>
        <w:t>s</w:t>
      </w:r>
      <w:r>
        <w:rPr>
          <w:rStyle w:val="fontstyle01"/>
          <w:rFonts w:asciiTheme="minorHAnsi" w:hAnsiTheme="minorHAnsi"/>
          <w:sz w:val="20"/>
          <w:szCs w:val="20"/>
        </w:rPr>
        <w:t>ed by progressive kidney</w:t>
      </w:r>
      <w:r>
        <w:rPr>
          <w:color w:val="000000" w:themeColor="text1"/>
        </w:rPr>
        <w:t xml:space="preserve"> </w:t>
      </w:r>
      <w:r>
        <w:rPr>
          <w:rStyle w:val="fontstyle01"/>
          <w:rFonts w:asciiTheme="minorHAnsi" w:hAnsiTheme="minorHAnsi"/>
          <w:sz w:val="20"/>
          <w:szCs w:val="20"/>
        </w:rPr>
        <w:t>damage reflected by increasing albuminuria, impairment in renal function (decline in</w:t>
      </w:r>
      <w:r>
        <w:rPr>
          <w:color w:val="000000" w:themeColor="text1"/>
        </w:rPr>
        <w:t xml:space="preserve"> </w:t>
      </w:r>
      <w:r>
        <w:rPr>
          <w:rStyle w:val="fontstyle01"/>
          <w:rFonts w:asciiTheme="minorHAnsi" w:hAnsiTheme="minorHAnsi"/>
          <w:sz w:val="20"/>
          <w:szCs w:val="20"/>
        </w:rPr>
        <w:t>glomerular filtration rate (GFR)), elevated blood pressure, and excess morbidity and</w:t>
      </w:r>
      <w:r>
        <w:rPr>
          <w:color w:val="000000" w:themeColor="text1"/>
        </w:rPr>
        <w:t xml:space="preserve"> </w:t>
      </w:r>
      <w:r>
        <w:rPr>
          <w:rStyle w:val="fontstyle01"/>
          <w:rFonts w:asciiTheme="minorHAnsi" w:hAnsiTheme="minorHAnsi"/>
          <w:sz w:val="20"/>
          <w:szCs w:val="20"/>
        </w:rPr>
        <w:t>mortality due to cardiovascular complications, and if left unchecked, DKD can progress to</w:t>
      </w:r>
      <w:r>
        <w:rPr>
          <w:color w:val="000000" w:themeColor="text1"/>
        </w:rPr>
        <w:t xml:space="preserve"> </w:t>
      </w:r>
      <w:r>
        <w:rPr>
          <w:rStyle w:val="fontstyle01"/>
          <w:rFonts w:asciiTheme="minorHAnsi" w:hAnsiTheme="minorHAnsi"/>
          <w:sz w:val="20"/>
          <w:szCs w:val="20"/>
        </w:rPr>
        <w:t>end-stage renal disease (ESRD)</w:t>
      </w:r>
      <w:r w:rsidR="00D14302">
        <w:rPr>
          <w:rStyle w:val="fontstyle01"/>
          <w:rFonts w:asciiTheme="minorHAnsi" w:hAnsiTheme="minorHAnsi"/>
          <w:sz w:val="20"/>
          <w:szCs w:val="20"/>
        </w:rPr>
        <w:t xml:space="preserve"> </w:t>
      </w:r>
      <w:r w:rsidR="00D14302">
        <w:rPr>
          <w:rStyle w:val="fontstyle01"/>
          <w:rFonts w:asciiTheme="minorHAnsi" w:hAnsiTheme="minorHAnsi"/>
          <w:sz w:val="20"/>
          <w:szCs w:val="20"/>
        </w:rPr>
        <w:fldChar w:fldCharType="begin"/>
      </w:r>
      <w:r w:rsidR="00776A17">
        <w:rPr>
          <w:rStyle w:val="fontstyle01"/>
          <w:rFonts w:asciiTheme="minorHAnsi" w:hAnsiTheme="minorHAnsi"/>
          <w:sz w:val="20"/>
          <w:szCs w:val="20"/>
        </w:rPr>
        <w:instrText xml:space="preserve"> ADDIN EN.CITE &lt;EndNote&gt;&lt;Cite&gt;&lt;Author&gt;Persson&lt;/Author&gt;&lt;Year&gt;2018&lt;/Year&gt;&lt;RecNum&gt;17&lt;/RecNum&gt;&lt;DisplayText&gt;(Persson and Rossing 2018)&lt;/DisplayText&gt;&lt;record&gt;&lt;rec-number&gt;17&lt;/rec-number&gt;&lt;foreign-keys&gt;&lt;key app="EN" db-id="zfzas9fs9xszx0espvapzadd5dwa9t99wwdr" timestamp="1623823860"&gt;17&lt;/key&gt;&lt;/foreign-keys&gt;&lt;ref-type name="Journal Article"&gt;17&lt;/ref-type&gt;&lt;contributors&gt;&lt;authors&gt;&lt;author&gt;Persson, Frederik&lt;/author&gt;&lt;author&gt;Rossing, Peter&lt;/author&gt;&lt;/authors&gt;&lt;/contributors&gt;&lt;titles&gt;&lt;title&gt;Diagnosis of diabetic kidney disease: state of the art and future perspective&lt;/title&gt;&lt;secondary-title&gt;Kidney International Supplements&lt;/secondary-title&gt;&lt;/titles&gt;&lt;periodical&gt;&lt;full-title&gt;Kidney International Supplements&lt;/full-title&gt;&lt;/periodical&gt;&lt;pages&gt;2-7&lt;/pages&gt;&lt;volume&gt;8&lt;/volume&gt;&lt;number&gt;1&lt;/number&gt;&lt;dates&gt;&lt;year&gt;2018&lt;/year&gt;&lt;/dates&gt;&lt;isbn&gt;2157-1716&lt;/isbn&gt;&lt;urls&gt;&lt;/urls&gt;&lt;/record&gt;&lt;/Cite&gt;&lt;/EndNote&gt;</w:instrText>
      </w:r>
      <w:r w:rsidR="00D14302">
        <w:rPr>
          <w:rStyle w:val="fontstyle01"/>
          <w:rFonts w:asciiTheme="minorHAnsi" w:hAnsiTheme="minorHAnsi"/>
          <w:sz w:val="20"/>
          <w:szCs w:val="20"/>
        </w:rPr>
        <w:fldChar w:fldCharType="separate"/>
      </w:r>
      <w:r w:rsidR="00D14302">
        <w:rPr>
          <w:rStyle w:val="fontstyle01"/>
          <w:rFonts w:asciiTheme="minorHAnsi" w:hAnsiTheme="minorHAnsi"/>
          <w:noProof/>
          <w:sz w:val="20"/>
          <w:szCs w:val="20"/>
        </w:rPr>
        <w:t>(Persson and Rossing 2018)</w:t>
      </w:r>
      <w:r w:rsidR="00D14302">
        <w:rPr>
          <w:rStyle w:val="fontstyle01"/>
          <w:rFonts w:asciiTheme="minorHAnsi" w:hAnsiTheme="minorHAnsi"/>
          <w:sz w:val="20"/>
          <w:szCs w:val="20"/>
        </w:rPr>
        <w:fldChar w:fldCharType="end"/>
      </w:r>
      <w:r>
        <w:rPr>
          <w:rStyle w:val="fontstyle01"/>
          <w:rFonts w:asciiTheme="minorHAnsi" w:hAnsiTheme="minorHAnsi"/>
          <w:sz w:val="20"/>
          <w:szCs w:val="20"/>
        </w:rPr>
        <w:t>. Individuals with ESRD require haemodialysis and eventually kidney transplantation. According to the AIHW, diabetes is the leading</w:t>
      </w:r>
      <w:r>
        <w:rPr>
          <w:color w:val="000000" w:themeColor="text1"/>
        </w:rPr>
        <w:t xml:space="preserve"> </w:t>
      </w:r>
      <w:r>
        <w:rPr>
          <w:rStyle w:val="fontstyle01"/>
          <w:rFonts w:asciiTheme="minorHAnsi" w:hAnsiTheme="minorHAnsi"/>
          <w:sz w:val="20"/>
          <w:szCs w:val="20"/>
        </w:rPr>
        <w:t xml:space="preserve">cause of ESRD among patients commencing kidney replacement therapy (KRT), with 38% of cases attributable to diabetes </w:t>
      </w:r>
      <w:r>
        <w:rPr>
          <w:rStyle w:val="fontstyle01"/>
          <w:rFonts w:asciiTheme="minorHAnsi" w:hAnsiTheme="minorHAnsi"/>
          <w:sz w:val="20"/>
          <w:szCs w:val="20"/>
        </w:rPr>
        <w:fldChar w:fldCharType="begin"/>
      </w:r>
      <w:r>
        <w:rPr>
          <w:rStyle w:val="fontstyle01"/>
          <w:rFonts w:asciiTheme="minorHAnsi" w:hAnsiTheme="minorHAnsi"/>
          <w:sz w:val="20"/>
          <w:szCs w:val="20"/>
        </w:rPr>
        <w:instrText xml:space="preserve"> ADDIN EN.CITE &lt;EndNote&gt;&lt;Cite&gt;&lt;Author&gt;AIHW&lt;/Author&gt;&lt;Year&gt;2020&lt;/Year&gt;&lt;RecNum&gt;12&lt;/RecNum&gt;&lt;DisplayText&gt;(AIHW 2020a)&lt;/DisplayText&gt;&lt;record&gt;&lt;rec-number&gt;12&lt;/rec-number&gt;&lt;foreign-keys&gt;&lt;key app="EN" db-id="t2pv9vsdntsswsexwe8pspw3pffsrfvdxezt" timestamp="1626837851"&gt;12&lt;/key&gt;&lt;/foreign-keys&gt;&lt;ref-type name="Web Page"&gt;12&lt;/ref-type&gt;&lt;contributors&gt;&lt;authors&gt;&lt;author&gt;AIHW&lt;/author&gt;&lt;/authors&gt;&lt;/contributors&gt;&lt;titles&gt;&lt;title&gt;Chronic Kidney Disease&lt;/title&gt;&lt;/titles&gt;&lt;number&gt;July 2021&lt;/number&gt;&lt;dates&gt;&lt;year&gt;2020&lt;/year&gt;&lt;/dates&gt;&lt;publisher&gt;Australian Institute of Health and Welfare &lt;/publisher&gt;&lt;urls&gt;&lt;related-urls&gt;&lt;url&gt;https://www.aihw.gov.au/reports/chronic-kidney-disease/chronic-kidney-disease/contents/what-is-chronic-kidney-disease&lt;/url&gt;&lt;/related-urls&gt;&lt;/urls&gt;&lt;/record&gt;&lt;/Cite&gt;&lt;/EndNote&gt;</w:instrText>
      </w:r>
      <w:r>
        <w:rPr>
          <w:rStyle w:val="fontstyle01"/>
          <w:rFonts w:asciiTheme="minorHAnsi" w:hAnsiTheme="minorHAnsi"/>
          <w:sz w:val="20"/>
          <w:szCs w:val="20"/>
        </w:rPr>
        <w:fldChar w:fldCharType="separate"/>
      </w:r>
      <w:r>
        <w:rPr>
          <w:rStyle w:val="fontstyle01"/>
          <w:rFonts w:asciiTheme="minorHAnsi" w:hAnsiTheme="minorHAnsi"/>
          <w:sz w:val="20"/>
          <w:szCs w:val="20"/>
        </w:rPr>
        <w:t>(AIHW 2020a)</w:t>
      </w:r>
      <w:r>
        <w:rPr>
          <w:rStyle w:val="fontstyle01"/>
          <w:rFonts w:asciiTheme="minorHAnsi" w:hAnsiTheme="minorHAnsi"/>
          <w:sz w:val="20"/>
          <w:szCs w:val="20"/>
        </w:rPr>
        <w:fldChar w:fldCharType="end"/>
      </w:r>
      <w:r>
        <w:rPr>
          <w:rStyle w:val="fontstyle01"/>
          <w:rFonts w:asciiTheme="minorHAnsi" w:hAnsiTheme="minorHAnsi"/>
          <w:sz w:val="20"/>
          <w:szCs w:val="20"/>
        </w:rPr>
        <w:t>. Early detection of DKD and the implementation of intervention measures is important in reducing further kidney damage and hence progression of the disease.</w:t>
      </w:r>
    </w:p>
    <w:p w14:paraId="4AFF12BD" w14:textId="77777777" w:rsidR="00191215" w:rsidRDefault="003F4C5A" w:rsidP="008944A2">
      <w:pPr>
        <w:ind w:left="357"/>
      </w:pPr>
      <w:r>
        <w:rPr>
          <w:rStyle w:val="fontstyle01"/>
          <w:rFonts w:asciiTheme="minorHAnsi" w:hAnsiTheme="minorHAnsi"/>
          <w:sz w:val="20"/>
          <w:szCs w:val="20"/>
        </w:rPr>
        <w:t>Symptoms of DKD include</w:t>
      </w:r>
      <w:r>
        <w:t xml:space="preserve"> albuminuria (excretion of albumin in the urine), weight gain, swelling of ankles and legs, frequent urination in the night, morning sickness, anaemia, and high blood pressure </w:t>
      </w:r>
      <w:r>
        <w:fldChar w:fldCharType="begin"/>
      </w:r>
      <w:r>
        <w:instrText xml:space="preserve"> ADDIN EN.CITE &lt;EndNote&gt;&lt;Cite&gt;&lt;Author&gt;Persson&lt;/Author&gt;&lt;Year&gt;2018&lt;/Year&gt;&lt;RecNum&gt;17&lt;/RecNum&gt;&lt;DisplayText&gt;(Persson and Rossing 2018)&lt;/DisplayText&gt;&lt;record&gt;&lt;rec-number&gt;17&lt;/rec-number&gt;&lt;foreign-keys&gt;&lt;key app="EN" db-id="zfzas9fs9xszx0espvapzadd5dwa9t99wwdr" timestamp="1623823860"&gt;17&lt;/key&gt;&lt;/foreign-keys&gt;&lt;ref-type name="Journal Article"&gt;17&lt;/ref-type&gt;&lt;contributors&gt;&lt;authors&gt;&lt;author&gt;Persson, Frederik&lt;/author&gt;&lt;author&gt;Rossing, Peter&lt;/author&gt;&lt;/authors&gt;&lt;/contributors&gt;&lt;titles&gt;&lt;title&gt;Diagnosis of diabetic kidney disease: state of the art and future perspective&lt;/title&gt;&lt;secondary-title&gt;Kidney International Supplements&lt;/secondary-title&gt;&lt;/titles&gt;&lt;periodical&gt;&lt;full-title&gt;Kidney International Supplements&lt;/full-title&gt;&lt;/periodical&gt;&lt;pages&gt;2-7&lt;/pages&gt;&lt;volume&gt;8&lt;/volume&gt;&lt;number&gt;1&lt;/number&gt;&lt;dates&gt;&lt;year&gt;2018&lt;/year&gt;&lt;/dates&gt;&lt;isbn&gt;2157-1716&lt;/isbn&gt;&lt;urls&gt;&lt;/urls&gt;&lt;/record&gt;&lt;/Cite&gt;&lt;/EndNote&gt;</w:instrText>
      </w:r>
      <w:r>
        <w:fldChar w:fldCharType="separate"/>
      </w:r>
      <w:r>
        <w:t>(Persson and Rossing 2018)</w:t>
      </w:r>
      <w:r>
        <w:fldChar w:fldCharType="end"/>
      </w:r>
      <w:r>
        <w:t xml:space="preserve">. </w:t>
      </w:r>
      <w:r>
        <w:rPr>
          <w:rStyle w:val="fontstyle01"/>
          <w:rFonts w:asciiTheme="minorHAnsi" w:hAnsiTheme="minorHAnsi"/>
          <w:sz w:val="20"/>
          <w:szCs w:val="20"/>
        </w:rPr>
        <w:t xml:space="preserve">Despite this, </w:t>
      </w:r>
      <w:r>
        <w:t xml:space="preserve">CKD remains a highly under-diagnosed condition. According to the AIHW, only 10% of people who showed biomedical signs of CKD self-reported that they had the condition </w:t>
      </w:r>
      <w:r>
        <w:fldChar w:fldCharType="begin"/>
      </w:r>
      <w:r>
        <w:instrText xml:space="preserve"> ADDIN EN.CITE &lt;EndNote&gt;&lt;Cite&gt;&lt;Author&gt;AIHW&lt;/Author&gt;&lt;Year&gt;2020&lt;/Year&gt;&lt;RecNum&gt;12&lt;/RecNum&gt;&lt;DisplayText&gt;(AIHW 2020a)&lt;/DisplayText&gt;&lt;record&gt;&lt;rec-number&gt;12&lt;/rec-number&gt;&lt;foreign-keys&gt;&lt;key app="EN" db-id="t2pv9vsdntsswsexwe8pspw3pffsrfvdxezt" timestamp="1626837851"&gt;12&lt;/key&gt;&lt;/foreign-keys&gt;&lt;ref-type name="Web Page"&gt;12&lt;/ref-type&gt;&lt;contributors&gt;&lt;authors&gt;&lt;author&gt;AIHW&lt;/author&gt;&lt;/authors&gt;&lt;/contributors&gt;&lt;titles&gt;&lt;title&gt;Chronic Kidney Disease&lt;/title&gt;&lt;/titles&gt;&lt;number&gt;July 2021&lt;/number&gt;&lt;dates&gt;&lt;year&gt;2020&lt;/year&gt;&lt;/dates&gt;&lt;publisher&gt;Australian Institute of Health and Welfare &lt;/publisher&gt;&lt;urls&gt;&lt;related-urls&gt;&lt;url&gt;https://www.aihw.gov.au/reports/chronic-kidney-disease/chronic-kidney-disease/contents/what-is-chronic-kidney-disease&lt;/url&gt;&lt;/related-urls&gt;&lt;/urls&gt;&lt;/record&gt;&lt;/Cite&gt;&lt;/EndNote&gt;</w:instrText>
      </w:r>
      <w:r>
        <w:fldChar w:fldCharType="separate"/>
      </w:r>
      <w:r>
        <w:t>(AIHW 2020a)</w:t>
      </w:r>
      <w:r>
        <w:fldChar w:fldCharType="end"/>
      </w:r>
      <w:r>
        <w:t xml:space="preserve">. It is referred to as a “silent disease” because 90% of kidney function can be lost before symptoms appear </w:t>
      </w:r>
      <w:r>
        <w:fldChar w:fldCharType="begin"/>
      </w:r>
      <w:r>
        <w:instrText xml:space="preserve"> ADDIN EN.CITE &lt;EndNote&gt;&lt;Cite&gt;&lt;Author&gt;Bellasi&lt;/Author&gt;&lt;Year&gt;2019&lt;/Year&gt;&lt;RecNum&gt;13&lt;/RecNum&gt;&lt;DisplayText&gt;(Bellasi, Di Lullo, and Di Iorio 2019)&lt;/DisplayText&gt;&lt;record&gt;&lt;rec-number&gt;13&lt;/rec-number&gt;&lt;foreign-keys&gt;&lt;key app="EN" db-id="zfzas9fs9xszx0espvapzadd5dwa9t99wwdr" timestamp="1623821551"&gt;13&lt;/key&gt;&lt;/foreign-keys&gt;&lt;ref-type name="Generic"&gt;13&lt;/ref-type&gt;&lt;contributors&gt;&lt;authors&gt;&lt;author&gt;Bellasi, Antonio&lt;/author&gt;&lt;author&gt;Di Lullo, Luca&lt;/author&gt;&lt;author&gt;Di Iorio, Biagio&lt;/author&gt;&lt;/authors&gt;&lt;/contributors&gt;&lt;titles&gt;&lt;title&gt;Chronic kidney disease: the silent epidemy&lt;/title&gt;&lt;/titles&gt;&lt;dates&gt;&lt;year&gt;2019&lt;/year&gt;&lt;/dates&gt;&lt;publisher&gt;Multidisciplinary Digital Publishing Institute&lt;/publisher&gt;&lt;urls&gt;&lt;/urls&gt;&lt;/record&gt;&lt;/Cite&gt;&lt;/EndNote&gt;</w:instrText>
      </w:r>
      <w:r>
        <w:fldChar w:fldCharType="separate"/>
      </w:r>
      <w:r>
        <w:t>(Bellasi, Di Lullo, and Di Iorio 2019)</w:t>
      </w:r>
      <w:r>
        <w:fldChar w:fldCharType="end"/>
      </w:r>
      <w:r>
        <w:t>. Further, the asymptomatic nature of the disease in the early stages means the prevalence of the disease is severely under-reported, and many people are not aware they have the disease until they suffer from ESRD when it is too late to undertake preventative treatment. Timely identification of those at risk is an essential part of implementing interventions that can prevent the progression of DKD to ESRD.</w:t>
      </w:r>
    </w:p>
    <w:p w14:paraId="367EC76F" w14:textId="77777777" w:rsidR="00191215" w:rsidRDefault="00191215" w:rsidP="008944A2">
      <w:pPr>
        <w:ind w:left="357"/>
        <w:rPr>
          <w:szCs w:val="20"/>
        </w:rPr>
      </w:pPr>
    </w:p>
    <w:p w14:paraId="38B5C0F2" w14:textId="77777777" w:rsidR="00191215" w:rsidRDefault="00191215">
      <w:pPr>
        <w:rPr>
          <w:szCs w:val="20"/>
        </w:rPr>
      </w:pPr>
    </w:p>
    <w:p w14:paraId="1416057E" w14:textId="77777777" w:rsidR="008944A2" w:rsidRDefault="008944A2">
      <w:pPr>
        <w:spacing w:before="0" w:after="200" w:line="276" w:lineRule="auto"/>
        <w:rPr>
          <w:b/>
          <w:szCs w:val="20"/>
        </w:rPr>
      </w:pPr>
      <w:r>
        <w:br w:type="page"/>
      </w:r>
    </w:p>
    <w:p w14:paraId="2FB7D2AA" w14:textId="13E0046A" w:rsidR="00191215" w:rsidRDefault="003F4C5A">
      <w:pPr>
        <w:pStyle w:val="Heading2"/>
        <w:spacing w:before="0" w:after="200" w:line="276" w:lineRule="auto"/>
      </w:pPr>
      <w:r>
        <w:t>Specify the characteristics of patients with (or suspected of having) the medical condition, who would be eligible for the proposed medical service/technology (including details on how a patient would be investigated, managed and referred within the Australian health care system, in the lead up to being eligible for the service):</w:t>
      </w:r>
    </w:p>
    <w:p w14:paraId="3A1999ED" w14:textId="77777777" w:rsidR="00191215" w:rsidRDefault="003F4C5A" w:rsidP="008944A2">
      <w:pPr>
        <w:ind w:left="360"/>
        <w:rPr>
          <w:rFonts w:cstheme="minorHAnsi"/>
          <w:b/>
          <w:bCs/>
          <w:szCs w:val="20"/>
        </w:rPr>
      </w:pPr>
      <w:r>
        <w:rPr>
          <w:rFonts w:cstheme="minorHAnsi"/>
          <w:b/>
          <w:bCs/>
          <w:szCs w:val="20"/>
        </w:rPr>
        <w:t xml:space="preserve">Patient characteristics </w:t>
      </w:r>
    </w:p>
    <w:p w14:paraId="0332EE98" w14:textId="7E871A41" w:rsidR="00191215" w:rsidRPr="00953AFE" w:rsidRDefault="003F4C5A" w:rsidP="008944A2">
      <w:pPr>
        <w:ind w:left="360"/>
        <w:rPr>
          <w:rFonts w:cstheme="minorHAnsi"/>
          <w:szCs w:val="20"/>
        </w:rPr>
      </w:pPr>
      <w:r>
        <w:rPr>
          <w:rFonts w:cstheme="minorHAnsi"/>
          <w:szCs w:val="20"/>
        </w:rPr>
        <w:t xml:space="preserve">The proposed medical service, </w:t>
      </w:r>
      <w:proofErr w:type="spellStart"/>
      <w:r>
        <w:rPr>
          <w:rFonts w:cstheme="minorHAnsi"/>
          <w:szCs w:val="20"/>
        </w:rPr>
        <w:t>PromarkerD</w:t>
      </w:r>
      <w:proofErr w:type="spellEnd"/>
      <w:r>
        <w:rPr>
          <w:rFonts w:cstheme="minorHAnsi"/>
          <w:szCs w:val="20"/>
        </w:rPr>
        <w:t xml:space="preserve">, is a test designed to predict incident DKD or progression of DKD in patients with T2D before kidney damage or </w:t>
      </w:r>
      <w:r w:rsidR="003C1D70">
        <w:rPr>
          <w:rFonts w:cstheme="minorHAnsi"/>
          <w:szCs w:val="20"/>
        </w:rPr>
        <w:t xml:space="preserve">clinical </w:t>
      </w:r>
      <w:r>
        <w:rPr>
          <w:rFonts w:cstheme="minorHAnsi"/>
          <w:szCs w:val="20"/>
        </w:rPr>
        <w:t xml:space="preserve">symptoms occur. Patients that would be eligible for the proposed medical </w:t>
      </w:r>
      <w:r w:rsidRPr="00953AFE">
        <w:rPr>
          <w:rFonts w:cstheme="minorHAnsi"/>
          <w:szCs w:val="20"/>
        </w:rPr>
        <w:t xml:space="preserve">service include </w:t>
      </w:r>
      <w:r w:rsidR="00953AFE">
        <w:rPr>
          <w:rFonts w:cstheme="minorHAnsi"/>
          <w:szCs w:val="20"/>
        </w:rPr>
        <w:t>those</w:t>
      </w:r>
      <w:r w:rsidRPr="00953AFE">
        <w:rPr>
          <w:rFonts w:cstheme="minorHAnsi"/>
          <w:szCs w:val="20"/>
        </w:rPr>
        <w:t xml:space="preserve"> who meet the following criteria:</w:t>
      </w:r>
    </w:p>
    <w:p w14:paraId="53F7FA5C" w14:textId="77777777" w:rsidR="00191215" w:rsidRDefault="003F4C5A" w:rsidP="008944A2">
      <w:pPr>
        <w:pStyle w:val="ListParagraph"/>
        <w:numPr>
          <w:ilvl w:val="0"/>
          <w:numId w:val="15"/>
        </w:numPr>
        <w:ind w:left="1080"/>
        <w:contextualSpacing w:val="0"/>
        <w:rPr>
          <w:rFonts w:eastAsia="Times New Roman"/>
        </w:rPr>
      </w:pPr>
      <w:r w:rsidRPr="00953AFE">
        <w:rPr>
          <w:rFonts w:eastAsia="Times New Roman"/>
        </w:rPr>
        <w:t xml:space="preserve">Patients diagnosed with Type 2 </w:t>
      </w:r>
      <w:proofErr w:type="gramStart"/>
      <w:r w:rsidRPr="00953AFE">
        <w:rPr>
          <w:rFonts w:eastAsia="Times New Roman"/>
        </w:rPr>
        <w:t>diabetes;</w:t>
      </w:r>
      <w:proofErr w:type="gramEnd"/>
      <w:r>
        <w:rPr>
          <w:rFonts w:eastAsia="Times New Roman"/>
        </w:rPr>
        <w:t xml:space="preserve"> and</w:t>
      </w:r>
    </w:p>
    <w:p w14:paraId="6B4C7DA7" w14:textId="77777777" w:rsidR="00191215" w:rsidRDefault="003F4C5A" w:rsidP="008944A2">
      <w:pPr>
        <w:pStyle w:val="ListParagraph"/>
        <w:numPr>
          <w:ilvl w:val="0"/>
          <w:numId w:val="15"/>
        </w:numPr>
        <w:ind w:left="1080"/>
        <w:contextualSpacing w:val="0"/>
        <w:rPr>
          <w:rFonts w:eastAsia="Times New Roman"/>
        </w:rPr>
      </w:pPr>
      <w:r>
        <w:rPr>
          <w:rFonts w:eastAsia="Times New Roman"/>
        </w:rPr>
        <w:t>Estimated glomerular filtration rate (eGFR) of greater than or equal to 60ml/min/1.73m</w:t>
      </w:r>
      <w:r>
        <w:rPr>
          <w:rFonts w:eastAsia="Times New Roman"/>
          <w:vertAlign w:val="superscript"/>
        </w:rPr>
        <w:t>2</w:t>
      </w:r>
      <w:r>
        <w:rPr>
          <w:rFonts w:eastAsia="Times New Roman"/>
        </w:rPr>
        <w:t xml:space="preserve">; and </w:t>
      </w:r>
    </w:p>
    <w:p w14:paraId="707D6587" w14:textId="77777777" w:rsidR="00191215" w:rsidRDefault="003F4C5A" w:rsidP="008944A2">
      <w:pPr>
        <w:pStyle w:val="ListParagraph"/>
        <w:numPr>
          <w:ilvl w:val="0"/>
          <w:numId w:val="15"/>
        </w:numPr>
        <w:ind w:left="1080"/>
        <w:contextualSpacing w:val="0"/>
        <w:rPr>
          <w:rFonts w:eastAsia="Times New Roman"/>
        </w:rPr>
      </w:pPr>
      <w:r>
        <w:rPr>
          <w:rFonts w:eastAsia="Times New Roman"/>
        </w:rPr>
        <w:t>Albumin: Creatinine Ratio (</w:t>
      </w:r>
      <w:proofErr w:type="spellStart"/>
      <w:r>
        <w:rPr>
          <w:rFonts w:eastAsia="Times New Roman"/>
        </w:rPr>
        <w:t>uACR</w:t>
      </w:r>
      <w:proofErr w:type="spellEnd"/>
      <w:r>
        <w:rPr>
          <w:rFonts w:eastAsia="Times New Roman"/>
        </w:rPr>
        <w:t xml:space="preserve">) test results of less than </w:t>
      </w:r>
      <w:r>
        <w:t xml:space="preserve">or equal to </w:t>
      </w:r>
      <w:r>
        <w:rPr>
          <w:rFonts w:eastAsia="Times New Roman"/>
        </w:rPr>
        <w:t>30mg/</w:t>
      </w:r>
      <w:proofErr w:type="gramStart"/>
      <w:r>
        <w:rPr>
          <w:rFonts w:eastAsia="Times New Roman"/>
        </w:rPr>
        <w:t>mmol;</w:t>
      </w:r>
      <w:proofErr w:type="gramEnd"/>
      <w:r>
        <w:rPr>
          <w:rFonts w:eastAsia="Times New Roman"/>
        </w:rPr>
        <w:t xml:space="preserve"> </w:t>
      </w:r>
    </w:p>
    <w:p w14:paraId="15ACE19C" w14:textId="77777777" w:rsidR="00191215" w:rsidRDefault="003F4C5A" w:rsidP="008944A2">
      <w:pPr>
        <w:ind w:left="360"/>
      </w:pPr>
      <w:r>
        <w:t xml:space="preserve">Around 1 million Australian adults (5.3% of those aged 18 and over) had type 2 diabetes in 2017–18 </w:t>
      </w:r>
      <w:r>
        <w:fldChar w:fldCharType="begin"/>
      </w:r>
      <w:r>
        <w:instrText xml:space="preserve"> ADDIN EN.CITE &lt;EndNote&gt;&lt;Cite&gt;&lt;Author&gt;AIHW&lt;/Author&gt;&lt;Year&gt;2020&lt;/Year&gt;&lt;RecNum&gt;11&lt;/RecNum&gt;&lt;DisplayText&gt;(AIHW 2020b)&lt;/DisplayText&gt;&lt;record&gt;&lt;rec-number&gt;11&lt;/rec-number&gt;&lt;foreign-keys&gt;&lt;key app="EN" db-id="t2pv9vsdntsswsexwe8pspw3pffsrfvdxezt" timestamp="1626737115"&gt;11&lt;/key&gt;&lt;/foreign-keys&gt;&lt;ref-type name="Web Page"&gt;12&lt;/ref-type&gt;&lt;contributors&gt;&lt;authors&gt;&lt;author&gt;AIHW&lt;/author&gt;&lt;/authors&gt;&lt;/contributors&gt;&lt;titles&gt;&lt;title&gt;Diabetes&lt;/title&gt;&lt;/titles&gt;&lt;number&gt;July 2021&lt;/number&gt;&lt;dates&gt;&lt;year&gt;2020&lt;/year&gt;&lt;/dates&gt;&lt;publisher&gt;The Australian Institute of Health and Welfare&lt;/publisher&gt;&lt;urls&gt;&lt;related-urls&gt;&lt;url&gt;https://www.aihw.gov.au/reports-data/health-conditions-disability-deaths/diabetes/overview&lt;/url&gt;&lt;/related-urls&gt;&lt;/urls&gt;&lt;/record&gt;&lt;/Cite&gt;&lt;/EndNote&gt;</w:instrText>
      </w:r>
      <w:r>
        <w:fldChar w:fldCharType="separate"/>
      </w:r>
      <w:r>
        <w:rPr>
          <w:noProof/>
        </w:rPr>
        <w:t>(AIHW 2020b)</w:t>
      </w:r>
      <w:r>
        <w:fldChar w:fldCharType="end"/>
      </w:r>
      <w:r>
        <w:t xml:space="preserve">. Prevalence was higher in men (6.1%) than women (4.6%) and in those aged over 45 years with the risk increasing with age </w:t>
      </w:r>
      <w:r>
        <w:fldChar w:fldCharType="begin"/>
      </w:r>
      <w:r>
        <w:instrText xml:space="preserve"> ADDIN EN.CITE &lt;EndNote&gt;&lt;Cite&gt;&lt;Author&gt;AIHW&lt;/Author&gt;&lt;Year&gt;2020&lt;/Year&gt;&lt;RecNum&gt;11&lt;/RecNum&gt;&lt;DisplayText&gt;(AIHW 2020b)&lt;/DisplayText&gt;&lt;record&gt;&lt;rec-number&gt;11&lt;/rec-number&gt;&lt;foreign-keys&gt;&lt;key app="EN" db-id="t2pv9vsdntsswsexwe8pspw3pffsrfvdxezt" timestamp="1626737115"&gt;11&lt;/key&gt;&lt;/foreign-keys&gt;&lt;ref-type name="Web Page"&gt;12&lt;/ref-type&gt;&lt;contributors&gt;&lt;authors&gt;&lt;author&gt;AIHW&lt;/author&gt;&lt;/authors&gt;&lt;/contributors&gt;&lt;titles&gt;&lt;title&gt;Diabetes&lt;/title&gt;&lt;/titles&gt;&lt;number&gt;July 2021&lt;/number&gt;&lt;dates&gt;&lt;year&gt;2020&lt;/year&gt;&lt;/dates&gt;&lt;publisher&gt;The Australian Institute of Health and Welfare&lt;/publisher&gt;&lt;urls&gt;&lt;related-urls&gt;&lt;url&gt;https://www.aihw.gov.au/reports-data/health-conditions-disability-deaths/diabetes/overview&lt;/url&gt;&lt;/related-urls&gt;&lt;/urls&gt;&lt;/record&gt;&lt;/Cite&gt;&lt;Cite&gt;&lt;Author&gt;AIHW&lt;/Author&gt;&lt;Year&gt;2020&lt;/Year&gt;&lt;RecNum&gt;11&lt;/RecNum&gt;&lt;record&gt;&lt;rec-number&gt;11&lt;/rec-number&gt;&lt;foreign-keys&gt;&lt;key app="EN" db-id="t2pv9vsdntsswsexwe8pspw3pffsrfvdxezt" timestamp="1626737115"&gt;11&lt;/key&gt;&lt;/foreign-keys&gt;&lt;ref-type name="Web Page"&gt;12&lt;/ref-type&gt;&lt;contributors&gt;&lt;authors&gt;&lt;author&gt;AIHW&lt;/author&gt;&lt;/authors&gt;&lt;/contributors&gt;&lt;titles&gt;&lt;title&gt;Diabetes&lt;/title&gt;&lt;/titles&gt;&lt;number&gt;July 2021&lt;/number&gt;&lt;dates&gt;&lt;year&gt;2020&lt;/year&gt;&lt;/dates&gt;&lt;publisher&gt;The Australian Institute of Health and Welfare&lt;/publisher&gt;&lt;urls&gt;&lt;related-urls&gt;&lt;url&gt;https://www.aihw.gov.au/reports-data/health-conditions-disability-deaths/diabetes/overview&lt;/url&gt;&lt;/related-urls&gt;&lt;/urls&gt;&lt;/record&gt;&lt;/Cite&gt;&lt;/EndNote&gt;</w:instrText>
      </w:r>
      <w:r>
        <w:fldChar w:fldCharType="separate"/>
      </w:r>
      <w:r>
        <w:t>(AIHW 2020b)</w:t>
      </w:r>
      <w:r>
        <w:fldChar w:fldCharType="end"/>
      </w:r>
      <w:r>
        <w:t>. However, T2D can also occur in younger age groups including children, adolescents, and young adults.</w:t>
      </w:r>
    </w:p>
    <w:p w14:paraId="2457D100" w14:textId="77777777" w:rsidR="00191215" w:rsidRDefault="003F4C5A" w:rsidP="008944A2">
      <w:pPr>
        <w:ind w:left="360"/>
      </w:pPr>
      <w:r>
        <w:t xml:space="preserve">Diabetes mellitus is a chronic condition caused by relative or absolute insulin deficiency. This insulin deficiency results in hyperglycaemia, which in the long term can affect many organs, in particular the blood vessels, nerves, </w:t>
      </w:r>
      <w:proofErr w:type="gramStart"/>
      <w:r>
        <w:t>eyes</w:t>
      </w:r>
      <w:proofErr w:type="gramEnd"/>
      <w:r>
        <w:t xml:space="preserve"> and kidneys. Type 2 diabetes is a progressive condition in which the body becomes resistant to the normal effects of insulin and/or gradually loses the capacity to produce enough insulin in the pancreas. Epidemiology of T2D is affected by genetic and environmental factors. The </w:t>
      </w:r>
      <w:r>
        <w:rPr>
          <w:color w:val="333333"/>
          <w:shd w:val="clear" w:color="auto" w:fill="FFFFFF"/>
        </w:rPr>
        <w:t>risk is greatly increased in people who have high blood pressure, are less physically active, are overweight or obese and have a poor diet</w:t>
      </w:r>
      <w:r>
        <w:rPr>
          <w:rFonts w:ascii="Arial" w:hAnsi="Arial" w:cs="Arial"/>
          <w:color w:val="333333"/>
          <w:sz w:val="23"/>
          <w:szCs w:val="23"/>
          <w:shd w:val="clear" w:color="auto" w:fill="FFFFFF"/>
        </w:rPr>
        <w:t xml:space="preserve">. </w:t>
      </w:r>
    </w:p>
    <w:p w14:paraId="57F9B0BC" w14:textId="77777777" w:rsidR="00191215" w:rsidRDefault="003F4C5A" w:rsidP="008944A2">
      <w:pPr>
        <w:ind w:left="360"/>
        <w:rPr>
          <w:rFonts w:cstheme="minorHAnsi"/>
          <w:b/>
          <w:bCs/>
          <w:szCs w:val="20"/>
        </w:rPr>
      </w:pPr>
      <w:r>
        <w:rPr>
          <w:b/>
          <w:bCs/>
        </w:rPr>
        <w:t xml:space="preserve">Investigation, </w:t>
      </w:r>
      <w:proofErr w:type="gramStart"/>
      <w:r>
        <w:rPr>
          <w:b/>
          <w:bCs/>
        </w:rPr>
        <w:t>management</w:t>
      </w:r>
      <w:proofErr w:type="gramEnd"/>
      <w:r>
        <w:rPr>
          <w:b/>
          <w:bCs/>
        </w:rPr>
        <w:t xml:space="preserve"> and referral</w:t>
      </w:r>
    </w:p>
    <w:p w14:paraId="20FDFDEE" w14:textId="69EDC279" w:rsidR="00191215" w:rsidRDefault="003F4C5A" w:rsidP="008944A2">
      <w:pPr>
        <w:ind w:left="360"/>
      </w:pPr>
      <w:r>
        <w:t xml:space="preserve">Type 2 diabetes is asymptomatic in the early stages. As a result, diagnosis may be </w:t>
      </w:r>
      <w:proofErr w:type="gramStart"/>
      <w:r>
        <w:t>delayed</w:t>
      </w:r>
      <w:proofErr w:type="gramEnd"/>
      <w:r>
        <w:t xml:space="preserve"> and complications associated with diabetes are often present at the time of diagnosis. Therefore, </w:t>
      </w:r>
      <w:r w:rsidR="00237614">
        <w:t xml:space="preserve">testing </w:t>
      </w:r>
      <w:r>
        <w:t xml:space="preserve">is recommended in people at high risk of developing T2D. Diagnostic tests for diabetes include glycated haemoglobin (HbA1c), venous blood glucose concentration and the oral glucose tolerance test. </w:t>
      </w:r>
    </w:p>
    <w:p w14:paraId="4B0360F0" w14:textId="671D25C7" w:rsidR="00191215" w:rsidRDefault="003F4C5A" w:rsidP="008944A2">
      <w:pPr>
        <w:ind w:left="360"/>
        <w:rPr>
          <w:rFonts w:cstheme="minorHAnsi"/>
          <w:szCs w:val="20"/>
        </w:rPr>
      </w:pPr>
      <w:r>
        <w:rPr>
          <w:rFonts w:cstheme="minorHAnsi"/>
          <w:szCs w:val="20"/>
        </w:rPr>
        <w:t xml:space="preserve">Initial </w:t>
      </w:r>
      <w:r w:rsidR="004A718C">
        <w:rPr>
          <w:rFonts w:cstheme="minorHAnsi"/>
          <w:szCs w:val="20"/>
        </w:rPr>
        <w:t>request for</w:t>
      </w:r>
      <w:r w:rsidR="00C469EB">
        <w:rPr>
          <w:rFonts w:cstheme="minorHAnsi"/>
          <w:szCs w:val="20"/>
        </w:rPr>
        <w:t xml:space="preserve"> </w:t>
      </w:r>
      <w:proofErr w:type="spellStart"/>
      <w:r w:rsidR="00C469EB">
        <w:rPr>
          <w:rFonts w:cstheme="minorHAnsi"/>
          <w:szCs w:val="20"/>
        </w:rPr>
        <w:t>PromarkerD</w:t>
      </w:r>
      <w:proofErr w:type="spellEnd"/>
      <w:r w:rsidR="006B1CA8">
        <w:rPr>
          <w:rFonts w:cstheme="minorHAnsi"/>
          <w:szCs w:val="20"/>
        </w:rPr>
        <w:t xml:space="preserve"> </w:t>
      </w:r>
      <w:r>
        <w:rPr>
          <w:rFonts w:cstheme="minorHAnsi"/>
          <w:szCs w:val="20"/>
        </w:rPr>
        <w:t>would likely be conducted by general practitioners. Once a patient is diagnosed with T2D a diabetes management plan is prepared. Patients may be referred to a multidisciplinary team for diabetes which can include general practitioners, endocrinologists, diabetes educators, social workers, dietitians, pharmacists, podiatrists, Aboriginal health workers, dentists, exercise physiologists and psychologists</w:t>
      </w:r>
      <w:r w:rsidR="00273107">
        <w:rPr>
          <w:rFonts w:cstheme="minorHAnsi"/>
          <w:szCs w:val="20"/>
        </w:rPr>
        <w:t xml:space="preserve"> </w:t>
      </w:r>
      <w:r w:rsidR="001166A3">
        <w:rPr>
          <w:rFonts w:cstheme="minorHAnsi"/>
          <w:szCs w:val="20"/>
        </w:rPr>
        <w:fldChar w:fldCharType="begin"/>
      </w:r>
      <w:r w:rsidR="001166A3">
        <w:rPr>
          <w:rFonts w:cstheme="minorHAnsi"/>
          <w:szCs w:val="20"/>
        </w:rPr>
        <w:instrText xml:space="preserve"> ADDIN EN.CITE &lt;EndNote&gt;&lt;Cite&gt;&lt;Author&gt;eTG&lt;/Author&gt;&lt;Year&gt;2019&lt;/Year&gt;&lt;RecNum&gt;13&lt;/RecNum&gt;&lt;DisplayText&gt;(eTG 2019)&lt;/DisplayText&gt;&lt;record&gt;&lt;rec-number&gt;13&lt;/rec-number&gt;&lt;foreign-keys&gt;&lt;key app="EN" db-id="t2pv9vsdntsswsexwe8pspw3pffsrfvdxezt" timestamp="1626840998"&gt;13&lt;/key&gt;&lt;/foreign-keys&gt;&lt;ref-type name="Web Page"&gt;12&lt;/ref-type&gt;&lt;contributors&gt;&lt;authors&gt;&lt;author&gt;eTG &lt;/author&gt;&lt;/authors&gt;&lt;secondary-authors&gt;&lt;author&gt;eTG Complete [digital]&lt;/author&gt;&lt;/secondary-authors&gt;&lt;/contributors&gt;&lt;titles&gt;&lt;title&gt;Diabetes&lt;/title&gt;&lt;secondary-title&gt;eTG Complete [digital]&lt;/secondary-title&gt;&lt;/titles&gt;&lt;number&gt;July 2020&lt;/number&gt;&lt;edition&gt;eTG Complete [digital]&lt;/edition&gt;&lt;dates&gt;&lt;year&gt;2019&lt;/year&gt;&lt;/dates&gt;&lt;pub-location&gt;Melbourne&lt;/pub-location&gt;&lt;publisher&gt;Therapeutic Guidelines Limited&lt;/publisher&gt;&lt;urls&gt;&lt;related-urls&gt;&lt;url&gt;https://www.tg.org.au&lt;/url&gt;&lt;/related-urls&gt;&lt;/urls&gt;&lt;/record&gt;&lt;/Cite&gt;&lt;/EndNote&gt;</w:instrText>
      </w:r>
      <w:r w:rsidR="001166A3">
        <w:rPr>
          <w:rFonts w:cstheme="minorHAnsi"/>
          <w:szCs w:val="20"/>
        </w:rPr>
        <w:fldChar w:fldCharType="separate"/>
      </w:r>
      <w:r w:rsidR="001166A3">
        <w:rPr>
          <w:rFonts w:cstheme="minorHAnsi"/>
          <w:noProof/>
          <w:szCs w:val="20"/>
        </w:rPr>
        <w:t>(eTG 2019)</w:t>
      </w:r>
      <w:r w:rsidR="001166A3">
        <w:rPr>
          <w:rFonts w:cstheme="minorHAnsi"/>
          <w:szCs w:val="20"/>
        </w:rPr>
        <w:fldChar w:fldCharType="end"/>
      </w:r>
      <w:r>
        <w:rPr>
          <w:rFonts w:cstheme="minorHAnsi"/>
          <w:szCs w:val="20"/>
        </w:rPr>
        <w:t xml:space="preserve">. However, due to the large number of people with T2D in Australia, patient care would be undertaken primarily by general practitioners. </w:t>
      </w:r>
    </w:p>
    <w:p w14:paraId="5BAAA9FB" w14:textId="6C793FA0" w:rsidR="00191215" w:rsidRDefault="003F4C5A" w:rsidP="008944A2">
      <w:pPr>
        <w:ind w:left="360"/>
        <w:rPr>
          <w:rFonts w:cstheme="minorHAnsi"/>
          <w:szCs w:val="20"/>
        </w:rPr>
      </w:pPr>
      <w:r>
        <w:rPr>
          <w:rFonts w:cstheme="minorHAnsi"/>
          <w:szCs w:val="20"/>
        </w:rPr>
        <w:t>Once a patient is diagnosed with T2D, they are at risk of complications related to their diabetes including DKD. Conventional assessment and monitoring of DKD is by one of two tests; measurement of albuminuria (</w:t>
      </w:r>
      <w:proofErr w:type="spellStart"/>
      <w:r>
        <w:rPr>
          <w:rFonts w:cstheme="minorHAnsi"/>
          <w:szCs w:val="20"/>
        </w:rPr>
        <w:t>uACR</w:t>
      </w:r>
      <w:proofErr w:type="spellEnd"/>
      <w:r>
        <w:rPr>
          <w:rFonts w:cstheme="minorHAnsi"/>
          <w:szCs w:val="20"/>
        </w:rPr>
        <w:t xml:space="preserve">) and/or, renal function (eGFR) – calculated using serum creatinine level, age, </w:t>
      </w:r>
      <w:r w:rsidR="008D7BDC">
        <w:rPr>
          <w:rFonts w:cstheme="minorHAnsi"/>
          <w:szCs w:val="20"/>
        </w:rPr>
        <w:t>sex,</w:t>
      </w:r>
      <w:r>
        <w:rPr>
          <w:rFonts w:cstheme="minorHAnsi"/>
          <w:szCs w:val="20"/>
        </w:rPr>
        <w:t xml:space="preserve"> and </w:t>
      </w:r>
      <w:r w:rsidR="008C5F0C">
        <w:rPr>
          <w:rFonts w:cstheme="minorHAnsi"/>
          <w:szCs w:val="20"/>
        </w:rPr>
        <w:t>race.</w:t>
      </w:r>
      <w:r>
        <w:rPr>
          <w:rFonts w:cstheme="minorHAnsi"/>
          <w:szCs w:val="20"/>
        </w:rPr>
        <w:t xml:space="preserve"> According to the Australian therapeutic guidelines, monitoring for DKD using these tests is recommended annually for patients with T2D and more frequently for those with changing results </w:t>
      </w:r>
      <w:r>
        <w:rPr>
          <w:rFonts w:cstheme="minorHAnsi"/>
          <w:szCs w:val="20"/>
        </w:rPr>
        <w:fldChar w:fldCharType="begin"/>
      </w:r>
      <w:r>
        <w:rPr>
          <w:rFonts w:cstheme="minorHAnsi"/>
          <w:szCs w:val="20"/>
        </w:rPr>
        <w:instrText xml:space="preserve"> ADDIN EN.CITE &lt;EndNote&gt;&lt;Cite&gt;&lt;Author&gt;eTG&lt;/Author&gt;&lt;Year&gt;2019&lt;/Year&gt;&lt;RecNum&gt;13&lt;/RecNum&gt;&lt;DisplayText&gt;(eTG 2019)&lt;/DisplayText&gt;&lt;record&gt;&lt;rec-number&gt;13&lt;/rec-number&gt;&lt;foreign-keys&gt;&lt;key app="EN" db-id="t2pv9vsdntsswsexwe8pspw3pffsrfvdxezt" timestamp="1626840998"&gt;13&lt;/key&gt;&lt;/foreign-keys&gt;&lt;ref-type name="Web Page"&gt;12&lt;/ref-type&gt;&lt;contributors&gt;&lt;authors&gt;&lt;author&gt;eTG &lt;/author&gt;&lt;/authors&gt;&lt;secondary-authors&gt;&lt;author&gt;eTG Complete [digital]&lt;/author&gt;&lt;/secondary-authors&gt;&lt;/contributors&gt;&lt;titles&gt;&lt;title&gt;Diabetes&lt;/title&gt;&lt;secondary-title&gt;eTG Complete [digital]&lt;/secondary-title&gt;&lt;/titles&gt;&lt;number&gt;July 2020&lt;/number&gt;&lt;edition&gt;eTG Complete [digital]&lt;/edition&gt;&lt;dates&gt;&lt;year&gt;2019&lt;/year&gt;&lt;/dates&gt;&lt;pub-location&gt;Melbourne&lt;/pub-location&gt;&lt;publisher&gt;Therapeutic Guidelines Limited&lt;/publisher&gt;&lt;urls&gt;&lt;related-urls&gt;&lt;url&gt;https://www.tg.org.au&lt;/url&gt;&lt;/related-urls&gt;&lt;/urls&gt;&lt;/record&gt;&lt;/Cite&gt;&lt;/EndNote&gt;</w:instrText>
      </w:r>
      <w:r>
        <w:rPr>
          <w:rFonts w:cstheme="minorHAnsi"/>
          <w:szCs w:val="20"/>
        </w:rPr>
        <w:fldChar w:fldCharType="separate"/>
      </w:r>
      <w:r>
        <w:rPr>
          <w:rFonts w:cstheme="minorHAnsi"/>
          <w:szCs w:val="20"/>
        </w:rPr>
        <w:t>(eTG 2019)</w:t>
      </w:r>
      <w:r>
        <w:rPr>
          <w:rFonts w:cstheme="minorHAnsi"/>
          <w:szCs w:val="20"/>
        </w:rPr>
        <w:fldChar w:fldCharType="end"/>
      </w:r>
      <w:r>
        <w:rPr>
          <w:rFonts w:cstheme="minorHAnsi"/>
          <w:szCs w:val="20"/>
        </w:rPr>
        <w:t xml:space="preserve">.  </w:t>
      </w:r>
    </w:p>
    <w:p w14:paraId="3D47F75F" w14:textId="77777777" w:rsidR="00191215" w:rsidRDefault="003F4C5A" w:rsidP="008944A2">
      <w:pPr>
        <w:ind w:left="360"/>
      </w:pPr>
      <w:r>
        <w:t>Diabetic kidney disease is usually diagnosed by reduced eGFR (&lt; 60mL/min/1.73m</w:t>
      </w:r>
      <w:r>
        <w:rPr>
          <w:vertAlign w:val="superscript"/>
        </w:rPr>
        <w:t>2</w:t>
      </w:r>
      <w:r>
        <w:t xml:space="preserve">) and/or increased </w:t>
      </w:r>
      <w:proofErr w:type="spellStart"/>
      <w:r>
        <w:t>uACR</w:t>
      </w:r>
      <w:proofErr w:type="spellEnd"/>
      <w:r>
        <w:t xml:space="preserve"> (</w:t>
      </w:r>
      <w:r>
        <w:rPr>
          <w:rFonts w:cstheme="minorHAnsi"/>
        </w:rPr>
        <w:t>≥</w:t>
      </w:r>
      <w:r>
        <w:t>3 mg/mmol creatinine), that persists ≥3 months in the presence of longstanding diabetes and exclusion of other causes of CKD. Currently there are no tests that can quantify a patient’s risk of developing DKD in those with clinically normal kidney function.</w:t>
      </w:r>
    </w:p>
    <w:p w14:paraId="018FB5AE" w14:textId="10FE5D94" w:rsidR="00191215" w:rsidRPr="00AC0D6D" w:rsidRDefault="003F4C5A" w:rsidP="008944A2">
      <w:pPr>
        <w:ind w:left="360"/>
        <w:rPr>
          <w:rFonts w:cstheme="minorHAnsi"/>
          <w:szCs w:val="20"/>
        </w:rPr>
      </w:pPr>
      <w:proofErr w:type="spellStart"/>
      <w:r>
        <w:t>PromarkerD</w:t>
      </w:r>
      <w:proofErr w:type="spellEnd"/>
      <w:r>
        <w:t xml:space="preserve"> would be recommended in people with T2D, alongside current standard tests, to quantitatively predict a patient’s risk of developing, or further decline in, DKD. </w:t>
      </w:r>
      <w:r>
        <w:rPr>
          <w:rFonts w:cstheme="minorHAnsi"/>
          <w:szCs w:val="20"/>
        </w:rPr>
        <w:t xml:space="preserve">The testing criteria represent the population of T2D patients who are likely to benefit the most from </w:t>
      </w:r>
      <w:proofErr w:type="spellStart"/>
      <w:r>
        <w:rPr>
          <w:rFonts w:cstheme="minorHAnsi"/>
          <w:szCs w:val="20"/>
        </w:rPr>
        <w:t>PromarkerD</w:t>
      </w:r>
      <w:proofErr w:type="spellEnd"/>
      <w:r>
        <w:rPr>
          <w:rFonts w:cstheme="minorHAnsi"/>
          <w:szCs w:val="20"/>
        </w:rPr>
        <w:t xml:space="preserve">.  </w:t>
      </w:r>
    </w:p>
    <w:p w14:paraId="3125B897" w14:textId="77777777" w:rsidR="008944A2" w:rsidRDefault="008944A2">
      <w:pPr>
        <w:spacing w:before="0" w:after="200" w:line="276" w:lineRule="auto"/>
        <w:rPr>
          <w:b/>
          <w:i/>
          <w:szCs w:val="20"/>
          <w:u w:val="single"/>
        </w:rPr>
      </w:pPr>
      <w:r>
        <w:br w:type="page"/>
      </w:r>
    </w:p>
    <w:p w14:paraId="013991BB" w14:textId="726894EA" w:rsidR="00191215" w:rsidRDefault="003F4C5A" w:rsidP="008944A2">
      <w:pPr>
        <w:pStyle w:val="Subtitle"/>
        <w:ind w:left="0"/>
      </w:pPr>
      <w:r>
        <w:t>PART 6b – INFORMATION ABOUT THE INTERVENTION</w:t>
      </w:r>
    </w:p>
    <w:p w14:paraId="18986B49" w14:textId="77777777" w:rsidR="00191215" w:rsidRDefault="003F4C5A">
      <w:pPr>
        <w:pStyle w:val="Heading2"/>
      </w:pPr>
      <w:r>
        <w:t>Describe the key components and clinical steps involved in delivering the proposed medical service/technology:</w:t>
      </w:r>
    </w:p>
    <w:p w14:paraId="2A587EE9" w14:textId="77777777" w:rsidR="00191215" w:rsidRDefault="003F4C5A" w:rsidP="008944A2">
      <w:pPr>
        <w:ind w:left="360"/>
        <w:jc w:val="both"/>
      </w:pPr>
      <w:r>
        <w:t xml:space="preserve">Key components: </w:t>
      </w:r>
    </w:p>
    <w:p w14:paraId="2009825B" w14:textId="0E4B4858" w:rsidR="00191215" w:rsidRDefault="003F4C5A" w:rsidP="008944A2">
      <w:pPr>
        <w:ind w:left="360"/>
      </w:pPr>
      <w:proofErr w:type="spellStart"/>
      <w:r>
        <w:t>PromarkerD</w:t>
      </w:r>
      <w:proofErr w:type="spellEnd"/>
      <w:r w:rsidR="003D6F0B">
        <w:t xml:space="preserve"> comprises three enzyme-linked immunosorbent assays (ELISA)</w:t>
      </w:r>
      <w:r>
        <w:t xml:space="preserve"> that measure the concentration of a panel of three novel protein biomarkers (ApoA4, CD5L and IBP3) combined with results from standard routine tests, including eGFR and HDL-cholesterol, and patient’s age. The combined raw data is submitted to the </w:t>
      </w:r>
      <w:proofErr w:type="spellStart"/>
      <w:r>
        <w:t>PromarkerD</w:t>
      </w:r>
      <w:proofErr w:type="spellEnd"/>
      <w:r>
        <w:t xml:space="preserve"> Hub, and a test report is generated. </w:t>
      </w:r>
      <w:proofErr w:type="spellStart"/>
      <w:r>
        <w:rPr>
          <w:szCs w:val="20"/>
        </w:rPr>
        <w:t>PromarkerD</w:t>
      </w:r>
      <w:proofErr w:type="spellEnd"/>
      <w:r>
        <w:rPr>
          <w:szCs w:val="20"/>
        </w:rPr>
        <w:t xml:space="preserve"> Hub is a software tool </w:t>
      </w:r>
      <w:r w:rsidR="00B40078" w:rsidRPr="00190BB0">
        <w:rPr>
          <w:b/>
          <w:bCs/>
          <w:sz w:val="22"/>
          <w:szCs w:val="24"/>
        </w:rPr>
        <w:t>REDACTED</w:t>
      </w:r>
      <w:r w:rsidR="00B40078">
        <w:rPr>
          <w:szCs w:val="20"/>
        </w:rPr>
        <w:t xml:space="preserve"> </w:t>
      </w:r>
      <w:r>
        <w:rPr>
          <w:szCs w:val="20"/>
        </w:rPr>
        <w:t>that contains a proprietary algorithm used to calculate the risk of developing, or further progression of, DKD.</w:t>
      </w:r>
    </w:p>
    <w:p w14:paraId="0A3BF31A" w14:textId="77777777" w:rsidR="00191215" w:rsidRDefault="003F4C5A" w:rsidP="008944A2">
      <w:pPr>
        <w:ind w:left="360"/>
        <w:jc w:val="both"/>
      </w:pPr>
      <w:r>
        <w:t>Clinical Steps:</w:t>
      </w:r>
    </w:p>
    <w:p w14:paraId="38E9D206" w14:textId="77777777" w:rsidR="00191215" w:rsidRDefault="003F4C5A" w:rsidP="008944A2">
      <w:pPr>
        <w:pStyle w:val="ListParagraph"/>
        <w:numPr>
          <w:ilvl w:val="0"/>
          <w:numId w:val="16"/>
        </w:numPr>
        <w:ind w:left="851"/>
        <w:contextualSpacing w:val="0"/>
        <w:jc w:val="both"/>
      </w:pPr>
      <w:r>
        <w:t xml:space="preserve">A patient with T2D would be seen by their managing clinician regularly for general monitoring and annual standard of care tests including eGFR and </w:t>
      </w:r>
      <w:proofErr w:type="spellStart"/>
      <w:r>
        <w:t>uACR</w:t>
      </w:r>
      <w:proofErr w:type="spellEnd"/>
      <w:r>
        <w:t xml:space="preserve"> to assess their kidney function. </w:t>
      </w:r>
    </w:p>
    <w:p w14:paraId="7D2AFA65" w14:textId="0075DD6F" w:rsidR="00191215" w:rsidRDefault="003F4C5A" w:rsidP="008944A2">
      <w:pPr>
        <w:pStyle w:val="ListParagraph"/>
        <w:numPr>
          <w:ilvl w:val="0"/>
          <w:numId w:val="16"/>
        </w:numPr>
        <w:ind w:left="851"/>
        <w:contextualSpacing w:val="0"/>
        <w:jc w:val="both"/>
      </w:pPr>
      <w:r>
        <w:t xml:space="preserve">The managing clinician would request </w:t>
      </w:r>
      <w:proofErr w:type="spellStart"/>
      <w:r>
        <w:t>PromarkerD</w:t>
      </w:r>
      <w:proofErr w:type="spellEnd"/>
      <w:r>
        <w:t xml:space="preserve"> for patients with a recent history of eGFR and </w:t>
      </w:r>
      <w:proofErr w:type="spellStart"/>
      <w:r>
        <w:t>uACR</w:t>
      </w:r>
      <w:proofErr w:type="spellEnd"/>
      <w:r>
        <w:t xml:space="preserve"> results who meet the </w:t>
      </w:r>
      <w:r w:rsidR="00953AFE">
        <w:t>eligibility</w:t>
      </w:r>
      <w:r>
        <w:t xml:space="preserve"> criteria (see 24). </w:t>
      </w:r>
    </w:p>
    <w:p w14:paraId="74D4DE7D" w14:textId="77777777" w:rsidR="00191215" w:rsidRDefault="003F4C5A" w:rsidP="008944A2">
      <w:pPr>
        <w:pStyle w:val="ListParagraph"/>
        <w:numPr>
          <w:ilvl w:val="0"/>
          <w:numId w:val="16"/>
        </w:numPr>
        <w:ind w:left="851"/>
        <w:contextualSpacing w:val="0"/>
        <w:jc w:val="both"/>
      </w:pPr>
      <w:r>
        <w:t>Patients would be referred to pathology for a blood draw.</w:t>
      </w:r>
    </w:p>
    <w:p w14:paraId="25684D89" w14:textId="70183895" w:rsidR="00191215" w:rsidRDefault="003F4C5A" w:rsidP="008944A2">
      <w:pPr>
        <w:pStyle w:val="ListParagraph"/>
        <w:numPr>
          <w:ilvl w:val="0"/>
          <w:numId w:val="16"/>
        </w:numPr>
        <w:ind w:left="851"/>
        <w:contextualSpacing w:val="0"/>
        <w:jc w:val="both"/>
      </w:pPr>
      <w:r>
        <w:t xml:space="preserve">Blood samples would be sent to accredited pathology laboratories where the </w:t>
      </w:r>
      <w:proofErr w:type="spellStart"/>
      <w:r>
        <w:t>PromarkerD</w:t>
      </w:r>
      <w:proofErr w:type="spellEnd"/>
      <w:r>
        <w:t xml:space="preserve"> kit would be used to prepare blood samples for biomarker testing via ELISA. </w:t>
      </w:r>
    </w:p>
    <w:p w14:paraId="2D733871" w14:textId="77777777" w:rsidR="00191215" w:rsidRDefault="003F4C5A" w:rsidP="008944A2">
      <w:pPr>
        <w:pStyle w:val="ListParagraph"/>
        <w:numPr>
          <w:ilvl w:val="0"/>
          <w:numId w:val="16"/>
        </w:numPr>
        <w:ind w:left="851"/>
        <w:contextualSpacing w:val="0"/>
        <w:jc w:val="both"/>
      </w:pPr>
      <w:r>
        <w:t xml:space="preserve">Test results would be interpreted and uploaded into the </w:t>
      </w:r>
      <w:proofErr w:type="spellStart"/>
      <w:r>
        <w:t>PromarkerD</w:t>
      </w:r>
      <w:proofErr w:type="spellEnd"/>
      <w:r>
        <w:t xml:space="preserve"> hub by pathologists to produce a risk score.</w:t>
      </w:r>
    </w:p>
    <w:p w14:paraId="38491F51" w14:textId="77777777" w:rsidR="00191215" w:rsidRDefault="003F4C5A" w:rsidP="008944A2">
      <w:pPr>
        <w:pStyle w:val="ListParagraph"/>
        <w:numPr>
          <w:ilvl w:val="0"/>
          <w:numId w:val="16"/>
        </w:numPr>
        <w:ind w:left="851"/>
        <w:contextualSpacing w:val="0"/>
        <w:jc w:val="both"/>
      </w:pPr>
      <w:r>
        <w:t xml:space="preserve">The </w:t>
      </w:r>
      <w:proofErr w:type="spellStart"/>
      <w:r>
        <w:t>PromarkerD</w:t>
      </w:r>
      <w:proofErr w:type="spellEnd"/>
      <w:r>
        <w:t xml:space="preserve"> risk score would be provided to managing clinicians who would then relay that information to patients. </w:t>
      </w:r>
    </w:p>
    <w:p w14:paraId="68433F37" w14:textId="77777777" w:rsidR="00191215" w:rsidRDefault="003F4C5A" w:rsidP="008944A2">
      <w:pPr>
        <w:pStyle w:val="ListParagraph"/>
        <w:numPr>
          <w:ilvl w:val="0"/>
          <w:numId w:val="16"/>
        </w:numPr>
        <w:ind w:left="851"/>
        <w:contextualSpacing w:val="0"/>
        <w:jc w:val="both"/>
      </w:pPr>
      <w:r>
        <w:t xml:space="preserve">The test risk score would inform further patient care e.g., monitoring frequency, lifestyle modification, initiation of more aggressive treatment measures, patient education on risk factors etc. </w:t>
      </w:r>
    </w:p>
    <w:p w14:paraId="76DD042F" w14:textId="77777777" w:rsidR="00191215" w:rsidRDefault="003F4C5A">
      <w:pPr>
        <w:pStyle w:val="Heading2"/>
      </w:pPr>
      <w:r>
        <w:t>Does the proposed medical service include a registered trademark component with characteristics that distinguishes it from other similar health components?</w:t>
      </w:r>
    </w:p>
    <w:p w14:paraId="17F66BCC" w14:textId="6C3FA1C4" w:rsidR="00191215" w:rsidRDefault="003F4C5A">
      <w:pPr>
        <w:ind w:firstLine="360"/>
      </w:pPr>
      <w:r>
        <w:t>The product name “</w:t>
      </w:r>
      <w:proofErr w:type="spellStart"/>
      <w:r>
        <w:t>Promarker</w:t>
      </w:r>
      <w:proofErr w:type="spellEnd"/>
      <w:r>
        <w:t>” is a registered trademark belonging to the applicant.</w:t>
      </w:r>
    </w:p>
    <w:p w14:paraId="63923A2A" w14:textId="77777777" w:rsidR="00191215" w:rsidRDefault="003F4C5A">
      <w:pPr>
        <w:pStyle w:val="Heading2"/>
      </w:pPr>
      <w:r>
        <w:t>If the proposed medical service has a prosthesis or device component to it, does it involve a new approach towards managing a particular sub-group of the population with the specific medical condition?</w:t>
      </w:r>
    </w:p>
    <w:p w14:paraId="7BCE3AEA" w14:textId="77777777" w:rsidR="00191215" w:rsidRDefault="003F4C5A" w:rsidP="00453773">
      <w:pPr>
        <w:ind w:firstLine="360"/>
        <w:rPr>
          <w:b/>
          <w:szCs w:val="20"/>
        </w:rPr>
      </w:pPr>
      <w:r>
        <w:t>N/A</w:t>
      </w:r>
    </w:p>
    <w:p w14:paraId="31B72529" w14:textId="0A4BBC5C" w:rsidR="00191215" w:rsidRDefault="003F4C5A">
      <w:pPr>
        <w:pStyle w:val="Heading2"/>
      </w:pPr>
      <w:r>
        <w:t>If applicable, are there any limitations on the provision of the proposed medical service delivered to the patient (</w:t>
      </w:r>
      <w:r w:rsidR="008C5F0C">
        <w:t>i.e.,</w:t>
      </w:r>
      <w:r>
        <w:t xml:space="preserve"> accessibility, dosage, quantity, </w:t>
      </w:r>
      <w:r w:rsidR="008D7BDC">
        <w:t>duration,</w:t>
      </w:r>
      <w:r>
        <w:t xml:space="preserve"> or frequency)?</w:t>
      </w:r>
    </w:p>
    <w:p w14:paraId="1A11B14E" w14:textId="1CA42BAB" w:rsidR="00191215" w:rsidRDefault="003F4C5A" w:rsidP="008944A2">
      <w:pPr>
        <w:ind w:left="360"/>
      </w:pPr>
      <w:r>
        <w:t xml:space="preserve">Patients with a low-risk </w:t>
      </w:r>
      <w:proofErr w:type="spellStart"/>
      <w:r>
        <w:t>PromarkerD</w:t>
      </w:r>
      <w:proofErr w:type="spellEnd"/>
      <w:r>
        <w:t xml:space="preserve"> score will be limited to one test every 4 years, the length of the predictive period of </w:t>
      </w:r>
      <w:proofErr w:type="spellStart"/>
      <w:r>
        <w:t>PromarkerD</w:t>
      </w:r>
      <w:proofErr w:type="spellEnd"/>
      <w:r>
        <w:t>. Patients who receive a moderate</w:t>
      </w:r>
      <w:r w:rsidR="00453773">
        <w:t>-</w:t>
      </w:r>
      <w:r>
        <w:t xml:space="preserve"> or high-risk </w:t>
      </w:r>
      <w:proofErr w:type="spellStart"/>
      <w:r>
        <w:t>PromarkerD</w:t>
      </w:r>
      <w:proofErr w:type="spellEnd"/>
      <w:r>
        <w:t xml:space="preserve"> result would be eligible for retesting every 2 years. </w:t>
      </w:r>
    </w:p>
    <w:p w14:paraId="33CBAAD2" w14:textId="77777777" w:rsidR="00191215" w:rsidRDefault="003F4C5A">
      <w:pPr>
        <w:pStyle w:val="Heading2"/>
      </w:pPr>
      <w:r>
        <w:t xml:space="preserve">If applicable, identify any healthcare resources or other medical services that would need to be delivered </w:t>
      </w:r>
      <w:r>
        <w:rPr>
          <w:u w:val="single"/>
        </w:rPr>
        <w:t>at the same time</w:t>
      </w:r>
      <w:r>
        <w:t xml:space="preserve"> as the proposed medical service:</w:t>
      </w:r>
    </w:p>
    <w:p w14:paraId="2764F795" w14:textId="77777777" w:rsidR="00191215" w:rsidRDefault="003F4C5A" w:rsidP="00453773">
      <w:pPr>
        <w:spacing w:line="276" w:lineRule="auto"/>
        <w:ind w:left="360"/>
      </w:pPr>
      <w:r>
        <w:t xml:space="preserve">Alongside the </w:t>
      </w:r>
      <w:proofErr w:type="spellStart"/>
      <w:r>
        <w:t>PromarkerD</w:t>
      </w:r>
      <w:proofErr w:type="spellEnd"/>
      <w:r>
        <w:t xml:space="preserve"> blood test for the 3 novel plasma protein biomarkers, a standard blood test to determine serum creatinine (for eGFR) and HDL-cholesterol would need to be undertaken or results recently available.  </w:t>
      </w:r>
    </w:p>
    <w:p w14:paraId="677AD8EE" w14:textId="77777777" w:rsidR="00191215" w:rsidRDefault="003F4C5A" w:rsidP="00453773">
      <w:pPr>
        <w:ind w:left="360"/>
      </w:pPr>
      <w:r>
        <w:t>MBS item number: 66500</w:t>
      </w:r>
    </w:p>
    <w:p w14:paraId="6EE11F70" w14:textId="77777777" w:rsidR="00191215" w:rsidRDefault="003F4C5A" w:rsidP="00453773">
      <w:pPr>
        <w:spacing w:line="276" w:lineRule="auto"/>
        <w:ind w:left="360"/>
        <w:rPr>
          <w:szCs w:val="20"/>
        </w:rPr>
      </w:pPr>
      <w:r>
        <w:rPr>
          <w:szCs w:val="20"/>
        </w:rPr>
        <w:t xml:space="preserve">As part of usual standard of care for patients with T2D, eGFR should be tested annually or more frequently if the patient’s results are changing.   </w:t>
      </w:r>
    </w:p>
    <w:p w14:paraId="4D800AFD" w14:textId="77777777" w:rsidR="00191215" w:rsidRDefault="003F4C5A" w:rsidP="00453773">
      <w:pPr>
        <w:spacing w:line="276" w:lineRule="auto"/>
        <w:ind w:left="360"/>
        <w:rPr>
          <w:szCs w:val="20"/>
        </w:rPr>
      </w:pPr>
      <w:r>
        <w:rPr>
          <w:szCs w:val="20"/>
        </w:rPr>
        <w:t xml:space="preserve">Testing would be conducted in </w:t>
      </w:r>
      <w:r>
        <w:t xml:space="preserve">appropriately accredited pathology laboratories. </w:t>
      </w:r>
    </w:p>
    <w:p w14:paraId="44327D20" w14:textId="77777777" w:rsidR="00191215" w:rsidRDefault="003F4C5A">
      <w:pPr>
        <w:pStyle w:val="Heading2"/>
      </w:pPr>
      <w:r>
        <w:t>If applicable, advise which health professionals will primarily deliver the proposed service:</w:t>
      </w:r>
    </w:p>
    <w:p w14:paraId="5FF72012" w14:textId="77777777" w:rsidR="00191215" w:rsidRDefault="003F4C5A" w:rsidP="008944A2">
      <w:pPr>
        <w:ind w:left="360"/>
      </w:pPr>
      <w:r>
        <w:t xml:space="preserve">A request for testing with </w:t>
      </w:r>
      <w:proofErr w:type="spellStart"/>
      <w:r>
        <w:t>PromarkerD</w:t>
      </w:r>
      <w:proofErr w:type="spellEnd"/>
      <w:r>
        <w:t xml:space="preserve"> would be initiated by the patient’s managing clinician. Most likely, general practitioners will primarily initiate requests for the service for patients, as they would request routine pathology tests for diabetic patients monitoring lipids, glucose control, etc.</w:t>
      </w:r>
    </w:p>
    <w:p w14:paraId="26963E83" w14:textId="77777777" w:rsidR="00191215" w:rsidRDefault="003F4C5A" w:rsidP="008944A2">
      <w:pPr>
        <w:ind w:left="360"/>
      </w:pPr>
      <w:r>
        <w:t xml:space="preserve">Pathologists will conduct the tests at appropriately accredited laboratories. Results will then be relayed back to general practitioners to communicate with patients.    </w:t>
      </w:r>
    </w:p>
    <w:p w14:paraId="6CE8F79C" w14:textId="77777777" w:rsidR="00191215" w:rsidRDefault="003F4C5A" w:rsidP="008944A2">
      <w:pPr>
        <w:pStyle w:val="Heading2"/>
        <w:contextualSpacing w:val="0"/>
      </w:pPr>
      <w:r>
        <w:t>If applicable, advise whether the proposed medical service could be delegated or referred to another professional for delivery:</w:t>
      </w:r>
    </w:p>
    <w:p w14:paraId="40701B93" w14:textId="77777777" w:rsidR="00191215" w:rsidRDefault="003F4C5A" w:rsidP="008944A2">
      <w:pPr>
        <w:ind w:left="360"/>
      </w:pPr>
      <w:r>
        <w:t xml:space="preserve">Testing should only be conducted by qualified and trained pathologists. </w:t>
      </w:r>
    </w:p>
    <w:p w14:paraId="27DEB2A4" w14:textId="77777777" w:rsidR="00191215" w:rsidRDefault="003F4C5A" w:rsidP="008944A2">
      <w:pPr>
        <w:pStyle w:val="Heading2"/>
        <w:contextualSpacing w:val="0"/>
      </w:pPr>
      <w:r>
        <w:t>If applicable, specify any proposed limitations on who might deliver the proposed medical service, or who might provide a referral for it:</w:t>
      </w:r>
    </w:p>
    <w:p w14:paraId="2578080F" w14:textId="77777777" w:rsidR="00191215" w:rsidRDefault="003F4C5A" w:rsidP="008944A2">
      <w:pPr>
        <w:ind w:firstLine="360"/>
        <w:rPr>
          <w:szCs w:val="20"/>
        </w:rPr>
      </w:pPr>
      <w:r>
        <w:t>Only pathologists may conduct the service, and only a patient’s managing clinician may provide a referral.</w:t>
      </w:r>
    </w:p>
    <w:p w14:paraId="08D9F00F" w14:textId="77777777" w:rsidR="00191215" w:rsidRDefault="003F4C5A" w:rsidP="008944A2">
      <w:pPr>
        <w:pStyle w:val="Heading2"/>
        <w:contextualSpacing w:val="0"/>
      </w:pPr>
      <w:r>
        <w:t>If applicable, advise what type of training or qualifications would be required to perform the proposed service, as well as any accreditation requirements to support service delivery:</w:t>
      </w:r>
    </w:p>
    <w:p w14:paraId="2BDB234D" w14:textId="77777777" w:rsidR="00191215" w:rsidRDefault="003F4C5A" w:rsidP="008944A2">
      <w:pPr>
        <w:ind w:left="360"/>
        <w:rPr>
          <w:rFonts w:cstheme="minorHAnsi"/>
          <w:szCs w:val="20"/>
        </w:rPr>
      </w:pPr>
      <w:r>
        <w:rPr>
          <w:rFonts w:cstheme="minorHAnsi"/>
          <w:szCs w:val="20"/>
        </w:rPr>
        <w:t xml:space="preserve">Testing will be performed </w:t>
      </w:r>
      <w:r>
        <w:t>by qualified and trained pathologists</w:t>
      </w:r>
      <w:r>
        <w:rPr>
          <w:rFonts w:cstheme="minorHAnsi"/>
          <w:szCs w:val="20"/>
        </w:rPr>
        <w:t xml:space="preserve"> in laboratories that are </w:t>
      </w:r>
      <w:r>
        <w:rPr>
          <w:rFonts w:cstheme="minorHAnsi"/>
          <w:color w:val="3B3B3B"/>
          <w:szCs w:val="20"/>
          <w:shd w:val="clear" w:color="auto" w:fill="FFFFFF"/>
        </w:rPr>
        <w:t xml:space="preserve">accredited by the National Association of Testing Authorities (NATA)/RCPA Laboratory Accreditation Program. </w:t>
      </w:r>
    </w:p>
    <w:p w14:paraId="10E60F20" w14:textId="77777777" w:rsidR="00191215" w:rsidRDefault="003F4C5A">
      <w:pPr>
        <w:pStyle w:val="Heading2"/>
      </w:pPr>
      <w:r>
        <w:t xml:space="preserve">(a) Indicate the proposed setting(s) in which the proposed medical service will be delivered (select </w:t>
      </w:r>
      <w:r>
        <w:rPr>
          <w:u w:val="single"/>
        </w:rPr>
        <w:t>ALL</w:t>
      </w:r>
      <w:r>
        <w:t xml:space="preserve"> relevant settings):</w:t>
      </w:r>
    </w:p>
    <w:p w14:paraId="64DF0368" w14:textId="77777777" w:rsidR="00191215" w:rsidRDefault="003F4C5A">
      <w:pPr>
        <w:spacing w:before="0" w:after="0"/>
        <w:ind w:left="426"/>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w:t>
      </w:r>
      <w:r>
        <w:t>Inpatient private hospital (admitted patient)</w:t>
      </w:r>
    </w:p>
    <w:p w14:paraId="5A92A33E" w14:textId="77777777" w:rsidR="00191215" w:rsidRDefault="003F4C5A">
      <w:pPr>
        <w:spacing w:before="0" w:after="0"/>
        <w:ind w:left="426"/>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w:t>
      </w:r>
      <w:r>
        <w:t>Inpatient public hospital (admitted patient)</w:t>
      </w:r>
    </w:p>
    <w:p w14:paraId="468D6208" w14:textId="77777777" w:rsidR="00191215" w:rsidRDefault="003F4C5A">
      <w:pPr>
        <w:spacing w:before="0" w:after="0"/>
        <w:ind w:left="426"/>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Private o</w:t>
      </w:r>
      <w:r>
        <w:t>utpatient clinic</w:t>
      </w:r>
    </w:p>
    <w:p w14:paraId="38F6A4F3" w14:textId="77777777" w:rsidR="00191215" w:rsidRDefault="003F4C5A">
      <w:pPr>
        <w:spacing w:before="0" w:after="0"/>
        <w:ind w:left="426"/>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Public outpatient clinic</w:t>
      </w:r>
    </w:p>
    <w:p w14:paraId="6922C229" w14:textId="77777777" w:rsidR="00191215" w:rsidRDefault="003F4C5A">
      <w:pPr>
        <w:spacing w:before="0" w:after="0"/>
        <w:ind w:left="426"/>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w:t>
      </w:r>
      <w:r>
        <w:t>Emergency Department</w:t>
      </w:r>
    </w:p>
    <w:p w14:paraId="757F8E76" w14:textId="77777777" w:rsidR="00191215" w:rsidRDefault="003F4C5A">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Private </w:t>
      </w:r>
      <w:r>
        <w:t>consulting rooms - GP</w:t>
      </w:r>
    </w:p>
    <w:p w14:paraId="39893077" w14:textId="77777777" w:rsidR="00191215" w:rsidRDefault="003F4C5A">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Private consulting rooms – specialist</w:t>
      </w:r>
    </w:p>
    <w:p w14:paraId="5F1518C6" w14:textId="77777777" w:rsidR="00191215" w:rsidRDefault="003F4C5A">
      <w:pPr>
        <w:spacing w:before="0" w:after="0"/>
        <w:ind w:left="426"/>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Private consulting rooms – other health practitioner (nurse or allied health)</w:t>
      </w:r>
    </w:p>
    <w:p w14:paraId="47645213" w14:textId="77777777" w:rsidR="00191215" w:rsidRDefault="003F4C5A">
      <w:pPr>
        <w:spacing w:before="0" w:after="0"/>
        <w:ind w:left="426"/>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Private d</w:t>
      </w:r>
      <w:r>
        <w:t>ay surgery clinic (admitted patient)</w:t>
      </w:r>
    </w:p>
    <w:p w14:paraId="6EAD7D30" w14:textId="77777777" w:rsidR="00191215" w:rsidRDefault="003F4C5A">
      <w:pPr>
        <w:spacing w:before="0" w:after="0"/>
        <w:ind w:left="426"/>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Private day surgery clinic (non-admitted patient)</w:t>
      </w:r>
    </w:p>
    <w:p w14:paraId="10A895EC" w14:textId="77777777" w:rsidR="00191215" w:rsidRDefault="003F4C5A">
      <w:pPr>
        <w:spacing w:before="0" w:after="0"/>
        <w:ind w:left="426"/>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Public day surgery clinic (admitted patient)</w:t>
      </w:r>
    </w:p>
    <w:p w14:paraId="2E8C3F66" w14:textId="77777777" w:rsidR="00191215" w:rsidRDefault="003F4C5A">
      <w:pPr>
        <w:spacing w:before="0" w:after="0"/>
        <w:ind w:left="426"/>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Public day surgery clinic (non-admitted patient)</w:t>
      </w:r>
    </w:p>
    <w:p w14:paraId="5568FC87" w14:textId="77777777" w:rsidR="00191215" w:rsidRDefault="003F4C5A">
      <w:pPr>
        <w:spacing w:before="0" w:after="0"/>
        <w:ind w:left="426"/>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w:t>
      </w:r>
      <w:r>
        <w:t>Residential aged care facility</w:t>
      </w:r>
    </w:p>
    <w:p w14:paraId="37ACA408" w14:textId="77777777" w:rsidR="00191215" w:rsidRDefault="003F4C5A">
      <w:pPr>
        <w:spacing w:before="0" w:after="0"/>
        <w:ind w:left="426"/>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w:t>
      </w:r>
      <w:r>
        <w:t>Patient’s home</w:t>
      </w:r>
    </w:p>
    <w:p w14:paraId="751D8A57" w14:textId="77777777" w:rsidR="00191215" w:rsidRDefault="003F4C5A">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w:t>
      </w:r>
      <w:r>
        <w:t>Laboratory</w:t>
      </w:r>
    </w:p>
    <w:p w14:paraId="2EA274E4" w14:textId="79231123" w:rsidR="008944A2" w:rsidRPr="008944A2" w:rsidRDefault="003F4C5A" w:rsidP="00190BB0">
      <w:pPr>
        <w:spacing w:before="0" w:after="0"/>
        <w:ind w:left="426"/>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w:t>
      </w:r>
      <w:r>
        <w:t>Other – please specify below</w:t>
      </w:r>
    </w:p>
    <w:p w14:paraId="5CA4CA93" w14:textId="77777777" w:rsidR="00191215" w:rsidRDefault="003F4C5A">
      <w:pPr>
        <w:pStyle w:val="ListParagraph"/>
        <w:numPr>
          <w:ilvl w:val="0"/>
          <w:numId w:val="8"/>
        </w:numPr>
        <w:rPr>
          <w:b/>
          <w:szCs w:val="20"/>
        </w:rPr>
      </w:pPr>
      <w:r>
        <w:rPr>
          <w:b/>
          <w:szCs w:val="20"/>
        </w:rPr>
        <w:t>Where the proposed medical service is provided in more than one setting, please describe the rationale related to each:</w:t>
      </w:r>
    </w:p>
    <w:p w14:paraId="40843502" w14:textId="6C841D1D" w:rsidR="00191215" w:rsidRPr="008944A2" w:rsidRDefault="008944A2" w:rsidP="008944A2">
      <w:pPr>
        <w:ind w:firstLine="360"/>
      </w:pPr>
      <w:r w:rsidRPr="008944A2">
        <w:t>N/A</w:t>
      </w:r>
    </w:p>
    <w:p w14:paraId="2AF25416" w14:textId="77777777" w:rsidR="00191215" w:rsidRDefault="003F4C5A">
      <w:pPr>
        <w:pStyle w:val="Heading2"/>
      </w:pPr>
      <w:r>
        <w:t>Is the proposed medical service intended to be entirely rendered in Australia?</w:t>
      </w:r>
    </w:p>
    <w:p w14:paraId="2D9098F9" w14:textId="77777777" w:rsidR="00191215" w:rsidRDefault="003F4C5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Yes</w:t>
      </w:r>
    </w:p>
    <w:p w14:paraId="1F495F27" w14:textId="77777777" w:rsidR="00191215" w:rsidRDefault="003F4C5A">
      <w:pPr>
        <w:spacing w:before="0" w:after="0"/>
        <w:ind w:left="426"/>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No – please specify below</w:t>
      </w:r>
    </w:p>
    <w:p w14:paraId="567113FA" w14:textId="77777777" w:rsidR="00190BB0" w:rsidRDefault="00190BB0">
      <w:pPr>
        <w:spacing w:before="0" w:after="200" w:line="276" w:lineRule="auto"/>
        <w:rPr>
          <w:b/>
          <w:i/>
          <w:szCs w:val="20"/>
          <w:u w:val="single"/>
        </w:rPr>
      </w:pPr>
      <w:r>
        <w:br w:type="page"/>
      </w:r>
    </w:p>
    <w:p w14:paraId="4F2B7723" w14:textId="52C12339" w:rsidR="00191215" w:rsidRDefault="003F4C5A" w:rsidP="008944A2">
      <w:pPr>
        <w:pStyle w:val="Subtitle"/>
        <w:ind w:left="0"/>
      </w:pPr>
      <w:r>
        <w:t>PART 6c – INFORMATION ABOUT THE COMPARATOR(S)</w:t>
      </w:r>
    </w:p>
    <w:p w14:paraId="51865E91" w14:textId="48E89731" w:rsidR="00191215" w:rsidRDefault="003F4C5A">
      <w:pPr>
        <w:pStyle w:val="Heading2"/>
        <w:jc w:val="both"/>
      </w:pPr>
      <w:r>
        <w:t>Nominate the appropriate comparator(s) for the proposed medical service (</w:t>
      </w:r>
      <w:r w:rsidR="008C5F0C">
        <w:t>i.e.,</w:t>
      </w:r>
      <w:r>
        <w:t xml:space="preserve"> how is the proposed population currently managed in the absence of the proposed medical service being available in the </w:t>
      </w:r>
      <w:r>
        <w:rPr>
          <w:u w:val="single"/>
        </w:rPr>
        <w:t>Australian health care system)</w:t>
      </w:r>
      <w:r>
        <w:t>. This includes identifying health care resources that are needed to be delivered at the same time as the comparator service):</w:t>
      </w:r>
    </w:p>
    <w:p w14:paraId="2AE6CD40" w14:textId="77777777" w:rsidR="00191215" w:rsidRDefault="003F4C5A" w:rsidP="008944A2">
      <w:pPr>
        <w:ind w:left="357"/>
      </w:pPr>
      <w:r>
        <w:t xml:space="preserve">There is no comparator test to </w:t>
      </w:r>
      <w:proofErr w:type="spellStart"/>
      <w:r>
        <w:t>PromarkerD</w:t>
      </w:r>
      <w:proofErr w:type="spellEnd"/>
      <w:r>
        <w:t xml:space="preserve">. The test would be added to the current testing regimen. Patients with T2D currently should have laboratory risk factors (e.g., eGFR, </w:t>
      </w:r>
      <w:proofErr w:type="spellStart"/>
      <w:r>
        <w:t>uACR</w:t>
      </w:r>
      <w:proofErr w:type="spellEnd"/>
      <w:r>
        <w:t xml:space="preserve">, lipids, HbA1c, etc) measured annually as part of usual monitoring. Should abnormalities in renal function be found and tracked properly by primary care and pathologists – e.g., decreasing eGFR over time, increasing </w:t>
      </w:r>
      <w:proofErr w:type="spellStart"/>
      <w:r>
        <w:t>uACR</w:t>
      </w:r>
      <w:proofErr w:type="spellEnd"/>
      <w:r>
        <w:t xml:space="preserve"> over time – primary care clinicians can elevate interventions. If renal function is declining rapidly or has passed a threshold of 30 ml/min eGFR, the patient is referred to a specialist for maximal intervention.</w:t>
      </w:r>
    </w:p>
    <w:p w14:paraId="735CCB4A" w14:textId="77777777" w:rsidR="00191215" w:rsidRDefault="003F4C5A" w:rsidP="008944A2">
      <w:pPr>
        <w:ind w:left="357"/>
      </w:pPr>
      <w:r>
        <w:t>However, there is currently no test which quantifies the risk a patient may develop DKD in a discrete time period (4 years) and therefore provide a clear indication on the level and details of the intervention/s a patient requires before requiring maximal intervention and specialist care.</w:t>
      </w:r>
    </w:p>
    <w:p w14:paraId="49EFDB2E" w14:textId="77777777" w:rsidR="00191215" w:rsidRDefault="003F4C5A" w:rsidP="008944A2">
      <w:pPr>
        <w:ind w:left="357"/>
      </w:pPr>
      <w:r>
        <w:t xml:space="preserve">In this way, </w:t>
      </w:r>
      <w:proofErr w:type="spellStart"/>
      <w:r>
        <w:t>PromarkerD</w:t>
      </w:r>
      <w:proofErr w:type="spellEnd"/>
      <w:r>
        <w:t xml:space="preserve"> is proposed as an add-on to usual care.</w:t>
      </w:r>
    </w:p>
    <w:p w14:paraId="11B852F3" w14:textId="77777777" w:rsidR="00191215" w:rsidRDefault="003F4C5A">
      <w:pPr>
        <w:pStyle w:val="Heading2"/>
      </w:pPr>
      <w:r>
        <w:t>Does the medical service (that has been nominated as the comparator) have an existing MBS item number(s)?</w:t>
      </w:r>
    </w:p>
    <w:p w14:paraId="6752E295" w14:textId="77777777" w:rsidR="00191215" w:rsidRDefault="003F4C5A">
      <w:pPr>
        <w:spacing w:before="0" w:after="0"/>
        <w:ind w:left="426"/>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Yes (please list all relevant MBS item numbers below)</w:t>
      </w:r>
    </w:p>
    <w:p w14:paraId="71CB51B5" w14:textId="77777777" w:rsidR="00191215" w:rsidRDefault="003F4C5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No  </w:t>
      </w:r>
    </w:p>
    <w:p w14:paraId="200A75F5" w14:textId="77777777" w:rsidR="00191215" w:rsidRDefault="00191215">
      <w:pPr>
        <w:spacing w:before="0" w:after="0"/>
        <w:ind w:left="426"/>
        <w:rPr>
          <w:szCs w:val="20"/>
        </w:rPr>
      </w:pPr>
    </w:p>
    <w:p w14:paraId="4C5BEC61" w14:textId="77777777" w:rsidR="00191215" w:rsidRDefault="003F4C5A">
      <w:pPr>
        <w:pStyle w:val="Heading2"/>
      </w:pPr>
      <w:r>
        <w:t>(a) Will the proposed medical service/technology be used in addition to, or instead of, the nominated comparator(s)?</w:t>
      </w:r>
    </w:p>
    <w:p w14:paraId="7D881DCD" w14:textId="0F6D5250" w:rsidR="00191215" w:rsidRDefault="003F4C5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In addition to (</w:t>
      </w:r>
      <w:r w:rsidR="008C5F0C">
        <w:rPr>
          <w:szCs w:val="20"/>
        </w:rPr>
        <w:t>i.e.,</w:t>
      </w:r>
      <w:r>
        <w:rPr>
          <w:szCs w:val="20"/>
        </w:rPr>
        <w:t xml:space="preserve"> it is an add-on service) </w:t>
      </w:r>
    </w:p>
    <w:p w14:paraId="69EC3622" w14:textId="710327B0" w:rsidR="00191215" w:rsidRDefault="003F4C5A">
      <w:pPr>
        <w:spacing w:before="0" w:after="0"/>
        <w:ind w:left="426"/>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sidR="00455523">
        <w:rPr>
          <w:szCs w:val="20"/>
        </w:rPr>
      </w:r>
      <w:r w:rsidR="00455523">
        <w:rPr>
          <w:szCs w:val="20"/>
        </w:rPr>
        <w:fldChar w:fldCharType="separate"/>
      </w:r>
      <w:r>
        <w:rPr>
          <w:szCs w:val="20"/>
        </w:rPr>
        <w:fldChar w:fldCharType="end"/>
      </w:r>
      <w:r>
        <w:rPr>
          <w:szCs w:val="20"/>
        </w:rPr>
        <w:t xml:space="preserve"> Instead of (</w:t>
      </w:r>
      <w:r w:rsidR="008C5F0C">
        <w:rPr>
          <w:szCs w:val="20"/>
        </w:rPr>
        <w:t>i.e.,</w:t>
      </w:r>
      <w:r>
        <w:rPr>
          <w:szCs w:val="20"/>
        </w:rPr>
        <w:t xml:space="preserve"> it is a replacement or alternative)</w:t>
      </w:r>
    </w:p>
    <w:p w14:paraId="25E5AF83" w14:textId="77777777" w:rsidR="00191215" w:rsidRDefault="00191215">
      <w:pPr>
        <w:spacing w:before="0" w:after="0"/>
        <w:ind w:left="426"/>
        <w:rPr>
          <w:szCs w:val="20"/>
        </w:rPr>
      </w:pPr>
    </w:p>
    <w:p w14:paraId="778B0369" w14:textId="77777777" w:rsidR="00191215" w:rsidRDefault="003F4C5A">
      <w:pPr>
        <w:pStyle w:val="Heading2"/>
        <w:numPr>
          <w:ilvl w:val="0"/>
          <w:numId w:val="9"/>
        </w:numPr>
      </w:pPr>
      <w:r>
        <w:t>If yes, please outline the extent to which the current service/comparator is expected to be substituted</w:t>
      </w:r>
    </w:p>
    <w:p w14:paraId="2B0ED6A5" w14:textId="77777777" w:rsidR="00191215" w:rsidRDefault="003F4C5A">
      <w:pPr>
        <w:ind w:left="426"/>
        <w:rPr>
          <w:szCs w:val="20"/>
        </w:rPr>
      </w:pPr>
      <w:r>
        <w:t>Not applicable, proposed service is an add-on.</w:t>
      </w:r>
    </w:p>
    <w:p w14:paraId="2054174E" w14:textId="77777777" w:rsidR="00191215" w:rsidRDefault="003F4C5A" w:rsidP="008944A2">
      <w:pPr>
        <w:pStyle w:val="Subtitle"/>
        <w:ind w:left="0"/>
      </w:pPr>
      <w:r>
        <w:t>PART 6c CONTINUED – INFORMATION ABOUT ALGORITHMS (CLINICAL MANAGEMENT PATHWAYS)</w:t>
      </w:r>
    </w:p>
    <w:p w14:paraId="550EBD9D" w14:textId="0838CE23" w:rsidR="00191215" w:rsidRDefault="003F4C5A">
      <w:pPr>
        <w:pStyle w:val="Heading2"/>
      </w:pPr>
      <w:r>
        <w:t>Define and summarise the CURRENT clinical management pathway (algorithm) that patients follow when they receive the COMPARATOR service (</w:t>
      </w:r>
      <w:r w:rsidR="008C5F0C">
        <w:t>i.e.,</w:t>
      </w:r>
      <w:r>
        <w:t xml:space="preserve"> the landscape </w:t>
      </w:r>
      <w:r>
        <w:rPr>
          <w:u w:val="single"/>
        </w:rPr>
        <w:t>before</w:t>
      </w:r>
      <w:r>
        <w:t xml:space="preserve"> the proposed service is introduced). An easy-to-follow flowchart is preferred, depicting the current </w:t>
      </w:r>
      <w:r>
        <w:rPr>
          <w:u w:val="single"/>
        </w:rPr>
        <w:t>clinical management pathway</w:t>
      </w:r>
      <w:r>
        <w:t>), but dot-points would be acceptable. Please include health care resources used in the current landscape (</w:t>
      </w:r>
      <w:r w:rsidR="008C5F0C">
        <w:t>e.g.,</w:t>
      </w:r>
      <w:r>
        <w:t xml:space="preserve"> pharmaceuticals, </w:t>
      </w:r>
      <w:r w:rsidR="008D7BDC">
        <w:t>diagnostics,</w:t>
      </w:r>
      <w:r>
        <w:t xml:space="preserve"> and investigative services, etc.). </w:t>
      </w:r>
    </w:p>
    <w:p w14:paraId="318D054E" w14:textId="087593F5" w:rsidR="00191215" w:rsidRDefault="003F4C5A" w:rsidP="008944A2">
      <w:pPr>
        <w:pStyle w:val="ListParagraph"/>
        <w:ind w:left="357"/>
        <w:contextualSpacing w:val="0"/>
      </w:pPr>
      <w:r>
        <w:t xml:space="preserve">The comparator for the </w:t>
      </w:r>
      <w:proofErr w:type="spellStart"/>
      <w:r>
        <w:t>PromarkerD</w:t>
      </w:r>
      <w:proofErr w:type="spellEnd"/>
      <w:r>
        <w:t xml:space="preserve"> test is “Standard of Care” where </w:t>
      </w:r>
      <w:proofErr w:type="spellStart"/>
      <w:r>
        <w:t>PromarkerD</w:t>
      </w:r>
      <w:proofErr w:type="spellEnd"/>
      <w:r>
        <w:t xml:space="preserve"> is an add-on test to the existing test regimen. Therefore, the clinical management is depicted in Figure 1. As part of regular monitoring, clinical and laboratory risk factors are monitored every 12 months. If renal decline is found to be over 2 mL/min/1.73m</w:t>
      </w:r>
      <w:r>
        <w:rPr>
          <w:vertAlign w:val="superscript"/>
        </w:rPr>
        <w:t xml:space="preserve">2 </w:t>
      </w:r>
      <w:r>
        <w:t>eGFR between two measurements, or if total eGFR below 60 mL/min/1.73m</w:t>
      </w:r>
      <w:r>
        <w:rPr>
          <w:vertAlign w:val="superscript"/>
        </w:rPr>
        <w:t>2</w:t>
      </w:r>
      <w:r>
        <w:t>, increased monitoring and intervention is enacted. This still largely takes place within general practice. If patients are at higher risk of ESRD and rapid renal decline (eGFR &gt;4mL/min/1.73m</w:t>
      </w:r>
      <w:r>
        <w:rPr>
          <w:vertAlign w:val="superscript"/>
        </w:rPr>
        <w:t xml:space="preserve">2 </w:t>
      </w:r>
      <w:r>
        <w:t>per year), they are referred to a specialist (e.g.</w:t>
      </w:r>
      <w:r w:rsidR="00453773">
        <w:t>,</w:t>
      </w:r>
      <w:r>
        <w:t xml:space="preserve"> nephrologist, endocrinologist, etc) for maximal intervention.</w:t>
      </w:r>
    </w:p>
    <w:p w14:paraId="0A114FF0" w14:textId="77777777" w:rsidR="00191215" w:rsidRDefault="003F4C5A">
      <w:pPr>
        <w:pStyle w:val="ListParagraph"/>
        <w:keepNext/>
        <w:ind w:left="360"/>
        <w:jc w:val="center"/>
      </w:pPr>
      <w:r>
        <w:rPr>
          <w:noProof/>
        </w:rPr>
        <w:drawing>
          <wp:inline distT="0" distB="0" distL="0" distR="0" wp14:anchorId="3E96F1A9" wp14:editId="3FC1A9E6">
            <wp:extent cx="5247861" cy="4516440"/>
            <wp:effectExtent l="0" t="0" r="0" b="0"/>
            <wp:docPr id="3" name="Pictur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with medium confidence"/>
                    <pic:cNvPicPr/>
                  </pic:nvPicPr>
                  <pic:blipFill>
                    <a:blip r:embed="rId12"/>
                    <a:stretch>
                      <a:fillRect/>
                    </a:stretch>
                  </pic:blipFill>
                  <pic:spPr>
                    <a:xfrm>
                      <a:off x="0" y="0"/>
                      <a:ext cx="5265835" cy="4531909"/>
                    </a:xfrm>
                    <a:prstGeom prst="rect">
                      <a:avLst/>
                    </a:prstGeom>
                  </pic:spPr>
                </pic:pic>
              </a:graphicData>
            </a:graphic>
          </wp:inline>
        </w:drawing>
      </w:r>
    </w:p>
    <w:p w14:paraId="5534726B" w14:textId="5928A45A" w:rsidR="00191215" w:rsidRDefault="003F4C5A">
      <w:pPr>
        <w:pStyle w:val="Caption"/>
        <w:jc w:val="center"/>
        <w:rPr>
          <w:b/>
          <w:bCs/>
          <w:sz w:val="20"/>
          <w:szCs w:val="22"/>
        </w:rPr>
      </w:pPr>
      <w:r>
        <w:rPr>
          <w:b/>
          <w:bCs/>
          <w:sz w:val="20"/>
          <w:szCs w:val="20"/>
        </w:rPr>
        <w:t xml:space="preserve">Figure </w:t>
      </w:r>
      <w:r>
        <w:rPr>
          <w:b/>
          <w:bCs/>
          <w:sz w:val="20"/>
          <w:szCs w:val="20"/>
        </w:rPr>
        <w:fldChar w:fldCharType="begin"/>
      </w:r>
      <w:r>
        <w:rPr>
          <w:b/>
          <w:bCs/>
          <w:sz w:val="20"/>
          <w:szCs w:val="20"/>
        </w:rPr>
        <w:instrText xml:space="preserve"> SEQ Figure \* ARABIC </w:instrText>
      </w:r>
      <w:r>
        <w:rPr>
          <w:b/>
          <w:bCs/>
          <w:sz w:val="20"/>
          <w:szCs w:val="20"/>
        </w:rPr>
        <w:fldChar w:fldCharType="separate"/>
      </w:r>
      <w:r w:rsidR="00455523">
        <w:rPr>
          <w:b/>
          <w:bCs/>
          <w:noProof/>
          <w:sz w:val="20"/>
          <w:szCs w:val="20"/>
        </w:rPr>
        <w:t>1</w:t>
      </w:r>
      <w:r>
        <w:rPr>
          <w:b/>
          <w:bCs/>
          <w:sz w:val="20"/>
          <w:szCs w:val="20"/>
        </w:rPr>
        <w:fldChar w:fldCharType="end"/>
      </w:r>
      <w:r>
        <w:rPr>
          <w:b/>
          <w:bCs/>
          <w:sz w:val="20"/>
          <w:szCs w:val="20"/>
        </w:rPr>
        <w:t>. Current clinical management algorithm for monitoring kidney disease in patients with T2D</w:t>
      </w:r>
    </w:p>
    <w:p w14:paraId="5816509B" w14:textId="77777777" w:rsidR="00191215" w:rsidRDefault="003F4C5A">
      <w:pPr>
        <w:pStyle w:val="ListParagraph"/>
        <w:ind w:left="360"/>
        <w:jc w:val="center"/>
        <w:rPr>
          <w:bCs/>
          <w:szCs w:val="20"/>
        </w:rPr>
      </w:pPr>
      <w:r>
        <w:rPr>
          <w:bCs/>
          <w:szCs w:val="20"/>
        </w:rPr>
        <w:t xml:space="preserve">Risk is defined as risk of developing kidney disease outcomes, as estimated using renal marker tests eGFR, </w:t>
      </w:r>
      <w:proofErr w:type="spellStart"/>
      <w:r>
        <w:rPr>
          <w:bCs/>
          <w:szCs w:val="20"/>
        </w:rPr>
        <w:t>uACR</w:t>
      </w:r>
      <w:proofErr w:type="spellEnd"/>
      <w:r>
        <w:rPr>
          <w:bCs/>
          <w:szCs w:val="20"/>
        </w:rPr>
        <w:t>, and other clinical and laboratory markers relevant to T2D disease progression.</w:t>
      </w:r>
    </w:p>
    <w:p w14:paraId="6B1F2D10" w14:textId="77777777" w:rsidR="00191215" w:rsidRDefault="00191215">
      <w:pPr>
        <w:pStyle w:val="ListParagraph"/>
        <w:ind w:left="360"/>
        <w:rPr>
          <w:b/>
          <w:szCs w:val="20"/>
        </w:rPr>
      </w:pPr>
    </w:p>
    <w:p w14:paraId="2610A817" w14:textId="77777777" w:rsidR="00191215" w:rsidRDefault="00191215">
      <w:pPr>
        <w:pStyle w:val="ListParagraph"/>
        <w:ind w:left="360"/>
        <w:rPr>
          <w:b/>
          <w:szCs w:val="20"/>
        </w:rPr>
      </w:pPr>
    </w:p>
    <w:p w14:paraId="680D35C6" w14:textId="0CD30CC2" w:rsidR="00191215" w:rsidRDefault="003F4C5A" w:rsidP="008944A2">
      <w:pPr>
        <w:pStyle w:val="ListParagraph"/>
        <w:ind w:left="360"/>
        <w:contextualSpacing w:val="0"/>
        <w:rPr>
          <w:bCs/>
          <w:szCs w:val="20"/>
        </w:rPr>
      </w:pPr>
      <w:r>
        <w:rPr>
          <w:bCs/>
          <w:szCs w:val="20"/>
        </w:rPr>
        <w:t xml:space="preserve">Kidney Health Australia provides a table of kidney function stages per eGFR and </w:t>
      </w:r>
      <w:proofErr w:type="spellStart"/>
      <w:r>
        <w:rPr>
          <w:bCs/>
          <w:szCs w:val="20"/>
        </w:rPr>
        <w:t>uACR</w:t>
      </w:r>
      <w:proofErr w:type="spellEnd"/>
      <w:r>
        <w:rPr>
          <w:bCs/>
          <w:szCs w:val="20"/>
        </w:rPr>
        <w:t xml:space="preserve"> as shown </w:t>
      </w:r>
      <w:r w:rsidR="00453773">
        <w:rPr>
          <w:bCs/>
          <w:szCs w:val="20"/>
        </w:rPr>
        <w:t xml:space="preserve">in </w:t>
      </w:r>
      <w:r>
        <w:rPr>
          <w:bCs/>
          <w:szCs w:val="20"/>
        </w:rPr>
        <w:t>Table 1</w:t>
      </w:r>
      <w:r w:rsidR="00453773">
        <w:rPr>
          <w:bCs/>
          <w:szCs w:val="20"/>
        </w:rPr>
        <w:t xml:space="preserve"> (see 40)</w:t>
      </w:r>
      <w:r>
        <w:rPr>
          <w:bCs/>
          <w:szCs w:val="20"/>
        </w:rPr>
        <w:t xml:space="preserve">. Green squares indicate lowest risk, yellow and orange squares indicate degrees of moderate risk, and red squares indicate high risk of developing negative renal outcomes. These categories are identical to those published by the globally recognised Kidney Disease Improving Global Outcomes (KDIGO) guidelines for evaluation and management of chronic kidney disease </w:t>
      </w:r>
      <w:r>
        <w:rPr>
          <w:bCs/>
          <w:szCs w:val="20"/>
        </w:rPr>
        <w:fldChar w:fldCharType="begin"/>
      </w:r>
      <w:r>
        <w:rPr>
          <w:bCs/>
          <w:szCs w:val="20"/>
        </w:rPr>
        <w:instrText xml:space="preserve"> ADDIN EN.CITE &lt;EndNote&gt;&lt;Cite&gt;&lt;Author&gt;Levin&lt;/Author&gt;&lt;Year&gt;2013&lt;/Year&gt;&lt;RecNum&gt;26&lt;/RecNum&gt;&lt;DisplayText&gt;(Levin et al. 2013)&lt;/DisplayText&gt;&lt;record&gt;&lt;rec-number&gt;26&lt;/rec-number&gt;&lt;foreign-keys&gt;&lt;key app="EN" db-id="zfzas9fs9xszx0espvapzadd5dwa9t99wwdr" timestamp="1626938764"&gt;26&lt;/key&gt;&lt;/foreign-keys&gt;&lt;ref-type name="Journal Article"&gt;17&lt;/ref-type&gt;&lt;contributors&gt;&lt;authors&gt;&lt;author&gt;Levin, Adeera&lt;/author&gt;&lt;author&gt;Stevens, Paul E&lt;/author&gt;&lt;author&gt;Bilous, Rudy W&lt;/author&gt;&lt;author&gt;Coresh, Josef&lt;/author&gt;&lt;author&gt;De Francisco, Angel LM&lt;/author&gt;&lt;author&gt;De Jong, Paul E&lt;/author&gt;&lt;author&gt;Griffith, Kathryn E&lt;/author&gt;&lt;author&gt;Hemmelgarn, Brenda R&lt;/author&gt;&lt;author&gt;Iseki, Kunitoshi&lt;/author&gt;&lt;author&gt;Lamb, Edmund J&lt;/author&gt;&lt;/authors&gt;&lt;/contributors&gt;&lt;titles&gt;&lt;title&gt;Kidney Disease: Improving Global Outcomes (KDIGO) CKD Work Group. KDIGO 2012 clinical practice guideline for the evaluation and management of chronic kidney disease&lt;/title&gt;&lt;secondary-title&gt;Kidney international supplements&lt;/secondary-title&gt;&lt;/titles&gt;&lt;periodical&gt;&lt;full-title&gt;Kidney International Supplements&lt;/full-title&gt;&lt;/periodical&gt;&lt;pages&gt;1-150&lt;/pages&gt;&lt;volume&gt;3&lt;/volume&gt;&lt;number&gt;1&lt;/number&gt;&lt;dates&gt;&lt;year&gt;2013&lt;/year&gt;&lt;/dates&gt;&lt;isbn&gt;2157-1724&lt;/isbn&gt;&lt;urls&gt;&lt;/urls&gt;&lt;/record&gt;&lt;/Cite&gt;&lt;/EndNote&gt;</w:instrText>
      </w:r>
      <w:r>
        <w:rPr>
          <w:bCs/>
          <w:szCs w:val="20"/>
        </w:rPr>
        <w:fldChar w:fldCharType="separate"/>
      </w:r>
      <w:r>
        <w:rPr>
          <w:bCs/>
          <w:noProof/>
          <w:szCs w:val="20"/>
        </w:rPr>
        <w:t>(Levin et al. 2013)</w:t>
      </w:r>
      <w:r>
        <w:rPr>
          <w:bCs/>
          <w:szCs w:val="20"/>
        </w:rPr>
        <w:fldChar w:fldCharType="end"/>
      </w:r>
      <w:r w:rsidR="00453773">
        <w:rPr>
          <w:bCs/>
          <w:szCs w:val="20"/>
        </w:rPr>
        <w:t>.</w:t>
      </w:r>
    </w:p>
    <w:p w14:paraId="4A65BE41" w14:textId="77777777" w:rsidR="00191215" w:rsidRDefault="003F4C5A" w:rsidP="008944A2">
      <w:pPr>
        <w:pStyle w:val="Heading2"/>
        <w:contextualSpacing w:val="0"/>
      </w:pPr>
      <w:r>
        <w:t xml:space="preserve">Define and summarise the PROPOSED clinical management pathway (algorithm) that patients would </w:t>
      </w:r>
      <w:proofErr w:type="gramStart"/>
      <w:r>
        <w:t xml:space="preserve">follow </w:t>
      </w:r>
      <w:r>
        <w:rPr>
          <w:u w:val="single"/>
        </w:rPr>
        <w:t>after</w:t>
      </w:r>
      <w:proofErr w:type="gramEnd"/>
      <w:r>
        <w:t xml:space="preserve"> the proposed service/technology is introduced, including variation in health care resources.</w:t>
      </w:r>
    </w:p>
    <w:p w14:paraId="3C4099B5" w14:textId="0C043CF8" w:rsidR="00191215" w:rsidRDefault="003F4C5A" w:rsidP="008944A2">
      <w:pPr>
        <w:ind w:left="357"/>
      </w:pPr>
      <w:r>
        <w:t xml:space="preserve">Based on the KDIGO definitions of kidney function, patients with type 2 diabetes whose renal marker measurements fall in the green boxes and the kidney function stage </w:t>
      </w:r>
      <w:r w:rsidR="00DE266D">
        <w:t>1/</w:t>
      </w:r>
      <w:r>
        <w:t>2 yellow boxes in table</w:t>
      </w:r>
      <w:r w:rsidR="00453773">
        <w:t xml:space="preserve"> 1</w:t>
      </w:r>
      <w:r>
        <w:t xml:space="preserve"> will be eligible for a </w:t>
      </w:r>
      <w:proofErr w:type="spellStart"/>
      <w:r>
        <w:t>PromarkerD</w:t>
      </w:r>
      <w:proofErr w:type="spellEnd"/>
      <w:r>
        <w:t xml:space="preserve"> test. </w:t>
      </w:r>
    </w:p>
    <w:p w14:paraId="15558348" w14:textId="09CB33C5" w:rsidR="00191215" w:rsidRDefault="003F4C5A" w:rsidP="008944A2">
      <w:pPr>
        <w:ind w:left="357"/>
      </w:pPr>
      <w:r>
        <w:t xml:space="preserve">If </w:t>
      </w:r>
      <w:proofErr w:type="spellStart"/>
      <w:r>
        <w:t>PromarkerD</w:t>
      </w:r>
      <w:proofErr w:type="spellEnd"/>
      <w:r>
        <w:t xml:space="preserve"> results suggest a requirement for interventions beyond their position in the table below, i.e.</w:t>
      </w:r>
      <w:r w:rsidR="00DE266D">
        <w:t>,</w:t>
      </w:r>
      <w:r>
        <w:t xml:space="preserve"> patients in low-risk category by Kidney Health Australia guidelines fall into moderate- or high-risk categories </w:t>
      </w:r>
      <w:r w:rsidR="00DE266D">
        <w:t>by the</w:t>
      </w:r>
      <w:r>
        <w:t xml:space="preserve"> </w:t>
      </w:r>
      <w:proofErr w:type="spellStart"/>
      <w:r>
        <w:t>PromarkerD</w:t>
      </w:r>
      <w:proofErr w:type="spellEnd"/>
      <w:r>
        <w:t xml:space="preserve"> test, treatment can be escalated before irreversible kidney damage.</w:t>
      </w:r>
    </w:p>
    <w:p w14:paraId="0C9A226C" w14:textId="77777777" w:rsidR="00191215" w:rsidRDefault="00191215">
      <w:pPr>
        <w:spacing w:line="276" w:lineRule="auto"/>
        <w:ind w:left="357"/>
        <w:jc w:val="both"/>
      </w:pPr>
    </w:p>
    <w:p w14:paraId="102744BB" w14:textId="44584682" w:rsidR="00191215" w:rsidRDefault="003F4C5A">
      <w:pPr>
        <w:pStyle w:val="Caption"/>
        <w:keepNext/>
        <w:rPr>
          <w:i w:val="0"/>
          <w:iCs w:val="0"/>
          <w:color w:val="auto"/>
          <w:sz w:val="20"/>
          <w:szCs w:val="20"/>
        </w:rPr>
      </w:pPr>
      <w:r>
        <w:rPr>
          <w:b/>
          <w:bCs/>
          <w:i w:val="0"/>
          <w:iCs w:val="0"/>
          <w:color w:val="auto"/>
          <w:sz w:val="20"/>
          <w:szCs w:val="20"/>
        </w:rPr>
        <w:t xml:space="preserve">Table </w:t>
      </w:r>
      <w:r>
        <w:rPr>
          <w:b/>
          <w:bCs/>
          <w:i w:val="0"/>
          <w:iCs w:val="0"/>
          <w:color w:val="auto"/>
          <w:sz w:val="20"/>
          <w:szCs w:val="20"/>
        </w:rPr>
        <w:fldChar w:fldCharType="begin"/>
      </w:r>
      <w:r>
        <w:rPr>
          <w:b/>
          <w:bCs/>
          <w:i w:val="0"/>
          <w:iCs w:val="0"/>
          <w:color w:val="auto"/>
          <w:sz w:val="20"/>
          <w:szCs w:val="20"/>
        </w:rPr>
        <w:instrText xml:space="preserve"> SEQ Table \* ARABIC </w:instrText>
      </w:r>
      <w:r>
        <w:rPr>
          <w:b/>
          <w:bCs/>
          <w:i w:val="0"/>
          <w:iCs w:val="0"/>
          <w:color w:val="auto"/>
          <w:sz w:val="20"/>
          <w:szCs w:val="20"/>
        </w:rPr>
        <w:fldChar w:fldCharType="separate"/>
      </w:r>
      <w:r w:rsidR="00455523">
        <w:rPr>
          <w:b/>
          <w:bCs/>
          <w:i w:val="0"/>
          <w:iCs w:val="0"/>
          <w:noProof/>
          <w:color w:val="auto"/>
          <w:sz w:val="20"/>
          <w:szCs w:val="20"/>
        </w:rPr>
        <w:t>1</w:t>
      </w:r>
      <w:r>
        <w:rPr>
          <w:b/>
          <w:bCs/>
          <w:i w:val="0"/>
          <w:iCs w:val="0"/>
          <w:color w:val="auto"/>
          <w:sz w:val="20"/>
          <w:szCs w:val="20"/>
        </w:rPr>
        <w:fldChar w:fldCharType="end"/>
      </w:r>
      <w:r>
        <w:rPr>
          <w:b/>
          <w:bCs/>
          <w:i w:val="0"/>
          <w:iCs w:val="0"/>
          <w:color w:val="auto"/>
          <w:sz w:val="20"/>
          <w:szCs w:val="20"/>
        </w:rPr>
        <w:t>.</w:t>
      </w:r>
      <w:r>
        <w:rPr>
          <w:i w:val="0"/>
          <w:iCs w:val="0"/>
          <w:color w:val="auto"/>
          <w:sz w:val="20"/>
          <w:szCs w:val="20"/>
        </w:rPr>
        <w:t xml:space="preserve"> Kidney Health Australia risk categories of kidney function and disease in patients with T2D. Patients who stand to receive most benefit </w:t>
      </w:r>
      <w:proofErr w:type="gramStart"/>
      <w:r>
        <w:rPr>
          <w:i w:val="0"/>
          <w:iCs w:val="0"/>
          <w:color w:val="auto"/>
          <w:sz w:val="20"/>
          <w:szCs w:val="20"/>
        </w:rPr>
        <w:t>are</w:t>
      </w:r>
      <w:proofErr w:type="gramEnd"/>
      <w:r>
        <w:rPr>
          <w:i w:val="0"/>
          <w:iCs w:val="0"/>
          <w:color w:val="auto"/>
          <w:sz w:val="20"/>
          <w:szCs w:val="20"/>
        </w:rPr>
        <w:t xml:space="preserve"> marked in boxes below.</w:t>
      </w:r>
    </w:p>
    <w:tbl>
      <w:tblPr>
        <w:tblStyle w:val="TableGrid"/>
        <w:tblW w:w="9035" w:type="dxa"/>
        <w:tblInd w:w="-5" w:type="dxa"/>
        <w:tblLook w:val="04A0" w:firstRow="1" w:lastRow="0" w:firstColumn="1" w:lastColumn="0" w:noHBand="0" w:noVBand="1"/>
      </w:tblPr>
      <w:tblGrid>
        <w:gridCol w:w="911"/>
        <w:gridCol w:w="1746"/>
        <w:gridCol w:w="1029"/>
        <w:gridCol w:w="1166"/>
        <w:gridCol w:w="960"/>
        <w:gridCol w:w="1095"/>
        <w:gridCol w:w="1031"/>
        <w:gridCol w:w="1097"/>
      </w:tblGrid>
      <w:tr w:rsidR="00191215" w14:paraId="4CE9C351" w14:textId="77777777">
        <w:trPr>
          <w:tblHeader/>
        </w:trPr>
        <w:tc>
          <w:tcPr>
            <w:tcW w:w="911" w:type="dxa"/>
            <w:vMerge w:val="restart"/>
            <w:shd w:val="clear" w:color="auto" w:fill="F2F2F2" w:themeFill="background1" w:themeFillShade="F2"/>
            <w:vAlign w:val="center"/>
          </w:tcPr>
          <w:p w14:paraId="4D8475F3" w14:textId="77777777" w:rsidR="00191215" w:rsidRDefault="003F4C5A">
            <w:pPr>
              <w:pStyle w:val="ListParagraph"/>
              <w:ind w:left="0"/>
              <w:jc w:val="center"/>
              <w:rPr>
                <w:b/>
                <w:szCs w:val="20"/>
              </w:rPr>
            </w:pPr>
            <w:r>
              <w:rPr>
                <w:b/>
                <w:szCs w:val="20"/>
              </w:rPr>
              <w:t>Kidney function stage</w:t>
            </w:r>
          </w:p>
        </w:tc>
        <w:tc>
          <w:tcPr>
            <w:tcW w:w="1746" w:type="dxa"/>
            <w:vMerge w:val="restart"/>
            <w:shd w:val="clear" w:color="auto" w:fill="F2F2F2" w:themeFill="background1" w:themeFillShade="F2"/>
            <w:vAlign w:val="center"/>
          </w:tcPr>
          <w:p w14:paraId="6DADD812" w14:textId="538DC583" w:rsidR="00191215" w:rsidRDefault="003F4C5A">
            <w:pPr>
              <w:pStyle w:val="ListParagraph"/>
              <w:ind w:left="0"/>
              <w:jc w:val="center"/>
              <w:rPr>
                <w:b/>
                <w:szCs w:val="20"/>
              </w:rPr>
            </w:pPr>
            <w:r>
              <w:rPr>
                <w:b/>
                <w:szCs w:val="20"/>
              </w:rPr>
              <w:t>eGFR (mL/min/1.73m</w:t>
            </w:r>
            <w:r>
              <w:rPr>
                <w:b/>
                <w:szCs w:val="20"/>
                <w:vertAlign w:val="superscript"/>
              </w:rPr>
              <w:t>2</w:t>
            </w:r>
            <w:r>
              <w:rPr>
                <w:b/>
                <w:szCs w:val="20"/>
              </w:rPr>
              <w:t>)</w:t>
            </w:r>
          </w:p>
        </w:tc>
        <w:tc>
          <w:tcPr>
            <w:tcW w:w="2195" w:type="dxa"/>
            <w:gridSpan w:val="2"/>
            <w:shd w:val="clear" w:color="auto" w:fill="F2F2F2" w:themeFill="background1" w:themeFillShade="F2"/>
            <w:vAlign w:val="center"/>
          </w:tcPr>
          <w:p w14:paraId="414720DA" w14:textId="77777777" w:rsidR="00191215" w:rsidRDefault="003F4C5A">
            <w:pPr>
              <w:pStyle w:val="ListParagraph"/>
              <w:ind w:left="0"/>
              <w:jc w:val="center"/>
              <w:rPr>
                <w:b/>
                <w:szCs w:val="20"/>
              </w:rPr>
            </w:pPr>
            <w:r>
              <w:rPr>
                <w:b/>
                <w:szCs w:val="20"/>
              </w:rPr>
              <w:t xml:space="preserve">Normal </w:t>
            </w:r>
            <w:proofErr w:type="spellStart"/>
            <w:r>
              <w:rPr>
                <w:b/>
                <w:szCs w:val="20"/>
              </w:rPr>
              <w:t>uACR</w:t>
            </w:r>
            <w:proofErr w:type="spellEnd"/>
          </w:p>
          <w:p w14:paraId="60C41DD7" w14:textId="77777777" w:rsidR="00191215" w:rsidRDefault="003F4C5A">
            <w:pPr>
              <w:pStyle w:val="ListParagraph"/>
              <w:ind w:left="0"/>
              <w:jc w:val="center"/>
              <w:rPr>
                <w:b/>
                <w:szCs w:val="20"/>
              </w:rPr>
            </w:pPr>
            <w:r>
              <w:rPr>
                <w:b/>
                <w:szCs w:val="20"/>
              </w:rPr>
              <w:t>(mg/mmol)</w:t>
            </w:r>
          </w:p>
        </w:tc>
        <w:tc>
          <w:tcPr>
            <w:tcW w:w="2055" w:type="dxa"/>
            <w:gridSpan w:val="2"/>
            <w:shd w:val="clear" w:color="auto" w:fill="F2F2F2" w:themeFill="background1" w:themeFillShade="F2"/>
            <w:vAlign w:val="center"/>
          </w:tcPr>
          <w:p w14:paraId="5EB9A85B" w14:textId="77777777" w:rsidR="00191215" w:rsidRDefault="003F4C5A">
            <w:pPr>
              <w:pStyle w:val="ListParagraph"/>
              <w:ind w:left="0"/>
              <w:jc w:val="center"/>
              <w:rPr>
                <w:b/>
                <w:szCs w:val="20"/>
              </w:rPr>
            </w:pPr>
            <w:r>
              <w:rPr>
                <w:b/>
                <w:szCs w:val="20"/>
              </w:rPr>
              <w:t>Microalbuminuria</w:t>
            </w:r>
          </w:p>
          <w:p w14:paraId="137C9071" w14:textId="77777777" w:rsidR="00191215" w:rsidRDefault="003F4C5A">
            <w:pPr>
              <w:pStyle w:val="ListParagraph"/>
              <w:ind w:left="0"/>
              <w:jc w:val="center"/>
              <w:rPr>
                <w:b/>
                <w:szCs w:val="20"/>
              </w:rPr>
            </w:pPr>
            <w:r>
              <w:rPr>
                <w:b/>
                <w:szCs w:val="20"/>
              </w:rPr>
              <w:t>(mg/mmol)</w:t>
            </w:r>
          </w:p>
        </w:tc>
        <w:tc>
          <w:tcPr>
            <w:tcW w:w="2128" w:type="dxa"/>
            <w:gridSpan w:val="2"/>
            <w:shd w:val="clear" w:color="auto" w:fill="F2F2F2" w:themeFill="background1" w:themeFillShade="F2"/>
            <w:vAlign w:val="center"/>
          </w:tcPr>
          <w:p w14:paraId="2CBDE950" w14:textId="77777777" w:rsidR="00191215" w:rsidRDefault="003F4C5A">
            <w:pPr>
              <w:pStyle w:val="ListParagraph"/>
              <w:ind w:left="0"/>
              <w:jc w:val="center"/>
              <w:rPr>
                <w:b/>
                <w:szCs w:val="20"/>
              </w:rPr>
            </w:pPr>
            <w:r>
              <w:rPr>
                <w:b/>
                <w:szCs w:val="20"/>
              </w:rPr>
              <w:t>Macroalbuminuria</w:t>
            </w:r>
          </w:p>
          <w:p w14:paraId="0CAC66A0" w14:textId="77777777" w:rsidR="00191215" w:rsidRDefault="003F4C5A">
            <w:pPr>
              <w:pStyle w:val="ListParagraph"/>
              <w:spacing w:after="0"/>
              <w:ind w:left="0"/>
              <w:jc w:val="center"/>
              <w:rPr>
                <w:b/>
                <w:szCs w:val="20"/>
              </w:rPr>
            </w:pPr>
            <w:r>
              <w:rPr>
                <w:b/>
                <w:szCs w:val="20"/>
              </w:rPr>
              <w:t>(mg/mmol)</w:t>
            </w:r>
          </w:p>
        </w:tc>
      </w:tr>
      <w:tr w:rsidR="00191215" w14:paraId="7E2FA3FC" w14:textId="77777777">
        <w:tc>
          <w:tcPr>
            <w:tcW w:w="911" w:type="dxa"/>
            <w:vMerge/>
            <w:vAlign w:val="center"/>
          </w:tcPr>
          <w:p w14:paraId="3EF6E74C" w14:textId="77777777" w:rsidR="00191215" w:rsidRDefault="00191215">
            <w:pPr>
              <w:pStyle w:val="ListParagraph"/>
              <w:ind w:left="0"/>
              <w:jc w:val="center"/>
              <w:rPr>
                <w:bCs/>
                <w:szCs w:val="20"/>
              </w:rPr>
            </w:pPr>
          </w:p>
        </w:tc>
        <w:tc>
          <w:tcPr>
            <w:tcW w:w="1746" w:type="dxa"/>
            <w:vMerge/>
            <w:vAlign w:val="center"/>
          </w:tcPr>
          <w:p w14:paraId="21142587" w14:textId="77777777" w:rsidR="00191215" w:rsidRDefault="00191215">
            <w:pPr>
              <w:pStyle w:val="ListParagraph"/>
              <w:ind w:left="0"/>
              <w:jc w:val="center"/>
              <w:rPr>
                <w:bCs/>
                <w:szCs w:val="20"/>
              </w:rPr>
            </w:pPr>
          </w:p>
        </w:tc>
        <w:tc>
          <w:tcPr>
            <w:tcW w:w="1029" w:type="dxa"/>
            <w:tcBorders>
              <w:bottom w:val="single" w:sz="12" w:space="0" w:color="auto"/>
            </w:tcBorders>
            <w:shd w:val="clear" w:color="auto" w:fill="DBE5F1" w:themeFill="accent1" w:themeFillTint="33"/>
            <w:vAlign w:val="center"/>
          </w:tcPr>
          <w:p w14:paraId="1CF07A7F" w14:textId="77777777" w:rsidR="00191215" w:rsidRDefault="003F4C5A">
            <w:pPr>
              <w:pStyle w:val="ListParagraph"/>
              <w:ind w:left="0"/>
              <w:jc w:val="center"/>
              <w:rPr>
                <w:b/>
                <w:sz w:val="16"/>
                <w:szCs w:val="16"/>
              </w:rPr>
            </w:pPr>
            <w:r>
              <w:rPr>
                <w:b/>
                <w:sz w:val="16"/>
                <w:szCs w:val="16"/>
              </w:rPr>
              <w:t>Male: &lt;2.5</w:t>
            </w:r>
          </w:p>
        </w:tc>
        <w:tc>
          <w:tcPr>
            <w:tcW w:w="1166" w:type="dxa"/>
            <w:tcBorders>
              <w:bottom w:val="single" w:sz="12" w:space="0" w:color="auto"/>
            </w:tcBorders>
            <w:shd w:val="clear" w:color="auto" w:fill="DBE5F1" w:themeFill="accent1" w:themeFillTint="33"/>
            <w:vAlign w:val="center"/>
          </w:tcPr>
          <w:p w14:paraId="5098146E" w14:textId="77777777" w:rsidR="00191215" w:rsidRDefault="003F4C5A">
            <w:pPr>
              <w:pStyle w:val="ListParagraph"/>
              <w:ind w:left="0"/>
              <w:jc w:val="center"/>
              <w:rPr>
                <w:b/>
                <w:sz w:val="16"/>
                <w:szCs w:val="16"/>
              </w:rPr>
            </w:pPr>
            <w:r>
              <w:rPr>
                <w:b/>
                <w:sz w:val="16"/>
                <w:szCs w:val="16"/>
              </w:rPr>
              <w:t>Female: &lt;3.5</w:t>
            </w:r>
          </w:p>
        </w:tc>
        <w:tc>
          <w:tcPr>
            <w:tcW w:w="960" w:type="dxa"/>
            <w:tcBorders>
              <w:bottom w:val="single" w:sz="12" w:space="0" w:color="auto"/>
            </w:tcBorders>
            <w:shd w:val="clear" w:color="auto" w:fill="DBE5F1" w:themeFill="accent1" w:themeFillTint="33"/>
            <w:vAlign w:val="center"/>
          </w:tcPr>
          <w:p w14:paraId="7554A5EF" w14:textId="77777777" w:rsidR="00191215" w:rsidRDefault="003F4C5A">
            <w:pPr>
              <w:pStyle w:val="ListParagraph"/>
              <w:ind w:left="0"/>
              <w:jc w:val="center"/>
              <w:rPr>
                <w:b/>
                <w:sz w:val="16"/>
                <w:szCs w:val="16"/>
              </w:rPr>
            </w:pPr>
            <w:r>
              <w:rPr>
                <w:b/>
                <w:sz w:val="16"/>
                <w:szCs w:val="16"/>
              </w:rPr>
              <w:t>Male: &lt;2.5</w:t>
            </w:r>
          </w:p>
        </w:tc>
        <w:tc>
          <w:tcPr>
            <w:tcW w:w="1095" w:type="dxa"/>
            <w:tcBorders>
              <w:bottom w:val="single" w:sz="6" w:space="0" w:color="auto"/>
            </w:tcBorders>
            <w:shd w:val="clear" w:color="auto" w:fill="DBE5F1" w:themeFill="accent1" w:themeFillTint="33"/>
            <w:vAlign w:val="center"/>
          </w:tcPr>
          <w:p w14:paraId="4B6ECA31" w14:textId="77777777" w:rsidR="00191215" w:rsidRDefault="003F4C5A">
            <w:pPr>
              <w:pStyle w:val="ListParagraph"/>
              <w:ind w:left="0"/>
              <w:jc w:val="center"/>
              <w:rPr>
                <w:b/>
                <w:sz w:val="16"/>
                <w:szCs w:val="16"/>
              </w:rPr>
            </w:pPr>
            <w:r>
              <w:rPr>
                <w:b/>
                <w:sz w:val="16"/>
                <w:szCs w:val="16"/>
              </w:rPr>
              <w:t>Female: &lt;3.5</w:t>
            </w:r>
          </w:p>
        </w:tc>
        <w:tc>
          <w:tcPr>
            <w:tcW w:w="1031" w:type="dxa"/>
            <w:shd w:val="clear" w:color="auto" w:fill="DBE5F1" w:themeFill="accent1" w:themeFillTint="33"/>
            <w:vAlign w:val="center"/>
          </w:tcPr>
          <w:p w14:paraId="744FAA1E" w14:textId="77777777" w:rsidR="00191215" w:rsidRDefault="003F4C5A">
            <w:pPr>
              <w:pStyle w:val="ListParagraph"/>
              <w:ind w:left="0"/>
              <w:jc w:val="center"/>
              <w:rPr>
                <w:b/>
                <w:sz w:val="16"/>
                <w:szCs w:val="16"/>
              </w:rPr>
            </w:pPr>
            <w:r>
              <w:rPr>
                <w:b/>
                <w:sz w:val="16"/>
                <w:szCs w:val="16"/>
              </w:rPr>
              <w:t>Male: &lt;2.5</w:t>
            </w:r>
          </w:p>
        </w:tc>
        <w:tc>
          <w:tcPr>
            <w:tcW w:w="1097" w:type="dxa"/>
            <w:shd w:val="clear" w:color="auto" w:fill="DBE5F1" w:themeFill="accent1" w:themeFillTint="33"/>
            <w:vAlign w:val="center"/>
          </w:tcPr>
          <w:p w14:paraId="2F3E2574" w14:textId="77777777" w:rsidR="00191215" w:rsidRDefault="003F4C5A">
            <w:pPr>
              <w:pStyle w:val="ListParagraph"/>
              <w:spacing w:after="0"/>
              <w:ind w:left="0"/>
              <w:jc w:val="center"/>
              <w:rPr>
                <w:b/>
                <w:sz w:val="16"/>
                <w:szCs w:val="16"/>
              </w:rPr>
            </w:pPr>
            <w:r>
              <w:rPr>
                <w:b/>
                <w:sz w:val="16"/>
                <w:szCs w:val="16"/>
              </w:rPr>
              <w:t>Female: &lt;3.5</w:t>
            </w:r>
          </w:p>
        </w:tc>
      </w:tr>
      <w:tr w:rsidR="00191215" w14:paraId="78F578F5" w14:textId="77777777">
        <w:tc>
          <w:tcPr>
            <w:tcW w:w="911" w:type="dxa"/>
            <w:vAlign w:val="center"/>
          </w:tcPr>
          <w:p w14:paraId="04B2FA61" w14:textId="77777777" w:rsidR="00191215" w:rsidRDefault="003F4C5A">
            <w:pPr>
              <w:pStyle w:val="ListParagraph"/>
              <w:ind w:left="0"/>
              <w:jc w:val="center"/>
              <w:rPr>
                <w:bCs/>
                <w:szCs w:val="20"/>
              </w:rPr>
            </w:pPr>
            <w:r>
              <w:rPr>
                <w:bCs/>
                <w:szCs w:val="20"/>
              </w:rPr>
              <w:t>1</w:t>
            </w:r>
          </w:p>
        </w:tc>
        <w:tc>
          <w:tcPr>
            <w:tcW w:w="1746" w:type="dxa"/>
            <w:tcBorders>
              <w:right w:val="single" w:sz="12" w:space="0" w:color="auto"/>
            </w:tcBorders>
            <w:shd w:val="clear" w:color="auto" w:fill="FFFFFF" w:themeFill="background1"/>
            <w:vAlign w:val="center"/>
          </w:tcPr>
          <w:p w14:paraId="613C0A37" w14:textId="77777777" w:rsidR="00191215" w:rsidRDefault="003F4C5A">
            <w:pPr>
              <w:pStyle w:val="ListParagraph"/>
              <w:ind w:left="0"/>
              <w:jc w:val="center"/>
              <w:rPr>
                <w:bCs/>
                <w:szCs w:val="20"/>
              </w:rPr>
            </w:pPr>
            <w:r>
              <w:rPr>
                <w:rFonts w:cstheme="minorHAnsi"/>
                <w:bCs/>
                <w:szCs w:val="20"/>
              </w:rPr>
              <w:t>≥</w:t>
            </w:r>
            <w:r>
              <w:rPr>
                <w:bCs/>
                <w:szCs w:val="20"/>
              </w:rPr>
              <w:t>90</w:t>
            </w:r>
          </w:p>
        </w:tc>
        <w:tc>
          <w:tcPr>
            <w:tcW w:w="2195" w:type="dxa"/>
            <w:gridSpan w:val="2"/>
            <w:tcBorders>
              <w:top w:val="single" w:sz="6" w:space="0" w:color="auto"/>
              <w:left w:val="single" w:sz="12" w:space="0" w:color="auto"/>
              <w:bottom w:val="single" w:sz="12" w:space="0" w:color="auto"/>
              <w:right w:val="single" w:sz="12" w:space="0" w:color="auto"/>
            </w:tcBorders>
            <w:shd w:val="clear" w:color="auto" w:fill="92D050"/>
            <w:vAlign w:val="center"/>
          </w:tcPr>
          <w:p w14:paraId="5760DBE9" w14:textId="77777777" w:rsidR="00191215" w:rsidRDefault="003F4C5A">
            <w:pPr>
              <w:pStyle w:val="ListParagraph"/>
              <w:ind w:left="0"/>
              <w:jc w:val="center"/>
              <w:rPr>
                <w:bCs/>
                <w:szCs w:val="20"/>
              </w:rPr>
            </w:pPr>
            <w:proofErr w:type="spellStart"/>
            <w:r>
              <w:rPr>
                <w:bCs/>
                <w:szCs w:val="20"/>
              </w:rPr>
              <w:t>PromarkerD</w:t>
            </w:r>
            <w:proofErr w:type="spellEnd"/>
          </w:p>
        </w:tc>
        <w:tc>
          <w:tcPr>
            <w:tcW w:w="2055"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14:paraId="39E1641E" w14:textId="77777777" w:rsidR="00191215" w:rsidRDefault="003F4C5A">
            <w:pPr>
              <w:pStyle w:val="ListParagraph"/>
              <w:ind w:left="0"/>
              <w:jc w:val="center"/>
              <w:rPr>
                <w:bCs/>
                <w:szCs w:val="20"/>
              </w:rPr>
            </w:pPr>
            <w:proofErr w:type="spellStart"/>
            <w:r>
              <w:rPr>
                <w:bCs/>
                <w:szCs w:val="20"/>
              </w:rPr>
              <w:t>PromarkerD</w:t>
            </w:r>
            <w:proofErr w:type="spellEnd"/>
          </w:p>
        </w:tc>
        <w:tc>
          <w:tcPr>
            <w:tcW w:w="2128" w:type="dxa"/>
            <w:gridSpan w:val="2"/>
            <w:tcBorders>
              <w:left w:val="single" w:sz="12" w:space="0" w:color="auto"/>
            </w:tcBorders>
            <w:shd w:val="clear" w:color="auto" w:fill="FF0000"/>
            <w:vAlign w:val="center"/>
          </w:tcPr>
          <w:p w14:paraId="16CAB103" w14:textId="77777777" w:rsidR="00191215" w:rsidRDefault="00191215">
            <w:pPr>
              <w:pStyle w:val="ListParagraph"/>
              <w:ind w:left="0"/>
              <w:jc w:val="right"/>
              <w:rPr>
                <w:bCs/>
                <w:szCs w:val="20"/>
              </w:rPr>
            </w:pPr>
          </w:p>
        </w:tc>
      </w:tr>
      <w:tr w:rsidR="00191215" w14:paraId="2E6FEB36" w14:textId="77777777">
        <w:tc>
          <w:tcPr>
            <w:tcW w:w="911" w:type="dxa"/>
            <w:vAlign w:val="center"/>
          </w:tcPr>
          <w:p w14:paraId="7C2E4A08" w14:textId="77777777" w:rsidR="00191215" w:rsidRDefault="003F4C5A">
            <w:pPr>
              <w:pStyle w:val="ListParagraph"/>
              <w:ind w:left="0"/>
              <w:jc w:val="center"/>
              <w:rPr>
                <w:bCs/>
                <w:szCs w:val="20"/>
              </w:rPr>
            </w:pPr>
            <w:r>
              <w:rPr>
                <w:bCs/>
                <w:szCs w:val="20"/>
              </w:rPr>
              <w:t>2</w:t>
            </w:r>
          </w:p>
        </w:tc>
        <w:tc>
          <w:tcPr>
            <w:tcW w:w="1746" w:type="dxa"/>
            <w:tcBorders>
              <w:right w:val="single" w:sz="12" w:space="0" w:color="auto"/>
            </w:tcBorders>
            <w:shd w:val="clear" w:color="auto" w:fill="FFFFFF" w:themeFill="background1"/>
            <w:vAlign w:val="center"/>
          </w:tcPr>
          <w:p w14:paraId="16DB1F00" w14:textId="77777777" w:rsidR="00191215" w:rsidRDefault="003F4C5A">
            <w:pPr>
              <w:pStyle w:val="ListParagraph"/>
              <w:ind w:left="0"/>
              <w:jc w:val="center"/>
              <w:rPr>
                <w:bCs/>
                <w:szCs w:val="20"/>
              </w:rPr>
            </w:pPr>
            <w:r>
              <w:rPr>
                <w:bCs/>
                <w:szCs w:val="20"/>
              </w:rPr>
              <w:t>60-89</w:t>
            </w:r>
          </w:p>
        </w:tc>
        <w:tc>
          <w:tcPr>
            <w:tcW w:w="2195" w:type="dxa"/>
            <w:gridSpan w:val="2"/>
            <w:tcBorders>
              <w:top w:val="single" w:sz="12" w:space="0" w:color="auto"/>
              <w:left w:val="single" w:sz="12" w:space="0" w:color="auto"/>
              <w:bottom w:val="single" w:sz="12" w:space="0" w:color="auto"/>
              <w:right w:val="single" w:sz="12" w:space="0" w:color="auto"/>
            </w:tcBorders>
            <w:shd w:val="clear" w:color="auto" w:fill="92D050"/>
            <w:vAlign w:val="center"/>
          </w:tcPr>
          <w:p w14:paraId="6F4113D8" w14:textId="77777777" w:rsidR="00191215" w:rsidRDefault="003F4C5A">
            <w:pPr>
              <w:pStyle w:val="ListParagraph"/>
              <w:ind w:left="0"/>
              <w:jc w:val="center"/>
              <w:rPr>
                <w:bCs/>
                <w:szCs w:val="20"/>
              </w:rPr>
            </w:pPr>
            <w:proofErr w:type="spellStart"/>
            <w:r>
              <w:rPr>
                <w:bCs/>
                <w:szCs w:val="20"/>
              </w:rPr>
              <w:t>PromarkerD</w:t>
            </w:r>
            <w:proofErr w:type="spellEnd"/>
          </w:p>
        </w:tc>
        <w:tc>
          <w:tcPr>
            <w:tcW w:w="2055"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14:paraId="2EA3454C" w14:textId="77777777" w:rsidR="00191215" w:rsidRDefault="003F4C5A">
            <w:pPr>
              <w:pStyle w:val="ListParagraph"/>
              <w:ind w:left="0"/>
              <w:jc w:val="center"/>
              <w:rPr>
                <w:bCs/>
                <w:szCs w:val="20"/>
              </w:rPr>
            </w:pPr>
            <w:proofErr w:type="spellStart"/>
            <w:r>
              <w:rPr>
                <w:bCs/>
                <w:szCs w:val="20"/>
              </w:rPr>
              <w:t>PromarkerD</w:t>
            </w:r>
            <w:proofErr w:type="spellEnd"/>
          </w:p>
        </w:tc>
        <w:tc>
          <w:tcPr>
            <w:tcW w:w="2128" w:type="dxa"/>
            <w:gridSpan w:val="2"/>
            <w:tcBorders>
              <w:left w:val="single" w:sz="12" w:space="0" w:color="auto"/>
            </w:tcBorders>
            <w:shd w:val="clear" w:color="auto" w:fill="FF0000"/>
            <w:vAlign w:val="center"/>
          </w:tcPr>
          <w:p w14:paraId="48A649F4" w14:textId="77777777" w:rsidR="00191215" w:rsidRDefault="00191215">
            <w:pPr>
              <w:pStyle w:val="ListParagraph"/>
              <w:ind w:left="0"/>
              <w:jc w:val="right"/>
              <w:rPr>
                <w:bCs/>
                <w:szCs w:val="20"/>
              </w:rPr>
            </w:pPr>
          </w:p>
        </w:tc>
      </w:tr>
      <w:tr w:rsidR="00191215" w14:paraId="1CE3FC59" w14:textId="77777777">
        <w:tc>
          <w:tcPr>
            <w:tcW w:w="911" w:type="dxa"/>
            <w:vAlign w:val="center"/>
          </w:tcPr>
          <w:p w14:paraId="169F3ABB" w14:textId="77777777" w:rsidR="00191215" w:rsidRDefault="003F4C5A">
            <w:pPr>
              <w:pStyle w:val="ListParagraph"/>
              <w:ind w:left="0"/>
              <w:jc w:val="center"/>
              <w:rPr>
                <w:bCs/>
                <w:szCs w:val="20"/>
              </w:rPr>
            </w:pPr>
            <w:r>
              <w:rPr>
                <w:bCs/>
                <w:szCs w:val="20"/>
              </w:rPr>
              <w:t>3a</w:t>
            </w:r>
          </w:p>
        </w:tc>
        <w:tc>
          <w:tcPr>
            <w:tcW w:w="1746" w:type="dxa"/>
            <w:vAlign w:val="center"/>
          </w:tcPr>
          <w:p w14:paraId="759CCFAD" w14:textId="77777777" w:rsidR="00191215" w:rsidRDefault="003F4C5A">
            <w:pPr>
              <w:pStyle w:val="ListParagraph"/>
              <w:ind w:left="0"/>
              <w:jc w:val="center"/>
              <w:rPr>
                <w:bCs/>
                <w:szCs w:val="20"/>
              </w:rPr>
            </w:pPr>
            <w:r>
              <w:rPr>
                <w:bCs/>
                <w:szCs w:val="20"/>
              </w:rPr>
              <w:t>45-59</w:t>
            </w:r>
          </w:p>
        </w:tc>
        <w:tc>
          <w:tcPr>
            <w:tcW w:w="2195" w:type="dxa"/>
            <w:gridSpan w:val="2"/>
            <w:tcBorders>
              <w:top w:val="single" w:sz="12" w:space="0" w:color="auto"/>
            </w:tcBorders>
            <w:shd w:val="clear" w:color="auto" w:fill="FFFF00"/>
            <w:vAlign w:val="center"/>
          </w:tcPr>
          <w:p w14:paraId="1BD82573" w14:textId="77777777" w:rsidR="00191215" w:rsidRDefault="00191215">
            <w:pPr>
              <w:pStyle w:val="ListParagraph"/>
              <w:ind w:left="0"/>
              <w:jc w:val="right"/>
              <w:rPr>
                <w:bCs/>
                <w:szCs w:val="20"/>
              </w:rPr>
            </w:pPr>
          </w:p>
        </w:tc>
        <w:tc>
          <w:tcPr>
            <w:tcW w:w="2055" w:type="dxa"/>
            <w:gridSpan w:val="2"/>
            <w:tcBorders>
              <w:top w:val="single" w:sz="12" w:space="0" w:color="auto"/>
            </w:tcBorders>
            <w:shd w:val="clear" w:color="auto" w:fill="FFC000"/>
            <w:vAlign w:val="center"/>
          </w:tcPr>
          <w:p w14:paraId="4E215B28" w14:textId="77777777" w:rsidR="00191215" w:rsidRDefault="00191215">
            <w:pPr>
              <w:pStyle w:val="ListParagraph"/>
              <w:ind w:left="0"/>
              <w:jc w:val="right"/>
              <w:rPr>
                <w:bCs/>
                <w:szCs w:val="20"/>
              </w:rPr>
            </w:pPr>
          </w:p>
        </w:tc>
        <w:tc>
          <w:tcPr>
            <w:tcW w:w="2128" w:type="dxa"/>
            <w:gridSpan w:val="2"/>
            <w:shd w:val="clear" w:color="auto" w:fill="FF0000"/>
            <w:vAlign w:val="center"/>
          </w:tcPr>
          <w:p w14:paraId="70B2F814" w14:textId="77777777" w:rsidR="00191215" w:rsidRDefault="00191215">
            <w:pPr>
              <w:pStyle w:val="ListParagraph"/>
              <w:ind w:left="0"/>
              <w:jc w:val="right"/>
              <w:rPr>
                <w:bCs/>
                <w:szCs w:val="20"/>
              </w:rPr>
            </w:pPr>
          </w:p>
        </w:tc>
      </w:tr>
      <w:tr w:rsidR="00191215" w14:paraId="5F915DF5" w14:textId="77777777">
        <w:tc>
          <w:tcPr>
            <w:tcW w:w="911" w:type="dxa"/>
            <w:vAlign w:val="center"/>
          </w:tcPr>
          <w:p w14:paraId="71549727" w14:textId="77777777" w:rsidR="00191215" w:rsidRDefault="003F4C5A">
            <w:pPr>
              <w:pStyle w:val="ListParagraph"/>
              <w:ind w:left="0"/>
              <w:jc w:val="center"/>
              <w:rPr>
                <w:bCs/>
                <w:szCs w:val="20"/>
              </w:rPr>
            </w:pPr>
            <w:r>
              <w:rPr>
                <w:bCs/>
                <w:szCs w:val="20"/>
              </w:rPr>
              <w:t>3b</w:t>
            </w:r>
          </w:p>
        </w:tc>
        <w:tc>
          <w:tcPr>
            <w:tcW w:w="1746" w:type="dxa"/>
            <w:vAlign w:val="center"/>
          </w:tcPr>
          <w:p w14:paraId="5537B58B" w14:textId="77777777" w:rsidR="00191215" w:rsidRDefault="003F4C5A">
            <w:pPr>
              <w:pStyle w:val="ListParagraph"/>
              <w:ind w:left="0"/>
              <w:jc w:val="center"/>
              <w:rPr>
                <w:bCs/>
                <w:szCs w:val="20"/>
              </w:rPr>
            </w:pPr>
            <w:r>
              <w:rPr>
                <w:bCs/>
                <w:szCs w:val="20"/>
              </w:rPr>
              <w:t>30-44</w:t>
            </w:r>
          </w:p>
        </w:tc>
        <w:tc>
          <w:tcPr>
            <w:tcW w:w="2195" w:type="dxa"/>
            <w:gridSpan w:val="2"/>
            <w:shd w:val="clear" w:color="auto" w:fill="FFC000"/>
            <w:vAlign w:val="center"/>
          </w:tcPr>
          <w:p w14:paraId="553C716F" w14:textId="77777777" w:rsidR="00191215" w:rsidRDefault="00191215">
            <w:pPr>
              <w:pStyle w:val="ListParagraph"/>
              <w:ind w:left="0"/>
              <w:jc w:val="right"/>
              <w:rPr>
                <w:bCs/>
                <w:szCs w:val="20"/>
              </w:rPr>
            </w:pPr>
          </w:p>
        </w:tc>
        <w:tc>
          <w:tcPr>
            <w:tcW w:w="2055" w:type="dxa"/>
            <w:gridSpan w:val="2"/>
            <w:shd w:val="clear" w:color="auto" w:fill="FFC000"/>
            <w:vAlign w:val="center"/>
          </w:tcPr>
          <w:p w14:paraId="0AD8844C" w14:textId="77777777" w:rsidR="00191215" w:rsidRDefault="00191215">
            <w:pPr>
              <w:pStyle w:val="ListParagraph"/>
              <w:ind w:left="0"/>
              <w:jc w:val="right"/>
              <w:rPr>
                <w:bCs/>
                <w:szCs w:val="20"/>
              </w:rPr>
            </w:pPr>
          </w:p>
        </w:tc>
        <w:tc>
          <w:tcPr>
            <w:tcW w:w="2128" w:type="dxa"/>
            <w:gridSpan w:val="2"/>
            <w:shd w:val="clear" w:color="auto" w:fill="FF0000"/>
            <w:vAlign w:val="center"/>
          </w:tcPr>
          <w:p w14:paraId="2F580A56" w14:textId="77777777" w:rsidR="00191215" w:rsidRDefault="00191215">
            <w:pPr>
              <w:pStyle w:val="ListParagraph"/>
              <w:ind w:left="0"/>
              <w:jc w:val="right"/>
              <w:rPr>
                <w:bCs/>
                <w:szCs w:val="20"/>
              </w:rPr>
            </w:pPr>
          </w:p>
        </w:tc>
      </w:tr>
      <w:tr w:rsidR="00191215" w14:paraId="09F81EFC" w14:textId="77777777">
        <w:tc>
          <w:tcPr>
            <w:tcW w:w="911" w:type="dxa"/>
            <w:vAlign w:val="center"/>
          </w:tcPr>
          <w:p w14:paraId="66CE5C3D" w14:textId="77777777" w:rsidR="00191215" w:rsidRDefault="003F4C5A">
            <w:pPr>
              <w:pStyle w:val="ListParagraph"/>
              <w:ind w:left="0"/>
              <w:jc w:val="center"/>
              <w:rPr>
                <w:bCs/>
                <w:szCs w:val="20"/>
              </w:rPr>
            </w:pPr>
            <w:r>
              <w:rPr>
                <w:bCs/>
                <w:szCs w:val="20"/>
              </w:rPr>
              <w:t>4</w:t>
            </w:r>
          </w:p>
        </w:tc>
        <w:tc>
          <w:tcPr>
            <w:tcW w:w="1746" w:type="dxa"/>
            <w:vAlign w:val="center"/>
          </w:tcPr>
          <w:p w14:paraId="15B58101" w14:textId="77777777" w:rsidR="00191215" w:rsidRDefault="003F4C5A">
            <w:pPr>
              <w:pStyle w:val="ListParagraph"/>
              <w:ind w:left="0"/>
              <w:jc w:val="center"/>
              <w:rPr>
                <w:bCs/>
                <w:szCs w:val="20"/>
              </w:rPr>
            </w:pPr>
            <w:r>
              <w:rPr>
                <w:bCs/>
                <w:szCs w:val="20"/>
              </w:rPr>
              <w:t>15-29</w:t>
            </w:r>
          </w:p>
        </w:tc>
        <w:tc>
          <w:tcPr>
            <w:tcW w:w="2195" w:type="dxa"/>
            <w:gridSpan w:val="2"/>
            <w:shd w:val="clear" w:color="auto" w:fill="FF0000"/>
          </w:tcPr>
          <w:p w14:paraId="6F22CBF7" w14:textId="77777777" w:rsidR="00191215" w:rsidRDefault="00191215">
            <w:pPr>
              <w:pStyle w:val="ListParagraph"/>
              <w:ind w:left="0"/>
              <w:jc w:val="both"/>
              <w:rPr>
                <w:bCs/>
                <w:szCs w:val="20"/>
              </w:rPr>
            </w:pPr>
          </w:p>
        </w:tc>
        <w:tc>
          <w:tcPr>
            <w:tcW w:w="2055" w:type="dxa"/>
            <w:gridSpan w:val="2"/>
            <w:shd w:val="clear" w:color="auto" w:fill="FF0000"/>
          </w:tcPr>
          <w:p w14:paraId="24F7C34F" w14:textId="77777777" w:rsidR="00191215" w:rsidRDefault="00191215">
            <w:pPr>
              <w:pStyle w:val="ListParagraph"/>
              <w:ind w:left="0"/>
              <w:jc w:val="both"/>
              <w:rPr>
                <w:bCs/>
                <w:szCs w:val="20"/>
              </w:rPr>
            </w:pPr>
          </w:p>
        </w:tc>
        <w:tc>
          <w:tcPr>
            <w:tcW w:w="2128" w:type="dxa"/>
            <w:gridSpan w:val="2"/>
            <w:shd w:val="clear" w:color="auto" w:fill="FF0000"/>
          </w:tcPr>
          <w:p w14:paraId="500C7BD9" w14:textId="77777777" w:rsidR="00191215" w:rsidRDefault="00191215">
            <w:pPr>
              <w:pStyle w:val="ListParagraph"/>
              <w:ind w:left="0"/>
              <w:jc w:val="both"/>
              <w:rPr>
                <w:bCs/>
                <w:szCs w:val="20"/>
              </w:rPr>
            </w:pPr>
          </w:p>
        </w:tc>
      </w:tr>
      <w:tr w:rsidR="00191215" w14:paraId="6A3D81B8" w14:textId="77777777">
        <w:tc>
          <w:tcPr>
            <w:tcW w:w="911" w:type="dxa"/>
            <w:vAlign w:val="center"/>
          </w:tcPr>
          <w:p w14:paraId="0EC95349" w14:textId="77777777" w:rsidR="00191215" w:rsidRDefault="003F4C5A">
            <w:pPr>
              <w:pStyle w:val="ListParagraph"/>
              <w:ind w:left="0"/>
              <w:jc w:val="center"/>
              <w:rPr>
                <w:bCs/>
                <w:szCs w:val="20"/>
              </w:rPr>
            </w:pPr>
            <w:r>
              <w:rPr>
                <w:bCs/>
                <w:szCs w:val="20"/>
              </w:rPr>
              <w:t>5</w:t>
            </w:r>
          </w:p>
        </w:tc>
        <w:tc>
          <w:tcPr>
            <w:tcW w:w="1746" w:type="dxa"/>
            <w:vAlign w:val="center"/>
          </w:tcPr>
          <w:p w14:paraId="5C8CD1AA" w14:textId="77777777" w:rsidR="00191215" w:rsidRDefault="003F4C5A">
            <w:pPr>
              <w:pStyle w:val="ListParagraph"/>
              <w:ind w:left="0"/>
              <w:jc w:val="center"/>
              <w:rPr>
                <w:bCs/>
                <w:szCs w:val="20"/>
              </w:rPr>
            </w:pPr>
            <w:r>
              <w:rPr>
                <w:bCs/>
                <w:szCs w:val="20"/>
              </w:rPr>
              <w:t>&lt;15 or on dialysis</w:t>
            </w:r>
          </w:p>
        </w:tc>
        <w:tc>
          <w:tcPr>
            <w:tcW w:w="2195" w:type="dxa"/>
            <w:gridSpan w:val="2"/>
            <w:shd w:val="clear" w:color="auto" w:fill="FF0000"/>
          </w:tcPr>
          <w:p w14:paraId="21543ECD" w14:textId="77777777" w:rsidR="00191215" w:rsidRDefault="00191215">
            <w:pPr>
              <w:pStyle w:val="ListParagraph"/>
              <w:ind w:left="0"/>
              <w:jc w:val="both"/>
              <w:rPr>
                <w:bCs/>
                <w:szCs w:val="20"/>
              </w:rPr>
            </w:pPr>
          </w:p>
        </w:tc>
        <w:tc>
          <w:tcPr>
            <w:tcW w:w="2055" w:type="dxa"/>
            <w:gridSpan w:val="2"/>
            <w:shd w:val="clear" w:color="auto" w:fill="FF0000"/>
          </w:tcPr>
          <w:p w14:paraId="37FA025C" w14:textId="77777777" w:rsidR="00191215" w:rsidRDefault="00191215">
            <w:pPr>
              <w:pStyle w:val="ListParagraph"/>
              <w:ind w:left="0"/>
              <w:jc w:val="both"/>
              <w:rPr>
                <w:bCs/>
                <w:szCs w:val="20"/>
              </w:rPr>
            </w:pPr>
          </w:p>
        </w:tc>
        <w:tc>
          <w:tcPr>
            <w:tcW w:w="2128" w:type="dxa"/>
            <w:gridSpan w:val="2"/>
            <w:shd w:val="clear" w:color="auto" w:fill="FF0000"/>
          </w:tcPr>
          <w:p w14:paraId="0D394CA1" w14:textId="77777777" w:rsidR="00191215" w:rsidRDefault="00191215">
            <w:pPr>
              <w:pStyle w:val="ListParagraph"/>
              <w:ind w:left="0"/>
              <w:jc w:val="both"/>
              <w:rPr>
                <w:bCs/>
                <w:szCs w:val="20"/>
              </w:rPr>
            </w:pPr>
          </w:p>
        </w:tc>
      </w:tr>
    </w:tbl>
    <w:p w14:paraId="54A669C0" w14:textId="77777777" w:rsidR="00191215" w:rsidRDefault="00191215">
      <w:pPr>
        <w:pStyle w:val="ListParagraph"/>
        <w:ind w:left="360"/>
        <w:jc w:val="both"/>
      </w:pPr>
    </w:p>
    <w:p w14:paraId="5314A37B" w14:textId="3C53D393" w:rsidR="00191215" w:rsidRDefault="003F4C5A" w:rsidP="008944A2">
      <w:pPr>
        <w:pStyle w:val="ListParagraph"/>
        <w:ind w:left="360"/>
        <w:contextualSpacing w:val="0"/>
      </w:pPr>
      <w:r>
        <w:t xml:space="preserve">Patients who fall into higher risk </w:t>
      </w:r>
      <w:proofErr w:type="spellStart"/>
      <w:r>
        <w:t>PromarkerD</w:t>
      </w:r>
      <w:proofErr w:type="spellEnd"/>
      <w:r>
        <w:t xml:space="preserve"> categories who would not be flagged for interventions beyond standard monitoring and lifestyle management under currently available classifications, can be started on </w:t>
      </w:r>
      <w:proofErr w:type="spellStart"/>
      <w:r>
        <w:t>renoprotective</w:t>
      </w:r>
      <w:proofErr w:type="spellEnd"/>
      <w:r>
        <w:t xml:space="preserve"> treatment to reduce risk of kidney damage and onset of DKD. Treatments such as SGLT2 inhibitors are associated with reduced outcomes as a result of ESRD in patients with eGFR </w:t>
      </w:r>
      <w:r>
        <w:rPr>
          <w:rFonts w:cstheme="minorHAnsi"/>
        </w:rPr>
        <w:t>≥</w:t>
      </w:r>
      <w:r>
        <w:t>60 mL/min/1.73 m</w:t>
      </w:r>
      <w:r>
        <w:rPr>
          <w:vertAlign w:val="superscript"/>
        </w:rPr>
        <w:t>2</w:t>
      </w:r>
      <w:r>
        <w:t xml:space="preserve"> </w:t>
      </w:r>
      <w:r>
        <w:fldChar w:fldCharType="begin"/>
      </w:r>
      <w:r>
        <w:instrText xml:space="preserve"> ADDIN EN.CITE &lt;EndNote&gt;&lt;Cite&gt;&lt;Author&gt;Giorgino&lt;/Author&gt;&lt;Year&gt;2020&lt;/Year&gt;&lt;RecNum&gt;25&lt;/RecNum&gt;&lt;DisplayText&gt;(Giorgino et al. 2020)&lt;/DisplayText&gt;&lt;record&gt;&lt;rec-number&gt;25&lt;/rec-number&gt;&lt;foreign-keys&gt;&lt;key app="EN" db-id="zfzas9fs9xszx0espvapzadd5dwa9t99wwdr" timestamp="1626852829"&gt;25&lt;/key&gt;&lt;/foreign-keys&gt;&lt;ref-type name="Journal Article"&gt;17&lt;/ref-type&gt;&lt;contributors&gt;&lt;authors&gt;&lt;author&gt;Giorgino, Francesco&lt;/author&gt;&lt;author&gt;Vora, Jiten&lt;/author&gt;&lt;author&gt;Fenici, Peter&lt;/author&gt;&lt;author&gt;Solini, Anna&lt;/author&gt;&lt;/authors&gt;&lt;/contributors&gt;&lt;titles&gt;&lt;title&gt;Renoprotection with SGLT2 inhibitors in type 2 diabetes over a spectrum of cardiovascular and renal risk&lt;/title&gt;&lt;secondary-title&gt;Cardiovascular Diabetology&lt;/secondary-title&gt;&lt;/titles&gt;&lt;periodical&gt;&lt;full-title&gt;Cardiovascular Diabetology&lt;/full-title&gt;&lt;/periodical&gt;&lt;pages&gt;1-19&lt;/pages&gt;&lt;volume&gt;19&lt;/volume&gt;&lt;number&gt;1&lt;/number&gt;&lt;dates&gt;&lt;year&gt;2020&lt;/year&gt;&lt;/dates&gt;&lt;isbn&gt;1475-2840&lt;/isbn&gt;&lt;urls&gt;&lt;/urls&gt;&lt;/record&gt;&lt;/Cite&gt;&lt;/EndNote&gt;</w:instrText>
      </w:r>
      <w:r>
        <w:fldChar w:fldCharType="separate"/>
      </w:r>
      <w:r>
        <w:rPr>
          <w:noProof/>
        </w:rPr>
        <w:t>(Giorgino et al. 2020)</w:t>
      </w:r>
      <w:r>
        <w:fldChar w:fldCharType="end"/>
      </w:r>
      <w:r>
        <w:t>.</w:t>
      </w:r>
    </w:p>
    <w:p w14:paraId="59D07ACD" w14:textId="77777777" w:rsidR="00191215" w:rsidRDefault="003F4C5A" w:rsidP="008944A2">
      <w:pPr>
        <w:pStyle w:val="Subtitle"/>
        <w:ind w:left="0"/>
        <w:contextualSpacing w:val="0"/>
      </w:pPr>
      <w:r>
        <w:t>PART 6d – INFORMATION ABOUT CLINICAL OUTCOMES</w:t>
      </w:r>
    </w:p>
    <w:p w14:paraId="2E03F180" w14:textId="77777777" w:rsidR="00191215" w:rsidRDefault="003F4C5A" w:rsidP="008944A2">
      <w:pPr>
        <w:pStyle w:val="Heading2"/>
        <w:contextualSpacing w:val="0"/>
      </w:pPr>
      <w:r>
        <w:t>Summarise the clinical claims for the proposed medical service against the appropriate comparator(s), in terms of consequences for health outcomes (comparative benefits and harms):</w:t>
      </w:r>
    </w:p>
    <w:p w14:paraId="68548BF9" w14:textId="2322D355" w:rsidR="00191215" w:rsidRDefault="003F4C5A" w:rsidP="008944A2">
      <w:pPr>
        <w:ind w:left="360"/>
      </w:pPr>
      <w:proofErr w:type="spellStart"/>
      <w:r>
        <w:t>PromarkerD</w:t>
      </w:r>
      <w:proofErr w:type="spellEnd"/>
      <w:r>
        <w:t xml:space="preserve"> quantifies the risk of DKD development for up to four years after testing in patients with T2D. </w:t>
      </w:r>
      <w:proofErr w:type="spellStart"/>
      <w:r>
        <w:t>PromarkerD</w:t>
      </w:r>
      <w:proofErr w:type="spellEnd"/>
      <w:r>
        <w:t xml:space="preserve"> predicts whether a patient’s eGFR will decline to below 60 mL/min/1.73m</w:t>
      </w:r>
      <w:r>
        <w:rPr>
          <w:vertAlign w:val="superscript"/>
        </w:rPr>
        <w:t xml:space="preserve">2 </w:t>
      </w:r>
      <w:r>
        <w:t xml:space="preserve">or decline by 30% or greater in this four-year period. Declines in eGFR are strongly associated with end-stage renal disease (ESRD) and mortality </w:t>
      </w:r>
      <w:r>
        <w:fldChar w:fldCharType="begin"/>
      </w:r>
      <w:r>
        <w:instrText xml:space="preserve"> ADDIN EN.CITE &lt;EndNote&gt;&lt;Cite&gt;&lt;Author&gt;Coresh&lt;/Author&gt;&lt;Year&gt;2014&lt;/Year&gt;&lt;RecNum&gt;24&lt;/RecNum&gt;&lt;DisplayText&gt;(Coresh et al. 2014)&lt;/DisplayText&gt;&lt;record&gt;&lt;rec-number&gt;24&lt;/rec-number&gt;&lt;foreign-keys&gt;&lt;key app="EN" db-id="zfzas9fs9xszx0espvapzadd5dwa9t99wwdr" timestamp="1626707851"&gt;24&lt;/key&gt;&lt;/foreign-keys&gt;&lt;ref-type name="Journal Article"&gt;17&lt;/ref-type&gt;&lt;contributors&gt;&lt;authors&gt;&lt;author&gt;Coresh, Josef&lt;/author&gt;&lt;author&gt;Turin, Tanvir Chowdhury&lt;/author&gt;&lt;author&gt;Matsushita, Kunihiro&lt;/author&gt;&lt;author&gt;Sang, Yingying&lt;/author&gt;&lt;author&gt;Ballew, Shoshana H&lt;/author&gt;&lt;author&gt;Appel, Lawrence J&lt;/author&gt;&lt;author&gt;Arima, Hisatomi&lt;/author&gt;&lt;author&gt;Chadban, Steven J&lt;/author&gt;&lt;author&gt;Cirillo, Massimo&lt;/author&gt;&lt;author&gt;Djurdjev, Ognjenka&lt;/author&gt;&lt;/authors&gt;&lt;/contributors&gt;&lt;titles&gt;&lt;title&gt;Decline in estimated glomerular filtration rate and subsequent risk of end-stage renal disease and mortality&lt;/title&gt;&lt;secondary-title&gt;Jama&lt;/secondary-title&gt;&lt;/titles&gt;&lt;periodical&gt;&lt;full-title&gt;Jama&lt;/full-title&gt;&lt;/periodical&gt;&lt;pages&gt;2518-2531&lt;/pages&gt;&lt;volume&gt;311&lt;/volume&gt;&lt;number&gt;24&lt;/number&gt;&lt;dates&gt;&lt;year&gt;2014&lt;/year&gt;&lt;/dates&gt;&lt;isbn&gt;0098-7484&lt;/isbn&gt;&lt;urls&gt;&lt;/urls&gt;&lt;/record&gt;&lt;/Cite&gt;&lt;/EndNote&gt;</w:instrText>
      </w:r>
      <w:r>
        <w:fldChar w:fldCharType="separate"/>
      </w:r>
      <w:r>
        <w:rPr>
          <w:noProof/>
        </w:rPr>
        <w:t>(Coresh et al. 2014)</w:t>
      </w:r>
      <w:r>
        <w:fldChar w:fldCharType="end"/>
      </w:r>
      <w:r>
        <w:t xml:space="preserve">. Predicting which patients will experience declines in eGFR ahead of time will allow maximal interventions early to mitigate, delay, or altogether avoid the dire outcomes associated with renal decline and </w:t>
      </w:r>
      <w:r w:rsidR="00DE266D">
        <w:t>ESRD</w:t>
      </w:r>
      <w:r>
        <w:t xml:space="preserve"> – including kidney failure, transplantation, dialysis, and death.</w:t>
      </w:r>
    </w:p>
    <w:p w14:paraId="790654D9" w14:textId="6A76C762" w:rsidR="00191215" w:rsidRDefault="003F4C5A" w:rsidP="008944A2">
      <w:pPr>
        <w:ind w:left="360"/>
      </w:pPr>
      <w:r>
        <w:t>There is currently no way to predict which patients will experience renal decline beyond intermittent measurement of kidney function. Once a significant enough decline is observed, such as a drop in eGFR below 60 mL/min/1.73m</w:t>
      </w:r>
      <w:r>
        <w:rPr>
          <w:vertAlign w:val="superscript"/>
        </w:rPr>
        <w:t>2</w:t>
      </w:r>
      <w:r>
        <w:t>, DKD treatment can be instigated. However, at this stage, irreversible damage to the kidneys has already occurred.</w:t>
      </w:r>
    </w:p>
    <w:p w14:paraId="02F1F4F5" w14:textId="226D9674" w:rsidR="00191215" w:rsidRDefault="003F4C5A" w:rsidP="008944A2">
      <w:pPr>
        <w:ind w:left="360"/>
      </w:pPr>
      <w:r>
        <w:t xml:space="preserve">A cohort of patients from the </w:t>
      </w:r>
      <w:r w:rsidR="00C22178">
        <w:t>FDS2</w:t>
      </w:r>
      <w:r>
        <w:t xml:space="preserve"> database (n=857) have been analysed in and assigned to their respective KDIGO risk categories as per their eGFR (</w:t>
      </w:r>
      <w:r>
        <w:rPr>
          <w:rFonts w:cstheme="minorHAnsi"/>
        </w:rPr>
        <w:t>≥</w:t>
      </w:r>
      <w:r>
        <w:t>60 mL/min/1.73m</w:t>
      </w:r>
      <w:r>
        <w:rPr>
          <w:vertAlign w:val="superscript"/>
        </w:rPr>
        <w:t>2</w:t>
      </w:r>
      <w:r>
        <w:t xml:space="preserve">) and </w:t>
      </w:r>
      <w:proofErr w:type="spellStart"/>
      <w:r>
        <w:t>uACR</w:t>
      </w:r>
      <w:proofErr w:type="spellEnd"/>
      <w:r>
        <w:t xml:space="preserve"> (</w:t>
      </w:r>
      <w:r>
        <w:rPr>
          <w:rFonts w:cstheme="minorHAnsi"/>
        </w:rPr>
        <w:t>≤</w:t>
      </w:r>
      <w:r>
        <w:t>30 mg/mmol) measurements. A total of 725 patients were assigned to the categories</w:t>
      </w:r>
      <w:r w:rsidR="002B5D16">
        <w:t xml:space="preserve"> (</w:t>
      </w:r>
      <w:r w:rsidR="00190BB0" w:rsidRPr="00190BB0">
        <w:rPr>
          <w:b/>
          <w:bCs/>
          <w:sz w:val="22"/>
          <w:szCs w:val="24"/>
        </w:rPr>
        <w:t>REDACTED</w:t>
      </w:r>
      <w:r w:rsidR="007B25FF" w:rsidRPr="00190BB0">
        <w:t>)</w:t>
      </w:r>
      <w:r w:rsidR="002B5D16" w:rsidRPr="00190BB0">
        <w:t>.</w:t>
      </w:r>
    </w:p>
    <w:p w14:paraId="333A4257" w14:textId="4B184898" w:rsidR="007B25FF" w:rsidRPr="00190BB0" w:rsidRDefault="007B25FF" w:rsidP="007B25FF">
      <w:pPr>
        <w:spacing w:line="276" w:lineRule="auto"/>
        <w:ind w:left="360"/>
        <w:jc w:val="both"/>
        <w:rPr>
          <w:b/>
          <w:bCs/>
          <w:szCs w:val="20"/>
        </w:rPr>
      </w:pPr>
      <w:r w:rsidRPr="00190BB0">
        <w:t xml:space="preserve">The 725 patients were then categorised under their </w:t>
      </w:r>
      <w:proofErr w:type="spellStart"/>
      <w:r w:rsidRPr="00190BB0">
        <w:t>PromarkerD</w:t>
      </w:r>
      <w:proofErr w:type="spellEnd"/>
      <w:r w:rsidRPr="00190BB0">
        <w:t xml:space="preserve"> risk score at baseline – low, moderate, or high. Whether patients progressed to DKD, defined as eGFR &lt;60 mL/min/1.73m</w:t>
      </w:r>
      <w:r w:rsidRPr="00190BB0">
        <w:rPr>
          <w:vertAlign w:val="superscript"/>
        </w:rPr>
        <w:t>2</w:t>
      </w:r>
      <w:r w:rsidRPr="00190BB0">
        <w:t>) was assessed after four years. A total of 69/81 patients were correctly classified as moderate- or high-risk – a sensitivity of 85.2% - and a total of 501/644 were correctly classified as low-risk – a specificity of 77.8%. This compares favourably to the sensitivity and specificity of using simply KDIGO (and Kidney Health Australia) risk categories prognostically, at 44.4% and 70.2% respectively.</w:t>
      </w:r>
    </w:p>
    <w:p w14:paraId="6ECC27CC" w14:textId="77777777" w:rsidR="00190BB0" w:rsidRDefault="00190BB0">
      <w:pPr>
        <w:spacing w:before="0" w:after="200" w:line="276" w:lineRule="auto"/>
        <w:rPr>
          <w:b/>
          <w:bCs/>
          <w:szCs w:val="20"/>
        </w:rPr>
      </w:pPr>
      <w:r>
        <w:rPr>
          <w:b/>
          <w:bCs/>
          <w:szCs w:val="20"/>
        </w:rPr>
        <w:br w:type="page"/>
      </w:r>
    </w:p>
    <w:p w14:paraId="71BD7FCA" w14:textId="5B3080DB" w:rsidR="007B25FF" w:rsidRPr="00190BB0" w:rsidRDefault="007B25FF" w:rsidP="007B25FF">
      <w:pPr>
        <w:spacing w:line="276" w:lineRule="auto"/>
        <w:ind w:left="360"/>
        <w:jc w:val="both"/>
      </w:pPr>
      <w:r w:rsidRPr="00190BB0">
        <w:rPr>
          <w:b/>
          <w:bCs/>
          <w:szCs w:val="20"/>
        </w:rPr>
        <w:t>Table 2.</w:t>
      </w:r>
      <w:r w:rsidRPr="00190BB0">
        <w:rPr>
          <w:szCs w:val="20"/>
        </w:rPr>
        <w:t xml:space="preserve"> Assignment of patients from the Fremantle Diabetes Study 2 according to KDIGO and </w:t>
      </w:r>
      <w:proofErr w:type="spellStart"/>
      <w:r w:rsidRPr="00190BB0">
        <w:rPr>
          <w:szCs w:val="20"/>
        </w:rPr>
        <w:t>PromarkerD</w:t>
      </w:r>
      <w:proofErr w:type="spellEnd"/>
      <w:r w:rsidRPr="00190BB0">
        <w:rPr>
          <w:szCs w:val="20"/>
        </w:rPr>
        <w:t xml:space="preserve"> risk categories.</w:t>
      </w:r>
    </w:p>
    <w:tbl>
      <w:tblPr>
        <w:tblW w:w="8321" w:type="dxa"/>
        <w:tblInd w:w="416" w:type="dxa"/>
        <w:tblLook w:val="04A0" w:firstRow="1" w:lastRow="0" w:firstColumn="1" w:lastColumn="0" w:noHBand="0" w:noVBand="1"/>
      </w:tblPr>
      <w:tblGrid>
        <w:gridCol w:w="3402"/>
        <w:gridCol w:w="760"/>
        <w:gridCol w:w="799"/>
        <w:gridCol w:w="851"/>
        <w:gridCol w:w="783"/>
        <w:gridCol w:w="776"/>
        <w:gridCol w:w="950"/>
      </w:tblGrid>
      <w:tr w:rsidR="00190BB0" w:rsidRPr="00190BB0" w14:paraId="32A1BCBC" w14:textId="77777777" w:rsidTr="007B25FF">
        <w:trPr>
          <w:trHeight w:val="315"/>
        </w:trPr>
        <w:tc>
          <w:tcPr>
            <w:tcW w:w="3402" w:type="dxa"/>
            <w:tcBorders>
              <w:top w:val="single" w:sz="8" w:space="0" w:color="auto"/>
              <w:left w:val="single" w:sz="8" w:space="0" w:color="auto"/>
              <w:bottom w:val="nil"/>
              <w:right w:val="nil"/>
            </w:tcBorders>
            <w:noWrap/>
            <w:vAlign w:val="center"/>
            <w:hideMark/>
          </w:tcPr>
          <w:p w14:paraId="0DDC5B67" w14:textId="77777777" w:rsidR="007B25FF" w:rsidRPr="00190BB0" w:rsidRDefault="007B25FF">
            <w:pPr>
              <w:spacing w:before="0" w:after="0" w:line="276" w:lineRule="auto"/>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760" w:type="dxa"/>
            <w:tcBorders>
              <w:top w:val="single" w:sz="8" w:space="0" w:color="auto"/>
              <w:left w:val="single" w:sz="8" w:space="0" w:color="auto"/>
              <w:bottom w:val="nil"/>
              <w:right w:val="nil"/>
            </w:tcBorders>
            <w:noWrap/>
            <w:vAlign w:val="center"/>
            <w:hideMark/>
          </w:tcPr>
          <w:p w14:paraId="59AB2B00" w14:textId="77777777" w:rsidR="007B25FF" w:rsidRPr="00190BB0" w:rsidRDefault="007B25FF">
            <w:pPr>
              <w:spacing w:before="0" w:after="0" w:line="276" w:lineRule="auto"/>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4159" w:type="dxa"/>
            <w:gridSpan w:val="5"/>
            <w:tcBorders>
              <w:top w:val="single" w:sz="8" w:space="0" w:color="auto"/>
              <w:left w:val="single" w:sz="8" w:space="0" w:color="auto"/>
              <w:bottom w:val="single" w:sz="8" w:space="0" w:color="auto"/>
              <w:right w:val="single" w:sz="8" w:space="0" w:color="000000"/>
            </w:tcBorders>
            <w:noWrap/>
            <w:vAlign w:val="center"/>
            <w:hideMark/>
          </w:tcPr>
          <w:p w14:paraId="169D7BC4"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Patients at 4 years - Incident DKD (eGFR &lt;60)</w:t>
            </w:r>
          </w:p>
        </w:tc>
      </w:tr>
      <w:tr w:rsidR="00190BB0" w:rsidRPr="00190BB0" w14:paraId="43C02E5E" w14:textId="77777777" w:rsidTr="007B25FF">
        <w:trPr>
          <w:trHeight w:val="315"/>
        </w:trPr>
        <w:tc>
          <w:tcPr>
            <w:tcW w:w="3402" w:type="dxa"/>
            <w:tcBorders>
              <w:top w:val="nil"/>
              <w:left w:val="single" w:sz="8" w:space="0" w:color="auto"/>
              <w:bottom w:val="nil"/>
              <w:right w:val="nil"/>
            </w:tcBorders>
            <w:noWrap/>
            <w:vAlign w:val="center"/>
            <w:hideMark/>
          </w:tcPr>
          <w:p w14:paraId="01D24A6C"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760" w:type="dxa"/>
            <w:tcBorders>
              <w:top w:val="nil"/>
              <w:left w:val="single" w:sz="8" w:space="0" w:color="auto"/>
              <w:bottom w:val="nil"/>
              <w:right w:val="single" w:sz="8" w:space="0" w:color="auto"/>
            </w:tcBorders>
            <w:noWrap/>
            <w:vAlign w:val="center"/>
            <w:hideMark/>
          </w:tcPr>
          <w:p w14:paraId="7B7DC7B4"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1650" w:type="dxa"/>
            <w:gridSpan w:val="2"/>
            <w:tcBorders>
              <w:top w:val="single" w:sz="8" w:space="0" w:color="auto"/>
              <w:left w:val="nil"/>
              <w:bottom w:val="single" w:sz="8" w:space="0" w:color="auto"/>
              <w:right w:val="single" w:sz="8" w:space="0" w:color="000000"/>
            </w:tcBorders>
            <w:noWrap/>
            <w:vAlign w:val="center"/>
            <w:hideMark/>
          </w:tcPr>
          <w:p w14:paraId="2363469F"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No outcome</w:t>
            </w:r>
          </w:p>
        </w:tc>
        <w:tc>
          <w:tcPr>
            <w:tcW w:w="1559" w:type="dxa"/>
            <w:gridSpan w:val="2"/>
            <w:tcBorders>
              <w:top w:val="single" w:sz="8" w:space="0" w:color="auto"/>
              <w:left w:val="nil"/>
              <w:bottom w:val="single" w:sz="8" w:space="0" w:color="auto"/>
              <w:right w:val="single" w:sz="8" w:space="0" w:color="000000"/>
            </w:tcBorders>
            <w:noWrap/>
            <w:vAlign w:val="center"/>
            <w:hideMark/>
          </w:tcPr>
          <w:p w14:paraId="3299007A"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Outcome</w:t>
            </w:r>
          </w:p>
        </w:tc>
        <w:tc>
          <w:tcPr>
            <w:tcW w:w="950" w:type="dxa"/>
            <w:tcBorders>
              <w:top w:val="nil"/>
              <w:left w:val="nil"/>
              <w:bottom w:val="single" w:sz="8" w:space="0" w:color="auto"/>
              <w:right w:val="single" w:sz="8" w:space="0" w:color="auto"/>
            </w:tcBorders>
            <w:noWrap/>
            <w:vAlign w:val="center"/>
            <w:hideMark/>
          </w:tcPr>
          <w:p w14:paraId="32B4236F"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Total</w:t>
            </w:r>
          </w:p>
        </w:tc>
      </w:tr>
      <w:tr w:rsidR="00190BB0" w:rsidRPr="00190BB0" w14:paraId="7D76EEC6" w14:textId="77777777" w:rsidTr="007B25FF">
        <w:trPr>
          <w:trHeight w:val="315"/>
        </w:trPr>
        <w:tc>
          <w:tcPr>
            <w:tcW w:w="3402" w:type="dxa"/>
            <w:tcBorders>
              <w:top w:val="nil"/>
              <w:left w:val="single" w:sz="8" w:space="0" w:color="auto"/>
              <w:bottom w:val="single" w:sz="8" w:space="0" w:color="auto"/>
              <w:right w:val="nil"/>
            </w:tcBorders>
            <w:noWrap/>
            <w:vAlign w:val="center"/>
            <w:hideMark/>
          </w:tcPr>
          <w:p w14:paraId="3EBFAC35"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760" w:type="dxa"/>
            <w:tcBorders>
              <w:top w:val="nil"/>
              <w:left w:val="single" w:sz="8" w:space="0" w:color="auto"/>
              <w:bottom w:val="single" w:sz="8" w:space="0" w:color="auto"/>
              <w:right w:val="single" w:sz="8" w:space="0" w:color="auto"/>
            </w:tcBorders>
            <w:noWrap/>
            <w:vAlign w:val="center"/>
            <w:hideMark/>
          </w:tcPr>
          <w:p w14:paraId="5A3E41D9"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N</w:t>
            </w:r>
          </w:p>
        </w:tc>
        <w:tc>
          <w:tcPr>
            <w:tcW w:w="799" w:type="dxa"/>
            <w:tcBorders>
              <w:top w:val="single" w:sz="8" w:space="0" w:color="auto"/>
              <w:left w:val="nil"/>
              <w:bottom w:val="single" w:sz="8" w:space="0" w:color="auto"/>
              <w:right w:val="single" w:sz="8" w:space="0" w:color="auto"/>
            </w:tcBorders>
            <w:noWrap/>
            <w:vAlign w:val="center"/>
            <w:hideMark/>
          </w:tcPr>
          <w:p w14:paraId="2170FE72"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N</w:t>
            </w:r>
          </w:p>
        </w:tc>
        <w:tc>
          <w:tcPr>
            <w:tcW w:w="851" w:type="dxa"/>
            <w:tcBorders>
              <w:top w:val="single" w:sz="8" w:space="0" w:color="auto"/>
              <w:left w:val="nil"/>
              <w:bottom w:val="single" w:sz="8" w:space="0" w:color="auto"/>
              <w:right w:val="single" w:sz="8" w:space="0" w:color="auto"/>
            </w:tcBorders>
            <w:noWrap/>
            <w:vAlign w:val="center"/>
            <w:hideMark/>
          </w:tcPr>
          <w:p w14:paraId="06DE2260"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w:t>
            </w:r>
          </w:p>
        </w:tc>
        <w:tc>
          <w:tcPr>
            <w:tcW w:w="783" w:type="dxa"/>
            <w:tcBorders>
              <w:top w:val="single" w:sz="8" w:space="0" w:color="auto"/>
              <w:left w:val="nil"/>
              <w:bottom w:val="single" w:sz="8" w:space="0" w:color="auto"/>
              <w:right w:val="single" w:sz="8" w:space="0" w:color="auto"/>
            </w:tcBorders>
            <w:noWrap/>
            <w:vAlign w:val="center"/>
            <w:hideMark/>
          </w:tcPr>
          <w:p w14:paraId="12D970E1"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N</w:t>
            </w:r>
          </w:p>
        </w:tc>
        <w:tc>
          <w:tcPr>
            <w:tcW w:w="776" w:type="dxa"/>
            <w:tcBorders>
              <w:top w:val="single" w:sz="8" w:space="0" w:color="auto"/>
              <w:left w:val="nil"/>
              <w:bottom w:val="single" w:sz="8" w:space="0" w:color="auto"/>
              <w:right w:val="single" w:sz="8" w:space="0" w:color="auto"/>
            </w:tcBorders>
            <w:noWrap/>
            <w:vAlign w:val="center"/>
            <w:hideMark/>
          </w:tcPr>
          <w:p w14:paraId="3ACC1D76"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w:t>
            </w:r>
          </w:p>
        </w:tc>
        <w:tc>
          <w:tcPr>
            <w:tcW w:w="950" w:type="dxa"/>
            <w:tcBorders>
              <w:top w:val="single" w:sz="8" w:space="0" w:color="auto"/>
              <w:left w:val="nil"/>
              <w:bottom w:val="single" w:sz="8" w:space="0" w:color="auto"/>
              <w:right w:val="single" w:sz="8" w:space="0" w:color="auto"/>
            </w:tcBorders>
            <w:noWrap/>
            <w:vAlign w:val="center"/>
            <w:hideMark/>
          </w:tcPr>
          <w:p w14:paraId="43931AC6"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N</w:t>
            </w:r>
          </w:p>
        </w:tc>
      </w:tr>
      <w:tr w:rsidR="00190BB0" w:rsidRPr="00190BB0" w14:paraId="41BD641A" w14:textId="77777777" w:rsidTr="007B25FF">
        <w:trPr>
          <w:trHeight w:val="315"/>
        </w:trPr>
        <w:tc>
          <w:tcPr>
            <w:tcW w:w="3402" w:type="dxa"/>
            <w:tcBorders>
              <w:top w:val="nil"/>
              <w:left w:val="single" w:sz="8" w:space="0" w:color="auto"/>
              <w:bottom w:val="nil"/>
              <w:right w:val="nil"/>
            </w:tcBorders>
            <w:noWrap/>
            <w:vAlign w:val="center"/>
            <w:hideMark/>
          </w:tcPr>
          <w:p w14:paraId="56B321C2"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Yr0 KDIGO Green Low-Risk Category</w:t>
            </w:r>
          </w:p>
        </w:tc>
        <w:tc>
          <w:tcPr>
            <w:tcW w:w="760" w:type="dxa"/>
            <w:tcBorders>
              <w:top w:val="nil"/>
              <w:left w:val="single" w:sz="8" w:space="0" w:color="auto"/>
              <w:bottom w:val="nil"/>
              <w:right w:val="single" w:sz="8" w:space="0" w:color="auto"/>
            </w:tcBorders>
            <w:noWrap/>
            <w:vAlign w:val="center"/>
            <w:hideMark/>
          </w:tcPr>
          <w:p w14:paraId="3122E4D2"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497</w:t>
            </w:r>
          </w:p>
        </w:tc>
        <w:tc>
          <w:tcPr>
            <w:tcW w:w="799" w:type="dxa"/>
            <w:tcBorders>
              <w:top w:val="single" w:sz="8" w:space="0" w:color="auto"/>
              <w:left w:val="nil"/>
              <w:bottom w:val="nil"/>
              <w:right w:val="single" w:sz="8" w:space="0" w:color="auto"/>
            </w:tcBorders>
            <w:shd w:val="clear" w:color="auto" w:fill="FFFFFF" w:themeFill="background1"/>
            <w:noWrap/>
            <w:vAlign w:val="center"/>
            <w:hideMark/>
          </w:tcPr>
          <w:p w14:paraId="22B121DC"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452</w:t>
            </w:r>
          </w:p>
        </w:tc>
        <w:tc>
          <w:tcPr>
            <w:tcW w:w="851" w:type="dxa"/>
            <w:tcBorders>
              <w:top w:val="single" w:sz="8" w:space="0" w:color="auto"/>
              <w:left w:val="nil"/>
              <w:bottom w:val="nil"/>
              <w:right w:val="single" w:sz="8" w:space="0" w:color="auto"/>
            </w:tcBorders>
            <w:shd w:val="clear" w:color="auto" w:fill="FFFFFF" w:themeFill="background1"/>
            <w:noWrap/>
            <w:vAlign w:val="center"/>
            <w:hideMark/>
          </w:tcPr>
          <w:p w14:paraId="006CB909"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90.9%</w:t>
            </w:r>
          </w:p>
        </w:tc>
        <w:tc>
          <w:tcPr>
            <w:tcW w:w="783" w:type="dxa"/>
            <w:tcBorders>
              <w:top w:val="single" w:sz="8" w:space="0" w:color="auto"/>
              <w:left w:val="nil"/>
              <w:bottom w:val="nil"/>
              <w:right w:val="single" w:sz="8" w:space="0" w:color="auto"/>
            </w:tcBorders>
            <w:shd w:val="clear" w:color="auto" w:fill="FFFFFF" w:themeFill="background1"/>
            <w:noWrap/>
            <w:vAlign w:val="center"/>
            <w:hideMark/>
          </w:tcPr>
          <w:p w14:paraId="66034604"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45</w:t>
            </w:r>
          </w:p>
        </w:tc>
        <w:tc>
          <w:tcPr>
            <w:tcW w:w="776" w:type="dxa"/>
            <w:tcBorders>
              <w:top w:val="single" w:sz="8" w:space="0" w:color="auto"/>
              <w:left w:val="nil"/>
              <w:bottom w:val="nil"/>
              <w:right w:val="single" w:sz="8" w:space="0" w:color="auto"/>
            </w:tcBorders>
            <w:noWrap/>
            <w:vAlign w:val="center"/>
            <w:hideMark/>
          </w:tcPr>
          <w:p w14:paraId="26A1E6B1"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9.1%</w:t>
            </w:r>
          </w:p>
        </w:tc>
        <w:tc>
          <w:tcPr>
            <w:tcW w:w="950" w:type="dxa"/>
            <w:tcBorders>
              <w:top w:val="single" w:sz="8" w:space="0" w:color="auto"/>
              <w:left w:val="nil"/>
              <w:bottom w:val="nil"/>
              <w:right w:val="single" w:sz="8" w:space="0" w:color="auto"/>
            </w:tcBorders>
            <w:noWrap/>
            <w:vAlign w:val="center"/>
            <w:hideMark/>
          </w:tcPr>
          <w:p w14:paraId="2C1BCE12"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497</w:t>
            </w:r>
          </w:p>
        </w:tc>
      </w:tr>
      <w:tr w:rsidR="00190BB0" w:rsidRPr="00190BB0" w14:paraId="5A13E64C" w14:textId="77777777" w:rsidTr="007B25FF">
        <w:trPr>
          <w:trHeight w:val="315"/>
        </w:trPr>
        <w:tc>
          <w:tcPr>
            <w:tcW w:w="3402" w:type="dxa"/>
            <w:tcBorders>
              <w:top w:val="nil"/>
              <w:left w:val="single" w:sz="8" w:space="0" w:color="auto"/>
              <w:bottom w:val="nil"/>
              <w:right w:val="nil"/>
            </w:tcBorders>
            <w:noWrap/>
            <w:vAlign w:val="center"/>
            <w:hideMark/>
          </w:tcPr>
          <w:p w14:paraId="19B611F0"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Yr0 KDIGO Yellow Moderate-Risk Category</w:t>
            </w:r>
          </w:p>
        </w:tc>
        <w:tc>
          <w:tcPr>
            <w:tcW w:w="760" w:type="dxa"/>
            <w:tcBorders>
              <w:top w:val="nil"/>
              <w:left w:val="single" w:sz="8" w:space="0" w:color="auto"/>
              <w:bottom w:val="nil"/>
              <w:right w:val="single" w:sz="8" w:space="0" w:color="auto"/>
            </w:tcBorders>
            <w:noWrap/>
            <w:vAlign w:val="center"/>
            <w:hideMark/>
          </w:tcPr>
          <w:p w14:paraId="78DAEB84"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228</w:t>
            </w:r>
          </w:p>
        </w:tc>
        <w:tc>
          <w:tcPr>
            <w:tcW w:w="799" w:type="dxa"/>
            <w:tcBorders>
              <w:top w:val="nil"/>
              <w:left w:val="nil"/>
              <w:bottom w:val="nil"/>
              <w:right w:val="single" w:sz="8" w:space="0" w:color="auto"/>
            </w:tcBorders>
            <w:shd w:val="clear" w:color="auto" w:fill="FFFFFF" w:themeFill="background1"/>
            <w:noWrap/>
            <w:vAlign w:val="center"/>
            <w:hideMark/>
          </w:tcPr>
          <w:p w14:paraId="018A242A"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192</w:t>
            </w:r>
          </w:p>
        </w:tc>
        <w:tc>
          <w:tcPr>
            <w:tcW w:w="851" w:type="dxa"/>
            <w:tcBorders>
              <w:top w:val="nil"/>
              <w:left w:val="nil"/>
              <w:bottom w:val="nil"/>
              <w:right w:val="single" w:sz="8" w:space="0" w:color="auto"/>
            </w:tcBorders>
            <w:shd w:val="clear" w:color="auto" w:fill="FFFFFF" w:themeFill="background1"/>
            <w:noWrap/>
            <w:vAlign w:val="center"/>
            <w:hideMark/>
          </w:tcPr>
          <w:p w14:paraId="2B9A0074"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84.2%</w:t>
            </w:r>
          </w:p>
        </w:tc>
        <w:tc>
          <w:tcPr>
            <w:tcW w:w="783" w:type="dxa"/>
            <w:tcBorders>
              <w:top w:val="nil"/>
              <w:left w:val="nil"/>
              <w:bottom w:val="nil"/>
              <w:right w:val="single" w:sz="8" w:space="0" w:color="auto"/>
            </w:tcBorders>
            <w:shd w:val="clear" w:color="auto" w:fill="FFFFFF" w:themeFill="background1"/>
            <w:noWrap/>
            <w:vAlign w:val="center"/>
            <w:hideMark/>
          </w:tcPr>
          <w:p w14:paraId="4E102786"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36</w:t>
            </w:r>
          </w:p>
        </w:tc>
        <w:tc>
          <w:tcPr>
            <w:tcW w:w="776" w:type="dxa"/>
            <w:tcBorders>
              <w:top w:val="nil"/>
              <w:left w:val="nil"/>
              <w:bottom w:val="nil"/>
              <w:right w:val="single" w:sz="8" w:space="0" w:color="auto"/>
            </w:tcBorders>
            <w:noWrap/>
            <w:vAlign w:val="center"/>
            <w:hideMark/>
          </w:tcPr>
          <w:p w14:paraId="5CC92CA9"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15.8%</w:t>
            </w:r>
          </w:p>
        </w:tc>
        <w:tc>
          <w:tcPr>
            <w:tcW w:w="950" w:type="dxa"/>
            <w:tcBorders>
              <w:top w:val="nil"/>
              <w:left w:val="nil"/>
              <w:bottom w:val="nil"/>
              <w:right w:val="single" w:sz="8" w:space="0" w:color="auto"/>
            </w:tcBorders>
            <w:noWrap/>
            <w:vAlign w:val="center"/>
            <w:hideMark/>
          </w:tcPr>
          <w:p w14:paraId="2CC343FC"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228</w:t>
            </w:r>
          </w:p>
        </w:tc>
      </w:tr>
      <w:tr w:rsidR="00190BB0" w:rsidRPr="00190BB0" w14:paraId="7A001C90" w14:textId="77777777" w:rsidTr="007B25FF">
        <w:trPr>
          <w:trHeight w:val="254"/>
        </w:trPr>
        <w:tc>
          <w:tcPr>
            <w:tcW w:w="3402" w:type="dxa"/>
            <w:tcBorders>
              <w:top w:val="single" w:sz="8" w:space="0" w:color="auto"/>
              <w:left w:val="single" w:sz="8" w:space="0" w:color="auto"/>
              <w:bottom w:val="nil"/>
              <w:right w:val="nil"/>
            </w:tcBorders>
            <w:noWrap/>
            <w:vAlign w:val="center"/>
            <w:hideMark/>
          </w:tcPr>
          <w:p w14:paraId="4876E3F3"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GREEN+YELLOW TOTAL</w:t>
            </w:r>
          </w:p>
        </w:tc>
        <w:tc>
          <w:tcPr>
            <w:tcW w:w="760" w:type="dxa"/>
            <w:tcBorders>
              <w:top w:val="single" w:sz="8" w:space="0" w:color="auto"/>
              <w:left w:val="single" w:sz="8" w:space="0" w:color="auto"/>
              <w:bottom w:val="nil"/>
              <w:right w:val="single" w:sz="8" w:space="0" w:color="auto"/>
            </w:tcBorders>
            <w:noWrap/>
            <w:vAlign w:val="center"/>
            <w:hideMark/>
          </w:tcPr>
          <w:p w14:paraId="1413C22A"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725</w:t>
            </w:r>
          </w:p>
        </w:tc>
        <w:tc>
          <w:tcPr>
            <w:tcW w:w="799" w:type="dxa"/>
            <w:tcBorders>
              <w:top w:val="single" w:sz="8" w:space="0" w:color="auto"/>
              <w:left w:val="nil"/>
              <w:bottom w:val="nil"/>
              <w:right w:val="single" w:sz="8" w:space="0" w:color="auto"/>
            </w:tcBorders>
            <w:noWrap/>
            <w:vAlign w:val="center"/>
            <w:hideMark/>
          </w:tcPr>
          <w:p w14:paraId="550C736A"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644</w:t>
            </w:r>
          </w:p>
        </w:tc>
        <w:tc>
          <w:tcPr>
            <w:tcW w:w="851" w:type="dxa"/>
            <w:tcBorders>
              <w:top w:val="single" w:sz="8" w:space="0" w:color="auto"/>
              <w:left w:val="nil"/>
              <w:bottom w:val="nil"/>
              <w:right w:val="single" w:sz="8" w:space="0" w:color="auto"/>
            </w:tcBorders>
            <w:noWrap/>
            <w:vAlign w:val="center"/>
            <w:hideMark/>
          </w:tcPr>
          <w:p w14:paraId="59B47F26"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88.8%</w:t>
            </w:r>
          </w:p>
        </w:tc>
        <w:tc>
          <w:tcPr>
            <w:tcW w:w="783" w:type="dxa"/>
            <w:tcBorders>
              <w:top w:val="single" w:sz="8" w:space="0" w:color="auto"/>
              <w:left w:val="nil"/>
              <w:bottom w:val="nil"/>
              <w:right w:val="single" w:sz="8" w:space="0" w:color="auto"/>
            </w:tcBorders>
            <w:noWrap/>
            <w:vAlign w:val="center"/>
            <w:hideMark/>
          </w:tcPr>
          <w:p w14:paraId="7C7EC63E"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81</w:t>
            </w:r>
          </w:p>
        </w:tc>
        <w:tc>
          <w:tcPr>
            <w:tcW w:w="776" w:type="dxa"/>
            <w:tcBorders>
              <w:top w:val="single" w:sz="8" w:space="0" w:color="auto"/>
              <w:left w:val="nil"/>
              <w:bottom w:val="nil"/>
              <w:right w:val="single" w:sz="8" w:space="0" w:color="auto"/>
            </w:tcBorders>
            <w:noWrap/>
            <w:vAlign w:val="center"/>
            <w:hideMark/>
          </w:tcPr>
          <w:p w14:paraId="268838E1"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11.2%</w:t>
            </w:r>
          </w:p>
        </w:tc>
        <w:tc>
          <w:tcPr>
            <w:tcW w:w="950" w:type="dxa"/>
            <w:tcBorders>
              <w:top w:val="single" w:sz="8" w:space="0" w:color="auto"/>
              <w:left w:val="nil"/>
              <w:bottom w:val="nil"/>
              <w:right w:val="single" w:sz="8" w:space="0" w:color="auto"/>
            </w:tcBorders>
            <w:noWrap/>
            <w:vAlign w:val="center"/>
            <w:hideMark/>
          </w:tcPr>
          <w:p w14:paraId="52FAC90F"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725</w:t>
            </w:r>
          </w:p>
        </w:tc>
      </w:tr>
      <w:tr w:rsidR="00190BB0" w:rsidRPr="00190BB0" w14:paraId="4767A8F8" w14:textId="77777777" w:rsidTr="007B25FF">
        <w:trPr>
          <w:trHeight w:val="300"/>
        </w:trPr>
        <w:tc>
          <w:tcPr>
            <w:tcW w:w="3402" w:type="dxa"/>
            <w:tcBorders>
              <w:top w:val="nil"/>
              <w:left w:val="single" w:sz="8" w:space="0" w:color="auto"/>
              <w:bottom w:val="nil"/>
              <w:right w:val="nil"/>
            </w:tcBorders>
            <w:shd w:val="clear" w:color="auto" w:fill="A6A6A6"/>
            <w:noWrap/>
            <w:vAlign w:val="center"/>
            <w:hideMark/>
          </w:tcPr>
          <w:p w14:paraId="7154B187"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760" w:type="dxa"/>
            <w:tcBorders>
              <w:top w:val="nil"/>
              <w:left w:val="single" w:sz="8" w:space="0" w:color="auto"/>
              <w:bottom w:val="nil"/>
              <w:right w:val="single" w:sz="8" w:space="0" w:color="auto"/>
            </w:tcBorders>
            <w:shd w:val="clear" w:color="auto" w:fill="A6A6A6"/>
            <w:noWrap/>
            <w:vAlign w:val="center"/>
            <w:hideMark/>
          </w:tcPr>
          <w:p w14:paraId="592B7390"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799" w:type="dxa"/>
            <w:tcBorders>
              <w:top w:val="nil"/>
              <w:left w:val="nil"/>
              <w:bottom w:val="nil"/>
              <w:right w:val="single" w:sz="8" w:space="0" w:color="auto"/>
            </w:tcBorders>
            <w:shd w:val="clear" w:color="auto" w:fill="A6A6A6"/>
            <w:noWrap/>
            <w:vAlign w:val="center"/>
            <w:hideMark/>
          </w:tcPr>
          <w:p w14:paraId="72FD4E53"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851" w:type="dxa"/>
            <w:tcBorders>
              <w:top w:val="nil"/>
              <w:left w:val="nil"/>
              <w:bottom w:val="nil"/>
              <w:right w:val="single" w:sz="8" w:space="0" w:color="auto"/>
            </w:tcBorders>
            <w:shd w:val="clear" w:color="auto" w:fill="A6A6A6"/>
            <w:noWrap/>
            <w:vAlign w:val="center"/>
            <w:hideMark/>
          </w:tcPr>
          <w:p w14:paraId="7AB2BF62"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783" w:type="dxa"/>
            <w:tcBorders>
              <w:top w:val="nil"/>
              <w:left w:val="nil"/>
              <w:bottom w:val="nil"/>
              <w:right w:val="single" w:sz="8" w:space="0" w:color="auto"/>
            </w:tcBorders>
            <w:shd w:val="clear" w:color="auto" w:fill="A6A6A6"/>
            <w:noWrap/>
            <w:vAlign w:val="center"/>
            <w:hideMark/>
          </w:tcPr>
          <w:p w14:paraId="36650EE9"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776" w:type="dxa"/>
            <w:tcBorders>
              <w:top w:val="nil"/>
              <w:left w:val="nil"/>
              <w:bottom w:val="nil"/>
              <w:right w:val="single" w:sz="8" w:space="0" w:color="auto"/>
            </w:tcBorders>
            <w:shd w:val="clear" w:color="auto" w:fill="A6A6A6"/>
            <w:noWrap/>
            <w:vAlign w:val="center"/>
            <w:hideMark/>
          </w:tcPr>
          <w:p w14:paraId="5DF9C14E"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950" w:type="dxa"/>
            <w:tcBorders>
              <w:top w:val="nil"/>
              <w:left w:val="nil"/>
              <w:bottom w:val="nil"/>
              <w:right w:val="single" w:sz="8" w:space="0" w:color="auto"/>
            </w:tcBorders>
            <w:shd w:val="clear" w:color="auto" w:fill="A6A6A6"/>
            <w:noWrap/>
            <w:vAlign w:val="center"/>
            <w:hideMark/>
          </w:tcPr>
          <w:p w14:paraId="5179C42C"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r>
      <w:tr w:rsidR="00190BB0" w:rsidRPr="00190BB0" w14:paraId="45230C8A" w14:textId="77777777" w:rsidTr="007B25FF">
        <w:trPr>
          <w:trHeight w:val="300"/>
        </w:trPr>
        <w:tc>
          <w:tcPr>
            <w:tcW w:w="3402" w:type="dxa"/>
            <w:tcBorders>
              <w:top w:val="nil"/>
              <w:left w:val="single" w:sz="8" w:space="0" w:color="auto"/>
              <w:bottom w:val="nil"/>
              <w:right w:val="nil"/>
            </w:tcBorders>
            <w:noWrap/>
            <w:vAlign w:val="center"/>
            <w:hideMark/>
          </w:tcPr>
          <w:p w14:paraId="6ECA1BE4"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 xml:space="preserve">Yr0 </w:t>
            </w:r>
            <w:proofErr w:type="spellStart"/>
            <w:r w:rsidRPr="00190BB0">
              <w:rPr>
                <w:rFonts w:ascii="Calibri" w:eastAsia="Times New Roman" w:hAnsi="Calibri" w:cs="Calibri"/>
                <w:b/>
                <w:bCs/>
                <w:sz w:val="18"/>
                <w:szCs w:val="18"/>
                <w:lang w:eastAsia="en-AU"/>
              </w:rPr>
              <w:t>PromarkerD</w:t>
            </w:r>
            <w:proofErr w:type="spellEnd"/>
            <w:r w:rsidRPr="00190BB0">
              <w:rPr>
                <w:rFonts w:ascii="Calibri" w:eastAsia="Times New Roman" w:hAnsi="Calibri" w:cs="Calibri"/>
                <w:b/>
                <w:bCs/>
                <w:sz w:val="18"/>
                <w:szCs w:val="18"/>
                <w:lang w:eastAsia="en-AU"/>
              </w:rPr>
              <w:t xml:space="preserve"> Risk Category</w:t>
            </w:r>
          </w:p>
        </w:tc>
        <w:tc>
          <w:tcPr>
            <w:tcW w:w="760" w:type="dxa"/>
            <w:tcBorders>
              <w:top w:val="nil"/>
              <w:left w:val="single" w:sz="8" w:space="0" w:color="auto"/>
              <w:bottom w:val="nil"/>
              <w:right w:val="single" w:sz="8" w:space="0" w:color="auto"/>
            </w:tcBorders>
            <w:noWrap/>
            <w:vAlign w:val="center"/>
            <w:hideMark/>
          </w:tcPr>
          <w:p w14:paraId="5A9CE5F3" w14:textId="77777777" w:rsidR="007B25FF" w:rsidRPr="00190BB0" w:rsidRDefault="007B25FF">
            <w:pPr>
              <w:spacing w:before="0" w:after="0" w:line="276" w:lineRule="auto"/>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799" w:type="dxa"/>
            <w:tcBorders>
              <w:top w:val="nil"/>
              <w:left w:val="nil"/>
              <w:bottom w:val="nil"/>
              <w:right w:val="single" w:sz="8" w:space="0" w:color="auto"/>
            </w:tcBorders>
            <w:shd w:val="clear" w:color="auto" w:fill="FFFFFF" w:themeFill="background1"/>
            <w:noWrap/>
            <w:vAlign w:val="center"/>
            <w:hideMark/>
          </w:tcPr>
          <w:p w14:paraId="502E7950" w14:textId="77777777" w:rsidR="007B25FF" w:rsidRPr="00190BB0" w:rsidRDefault="007B25FF">
            <w:pPr>
              <w:spacing w:before="0" w:after="0" w:line="276" w:lineRule="auto"/>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851" w:type="dxa"/>
            <w:tcBorders>
              <w:top w:val="nil"/>
              <w:left w:val="nil"/>
              <w:bottom w:val="nil"/>
              <w:right w:val="single" w:sz="8" w:space="0" w:color="auto"/>
            </w:tcBorders>
            <w:shd w:val="clear" w:color="auto" w:fill="FFFFFF" w:themeFill="background1"/>
            <w:noWrap/>
            <w:vAlign w:val="center"/>
            <w:hideMark/>
          </w:tcPr>
          <w:p w14:paraId="21F0CA55" w14:textId="77777777" w:rsidR="007B25FF" w:rsidRPr="00190BB0" w:rsidRDefault="007B25FF">
            <w:pPr>
              <w:spacing w:before="0" w:after="0" w:line="276" w:lineRule="auto"/>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783" w:type="dxa"/>
            <w:tcBorders>
              <w:top w:val="nil"/>
              <w:left w:val="nil"/>
              <w:bottom w:val="nil"/>
              <w:right w:val="single" w:sz="8" w:space="0" w:color="auto"/>
            </w:tcBorders>
            <w:shd w:val="clear" w:color="auto" w:fill="FFFFFF" w:themeFill="background1"/>
            <w:noWrap/>
            <w:vAlign w:val="center"/>
            <w:hideMark/>
          </w:tcPr>
          <w:p w14:paraId="2D8ED14F" w14:textId="77777777" w:rsidR="007B25FF" w:rsidRPr="00190BB0" w:rsidRDefault="007B25FF">
            <w:pPr>
              <w:spacing w:before="0" w:after="0" w:line="276" w:lineRule="auto"/>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776" w:type="dxa"/>
            <w:tcBorders>
              <w:top w:val="nil"/>
              <w:left w:val="nil"/>
              <w:bottom w:val="nil"/>
              <w:right w:val="single" w:sz="8" w:space="0" w:color="auto"/>
            </w:tcBorders>
            <w:shd w:val="clear" w:color="auto" w:fill="FFFFFF" w:themeFill="background1"/>
            <w:noWrap/>
            <w:vAlign w:val="center"/>
            <w:hideMark/>
          </w:tcPr>
          <w:p w14:paraId="5B00808A" w14:textId="77777777" w:rsidR="007B25FF" w:rsidRPr="00190BB0" w:rsidRDefault="007B25FF">
            <w:pPr>
              <w:spacing w:before="0" w:after="0" w:line="276" w:lineRule="auto"/>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c>
          <w:tcPr>
            <w:tcW w:w="950" w:type="dxa"/>
            <w:tcBorders>
              <w:top w:val="nil"/>
              <w:left w:val="nil"/>
              <w:bottom w:val="nil"/>
              <w:right w:val="single" w:sz="8" w:space="0" w:color="auto"/>
            </w:tcBorders>
            <w:noWrap/>
            <w:vAlign w:val="center"/>
            <w:hideMark/>
          </w:tcPr>
          <w:p w14:paraId="3D501ADB" w14:textId="77777777" w:rsidR="007B25FF" w:rsidRPr="00190BB0" w:rsidRDefault="007B25FF">
            <w:pPr>
              <w:spacing w:before="0" w:after="0" w:line="276" w:lineRule="auto"/>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 </w:t>
            </w:r>
          </w:p>
        </w:tc>
      </w:tr>
      <w:tr w:rsidR="00190BB0" w:rsidRPr="00190BB0" w14:paraId="32BE5910" w14:textId="77777777" w:rsidTr="007B25FF">
        <w:trPr>
          <w:trHeight w:val="300"/>
        </w:trPr>
        <w:tc>
          <w:tcPr>
            <w:tcW w:w="3402" w:type="dxa"/>
            <w:tcBorders>
              <w:top w:val="nil"/>
              <w:left w:val="single" w:sz="8" w:space="0" w:color="auto"/>
              <w:bottom w:val="nil"/>
              <w:right w:val="nil"/>
            </w:tcBorders>
            <w:noWrap/>
            <w:vAlign w:val="center"/>
            <w:hideMark/>
          </w:tcPr>
          <w:p w14:paraId="6CA4E0D3" w14:textId="77777777" w:rsidR="007B25FF" w:rsidRPr="00190BB0" w:rsidRDefault="007B25FF">
            <w:pPr>
              <w:spacing w:before="0" w:after="0" w:line="276" w:lineRule="auto"/>
              <w:jc w:val="right"/>
              <w:rPr>
                <w:rFonts w:ascii="Calibri" w:eastAsia="Times New Roman" w:hAnsi="Calibri" w:cs="Calibri"/>
                <w:sz w:val="18"/>
                <w:szCs w:val="18"/>
                <w:lang w:eastAsia="en-AU"/>
              </w:rPr>
            </w:pPr>
            <w:proofErr w:type="gramStart"/>
            <w:r w:rsidRPr="00190BB0">
              <w:rPr>
                <w:rFonts w:ascii="Calibri" w:eastAsia="Times New Roman" w:hAnsi="Calibri" w:cs="Calibri"/>
                <w:sz w:val="18"/>
                <w:szCs w:val="18"/>
                <w:lang w:eastAsia="en-AU"/>
              </w:rPr>
              <w:t>Low-risk</w:t>
            </w:r>
            <w:proofErr w:type="gramEnd"/>
          </w:p>
        </w:tc>
        <w:tc>
          <w:tcPr>
            <w:tcW w:w="760" w:type="dxa"/>
            <w:tcBorders>
              <w:top w:val="nil"/>
              <w:left w:val="single" w:sz="8" w:space="0" w:color="auto"/>
              <w:bottom w:val="nil"/>
              <w:right w:val="single" w:sz="8" w:space="0" w:color="auto"/>
            </w:tcBorders>
            <w:noWrap/>
            <w:vAlign w:val="center"/>
            <w:hideMark/>
          </w:tcPr>
          <w:p w14:paraId="0C51DE90"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513</w:t>
            </w:r>
          </w:p>
        </w:tc>
        <w:tc>
          <w:tcPr>
            <w:tcW w:w="799" w:type="dxa"/>
            <w:tcBorders>
              <w:top w:val="nil"/>
              <w:left w:val="nil"/>
              <w:bottom w:val="nil"/>
              <w:right w:val="single" w:sz="8" w:space="0" w:color="auto"/>
            </w:tcBorders>
            <w:shd w:val="clear" w:color="auto" w:fill="FFFFFF" w:themeFill="background1"/>
            <w:noWrap/>
            <w:vAlign w:val="center"/>
            <w:hideMark/>
          </w:tcPr>
          <w:p w14:paraId="3BD400F8"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501</w:t>
            </w:r>
          </w:p>
        </w:tc>
        <w:tc>
          <w:tcPr>
            <w:tcW w:w="851" w:type="dxa"/>
            <w:tcBorders>
              <w:top w:val="nil"/>
              <w:left w:val="nil"/>
              <w:bottom w:val="nil"/>
              <w:right w:val="single" w:sz="8" w:space="0" w:color="auto"/>
            </w:tcBorders>
            <w:shd w:val="clear" w:color="auto" w:fill="FFFFFF" w:themeFill="background1"/>
            <w:noWrap/>
            <w:vAlign w:val="center"/>
            <w:hideMark/>
          </w:tcPr>
          <w:p w14:paraId="4F360EF2"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97.7%</w:t>
            </w:r>
          </w:p>
        </w:tc>
        <w:tc>
          <w:tcPr>
            <w:tcW w:w="783" w:type="dxa"/>
            <w:tcBorders>
              <w:top w:val="nil"/>
              <w:left w:val="nil"/>
              <w:bottom w:val="nil"/>
              <w:right w:val="single" w:sz="8" w:space="0" w:color="auto"/>
            </w:tcBorders>
            <w:shd w:val="clear" w:color="auto" w:fill="FFFFFF" w:themeFill="background1"/>
            <w:noWrap/>
            <w:vAlign w:val="center"/>
            <w:hideMark/>
          </w:tcPr>
          <w:p w14:paraId="67E8467C"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12</w:t>
            </w:r>
          </w:p>
        </w:tc>
        <w:tc>
          <w:tcPr>
            <w:tcW w:w="776" w:type="dxa"/>
            <w:tcBorders>
              <w:top w:val="nil"/>
              <w:left w:val="nil"/>
              <w:bottom w:val="nil"/>
              <w:right w:val="single" w:sz="8" w:space="0" w:color="auto"/>
            </w:tcBorders>
            <w:shd w:val="clear" w:color="auto" w:fill="FFFFFF" w:themeFill="background1"/>
            <w:noWrap/>
            <w:vAlign w:val="center"/>
            <w:hideMark/>
          </w:tcPr>
          <w:p w14:paraId="54E4E474"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2.3%</w:t>
            </w:r>
          </w:p>
        </w:tc>
        <w:tc>
          <w:tcPr>
            <w:tcW w:w="950" w:type="dxa"/>
            <w:tcBorders>
              <w:top w:val="nil"/>
              <w:left w:val="nil"/>
              <w:bottom w:val="nil"/>
              <w:right w:val="single" w:sz="8" w:space="0" w:color="auto"/>
            </w:tcBorders>
            <w:noWrap/>
            <w:vAlign w:val="center"/>
            <w:hideMark/>
          </w:tcPr>
          <w:p w14:paraId="6C1D1513"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513</w:t>
            </w:r>
          </w:p>
        </w:tc>
      </w:tr>
      <w:tr w:rsidR="00190BB0" w:rsidRPr="00190BB0" w14:paraId="6BF7ABC6" w14:textId="77777777" w:rsidTr="007B25FF">
        <w:trPr>
          <w:trHeight w:val="300"/>
        </w:trPr>
        <w:tc>
          <w:tcPr>
            <w:tcW w:w="3402" w:type="dxa"/>
            <w:tcBorders>
              <w:top w:val="nil"/>
              <w:left w:val="single" w:sz="8" w:space="0" w:color="auto"/>
              <w:bottom w:val="nil"/>
              <w:right w:val="nil"/>
            </w:tcBorders>
            <w:noWrap/>
            <w:vAlign w:val="center"/>
            <w:hideMark/>
          </w:tcPr>
          <w:p w14:paraId="4B6B88AA" w14:textId="77777777" w:rsidR="007B25FF" w:rsidRPr="00190BB0" w:rsidRDefault="007B25FF">
            <w:pPr>
              <w:spacing w:before="0" w:after="0" w:line="276" w:lineRule="auto"/>
              <w:jc w:val="right"/>
              <w:rPr>
                <w:rFonts w:ascii="Calibri" w:eastAsia="Times New Roman" w:hAnsi="Calibri" w:cs="Calibri"/>
                <w:sz w:val="18"/>
                <w:szCs w:val="18"/>
                <w:lang w:eastAsia="en-AU"/>
              </w:rPr>
            </w:pPr>
            <w:proofErr w:type="gramStart"/>
            <w:r w:rsidRPr="00190BB0">
              <w:rPr>
                <w:rFonts w:ascii="Calibri" w:eastAsia="Times New Roman" w:hAnsi="Calibri" w:cs="Calibri"/>
                <w:sz w:val="18"/>
                <w:szCs w:val="18"/>
                <w:lang w:eastAsia="en-AU"/>
              </w:rPr>
              <w:t>Moderate-risk</w:t>
            </w:r>
            <w:proofErr w:type="gramEnd"/>
          </w:p>
        </w:tc>
        <w:tc>
          <w:tcPr>
            <w:tcW w:w="760" w:type="dxa"/>
            <w:tcBorders>
              <w:top w:val="nil"/>
              <w:left w:val="single" w:sz="8" w:space="0" w:color="auto"/>
              <w:bottom w:val="nil"/>
              <w:right w:val="single" w:sz="8" w:space="0" w:color="auto"/>
            </w:tcBorders>
            <w:noWrap/>
            <w:vAlign w:val="center"/>
            <w:hideMark/>
          </w:tcPr>
          <w:p w14:paraId="7766B107"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75</w:t>
            </w:r>
          </w:p>
        </w:tc>
        <w:tc>
          <w:tcPr>
            <w:tcW w:w="799" w:type="dxa"/>
            <w:tcBorders>
              <w:top w:val="nil"/>
              <w:left w:val="nil"/>
              <w:bottom w:val="nil"/>
              <w:right w:val="single" w:sz="8" w:space="0" w:color="auto"/>
            </w:tcBorders>
            <w:shd w:val="clear" w:color="auto" w:fill="FFFFFF" w:themeFill="background1"/>
            <w:noWrap/>
            <w:vAlign w:val="center"/>
            <w:hideMark/>
          </w:tcPr>
          <w:p w14:paraId="39A2607D"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60</w:t>
            </w:r>
          </w:p>
        </w:tc>
        <w:tc>
          <w:tcPr>
            <w:tcW w:w="851" w:type="dxa"/>
            <w:tcBorders>
              <w:top w:val="nil"/>
              <w:left w:val="nil"/>
              <w:bottom w:val="nil"/>
              <w:right w:val="single" w:sz="8" w:space="0" w:color="auto"/>
            </w:tcBorders>
            <w:shd w:val="clear" w:color="auto" w:fill="FFFFFF" w:themeFill="background1"/>
            <w:noWrap/>
            <w:vAlign w:val="center"/>
            <w:hideMark/>
          </w:tcPr>
          <w:p w14:paraId="255C7A7F"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80.0%</w:t>
            </w:r>
          </w:p>
        </w:tc>
        <w:tc>
          <w:tcPr>
            <w:tcW w:w="783" w:type="dxa"/>
            <w:tcBorders>
              <w:top w:val="nil"/>
              <w:left w:val="nil"/>
              <w:bottom w:val="nil"/>
              <w:right w:val="single" w:sz="8" w:space="0" w:color="auto"/>
            </w:tcBorders>
            <w:shd w:val="clear" w:color="auto" w:fill="FFFFFF" w:themeFill="background1"/>
            <w:noWrap/>
            <w:vAlign w:val="center"/>
            <w:hideMark/>
          </w:tcPr>
          <w:p w14:paraId="67D420DE"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15</w:t>
            </w:r>
          </w:p>
        </w:tc>
        <w:tc>
          <w:tcPr>
            <w:tcW w:w="776" w:type="dxa"/>
            <w:tcBorders>
              <w:top w:val="nil"/>
              <w:left w:val="nil"/>
              <w:bottom w:val="nil"/>
              <w:right w:val="single" w:sz="8" w:space="0" w:color="auto"/>
            </w:tcBorders>
            <w:shd w:val="clear" w:color="auto" w:fill="FFFFFF" w:themeFill="background1"/>
            <w:noWrap/>
            <w:vAlign w:val="center"/>
            <w:hideMark/>
          </w:tcPr>
          <w:p w14:paraId="4FFDD078"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20.0%</w:t>
            </w:r>
          </w:p>
        </w:tc>
        <w:tc>
          <w:tcPr>
            <w:tcW w:w="950" w:type="dxa"/>
            <w:tcBorders>
              <w:top w:val="nil"/>
              <w:left w:val="nil"/>
              <w:bottom w:val="nil"/>
              <w:right w:val="single" w:sz="8" w:space="0" w:color="auto"/>
            </w:tcBorders>
            <w:noWrap/>
            <w:vAlign w:val="center"/>
            <w:hideMark/>
          </w:tcPr>
          <w:p w14:paraId="5733740B"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75</w:t>
            </w:r>
          </w:p>
        </w:tc>
      </w:tr>
      <w:tr w:rsidR="00190BB0" w:rsidRPr="00190BB0" w14:paraId="3166B2D5" w14:textId="77777777" w:rsidTr="007B25FF">
        <w:trPr>
          <w:trHeight w:val="300"/>
        </w:trPr>
        <w:tc>
          <w:tcPr>
            <w:tcW w:w="3402" w:type="dxa"/>
            <w:tcBorders>
              <w:top w:val="nil"/>
              <w:left w:val="single" w:sz="8" w:space="0" w:color="auto"/>
              <w:bottom w:val="nil"/>
              <w:right w:val="nil"/>
            </w:tcBorders>
            <w:noWrap/>
            <w:vAlign w:val="center"/>
            <w:hideMark/>
          </w:tcPr>
          <w:p w14:paraId="1785CCB5" w14:textId="77777777" w:rsidR="007B25FF" w:rsidRPr="00190BB0" w:rsidRDefault="007B25FF">
            <w:pPr>
              <w:spacing w:before="0" w:after="0" w:line="276" w:lineRule="auto"/>
              <w:jc w:val="right"/>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High-risk</w:t>
            </w:r>
          </w:p>
        </w:tc>
        <w:tc>
          <w:tcPr>
            <w:tcW w:w="760" w:type="dxa"/>
            <w:tcBorders>
              <w:top w:val="nil"/>
              <w:left w:val="single" w:sz="8" w:space="0" w:color="auto"/>
              <w:bottom w:val="nil"/>
              <w:right w:val="single" w:sz="8" w:space="0" w:color="auto"/>
            </w:tcBorders>
            <w:noWrap/>
            <w:vAlign w:val="center"/>
            <w:hideMark/>
          </w:tcPr>
          <w:p w14:paraId="030B0650"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137</w:t>
            </w:r>
          </w:p>
        </w:tc>
        <w:tc>
          <w:tcPr>
            <w:tcW w:w="799" w:type="dxa"/>
            <w:tcBorders>
              <w:top w:val="nil"/>
              <w:left w:val="nil"/>
              <w:bottom w:val="nil"/>
              <w:right w:val="single" w:sz="8" w:space="0" w:color="auto"/>
            </w:tcBorders>
            <w:shd w:val="clear" w:color="auto" w:fill="FFFFFF" w:themeFill="background1"/>
            <w:noWrap/>
            <w:vAlign w:val="center"/>
            <w:hideMark/>
          </w:tcPr>
          <w:p w14:paraId="58FDD446"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83</w:t>
            </w:r>
          </w:p>
        </w:tc>
        <w:tc>
          <w:tcPr>
            <w:tcW w:w="851" w:type="dxa"/>
            <w:tcBorders>
              <w:top w:val="nil"/>
              <w:left w:val="nil"/>
              <w:bottom w:val="nil"/>
              <w:right w:val="single" w:sz="8" w:space="0" w:color="auto"/>
            </w:tcBorders>
            <w:shd w:val="clear" w:color="auto" w:fill="FFFFFF" w:themeFill="background1"/>
            <w:noWrap/>
            <w:vAlign w:val="center"/>
            <w:hideMark/>
          </w:tcPr>
          <w:p w14:paraId="1CC55787"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60.6%</w:t>
            </w:r>
          </w:p>
        </w:tc>
        <w:tc>
          <w:tcPr>
            <w:tcW w:w="783" w:type="dxa"/>
            <w:tcBorders>
              <w:top w:val="nil"/>
              <w:left w:val="nil"/>
              <w:bottom w:val="nil"/>
              <w:right w:val="single" w:sz="8" w:space="0" w:color="auto"/>
            </w:tcBorders>
            <w:shd w:val="clear" w:color="auto" w:fill="FFFFFF" w:themeFill="background1"/>
            <w:noWrap/>
            <w:vAlign w:val="center"/>
            <w:hideMark/>
          </w:tcPr>
          <w:p w14:paraId="59BB9535"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54</w:t>
            </w:r>
          </w:p>
        </w:tc>
        <w:tc>
          <w:tcPr>
            <w:tcW w:w="776" w:type="dxa"/>
            <w:tcBorders>
              <w:top w:val="nil"/>
              <w:left w:val="nil"/>
              <w:bottom w:val="nil"/>
              <w:right w:val="single" w:sz="8" w:space="0" w:color="auto"/>
            </w:tcBorders>
            <w:shd w:val="clear" w:color="auto" w:fill="FFFFFF" w:themeFill="background1"/>
            <w:noWrap/>
            <w:vAlign w:val="center"/>
            <w:hideMark/>
          </w:tcPr>
          <w:p w14:paraId="0C57F0D1"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39.4%</w:t>
            </w:r>
          </w:p>
        </w:tc>
        <w:tc>
          <w:tcPr>
            <w:tcW w:w="950" w:type="dxa"/>
            <w:tcBorders>
              <w:top w:val="nil"/>
              <w:left w:val="nil"/>
              <w:bottom w:val="nil"/>
              <w:right w:val="single" w:sz="8" w:space="0" w:color="auto"/>
            </w:tcBorders>
            <w:noWrap/>
            <w:vAlign w:val="center"/>
            <w:hideMark/>
          </w:tcPr>
          <w:p w14:paraId="24BE3E3F" w14:textId="77777777" w:rsidR="007B25FF" w:rsidRPr="00190BB0" w:rsidRDefault="007B25FF">
            <w:pPr>
              <w:spacing w:before="0" w:after="0" w:line="276" w:lineRule="auto"/>
              <w:jc w:val="center"/>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137</w:t>
            </w:r>
          </w:p>
        </w:tc>
      </w:tr>
      <w:tr w:rsidR="00190BB0" w:rsidRPr="00190BB0" w14:paraId="5DB0D011" w14:textId="77777777" w:rsidTr="007B25FF">
        <w:trPr>
          <w:trHeight w:val="315"/>
        </w:trPr>
        <w:tc>
          <w:tcPr>
            <w:tcW w:w="3402" w:type="dxa"/>
            <w:tcBorders>
              <w:top w:val="single" w:sz="8" w:space="0" w:color="auto"/>
              <w:left w:val="single" w:sz="8" w:space="0" w:color="auto"/>
              <w:bottom w:val="single" w:sz="8" w:space="0" w:color="auto"/>
              <w:right w:val="single" w:sz="8" w:space="0" w:color="auto"/>
            </w:tcBorders>
            <w:noWrap/>
            <w:vAlign w:val="center"/>
            <w:hideMark/>
          </w:tcPr>
          <w:p w14:paraId="4BE754D8" w14:textId="77777777" w:rsidR="007B25FF" w:rsidRPr="00190BB0" w:rsidRDefault="007B25FF">
            <w:pPr>
              <w:spacing w:before="0" w:after="0" w:line="276" w:lineRule="auto"/>
              <w:jc w:val="right"/>
              <w:rPr>
                <w:rFonts w:ascii="Calibri" w:eastAsia="Times New Roman" w:hAnsi="Calibri" w:cs="Calibri"/>
                <w:sz w:val="18"/>
                <w:szCs w:val="18"/>
                <w:lang w:eastAsia="en-AU"/>
              </w:rPr>
            </w:pPr>
            <w:r w:rsidRPr="00190BB0">
              <w:rPr>
                <w:rFonts w:ascii="Calibri" w:eastAsia="Times New Roman" w:hAnsi="Calibri" w:cs="Calibri"/>
                <w:sz w:val="18"/>
                <w:szCs w:val="18"/>
                <w:lang w:eastAsia="en-AU"/>
              </w:rPr>
              <w:t>Moderate/High-risk</w:t>
            </w:r>
          </w:p>
        </w:tc>
        <w:tc>
          <w:tcPr>
            <w:tcW w:w="760" w:type="dxa"/>
            <w:tcBorders>
              <w:top w:val="single" w:sz="8" w:space="0" w:color="auto"/>
              <w:left w:val="nil"/>
              <w:bottom w:val="single" w:sz="8" w:space="0" w:color="auto"/>
              <w:right w:val="single" w:sz="8" w:space="0" w:color="auto"/>
            </w:tcBorders>
            <w:noWrap/>
            <w:vAlign w:val="center"/>
            <w:hideMark/>
          </w:tcPr>
          <w:p w14:paraId="04AEB68B"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212</w:t>
            </w:r>
          </w:p>
        </w:tc>
        <w:tc>
          <w:tcPr>
            <w:tcW w:w="799"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D9D9E54"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143</w:t>
            </w:r>
          </w:p>
        </w:tc>
        <w:tc>
          <w:tcPr>
            <w:tcW w:w="85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2CFE051"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22.2%</w:t>
            </w:r>
          </w:p>
        </w:tc>
        <w:tc>
          <w:tcPr>
            <w:tcW w:w="783"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BDD8187"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69</w:t>
            </w:r>
          </w:p>
        </w:tc>
        <w:tc>
          <w:tcPr>
            <w:tcW w:w="776"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BBF0CC8"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85.2%</w:t>
            </w:r>
          </w:p>
        </w:tc>
        <w:tc>
          <w:tcPr>
            <w:tcW w:w="950" w:type="dxa"/>
            <w:tcBorders>
              <w:top w:val="single" w:sz="8" w:space="0" w:color="auto"/>
              <w:left w:val="nil"/>
              <w:bottom w:val="single" w:sz="8" w:space="0" w:color="auto"/>
              <w:right w:val="single" w:sz="8" w:space="0" w:color="auto"/>
            </w:tcBorders>
            <w:noWrap/>
            <w:vAlign w:val="center"/>
            <w:hideMark/>
          </w:tcPr>
          <w:p w14:paraId="4B5A2E58" w14:textId="77777777" w:rsidR="007B25FF" w:rsidRPr="00190BB0" w:rsidRDefault="007B25FF">
            <w:pPr>
              <w:spacing w:before="0" w:after="0" w:line="276" w:lineRule="auto"/>
              <w:jc w:val="center"/>
              <w:rPr>
                <w:rFonts w:ascii="Calibri" w:eastAsia="Times New Roman" w:hAnsi="Calibri" w:cs="Calibri"/>
                <w:b/>
                <w:bCs/>
                <w:sz w:val="18"/>
                <w:szCs w:val="18"/>
                <w:lang w:eastAsia="en-AU"/>
              </w:rPr>
            </w:pPr>
            <w:r w:rsidRPr="00190BB0">
              <w:rPr>
                <w:rFonts w:ascii="Calibri" w:eastAsia="Times New Roman" w:hAnsi="Calibri" w:cs="Calibri"/>
                <w:b/>
                <w:bCs/>
                <w:sz w:val="18"/>
                <w:szCs w:val="18"/>
                <w:lang w:eastAsia="en-AU"/>
              </w:rPr>
              <w:t>725</w:t>
            </w:r>
          </w:p>
        </w:tc>
      </w:tr>
    </w:tbl>
    <w:p w14:paraId="1B95F94B" w14:textId="4F1536C3" w:rsidR="00191215" w:rsidRDefault="003F4C5A" w:rsidP="008944A2">
      <w:pPr>
        <w:spacing w:line="276" w:lineRule="auto"/>
        <w:ind w:left="360"/>
      </w:pPr>
      <w:proofErr w:type="spellStart"/>
      <w:r>
        <w:t>PromarkerD</w:t>
      </w:r>
      <w:proofErr w:type="spellEnd"/>
      <w:r>
        <w:t xml:space="preserve"> will allow primary care clinicians to identify patients most in need of </w:t>
      </w:r>
      <w:proofErr w:type="spellStart"/>
      <w:r>
        <w:t>renoprotective</w:t>
      </w:r>
      <w:proofErr w:type="spellEnd"/>
      <w:r>
        <w:t xml:space="preserve"> therapy in increased monitoring and reduce the downstream burden of costly ESRD outcomes on the health budget.</w:t>
      </w:r>
    </w:p>
    <w:p w14:paraId="082B267F" w14:textId="77777777" w:rsidR="00191215" w:rsidRDefault="003F4C5A">
      <w:pPr>
        <w:pStyle w:val="Heading2"/>
      </w:pPr>
      <w:r>
        <w:t>Please state what the overall clinical claim is:</w:t>
      </w:r>
    </w:p>
    <w:p w14:paraId="5C1B9302" w14:textId="62BE0E87" w:rsidR="00191215" w:rsidRDefault="003F4C5A" w:rsidP="008944A2">
      <w:pPr>
        <w:spacing w:line="276" w:lineRule="auto"/>
        <w:ind w:left="360"/>
        <w:jc w:val="both"/>
        <w:rPr>
          <w:noProof/>
        </w:rPr>
      </w:pPr>
      <w:r>
        <w:rPr>
          <w:noProof/>
        </w:rPr>
        <w:t>PromarkerD can quantify the risk of incident diabetic kidney disease in an individual with type</w:t>
      </w:r>
      <w:r w:rsidR="003D2E35">
        <w:rPr>
          <w:noProof/>
        </w:rPr>
        <w:t xml:space="preserve"> </w:t>
      </w:r>
      <w:r>
        <w:rPr>
          <w:noProof/>
        </w:rPr>
        <w:t xml:space="preserve">2 diabetes up to 4 years before </w:t>
      </w:r>
      <w:r w:rsidR="000250CC">
        <w:rPr>
          <w:noProof/>
        </w:rPr>
        <w:t xml:space="preserve">clinical </w:t>
      </w:r>
      <w:r>
        <w:rPr>
          <w:noProof/>
        </w:rPr>
        <w:t xml:space="preserve">symptoms develop. Additionally, it can predict rapid renal decline of </w:t>
      </w:r>
      <w:r>
        <w:rPr>
          <w:rFonts w:cstheme="minorHAnsi"/>
          <w:noProof/>
        </w:rPr>
        <w:t>≥</w:t>
      </w:r>
      <w:r>
        <w:rPr>
          <w:noProof/>
        </w:rPr>
        <w:t>30% eGFR over 4 years.</w:t>
      </w:r>
    </w:p>
    <w:p w14:paraId="28E39283" w14:textId="7BE2C3DB" w:rsidR="00191215" w:rsidRDefault="003F4C5A">
      <w:pPr>
        <w:pStyle w:val="Heading2"/>
      </w:pPr>
      <w:r>
        <w:t>List the key health outcomes (major and minor – prioritising major key health outcomes first) that will need to be measured in assessing the clinical claim for the proposed medical service/technology (versus the comparator):</w:t>
      </w:r>
    </w:p>
    <w:p w14:paraId="3D787CD0" w14:textId="77777777" w:rsidR="00191215" w:rsidRDefault="003F4C5A">
      <w:pPr>
        <w:ind w:left="360"/>
        <w:rPr>
          <w:rFonts w:ascii="Calibri" w:eastAsia="Calibri" w:hAnsi="Calibri" w:cs="Calibri"/>
          <w:szCs w:val="20"/>
        </w:rPr>
      </w:pPr>
      <w:r>
        <w:rPr>
          <w:rFonts w:ascii="Calibri" w:eastAsia="Calibri" w:hAnsi="Calibri" w:cs="Calibri"/>
          <w:szCs w:val="20"/>
        </w:rPr>
        <w:t xml:space="preserve">Clinical Effectiveness Outcomes: </w:t>
      </w:r>
    </w:p>
    <w:p w14:paraId="52590D81" w14:textId="77777777" w:rsidR="00191215" w:rsidRPr="00064BD6" w:rsidRDefault="003F4C5A" w:rsidP="00064BD6">
      <w:pPr>
        <w:pStyle w:val="ListParagraph"/>
        <w:numPr>
          <w:ilvl w:val="0"/>
          <w:numId w:val="21"/>
        </w:numPr>
        <w:rPr>
          <w:rFonts w:ascii="Calibri" w:eastAsia="Calibri" w:hAnsi="Calibri" w:cs="Calibri"/>
        </w:rPr>
      </w:pPr>
      <w:r w:rsidRPr="00064BD6">
        <w:rPr>
          <w:rFonts w:ascii="Calibri" w:eastAsia="Calibri" w:hAnsi="Calibri" w:cs="Calibri"/>
        </w:rPr>
        <w:t>Life Years Saved</w:t>
      </w:r>
    </w:p>
    <w:p w14:paraId="3D67F4D1" w14:textId="77777777" w:rsidR="00191215" w:rsidRPr="00064BD6" w:rsidRDefault="003F4C5A" w:rsidP="00064BD6">
      <w:pPr>
        <w:pStyle w:val="ListParagraph"/>
        <w:numPr>
          <w:ilvl w:val="0"/>
          <w:numId w:val="21"/>
        </w:numPr>
        <w:rPr>
          <w:rFonts w:ascii="Calibri" w:eastAsia="Calibri" w:hAnsi="Calibri" w:cs="Calibri"/>
        </w:rPr>
      </w:pPr>
      <w:r w:rsidRPr="00064BD6">
        <w:rPr>
          <w:rFonts w:ascii="Calibri" w:eastAsia="Calibri" w:hAnsi="Calibri" w:cs="Calibri"/>
        </w:rPr>
        <w:t>End Stage Renal Disease (ESRD)</w:t>
      </w:r>
    </w:p>
    <w:p w14:paraId="5827BF6E" w14:textId="77777777" w:rsidR="00191215" w:rsidRPr="00064BD6" w:rsidRDefault="003F4C5A" w:rsidP="00064BD6">
      <w:pPr>
        <w:pStyle w:val="ListParagraph"/>
        <w:numPr>
          <w:ilvl w:val="0"/>
          <w:numId w:val="21"/>
        </w:numPr>
        <w:rPr>
          <w:rFonts w:ascii="Calibri" w:eastAsia="Calibri" w:hAnsi="Calibri" w:cs="Calibri"/>
        </w:rPr>
      </w:pPr>
      <w:r w:rsidRPr="00064BD6">
        <w:rPr>
          <w:rFonts w:ascii="Calibri" w:eastAsia="Calibri" w:hAnsi="Calibri" w:cs="Calibri"/>
        </w:rPr>
        <w:t>Quality Adjusted Life Years (QALYs)</w:t>
      </w:r>
    </w:p>
    <w:p w14:paraId="60C03599" w14:textId="77777777" w:rsidR="00191215" w:rsidRDefault="003F4C5A">
      <w:pPr>
        <w:ind w:left="360"/>
        <w:rPr>
          <w:rFonts w:ascii="Calibri" w:eastAsia="Calibri" w:hAnsi="Calibri" w:cs="Calibri"/>
        </w:rPr>
      </w:pPr>
      <w:r>
        <w:rPr>
          <w:rFonts w:ascii="Calibri" w:eastAsia="Calibri" w:hAnsi="Calibri" w:cs="Calibri"/>
        </w:rPr>
        <w:t>Test outcomes:</w:t>
      </w:r>
    </w:p>
    <w:p w14:paraId="48D51E3A" w14:textId="77777777" w:rsidR="00191215" w:rsidRPr="00064BD6" w:rsidRDefault="003F4C5A" w:rsidP="00064BD6">
      <w:pPr>
        <w:pStyle w:val="ListParagraph"/>
        <w:numPr>
          <w:ilvl w:val="0"/>
          <w:numId w:val="22"/>
        </w:numPr>
        <w:rPr>
          <w:rFonts w:ascii="Calibri" w:eastAsia="Calibri" w:hAnsi="Calibri" w:cs="Calibri"/>
        </w:rPr>
      </w:pPr>
      <w:r w:rsidRPr="00064BD6">
        <w:rPr>
          <w:rFonts w:ascii="Calibri" w:eastAsia="Calibri" w:hAnsi="Calibri" w:cs="Calibri"/>
        </w:rPr>
        <w:t xml:space="preserve">Sensitivity </w:t>
      </w:r>
    </w:p>
    <w:p w14:paraId="32F56346" w14:textId="77777777" w:rsidR="00191215" w:rsidRPr="00064BD6" w:rsidRDefault="003F4C5A" w:rsidP="00064BD6">
      <w:pPr>
        <w:pStyle w:val="ListParagraph"/>
        <w:numPr>
          <w:ilvl w:val="0"/>
          <w:numId w:val="22"/>
        </w:numPr>
        <w:rPr>
          <w:rFonts w:ascii="Calibri" w:eastAsia="Calibri" w:hAnsi="Calibri" w:cs="Calibri"/>
        </w:rPr>
      </w:pPr>
      <w:r w:rsidRPr="00064BD6">
        <w:rPr>
          <w:rFonts w:ascii="Calibri" w:eastAsia="Calibri" w:hAnsi="Calibri" w:cs="Calibri"/>
        </w:rPr>
        <w:t xml:space="preserve">Specificity </w:t>
      </w:r>
    </w:p>
    <w:p w14:paraId="0AEE43DB" w14:textId="77777777" w:rsidR="00191215" w:rsidRPr="00064BD6" w:rsidRDefault="003F4C5A" w:rsidP="00064BD6">
      <w:pPr>
        <w:pStyle w:val="ListParagraph"/>
        <w:numPr>
          <w:ilvl w:val="0"/>
          <w:numId w:val="22"/>
        </w:numPr>
        <w:rPr>
          <w:rFonts w:ascii="Calibri" w:eastAsia="Calibri" w:hAnsi="Calibri" w:cs="Calibri"/>
        </w:rPr>
      </w:pPr>
      <w:r w:rsidRPr="00064BD6">
        <w:rPr>
          <w:rFonts w:ascii="Calibri" w:eastAsia="Calibri" w:hAnsi="Calibri" w:cs="Calibri"/>
        </w:rPr>
        <w:t xml:space="preserve">Positive predictive value (PPV) </w:t>
      </w:r>
    </w:p>
    <w:p w14:paraId="71ADF0B6" w14:textId="77777777" w:rsidR="00191215" w:rsidRDefault="003F4C5A" w:rsidP="00064BD6">
      <w:pPr>
        <w:pStyle w:val="ListParagraph"/>
        <w:numPr>
          <w:ilvl w:val="0"/>
          <w:numId w:val="22"/>
        </w:numPr>
        <w:rPr>
          <w:rFonts w:ascii="Calibri" w:eastAsia="Calibri" w:hAnsi="Calibri" w:cs="Calibri"/>
        </w:rPr>
      </w:pPr>
      <w:r w:rsidRPr="00064BD6">
        <w:rPr>
          <w:rFonts w:ascii="Calibri" w:eastAsia="Calibri" w:hAnsi="Calibri" w:cs="Calibri"/>
        </w:rPr>
        <w:t xml:space="preserve">Negative predictive value (NPV) </w:t>
      </w:r>
    </w:p>
    <w:p w14:paraId="38F87340" w14:textId="77777777" w:rsidR="00191215" w:rsidRDefault="003F4C5A">
      <w:pPr>
        <w:ind w:left="360"/>
        <w:rPr>
          <w:rFonts w:ascii="Calibri" w:eastAsia="Calibri" w:hAnsi="Calibri" w:cs="Calibri"/>
        </w:rPr>
      </w:pPr>
      <w:r>
        <w:rPr>
          <w:rFonts w:ascii="Calibri" w:eastAsia="Calibri" w:hAnsi="Calibri" w:cs="Calibri"/>
        </w:rPr>
        <w:t xml:space="preserve">Clinical utility of test: </w:t>
      </w:r>
    </w:p>
    <w:p w14:paraId="2E6A1EEA" w14:textId="77777777" w:rsidR="00191215" w:rsidRPr="00064BD6" w:rsidRDefault="003F4C5A" w:rsidP="00064BD6">
      <w:pPr>
        <w:pStyle w:val="ListParagraph"/>
        <w:numPr>
          <w:ilvl w:val="0"/>
          <w:numId w:val="23"/>
        </w:numPr>
        <w:rPr>
          <w:rFonts w:ascii="Calibri" w:eastAsia="Calibri" w:hAnsi="Calibri" w:cs="Calibri"/>
        </w:rPr>
      </w:pPr>
      <w:r w:rsidRPr="00064BD6">
        <w:rPr>
          <w:rFonts w:ascii="Calibri" w:eastAsia="Calibri" w:hAnsi="Calibri" w:cs="Calibri"/>
        </w:rPr>
        <w:t>Predictive effect of testing of patients to detect DKD</w:t>
      </w:r>
    </w:p>
    <w:p w14:paraId="426196AB" w14:textId="77777777" w:rsidR="00191215" w:rsidRDefault="003F4C5A">
      <w:pPr>
        <w:ind w:left="360"/>
        <w:rPr>
          <w:rFonts w:ascii="Calibri" w:eastAsia="Calibri" w:hAnsi="Calibri" w:cs="Calibri"/>
        </w:rPr>
      </w:pPr>
      <w:r>
        <w:rPr>
          <w:rFonts w:ascii="Calibri" w:eastAsia="Calibri" w:hAnsi="Calibri" w:cs="Calibri"/>
        </w:rPr>
        <w:t xml:space="preserve">Other test-related considerations: </w:t>
      </w:r>
    </w:p>
    <w:p w14:paraId="34DE07EC" w14:textId="77777777" w:rsidR="00191215" w:rsidRPr="00064BD6" w:rsidRDefault="003F4C5A" w:rsidP="00064BD6">
      <w:pPr>
        <w:pStyle w:val="ListParagraph"/>
        <w:numPr>
          <w:ilvl w:val="0"/>
          <w:numId w:val="23"/>
        </w:numPr>
        <w:rPr>
          <w:rFonts w:ascii="Calibri" w:eastAsia="Calibri" w:hAnsi="Calibri" w:cs="Calibri"/>
          <w:szCs w:val="20"/>
        </w:rPr>
      </w:pPr>
      <w:r w:rsidRPr="00064BD6">
        <w:rPr>
          <w:rFonts w:ascii="Calibri" w:eastAsia="Calibri" w:hAnsi="Calibri" w:cs="Calibri"/>
        </w:rPr>
        <w:t>Patients initiated on treatment</w:t>
      </w:r>
    </w:p>
    <w:p w14:paraId="44E2AE7E" w14:textId="77777777" w:rsidR="00191215" w:rsidRPr="00064BD6" w:rsidRDefault="003F4C5A" w:rsidP="00064BD6">
      <w:pPr>
        <w:pStyle w:val="ListParagraph"/>
        <w:numPr>
          <w:ilvl w:val="0"/>
          <w:numId w:val="23"/>
        </w:numPr>
        <w:rPr>
          <w:rFonts w:ascii="Calibri" w:eastAsia="Calibri" w:hAnsi="Calibri" w:cs="Calibri"/>
        </w:rPr>
      </w:pPr>
      <w:r w:rsidRPr="00064BD6">
        <w:rPr>
          <w:rFonts w:ascii="Calibri" w:eastAsia="Calibri" w:hAnsi="Calibri" w:cs="Calibri"/>
        </w:rPr>
        <w:t xml:space="preserve">Estimated number of patients being tested </w:t>
      </w:r>
    </w:p>
    <w:p w14:paraId="474CF5BC" w14:textId="77777777" w:rsidR="00191215" w:rsidRPr="00064BD6" w:rsidRDefault="003F4C5A" w:rsidP="00064BD6">
      <w:pPr>
        <w:pStyle w:val="ListParagraph"/>
        <w:numPr>
          <w:ilvl w:val="0"/>
          <w:numId w:val="23"/>
        </w:numPr>
        <w:rPr>
          <w:rFonts w:ascii="Calibri" w:eastAsia="Calibri" w:hAnsi="Calibri" w:cs="Calibri"/>
        </w:rPr>
      </w:pPr>
      <w:r w:rsidRPr="00064BD6">
        <w:rPr>
          <w:rFonts w:ascii="Calibri" w:eastAsia="Calibri" w:hAnsi="Calibri" w:cs="Calibri"/>
        </w:rPr>
        <w:t xml:space="preserve">Number needed to test </w:t>
      </w:r>
    </w:p>
    <w:p w14:paraId="6E7BFE97" w14:textId="77777777" w:rsidR="00191215" w:rsidRPr="00064BD6" w:rsidRDefault="003F4C5A" w:rsidP="00064BD6">
      <w:pPr>
        <w:pStyle w:val="ListParagraph"/>
        <w:numPr>
          <w:ilvl w:val="0"/>
          <w:numId w:val="23"/>
        </w:numPr>
        <w:rPr>
          <w:rFonts w:ascii="Calibri" w:eastAsia="Calibri" w:hAnsi="Calibri" w:cs="Calibri"/>
        </w:rPr>
      </w:pPr>
      <w:r w:rsidRPr="00064BD6">
        <w:rPr>
          <w:rFonts w:ascii="Calibri" w:eastAsia="Calibri" w:hAnsi="Calibri" w:cs="Calibri"/>
        </w:rPr>
        <w:t>Cost of testing per patient</w:t>
      </w:r>
    </w:p>
    <w:p w14:paraId="0D3CD6D2" w14:textId="77777777" w:rsidR="00191215" w:rsidRDefault="003F4C5A">
      <w:pPr>
        <w:pStyle w:val="Heading1"/>
      </w:pPr>
      <w:r>
        <w:br w:type="page"/>
        <w:t>PART 7 – INFORMATION ABOUT ESTIMATED UTILISATION</w:t>
      </w:r>
    </w:p>
    <w:p w14:paraId="720A002A" w14:textId="77777777" w:rsidR="00191215" w:rsidRDefault="003F4C5A" w:rsidP="008944A2">
      <w:pPr>
        <w:pStyle w:val="Heading2"/>
        <w:contextualSpacing w:val="0"/>
      </w:pPr>
      <w:r>
        <w:t>Estimate the prevalence and/or incidence of the condition in the proposed population:</w:t>
      </w:r>
    </w:p>
    <w:p w14:paraId="04B54F36" w14:textId="50A520F2" w:rsidR="00191215" w:rsidRDefault="003F4C5A" w:rsidP="008944A2">
      <w:pPr>
        <w:ind w:left="360"/>
      </w:pPr>
      <w:r>
        <w:t xml:space="preserve">The prevalence rate of type 2 diabetes in Australia is 5.3%, resulting in 1.1 million Australian adults expected to be diagnosed in 2022. </w:t>
      </w:r>
    </w:p>
    <w:p w14:paraId="3AAC7926" w14:textId="77777777" w:rsidR="00191215" w:rsidRDefault="003F4C5A" w:rsidP="008944A2">
      <w:pPr>
        <w:ind w:left="360"/>
      </w:pPr>
      <w:proofErr w:type="gramStart"/>
      <w:r>
        <w:t>In order to</w:t>
      </w:r>
      <w:proofErr w:type="gramEnd"/>
      <w:r>
        <w:t xml:space="preserve"> be eligible for </w:t>
      </w:r>
      <w:proofErr w:type="spellStart"/>
      <w:r>
        <w:t>PromarkerD</w:t>
      </w:r>
      <w:proofErr w:type="spellEnd"/>
      <w:r>
        <w:t>, patients with type 2 diabetes must meet the following criteria:</w:t>
      </w:r>
    </w:p>
    <w:p w14:paraId="05B078EE" w14:textId="77777777" w:rsidR="00191215" w:rsidRDefault="003F4C5A" w:rsidP="008944A2">
      <w:pPr>
        <w:pStyle w:val="ListParagraph"/>
        <w:numPr>
          <w:ilvl w:val="0"/>
          <w:numId w:val="17"/>
        </w:numPr>
        <w:contextualSpacing w:val="0"/>
      </w:pPr>
      <w:bookmarkStart w:id="7" w:name="_Hlk77881508"/>
      <w:r>
        <w:t>Estimated glomerular filtration rate (eGFR) of greater than or equal to 60ml/min/1.73m</w:t>
      </w:r>
      <w:r>
        <w:rPr>
          <w:vertAlign w:val="superscript"/>
        </w:rPr>
        <w:t>2</w:t>
      </w:r>
      <w:r>
        <w:t>; and</w:t>
      </w:r>
    </w:p>
    <w:p w14:paraId="5E1BF8EF" w14:textId="0014F7D3" w:rsidR="00191215" w:rsidRDefault="003F4C5A" w:rsidP="008944A2">
      <w:pPr>
        <w:pStyle w:val="ListParagraph"/>
        <w:numPr>
          <w:ilvl w:val="0"/>
          <w:numId w:val="17"/>
        </w:numPr>
        <w:contextualSpacing w:val="0"/>
      </w:pPr>
      <w:r>
        <w:t>Albumin: Creatinine Ratio (</w:t>
      </w:r>
      <w:proofErr w:type="spellStart"/>
      <w:r>
        <w:t>uACR</w:t>
      </w:r>
      <w:proofErr w:type="spellEnd"/>
      <w:r>
        <w:t>) test results of less than or equal to 30mg/mmol.</w:t>
      </w:r>
    </w:p>
    <w:bookmarkEnd w:id="7"/>
    <w:p w14:paraId="7229C4AF" w14:textId="4213135C" w:rsidR="00191215" w:rsidRDefault="003F4C5A" w:rsidP="008944A2">
      <w:pPr>
        <w:ind w:firstLine="360"/>
      </w:pPr>
      <w:r>
        <w:t xml:space="preserve">According to the </w:t>
      </w:r>
      <w:r w:rsidR="007B25FF" w:rsidRPr="00190BB0">
        <w:t>Fremantle Diabetes Study</w:t>
      </w:r>
      <w:r>
        <w:t>, it was reported that:</w:t>
      </w:r>
    </w:p>
    <w:p w14:paraId="476B61F0" w14:textId="70DA7A99" w:rsidR="00191215" w:rsidRPr="00190BB0" w:rsidRDefault="007B25FF" w:rsidP="008944A2">
      <w:pPr>
        <w:pStyle w:val="ListParagraph"/>
        <w:numPr>
          <w:ilvl w:val="0"/>
          <w:numId w:val="18"/>
        </w:numPr>
        <w:ind w:hanging="294"/>
        <w:contextualSpacing w:val="0"/>
      </w:pPr>
      <w:r w:rsidRPr="00190BB0">
        <w:t xml:space="preserve">84.6% </w:t>
      </w:r>
      <w:r w:rsidR="003F4C5A" w:rsidRPr="00190BB0">
        <w:t>of patients with type 2 diabetes have an eGFR of greater than or equal to 60ml/min/1.73m</w:t>
      </w:r>
      <w:r w:rsidR="003F4C5A" w:rsidRPr="00190BB0">
        <w:rPr>
          <w:vertAlign w:val="superscript"/>
        </w:rPr>
        <w:t>2</w:t>
      </w:r>
      <w:r w:rsidR="003F4C5A" w:rsidRPr="00190BB0">
        <w:t xml:space="preserve"> and </w:t>
      </w:r>
      <w:proofErr w:type="spellStart"/>
      <w:r w:rsidR="003F4C5A" w:rsidRPr="00190BB0">
        <w:t>uACR</w:t>
      </w:r>
      <w:proofErr w:type="spellEnd"/>
      <w:r w:rsidR="003F4C5A" w:rsidRPr="00190BB0">
        <w:t xml:space="preserve"> test result of less than or equal to 30mg/mmol.</w:t>
      </w:r>
    </w:p>
    <w:p w14:paraId="74402E43" w14:textId="0A29A8DB" w:rsidR="00191215" w:rsidRDefault="007B25FF" w:rsidP="00190BB0">
      <w:pPr>
        <w:pStyle w:val="ListParagraph"/>
        <w:numPr>
          <w:ilvl w:val="0"/>
          <w:numId w:val="18"/>
        </w:numPr>
        <w:ind w:hanging="294"/>
        <w:contextualSpacing w:val="0"/>
      </w:pPr>
      <w:r w:rsidRPr="00190BB0">
        <w:t xml:space="preserve">30% </w:t>
      </w:r>
      <w:r w:rsidR="003F4C5A">
        <w:t xml:space="preserve">of eligible patients have a moderate to high-risk </w:t>
      </w:r>
      <w:proofErr w:type="spellStart"/>
      <w:r w:rsidR="00064BD6">
        <w:t>PromarkerD</w:t>
      </w:r>
      <w:proofErr w:type="spellEnd"/>
      <w:r w:rsidR="00064BD6">
        <w:t xml:space="preserve"> </w:t>
      </w:r>
      <w:r w:rsidR="003F4C5A">
        <w:t>test score.</w:t>
      </w:r>
    </w:p>
    <w:p w14:paraId="5D3BC257" w14:textId="77777777" w:rsidR="00191215" w:rsidRDefault="003F4C5A" w:rsidP="008944A2">
      <w:pPr>
        <w:pStyle w:val="Heading2"/>
        <w:contextualSpacing w:val="0"/>
      </w:pPr>
      <w:r>
        <w:t>Estimate the number of times the proposed medical service/technology would be delivered to a patient per year:</w:t>
      </w:r>
    </w:p>
    <w:p w14:paraId="5C372641" w14:textId="4FB44881" w:rsidR="00191215" w:rsidRDefault="003F4C5A" w:rsidP="008944A2">
      <w:pPr>
        <w:ind w:left="360"/>
        <w:rPr>
          <w:szCs w:val="20"/>
        </w:rPr>
      </w:pPr>
      <w:r>
        <w:t xml:space="preserve">Patients will be limited to one test every 4 years, however, patients with a moderate to high-risk score are eligible for the test once every 2 years. Additional clinical decision impact/ clinical utility data (manuscript </w:t>
      </w:r>
      <w:r w:rsidR="000250CC">
        <w:t>submitted</w:t>
      </w:r>
      <w:r>
        <w:t xml:space="preserve">, see upcoming publications in Question </w:t>
      </w:r>
      <w:r>
        <w:fldChar w:fldCharType="begin"/>
      </w:r>
      <w:r>
        <w:instrText xml:space="preserve"> REF _Ref77866238 \r \h </w:instrText>
      </w:r>
      <w:r w:rsidR="008944A2">
        <w:instrText xml:space="preserve"> \* MERGEFORMAT </w:instrText>
      </w:r>
      <w:r>
        <w:fldChar w:fldCharType="separate"/>
      </w:r>
      <w:r w:rsidR="00455523">
        <w:t>17</w:t>
      </w:r>
      <w:r>
        <w:fldChar w:fldCharType="end"/>
      </w:r>
      <w:r>
        <w:t xml:space="preserve">) will support the basis for future testing depending on other treatments clinicians recommend for patients to mitigate risks after receiving </w:t>
      </w:r>
      <w:proofErr w:type="spellStart"/>
      <w:r>
        <w:t>PromarkerD</w:t>
      </w:r>
      <w:proofErr w:type="spellEnd"/>
      <w:r>
        <w:t xml:space="preserve"> results.</w:t>
      </w:r>
    </w:p>
    <w:p w14:paraId="4AC38512" w14:textId="77777777" w:rsidR="00191215" w:rsidRDefault="003F4C5A" w:rsidP="008944A2">
      <w:pPr>
        <w:pStyle w:val="Heading2"/>
        <w:contextualSpacing w:val="0"/>
      </w:pPr>
      <w:r>
        <w:t>How many years would the proposed medical service/technology be required for the patient?</w:t>
      </w:r>
    </w:p>
    <w:p w14:paraId="08C466D1" w14:textId="2432B41D" w:rsidR="00191215" w:rsidRPr="008944A2" w:rsidRDefault="003F4C5A" w:rsidP="008944A2">
      <w:pPr>
        <w:ind w:left="360"/>
      </w:pPr>
      <w:r>
        <w:t xml:space="preserve">Only one test per 4 years per eligible patient is necessary, however, patients with a moderate to high-risk score are eligible for the test once every 2 years. Clinicians should increase interventions </w:t>
      </w:r>
      <w:proofErr w:type="gramStart"/>
      <w:r>
        <w:t>on the basis of</w:t>
      </w:r>
      <w:proofErr w:type="gramEnd"/>
      <w:r>
        <w:t xml:space="preserve"> </w:t>
      </w:r>
      <w:proofErr w:type="spellStart"/>
      <w:r>
        <w:t>PromarkerD</w:t>
      </w:r>
      <w:proofErr w:type="spellEnd"/>
      <w:r>
        <w:t xml:space="preserve"> risk. Data is soon to be published which will support the basis for future testing (see upcoming publications in Question </w:t>
      </w:r>
      <w:r>
        <w:fldChar w:fldCharType="begin"/>
      </w:r>
      <w:r>
        <w:instrText xml:space="preserve"> REF _Ref77866238 \r \h </w:instrText>
      </w:r>
      <w:r w:rsidR="008944A2">
        <w:instrText xml:space="preserve"> \* MERGEFORMAT </w:instrText>
      </w:r>
      <w:r>
        <w:fldChar w:fldCharType="separate"/>
      </w:r>
      <w:r w:rsidR="00455523">
        <w:t>17</w:t>
      </w:r>
      <w:r>
        <w:fldChar w:fldCharType="end"/>
      </w:r>
      <w:r>
        <w:t>).</w:t>
      </w:r>
    </w:p>
    <w:p w14:paraId="71A90C6E" w14:textId="77777777" w:rsidR="00191215" w:rsidRDefault="003F4C5A" w:rsidP="008944A2">
      <w:pPr>
        <w:pStyle w:val="Heading2"/>
        <w:contextualSpacing w:val="0"/>
        <w:rPr>
          <w:b w:val="0"/>
        </w:rPr>
      </w:pPr>
      <w:r>
        <w:t>Estimate the projected number of patients who will utilise the proposed medical service(s) for the first full year:</w:t>
      </w:r>
    </w:p>
    <w:p w14:paraId="7D4ED41D" w14:textId="25D9006F" w:rsidR="00191215" w:rsidRPr="007B25FF" w:rsidRDefault="003F4C5A" w:rsidP="008944A2">
      <w:pPr>
        <w:ind w:left="360"/>
      </w:pPr>
      <w:r w:rsidRPr="007B25FF">
        <w:t xml:space="preserve">Applying a prevalence rate of 5.3% to the Australian adult population in 2022, results in an estimated 1.1 million adults with type 2 diabetes. From this prevalent population, </w:t>
      </w:r>
      <w:r w:rsidR="008A083B" w:rsidRPr="00190BB0">
        <w:rPr>
          <w:b/>
          <w:bCs/>
          <w:sz w:val="22"/>
          <w:szCs w:val="24"/>
        </w:rPr>
        <w:t>REDACTED</w:t>
      </w:r>
      <w:r w:rsidR="00190BB0">
        <w:rPr>
          <w:b/>
          <w:bCs/>
        </w:rPr>
        <w:t xml:space="preserve"> </w:t>
      </w:r>
      <w:r w:rsidRPr="007B25FF">
        <w:t>of patients are expected to have both an eGFR of greater than or equal to 60ml/min/1.73m</w:t>
      </w:r>
      <w:r w:rsidRPr="007B25FF">
        <w:rPr>
          <w:vertAlign w:val="superscript"/>
        </w:rPr>
        <w:t>2</w:t>
      </w:r>
      <w:r w:rsidRPr="007B25FF">
        <w:t xml:space="preserve"> and </w:t>
      </w:r>
      <w:proofErr w:type="spellStart"/>
      <w:r w:rsidRPr="007B25FF">
        <w:t>uACR</w:t>
      </w:r>
      <w:proofErr w:type="spellEnd"/>
      <w:r w:rsidRPr="007B25FF">
        <w:t xml:space="preserve"> test result of less than or equal to 30mg/mmol</w:t>
      </w:r>
      <w:r w:rsidR="00F456D8" w:rsidRPr="007B25FF">
        <w:t xml:space="preserve"> (</w:t>
      </w:r>
      <w:r w:rsidR="008A083B" w:rsidRPr="00190BB0">
        <w:rPr>
          <w:b/>
          <w:bCs/>
          <w:sz w:val="22"/>
          <w:szCs w:val="24"/>
        </w:rPr>
        <w:t>REDACTED</w:t>
      </w:r>
      <w:r w:rsidR="00F456D8" w:rsidRPr="007B25FF">
        <w:t>)</w:t>
      </w:r>
      <w:r w:rsidRPr="007B25FF">
        <w:t xml:space="preserve">. </w:t>
      </w:r>
    </w:p>
    <w:p w14:paraId="542C5BFD" w14:textId="16EA54B7" w:rsidR="00191215" w:rsidRPr="007B25FF" w:rsidRDefault="003F4C5A" w:rsidP="008944A2">
      <w:pPr>
        <w:ind w:left="360"/>
      </w:pPr>
      <w:r w:rsidRPr="007B25FF">
        <w:t xml:space="preserve">With patients limited to one test every four years, the eligible population must therefore be divided by four, </w:t>
      </w:r>
      <w:proofErr w:type="gramStart"/>
      <w:r w:rsidRPr="007B25FF">
        <w:t>in order to</w:t>
      </w:r>
      <w:proofErr w:type="gramEnd"/>
      <w:r w:rsidRPr="007B25FF">
        <w:t xml:space="preserve"> estimate the annual eligible population. This results in approximately </w:t>
      </w:r>
      <w:r w:rsidR="008A083B" w:rsidRPr="00190BB0">
        <w:rPr>
          <w:b/>
          <w:bCs/>
          <w:sz w:val="22"/>
          <w:szCs w:val="24"/>
        </w:rPr>
        <w:t>REDACTED</w:t>
      </w:r>
      <w:r w:rsidR="008A083B" w:rsidRPr="007B25FF">
        <w:t xml:space="preserve"> </w:t>
      </w:r>
      <w:r w:rsidRPr="007B25FF">
        <w:t xml:space="preserve">patients eligible for </w:t>
      </w:r>
      <w:proofErr w:type="spellStart"/>
      <w:r w:rsidRPr="007B25FF">
        <w:t>PromarkerD</w:t>
      </w:r>
      <w:proofErr w:type="spellEnd"/>
      <w:r w:rsidRPr="007B25FF">
        <w:t xml:space="preserve"> in </w:t>
      </w:r>
      <w:r w:rsidR="00190BB0" w:rsidRPr="00190BB0">
        <w:rPr>
          <w:b/>
          <w:bCs/>
          <w:sz w:val="22"/>
          <w:szCs w:val="24"/>
        </w:rPr>
        <w:t>REDACTED</w:t>
      </w:r>
      <w:r w:rsidRPr="007B25FF">
        <w:t>.</w:t>
      </w:r>
    </w:p>
    <w:p w14:paraId="65E018D5" w14:textId="220B4815" w:rsidR="009E6557" w:rsidRPr="007B25FF" w:rsidRDefault="003F4C5A" w:rsidP="008944A2">
      <w:pPr>
        <w:ind w:left="360"/>
      </w:pPr>
      <w:r w:rsidRPr="007B25FF">
        <w:t xml:space="preserve">From this eligible population, clinical experts expect an uptake rate of </w:t>
      </w:r>
      <w:r w:rsidR="008A083B" w:rsidRPr="00190BB0">
        <w:rPr>
          <w:b/>
          <w:bCs/>
          <w:sz w:val="22"/>
          <w:szCs w:val="24"/>
        </w:rPr>
        <w:t>REDACTED</w:t>
      </w:r>
      <w:r w:rsidR="007B25FF">
        <w:rPr>
          <w:b/>
          <w:bCs/>
        </w:rPr>
        <w:t xml:space="preserve"> </w:t>
      </w:r>
      <w:r w:rsidRPr="007B25FF">
        <w:t>in the first year of listing, resulting in approximately</w:t>
      </w:r>
      <w:r w:rsidRPr="00190BB0">
        <w:rPr>
          <w:sz w:val="22"/>
          <w:szCs w:val="24"/>
        </w:rPr>
        <w:t xml:space="preserve"> </w:t>
      </w:r>
      <w:r w:rsidR="008A083B" w:rsidRPr="00190BB0">
        <w:rPr>
          <w:b/>
          <w:bCs/>
          <w:sz w:val="22"/>
          <w:szCs w:val="24"/>
        </w:rPr>
        <w:t>REDACTED</w:t>
      </w:r>
      <w:r w:rsidR="008A083B" w:rsidRPr="00190BB0">
        <w:rPr>
          <w:sz w:val="22"/>
          <w:szCs w:val="24"/>
        </w:rPr>
        <w:t xml:space="preserve"> </w:t>
      </w:r>
      <w:r w:rsidRPr="007B25FF">
        <w:t xml:space="preserve">patients expected to utilise </w:t>
      </w:r>
      <w:proofErr w:type="spellStart"/>
      <w:r w:rsidRPr="007B25FF">
        <w:t>PromarkerD</w:t>
      </w:r>
      <w:proofErr w:type="spellEnd"/>
      <w:r w:rsidRPr="007B25FF">
        <w:t xml:space="preserve"> in </w:t>
      </w:r>
      <w:r w:rsidR="008A083B" w:rsidRPr="00190BB0">
        <w:rPr>
          <w:b/>
          <w:bCs/>
          <w:sz w:val="22"/>
          <w:szCs w:val="24"/>
        </w:rPr>
        <w:t>REDACTED</w:t>
      </w:r>
      <w:r w:rsidRPr="007B25FF">
        <w:t xml:space="preserve">. </w:t>
      </w:r>
    </w:p>
    <w:p w14:paraId="2A6A470E" w14:textId="77777777" w:rsidR="008944A2" w:rsidRPr="007B25FF" w:rsidRDefault="009E6557" w:rsidP="008944A2">
      <w:pPr>
        <w:ind w:left="360"/>
      </w:pPr>
      <w:r w:rsidRPr="007B25FF">
        <w:t xml:space="preserve">The </w:t>
      </w:r>
      <w:proofErr w:type="spellStart"/>
      <w:r w:rsidRPr="007B25FF">
        <w:t>PromarkerD</w:t>
      </w:r>
      <w:proofErr w:type="spellEnd"/>
      <w:r w:rsidRPr="007B25FF">
        <w:t xml:space="preserve"> test predicts DKD up to 4 years in advance, hence </w:t>
      </w:r>
      <w:r w:rsidR="00466B22" w:rsidRPr="007B25FF">
        <w:t>four</w:t>
      </w:r>
      <w:r w:rsidR="00064BD6" w:rsidRPr="007B25FF">
        <w:t>-</w:t>
      </w:r>
      <w:r w:rsidR="00466B22" w:rsidRPr="007B25FF">
        <w:t xml:space="preserve">year </w:t>
      </w:r>
      <w:r w:rsidRPr="007B25FF">
        <w:t xml:space="preserve">utilisation numbers are provided to reflect this time frame (Table 3). </w:t>
      </w:r>
    </w:p>
    <w:p w14:paraId="7284B0A9" w14:textId="77777777" w:rsidR="008944A2" w:rsidRPr="007B25FF" w:rsidRDefault="008A3A38" w:rsidP="008944A2">
      <w:pPr>
        <w:ind w:left="360"/>
      </w:pPr>
      <w:r w:rsidRPr="007B25FF">
        <w:rPr>
          <w:b/>
          <w:bCs/>
        </w:rPr>
        <w:t>REDACTED</w:t>
      </w:r>
      <w:r w:rsidRPr="007B25FF">
        <w:t xml:space="preserve"> </w:t>
      </w:r>
      <w:r w:rsidR="003F4C5A" w:rsidRPr="007B25FF">
        <w:t xml:space="preserve">of eligible patients will have a moderate to high-risk score and will therefore be eligible for one test every two years as opposed to four years. This value was divided by two (one test per two years) and added to the annual </w:t>
      </w:r>
      <w:proofErr w:type="spellStart"/>
      <w:r w:rsidR="003F4C5A" w:rsidRPr="007B25FF">
        <w:t>PromarkerD</w:t>
      </w:r>
      <w:proofErr w:type="spellEnd"/>
      <w:r w:rsidR="003F4C5A" w:rsidRPr="007B25FF">
        <w:t xml:space="preserve"> population to calculate the total number of </w:t>
      </w:r>
      <w:proofErr w:type="spellStart"/>
      <w:r w:rsidR="003F4C5A" w:rsidRPr="007B25FF">
        <w:t>PromarkerD</w:t>
      </w:r>
      <w:proofErr w:type="spellEnd"/>
      <w:r w:rsidR="003F4C5A" w:rsidRPr="007B25FF">
        <w:t xml:space="preserve"> services. </w:t>
      </w:r>
      <w:r w:rsidRPr="007B25FF">
        <w:t xml:space="preserve"> </w:t>
      </w:r>
    </w:p>
    <w:p w14:paraId="4923819A" w14:textId="77777777" w:rsidR="00190BB0" w:rsidRDefault="00190BB0">
      <w:pPr>
        <w:spacing w:before="0" w:after="200" w:line="276" w:lineRule="auto"/>
        <w:rPr>
          <w:b/>
          <w:bCs/>
          <w:szCs w:val="20"/>
        </w:rPr>
      </w:pPr>
      <w:r>
        <w:rPr>
          <w:b/>
          <w:bCs/>
          <w:szCs w:val="20"/>
        </w:rPr>
        <w:br w:type="page"/>
      </w:r>
    </w:p>
    <w:p w14:paraId="3C90FB28" w14:textId="6131A8BF" w:rsidR="00191215" w:rsidRPr="008944A2" w:rsidRDefault="008612CE" w:rsidP="008944A2">
      <w:pPr>
        <w:ind w:left="360"/>
      </w:pPr>
      <w:r w:rsidRPr="007B25FF">
        <w:rPr>
          <w:b/>
          <w:bCs/>
          <w:szCs w:val="20"/>
        </w:rPr>
        <w:t>Table 3</w:t>
      </w:r>
      <w:r w:rsidRPr="007B25FF">
        <w:rPr>
          <w:szCs w:val="20"/>
        </w:rPr>
        <w:t xml:space="preserve">. </w:t>
      </w:r>
      <w:r w:rsidR="003F4C5A" w:rsidRPr="007B25FF">
        <w:rPr>
          <w:szCs w:val="20"/>
        </w:rPr>
        <w:t xml:space="preserve">The estimated utilisation of </w:t>
      </w:r>
      <w:proofErr w:type="spellStart"/>
      <w:r w:rsidR="003F4C5A" w:rsidRPr="007B25FF">
        <w:rPr>
          <w:szCs w:val="20"/>
        </w:rPr>
        <w:t>PromarkerD</w:t>
      </w:r>
      <w:proofErr w:type="spellEnd"/>
      <w:r w:rsidR="003F4C5A" w:rsidRPr="007B25FF">
        <w:rPr>
          <w:szCs w:val="20"/>
        </w:rPr>
        <w:t xml:space="preserve"> across the first four years of listing.</w:t>
      </w:r>
    </w:p>
    <w:tbl>
      <w:tblPr>
        <w:tblStyle w:val="TableGrid"/>
        <w:tblW w:w="0" w:type="auto"/>
        <w:tblInd w:w="421" w:type="dxa"/>
        <w:tblLayout w:type="fixed"/>
        <w:tblLook w:val="04A0" w:firstRow="1" w:lastRow="0" w:firstColumn="1" w:lastColumn="0" w:noHBand="0" w:noVBand="1"/>
      </w:tblPr>
      <w:tblGrid>
        <w:gridCol w:w="3669"/>
        <w:gridCol w:w="1231"/>
        <w:gridCol w:w="1232"/>
        <w:gridCol w:w="1231"/>
        <w:gridCol w:w="1232"/>
      </w:tblGrid>
      <w:tr w:rsidR="00191215" w:rsidRPr="008944A2" w14:paraId="6F7DBE01" w14:textId="77777777">
        <w:trPr>
          <w:trHeight w:val="265"/>
          <w:tblHeader/>
        </w:trPr>
        <w:tc>
          <w:tcPr>
            <w:tcW w:w="3669" w:type="dxa"/>
            <w:shd w:val="clear" w:color="auto" w:fill="DBE5F1" w:themeFill="accent1" w:themeFillTint="33"/>
            <w:noWrap/>
            <w:hideMark/>
          </w:tcPr>
          <w:p w14:paraId="20FFF683" w14:textId="77777777" w:rsidR="00191215" w:rsidRPr="00C53509" w:rsidRDefault="00191215">
            <w:pPr>
              <w:pStyle w:val="ListParagraph"/>
              <w:ind w:left="0"/>
              <w:jc w:val="center"/>
              <w:rPr>
                <w:b/>
                <w:szCs w:val="20"/>
              </w:rPr>
            </w:pPr>
          </w:p>
        </w:tc>
        <w:tc>
          <w:tcPr>
            <w:tcW w:w="1231" w:type="dxa"/>
            <w:shd w:val="clear" w:color="auto" w:fill="DBE5F1" w:themeFill="accent1" w:themeFillTint="33"/>
            <w:noWrap/>
            <w:vAlign w:val="center"/>
            <w:hideMark/>
          </w:tcPr>
          <w:p w14:paraId="16A0D649" w14:textId="77777777" w:rsidR="00191215" w:rsidRPr="00C53509" w:rsidRDefault="003F4C5A">
            <w:pPr>
              <w:pStyle w:val="ListParagraph"/>
              <w:ind w:left="0"/>
              <w:jc w:val="right"/>
              <w:rPr>
                <w:b/>
                <w:szCs w:val="20"/>
              </w:rPr>
            </w:pPr>
            <w:r w:rsidRPr="00C53509">
              <w:rPr>
                <w:b/>
                <w:szCs w:val="20"/>
              </w:rPr>
              <w:t>2022</w:t>
            </w:r>
          </w:p>
        </w:tc>
        <w:tc>
          <w:tcPr>
            <w:tcW w:w="1232" w:type="dxa"/>
            <w:shd w:val="clear" w:color="auto" w:fill="DBE5F1" w:themeFill="accent1" w:themeFillTint="33"/>
            <w:noWrap/>
            <w:vAlign w:val="center"/>
            <w:hideMark/>
          </w:tcPr>
          <w:p w14:paraId="33496811" w14:textId="77777777" w:rsidR="00191215" w:rsidRPr="00C53509" w:rsidRDefault="003F4C5A">
            <w:pPr>
              <w:pStyle w:val="ListParagraph"/>
              <w:ind w:left="0"/>
              <w:jc w:val="right"/>
              <w:rPr>
                <w:b/>
                <w:szCs w:val="20"/>
              </w:rPr>
            </w:pPr>
            <w:r w:rsidRPr="00C53509">
              <w:rPr>
                <w:b/>
                <w:szCs w:val="20"/>
              </w:rPr>
              <w:t>2023</w:t>
            </w:r>
          </w:p>
        </w:tc>
        <w:tc>
          <w:tcPr>
            <w:tcW w:w="1231" w:type="dxa"/>
            <w:shd w:val="clear" w:color="auto" w:fill="DBE5F1" w:themeFill="accent1" w:themeFillTint="33"/>
            <w:noWrap/>
            <w:vAlign w:val="center"/>
            <w:hideMark/>
          </w:tcPr>
          <w:p w14:paraId="222A1AD6" w14:textId="77777777" w:rsidR="00191215" w:rsidRPr="00C53509" w:rsidRDefault="003F4C5A">
            <w:pPr>
              <w:pStyle w:val="ListParagraph"/>
              <w:ind w:left="0"/>
              <w:jc w:val="right"/>
              <w:rPr>
                <w:b/>
                <w:szCs w:val="20"/>
              </w:rPr>
            </w:pPr>
            <w:r w:rsidRPr="00C53509">
              <w:rPr>
                <w:b/>
                <w:szCs w:val="20"/>
              </w:rPr>
              <w:t>2024</w:t>
            </w:r>
          </w:p>
        </w:tc>
        <w:tc>
          <w:tcPr>
            <w:tcW w:w="1232" w:type="dxa"/>
            <w:shd w:val="clear" w:color="auto" w:fill="DBE5F1" w:themeFill="accent1" w:themeFillTint="33"/>
            <w:noWrap/>
            <w:vAlign w:val="center"/>
            <w:hideMark/>
          </w:tcPr>
          <w:p w14:paraId="4454423C" w14:textId="77777777" w:rsidR="00191215" w:rsidRPr="00C53509" w:rsidRDefault="003F4C5A">
            <w:pPr>
              <w:pStyle w:val="ListParagraph"/>
              <w:spacing w:after="0"/>
              <w:ind w:left="0"/>
              <w:jc w:val="right"/>
              <w:rPr>
                <w:b/>
                <w:szCs w:val="20"/>
              </w:rPr>
            </w:pPr>
            <w:r w:rsidRPr="00C53509">
              <w:rPr>
                <w:b/>
                <w:szCs w:val="20"/>
              </w:rPr>
              <w:t>2025</w:t>
            </w:r>
          </w:p>
        </w:tc>
      </w:tr>
      <w:tr w:rsidR="00191215" w:rsidRPr="008944A2" w14:paraId="7C701C79" w14:textId="77777777">
        <w:trPr>
          <w:trHeight w:val="320"/>
        </w:trPr>
        <w:tc>
          <w:tcPr>
            <w:tcW w:w="3669" w:type="dxa"/>
            <w:noWrap/>
            <w:vAlign w:val="center"/>
            <w:hideMark/>
          </w:tcPr>
          <w:p w14:paraId="45EF0DC5" w14:textId="77777777" w:rsidR="00191215" w:rsidRPr="00C53509" w:rsidRDefault="003F4C5A">
            <w:pPr>
              <w:pStyle w:val="ListParagraph"/>
              <w:spacing w:before="0" w:after="0"/>
              <w:ind w:left="0"/>
              <w:rPr>
                <w:szCs w:val="20"/>
              </w:rPr>
            </w:pPr>
            <w:r w:rsidRPr="00C53509">
              <w:rPr>
                <w:szCs w:val="20"/>
              </w:rPr>
              <w:t>Australian Adult Population (</w:t>
            </w:r>
            <w:r w:rsidRPr="00C53509">
              <w:rPr>
                <w:bCs/>
                <w:szCs w:val="20"/>
              </w:rPr>
              <w:t xml:space="preserve">aged </w:t>
            </w:r>
            <w:r w:rsidRPr="00C53509">
              <w:rPr>
                <w:szCs w:val="20"/>
              </w:rPr>
              <w:t>18+)</w:t>
            </w:r>
          </w:p>
        </w:tc>
        <w:tc>
          <w:tcPr>
            <w:tcW w:w="1231" w:type="dxa"/>
            <w:noWrap/>
            <w:hideMark/>
          </w:tcPr>
          <w:p w14:paraId="7EF01D7F" w14:textId="77777777" w:rsidR="00191215" w:rsidRPr="00C53509" w:rsidRDefault="003F4C5A">
            <w:pPr>
              <w:pStyle w:val="ListParagraph"/>
              <w:spacing w:before="0" w:after="0"/>
              <w:ind w:left="0"/>
              <w:jc w:val="right"/>
              <w:rPr>
                <w:szCs w:val="20"/>
              </w:rPr>
            </w:pPr>
            <w:r w:rsidRPr="00C53509">
              <w:rPr>
                <w:szCs w:val="20"/>
              </w:rPr>
              <w:t>20,757,917</w:t>
            </w:r>
          </w:p>
        </w:tc>
        <w:tc>
          <w:tcPr>
            <w:tcW w:w="1232" w:type="dxa"/>
            <w:noWrap/>
            <w:hideMark/>
          </w:tcPr>
          <w:p w14:paraId="5CA896A8" w14:textId="77777777" w:rsidR="00191215" w:rsidRPr="00C53509" w:rsidRDefault="003F4C5A">
            <w:pPr>
              <w:pStyle w:val="ListParagraph"/>
              <w:spacing w:before="0" w:after="0"/>
              <w:ind w:left="0"/>
              <w:jc w:val="right"/>
              <w:rPr>
                <w:szCs w:val="20"/>
              </w:rPr>
            </w:pPr>
            <w:r w:rsidRPr="00C53509">
              <w:rPr>
                <w:szCs w:val="20"/>
              </w:rPr>
              <w:t>21,082,471</w:t>
            </w:r>
          </w:p>
        </w:tc>
        <w:tc>
          <w:tcPr>
            <w:tcW w:w="1231" w:type="dxa"/>
            <w:noWrap/>
            <w:hideMark/>
          </w:tcPr>
          <w:p w14:paraId="4AA89F3F" w14:textId="77777777" w:rsidR="00191215" w:rsidRPr="00C53509" w:rsidRDefault="003F4C5A">
            <w:pPr>
              <w:pStyle w:val="ListParagraph"/>
              <w:spacing w:before="0" w:after="0"/>
              <w:ind w:left="0"/>
              <w:jc w:val="right"/>
              <w:rPr>
                <w:szCs w:val="20"/>
              </w:rPr>
            </w:pPr>
            <w:r w:rsidRPr="00C53509">
              <w:rPr>
                <w:szCs w:val="20"/>
              </w:rPr>
              <w:t>21,411,852</w:t>
            </w:r>
          </w:p>
        </w:tc>
        <w:tc>
          <w:tcPr>
            <w:tcW w:w="1232" w:type="dxa"/>
            <w:noWrap/>
            <w:hideMark/>
          </w:tcPr>
          <w:p w14:paraId="41F20329" w14:textId="77777777" w:rsidR="00191215" w:rsidRPr="00C53509" w:rsidRDefault="003F4C5A">
            <w:pPr>
              <w:pStyle w:val="ListParagraph"/>
              <w:spacing w:before="0" w:after="0"/>
              <w:ind w:left="0"/>
              <w:jc w:val="right"/>
              <w:rPr>
                <w:szCs w:val="20"/>
              </w:rPr>
            </w:pPr>
            <w:r w:rsidRPr="00C53509">
              <w:rPr>
                <w:szCs w:val="20"/>
              </w:rPr>
              <w:t>21,744,502</w:t>
            </w:r>
          </w:p>
        </w:tc>
      </w:tr>
      <w:tr w:rsidR="00191215" w:rsidRPr="008944A2" w14:paraId="35F82F9A" w14:textId="77777777">
        <w:trPr>
          <w:trHeight w:val="320"/>
        </w:trPr>
        <w:tc>
          <w:tcPr>
            <w:tcW w:w="3669" w:type="dxa"/>
            <w:noWrap/>
            <w:vAlign w:val="center"/>
            <w:hideMark/>
          </w:tcPr>
          <w:p w14:paraId="74015354" w14:textId="77777777" w:rsidR="00191215" w:rsidRPr="00C53509" w:rsidRDefault="003F4C5A">
            <w:pPr>
              <w:pStyle w:val="ListParagraph"/>
              <w:spacing w:before="0" w:after="0"/>
              <w:ind w:left="0"/>
              <w:rPr>
                <w:szCs w:val="20"/>
              </w:rPr>
            </w:pPr>
            <w:r w:rsidRPr="00C53509">
              <w:rPr>
                <w:szCs w:val="20"/>
              </w:rPr>
              <w:t>Prevalence of Type 2 Diabetes</w:t>
            </w:r>
          </w:p>
        </w:tc>
        <w:tc>
          <w:tcPr>
            <w:tcW w:w="1231" w:type="dxa"/>
            <w:noWrap/>
            <w:hideMark/>
          </w:tcPr>
          <w:p w14:paraId="71E6A3A4" w14:textId="77777777" w:rsidR="00191215" w:rsidRPr="00C53509" w:rsidRDefault="003F4C5A">
            <w:pPr>
              <w:pStyle w:val="ListParagraph"/>
              <w:spacing w:before="0" w:after="0"/>
              <w:ind w:left="0"/>
              <w:jc w:val="right"/>
              <w:rPr>
                <w:szCs w:val="20"/>
              </w:rPr>
            </w:pPr>
            <w:r w:rsidRPr="00C53509">
              <w:rPr>
                <w:szCs w:val="20"/>
              </w:rPr>
              <w:t>5.3%</w:t>
            </w:r>
          </w:p>
        </w:tc>
        <w:tc>
          <w:tcPr>
            <w:tcW w:w="1232" w:type="dxa"/>
            <w:noWrap/>
            <w:hideMark/>
          </w:tcPr>
          <w:p w14:paraId="3820BA99" w14:textId="77777777" w:rsidR="00191215" w:rsidRPr="00C53509" w:rsidRDefault="003F4C5A">
            <w:pPr>
              <w:pStyle w:val="ListParagraph"/>
              <w:spacing w:before="0" w:after="0"/>
              <w:ind w:left="0"/>
              <w:jc w:val="right"/>
              <w:rPr>
                <w:szCs w:val="20"/>
              </w:rPr>
            </w:pPr>
            <w:r w:rsidRPr="00C53509">
              <w:rPr>
                <w:szCs w:val="20"/>
              </w:rPr>
              <w:t>5.3%</w:t>
            </w:r>
          </w:p>
        </w:tc>
        <w:tc>
          <w:tcPr>
            <w:tcW w:w="1231" w:type="dxa"/>
            <w:noWrap/>
            <w:hideMark/>
          </w:tcPr>
          <w:p w14:paraId="5AA34856" w14:textId="77777777" w:rsidR="00191215" w:rsidRPr="00C53509" w:rsidRDefault="003F4C5A">
            <w:pPr>
              <w:pStyle w:val="ListParagraph"/>
              <w:spacing w:before="0" w:after="0"/>
              <w:ind w:left="0"/>
              <w:jc w:val="right"/>
              <w:rPr>
                <w:szCs w:val="20"/>
              </w:rPr>
            </w:pPr>
            <w:r w:rsidRPr="00C53509">
              <w:rPr>
                <w:szCs w:val="20"/>
              </w:rPr>
              <w:t>5.3%</w:t>
            </w:r>
          </w:p>
        </w:tc>
        <w:tc>
          <w:tcPr>
            <w:tcW w:w="1232" w:type="dxa"/>
            <w:noWrap/>
            <w:hideMark/>
          </w:tcPr>
          <w:p w14:paraId="451AF364" w14:textId="77777777" w:rsidR="00191215" w:rsidRPr="00C53509" w:rsidRDefault="003F4C5A">
            <w:pPr>
              <w:pStyle w:val="ListParagraph"/>
              <w:spacing w:before="0" w:after="0"/>
              <w:ind w:left="0"/>
              <w:jc w:val="right"/>
              <w:rPr>
                <w:szCs w:val="20"/>
              </w:rPr>
            </w:pPr>
            <w:r w:rsidRPr="00C53509">
              <w:rPr>
                <w:szCs w:val="20"/>
              </w:rPr>
              <w:t>5.3%</w:t>
            </w:r>
          </w:p>
        </w:tc>
      </w:tr>
      <w:tr w:rsidR="00191215" w:rsidRPr="008944A2" w14:paraId="16982B19" w14:textId="77777777">
        <w:trPr>
          <w:trHeight w:val="320"/>
        </w:trPr>
        <w:tc>
          <w:tcPr>
            <w:tcW w:w="3669" w:type="dxa"/>
            <w:noWrap/>
            <w:vAlign w:val="center"/>
            <w:hideMark/>
          </w:tcPr>
          <w:p w14:paraId="0D46EC7B" w14:textId="77777777" w:rsidR="00191215" w:rsidRPr="00C53509" w:rsidRDefault="003F4C5A">
            <w:pPr>
              <w:pStyle w:val="ListParagraph"/>
              <w:spacing w:before="0" w:after="0"/>
              <w:ind w:left="0"/>
              <w:rPr>
                <w:szCs w:val="20"/>
              </w:rPr>
            </w:pPr>
            <w:r w:rsidRPr="00C53509">
              <w:rPr>
                <w:szCs w:val="20"/>
              </w:rPr>
              <w:t xml:space="preserve">Total Prevalent Patients with Type </w:t>
            </w:r>
            <w:r w:rsidRPr="00C53509">
              <w:rPr>
                <w:bCs/>
                <w:szCs w:val="20"/>
              </w:rPr>
              <w:t>2</w:t>
            </w:r>
            <w:r w:rsidRPr="00C53509">
              <w:rPr>
                <w:szCs w:val="20"/>
              </w:rPr>
              <w:t xml:space="preserve"> Diabetes</w:t>
            </w:r>
          </w:p>
        </w:tc>
        <w:tc>
          <w:tcPr>
            <w:tcW w:w="1231" w:type="dxa"/>
            <w:noWrap/>
            <w:hideMark/>
          </w:tcPr>
          <w:p w14:paraId="74EAF3BC" w14:textId="77777777" w:rsidR="00191215" w:rsidRPr="00C53509" w:rsidRDefault="003F4C5A">
            <w:pPr>
              <w:pStyle w:val="ListParagraph"/>
              <w:spacing w:before="0" w:after="0"/>
              <w:ind w:left="0"/>
              <w:jc w:val="right"/>
              <w:rPr>
                <w:szCs w:val="20"/>
              </w:rPr>
            </w:pPr>
            <w:r w:rsidRPr="00C53509">
              <w:rPr>
                <w:szCs w:val="20"/>
              </w:rPr>
              <w:t>1,100,170</w:t>
            </w:r>
          </w:p>
        </w:tc>
        <w:tc>
          <w:tcPr>
            <w:tcW w:w="1232" w:type="dxa"/>
            <w:noWrap/>
            <w:hideMark/>
          </w:tcPr>
          <w:p w14:paraId="74957751" w14:textId="77777777" w:rsidR="00191215" w:rsidRPr="00C53509" w:rsidRDefault="003F4C5A">
            <w:pPr>
              <w:pStyle w:val="ListParagraph"/>
              <w:spacing w:before="0" w:after="0"/>
              <w:ind w:left="0"/>
              <w:jc w:val="right"/>
              <w:rPr>
                <w:szCs w:val="20"/>
              </w:rPr>
            </w:pPr>
            <w:r w:rsidRPr="00C53509">
              <w:rPr>
                <w:szCs w:val="20"/>
              </w:rPr>
              <w:t>1,117,371</w:t>
            </w:r>
          </w:p>
        </w:tc>
        <w:tc>
          <w:tcPr>
            <w:tcW w:w="1231" w:type="dxa"/>
            <w:noWrap/>
            <w:hideMark/>
          </w:tcPr>
          <w:p w14:paraId="250F60BA" w14:textId="77777777" w:rsidR="00191215" w:rsidRPr="00C53509" w:rsidRDefault="003F4C5A">
            <w:pPr>
              <w:pStyle w:val="ListParagraph"/>
              <w:spacing w:before="0" w:after="0"/>
              <w:ind w:left="0"/>
              <w:jc w:val="right"/>
              <w:rPr>
                <w:szCs w:val="20"/>
              </w:rPr>
            </w:pPr>
            <w:r w:rsidRPr="00C53509">
              <w:rPr>
                <w:szCs w:val="20"/>
              </w:rPr>
              <w:t>1,134,828</w:t>
            </w:r>
          </w:p>
        </w:tc>
        <w:tc>
          <w:tcPr>
            <w:tcW w:w="1232" w:type="dxa"/>
            <w:noWrap/>
            <w:hideMark/>
          </w:tcPr>
          <w:p w14:paraId="59FE949D" w14:textId="77777777" w:rsidR="00191215" w:rsidRPr="00C53509" w:rsidRDefault="003F4C5A">
            <w:pPr>
              <w:pStyle w:val="ListParagraph"/>
              <w:spacing w:before="0" w:after="0"/>
              <w:ind w:left="0"/>
              <w:jc w:val="right"/>
              <w:rPr>
                <w:szCs w:val="20"/>
              </w:rPr>
            </w:pPr>
            <w:r w:rsidRPr="00C53509">
              <w:rPr>
                <w:szCs w:val="20"/>
              </w:rPr>
              <w:t>1,152,459</w:t>
            </w:r>
          </w:p>
        </w:tc>
      </w:tr>
      <w:tr w:rsidR="00190BB0" w14:paraId="5AEDFBEE" w14:textId="77777777" w:rsidTr="00C53509">
        <w:trPr>
          <w:trHeight w:val="320"/>
        </w:trPr>
        <w:tc>
          <w:tcPr>
            <w:tcW w:w="3669" w:type="dxa"/>
            <w:tcBorders>
              <w:top w:val="single" w:sz="4" w:space="0" w:color="auto"/>
              <w:left w:val="single" w:sz="4" w:space="0" w:color="auto"/>
              <w:bottom w:val="single" w:sz="4" w:space="0" w:color="auto"/>
              <w:right w:val="single" w:sz="4" w:space="0" w:color="auto"/>
            </w:tcBorders>
            <w:noWrap/>
            <w:vAlign w:val="center"/>
            <w:hideMark/>
          </w:tcPr>
          <w:p w14:paraId="6FE1F103" w14:textId="71AC8FD1" w:rsidR="00190BB0" w:rsidRPr="00190BB0" w:rsidRDefault="00190BB0" w:rsidP="00190BB0">
            <w:pPr>
              <w:pStyle w:val="ListParagraph"/>
              <w:spacing w:before="0" w:after="0"/>
              <w:ind w:left="0"/>
              <w:rPr>
                <w:b/>
                <w:bCs/>
                <w:color w:val="FF0000"/>
                <w:szCs w:val="20"/>
              </w:rPr>
            </w:pPr>
            <w:r w:rsidRPr="00190BB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49E7ECF6" w14:textId="79AEB5EE"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617A705B" w14:textId="16F82B15"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31354ED7" w14:textId="7674DF3F"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651E6AA4" w14:textId="6BB52578"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r>
      <w:tr w:rsidR="00190BB0" w14:paraId="50BC733B" w14:textId="77777777" w:rsidTr="00C53509">
        <w:trPr>
          <w:trHeight w:val="320"/>
        </w:trPr>
        <w:tc>
          <w:tcPr>
            <w:tcW w:w="3669" w:type="dxa"/>
            <w:tcBorders>
              <w:top w:val="single" w:sz="4" w:space="0" w:color="auto"/>
              <w:left w:val="single" w:sz="4" w:space="0" w:color="auto"/>
              <w:bottom w:val="single" w:sz="4" w:space="0" w:color="auto"/>
              <w:right w:val="single" w:sz="4" w:space="0" w:color="auto"/>
            </w:tcBorders>
            <w:noWrap/>
            <w:vAlign w:val="center"/>
            <w:hideMark/>
          </w:tcPr>
          <w:p w14:paraId="76E6B7F1" w14:textId="32E931C8" w:rsidR="00190BB0" w:rsidRPr="00C53509" w:rsidRDefault="00190BB0" w:rsidP="00190BB0">
            <w:pPr>
              <w:pStyle w:val="ListParagraph"/>
              <w:spacing w:before="0" w:after="0"/>
              <w:ind w:left="0"/>
              <w:rPr>
                <w:strike/>
                <w:color w:val="FF0000"/>
                <w:szCs w:val="20"/>
              </w:rPr>
            </w:pPr>
            <w:r w:rsidRPr="00190BB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0C2B9AA1" w14:textId="42DDACF6"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7FD7D28C" w14:textId="1FE95240"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15B550AE" w14:textId="6FD6E562"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67E4D496" w14:textId="74A30DB3"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r>
      <w:tr w:rsidR="00190BB0" w14:paraId="3E8879C2" w14:textId="77777777" w:rsidTr="00C53509">
        <w:trPr>
          <w:trHeight w:val="320"/>
        </w:trPr>
        <w:tc>
          <w:tcPr>
            <w:tcW w:w="3669" w:type="dxa"/>
            <w:tcBorders>
              <w:top w:val="single" w:sz="4" w:space="0" w:color="auto"/>
              <w:left w:val="single" w:sz="4" w:space="0" w:color="auto"/>
              <w:bottom w:val="single" w:sz="4" w:space="0" w:color="auto"/>
              <w:right w:val="single" w:sz="4" w:space="0" w:color="auto"/>
            </w:tcBorders>
            <w:noWrap/>
            <w:vAlign w:val="bottom"/>
            <w:hideMark/>
          </w:tcPr>
          <w:p w14:paraId="689D781F" w14:textId="065AFA19" w:rsidR="00190BB0" w:rsidRPr="00C53509" w:rsidRDefault="00190BB0" w:rsidP="00190BB0">
            <w:pPr>
              <w:pStyle w:val="ListParagraph"/>
              <w:spacing w:before="0" w:after="0"/>
              <w:ind w:left="0"/>
              <w:rPr>
                <w:bCs/>
                <w:strike/>
                <w:color w:val="FF0000"/>
                <w:szCs w:val="20"/>
              </w:rPr>
            </w:pPr>
            <w:r w:rsidRPr="00190BB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7C16275B" w14:textId="57707FC8" w:rsidR="00190BB0" w:rsidRPr="00C53509" w:rsidRDefault="00190BB0" w:rsidP="00190BB0">
            <w:pPr>
              <w:pStyle w:val="ListParagraph"/>
              <w:spacing w:before="0" w:after="0"/>
              <w:ind w:left="0"/>
              <w:jc w:val="right"/>
              <w:rPr>
                <w:bCs/>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78F0D60D" w14:textId="40B68132" w:rsidR="00190BB0" w:rsidRPr="00C53509" w:rsidRDefault="00190BB0" w:rsidP="00190BB0">
            <w:pPr>
              <w:pStyle w:val="ListParagraph"/>
              <w:spacing w:before="0" w:after="0"/>
              <w:ind w:left="0"/>
              <w:jc w:val="right"/>
              <w:rPr>
                <w:bCs/>
                <w:strike/>
                <w:color w:val="FF0000"/>
                <w:szCs w:val="20"/>
              </w:rPr>
            </w:pPr>
            <w:r w:rsidRPr="00C3445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4A50A4A3" w14:textId="5E6739F7" w:rsidR="00190BB0" w:rsidRPr="00C53509" w:rsidRDefault="00190BB0" w:rsidP="00190BB0">
            <w:pPr>
              <w:pStyle w:val="ListParagraph"/>
              <w:spacing w:before="0" w:after="0"/>
              <w:ind w:left="0"/>
              <w:jc w:val="right"/>
              <w:rPr>
                <w:bCs/>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12C8DB0F" w14:textId="099D23D6" w:rsidR="00190BB0" w:rsidRPr="00C53509" w:rsidRDefault="00190BB0" w:rsidP="00190BB0">
            <w:pPr>
              <w:pStyle w:val="ListParagraph"/>
              <w:spacing w:before="0" w:after="0"/>
              <w:ind w:left="0"/>
              <w:jc w:val="right"/>
              <w:rPr>
                <w:bCs/>
                <w:strike/>
                <w:color w:val="FF0000"/>
                <w:szCs w:val="20"/>
              </w:rPr>
            </w:pPr>
            <w:r w:rsidRPr="00C34450">
              <w:rPr>
                <w:b/>
                <w:bCs/>
                <w:szCs w:val="20"/>
              </w:rPr>
              <w:t>REDACTED</w:t>
            </w:r>
          </w:p>
        </w:tc>
      </w:tr>
      <w:tr w:rsidR="00190BB0" w14:paraId="2509374C" w14:textId="77777777" w:rsidTr="00C53509">
        <w:trPr>
          <w:trHeight w:val="320"/>
        </w:trPr>
        <w:tc>
          <w:tcPr>
            <w:tcW w:w="3669" w:type="dxa"/>
            <w:tcBorders>
              <w:top w:val="single" w:sz="4" w:space="0" w:color="auto"/>
              <w:left w:val="single" w:sz="4" w:space="0" w:color="auto"/>
              <w:bottom w:val="single" w:sz="4" w:space="0" w:color="auto"/>
              <w:right w:val="single" w:sz="4" w:space="0" w:color="auto"/>
            </w:tcBorders>
            <w:noWrap/>
            <w:vAlign w:val="bottom"/>
            <w:hideMark/>
          </w:tcPr>
          <w:p w14:paraId="14B3E0DE" w14:textId="0D7E2558" w:rsidR="00190BB0" w:rsidRPr="00C53509" w:rsidRDefault="00190BB0" w:rsidP="00190BB0">
            <w:pPr>
              <w:pStyle w:val="ListParagraph"/>
              <w:spacing w:before="0" w:after="0"/>
              <w:ind w:left="0"/>
              <w:rPr>
                <w:bCs/>
                <w:strike/>
                <w:color w:val="FF0000"/>
                <w:szCs w:val="20"/>
              </w:rPr>
            </w:pPr>
            <w:r w:rsidRPr="00190BB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53C672DF" w14:textId="4BC2B15E" w:rsidR="00190BB0" w:rsidRPr="00C53509" w:rsidRDefault="00190BB0" w:rsidP="00190BB0">
            <w:pPr>
              <w:pStyle w:val="ListParagraph"/>
              <w:spacing w:before="0" w:after="0"/>
              <w:ind w:left="0"/>
              <w:jc w:val="right"/>
              <w:rPr>
                <w:bCs/>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7F31C720" w14:textId="43FA82A9" w:rsidR="00190BB0" w:rsidRPr="00C53509" w:rsidRDefault="00190BB0" w:rsidP="00190BB0">
            <w:pPr>
              <w:pStyle w:val="ListParagraph"/>
              <w:spacing w:before="0" w:after="0"/>
              <w:ind w:left="0"/>
              <w:jc w:val="right"/>
              <w:rPr>
                <w:bCs/>
                <w:strike/>
                <w:color w:val="FF0000"/>
                <w:szCs w:val="20"/>
              </w:rPr>
            </w:pPr>
            <w:r w:rsidRPr="00C3445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33B108F7" w14:textId="4150B8A1" w:rsidR="00190BB0" w:rsidRPr="00C53509" w:rsidRDefault="00190BB0" w:rsidP="00190BB0">
            <w:pPr>
              <w:pStyle w:val="ListParagraph"/>
              <w:spacing w:before="0" w:after="0"/>
              <w:ind w:left="0"/>
              <w:jc w:val="right"/>
              <w:rPr>
                <w:bCs/>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29B1CCC4" w14:textId="4CC856C4" w:rsidR="00190BB0" w:rsidRPr="00C53509" w:rsidRDefault="00190BB0" w:rsidP="00190BB0">
            <w:pPr>
              <w:pStyle w:val="ListParagraph"/>
              <w:spacing w:before="0" w:after="0"/>
              <w:ind w:left="0"/>
              <w:jc w:val="right"/>
              <w:rPr>
                <w:bCs/>
                <w:strike/>
                <w:color w:val="FF0000"/>
                <w:szCs w:val="20"/>
              </w:rPr>
            </w:pPr>
            <w:r w:rsidRPr="00C34450">
              <w:rPr>
                <w:b/>
                <w:bCs/>
                <w:szCs w:val="20"/>
              </w:rPr>
              <w:t>REDACTED</w:t>
            </w:r>
          </w:p>
        </w:tc>
      </w:tr>
      <w:tr w:rsidR="00190BB0" w14:paraId="60A4B2E4" w14:textId="77777777" w:rsidTr="005B33C9">
        <w:trPr>
          <w:trHeight w:val="320"/>
        </w:trPr>
        <w:tc>
          <w:tcPr>
            <w:tcW w:w="3669" w:type="dxa"/>
            <w:tcBorders>
              <w:top w:val="single" w:sz="4" w:space="0" w:color="auto"/>
              <w:left w:val="single" w:sz="4" w:space="0" w:color="auto"/>
              <w:bottom w:val="single" w:sz="4" w:space="0" w:color="auto"/>
              <w:right w:val="single" w:sz="4" w:space="0" w:color="auto"/>
            </w:tcBorders>
            <w:noWrap/>
            <w:hideMark/>
          </w:tcPr>
          <w:p w14:paraId="6D9B2C02" w14:textId="49AD91FD" w:rsidR="00190BB0" w:rsidRPr="00C53509" w:rsidRDefault="00190BB0" w:rsidP="00190BB0">
            <w:pPr>
              <w:pStyle w:val="ListParagraph"/>
              <w:spacing w:before="0" w:after="0"/>
              <w:ind w:left="0"/>
              <w:rPr>
                <w:strike/>
                <w:color w:val="FF0000"/>
                <w:szCs w:val="20"/>
              </w:rPr>
            </w:pPr>
            <w:r w:rsidRPr="003D5C7D">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74F43AEA" w14:textId="3BD71DE2"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58851C51" w14:textId="749F3FB2"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059C2C44" w14:textId="1CF69107"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535AE233" w14:textId="16998A35"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r>
      <w:tr w:rsidR="00190BB0" w14:paraId="1B3A001B" w14:textId="77777777" w:rsidTr="005B33C9">
        <w:trPr>
          <w:trHeight w:val="320"/>
        </w:trPr>
        <w:tc>
          <w:tcPr>
            <w:tcW w:w="3669" w:type="dxa"/>
            <w:tcBorders>
              <w:top w:val="single" w:sz="4" w:space="0" w:color="auto"/>
              <w:left w:val="single" w:sz="4" w:space="0" w:color="auto"/>
              <w:bottom w:val="single" w:sz="4" w:space="0" w:color="auto"/>
              <w:right w:val="single" w:sz="4" w:space="0" w:color="auto"/>
            </w:tcBorders>
            <w:noWrap/>
            <w:hideMark/>
          </w:tcPr>
          <w:p w14:paraId="296FB20A" w14:textId="336A15B5" w:rsidR="00190BB0" w:rsidRPr="00C53509" w:rsidRDefault="00190BB0" w:rsidP="00190BB0">
            <w:pPr>
              <w:pStyle w:val="ListParagraph"/>
              <w:spacing w:before="0" w:after="0"/>
              <w:ind w:left="0"/>
              <w:rPr>
                <w:strike/>
                <w:color w:val="FF0000"/>
                <w:szCs w:val="20"/>
              </w:rPr>
            </w:pPr>
            <w:r w:rsidRPr="003D5C7D">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3D0E01F9" w14:textId="593D93BF"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5D6E8D37" w14:textId="7E40D9B0"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752C5610" w14:textId="6F50C910"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40EE90E9" w14:textId="148921EA"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r>
      <w:tr w:rsidR="00190BB0" w14:paraId="33867E37" w14:textId="77777777" w:rsidTr="005B33C9">
        <w:trPr>
          <w:trHeight w:val="320"/>
        </w:trPr>
        <w:tc>
          <w:tcPr>
            <w:tcW w:w="3669" w:type="dxa"/>
            <w:tcBorders>
              <w:top w:val="single" w:sz="4" w:space="0" w:color="auto"/>
              <w:left w:val="single" w:sz="4" w:space="0" w:color="auto"/>
              <w:bottom w:val="single" w:sz="4" w:space="0" w:color="auto"/>
              <w:right w:val="single" w:sz="4" w:space="0" w:color="auto"/>
            </w:tcBorders>
            <w:noWrap/>
            <w:hideMark/>
          </w:tcPr>
          <w:p w14:paraId="1B22CDE6" w14:textId="3E3A5B21" w:rsidR="00190BB0" w:rsidRPr="00C53509" w:rsidRDefault="00190BB0" w:rsidP="00190BB0">
            <w:pPr>
              <w:pStyle w:val="ListParagraph"/>
              <w:spacing w:before="0" w:after="0"/>
              <w:ind w:left="0"/>
              <w:rPr>
                <w:strike/>
                <w:color w:val="FF0000"/>
                <w:szCs w:val="20"/>
              </w:rPr>
            </w:pPr>
            <w:r w:rsidRPr="003D5C7D">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2141ABFA" w14:textId="5948D136"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6F6F4ADE" w14:textId="370D6B47"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1B981791" w14:textId="397FB6EE"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34CCE553" w14:textId="108DAD38" w:rsidR="00190BB0" w:rsidRPr="00C53509" w:rsidRDefault="00190BB0" w:rsidP="00190BB0">
            <w:pPr>
              <w:pStyle w:val="ListParagraph"/>
              <w:spacing w:before="0" w:after="0"/>
              <w:ind w:left="0"/>
              <w:jc w:val="right"/>
              <w:rPr>
                <w:strike/>
                <w:color w:val="FF0000"/>
                <w:szCs w:val="20"/>
              </w:rPr>
            </w:pPr>
            <w:r w:rsidRPr="00C34450">
              <w:rPr>
                <w:b/>
                <w:bCs/>
                <w:szCs w:val="20"/>
              </w:rPr>
              <w:t>REDACTED</w:t>
            </w:r>
          </w:p>
        </w:tc>
      </w:tr>
      <w:tr w:rsidR="00190BB0" w14:paraId="7255B1B0" w14:textId="77777777" w:rsidTr="00C53509">
        <w:trPr>
          <w:trHeight w:val="320"/>
        </w:trPr>
        <w:tc>
          <w:tcPr>
            <w:tcW w:w="3669" w:type="dxa"/>
            <w:tcBorders>
              <w:top w:val="single" w:sz="4" w:space="0" w:color="auto"/>
              <w:left w:val="single" w:sz="4" w:space="0" w:color="auto"/>
              <w:bottom w:val="single" w:sz="4" w:space="0" w:color="auto"/>
              <w:right w:val="single" w:sz="4" w:space="0" w:color="auto"/>
            </w:tcBorders>
            <w:noWrap/>
            <w:hideMark/>
          </w:tcPr>
          <w:p w14:paraId="49A4CE62" w14:textId="6B1924EF" w:rsidR="00190BB0" w:rsidRPr="00C53509" w:rsidRDefault="00190BB0" w:rsidP="00190BB0">
            <w:pPr>
              <w:pStyle w:val="ListParagraph"/>
              <w:spacing w:before="0" w:after="0"/>
              <w:ind w:left="0"/>
              <w:rPr>
                <w:strike/>
                <w:color w:val="FF0000"/>
                <w:szCs w:val="20"/>
              </w:rPr>
            </w:pPr>
            <w:r w:rsidRPr="003D5C7D">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528E6D9A" w14:textId="5815EA64" w:rsidR="00190BB0" w:rsidRPr="00C53509" w:rsidRDefault="00190BB0" w:rsidP="00190BB0">
            <w:pPr>
              <w:pStyle w:val="ListParagraph"/>
              <w:spacing w:before="0" w:after="0"/>
              <w:ind w:left="0"/>
              <w:jc w:val="right"/>
              <w:rPr>
                <w:strike/>
                <w:color w:val="FF000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3D0F8B48" w14:textId="66F716AF" w:rsidR="00190BB0" w:rsidRPr="00C53509" w:rsidRDefault="00190BB0" w:rsidP="00190BB0">
            <w:pPr>
              <w:pStyle w:val="ListParagraph"/>
              <w:spacing w:before="0" w:after="0"/>
              <w:ind w:left="0"/>
              <w:jc w:val="right"/>
              <w:rPr>
                <w:strike/>
                <w:color w:val="FF0000"/>
              </w:rPr>
            </w:pPr>
            <w:r w:rsidRPr="00C3445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185F16EF" w14:textId="65C96E9A" w:rsidR="00190BB0" w:rsidRPr="00C53509" w:rsidRDefault="00190BB0" w:rsidP="00190BB0">
            <w:pPr>
              <w:pStyle w:val="ListParagraph"/>
              <w:spacing w:before="0" w:after="0"/>
              <w:ind w:left="0"/>
              <w:jc w:val="right"/>
              <w:rPr>
                <w:strike/>
                <w:color w:val="FF000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12FF9722" w14:textId="3FEA664E" w:rsidR="00190BB0" w:rsidRPr="00C53509" w:rsidRDefault="00190BB0" w:rsidP="00190BB0">
            <w:pPr>
              <w:pStyle w:val="ListParagraph"/>
              <w:spacing w:before="0" w:after="0"/>
              <w:ind w:left="0"/>
              <w:jc w:val="right"/>
              <w:rPr>
                <w:strike/>
                <w:color w:val="FF0000"/>
              </w:rPr>
            </w:pPr>
            <w:r w:rsidRPr="00C34450">
              <w:rPr>
                <w:b/>
                <w:bCs/>
                <w:szCs w:val="20"/>
              </w:rPr>
              <w:t>REDACTED</w:t>
            </w:r>
          </w:p>
        </w:tc>
      </w:tr>
      <w:tr w:rsidR="00190BB0" w14:paraId="474240B7" w14:textId="77777777" w:rsidTr="00C53509">
        <w:trPr>
          <w:trHeight w:val="320"/>
        </w:trPr>
        <w:tc>
          <w:tcPr>
            <w:tcW w:w="3669" w:type="dxa"/>
            <w:tcBorders>
              <w:top w:val="single" w:sz="4" w:space="0" w:color="auto"/>
              <w:left w:val="single" w:sz="4" w:space="0" w:color="auto"/>
              <w:bottom w:val="single" w:sz="4" w:space="0" w:color="auto"/>
              <w:right w:val="single" w:sz="4" w:space="0" w:color="auto"/>
            </w:tcBorders>
            <w:noWrap/>
            <w:hideMark/>
          </w:tcPr>
          <w:p w14:paraId="5C8EB1EF" w14:textId="3C6637C5" w:rsidR="00190BB0" w:rsidRPr="00C53509" w:rsidRDefault="00190BB0" w:rsidP="00190BB0">
            <w:pPr>
              <w:pStyle w:val="ListParagraph"/>
              <w:spacing w:before="0" w:after="0"/>
              <w:ind w:left="0"/>
              <w:rPr>
                <w:strike/>
                <w:color w:val="FF0000"/>
                <w:szCs w:val="20"/>
              </w:rPr>
            </w:pPr>
            <w:r w:rsidRPr="003D5C7D">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694D078C" w14:textId="05A53BDF" w:rsidR="00190BB0" w:rsidRPr="00C53509" w:rsidRDefault="00190BB0" w:rsidP="00190BB0">
            <w:pPr>
              <w:pStyle w:val="ListParagraph"/>
              <w:spacing w:before="0" w:after="0"/>
              <w:ind w:left="0"/>
              <w:jc w:val="right"/>
              <w:rPr>
                <w:strike/>
                <w:color w:val="FF000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4B276B03" w14:textId="75362075" w:rsidR="00190BB0" w:rsidRPr="00C53509" w:rsidRDefault="00190BB0" w:rsidP="00190BB0">
            <w:pPr>
              <w:pStyle w:val="ListParagraph"/>
              <w:spacing w:before="0" w:after="0"/>
              <w:ind w:left="0"/>
              <w:jc w:val="right"/>
              <w:rPr>
                <w:strike/>
                <w:color w:val="FF0000"/>
              </w:rPr>
            </w:pPr>
            <w:r w:rsidRPr="00C3445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4241342C" w14:textId="03EAF7D8" w:rsidR="00190BB0" w:rsidRPr="00C53509" w:rsidRDefault="00190BB0" w:rsidP="00190BB0">
            <w:pPr>
              <w:pStyle w:val="ListParagraph"/>
              <w:spacing w:before="0" w:after="0"/>
              <w:ind w:left="0"/>
              <w:jc w:val="right"/>
              <w:rPr>
                <w:strike/>
                <w:color w:val="FF000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5A7B4CE8" w14:textId="6BDD9E85" w:rsidR="00190BB0" w:rsidRPr="00C53509" w:rsidRDefault="00190BB0" w:rsidP="00190BB0">
            <w:pPr>
              <w:pStyle w:val="ListParagraph"/>
              <w:spacing w:before="0" w:after="0"/>
              <w:ind w:left="0"/>
              <w:jc w:val="right"/>
              <w:rPr>
                <w:strike/>
                <w:color w:val="FF0000"/>
              </w:rPr>
            </w:pPr>
            <w:r w:rsidRPr="00C34450">
              <w:rPr>
                <w:b/>
                <w:bCs/>
                <w:szCs w:val="20"/>
              </w:rPr>
              <w:t>REDACTED</w:t>
            </w:r>
          </w:p>
        </w:tc>
      </w:tr>
      <w:tr w:rsidR="00190BB0" w14:paraId="25C3D2D0" w14:textId="77777777" w:rsidTr="00C53509">
        <w:trPr>
          <w:trHeight w:val="320"/>
        </w:trPr>
        <w:tc>
          <w:tcPr>
            <w:tcW w:w="3669" w:type="dxa"/>
            <w:tcBorders>
              <w:top w:val="single" w:sz="4" w:space="0" w:color="auto"/>
              <w:left w:val="single" w:sz="4" w:space="0" w:color="auto"/>
              <w:bottom w:val="single" w:sz="4" w:space="0" w:color="auto"/>
              <w:right w:val="single" w:sz="4" w:space="0" w:color="auto"/>
            </w:tcBorders>
            <w:noWrap/>
            <w:hideMark/>
          </w:tcPr>
          <w:p w14:paraId="53B97D8D" w14:textId="3162A357" w:rsidR="00190BB0" w:rsidRPr="00C53509" w:rsidRDefault="00190BB0" w:rsidP="00190BB0">
            <w:pPr>
              <w:pStyle w:val="ListParagraph"/>
              <w:spacing w:before="0" w:after="0"/>
              <w:ind w:left="0"/>
              <w:rPr>
                <w:strike/>
                <w:color w:val="FF0000"/>
                <w:szCs w:val="20"/>
              </w:rPr>
            </w:pPr>
            <w:r w:rsidRPr="003D5C7D">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0E127898" w14:textId="42F52DB6" w:rsidR="00190BB0" w:rsidRPr="00C53509" w:rsidRDefault="00190BB0" w:rsidP="00190BB0">
            <w:pPr>
              <w:pStyle w:val="ListParagraph"/>
              <w:spacing w:before="0" w:after="0"/>
              <w:ind w:left="0"/>
              <w:jc w:val="right"/>
              <w:rPr>
                <w:strike/>
                <w:color w:val="FF000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75A9280C" w14:textId="5977A61E" w:rsidR="00190BB0" w:rsidRPr="00C53509" w:rsidRDefault="00190BB0" w:rsidP="00190BB0">
            <w:pPr>
              <w:pStyle w:val="ListParagraph"/>
              <w:spacing w:before="0" w:after="0"/>
              <w:ind w:left="0"/>
              <w:jc w:val="right"/>
              <w:rPr>
                <w:strike/>
                <w:color w:val="FF0000"/>
              </w:rPr>
            </w:pPr>
            <w:r w:rsidRPr="00C34450">
              <w:rPr>
                <w:b/>
                <w:bCs/>
                <w:szCs w:val="20"/>
              </w:rPr>
              <w:t>REDACTED</w:t>
            </w:r>
          </w:p>
        </w:tc>
        <w:tc>
          <w:tcPr>
            <w:tcW w:w="1231" w:type="dxa"/>
            <w:tcBorders>
              <w:top w:val="single" w:sz="4" w:space="0" w:color="auto"/>
              <w:left w:val="single" w:sz="4" w:space="0" w:color="auto"/>
              <w:bottom w:val="single" w:sz="4" w:space="0" w:color="auto"/>
              <w:right w:val="single" w:sz="4" w:space="0" w:color="auto"/>
            </w:tcBorders>
            <w:noWrap/>
            <w:hideMark/>
          </w:tcPr>
          <w:p w14:paraId="7572437A" w14:textId="0151A18E" w:rsidR="00190BB0" w:rsidRPr="00C53509" w:rsidRDefault="00190BB0" w:rsidP="00190BB0">
            <w:pPr>
              <w:pStyle w:val="ListParagraph"/>
              <w:spacing w:before="0" w:after="0"/>
              <w:ind w:left="0"/>
              <w:jc w:val="right"/>
              <w:rPr>
                <w:strike/>
                <w:color w:val="FF0000"/>
              </w:rPr>
            </w:pPr>
            <w:r w:rsidRPr="00C34450">
              <w:rPr>
                <w:b/>
                <w:bCs/>
                <w:szCs w:val="20"/>
              </w:rPr>
              <w:t>REDACTED</w:t>
            </w:r>
          </w:p>
        </w:tc>
        <w:tc>
          <w:tcPr>
            <w:tcW w:w="1232" w:type="dxa"/>
            <w:tcBorders>
              <w:top w:val="single" w:sz="4" w:space="0" w:color="auto"/>
              <w:left w:val="single" w:sz="4" w:space="0" w:color="auto"/>
              <w:bottom w:val="single" w:sz="4" w:space="0" w:color="auto"/>
              <w:right w:val="single" w:sz="4" w:space="0" w:color="auto"/>
            </w:tcBorders>
            <w:noWrap/>
            <w:hideMark/>
          </w:tcPr>
          <w:p w14:paraId="3B93878C" w14:textId="083AD947" w:rsidR="00190BB0" w:rsidRPr="00C53509" w:rsidRDefault="00190BB0" w:rsidP="00190BB0">
            <w:pPr>
              <w:pStyle w:val="ListParagraph"/>
              <w:spacing w:before="0" w:after="0"/>
              <w:ind w:left="0"/>
              <w:jc w:val="right"/>
              <w:rPr>
                <w:strike/>
                <w:color w:val="FF0000"/>
              </w:rPr>
            </w:pPr>
            <w:r w:rsidRPr="00C34450">
              <w:rPr>
                <w:b/>
                <w:bCs/>
                <w:szCs w:val="20"/>
              </w:rPr>
              <w:t>REDACTED</w:t>
            </w:r>
          </w:p>
        </w:tc>
      </w:tr>
    </w:tbl>
    <w:p w14:paraId="51039E3F" w14:textId="67DC0CFB" w:rsidR="00191215" w:rsidRDefault="00191215">
      <w:pPr>
        <w:ind w:left="426"/>
        <w:rPr>
          <w:szCs w:val="20"/>
        </w:rPr>
      </w:pPr>
    </w:p>
    <w:p w14:paraId="12DAB1A1" w14:textId="77777777" w:rsidR="00191215" w:rsidRDefault="003F4C5A">
      <w:pPr>
        <w:pStyle w:val="Heading2"/>
        <w:rPr>
          <w:b w:val="0"/>
        </w:rPr>
      </w:pPr>
      <w:r>
        <w:t>Estimate the anticipated uptake of the proposed medical service/technology over the next three years, factoring in any constraints in the health system in meeting the needs of the proposed population (such as supply and demand factors), as well as provide commentary on risk of ‘leakage’ to populations not targeted by the service.</w:t>
      </w:r>
    </w:p>
    <w:p w14:paraId="6ADD1FB0" w14:textId="7C195203" w:rsidR="00191215" w:rsidRPr="00C53509" w:rsidRDefault="003F4C5A" w:rsidP="008944A2">
      <w:pPr>
        <w:ind w:left="357"/>
        <w:rPr>
          <w:b/>
          <w:bCs/>
          <w:szCs w:val="20"/>
        </w:rPr>
      </w:pPr>
      <w:r w:rsidRPr="00C53509">
        <w:t xml:space="preserve">It is estimated that the uptake rate will start at </w:t>
      </w:r>
      <w:r w:rsidR="00190BB0" w:rsidRPr="00190BB0">
        <w:rPr>
          <w:b/>
          <w:bCs/>
          <w:sz w:val="22"/>
          <w:szCs w:val="24"/>
        </w:rPr>
        <w:t>REDACTED</w:t>
      </w:r>
      <w:r w:rsidR="00C53509">
        <w:rPr>
          <w:b/>
          <w:bCs/>
        </w:rPr>
        <w:t xml:space="preserve"> </w:t>
      </w:r>
      <w:r w:rsidRPr="00C53509">
        <w:t xml:space="preserve">in the first year of listing and </w:t>
      </w:r>
      <w:r w:rsidR="00466B22" w:rsidRPr="00C53509">
        <w:t xml:space="preserve">is projected to </w:t>
      </w:r>
      <w:r w:rsidRPr="00C53509">
        <w:t xml:space="preserve">gradually increase to </w:t>
      </w:r>
      <w:r w:rsidR="00B40078" w:rsidRPr="00190BB0">
        <w:rPr>
          <w:b/>
          <w:bCs/>
          <w:sz w:val="22"/>
          <w:szCs w:val="24"/>
        </w:rPr>
        <w:t>REDACTED</w:t>
      </w:r>
      <w:r w:rsidR="00B40078" w:rsidRPr="00C53509">
        <w:rPr>
          <w:b/>
          <w:bCs/>
          <w:szCs w:val="20"/>
        </w:rPr>
        <w:t xml:space="preserve"> </w:t>
      </w:r>
      <w:r w:rsidRPr="00C53509">
        <w:t xml:space="preserve">by the fourth year. This reflects expert opinion given by nephrologists experienced in the management of DKD and understanding of primary care practices for T2D in Australia. </w:t>
      </w:r>
    </w:p>
    <w:p w14:paraId="6ACFC606" w14:textId="7736F6A5" w:rsidR="00466B22" w:rsidRPr="00C53509" w:rsidRDefault="00466B22" w:rsidP="008944A2">
      <w:pPr>
        <w:ind w:left="357"/>
        <w:rPr>
          <w:b/>
          <w:bCs/>
          <w:szCs w:val="20"/>
        </w:rPr>
      </w:pPr>
      <w:r w:rsidRPr="00C53509">
        <w:t>Estimated uptake of the test over the next three years is</w:t>
      </w:r>
      <w:r w:rsidR="00607531" w:rsidRPr="00C53509">
        <w:t xml:space="preserve"> approximately </w:t>
      </w:r>
      <w:r w:rsidR="00190BB0" w:rsidRPr="00190BB0">
        <w:rPr>
          <w:b/>
          <w:bCs/>
          <w:sz w:val="22"/>
          <w:szCs w:val="24"/>
        </w:rPr>
        <w:t>REDACTED</w:t>
      </w:r>
      <w:r w:rsidR="00B40078" w:rsidRPr="00C53509">
        <w:rPr>
          <w:b/>
          <w:bCs/>
          <w:szCs w:val="20"/>
        </w:rPr>
        <w:t xml:space="preserve"> </w:t>
      </w:r>
      <w:r w:rsidR="00607531" w:rsidRPr="00C53509">
        <w:t>patients (</w:t>
      </w:r>
      <w:r w:rsidR="00190BB0" w:rsidRPr="00190BB0">
        <w:rPr>
          <w:b/>
          <w:bCs/>
          <w:sz w:val="22"/>
          <w:szCs w:val="24"/>
        </w:rPr>
        <w:t>REDACTED</w:t>
      </w:r>
      <w:r w:rsidR="00607531" w:rsidRPr="00C53509">
        <w:t>).</w:t>
      </w:r>
    </w:p>
    <w:p w14:paraId="4015979A" w14:textId="77777777" w:rsidR="00191215" w:rsidRDefault="003F4C5A" w:rsidP="008944A2">
      <w:pPr>
        <w:ind w:left="357"/>
        <w:rPr>
          <w:szCs w:val="20"/>
        </w:rPr>
      </w:pPr>
      <w:r w:rsidRPr="00C53509">
        <w:rPr>
          <w:szCs w:val="20"/>
        </w:rPr>
        <w:t>Supply constraints are not expected to be relevant, and leakage will be low given the quantifiable biochemical measures required to qualify for the test.</w:t>
      </w:r>
    </w:p>
    <w:p w14:paraId="1765C1BE" w14:textId="77777777" w:rsidR="00191215" w:rsidRDefault="003F4C5A">
      <w:pPr>
        <w:rPr>
          <w:b/>
          <w:sz w:val="32"/>
          <w:szCs w:val="32"/>
        </w:rPr>
      </w:pPr>
      <w:r>
        <w:rPr>
          <w:b/>
          <w:sz w:val="32"/>
          <w:szCs w:val="32"/>
        </w:rPr>
        <w:br w:type="page"/>
      </w:r>
    </w:p>
    <w:p w14:paraId="35C664D9" w14:textId="77777777" w:rsidR="00191215" w:rsidRDefault="003F4C5A">
      <w:pPr>
        <w:pStyle w:val="Heading1"/>
      </w:pPr>
      <w:r>
        <w:t>PART 8 – COST INFORMATION</w:t>
      </w:r>
    </w:p>
    <w:p w14:paraId="1717B5F9" w14:textId="77777777" w:rsidR="00191215" w:rsidRDefault="003F4C5A">
      <w:pPr>
        <w:pStyle w:val="Heading2"/>
      </w:pPr>
      <w:r>
        <w:t>Indicate the likely cost of providing the proposed medical service. Where possible, please provide overall cost and breakdown:</w:t>
      </w:r>
    </w:p>
    <w:p w14:paraId="14C7051D" w14:textId="54AE241A" w:rsidR="00191215" w:rsidRPr="008944A2" w:rsidRDefault="003F4C5A" w:rsidP="008944A2">
      <w:pPr>
        <w:ind w:left="360"/>
        <w:jc w:val="both"/>
      </w:pPr>
      <w:r>
        <w:t xml:space="preserve">The proposed price for </w:t>
      </w:r>
      <w:proofErr w:type="spellStart"/>
      <w:r>
        <w:rPr>
          <w:szCs w:val="20"/>
        </w:rPr>
        <w:t>PromarkerD</w:t>
      </w:r>
      <w:proofErr w:type="spellEnd"/>
      <w:r>
        <w:rPr>
          <w:szCs w:val="20"/>
        </w:rPr>
        <w:t xml:space="preserve"> </w:t>
      </w:r>
      <w:r w:rsidRPr="00190BB0">
        <w:rPr>
          <w:szCs w:val="20"/>
        </w:rPr>
        <w:t xml:space="preserve">is </w:t>
      </w:r>
      <w:r w:rsidR="00C53509" w:rsidRPr="00190BB0">
        <w:rPr>
          <w:szCs w:val="20"/>
        </w:rPr>
        <w:t>$</w:t>
      </w:r>
      <w:r w:rsidR="00C53509" w:rsidRPr="00190BB0">
        <w:t>250</w:t>
      </w:r>
      <w:r w:rsidR="00C53509" w:rsidRPr="00190BB0">
        <w:rPr>
          <w:b/>
          <w:bCs/>
          <w:szCs w:val="20"/>
        </w:rPr>
        <w:t xml:space="preserve"> </w:t>
      </w:r>
      <w:r w:rsidR="00F456D8">
        <w:rPr>
          <w:szCs w:val="20"/>
        </w:rPr>
        <w:t>AUD</w:t>
      </w:r>
      <w:r>
        <w:rPr>
          <w:szCs w:val="20"/>
        </w:rPr>
        <w:t>. This price is however subject to change based on the PICO assessment and the economic evaluation submitted in the application to MSAC.</w:t>
      </w:r>
    </w:p>
    <w:p w14:paraId="321BE1E2" w14:textId="77777777" w:rsidR="00191215" w:rsidRDefault="003F4C5A">
      <w:pPr>
        <w:pStyle w:val="Heading2"/>
      </w:pPr>
      <w:r>
        <w:t>Specify how long the proposed medical service/technology typically takes to perform:</w:t>
      </w:r>
    </w:p>
    <w:p w14:paraId="72B5655A" w14:textId="4F05A15C" w:rsidR="00191215" w:rsidRDefault="003F4C5A" w:rsidP="00F456D8">
      <w:pPr>
        <w:ind w:left="360"/>
        <w:jc w:val="both"/>
      </w:pPr>
      <w:r>
        <w:t>4 hours to run the ELISA + uploading and getting results from online hub. Time does not include time to process other blood measures (HDL</w:t>
      </w:r>
      <w:r w:rsidR="00F456D8">
        <w:t>-cholesterol</w:t>
      </w:r>
      <w:r>
        <w:t xml:space="preserve"> &amp; eGFR) which are not conducted as part of the </w:t>
      </w:r>
      <w:proofErr w:type="spellStart"/>
      <w:r>
        <w:t>PromarkerD</w:t>
      </w:r>
      <w:proofErr w:type="spellEnd"/>
      <w:r>
        <w:t xml:space="preserve"> kit. </w:t>
      </w:r>
    </w:p>
    <w:p w14:paraId="393C41FD" w14:textId="19703505" w:rsidR="00191215" w:rsidRDefault="003F4C5A" w:rsidP="008944A2">
      <w:pPr>
        <w:ind w:left="360"/>
        <w:jc w:val="both"/>
        <w:rPr>
          <w:szCs w:val="20"/>
        </w:rPr>
      </w:pPr>
      <w:r>
        <w:t xml:space="preserve">Including these other measures which are part of standard T2D monitoring may increase time by an hour or longer depending on pathology turnaround time. </w:t>
      </w:r>
    </w:p>
    <w:p w14:paraId="57BC61DF" w14:textId="77777777" w:rsidR="00191215" w:rsidRDefault="003F4C5A">
      <w:pPr>
        <w:pStyle w:val="Heading2"/>
      </w:pPr>
      <w:r>
        <w:t xml:space="preserve">If public funding is sought through the </w:t>
      </w:r>
      <w:r>
        <w:rPr>
          <w:u w:val="single"/>
        </w:rPr>
        <w:t>MBS</w:t>
      </w:r>
      <w:r>
        <w:t>, please draft a proposed MBS item descriptor to define the population and usage characteristics that defines eligibility for the medical service/technology.</w:t>
      </w:r>
    </w:p>
    <w:p w14:paraId="7103957B" w14:textId="77777777" w:rsidR="00191215" w:rsidRDefault="003F4C5A">
      <w:pPr>
        <w:pBdr>
          <w:top w:val="single" w:sz="4" w:space="1" w:color="auto"/>
          <w:left w:val="single" w:sz="4" w:space="4" w:color="auto"/>
          <w:bottom w:val="single" w:sz="4" w:space="1" w:color="auto"/>
          <w:right w:val="single" w:sz="4" w:space="6" w:color="auto"/>
          <w:between w:val="single" w:sz="4" w:space="1" w:color="auto"/>
          <w:bar w:val="single" w:sz="4" w:color="auto"/>
        </w:pBdr>
        <w:rPr>
          <w:szCs w:val="20"/>
        </w:rPr>
      </w:pPr>
      <w:r>
        <w:rPr>
          <w:szCs w:val="20"/>
        </w:rPr>
        <w:t xml:space="preserve">Category </w:t>
      </w:r>
      <w:r>
        <w:t>6 – Pathology Services</w:t>
      </w:r>
    </w:p>
    <w:p w14:paraId="318A77FC" w14:textId="77777777" w:rsidR="00191215" w:rsidRDefault="00191215">
      <w:pPr>
        <w:pBdr>
          <w:top w:val="single" w:sz="4" w:space="1" w:color="auto"/>
          <w:left w:val="single" w:sz="4" w:space="4" w:color="auto"/>
          <w:bottom w:val="single" w:sz="4" w:space="1" w:color="auto"/>
          <w:right w:val="single" w:sz="4" w:space="6" w:color="auto"/>
        </w:pBdr>
        <w:rPr>
          <w:szCs w:val="20"/>
        </w:rPr>
      </w:pPr>
    </w:p>
    <w:p w14:paraId="2829D265" w14:textId="77777777" w:rsidR="00191215" w:rsidRDefault="003F4C5A">
      <w:pPr>
        <w:pBdr>
          <w:top w:val="single" w:sz="4" w:space="1" w:color="auto"/>
          <w:left w:val="single" w:sz="4" w:space="4" w:color="auto"/>
          <w:bottom w:val="single" w:sz="4" w:space="1" w:color="auto"/>
          <w:right w:val="single" w:sz="4" w:space="6" w:color="auto"/>
        </w:pBdr>
        <w:rPr>
          <w:szCs w:val="20"/>
        </w:rPr>
      </w:pPr>
      <w:r>
        <w:rPr>
          <w:szCs w:val="20"/>
        </w:rPr>
        <w:t xml:space="preserve">Proposed item descriptor: A test to quantify the risk of diabetic kidney disease incidence in proceeding 4 years in: </w:t>
      </w:r>
    </w:p>
    <w:p w14:paraId="677929FB" w14:textId="77777777" w:rsidR="00191215" w:rsidRDefault="00191215">
      <w:pPr>
        <w:pBdr>
          <w:top w:val="single" w:sz="4" w:space="1" w:color="auto"/>
          <w:left w:val="single" w:sz="4" w:space="4" w:color="auto"/>
          <w:bottom w:val="single" w:sz="4" w:space="1" w:color="auto"/>
          <w:right w:val="single" w:sz="4" w:space="6" w:color="auto"/>
        </w:pBdr>
        <w:rPr>
          <w:szCs w:val="20"/>
        </w:rPr>
      </w:pPr>
    </w:p>
    <w:p w14:paraId="2E4C725A" w14:textId="77777777" w:rsidR="00191215" w:rsidRDefault="003F4C5A">
      <w:pPr>
        <w:pBdr>
          <w:top w:val="single" w:sz="4" w:space="1" w:color="auto"/>
          <w:left w:val="single" w:sz="4" w:space="4" w:color="auto"/>
          <w:bottom w:val="single" w:sz="4" w:space="1" w:color="auto"/>
          <w:right w:val="single" w:sz="4" w:space="6" w:color="auto"/>
        </w:pBdr>
      </w:pPr>
      <w:r>
        <w:t xml:space="preserve">a. Patients diagnosed with Type 2 </w:t>
      </w:r>
      <w:proofErr w:type="gramStart"/>
      <w:r>
        <w:t>Diabetes;</w:t>
      </w:r>
      <w:proofErr w:type="gramEnd"/>
      <w:r>
        <w:t xml:space="preserve"> and</w:t>
      </w:r>
    </w:p>
    <w:p w14:paraId="45CBBD50" w14:textId="77777777" w:rsidR="00191215" w:rsidRDefault="003F4C5A">
      <w:pPr>
        <w:pBdr>
          <w:top w:val="single" w:sz="4" w:space="1" w:color="auto"/>
          <w:left w:val="single" w:sz="4" w:space="4" w:color="auto"/>
          <w:bottom w:val="single" w:sz="4" w:space="1" w:color="auto"/>
          <w:right w:val="single" w:sz="4" w:space="6" w:color="auto"/>
        </w:pBdr>
      </w:pPr>
      <w:r>
        <w:t>b. Estimated glomerular filtration rate (eGFR) of greater than or equal to 60ml/min/1.73m</w:t>
      </w:r>
      <w:r>
        <w:rPr>
          <w:vertAlign w:val="superscript"/>
        </w:rPr>
        <w:t>2</w:t>
      </w:r>
      <w:r>
        <w:t xml:space="preserve">; and </w:t>
      </w:r>
    </w:p>
    <w:p w14:paraId="342A7F01" w14:textId="77777777" w:rsidR="00191215" w:rsidRDefault="003F4C5A">
      <w:pPr>
        <w:pBdr>
          <w:top w:val="single" w:sz="4" w:space="1" w:color="auto"/>
          <w:left w:val="single" w:sz="4" w:space="4" w:color="auto"/>
          <w:bottom w:val="single" w:sz="4" w:space="1" w:color="auto"/>
          <w:right w:val="single" w:sz="4" w:space="6" w:color="auto"/>
        </w:pBdr>
      </w:pPr>
      <w:r>
        <w:t>c. Albumin: Creatinine Ratio (</w:t>
      </w:r>
      <w:proofErr w:type="spellStart"/>
      <w:r>
        <w:t>uACR</w:t>
      </w:r>
      <w:proofErr w:type="spellEnd"/>
      <w:r>
        <w:t xml:space="preserve">) test results of less than or equal to 30mg/mmol.   </w:t>
      </w:r>
    </w:p>
    <w:p w14:paraId="5D571424" w14:textId="77777777" w:rsidR="00191215" w:rsidRDefault="00191215">
      <w:pPr>
        <w:pBdr>
          <w:top w:val="single" w:sz="4" w:space="1" w:color="auto"/>
          <w:left w:val="single" w:sz="4" w:space="4" w:color="auto"/>
          <w:bottom w:val="single" w:sz="4" w:space="1" w:color="auto"/>
          <w:right w:val="single" w:sz="4" w:space="6" w:color="auto"/>
        </w:pBdr>
      </w:pPr>
    </w:p>
    <w:p w14:paraId="70AC8D8E" w14:textId="08F5C684" w:rsidR="00191215" w:rsidRDefault="003F4C5A">
      <w:pPr>
        <w:pBdr>
          <w:top w:val="single" w:sz="4" w:space="1" w:color="auto"/>
          <w:left w:val="single" w:sz="4" w:space="4" w:color="auto"/>
          <w:bottom w:val="single" w:sz="4" w:space="1" w:color="auto"/>
          <w:right w:val="single" w:sz="4" w:space="6" w:color="auto"/>
        </w:pBdr>
      </w:pPr>
      <w:r>
        <w:t>For any patient with a low</w:t>
      </w:r>
      <w:r w:rsidR="00F456D8">
        <w:t>-</w:t>
      </w:r>
      <w:r>
        <w:t>risk score, performed once every 4 years.</w:t>
      </w:r>
    </w:p>
    <w:p w14:paraId="26BF70AE" w14:textId="57CD6AA0" w:rsidR="00191215" w:rsidRDefault="003F4C5A">
      <w:pPr>
        <w:pBdr>
          <w:top w:val="single" w:sz="4" w:space="1" w:color="auto"/>
          <w:left w:val="single" w:sz="4" w:space="4" w:color="auto"/>
          <w:bottom w:val="single" w:sz="4" w:space="1" w:color="auto"/>
          <w:right w:val="single" w:sz="4" w:space="6" w:color="auto"/>
        </w:pBdr>
      </w:pPr>
      <w:r>
        <w:t>For patients with a moderate</w:t>
      </w:r>
      <w:r w:rsidR="00F456D8">
        <w:t>-</w:t>
      </w:r>
      <w:r>
        <w:t xml:space="preserve"> to high</w:t>
      </w:r>
      <w:r w:rsidR="00F456D8">
        <w:t>-</w:t>
      </w:r>
      <w:r>
        <w:t>risk score, performed once every 2 years.</w:t>
      </w:r>
    </w:p>
    <w:p w14:paraId="195292DD" w14:textId="77777777" w:rsidR="00191215" w:rsidRPr="00190BB0" w:rsidRDefault="00191215">
      <w:pPr>
        <w:pBdr>
          <w:top w:val="single" w:sz="4" w:space="1" w:color="auto"/>
          <w:left w:val="single" w:sz="4" w:space="4" w:color="auto"/>
          <w:bottom w:val="single" w:sz="4" w:space="1" w:color="auto"/>
          <w:right w:val="single" w:sz="4" w:space="6" w:color="auto"/>
        </w:pBdr>
      </w:pPr>
    </w:p>
    <w:p w14:paraId="3D93A2E2" w14:textId="2493DA8D" w:rsidR="00C53509" w:rsidRPr="00190BB0" w:rsidRDefault="00C53509">
      <w:pPr>
        <w:pBdr>
          <w:top w:val="single" w:sz="4" w:space="1" w:color="auto"/>
          <w:left w:val="single" w:sz="4" w:space="4" w:color="auto"/>
          <w:bottom w:val="single" w:sz="4" w:space="1" w:color="auto"/>
          <w:right w:val="single" w:sz="4" w:space="6" w:color="auto"/>
        </w:pBdr>
        <w:rPr>
          <w:szCs w:val="20"/>
        </w:rPr>
      </w:pPr>
      <w:r w:rsidRPr="00190BB0">
        <w:rPr>
          <w:b/>
          <w:bCs/>
          <w:szCs w:val="20"/>
        </w:rPr>
        <w:t>Fee:</w:t>
      </w:r>
      <w:r w:rsidRPr="00190BB0">
        <w:rPr>
          <w:szCs w:val="20"/>
        </w:rPr>
        <w:t xml:space="preserve"> $</w:t>
      </w:r>
      <w:r w:rsidRPr="00190BB0">
        <w:t xml:space="preserve">250 </w:t>
      </w:r>
      <w:r w:rsidR="00190BB0">
        <w:t xml:space="preserve">  </w:t>
      </w:r>
      <w:r w:rsidRPr="00190BB0">
        <w:rPr>
          <w:b/>
          <w:bCs/>
        </w:rPr>
        <w:t>Benefit:</w:t>
      </w:r>
      <w:r w:rsidRPr="00190BB0">
        <w:t xml:space="preserve"> 75% = $187.50 </w:t>
      </w:r>
      <w:proofErr w:type="gramStart"/>
      <w:r w:rsidR="00190BB0">
        <w:tab/>
        <w:t xml:space="preserve">  </w:t>
      </w:r>
      <w:r w:rsidRPr="00190BB0">
        <w:t>85</w:t>
      </w:r>
      <w:proofErr w:type="gramEnd"/>
      <w:r w:rsidRPr="00190BB0">
        <w:t>% = $212.50</w:t>
      </w:r>
    </w:p>
    <w:p w14:paraId="0DEF33F4" w14:textId="77777777" w:rsidR="00191215" w:rsidRDefault="003F4C5A">
      <w:pPr>
        <w:spacing w:before="0" w:after="200" w:line="276" w:lineRule="auto"/>
        <w:rPr>
          <w:bCs/>
          <w:color w:val="4F81BD" w:themeColor="accent1"/>
          <w:sz w:val="40"/>
          <w:szCs w:val="32"/>
        </w:rPr>
      </w:pPr>
      <w:r>
        <w:br w:type="page"/>
      </w:r>
    </w:p>
    <w:p w14:paraId="14B77E98" w14:textId="17A447E2" w:rsidR="00191215" w:rsidRPr="008944A2" w:rsidRDefault="003F4C5A">
      <w:pPr>
        <w:rPr>
          <w:bCs/>
          <w:color w:val="4F81BD" w:themeColor="accent1"/>
          <w:sz w:val="40"/>
          <w:szCs w:val="32"/>
        </w:rPr>
      </w:pPr>
      <w:r w:rsidRPr="008944A2">
        <w:rPr>
          <w:bCs/>
          <w:color w:val="4F81BD" w:themeColor="accent1"/>
          <w:sz w:val="40"/>
          <w:szCs w:val="32"/>
        </w:rPr>
        <w:t>References</w:t>
      </w:r>
    </w:p>
    <w:p w14:paraId="609A6C8B" w14:textId="2CAAA87C" w:rsidR="00776A17" w:rsidRPr="00776A17" w:rsidRDefault="003F4C5A" w:rsidP="00776A17">
      <w:pPr>
        <w:pStyle w:val="EndNoteBibliography"/>
        <w:spacing w:after="0"/>
        <w:ind w:left="720" w:hanging="720"/>
      </w:pPr>
      <w:r>
        <w:rPr>
          <w:szCs w:val="20"/>
        </w:rPr>
        <w:fldChar w:fldCharType="begin"/>
      </w:r>
      <w:r>
        <w:rPr>
          <w:szCs w:val="20"/>
        </w:rPr>
        <w:instrText xml:space="preserve"> ADDIN EN.REFLIST </w:instrText>
      </w:r>
      <w:r>
        <w:rPr>
          <w:szCs w:val="20"/>
        </w:rPr>
        <w:fldChar w:fldCharType="separate"/>
      </w:r>
      <w:r w:rsidR="00776A17" w:rsidRPr="00776A17">
        <w:t xml:space="preserve">AIHW. 2020a. 'Chronic Kidney Disease', Australian Institute of Health and Welfare Accessed July 2021. </w:t>
      </w:r>
      <w:hyperlink r:id="rId13" w:history="1">
        <w:r w:rsidR="00776A17" w:rsidRPr="00776A17">
          <w:rPr>
            <w:rStyle w:val="Hyperlink"/>
          </w:rPr>
          <w:t>https://www.aihw.gov.au/reports/chronic-kidney-disease/chronic-kidney-disease/contents/what-is-chronic-kidney-disease</w:t>
        </w:r>
      </w:hyperlink>
      <w:r w:rsidR="00776A17" w:rsidRPr="00776A17">
        <w:t>.</w:t>
      </w:r>
    </w:p>
    <w:p w14:paraId="10EDEB3D" w14:textId="51B9812C" w:rsidR="00776A17" w:rsidRPr="00776A17" w:rsidRDefault="00776A17" w:rsidP="00776A17">
      <w:pPr>
        <w:pStyle w:val="EndNoteBibliography"/>
        <w:spacing w:after="0"/>
        <w:ind w:left="720" w:hanging="720"/>
      </w:pPr>
      <w:r w:rsidRPr="00776A17">
        <w:t xml:space="preserve">———. 2020b. 'Diabetes', The Australian Institute of Health and Welfare, Accessed July 2021. </w:t>
      </w:r>
      <w:hyperlink r:id="rId14" w:history="1">
        <w:r w:rsidRPr="00776A17">
          <w:rPr>
            <w:rStyle w:val="Hyperlink"/>
          </w:rPr>
          <w:t>https://www.aihw.gov.au/reports-data/health-conditions-disability-deaths/diabetes/overview</w:t>
        </w:r>
      </w:hyperlink>
      <w:r w:rsidRPr="00776A17">
        <w:t>.</w:t>
      </w:r>
    </w:p>
    <w:p w14:paraId="28B28AF6" w14:textId="77777777" w:rsidR="00776A17" w:rsidRPr="00776A17" w:rsidRDefault="00776A17" w:rsidP="00776A17">
      <w:pPr>
        <w:pStyle w:val="EndNoteBibliography"/>
        <w:spacing w:after="0"/>
        <w:ind w:left="720" w:hanging="720"/>
      </w:pPr>
      <w:r w:rsidRPr="00776A17">
        <w:t>Bellasi, Antonio, Luca Di Lullo, and Biagio Di Iorio. 2019. "Chronic kidney disease: the silent epidemy." In.: Multidisciplinary Digital Publishing Institute.</w:t>
      </w:r>
    </w:p>
    <w:p w14:paraId="7C70F2C7" w14:textId="77777777" w:rsidR="00776A17" w:rsidRPr="00776A17" w:rsidRDefault="00776A17" w:rsidP="00776A17">
      <w:pPr>
        <w:pStyle w:val="EndNoteBibliography"/>
        <w:spacing w:after="0"/>
        <w:ind w:left="720" w:hanging="720"/>
      </w:pPr>
      <w:r w:rsidRPr="00776A17">
        <w:t xml:space="preserve">Coresh, Josef, Tanvir Chowdhury Turin, Kunihiro Matsushita, Yingying Sang, Shoshana H Ballew, Lawrence J Appel, Hisatomi Arima, Steven J Chadban, Massimo Cirillo, and Ognjenka Djurdjev. 2014. 'Decline in estimated glomerular filtration rate and subsequent risk of end-stage renal disease and mortality', </w:t>
      </w:r>
      <w:r w:rsidRPr="00776A17">
        <w:rPr>
          <w:i/>
        </w:rPr>
        <w:t>Jama</w:t>
      </w:r>
      <w:r w:rsidRPr="00776A17">
        <w:t>, 311: 2518-31.</w:t>
      </w:r>
    </w:p>
    <w:p w14:paraId="7B5FF83A" w14:textId="4B8238A9" w:rsidR="00776A17" w:rsidRPr="00776A17" w:rsidRDefault="00776A17" w:rsidP="00776A17">
      <w:pPr>
        <w:pStyle w:val="EndNoteBibliography"/>
        <w:spacing w:after="0"/>
        <w:ind w:left="720" w:hanging="720"/>
      </w:pPr>
      <w:r w:rsidRPr="00776A17">
        <w:t xml:space="preserve">eTG. 2019. 'Diabetes', Therapeutic Guidelines Limited, Accessed July 2020. </w:t>
      </w:r>
      <w:hyperlink r:id="rId15" w:history="1">
        <w:r w:rsidRPr="00776A17">
          <w:rPr>
            <w:rStyle w:val="Hyperlink"/>
          </w:rPr>
          <w:t>https://www.tg.org.au</w:t>
        </w:r>
      </w:hyperlink>
      <w:r w:rsidRPr="00776A17">
        <w:t>.</w:t>
      </w:r>
    </w:p>
    <w:p w14:paraId="5AA160DE" w14:textId="77777777" w:rsidR="00776A17" w:rsidRPr="00776A17" w:rsidRDefault="00776A17" w:rsidP="00776A17">
      <w:pPr>
        <w:pStyle w:val="EndNoteBibliography"/>
        <w:spacing w:after="0"/>
        <w:ind w:left="720" w:hanging="720"/>
      </w:pPr>
      <w:r w:rsidRPr="00776A17">
        <w:t xml:space="preserve">Giorgino, Francesco, Jiten Vora, Peter Fenici, and Anna Solini. 2020. 'Renoprotection with SGLT2 inhibitors in type 2 diabetes over a spectrum of cardiovascular and renal risk', </w:t>
      </w:r>
      <w:r w:rsidRPr="00776A17">
        <w:rPr>
          <w:i/>
        </w:rPr>
        <w:t>Cardiovascular Diabetology</w:t>
      </w:r>
      <w:r w:rsidRPr="00776A17">
        <w:t>, 19: 1-19.</w:t>
      </w:r>
    </w:p>
    <w:p w14:paraId="69D0707C" w14:textId="77777777" w:rsidR="00776A17" w:rsidRPr="00776A17" w:rsidRDefault="00776A17" w:rsidP="00776A17">
      <w:pPr>
        <w:pStyle w:val="EndNoteBibliography"/>
        <w:spacing w:after="0"/>
        <w:ind w:left="720" w:hanging="720"/>
      </w:pPr>
      <w:r w:rsidRPr="00776A17">
        <w:t xml:space="preserve">Hussain, Salman, Mohammad Chand Jamali, Anwar Habib, Md Sarfaraj Hussain, Mohd Akhtar, and Abul Kalam Najmi. 2021. 'Diabetic kidney disease: An overview of prevalence, risk factors, and biomarkers', </w:t>
      </w:r>
      <w:r w:rsidRPr="00776A17">
        <w:rPr>
          <w:i/>
        </w:rPr>
        <w:t>Clinical Epidemiology and Global Health</w:t>
      </w:r>
      <w:r w:rsidRPr="00776A17">
        <w:t>, 9: 2-6.</w:t>
      </w:r>
    </w:p>
    <w:p w14:paraId="360CD47D" w14:textId="77777777" w:rsidR="00776A17" w:rsidRPr="00776A17" w:rsidRDefault="00776A17" w:rsidP="00776A17">
      <w:pPr>
        <w:pStyle w:val="EndNoteBibliography"/>
        <w:spacing w:after="0"/>
        <w:ind w:left="720" w:hanging="720"/>
      </w:pPr>
      <w:r w:rsidRPr="00776A17">
        <w:t xml:space="preserve">Levin, Adeera, Paul E Stevens, Rudy W Bilous, Josef Coresh, Angel LM De Francisco, Paul E De Jong, Kathryn E Griffith, Brenda R Hemmelgarn, Kunitoshi Iseki, and Edmund J Lamb. 2013. 'Kidney Disease: Improving Global Outcomes (KDIGO) CKD Work Group. KDIGO 2012 clinical practice guideline for the evaluation and management of chronic kidney disease', </w:t>
      </w:r>
      <w:r w:rsidRPr="00776A17">
        <w:rPr>
          <w:i/>
        </w:rPr>
        <w:t>Kidney International Supplements</w:t>
      </w:r>
      <w:r w:rsidRPr="00776A17">
        <w:t>, 3: 1-150.</w:t>
      </w:r>
    </w:p>
    <w:p w14:paraId="2ED2D5BD" w14:textId="77777777" w:rsidR="00776A17" w:rsidRPr="00776A17" w:rsidRDefault="00776A17" w:rsidP="00776A17">
      <w:pPr>
        <w:pStyle w:val="EndNoteBibliography"/>
        <w:spacing w:after="0"/>
        <w:ind w:left="720" w:hanging="720"/>
      </w:pPr>
      <w:r w:rsidRPr="00776A17">
        <w:t>Mokdad, Ali H, Katherine Ballestros, Michelle Echko, Scott Glenn, Helen E Olsen, Erin Mullany, Alex Lee, Abdur Rahman Khan, Alireza Ahmadi, and Alize J %J Jama Ferrari. 2018. 'The state of US health, 1990-2016: burden of diseases, injuries, and risk factors among US states', 319: 1444-72.</w:t>
      </w:r>
    </w:p>
    <w:p w14:paraId="6ACAED70" w14:textId="77777777" w:rsidR="00776A17" w:rsidRPr="00776A17" w:rsidRDefault="00776A17" w:rsidP="00776A17">
      <w:pPr>
        <w:pStyle w:val="EndNoteBibliography"/>
        <w:spacing w:after="0"/>
        <w:ind w:left="720" w:hanging="720"/>
      </w:pPr>
      <w:r w:rsidRPr="00776A17">
        <w:t xml:space="preserve">Persson, Frederik, and Peter Rossing. 2018. 'Diagnosis of diabetic kidney disease: state of the art and future perspective', </w:t>
      </w:r>
      <w:r w:rsidRPr="00776A17">
        <w:rPr>
          <w:i/>
        </w:rPr>
        <w:t>Kidney International Supplements</w:t>
      </w:r>
      <w:r w:rsidRPr="00776A17">
        <w:t>, 8: 2-7.</w:t>
      </w:r>
    </w:p>
    <w:p w14:paraId="5A77222F" w14:textId="77777777" w:rsidR="00776A17" w:rsidRPr="00776A17" w:rsidRDefault="00776A17" w:rsidP="00776A17">
      <w:pPr>
        <w:pStyle w:val="EndNoteBibliography"/>
        <w:ind w:left="720" w:hanging="720"/>
      </w:pPr>
      <w:r w:rsidRPr="00776A17">
        <w:t xml:space="preserve">Webster, Angela C, Evi V Nagler, Rachael L Morton, and Philip Masson. 2017. 'Chronic kidney disease', </w:t>
      </w:r>
      <w:r w:rsidRPr="00776A17">
        <w:rPr>
          <w:i/>
        </w:rPr>
        <w:t>The lancet</w:t>
      </w:r>
      <w:r w:rsidRPr="00776A17">
        <w:t>, 389: 1238-52.</w:t>
      </w:r>
    </w:p>
    <w:p w14:paraId="67F16B7A" w14:textId="6495FA56" w:rsidR="00191215" w:rsidRDefault="003F4C5A">
      <w:pPr>
        <w:rPr>
          <w:szCs w:val="20"/>
        </w:rPr>
      </w:pPr>
      <w:r>
        <w:rPr>
          <w:szCs w:val="20"/>
        </w:rPr>
        <w:fldChar w:fldCharType="end"/>
      </w:r>
    </w:p>
    <w:sectPr w:rsidR="001912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AC936" w14:textId="77777777" w:rsidR="00B262D6" w:rsidRDefault="00B262D6">
      <w:pPr>
        <w:spacing w:after="0"/>
      </w:pPr>
      <w:r>
        <w:separator/>
      </w:r>
    </w:p>
  </w:endnote>
  <w:endnote w:type="continuationSeparator" w:id="0">
    <w:p w14:paraId="2D5A506F" w14:textId="77777777" w:rsidR="00B262D6" w:rsidRDefault="00B262D6">
      <w:pPr>
        <w:spacing w:after="0"/>
      </w:pPr>
      <w:r>
        <w:continuationSeparator/>
      </w:r>
    </w:p>
  </w:endnote>
  <w:endnote w:type="continuationNotice" w:id="1">
    <w:p w14:paraId="4C8C0B8D" w14:textId="77777777" w:rsidR="00B262D6" w:rsidRDefault="00B262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2">
    <w:altName w:val="Cambria"/>
    <w:panose1 w:val="00000000000000000000"/>
    <w:charset w:val="00"/>
    <w:family w:val="auto"/>
    <w:notTrueType/>
    <w:pitch w:val="default"/>
    <w:sig w:usb0="00000003" w:usb1="00000000" w:usb2="00000000" w:usb3="00000000" w:csb0="00000001" w:csb1="00000000"/>
  </w:font>
  <w:font w:name="URWPalladioL-Roma">
    <w:altName w:val="Calibri"/>
    <w:panose1 w:val="00000000000000000000"/>
    <w:charset w:val="00"/>
    <w:family w:val="auto"/>
    <w:notTrueType/>
    <w:pitch w:val="default"/>
    <w:sig w:usb0="00000003" w:usb1="00000000" w:usb2="00000000" w:usb3="00000000" w:csb0="00000001" w:csb1="00000000"/>
  </w:font>
  <w:font w:name="Rpx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2FE03207" w14:textId="77777777" w:rsidR="00EE1CF9" w:rsidRDefault="00EE1CF9">
        <w:pPr>
          <w:pStyle w:val="Footer"/>
          <w:pBdr>
            <w:top w:val="single" w:sz="4" w:space="1" w:color="D9D9D9" w:themeColor="background1" w:themeShade="D9"/>
          </w:pBdr>
          <w:rPr>
            <w:color w:val="808080" w:themeColor="background1" w:themeShade="80"/>
            <w:spacing w:val="60"/>
            <w:sz w:val="18"/>
            <w:szCs w:val="18"/>
          </w:rPr>
        </w:pPr>
        <w:r>
          <w:rPr>
            <w:sz w:val="18"/>
            <w:szCs w:val="18"/>
          </w:rPr>
          <w:fldChar w:fldCharType="begin"/>
        </w:r>
        <w:r>
          <w:rPr>
            <w:sz w:val="18"/>
            <w:szCs w:val="18"/>
          </w:rPr>
          <w:instrText xml:space="preserve"> PAGE   \* MERGEFORMAT </w:instrText>
        </w:r>
        <w:r>
          <w:rPr>
            <w:sz w:val="18"/>
            <w:szCs w:val="18"/>
          </w:rPr>
          <w:fldChar w:fldCharType="separate"/>
        </w:r>
        <w:r>
          <w:rPr>
            <w:b/>
            <w:bCs/>
            <w:noProof/>
            <w:sz w:val="18"/>
            <w:szCs w:val="18"/>
          </w:rPr>
          <w:t>16</w:t>
        </w:r>
        <w:r>
          <w:rPr>
            <w:b/>
            <w:bCs/>
            <w:noProof/>
            <w:sz w:val="18"/>
            <w:szCs w:val="18"/>
          </w:rPr>
          <w:fldChar w:fldCharType="end"/>
        </w:r>
        <w:r>
          <w:rPr>
            <w:b/>
            <w:bCs/>
            <w:sz w:val="18"/>
            <w:szCs w:val="18"/>
          </w:rPr>
          <w:t xml:space="preserve"> | </w:t>
        </w:r>
        <w:r>
          <w:rPr>
            <w:color w:val="808080" w:themeColor="background1" w:themeShade="80"/>
            <w:spacing w:val="60"/>
            <w:sz w:val="18"/>
            <w:szCs w:val="18"/>
          </w:rPr>
          <w:t>Page</w:t>
        </w:r>
        <w:r>
          <w:rPr>
            <w:color w:val="808080" w:themeColor="background1" w:themeShade="80"/>
            <w:spacing w:val="60"/>
            <w:sz w:val="18"/>
            <w:szCs w:val="18"/>
          </w:rPr>
          <w:tab/>
          <w:t>Application Form</w:t>
        </w:r>
      </w:p>
      <w:p w14:paraId="46EC11CE" w14:textId="77777777" w:rsidR="00EE1CF9" w:rsidRDefault="00EE1CF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F7FE9" w14:textId="77777777" w:rsidR="00B262D6" w:rsidRDefault="00B262D6">
      <w:pPr>
        <w:spacing w:after="0"/>
      </w:pPr>
      <w:r>
        <w:separator/>
      </w:r>
    </w:p>
  </w:footnote>
  <w:footnote w:type="continuationSeparator" w:id="0">
    <w:p w14:paraId="0D9B476F" w14:textId="77777777" w:rsidR="00B262D6" w:rsidRDefault="00B262D6">
      <w:pPr>
        <w:spacing w:after="0"/>
      </w:pPr>
      <w:r>
        <w:continuationSeparator/>
      </w:r>
    </w:p>
  </w:footnote>
  <w:footnote w:type="continuationNotice" w:id="1">
    <w:p w14:paraId="19FB1354" w14:textId="77777777" w:rsidR="00B262D6" w:rsidRDefault="00B262D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264BE"/>
    <w:multiLevelType w:val="hybridMultilevel"/>
    <w:tmpl w:val="21808CD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AC50C9"/>
    <w:multiLevelType w:val="hybridMultilevel"/>
    <w:tmpl w:val="FEFA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241F1"/>
    <w:multiLevelType w:val="hybridMultilevel"/>
    <w:tmpl w:val="059C77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22172EF"/>
    <w:multiLevelType w:val="hybridMultilevel"/>
    <w:tmpl w:val="F2FC5EB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7A6417E"/>
    <w:multiLevelType w:val="hybridMultilevel"/>
    <w:tmpl w:val="80B28A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4124EA7"/>
    <w:multiLevelType w:val="hybridMultilevel"/>
    <w:tmpl w:val="ED56960C"/>
    <w:lvl w:ilvl="0" w:tplc="A72854FE">
      <w:start w:val="1"/>
      <w:numFmt w:val="decimal"/>
      <w:lvlText w:val="%1)"/>
      <w:lvlJc w:val="left"/>
      <w:pPr>
        <w:ind w:left="2586" w:hanging="360"/>
      </w:pPr>
      <w:rPr>
        <w:rFonts w:hint="default"/>
      </w:rPr>
    </w:lvl>
    <w:lvl w:ilvl="1" w:tplc="0C090019" w:tentative="1">
      <w:start w:val="1"/>
      <w:numFmt w:val="lowerLetter"/>
      <w:lvlText w:val="%2."/>
      <w:lvlJc w:val="left"/>
      <w:pPr>
        <w:ind w:left="3306" w:hanging="360"/>
      </w:pPr>
    </w:lvl>
    <w:lvl w:ilvl="2" w:tplc="0C09001B" w:tentative="1">
      <w:start w:val="1"/>
      <w:numFmt w:val="lowerRoman"/>
      <w:lvlText w:val="%3."/>
      <w:lvlJc w:val="right"/>
      <w:pPr>
        <w:ind w:left="4026" w:hanging="180"/>
      </w:pPr>
    </w:lvl>
    <w:lvl w:ilvl="3" w:tplc="0C09000F" w:tentative="1">
      <w:start w:val="1"/>
      <w:numFmt w:val="decimal"/>
      <w:lvlText w:val="%4."/>
      <w:lvlJc w:val="left"/>
      <w:pPr>
        <w:ind w:left="4746" w:hanging="360"/>
      </w:pPr>
    </w:lvl>
    <w:lvl w:ilvl="4" w:tplc="0C090019" w:tentative="1">
      <w:start w:val="1"/>
      <w:numFmt w:val="lowerLetter"/>
      <w:lvlText w:val="%5."/>
      <w:lvlJc w:val="left"/>
      <w:pPr>
        <w:ind w:left="5466" w:hanging="360"/>
      </w:pPr>
    </w:lvl>
    <w:lvl w:ilvl="5" w:tplc="0C09001B" w:tentative="1">
      <w:start w:val="1"/>
      <w:numFmt w:val="lowerRoman"/>
      <w:lvlText w:val="%6."/>
      <w:lvlJc w:val="right"/>
      <w:pPr>
        <w:ind w:left="6186" w:hanging="180"/>
      </w:pPr>
    </w:lvl>
    <w:lvl w:ilvl="6" w:tplc="0C09000F" w:tentative="1">
      <w:start w:val="1"/>
      <w:numFmt w:val="decimal"/>
      <w:lvlText w:val="%7."/>
      <w:lvlJc w:val="left"/>
      <w:pPr>
        <w:ind w:left="6906" w:hanging="360"/>
      </w:pPr>
    </w:lvl>
    <w:lvl w:ilvl="7" w:tplc="0C090019" w:tentative="1">
      <w:start w:val="1"/>
      <w:numFmt w:val="lowerLetter"/>
      <w:lvlText w:val="%8."/>
      <w:lvlJc w:val="left"/>
      <w:pPr>
        <w:ind w:left="7626" w:hanging="360"/>
      </w:pPr>
    </w:lvl>
    <w:lvl w:ilvl="8" w:tplc="0C09001B" w:tentative="1">
      <w:start w:val="1"/>
      <w:numFmt w:val="lowerRoman"/>
      <w:lvlText w:val="%9."/>
      <w:lvlJc w:val="right"/>
      <w:pPr>
        <w:ind w:left="8346" w:hanging="180"/>
      </w:p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4860516F"/>
    <w:multiLevelType w:val="hybridMultilevel"/>
    <w:tmpl w:val="2DC445A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DA4627C"/>
    <w:multiLevelType w:val="hybridMultilevel"/>
    <w:tmpl w:val="D2E40B4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296013D"/>
    <w:multiLevelType w:val="hybridMultilevel"/>
    <w:tmpl w:val="57D033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D42FC6"/>
    <w:multiLevelType w:val="hybridMultilevel"/>
    <w:tmpl w:val="E0C6BE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09489C"/>
    <w:multiLevelType w:val="hybridMultilevel"/>
    <w:tmpl w:val="89A61A6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2"/>
  </w:num>
  <w:num w:numId="3">
    <w:abstractNumId w:val="1"/>
  </w:num>
  <w:num w:numId="4">
    <w:abstractNumId w:val="20"/>
  </w:num>
  <w:num w:numId="5">
    <w:abstractNumId w:val="4"/>
  </w:num>
  <w:num w:numId="6">
    <w:abstractNumId w:val="16"/>
  </w:num>
  <w:num w:numId="7">
    <w:abstractNumId w:val="10"/>
  </w:num>
  <w:num w:numId="8">
    <w:abstractNumId w:val="21"/>
  </w:num>
  <w:num w:numId="9">
    <w:abstractNumId w:val="3"/>
  </w:num>
  <w:num w:numId="10">
    <w:abstractNumId w:val="18"/>
  </w:num>
  <w:num w:numId="11">
    <w:abstractNumId w:val="11"/>
  </w:num>
  <w:num w:numId="12">
    <w:abstractNumId w:val="0"/>
  </w:num>
  <w:num w:numId="13">
    <w:abstractNumId w:val="2"/>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5"/>
  </w:num>
  <w:num w:numId="19">
    <w:abstractNumId w:val="12"/>
  </w:num>
  <w:num w:numId="20">
    <w:abstractNumId w:val="15"/>
  </w:num>
  <w:num w:numId="21">
    <w:abstractNumId w:val="8"/>
  </w:num>
  <w:num w:numId="22">
    <w:abstractNumId w:val="6"/>
  </w:num>
  <w:num w:numId="23">
    <w:abstractNumId w:val="17"/>
  </w:num>
  <w:num w:numId="2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HRA (Author-Dat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zas9fs9xszx0espvapzadd5dwa9t99wwdr&quot;&gt;PormarkerD Library&lt;record-ids&gt;&lt;item&gt;10&lt;/item&gt;&lt;item&gt;13&lt;/item&gt;&lt;item&gt;14&lt;/item&gt;&lt;item&gt;17&lt;/item&gt;&lt;item&gt;24&lt;/item&gt;&lt;item&gt;25&lt;/item&gt;&lt;item&gt;26&lt;/item&gt;&lt;/record-ids&gt;&lt;/item&gt;&lt;/Libraries&gt;"/>
  </w:docVars>
  <w:rsids>
    <w:rsidRoot w:val="00191215"/>
    <w:rsid w:val="0001072B"/>
    <w:rsid w:val="00012A41"/>
    <w:rsid w:val="000250CC"/>
    <w:rsid w:val="000372E2"/>
    <w:rsid w:val="00051784"/>
    <w:rsid w:val="00064BD6"/>
    <w:rsid w:val="00065DFC"/>
    <w:rsid w:val="000951D8"/>
    <w:rsid w:val="000D71FA"/>
    <w:rsid w:val="000F209B"/>
    <w:rsid w:val="000F5BD2"/>
    <w:rsid w:val="001166A3"/>
    <w:rsid w:val="00121E3D"/>
    <w:rsid w:val="00126EBE"/>
    <w:rsid w:val="00157684"/>
    <w:rsid w:val="001757D7"/>
    <w:rsid w:val="00187D72"/>
    <w:rsid w:val="00190BB0"/>
    <w:rsid w:val="00191215"/>
    <w:rsid w:val="00192F20"/>
    <w:rsid w:val="001B1215"/>
    <w:rsid w:val="001D07E5"/>
    <w:rsid w:val="001F77E8"/>
    <w:rsid w:val="002020B9"/>
    <w:rsid w:val="002311EE"/>
    <w:rsid w:val="00237614"/>
    <w:rsid w:val="00250C44"/>
    <w:rsid w:val="00273107"/>
    <w:rsid w:val="002853A2"/>
    <w:rsid w:val="002A34E5"/>
    <w:rsid w:val="002B14B4"/>
    <w:rsid w:val="002B5D16"/>
    <w:rsid w:val="002C5351"/>
    <w:rsid w:val="002D2167"/>
    <w:rsid w:val="002F4D81"/>
    <w:rsid w:val="002F530E"/>
    <w:rsid w:val="00361836"/>
    <w:rsid w:val="00373DEC"/>
    <w:rsid w:val="003C1D70"/>
    <w:rsid w:val="003D2E35"/>
    <w:rsid w:val="003D6F0B"/>
    <w:rsid w:val="003E4DEA"/>
    <w:rsid w:val="003F4C5A"/>
    <w:rsid w:val="00410213"/>
    <w:rsid w:val="00451764"/>
    <w:rsid w:val="00453773"/>
    <w:rsid w:val="00455523"/>
    <w:rsid w:val="00466B22"/>
    <w:rsid w:val="0047743D"/>
    <w:rsid w:val="00484B23"/>
    <w:rsid w:val="0048504E"/>
    <w:rsid w:val="004A718C"/>
    <w:rsid w:val="004C7448"/>
    <w:rsid w:val="004D0156"/>
    <w:rsid w:val="004D1F45"/>
    <w:rsid w:val="004E6856"/>
    <w:rsid w:val="005036A7"/>
    <w:rsid w:val="0053476E"/>
    <w:rsid w:val="00596126"/>
    <w:rsid w:val="00596B7C"/>
    <w:rsid w:val="005A5033"/>
    <w:rsid w:val="00607531"/>
    <w:rsid w:val="00614749"/>
    <w:rsid w:val="00625F5E"/>
    <w:rsid w:val="00691594"/>
    <w:rsid w:val="006B04E8"/>
    <w:rsid w:val="006B1CA8"/>
    <w:rsid w:val="006B2EB0"/>
    <w:rsid w:val="006B337B"/>
    <w:rsid w:val="006B38DF"/>
    <w:rsid w:val="006F78F8"/>
    <w:rsid w:val="00701D9A"/>
    <w:rsid w:val="00704529"/>
    <w:rsid w:val="0072564D"/>
    <w:rsid w:val="00753959"/>
    <w:rsid w:val="00771009"/>
    <w:rsid w:val="007711F2"/>
    <w:rsid w:val="00776A17"/>
    <w:rsid w:val="0078740A"/>
    <w:rsid w:val="007934FF"/>
    <w:rsid w:val="007B1E8F"/>
    <w:rsid w:val="007B25FF"/>
    <w:rsid w:val="007B54BB"/>
    <w:rsid w:val="007B5954"/>
    <w:rsid w:val="007E31C7"/>
    <w:rsid w:val="007F1B8B"/>
    <w:rsid w:val="0082633D"/>
    <w:rsid w:val="0085496E"/>
    <w:rsid w:val="008612CE"/>
    <w:rsid w:val="0087293B"/>
    <w:rsid w:val="008944A2"/>
    <w:rsid w:val="008A083B"/>
    <w:rsid w:val="008A3A38"/>
    <w:rsid w:val="008B24C3"/>
    <w:rsid w:val="008B35ED"/>
    <w:rsid w:val="008C5F0C"/>
    <w:rsid w:val="008D7BDC"/>
    <w:rsid w:val="008E2EF0"/>
    <w:rsid w:val="009275AD"/>
    <w:rsid w:val="0095324E"/>
    <w:rsid w:val="00953AFE"/>
    <w:rsid w:val="009A7D8F"/>
    <w:rsid w:val="009C5B6A"/>
    <w:rsid w:val="009D15D3"/>
    <w:rsid w:val="009D4A37"/>
    <w:rsid w:val="009E6557"/>
    <w:rsid w:val="00A62E2C"/>
    <w:rsid w:val="00AC0D6D"/>
    <w:rsid w:val="00B24965"/>
    <w:rsid w:val="00B262D6"/>
    <w:rsid w:val="00B40078"/>
    <w:rsid w:val="00B61954"/>
    <w:rsid w:val="00B8011C"/>
    <w:rsid w:val="00BA3362"/>
    <w:rsid w:val="00BF388C"/>
    <w:rsid w:val="00C20D98"/>
    <w:rsid w:val="00C22178"/>
    <w:rsid w:val="00C35BB7"/>
    <w:rsid w:val="00C469EB"/>
    <w:rsid w:val="00C532C4"/>
    <w:rsid w:val="00C53509"/>
    <w:rsid w:val="00CA6276"/>
    <w:rsid w:val="00CC0BD5"/>
    <w:rsid w:val="00CC7504"/>
    <w:rsid w:val="00CE56B2"/>
    <w:rsid w:val="00D14302"/>
    <w:rsid w:val="00D37EB1"/>
    <w:rsid w:val="00D42D69"/>
    <w:rsid w:val="00D47B41"/>
    <w:rsid w:val="00D6642B"/>
    <w:rsid w:val="00D70601"/>
    <w:rsid w:val="00D70DA8"/>
    <w:rsid w:val="00D75E8A"/>
    <w:rsid w:val="00D935DB"/>
    <w:rsid w:val="00DC6FC4"/>
    <w:rsid w:val="00DD4BF4"/>
    <w:rsid w:val="00DD7414"/>
    <w:rsid w:val="00DE1CA2"/>
    <w:rsid w:val="00DE266D"/>
    <w:rsid w:val="00DF1DA2"/>
    <w:rsid w:val="00E1269B"/>
    <w:rsid w:val="00E2464B"/>
    <w:rsid w:val="00E3268F"/>
    <w:rsid w:val="00E479E5"/>
    <w:rsid w:val="00E537B9"/>
    <w:rsid w:val="00E53D90"/>
    <w:rsid w:val="00E601FE"/>
    <w:rsid w:val="00E947B9"/>
    <w:rsid w:val="00EE1BA2"/>
    <w:rsid w:val="00EE1CF9"/>
    <w:rsid w:val="00EF625A"/>
    <w:rsid w:val="00F151CD"/>
    <w:rsid w:val="00F27205"/>
    <w:rsid w:val="00F27D9D"/>
    <w:rsid w:val="00F32637"/>
    <w:rsid w:val="00F456D8"/>
    <w:rsid w:val="00F55696"/>
    <w:rsid w:val="00F635B3"/>
    <w:rsid w:val="00FF0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D5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sz w:val="20"/>
    </w:rPr>
  </w:style>
  <w:style w:type="paragraph" w:styleId="Heading1">
    <w:name w:val="heading 1"/>
    <w:next w:val="Normal"/>
    <w:link w:val="Heading1Char"/>
    <w:uiPriority w:val="9"/>
    <w:qFormat/>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Spacing">
    <w:name w:val="No Spacing"/>
    <w:uiPriority w:val="1"/>
    <w:qFormat/>
    <w:pPr>
      <w:spacing w:after="0" w:line="240" w:lineRule="auto"/>
    </w:pPr>
    <w:rPr>
      <w:rFonts w:ascii="Calibri" w:eastAsia="Calibri" w:hAnsi="Calibri" w:cs="Times New Roman"/>
    </w:rPr>
  </w:style>
  <w:style w:type="table" w:customStyle="1" w:styleId="TableGrid1">
    <w:name w:val="Table Grid1"/>
    <w:basedOn w:val="TableNormal"/>
    <w:next w:val="TableGrid"/>
    <w:uiPriority w:val="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b/>
      <w:sz w:val="20"/>
      <w:szCs w:val="20"/>
    </w:rPr>
  </w:style>
  <w:style w:type="paragraph" w:styleId="Title">
    <w:name w:val="Title"/>
    <w:basedOn w:val="Normal"/>
    <w:next w:val="Normal"/>
    <w:link w:val="TitleChar"/>
    <w:uiPriority w:val="10"/>
    <w:qFormat/>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Pr>
      <w:rFonts w:ascii="Arial" w:hAnsi="Arial" w:cs="Arial"/>
      <w:b/>
      <w:sz w:val="52"/>
      <w:szCs w:val="52"/>
    </w:rPr>
  </w:style>
  <w:style w:type="paragraph" w:styleId="Subtitle">
    <w:name w:val="Subtitle"/>
    <w:basedOn w:val="Heading2"/>
    <w:next w:val="Normal"/>
    <w:link w:val="SubtitleChar"/>
    <w:uiPriority w:val="11"/>
    <w:qFormat/>
    <w:pPr>
      <w:numPr>
        <w:numId w:val="0"/>
      </w:numPr>
      <w:ind w:left="357"/>
    </w:pPr>
    <w:rPr>
      <w:i/>
      <w:u w:val="single"/>
    </w:rPr>
  </w:style>
  <w:style w:type="character" w:customStyle="1" w:styleId="SubtitleChar">
    <w:name w:val="Subtitle Char"/>
    <w:basedOn w:val="DefaultParagraphFont"/>
    <w:link w:val="Subtitle"/>
    <w:uiPriority w:val="11"/>
    <w:rPr>
      <w:b/>
      <w:i/>
      <w:sz w:val="20"/>
      <w:szCs w:val="20"/>
      <w:u w:val="single"/>
    </w:rPr>
  </w:style>
  <w:style w:type="character" w:customStyle="1" w:styleId="Heading1Char">
    <w:name w:val="Heading 1 Char"/>
    <w:basedOn w:val="DefaultParagraphFont"/>
    <w:link w:val="Heading1"/>
    <w:uiPriority w:val="9"/>
    <w:rPr>
      <w:bCs/>
      <w:color w:val="4F81BD" w:themeColor="accent1"/>
      <w:sz w:val="40"/>
      <w:szCs w:val="32"/>
    </w:rPr>
  </w:style>
  <w:style w:type="character" w:styleId="Strong">
    <w:name w:val="Strong"/>
    <w:uiPriority w:val="22"/>
    <w:qFormat/>
    <w:rPr>
      <w:rFonts w:ascii="Calibri" w:eastAsia="Calibri" w:hAnsi="Calibri" w:cs="Times New Roman"/>
      <w:b/>
    </w:rPr>
  </w:style>
  <w:style w:type="paragraph" w:customStyle="1" w:styleId="TableHEADER">
    <w:name w:val="Table HEADER"/>
    <w:basedOn w:val="Normal"/>
    <w:qFormat/>
    <w:pPr>
      <w:ind w:right="82"/>
    </w:pPr>
    <w:rPr>
      <w:rFonts w:ascii="Calibri" w:hAnsi="Calibri" w:cs="Tahoma"/>
      <w:b/>
      <w:szCs w:val="20"/>
      <w:lang w:eastAsia="en-AU"/>
    </w:rPr>
  </w:style>
  <w:style w:type="character" w:styleId="IntenseReference">
    <w:name w:val="Intense Reference"/>
    <w:uiPriority w:val="32"/>
    <w:qFormat/>
    <w:rPr>
      <w:rFonts w:asciiTheme="minorHAnsi" w:hAnsiTheme="minorHAnsi"/>
      <w:sz w:val="28"/>
    </w:rPr>
  </w:style>
  <w:style w:type="character" w:styleId="PlaceholderText">
    <w:name w:val="Placeholder Text"/>
    <w:basedOn w:val="DefaultParagraphFont"/>
    <w:uiPriority w:val="99"/>
    <w:semiHidden/>
    <w:rPr>
      <w:color w:val="808080"/>
    </w:rPr>
  </w:style>
  <w:style w:type="paragraph" w:customStyle="1" w:styleId="TitleBlue">
    <w:name w:val="Title Blue"/>
    <w:basedOn w:val="Title"/>
    <w:qFormat/>
    <w:pPr>
      <w:spacing w:before="360"/>
    </w:pPr>
    <w:rPr>
      <w:color w:val="548DD4" w:themeColor="text2" w:themeTint="99"/>
    </w:rPr>
  </w:style>
  <w:style w:type="paragraph" w:customStyle="1" w:styleId="EndNoteBibliographyTitle">
    <w:name w:val="EndNote Bibliography Title"/>
    <w:basedOn w:val="Normal"/>
    <w:link w:val="EndNoteBibliographyTitleChar"/>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Pr>
      <w:rFonts w:ascii="Calibri" w:hAnsi="Calibri" w:cs="Calibri"/>
      <w:noProof/>
      <w:sz w:val="20"/>
      <w:lang w:val="en-US"/>
    </w:rPr>
  </w:style>
  <w:style w:type="paragraph" w:customStyle="1" w:styleId="EndNoteBibliography">
    <w:name w:val="EndNote Bibliography"/>
    <w:basedOn w:val="Normal"/>
    <w:link w:val="EndNoteBibliographyChar"/>
    <w:rPr>
      <w:rFonts w:ascii="Calibri" w:hAnsi="Calibri" w:cs="Calibri"/>
      <w:noProof/>
      <w:lang w:val="en-US"/>
    </w:rPr>
  </w:style>
  <w:style w:type="character" w:customStyle="1" w:styleId="EndNoteBibliographyChar">
    <w:name w:val="EndNote Bibliography Char"/>
    <w:basedOn w:val="DefaultParagraphFont"/>
    <w:link w:val="EndNoteBibliography"/>
    <w:rPr>
      <w:rFonts w:ascii="Calibri" w:hAnsi="Calibri" w:cs="Calibri"/>
      <w:noProof/>
      <w:sz w:val="20"/>
      <w:lang w:val="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CIDFont+F2" w:hAnsi="CIDFont+F2" w:hint="default"/>
      <w:b w:val="0"/>
      <w:bCs w:val="0"/>
      <w:i w:val="0"/>
      <w:iCs w:val="0"/>
      <w:color w:val="000000"/>
      <w:sz w:val="24"/>
      <w:szCs w:val="24"/>
    </w:rPr>
  </w:style>
  <w:style w:type="character" w:styleId="Mention">
    <w:name w:val="Mention"/>
    <w:basedOn w:val="DefaultParagraphFont"/>
    <w:uiPriority w:val="99"/>
    <w:unhideWhenUsed/>
    <w:rPr>
      <w:color w:val="2B579A"/>
      <w:shd w:val="clear" w:color="auto" w:fill="E1DFDD"/>
    </w:rPr>
  </w:style>
  <w:style w:type="paragraph" w:styleId="Caption">
    <w:name w:val="caption"/>
    <w:basedOn w:val="Normal"/>
    <w:next w:val="Normal"/>
    <w:uiPriority w:val="35"/>
    <w:unhideWhenUsed/>
    <w:qFormat/>
    <w:pPr>
      <w:spacing w:before="0" w:after="200"/>
    </w:pPr>
    <w:rPr>
      <w:i/>
      <w:iCs/>
      <w:color w:val="1F497D" w:themeColor="text2"/>
      <w:sz w:val="18"/>
      <w:szCs w:val="18"/>
    </w:rPr>
  </w:style>
  <w:style w:type="paragraph" w:styleId="Revision">
    <w:name w:val="Revision"/>
    <w:hidden/>
    <w:uiPriority w:val="99"/>
    <w:semiHidden/>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7461">
      <w:bodyDiv w:val="1"/>
      <w:marLeft w:val="0"/>
      <w:marRight w:val="0"/>
      <w:marTop w:val="0"/>
      <w:marBottom w:val="0"/>
      <w:divBdr>
        <w:top w:val="none" w:sz="0" w:space="0" w:color="auto"/>
        <w:left w:val="none" w:sz="0" w:space="0" w:color="auto"/>
        <w:bottom w:val="none" w:sz="0" w:space="0" w:color="auto"/>
        <w:right w:val="none" w:sz="0" w:space="0" w:color="auto"/>
      </w:divBdr>
    </w:div>
    <w:div w:id="140272040">
      <w:bodyDiv w:val="1"/>
      <w:marLeft w:val="0"/>
      <w:marRight w:val="0"/>
      <w:marTop w:val="0"/>
      <w:marBottom w:val="0"/>
      <w:divBdr>
        <w:top w:val="none" w:sz="0" w:space="0" w:color="auto"/>
        <w:left w:val="none" w:sz="0" w:space="0" w:color="auto"/>
        <w:bottom w:val="none" w:sz="0" w:space="0" w:color="auto"/>
        <w:right w:val="none" w:sz="0" w:space="0" w:color="auto"/>
      </w:divBdr>
      <w:divsChild>
        <w:div w:id="130950928">
          <w:marLeft w:val="0"/>
          <w:marRight w:val="0"/>
          <w:marTop w:val="0"/>
          <w:marBottom w:val="0"/>
          <w:divBdr>
            <w:top w:val="none" w:sz="0" w:space="0" w:color="auto"/>
            <w:left w:val="none" w:sz="0" w:space="0" w:color="auto"/>
            <w:bottom w:val="none" w:sz="0" w:space="0" w:color="auto"/>
            <w:right w:val="none" w:sz="0" w:space="0" w:color="auto"/>
          </w:divBdr>
        </w:div>
        <w:div w:id="272321930">
          <w:marLeft w:val="0"/>
          <w:marRight w:val="0"/>
          <w:marTop w:val="0"/>
          <w:marBottom w:val="0"/>
          <w:divBdr>
            <w:top w:val="none" w:sz="0" w:space="0" w:color="auto"/>
            <w:left w:val="none" w:sz="0" w:space="0" w:color="auto"/>
            <w:bottom w:val="none" w:sz="0" w:space="0" w:color="auto"/>
            <w:right w:val="none" w:sz="0" w:space="0" w:color="auto"/>
          </w:divBdr>
        </w:div>
        <w:div w:id="381175126">
          <w:marLeft w:val="0"/>
          <w:marRight w:val="0"/>
          <w:marTop w:val="0"/>
          <w:marBottom w:val="0"/>
          <w:divBdr>
            <w:top w:val="none" w:sz="0" w:space="0" w:color="auto"/>
            <w:left w:val="none" w:sz="0" w:space="0" w:color="auto"/>
            <w:bottom w:val="none" w:sz="0" w:space="0" w:color="auto"/>
            <w:right w:val="none" w:sz="0" w:space="0" w:color="auto"/>
          </w:divBdr>
        </w:div>
        <w:div w:id="409431949">
          <w:marLeft w:val="0"/>
          <w:marRight w:val="0"/>
          <w:marTop w:val="0"/>
          <w:marBottom w:val="0"/>
          <w:divBdr>
            <w:top w:val="none" w:sz="0" w:space="0" w:color="auto"/>
            <w:left w:val="none" w:sz="0" w:space="0" w:color="auto"/>
            <w:bottom w:val="none" w:sz="0" w:space="0" w:color="auto"/>
            <w:right w:val="none" w:sz="0" w:space="0" w:color="auto"/>
          </w:divBdr>
        </w:div>
        <w:div w:id="453017488">
          <w:marLeft w:val="0"/>
          <w:marRight w:val="0"/>
          <w:marTop w:val="0"/>
          <w:marBottom w:val="0"/>
          <w:divBdr>
            <w:top w:val="none" w:sz="0" w:space="0" w:color="auto"/>
            <w:left w:val="none" w:sz="0" w:space="0" w:color="auto"/>
            <w:bottom w:val="none" w:sz="0" w:space="0" w:color="auto"/>
            <w:right w:val="none" w:sz="0" w:space="0" w:color="auto"/>
          </w:divBdr>
        </w:div>
        <w:div w:id="1191837859">
          <w:marLeft w:val="0"/>
          <w:marRight w:val="0"/>
          <w:marTop w:val="0"/>
          <w:marBottom w:val="0"/>
          <w:divBdr>
            <w:top w:val="none" w:sz="0" w:space="0" w:color="auto"/>
            <w:left w:val="none" w:sz="0" w:space="0" w:color="auto"/>
            <w:bottom w:val="none" w:sz="0" w:space="0" w:color="auto"/>
            <w:right w:val="none" w:sz="0" w:space="0" w:color="auto"/>
          </w:divBdr>
        </w:div>
        <w:div w:id="1555577381">
          <w:marLeft w:val="0"/>
          <w:marRight w:val="0"/>
          <w:marTop w:val="0"/>
          <w:marBottom w:val="0"/>
          <w:divBdr>
            <w:top w:val="none" w:sz="0" w:space="0" w:color="auto"/>
            <w:left w:val="none" w:sz="0" w:space="0" w:color="auto"/>
            <w:bottom w:val="none" w:sz="0" w:space="0" w:color="auto"/>
            <w:right w:val="none" w:sz="0" w:space="0" w:color="auto"/>
          </w:divBdr>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43409191">
      <w:bodyDiv w:val="1"/>
      <w:marLeft w:val="0"/>
      <w:marRight w:val="0"/>
      <w:marTop w:val="0"/>
      <w:marBottom w:val="0"/>
      <w:divBdr>
        <w:top w:val="none" w:sz="0" w:space="0" w:color="auto"/>
        <w:left w:val="none" w:sz="0" w:space="0" w:color="auto"/>
        <w:bottom w:val="none" w:sz="0" w:space="0" w:color="auto"/>
        <w:right w:val="none" w:sz="0" w:space="0" w:color="auto"/>
      </w:divBdr>
    </w:div>
    <w:div w:id="388923162">
      <w:bodyDiv w:val="1"/>
      <w:marLeft w:val="0"/>
      <w:marRight w:val="0"/>
      <w:marTop w:val="0"/>
      <w:marBottom w:val="0"/>
      <w:divBdr>
        <w:top w:val="none" w:sz="0" w:space="0" w:color="auto"/>
        <w:left w:val="none" w:sz="0" w:space="0" w:color="auto"/>
        <w:bottom w:val="none" w:sz="0" w:space="0" w:color="auto"/>
        <w:right w:val="none" w:sz="0" w:space="0" w:color="auto"/>
      </w:divBdr>
    </w:div>
    <w:div w:id="654650142">
      <w:bodyDiv w:val="1"/>
      <w:marLeft w:val="0"/>
      <w:marRight w:val="0"/>
      <w:marTop w:val="0"/>
      <w:marBottom w:val="0"/>
      <w:divBdr>
        <w:top w:val="none" w:sz="0" w:space="0" w:color="auto"/>
        <w:left w:val="none" w:sz="0" w:space="0" w:color="auto"/>
        <w:bottom w:val="none" w:sz="0" w:space="0" w:color="auto"/>
        <w:right w:val="none" w:sz="0" w:space="0" w:color="auto"/>
      </w:divBdr>
    </w:div>
    <w:div w:id="763385213">
      <w:bodyDiv w:val="1"/>
      <w:marLeft w:val="0"/>
      <w:marRight w:val="0"/>
      <w:marTop w:val="0"/>
      <w:marBottom w:val="0"/>
      <w:divBdr>
        <w:top w:val="none" w:sz="0" w:space="0" w:color="auto"/>
        <w:left w:val="none" w:sz="0" w:space="0" w:color="auto"/>
        <w:bottom w:val="none" w:sz="0" w:space="0" w:color="auto"/>
        <w:right w:val="none" w:sz="0" w:space="0" w:color="auto"/>
      </w:divBdr>
    </w:div>
    <w:div w:id="850604673">
      <w:bodyDiv w:val="1"/>
      <w:marLeft w:val="0"/>
      <w:marRight w:val="0"/>
      <w:marTop w:val="0"/>
      <w:marBottom w:val="0"/>
      <w:divBdr>
        <w:top w:val="none" w:sz="0" w:space="0" w:color="auto"/>
        <w:left w:val="none" w:sz="0" w:space="0" w:color="auto"/>
        <w:bottom w:val="none" w:sz="0" w:space="0" w:color="auto"/>
        <w:right w:val="none" w:sz="0" w:space="0" w:color="auto"/>
      </w:divBdr>
    </w:div>
    <w:div w:id="1090007260">
      <w:bodyDiv w:val="1"/>
      <w:marLeft w:val="0"/>
      <w:marRight w:val="0"/>
      <w:marTop w:val="0"/>
      <w:marBottom w:val="0"/>
      <w:divBdr>
        <w:top w:val="none" w:sz="0" w:space="0" w:color="auto"/>
        <w:left w:val="none" w:sz="0" w:space="0" w:color="auto"/>
        <w:bottom w:val="none" w:sz="0" w:space="0" w:color="auto"/>
        <w:right w:val="none" w:sz="0" w:space="0" w:color="auto"/>
      </w:divBdr>
    </w:div>
    <w:div w:id="1090465626">
      <w:bodyDiv w:val="1"/>
      <w:marLeft w:val="0"/>
      <w:marRight w:val="0"/>
      <w:marTop w:val="0"/>
      <w:marBottom w:val="0"/>
      <w:divBdr>
        <w:top w:val="none" w:sz="0" w:space="0" w:color="auto"/>
        <w:left w:val="none" w:sz="0" w:space="0" w:color="auto"/>
        <w:bottom w:val="none" w:sz="0" w:space="0" w:color="auto"/>
        <w:right w:val="none" w:sz="0" w:space="0" w:color="auto"/>
      </w:divBdr>
    </w:div>
    <w:div w:id="1237319692">
      <w:bodyDiv w:val="1"/>
      <w:marLeft w:val="0"/>
      <w:marRight w:val="0"/>
      <w:marTop w:val="0"/>
      <w:marBottom w:val="0"/>
      <w:divBdr>
        <w:top w:val="none" w:sz="0" w:space="0" w:color="auto"/>
        <w:left w:val="none" w:sz="0" w:space="0" w:color="auto"/>
        <w:bottom w:val="none" w:sz="0" w:space="0" w:color="auto"/>
        <w:right w:val="none" w:sz="0" w:space="0" w:color="auto"/>
      </w:divBdr>
      <w:divsChild>
        <w:div w:id="1378506330">
          <w:marLeft w:val="0"/>
          <w:marRight w:val="0"/>
          <w:marTop w:val="0"/>
          <w:marBottom w:val="0"/>
          <w:divBdr>
            <w:top w:val="none" w:sz="0" w:space="0" w:color="auto"/>
            <w:left w:val="none" w:sz="0" w:space="0" w:color="auto"/>
            <w:bottom w:val="none" w:sz="0" w:space="0" w:color="auto"/>
            <w:right w:val="none" w:sz="0" w:space="0" w:color="auto"/>
          </w:divBdr>
        </w:div>
        <w:div w:id="1591885210">
          <w:marLeft w:val="0"/>
          <w:marRight w:val="0"/>
          <w:marTop w:val="0"/>
          <w:marBottom w:val="0"/>
          <w:divBdr>
            <w:top w:val="none" w:sz="0" w:space="0" w:color="auto"/>
            <w:left w:val="none" w:sz="0" w:space="0" w:color="auto"/>
            <w:bottom w:val="none" w:sz="0" w:space="0" w:color="auto"/>
            <w:right w:val="none" w:sz="0" w:space="0" w:color="auto"/>
          </w:divBdr>
        </w:div>
      </w:divsChild>
    </w:div>
    <w:div w:id="1285500216">
      <w:bodyDiv w:val="1"/>
      <w:marLeft w:val="0"/>
      <w:marRight w:val="0"/>
      <w:marTop w:val="0"/>
      <w:marBottom w:val="0"/>
      <w:divBdr>
        <w:top w:val="none" w:sz="0" w:space="0" w:color="auto"/>
        <w:left w:val="none" w:sz="0" w:space="0" w:color="auto"/>
        <w:bottom w:val="none" w:sz="0" w:space="0" w:color="auto"/>
        <w:right w:val="none" w:sz="0" w:space="0" w:color="auto"/>
      </w:divBdr>
    </w:div>
    <w:div w:id="1331300111">
      <w:bodyDiv w:val="1"/>
      <w:marLeft w:val="0"/>
      <w:marRight w:val="0"/>
      <w:marTop w:val="0"/>
      <w:marBottom w:val="0"/>
      <w:divBdr>
        <w:top w:val="none" w:sz="0" w:space="0" w:color="auto"/>
        <w:left w:val="none" w:sz="0" w:space="0" w:color="auto"/>
        <w:bottom w:val="none" w:sz="0" w:space="0" w:color="auto"/>
        <w:right w:val="none" w:sz="0" w:space="0" w:color="auto"/>
      </w:divBdr>
    </w:div>
    <w:div w:id="1533687405">
      <w:bodyDiv w:val="1"/>
      <w:marLeft w:val="0"/>
      <w:marRight w:val="0"/>
      <w:marTop w:val="0"/>
      <w:marBottom w:val="0"/>
      <w:divBdr>
        <w:top w:val="none" w:sz="0" w:space="0" w:color="auto"/>
        <w:left w:val="none" w:sz="0" w:space="0" w:color="auto"/>
        <w:bottom w:val="none" w:sz="0" w:space="0" w:color="auto"/>
        <w:right w:val="none" w:sz="0" w:space="0" w:color="auto"/>
      </w:divBdr>
    </w:div>
    <w:div w:id="2071272930">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029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ihw.gov.au/reports/chronic-kidney-disease/chronic-kidney-disease/contents/what-is-chronic-kidney-dise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g.org.au" TargetMode="Externa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www.aihw.gov.au/reports-data/health-conditions-disability-deaths/diabete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8E4D-96CA-4C32-B1C4-19604C7E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9939</Words>
  <Characters>56657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66464</CharactersWithSpaces>
  <SharedDoc>false</SharedDoc>
  <HLinks>
    <vt:vector size="30" baseType="variant">
      <vt:variant>
        <vt:i4>6881331</vt:i4>
      </vt:variant>
      <vt:variant>
        <vt:i4>281</vt:i4>
      </vt:variant>
      <vt:variant>
        <vt:i4>0</vt:i4>
      </vt:variant>
      <vt:variant>
        <vt:i4>5</vt:i4>
      </vt:variant>
      <vt:variant>
        <vt:lpwstr>https://www.tg.org.au/</vt:lpwstr>
      </vt:variant>
      <vt:variant>
        <vt:lpwstr/>
      </vt:variant>
      <vt:variant>
        <vt:i4>8061030</vt:i4>
      </vt:variant>
      <vt:variant>
        <vt:i4>278</vt:i4>
      </vt:variant>
      <vt:variant>
        <vt:i4>0</vt:i4>
      </vt:variant>
      <vt:variant>
        <vt:i4>5</vt:i4>
      </vt:variant>
      <vt:variant>
        <vt:lpwstr>https://www.aihw.gov.au/reports-data/health-conditions-disability-deaths/diabetes/overview</vt:lpwstr>
      </vt:variant>
      <vt:variant>
        <vt:lpwstr/>
      </vt:variant>
      <vt:variant>
        <vt:i4>1507413</vt:i4>
      </vt:variant>
      <vt:variant>
        <vt:i4>275</vt:i4>
      </vt:variant>
      <vt:variant>
        <vt:i4>0</vt:i4>
      </vt:variant>
      <vt:variant>
        <vt:i4>5</vt:i4>
      </vt:variant>
      <vt:variant>
        <vt:lpwstr>https://www.aihw.gov.au/reports/chronic-kidney-disease/chronic-kidney-disease/contents/what-is-chronic-kidney-disease</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2021-09-23T03:37:00Z</dcterms:created>
  <dcterms:modified xsi:type="dcterms:W3CDTF">2021-09-23T03:42:00Z</dcterms:modified>
</cp:coreProperties>
</file>