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0A83C"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4240AA71" wp14:editId="4240AA72">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4240A83D"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4240A83E" w14:textId="77777777" w:rsidR="00BC1364" w:rsidRPr="00F715D1" w:rsidRDefault="00BC1364" w:rsidP="00F715D1">
      <w:pPr>
        <w:pStyle w:val="Subtitle"/>
      </w:pPr>
      <w:r w:rsidRPr="00F715D1">
        <w:t xml:space="preserve">Application No. </w:t>
      </w:r>
      <w:r w:rsidR="00B35595" w:rsidRPr="00F715D1">
        <w:t>1</w:t>
      </w:r>
      <w:r w:rsidR="00F443A8">
        <w:t>402</w:t>
      </w:r>
      <w:r w:rsidRPr="00F715D1">
        <w:t xml:space="preserve"> – </w:t>
      </w:r>
      <w:r w:rsidR="00F443A8" w:rsidRPr="00F443A8">
        <w:t>Liver Microwave Tissue Ablation</w:t>
      </w:r>
    </w:p>
    <w:p w14:paraId="4240A83F" w14:textId="77777777" w:rsidR="00F443A8" w:rsidRDefault="00B35595" w:rsidP="00F443A8">
      <w:pPr>
        <w:spacing w:after="240"/>
        <w:ind w:left="3600" w:hanging="3600"/>
        <w:rPr>
          <w:rFonts w:ascii="Arial" w:hAnsi="Arial" w:cs="Arial"/>
          <w:b/>
          <w:szCs w:val="24"/>
        </w:rPr>
      </w:pPr>
      <w:r w:rsidRPr="00F715D1">
        <w:rPr>
          <w:rFonts w:ascii="Arial" w:hAnsi="Arial" w:cs="Arial"/>
          <w:b/>
          <w:szCs w:val="24"/>
        </w:rPr>
        <w:t>Applicant</w:t>
      </w:r>
      <w:r w:rsidR="00BC1364" w:rsidRPr="00F715D1">
        <w:rPr>
          <w:rFonts w:ascii="Arial" w:hAnsi="Arial" w:cs="Arial"/>
          <w:b/>
          <w:szCs w:val="24"/>
        </w:rPr>
        <w:t>:</w:t>
      </w:r>
      <w:r w:rsidR="00BC1364" w:rsidRPr="00F715D1">
        <w:rPr>
          <w:rFonts w:ascii="Arial" w:hAnsi="Arial" w:cs="Arial"/>
          <w:b/>
          <w:szCs w:val="24"/>
        </w:rPr>
        <w:tab/>
      </w:r>
      <w:r w:rsidR="00F443A8" w:rsidRPr="00F443A8">
        <w:rPr>
          <w:rFonts w:ascii="Arial" w:hAnsi="Arial" w:cs="Arial"/>
          <w:b/>
          <w:szCs w:val="24"/>
        </w:rPr>
        <w:t>N.Stenning &amp; Co. Pty Ltd</w:t>
      </w:r>
      <w:r w:rsidR="00F443A8" w:rsidRPr="00F715D1">
        <w:rPr>
          <w:rFonts w:ascii="Arial" w:hAnsi="Arial" w:cs="Arial"/>
          <w:b/>
          <w:szCs w:val="24"/>
        </w:rPr>
        <w:t xml:space="preserve"> </w:t>
      </w:r>
    </w:p>
    <w:p w14:paraId="4240A840" w14:textId="77777777" w:rsidR="00BC1364" w:rsidRPr="00F715D1" w:rsidRDefault="00BC1364" w:rsidP="00F443A8">
      <w:pPr>
        <w:spacing w:after="240"/>
        <w:ind w:left="3600" w:hanging="360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A822AF">
        <w:rPr>
          <w:rFonts w:ascii="Arial" w:hAnsi="Arial" w:cs="Arial"/>
          <w:b/>
          <w:szCs w:val="24"/>
        </w:rPr>
        <w:t>8</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A822AF">
        <w:rPr>
          <w:rFonts w:ascii="Arial" w:hAnsi="Arial" w:cs="Arial"/>
          <w:b/>
          <w:szCs w:val="24"/>
        </w:rPr>
        <w:t>24</w:t>
      </w:r>
      <w:r w:rsidR="00B35595" w:rsidRPr="00F715D1">
        <w:rPr>
          <w:rFonts w:ascii="Arial" w:hAnsi="Arial" w:cs="Arial"/>
          <w:b/>
          <w:szCs w:val="24"/>
        </w:rPr>
        <w:t>-</w:t>
      </w:r>
      <w:r w:rsidR="00A822AF">
        <w:rPr>
          <w:rFonts w:ascii="Arial" w:hAnsi="Arial" w:cs="Arial"/>
          <w:b/>
          <w:szCs w:val="24"/>
        </w:rPr>
        <w:t>25 November</w:t>
      </w:r>
      <w:r w:rsidR="00EB6B6F" w:rsidRPr="00F715D1">
        <w:rPr>
          <w:rFonts w:ascii="Arial" w:hAnsi="Arial" w:cs="Arial"/>
          <w:b/>
          <w:szCs w:val="24"/>
        </w:rPr>
        <w:t xml:space="preserve"> 2016</w:t>
      </w:r>
    </w:p>
    <w:p w14:paraId="4240A841" w14:textId="77777777" w:rsidR="00F715D1" w:rsidRDefault="006A0D97" w:rsidP="00F715D1">
      <w:pPr>
        <w:spacing w:after="240"/>
        <w:rPr>
          <w:rStyle w:val="Hyperlink"/>
          <w:szCs w:val="24"/>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history="1">
        <w:r w:rsidR="00F715D1" w:rsidRPr="00F715D1">
          <w:rPr>
            <w:rStyle w:val="Hyperlink"/>
            <w:szCs w:val="24"/>
          </w:rPr>
          <w:t>visit the MSAC website</w:t>
        </w:r>
      </w:hyperlink>
      <w:r w:rsidR="00A822AF">
        <w:rPr>
          <w:rStyle w:val="Hyperlink"/>
          <w:szCs w:val="24"/>
        </w:rPr>
        <w:t xml:space="preserve"> </w:t>
      </w:r>
    </w:p>
    <w:p w14:paraId="4240A842" w14:textId="77777777" w:rsidR="0085322D" w:rsidRPr="00F715D1" w:rsidRDefault="0085322D" w:rsidP="00F715D1">
      <w:pPr>
        <w:spacing w:after="240"/>
        <w:rPr>
          <w:szCs w:val="24"/>
          <w:u w:val="single"/>
        </w:rPr>
      </w:pPr>
    </w:p>
    <w:p w14:paraId="4240A843" w14:textId="77777777" w:rsidR="003D7F29" w:rsidRPr="00F715D1" w:rsidRDefault="003D7F29" w:rsidP="000B1709">
      <w:pPr>
        <w:pStyle w:val="Heading1"/>
        <w:ind w:left="0" w:firstLine="0"/>
      </w:pPr>
      <w:r w:rsidRPr="00F715D1">
        <w:t>Purpose of application</w:t>
      </w:r>
      <w:r w:rsidR="00822C7E" w:rsidRPr="00F715D1">
        <w:t xml:space="preserve"> and links to other applications</w:t>
      </w:r>
    </w:p>
    <w:p w14:paraId="4240A844" w14:textId="77777777" w:rsidR="0085322D" w:rsidRPr="00862680" w:rsidRDefault="0085322D" w:rsidP="0085322D">
      <w:pPr>
        <w:tabs>
          <w:tab w:val="left" w:pos="720"/>
          <w:tab w:val="left" w:pos="1140"/>
        </w:tabs>
        <w:rPr>
          <w:bCs/>
          <w:szCs w:val="24"/>
        </w:rPr>
      </w:pPr>
      <w:r w:rsidRPr="00862680">
        <w:rPr>
          <w:bCs/>
          <w:szCs w:val="24"/>
        </w:rPr>
        <w:t xml:space="preserve">An application </w:t>
      </w:r>
      <w:r>
        <w:rPr>
          <w:bCs/>
          <w:szCs w:val="24"/>
        </w:rPr>
        <w:t>requesting</w:t>
      </w:r>
      <w:r w:rsidRPr="00862680">
        <w:rPr>
          <w:bCs/>
          <w:szCs w:val="24"/>
        </w:rPr>
        <w:t xml:space="preserve"> </w:t>
      </w:r>
      <w:r>
        <w:rPr>
          <w:bCs/>
          <w:szCs w:val="24"/>
        </w:rPr>
        <w:t xml:space="preserve">new </w:t>
      </w:r>
      <w:r w:rsidRPr="00862680">
        <w:rPr>
          <w:bCs/>
          <w:szCs w:val="24"/>
        </w:rPr>
        <w:t>M</w:t>
      </w:r>
      <w:r>
        <w:rPr>
          <w:bCs/>
          <w:szCs w:val="24"/>
        </w:rPr>
        <w:t xml:space="preserve">edicare </w:t>
      </w:r>
      <w:r w:rsidRPr="00862680">
        <w:rPr>
          <w:bCs/>
          <w:szCs w:val="24"/>
        </w:rPr>
        <w:t>B</w:t>
      </w:r>
      <w:r>
        <w:rPr>
          <w:bCs/>
          <w:szCs w:val="24"/>
        </w:rPr>
        <w:t xml:space="preserve">enefits </w:t>
      </w:r>
      <w:r w:rsidRPr="00862680">
        <w:rPr>
          <w:bCs/>
          <w:szCs w:val="24"/>
        </w:rPr>
        <w:t>S</w:t>
      </w:r>
      <w:r>
        <w:rPr>
          <w:bCs/>
          <w:szCs w:val="24"/>
        </w:rPr>
        <w:t>chedule (MBS)</w:t>
      </w:r>
      <w:r w:rsidRPr="00862680">
        <w:rPr>
          <w:bCs/>
          <w:szCs w:val="24"/>
        </w:rPr>
        <w:t xml:space="preserve"> </w:t>
      </w:r>
      <w:r>
        <w:rPr>
          <w:bCs/>
          <w:szCs w:val="24"/>
        </w:rPr>
        <w:t>listings for</w:t>
      </w:r>
      <w:r w:rsidRPr="00862680">
        <w:rPr>
          <w:bCs/>
          <w:szCs w:val="24"/>
        </w:rPr>
        <w:t xml:space="preserve"> microwave tissue ablation (MTA) </w:t>
      </w:r>
      <w:r w:rsidRPr="00FE55E7">
        <w:t>for the treatment of unresectable prim</w:t>
      </w:r>
      <w:r w:rsidR="0027665C">
        <w:t xml:space="preserve">ary and secondary liver tumours </w:t>
      </w:r>
      <w:r w:rsidRPr="00862680">
        <w:rPr>
          <w:bCs/>
          <w:szCs w:val="24"/>
        </w:rPr>
        <w:t xml:space="preserve">was received by the Department from </w:t>
      </w:r>
      <w:r w:rsidRPr="00862680">
        <w:rPr>
          <w:szCs w:val="24"/>
        </w:rPr>
        <w:t>N.Stenning &amp; Co. Pty Ltd.</w:t>
      </w:r>
    </w:p>
    <w:p w14:paraId="4240A845" w14:textId="77777777" w:rsidR="00E977EE" w:rsidRPr="00F715D1" w:rsidRDefault="00E977EE" w:rsidP="000B1709">
      <w:pPr>
        <w:pStyle w:val="Heading1"/>
        <w:ind w:left="0" w:firstLine="0"/>
      </w:pPr>
      <w:r w:rsidRPr="00F715D1">
        <w:t>MSAC’s advice to the Minister</w:t>
      </w:r>
    </w:p>
    <w:p w14:paraId="4240A846" w14:textId="77777777" w:rsidR="0085322D" w:rsidRPr="00A20B58" w:rsidRDefault="0085322D" w:rsidP="0085322D">
      <w:pPr>
        <w:rPr>
          <w:rFonts w:cs="Arial"/>
        </w:rPr>
      </w:pPr>
      <w:r w:rsidRPr="00067EFD">
        <w:t>After considering the strength of the available evidence in relation to comparative safety, clinical effectiveness and cost effectiveness</w:t>
      </w:r>
      <w:r>
        <w:t>,</w:t>
      </w:r>
      <w:r w:rsidRPr="00067EFD">
        <w:t xml:space="preserve"> MSAC supported the MBS funding of</w:t>
      </w:r>
      <w:r>
        <w:t xml:space="preserve"> MTA </w:t>
      </w:r>
    </w:p>
    <w:p w14:paraId="4240A847" w14:textId="77777777" w:rsidR="0085322D" w:rsidRPr="00A20B58" w:rsidRDefault="0085322D" w:rsidP="0085322D">
      <w:pPr>
        <w:rPr>
          <w:rFonts w:cs="Arial"/>
        </w:rPr>
      </w:pPr>
      <w:r>
        <w:rPr>
          <w:rFonts w:cs="Arial"/>
        </w:rPr>
        <w:t xml:space="preserve">for </w:t>
      </w:r>
      <w:r w:rsidRPr="00A20B58">
        <w:rPr>
          <w:rFonts w:cs="Arial"/>
        </w:rPr>
        <w:t>patients with unresectable primary liver lesions for whom MTA is potentially curative, at the same cost as the comparator radiofrequency ablation (RFA). MSAC accepted that the safety and effectiveness of MTA was similar to RFA in population one.</w:t>
      </w:r>
    </w:p>
    <w:p w14:paraId="4240A848" w14:textId="77777777" w:rsidR="0085322D" w:rsidRPr="00A20B58" w:rsidRDefault="0085322D" w:rsidP="0085322D">
      <w:pPr>
        <w:rPr>
          <w:rFonts w:cs="Arial"/>
        </w:rPr>
      </w:pPr>
    </w:p>
    <w:p w14:paraId="4240A849" w14:textId="77777777" w:rsidR="0085322D" w:rsidRPr="00D3316A" w:rsidRDefault="0085322D" w:rsidP="0085322D">
      <w:pPr>
        <w:rPr>
          <w:rFonts w:cs="Arial"/>
        </w:rPr>
      </w:pPr>
      <w:r w:rsidRPr="00067EFD">
        <w:t>After considering the strength of the available evidence in relation to comparative safety, clinical effectiveness and cost effectiveness</w:t>
      </w:r>
      <w:r>
        <w:t>,</w:t>
      </w:r>
      <w:r w:rsidRPr="00067EFD">
        <w:t xml:space="preserve"> MSAC </w:t>
      </w:r>
      <w:r>
        <w:t>did not support</w:t>
      </w:r>
      <w:r w:rsidRPr="00067EFD">
        <w:t xml:space="preserve"> the MBS funding of</w:t>
      </w:r>
      <w:r>
        <w:t xml:space="preserve"> MTA </w:t>
      </w:r>
      <w:r>
        <w:rPr>
          <w:rFonts w:cs="Arial"/>
        </w:rPr>
        <w:t>f</w:t>
      </w:r>
      <w:r w:rsidRPr="00A20B58">
        <w:rPr>
          <w:rFonts w:cs="Arial"/>
        </w:rPr>
        <w:t xml:space="preserve">or </w:t>
      </w:r>
      <w:r w:rsidR="00936C72">
        <w:rPr>
          <w:rFonts w:cs="Arial"/>
        </w:rPr>
        <w:t xml:space="preserve">(i) </w:t>
      </w:r>
      <w:r w:rsidRPr="00A20B58">
        <w:rPr>
          <w:rFonts w:cs="Arial"/>
        </w:rPr>
        <w:t>patients with unresectable secondary liver lesions, without extra-hepatic spread, for w</w:t>
      </w:r>
      <w:r>
        <w:rPr>
          <w:rFonts w:cs="Arial"/>
        </w:rPr>
        <w:t xml:space="preserve">hom MTA is potentially curative and </w:t>
      </w:r>
      <w:r w:rsidR="00936C72">
        <w:rPr>
          <w:rFonts w:cs="Arial"/>
        </w:rPr>
        <w:t xml:space="preserve">(ii) </w:t>
      </w:r>
      <w:r w:rsidRPr="00A20B58">
        <w:rPr>
          <w:rFonts w:cs="Arial"/>
        </w:rPr>
        <w:t>patients with unresectable neuroendocrine liver metastases, with or without extra-hepatic spread, who are refractory to somatostatin analogue therapy, for whom MTA is palliative treatment of secretory syndromes</w:t>
      </w:r>
      <w:r>
        <w:rPr>
          <w:rFonts w:cs="Arial"/>
        </w:rPr>
        <w:t>.</w:t>
      </w:r>
      <w:r w:rsidRPr="00A20B58">
        <w:rPr>
          <w:rFonts w:cs="Arial"/>
        </w:rPr>
        <w:t xml:space="preserve"> MSAC advised that the evidence base </w:t>
      </w:r>
      <w:r w:rsidR="00936C72">
        <w:rPr>
          <w:rFonts w:cs="Arial"/>
        </w:rPr>
        <w:t xml:space="preserve">in these two patient populations </w:t>
      </w:r>
      <w:r w:rsidRPr="00A20B58">
        <w:rPr>
          <w:rFonts w:cs="Arial"/>
        </w:rPr>
        <w:t xml:space="preserve">was insufficient. However, </w:t>
      </w:r>
      <w:r>
        <w:rPr>
          <w:rFonts w:cs="Arial"/>
        </w:rPr>
        <w:t>MSAC</w:t>
      </w:r>
      <w:r w:rsidRPr="00A20B58">
        <w:rPr>
          <w:rFonts w:cs="Arial"/>
        </w:rPr>
        <w:t xml:space="preserve"> would encourage a future application to list thermal ablation (RFA and MTA) for </w:t>
      </w:r>
      <w:r w:rsidR="00936C72">
        <w:rPr>
          <w:rFonts w:cs="Arial"/>
        </w:rPr>
        <w:t xml:space="preserve">these populations provided the application was supported by </w:t>
      </w:r>
      <w:r w:rsidRPr="00A20B58">
        <w:rPr>
          <w:rFonts w:cs="Arial"/>
        </w:rPr>
        <w:t>further comparative clinical evidence.</w:t>
      </w:r>
    </w:p>
    <w:p w14:paraId="4240A84A" w14:textId="77777777" w:rsidR="00550354" w:rsidRPr="00F715D1" w:rsidRDefault="00550354" w:rsidP="000B1709">
      <w:pPr>
        <w:pStyle w:val="Heading1"/>
        <w:ind w:left="0" w:firstLine="0"/>
      </w:pPr>
      <w:r w:rsidRPr="00F715D1">
        <w:t xml:space="preserve">Summary of consideration and rationale for MSAC’s advice </w:t>
      </w:r>
    </w:p>
    <w:p w14:paraId="4240A84B" w14:textId="77777777" w:rsidR="00A06448" w:rsidRDefault="00A06448" w:rsidP="00A06448">
      <w:r>
        <w:t xml:space="preserve">MSAC noted that the application to list MTA covered three separate populations: </w:t>
      </w:r>
    </w:p>
    <w:p w14:paraId="4240A84C" w14:textId="77777777" w:rsidR="00A06448" w:rsidRPr="00E25440" w:rsidRDefault="00A06448" w:rsidP="0053065D">
      <w:pPr>
        <w:pStyle w:val="ListParagraph"/>
        <w:numPr>
          <w:ilvl w:val="0"/>
          <w:numId w:val="5"/>
        </w:numPr>
      </w:pPr>
      <w:r>
        <w:t>p</w:t>
      </w:r>
      <w:r w:rsidRPr="00E25440">
        <w:t>atients with unresectable primary liver lesions in whom MTA is potentially curative</w:t>
      </w:r>
      <w:r>
        <w:t xml:space="preserve"> (population one);</w:t>
      </w:r>
    </w:p>
    <w:p w14:paraId="4240A84D" w14:textId="77777777" w:rsidR="00A06448" w:rsidRPr="00E25440" w:rsidRDefault="00A06448" w:rsidP="0053065D">
      <w:pPr>
        <w:pStyle w:val="ListParagraph"/>
        <w:numPr>
          <w:ilvl w:val="0"/>
          <w:numId w:val="5"/>
        </w:numPr>
      </w:pPr>
      <w:r>
        <w:t>p</w:t>
      </w:r>
      <w:r w:rsidRPr="00E25440">
        <w:t>atients with unresectable secondary liver lesions, without extra-hepatic spread, in whom MTA is potentially curative</w:t>
      </w:r>
      <w:r>
        <w:t xml:space="preserve"> (population two); and</w:t>
      </w:r>
    </w:p>
    <w:p w14:paraId="4240A84E" w14:textId="77777777" w:rsidR="00A06448" w:rsidRDefault="00A06448" w:rsidP="0053065D">
      <w:pPr>
        <w:pStyle w:val="ListParagraph"/>
        <w:numPr>
          <w:ilvl w:val="0"/>
          <w:numId w:val="5"/>
        </w:numPr>
      </w:pPr>
      <w:r>
        <w:lastRenderedPageBreak/>
        <w:t>p</w:t>
      </w:r>
      <w:r w:rsidRPr="00E25440">
        <w:t>atients with unresectable neuroendocrine liver metastases, with or without extra</w:t>
      </w:r>
      <w:r>
        <w:t>-</w:t>
      </w:r>
      <w:r w:rsidRPr="00E25440">
        <w:t>hepatic spread, who are refractory to somatostatin analogue therapy, in whom MTA is palliative treatment of secretory syndromes</w:t>
      </w:r>
      <w:r>
        <w:t xml:space="preserve"> (population three).</w:t>
      </w:r>
    </w:p>
    <w:p w14:paraId="4240A84F" w14:textId="77777777" w:rsidR="00A06448" w:rsidRDefault="00A06448" w:rsidP="00A06448"/>
    <w:p w14:paraId="4240A850" w14:textId="77777777" w:rsidR="00A06448" w:rsidRDefault="00A06448" w:rsidP="00A06448">
      <w:r>
        <w:t>MSAC noted that the evidence base presented for the use of MTA in liver cancer was generally of lower quality. Systematic reviews comparing MTA with radiofrequency ablation (RFA), the comparator, were available but the majority of studies included in these reviews were retrospective cohort studies with historical control groups, which are considered to be lower level evidence. In addition, MSAC noted that the use of historical control groups made it difficult to determine whether any improvement in safety or clinical outcomes in the studies was due to MTA or due to improvement in the treatment of liver cancers over time.</w:t>
      </w:r>
    </w:p>
    <w:p w14:paraId="4240A851" w14:textId="77777777" w:rsidR="00A06448" w:rsidRDefault="00A06448" w:rsidP="00A06448"/>
    <w:p w14:paraId="4240A852" w14:textId="77777777" w:rsidR="00A06448" w:rsidRDefault="00A06448" w:rsidP="00A06448">
      <w:r>
        <w:t xml:space="preserve">MSAC accepted that percutaneous and surgical MTA had a similar safety profile </w:t>
      </w:r>
      <w:r w:rsidRPr="00422A1D">
        <w:t xml:space="preserve">in patients with unresectable </w:t>
      </w:r>
      <w:r>
        <w:t xml:space="preserve">primary </w:t>
      </w:r>
      <w:r w:rsidRPr="00422A1D">
        <w:t xml:space="preserve">liver lesions </w:t>
      </w:r>
      <w:r>
        <w:t>(population one) when compared with RFA, although the evidence was considered to be of low quality. There were no significant differences in rates of adverse events between MTA and RFA. Only one retrospective study in people undergoing percutaneous MTA or RFA and using a historical control group reported on mortality (Ding J et al 2013; n = 897). Mortality rates were similar in both arms of the study but the number of deaths was small and the study was likely to have been underpowered to detect any differences in mortality.</w:t>
      </w:r>
    </w:p>
    <w:p w14:paraId="4240A853" w14:textId="77777777" w:rsidR="00A06448" w:rsidRDefault="00A06448" w:rsidP="00A06448"/>
    <w:p w14:paraId="4240A854" w14:textId="77777777" w:rsidR="00A06448" w:rsidRDefault="00A06448" w:rsidP="00A06448">
      <w:r>
        <w:t xml:space="preserve">MSAC accepted that percutaneous and surgical MTA were similarly effective </w:t>
      </w:r>
      <w:r w:rsidRPr="00422A1D">
        <w:t xml:space="preserve">in </w:t>
      </w:r>
      <w:r>
        <w:t>population one when compared with RFA, although the evidence was considered to be of low quality. There were no significant differences in rates of complete ablation, local tumour recurrence, recurrence free survival, or</w:t>
      </w:r>
      <w:r w:rsidRPr="00422A1D">
        <w:t xml:space="preserve"> </w:t>
      </w:r>
      <w:r>
        <w:t>overall survival.</w:t>
      </w:r>
    </w:p>
    <w:p w14:paraId="4240A855" w14:textId="77777777" w:rsidR="00A06448" w:rsidRDefault="00A06448" w:rsidP="00A06448"/>
    <w:p w14:paraId="4240A856" w14:textId="77777777" w:rsidR="00A06448" w:rsidRDefault="00A06448" w:rsidP="00A06448">
      <w:r>
        <w:t>MSAC indicated that the introduction of MTA for use in population one is expected to be cost-neutral to the MBS. MSAC noted that while the applicant had requested a graduated fee (which increased according to the number of lesions treated), the similar safety and efficacy of MTA and RFA in population one meant that the same flat fee already paid for RFA was more appropriate. MSAC noted that because MTA is an alternative to RFA in population one, and other associated MBS costs will be the same independent of which procedure is used, there was no incremental cost associated with the use of MTA instead of RFA</w:t>
      </w:r>
      <w:r w:rsidRPr="004E47CB">
        <w:t xml:space="preserve"> </w:t>
      </w:r>
      <w:r>
        <w:t>in the base case. Sensitivity analyses that varied the time taken per MTA session and the number of MTA sessions required to treat a patient from population one indicated the incremental costs of MTA could range from -$1,447 to $10,129 per patient.</w:t>
      </w:r>
    </w:p>
    <w:p w14:paraId="4240A857" w14:textId="77777777" w:rsidR="00A06448" w:rsidRDefault="00A06448" w:rsidP="00A06448"/>
    <w:p w14:paraId="4240A858" w14:textId="77777777" w:rsidR="00A06448" w:rsidRDefault="00A06448" w:rsidP="00A06448">
      <w:r>
        <w:t xml:space="preserve">MSAC noted that the net </w:t>
      </w:r>
      <w:r>
        <w:rPr>
          <w:rFonts w:cs="Arial"/>
        </w:rPr>
        <w:t>cost to the MBS for MTA would be less than $100,000 over five years for population one. Costs were based upon 130 procedures being undertaken at an MBS cost of $83,000 in the first year rising to 194 procedures at a cost of $124,000 in year five. However, most of these services were offset by a reduction in the number of RFA procedures and associated costs.</w:t>
      </w:r>
    </w:p>
    <w:p w14:paraId="4240A859" w14:textId="77777777" w:rsidR="00A06448" w:rsidRDefault="00A06448" w:rsidP="00A06448"/>
    <w:p w14:paraId="4240A85A" w14:textId="77777777" w:rsidR="00A06448" w:rsidRDefault="00A06448" w:rsidP="00A06448">
      <w:r>
        <w:t>MSAC accepted the use of MTA to treat cholangiocarcinomas (CCAs) in population one. MSAC noted that the current MBS items for RFA (50950 and 50952) are restricted to patients with un</w:t>
      </w:r>
      <w:r w:rsidRPr="00064EBC">
        <w:t xml:space="preserve">resectable </w:t>
      </w:r>
      <w:r>
        <w:t>h</w:t>
      </w:r>
      <w:r w:rsidRPr="00064EBC">
        <w:t xml:space="preserve">epatocellular </w:t>
      </w:r>
      <w:r>
        <w:t>c</w:t>
      </w:r>
      <w:r w:rsidRPr="00064EBC">
        <w:t xml:space="preserve">arcinoma </w:t>
      </w:r>
      <w:r>
        <w:t>(HCC). MSAC suggested amending these MBS items so that either MTA or RFA can be used to treat CCAs in population one.</w:t>
      </w:r>
    </w:p>
    <w:p w14:paraId="4240A85B" w14:textId="77777777" w:rsidR="00A06448" w:rsidRDefault="00A06448" w:rsidP="00A06448"/>
    <w:p w14:paraId="4240A85C" w14:textId="77777777" w:rsidR="00A06448" w:rsidRDefault="00A06448" w:rsidP="00A06448">
      <w:r>
        <w:t xml:space="preserve">MSAC did not support the use of percutaneous or surgical MTA in patients with unresectable secondary liver lesions that had not spread beyond the liver (population two) due to insufficient evidence regarding safety and clinical effectiveness. The comparator for this population was percutaneous or surgical RFA with or without adjuvant chemotherapy. </w:t>
      </w:r>
      <w:r>
        <w:lastRenderedPageBreak/>
        <w:t>MSAC noted that a number of studies comparing MTA and RFA in patients with liver metastases were excluded from consideration because patients underwent ablation in conjunction with resection. As highlighted by ESC, this suggests that population two have more complex disease than population one.</w:t>
      </w:r>
    </w:p>
    <w:p w14:paraId="4240A85D" w14:textId="77777777" w:rsidR="00A06448" w:rsidRDefault="00A06448" w:rsidP="00A06448"/>
    <w:p w14:paraId="4240A85E" w14:textId="77777777" w:rsidR="00A06448" w:rsidRDefault="00A06448" w:rsidP="00A06448">
      <w:r>
        <w:t xml:space="preserve">Comparative data on safety in population two was </w:t>
      </w:r>
      <w:r w:rsidR="0074658A">
        <w:t>restricted to a single outcome - procedural mortality -</w:t>
      </w:r>
      <w:r>
        <w:t xml:space="preserve"> in a single retrospective cohort study (Liu Y et al 2013a; n = 89). No procedural-related deaths were reported in either arm of the study. All other safety data in population </w:t>
      </w:r>
      <w:r w:rsidR="0074658A">
        <w:t>two relied on case series data -</w:t>
      </w:r>
      <w:r>
        <w:t xml:space="preserve"> a level of evidence generally considered to be of very low quality. As highlighted by ESC, the more complex nature of disease in these patients makes it difficult to apply safety data from population one to population two.</w:t>
      </w:r>
    </w:p>
    <w:p w14:paraId="4240A85F" w14:textId="77777777" w:rsidR="00A06448" w:rsidRDefault="00A06448" w:rsidP="00A06448"/>
    <w:p w14:paraId="4240A860" w14:textId="77777777" w:rsidR="00A06448" w:rsidRDefault="00A06448" w:rsidP="00A06448">
      <w:r>
        <w:t>Comparative efficacy data in population two was also restricted to the same retrospective cohort study (Liu Y et al 2013a; n = 89). MSAC noted that while there was a trend towards improved overall survival up to five years and local tumour recurrence in the MTA arm, this did not reach statistical significance and the small patient numbers made it difficult to draw firm conclusions.</w:t>
      </w:r>
    </w:p>
    <w:p w14:paraId="4240A861" w14:textId="77777777" w:rsidR="00A06448" w:rsidRDefault="00A06448" w:rsidP="00A06448"/>
    <w:p w14:paraId="4240A862" w14:textId="77777777" w:rsidR="00A06448" w:rsidRDefault="00A06448" w:rsidP="00A06448">
      <w:r>
        <w:t>MSAC noted that RFA is not currently listed for use in population two and its inclusion would offer a new option for the treatment of secondary liver metastases on the MBS. MSAC recalled that it was unable to support public funding for RFA treatment of col</w:t>
      </w:r>
      <w:r w:rsidR="0074658A">
        <w:t>orectal liver metastases -</w:t>
      </w:r>
      <w:r>
        <w:t xml:space="preserve"> the main cause of </w:t>
      </w:r>
      <w:r w:rsidR="0074658A">
        <w:t>secondary lesions in the liver -</w:t>
      </w:r>
      <w:r>
        <w:t xml:space="preserve"> when the RFA application was considered in 2003 (see </w:t>
      </w:r>
      <w:hyperlink r:id="rId11" w:history="1">
        <w:r w:rsidRPr="00AB7AF8">
          <w:rPr>
            <w:rStyle w:val="Hyperlink"/>
          </w:rPr>
          <w:t>Application 1052</w:t>
        </w:r>
        <w:r>
          <w:rPr>
            <w:rStyle w:val="Hyperlink"/>
          </w:rPr>
          <w:t>:</w:t>
        </w:r>
        <w:r w:rsidRPr="00AB7AF8">
          <w:rPr>
            <w:rStyle w:val="Hyperlink"/>
          </w:rPr>
          <w:t xml:space="preserve"> Radiofrequency ablation of liver tumours</w:t>
        </w:r>
      </w:hyperlink>
      <w:r>
        <w:t>). However, MSAC considered that the evidence base may have expanded since this date and encouraged a future application to list thermal ablation (RFA and MTA) for population two.</w:t>
      </w:r>
    </w:p>
    <w:p w14:paraId="4240A863" w14:textId="77777777" w:rsidR="00A06448" w:rsidRDefault="00A06448" w:rsidP="00A06448"/>
    <w:p w14:paraId="4240A864" w14:textId="77777777" w:rsidR="00A06448" w:rsidRDefault="00A06448" w:rsidP="00A06448">
      <w:r>
        <w:t>MSAC noted that there was no evidence for the use of MTA in patients with unresectable neuroendocrine liver metastases, who are refractory to somatostatin analogue therapy (population three). While MSAC noted that MTA was likely to be rarely used in such patients, it could not support its use in population three due to the absence of evidence. MSAC encouraged a future application to use thermal ablation (RFA and MTA) for population three should evidence become available. MSAC advised that such an application should include information on how often these patients are seen; the appropriate setting for such treatment (e.g. large teaching hospitals); and estimates on how often thermal ablation would be considered as a suitable treatment.</w:t>
      </w:r>
    </w:p>
    <w:p w14:paraId="4240A865" w14:textId="77777777" w:rsidR="00A06448" w:rsidRDefault="00A06448" w:rsidP="00A06448"/>
    <w:p w14:paraId="4240A866" w14:textId="77777777" w:rsidR="00A06448" w:rsidRDefault="00A06448" w:rsidP="00A06448">
      <w:r>
        <w:t>MSAC indicated that unlike population one, treatment decisions made for population two and population three would require the input of a multidisciplinary team and this additional cost would need to be factored into economic modelling in any future application.</w:t>
      </w:r>
    </w:p>
    <w:p w14:paraId="4240A867" w14:textId="77777777" w:rsidR="00BC1364" w:rsidRPr="00F715D1" w:rsidRDefault="00BC1364" w:rsidP="000B1709">
      <w:pPr>
        <w:pStyle w:val="Heading1"/>
        <w:ind w:left="0" w:firstLine="0"/>
      </w:pPr>
      <w:r w:rsidRPr="00F715D1">
        <w:t>Background</w:t>
      </w:r>
    </w:p>
    <w:p w14:paraId="4240A868" w14:textId="77777777" w:rsidR="00F270C0" w:rsidRPr="00862680" w:rsidRDefault="00F270C0" w:rsidP="00F270C0">
      <w:pPr>
        <w:rPr>
          <w:szCs w:val="24"/>
        </w:rPr>
      </w:pPr>
      <w:r w:rsidRPr="00862680">
        <w:rPr>
          <w:szCs w:val="24"/>
        </w:rPr>
        <w:t>Currently there is no public funding for MTA for the treatment of liver cancer. The primary comparator for MTA, RFA, is currently funded for patients with unresectable hepatocellular carcinoma (HCC) under two MBS items (50950 and 50952) which allow for percutaneous, laparoscopic or open surgical application. Hospital data indicate that patients receiving RFA as an outpatient (approximately 40 per cent) are bulk-billed and have therefore not been required to make co-payments, and gap costs for patients receiving in-hospital treatment are absorbed by the hospital system or covered by private insurance. It is likely that MTA would be funded in a similar way should it be listed for subsidy.</w:t>
      </w:r>
    </w:p>
    <w:p w14:paraId="4240A869" w14:textId="77777777" w:rsidR="00BC1364" w:rsidRPr="00F715D1" w:rsidRDefault="00BC1364" w:rsidP="000B1709">
      <w:pPr>
        <w:pStyle w:val="Heading1"/>
        <w:ind w:left="0" w:firstLine="0"/>
      </w:pPr>
      <w:r w:rsidRPr="00F715D1">
        <w:lastRenderedPageBreak/>
        <w:t>Prerequisites to implementation of any funding advice</w:t>
      </w:r>
    </w:p>
    <w:p w14:paraId="4240A86A" w14:textId="77777777" w:rsidR="00A652B7" w:rsidRPr="00862680" w:rsidRDefault="00A652B7" w:rsidP="00A652B7">
      <w:pPr>
        <w:rPr>
          <w:szCs w:val="24"/>
        </w:rPr>
      </w:pPr>
      <w:r w:rsidRPr="00862680">
        <w:rPr>
          <w:szCs w:val="24"/>
        </w:rPr>
        <w:t xml:space="preserve">The application does not specify the type of MTA device to be used. Under the wording of the proposed items any MTA machine listed on the ARTG could be used in conjunction with the procedure being claimed. </w:t>
      </w:r>
    </w:p>
    <w:p w14:paraId="4240A86B" w14:textId="77777777" w:rsidR="00BC1364" w:rsidRPr="00F715D1" w:rsidRDefault="00BC1364" w:rsidP="000B1709">
      <w:pPr>
        <w:pStyle w:val="Heading1"/>
        <w:ind w:left="0" w:firstLine="0"/>
      </w:pPr>
      <w:r w:rsidRPr="00F715D1">
        <w:t>Proposal for public funding</w:t>
      </w:r>
    </w:p>
    <w:p w14:paraId="4240A86C" w14:textId="77777777" w:rsidR="003967F8" w:rsidRPr="00862680" w:rsidRDefault="00A652B7" w:rsidP="003967F8">
      <w:pPr>
        <w:rPr>
          <w:szCs w:val="24"/>
        </w:rPr>
      </w:pPr>
      <w:r w:rsidRPr="00862680">
        <w:rPr>
          <w:szCs w:val="24"/>
        </w:rPr>
        <w:t xml:space="preserve">The proposed item descriptors as provided in the PASC-approved final protocol for Populations 1 and 2, and using percutaneous, laparoscopic or open approach, are listed in </w:t>
      </w:r>
      <w:r w:rsidRPr="00862680">
        <w:rPr>
          <w:szCs w:val="24"/>
        </w:rPr>
        <w:fldChar w:fldCharType="begin"/>
      </w:r>
      <w:r w:rsidRPr="00862680">
        <w:rPr>
          <w:szCs w:val="24"/>
        </w:rPr>
        <w:instrText xml:space="preserve"> REF _Ref457223685 \h  \* MERGEFORMAT </w:instrText>
      </w:r>
      <w:r w:rsidRPr="00862680">
        <w:rPr>
          <w:szCs w:val="24"/>
        </w:rPr>
      </w:r>
      <w:r w:rsidRPr="00862680">
        <w:rPr>
          <w:szCs w:val="24"/>
        </w:rPr>
        <w:fldChar w:fldCharType="separate"/>
      </w:r>
    </w:p>
    <w:p w14:paraId="4240A86D" w14:textId="77777777" w:rsidR="00A652B7" w:rsidRPr="00862680" w:rsidRDefault="003967F8" w:rsidP="00A652B7">
      <w:pPr>
        <w:rPr>
          <w:szCs w:val="24"/>
        </w:rPr>
      </w:pPr>
      <w:r w:rsidRPr="003967F8">
        <w:rPr>
          <w:szCs w:val="24"/>
        </w:rPr>
        <w:t>Table</w:t>
      </w:r>
      <w:r w:rsidRPr="003967F8">
        <w:rPr>
          <w:noProof/>
          <w:szCs w:val="24"/>
        </w:rPr>
        <w:t xml:space="preserve"> 1</w:t>
      </w:r>
      <w:r w:rsidR="00A652B7" w:rsidRPr="00862680">
        <w:rPr>
          <w:szCs w:val="24"/>
        </w:rPr>
        <w:fldChar w:fldCharType="end"/>
      </w:r>
      <w:r w:rsidR="00A652B7" w:rsidRPr="00862680">
        <w:rPr>
          <w:szCs w:val="24"/>
        </w:rPr>
        <w:t>. The protocol did not provide an item description for Population 3.</w:t>
      </w:r>
    </w:p>
    <w:p w14:paraId="4240A86E" w14:textId="77777777" w:rsidR="00A652B7" w:rsidRPr="00862680" w:rsidRDefault="00A652B7" w:rsidP="00A652B7">
      <w:pPr>
        <w:pStyle w:val="Caption"/>
        <w:tabs>
          <w:tab w:val="left" w:pos="1134"/>
        </w:tabs>
        <w:ind w:left="1134" w:hanging="1134"/>
        <w:jc w:val="left"/>
        <w:rPr>
          <w:rFonts w:ascii="Times New Roman" w:hAnsi="Times New Roman" w:cs="Times New Roman"/>
          <w:sz w:val="24"/>
          <w:szCs w:val="24"/>
        </w:rPr>
      </w:pPr>
      <w:bookmarkStart w:id="0" w:name="_Ref457223685"/>
      <w:bookmarkStart w:id="1" w:name="_Toc460406472"/>
    </w:p>
    <w:p w14:paraId="4240A86F" w14:textId="77777777" w:rsidR="00A652B7" w:rsidRPr="00C83AE1" w:rsidRDefault="00A652B7" w:rsidP="00A652B7">
      <w:pPr>
        <w:pStyle w:val="Caption"/>
        <w:tabs>
          <w:tab w:val="left" w:pos="1134"/>
        </w:tabs>
        <w:ind w:left="1134" w:hanging="1134"/>
        <w:jc w:val="left"/>
        <w:rPr>
          <w:rFonts w:cs="Times New Roman"/>
        </w:rPr>
      </w:pPr>
      <w:r w:rsidRPr="00C83AE1">
        <w:rPr>
          <w:rFonts w:cs="Times New Roman"/>
        </w:rPr>
        <w:t xml:space="preserve">Table </w:t>
      </w:r>
      <w:r w:rsidRPr="00C83AE1">
        <w:rPr>
          <w:rFonts w:cs="Times New Roman"/>
        </w:rPr>
        <w:fldChar w:fldCharType="begin"/>
      </w:r>
      <w:r w:rsidRPr="00C83AE1">
        <w:rPr>
          <w:rFonts w:cs="Times New Roman"/>
        </w:rPr>
        <w:instrText xml:space="preserve"> SEQ Table \* ARABIC </w:instrText>
      </w:r>
      <w:r w:rsidRPr="00C83AE1">
        <w:rPr>
          <w:rFonts w:cs="Times New Roman"/>
        </w:rPr>
        <w:fldChar w:fldCharType="separate"/>
      </w:r>
      <w:r w:rsidR="003967F8">
        <w:rPr>
          <w:rFonts w:cs="Times New Roman"/>
          <w:noProof/>
        </w:rPr>
        <w:t>1</w:t>
      </w:r>
      <w:r w:rsidRPr="00C83AE1">
        <w:rPr>
          <w:rFonts w:cs="Times New Roman"/>
          <w:noProof/>
        </w:rPr>
        <w:fldChar w:fldCharType="end"/>
      </w:r>
      <w:bookmarkEnd w:id="0"/>
      <w:r w:rsidRPr="00C83AE1">
        <w:rPr>
          <w:rFonts w:cs="Times New Roman"/>
        </w:rPr>
        <w:tab/>
        <w:t>Proposed MBS item descriptors</w:t>
      </w:r>
      <w:bookmarkEnd w:id="1"/>
    </w:p>
    <w:tbl>
      <w:tblPr>
        <w:tblW w:w="5000" w:type="pct"/>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Description w:val="1. Percutaneous MTA for  unresectable primary liver tumours                              2. Laparoscopic or surgical MTA for  unresectable primary liver tumours          3. Percutaneous MTA for  unresectable secondary liver tumours                       4. Laparoscopic or surgical MTA for  unresectable secondary liver tumours "/>
      </w:tblPr>
      <w:tblGrid>
        <w:gridCol w:w="9082"/>
      </w:tblGrid>
      <w:tr w:rsidR="00A652B7" w:rsidRPr="00C83AE1" w14:paraId="4240A871" w14:textId="77777777" w:rsidTr="00162CD8">
        <w:trPr>
          <w:cantSplit/>
        </w:trPr>
        <w:tc>
          <w:tcPr>
            <w:tcW w:w="9082" w:type="dxa"/>
            <w:shd w:val="clear" w:color="auto" w:fill="D9D9D9" w:themeFill="background1" w:themeFillShade="D9"/>
          </w:tcPr>
          <w:p w14:paraId="4240A870" w14:textId="77777777" w:rsidR="00A652B7" w:rsidRPr="00C83AE1" w:rsidRDefault="00A652B7" w:rsidP="00162CD8">
            <w:pPr>
              <w:pStyle w:val="Caption"/>
              <w:spacing w:before="60"/>
              <w:jc w:val="left"/>
            </w:pPr>
            <w:r w:rsidRPr="00C83AE1">
              <w:t>Category 3—THERAPEUTIC PROCEDURES</w:t>
            </w:r>
          </w:p>
        </w:tc>
      </w:tr>
      <w:tr w:rsidR="00A652B7" w:rsidRPr="00C83AE1" w14:paraId="4240A876" w14:textId="77777777" w:rsidTr="00162CD8">
        <w:trPr>
          <w:cantSplit/>
        </w:trPr>
        <w:tc>
          <w:tcPr>
            <w:tcW w:w="9082" w:type="dxa"/>
          </w:tcPr>
          <w:p w14:paraId="4240A872" w14:textId="77777777" w:rsidR="00A652B7" w:rsidRPr="00C83AE1" w:rsidRDefault="00A652B7" w:rsidP="00162CD8">
            <w:pPr>
              <w:pStyle w:val="Tablefont"/>
              <w:rPr>
                <w:rFonts w:cs="Arial"/>
                <w:sz w:val="20"/>
                <w:szCs w:val="20"/>
              </w:rPr>
            </w:pPr>
            <w:bookmarkStart w:id="2" w:name="_GoBack"/>
            <w:r w:rsidRPr="00C83AE1">
              <w:rPr>
                <w:rFonts w:cs="Arial"/>
                <w:sz w:val="20"/>
                <w:szCs w:val="20"/>
              </w:rPr>
              <w:t>MBS</w:t>
            </w:r>
            <w:r w:rsidRPr="00C83AE1">
              <w:rPr>
                <w:rFonts w:cs="Arial"/>
                <w:sz w:val="20"/>
                <w:szCs w:val="20"/>
                <w:highlight w:val="yellow"/>
              </w:rPr>
              <w:t xml:space="preserve"> [item number]</w:t>
            </w:r>
          </w:p>
          <w:p w14:paraId="4240A873" w14:textId="77777777" w:rsidR="00A652B7" w:rsidRPr="00C83AE1" w:rsidRDefault="00A652B7" w:rsidP="00162CD8">
            <w:pPr>
              <w:pStyle w:val="Tablefont"/>
              <w:rPr>
                <w:rFonts w:cs="Arial"/>
                <w:sz w:val="20"/>
                <w:szCs w:val="20"/>
              </w:rPr>
            </w:pPr>
            <w:r w:rsidRPr="00C83AE1">
              <w:rPr>
                <w:rFonts w:cs="Arial"/>
                <w:sz w:val="20"/>
                <w:szCs w:val="20"/>
              </w:rPr>
              <w:t>NON-RESECTABLE PRIMARY LIVER LESIONS, destruction of, by percutaneous microwave tissue ablation (MTA), including any associated imaging services, not being a service associated with a service to which item 30419, 50950 or 50952 (or other MTA items) applies</w:t>
            </w:r>
          </w:p>
          <w:p w14:paraId="4240A874" w14:textId="77777777" w:rsidR="00A652B7" w:rsidRPr="00C83AE1" w:rsidRDefault="00A652B7" w:rsidP="00162CD8">
            <w:pPr>
              <w:pStyle w:val="Tablefont"/>
              <w:rPr>
                <w:rFonts w:cs="Arial"/>
                <w:sz w:val="20"/>
                <w:szCs w:val="20"/>
              </w:rPr>
            </w:pPr>
            <w:r w:rsidRPr="00C83AE1">
              <w:rPr>
                <w:rFonts w:cs="Arial"/>
                <w:sz w:val="20"/>
                <w:szCs w:val="20"/>
              </w:rPr>
              <w:t>Fee: $TBA</w:t>
            </w:r>
          </w:p>
          <w:p w14:paraId="4240A875" w14:textId="77777777" w:rsidR="00A652B7" w:rsidRPr="00C83AE1" w:rsidRDefault="00A652B7" w:rsidP="00162CD8">
            <w:pPr>
              <w:pStyle w:val="Tablefont"/>
              <w:rPr>
                <w:rFonts w:cs="Arial"/>
                <w:sz w:val="20"/>
                <w:szCs w:val="20"/>
              </w:rPr>
            </w:pPr>
            <w:r w:rsidRPr="00C83AE1">
              <w:rPr>
                <w:rFonts w:cs="Arial"/>
                <w:sz w:val="20"/>
                <w:szCs w:val="20"/>
                <w:highlight w:val="yellow"/>
              </w:rPr>
              <w:t>[Relevant explanatory notes if required]</w:t>
            </w:r>
          </w:p>
        </w:tc>
      </w:tr>
      <w:bookmarkEnd w:id="2"/>
      <w:tr w:rsidR="00A652B7" w:rsidRPr="00C83AE1" w14:paraId="4240A87F" w14:textId="77777777" w:rsidTr="00162CD8">
        <w:trPr>
          <w:cantSplit/>
        </w:trPr>
        <w:tc>
          <w:tcPr>
            <w:tcW w:w="9082" w:type="dxa"/>
          </w:tcPr>
          <w:p w14:paraId="4240A877" w14:textId="77777777" w:rsidR="00A652B7" w:rsidRPr="00C83AE1" w:rsidRDefault="00A652B7" w:rsidP="00162CD8">
            <w:pPr>
              <w:pStyle w:val="Tablefont"/>
              <w:rPr>
                <w:rFonts w:cs="Arial"/>
                <w:sz w:val="20"/>
                <w:szCs w:val="20"/>
              </w:rPr>
            </w:pPr>
            <w:r w:rsidRPr="00C83AE1">
              <w:rPr>
                <w:rFonts w:cs="Arial"/>
                <w:sz w:val="20"/>
                <w:szCs w:val="20"/>
              </w:rPr>
              <w:t>MBS</w:t>
            </w:r>
            <w:r w:rsidRPr="00C83AE1">
              <w:rPr>
                <w:rFonts w:cs="Arial"/>
                <w:sz w:val="20"/>
                <w:szCs w:val="20"/>
                <w:highlight w:val="yellow"/>
              </w:rPr>
              <w:t xml:space="preserve"> [item number]</w:t>
            </w:r>
          </w:p>
          <w:p w14:paraId="4240A878" w14:textId="77777777" w:rsidR="00A652B7" w:rsidRPr="00C83AE1" w:rsidRDefault="00A652B7" w:rsidP="00162CD8">
            <w:pPr>
              <w:pStyle w:val="Tablefont"/>
              <w:rPr>
                <w:rFonts w:cs="Arial"/>
                <w:sz w:val="20"/>
                <w:szCs w:val="20"/>
              </w:rPr>
            </w:pPr>
            <w:r w:rsidRPr="00C83AE1">
              <w:rPr>
                <w:rFonts w:cs="Arial"/>
                <w:sz w:val="20"/>
                <w:szCs w:val="20"/>
              </w:rPr>
              <w:t>NON-RESECTABLE PRIMARY LIVER LESIONS, destruction of, by open or laparoscopic microwave tissue ablation (MTA), including any associated imaging services, where a multidisciplinary team has assessed that percutaneous microwave ablation cannot be performed or is not practical because of one or more of the following clinical circumstances:</w:t>
            </w:r>
          </w:p>
          <w:p w14:paraId="4240A879" w14:textId="77777777" w:rsidR="00A652B7" w:rsidRPr="00C83AE1" w:rsidRDefault="00A652B7" w:rsidP="00162CD8">
            <w:pPr>
              <w:pStyle w:val="Tablefont"/>
              <w:rPr>
                <w:rFonts w:cs="Arial"/>
                <w:sz w:val="20"/>
                <w:szCs w:val="20"/>
              </w:rPr>
            </w:pPr>
            <w:r w:rsidRPr="00C83AE1">
              <w:rPr>
                <w:rFonts w:cs="Arial"/>
                <w:sz w:val="20"/>
                <w:szCs w:val="20"/>
              </w:rPr>
              <w:t>—percutaneous access cannot be achieved;</w:t>
            </w:r>
          </w:p>
          <w:p w14:paraId="4240A87A" w14:textId="77777777" w:rsidR="00A652B7" w:rsidRPr="00C83AE1" w:rsidRDefault="00A652B7" w:rsidP="00162CD8">
            <w:pPr>
              <w:pStyle w:val="Tablefont"/>
              <w:rPr>
                <w:rFonts w:cs="Arial"/>
                <w:sz w:val="20"/>
                <w:szCs w:val="20"/>
              </w:rPr>
            </w:pPr>
            <w:r w:rsidRPr="00C83AE1">
              <w:rPr>
                <w:rFonts w:cs="Arial"/>
                <w:sz w:val="20"/>
                <w:szCs w:val="20"/>
              </w:rPr>
              <w:t>—vital organs/tissues are at risk of damage from the percutaneous MTA procedure; or</w:t>
            </w:r>
          </w:p>
          <w:p w14:paraId="4240A87B" w14:textId="77777777" w:rsidR="00A652B7" w:rsidRPr="00C83AE1" w:rsidRDefault="00A652B7" w:rsidP="00162CD8">
            <w:pPr>
              <w:pStyle w:val="Tablefont"/>
              <w:rPr>
                <w:rFonts w:cs="Arial"/>
                <w:sz w:val="20"/>
                <w:szCs w:val="20"/>
              </w:rPr>
            </w:pPr>
            <w:r w:rsidRPr="00C83AE1">
              <w:rPr>
                <w:rFonts w:cs="Arial"/>
                <w:sz w:val="20"/>
                <w:szCs w:val="20"/>
              </w:rPr>
              <w:t xml:space="preserve">—resection of one part of the liver is possible, but there is at least one primary liver tumour in a non-resectable region of the liver which is suitable for microwave ablation, including any associated imaging services, </w:t>
            </w:r>
          </w:p>
          <w:p w14:paraId="4240A87C" w14:textId="77777777" w:rsidR="00A652B7" w:rsidRPr="00C83AE1" w:rsidRDefault="00A652B7" w:rsidP="00162CD8">
            <w:pPr>
              <w:pStyle w:val="Tablefont"/>
              <w:rPr>
                <w:rFonts w:cs="Arial"/>
                <w:sz w:val="20"/>
                <w:szCs w:val="20"/>
              </w:rPr>
            </w:pPr>
            <w:r w:rsidRPr="00C83AE1">
              <w:rPr>
                <w:rFonts w:cs="Arial"/>
                <w:sz w:val="20"/>
                <w:szCs w:val="20"/>
              </w:rPr>
              <w:t>not being a service associated with a service to which item 30419, 50950 or 50952 (or other MTA items) applies</w:t>
            </w:r>
          </w:p>
          <w:p w14:paraId="4240A87D" w14:textId="77777777" w:rsidR="00A652B7" w:rsidRPr="00C83AE1" w:rsidRDefault="00A652B7" w:rsidP="00162CD8">
            <w:pPr>
              <w:pStyle w:val="Tablefont"/>
              <w:rPr>
                <w:rFonts w:cs="Arial"/>
                <w:sz w:val="20"/>
                <w:szCs w:val="20"/>
              </w:rPr>
            </w:pPr>
            <w:r w:rsidRPr="00C83AE1">
              <w:rPr>
                <w:rFonts w:cs="Arial"/>
                <w:sz w:val="20"/>
                <w:szCs w:val="20"/>
              </w:rPr>
              <w:t>Fee: $TBA</w:t>
            </w:r>
          </w:p>
          <w:p w14:paraId="4240A87E" w14:textId="77777777" w:rsidR="00A652B7" w:rsidRPr="00C83AE1" w:rsidRDefault="00A652B7" w:rsidP="00162CD8">
            <w:pPr>
              <w:pStyle w:val="Tablefont"/>
              <w:rPr>
                <w:rFonts w:cs="Arial"/>
                <w:sz w:val="20"/>
                <w:szCs w:val="20"/>
              </w:rPr>
            </w:pPr>
            <w:r w:rsidRPr="00C83AE1">
              <w:rPr>
                <w:rFonts w:cs="Arial"/>
                <w:sz w:val="20"/>
                <w:szCs w:val="20"/>
                <w:highlight w:val="yellow"/>
              </w:rPr>
              <w:t>[Relevant explanatory notes if required]</w:t>
            </w:r>
          </w:p>
        </w:tc>
      </w:tr>
      <w:tr w:rsidR="00A652B7" w:rsidRPr="00C83AE1" w14:paraId="4240A881" w14:textId="77777777" w:rsidTr="00162CD8">
        <w:trPr>
          <w:cantSplit/>
        </w:trPr>
        <w:tc>
          <w:tcPr>
            <w:tcW w:w="9082" w:type="dxa"/>
            <w:shd w:val="clear" w:color="auto" w:fill="BFBFBF" w:themeFill="background1" w:themeFillShade="BF"/>
          </w:tcPr>
          <w:p w14:paraId="4240A880" w14:textId="77777777" w:rsidR="00A652B7" w:rsidRPr="00C83AE1" w:rsidRDefault="00A652B7" w:rsidP="00162CD8">
            <w:pPr>
              <w:pStyle w:val="Tablefont"/>
              <w:rPr>
                <w:rFonts w:cs="Arial"/>
                <w:b/>
                <w:sz w:val="20"/>
                <w:szCs w:val="20"/>
                <w:highlight w:val="yellow"/>
              </w:rPr>
            </w:pPr>
            <w:r w:rsidRPr="00C83AE1">
              <w:rPr>
                <w:rFonts w:cs="Arial"/>
                <w:b/>
                <w:sz w:val="20"/>
                <w:szCs w:val="20"/>
              </w:rPr>
              <w:t>Category 3—THERAPEUTIC PROCEDURES</w:t>
            </w:r>
          </w:p>
        </w:tc>
      </w:tr>
      <w:tr w:rsidR="00A652B7" w:rsidRPr="00C83AE1" w14:paraId="4240A887" w14:textId="77777777" w:rsidTr="00162CD8">
        <w:trPr>
          <w:cantSplit/>
        </w:trPr>
        <w:tc>
          <w:tcPr>
            <w:tcW w:w="9082" w:type="dxa"/>
          </w:tcPr>
          <w:p w14:paraId="4240A882" w14:textId="77777777" w:rsidR="00A652B7" w:rsidRPr="00C83AE1" w:rsidRDefault="00A652B7" w:rsidP="00162CD8">
            <w:pPr>
              <w:pStyle w:val="Tablefont"/>
              <w:rPr>
                <w:rFonts w:cs="Arial"/>
                <w:sz w:val="20"/>
                <w:szCs w:val="20"/>
              </w:rPr>
            </w:pPr>
            <w:r w:rsidRPr="00C83AE1">
              <w:rPr>
                <w:rFonts w:cs="Arial"/>
                <w:sz w:val="20"/>
                <w:szCs w:val="20"/>
              </w:rPr>
              <w:t>MBS</w:t>
            </w:r>
            <w:r w:rsidRPr="00C83AE1">
              <w:rPr>
                <w:rFonts w:cs="Arial"/>
                <w:sz w:val="20"/>
                <w:szCs w:val="20"/>
                <w:highlight w:val="yellow"/>
              </w:rPr>
              <w:t xml:space="preserve"> [item number]</w:t>
            </w:r>
          </w:p>
          <w:p w14:paraId="4240A883" w14:textId="77777777" w:rsidR="00A652B7" w:rsidRPr="00C83AE1" w:rsidRDefault="00A652B7" w:rsidP="00162CD8">
            <w:pPr>
              <w:pStyle w:val="Tablefont"/>
              <w:rPr>
                <w:rFonts w:cs="Arial"/>
                <w:sz w:val="20"/>
                <w:szCs w:val="20"/>
              </w:rPr>
            </w:pPr>
            <w:r w:rsidRPr="00C83AE1">
              <w:rPr>
                <w:rFonts w:cs="Arial"/>
                <w:sz w:val="20"/>
                <w:szCs w:val="20"/>
              </w:rPr>
              <w:t xml:space="preserve">NON-RESECTABLE METASTATIC LIVER LESIONS, destruction of, by percutaneous microwave tissue ablation (MTA), including any associated imaging services, </w:t>
            </w:r>
          </w:p>
          <w:p w14:paraId="4240A884" w14:textId="77777777" w:rsidR="00A652B7" w:rsidRPr="00C83AE1" w:rsidRDefault="00A652B7" w:rsidP="00162CD8">
            <w:pPr>
              <w:pStyle w:val="Tablefont"/>
              <w:rPr>
                <w:rFonts w:cs="Arial"/>
                <w:sz w:val="20"/>
                <w:szCs w:val="20"/>
              </w:rPr>
            </w:pPr>
            <w:r w:rsidRPr="00C83AE1">
              <w:rPr>
                <w:rFonts w:cs="Arial"/>
                <w:sz w:val="20"/>
                <w:szCs w:val="20"/>
              </w:rPr>
              <w:t>not being a service associated with a service to which item 30419, 50950 or 50952 (or other MTA items) applies</w:t>
            </w:r>
          </w:p>
          <w:p w14:paraId="4240A885" w14:textId="77777777" w:rsidR="00A652B7" w:rsidRPr="00C83AE1" w:rsidRDefault="00A652B7" w:rsidP="00162CD8">
            <w:pPr>
              <w:pStyle w:val="Tablefont"/>
              <w:tabs>
                <w:tab w:val="left" w:pos="2362"/>
              </w:tabs>
              <w:rPr>
                <w:rFonts w:cs="Arial"/>
                <w:sz w:val="20"/>
                <w:szCs w:val="20"/>
              </w:rPr>
            </w:pPr>
            <w:r w:rsidRPr="00C83AE1">
              <w:rPr>
                <w:rFonts w:cs="Arial"/>
                <w:sz w:val="20"/>
                <w:szCs w:val="20"/>
              </w:rPr>
              <w:t>Fee: $TBA</w:t>
            </w:r>
          </w:p>
          <w:p w14:paraId="4240A886" w14:textId="77777777" w:rsidR="00A652B7" w:rsidRPr="00C83AE1" w:rsidRDefault="00A652B7" w:rsidP="00162CD8">
            <w:pPr>
              <w:pStyle w:val="Tablefont"/>
              <w:rPr>
                <w:rFonts w:cs="Arial"/>
                <w:sz w:val="20"/>
                <w:szCs w:val="20"/>
              </w:rPr>
            </w:pPr>
            <w:r w:rsidRPr="00C83AE1">
              <w:rPr>
                <w:rFonts w:cs="Arial"/>
                <w:sz w:val="20"/>
                <w:szCs w:val="20"/>
                <w:highlight w:val="yellow"/>
              </w:rPr>
              <w:t>[Relevant explanatory notes if required]</w:t>
            </w:r>
          </w:p>
        </w:tc>
      </w:tr>
      <w:tr w:rsidR="00A652B7" w:rsidRPr="00C83AE1" w14:paraId="4240A890" w14:textId="77777777" w:rsidTr="00162CD8">
        <w:trPr>
          <w:cantSplit/>
        </w:trPr>
        <w:tc>
          <w:tcPr>
            <w:tcW w:w="9082" w:type="dxa"/>
          </w:tcPr>
          <w:p w14:paraId="4240A888" w14:textId="77777777" w:rsidR="00A652B7" w:rsidRPr="00C83AE1" w:rsidRDefault="00A652B7" w:rsidP="00162CD8">
            <w:pPr>
              <w:pStyle w:val="Tablefont"/>
              <w:rPr>
                <w:rFonts w:cs="Arial"/>
                <w:sz w:val="20"/>
                <w:szCs w:val="20"/>
              </w:rPr>
            </w:pPr>
            <w:r w:rsidRPr="00C83AE1">
              <w:rPr>
                <w:rFonts w:cs="Arial"/>
                <w:sz w:val="20"/>
                <w:szCs w:val="20"/>
              </w:rPr>
              <w:lastRenderedPageBreak/>
              <w:t>MBS</w:t>
            </w:r>
            <w:r w:rsidRPr="00C83AE1">
              <w:rPr>
                <w:rFonts w:cs="Arial"/>
                <w:sz w:val="20"/>
                <w:szCs w:val="20"/>
                <w:highlight w:val="yellow"/>
              </w:rPr>
              <w:t xml:space="preserve"> [item number]</w:t>
            </w:r>
          </w:p>
          <w:p w14:paraId="4240A889" w14:textId="77777777" w:rsidR="00A652B7" w:rsidRPr="00C83AE1" w:rsidRDefault="00A652B7" w:rsidP="00162CD8">
            <w:pPr>
              <w:pStyle w:val="Tablefont"/>
              <w:rPr>
                <w:rFonts w:cs="Arial"/>
                <w:sz w:val="20"/>
                <w:szCs w:val="20"/>
              </w:rPr>
            </w:pPr>
            <w:r w:rsidRPr="00C83AE1">
              <w:rPr>
                <w:rFonts w:cs="Arial"/>
                <w:sz w:val="20"/>
                <w:szCs w:val="20"/>
              </w:rPr>
              <w:t>NON-RESECTABLE METASTATIC LIVER LESIONS, destruction of, by open or laparoscopic microwave tissue ablation (MTA), including any associated imaging services, where a multidisciplinary team has assessed that percutaneous microwave ablation cannot be performed or is not practical because of one or more of the following clinical circumstances:</w:t>
            </w:r>
          </w:p>
          <w:p w14:paraId="4240A88A" w14:textId="77777777" w:rsidR="00A652B7" w:rsidRPr="00C83AE1" w:rsidRDefault="00A652B7" w:rsidP="00162CD8">
            <w:pPr>
              <w:pStyle w:val="Tablefont"/>
              <w:rPr>
                <w:rFonts w:cs="Arial"/>
                <w:sz w:val="20"/>
                <w:szCs w:val="20"/>
              </w:rPr>
            </w:pPr>
            <w:r w:rsidRPr="00C83AE1">
              <w:rPr>
                <w:rFonts w:cs="Arial"/>
                <w:sz w:val="20"/>
                <w:szCs w:val="20"/>
              </w:rPr>
              <w:t>—percutaneous access cannot be achieved;</w:t>
            </w:r>
          </w:p>
          <w:p w14:paraId="4240A88B" w14:textId="77777777" w:rsidR="00A652B7" w:rsidRPr="00C83AE1" w:rsidRDefault="00A652B7" w:rsidP="00162CD8">
            <w:pPr>
              <w:pStyle w:val="Tablefont"/>
              <w:rPr>
                <w:rFonts w:cs="Arial"/>
                <w:sz w:val="20"/>
                <w:szCs w:val="20"/>
              </w:rPr>
            </w:pPr>
            <w:r w:rsidRPr="00C83AE1">
              <w:rPr>
                <w:rFonts w:cs="Arial"/>
                <w:sz w:val="20"/>
                <w:szCs w:val="20"/>
              </w:rPr>
              <w:t>—vital organs/tissues are at risk of damage from the percutaneous MTA procedure; or</w:t>
            </w:r>
          </w:p>
          <w:p w14:paraId="4240A88C" w14:textId="77777777" w:rsidR="00A652B7" w:rsidRPr="00C83AE1" w:rsidRDefault="00A652B7" w:rsidP="00162CD8">
            <w:pPr>
              <w:pStyle w:val="Tablefont"/>
              <w:rPr>
                <w:rFonts w:cs="Arial"/>
                <w:sz w:val="20"/>
                <w:szCs w:val="20"/>
              </w:rPr>
            </w:pPr>
            <w:r w:rsidRPr="00C83AE1">
              <w:rPr>
                <w:rFonts w:cs="Arial"/>
                <w:sz w:val="20"/>
                <w:szCs w:val="20"/>
              </w:rPr>
              <w:t xml:space="preserve">—resection of one part of the liver is possible, but there is at least one primary liver tumour in a non-resectable region of the liver which is suitable for microwave ablation, including any associated imaging services, </w:t>
            </w:r>
          </w:p>
          <w:p w14:paraId="4240A88D" w14:textId="77777777" w:rsidR="00A652B7" w:rsidRPr="00C83AE1" w:rsidRDefault="00A652B7" w:rsidP="00162CD8">
            <w:pPr>
              <w:pStyle w:val="Tablefont"/>
              <w:rPr>
                <w:rFonts w:cs="Arial"/>
                <w:sz w:val="20"/>
                <w:szCs w:val="20"/>
              </w:rPr>
            </w:pPr>
            <w:r w:rsidRPr="00C83AE1">
              <w:rPr>
                <w:rFonts w:cs="Arial"/>
                <w:sz w:val="20"/>
                <w:szCs w:val="20"/>
              </w:rPr>
              <w:t>not being a service associated with a service to which item 30419, 50950 or 50952 (or other MTA items) applies</w:t>
            </w:r>
          </w:p>
          <w:p w14:paraId="4240A88E" w14:textId="77777777" w:rsidR="00A652B7" w:rsidRPr="00C83AE1" w:rsidRDefault="00A652B7" w:rsidP="00162CD8">
            <w:pPr>
              <w:pStyle w:val="Tablefont"/>
              <w:rPr>
                <w:rFonts w:cs="Arial"/>
                <w:sz w:val="20"/>
                <w:szCs w:val="20"/>
              </w:rPr>
            </w:pPr>
            <w:r w:rsidRPr="00C83AE1">
              <w:rPr>
                <w:rFonts w:cs="Arial"/>
                <w:sz w:val="20"/>
                <w:szCs w:val="20"/>
              </w:rPr>
              <w:t>Fee: $TBA</w:t>
            </w:r>
          </w:p>
          <w:p w14:paraId="4240A88F" w14:textId="77777777" w:rsidR="00A652B7" w:rsidRPr="00C83AE1" w:rsidRDefault="00A652B7" w:rsidP="00162CD8">
            <w:pPr>
              <w:pStyle w:val="Tablefont"/>
              <w:rPr>
                <w:rFonts w:eastAsia="SimSun" w:cs="Arial"/>
                <w:sz w:val="20"/>
                <w:szCs w:val="20"/>
                <w:lang w:eastAsia="ja-JP"/>
              </w:rPr>
            </w:pPr>
            <w:r w:rsidRPr="00C83AE1">
              <w:rPr>
                <w:rFonts w:cs="Arial"/>
                <w:sz w:val="20"/>
                <w:szCs w:val="20"/>
                <w:highlight w:val="yellow"/>
              </w:rPr>
              <w:t>[Relevant explanatory notes if required]</w:t>
            </w:r>
          </w:p>
        </w:tc>
      </w:tr>
    </w:tbl>
    <w:p w14:paraId="4240A891" w14:textId="77777777" w:rsidR="00A652B7" w:rsidRPr="00C83AE1" w:rsidRDefault="00A652B7" w:rsidP="00A652B7">
      <w:pPr>
        <w:pStyle w:val="Tablenotes"/>
        <w:spacing w:before="120"/>
        <w:jc w:val="left"/>
        <w:rPr>
          <w:sz w:val="20"/>
        </w:rPr>
      </w:pPr>
      <w:r w:rsidRPr="00C83AE1">
        <w:rPr>
          <w:sz w:val="20"/>
        </w:rPr>
        <w:t>MBS = Medicare Benefits Schedule; MTA = microwave tissue ablation; TBA = to be arranged</w:t>
      </w:r>
    </w:p>
    <w:p w14:paraId="4240A892" w14:textId="77777777" w:rsidR="00BC1364" w:rsidRPr="00F715D1" w:rsidRDefault="00BC1364" w:rsidP="000B1709">
      <w:pPr>
        <w:pStyle w:val="Heading1"/>
        <w:ind w:left="0" w:firstLine="0"/>
      </w:pPr>
      <w:r w:rsidRPr="00F715D1">
        <w:t xml:space="preserve">Summary of </w:t>
      </w:r>
      <w:r w:rsidR="003D7F29" w:rsidRPr="00F715D1">
        <w:t>Public Consultation</w:t>
      </w:r>
      <w:r w:rsidRPr="00F715D1">
        <w:t xml:space="preserve"> Feedback</w:t>
      </w:r>
      <w:r w:rsidR="003D7F29" w:rsidRPr="00F715D1">
        <w:t>/Consumer Issues</w:t>
      </w:r>
    </w:p>
    <w:p w14:paraId="4240A893" w14:textId="77777777" w:rsidR="00F54010" w:rsidRDefault="00F54010" w:rsidP="00F54010">
      <w:pPr>
        <w:kinsoku w:val="0"/>
        <w:overflowPunct w:val="0"/>
        <w:contextualSpacing/>
        <w:textAlignment w:val="baseline"/>
        <w:rPr>
          <w:rFonts w:eastAsia="MS PGothic"/>
          <w:color w:val="000000"/>
          <w:szCs w:val="24"/>
        </w:rPr>
      </w:pPr>
      <w:r w:rsidRPr="00F54010">
        <w:rPr>
          <w:rFonts w:eastAsia="MS PGothic"/>
          <w:color w:val="000000"/>
          <w:szCs w:val="24"/>
        </w:rPr>
        <w:t xml:space="preserve">The </w:t>
      </w:r>
      <w:r w:rsidR="0085322D">
        <w:rPr>
          <w:rFonts w:eastAsia="MS PGothic"/>
          <w:color w:val="000000"/>
          <w:szCs w:val="24"/>
        </w:rPr>
        <w:t>PICO</w:t>
      </w:r>
      <w:r w:rsidRPr="00F54010">
        <w:rPr>
          <w:rFonts w:eastAsia="MS PGothic"/>
          <w:color w:val="000000"/>
          <w:szCs w:val="24"/>
        </w:rPr>
        <w:t xml:space="preserve"> Advisory Sub-Committee (PASC) </w:t>
      </w:r>
      <w:r w:rsidR="0085322D">
        <w:rPr>
          <w:rFonts w:eastAsia="MS PGothic"/>
          <w:color w:val="000000"/>
          <w:szCs w:val="24"/>
        </w:rPr>
        <w:t xml:space="preserve">public consultation feedback </w:t>
      </w:r>
      <w:r w:rsidRPr="00F54010">
        <w:rPr>
          <w:rFonts w:eastAsia="MS PGothic"/>
          <w:color w:val="000000"/>
          <w:szCs w:val="24"/>
        </w:rPr>
        <w:t>received one response from a peak body, one response from an organisation, three responses from specialists, one response from a researcher and one response from a consumer/carer.</w:t>
      </w:r>
    </w:p>
    <w:p w14:paraId="4240A894" w14:textId="77777777" w:rsidR="00F54010" w:rsidRDefault="00F54010" w:rsidP="00F54010">
      <w:pPr>
        <w:kinsoku w:val="0"/>
        <w:overflowPunct w:val="0"/>
        <w:contextualSpacing/>
        <w:textAlignment w:val="baseline"/>
        <w:rPr>
          <w:rFonts w:eastAsia="MS PGothic"/>
          <w:color w:val="000000"/>
          <w:szCs w:val="24"/>
        </w:rPr>
      </w:pPr>
    </w:p>
    <w:p w14:paraId="4240A895" w14:textId="77777777" w:rsidR="00F54010" w:rsidRPr="0085322D" w:rsidRDefault="00F54010" w:rsidP="00F54010">
      <w:pPr>
        <w:kinsoku w:val="0"/>
        <w:overflowPunct w:val="0"/>
        <w:contextualSpacing/>
        <w:textAlignment w:val="baseline"/>
        <w:rPr>
          <w:rFonts w:eastAsia="MS PGothic"/>
          <w:color w:val="000000"/>
          <w:szCs w:val="24"/>
        </w:rPr>
      </w:pPr>
      <w:r>
        <w:rPr>
          <w:rFonts w:eastAsia="MS PGothic"/>
          <w:color w:val="000000"/>
          <w:szCs w:val="24"/>
        </w:rPr>
        <w:t>The responses indicated:</w:t>
      </w:r>
    </w:p>
    <w:p w14:paraId="4240A896" w14:textId="77777777" w:rsidR="00F54010" w:rsidRPr="0085322D" w:rsidRDefault="00F54010" w:rsidP="0085322D">
      <w:pPr>
        <w:pStyle w:val="ListParagraph"/>
        <w:numPr>
          <w:ilvl w:val="0"/>
          <w:numId w:val="9"/>
        </w:numPr>
        <w:kinsoku w:val="0"/>
        <w:overflowPunct w:val="0"/>
        <w:textAlignment w:val="baseline"/>
        <w:rPr>
          <w:szCs w:val="24"/>
        </w:rPr>
      </w:pPr>
      <w:r w:rsidRPr="00F54010">
        <w:rPr>
          <w:rFonts w:eastAsia="MS PGothic"/>
          <w:szCs w:val="24"/>
        </w:rPr>
        <w:t xml:space="preserve">That the population should include patients with resectable liver lesions.  </w:t>
      </w:r>
    </w:p>
    <w:p w14:paraId="4240A897" w14:textId="77777777" w:rsidR="00F54010" w:rsidRPr="0085322D" w:rsidRDefault="00F54010" w:rsidP="00F54010">
      <w:pPr>
        <w:pStyle w:val="ListParagraph"/>
        <w:numPr>
          <w:ilvl w:val="0"/>
          <w:numId w:val="9"/>
        </w:numPr>
        <w:kinsoku w:val="0"/>
        <w:overflowPunct w:val="0"/>
        <w:textAlignment w:val="baseline"/>
        <w:rPr>
          <w:szCs w:val="24"/>
        </w:rPr>
      </w:pPr>
      <w:r w:rsidRPr="00F54010">
        <w:rPr>
          <w:rFonts w:eastAsia="MS PGothic"/>
          <w:szCs w:val="24"/>
        </w:rPr>
        <w:t xml:space="preserve">That isolated bone metastases are an emerging indication for Microwave Tissue Ablation.  </w:t>
      </w:r>
    </w:p>
    <w:p w14:paraId="4240A898" w14:textId="77777777" w:rsidR="0085322D" w:rsidRPr="0085322D" w:rsidRDefault="00F54010" w:rsidP="00F54010">
      <w:pPr>
        <w:pStyle w:val="ListParagraph"/>
        <w:numPr>
          <w:ilvl w:val="0"/>
          <w:numId w:val="9"/>
        </w:numPr>
        <w:kinsoku w:val="0"/>
        <w:overflowPunct w:val="0"/>
        <w:textAlignment w:val="baseline"/>
        <w:rPr>
          <w:szCs w:val="24"/>
        </w:rPr>
      </w:pPr>
      <w:r w:rsidRPr="00F54010">
        <w:rPr>
          <w:rFonts w:eastAsia="MS PGothic"/>
          <w:szCs w:val="24"/>
        </w:rPr>
        <w:t>That Stereotactic Body Radiation Therapy (SBRT) should be a comparator for the intervention.</w:t>
      </w:r>
    </w:p>
    <w:p w14:paraId="4240A899" w14:textId="77777777" w:rsidR="0085322D" w:rsidRDefault="0085322D" w:rsidP="0085322D">
      <w:pPr>
        <w:kinsoku w:val="0"/>
        <w:overflowPunct w:val="0"/>
        <w:textAlignment w:val="baseline"/>
        <w:rPr>
          <w:rFonts w:eastAsia="MS PGothic"/>
          <w:szCs w:val="24"/>
        </w:rPr>
      </w:pPr>
    </w:p>
    <w:p w14:paraId="4240A89A" w14:textId="77777777" w:rsidR="0085322D" w:rsidRPr="00A652B7" w:rsidRDefault="0085322D" w:rsidP="0085322D">
      <w:pPr>
        <w:rPr>
          <w:szCs w:val="24"/>
        </w:rPr>
      </w:pPr>
      <w:r>
        <w:rPr>
          <w:szCs w:val="24"/>
        </w:rPr>
        <w:t>Consumer feedback indicated that</w:t>
      </w:r>
      <w:r w:rsidRPr="00A652B7">
        <w:rPr>
          <w:szCs w:val="24"/>
        </w:rPr>
        <w:t xml:space="preserve"> MTA is already used on a regular basis for the treatment of liver tumours in Australia and other industrialised countries.</w:t>
      </w:r>
    </w:p>
    <w:p w14:paraId="4240A89B" w14:textId="77777777" w:rsidR="00BC1364" w:rsidRPr="00F715D1" w:rsidRDefault="00BC1364" w:rsidP="000B1709">
      <w:pPr>
        <w:pStyle w:val="Heading1"/>
        <w:ind w:left="0" w:firstLine="0"/>
      </w:pPr>
      <w:r w:rsidRPr="00F715D1">
        <w:t>Proposed intervention’s place in clinical management</w:t>
      </w:r>
    </w:p>
    <w:p w14:paraId="4240A89C" w14:textId="77777777" w:rsidR="00A652B7" w:rsidRPr="00862680" w:rsidRDefault="00A652B7" w:rsidP="00A652B7">
      <w:pPr>
        <w:rPr>
          <w:szCs w:val="24"/>
        </w:rPr>
      </w:pPr>
      <w:r w:rsidRPr="00862680">
        <w:rPr>
          <w:szCs w:val="24"/>
        </w:rPr>
        <w:t>According to the clinical management algorithm provided in the protocol, MTA would be a direct substitution for RFA in indicated patients, with no other expected management changes. It is not expected that the MBS listing of MTA would result in any change in the number of patients indicated for ablation.</w:t>
      </w:r>
    </w:p>
    <w:p w14:paraId="4240A89D" w14:textId="77777777" w:rsidR="00A652B7" w:rsidRDefault="00A652B7" w:rsidP="00A652B7">
      <w:pPr>
        <w:rPr>
          <w:b/>
        </w:rPr>
      </w:pPr>
      <w:bookmarkStart w:id="3" w:name="_Toc395200747"/>
      <w:bookmarkStart w:id="4" w:name="_Toc426968105"/>
    </w:p>
    <w:p w14:paraId="4240A89E" w14:textId="77777777" w:rsidR="00A652B7" w:rsidRPr="00862680" w:rsidRDefault="00A652B7" w:rsidP="00A652B7">
      <w:pPr>
        <w:rPr>
          <w:b/>
        </w:rPr>
      </w:pPr>
      <w:r w:rsidRPr="00862680">
        <w:rPr>
          <w:b/>
        </w:rPr>
        <w:t>Clinical Claim</w:t>
      </w:r>
      <w:bookmarkEnd w:id="3"/>
      <w:bookmarkEnd w:id="4"/>
    </w:p>
    <w:p w14:paraId="4240A89F" w14:textId="77777777" w:rsidR="00A652B7" w:rsidRPr="00862680" w:rsidRDefault="00A652B7" w:rsidP="00A652B7">
      <w:pPr>
        <w:rPr>
          <w:szCs w:val="24"/>
        </w:rPr>
      </w:pPr>
      <w:r w:rsidRPr="00862680">
        <w:rPr>
          <w:szCs w:val="24"/>
        </w:rPr>
        <w:t xml:space="preserve">The clinical claim </w:t>
      </w:r>
      <w:r w:rsidR="0085322D">
        <w:rPr>
          <w:szCs w:val="24"/>
        </w:rPr>
        <w:t>wa</w:t>
      </w:r>
      <w:r w:rsidRPr="00862680">
        <w:rPr>
          <w:szCs w:val="24"/>
        </w:rPr>
        <w:t>s that MTA is a safer and more effective therapy than its comparator, RFA, for treating primary and secondary liver cancer. This claim is based on MTA’s ability to provide more predictable ablation volume shapes and sizes, reducing the potential for compromise of healthy hepatic and extrahepatic tissue; larger ablation volumes in faster times; and reduced risk of burning and the heat sink effect.</w:t>
      </w:r>
    </w:p>
    <w:p w14:paraId="4240A8A0" w14:textId="77777777" w:rsidR="00BC1364" w:rsidRPr="00F715D1" w:rsidRDefault="00BC1364" w:rsidP="000B1709">
      <w:pPr>
        <w:pStyle w:val="Heading1"/>
        <w:ind w:left="0" w:firstLine="0"/>
      </w:pPr>
      <w:r w:rsidRPr="00F715D1">
        <w:t xml:space="preserve">Comparator </w:t>
      </w:r>
    </w:p>
    <w:p w14:paraId="4240A8A1" w14:textId="77777777" w:rsidR="003502B9" w:rsidRDefault="003502B9" w:rsidP="003502B9">
      <w:r w:rsidRPr="00FE55E7">
        <w:t xml:space="preserve">For Population 1, </w:t>
      </w:r>
      <w:r w:rsidR="0085322D">
        <w:t xml:space="preserve">the assessment report nominated </w:t>
      </w:r>
      <w:r w:rsidRPr="00BB72D0">
        <w:t>RFA</w:t>
      </w:r>
      <w:r w:rsidR="0085322D">
        <w:t xml:space="preserve"> a</w:t>
      </w:r>
      <w:r w:rsidRPr="00FE55E7">
        <w:t xml:space="preserve">s the sole comparator. </w:t>
      </w:r>
      <w:r w:rsidRPr="00BB72D0">
        <w:t>RFA</w:t>
      </w:r>
      <w:r w:rsidRPr="00FE55E7">
        <w:t xml:space="preserve"> is similar to </w:t>
      </w:r>
      <w:r w:rsidRPr="00BB72D0">
        <w:t>MTA</w:t>
      </w:r>
      <w:r w:rsidRPr="00FE55E7">
        <w:t xml:space="preserve"> in that it uses a current, at a lower frequency than </w:t>
      </w:r>
      <w:r w:rsidRPr="00BB72D0">
        <w:t>MTA</w:t>
      </w:r>
      <w:r w:rsidRPr="00FE55E7">
        <w:t xml:space="preserve"> (375–480</w:t>
      </w:r>
      <w:r>
        <w:t xml:space="preserve"> </w:t>
      </w:r>
      <w:r w:rsidRPr="00FE55E7">
        <w:t xml:space="preserve">kHz), delivered down an electrode to heat and destroy tissue. The resources required for the delivery of </w:t>
      </w:r>
      <w:r w:rsidRPr="00BB72D0">
        <w:t>RFA</w:t>
      </w:r>
      <w:r w:rsidRPr="00FE55E7">
        <w:t xml:space="preserve"> are similar to those of </w:t>
      </w:r>
      <w:r w:rsidRPr="00BB72D0">
        <w:t>MTA</w:t>
      </w:r>
      <w:r w:rsidRPr="00FE55E7">
        <w:t xml:space="preserve">, including the need for imaging to guide the procedure and equivalently qualified practitioners to deliver the treatment. </w:t>
      </w:r>
      <w:r w:rsidRPr="00BB72D0">
        <w:t>RFA</w:t>
      </w:r>
      <w:r w:rsidRPr="00FE55E7">
        <w:t xml:space="preserve"> for patients </w:t>
      </w:r>
      <w:r w:rsidRPr="00FE55E7">
        <w:lastRenderedPageBreak/>
        <w:t xml:space="preserve">with unresectable </w:t>
      </w:r>
      <w:r w:rsidRPr="001D635B">
        <w:t>HCC</w:t>
      </w:r>
      <w:r w:rsidRPr="00FE55E7">
        <w:t xml:space="preserve"> is currently listed on the </w:t>
      </w:r>
      <w:r w:rsidRPr="001D635B">
        <w:t>MBS</w:t>
      </w:r>
      <w:r w:rsidRPr="00FE55E7">
        <w:t xml:space="preserve"> (item 50950 for percutaneous approach and item 50952 for open or laparoscopic approach).</w:t>
      </w:r>
    </w:p>
    <w:p w14:paraId="4240A8A2" w14:textId="77777777" w:rsidR="003502B9" w:rsidRPr="00FE55E7" w:rsidRDefault="003502B9" w:rsidP="003502B9"/>
    <w:p w14:paraId="4240A8A3" w14:textId="77777777" w:rsidR="003502B9" w:rsidRDefault="003502B9" w:rsidP="003502B9">
      <w:r w:rsidRPr="00FE55E7">
        <w:t xml:space="preserve">For Population 2, </w:t>
      </w:r>
      <w:r w:rsidR="0085322D">
        <w:t xml:space="preserve">the assessment report nominated </w:t>
      </w:r>
      <w:r w:rsidRPr="00BB72D0">
        <w:t>RFA</w:t>
      </w:r>
      <w:r w:rsidRPr="00FE55E7">
        <w:t xml:space="preserve"> with or without adjuvant chemotherapy, or chemotherapy. </w:t>
      </w:r>
      <w:r w:rsidRPr="00BB72D0">
        <w:t>RFA</w:t>
      </w:r>
      <w:r w:rsidRPr="00FE55E7">
        <w:t xml:space="preserve"> is not listed on the </w:t>
      </w:r>
      <w:r w:rsidRPr="001D635B">
        <w:t>MBS</w:t>
      </w:r>
      <w:r w:rsidRPr="00FE55E7">
        <w:t xml:space="preserve"> for this population.</w:t>
      </w:r>
    </w:p>
    <w:p w14:paraId="4240A8A4" w14:textId="77777777" w:rsidR="003502B9" w:rsidRPr="00FE55E7" w:rsidRDefault="003502B9" w:rsidP="003502B9"/>
    <w:p w14:paraId="4240A8A5" w14:textId="77777777" w:rsidR="003502B9" w:rsidRPr="00FE55E7" w:rsidRDefault="003502B9" w:rsidP="003502B9">
      <w:r w:rsidRPr="00FE55E7">
        <w:t xml:space="preserve">For Population 3, </w:t>
      </w:r>
      <w:r w:rsidR="0085322D">
        <w:t xml:space="preserve">the assessment report nominated </w:t>
      </w:r>
      <w:r w:rsidRPr="00FE55E7">
        <w:t xml:space="preserve">multiple comparators: </w:t>
      </w:r>
      <w:r w:rsidRPr="00BB72D0">
        <w:t>RFA</w:t>
      </w:r>
      <w:r w:rsidRPr="00FE55E7">
        <w:t xml:space="preserve"> with or without adjuvant chemotherapy, chemotherapy, </w:t>
      </w:r>
      <w:bookmarkStart w:id="5" w:name="OLE_LINK41"/>
      <w:bookmarkStart w:id="6" w:name="OLE_LINK42"/>
      <w:r w:rsidRPr="00FE55E7">
        <w:t>chemoembolisation</w:t>
      </w:r>
      <w:bookmarkEnd w:id="5"/>
      <w:bookmarkEnd w:id="6"/>
      <w:r w:rsidRPr="00FE55E7">
        <w:t xml:space="preserve">, </w:t>
      </w:r>
      <w:bookmarkStart w:id="7" w:name="OLE_LINK43"/>
      <w:bookmarkStart w:id="8" w:name="OLE_LINK44"/>
      <w:r w:rsidRPr="00FE55E7">
        <w:t>radioembolisation</w:t>
      </w:r>
      <w:bookmarkEnd w:id="7"/>
      <w:bookmarkEnd w:id="8"/>
      <w:r w:rsidRPr="00FE55E7">
        <w:t xml:space="preserve">, radiolabelled somatostatin analogue therapy </w:t>
      </w:r>
      <w:r>
        <w:t>and,</w:t>
      </w:r>
      <w:r w:rsidRPr="00FE55E7">
        <w:t xml:space="preserve"> rarely, resection. The proposed population in the </w:t>
      </w:r>
      <w:r w:rsidRPr="001D635B">
        <w:t>PASC</w:t>
      </w:r>
      <w:r>
        <w:t>-</w:t>
      </w:r>
      <w:r w:rsidRPr="00FE55E7">
        <w:t>approved protocol described this population as ‘unresectable’ and ‘refractory to somatostatin analogue therapy’; thus</w:t>
      </w:r>
      <w:r>
        <w:t>,</w:t>
      </w:r>
      <w:r w:rsidRPr="00FE55E7">
        <w:t xml:space="preserve"> resection and somatostatin analogue therapy were unlikely to be found as comparators. </w:t>
      </w:r>
      <w:r w:rsidRPr="00BB72D0">
        <w:t>RFA</w:t>
      </w:r>
      <w:r w:rsidRPr="00FE55E7">
        <w:t xml:space="preserve"> is not listed on the </w:t>
      </w:r>
      <w:r w:rsidRPr="001D635B">
        <w:t>MBS</w:t>
      </w:r>
      <w:r w:rsidRPr="00FE55E7">
        <w:t xml:space="preserve"> for this population.</w:t>
      </w:r>
    </w:p>
    <w:p w14:paraId="4240A8A6" w14:textId="77777777" w:rsidR="00BC1364" w:rsidRPr="00F715D1" w:rsidRDefault="00BC1364" w:rsidP="000B1709">
      <w:pPr>
        <w:pStyle w:val="Heading1"/>
        <w:ind w:left="0" w:firstLine="0"/>
      </w:pPr>
      <w:r w:rsidRPr="00F715D1">
        <w:t>Comparative safety</w:t>
      </w:r>
    </w:p>
    <w:p w14:paraId="4240A8A7" w14:textId="77777777" w:rsidR="0085322D" w:rsidRPr="0085322D" w:rsidRDefault="00A64A2B" w:rsidP="0085322D">
      <w:pPr>
        <w:spacing w:after="240"/>
        <w:rPr>
          <w:szCs w:val="24"/>
        </w:rPr>
      </w:pPr>
      <w:r>
        <w:rPr>
          <w:szCs w:val="24"/>
        </w:rPr>
        <w:t>The evidence from two systematic review</w:t>
      </w:r>
      <w:r w:rsidR="0085322D" w:rsidRPr="0085322D">
        <w:rPr>
          <w:szCs w:val="24"/>
        </w:rPr>
        <w:t xml:space="preserve">s in percutaneous ablation </w:t>
      </w:r>
      <w:r>
        <w:rPr>
          <w:szCs w:val="24"/>
        </w:rPr>
        <w:t>found</w:t>
      </w:r>
      <w:r w:rsidR="0085322D" w:rsidRPr="0085322D">
        <w:rPr>
          <w:szCs w:val="24"/>
        </w:rPr>
        <w:t xml:space="preserve"> a higher number of overall major adverse events in patients undergoing MTA than RFA; however, the differences were not statistically significant, and as the rates were low, the differences are unlikely to be of clinical importance.</w:t>
      </w:r>
    </w:p>
    <w:p w14:paraId="4240A8A8" w14:textId="77777777" w:rsidR="0085322D" w:rsidRDefault="0085322D" w:rsidP="0085322D">
      <w:pPr>
        <w:spacing w:before="240" w:after="240"/>
        <w:rPr>
          <w:szCs w:val="24"/>
        </w:rPr>
      </w:pPr>
      <w:r w:rsidRPr="0085322D">
        <w:rPr>
          <w:szCs w:val="24"/>
        </w:rPr>
        <w:t>Two comparative non-randomised studies that examined patients undergoing surgical ablation found higher rates of adverse events than in percutaneous ablation, in both the MTA and RFA groups, and inconsistent findings between studies. These studies were relatively small, and it is not clear whether the adverse events were defined in a similar way in each study. It is difficult to draw conclusions about the safety of MTA versus RFA in surgical ablation from these data.</w:t>
      </w:r>
    </w:p>
    <w:p w14:paraId="4240A8A9" w14:textId="77777777" w:rsidR="0085322D" w:rsidRDefault="009D1F87" w:rsidP="0085322D">
      <w:pPr>
        <w:rPr>
          <w:szCs w:val="24"/>
        </w:rPr>
      </w:pPr>
      <w:r w:rsidRPr="00862680">
        <w:rPr>
          <w:szCs w:val="24"/>
        </w:rPr>
        <w:t xml:space="preserve">No comparative safety data specific to Population 2 or 3 was identified, other than a mention of no procedure-related mortality in either group in the one comparative study. No conclusions can be drawn about the safety of MTA in these populations. As it is likely that the patients in these groups have more complex disease and are more unwell than those in </w:t>
      </w:r>
    </w:p>
    <w:p w14:paraId="4240A8AA" w14:textId="77777777" w:rsidR="009D1F87" w:rsidRPr="00862680" w:rsidRDefault="009D1F87" w:rsidP="009D1F87">
      <w:pPr>
        <w:rPr>
          <w:szCs w:val="24"/>
        </w:rPr>
      </w:pPr>
      <w:r w:rsidRPr="00862680">
        <w:rPr>
          <w:szCs w:val="24"/>
        </w:rPr>
        <w:t>Population 1, it is difficult to judge whether the safety profile for MTA in this group would be similar to that for Population 1.</w:t>
      </w:r>
    </w:p>
    <w:p w14:paraId="4240A8AB" w14:textId="77777777" w:rsidR="00BC1364" w:rsidRPr="00F715D1" w:rsidRDefault="00BC1364" w:rsidP="000B1709">
      <w:pPr>
        <w:pStyle w:val="Heading1"/>
        <w:ind w:left="0" w:firstLine="0"/>
      </w:pPr>
      <w:r w:rsidRPr="00F715D1">
        <w:t>Comparative effectiveness</w:t>
      </w:r>
    </w:p>
    <w:p w14:paraId="4240A8AC" w14:textId="77777777" w:rsidR="003502B9" w:rsidRDefault="003502B9" w:rsidP="00C83AE1">
      <w:r w:rsidRPr="00FE55E7">
        <w:t xml:space="preserve">Overall, the evidence for Population 1 was consistent in reporting few clinically or statistically significant differences between </w:t>
      </w:r>
      <w:r w:rsidRPr="00BB72D0">
        <w:t>MTA</w:t>
      </w:r>
      <w:r w:rsidRPr="00FE55E7">
        <w:t xml:space="preserve"> and </w:t>
      </w:r>
      <w:r w:rsidRPr="00BB72D0">
        <w:t>RFA</w:t>
      </w:r>
      <w:r w:rsidRPr="00FE55E7">
        <w:t xml:space="preserve"> in this patient group.</w:t>
      </w:r>
      <w:r>
        <w:t xml:space="preserve"> </w:t>
      </w:r>
      <w:r w:rsidRPr="00FE55E7">
        <w:t xml:space="preserve">The findings </w:t>
      </w:r>
      <w:r>
        <w:t>are summarised</w:t>
      </w:r>
      <w:r w:rsidRPr="00FE55E7">
        <w:t xml:space="preserve"> in </w:t>
      </w:r>
      <w:r w:rsidR="00C83AE1">
        <w:fldChar w:fldCharType="begin"/>
      </w:r>
      <w:r w:rsidR="00C83AE1">
        <w:instrText xml:space="preserve"> REF _Ref421184437 \h </w:instrText>
      </w:r>
      <w:r w:rsidR="00C83AE1">
        <w:fldChar w:fldCharType="separate"/>
      </w:r>
      <w:r w:rsidR="003967F8">
        <w:t xml:space="preserve">Table </w:t>
      </w:r>
      <w:r w:rsidR="003967F8">
        <w:rPr>
          <w:noProof/>
        </w:rPr>
        <w:t>2</w:t>
      </w:r>
      <w:r w:rsidR="00C83AE1">
        <w:fldChar w:fldCharType="end"/>
      </w:r>
      <w:r w:rsidRPr="00FE55E7">
        <w:t>.</w:t>
      </w:r>
    </w:p>
    <w:p w14:paraId="4240A8AD" w14:textId="77777777" w:rsidR="003502B9" w:rsidRPr="00FE55E7" w:rsidRDefault="003502B9" w:rsidP="00C83AE1"/>
    <w:p w14:paraId="4240A8AE" w14:textId="77777777" w:rsidR="003502B9" w:rsidRDefault="003502B9" w:rsidP="00C83AE1">
      <w:r w:rsidRPr="00FE55E7">
        <w:t>F</w:t>
      </w:r>
      <w:r w:rsidR="00ED0542">
        <w:t>or percutaneous ablation, the systematic review</w:t>
      </w:r>
      <w:r w:rsidRPr="00FE55E7">
        <w:t>s were very consistent in their results across the primary outcome measures of local tumour recurrence, complete ablation, overall survival and recurrence</w:t>
      </w:r>
      <w:r>
        <w:t>-</w:t>
      </w:r>
      <w:r w:rsidRPr="00FE55E7">
        <w:t xml:space="preserve">free survival, finding few statistically significant differences between </w:t>
      </w:r>
      <w:r w:rsidRPr="00BB72D0">
        <w:t>MTA</w:t>
      </w:r>
      <w:r w:rsidRPr="00FE55E7">
        <w:t xml:space="preserve"> and </w:t>
      </w:r>
      <w:r w:rsidRPr="00BB72D0">
        <w:t>RFA</w:t>
      </w:r>
      <w:r w:rsidRPr="00FE55E7">
        <w:t xml:space="preserve">. The additional comparative studies also provided similar evidence for most outcomes. </w:t>
      </w:r>
      <w:r>
        <w:t>In</w:t>
      </w:r>
      <w:r w:rsidRPr="00FE55E7">
        <w:t xml:space="preserve"> studies including patients undergoing surgical ablation, data reporting was limited, but in two studies that reported either rates of recurrence or the relative risk of recurrence, there was no difference between the treatments.</w:t>
      </w:r>
    </w:p>
    <w:p w14:paraId="4240A8AF" w14:textId="77777777" w:rsidR="003502B9" w:rsidRPr="00FE55E7" w:rsidRDefault="003502B9" w:rsidP="00C83AE1"/>
    <w:p w14:paraId="4240A8B0" w14:textId="77777777" w:rsidR="003502B9" w:rsidRDefault="003502B9" w:rsidP="00C83AE1">
      <w:r w:rsidRPr="00FE55E7">
        <w:t xml:space="preserve">There was some evidence that </w:t>
      </w:r>
      <w:r w:rsidRPr="00BB72D0">
        <w:t>MTA</w:t>
      </w:r>
      <w:r w:rsidRPr="00FE55E7">
        <w:t xml:space="preserve"> was superior to </w:t>
      </w:r>
      <w:r w:rsidRPr="00BB72D0">
        <w:t>RFA</w:t>
      </w:r>
      <w:r w:rsidRPr="00FE55E7">
        <w:t xml:space="preserve"> in patients with more severe classification of cancer for tumour recurrence; however, </w:t>
      </w:r>
      <w:r>
        <w:t>as</w:t>
      </w:r>
      <w:r w:rsidRPr="00FE55E7">
        <w:t xml:space="preserve"> most studies had historical controls, the result could also be due to other changes in cancer treatment over that time, resulting in better outcomes for patients with more severe disease.</w:t>
      </w:r>
    </w:p>
    <w:p w14:paraId="4240A8B1" w14:textId="77777777" w:rsidR="003502B9" w:rsidRPr="00FE55E7" w:rsidRDefault="003502B9" w:rsidP="00C83AE1"/>
    <w:p w14:paraId="4240A8B2" w14:textId="77777777" w:rsidR="003502B9" w:rsidRDefault="003502B9" w:rsidP="00C83AE1">
      <w:r w:rsidRPr="00FE55E7">
        <w:lastRenderedPageBreak/>
        <w:t>Limited data on secondary outcomes were identified; in particular</w:t>
      </w:r>
      <w:r>
        <w:t>,</w:t>
      </w:r>
      <w:r w:rsidRPr="00FE55E7">
        <w:t xml:space="preserve"> there was a paucity of data supporting claims that </w:t>
      </w:r>
      <w:r w:rsidRPr="00BB72D0">
        <w:t>MTA</w:t>
      </w:r>
      <w:r w:rsidRPr="00FE55E7">
        <w:t xml:space="preserve"> required less ablation time and fewer sessions.</w:t>
      </w:r>
    </w:p>
    <w:p w14:paraId="4240A8B3" w14:textId="77777777" w:rsidR="003502B9" w:rsidRPr="00FE55E7" w:rsidRDefault="003502B9" w:rsidP="00C83AE1"/>
    <w:p w14:paraId="4240A8B4" w14:textId="77777777" w:rsidR="003502B9" w:rsidRDefault="003502B9" w:rsidP="00C83AE1">
      <w:r w:rsidRPr="00FE55E7">
        <w:t xml:space="preserve">For Population 2, one comparative study found a difference likely to be clinically meaningful, but not statistically significant, favouring </w:t>
      </w:r>
      <w:r w:rsidRPr="00BB72D0">
        <w:t>MTA</w:t>
      </w:r>
      <w:r w:rsidRPr="00FE55E7">
        <w:t xml:space="preserve"> for local tumour recurrence. </w:t>
      </w:r>
      <w:r>
        <w:t>It</w:t>
      </w:r>
      <w:r w:rsidRPr="00FE55E7">
        <w:t xml:space="preserve"> also found better overall survival in years </w:t>
      </w:r>
      <w:r>
        <w:t>2</w:t>
      </w:r>
      <w:r w:rsidRPr="00FE55E7">
        <w:t xml:space="preserve"> and </w:t>
      </w:r>
      <w:r>
        <w:t>5</w:t>
      </w:r>
      <w:r w:rsidRPr="00FE55E7">
        <w:t xml:space="preserve"> for patients who had </w:t>
      </w:r>
      <w:r w:rsidRPr="00BB72D0">
        <w:t>MTA</w:t>
      </w:r>
      <w:r w:rsidRPr="00FE55E7">
        <w:t>, although these results were not statistically significant, and the small number of patients in this study make</w:t>
      </w:r>
      <w:r>
        <w:t>s</w:t>
      </w:r>
      <w:r w:rsidRPr="00FE55E7">
        <w:t xml:space="preserve"> the results difficult to interpret.</w:t>
      </w:r>
    </w:p>
    <w:p w14:paraId="4240A8B5" w14:textId="77777777" w:rsidR="003502B9" w:rsidRPr="00FE55E7" w:rsidRDefault="003502B9" w:rsidP="00C83AE1"/>
    <w:p w14:paraId="4240A8B6" w14:textId="77777777" w:rsidR="003502B9" w:rsidRDefault="003502B9" w:rsidP="00C83AE1">
      <w:r w:rsidRPr="00FE55E7">
        <w:t xml:space="preserve">There is no evidence in Population 3 to enable any conclusions to be drawn about the effectiveness of </w:t>
      </w:r>
      <w:r w:rsidRPr="00BB72D0">
        <w:t>MTA</w:t>
      </w:r>
      <w:r w:rsidRPr="00FE55E7">
        <w:t xml:space="preserve"> in this patient group.</w:t>
      </w:r>
    </w:p>
    <w:p w14:paraId="4240A8B7" w14:textId="77777777" w:rsidR="003502B9" w:rsidRPr="00FE55E7" w:rsidRDefault="003502B9" w:rsidP="003502B9">
      <w:pPr>
        <w:jc w:val="both"/>
      </w:pPr>
    </w:p>
    <w:p w14:paraId="4240A8B8" w14:textId="77777777" w:rsidR="003502B9" w:rsidRPr="00C83AE1" w:rsidRDefault="00C83AE1" w:rsidP="00C83AE1">
      <w:pPr>
        <w:pStyle w:val="Caption"/>
        <w:ind w:left="720" w:hanging="720"/>
      </w:pPr>
      <w:bookmarkStart w:id="9" w:name="_Ref421184437"/>
      <w:bookmarkStart w:id="10" w:name="_Toc460406474"/>
      <w:r>
        <w:t xml:space="preserve">Table </w:t>
      </w:r>
      <w:r w:rsidR="00B8755E">
        <w:fldChar w:fldCharType="begin"/>
      </w:r>
      <w:r w:rsidR="00B8755E">
        <w:instrText xml:space="preserve"> SEQ Table \* ARABIC </w:instrText>
      </w:r>
      <w:r w:rsidR="00B8755E">
        <w:fldChar w:fldCharType="separate"/>
      </w:r>
      <w:r w:rsidR="003967F8">
        <w:rPr>
          <w:noProof/>
        </w:rPr>
        <w:t>2</w:t>
      </w:r>
      <w:r w:rsidR="00B8755E">
        <w:rPr>
          <w:noProof/>
        </w:rPr>
        <w:fldChar w:fldCharType="end"/>
      </w:r>
      <w:bookmarkEnd w:id="9"/>
      <w:r w:rsidR="003502B9" w:rsidRPr="00FE55E7">
        <w:tab/>
      </w:r>
      <w:r w:rsidR="003502B9" w:rsidRPr="00FE55E7">
        <w:rPr>
          <w:snapToGrid w:val="0"/>
          <w:szCs w:val="16"/>
        </w:rPr>
        <w:t xml:space="preserve">Balance of clinical benefits and harms of </w:t>
      </w:r>
      <w:r w:rsidR="003502B9" w:rsidRPr="00BB72D0">
        <w:rPr>
          <w:snapToGrid w:val="0"/>
          <w:szCs w:val="16"/>
        </w:rPr>
        <w:t>MTA</w:t>
      </w:r>
      <w:r w:rsidR="003502B9" w:rsidRPr="00FE55E7">
        <w:rPr>
          <w:snapToGrid w:val="0"/>
          <w:szCs w:val="16"/>
        </w:rPr>
        <w:t xml:space="preserve">, relative to </w:t>
      </w:r>
      <w:r w:rsidR="003502B9" w:rsidRPr="00BB72D0">
        <w:rPr>
          <w:snapToGrid w:val="0"/>
          <w:szCs w:val="16"/>
        </w:rPr>
        <w:t>RFA</w:t>
      </w:r>
      <w:r w:rsidR="003502B9" w:rsidRPr="00FE55E7">
        <w:rPr>
          <w:snapToGrid w:val="0"/>
          <w:szCs w:val="16"/>
        </w:rPr>
        <w:t xml:space="preserve">, as measured by the </w:t>
      </w:r>
      <w:r w:rsidR="003502B9" w:rsidRPr="00FE55E7">
        <w:rPr>
          <w:snapToGrid w:val="0"/>
          <w:szCs w:val="16"/>
          <w:u w:val="single"/>
        </w:rPr>
        <w:t>critical</w:t>
      </w:r>
      <w:r w:rsidR="003502B9" w:rsidRPr="00FE55E7">
        <w:rPr>
          <w:snapToGrid w:val="0"/>
          <w:szCs w:val="16"/>
        </w:rPr>
        <w:t xml:space="preserve"> patient-relevant outcomes in the key studies for Population 1</w:t>
      </w:r>
      <w:bookmarkEnd w:id="10"/>
    </w:p>
    <w:tbl>
      <w:tblPr>
        <w:tblW w:w="5000" w:type="pct"/>
        <w:tblInd w:w="-9" w:type="dxa"/>
        <w:tblCellMar>
          <w:left w:w="28" w:type="dxa"/>
          <w:right w:w="28" w:type="dxa"/>
        </w:tblCellMar>
        <w:tblLook w:val="04A0" w:firstRow="1" w:lastRow="0" w:firstColumn="1" w:lastColumn="0" w:noHBand="0" w:noVBand="1"/>
        <w:tblDescription w:val="Table 3  Balance of clinical benefits and harms of MTA, relative to RFA, as measured by the critical patient-relevant outcomes in the key studies for Population 1-Summary of findings table"/>
      </w:tblPr>
      <w:tblGrid>
        <w:gridCol w:w="1883"/>
        <w:gridCol w:w="1400"/>
        <w:gridCol w:w="1582"/>
        <w:gridCol w:w="2844"/>
        <w:gridCol w:w="1373"/>
      </w:tblGrid>
      <w:tr w:rsidR="003502B9" w:rsidRPr="00FE55E7" w14:paraId="4240A8C0" w14:textId="77777777" w:rsidTr="00502986">
        <w:trPr>
          <w:trHeight w:val="673"/>
        </w:trPr>
        <w:tc>
          <w:tcPr>
            <w:tcW w:w="1883" w:type="dxa"/>
            <w:tcBorders>
              <w:top w:val="single" w:sz="4" w:space="0" w:color="auto"/>
              <w:left w:val="single" w:sz="4" w:space="0" w:color="auto"/>
              <w:bottom w:val="single" w:sz="4" w:space="0" w:color="auto"/>
              <w:right w:val="single" w:sz="4" w:space="0" w:color="auto"/>
            </w:tcBorders>
          </w:tcPr>
          <w:p w14:paraId="4240A8B9" w14:textId="77777777" w:rsidR="003502B9" w:rsidRPr="00FE55E7" w:rsidRDefault="003502B9" w:rsidP="00502986">
            <w:pPr>
              <w:pStyle w:val="TableHeading"/>
            </w:pPr>
            <w:r w:rsidRPr="00FE55E7">
              <w:t>Outcomes</w:t>
            </w:r>
          </w:p>
          <w:p w14:paraId="4240A8BA" w14:textId="77777777" w:rsidR="003502B9" w:rsidRPr="00FE55E7" w:rsidRDefault="003502B9" w:rsidP="00502986">
            <w:pPr>
              <w:pStyle w:val="TableHeading"/>
            </w:pPr>
            <w:r w:rsidRPr="00FE55E7">
              <w:t>Follow-up</w:t>
            </w:r>
          </w:p>
        </w:tc>
        <w:tc>
          <w:tcPr>
            <w:tcW w:w="1400" w:type="dxa"/>
            <w:tcBorders>
              <w:top w:val="single" w:sz="4" w:space="0" w:color="auto"/>
              <w:left w:val="single" w:sz="4" w:space="0" w:color="auto"/>
              <w:bottom w:val="single" w:sz="4" w:space="0" w:color="auto"/>
              <w:right w:val="single" w:sz="4" w:space="0" w:color="auto"/>
            </w:tcBorders>
          </w:tcPr>
          <w:p w14:paraId="4240A8BB" w14:textId="77777777" w:rsidR="003502B9" w:rsidRPr="00FE55E7" w:rsidRDefault="003502B9" w:rsidP="00502986">
            <w:pPr>
              <w:pStyle w:val="TableHeading"/>
            </w:pPr>
            <w:r w:rsidRPr="00FE55E7">
              <w:t>Studies (</w:t>
            </w:r>
            <w:r w:rsidRPr="00341A7B">
              <w:rPr>
                <w:i/>
              </w:rPr>
              <w:t>K</w:t>
            </w:r>
            <w:r w:rsidRPr="00FE55E7">
              <w:t>)</w:t>
            </w:r>
          </w:p>
          <w:p w14:paraId="4240A8BC" w14:textId="77777777" w:rsidR="003502B9" w:rsidRPr="00FE55E7" w:rsidRDefault="003502B9" w:rsidP="00502986">
            <w:pPr>
              <w:pStyle w:val="TableHeading"/>
            </w:pPr>
            <w:r w:rsidRPr="00FE55E7">
              <w:t>Participants (P)</w:t>
            </w:r>
          </w:p>
        </w:tc>
        <w:tc>
          <w:tcPr>
            <w:tcW w:w="1582" w:type="dxa"/>
            <w:tcBorders>
              <w:top w:val="single" w:sz="4" w:space="0" w:color="auto"/>
              <w:left w:val="single" w:sz="4" w:space="0" w:color="auto"/>
              <w:bottom w:val="single" w:sz="4" w:space="0" w:color="auto"/>
              <w:right w:val="single" w:sz="4" w:space="0" w:color="auto"/>
            </w:tcBorders>
          </w:tcPr>
          <w:p w14:paraId="4240A8BD" w14:textId="77777777" w:rsidR="003502B9" w:rsidRPr="00FE55E7" w:rsidRDefault="003502B9" w:rsidP="00502986">
            <w:pPr>
              <w:pStyle w:val="TableHeading"/>
            </w:pPr>
            <w:r w:rsidRPr="00FE55E7">
              <w:t>Quality of evidence (</w:t>
            </w:r>
            <w:bookmarkStart w:id="11" w:name="OLE_LINK270"/>
            <w:bookmarkStart w:id="12" w:name="OLE_LINK271"/>
            <w:r w:rsidRPr="002A103E">
              <w:t>GRADE</w:t>
            </w:r>
            <w:bookmarkEnd w:id="11"/>
            <w:bookmarkEnd w:id="12"/>
            <w:r w:rsidRPr="00FE55E7">
              <w:t>)</w:t>
            </w:r>
            <w:r w:rsidRPr="00FE55E7">
              <w:rPr>
                <w:rFonts w:cs="Arial"/>
                <w:vertAlign w:val="superscript"/>
              </w:rPr>
              <w:t xml:space="preserve"> a</w:t>
            </w:r>
          </w:p>
        </w:tc>
        <w:tc>
          <w:tcPr>
            <w:tcW w:w="2844" w:type="dxa"/>
            <w:tcBorders>
              <w:top w:val="single" w:sz="4" w:space="0" w:color="auto"/>
              <w:left w:val="single" w:sz="4" w:space="0" w:color="auto"/>
              <w:bottom w:val="single" w:sz="4" w:space="0" w:color="auto"/>
              <w:right w:val="single" w:sz="4" w:space="0" w:color="auto"/>
            </w:tcBorders>
          </w:tcPr>
          <w:p w14:paraId="4240A8BE" w14:textId="77777777" w:rsidR="003502B9" w:rsidRPr="00FE55E7" w:rsidRDefault="003502B9" w:rsidP="00502986">
            <w:pPr>
              <w:pStyle w:val="TableHeading"/>
              <w:ind w:right="117"/>
            </w:pPr>
            <w:r w:rsidRPr="00FE55E7">
              <w:t>Range of results :</w:t>
            </w:r>
            <w:bookmarkStart w:id="13" w:name="OLE_LINK276"/>
            <w:bookmarkStart w:id="14" w:name="OLE_LINK277"/>
            <w:r w:rsidRPr="002A103E">
              <w:rPr>
                <w:snapToGrid w:val="0"/>
                <w:lang w:eastAsia="en-US"/>
              </w:rPr>
              <w:t>OR</w:t>
            </w:r>
            <w:bookmarkEnd w:id="13"/>
            <w:bookmarkEnd w:id="14"/>
            <w:r w:rsidRPr="00FE55E7">
              <w:rPr>
                <w:snapToGrid w:val="0"/>
                <w:lang w:eastAsia="en-US"/>
              </w:rPr>
              <w:t>/</w:t>
            </w:r>
            <w:bookmarkStart w:id="15" w:name="OLE_LINK278"/>
            <w:bookmarkStart w:id="16" w:name="OLE_LINK279"/>
            <w:r w:rsidRPr="002A103E">
              <w:rPr>
                <w:snapToGrid w:val="0"/>
                <w:lang w:eastAsia="en-US"/>
              </w:rPr>
              <w:t>HR</w:t>
            </w:r>
            <w:r w:rsidRPr="00FE55E7">
              <w:rPr>
                <w:snapToGrid w:val="0"/>
                <w:lang w:eastAsia="en-US"/>
              </w:rPr>
              <w:t xml:space="preserve"> </w:t>
            </w:r>
            <w:bookmarkEnd w:id="15"/>
            <w:bookmarkEnd w:id="16"/>
            <w:r w:rsidRPr="00FE55E7">
              <w:rPr>
                <w:snapToGrid w:val="0"/>
                <w:lang w:eastAsia="en-US"/>
              </w:rPr>
              <w:t xml:space="preserve">and 95% </w:t>
            </w:r>
            <w:r w:rsidRPr="002A103E">
              <w:rPr>
                <w:snapToGrid w:val="0"/>
                <w:lang w:eastAsia="en-US"/>
              </w:rPr>
              <w:t>CI</w:t>
            </w:r>
            <w:r w:rsidRPr="00FE55E7">
              <w:rPr>
                <w:snapToGrid w:val="0"/>
                <w:lang w:eastAsia="en-US"/>
              </w:rPr>
              <w:t xml:space="preserve">, </w:t>
            </w:r>
            <w:r w:rsidRPr="00FE55E7">
              <w:rPr>
                <w:i/>
                <w:snapToGrid w:val="0"/>
                <w:lang w:eastAsia="en-US"/>
              </w:rPr>
              <w:t>P</w:t>
            </w:r>
            <w:r w:rsidRPr="00FE55E7">
              <w:rPr>
                <w:snapToGrid w:val="0"/>
                <w:lang w:eastAsia="en-US"/>
              </w:rPr>
              <w:t xml:space="preserve"> value</w:t>
            </w:r>
          </w:p>
        </w:tc>
        <w:tc>
          <w:tcPr>
            <w:tcW w:w="1373" w:type="dxa"/>
            <w:tcBorders>
              <w:top w:val="single" w:sz="4" w:space="0" w:color="auto"/>
              <w:left w:val="single" w:sz="4" w:space="0" w:color="auto"/>
              <w:bottom w:val="single" w:sz="4" w:space="0" w:color="auto"/>
              <w:right w:val="single" w:sz="4" w:space="0" w:color="auto"/>
            </w:tcBorders>
          </w:tcPr>
          <w:p w14:paraId="4240A8BF" w14:textId="77777777" w:rsidR="003502B9" w:rsidRPr="00FE55E7" w:rsidRDefault="003502B9" w:rsidP="00502986">
            <w:pPr>
              <w:pStyle w:val="TableHeading"/>
            </w:pPr>
            <w:r w:rsidRPr="00FE55E7">
              <w:t>Comments</w:t>
            </w:r>
          </w:p>
        </w:tc>
      </w:tr>
      <w:tr w:rsidR="003502B9" w:rsidRPr="00FE55E7" w14:paraId="4240A8CA" w14:textId="77777777" w:rsidTr="00502986">
        <w:tc>
          <w:tcPr>
            <w:tcW w:w="1883" w:type="dxa"/>
            <w:tcBorders>
              <w:top w:val="single" w:sz="4" w:space="0" w:color="auto"/>
              <w:left w:val="single" w:sz="4" w:space="0" w:color="auto"/>
              <w:bottom w:val="single" w:sz="4" w:space="0" w:color="auto"/>
              <w:right w:val="single" w:sz="4" w:space="0" w:color="auto"/>
            </w:tcBorders>
          </w:tcPr>
          <w:p w14:paraId="4240A8C1" w14:textId="77777777" w:rsidR="003502B9" w:rsidRPr="00FE55E7" w:rsidRDefault="003502B9" w:rsidP="00502986">
            <w:pPr>
              <w:pStyle w:val="Tabletext"/>
            </w:pPr>
            <w:r w:rsidRPr="00FE55E7">
              <w:t>Local tumour recurrence—percutaneous</w:t>
            </w:r>
          </w:p>
        </w:tc>
        <w:tc>
          <w:tcPr>
            <w:tcW w:w="1400" w:type="dxa"/>
            <w:tcBorders>
              <w:top w:val="single" w:sz="4" w:space="0" w:color="auto"/>
              <w:left w:val="single" w:sz="4" w:space="0" w:color="auto"/>
              <w:bottom w:val="single" w:sz="4" w:space="0" w:color="auto"/>
              <w:right w:val="single" w:sz="4" w:space="0" w:color="auto"/>
            </w:tcBorders>
          </w:tcPr>
          <w:p w14:paraId="4240A8C2" w14:textId="77777777" w:rsidR="003502B9" w:rsidRPr="00FE55E7" w:rsidRDefault="003502B9" w:rsidP="00502986">
            <w:pPr>
              <w:pStyle w:val="Tabletext"/>
            </w:pPr>
            <w:r w:rsidRPr="00341A7B">
              <w:rPr>
                <w:i/>
              </w:rPr>
              <w:t>K</w:t>
            </w:r>
            <w:r w:rsidRPr="00FE55E7">
              <w:t xml:space="preserve"> = 3 </w:t>
            </w:r>
            <w:r w:rsidRPr="00A927C7">
              <w:t>SR</w:t>
            </w:r>
          </w:p>
          <w:p w14:paraId="4240A8C3" w14:textId="77777777" w:rsidR="003502B9" w:rsidRPr="00FE55E7" w:rsidRDefault="003502B9" w:rsidP="00502986">
            <w:pPr>
              <w:pStyle w:val="Tabletext"/>
            </w:pPr>
          </w:p>
          <w:p w14:paraId="4240A8C4" w14:textId="77777777" w:rsidR="003502B9" w:rsidRPr="00FE55E7" w:rsidRDefault="003502B9" w:rsidP="00502986">
            <w:pPr>
              <w:pStyle w:val="Tabletext"/>
            </w:pPr>
            <w:r w:rsidRPr="00341A7B">
              <w:rPr>
                <w:i/>
              </w:rPr>
              <w:t>K</w:t>
            </w:r>
            <w:r w:rsidRPr="00FE55E7">
              <w:t xml:space="preserve"> = 2 </w:t>
            </w:r>
            <w:bookmarkStart w:id="17" w:name="OLE_LINK272"/>
            <w:bookmarkStart w:id="18" w:name="OLE_LINK273"/>
            <w:r w:rsidRPr="002A103E">
              <w:t>RHCC</w:t>
            </w:r>
            <w:bookmarkEnd w:id="17"/>
            <w:bookmarkEnd w:id="18"/>
          </w:p>
        </w:tc>
        <w:tc>
          <w:tcPr>
            <w:tcW w:w="1582" w:type="dxa"/>
            <w:tcBorders>
              <w:top w:val="single" w:sz="4" w:space="0" w:color="auto"/>
              <w:left w:val="single" w:sz="4" w:space="0" w:color="auto"/>
              <w:bottom w:val="single" w:sz="4" w:space="0" w:color="auto"/>
              <w:right w:val="single" w:sz="4" w:space="0" w:color="auto"/>
            </w:tcBorders>
          </w:tcPr>
          <w:p w14:paraId="4240A8C5" w14:textId="77777777" w:rsidR="003502B9" w:rsidRPr="00FE55E7" w:rsidRDefault="003502B9" w:rsidP="00502986">
            <w:pPr>
              <w:pStyle w:val="Tabletext"/>
            </w:pPr>
            <w:r w:rsidRPr="00FE55E7">
              <w:rPr>
                <w:rFonts w:ascii="Cambria Math" w:hAnsi="Cambria Math"/>
                <w:color w:val="00B050"/>
              </w:rPr>
              <w:t>⨁⨁</w:t>
            </w:r>
            <w:r w:rsidRPr="00FE55E7">
              <w:rPr>
                <w:rFonts w:ascii="Cambria Math" w:hAnsi="Cambria Math" w:cs="Cambria Math"/>
                <w:color w:val="C00000"/>
              </w:rPr>
              <w:t>⨀⨀</w:t>
            </w:r>
          </w:p>
        </w:tc>
        <w:tc>
          <w:tcPr>
            <w:tcW w:w="2844" w:type="dxa"/>
            <w:tcBorders>
              <w:top w:val="single" w:sz="4" w:space="0" w:color="auto"/>
              <w:left w:val="single" w:sz="4" w:space="0" w:color="auto"/>
              <w:bottom w:val="single" w:sz="4" w:space="0" w:color="auto"/>
              <w:right w:val="single" w:sz="4" w:space="0" w:color="auto"/>
            </w:tcBorders>
          </w:tcPr>
          <w:p w14:paraId="4240A8C6" w14:textId="77777777" w:rsidR="003502B9" w:rsidRPr="00FE55E7" w:rsidRDefault="003502B9" w:rsidP="00502986">
            <w:pPr>
              <w:pStyle w:val="Tabletext"/>
            </w:pPr>
            <w:bookmarkStart w:id="19" w:name="OLE_LINK51"/>
            <w:bookmarkStart w:id="20" w:name="OLE_LINK52"/>
            <w:r w:rsidRPr="00FE55E7">
              <w:t xml:space="preserve">ORs </w:t>
            </w:r>
            <w:bookmarkEnd w:id="19"/>
            <w:bookmarkEnd w:id="20"/>
            <w:r w:rsidRPr="00FE55E7">
              <w:t>between 1.01 (0.67, 1.50) and 1.17 (0.61, 2.24)</w:t>
            </w:r>
          </w:p>
          <w:p w14:paraId="4240A8C7" w14:textId="77777777" w:rsidR="003502B9" w:rsidRPr="00FE55E7" w:rsidRDefault="003502B9" w:rsidP="00502986">
            <w:pPr>
              <w:pStyle w:val="Tabletext"/>
            </w:pPr>
            <w:r w:rsidRPr="00FE55E7">
              <w:t xml:space="preserve">ORs between 0.91 and 1.13 (95% </w:t>
            </w:r>
            <w:bookmarkStart w:id="21" w:name="OLE_LINK280"/>
            <w:bookmarkStart w:id="22" w:name="OLE_LINK281"/>
            <w:r w:rsidRPr="002A103E">
              <w:t>CI</w:t>
            </w:r>
            <w:r w:rsidRPr="00FE55E7">
              <w:t xml:space="preserve"> </w:t>
            </w:r>
            <w:bookmarkEnd w:id="21"/>
            <w:bookmarkEnd w:id="22"/>
            <w:r w:rsidRPr="00FE55E7">
              <w:t>not reported)</w:t>
            </w:r>
          </w:p>
          <w:p w14:paraId="4240A8C8" w14:textId="77777777" w:rsidR="003502B9" w:rsidRPr="00FE55E7" w:rsidRDefault="003502B9" w:rsidP="00502986">
            <w:pPr>
              <w:pStyle w:val="Tabletext"/>
            </w:pPr>
            <w:r w:rsidRPr="002A103E">
              <w:t>HR</w:t>
            </w:r>
            <w:r w:rsidRPr="00FE55E7">
              <w:t xml:space="preserve"> 2.17 (1.04, 4.50) </w:t>
            </w:r>
            <w:r w:rsidRPr="00FE55E7">
              <w:rPr>
                <w:i/>
              </w:rPr>
              <w:t>P</w:t>
            </w:r>
            <w:r w:rsidRPr="00FE55E7">
              <w:t xml:space="preserve"> = 0.04</w:t>
            </w:r>
          </w:p>
        </w:tc>
        <w:tc>
          <w:tcPr>
            <w:tcW w:w="1373" w:type="dxa"/>
            <w:tcBorders>
              <w:top w:val="single" w:sz="4" w:space="0" w:color="auto"/>
              <w:left w:val="single" w:sz="4" w:space="0" w:color="auto"/>
              <w:bottom w:val="single" w:sz="4" w:space="0" w:color="auto"/>
              <w:right w:val="single" w:sz="4" w:space="0" w:color="auto"/>
            </w:tcBorders>
          </w:tcPr>
          <w:p w14:paraId="4240A8C9" w14:textId="77777777" w:rsidR="003502B9" w:rsidRPr="00FE55E7" w:rsidRDefault="003502B9" w:rsidP="00502986">
            <w:pPr>
              <w:pStyle w:val="Tabletext"/>
            </w:pPr>
            <w:r w:rsidRPr="00FE55E7">
              <w:t>No difference between groups</w:t>
            </w:r>
          </w:p>
        </w:tc>
      </w:tr>
      <w:tr w:rsidR="003502B9" w:rsidRPr="00FE55E7" w14:paraId="4240A8D1" w14:textId="77777777" w:rsidTr="00502986">
        <w:tc>
          <w:tcPr>
            <w:tcW w:w="1883" w:type="dxa"/>
            <w:tcBorders>
              <w:top w:val="single" w:sz="4" w:space="0" w:color="auto"/>
              <w:left w:val="single" w:sz="4" w:space="0" w:color="auto"/>
              <w:bottom w:val="single" w:sz="4" w:space="0" w:color="auto"/>
              <w:right w:val="single" w:sz="4" w:space="0" w:color="auto"/>
            </w:tcBorders>
          </w:tcPr>
          <w:p w14:paraId="4240A8CB" w14:textId="77777777" w:rsidR="003502B9" w:rsidRPr="00FE55E7" w:rsidRDefault="003502B9" w:rsidP="00502986">
            <w:pPr>
              <w:pStyle w:val="Tabletext"/>
            </w:pPr>
            <w:r w:rsidRPr="00FE55E7">
              <w:t>Local tumour recurrence—surgical</w:t>
            </w:r>
          </w:p>
        </w:tc>
        <w:tc>
          <w:tcPr>
            <w:tcW w:w="1400" w:type="dxa"/>
            <w:tcBorders>
              <w:top w:val="single" w:sz="4" w:space="0" w:color="auto"/>
              <w:left w:val="single" w:sz="4" w:space="0" w:color="auto"/>
              <w:bottom w:val="single" w:sz="4" w:space="0" w:color="auto"/>
              <w:right w:val="single" w:sz="4" w:space="0" w:color="auto"/>
            </w:tcBorders>
          </w:tcPr>
          <w:p w14:paraId="4240A8CC" w14:textId="77777777" w:rsidR="003502B9" w:rsidRPr="00FE55E7" w:rsidRDefault="003502B9" w:rsidP="00502986">
            <w:pPr>
              <w:pStyle w:val="Tabletext"/>
            </w:pPr>
            <w:r w:rsidRPr="00341A7B">
              <w:rPr>
                <w:i/>
              </w:rPr>
              <w:t>K</w:t>
            </w:r>
            <w:r w:rsidRPr="00FE55E7">
              <w:t xml:space="preserve"> = 2 </w:t>
            </w:r>
            <w:r w:rsidRPr="002A103E">
              <w:t>RHCC</w:t>
            </w:r>
          </w:p>
          <w:p w14:paraId="4240A8CD" w14:textId="77777777" w:rsidR="003502B9" w:rsidRPr="00FE55E7" w:rsidRDefault="003502B9" w:rsidP="00502986">
            <w:pPr>
              <w:pStyle w:val="Tabletext"/>
            </w:pPr>
            <w:r w:rsidRPr="00341A7B">
              <w:rPr>
                <w:i/>
              </w:rPr>
              <w:t>K</w:t>
            </w:r>
            <w:r w:rsidRPr="00FE55E7">
              <w:t xml:space="preserve"> = 1 </w:t>
            </w:r>
            <w:bookmarkStart w:id="23" w:name="OLE_LINK274"/>
            <w:bookmarkStart w:id="24" w:name="OLE_LINK275"/>
            <w:r w:rsidRPr="002A103E">
              <w:t>RCCC</w:t>
            </w:r>
            <w:bookmarkEnd w:id="23"/>
            <w:bookmarkEnd w:id="24"/>
          </w:p>
        </w:tc>
        <w:tc>
          <w:tcPr>
            <w:tcW w:w="1582" w:type="dxa"/>
            <w:tcBorders>
              <w:top w:val="single" w:sz="4" w:space="0" w:color="auto"/>
              <w:left w:val="single" w:sz="4" w:space="0" w:color="auto"/>
              <w:bottom w:val="single" w:sz="4" w:space="0" w:color="auto"/>
              <w:right w:val="single" w:sz="4" w:space="0" w:color="auto"/>
            </w:tcBorders>
          </w:tcPr>
          <w:p w14:paraId="4240A8CE" w14:textId="77777777" w:rsidR="003502B9" w:rsidRPr="00FE55E7" w:rsidRDefault="003502B9" w:rsidP="00502986">
            <w:pPr>
              <w:pStyle w:val="Tabletext"/>
              <w:rPr>
                <w:rFonts w:ascii="Cambria Math" w:hAnsi="Cambria Math"/>
                <w:color w:val="00B050"/>
              </w:rPr>
            </w:pPr>
            <w:r w:rsidRPr="00FE55E7">
              <w:rPr>
                <w:rFonts w:ascii="Cambria Math" w:hAnsi="Cambria Math"/>
                <w:color w:val="00B050"/>
              </w:rPr>
              <w:t>⨁</w:t>
            </w:r>
            <w:r w:rsidRPr="00FE55E7">
              <w:rPr>
                <w:rFonts w:ascii="Cambria Math" w:hAnsi="Cambria Math" w:cs="Cambria Math"/>
                <w:color w:val="C00000"/>
              </w:rPr>
              <w:t>⨀⨀⨀</w:t>
            </w:r>
          </w:p>
        </w:tc>
        <w:tc>
          <w:tcPr>
            <w:tcW w:w="2844" w:type="dxa"/>
            <w:tcBorders>
              <w:top w:val="single" w:sz="4" w:space="0" w:color="auto"/>
              <w:left w:val="single" w:sz="4" w:space="0" w:color="auto"/>
              <w:bottom w:val="single" w:sz="4" w:space="0" w:color="auto"/>
              <w:right w:val="single" w:sz="4" w:space="0" w:color="auto"/>
            </w:tcBorders>
          </w:tcPr>
          <w:p w14:paraId="4240A8CF" w14:textId="77777777" w:rsidR="003502B9" w:rsidRPr="00FE55E7" w:rsidRDefault="003502B9" w:rsidP="00502986">
            <w:pPr>
              <w:pStyle w:val="Tabletext"/>
            </w:pPr>
            <w:r w:rsidRPr="00BB72D0">
              <w:t>MTA</w:t>
            </w:r>
            <w:r w:rsidRPr="00FE55E7">
              <w:t xml:space="preserve"> 0–23% vs </w:t>
            </w:r>
            <w:r w:rsidRPr="00BB72D0">
              <w:t>RFA</w:t>
            </w:r>
            <w:r w:rsidRPr="00FE55E7">
              <w:t xml:space="preserve"> 9.1–25.5% with events</w:t>
            </w:r>
          </w:p>
        </w:tc>
        <w:tc>
          <w:tcPr>
            <w:tcW w:w="1373" w:type="dxa"/>
            <w:tcBorders>
              <w:top w:val="single" w:sz="4" w:space="0" w:color="auto"/>
              <w:left w:val="single" w:sz="4" w:space="0" w:color="auto"/>
              <w:bottom w:val="single" w:sz="4" w:space="0" w:color="auto"/>
              <w:right w:val="single" w:sz="4" w:space="0" w:color="auto"/>
            </w:tcBorders>
          </w:tcPr>
          <w:p w14:paraId="4240A8D0" w14:textId="77777777" w:rsidR="003502B9" w:rsidRPr="00FE55E7" w:rsidRDefault="003502B9" w:rsidP="00502986">
            <w:pPr>
              <w:pStyle w:val="Tabletext"/>
            </w:pPr>
            <w:r w:rsidRPr="00FE55E7">
              <w:t>No difference between groups</w:t>
            </w:r>
          </w:p>
        </w:tc>
      </w:tr>
      <w:tr w:rsidR="003502B9" w:rsidRPr="00FE55E7" w14:paraId="4240A8D7" w14:textId="77777777" w:rsidTr="00502986">
        <w:tc>
          <w:tcPr>
            <w:tcW w:w="1883" w:type="dxa"/>
            <w:tcBorders>
              <w:top w:val="single" w:sz="4" w:space="0" w:color="auto"/>
              <w:left w:val="single" w:sz="4" w:space="0" w:color="auto"/>
              <w:bottom w:val="single" w:sz="4" w:space="0" w:color="auto"/>
              <w:right w:val="single" w:sz="4" w:space="0" w:color="auto"/>
            </w:tcBorders>
          </w:tcPr>
          <w:p w14:paraId="4240A8D2" w14:textId="77777777" w:rsidR="003502B9" w:rsidRPr="00FE55E7" w:rsidRDefault="003502B9" w:rsidP="00502986">
            <w:pPr>
              <w:pStyle w:val="Tabletext"/>
            </w:pPr>
            <w:r w:rsidRPr="00FE55E7">
              <w:t>Overall survival 1 year—percutaneous</w:t>
            </w:r>
          </w:p>
        </w:tc>
        <w:tc>
          <w:tcPr>
            <w:tcW w:w="1400" w:type="dxa"/>
            <w:tcBorders>
              <w:top w:val="single" w:sz="4" w:space="0" w:color="auto"/>
              <w:left w:val="single" w:sz="4" w:space="0" w:color="auto"/>
              <w:bottom w:val="single" w:sz="4" w:space="0" w:color="auto"/>
              <w:right w:val="single" w:sz="4" w:space="0" w:color="auto"/>
            </w:tcBorders>
          </w:tcPr>
          <w:p w14:paraId="4240A8D3" w14:textId="77777777" w:rsidR="003502B9" w:rsidRPr="00FE55E7" w:rsidRDefault="003502B9" w:rsidP="00502986">
            <w:pPr>
              <w:pStyle w:val="Tabletext"/>
            </w:pPr>
            <w:r w:rsidRPr="00341A7B">
              <w:rPr>
                <w:i/>
              </w:rPr>
              <w:t>K</w:t>
            </w:r>
            <w:r w:rsidRPr="00FE55E7">
              <w:t xml:space="preserve"> = 2 </w:t>
            </w:r>
            <w:r w:rsidRPr="00A927C7">
              <w:t>SR</w:t>
            </w:r>
          </w:p>
        </w:tc>
        <w:tc>
          <w:tcPr>
            <w:tcW w:w="1582" w:type="dxa"/>
            <w:tcBorders>
              <w:top w:val="single" w:sz="4" w:space="0" w:color="auto"/>
              <w:left w:val="single" w:sz="4" w:space="0" w:color="auto"/>
              <w:bottom w:val="single" w:sz="4" w:space="0" w:color="auto"/>
              <w:right w:val="single" w:sz="4" w:space="0" w:color="auto"/>
            </w:tcBorders>
          </w:tcPr>
          <w:p w14:paraId="4240A8D4" w14:textId="77777777" w:rsidR="003502B9" w:rsidRPr="00FE55E7" w:rsidRDefault="003502B9" w:rsidP="00502986">
            <w:pPr>
              <w:pStyle w:val="Tabletext"/>
            </w:pPr>
            <w:r w:rsidRPr="00FE55E7">
              <w:rPr>
                <w:rFonts w:ascii="Cambria Math" w:hAnsi="Cambria Math"/>
                <w:color w:val="00B050"/>
              </w:rPr>
              <w:t>⨁⨁</w:t>
            </w:r>
            <w:r w:rsidRPr="00FE55E7">
              <w:rPr>
                <w:rFonts w:ascii="Cambria Math" w:hAnsi="Cambria Math" w:cs="Cambria Math"/>
                <w:color w:val="C00000"/>
              </w:rPr>
              <w:t>⨀⨀</w:t>
            </w:r>
          </w:p>
        </w:tc>
        <w:tc>
          <w:tcPr>
            <w:tcW w:w="2844" w:type="dxa"/>
            <w:tcBorders>
              <w:top w:val="single" w:sz="4" w:space="0" w:color="auto"/>
              <w:left w:val="single" w:sz="4" w:space="0" w:color="auto"/>
              <w:bottom w:val="single" w:sz="4" w:space="0" w:color="auto"/>
              <w:right w:val="single" w:sz="4" w:space="0" w:color="auto"/>
            </w:tcBorders>
          </w:tcPr>
          <w:p w14:paraId="4240A8D5" w14:textId="77777777" w:rsidR="003502B9" w:rsidRPr="00FE55E7" w:rsidRDefault="003502B9" w:rsidP="00502986">
            <w:pPr>
              <w:pStyle w:val="Tabletext"/>
            </w:pPr>
            <w:r w:rsidRPr="00FE55E7">
              <w:t>ORs between 1.11 (0.36, 3.47) and 1.36 (0.73, 2.54)</w:t>
            </w:r>
          </w:p>
        </w:tc>
        <w:tc>
          <w:tcPr>
            <w:tcW w:w="1373" w:type="dxa"/>
            <w:tcBorders>
              <w:top w:val="single" w:sz="4" w:space="0" w:color="auto"/>
              <w:left w:val="single" w:sz="4" w:space="0" w:color="auto"/>
              <w:bottom w:val="single" w:sz="4" w:space="0" w:color="auto"/>
              <w:right w:val="single" w:sz="4" w:space="0" w:color="auto"/>
            </w:tcBorders>
          </w:tcPr>
          <w:p w14:paraId="4240A8D6" w14:textId="77777777" w:rsidR="003502B9" w:rsidRPr="00FE55E7" w:rsidRDefault="003502B9" w:rsidP="00502986">
            <w:pPr>
              <w:pStyle w:val="Tabletext"/>
            </w:pPr>
            <w:r w:rsidRPr="00FE55E7">
              <w:t>No difference between groups</w:t>
            </w:r>
          </w:p>
        </w:tc>
      </w:tr>
      <w:tr w:rsidR="003502B9" w:rsidRPr="00FE55E7" w14:paraId="4240A8DD" w14:textId="77777777" w:rsidTr="00502986">
        <w:tc>
          <w:tcPr>
            <w:tcW w:w="1883" w:type="dxa"/>
            <w:tcBorders>
              <w:top w:val="single" w:sz="4" w:space="0" w:color="auto"/>
              <w:left w:val="single" w:sz="4" w:space="0" w:color="auto"/>
              <w:bottom w:val="single" w:sz="4" w:space="0" w:color="auto"/>
              <w:right w:val="single" w:sz="4" w:space="0" w:color="auto"/>
            </w:tcBorders>
          </w:tcPr>
          <w:p w14:paraId="4240A8D8" w14:textId="77777777" w:rsidR="003502B9" w:rsidRPr="00FE55E7" w:rsidRDefault="003502B9" w:rsidP="00502986">
            <w:pPr>
              <w:pStyle w:val="Tabletext"/>
            </w:pPr>
            <w:r w:rsidRPr="00FE55E7">
              <w:t>Overall survival 3 years—percutaneous</w:t>
            </w:r>
          </w:p>
        </w:tc>
        <w:tc>
          <w:tcPr>
            <w:tcW w:w="1400" w:type="dxa"/>
            <w:tcBorders>
              <w:top w:val="single" w:sz="4" w:space="0" w:color="auto"/>
              <w:left w:val="single" w:sz="4" w:space="0" w:color="auto"/>
              <w:bottom w:val="single" w:sz="4" w:space="0" w:color="auto"/>
              <w:right w:val="single" w:sz="4" w:space="0" w:color="auto"/>
            </w:tcBorders>
          </w:tcPr>
          <w:p w14:paraId="4240A8D9" w14:textId="77777777" w:rsidR="003502B9" w:rsidRPr="00FE55E7" w:rsidRDefault="003502B9" w:rsidP="00502986">
            <w:pPr>
              <w:pStyle w:val="Tabletext"/>
            </w:pPr>
            <w:r w:rsidRPr="00341A7B">
              <w:rPr>
                <w:i/>
              </w:rPr>
              <w:t>K</w:t>
            </w:r>
            <w:r w:rsidRPr="00FE55E7">
              <w:t xml:space="preserve"> = 3 </w:t>
            </w:r>
            <w:r w:rsidRPr="00A927C7">
              <w:t>SR</w:t>
            </w:r>
          </w:p>
        </w:tc>
        <w:tc>
          <w:tcPr>
            <w:tcW w:w="1582" w:type="dxa"/>
            <w:tcBorders>
              <w:top w:val="single" w:sz="4" w:space="0" w:color="auto"/>
              <w:left w:val="single" w:sz="4" w:space="0" w:color="auto"/>
              <w:bottom w:val="single" w:sz="4" w:space="0" w:color="auto"/>
              <w:right w:val="single" w:sz="4" w:space="0" w:color="auto"/>
            </w:tcBorders>
          </w:tcPr>
          <w:p w14:paraId="4240A8DA" w14:textId="77777777" w:rsidR="003502B9" w:rsidRPr="00FE55E7" w:rsidRDefault="003502B9" w:rsidP="00502986">
            <w:pPr>
              <w:pStyle w:val="Tabletext"/>
            </w:pPr>
            <w:r w:rsidRPr="00FE55E7">
              <w:rPr>
                <w:rFonts w:ascii="Cambria Math" w:hAnsi="Cambria Math"/>
                <w:color w:val="00B050"/>
              </w:rPr>
              <w:t>⨁⨁</w:t>
            </w:r>
            <w:r w:rsidRPr="00FE55E7">
              <w:rPr>
                <w:rFonts w:ascii="Cambria Math" w:hAnsi="Cambria Math" w:cs="Cambria Math"/>
                <w:color w:val="C00000"/>
              </w:rPr>
              <w:t>⨀⨀</w:t>
            </w:r>
          </w:p>
        </w:tc>
        <w:tc>
          <w:tcPr>
            <w:tcW w:w="2844" w:type="dxa"/>
            <w:tcBorders>
              <w:top w:val="single" w:sz="4" w:space="0" w:color="auto"/>
              <w:left w:val="single" w:sz="4" w:space="0" w:color="auto"/>
              <w:bottom w:val="single" w:sz="4" w:space="0" w:color="auto"/>
              <w:right w:val="single" w:sz="4" w:space="0" w:color="auto"/>
            </w:tcBorders>
          </w:tcPr>
          <w:p w14:paraId="4240A8DB" w14:textId="77777777" w:rsidR="003502B9" w:rsidRPr="00FE55E7" w:rsidRDefault="003502B9" w:rsidP="00502986">
            <w:pPr>
              <w:pStyle w:val="Tabletext"/>
            </w:pPr>
            <w:r w:rsidRPr="00FE55E7">
              <w:t>ORs between 0.58 (0.32–1.07) and 0.95 (0.58, 1.57)</w:t>
            </w:r>
          </w:p>
        </w:tc>
        <w:tc>
          <w:tcPr>
            <w:tcW w:w="1373" w:type="dxa"/>
            <w:tcBorders>
              <w:top w:val="single" w:sz="4" w:space="0" w:color="auto"/>
              <w:left w:val="single" w:sz="4" w:space="0" w:color="auto"/>
              <w:bottom w:val="single" w:sz="4" w:space="0" w:color="auto"/>
              <w:right w:val="single" w:sz="4" w:space="0" w:color="auto"/>
            </w:tcBorders>
          </w:tcPr>
          <w:p w14:paraId="4240A8DC" w14:textId="77777777" w:rsidR="003502B9" w:rsidRPr="00FE55E7" w:rsidRDefault="003502B9" w:rsidP="00502986">
            <w:pPr>
              <w:pStyle w:val="Tabletext"/>
            </w:pPr>
            <w:r w:rsidRPr="00FE55E7">
              <w:t>No difference between groups</w:t>
            </w:r>
          </w:p>
        </w:tc>
      </w:tr>
      <w:tr w:rsidR="003502B9" w:rsidRPr="00FE55E7" w14:paraId="4240A8EC" w14:textId="77777777" w:rsidTr="00502986">
        <w:tc>
          <w:tcPr>
            <w:tcW w:w="1883" w:type="dxa"/>
            <w:tcBorders>
              <w:top w:val="single" w:sz="4" w:space="0" w:color="auto"/>
              <w:left w:val="single" w:sz="4" w:space="0" w:color="auto"/>
              <w:bottom w:val="single" w:sz="4" w:space="0" w:color="auto"/>
              <w:right w:val="single" w:sz="4" w:space="0" w:color="auto"/>
            </w:tcBorders>
          </w:tcPr>
          <w:p w14:paraId="4240A8DE" w14:textId="77777777" w:rsidR="003502B9" w:rsidRPr="00FE55E7" w:rsidRDefault="003502B9" w:rsidP="00502986">
            <w:pPr>
              <w:pStyle w:val="Tabletext"/>
            </w:pPr>
            <w:r w:rsidRPr="00FE55E7">
              <w:t>Recurrence</w:t>
            </w:r>
            <w:r>
              <w:t>-</w:t>
            </w:r>
            <w:r w:rsidRPr="00FE55E7">
              <w:t>free survival—percutaneous:</w:t>
            </w:r>
          </w:p>
          <w:p w14:paraId="4240A8DF" w14:textId="77777777" w:rsidR="003502B9" w:rsidRPr="00FE55E7" w:rsidRDefault="003502B9" w:rsidP="00502986">
            <w:pPr>
              <w:pStyle w:val="Tabletext"/>
            </w:pPr>
            <w:r w:rsidRPr="00FE55E7">
              <w:tab/>
              <w:t>1 year</w:t>
            </w:r>
          </w:p>
          <w:p w14:paraId="4240A8E0" w14:textId="77777777" w:rsidR="003502B9" w:rsidRPr="00FE55E7" w:rsidRDefault="003502B9" w:rsidP="00502986">
            <w:pPr>
              <w:pStyle w:val="Tabletext"/>
            </w:pPr>
            <w:r w:rsidRPr="00FE55E7">
              <w:tab/>
              <w:t>3 years</w:t>
            </w:r>
          </w:p>
          <w:p w14:paraId="4240A8E1" w14:textId="77777777" w:rsidR="003502B9" w:rsidRPr="00FE55E7" w:rsidRDefault="003502B9" w:rsidP="00502986">
            <w:pPr>
              <w:pStyle w:val="Tabletext"/>
            </w:pPr>
            <w:r w:rsidRPr="00FE55E7">
              <w:tab/>
              <w:t>5 years</w:t>
            </w:r>
          </w:p>
        </w:tc>
        <w:tc>
          <w:tcPr>
            <w:tcW w:w="1400" w:type="dxa"/>
            <w:tcBorders>
              <w:top w:val="single" w:sz="4" w:space="0" w:color="auto"/>
              <w:left w:val="single" w:sz="4" w:space="0" w:color="auto"/>
              <w:bottom w:val="single" w:sz="4" w:space="0" w:color="auto"/>
              <w:right w:val="single" w:sz="4" w:space="0" w:color="auto"/>
            </w:tcBorders>
          </w:tcPr>
          <w:p w14:paraId="4240A8E2" w14:textId="77777777" w:rsidR="003502B9" w:rsidRPr="00FE55E7" w:rsidRDefault="003502B9" w:rsidP="00502986">
            <w:pPr>
              <w:pStyle w:val="Tabletext"/>
            </w:pPr>
            <w:r w:rsidRPr="00341A7B">
              <w:rPr>
                <w:i/>
              </w:rPr>
              <w:t>K</w:t>
            </w:r>
            <w:r w:rsidRPr="00FE55E7">
              <w:t xml:space="preserve"> = 1 </w:t>
            </w:r>
            <w:r w:rsidRPr="00A927C7">
              <w:t>SR</w:t>
            </w:r>
            <w:r w:rsidRPr="00FE55E7">
              <w:br/>
            </w:r>
          </w:p>
          <w:p w14:paraId="4240A8E3" w14:textId="77777777" w:rsidR="003502B9" w:rsidRPr="00FE55E7" w:rsidRDefault="003502B9" w:rsidP="00502986">
            <w:pPr>
              <w:pStyle w:val="Tabletext"/>
            </w:pPr>
            <w:r w:rsidRPr="00FD0C6B">
              <w:rPr>
                <w:i/>
              </w:rPr>
              <w:t>N</w:t>
            </w:r>
            <w:r w:rsidRPr="00FE55E7">
              <w:t xml:space="preserve"> = 668</w:t>
            </w:r>
          </w:p>
          <w:p w14:paraId="4240A8E4" w14:textId="77777777" w:rsidR="003502B9" w:rsidRPr="00FE55E7" w:rsidRDefault="003502B9" w:rsidP="00502986">
            <w:pPr>
              <w:pStyle w:val="Tabletext"/>
            </w:pPr>
            <w:r w:rsidRPr="00FD0C6B">
              <w:rPr>
                <w:i/>
              </w:rPr>
              <w:t>N</w:t>
            </w:r>
            <w:r w:rsidRPr="00FE55E7">
              <w:t xml:space="preserve"> = 596</w:t>
            </w:r>
          </w:p>
          <w:p w14:paraId="4240A8E5" w14:textId="77777777" w:rsidR="003502B9" w:rsidRPr="00FE55E7" w:rsidRDefault="003502B9" w:rsidP="00502986">
            <w:pPr>
              <w:pStyle w:val="Tabletext"/>
            </w:pPr>
            <w:r w:rsidRPr="00FD0C6B">
              <w:rPr>
                <w:i/>
              </w:rPr>
              <w:t>N</w:t>
            </w:r>
            <w:r w:rsidRPr="00FE55E7">
              <w:t xml:space="preserve"> = 353</w:t>
            </w:r>
          </w:p>
        </w:tc>
        <w:tc>
          <w:tcPr>
            <w:tcW w:w="1582" w:type="dxa"/>
            <w:tcBorders>
              <w:top w:val="single" w:sz="4" w:space="0" w:color="auto"/>
              <w:left w:val="single" w:sz="4" w:space="0" w:color="auto"/>
              <w:bottom w:val="single" w:sz="4" w:space="0" w:color="auto"/>
              <w:right w:val="single" w:sz="4" w:space="0" w:color="auto"/>
            </w:tcBorders>
          </w:tcPr>
          <w:p w14:paraId="4240A8E6" w14:textId="77777777" w:rsidR="003502B9" w:rsidRPr="00FE55E7" w:rsidRDefault="003502B9" w:rsidP="00502986">
            <w:pPr>
              <w:pStyle w:val="Tabletext"/>
            </w:pPr>
            <w:r w:rsidRPr="00FE55E7">
              <w:rPr>
                <w:rFonts w:ascii="Cambria Math" w:hAnsi="Cambria Math"/>
                <w:color w:val="00B050"/>
              </w:rPr>
              <w:t>⨁⨁</w:t>
            </w:r>
            <w:r w:rsidRPr="00FE55E7">
              <w:rPr>
                <w:rFonts w:ascii="Cambria Math" w:hAnsi="Cambria Math" w:cs="Cambria Math"/>
                <w:color w:val="C00000"/>
              </w:rPr>
              <w:t>⨀⨀</w:t>
            </w:r>
          </w:p>
        </w:tc>
        <w:tc>
          <w:tcPr>
            <w:tcW w:w="2844" w:type="dxa"/>
            <w:tcBorders>
              <w:top w:val="single" w:sz="4" w:space="0" w:color="auto"/>
              <w:left w:val="single" w:sz="4" w:space="0" w:color="auto"/>
              <w:bottom w:val="single" w:sz="4" w:space="0" w:color="auto"/>
              <w:right w:val="single" w:sz="4" w:space="0" w:color="auto"/>
            </w:tcBorders>
          </w:tcPr>
          <w:p w14:paraId="4240A8E7" w14:textId="77777777" w:rsidR="003502B9" w:rsidRPr="00FE55E7" w:rsidRDefault="003502B9" w:rsidP="00502986">
            <w:pPr>
              <w:pStyle w:val="Tabletext"/>
            </w:pPr>
            <w:r w:rsidRPr="00FE55E7">
              <w:br/>
            </w:r>
          </w:p>
          <w:p w14:paraId="4240A8E8" w14:textId="77777777" w:rsidR="003502B9" w:rsidRPr="00FE55E7" w:rsidRDefault="003502B9" w:rsidP="00502986">
            <w:pPr>
              <w:pStyle w:val="Tabletext"/>
            </w:pPr>
            <w:r w:rsidRPr="002A103E">
              <w:t>OR</w:t>
            </w:r>
            <w:r w:rsidRPr="00FE55E7">
              <w:t xml:space="preserve"> 0.79 (0.56, 1.13), </w:t>
            </w:r>
            <w:r w:rsidRPr="00FE55E7">
              <w:rPr>
                <w:i/>
              </w:rPr>
              <w:t>P</w:t>
            </w:r>
            <w:r w:rsidRPr="00FE55E7">
              <w:t xml:space="preserve"> = 0.20</w:t>
            </w:r>
          </w:p>
          <w:p w14:paraId="4240A8E9" w14:textId="77777777" w:rsidR="003502B9" w:rsidRPr="00FE55E7" w:rsidRDefault="003502B9" w:rsidP="00502986">
            <w:pPr>
              <w:pStyle w:val="Tabletext"/>
            </w:pPr>
            <w:r w:rsidRPr="002A103E">
              <w:t>OR</w:t>
            </w:r>
            <w:r w:rsidRPr="00FE55E7">
              <w:t xml:space="preserve"> 1.03 (0.73, 1.45), </w:t>
            </w:r>
            <w:r w:rsidRPr="00FE55E7">
              <w:rPr>
                <w:i/>
              </w:rPr>
              <w:t>P</w:t>
            </w:r>
            <w:r w:rsidRPr="00FE55E7">
              <w:t xml:space="preserve"> = 0.99</w:t>
            </w:r>
          </w:p>
          <w:p w14:paraId="4240A8EA" w14:textId="77777777" w:rsidR="003502B9" w:rsidRPr="00FE55E7" w:rsidRDefault="003502B9" w:rsidP="00502986">
            <w:pPr>
              <w:pStyle w:val="Tabletext"/>
            </w:pPr>
            <w:r w:rsidRPr="002A103E">
              <w:t>OR</w:t>
            </w:r>
            <w:r w:rsidRPr="00FE55E7">
              <w:t xml:space="preserve"> 0.60 (0.39, 0.94), </w:t>
            </w:r>
            <w:r w:rsidRPr="00FE55E7">
              <w:rPr>
                <w:i/>
              </w:rPr>
              <w:t>P</w:t>
            </w:r>
            <w:r w:rsidRPr="00FE55E7">
              <w:t xml:space="preserve"> = 0.03</w:t>
            </w:r>
          </w:p>
        </w:tc>
        <w:tc>
          <w:tcPr>
            <w:tcW w:w="1373" w:type="dxa"/>
            <w:tcBorders>
              <w:top w:val="single" w:sz="4" w:space="0" w:color="auto"/>
              <w:left w:val="single" w:sz="4" w:space="0" w:color="auto"/>
              <w:bottom w:val="single" w:sz="4" w:space="0" w:color="auto"/>
              <w:right w:val="single" w:sz="4" w:space="0" w:color="auto"/>
            </w:tcBorders>
          </w:tcPr>
          <w:p w14:paraId="4240A8EB" w14:textId="77777777" w:rsidR="003502B9" w:rsidRPr="00FE55E7" w:rsidRDefault="003502B9" w:rsidP="00502986">
            <w:pPr>
              <w:pStyle w:val="Tabletext"/>
            </w:pPr>
            <w:r w:rsidRPr="00FE55E7">
              <w:t>No difference between groups except at 5 y</w:t>
            </w:r>
          </w:p>
        </w:tc>
      </w:tr>
      <w:tr w:rsidR="003502B9" w:rsidRPr="00FE55E7" w14:paraId="4240A8F2" w14:textId="77777777" w:rsidTr="00502986">
        <w:tc>
          <w:tcPr>
            <w:tcW w:w="1883" w:type="dxa"/>
            <w:tcBorders>
              <w:top w:val="single" w:sz="4" w:space="0" w:color="auto"/>
              <w:left w:val="single" w:sz="4" w:space="0" w:color="auto"/>
              <w:bottom w:val="single" w:sz="4" w:space="0" w:color="auto"/>
              <w:right w:val="single" w:sz="4" w:space="0" w:color="auto"/>
            </w:tcBorders>
          </w:tcPr>
          <w:p w14:paraId="4240A8ED" w14:textId="77777777" w:rsidR="003502B9" w:rsidRPr="00FE55E7" w:rsidRDefault="003502B9" w:rsidP="00502986">
            <w:pPr>
              <w:pStyle w:val="Tabletext"/>
            </w:pPr>
            <w:r w:rsidRPr="00FE55E7">
              <w:t>Complete ablation—percutaneous</w:t>
            </w:r>
          </w:p>
        </w:tc>
        <w:tc>
          <w:tcPr>
            <w:tcW w:w="1400" w:type="dxa"/>
            <w:tcBorders>
              <w:top w:val="single" w:sz="4" w:space="0" w:color="auto"/>
              <w:left w:val="single" w:sz="4" w:space="0" w:color="auto"/>
              <w:bottom w:val="single" w:sz="4" w:space="0" w:color="auto"/>
              <w:right w:val="single" w:sz="4" w:space="0" w:color="auto"/>
            </w:tcBorders>
          </w:tcPr>
          <w:p w14:paraId="4240A8EE" w14:textId="77777777" w:rsidR="003502B9" w:rsidRPr="00FE55E7" w:rsidRDefault="003502B9" w:rsidP="00502986">
            <w:pPr>
              <w:pStyle w:val="Tabletext"/>
            </w:pPr>
            <w:r w:rsidRPr="00341A7B">
              <w:rPr>
                <w:i/>
              </w:rPr>
              <w:t>K</w:t>
            </w:r>
            <w:r w:rsidRPr="00FE55E7">
              <w:t xml:space="preserve"> = 3 </w:t>
            </w:r>
            <w:r w:rsidRPr="00A927C7">
              <w:t>SR</w:t>
            </w:r>
          </w:p>
        </w:tc>
        <w:tc>
          <w:tcPr>
            <w:tcW w:w="1582" w:type="dxa"/>
            <w:tcBorders>
              <w:top w:val="single" w:sz="4" w:space="0" w:color="auto"/>
              <w:left w:val="single" w:sz="4" w:space="0" w:color="auto"/>
              <w:bottom w:val="single" w:sz="4" w:space="0" w:color="auto"/>
              <w:right w:val="single" w:sz="4" w:space="0" w:color="auto"/>
            </w:tcBorders>
          </w:tcPr>
          <w:p w14:paraId="4240A8EF" w14:textId="77777777" w:rsidR="003502B9" w:rsidRPr="00FE55E7" w:rsidRDefault="003502B9" w:rsidP="00502986">
            <w:pPr>
              <w:pStyle w:val="Tabletext"/>
            </w:pPr>
            <w:r w:rsidRPr="00FE55E7">
              <w:rPr>
                <w:rFonts w:ascii="Cambria Math" w:hAnsi="Cambria Math"/>
                <w:color w:val="00B050"/>
              </w:rPr>
              <w:t>⨁⨁</w:t>
            </w:r>
            <w:r w:rsidRPr="00FE55E7">
              <w:rPr>
                <w:rFonts w:ascii="Cambria Math" w:hAnsi="Cambria Math" w:cs="Cambria Math"/>
                <w:color w:val="C00000"/>
              </w:rPr>
              <w:t>⨀⨀</w:t>
            </w:r>
          </w:p>
        </w:tc>
        <w:tc>
          <w:tcPr>
            <w:tcW w:w="2844" w:type="dxa"/>
            <w:tcBorders>
              <w:top w:val="single" w:sz="4" w:space="0" w:color="auto"/>
              <w:left w:val="single" w:sz="4" w:space="0" w:color="auto"/>
              <w:bottom w:val="single" w:sz="4" w:space="0" w:color="auto"/>
              <w:right w:val="single" w:sz="4" w:space="0" w:color="auto"/>
            </w:tcBorders>
          </w:tcPr>
          <w:p w14:paraId="4240A8F0" w14:textId="77777777" w:rsidR="003502B9" w:rsidRPr="00FE55E7" w:rsidRDefault="003502B9" w:rsidP="00502986">
            <w:pPr>
              <w:pStyle w:val="Tabletext"/>
            </w:pPr>
            <w:r w:rsidRPr="00FE55E7">
              <w:t>ORs between 0.98 (0.85, 1.14) and 1.12 (0.67, 6.07)</w:t>
            </w:r>
          </w:p>
        </w:tc>
        <w:tc>
          <w:tcPr>
            <w:tcW w:w="1373" w:type="dxa"/>
            <w:tcBorders>
              <w:top w:val="single" w:sz="4" w:space="0" w:color="auto"/>
              <w:left w:val="single" w:sz="4" w:space="0" w:color="auto"/>
              <w:bottom w:val="single" w:sz="4" w:space="0" w:color="auto"/>
              <w:right w:val="single" w:sz="4" w:space="0" w:color="auto"/>
            </w:tcBorders>
          </w:tcPr>
          <w:p w14:paraId="4240A8F1" w14:textId="77777777" w:rsidR="003502B9" w:rsidRPr="00FE55E7" w:rsidRDefault="003502B9" w:rsidP="00502986">
            <w:pPr>
              <w:pStyle w:val="Tabletext"/>
            </w:pPr>
            <w:r w:rsidRPr="00FE55E7">
              <w:t>No difference between groups</w:t>
            </w:r>
          </w:p>
        </w:tc>
      </w:tr>
      <w:tr w:rsidR="003502B9" w:rsidRPr="00FE55E7" w14:paraId="4240A8FC" w14:textId="77777777" w:rsidTr="00502986">
        <w:tc>
          <w:tcPr>
            <w:tcW w:w="1883" w:type="dxa"/>
            <w:tcBorders>
              <w:top w:val="single" w:sz="4" w:space="0" w:color="auto"/>
              <w:left w:val="single" w:sz="4" w:space="0" w:color="auto"/>
              <w:bottom w:val="single" w:sz="4" w:space="0" w:color="auto"/>
              <w:right w:val="single" w:sz="4" w:space="0" w:color="auto"/>
            </w:tcBorders>
          </w:tcPr>
          <w:p w14:paraId="4240A8F3" w14:textId="77777777" w:rsidR="003502B9" w:rsidRPr="00FE55E7" w:rsidRDefault="003502B9" w:rsidP="00502986">
            <w:pPr>
              <w:pStyle w:val="Tabletext"/>
            </w:pPr>
            <w:r w:rsidRPr="00FE55E7">
              <w:t>Major adverse events—percutaneous</w:t>
            </w:r>
          </w:p>
        </w:tc>
        <w:tc>
          <w:tcPr>
            <w:tcW w:w="1400" w:type="dxa"/>
            <w:tcBorders>
              <w:top w:val="single" w:sz="4" w:space="0" w:color="auto"/>
              <w:left w:val="single" w:sz="4" w:space="0" w:color="auto"/>
              <w:bottom w:val="single" w:sz="4" w:space="0" w:color="auto"/>
              <w:right w:val="single" w:sz="4" w:space="0" w:color="auto"/>
            </w:tcBorders>
          </w:tcPr>
          <w:p w14:paraId="4240A8F4" w14:textId="77777777" w:rsidR="003502B9" w:rsidRPr="00FE55E7" w:rsidRDefault="003502B9" w:rsidP="00502986">
            <w:pPr>
              <w:pStyle w:val="Tabletext"/>
            </w:pPr>
            <w:r w:rsidRPr="00341A7B">
              <w:rPr>
                <w:i/>
              </w:rPr>
              <w:t>K</w:t>
            </w:r>
            <w:r w:rsidRPr="00FE55E7">
              <w:t xml:space="preserve"> = 2 </w:t>
            </w:r>
            <w:r w:rsidRPr="00A927C7">
              <w:t>SR</w:t>
            </w:r>
            <w:r w:rsidRPr="00FE55E7">
              <w:br/>
            </w:r>
          </w:p>
          <w:p w14:paraId="4240A8F5" w14:textId="77777777" w:rsidR="003502B9" w:rsidRPr="00FE55E7" w:rsidRDefault="003502B9" w:rsidP="00502986">
            <w:pPr>
              <w:pStyle w:val="Tabletext"/>
            </w:pPr>
          </w:p>
          <w:p w14:paraId="4240A8F6" w14:textId="77777777" w:rsidR="003502B9" w:rsidRPr="00FE55E7" w:rsidRDefault="003502B9" w:rsidP="00502986">
            <w:pPr>
              <w:pStyle w:val="Tabletext"/>
            </w:pPr>
            <w:r w:rsidRPr="00341A7B">
              <w:rPr>
                <w:i/>
              </w:rPr>
              <w:t>K</w:t>
            </w:r>
            <w:r w:rsidRPr="00FE55E7">
              <w:t xml:space="preserve"> = 1 </w:t>
            </w:r>
            <w:r w:rsidRPr="002A103E">
              <w:t>RCCC</w:t>
            </w:r>
          </w:p>
        </w:tc>
        <w:tc>
          <w:tcPr>
            <w:tcW w:w="1582" w:type="dxa"/>
            <w:tcBorders>
              <w:top w:val="single" w:sz="4" w:space="0" w:color="auto"/>
              <w:left w:val="single" w:sz="4" w:space="0" w:color="auto"/>
              <w:bottom w:val="single" w:sz="4" w:space="0" w:color="auto"/>
              <w:right w:val="single" w:sz="4" w:space="0" w:color="auto"/>
            </w:tcBorders>
          </w:tcPr>
          <w:p w14:paraId="4240A8F7" w14:textId="77777777" w:rsidR="003502B9" w:rsidRPr="00FE55E7" w:rsidRDefault="003502B9" w:rsidP="00502986">
            <w:pPr>
              <w:pStyle w:val="Tabletext"/>
            </w:pPr>
            <w:r w:rsidRPr="00FE55E7">
              <w:rPr>
                <w:rFonts w:ascii="Cambria Math" w:hAnsi="Cambria Math"/>
                <w:color w:val="00B050"/>
              </w:rPr>
              <w:t>⨁⨁</w:t>
            </w:r>
            <w:r w:rsidRPr="00FE55E7">
              <w:rPr>
                <w:rFonts w:ascii="Cambria Math" w:hAnsi="Cambria Math" w:cs="Cambria Math"/>
                <w:color w:val="C00000"/>
              </w:rPr>
              <w:t>⨀⨀</w:t>
            </w:r>
          </w:p>
        </w:tc>
        <w:tc>
          <w:tcPr>
            <w:tcW w:w="2844" w:type="dxa"/>
            <w:tcBorders>
              <w:top w:val="single" w:sz="4" w:space="0" w:color="auto"/>
              <w:left w:val="single" w:sz="4" w:space="0" w:color="auto"/>
              <w:bottom w:val="single" w:sz="4" w:space="0" w:color="auto"/>
              <w:right w:val="single" w:sz="4" w:space="0" w:color="auto"/>
            </w:tcBorders>
          </w:tcPr>
          <w:p w14:paraId="4240A8F8" w14:textId="77777777" w:rsidR="003502B9" w:rsidRPr="00FE55E7" w:rsidRDefault="003502B9" w:rsidP="00502986">
            <w:pPr>
              <w:pStyle w:val="Tabletext"/>
            </w:pPr>
            <w:r w:rsidRPr="002A103E">
              <w:t>OR</w:t>
            </w:r>
            <w:r w:rsidRPr="00FE55E7">
              <w:t xml:space="preserve"> 0.63 (0.29,1.38)—note </w:t>
            </w:r>
            <w:r w:rsidRPr="00BB72D0">
              <w:t>MTA</w:t>
            </w:r>
            <w:r w:rsidRPr="00FE55E7">
              <w:t xml:space="preserve"> was the comparator</w:t>
            </w:r>
          </w:p>
          <w:p w14:paraId="4240A8F9" w14:textId="77777777" w:rsidR="003502B9" w:rsidRPr="00FE55E7" w:rsidRDefault="003502B9" w:rsidP="00502986">
            <w:pPr>
              <w:pStyle w:val="Tabletext"/>
            </w:pPr>
            <w:r w:rsidRPr="002A103E">
              <w:t>OR</w:t>
            </w:r>
            <w:r w:rsidRPr="00FE55E7">
              <w:t xml:space="preserve"> 1.63 (0.88,3.03), </w:t>
            </w:r>
            <w:r w:rsidRPr="00FE55E7">
              <w:rPr>
                <w:i/>
              </w:rPr>
              <w:t>P</w:t>
            </w:r>
            <w:r w:rsidRPr="00FE55E7">
              <w:t xml:space="preserve"> = 0.12</w:t>
            </w:r>
          </w:p>
          <w:p w14:paraId="4240A8FA" w14:textId="77777777" w:rsidR="003502B9" w:rsidRPr="00FE55E7" w:rsidRDefault="003502B9" w:rsidP="00502986">
            <w:pPr>
              <w:pStyle w:val="Tabletext"/>
            </w:pPr>
            <w:r w:rsidRPr="002A103E">
              <w:t>OR</w:t>
            </w:r>
            <w:r w:rsidRPr="00FE55E7">
              <w:t xml:space="preserve"> 0.88 (0.43, 1.79), </w:t>
            </w:r>
            <w:r w:rsidRPr="00FE55E7">
              <w:rPr>
                <w:i/>
              </w:rPr>
              <w:t>P</w:t>
            </w:r>
            <w:r w:rsidRPr="00FE55E7">
              <w:t xml:space="preserve"> = 0.73</w:t>
            </w:r>
            <w:r w:rsidRPr="00D50E73">
              <w:rPr>
                <w:vertAlign w:val="superscript"/>
              </w:rPr>
              <w:t>b</w:t>
            </w:r>
          </w:p>
        </w:tc>
        <w:tc>
          <w:tcPr>
            <w:tcW w:w="1373" w:type="dxa"/>
            <w:tcBorders>
              <w:top w:val="single" w:sz="4" w:space="0" w:color="auto"/>
              <w:left w:val="single" w:sz="4" w:space="0" w:color="auto"/>
              <w:bottom w:val="single" w:sz="4" w:space="0" w:color="auto"/>
              <w:right w:val="single" w:sz="4" w:space="0" w:color="auto"/>
            </w:tcBorders>
          </w:tcPr>
          <w:p w14:paraId="4240A8FB" w14:textId="77777777" w:rsidR="003502B9" w:rsidRPr="00FE55E7" w:rsidRDefault="003502B9" w:rsidP="00502986">
            <w:pPr>
              <w:pStyle w:val="Tabletext"/>
            </w:pPr>
            <w:r w:rsidRPr="00FE55E7">
              <w:t>No difference between groups; low event rates</w:t>
            </w:r>
          </w:p>
        </w:tc>
      </w:tr>
      <w:tr w:rsidR="003502B9" w:rsidRPr="00FE55E7" w14:paraId="4240A902" w14:textId="77777777" w:rsidTr="00502986">
        <w:tc>
          <w:tcPr>
            <w:tcW w:w="1883" w:type="dxa"/>
            <w:tcBorders>
              <w:top w:val="single" w:sz="4" w:space="0" w:color="auto"/>
              <w:left w:val="single" w:sz="4" w:space="0" w:color="auto"/>
              <w:bottom w:val="single" w:sz="4" w:space="0" w:color="auto"/>
              <w:right w:val="single" w:sz="4" w:space="0" w:color="auto"/>
            </w:tcBorders>
          </w:tcPr>
          <w:p w14:paraId="4240A8FD" w14:textId="77777777" w:rsidR="003502B9" w:rsidRPr="00FE55E7" w:rsidRDefault="003502B9" w:rsidP="00502986">
            <w:pPr>
              <w:pStyle w:val="Tabletext"/>
            </w:pPr>
            <w:r w:rsidRPr="00FE55E7">
              <w:t>Major adverse events—surgical</w:t>
            </w:r>
          </w:p>
        </w:tc>
        <w:tc>
          <w:tcPr>
            <w:tcW w:w="1400" w:type="dxa"/>
            <w:tcBorders>
              <w:top w:val="single" w:sz="4" w:space="0" w:color="auto"/>
              <w:left w:val="single" w:sz="4" w:space="0" w:color="auto"/>
              <w:bottom w:val="single" w:sz="4" w:space="0" w:color="auto"/>
              <w:right w:val="single" w:sz="4" w:space="0" w:color="auto"/>
            </w:tcBorders>
          </w:tcPr>
          <w:p w14:paraId="4240A8FE" w14:textId="77777777" w:rsidR="003502B9" w:rsidRPr="00FE55E7" w:rsidRDefault="003502B9" w:rsidP="00502986">
            <w:pPr>
              <w:pStyle w:val="Tabletext"/>
            </w:pPr>
            <w:r w:rsidRPr="00341A7B">
              <w:rPr>
                <w:i/>
              </w:rPr>
              <w:t>K</w:t>
            </w:r>
            <w:r w:rsidRPr="00FE55E7">
              <w:t xml:space="preserve"> = 2 </w:t>
            </w:r>
            <w:r w:rsidRPr="002A103E">
              <w:t>RHCC</w:t>
            </w:r>
          </w:p>
        </w:tc>
        <w:tc>
          <w:tcPr>
            <w:tcW w:w="1582" w:type="dxa"/>
            <w:tcBorders>
              <w:top w:val="single" w:sz="4" w:space="0" w:color="auto"/>
              <w:left w:val="single" w:sz="4" w:space="0" w:color="auto"/>
              <w:bottom w:val="single" w:sz="4" w:space="0" w:color="auto"/>
              <w:right w:val="single" w:sz="4" w:space="0" w:color="auto"/>
            </w:tcBorders>
          </w:tcPr>
          <w:p w14:paraId="4240A8FF" w14:textId="77777777" w:rsidR="003502B9" w:rsidRPr="00FE55E7" w:rsidRDefault="003502B9" w:rsidP="00502986">
            <w:pPr>
              <w:pStyle w:val="Tabletext"/>
            </w:pPr>
            <w:r w:rsidRPr="00FE55E7">
              <w:rPr>
                <w:rFonts w:ascii="Cambria Math" w:hAnsi="Cambria Math"/>
                <w:color w:val="00B050"/>
              </w:rPr>
              <w:t>⨁</w:t>
            </w:r>
            <w:r w:rsidRPr="00FE55E7">
              <w:rPr>
                <w:rFonts w:ascii="Cambria Math" w:hAnsi="Cambria Math" w:cs="Cambria Math"/>
                <w:color w:val="C00000"/>
              </w:rPr>
              <w:t>⨀⨀⨀</w:t>
            </w:r>
          </w:p>
        </w:tc>
        <w:tc>
          <w:tcPr>
            <w:tcW w:w="2844" w:type="dxa"/>
            <w:tcBorders>
              <w:top w:val="single" w:sz="4" w:space="0" w:color="auto"/>
              <w:left w:val="single" w:sz="4" w:space="0" w:color="auto"/>
              <w:bottom w:val="single" w:sz="4" w:space="0" w:color="auto"/>
              <w:right w:val="single" w:sz="4" w:space="0" w:color="auto"/>
            </w:tcBorders>
          </w:tcPr>
          <w:p w14:paraId="4240A900" w14:textId="77777777" w:rsidR="003502B9" w:rsidRPr="00FE55E7" w:rsidRDefault="003502B9" w:rsidP="00502986">
            <w:pPr>
              <w:pStyle w:val="Tabletext"/>
            </w:pPr>
            <w:r w:rsidRPr="00FE55E7">
              <w:t xml:space="preserve">ORs between 0.35 (0.10, 1.20), </w:t>
            </w:r>
            <w:r w:rsidRPr="00FE55E7">
              <w:rPr>
                <w:i/>
              </w:rPr>
              <w:t>P</w:t>
            </w:r>
            <w:r w:rsidRPr="00FE55E7">
              <w:t xml:space="preserve"> = 0.09, and 1.92 (0.47, 7.77), </w:t>
            </w:r>
            <w:r w:rsidRPr="00FE55E7">
              <w:rPr>
                <w:i/>
              </w:rPr>
              <w:t>P</w:t>
            </w:r>
            <w:r w:rsidRPr="00FE55E7">
              <w:t xml:space="preserve"> = 0.36</w:t>
            </w:r>
            <w:r>
              <w:rPr>
                <w:vertAlign w:val="superscript"/>
              </w:rPr>
              <w:t>​</w:t>
            </w:r>
            <w:r w:rsidRPr="00FE55E7">
              <w:rPr>
                <w:vertAlign w:val="superscript"/>
              </w:rPr>
              <w:t>b</w:t>
            </w:r>
          </w:p>
        </w:tc>
        <w:tc>
          <w:tcPr>
            <w:tcW w:w="1373" w:type="dxa"/>
            <w:tcBorders>
              <w:top w:val="single" w:sz="4" w:space="0" w:color="auto"/>
              <w:left w:val="single" w:sz="4" w:space="0" w:color="auto"/>
              <w:bottom w:val="single" w:sz="4" w:space="0" w:color="auto"/>
              <w:right w:val="single" w:sz="4" w:space="0" w:color="auto"/>
            </w:tcBorders>
          </w:tcPr>
          <w:p w14:paraId="4240A901" w14:textId="77777777" w:rsidR="003502B9" w:rsidRPr="00FE55E7" w:rsidRDefault="003502B9" w:rsidP="00502986">
            <w:pPr>
              <w:pStyle w:val="Tabletext"/>
            </w:pPr>
            <w:r w:rsidRPr="00FE55E7">
              <w:t>No difference between groups; small studies</w:t>
            </w:r>
          </w:p>
        </w:tc>
      </w:tr>
      <w:tr w:rsidR="003502B9" w:rsidRPr="00FE55E7" w14:paraId="4240A908" w14:textId="77777777" w:rsidTr="00502986">
        <w:tc>
          <w:tcPr>
            <w:tcW w:w="1883" w:type="dxa"/>
            <w:tcBorders>
              <w:top w:val="single" w:sz="4" w:space="0" w:color="auto"/>
              <w:left w:val="single" w:sz="4" w:space="0" w:color="auto"/>
              <w:bottom w:val="single" w:sz="4" w:space="0" w:color="auto"/>
              <w:right w:val="single" w:sz="4" w:space="0" w:color="auto"/>
            </w:tcBorders>
          </w:tcPr>
          <w:p w14:paraId="4240A903" w14:textId="77777777" w:rsidR="003502B9" w:rsidRPr="00FE55E7" w:rsidRDefault="003502B9" w:rsidP="00502986">
            <w:pPr>
              <w:pStyle w:val="Tabletext"/>
            </w:pPr>
            <w:r w:rsidRPr="00FE55E7">
              <w:t>Procedure-related deaths—percutaneous</w:t>
            </w:r>
          </w:p>
        </w:tc>
        <w:tc>
          <w:tcPr>
            <w:tcW w:w="1400" w:type="dxa"/>
            <w:tcBorders>
              <w:top w:val="single" w:sz="4" w:space="0" w:color="auto"/>
              <w:left w:val="single" w:sz="4" w:space="0" w:color="auto"/>
              <w:bottom w:val="single" w:sz="4" w:space="0" w:color="auto"/>
              <w:right w:val="single" w:sz="4" w:space="0" w:color="auto"/>
            </w:tcBorders>
          </w:tcPr>
          <w:p w14:paraId="4240A904" w14:textId="77777777" w:rsidR="003502B9" w:rsidRPr="00FE55E7" w:rsidRDefault="003502B9" w:rsidP="00502986">
            <w:pPr>
              <w:pStyle w:val="Tabletext"/>
            </w:pPr>
            <w:r w:rsidRPr="00341A7B">
              <w:rPr>
                <w:i/>
              </w:rPr>
              <w:t>K</w:t>
            </w:r>
            <w:r w:rsidRPr="00FE55E7">
              <w:t xml:space="preserve"> = 1 </w:t>
            </w:r>
            <w:r w:rsidRPr="002A103E">
              <w:t>RCCC</w:t>
            </w:r>
          </w:p>
        </w:tc>
        <w:tc>
          <w:tcPr>
            <w:tcW w:w="1582" w:type="dxa"/>
            <w:tcBorders>
              <w:top w:val="single" w:sz="4" w:space="0" w:color="auto"/>
              <w:left w:val="single" w:sz="4" w:space="0" w:color="auto"/>
              <w:bottom w:val="single" w:sz="4" w:space="0" w:color="auto"/>
              <w:right w:val="single" w:sz="4" w:space="0" w:color="auto"/>
            </w:tcBorders>
          </w:tcPr>
          <w:p w14:paraId="4240A905" w14:textId="77777777" w:rsidR="003502B9" w:rsidRPr="00FE55E7" w:rsidRDefault="003502B9" w:rsidP="00502986">
            <w:pPr>
              <w:pStyle w:val="Tabletext"/>
            </w:pPr>
            <w:r w:rsidRPr="00FE55E7">
              <w:rPr>
                <w:rFonts w:ascii="Cambria Math" w:hAnsi="Cambria Math"/>
                <w:color w:val="00B050"/>
              </w:rPr>
              <w:t>⨁⨁</w:t>
            </w:r>
            <w:r w:rsidRPr="00FE55E7">
              <w:rPr>
                <w:rFonts w:ascii="Cambria Math" w:hAnsi="Cambria Math" w:cs="Cambria Math"/>
                <w:color w:val="C00000"/>
              </w:rPr>
              <w:t>⨀⨀</w:t>
            </w:r>
          </w:p>
        </w:tc>
        <w:tc>
          <w:tcPr>
            <w:tcW w:w="2844" w:type="dxa"/>
            <w:tcBorders>
              <w:top w:val="single" w:sz="4" w:space="0" w:color="auto"/>
              <w:left w:val="single" w:sz="4" w:space="0" w:color="auto"/>
              <w:bottom w:val="single" w:sz="4" w:space="0" w:color="auto"/>
              <w:right w:val="single" w:sz="4" w:space="0" w:color="auto"/>
            </w:tcBorders>
          </w:tcPr>
          <w:p w14:paraId="4240A906" w14:textId="77777777" w:rsidR="003502B9" w:rsidRPr="00FE55E7" w:rsidRDefault="003502B9" w:rsidP="00502986">
            <w:pPr>
              <w:pStyle w:val="Tabletext"/>
            </w:pPr>
            <w:r w:rsidRPr="002A103E">
              <w:t>OR</w:t>
            </w:r>
            <w:r w:rsidRPr="00FE55E7">
              <w:t xml:space="preserve"> 1.16 (0.10, 12.87), </w:t>
            </w:r>
            <w:r w:rsidRPr="00FE55E7">
              <w:rPr>
                <w:i/>
              </w:rPr>
              <w:t>P</w:t>
            </w:r>
            <w:r w:rsidRPr="00FE55E7">
              <w:t xml:space="preserve"> = 0.90</w:t>
            </w:r>
            <w:r>
              <w:rPr>
                <w:vertAlign w:val="superscript"/>
              </w:rPr>
              <w:t>​</w:t>
            </w:r>
            <w:r w:rsidRPr="00FE55E7">
              <w:rPr>
                <w:vertAlign w:val="superscript"/>
              </w:rPr>
              <w:t>b</w:t>
            </w:r>
          </w:p>
        </w:tc>
        <w:tc>
          <w:tcPr>
            <w:tcW w:w="1373" w:type="dxa"/>
            <w:tcBorders>
              <w:top w:val="single" w:sz="4" w:space="0" w:color="auto"/>
              <w:left w:val="single" w:sz="4" w:space="0" w:color="auto"/>
              <w:bottom w:val="single" w:sz="4" w:space="0" w:color="auto"/>
              <w:right w:val="single" w:sz="4" w:space="0" w:color="auto"/>
            </w:tcBorders>
          </w:tcPr>
          <w:p w14:paraId="4240A907" w14:textId="77777777" w:rsidR="003502B9" w:rsidRPr="00FE55E7" w:rsidRDefault="003502B9" w:rsidP="00502986">
            <w:pPr>
              <w:pStyle w:val="Tabletext"/>
            </w:pPr>
            <w:r w:rsidRPr="00FE55E7">
              <w:t>No difference between groups; very low rates</w:t>
            </w:r>
          </w:p>
        </w:tc>
      </w:tr>
    </w:tbl>
    <w:p w14:paraId="4240A909" w14:textId="77777777" w:rsidR="003502B9" w:rsidRPr="0074658A" w:rsidRDefault="003502B9" w:rsidP="003502B9">
      <w:pPr>
        <w:spacing w:before="60" w:after="120"/>
        <w:rPr>
          <w:rFonts w:ascii="Arial Narrow" w:hAnsi="Arial Narrow" w:cs="Arial"/>
          <w:sz w:val="16"/>
          <w:szCs w:val="16"/>
        </w:rPr>
      </w:pPr>
      <w:r w:rsidRPr="0074658A">
        <w:rPr>
          <w:rFonts w:ascii="Arial Narrow" w:hAnsi="Arial Narrow" w:cs="Arial"/>
          <w:sz w:val="16"/>
          <w:szCs w:val="16"/>
        </w:rPr>
        <w:t xml:space="preserve">CI = confidence interval; GRADE = </w:t>
      </w:r>
      <w:bookmarkStart w:id="25" w:name="OLE_LINK347"/>
      <w:bookmarkStart w:id="26" w:name="OLE_LINK348"/>
      <w:bookmarkStart w:id="27" w:name="OLE_LINK393"/>
      <w:r w:rsidRPr="0074658A">
        <w:rPr>
          <w:rFonts w:ascii="Arial Narrow" w:hAnsi="Arial Narrow" w:cs="Arial"/>
          <w:sz w:val="16"/>
          <w:szCs w:val="16"/>
        </w:rPr>
        <w:t>Grading of Recommendations Assessment, Development and Evaluation</w:t>
      </w:r>
      <w:bookmarkEnd w:id="25"/>
      <w:bookmarkEnd w:id="26"/>
      <w:bookmarkEnd w:id="27"/>
      <w:r w:rsidRPr="0074658A">
        <w:rPr>
          <w:rFonts w:ascii="Arial Narrow" w:hAnsi="Arial Narrow" w:cs="Arial"/>
          <w:sz w:val="16"/>
          <w:szCs w:val="16"/>
        </w:rPr>
        <w:t xml:space="preserve">; HR = hazard ratio; MTA = microwave tissue ablation; </w:t>
      </w:r>
      <w:bookmarkStart w:id="28" w:name="OLE_LINK49"/>
      <w:bookmarkStart w:id="29" w:name="OLE_LINK50"/>
      <w:r w:rsidRPr="0074658A">
        <w:rPr>
          <w:rFonts w:ascii="Arial Narrow" w:hAnsi="Arial Narrow" w:cs="Arial"/>
          <w:sz w:val="16"/>
          <w:szCs w:val="16"/>
        </w:rPr>
        <w:t xml:space="preserve">RHCC </w:t>
      </w:r>
      <w:bookmarkEnd w:id="28"/>
      <w:bookmarkEnd w:id="29"/>
      <w:r w:rsidRPr="0074658A">
        <w:rPr>
          <w:rFonts w:ascii="Arial Narrow" w:hAnsi="Arial Narrow" w:cs="Arial"/>
          <w:sz w:val="16"/>
          <w:szCs w:val="16"/>
        </w:rPr>
        <w:t xml:space="preserve">= retrospective historical control cohort; </w:t>
      </w:r>
      <w:bookmarkStart w:id="30" w:name="OLE_LINK47"/>
      <w:bookmarkStart w:id="31" w:name="OLE_LINK48"/>
      <w:r w:rsidRPr="0074658A">
        <w:rPr>
          <w:rFonts w:ascii="Arial Narrow" w:hAnsi="Arial Narrow" w:cs="Arial"/>
          <w:sz w:val="16"/>
          <w:szCs w:val="16"/>
        </w:rPr>
        <w:t xml:space="preserve">RCCC </w:t>
      </w:r>
      <w:bookmarkEnd w:id="30"/>
      <w:bookmarkEnd w:id="31"/>
      <w:r w:rsidRPr="0074658A">
        <w:rPr>
          <w:rFonts w:ascii="Arial Narrow" w:hAnsi="Arial Narrow" w:cs="Arial"/>
          <w:sz w:val="16"/>
          <w:szCs w:val="16"/>
        </w:rPr>
        <w:t>= retrospective concurrent control cohort; OR = odds ratio; RFA = radiofrequency ablation; SR = systematic review</w:t>
      </w:r>
    </w:p>
    <w:p w14:paraId="4240A90A" w14:textId="77777777" w:rsidR="003502B9" w:rsidRPr="0074658A" w:rsidRDefault="003502B9" w:rsidP="003502B9">
      <w:pPr>
        <w:ind w:left="284" w:hanging="284"/>
        <w:rPr>
          <w:rFonts w:ascii="Arial Narrow" w:hAnsi="Arial Narrow" w:cs="Arial"/>
          <w:sz w:val="16"/>
          <w:szCs w:val="16"/>
        </w:rPr>
      </w:pPr>
      <w:r w:rsidRPr="0074658A">
        <w:rPr>
          <w:rFonts w:ascii="Arial Narrow" w:hAnsi="Arial Narrow" w:cs="Arial"/>
          <w:sz w:val="16"/>
          <w:szCs w:val="16"/>
          <w:vertAlign w:val="superscript"/>
        </w:rPr>
        <w:t xml:space="preserve">a </w:t>
      </w:r>
      <w:r w:rsidRPr="0074658A">
        <w:rPr>
          <w:rFonts w:ascii="Arial Narrow" w:hAnsi="Arial Narrow" w:cs="Arial"/>
          <w:sz w:val="16"/>
          <w:szCs w:val="16"/>
        </w:rPr>
        <w:t>GRADE Working Group grades of evidence</w:t>
      </w:r>
      <w:bookmarkStart w:id="32" w:name="OLE_LINK522"/>
      <w:bookmarkStart w:id="33" w:name="OLE_LINK523"/>
      <w:r w:rsidRPr="0074658A">
        <w:rPr>
          <w:rFonts w:ascii="Arial Narrow" w:hAnsi="Arial Narrow" w:cs="Arial"/>
          <w:sz w:val="16"/>
          <w:szCs w:val="16"/>
        </w:rPr>
        <w:t xml:space="preserve"> </w:t>
      </w:r>
      <w:r w:rsidRPr="0074658A">
        <w:rPr>
          <w:rFonts w:ascii="Arial Narrow" w:hAnsi="Arial Narrow" w:cs="Arial"/>
          <w:sz w:val="16"/>
          <w:szCs w:val="16"/>
        </w:rPr>
        <w:fldChar w:fldCharType="begin">
          <w:fldData xml:space="preserve">PEVuZE5vdGU+PENpdGU+PEF1dGhvcj5HdXlhdHQ8L0F1dGhvcj48WWVhcj4yMDEzPC9ZZWFyPjxS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</w:fldData>
        </w:fldChar>
      </w:r>
      <w:r w:rsidRPr="0074658A">
        <w:rPr>
          <w:rFonts w:ascii="Arial Narrow" w:hAnsi="Arial Narrow" w:cs="Arial"/>
          <w:sz w:val="16"/>
          <w:szCs w:val="16"/>
        </w:rPr>
        <w:instrText xml:space="preserve"> ADDIN EN.CITE </w:instrText>
      </w:r>
      <w:r w:rsidRPr="0074658A">
        <w:rPr>
          <w:rFonts w:ascii="Arial Narrow" w:hAnsi="Arial Narrow" w:cs="Arial"/>
          <w:sz w:val="16"/>
          <w:szCs w:val="16"/>
        </w:rPr>
        <w:fldChar w:fldCharType="begin">
          <w:fldData xml:space="preserve">PEVuZE5vdGU+PENpdGU+PEF1dGhvcj5HdXlhdHQ8L0F1dGhvcj48WWVhcj4yMDEzPC9ZZWFyPjxS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</w:fldData>
        </w:fldChar>
      </w:r>
      <w:r w:rsidRPr="0074658A">
        <w:rPr>
          <w:rFonts w:ascii="Arial Narrow" w:hAnsi="Arial Narrow" w:cs="Arial"/>
          <w:sz w:val="16"/>
          <w:szCs w:val="16"/>
        </w:rPr>
        <w:instrText xml:space="preserve"> ADDIN EN.CITE.DATA </w:instrText>
      </w:r>
      <w:r w:rsidRPr="0074658A">
        <w:rPr>
          <w:rFonts w:ascii="Arial Narrow" w:hAnsi="Arial Narrow" w:cs="Arial"/>
          <w:sz w:val="16"/>
          <w:szCs w:val="16"/>
        </w:rPr>
      </w:r>
      <w:r w:rsidRPr="0074658A">
        <w:rPr>
          <w:rFonts w:ascii="Arial Narrow" w:hAnsi="Arial Narrow" w:cs="Arial"/>
          <w:sz w:val="16"/>
          <w:szCs w:val="16"/>
        </w:rPr>
        <w:fldChar w:fldCharType="end"/>
      </w:r>
      <w:r w:rsidRPr="0074658A">
        <w:rPr>
          <w:rFonts w:ascii="Arial Narrow" w:hAnsi="Arial Narrow" w:cs="Arial"/>
          <w:sz w:val="16"/>
          <w:szCs w:val="16"/>
        </w:rPr>
      </w:r>
      <w:r w:rsidRPr="0074658A">
        <w:rPr>
          <w:rFonts w:ascii="Arial Narrow" w:hAnsi="Arial Narrow" w:cs="Arial"/>
          <w:sz w:val="16"/>
          <w:szCs w:val="16"/>
        </w:rPr>
        <w:fldChar w:fldCharType="separate"/>
      </w:r>
      <w:r w:rsidRPr="0074658A">
        <w:rPr>
          <w:rFonts w:ascii="Arial Narrow" w:hAnsi="Arial Narrow" w:cs="Arial"/>
          <w:noProof/>
          <w:sz w:val="16"/>
          <w:szCs w:val="16"/>
        </w:rPr>
        <w:t>(</w:t>
      </w:r>
      <w:hyperlink w:anchor="_ENREF_31" w:tooltip="Guyatt, 2013 #63" w:history="1">
        <w:r w:rsidRPr="0074658A">
          <w:rPr>
            <w:rFonts w:ascii="Arial Narrow" w:hAnsi="Arial Narrow" w:cs="Arial"/>
            <w:noProof/>
            <w:sz w:val="16"/>
            <w:szCs w:val="16"/>
          </w:rPr>
          <w:t>Guyatt et al 2013</w:t>
        </w:r>
      </w:hyperlink>
      <w:r w:rsidRPr="0074658A">
        <w:rPr>
          <w:rFonts w:ascii="Arial Narrow" w:hAnsi="Arial Narrow" w:cs="Arial"/>
          <w:noProof/>
          <w:sz w:val="16"/>
          <w:szCs w:val="16"/>
        </w:rPr>
        <w:t>)</w:t>
      </w:r>
      <w:r w:rsidRPr="0074658A">
        <w:rPr>
          <w:rFonts w:ascii="Arial Narrow" w:hAnsi="Arial Narrow" w:cs="Arial"/>
          <w:sz w:val="16"/>
          <w:szCs w:val="16"/>
        </w:rPr>
        <w:fldChar w:fldCharType="end"/>
      </w:r>
      <w:bookmarkEnd w:id="32"/>
      <w:bookmarkEnd w:id="33"/>
      <w:r w:rsidRPr="0074658A">
        <w:rPr>
          <w:rFonts w:ascii="Arial Narrow" w:hAnsi="Arial Narrow" w:cs="Arial"/>
          <w:sz w:val="16"/>
          <w:szCs w:val="16"/>
        </w:rPr>
        <w:t>:</w:t>
      </w:r>
      <w:r w:rsidRPr="0074658A">
        <w:rPr>
          <w:rFonts w:ascii="Arial Narrow" w:hAnsi="Arial Narrow" w:cs="Arial"/>
          <w:sz w:val="16"/>
          <w:szCs w:val="16"/>
        </w:rPr>
        <w:br/>
      </w:r>
      <w:r w:rsidRPr="0074658A">
        <w:rPr>
          <w:rFonts w:ascii="Cambria Math" w:hAnsi="Cambria Math"/>
          <w:color w:val="00B050"/>
          <w:sz w:val="16"/>
          <w:szCs w:val="16"/>
        </w:rPr>
        <w:t xml:space="preserve">⨁⨁⨁⨁ </w:t>
      </w:r>
      <w:r w:rsidRPr="0074658A">
        <w:rPr>
          <w:rFonts w:ascii="Arial Narrow" w:hAnsi="Arial Narrow" w:cs="Arial"/>
          <w:b/>
          <w:bCs/>
          <w:sz w:val="16"/>
          <w:szCs w:val="16"/>
        </w:rPr>
        <w:t>High quality:</w:t>
      </w:r>
      <w:r w:rsidRPr="0074658A">
        <w:rPr>
          <w:rFonts w:ascii="Arial Narrow" w:hAnsi="Arial Narrow" w:cs="Arial"/>
          <w:sz w:val="16"/>
          <w:szCs w:val="16"/>
        </w:rPr>
        <w:t xml:space="preserve"> We are very confident that the true effect lies close to that of the estimate of effect</w:t>
      </w:r>
      <w:r w:rsidRPr="0074658A">
        <w:rPr>
          <w:rFonts w:ascii="Arial Narrow" w:hAnsi="Arial Narrow" w:cs="Arial"/>
          <w:sz w:val="16"/>
          <w:szCs w:val="16"/>
        </w:rPr>
        <w:br/>
      </w:r>
      <w:r w:rsidRPr="0074658A">
        <w:rPr>
          <w:rFonts w:ascii="Cambria Math" w:hAnsi="Cambria Math"/>
          <w:color w:val="00B050"/>
          <w:sz w:val="16"/>
          <w:szCs w:val="16"/>
        </w:rPr>
        <w:t>⨁⨁⨁</w:t>
      </w:r>
      <w:r w:rsidRPr="0074658A">
        <w:rPr>
          <w:rFonts w:ascii="Cambria Math" w:hAnsi="Cambria Math" w:cs="Cambria Math"/>
          <w:color w:val="C00000"/>
          <w:sz w:val="16"/>
          <w:szCs w:val="16"/>
        </w:rPr>
        <w:t xml:space="preserve">⨀ </w:t>
      </w:r>
      <w:r w:rsidRPr="0074658A">
        <w:rPr>
          <w:rFonts w:ascii="Arial Narrow" w:hAnsi="Arial Narrow" w:cs="Arial"/>
          <w:b/>
          <w:bCs/>
          <w:sz w:val="16"/>
          <w:szCs w:val="16"/>
        </w:rPr>
        <w:t>Moderate quality:</w:t>
      </w:r>
      <w:r w:rsidRPr="0074658A">
        <w:rPr>
          <w:rFonts w:ascii="Arial Narrow" w:hAnsi="Arial Narrow" w:cs="Arial"/>
          <w:sz w:val="16"/>
          <w:szCs w:val="16"/>
        </w:rPr>
        <w:t xml:space="preserve"> We are moderately confident in the effect estimate: the true effect is likely to be close to the estimate of the effect, but there is a possibility that it is substantially different</w:t>
      </w:r>
      <w:r w:rsidRPr="0074658A">
        <w:rPr>
          <w:rFonts w:ascii="Arial Narrow" w:hAnsi="Arial Narrow" w:cs="Arial"/>
          <w:sz w:val="16"/>
          <w:szCs w:val="16"/>
        </w:rPr>
        <w:br/>
      </w:r>
      <w:r w:rsidRPr="0074658A">
        <w:rPr>
          <w:rFonts w:ascii="Cambria Math" w:hAnsi="Cambria Math"/>
          <w:color w:val="00B050"/>
          <w:sz w:val="16"/>
          <w:szCs w:val="16"/>
        </w:rPr>
        <w:t>⨁⨁</w:t>
      </w:r>
      <w:r w:rsidRPr="0074658A">
        <w:rPr>
          <w:rFonts w:ascii="Cambria Math" w:hAnsi="Cambria Math" w:cs="Cambria Math"/>
          <w:color w:val="C00000"/>
          <w:sz w:val="16"/>
          <w:szCs w:val="16"/>
        </w:rPr>
        <w:t xml:space="preserve">⨀⨀ </w:t>
      </w:r>
      <w:r w:rsidRPr="0074658A">
        <w:rPr>
          <w:rFonts w:ascii="Arial Narrow" w:hAnsi="Arial Narrow" w:cs="Arial"/>
          <w:b/>
          <w:bCs/>
          <w:sz w:val="16"/>
          <w:szCs w:val="16"/>
        </w:rPr>
        <w:t>Low quality:</w:t>
      </w:r>
      <w:r w:rsidRPr="0074658A">
        <w:rPr>
          <w:rFonts w:ascii="Arial Narrow" w:hAnsi="Arial Narrow" w:cs="Arial"/>
          <w:sz w:val="16"/>
          <w:szCs w:val="16"/>
        </w:rPr>
        <w:t xml:space="preserve"> Our confidence in the effect estimate is limited: the true effect may be substantially different</w:t>
      </w:r>
      <w:r w:rsidRPr="0074658A">
        <w:rPr>
          <w:rFonts w:ascii="Arial Narrow" w:hAnsi="Arial Narrow" w:cs="Arial"/>
          <w:sz w:val="16"/>
          <w:szCs w:val="16"/>
        </w:rPr>
        <w:br/>
      </w:r>
      <w:r w:rsidRPr="0074658A">
        <w:rPr>
          <w:rFonts w:ascii="Cambria Math" w:hAnsi="Cambria Math"/>
          <w:color w:val="00B050"/>
          <w:sz w:val="16"/>
          <w:szCs w:val="16"/>
        </w:rPr>
        <w:t>⨁</w:t>
      </w:r>
      <w:r w:rsidRPr="0074658A">
        <w:rPr>
          <w:rFonts w:ascii="Cambria Math" w:hAnsi="Cambria Math" w:cs="Cambria Math"/>
          <w:color w:val="C00000"/>
          <w:sz w:val="16"/>
          <w:szCs w:val="16"/>
        </w:rPr>
        <w:t xml:space="preserve">⨀⨀⨀ </w:t>
      </w:r>
      <w:r w:rsidRPr="0074658A">
        <w:rPr>
          <w:rFonts w:ascii="Arial Narrow" w:hAnsi="Arial Narrow" w:cs="Arial"/>
          <w:b/>
          <w:bCs/>
          <w:sz w:val="16"/>
          <w:szCs w:val="16"/>
        </w:rPr>
        <w:t>Very low quality:</w:t>
      </w:r>
      <w:r w:rsidRPr="0074658A">
        <w:rPr>
          <w:rFonts w:ascii="Arial Narrow" w:hAnsi="Arial Narrow" w:cs="Arial"/>
          <w:sz w:val="16"/>
          <w:szCs w:val="16"/>
        </w:rPr>
        <w:t xml:space="preserve"> We have very little confidence in the effect estimate: the true effect is likely to be substantially different</w:t>
      </w:r>
    </w:p>
    <w:p w14:paraId="4240A90B" w14:textId="77777777" w:rsidR="003502B9" w:rsidRPr="0074658A" w:rsidRDefault="003502B9" w:rsidP="003502B9">
      <w:pPr>
        <w:spacing w:after="120"/>
        <w:ind w:left="284" w:hanging="284"/>
        <w:rPr>
          <w:rFonts w:ascii="Arial Narrow" w:hAnsi="Arial Narrow" w:cs="Arial"/>
          <w:sz w:val="16"/>
          <w:szCs w:val="16"/>
        </w:rPr>
      </w:pPr>
      <w:r w:rsidRPr="0074658A">
        <w:rPr>
          <w:rFonts w:ascii="Arial Narrow" w:hAnsi="Arial Narrow" w:cs="Arial"/>
          <w:sz w:val="16"/>
          <w:szCs w:val="16"/>
          <w:vertAlign w:val="superscript"/>
        </w:rPr>
        <w:t>b</w:t>
      </w:r>
      <w:r w:rsidRPr="0074658A">
        <w:rPr>
          <w:rFonts w:ascii="Arial Narrow" w:hAnsi="Arial Narrow" w:cs="Arial"/>
          <w:sz w:val="16"/>
          <w:szCs w:val="16"/>
        </w:rPr>
        <w:t xml:space="preserve"> ORs and CIs calculated from published figures</w:t>
      </w:r>
    </w:p>
    <w:p w14:paraId="4240A90C" w14:textId="77777777" w:rsidR="00ED0542" w:rsidRDefault="003502B9" w:rsidP="00ED0542">
      <w:pPr>
        <w:spacing w:after="240"/>
      </w:pPr>
      <w:r w:rsidRPr="003502B9">
        <w:lastRenderedPageBreak/>
        <w:t xml:space="preserve">On the basis of the benefits and harms reported in the </w:t>
      </w:r>
      <w:r w:rsidR="00ED0542">
        <w:t>evidence base</w:t>
      </w:r>
      <w:r w:rsidRPr="003502B9">
        <w:t xml:space="preserve">, it is suggested that, relative to RFA, MTA has non-inferior safety and non-inferior effectiveness in Population 1. </w:t>
      </w:r>
    </w:p>
    <w:p w14:paraId="4240A90D" w14:textId="77777777" w:rsidR="003502B9" w:rsidRPr="003502B9" w:rsidRDefault="003502B9" w:rsidP="00ED0542">
      <w:r w:rsidRPr="003502B9">
        <w:t>On the basis of limited evidence, it is suggested that, relative to RFA, MTA has non-inferior safety and non-inferior effectiveness in Population 2. There is insufficient evidence to determine the safety and effectiveness of MTA, relative to RFA, in Population 3.</w:t>
      </w:r>
    </w:p>
    <w:p w14:paraId="4240A90E" w14:textId="77777777" w:rsidR="00162CD8" w:rsidRPr="00F715D1" w:rsidRDefault="000B1709" w:rsidP="000B1709">
      <w:pPr>
        <w:pStyle w:val="Heading1"/>
        <w:ind w:left="0" w:firstLine="0"/>
        <w:rPr>
          <w:szCs w:val="24"/>
        </w:rPr>
      </w:pPr>
      <w:r>
        <w:rPr>
          <w:szCs w:val="24"/>
        </w:rPr>
        <w:t>Economic Evaluation</w:t>
      </w:r>
    </w:p>
    <w:p w14:paraId="4240A90F" w14:textId="77777777" w:rsidR="009D1F87" w:rsidRPr="00862680" w:rsidRDefault="00ED0542" w:rsidP="009D1F87">
      <w:pPr>
        <w:rPr>
          <w:szCs w:val="24"/>
        </w:rPr>
      </w:pPr>
      <w:r>
        <w:rPr>
          <w:szCs w:val="24"/>
        </w:rPr>
        <w:t>A stepped approach wa</w:t>
      </w:r>
      <w:r w:rsidR="009D1F87" w:rsidRPr="00862680">
        <w:rPr>
          <w:szCs w:val="24"/>
        </w:rPr>
        <w:t>s taken where the cost of the procedure alone is compared first, and then the cost of other healthcare resources associated with the procedure is added. As the evidence related to the comparative effectiveness of MTA and RFA is limited or inconclusive, various sensitivity analyses are presented for both populations.</w:t>
      </w:r>
    </w:p>
    <w:p w14:paraId="4240A910" w14:textId="77777777" w:rsidR="009D1F87" w:rsidRPr="00862680" w:rsidRDefault="009D1F87" w:rsidP="009D1F87">
      <w:pPr>
        <w:keepNext/>
        <w:tabs>
          <w:tab w:val="left" w:pos="1134"/>
        </w:tabs>
        <w:outlineLvl w:val="1"/>
        <w:rPr>
          <w:b/>
          <w:smallCaps/>
          <w:szCs w:val="24"/>
        </w:rPr>
      </w:pPr>
    </w:p>
    <w:p w14:paraId="4240A911" w14:textId="77777777" w:rsidR="009D1F87" w:rsidRPr="00862680" w:rsidRDefault="009D1F87" w:rsidP="009D1F87">
      <w:pPr>
        <w:rPr>
          <w:b/>
        </w:rPr>
      </w:pPr>
      <w:r w:rsidRPr="00862680">
        <w:rPr>
          <w:b/>
        </w:rPr>
        <w:t>Population 1</w:t>
      </w:r>
    </w:p>
    <w:p w14:paraId="4240A912" w14:textId="77777777" w:rsidR="009D1F87" w:rsidRPr="00862680" w:rsidRDefault="009D1F87" w:rsidP="009D1F87">
      <w:pPr>
        <w:rPr>
          <w:szCs w:val="24"/>
        </w:rPr>
      </w:pPr>
      <w:r w:rsidRPr="00862680">
        <w:rPr>
          <w:szCs w:val="24"/>
        </w:rPr>
        <w:t>When only the procedural costs of MTA and RFA are compared (excluding all other associated anaesthetic and other healthcare costs), there is no incremental cost associated with MTA in the base case</w:t>
      </w:r>
      <w:r w:rsidR="00BF4B7C">
        <w:rPr>
          <w:szCs w:val="24"/>
        </w:rPr>
        <w:t xml:space="preserve"> (Table 3</w:t>
      </w:r>
      <w:r>
        <w:rPr>
          <w:szCs w:val="24"/>
        </w:rPr>
        <w:t>)</w:t>
      </w:r>
      <w:r w:rsidR="00AF2AD9">
        <w:rPr>
          <w:szCs w:val="24"/>
        </w:rPr>
        <w:t>.</w:t>
      </w:r>
    </w:p>
    <w:p w14:paraId="4240A913" w14:textId="77777777" w:rsidR="009D1F87" w:rsidRPr="00862680" w:rsidRDefault="009D1F87" w:rsidP="009D1F87">
      <w:pPr>
        <w:keepNext/>
        <w:rPr>
          <w:b/>
          <w:szCs w:val="24"/>
        </w:rPr>
      </w:pPr>
      <w:bookmarkStart w:id="34" w:name="_Ref457549771"/>
      <w:bookmarkStart w:id="35" w:name="_Toc460406500"/>
    </w:p>
    <w:p w14:paraId="4240A914" w14:textId="77777777" w:rsidR="009D1F87" w:rsidRPr="00BF4B7C" w:rsidRDefault="009D1F87" w:rsidP="009D1F87">
      <w:pPr>
        <w:keepNext/>
        <w:rPr>
          <w:rFonts w:ascii="Arial" w:hAnsi="Arial" w:cs="Arial"/>
          <w:b/>
          <w:sz w:val="20"/>
        </w:rPr>
      </w:pPr>
      <w:r w:rsidRPr="00BF4B7C">
        <w:rPr>
          <w:rFonts w:ascii="Arial" w:hAnsi="Arial" w:cs="Arial"/>
          <w:b/>
          <w:sz w:val="20"/>
        </w:rPr>
        <w:t xml:space="preserve">Table </w:t>
      </w:r>
      <w:r w:rsidRPr="00BF4B7C">
        <w:rPr>
          <w:rFonts w:ascii="Arial" w:hAnsi="Arial" w:cs="Arial"/>
          <w:b/>
          <w:sz w:val="20"/>
        </w:rPr>
        <w:fldChar w:fldCharType="begin"/>
      </w:r>
      <w:r w:rsidRPr="00BF4B7C">
        <w:rPr>
          <w:rFonts w:ascii="Arial" w:hAnsi="Arial" w:cs="Arial"/>
          <w:b/>
          <w:sz w:val="20"/>
        </w:rPr>
        <w:instrText xml:space="preserve"> SEQ Table \* ARABIC </w:instrText>
      </w:r>
      <w:r w:rsidRPr="00BF4B7C">
        <w:rPr>
          <w:rFonts w:ascii="Arial" w:hAnsi="Arial" w:cs="Arial"/>
          <w:b/>
          <w:sz w:val="20"/>
        </w:rPr>
        <w:fldChar w:fldCharType="separate"/>
      </w:r>
      <w:r w:rsidR="003967F8">
        <w:rPr>
          <w:rFonts w:ascii="Arial" w:hAnsi="Arial" w:cs="Arial"/>
          <w:b/>
          <w:noProof/>
          <w:sz w:val="20"/>
        </w:rPr>
        <w:t>3</w:t>
      </w:r>
      <w:r w:rsidRPr="00BF4B7C">
        <w:rPr>
          <w:rFonts w:ascii="Arial" w:hAnsi="Arial" w:cs="Arial"/>
          <w:b/>
          <w:noProof/>
          <w:sz w:val="20"/>
        </w:rPr>
        <w:fldChar w:fldCharType="end"/>
      </w:r>
      <w:bookmarkEnd w:id="34"/>
      <w:r w:rsidRPr="00BF4B7C">
        <w:rPr>
          <w:rFonts w:ascii="Arial" w:hAnsi="Arial" w:cs="Arial"/>
          <w:b/>
          <w:sz w:val="20"/>
        </w:rPr>
        <w:tab/>
      </w:r>
      <w:r w:rsidR="00BF4B7C">
        <w:rPr>
          <w:rFonts w:ascii="Arial" w:hAnsi="Arial" w:cs="Arial"/>
          <w:b/>
          <w:sz w:val="20"/>
        </w:rPr>
        <w:tab/>
      </w:r>
      <w:r w:rsidRPr="00BF4B7C">
        <w:rPr>
          <w:rFonts w:ascii="Arial" w:hAnsi="Arial" w:cs="Arial"/>
          <w:b/>
          <w:sz w:val="20"/>
        </w:rPr>
        <w:t>Incremental cost of MTA excluding other associated costs, Population 1</w:t>
      </w:r>
      <w:bookmarkEnd w:id="35"/>
    </w:p>
    <w:tbl>
      <w:tblPr>
        <w:tblStyle w:val="TableGrid46"/>
        <w:tblW w:w="5000" w:type="pct"/>
        <w:tblInd w:w="-9" w:type="dxa"/>
        <w:tblCellMar>
          <w:left w:w="28" w:type="dxa"/>
          <w:right w:w="28" w:type="dxa"/>
        </w:tblCellMar>
        <w:tblLook w:val="04A0" w:firstRow="1" w:lastRow="0" w:firstColumn="1" w:lastColumn="0" w:noHBand="0" w:noVBand="1"/>
        <w:tblDescription w:val="Table 29 - Incremental cost of MTA excluding other associated costs, Population 1-Costs associated with testing used in the economic model"/>
      </w:tblPr>
      <w:tblGrid>
        <w:gridCol w:w="3945"/>
        <w:gridCol w:w="1713"/>
        <w:gridCol w:w="1713"/>
        <w:gridCol w:w="1711"/>
      </w:tblGrid>
      <w:tr w:rsidR="009D1F87" w:rsidRPr="00BF4B7C" w14:paraId="4240A91A" w14:textId="77777777" w:rsidTr="00162CD8">
        <w:trPr>
          <w:tblHeader/>
        </w:trPr>
        <w:tc>
          <w:tcPr>
            <w:tcW w:w="2172" w:type="pct"/>
            <w:tcBorders>
              <w:bottom w:val="single" w:sz="4" w:space="0" w:color="auto"/>
            </w:tcBorders>
          </w:tcPr>
          <w:p w14:paraId="4240A915" w14:textId="77777777" w:rsidR="009D1F87" w:rsidRDefault="009D1F87" w:rsidP="00162CD8">
            <w:pPr>
              <w:rPr>
                <w:rFonts w:ascii="Arial" w:hAnsi="Arial" w:cs="Arial"/>
                <w:b/>
                <w:sz w:val="20"/>
              </w:rPr>
            </w:pPr>
            <w:r w:rsidRPr="00BF4B7C">
              <w:rPr>
                <w:rFonts w:ascii="Arial" w:hAnsi="Arial" w:cs="Arial"/>
                <w:b/>
                <w:sz w:val="20"/>
              </w:rPr>
              <w:t>Item description</w:t>
            </w:r>
          </w:p>
          <w:p w14:paraId="4240A916" w14:textId="77777777" w:rsidR="00BF4B7C" w:rsidRPr="00BF4B7C" w:rsidRDefault="00BF4B7C" w:rsidP="00162CD8">
            <w:pPr>
              <w:rPr>
                <w:rFonts w:ascii="Arial" w:hAnsi="Arial" w:cs="Arial"/>
                <w:b/>
                <w:sz w:val="20"/>
              </w:rPr>
            </w:pPr>
          </w:p>
        </w:tc>
        <w:tc>
          <w:tcPr>
            <w:tcW w:w="943" w:type="pct"/>
            <w:tcBorders>
              <w:bottom w:val="single" w:sz="4" w:space="0" w:color="auto"/>
            </w:tcBorders>
          </w:tcPr>
          <w:p w14:paraId="4240A917" w14:textId="77777777" w:rsidR="009D1F87" w:rsidRPr="00BF4B7C" w:rsidRDefault="009D1F87" w:rsidP="00162CD8">
            <w:pPr>
              <w:rPr>
                <w:rFonts w:ascii="Arial" w:hAnsi="Arial" w:cs="Arial"/>
                <w:b/>
                <w:sz w:val="20"/>
              </w:rPr>
            </w:pPr>
            <w:r w:rsidRPr="00BF4B7C">
              <w:rPr>
                <w:rFonts w:ascii="Arial" w:hAnsi="Arial" w:cs="Arial"/>
                <w:b/>
                <w:sz w:val="20"/>
              </w:rPr>
              <w:t>MTA</w:t>
            </w:r>
          </w:p>
        </w:tc>
        <w:tc>
          <w:tcPr>
            <w:tcW w:w="943" w:type="pct"/>
            <w:tcBorders>
              <w:bottom w:val="single" w:sz="4" w:space="0" w:color="auto"/>
            </w:tcBorders>
          </w:tcPr>
          <w:p w14:paraId="4240A918" w14:textId="77777777" w:rsidR="009D1F87" w:rsidRPr="00BF4B7C" w:rsidRDefault="009D1F87" w:rsidP="00162CD8">
            <w:pPr>
              <w:rPr>
                <w:rFonts w:ascii="Arial" w:hAnsi="Arial" w:cs="Arial"/>
                <w:b/>
                <w:sz w:val="20"/>
              </w:rPr>
            </w:pPr>
            <w:r w:rsidRPr="00BF4B7C">
              <w:rPr>
                <w:rFonts w:ascii="Arial" w:hAnsi="Arial" w:cs="Arial"/>
                <w:b/>
                <w:sz w:val="20"/>
              </w:rPr>
              <w:t>RFA</w:t>
            </w:r>
          </w:p>
        </w:tc>
        <w:tc>
          <w:tcPr>
            <w:tcW w:w="943" w:type="pct"/>
            <w:tcBorders>
              <w:bottom w:val="single" w:sz="4" w:space="0" w:color="auto"/>
            </w:tcBorders>
          </w:tcPr>
          <w:p w14:paraId="4240A919" w14:textId="77777777" w:rsidR="009D1F87" w:rsidRPr="00BF4B7C" w:rsidRDefault="009D1F87" w:rsidP="00162CD8">
            <w:pPr>
              <w:rPr>
                <w:rFonts w:ascii="Arial" w:hAnsi="Arial" w:cs="Arial"/>
                <w:b/>
                <w:sz w:val="20"/>
              </w:rPr>
            </w:pPr>
            <w:r w:rsidRPr="00BF4B7C">
              <w:rPr>
                <w:rFonts w:ascii="Arial" w:hAnsi="Arial" w:cs="Arial"/>
                <w:b/>
                <w:sz w:val="20"/>
              </w:rPr>
              <w:t>Incremental cost</w:t>
            </w:r>
          </w:p>
        </w:tc>
      </w:tr>
      <w:tr w:rsidR="009D1F87" w:rsidRPr="00BF4B7C" w14:paraId="4240A91F" w14:textId="77777777" w:rsidTr="00162CD8">
        <w:tc>
          <w:tcPr>
            <w:tcW w:w="2172" w:type="pct"/>
            <w:tcBorders>
              <w:top w:val="single" w:sz="4" w:space="0" w:color="auto"/>
              <w:left w:val="single" w:sz="4" w:space="0" w:color="auto"/>
              <w:bottom w:val="single" w:sz="4" w:space="0" w:color="auto"/>
              <w:right w:val="single" w:sz="4" w:space="0" w:color="auto"/>
            </w:tcBorders>
          </w:tcPr>
          <w:p w14:paraId="4240A91B" w14:textId="77777777" w:rsidR="00BF4B7C" w:rsidRPr="00BF4B7C" w:rsidRDefault="009D1F87" w:rsidP="00162CD8">
            <w:pPr>
              <w:rPr>
                <w:rFonts w:ascii="Arial" w:hAnsi="Arial" w:cs="Arial"/>
                <w:sz w:val="20"/>
              </w:rPr>
            </w:pPr>
            <w:r w:rsidRPr="00BF4B7C">
              <w:rPr>
                <w:rFonts w:ascii="Arial" w:hAnsi="Arial" w:cs="Arial"/>
                <w:sz w:val="20"/>
              </w:rPr>
              <w:t>Ablation procedure</w:t>
            </w:r>
          </w:p>
        </w:tc>
        <w:tc>
          <w:tcPr>
            <w:tcW w:w="943" w:type="pct"/>
            <w:tcBorders>
              <w:top w:val="single" w:sz="4" w:space="0" w:color="auto"/>
              <w:left w:val="single" w:sz="4" w:space="0" w:color="auto"/>
              <w:bottom w:val="single" w:sz="4" w:space="0" w:color="auto"/>
              <w:right w:val="single" w:sz="4" w:space="0" w:color="auto"/>
            </w:tcBorders>
          </w:tcPr>
          <w:p w14:paraId="4240A91C" w14:textId="77777777" w:rsidR="009D1F87" w:rsidRPr="00BF4B7C" w:rsidRDefault="009D1F87" w:rsidP="00162CD8">
            <w:pPr>
              <w:rPr>
                <w:rFonts w:ascii="Arial" w:hAnsi="Arial" w:cs="Arial"/>
                <w:sz w:val="20"/>
              </w:rPr>
            </w:pPr>
            <w:r w:rsidRPr="00BF4B7C">
              <w:rPr>
                <w:rFonts w:ascii="Arial" w:hAnsi="Arial" w:cs="Arial"/>
                <w:sz w:val="20"/>
              </w:rPr>
              <w:t>$817</w:t>
            </w:r>
          </w:p>
        </w:tc>
        <w:tc>
          <w:tcPr>
            <w:tcW w:w="943" w:type="pct"/>
            <w:tcBorders>
              <w:top w:val="single" w:sz="4" w:space="0" w:color="auto"/>
              <w:left w:val="single" w:sz="4" w:space="0" w:color="auto"/>
              <w:bottom w:val="single" w:sz="4" w:space="0" w:color="auto"/>
              <w:right w:val="single" w:sz="4" w:space="0" w:color="auto"/>
            </w:tcBorders>
          </w:tcPr>
          <w:p w14:paraId="4240A91D" w14:textId="77777777" w:rsidR="009D1F87" w:rsidRPr="00BF4B7C" w:rsidRDefault="009D1F87" w:rsidP="00162CD8">
            <w:pPr>
              <w:rPr>
                <w:rFonts w:ascii="Arial" w:hAnsi="Arial" w:cs="Arial"/>
                <w:sz w:val="20"/>
              </w:rPr>
            </w:pPr>
            <w:r w:rsidRPr="00BF4B7C">
              <w:rPr>
                <w:rFonts w:ascii="Arial" w:hAnsi="Arial" w:cs="Arial"/>
                <w:sz w:val="20"/>
              </w:rPr>
              <w:t>$817</w:t>
            </w:r>
          </w:p>
        </w:tc>
        <w:tc>
          <w:tcPr>
            <w:tcW w:w="943" w:type="pct"/>
            <w:tcBorders>
              <w:top w:val="single" w:sz="4" w:space="0" w:color="auto"/>
              <w:left w:val="single" w:sz="4" w:space="0" w:color="auto"/>
              <w:bottom w:val="single" w:sz="4" w:space="0" w:color="auto"/>
              <w:right w:val="single" w:sz="4" w:space="0" w:color="auto"/>
            </w:tcBorders>
          </w:tcPr>
          <w:p w14:paraId="4240A91E" w14:textId="77777777" w:rsidR="009D1F87" w:rsidRPr="00BF4B7C" w:rsidRDefault="009D1F87" w:rsidP="00162CD8">
            <w:pPr>
              <w:rPr>
                <w:rFonts w:ascii="Arial" w:hAnsi="Arial" w:cs="Arial"/>
                <w:b/>
                <w:sz w:val="20"/>
              </w:rPr>
            </w:pPr>
            <w:r w:rsidRPr="00BF4B7C">
              <w:rPr>
                <w:rFonts w:ascii="Arial" w:hAnsi="Arial" w:cs="Arial"/>
                <w:b/>
                <w:sz w:val="20"/>
              </w:rPr>
              <w:t>$0</w:t>
            </w:r>
          </w:p>
        </w:tc>
      </w:tr>
    </w:tbl>
    <w:p w14:paraId="4240A920" w14:textId="77777777" w:rsidR="009D1F87" w:rsidRPr="00BF4B7C" w:rsidRDefault="009D1F87" w:rsidP="009D1F87">
      <w:pPr>
        <w:widowControl w:val="0"/>
        <w:rPr>
          <w:rFonts w:ascii="Arial" w:hAnsi="Arial" w:cs="Arial"/>
          <w:snapToGrid w:val="0"/>
          <w:sz w:val="20"/>
          <w:lang w:eastAsia="en-US"/>
        </w:rPr>
      </w:pPr>
      <w:r w:rsidRPr="00BF4B7C">
        <w:rPr>
          <w:rFonts w:ascii="Arial" w:hAnsi="Arial" w:cs="Arial"/>
          <w:snapToGrid w:val="0"/>
          <w:sz w:val="20"/>
          <w:lang w:eastAsia="en-US"/>
        </w:rPr>
        <w:t>MTA = microwave tissue ablation; RFA = radiofrequency ablation</w:t>
      </w:r>
    </w:p>
    <w:p w14:paraId="4240A921" w14:textId="77777777" w:rsidR="009D1F87" w:rsidRPr="00862680" w:rsidRDefault="009D1F87" w:rsidP="009D1F87">
      <w:pPr>
        <w:rPr>
          <w:szCs w:val="24"/>
        </w:rPr>
      </w:pPr>
    </w:p>
    <w:p w14:paraId="4240A922" w14:textId="77777777" w:rsidR="009D1F87" w:rsidRPr="00862680" w:rsidRDefault="009D1F87" w:rsidP="009D1F87">
      <w:pPr>
        <w:rPr>
          <w:szCs w:val="24"/>
        </w:rPr>
      </w:pPr>
      <w:r w:rsidRPr="00862680">
        <w:rPr>
          <w:szCs w:val="24"/>
        </w:rPr>
        <w:t>When all other associated healthcare costs are included in the analysis, the cost of both MTA and RFA is estimated to be $7,235. Since in the base case the use of all associated healthcare resources is considered similar across the two procedures, the incremental cost remains the same (that is, $0).</w:t>
      </w:r>
    </w:p>
    <w:p w14:paraId="4240A923" w14:textId="77777777" w:rsidR="009D1F87" w:rsidRPr="00862680" w:rsidRDefault="009D1F87" w:rsidP="009D1F87">
      <w:pPr>
        <w:rPr>
          <w:szCs w:val="24"/>
        </w:rPr>
      </w:pPr>
    </w:p>
    <w:p w14:paraId="4240A924" w14:textId="77777777" w:rsidR="009D1F87" w:rsidRPr="00862680" w:rsidRDefault="00BF4B7C" w:rsidP="009D1F87">
      <w:pPr>
        <w:rPr>
          <w:szCs w:val="24"/>
        </w:rPr>
      </w:pPr>
      <w:r>
        <w:rPr>
          <w:szCs w:val="24"/>
        </w:rPr>
        <w:t>Table 4</w:t>
      </w:r>
      <w:r w:rsidR="009D1F87" w:rsidRPr="00862680">
        <w:rPr>
          <w:szCs w:val="24"/>
        </w:rPr>
        <w:t xml:space="preserve"> shows the overall costs and the incremental cost per patient as calculated for the intervention and comparator in the analysis, with the base-case assumptions.</w:t>
      </w:r>
    </w:p>
    <w:p w14:paraId="4240A925" w14:textId="77777777" w:rsidR="009D1F87" w:rsidRPr="00862680" w:rsidRDefault="009D1F87" w:rsidP="009D1F87">
      <w:pPr>
        <w:rPr>
          <w:szCs w:val="24"/>
        </w:rPr>
      </w:pPr>
    </w:p>
    <w:p w14:paraId="4240A926" w14:textId="77777777" w:rsidR="009D1F87" w:rsidRPr="00BF4B7C" w:rsidRDefault="009D1F87" w:rsidP="009D1F87">
      <w:pPr>
        <w:keepNext/>
        <w:rPr>
          <w:rFonts w:ascii="Arial" w:hAnsi="Arial" w:cs="Arial"/>
          <w:b/>
          <w:sz w:val="20"/>
        </w:rPr>
      </w:pPr>
      <w:bookmarkStart w:id="36" w:name="_Ref457549241"/>
      <w:bookmarkStart w:id="37" w:name="_Toc460406501"/>
      <w:r w:rsidRPr="00BF4B7C">
        <w:rPr>
          <w:rFonts w:ascii="Arial" w:hAnsi="Arial" w:cs="Arial"/>
          <w:b/>
          <w:sz w:val="20"/>
        </w:rPr>
        <w:t xml:space="preserve">Table </w:t>
      </w:r>
      <w:r w:rsidRPr="00BF4B7C">
        <w:rPr>
          <w:rFonts w:ascii="Arial" w:hAnsi="Arial" w:cs="Arial"/>
          <w:b/>
          <w:sz w:val="20"/>
        </w:rPr>
        <w:fldChar w:fldCharType="begin"/>
      </w:r>
      <w:r w:rsidRPr="00BF4B7C">
        <w:rPr>
          <w:rFonts w:ascii="Arial" w:hAnsi="Arial" w:cs="Arial"/>
          <w:b/>
          <w:sz w:val="20"/>
        </w:rPr>
        <w:instrText xml:space="preserve"> SEQ Table \* ARABIC </w:instrText>
      </w:r>
      <w:r w:rsidRPr="00BF4B7C">
        <w:rPr>
          <w:rFonts w:ascii="Arial" w:hAnsi="Arial" w:cs="Arial"/>
          <w:b/>
          <w:sz w:val="20"/>
        </w:rPr>
        <w:fldChar w:fldCharType="separate"/>
      </w:r>
      <w:r w:rsidR="003967F8">
        <w:rPr>
          <w:rFonts w:ascii="Arial" w:hAnsi="Arial" w:cs="Arial"/>
          <w:b/>
          <w:noProof/>
          <w:sz w:val="20"/>
        </w:rPr>
        <w:t>4</w:t>
      </w:r>
      <w:r w:rsidRPr="00BF4B7C">
        <w:rPr>
          <w:rFonts w:ascii="Arial" w:hAnsi="Arial" w:cs="Arial"/>
          <w:b/>
          <w:noProof/>
          <w:sz w:val="20"/>
        </w:rPr>
        <w:fldChar w:fldCharType="end"/>
      </w:r>
      <w:bookmarkEnd w:id="36"/>
      <w:r w:rsidRPr="00BF4B7C">
        <w:rPr>
          <w:rFonts w:ascii="Arial" w:hAnsi="Arial" w:cs="Arial"/>
          <w:b/>
          <w:sz w:val="20"/>
        </w:rPr>
        <w:tab/>
      </w:r>
      <w:r w:rsidR="00BF4B7C">
        <w:rPr>
          <w:rFonts w:ascii="Arial" w:hAnsi="Arial" w:cs="Arial"/>
          <w:b/>
          <w:sz w:val="20"/>
        </w:rPr>
        <w:tab/>
      </w:r>
      <w:r w:rsidRPr="00BF4B7C">
        <w:rPr>
          <w:rFonts w:ascii="Arial" w:hAnsi="Arial" w:cs="Arial"/>
          <w:b/>
          <w:sz w:val="20"/>
        </w:rPr>
        <w:t>Costs associated with MTA and RFA, Population 1</w:t>
      </w:r>
      <w:bookmarkEnd w:id="37"/>
    </w:p>
    <w:tbl>
      <w:tblPr>
        <w:tblStyle w:val="TableGrid46"/>
        <w:tblW w:w="5000" w:type="pct"/>
        <w:tblInd w:w="-9" w:type="dxa"/>
        <w:tblCellMar>
          <w:left w:w="28" w:type="dxa"/>
          <w:right w:w="28" w:type="dxa"/>
        </w:tblCellMar>
        <w:tblLook w:val="04A0" w:firstRow="1" w:lastRow="0" w:firstColumn="1" w:lastColumn="0" w:noHBand="0" w:noVBand="1"/>
        <w:tblDescription w:val="Table 30 Costs associated with MTA and RFA, Population 1 -Costs associated with testing used in the economic model"/>
      </w:tblPr>
      <w:tblGrid>
        <w:gridCol w:w="4858"/>
        <w:gridCol w:w="2112"/>
        <w:gridCol w:w="2112"/>
      </w:tblGrid>
      <w:tr w:rsidR="009D1F87" w:rsidRPr="00BF4B7C" w14:paraId="4240A92B" w14:textId="77777777" w:rsidTr="00162CD8">
        <w:trPr>
          <w:tblHeader/>
        </w:trPr>
        <w:tc>
          <w:tcPr>
            <w:tcW w:w="2674" w:type="pct"/>
          </w:tcPr>
          <w:p w14:paraId="4240A927" w14:textId="77777777" w:rsidR="009D1F87" w:rsidRDefault="009D1F87" w:rsidP="00162CD8">
            <w:pPr>
              <w:rPr>
                <w:rFonts w:ascii="Arial" w:hAnsi="Arial" w:cs="Arial"/>
                <w:b/>
                <w:sz w:val="20"/>
              </w:rPr>
            </w:pPr>
            <w:r w:rsidRPr="00BF4B7C">
              <w:rPr>
                <w:rFonts w:ascii="Arial" w:hAnsi="Arial" w:cs="Arial"/>
                <w:b/>
                <w:sz w:val="20"/>
              </w:rPr>
              <w:t>Item description</w:t>
            </w:r>
          </w:p>
          <w:p w14:paraId="4240A928" w14:textId="77777777" w:rsidR="00BF4B7C" w:rsidRPr="00BF4B7C" w:rsidRDefault="00BF4B7C" w:rsidP="00162CD8">
            <w:pPr>
              <w:rPr>
                <w:rFonts w:ascii="Arial" w:hAnsi="Arial" w:cs="Arial"/>
                <w:b/>
                <w:sz w:val="20"/>
              </w:rPr>
            </w:pPr>
          </w:p>
        </w:tc>
        <w:tc>
          <w:tcPr>
            <w:tcW w:w="1163" w:type="pct"/>
            <w:tcBorders>
              <w:bottom w:val="single" w:sz="4" w:space="0" w:color="auto"/>
            </w:tcBorders>
          </w:tcPr>
          <w:p w14:paraId="4240A929" w14:textId="77777777" w:rsidR="009D1F87" w:rsidRPr="00BF4B7C" w:rsidRDefault="009D1F87" w:rsidP="00162CD8">
            <w:pPr>
              <w:rPr>
                <w:rFonts w:ascii="Arial" w:hAnsi="Arial" w:cs="Arial"/>
                <w:b/>
                <w:sz w:val="20"/>
              </w:rPr>
            </w:pPr>
            <w:r w:rsidRPr="00BF4B7C">
              <w:rPr>
                <w:rFonts w:ascii="Arial" w:hAnsi="Arial" w:cs="Arial"/>
                <w:b/>
                <w:sz w:val="20"/>
              </w:rPr>
              <w:t>MTA</w:t>
            </w:r>
          </w:p>
        </w:tc>
        <w:tc>
          <w:tcPr>
            <w:tcW w:w="1163" w:type="pct"/>
            <w:tcBorders>
              <w:bottom w:val="single" w:sz="4" w:space="0" w:color="auto"/>
            </w:tcBorders>
          </w:tcPr>
          <w:p w14:paraId="4240A92A" w14:textId="77777777" w:rsidR="009D1F87" w:rsidRPr="00BF4B7C" w:rsidRDefault="009D1F87" w:rsidP="00162CD8">
            <w:pPr>
              <w:rPr>
                <w:rFonts w:ascii="Arial" w:hAnsi="Arial" w:cs="Arial"/>
                <w:b/>
                <w:sz w:val="20"/>
              </w:rPr>
            </w:pPr>
            <w:r w:rsidRPr="00BF4B7C">
              <w:rPr>
                <w:rFonts w:ascii="Arial" w:hAnsi="Arial" w:cs="Arial"/>
                <w:b/>
                <w:sz w:val="20"/>
              </w:rPr>
              <w:t>RFA</w:t>
            </w:r>
          </w:p>
        </w:tc>
      </w:tr>
      <w:tr w:rsidR="009D1F87" w:rsidRPr="00BF4B7C" w14:paraId="4240A92F" w14:textId="77777777" w:rsidTr="00162CD8">
        <w:tc>
          <w:tcPr>
            <w:tcW w:w="2674" w:type="pct"/>
            <w:tcBorders>
              <w:top w:val="nil"/>
              <w:left w:val="single" w:sz="4" w:space="0" w:color="auto"/>
              <w:bottom w:val="nil"/>
              <w:right w:val="single" w:sz="4" w:space="0" w:color="auto"/>
            </w:tcBorders>
          </w:tcPr>
          <w:p w14:paraId="4240A92C" w14:textId="77777777" w:rsidR="009D1F87" w:rsidRPr="00BF4B7C" w:rsidRDefault="009D1F87" w:rsidP="00162CD8">
            <w:pPr>
              <w:rPr>
                <w:rFonts w:ascii="Arial" w:hAnsi="Arial" w:cs="Arial"/>
                <w:sz w:val="20"/>
              </w:rPr>
            </w:pPr>
            <w:r w:rsidRPr="00BF4B7C">
              <w:rPr>
                <w:rFonts w:ascii="Arial" w:hAnsi="Arial" w:cs="Arial"/>
                <w:sz w:val="20"/>
              </w:rPr>
              <w:t>Ablation procedure</w:t>
            </w:r>
          </w:p>
        </w:tc>
        <w:tc>
          <w:tcPr>
            <w:tcW w:w="1163" w:type="pct"/>
            <w:tcBorders>
              <w:top w:val="nil"/>
              <w:left w:val="single" w:sz="4" w:space="0" w:color="auto"/>
              <w:bottom w:val="nil"/>
              <w:right w:val="single" w:sz="4" w:space="0" w:color="auto"/>
            </w:tcBorders>
          </w:tcPr>
          <w:p w14:paraId="4240A92D" w14:textId="77777777" w:rsidR="009D1F87" w:rsidRPr="00BF4B7C" w:rsidRDefault="009D1F87" w:rsidP="00162CD8">
            <w:pPr>
              <w:ind w:right="801"/>
              <w:rPr>
                <w:rFonts w:ascii="Arial" w:hAnsi="Arial" w:cs="Arial"/>
                <w:sz w:val="20"/>
              </w:rPr>
            </w:pPr>
            <w:r w:rsidRPr="00BF4B7C">
              <w:rPr>
                <w:rFonts w:ascii="Arial" w:hAnsi="Arial" w:cs="Arial"/>
                <w:sz w:val="20"/>
              </w:rPr>
              <w:t>$817</w:t>
            </w:r>
          </w:p>
        </w:tc>
        <w:tc>
          <w:tcPr>
            <w:tcW w:w="1163" w:type="pct"/>
            <w:tcBorders>
              <w:top w:val="nil"/>
              <w:left w:val="single" w:sz="4" w:space="0" w:color="auto"/>
              <w:bottom w:val="nil"/>
              <w:right w:val="single" w:sz="4" w:space="0" w:color="auto"/>
            </w:tcBorders>
          </w:tcPr>
          <w:p w14:paraId="4240A92E" w14:textId="77777777" w:rsidR="009D1F87" w:rsidRPr="00BF4B7C" w:rsidRDefault="009D1F87" w:rsidP="00162CD8">
            <w:pPr>
              <w:ind w:right="801"/>
              <w:rPr>
                <w:rFonts w:ascii="Arial" w:hAnsi="Arial" w:cs="Arial"/>
                <w:sz w:val="20"/>
              </w:rPr>
            </w:pPr>
            <w:r w:rsidRPr="00BF4B7C">
              <w:rPr>
                <w:rFonts w:ascii="Arial" w:hAnsi="Arial" w:cs="Arial"/>
                <w:sz w:val="20"/>
              </w:rPr>
              <w:t>$817</w:t>
            </w:r>
          </w:p>
        </w:tc>
      </w:tr>
      <w:tr w:rsidR="009D1F87" w:rsidRPr="00BF4B7C" w14:paraId="4240A933" w14:textId="77777777" w:rsidTr="00162CD8">
        <w:tc>
          <w:tcPr>
            <w:tcW w:w="2674" w:type="pct"/>
          </w:tcPr>
          <w:p w14:paraId="4240A930" w14:textId="77777777" w:rsidR="009D1F87" w:rsidRPr="00BF4B7C" w:rsidRDefault="009D1F87" w:rsidP="00162CD8">
            <w:pPr>
              <w:rPr>
                <w:rFonts w:ascii="Arial" w:hAnsi="Arial" w:cs="Arial"/>
                <w:sz w:val="20"/>
              </w:rPr>
            </w:pPr>
            <w:r w:rsidRPr="00BF4B7C">
              <w:rPr>
                <w:rFonts w:ascii="Arial" w:hAnsi="Arial" w:cs="Arial"/>
                <w:sz w:val="20"/>
              </w:rPr>
              <w:t>Pre-anaesthesia consultation</w:t>
            </w:r>
          </w:p>
        </w:tc>
        <w:tc>
          <w:tcPr>
            <w:tcW w:w="1163" w:type="pct"/>
          </w:tcPr>
          <w:p w14:paraId="4240A931" w14:textId="77777777" w:rsidR="009D1F87" w:rsidRPr="00BF4B7C" w:rsidRDefault="009D1F87" w:rsidP="00162CD8">
            <w:pPr>
              <w:ind w:right="801"/>
              <w:rPr>
                <w:rFonts w:ascii="Arial" w:hAnsi="Arial" w:cs="Arial"/>
                <w:sz w:val="20"/>
              </w:rPr>
            </w:pPr>
            <w:r w:rsidRPr="00BF4B7C">
              <w:rPr>
                <w:rFonts w:ascii="Arial" w:hAnsi="Arial" w:cs="Arial"/>
                <w:sz w:val="20"/>
              </w:rPr>
              <w:t>$43</w:t>
            </w:r>
          </w:p>
        </w:tc>
        <w:tc>
          <w:tcPr>
            <w:tcW w:w="1163" w:type="pct"/>
          </w:tcPr>
          <w:p w14:paraId="4240A932" w14:textId="77777777" w:rsidR="009D1F87" w:rsidRPr="00BF4B7C" w:rsidRDefault="009D1F87" w:rsidP="00162CD8">
            <w:pPr>
              <w:ind w:right="801"/>
              <w:rPr>
                <w:rFonts w:ascii="Arial" w:hAnsi="Arial" w:cs="Arial"/>
                <w:color w:val="000000"/>
                <w:sz w:val="20"/>
              </w:rPr>
            </w:pPr>
            <w:r w:rsidRPr="00BF4B7C">
              <w:rPr>
                <w:rFonts w:ascii="Arial" w:hAnsi="Arial" w:cs="Arial"/>
                <w:sz w:val="20"/>
              </w:rPr>
              <w:t>$43</w:t>
            </w:r>
          </w:p>
        </w:tc>
      </w:tr>
      <w:tr w:rsidR="009D1F87" w:rsidRPr="00BF4B7C" w14:paraId="4240A937" w14:textId="77777777" w:rsidTr="00162CD8">
        <w:tc>
          <w:tcPr>
            <w:tcW w:w="2674" w:type="pct"/>
            <w:tcBorders>
              <w:bottom w:val="single" w:sz="4" w:space="0" w:color="auto"/>
            </w:tcBorders>
          </w:tcPr>
          <w:p w14:paraId="4240A934" w14:textId="77777777" w:rsidR="009D1F87" w:rsidRPr="00BF4B7C" w:rsidRDefault="009D1F87" w:rsidP="00162CD8">
            <w:pPr>
              <w:rPr>
                <w:rFonts w:ascii="Arial" w:hAnsi="Arial" w:cs="Arial"/>
                <w:sz w:val="20"/>
              </w:rPr>
            </w:pPr>
            <w:r w:rsidRPr="00BF4B7C">
              <w:rPr>
                <w:rFonts w:ascii="Arial" w:hAnsi="Arial" w:cs="Arial"/>
                <w:sz w:val="20"/>
              </w:rPr>
              <w:t>Initiation of management of anaesthesia</w:t>
            </w:r>
          </w:p>
        </w:tc>
        <w:tc>
          <w:tcPr>
            <w:tcW w:w="1163" w:type="pct"/>
            <w:tcBorders>
              <w:bottom w:val="single" w:sz="4" w:space="0" w:color="auto"/>
            </w:tcBorders>
          </w:tcPr>
          <w:p w14:paraId="4240A935" w14:textId="77777777" w:rsidR="009D1F87" w:rsidRPr="00BF4B7C" w:rsidRDefault="009D1F87" w:rsidP="00162CD8">
            <w:pPr>
              <w:ind w:right="801"/>
              <w:rPr>
                <w:rFonts w:ascii="Arial" w:hAnsi="Arial" w:cs="Arial"/>
                <w:sz w:val="20"/>
              </w:rPr>
            </w:pPr>
            <w:r w:rsidRPr="00BF4B7C">
              <w:rPr>
                <w:rFonts w:ascii="Arial" w:hAnsi="Arial" w:cs="Arial"/>
                <w:sz w:val="20"/>
              </w:rPr>
              <w:t>$139</w:t>
            </w:r>
          </w:p>
        </w:tc>
        <w:tc>
          <w:tcPr>
            <w:tcW w:w="1163" w:type="pct"/>
            <w:tcBorders>
              <w:bottom w:val="single" w:sz="4" w:space="0" w:color="auto"/>
            </w:tcBorders>
          </w:tcPr>
          <w:p w14:paraId="4240A936" w14:textId="77777777" w:rsidR="009D1F87" w:rsidRPr="00BF4B7C" w:rsidRDefault="009D1F87" w:rsidP="00162CD8">
            <w:pPr>
              <w:ind w:right="801"/>
              <w:rPr>
                <w:rFonts w:ascii="Arial" w:hAnsi="Arial" w:cs="Arial"/>
                <w:color w:val="000000"/>
                <w:sz w:val="20"/>
              </w:rPr>
            </w:pPr>
            <w:r w:rsidRPr="00BF4B7C">
              <w:rPr>
                <w:rFonts w:ascii="Arial" w:hAnsi="Arial" w:cs="Arial"/>
                <w:sz w:val="20"/>
              </w:rPr>
              <w:t>$139</w:t>
            </w:r>
          </w:p>
        </w:tc>
      </w:tr>
      <w:tr w:rsidR="009D1F87" w:rsidRPr="00BF4B7C" w14:paraId="4240A93B" w14:textId="77777777" w:rsidTr="00162CD8">
        <w:tc>
          <w:tcPr>
            <w:tcW w:w="2674" w:type="pct"/>
          </w:tcPr>
          <w:p w14:paraId="4240A938" w14:textId="77777777" w:rsidR="009D1F87" w:rsidRPr="00BF4B7C" w:rsidRDefault="009D1F87" w:rsidP="00162CD8">
            <w:pPr>
              <w:rPr>
                <w:rFonts w:ascii="Arial" w:hAnsi="Arial" w:cs="Arial"/>
                <w:sz w:val="20"/>
              </w:rPr>
            </w:pPr>
            <w:r w:rsidRPr="00BF4B7C">
              <w:rPr>
                <w:rFonts w:ascii="Arial" w:hAnsi="Arial" w:cs="Arial"/>
                <w:sz w:val="20"/>
              </w:rPr>
              <w:t>Other hospital costs</w:t>
            </w:r>
          </w:p>
        </w:tc>
        <w:tc>
          <w:tcPr>
            <w:tcW w:w="1163" w:type="pct"/>
          </w:tcPr>
          <w:p w14:paraId="4240A939" w14:textId="77777777" w:rsidR="009D1F87" w:rsidRPr="00BF4B7C" w:rsidRDefault="009D1F87" w:rsidP="00162CD8">
            <w:pPr>
              <w:ind w:right="801"/>
              <w:rPr>
                <w:rFonts w:ascii="Arial" w:hAnsi="Arial" w:cs="Arial"/>
                <w:sz w:val="20"/>
              </w:rPr>
            </w:pPr>
            <w:r w:rsidRPr="00BF4B7C">
              <w:rPr>
                <w:rFonts w:ascii="Arial" w:hAnsi="Arial" w:cs="Arial"/>
                <w:sz w:val="20"/>
              </w:rPr>
              <w:t>$6,236</w:t>
            </w:r>
          </w:p>
        </w:tc>
        <w:tc>
          <w:tcPr>
            <w:tcW w:w="1163" w:type="pct"/>
          </w:tcPr>
          <w:p w14:paraId="4240A93A" w14:textId="77777777" w:rsidR="009D1F87" w:rsidRPr="00BF4B7C" w:rsidRDefault="009D1F87" w:rsidP="00162CD8">
            <w:pPr>
              <w:ind w:right="801"/>
              <w:rPr>
                <w:rFonts w:ascii="Arial" w:hAnsi="Arial" w:cs="Arial"/>
                <w:color w:val="000000"/>
                <w:sz w:val="20"/>
              </w:rPr>
            </w:pPr>
            <w:r w:rsidRPr="00BF4B7C">
              <w:rPr>
                <w:rFonts w:ascii="Arial" w:hAnsi="Arial" w:cs="Arial"/>
                <w:sz w:val="20"/>
              </w:rPr>
              <w:t>$6,236</w:t>
            </w:r>
          </w:p>
        </w:tc>
      </w:tr>
      <w:tr w:rsidR="009D1F87" w:rsidRPr="00BF4B7C" w14:paraId="4240A93F" w14:textId="77777777" w:rsidTr="00162CD8">
        <w:tc>
          <w:tcPr>
            <w:tcW w:w="2674" w:type="pct"/>
          </w:tcPr>
          <w:p w14:paraId="4240A93C" w14:textId="77777777" w:rsidR="009D1F87" w:rsidRPr="00BF4B7C" w:rsidRDefault="009D1F87" w:rsidP="00162CD8">
            <w:pPr>
              <w:rPr>
                <w:rFonts w:ascii="Arial" w:hAnsi="Arial" w:cs="Arial"/>
                <w:b/>
                <w:sz w:val="20"/>
              </w:rPr>
            </w:pPr>
            <w:r w:rsidRPr="00BF4B7C">
              <w:rPr>
                <w:rFonts w:ascii="Arial" w:hAnsi="Arial" w:cs="Arial"/>
                <w:b/>
                <w:sz w:val="20"/>
              </w:rPr>
              <w:t>Total</w:t>
            </w:r>
          </w:p>
        </w:tc>
        <w:tc>
          <w:tcPr>
            <w:tcW w:w="1163" w:type="pct"/>
            <w:tcBorders>
              <w:bottom w:val="single" w:sz="4" w:space="0" w:color="auto"/>
            </w:tcBorders>
          </w:tcPr>
          <w:p w14:paraId="4240A93D" w14:textId="77777777" w:rsidR="009D1F87" w:rsidRPr="00BF4B7C" w:rsidRDefault="009D1F87" w:rsidP="00162CD8">
            <w:pPr>
              <w:ind w:right="801"/>
              <w:rPr>
                <w:rFonts w:ascii="Arial" w:hAnsi="Arial" w:cs="Arial"/>
                <w:b/>
                <w:sz w:val="20"/>
              </w:rPr>
            </w:pPr>
            <w:r w:rsidRPr="00BF4B7C">
              <w:rPr>
                <w:rFonts w:ascii="Arial" w:hAnsi="Arial" w:cs="Arial"/>
                <w:b/>
                <w:sz w:val="20"/>
              </w:rPr>
              <w:t>$7,235</w:t>
            </w:r>
          </w:p>
        </w:tc>
        <w:tc>
          <w:tcPr>
            <w:tcW w:w="1163" w:type="pct"/>
            <w:tcBorders>
              <w:bottom w:val="single" w:sz="4" w:space="0" w:color="auto"/>
            </w:tcBorders>
          </w:tcPr>
          <w:p w14:paraId="4240A93E" w14:textId="77777777" w:rsidR="009D1F87" w:rsidRPr="00BF4B7C" w:rsidRDefault="009D1F87" w:rsidP="00162CD8">
            <w:pPr>
              <w:ind w:right="801"/>
              <w:rPr>
                <w:rFonts w:ascii="Arial" w:hAnsi="Arial" w:cs="Arial"/>
                <w:b/>
                <w:sz w:val="20"/>
              </w:rPr>
            </w:pPr>
            <w:r w:rsidRPr="00BF4B7C">
              <w:rPr>
                <w:rFonts w:ascii="Arial" w:hAnsi="Arial" w:cs="Arial"/>
                <w:b/>
                <w:sz w:val="20"/>
              </w:rPr>
              <w:t>$7,235</w:t>
            </w:r>
          </w:p>
        </w:tc>
      </w:tr>
      <w:tr w:rsidR="009D1F87" w:rsidRPr="00BF4B7C" w14:paraId="4240A943" w14:textId="77777777" w:rsidTr="00162CD8">
        <w:tc>
          <w:tcPr>
            <w:tcW w:w="2674" w:type="pct"/>
          </w:tcPr>
          <w:p w14:paraId="4240A940" w14:textId="77777777" w:rsidR="009D1F87" w:rsidRPr="00BF4B7C" w:rsidRDefault="009D1F87" w:rsidP="00162CD8">
            <w:pPr>
              <w:rPr>
                <w:rFonts w:ascii="Arial" w:hAnsi="Arial" w:cs="Arial"/>
                <w:b/>
                <w:sz w:val="20"/>
              </w:rPr>
            </w:pPr>
            <w:r w:rsidRPr="00BF4B7C">
              <w:rPr>
                <w:rFonts w:ascii="Arial" w:hAnsi="Arial" w:cs="Arial"/>
                <w:b/>
                <w:sz w:val="20"/>
              </w:rPr>
              <w:t>Incremental cost per patient</w:t>
            </w:r>
          </w:p>
        </w:tc>
        <w:tc>
          <w:tcPr>
            <w:tcW w:w="1163" w:type="pct"/>
            <w:tcBorders>
              <w:right w:val="nil"/>
            </w:tcBorders>
          </w:tcPr>
          <w:p w14:paraId="4240A941" w14:textId="77777777" w:rsidR="009D1F87" w:rsidRPr="00BF4B7C" w:rsidRDefault="009D1F87" w:rsidP="00162CD8">
            <w:pPr>
              <w:keepNext/>
              <w:ind w:right="801"/>
              <w:outlineLvl w:val="5"/>
              <w:rPr>
                <w:rFonts w:ascii="Arial" w:hAnsi="Arial" w:cs="Arial"/>
                <w:sz w:val="20"/>
              </w:rPr>
            </w:pPr>
            <w:r w:rsidRPr="00BF4B7C">
              <w:rPr>
                <w:rFonts w:ascii="Arial" w:hAnsi="Arial" w:cs="Arial"/>
                <w:sz w:val="20"/>
              </w:rPr>
              <w:t>-</w:t>
            </w:r>
          </w:p>
        </w:tc>
        <w:tc>
          <w:tcPr>
            <w:tcW w:w="1163" w:type="pct"/>
            <w:tcBorders>
              <w:left w:val="nil"/>
            </w:tcBorders>
          </w:tcPr>
          <w:p w14:paraId="4240A942" w14:textId="77777777" w:rsidR="009D1F87" w:rsidRPr="00BF4B7C" w:rsidRDefault="009D1F87" w:rsidP="00162CD8">
            <w:pPr>
              <w:ind w:right="801"/>
              <w:rPr>
                <w:rFonts w:ascii="Arial" w:hAnsi="Arial" w:cs="Arial"/>
                <w:b/>
                <w:sz w:val="20"/>
              </w:rPr>
            </w:pPr>
            <w:r w:rsidRPr="00BF4B7C">
              <w:rPr>
                <w:rFonts w:ascii="Arial" w:hAnsi="Arial" w:cs="Arial"/>
                <w:b/>
                <w:sz w:val="20"/>
              </w:rPr>
              <w:t>$0</w:t>
            </w:r>
          </w:p>
        </w:tc>
      </w:tr>
    </w:tbl>
    <w:p w14:paraId="4240A944" w14:textId="77777777" w:rsidR="009D1F87" w:rsidRPr="00BF4B7C" w:rsidRDefault="009D1F87" w:rsidP="009D1F87">
      <w:pPr>
        <w:widowControl w:val="0"/>
        <w:rPr>
          <w:rFonts w:ascii="Arial" w:hAnsi="Arial" w:cs="Arial"/>
          <w:snapToGrid w:val="0"/>
          <w:sz w:val="20"/>
          <w:lang w:eastAsia="en-US"/>
        </w:rPr>
      </w:pPr>
      <w:r w:rsidRPr="00BF4B7C">
        <w:rPr>
          <w:rFonts w:ascii="Arial" w:hAnsi="Arial" w:cs="Arial"/>
          <w:snapToGrid w:val="0"/>
          <w:sz w:val="20"/>
          <w:lang w:eastAsia="en-US"/>
        </w:rPr>
        <w:t>MTA = microwave tissue ablation; RFA = radiofrequency ablation</w:t>
      </w:r>
    </w:p>
    <w:p w14:paraId="4240A945" w14:textId="77777777" w:rsidR="009D1F87" w:rsidRPr="00862680" w:rsidRDefault="009D1F87" w:rsidP="009D1F87">
      <w:pPr>
        <w:keepNext/>
        <w:outlineLvl w:val="2"/>
        <w:rPr>
          <w:b/>
          <w:smallCaps/>
          <w:noProof/>
          <w:szCs w:val="24"/>
        </w:rPr>
      </w:pPr>
      <w:bookmarkStart w:id="38" w:name="_Toc428195679"/>
      <w:bookmarkStart w:id="39" w:name="_Ref378943976"/>
    </w:p>
    <w:p w14:paraId="4240A946" w14:textId="77777777" w:rsidR="009D1F87" w:rsidRPr="00862680" w:rsidRDefault="009D1F87" w:rsidP="009D1F87">
      <w:pPr>
        <w:rPr>
          <w:b/>
        </w:rPr>
      </w:pPr>
      <w:r w:rsidRPr="00862680">
        <w:rPr>
          <w:b/>
        </w:rPr>
        <w:t>Sensitivity analyses</w:t>
      </w:r>
      <w:bookmarkEnd w:id="38"/>
    </w:p>
    <w:p w14:paraId="4240A947" w14:textId="77777777" w:rsidR="009D1F87" w:rsidRPr="00862680" w:rsidRDefault="009D1F87" w:rsidP="009D1F87">
      <w:pPr>
        <w:rPr>
          <w:szCs w:val="24"/>
        </w:rPr>
      </w:pPr>
      <w:r w:rsidRPr="00862680">
        <w:rPr>
          <w:szCs w:val="24"/>
        </w:rPr>
        <w:t xml:space="preserve">Sensitivity analyses are presented in </w:t>
      </w:r>
      <w:r w:rsidR="00BF4B7C" w:rsidRPr="00BF4B7C">
        <w:rPr>
          <w:szCs w:val="24"/>
        </w:rPr>
        <w:fldChar w:fldCharType="begin"/>
      </w:r>
      <w:r w:rsidR="00BF4B7C" w:rsidRPr="00BF4B7C">
        <w:rPr>
          <w:szCs w:val="24"/>
        </w:rPr>
        <w:instrText xml:space="preserve"> REF _Ref457555009 \h  \* MERGEFORMAT </w:instrText>
      </w:r>
      <w:r w:rsidR="00BF4B7C" w:rsidRPr="00BF4B7C">
        <w:rPr>
          <w:szCs w:val="24"/>
        </w:rPr>
      </w:r>
      <w:r w:rsidR="00BF4B7C" w:rsidRPr="00BF4B7C">
        <w:rPr>
          <w:szCs w:val="24"/>
        </w:rPr>
        <w:fldChar w:fldCharType="separate"/>
      </w:r>
      <w:r w:rsidR="003967F8" w:rsidRPr="003967F8">
        <w:rPr>
          <w:szCs w:val="24"/>
        </w:rPr>
        <w:t>Table 5</w:t>
      </w:r>
      <w:r w:rsidR="00BF4B7C" w:rsidRPr="00BF4B7C">
        <w:rPr>
          <w:szCs w:val="24"/>
        </w:rPr>
        <w:fldChar w:fldCharType="end"/>
      </w:r>
      <w:r w:rsidRPr="00BF4B7C">
        <w:rPr>
          <w:szCs w:val="24"/>
        </w:rPr>
        <w:t xml:space="preserve"> </w:t>
      </w:r>
      <w:r w:rsidRPr="00862680">
        <w:rPr>
          <w:szCs w:val="24"/>
        </w:rPr>
        <w:t>to assess the impact of varying the costs associated with the procedures. The base-case analysis considered similar costs for MTA and RFA. A sensitivity analysis considering the weighted cost of MTA based on the number of lesions treated per patient ($817 for treating up to 3 lesions, and $1,300 for &gt;3 lesions) was performed. Approximately 70 per cent of the patient population with primary liver cancer is estimated to have one to three lesions</w:t>
      </w:r>
      <w:r w:rsidR="00D36F66">
        <w:rPr>
          <w:szCs w:val="24"/>
        </w:rPr>
        <w:t>.</w:t>
      </w:r>
      <w:r>
        <w:rPr>
          <w:szCs w:val="24"/>
        </w:rPr>
        <w:t xml:space="preserve"> </w:t>
      </w:r>
      <w:r w:rsidRPr="00862680">
        <w:rPr>
          <w:szCs w:val="24"/>
        </w:rPr>
        <w:t>The weighted cost of MTA based on 70:30 per cent stratification equates to $962.</w:t>
      </w:r>
    </w:p>
    <w:p w14:paraId="4240A948" w14:textId="77777777" w:rsidR="009D1F87" w:rsidRPr="00862680" w:rsidRDefault="009D1F87" w:rsidP="009D1F87">
      <w:pPr>
        <w:rPr>
          <w:szCs w:val="24"/>
        </w:rPr>
      </w:pPr>
    </w:p>
    <w:p w14:paraId="4240A949" w14:textId="77777777" w:rsidR="009D1F87" w:rsidRPr="00862680" w:rsidRDefault="009D1F87" w:rsidP="009D1F87">
      <w:pPr>
        <w:rPr>
          <w:szCs w:val="24"/>
        </w:rPr>
      </w:pPr>
      <w:r w:rsidRPr="00862680">
        <w:rPr>
          <w:szCs w:val="24"/>
        </w:rPr>
        <w:lastRenderedPageBreak/>
        <w:t xml:space="preserve">MTA and RFA are similar procedures with similar safety and effectiveness (Section B). As such, the base-case analysis included similar hospital costs for both. However, as per the applicant’s and some clinicians’ suggestions, if MTA allows faster ablation times than RFA, this would result in cost savings associated with operating/procedure rooms. The operating costs per unit of time could not be identified from the available data, so sensitivity analyses assuming an arbitrary decrease of 10 and 20 per cent in hospital costs associated with MTA are presented. Also, the number of anaesthesia basic units used is decreased from 7 in the base case (MBS item 21922) to 6 and 5, reducing the cost of management of anaesthesia. </w:t>
      </w:r>
    </w:p>
    <w:p w14:paraId="4240A94A" w14:textId="77777777" w:rsidR="009D1F87" w:rsidRPr="00862680" w:rsidRDefault="009D1F87" w:rsidP="009D1F87">
      <w:pPr>
        <w:rPr>
          <w:szCs w:val="24"/>
        </w:rPr>
      </w:pPr>
      <w:r w:rsidRPr="00862680">
        <w:rPr>
          <w:szCs w:val="24"/>
        </w:rPr>
        <w:t>Sensitivity analyses were also performed to assess the impact of varying the number of MTA or RFA sessions per p</w:t>
      </w:r>
      <w:r w:rsidR="0031178B">
        <w:rPr>
          <w:szCs w:val="24"/>
        </w:rPr>
        <w:t>atient</w:t>
      </w:r>
      <w:r w:rsidRPr="00862680">
        <w:rPr>
          <w:szCs w:val="24"/>
        </w:rPr>
        <w:t>.</w:t>
      </w:r>
    </w:p>
    <w:p w14:paraId="4240A94B" w14:textId="77777777" w:rsidR="009D1F87" w:rsidRPr="00862680" w:rsidRDefault="009D1F87" w:rsidP="009D1F87">
      <w:pPr>
        <w:rPr>
          <w:szCs w:val="24"/>
        </w:rPr>
      </w:pPr>
    </w:p>
    <w:p w14:paraId="4240A94C" w14:textId="77777777" w:rsidR="009D1F87" w:rsidRPr="00862680" w:rsidRDefault="00BF4B7C" w:rsidP="009D1F87">
      <w:pPr>
        <w:rPr>
          <w:szCs w:val="24"/>
        </w:rPr>
      </w:pPr>
      <w:r w:rsidRPr="00BF4B7C">
        <w:rPr>
          <w:szCs w:val="24"/>
        </w:rPr>
        <w:fldChar w:fldCharType="begin"/>
      </w:r>
      <w:r>
        <w:rPr>
          <w:szCs w:val="24"/>
        </w:rPr>
        <w:instrText xml:space="preserve"> REF _Ref457555009 \h  \* MERGEFORMAT </w:instrText>
      </w:r>
      <w:r w:rsidRPr="00BF4B7C">
        <w:rPr>
          <w:szCs w:val="24"/>
        </w:rPr>
      </w:r>
      <w:r w:rsidRPr="00BF4B7C">
        <w:rPr>
          <w:szCs w:val="24"/>
        </w:rPr>
        <w:fldChar w:fldCharType="separate"/>
      </w:r>
      <w:r w:rsidR="003967F8" w:rsidRPr="003967F8">
        <w:rPr>
          <w:szCs w:val="24"/>
        </w:rPr>
        <w:t>Table 5</w:t>
      </w:r>
      <w:r w:rsidRPr="00BF4B7C">
        <w:rPr>
          <w:szCs w:val="24"/>
        </w:rPr>
        <w:fldChar w:fldCharType="end"/>
      </w:r>
      <w:r w:rsidR="009D1F87" w:rsidRPr="00862680">
        <w:rPr>
          <w:szCs w:val="24"/>
        </w:rPr>
        <w:t xml:space="preserve"> presents the sensitivity analyses of key parameters discussed above.</w:t>
      </w:r>
      <w:r w:rsidR="009D1F87" w:rsidRPr="00862680">
        <w:rPr>
          <w:szCs w:val="24"/>
        </w:rPr>
        <w:br/>
      </w:r>
    </w:p>
    <w:p w14:paraId="4240A94D" w14:textId="77777777" w:rsidR="009D1F87" w:rsidRPr="00BF4B7C" w:rsidRDefault="009D1F87" w:rsidP="009D1F87">
      <w:pPr>
        <w:keepNext/>
        <w:rPr>
          <w:rFonts w:ascii="Arial" w:hAnsi="Arial" w:cs="Arial"/>
          <w:b/>
          <w:bCs/>
          <w:sz w:val="20"/>
        </w:rPr>
      </w:pPr>
      <w:bookmarkStart w:id="40" w:name="_Ref457555009"/>
      <w:bookmarkStart w:id="41" w:name="OLE_LINK210"/>
      <w:bookmarkStart w:id="42" w:name="_Toc460406502"/>
      <w:r w:rsidRPr="00BF4B7C">
        <w:rPr>
          <w:rFonts w:ascii="Arial" w:hAnsi="Arial" w:cs="Arial"/>
          <w:b/>
          <w:bCs/>
          <w:sz w:val="20"/>
        </w:rPr>
        <w:t xml:space="preserve">Table </w:t>
      </w:r>
      <w:r w:rsidRPr="00BF4B7C">
        <w:rPr>
          <w:rFonts w:ascii="Arial" w:hAnsi="Arial" w:cs="Arial"/>
          <w:b/>
          <w:bCs/>
          <w:sz w:val="20"/>
        </w:rPr>
        <w:fldChar w:fldCharType="begin"/>
      </w:r>
      <w:r w:rsidRPr="00BF4B7C">
        <w:rPr>
          <w:rFonts w:ascii="Arial" w:hAnsi="Arial" w:cs="Arial"/>
          <w:b/>
          <w:bCs/>
          <w:sz w:val="20"/>
        </w:rPr>
        <w:instrText xml:space="preserve"> SEQ Table \* ARABIC </w:instrText>
      </w:r>
      <w:r w:rsidRPr="00BF4B7C">
        <w:rPr>
          <w:rFonts w:ascii="Arial" w:hAnsi="Arial" w:cs="Arial"/>
          <w:b/>
          <w:bCs/>
          <w:sz w:val="20"/>
        </w:rPr>
        <w:fldChar w:fldCharType="separate"/>
      </w:r>
      <w:r w:rsidR="003967F8">
        <w:rPr>
          <w:rFonts w:ascii="Arial" w:hAnsi="Arial" w:cs="Arial"/>
          <w:b/>
          <w:bCs/>
          <w:noProof/>
          <w:sz w:val="20"/>
        </w:rPr>
        <w:t>5</w:t>
      </w:r>
      <w:r w:rsidRPr="00BF4B7C">
        <w:rPr>
          <w:rFonts w:ascii="Arial" w:hAnsi="Arial" w:cs="Arial"/>
          <w:b/>
          <w:bCs/>
          <w:noProof/>
          <w:sz w:val="20"/>
        </w:rPr>
        <w:fldChar w:fldCharType="end"/>
      </w:r>
      <w:bookmarkEnd w:id="40"/>
      <w:r w:rsidRPr="00BF4B7C">
        <w:rPr>
          <w:rFonts w:ascii="Arial" w:hAnsi="Arial" w:cs="Arial"/>
          <w:b/>
          <w:bCs/>
          <w:sz w:val="20"/>
        </w:rPr>
        <w:tab/>
      </w:r>
      <w:r w:rsidR="00BF4B7C">
        <w:rPr>
          <w:rFonts w:ascii="Arial" w:hAnsi="Arial" w:cs="Arial"/>
          <w:b/>
          <w:bCs/>
          <w:sz w:val="20"/>
        </w:rPr>
        <w:tab/>
      </w:r>
      <w:r w:rsidRPr="00BF4B7C">
        <w:rPr>
          <w:rFonts w:ascii="Arial" w:hAnsi="Arial" w:cs="Arial"/>
          <w:b/>
          <w:bCs/>
          <w:sz w:val="20"/>
        </w:rPr>
        <w:t>One-way sensitivity analyses of key parameters, Population 1</w:t>
      </w:r>
      <w:bookmarkEnd w:id="41"/>
      <w:bookmarkEnd w:id="42"/>
    </w:p>
    <w:tbl>
      <w:tblPr>
        <w:tblStyle w:val="TableGrid1"/>
        <w:tblW w:w="5000" w:type="pct"/>
        <w:tblInd w:w="-9" w:type="dxa"/>
        <w:tblCellMar>
          <w:left w:w="28" w:type="dxa"/>
          <w:right w:w="28" w:type="dxa"/>
        </w:tblCellMar>
        <w:tblLook w:val="04A0" w:firstRow="1" w:lastRow="0" w:firstColumn="1" w:lastColumn="0" w:noHBand="0" w:noVBand="1"/>
        <w:tblDescription w:val="Table 31 One-way sensitivity analyses of key parameters, Population 1"/>
      </w:tblPr>
      <w:tblGrid>
        <w:gridCol w:w="4481"/>
        <w:gridCol w:w="1398"/>
        <w:gridCol w:w="1325"/>
        <w:gridCol w:w="1878"/>
      </w:tblGrid>
      <w:tr w:rsidR="009D1F87" w:rsidRPr="00BF4B7C" w14:paraId="4240A953" w14:textId="77777777" w:rsidTr="00162CD8">
        <w:trPr>
          <w:trHeight w:val="300"/>
          <w:tblHeader/>
        </w:trPr>
        <w:tc>
          <w:tcPr>
            <w:tcW w:w="2352" w:type="pct"/>
            <w:noWrap/>
            <w:hideMark/>
          </w:tcPr>
          <w:p w14:paraId="4240A94E" w14:textId="77777777" w:rsidR="009D1F87" w:rsidRPr="00BF4B7C" w:rsidRDefault="009D1F87" w:rsidP="00162CD8">
            <w:pPr>
              <w:keepNext/>
              <w:spacing w:before="0"/>
              <w:rPr>
                <w:rFonts w:ascii="Arial" w:hAnsi="Arial" w:cs="Arial"/>
                <w:b/>
                <w:sz w:val="20"/>
              </w:rPr>
            </w:pPr>
            <w:r w:rsidRPr="00BF4B7C">
              <w:rPr>
                <w:rFonts w:ascii="Arial" w:hAnsi="Arial" w:cs="Arial"/>
                <w:b/>
                <w:sz w:val="20"/>
              </w:rPr>
              <w:t>Sensitivity analyses</w:t>
            </w:r>
          </w:p>
        </w:tc>
        <w:tc>
          <w:tcPr>
            <w:tcW w:w="808" w:type="pct"/>
            <w:noWrap/>
            <w:hideMark/>
          </w:tcPr>
          <w:p w14:paraId="4240A94F" w14:textId="77777777" w:rsidR="009D1F87" w:rsidRPr="00BF4B7C" w:rsidRDefault="009D1F87" w:rsidP="00162CD8">
            <w:pPr>
              <w:keepNext/>
              <w:spacing w:before="0"/>
              <w:rPr>
                <w:rFonts w:ascii="Arial" w:hAnsi="Arial" w:cs="Arial"/>
                <w:b/>
                <w:sz w:val="20"/>
              </w:rPr>
            </w:pPr>
            <w:r w:rsidRPr="00BF4B7C">
              <w:rPr>
                <w:rFonts w:ascii="Arial" w:hAnsi="Arial" w:cs="Arial"/>
                <w:b/>
                <w:sz w:val="20"/>
              </w:rPr>
              <w:t>MTA</w:t>
            </w:r>
          </w:p>
        </w:tc>
        <w:tc>
          <w:tcPr>
            <w:tcW w:w="768" w:type="pct"/>
            <w:noWrap/>
            <w:hideMark/>
          </w:tcPr>
          <w:p w14:paraId="4240A950" w14:textId="77777777" w:rsidR="009D1F87" w:rsidRPr="00BF4B7C" w:rsidRDefault="009D1F87" w:rsidP="00162CD8">
            <w:pPr>
              <w:keepNext/>
              <w:spacing w:before="0"/>
              <w:rPr>
                <w:rFonts w:ascii="Arial" w:hAnsi="Arial" w:cs="Arial"/>
                <w:b/>
                <w:sz w:val="20"/>
              </w:rPr>
            </w:pPr>
            <w:r w:rsidRPr="00BF4B7C">
              <w:rPr>
                <w:rFonts w:ascii="Arial" w:hAnsi="Arial" w:cs="Arial"/>
                <w:b/>
                <w:sz w:val="20"/>
              </w:rPr>
              <w:t>RFA</w:t>
            </w:r>
          </w:p>
        </w:tc>
        <w:tc>
          <w:tcPr>
            <w:tcW w:w="1072" w:type="pct"/>
            <w:noWrap/>
            <w:hideMark/>
          </w:tcPr>
          <w:p w14:paraId="4240A951" w14:textId="77777777" w:rsidR="009D1F87" w:rsidRPr="00BF4B7C" w:rsidRDefault="009D1F87" w:rsidP="00162CD8">
            <w:pPr>
              <w:keepNext/>
              <w:spacing w:before="0"/>
              <w:rPr>
                <w:rFonts w:ascii="Arial" w:hAnsi="Arial" w:cs="Arial"/>
                <w:b/>
                <w:sz w:val="20"/>
              </w:rPr>
            </w:pPr>
            <w:r w:rsidRPr="00BF4B7C">
              <w:rPr>
                <w:rFonts w:ascii="Arial" w:hAnsi="Arial" w:cs="Arial"/>
                <w:b/>
                <w:sz w:val="20"/>
              </w:rPr>
              <w:t>Incremental cost</w:t>
            </w:r>
          </w:p>
          <w:p w14:paraId="4240A952" w14:textId="77777777" w:rsidR="009D1F87" w:rsidRPr="00BF4B7C" w:rsidRDefault="009D1F87" w:rsidP="00162CD8">
            <w:pPr>
              <w:keepNext/>
              <w:spacing w:before="0"/>
              <w:rPr>
                <w:rFonts w:ascii="Arial" w:hAnsi="Arial" w:cs="Arial"/>
                <w:b/>
                <w:sz w:val="20"/>
              </w:rPr>
            </w:pPr>
            <w:r w:rsidRPr="00BF4B7C">
              <w:rPr>
                <w:rFonts w:ascii="Arial" w:hAnsi="Arial" w:cs="Arial"/>
                <w:b/>
                <w:sz w:val="20"/>
              </w:rPr>
              <w:t>per patient</w:t>
            </w:r>
          </w:p>
        </w:tc>
      </w:tr>
      <w:tr w:rsidR="009D1F87" w:rsidRPr="00BF4B7C" w14:paraId="4240A958" w14:textId="77777777" w:rsidTr="00162CD8">
        <w:trPr>
          <w:trHeight w:val="300"/>
        </w:trPr>
        <w:tc>
          <w:tcPr>
            <w:tcW w:w="2352" w:type="pct"/>
            <w:noWrap/>
          </w:tcPr>
          <w:p w14:paraId="4240A954" w14:textId="77777777" w:rsidR="009D1F87" w:rsidRPr="00BF4B7C" w:rsidRDefault="009D1F87" w:rsidP="00162CD8">
            <w:pPr>
              <w:keepNext/>
              <w:spacing w:before="0"/>
              <w:rPr>
                <w:rFonts w:ascii="Arial" w:hAnsi="Arial" w:cs="Arial"/>
                <w:b/>
                <w:sz w:val="20"/>
              </w:rPr>
            </w:pPr>
            <w:r w:rsidRPr="00BF4B7C">
              <w:rPr>
                <w:rFonts w:ascii="Arial" w:hAnsi="Arial" w:cs="Arial"/>
                <w:b/>
                <w:sz w:val="20"/>
              </w:rPr>
              <w:t>Base case</w:t>
            </w:r>
          </w:p>
        </w:tc>
        <w:tc>
          <w:tcPr>
            <w:tcW w:w="808" w:type="pct"/>
            <w:noWrap/>
          </w:tcPr>
          <w:p w14:paraId="4240A955" w14:textId="77777777" w:rsidR="009D1F87" w:rsidRPr="00BF4B7C" w:rsidRDefault="009D1F87" w:rsidP="00162CD8">
            <w:pPr>
              <w:keepNext/>
              <w:spacing w:before="0"/>
              <w:ind w:right="423"/>
              <w:rPr>
                <w:rFonts w:ascii="Arial" w:hAnsi="Arial" w:cs="Arial"/>
                <w:b/>
                <w:sz w:val="20"/>
              </w:rPr>
            </w:pPr>
            <w:r w:rsidRPr="00BF4B7C">
              <w:rPr>
                <w:rFonts w:ascii="Arial" w:hAnsi="Arial" w:cs="Arial"/>
                <w:b/>
                <w:sz w:val="20"/>
              </w:rPr>
              <w:t>$7,235</w:t>
            </w:r>
          </w:p>
        </w:tc>
        <w:tc>
          <w:tcPr>
            <w:tcW w:w="768" w:type="pct"/>
            <w:noWrap/>
          </w:tcPr>
          <w:p w14:paraId="4240A956" w14:textId="77777777" w:rsidR="009D1F87" w:rsidRPr="00BF4B7C" w:rsidRDefault="009D1F87" w:rsidP="00162CD8">
            <w:pPr>
              <w:keepNext/>
              <w:spacing w:before="0"/>
              <w:ind w:right="423"/>
              <w:rPr>
                <w:rFonts w:ascii="Arial" w:hAnsi="Arial" w:cs="Arial"/>
                <w:b/>
                <w:sz w:val="20"/>
              </w:rPr>
            </w:pPr>
            <w:r w:rsidRPr="00BF4B7C">
              <w:rPr>
                <w:rFonts w:ascii="Arial" w:hAnsi="Arial" w:cs="Arial"/>
                <w:b/>
                <w:sz w:val="20"/>
              </w:rPr>
              <w:t>$7,235</w:t>
            </w:r>
          </w:p>
        </w:tc>
        <w:tc>
          <w:tcPr>
            <w:tcW w:w="1072" w:type="pct"/>
            <w:noWrap/>
          </w:tcPr>
          <w:p w14:paraId="4240A957" w14:textId="77777777" w:rsidR="009D1F87" w:rsidRPr="00BF4B7C" w:rsidRDefault="009D1F87" w:rsidP="00162CD8">
            <w:pPr>
              <w:keepNext/>
              <w:spacing w:before="0"/>
              <w:ind w:right="642"/>
              <w:rPr>
                <w:rFonts w:ascii="Arial" w:hAnsi="Arial" w:cs="Arial"/>
                <w:b/>
                <w:sz w:val="20"/>
              </w:rPr>
            </w:pPr>
            <w:r w:rsidRPr="00BF4B7C">
              <w:rPr>
                <w:rFonts w:ascii="Arial" w:hAnsi="Arial" w:cs="Arial"/>
                <w:b/>
                <w:sz w:val="20"/>
              </w:rPr>
              <w:t>$0</w:t>
            </w:r>
          </w:p>
        </w:tc>
      </w:tr>
      <w:tr w:rsidR="009D1F87" w:rsidRPr="00BF4B7C" w14:paraId="4240A95D" w14:textId="77777777" w:rsidTr="00162CD8">
        <w:trPr>
          <w:trHeight w:val="300"/>
        </w:trPr>
        <w:tc>
          <w:tcPr>
            <w:tcW w:w="2352" w:type="pct"/>
            <w:noWrap/>
            <w:hideMark/>
          </w:tcPr>
          <w:p w14:paraId="4240A959" w14:textId="77777777" w:rsidR="009D1F87" w:rsidRPr="00BF4B7C" w:rsidRDefault="009D1F87" w:rsidP="00162CD8">
            <w:pPr>
              <w:spacing w:before="0"/>
              <w:rPr>
                <w:rFonts w:ascii="Arial" w:hAnsi="Arial" w:cs="Arial"/>
                <w:sz w:val="20"/>
              </w:rPr>
            </w:pPr>
            <w:r w:rsidRPr="00BF4B7C">
              <w:rPr>
                <w:rFonts w:ascii="Arial" w:hAnsi="Arial" w:cs="Arial"/>
                <w:sz w:val="20"/>
              </w:rPr>
              <w:t>Weighted MBS fee for MTA: $962</w:t>
            </w:r>
          </w:p>
        </w:tc>
        <w:tc>
          <w:tcPr>
            <w:tcW w:w="808" w:type="pct"/>
            <w:noWrap/>
            <w:hideMark/>
          </w:tcPr>
          <w:p w14:paraId="4240A95A" w14:textId="77777777" w:rsidR="009D1F87" w:rsidRPr="00BF4B7C" w:rsidRDefault="009D1F87" w:rsidP="00162CD8">
            <w:pPr>
              <w:spacing w:before="0"/>
              <w:ind w:right="423"/>
              <w:rPr>
                <w:rFonts w:ascii="Arial" w:hAnsi="Arial" w:cs="Arial"/>
                <w:sz w:val="20"/>
              </w:rPr>
            </w:pPr>
            <w:r w:rsidRPr="00BF4B7C">
              <w:rPr>
                <w:rFonts w:ascii="Arial" w:hAnsi="Arial" w:cs="Arial"/>
                <w:sz w:val="20"/>
              </w:rPr>
              <w:t>$7,380</w:t>
            </w:r>
          </w:p>
        </w:tc>
        <w:tc>
          <w:tcPr>
            <w:tcW w:w="768" w:type="pct"/>
            <w:noWrap/>
            <w:hideMark/>
          </w:tcPr>
          <w:p w14:paraId="4240A95B" w14:textId="77777777" w:rsidR="009D1F87" w:rsidRPr="00BF4B7C" w:rsidRDefault="009D1F87" w:rsidP="00162CD8">
            <w:pPr>
              <w:spacing w:before="0"/>
              <w:ind w:right="423"/>
              <w:rPr>
                <w:rFonts w:ascii="Arial" w:hAnsi="Arial" w:cs="Arial"/>
                <w:sz w:val="20"/>
              </w:rPr>
            </w:pPr>
            <w:r w:rsidRPr="00BF4B7C">
              <w:rPr>
                <w:rFonts w:ascii="Arial" w:hAnsi="Arial" w:cs="Arial"/>
                <w:sz w:val="20"/>
              </w:rPr>
              <w:t>$7,235</w:t>
            </w:r>
          </w:p>
        </w:tc>
        <w:tc>
          <w:tcPr>
            <w:tcW w:w="1072" w:type="pct"/>
            <w:noWrap/>
            <w:hideMark/>
          </w:tcPr>
          <w:p w14:paraId="4240A95C" w14:textId="77777777" w:rsidR="009D1F87" w:rsidRPr="00BF4B7C" w:rsidRDefault="009D1F87" w:rsidP="00162CD8">
            <w:pPr>
              <w:spacing w:before="0"/>
              <w:ind w:right="642"/>
              <w:rPr>
                <w:rFonts w:ascii="Arial" w:hAnsi="Arial" w:cs="Arial"/>
                <w:sz w:val="20"/>
              </w:rPr>
            </w:pPr>
            <w:r w:rsidRPr="00BF4B7C">
              <w:rPr>
                <w:rFonts w:ascii="Arial" w:hAnsi="Arial" w:cs="Arial"/>
                <w:sz w:val="20"/>
              </w:rPr>
              <w:t>$145</w:t>
            </w:r>
          </w:p>
        </w:tc>
      </w:tr>
      <w:tr w:rsidR="009D1F87" w:rsidRPr="00BF4B7C" w14:paraId="4240A962" w14:textId="77777777" w:rsidTr="00BF4B7C">
        <w:trPr>
          <w:trHeight w:val="300"/>
        </w:trPr>
        <w:tc>
          <w:tcPr>
            <w:tcW w:w="2352" w:type="pct"/>
            <w:noWrap/>
            <w:hideMark/>
          </w:tcPr>
          <w:p w14:paraId="4240A95E" w14:textId="77777777" w:rsidR="009D1F87" w:rsidRPr="00BF4B7C" w:rsidRDefault="009D1F87" w:rsidP="00162CD8">
            <w:pPr>
              <w:spacing w:before="0"/>
              <w:rPr>
                <w:rFonts w:ascii="Arial" w:hAnsi="Arial" w:cs="Arial"/>
                <w:sz w:val="20"/>
              </w:rPr>
            </w:pPr>
            <w:r w:rsidRPr="00BF4B7C">
              <w:rPr>
                <w:rFonts w:ascii="Arial" w:hAnsi="Arial" w:cs="Arial"/>
                <w:sz w:val="20"/>
              </w:rPr>
              <w:t>Reducing hospital costs of MTA by 10%</w:t>
            </w:r>
          </w:p>
        </w:tc>
        <w:tc>
          <w:tcPr>
            <w:tcW w:w="808" w:type="pct"/>
            <w:noWrap/>
            <w:hideMark/>
          </w:tcPr>
          <w:p w14:paraId="4240A95F" w14:textId="77777777" w:rsidR="009D1F87" w:rsidRPr="00BF4B7C" w:rsidRDefault="009D1F87" w:rsidP="00162CD8">
            <w:pPr>
              <w:spacing w:before="0"/>
              <w:ind w:right="423"/>
              <w:rPr>
                <w:rFonts w:ascii="Arial" w:hAnsi="Arial" w:cs="Arial"/>
                <w:sz w:val="20"/>
              </w:rPr>
            </w:pPr>
            <w:r w:rsidRPr="00BF4B7C">
              <w:rPr>
                <w:rFonts w:ascii="Arial" w:hAnsi="Arial" w:cs="Arial"/>
                <w:sz w:val="20"/>
              </w:rPr>
              <w:t>$6,611</w:t>
            </w:r>
          </w:p>
        </w:tc>
        <w:tc>
          <w:tcPr>
            <w:tcW w:w="768" w:type="pct"/>
            <w:noWrap/>
            <w:hideMark/>
          </w:tcPr>
          <w:p w14:paraId="4240A960" w14:textId="77777777" w:rsidR="009D1F87" w:rsidRPr="00BF4B7C" w:rsidRDefault="009D1F87" w:rsidP="00162CD8">
            <w:pPr>
              <w:spacing w:before="0"/>
              <w:ind w:right="423"/>
              <w:rPr>
                <w:rFonts w:ascii="Arial" w:hAnsi="Arial" w:cs="Arial"/>
                <w:sz w:val="20"/>
              </w:rPr>
            </w:pPr>
            <w:r w:rsidRPr="00BF4B7C">
              <w:rPr>
                <w:rFonts w:ascii="Arial" w:hAnsi="Arial" w:cs="Arial"/>
                <w:sz w:val="20"/>
              </w:rPr>
              <w:t>$7,235</w:t>
            </w:r>
          </w:p>
        </w:tc>
        <w:tc>
          <w:tcPr>
            <w:tcW w:w="1072" w:type="pct"/>
            <w:shd w:val="clear" w:color="auto" w:fill="D9D9D9" w:themeFill="background1" w:themeFillShade="D9"/>
            <w:noWrap/>
            <w:hideMark/>
          </w:tcPr>
          <w:p w14:paraId="4240A961" w14:textId="77777777" w:rsidR="009D1F87" w:rsidRPr="00BF4B7C" w:rsidRDefault="009D1F87" w:rsidP="00162CD8">
            <w:pPr>
              <w:spacing w:before="0"/>
              <w:ind w:right="642"/>
              <w:rPr>
                <w:rFonts w:ascii="Arial" w:hAnsi="Arial" w:cs="Arial"/>
                <w:sz w:val="20"/>
              </w:rPr>
            </w:pPr>
            <w:r w:rsidRPr="00BF4B7C">
              <w:rPr>
                <w:rFonts w:ascii="Arial" w:hAnsi="Arial" w:cs="Arial"/>
                <w:sz w:val="20"/>
              </w:rPr>
              <w:t>−$624</w:t>
            </w:r>
          </w:p>
        </w:tc>
      </w:tr>
      <w:tr w:rsidR="009D1F87" w:rsidRPr="00BF4B7C" w14:paraId="4240A967" w14:textId="77777777" w:rsidTr="00BF4B7C">
        <w:trPr>
          <w:trHeight w:val="300"/>
        </w:trPr>
        <w:tc>
          <w:tcPr>
            <w:tcW w:w="2352" w:type="pct"/>
            <w:noWrap/>
            <w:hideMark/>
          </w:tcPr>
          <w:p w14:paraId="4240A963" w14:textId="77777777" w:rsidR="009D1F87" w:rsidRPr="00BF4B7C" w:rsidRDefault="009D1F87" w:rsidP="00162CD8">
            <w:pPr>
              <w:spacing w:before="0"/>
              <w:rPr>
                <w:rFonts w:ascii="Arial" w:hAnsi="Arial" w:cs="Arial"/>
                <w:sz w:val="20"/>
              </w:rPr>
            </w:pPr>
            <w:r w:rsidRPr="00BF4B7C">
              <w:rPr>
                <w:rFonts w:ascii="Arial" w:hAnsi="Arial" w:cs="Arial"/>
                <w:sz w:val="20"/>
              </w:rPr>
              <w:t>Reducing hospital costs of MTA by 20%</w:t>
            </w:r>
          </w:p>
        </w:tc>
        <w:tc>
          <w:tcPr>
            <w:tcW w:w="808" w:type="pct"/>
            <w:noWrap/>
            <w:hideMark/>
          </w:tcPr>
          <w:p w14:paraId="4240A964" w14:textId="77777777" w:rsidR="009D1F87" w:rsidRPr="00BF4B7C" w:rsidRDefault="009D1F87" w:rsidP="00162CD8">
            <w:pPr>
              <w:spacing w:before="0"/>
              <w:ind w:right="423"/>
              <w:rPr>
                <w:rFonts w:ascii="Arial" w:hAnsi="Arial" w:cs="Arial"/>
                <w:sz w:val="20"/>
              </w:rPr>
            </w:pPr>
            <w:r w:rsidRPr="00BF4B7C">
              <w:rPr>
                <w:rFonts w:ascii="Arial" w:hAnsi="Arial" w:cs="Arial"/>
                <w:sz w:val="20"/>
              </w:rPr>
              <w:t>$5,988</w:t>
            </w:r>
          </w:p>
        </w:tc>
        <w:tc>
          <w:tcPr>
            <w:tcW w:w="768" w:type="pct"/>
            <w:noWrap/>
            <w:hideMark/>
          </w:tcPr>
          <w:p w14:paraId="4240A965" w14:textId="77777777" w:rsidR="009D1F87" w:rsidRPr="00BF4B7C" w:rsidRDefault="009D1F87" w:rsidP="00162CD8">
            <w:pPr>
              <w:spacing w:before="0"/>
              <w:ind w:right="423"/>
              <w:rPr>
                <w:rFonts w:ascii="Arial" w:hAnsi="Arial" w:cs="Arial"/>
                <w:sz w:val="20"/>
              </w:rPr>
            </w:pPr>
            <w:r w:rsidRPr="00BF4B7C">
              <w:rPr>
                <w:rFonts w:ascii="Arial" w:hAnsi="Arial" w:cs="Arial"/>
                <w:sz w:val="20"/>
              </w:rPr>
              <w:t>$7,235</w:t>
            </w:r>
          </w:p>
        </w:tc>
        <w:tc>
          <w:tcPr>
            <w:tcW w:w="1072" w:type="pct"/>
            <w:shd w:val="clear" w:color="auto" w:fill="D9D9D9" w:themeFill="background1" w:themeFillShade="D9"/>
            <w:noWrap/>
            <w:hideMark/>
          </w:tcPr>
          <w:p w14:paraId="4240A966" w14:textId="77777777" w:rsidR="009D1F87" w:rsidRPr="00BF4B7C" w:rsidRDefault="009D1F87" w:rsidP="00162CD8">
            <w:pPr>
              <w:spacing w:before="0"/>
              <w:ind w:right="642"/>
              <w:rPr>
                <w:rFonts w:ascii="Arial" w:hAnsi="Arial" w:cs="Arial"/>
                <w:sz w:val="20"/>
              </w:rPr>
            </w:pPr>
            <w:r w:rsidRPr="00BF4B7C">
              <w:rPr>
                <w:rFonts w:ascii="Arial" w:hAnsi="Arial" w:cs="Arial"/>
                <w:sz w:val="20"/>
              </w:rPr>
              <w:t>−$1,247</w:t>
            </w:r>
          </w:p>
        </w:tc>
      </w:tr>
      <w:tr w:rsidR="009D1F87" w:rsidRPr="00BF4B7C" w14:paraId="4240A96C" w14:textId="77777777" w:rsidTr="00BF4B7C">
        <w:trPr>
          <w:trHeight w:val="300"/>
        </w:trPr>
        <w:tc>
          <w:tcPr>
            <w:tcW w:w="2352" w:type="pct"/>
            <w:noWrap/>
            <w:hideMark/>
          </w:tcPr>
          <w:p w14:paraId="4240A968" w14:textId="77777777" w:rsidR="009D1F87" w:rsidRPr="00BF4B7C" w:rsidRDefault="009D1F87" w:rsidP="00162CD8">
            <w:pPr>
              <w:spacing w:before="0"/>
              <w:rPr>
                <w:rFonts w:ascii="Arial" w:hAnsi="Arial" w:cs="Arial"/>
                <w:sz w:val="20"/>
              </w:rPr>
            </w:pPr>
            <w:r w:rsidRPr="00BF4B7C">
              <w:rPr>
                <w:rFonts w:ascii="Arial" w:hAnsi="Arial" w:cs="Arial"/>
                <w:sz w:val="20"/>
              </w:rPr>
              <w:t xml:space="preserve">Reducing 1 basic units of anaesthesia for MTA </w:t>
            </w:r>
          </w:p>
        </w:tc>
        <w:tc>
          <w:tcPr>
            <w:tcW w:w="808" w:type="pct"/>
            <w:noWrap/>
            <w:hideMark/>
          </w:tcPr>
          <w:p w14:paraId="4240A969" w14:textId="77777777" w:rsidR="009D1F87" w:rsidRPr="00BF4B7C" w:rsidRDefault="009D1F87" w:rsidP="00162CD8">
            <w:pPr>
              <w:spacing w:before="0"/>
              <w:ind w:right="423"/>
              <w:rPr>
                <w:rFonts w:ascii="Arial" w:hAnsi="Arial" w:cs="Arial"/>
                <w:sz w:val="20"/>
              </w:rPr>
            </w:pPr>
            <w:r w:rsidRPr="00BF4B7C">
              <w:rPr>
                <w:rFonts w:ascii="Arial" w:hAnsi="Arial" w:cs="Arial"/>
                <w:sz w:val="20"/>
              </w:rPr>
              <w:t>$7,215</w:t>
            </w:r>
          </w:p>
        </w:tc>
        <w:tc>
          <w:tcPr>
            <w:tcW w:w="768" w:type="pct"/>
            <w:noWrap/>
            <w:hideMark/>
          </w:tcPr>
          <w:p w14:paraId="4240A96A" w14:textId="77777777" w:rsidR="009D1F87" w:rsidRPr="00BF4B7C" w:rsidRDefault="009D1F87" w:rsidP="00162CD8">
            <w:pPr>
              <w:spacing w:before="0"/>
              <w:ind w:right="423"/>
              <w:rPr>
                <w:rFonts w:ascii="Arial" w:hAnsi="Arial" w:cs="Arial"/>
                <w:sz w:val="20"/>
              </w:rPr>
            </w:pPr>
            <w:r w:rsidRPr="00BF4B7C">
              <w:rPr>
                <w:rFonts w:ascii="Arial" w:hAnsi="Arial" w:cs="Arial"/>
                <w:sz w:val="20"/>
              </w:rPr>
              <w:t>$7,235</w:t>
            </w:r>
          </w:p>
        </w:tc>
        <w:tc>
          <w:tcPr>
            <w:tcW w:w="1072" w:type="pct"/>
            <w:shd w:val="clear" w:color="auto" w:fill="D9D9D9" w:themeFill="background1" w:themeFillShade="D9"/>
            <w:noWrap/>
            <w:hideMark/>
          </w:tcPr>
          <w:p w14:paraId="4240A96B" w14:textId="77777777" w:rsidR="009D1F87" w:rsidRPr="00BF4B7C" w:rsidRDefault="009D1F87" w:rsidP="00162CD8">
            <w:pPr>
              <w:spacing w:before="0"/>
              <w:ind w:right="642"/>
              <w:rPr>
                <w:rFonts w:ascii="Arial" w:hAnsi="Arial" w:cs="Arial"/>
                <w:sz w:val="20"/>
              </w:rPr>
            </w:pPr>
            <w:r w:rsidRPr="00BF4B7C">
              <w:rPr>
                <w:rFonts w:ascii="Arial" w:hAnsi="Arial" w:cs="Arial"/>
                <w:sz w:val="20"/>
              </w:rPr>
              <w:t>−$20</w:t>
            </w:r>
          </w:p>
        </w:tc>
      </w:tr>
      <w:tr w:rsidR="009D1F87" w:rsidRPr="00BF4B7C" w14:paraId="4240A971" w14:textId="77777777" w:rsidTr="00BF4B7C">
        <w:trPr>
          <w:trHeight w:val="300"/>
        </w:trPr>
        <w:tc>
          <w:tcPr>
            <w:tcW w:w="2352" w:type="pct"/>
            <w:noWrap/>
            <w:hideMark/>
          </w:tcPr>
          <w:p w14:paraId="4240A96D" w14:textId="77777777" w:rsidR="009D1F87" w:rsidRPr="00BF4B7C" w:rsidRDefault="009D1F87" w:rsidP="00162CD8">
            <w:pPr>
              <w:spacing w:before="0"/>
              <w:rPr>
                <w:rFonts w:ascii="Arial" w:hAnsi="Arial" w:cs="Arial"/>
                <w:sz w:val="20"/>
              </w:rPr>
            </w:pPr>
            <w:r w:rsidRPr="00BF4B7C">
              <w:rPr>
                <w:rFonts w:ascii="Arial" w:hAnsi="Arial" w:cs="Arial"/>
                <w:sz w:val="20"/>
              </w:rPr>
              <w:t xml:space="preserve">Reducing 2 basic unit of anaesthesia for MTA </w:t>
            </w:r>
          </w:p>
        </w:tc>
        <w:tc>
          <w:tcPr>
            <w:tcW w:w="808" w:type="pct"/>
            <w:noWrap/>
            <w:hideMark/>
          </w:tcPr>
          <w:p w14:paraId="4240A96E" w14:textId="77777777" w:rsidR="009D1F87" w:rsidRPr="00BF4B7C" w:rsidRDefault="009D1F87" w:rsidP="00162CD8">
            <w:pPr>
              <w:spacing w:before="0"/>
              <w:ind w:right="423"/>
              <w:rPr>
                <w:rFonts w:ascii="Arial" w:hAnsi="Arial" w:cs="Arial"/>
                <w:sz w:val="20"/>
              </w:rPr>
            </w:pPr>
            <w:r w:rsidRPr="00BF4B7C">
              <w:rPr>
                <w:rFonts w:ascii="Arial" w:hAnsi="Arial" w:cs="Arial"/>
                <w:sz w:val="20"/>
              </w:rPr>
              <w:t>$7,195</w:t>
            </w:r>
          </w:p>
        </w:tc>
        <w:tc>
          <w:tcPr>
            <w:tcW w:w="768" w:type="pct"/>
            <w:noWrap/>
            <w:hideMark/>
          </w:tcPr>
          <w:p w14:paraId="4240A96F" w14:textId="77777777" w:rsidR="009D1F87" w:rsidRPr="00BF4B7C" w:rsidRDefault="009D1F87" w:rsidP="00162CD8">
            <w:pPr>
              <w:spacing w:before="0"/>
              <w:ind w:right="423"/>
              <w:rPr>
                <w:rFonts w:ascii="Arial" w:hAnsi="Arial" w:cs="Arial"/>
                <w:sz w:val="20"/>
              </w:rPr>
            </w:pPr>
            <w:r w:rsidRPr="00BF4B7C">
              <w:rPr>
                <w:rFonts w:ascii="Arial" w:hAnsi="Arial" w:cs="Arial"/>
                <w:sz w:val="20"/>
              </w:rPr>
              <w:t>$7,235</w:t>
            </w:r>
          </w:p>
        </w:tc>
        <w:tc>
          <w:tcPr>
            <w:tcW w:w="1072" w:type="pct"/>
            <w:shd w:val="clear" w:color="auto" w:fill="D9D9D9" w:themeFill="background1" w:themeFillShade="D9"/>
            <w:noWrap/>
            <w:hideMark/>
          </w:tcPr>
          <w:p w14:paraId="4240A970" w14:textId="77777777" w:rsidR="009D1F87" w:rsidRPr="00BF4B7C" w:rsidRDefault="009D1F87" w:rsidP="00162CD8">
            <w:pPr>
              <w:spacing w:before="0"/>
              <w:ind w:right="642"/>
              <w:rPr>
                <w:rFonts w:ascii="Arial" w:hAnsi="Arial" w:cs="Arial"/>
                <w:sz w:val="20"/>
              </w:rPr>
            </w:pPr>
            <w:r w:rsidRPr="00BF4B7C">
              <w:rPr>
                <w:rFonts w:ascii="Arial" w:hAnsi="Arial" w:cs="Arial"/>
                <w:sz w:val="20"/>
              </w:rPr>
              <w:t>−$40</w:t>
            </w:r>
          </w:p>
        </w:tc>
      </w:tr>
      <w:tr w:rsidR="009D1F87" w:rsidRPr="00BF4B7C" w14:paraId="4240A976" w14:textId="77777777" w:rsidTr="00162CD8">
        <w:trPr>
          <w:trHeight w:val="300"/>
        </w:trPr>
        <w:tc>
          <w:tcPr>
            <w:tcW w:w="2352" w:type="pct"/>
            <w:noWrap/>
          </w:tcPr>
          <w:p w14:paraId="4240A972" w14:textId="77777777" w:rsidR="009D1F87" w:rsidRPr="00BF4B7C" w:rsidRDefault="009D1F87" w:rsidP="00162CD8">
            <w:pPr>
              <w:spacing w:before="0"/>
              <w:rPr>
                <w:rFonts w:ascii="Arial" w:hAnsi="Arial" w:cs="Arial"/>
                <w:sz w:val="20"/>
              </w:rPr>
            </w:pPr>
            <w:r w:rsidRPr="00BF4B7C">
              <w:rPr>
                <w:rFonts w:ascii="Arial" w:hAnsi="Arial" w:cs="Arial"/>
                <w:sz w:val="20"/>
              </w:rPr>
              <w:t>Number of MTA sessions required per patient: 2.4</w:t>
            </w:r>
          </w:p>
        </w:tc>
        <w:tc>
          <w:tcPr>
            <w:tcW w:w="808" w:type="pct"/>
            <w:noWrap/>
          </w:tcPr>
          <w:p w14:paraId="4240A973" w14:textId="77777777" w:rsidR="009D1F87" w:rsidRPr="00BF4B7C" w:rsidRDefault="009D1F87" w:rsidP="00162CD8">
            <w:pPr>
              <w:spacing w:before="0"/>
              <w:ind w:right="423"/>
              <w:rPr>
                <w:rFonts w:ascii="Arial" w:hAnsi="Arial" w:cs="Arial"/>
                <w:sz w:val="20"/>
              </w:rPr>
            </w:pPr>
            <w:r w:rsidRPr="00BF4B7C">
              <w:rPr>
                <w:rFonts w:ascii="Arial" w:hAnsi="Arial" w:cs="Arial"/>
                <w:sz w:val="20"/>
              </w:rPr>
              <w:t>$17,364</w:t>
            </w:r>
          </w:p>
        </w:tc>
        <w:tc>
          <w:tcPr>
            <w:tcW w:w="768" w:type="pct"/>
            <w:noWrap/>
          </w:tcPr>
          <w:p w14:paraId="4240A974" w14:textId="77777777" w:rsidR="009D1F87" w:rsidRPr="00BF4B7C" w:rsidRDefault="009D1F87" w:rsidP="00162CD8">
            <w:pPr>
              <w:spacing w:before="0"/>
              <w:ind w:right="423"/>
              <w:rPr>
                <w:rFonts w:ascii="Arial" w:hAnsi="Arial" w:cs="Arial"/>
                <w:sz w:val="20"/>
              </w:rPr>
            </w:pPr>
            <w:r w:rsidRPr="00BF4B7C">
              <w:rPr>
                <w:rFonts w:ascii="Arial" w:hAnsi="Arial" w:cs="Arial"/>
                <w:sz w:val="20"/>
              </w:rPr>
              <w:t>$7,235</w:t>
            </w:r>
          </w:p>
        </w:tc>
        <w:tc>
          <w:tcPr>
            <w:tcW w:w="1072" w:type="pct"/>
            <w:noWrap/>
          </w:tcPr>
          <w:p w14:paraId="4240A975" w14:textId="77777777" w:rsidR="009D1F87" w:rsidRPr="00BF4B7C" w:rsidRDefault="009D1F87" w:rsidP="00162CD8">
            <w:pPr>
              <w:spacing w:before="0"/>
              <w:ind w:right="642"/>
              <w:rPr>
                <w:rFonts w:ascii="Arial" w:hAnsi="Arial" w:cs="Arial"/>
                <w:sz w:val="20"/>
              </w:rPr>
            </w:pPr>
            <w:r w:rsidRPr="00BF4B7C">
              <w:rPr>
                <w:rFonts w:ascii="Arial" w:hAnsi="Arial" w:cs="Arial"/>
                <w:sz w:val="20"/>
              </w:rPr>
              <w:t>$10,129</w:t>
            </w:r>
          </w:p>
        </w:tc>
      </w:tr>
      <w:tr w:rsidR="009D1F87" w:rsidRPr="00BF4B7C" w14:paraId="4240A97B" w14:textId="77777777" w:rsidTr="00BF4B7C">
        <w:trPr>
          <w:trHeight w:val="300"/>
        </w:trPr>
        <w:tc>
          <w:tcPr>
            <w:tcW w:w="2352" w:type="pct"/>
            <w:noWrap/>
          </w:tcPr>
          <w:p w14:paraId="4240A977" w14:textId="77777777" w:rsidR="009D1F87" w:rsidRPr="00BF4B7C" w:rsidRDefault="009D1F87" w:rsidP="00162CD8">
            <w:pPr>
              <w:spacing w:before="0"/>
              <w:rPr>
                <w:rFonts w:ascii="Arial" w:hAnsi="Arial" w:cs="Arial"/>
                <w:sz w:val="20"/>
              </w:rPr>
            </w:pPr>
            <w:r w:rsidRPr="00BF4B7C">
              <w:rPr>
                <w:rFonts w:ascii="Arial" w:hAnsi="Arial" w:cs="Arial"/>
                <w:sz w:val="20"/>
              </w:rPr>
              <w:t>Number of RFA sessions required per patient: 1.2</w:t>
            </w:r>
          </w:p>
        </w:tc>
        <w:tc>
          <w:tcPr>
            <w:tcW w:w="808" w:type="pct"/>
            <w:noWrap/>
          </w:tcPr>
          <w:p w14:paraId="4240A978" w14:textId="77777777" w:rsidR="009D1F87" w:rsidRPr="00BF4B7C" w:rsidRDefault="009D1F87" w:rsidP="00162CD8">
            <w:pPr>
              <w:spacing w:before="0"/>
              <w:ind w:right="423"/>
              <w:rPr>
                <w:rFonts w:ascii="Arial" w:hAnsi="Arial" w:cs="Arial"/>
                <w:sz w:val="20"/>
              </w:rPr>
            </w:pPr>
            <w:r w:rsidRPr="00BF4B7C">
              <w:rPr>
                <w:rFonts w:ascii="Arial" w:hAnsi="Arial" w:cs="Arial"/>
                <w:sz w:val="20"/>
              </w:rPr>
              <w:t>$7,235</w:t>
            </w:r>
          </w:p>
        </w:tc>
        <w:tc>
          <w:tcPr>
            <w:tcW w:w="768" w:type="pct"/>
            <w:noWrap/>
          </w:tcPr>
          <w:p w14:paraId="4240A979" w14:textId="77777777" w:rsidR="009D1F87" w:rsidRPr="00BF4B7C" w:rsidRDefault="009D1F87" w:rsidP="00162CD8">
            <w:pPr>
              <w:spacing w:before="0"/>
              <w:ind w:right="423"/>
              <w:rPr>
                <w:rFonts w:ascii="Arial" w:hAnsi="Arial" w:cs="Arial"/>
                <w:sz w:val="20"/>
              </w:rPr>
            </w:pPr>
            <w:r w:rsidRPr="00BF4B7C">
              <w:rPr>
                <w:rFonts w:ascii="Arial" w:hAnsi="Arial" w:cs="Arial"/>
                <w:sz w:val="20"/>
              </w:rPr>
              <w:t>$8,682</w:t>
            </w:r>
          </w:p>
        </w:tc>
        <w:tc>
          <w:tcPr>
            <w:tcW w:w="1072" w:type="pct"/>
            <w:shd w:val="clear" w:color="auto" w:fill="D9D9D9" w:themeFill="background1" w:themeFillShade="D9"/>
            <w:noWrap/>
          </w:tcPr>
          <w:p w14:paraId="4240A97A" w14:textId="77777777" w:rsidR="009D1F87" w:rsidRPr="00BF4B7C" w:rsidRDefault="009D1F87" w:rsidP="00162CD8">
            <w:pPr>
              <w:spacing w:before="0"/>
              <w:ind w:right="642"/>
              <w:rPr>
                <w:rFonts w:ascii="Arial" w:hAnsi="Arial" w:cs="Arial"/>
                <w:sz w:val="20"/>
              </w:rPr>
            </w:pPr>
            <w:r w:rsidRPr="00BF4B7C">
              <w:rPr>
                <w:rFonts w:ascii="Arial" w:hAnsi="Arial" w:cs="Arial"/>
                <w:sz w:val="20"/>
              </w:rPr>
              <w:t>−$1,447</w:t>
            </w:r>
          </w:p>
        </w:tc>
      </w:tr>
    </w:tbl>
    <w:p w14:paraId="4240A97C" w14:textId="77777777" w:rsidR="009D1F87" w:rsidRPr="00BF4B7C" w:rsidRDefault="009D1F87" w:rsidP="009D1F87">
      <w:pPr>
        <w:widowControl w:val="0"/>
        <w:rPr>
          <w:rFonts w:ascii="Arial" w:hAnsi="Arial" w:cs="Arial"/>
          <w:snapToGrid w:val="0"/>
          <w:sz w:val="20"/>
          <w:lang w:eastAsia="en-US"/>
        </w:rPr>
      </w:pPr>
      <w:r w:rsidRPr="00BF4B7C">
        <w:rPr>
          <w:rFonts w:ascii="Arial" w:hAnsi="Arial" w:cs="Arial"/>
          <w:snapToGrid w:val="0"/>
          <w:sz w:val="20"/>
          <w:lang w:eastAsia="en-US"/>
        </w:rPr>
        <w:t>MBS = Medicare Benefits Schedule; MTA = microwave tissue ablation; RFA = radiofrequency ablation</w:t>
      </w:r>
    </w:p>
    <w:p w14:paraId="4240A97D" w14:textId="77777777" w:rsidR="009D1F87" w:rsidRPr="00BF4B7C" w:rsidRDefault="009D1F87" w:rsidP="009D1F87">
      <w:pPr>
        <w:widowControl w:val="0"/>
        <w:rPr>
          <w:rFonts w:ascii="Arial" w:hAnsi="Arial" w:cs="Arial"/>
          <w:snapToGrid w:val="0"/>
          <w:sz w:val="20"/>
          <w:lang w:eastAsia="en-US"/>
        </w:rPr>
      </w:pPr>
      <w:r w:rsidRPr="00BF4B7C">
        <w:rPr>
          <w:rFonts w:ascii="Arial" w:hAnsi="Arial" w:cs="Arial"/>
          <w:snapToGrid w:val="0"/>
          <w:sz w:val="20"/>
          <w:lang w:eastAsia="en-US"/>
        </w:rPr>
        <w:t>Shaded cells show analyses indicating a potential cost saving (negative value for incremental cost) with the proposed treatment with MTA</w:t>
      </w:r>
    </w:p>
    <w:p w14:paraId="4240A97E" w14:textId="77777777" w:rsidR="009D1F87" w:rsidRPr="00862680" w:rsidRDefault="009D1F87" w:rsidP="009D1F87">
      <w:pPr>
        <w:widowControl w:val="0"/>
        <w:rPr>
          <w:snapToGrid w:val="0"/>
          <w:szCs w:val="24"/>
          <w:lang w:eastAsia="en-US"/>
        </w:rPr>
      </w:pPr>
    </w:p>
    <w:p w14:paraId="4240A97F" w14:textId="77777777" w:rsidR="009D1F87" w:rsidRPr="00862680" w:rsidRDefault="009D1F87" w:rsidP="009D1F87">
      <w:pPr>
        <w:rPr>
          <w:szCs w:val="24"/>
        </w:rPr>
      </w:pPr>
      <w:r w:rsidRPr="00862680">
        <w:rPr>
          <w:szCs w:val="24"/>
        </w:rPr>
        <w:t xml:space="preserve">As seen in </w:t>
      </w:r>
      <w:r w:rsidR="00BF4B7C">
        <w:rPr>
          <w:szCs w:val="24"/>
        </w:rPr>
        <w:fldChar w:fldCharType="begin"/>
      </w:r>
      <w:r w:rsidR="00BF4B7C">
        <w:rPr>
          <w:szCs w:val="24"/>
        </w:rPr>
        <w:instrText xml:space="preserve"> REF _Ref457555009 \h  \* MERGEFORMAT </w:instrText>
      </w:r>
      <w:r w:rsidR="00BF4B7C">
        <w:rPr>
          <w:szCs w:val="24"/>
        </w:rPr>
      </w:r>
      <w:r w:rsidR="00BF4B7C">
        <w:rPr>
          <w:szCs w:val="24"/>
        </w:rPr>
        <w:fldChar w:fldCharType="separate"/>
      </w:r>
      <w:r w:rsidR="003967F8" w:rsidRPr="003967F8">
        <w:rPr>
          <w:szCs w:val="24"/>
        </w:rPr>
        <w:t>Table 5</w:t>
      </w:r>
      <w:r w:rsidR="00BF4B7C">
        <w:rPr>
          <w:szCs w:val="24"/>
        </w:rPr>
        <w:fldChar w:fldCharType="end"/>
      </w:r>
      <w:r w:rsidRPr="00862680">
        <w:rPr>
          <w:szCs w:val="24"/>
        </w:rPr>
        <w:t>, the MBS fee for MTA, hospital costs and the number of sessions required for either procedure are the key drivers of the economic analysis. If treatment with MTA results in a reduction in associated hospital costs or the number of sessions required compared with RFA, it may result in potential cost-savings when the same blanket fee as RFA is applied.</w:t>
      </w:r>
    </w:p>
    <w:p w14:paraId="4240A980" w14:textId="77777777" w:rsidR="009D1F87" w:rsidRPr="00862680" w:rsidRDefault="009D1F87" w:rsidP="009D1F87">
      <w:pPr>
        <w:rPr>
          <w:szCs w:val="24"/>
        </w:rPr>
      </w:pPr>
    </w:p>
    <w:p w14:paraId="4240A981" w14:textId="77777777" w:rsidR="009D1F87" w:rsidRPr="00862680" w:rsidRDefault="009D1F87" w:rsidP="009D1F87">
      <w:pPr>
        <w:rPr>
          <w:szCs w:val="24"/>
        </w:rPr>
      </w:pPr>
      <w:r w:rsidRPr="00862680">
        <w:rPr>
          <w:szCs w:val="24"/>
        </w:rPr>
        <w:t>However, if the proposed graduated fee scheme is applied, the incremental cost will vary in the range of −$814 to +$11,648 with a base-case incremental cost of $633.</w:t>
      </w:r>
      <w:bookmarkEnd w:id="39"/>
    </w:p>
    <w:p w14:paraId="4240A982" w14:textId="77777777" w:rsidR="00B823C0" w:rsidRPr="00862680" w:rsidRDefault="00B823C0" w:rsidP="009D1F87">
      <w:pPr>
        <w:keepNext/>
        <w:tabs>
          <w:tab w:val="left" w:pos="1134"/>
        </w:tabs>
        <w:outlineLvl w:val="1"/>
        <w:rPr>
          <w:b/>
          <w:smallCaps/>
          <w:szCs w:val="24"/>
        </w:rPr>
      </w:pPr>
      <w:bookmarkStart w:id="43" w:name="_Toc460406613"/>
    </w:p>
    <w:p w14:paraId="4240A983" w14:textId="77777777" w:rsidR="009D1F87" w:rsidRPr="00862680" w:rsidRDefault="009D1F87" w:rsidP="009D1F87">
      <w:pPr>
        <w:rPr>
          <w:b/>
        </w:rPr>
      </w:pPr>
      <w:r w:rsidRPr="00862680">
        <w:rPr>
          <w:b/>
        </w:rPr>
        <w:t>Population 2</w:t>
      </w:r>
      <w:bookmarkEnd w:id="43"/>
    </w:p>
    <w:p w14:paraId="4240A984" w14:textId="77777777" w:rsidR="009D1F87" w:rsidRDefault="009D1F87" w:rsidP="009D1F87">
      <w:pPr>
        <w:rPr>
          <w:szCs w:val="24"/>
        </w:rPr>
      </w:pPr>
      <w:r w:rsidRPr="00862680">
        <w:rPr>
          <w:szCs w:val="24"/>
        </w:rPr>
        <w:t>When only the procedural costs of MTA and RFA are compared (excluding all other associated anaesthetic and other healthcare costs), there is no incremental cost associated with MTA for the base case (</w:t>
      </w:r>
      <w:r w:rsidR="00BF4B7C">
        <w:rPr>
          <w:szCs w:val="24"/>
        </w:rPr>
        <w:fldChar w:fldCharType="begin"/>
      </w:r>
      <w:r w:rsidR="00BF4B7C">
        <w:rPr>
          <w:szCs w:val="24"/>
        </w:rPr>
        <w:instrText xml:space="preserve"> REF _Ref457558211 \h  \* MERGEFORMAT </w:instrText>
      </w:r>
      <w:r w:rsidR="00BF4B7C">
        <w:rPr>
          <w:szCs w:val="24"/>
        </w:rPr>
      </w:r>
      <w:r w:rsidR="00BF4B7C">
        <w:rPr>
          <w:szCs w:val="24"/>
        </w:rPr>
        <w:fldChar w:fldCharType="separate"/>
      </w:r>
      <w:r w:rsidR="003967F8" w:rsidRPr="003967F8">
        <w:rPr>
          <w:szCs w:val="24"/>
        </w:rPr>
        <w:t>Table 6</w:t>
      </w:r>
      <w:r w:rsidR="00BF4B7C">
        <w:rPr>
          <w:szCs w:val="24"/>
        </w:rPr>
        <w:fldChar w:fldCharType="end"/>
      </w:r>
      <w:r w:rsidRPr="00862680">
        <w:rPr>
          <w:szCs w:val="24"/>
        </w:rPr>
        <w:t>).</w:t>
      </w:r>
    </w:p>
    <w:p w14:paraId="4240A985" w14:textId="77777777" w:rsidR="009D1F87" w:rsidRPr="00862680" w:rsidRDefault="009D1F87" w:rsidP="009D1F87">
      <w:pPr>
        <w:rPr>
          <w:szCs w:val="24"/>
        </w:rPr>
      </w:pPr>
    </w:p>
    <w:p w14:paraId="4240A986" w14:textId="77777777" w:rsidR="009D1F87" w:rsidRPr="00BF4B7C" w:rsidRDefault="009D1F87" w:rsidP="009D1F87">
      <w:pPr>
        <w:keepNext/>
        <w:rPr>
          <w:rFonts w:ascii="Arial" w:hAnsi="Arial" w:cs="Arial"/>
          <w:b/>
          <w:sz w:val="20"/>
        </w:rPr>
      </w:pPr>
      <w:bookmarkStart w:id="44" w:name="_Ref457558211"/>
      <w:bookmarkStart w:id="45" w:name="_Toc460406503"/>
      <w:r w:rsidRPr="00BF4B7C">
        <w:rPr>
          <w:rFonts w:ascii="Arial" w:hAnsi="Arial" w:cs="Arial"/>
          <w:b/>
          <w:sz w:val="20"/>
        </w:rPr>
        <w:t xml:space="preserve">Table </w:t>
      </w:r>
      <w:r w:rsidRPr="00BF4B7C">
        <w:rPr>
          <w:rFonts w:ascii="Arial" w:hAnsi="Arial" w:cs="Arial"/>
          <w:b/>
          <w:sz w:val="20"/>
        </w:rPr>
        <w:fldChar w:fldCharType="begin"/>
      </w:r>
      <w:r w:rsidRPr="00BF4B7C">
        <w:rPr>
          <w:rFonts w:ascii="Arial" w:hAnsi="Arial" w:cs="Arial"/>
          <w:b/>
          <w:sz w:val="20"/>
        </w:rPr>
        <w:instrText xml:space="preserve"> SEQ Table \* ARABIC </w:instrText>
      </w:r>
      <w:r w:rsidRPr="00BF4B7C">
        <w:rPr>
          <w:rFonts w:ascii="Arial" w:hAnsi="Arial" w:cs="Arial"/>
          <w:b/>
          <w:sz w:val="20"/>
        </w:rPr>
        <w:fldChar w:fldCharType="separate"/>
      </w:r>
      <w:r w:rsidR="003967F8">
        <w:rPr>
          <w:rFonts w:ascii="Arial" w:hAnsi="Arial" w:cs="Arial"/>
          <w:b/>
          <w:noProof/>
          <w:sz w:val="20"/>
        </w:rPr>
        <w:t>6</w:t>
      </w:r>
      <w:r w:rsidRPr="00BF4B7C">
        <w:rPr>
          <w:rFonts w:ascii="Arial" w:hAnsi="Arial" w:cs="Arial"/>
          <w:b/>
          <w:noProof/>
          <w:sz w:val="20"/>
        </w:rPr>
        <w:fldChar w:fldCharType="end"/>
      </w:r>
      <w:bookmarkEnd w:id="44"/>
      <w:r w:rsidRPr="00BF4B7C">
        <w:rPr>
          <w:rFonts w:ascii="Arial" w:hAnsi="Arial" w:cs="Arial"/>
          <w:b/>
          <w:sz w:val="20"/>
        </w:rPr>
        <w:tab/>
      </w:r>
      <w:r w:rsidR="00E706CB">
        <w:rPr>
          <w:rFonts w:ascii="Arial" w:hAnsi="Arial" w:cs="Arial"/>
          <w:b/>
          <w:sz w:val="20"/>
        </w:rPr>
        <w:tab/>
      </w:r>
      <w:r w:rsidRPr="00BF4B7C">
        <w:rPr>
          <w:rFonts w:ascii="Arial" w:hAnsi="Arial" w:cs="Arial"/>
          <w:b/>
          <w:sz w:val="20"/>
        </w:rPr>
        <w:t>Incremental cost of MTA excluding other associated costs, Population 2</w:t>
      </w:r>
      <w:bookmarkEnd w:id="45"/>
    </w:p>
    <w:tbl>
      <w:tblPr>
        <w:tblStyle w:val="TableGrid46"/>
        <w:tblW w:w="5000" w:type="pct"/>
        <w:tblInd w:w="-9" w:type="dxa"/>
        <w:tblCellMar>
          <w:left w:w="28" w:type="dxa"/>
          <w:right w:w="28" w:type="dxa"/>
        </w:tblCellMar>
        <w:tblLook w:val="04A0" w:firstRow="1" w:lastRow="0" w:firstColumn="1" w:lastColumn="0" w:noHBand="0" w:noVBand="1"/>
        <w:tblDescription w:val="Table 32 Incremental cost of MTA excluding other associated costs, Population 2 - Costs associated with testing used in the economic model"/>
      </w:tblPr>
      <w:tblGrid>
        <w:gridCol w:w="3945"/>
        <w:gridCol w:w="1713"/>
        <w:gridCol w:w="1713"/>
        <w:gridCol w:w="1711"/>
      </w:tblGrid>
      <w:tr w:rsidR="009D1F87" w:rsidRPr="00BF4B7C" w14:paraId="4240A98C" w14:textId="77777777" w:rsidTr="00162CD8">
        <w:trPr>
          <w:tblHeader/>
        </w:trPr>
        <w:tc>
          <w:tcPr>
            <w:tcW w:w="2172" w:type="pct"/>
            <w:tcBorders>
              <w:bottom w:val="single" w:sz="4" w:space="0" w:color="auto"/>
            </w:tcBorders>
          </w:tcPr>
          <w:p w14:paraId="4240A987" w14:textId="77777777" w:rsidR="009D1F87" w:rsidRDefault="009D1F87" w:rsidP="00162CD8">
            <w:pPr>
              <w:rPr>
                <w:rFonts w:ascii="Arial" w:hAnsi="Arial" w:cs="Arial"/>
                <w:b/>
                <w:sz w:val="20"/>
              </w:rPr>
            </w:pPr>
            <w:r w:rsidRPr="00BF4B7C">
              <w:rPr>
                <w:rFonts w:ascii="Arial" w:hAnsi="Arial" w:cs="Arial"/>
                <w:b/>
                <w:sz w:val="20"/>
              </w:rPr>
              <w:t>Item description</w:t>
            </w:r>
          </w:p>
          <w:p w14:paraId="4240A988" w14:textId="77777777" w:rsidR="00BF4B7C" w:rsidRPr="00BF4B7C" w:rsidRDefault="00BF4B7C" w:rsidP="00162CD8">
            <w:pPr>
              <w:rPr>
                <w:rFonts w:ascii="Arial" w:hAnsi="Arial" w:cs="Arial"/>
                <w:b/>
                <w:sz w:val="20"/>
              </w:rPr>
            </w:pPr>
          </w:p>
        </w:tc>
        <w:tc>
          <w:tcPr>
            <w:tcW w:w="943" w:type="pct"/>
            <w:tcBorders>
              <w:bottom w:val="single" w:sz="4" w:space="0" w:color="auto"/>
            </w:tcBorders>
          </w:tcPr>
          <w:p w14:paraId="4240A989" w14:textId="77777777" w:rsidR="009D1F87" w:rsidRPr="00BF4B7C" w:rsidRDefault="009D1F87" w:rsidP="00162CD8">
            <w:pPr>
              <w:rPr>
                <w:rFonts w:ascii="Arial" w:hAnsi="Arial" w:cs="Arial"/>
                <w:b/>
                <w:sz w:val="20"/>
              </w:rPr>
            </w:pPr>
            <w:r w:rsidRPr="00BF4B7C">
              <w:rPr>
                <w:rFonts w:ascii="Arial" w:hAnsi="Arial" w:cs="Arial"/>
                <w:b/>
                <w:sz w:val="20"/>
              </w:rPr>
              <w:t>MTA</w:t>
            </w:r>
          </w:p>
        </w:tc>
        <w:tc>
          <w:tcPr>
            <w:tcW w:w="943" w:type="pct"/>
            <w:tcBorders>
              <w:bottom w:val="single" w:sz="4" w:space="0" w:color="auto"/>
            </w:tcBorders>
          </w:tcPr>
          <w:p w14:paraId="4240A98A" w14:textId="77777777" w:rsidR="009D1F87" w:rsidRPr="00BF4B7C" w:rsidRDefault="009D1F87" w:rsidP="00162CD8">
            <w:pPr>
              <w:rPr>
                <w:rFonts w:ascii="Arial" w:hAnsi="Arial" w:cs="Arial"/>
                <w:b/>
                <w:sz w:val="20"/>
              </w:rPr>
            </w:pPr>
            <w:r w:rsidRPr="00BF4B7C">
              <w:rPr>
                <w:rFonts w:ascii="Arial" w:hAnsi="Arial" w:cs="Arial"/>
                <w:b/>
                <w:sz w:val="20"/>
              </w:rPr>
              <w:t>RFA</w:t>
            </w:r>
          </w:p>
        </w:tc>
        <w:tc>
          <w:tcPr>
            <w:tcW w:w="943" w:type="pct"/>
            <w:tcBorders>
              <w:bottom w:val="single" w:sz="4" w:space="0" w:color="auto"/>
            </w:tcBorders>
          </w:tcPr>
          <w:p w14:paraId="4240A98B" w14:textId="77777777" w:rsidR="009D1F87" w:rsidRPr="00BF4B7C" w:rsidRDefault="009D1F87" w:rsidP="00162CD8">
            <w:pPr>
              <w:rPr>
                <w:rFonts w:ascii="Arial" w:hAnsi="Arial" w:cs="Arial"/>
                <w:b/>
                <w:smallCaps/>
                <w:sz w:val="20"/>
                <w:u w:val="single"/>
              </w:rPr>
            </w:pPr>
            <w:r w:rsidRPr="00BF4B7C">
              <w:rPr>
                <w:rFonts w:ascii="Arial" w:hAnsi="Arial" w:cs="Arial"/>
                <w:b/>
                <w:sz w:val="20"/>
              </w:rPr>
              <w:t>Incremental cost</w:t>
            </w:r>
          </w:p>
        </w:tc>
      </w:tr>
      <w:tr w:rsidR="009D1F87" w:rsidRPr="00BF4B7C" w14:paraId="4240A991" w14:textId="77777777" w:rsidTr="00162CD8">
        <w:tc>
          <w:tcPr>
            <w:tcW w:w="2172" w:type="pct"/>
            <w:tcBorders>
              <w:top w:val="single" w:sz="4" w:space="0" w:color="auto"/>
              <w:left w:val="single" w:sz="4" w:space="0" w:color="auto"/>
              <w:bottom w:val="single" w:sz="4" w:space="0" w:color="auto"/>
              <w:right w:val="single" w:sz="4" w:space="0" w:color="auto"/>
            </w:tcBorders>
          </w:tcPr>
          <w:p w14:paraId="4240A98D" w14:textId="77777777" w:rsidR="009D1F87" w:rsidRPr="00BF4B7C" w:rsidRDefault="009D1F87" w:rsidP="00162CD8">
            <w:pPr>
              <w:rPr>
                <w:rFonts w:ascii="Arial" w:hAnsi="Arial" w:cs="Arial"/>
                <w:sz w:val="20"/>
              </w:rPr>
            </w:pPr>
            <w:r w:rsidRPr="00BF4B7C">
              <w:rPr>
                <w:rFonts w:ascii="Arial" w:hAnsi="Arial" w:cs="Arial"/>
                <w:sz w:val="20"/>
              </w:rPr>
              <w:t>Ablation procedure</w:t>
            </w:r>
          </w:p>
        </w:tc>
        <w:tc>
          <w:tcPr>
            <w:tcW w:w="943" w:type="pct"/>
            <w:tcBorders>
              <w:top w:val="single" w:sz="4" w:space="0" w:color="auto"/>
              <w:left w:val="single" w:sz="4" w:space="0" w:color="auto"/>
              <w:bottom w:val="single" w:sz="4" w:space="0" w:color="auto"/>
              <w:right w:val="single" w:sz="4" w:space="0" w:color="auto"/>
            </w:tcBorders>
          </w:tcPr>
          <w:p w14:paraId="4240A98E" w14:textId="77777777" w:rsidR="009D1F87" w:rsidRPr="00BF4B7C" w:rsidRDefault="009D1F87" w:rsidP="00162CD8">
            <w:pPr>
              <w:rPr>
                <w:rFonts w:ascii="Arial" w:hAnsi="Arial" w:cs="Arial"/>
                <w:sz w:val="20"/>
              </w:rPr>
            </w:pPr>
            <w:r w:rsidRPr="00BF4B7C">
              <w:rPr>
                <w:rFonts w:ascii="Arial" w:hAnsi="Arial" w:cs="Arial"/>
                <w:sz w:val="20"/>
              </w:rPr>
              <w:t>$817</w:t>
            </w:r>
          </w:p>
        </w:tc>
        <w:tc>
          <w:tcPr>
            <w:tcW w:w="943" w:type="pct"/>
            <w:tcBorders>
              <w:top w:val="single" w:sz="4" w:space="0" w:color="auto"/>
              <w:left w:val="single" w:sz="4" w:space="0" w:color="auto"/>
              <w:bottom w:val="single" w:sz="4" w:space="0" w:color="auto"/>
              <w:right w:val="single" w:sz="4" w:space="0" w:color="auto"/>
            </w:tcBorders>
          </w:tcPr>
          <w:p w14:paraId="4240A98F" w14:textId="77777777" w:rsidR="009D1F87" w:rsidRPr="00BF4B7C" w:rsidRDefault="009D1F87" w:rsidP="00162CD8">
            <w:pPr>
              <w:rPr>
                <w:rFonts w:ascii="Arial" w:hAnsi="Arial" w:cs="Arial"/>
                <w:sz w:val="20"/>
              </w:rPr>
            </w:pPr>
            <w:r w:rsidRPr="00BF4B7C">
              <w:rPr>
                <w:rFonts w:ascii="Arial" w:hAnsi="Arial" w:cs="Arial"/>
                <w:sz w:val="20"/>
              </w:rPr>
              <w:t>$817</w:t>
            </w:r>
          </w:p>
        </w:tc>
        <w:tc>
          <w:tcPr>
            <w:tcW w:w="943" w:type="pct"/>
            <w:tcBorders>
              <w:top w:val="single" w:sz="4" w:space="0" w:color="auto"/>
              <w:left w:val="single" w:sz="4" w:space="0" w:color="auto"/>
              <w:bottom w:val="single" w:sz="4" w:space="0" w:color="auto"/>
              <w:right w:val="single" w:sz="4" w:space="0" w:color="auto"/>
            </w:tcBorders>
          </w:tcPr>
          <w:p w14:paraId="4240A990" w14:textId="77777777" w:rsidR="009D1F87" w:rsidRPr="00BF4B7C" w:rsidRDefault="009D1F87" w:rsidP="00162CD8">
            <w:pPr>
              <w:rPr>
                <w:rFonts w:ascii="Arial" w:hAnsi="Arial" w:cs="Arial"/>
                <w:b/>
                <w:sz w:val="20"/>
              </w:rPr>
            </w:pPr>
            <w:r w:rsidRPr="00BF4B7C">
              <w:rPr>
                <w:rFonts w:ascii="Arial" w:hAnsi="Arial" w:cs="Arial"/>
                <w:b/>
                <w:sz w:val="20"/>
              </w:rPr>
              <w:t>$0</w:t>
            </w:r>
          </w:p>
        </w:tc>
      </w:tr>
    </w:tbl>
    <w:p w14:paraId="4240A992" w14:textId="77777777" w:rsidR="009D1F87" w:rsidRPr="00BF4B7C" w:rsidRDefault="009D1F87" w:rsidP="009D1F87">
      <w:pPr>
        <w:widowControl w:val="0"/>
        <w:rPr>
          <w:rFonts w:ascii="Arial" w:hAnsi="Arial" w:cs="Arial"/>
          <w:snapToGrid w:val="0"/>
          <w:sz w:val="20"/>
          <w:lang w:eastAsia="en-US"/>
        </w:rPr>
      </w:pPr>
      <w:r w:rsidRPr="00BF4B7C">
        <w:rPr>
          <w:rFonts w:ascii="Arial" w:hAnsi="Arial" w:cs="Arial"/>
          <w:snapToGrid w:val="0"/>
          <w:sz w:val="20"/>
          <w:lang w:eastAsia="en-US"/>
        </w:rPr>
        <w:t>MTA = microwave tissue ablation; RFA = radiofrequency ablation</w:t>
      </w:r>
    </w:p>
    <w:p w14:paraId="4240A993" w14:textId="77777777" w:rsidR="009D1F87" w:rsidRPr="00862680" w:rsidRDefault="009D1F87" w:rsidP="009D1F87">
      <w:pPr>
        <w:rPr>
          <w:szCs w:val="24"/>
        </w:rPr>
      </w:pPr>
    </w:p>
    <w:p w14:paraId="4240A994" w14:textId="77777777" w:rsidR="009D1F87" w:rsidRPr="00862680" w:rsidRDefault="009D1F87" w:rsidP="009D1F87">
      <w:pPr>
        <w:rPr>
          <w:szCs w:val="24"/>
        </w:rPr>
      </w:pPr>
      <w:r w:rsidRPr="00862680">
        <w:rPr>
          <w:szCs w:val="24"/>
        </w:rPr>
        <w:t>When all other associated healthcare costs are included in the analysis, the cost of both MTA and RFA is estimated to be $8,039. And since all other healthcare costs are considered to be similar across the two procedures, the incremental cost remains the same (that is, $0).</w:t>
      </w:r>
    </w:p>
    <w:p w14:paraId="4240A995" w14:textId="77777777" w:rsidR="009D1F87" w:rsidRPr="00862680" w:rsidRDefault="00BF4B7C" w:rsidP="009D1F87">
      <w:pPr>
        <w:rPr>
          <w:szCs w:val="24"/>
        </w:rPr>
      </w:pPr>
      <w:r>
        <w:rPr>
          <w:szCs w:val="24"/>
        </w:rPr>
        <w:lastRenderedPageBreak/>
        <w:fldChar w:fldCharType="begin"/>
      </w:r>
      <w:r>
        <w:rPr>
          <w:szCs w:val="24"/>
        </w:rPr>
        <w:instrText xml:space="preserve"> REF _Ref457558450 \h  \* MERGEFORMAT </w:instrText>
      </w:r>
      <w:r>
        <w:rPr>
          <w:szCs w:val="24"/>
        </w:rPr>
      </w:r>
      <w:r>
        <w:rPr>
          <w:szCs w:val="24"/>
        </w:rPr>
        <w:fldChar w:fldCharType="separate"/>
      </w:r>
      <w:r w:rsidR="003967F8" w:rsidRPr="003967F8">
        <w:rPr>
          <w:szCs w:val="24"/>
        </w:rPr>
        <w:t>Table 7</w:t>
      </w:r>
      <w:r>
        <w:rPr>
          <w:szCs w:val="24"/>
        </w:rPr>
        <w:fldChar w:fldCharType="end"/>
      </w:r>
      <w:r w:rsidR="009D1F87" w:rsidRPr="00862680">
        <w:rPr>
          <w:szCs w:val="24"/>
        </w:rPr>
        <w:t xml:space="preserve"> shows the overall costs and the incremental cost per patient as calculated for the intervention and comparator in the analysis, with the base-case assumptions.</w:t>
      </w:r>
    </w:p>
    <w:p w14:paraId="4240A996" w14:textId="77777777" w:rsidR="009D1F87" w:rsidRPr="00862680" w:rsidRDefault="009D1F87" w:rsidP="009D1F87">
      <w:pPr>
        <w:rPr>
          <w:szCs w:val="24"/>
        </w:rPr>
      </w:pPr>
    </w:p>
    <w:p w14:paraId="4240A997" w14:textId="77777777" w:rsidR="009D1F87" w:rsidRPr="00BF4B7C" w:rsidRDefault="009D1F87" w:rsidP="009D1F87">
      <w:pPr>
        <w:keepNext/>
        <w:rPr>
          <w:rFonts w:ascii="Arial" w:hAnsi="Arial" w:cs="Arial"/>
          <w:b/>
          <w:sz w:val="20"/>
        </w:rPr>
      </w:pPr>
      <w:bookmarkStart w:id="46" w:name="_Ref457558450"/>
      <w:bookmarkStart w:id="47" w:name="OLE_LINK211"/>
      <w:bookmarkStart w:id="48" w:name="_Toc460406504"/>
      <w:r w:rsidRPr="00BF4B7C">
        <w:rPr>
          <w:rFonts w:ascii="Arial" w:hAnsi="Arial" w:cs="Arial"/>
          <w:b/>
          <w:sz w:val="20"/>
        </w:rPr>
        <w:t xml:space="preserve">Table </w:t>
      </w:r>
      <w:r w:rsidRPr="00BF4B7C">
        <w:rPr>
          <w:rFonts w:ascii="Arial" w:hAnsi="Arial" w:cs="Arial"/>
          <w:b/>
          <w:sz w:val="20"/>
        </w:rPr>
        <w:fldChar w:fldCharType="begin"/>
      </w:r>
      <w:r w:rsidRPr="00BF4B7C">
        <w:rPr>
          <w:rFonts w:ascii="Arial" w:hAnsi="Arial" w:cs="Arial"/>
          <w:b/>
          <w:sz w:val="20"/>
        </w:rPr>
        <w:instrText xml:space="preserve"> SEQ Table \* ARABIC </w:instrText>
      </w:r>
      <w:r w:rsidRPr="00BF4B7C">
        <w:rPr>
          <w:rFonts w:ascii="Arial" w:hAnsi="Arial" w:cs="Arial"/>
          <w:b/>
          <w:sz w:val="20"/>
        </w:rPr>
        <w:fldChar w:fldCharType="separate"/>
      </w:r>
      <w:r w:rsidR="003967F8">
        <w:rPr>
          <w:rFonts w:ascii="Arial" w:hAnsi="Arial" w:cs="Arial"/>
          <w:b/>
          <w:noProof/>
          <w:sz w:val="20"/>
        </w:rPr>
        <w:t>7</w:t>
      </w:r>
      <w:r w:rsidRPr="00BF4B7C">
        <w:rPr>
          <w:rFonts w:ascii="Arial" w:hAnsi="Arial" w:cs="Arial"/>
          <w:b/>
          <w:noProof/>
          <w:sz w:val="20"/>
        </w:rPr>
        <w:fldChar w:fldCharType="end"/>
      </w:r>
      <w:bookmarkEnd w:id="46"/>
      <w:r w:rsidR="00BF4B7C">
        <w:rPr>
          <w:rFonts w:ascii="Arial" w:hAnsi="Arial" w:cs="Arial"/>
          <w:b/>
          <w:noProof/>
          <w:sz w:val="20"/>
        </w:rPr>
        <w:tab/>
      </w:r>
      <w:r w:rsidRPr="00BF4B7C">
        <w:rPr>
          <w:rFonts w:ascii="Arial" w:hAnsi="Arial" w:cs="Arial"/>
          <w:b/>
          <w:sz w:val="20"/>
        </w:rPr>
        <w:tab/>
        <w:t>Costs associated with MTA and RFA, Population 2</w:t>
      </w:r>
      <w:bookmarkEnd w:id="47"/>
      <w:bookmarkEnd w:id="48"/>
    </w:p>
    <w:tbl>
      <w:tblPr>
        <w:tblStyle w:val="TableGrid46"/>
        <w:tblW w:w="5000" w:type="pct"/>
        <w:tblInd w:w="-9" w:type="dxa"/>
        <w:tblCellMar>
          <w:left w:w="28" w:type="dxa"/>
          <w:right w:w="28" w:type="dxa"/>
        </w:tblCellMar>
        <w:tblLook w:val="04A0" w:firstRow="1" w:lastRow="0" w:firstColumn="1" w:lastColumn="0" w:noHBand="0" w:noVBand="1"/>
        <w:tblDescription w:val="Table 33 Costs associated with MTA and RFA, Population 2 - Costs associated with testing used in the economic model"/>
      </w:tblPr>
      <w:tblGrid>
        <w:gridCol w:w="4858"/>
        <w:gridCol w:w="2112"/>
        <w:gridCol w:w="2112"/>
      </w:tblGrid>
      <w:tr w:rsidR="009D1F87" w:rsidRPr="00BF4B7C" w14:paraId="4240A99C" w14:textId="77777777" w:rsidTr="00162CD8">
        <w:trPr>
          <w:tblHeader/>
        </w:trPr>
        <w:tc>
          <w:tcPr>
            <w:tcW w:w="2674" w:type="pct"/>
          </w:tcPr>
          <w:p w14:paraId="4240A998" w14:textId="77777777" w:rsidR="009D1F87" w:rsidRDefault="009D1F87" w:rsidP="00162CD8">
            <w:pPr>
              <w:rPr>
                <w:rFonts w:ascii="Arial" w:hAnsi="Arial" w:cs="Arial"/>
                <w:b/>
                <w:sz w:val="20"/>
              </w:rPr>
            </w:pPr>
            <w:r w:rsidRPr="00BF4B7C">
              <w:rPr>
                <w:rFonts w:ascii="Arial" w:hAnsi="Arial" w:cs="Arial"/>
                <w:b/>
                <w:sz w:val="20"/>
              </w:rPr>
              <w:t>Item description</w:t>
            </w:r>
          </w:p>
          <w:p w14:paraId="4240A999" w14:textId="77777777" w:rsidR="00BF4B7C" w:rsidRPr="00BF4B7C" w:rsidRDefault="00BF4B7C" w:rsidP="00162CD8">
            <w:pPr>
              <w:rPr>
                <w:rFonts w:ascii="Arial" w:hAnsi="Arial" w:cs="Arial"/>
                <w:b/>
                <w:sz w:val="20"/>
              </w:rPr>
            </w:pPr>
          </w:p>
        </w:tc>
        <w:tc>
          <w:tcPr>
            <w:tcW w:w="1163" w:type="pct"/>
            <w:tcBorders>
              <w:bottom w:val="single" w:sz="4" w:space="0" w:color="auto"/>
            </w:tcBorders>
          </w:tcPr>
          <w:p w14:paraId="4240A99A" w14:textId="77777777" w:rsidR="009D1F87" w:rsidRPr="00BF4B7C" w:rsidRDefault="009D1F87" w:rsidP="00162CD8">
            <w:pPr>
              <w:rPr>
                <w:rFonts w:ascii="Arial" w:hAnsi="Arial" w:cs="Arial"/>
                <w:b/>
                <w:sz w:val="20"/>
              </w:rPr>
            </w:pPr>
            <w:r w:rsidRPr="00BF4B7C">
              <w:rPr>
                <w:rFonts w:ascii="Arial" w:hAnsi="Arial" w:cs="Arial"/>
                <w:b/>
                <w:sz w:val="20"/>
              </w:rPr>
              <w:t>MTA</w:t>
            </w:r>
          </w:p>
        </w:tc>
        <w:tc>
          <w:tcPr>
            <w:tcW w:w="1163" w:type="pct"/>
            <w:tcBorders>
              <w:bottom w:val="single" w:sz="4" w:space="0" w:color="auto"/>
            </w:tcBorders>
          </w:tcPr>
          <w:p w14:paraId="4240A99B" w14:textId="77777777" w:rsidR="009D1F87" w:rsidRPr="00BF4B7C" w:rsidRDefault="009D1F87" w:rsidP="00162CD8">
            <w:pPr>
              <w:rPr>
                <w:rFonts w:ascii="Arial" w:hAnsi="Arial" w:cs="Arial"/>
                <w:b/>
                <w:sz w:val="20"/>
              </w:rPr>
            </w:pPr>
            <w:r w:rsidRPr="00BF4B7C">
              <w:rPr>
                <w:rFonts w:ascii="Arial" w:hAnsi="Arial" w:cs="Arial"/>
                <w:b/>
                <w:sz w:val="20"/>
              </w:rPr>
              <w:t>RFA</w:t>
            </w:r>
          </w:p>
        </w:tc>
      </w:tr>
      <w:tr w:rsidR="009D1F87" w:rsidRPr="00BF4B7C" w14:paraId="4240A9A0" w14:textId="77777777" w:rsidTr="00162CD8">
        <w:tc>
          <w:tcPr>
            <w:tcW w:w="2674" w:type="pct"/>
            <w:tcBorders>
              <w:top w:val="nil"/>
              <w:left w:val="single" w:sz="4" w:space="0" w:color="auto"/>
              <w:bottom w:val="nil"/>
              <w:right w:val="single" w:sz="4" w:space="0" w:color="auto"/>
            </w:tcBorders>
          </w:tcPr>
          <w:p w14:paraId="4240A99D" w14:textId="77777777" w:rsidR="009D1F87" w:rsidRPr="00BF4B7C" w:rsidRDefault="009D1F87" w:rsidP="00162CD8">
            <w:pPr>
              <w:rPr>
                <w:rFonts w:ascii="Arial" w:hAnsi="Arial" w:cs="Arial"/>
                <w:sz w:val="20"/>
              </w:rPr>
            </w:pPr>
            <w:r w:rsidRPr="00BF4B7C">
              <w:rPr>
                <w:rFonts w:ascii="Arial" w:hAnsi="Arial" w:cs="Arial"/>
                <w:sz w:val="20"/>
              </w:rPr>
              <w:t>Ablation procedure</w:t>
            </w:r>
          </w:p>
        </w:tc>
        <w:tc>
          <w:tcPr>
            <w:tcW w:w="1163" w:type="pct"/>
            <w:tcBorders>
              <w:top w:val="nil"/>
              <w:left w:val="single" w:sz="4" w:space="0" w:color="auto"/>
              <w:bottom w:val="nil"/>
              <w:right w:val="single" w:sz="4" w:space="0" w:color="auto"/>
            </w:tcBorders>
          </w:tcPr>
          <w:p w14:paraId="4240A99E" w14:textId="77777777" w:rsidR="009D1F87" w:rsidRPr="00BF4B7C" w:rsidRDefault="009D1F87" w:rsidP="00162CD8">
            <w:pPr>
              <w:ind w:right="801"/>
              <w:rPr>
                <w:rFonts w:ascii="Arial" w:hAnsi="Arial" w:cs="Arial"/>
                <w:sz w:val="20"/>
              </w:rPr>
            </w:pPr>
            <w:r w:rsidRPr="00BF4B7C">
              <w:rPr>
                <w:rFonts w:ascii="Arial" w:hAnsi="Arial" w:cs="Arial"/>
                <w:sz w:val="20"/>
              </w:rPr>
              <w:t>$817</w:t>
            </w:r>
          </w:p>
        </w:tc>
        <w:tc>
          <w:tcPr>
            <w:tcW w:w="1163" w:type="pct"/>
            <w:tcBorders>
              <w:top w:val="nil"/>
              <w:left w:val="single" w:sz="4" w:space="0" w:color="auto"/>
              <w:bottom w:val="nil"/>
              <w:right w:val="single" w:sz="4" w:space="0" w:color="auto"/>
            </w:tcBorders>
          </w:tcPr>
          <w:p w14:paraId="4240A99F" w14:textId="77777777" w:rsidR="009D1F87" w:rsidRPr="00BF4B7C" w:rsidRDefault="009D1F87" w:rsidP="00162CD8">
            <w:pPr>
              <w:ind w:right="801"/>
              <w:rPr>
                <w:rFonts w:ascii="Arial" w:hAnsi="Arial" w:cs="Arial"/>
                <w:sz w:val="20"/>
              </w:rPr>
            </w:pPr>
            <w:r w:rsidRPr="00BF4B7C">
              <w:rPr>
                <w:rFonts w:ascii="Arial" w:hAnsi="Arial" w:cs="Arial"/>
                <w:sz w:val="20"/>
              </w:rPr>
              <w:t>$817</w:t>
            </w:r>
          </w:p>
        </w:tc>
      </w:tr>
      <w:tr w:rsidR="009D1F87" w:rsidRPr="00BF4B7C" w14:paraId="4240A9A4" w14:textId="77777777" w:rsidTr="00162CD8">
        <w:tc>
          <w:tcPr>
            <w:tcW w:w="2674" w:type="pct"/>
          </w:tcPr>
          <w:p w14:paraId="4240A9A1" w14:textId="77777777" w:rsidR="009D1F87" w:rsidRPr="00BF4B7C" w:rsidRDefault="009D1F87" w:rsidP="00162CD8">
            <w:pPr>
              <w:rPr>
                <w:rFonts w:ascii="Arial" w:hAnsi="Arial" w:cs="Arial"/>
                <w:sz w:val="20"/>
              </w:rPr>
            </w:pPr>
            <w:r w:rsidRPr="00BF4B7C">
              <w:rPr>
                <w:rFonts w:ascii="Arial" w:hAnsi="Arial" w:cs="Arial"/>
                <w:sz w:val="20"/>
              </w:rPr>
              <w:t>Pre-anaesthesia consultation</w:t>
            </w:r>
          </w:p>
        </w:tc>
        <w:tc>
          <w:tcPr>
            <w:tcW w:w="1163" w:type="pct"/>
          </w:tcPr>
          <w:p w14:paraId="4240A9A2" w14:textId="77777777" w:rsidR="009D1F87" w:rsidRPr="00BF4B7C" w:rsidRDefault="009D1F87" w:rsidP="00162CD8">
            <w:pPr>
              <w:ind w:right="801"/>
              <w:rPr>
                <w:rFonts w:ascii="Arial" w:hAnsi="Arial" w:cs="Arial"/>
                <w:sz w:val="20"/>
              </w:rPr>
            </w:pPr>
            <w:r w:rsidRPr="00BF4B7C">
              <w:rPr>
                <w:rFonts w:ascii="Arial" w:hAnsi="Arial" w:cs="Arial"/>
                <w:sz w:val="20"/>
              </w:rPr>
              <w:t>$43</w:t>
            </w:r>
          </w:p>
        </w:tc>
        <w:tc>
          <w:tcPr>
            <w:tcW w:w="1163" w:type="pct"/>
          </w:tcPr>
          <w:p w14:paraId="4240A9A3" w14:textId="77777777" w:rsidR="009D1F87" w:rsidRPr="00BF4B7C" w:rsidRDefault="009D1F87" w:rsidP="00162CD8">
            <w:pPr>
              <w:ind w:right="801"/>
              <w:rPr>
                <w:rFonts w:ascii="Arial" w:hAnsi="Arial" w:cs="Arial"/>
                <w:color w:val="000000"/>
                <w:sz w:val="20"/>
              </w:rPr>
            </w:pPr>
            <w:r w:rsidRPr="00BF4B7C">
              <w:rPr>
                <w:rFonts w:ascii="Arial" w:hAnsi="Arial" w:cs="Arial"/>
                <w:sz w:val="20"/>
              </w:rPr>
              <w:t>$43</w:t>
            </w:r>
          </w:p>
        </w:tc>
      </w:tr>
      <w:tr w:rsidR="009D1F87" w:rsidRPr="00BF4B7C" w14:paraId="4240A9A8" w14:textId="77777777" w:rsidTr="00162CD8">
        <w:tc>
          <w:tcPr>
            <w:tcW w:w="2674" w:type="pct"/>
            <w:tcBorders>
              <w:bottom w:val="single" w:sz="4" w:space="0" w:color="auto"/>
            </w:tcBorders>
          </w:tcPr>
          <w:p w14:paraId="4240A9A5" w14:textId="77777777" w:rsidR="009D1F87" w:rsidRPr="00BF4B7C" w:rsidRDefault="009D1F87" w:rsidP="00162CD8">
            <w:pPr>
              <w:rPr>
                <w:rFonts w:ascii="Arial" w:hAnsi="Arial" w:cs="Arial"/>
                <w:sz w:val="20"/>
              </w:rPr>
            </w:pPr>
            <w:r w:rsidRPr="00BF4B7C">
              <w:rPr>
                <w:rFonts w:ascii="Arial" w:hAnsi="Arial" w:cs="Arial"/>
                <w:sz w:val="20"/>
              </w:rPr>
              <w:t>Initiation of management of anaesthesia</w:t>
            </w:r>
          </w:p>
        </w:tc>
        <w:tc>
          <w:tcPr>
            <w:tcW w:w="1163" w:type="pct"/>
            <w:tcBorders>
              <w:bottom w:val="single" w:sz="4" w:space="0" w:color="auto"/>
            </w:tcBorders>
          </w:tcPr>
          <w:p w14:paraId="4240A9A6" w14:textId="77777777" w:rsidR="009D1F87" w:rsidRPr="00BF4B7C" w:rsidRDefault="009D1F87" w:rsidP="00162CD8">
            <w:pPr>
              <w:ind w:right="801"/>
              <w:rPr>
                <w:rFonts w:ascii="Arial" w:hAnsi="Arial" w:cs="Arial"/>
                <w:sz w:val="20"/>
              </w:rPr>
            </w:pPr>
            <w:r w:rsidRPr="00BF4B7C">
              <w:rPr>
                <w:rFonts w:ascii="Arial" w:hAnsi="Arial" w:cs="Arial"/>
                <w:sz w:val="20"/>
              </w:rPr>
              <w:t>$139</w:t>
            </w:r>
          </w:p>
        </w:tc>
        <w:tc>
          <w:tcPr>
            <w:tcW w:w="1163" w:type="pct"/>
            <w:tcBorders>
              <w:bottom w:val="single" w:sz="4" w:space="0" w:color="auto"/>
            </w:tcBorders>
          </w:tcPr>
          <w:p w14:paraId="4240A9A7" w14:textId="77777777" w:rsidR="009D1F87" w:rsidRPr="00BF4B7C" w:rsidRDefault="009D1F87" w:rsidP="00162CD8">
            <w:pPr>
              <w:ind w:right="801"/>
              <w:rPr>
                <w:rFonts w:ascii="Arial" w:hAnsi="Arial" w:cs="Arial"/>
                <w:color w:val="000000"/>
                <w:sz w:val="20"/>
              </w:rPr>
            </w:pPr>
            <w:r w:rsidRPr="00BF4B7C">
              <w:rPr>
                <w:rFonts w:ascii="Arial" w:hAnsi="Arial" w:cs="Arial"/>
                <w:sz w:val="20"/>
              </w:rPr>
              <w:t>$139</w:t>
            </w:r>
          </w:p>
        </w:tc>
      </w:tr>
      <w:tr w:rsidR="009D1F87" w:rsidRPr="00BF4B7C" w14:paraId="4240A9AC" w14:textId="77777777" w:rsidTr="00162CD8">
        <w:tc>
          <w:tcPr>
            <w:tcW w:w="2674" w:type="pct"/>
          </w:tcPr>
          <w:p w14:paraId="4240A9A9" w14:textId="77777777" w:rsidR="009D1F87" w:rsidRPr="00BF4B7C" w:rsidRDefault="009D1F87" w:rsidP="00162CD8">
            <w:pPr>
              <w:rPr>
                <w:rFonts w:ascii="Arial" w:hAnsi="Arial" w:cs="Arial"/>
                <w:sz w:val="20"/>
              </w:rPr>
            </w:pPr>
            <w:r w:rsidRPr="00BF4B7C">
              <w:rPr>
                <w:rFonts w:ascii="Arial" w:hAnsi="Arial" w:cs="Arial"/>
                <w:sz w:val="20"/>
              </w:rPr>
              <w:t>Chemotherapy</w:t>
            </w:r>
          </w:p>
        </w:tc>
        <w:tc>
          <w:tcPr>
            <w:tcW w:w="1163" w:type="pct"/>
          </w:tcPr>
          <w:p w14:paraId="4240A9AA" w14:textId="77777777" w:rsidR="009D1F87" w:rsidRPr="00BF4B7C" w:rsidRDefault="009D1F87" w:rsidP="00162CD8">
            <w:pPr>
              <w:ind w:right="801"/>
              <w:rPr>
                <w:rFonts w:ascii="Arial" w:hAnsi="Arial" w:cs="Arial"/>
                <w:sz w:val="20"/>
              </w:rPr>
            </w:pPr>
            <w:r w:rsidRPr="00BF4B7C">
              <w:rPr>
                <w:rFonts w:ascii="Arial" w:hAnsi="Arial" w:cs="Arial"/>
                <w:sz w:val="20"/>
              </w:rPr>
              <w:t>$805</w:t>
            </w:r>
          </w:p>
        </w:tc>
        <w:tc>
          <w:tcPr>
            <w:tcW w:w="1163" w:type="pct"/>
          </w:tcPr>
          <w:p w14:paraId="4240A9AB" w14:textId="77777777" w:rsidR="009D1F87" w:rsidRPr="00BF4B7C" w:rsidRDefault="009D1F87" w:rsidP="00162CD8">
            <w:pPr>
              <w:ind w:right="801"/>
              <w:rPr>
                <w:rFonts w:ascii="Arial" w:hAnsi="Arial" w:cs="Arial"/>
                <w:sz w:val="20"/>
              </w:rPr>
            </w:pPr>
            <w:r w:rsidRPr="00BF4B7C">
              <w:rPr>
                <w:rFonts w:ascii="Arial" w:hAnsi="Arial" w:cs="Arial"/>
                <w:sz w:val="20"/>
              </w:rPr>
              <w:t>$805</w:t>
            </w:r>
          </w:p>
        </w:tc>
      </w:tr>
      <w:tr w:rsidR="009D1F87" w:rsidRPr="00BF4B7C" w14:paraId="4240A9B0" w14:textId="77777777" w:rsidTr="00162CD8">
        <w:tc>
          <w:tcPr>
            <w:tcW w:w="2674" w:type="pct"/>
          </w:tcPr>
          <w:p w14:paraId="4240A9AD" w14:textId="77777777" w:rsidR="009D1F87" w:rsidRPr="00BF4B7C" w:rsidRDefault="009D1F87" w:rsidP="00162CD8">
            <w:pPr>
              <w:rPr>
                <w:rFonts w:ascii="Arial" w:hAnsi="Arial" w:cs="Arial"/>
                <w:sz w:val="20"/>
              </w:rPr>
            </w:pPr>
            <w:r w:rsidRPr="00BF4B7C">
              <w:rPr>
                <w:rFonts w:ascii="Arial" w:hAnsi="Arial" w:cs="Arial"/>
                <w:sz w:val="20"/>
              </w:rPr>
              <w:t>Other hospital costs</w:t>
            </w:r>
          </w:p>
        </w:tc>
        <w:tc>
          <w:tcPr>
            <w:tcW w:w="1163" w:type="pct"/>
          </w:tcPr>
          <w:p w14:paraId="4240A9AE" w14:textId="77777777" w:rsidR="009D1F87" w:rsidRPr="00BF4B7C" w:rsidRDefault="009D1F87" w:rsidP="00162CD8">
            <w:pPr>
              <w:ind w:right="801"/>
              <w:rPr>
                <w:rFonts w:ascii="Arial" w:hAnsi="Arial" w:cs="Arial"/>
                <w:sz w:val="20"/>
              </w:rPr>
            </w:pPr>
            <w:r w:rsidRPr="00BF4B7C">
              <w:rPr>
                <w:rFonts w:ascii="Arial" w:hAnsi="Arial" w:cs="Arial"/>
                <w:sz w:val="20"/>
              </w:rPr>
              <w:t>$6,236</w:t>
            </w:r>
          </w:p>
        </w:tc>
        <w:tc>
          <w:tcPr>
            <w:tcW w:w="1163" w:type="pct"/>
          </w:tcPr>
          <w:p w14:paraId="4240A9AF" w14:textId="77777777" w:rsidR="009D1F87" w:rsidRPr="00BF4B7C" w:rsidRDefault="009D1F87" w:rsidP="00162CD8">
            <w:pPr>
              <w:ind w:right="801"/>
              <w:rPr>
                <w:rFonts w:ascii="Arial" w:hAnsi="Arial" w:cs="Arial"/>
                <w:color w:val="000000"/>
                <w:sz w:val="20"/>
              </w:rPr>
            </w:pPr>
            <w:r w:rsidRPr="00BF4B7C">
              <w:rPr>
                <w:rFonts w:ascii="Arial" w:hAnsi="Arial" w:cs="Arial"/>
                <w:sz w:val="20"/>
              </w:rPr>
              <w:t>$6,236</w:t>
            </w:r>
          </w:p>
        </w:tc>
      </w:tr>
      <w:tr w:rsidR="009D1F87" w:rsidRPr="00BF4B7C" w14:paraId="4240A9B4" w14:textId="77777777" w:rsidTr="00162CD8">
        <w:tc>
          <w:tcPr>
            <w:tcW w:w="2674" w:type="pct"/>
          </w:tcPr>
          <w:p w14:paraId="4240A9B1" w14:textId="77777777" w:rsidR="009D1F87" w:rsidRPr="00BF4B7C" w:rsidRDefault="009D1F87" w:rsidP="00162CD8">
            <w:pPr>
              <w:rPr>
                <w:rFonts w:ascii="Arial" w:hAnsi="Arial" w:cs="Arial"/>
                <w:b/>
                <w:sz w:val="20"/>
              </w:rPr>
            </w:pPr>
            <w:r w:rsidRPr="00BF4B7C">
              <w:rPr>
                <w:rFonts w:ascii="Arial" w:hAnsi="Arial" w:cs="Arial"/>
                <w:b/>
                <w:sz w:val="20"/>
              </w:rPr>
              <w:t>Total</w:t>
            </w:r>
          </w:p>
        </w:tc>
        <w:tc>
          <w:tcPr>
            <w:tcW w:w="1163" w:type="pct"/>
            <w:tcBorders>
              <w:bottom w:val="single" w:sz="4" w:space="0" w:color="auto"/>
            </w:tcBorders>
          </w:tcPr>
          <w:p w14:paraId="4240A9B2" w14:textId="77777777" w:rsidR="009D1F87" w:rsidRPr="00BF4B7C" w:rsidRDefault="009D1F87" w:rsidP="00162CD8">
            <w:pPr>
              <w:ind w:right="801"/>
              <w:rPr>
                <w:rFonts w:ascii="Arial" w:hAnsi="Arial" w:cs="Arial"/>
                <w:b/>
                <w:sz w:val="20"/>
              </w:rPr>
            </w:pPr>
            <w:r w:rsidRPr="00BF4B7C">
              <w:rPr>
                <w:rFonts w:ascii="Arial" w:hAnsi="Arial" w:cs="Arial"/>
                <w:b/>
                <w:sz w:val="20"/>
              </w:rPr>
              <w:t>$8,039</w:t>
            </w:r>
          </w:p>
        </w:tc>
        <w:tc>
          <w:tcPr>
            <w:tcW w:w="1163" w:type="pct"/>
            <w:tcBorders>
              <w:bottom w:val="single" w:sz="4" w:space="0" w:color="auto"/>
            </w:tcBorders>
          </w:tcPr>
          <w:p w14:paraId="4240A9B3" w14:textId="77777777" w:rsidR="009D1F87" w:rsidRPr="00BF4B7C" w:rsidRDefault="009D1F87" w:rsidP="00162CD8">
            <w:pPr>
              <w:ind w:right="801"/>
              <w:rPr>
                <w:rFonts w:ascii="Arial" w:hAnsi="Arial" w:cs="Arial"/>
                <w:b/>
                <w:sz w:val="20"/>
              </w:rPr>
            </w:pPr>
            <w:r w:rsidRPr="00BF4B7C">
              <w:rPr>
                <w:rFonts w:ascii="Arial" w:hAnsi="Arial" w:cs="Arial"/>
                <w:b/>
                <w:sz w:val="20"/>
              </w:rPr>
              <w:t>$8,039</w:t>
            </w:r>
          </w:p>
        </w:tc>
      </w:tr>
      <w:tr w:rsidR="009D1F87" w:rsidRPr="00BF4B7C" w14:paraId="4240A9B8" w14:textId="77777777" w:rsidTr="00162CD8">
        <w:tc>
          <w:tcPr>
            <w:tcW w:w="2674" w:type="pct"/>
          </w:tcPr>
          <w:p w14:paraId="4240A9B5" w14:textId="77777777" w:rsidR="009D1F87" w:rsidRPr="00BF4B7C" w:rsidRDefault="009D1F87" w:rsidP="00162CD8">
            <w:pPr>
              <w:rPr>
                <w:rFonts w:ascii="Arial" w:hAnsi="Arial" w:cs="Arial"/>
                <w:b/>
                <w:sz w:val="20"/>
              </w:rPr>
            </w:pPr>
            <w:r w:rsidRPr="00BF4B7C">
              <w:rPr>
                <w:rFonts w:ascii="Arial" w:hAnsi="Arial" w:cs="Arial"/>
                <w:b/>
                <w:sz w:val="20"/>
              </w:rPr>
              <w:t>Incremental cost per patient</w:t>
            </w:r>
          </w:p>
        </w:tc>
        <w:tc>
          <w:tcPr>
            <w:tcW w:w="1163" w:type="pct"/>
            <w:tcBorders>
              <w:right w:val="nil"/>
            </w:tcBorders>
          </w:tcPr>
          <w:p w14:paraId="4240A9B6" w14:textId="77777777" w:rsidR="009D1F87" w:rsidRPr="00BF4B7C" w:rsidRDefault="009D1F87" w:rsidP="00162CD8">
            <w:pPr>
              <w:ind w:right="801"/>
              <w:rPr>
                <w:rFonts w:ascii="Arial" w:hAnsi="Arial" w:cs="Arial"/>
                <w:b/>
                <w:sz w:val="20"/>
              </w:rPr>
            </w:pPr>
          </w:p>
        </w:tc>
        <w:tc>
          <w:tcPr>
            <w:tcW w:w="1163" w:type="pct"/>
            <w:tcBorders>
              <w:left w:val="nil"/>
            </w:tcBorders>
          </w:tcPr>
          <w:p w14:paraId="4240A9B7" w14:textId="77777777" w:rsidR="009D1F87" w:rsidRPr="00BF4B7C" w:rsidRDefault="009D1F87" w:rsidP="00162CD8">
            <w:pPr>
              <w:ind w:right="801"/>
              <w:rPr>
                <w:rFonts w:ascii="Arial" w:hAnsi="Arial" w:cs="Arial"/>
                <w:b/>
                <w:sz w:val="20"/>
              </w:rPr>
            </w:pPr>
            <w:r w:rsidRPr="00BF4B7C">
              <w:rPr>
                <w:rFonts w:ascii="Arial" w:hAnsi="Arial" w:cs="Arial"/>
                <w:b/>
                <w:sz w:val="20"/>
              </w:rPr>
              <w:t>$0</w:t>
            </w:r>
          </w:p>
        </w:tc>
      </w:tr>
    </w:tbl>
    <w:p w14:paraId="4240A9B9" w14:textId="77777777" w:rsidR="009D1F87" w:rsidRPr="00BF4B7C" w:rsidRDefault="009D1F87" w:rsidP="009D1F87">
      <w:pPr>
        <w:widowControl w:val="0"/>
        <w:rPr>
          <w:rFonts w:ascii="Arial" w:hAnsi="Arial" w:cs="Arial"/>
          <w:snapToGrid w:val="0"/>
          <w:sz w:val="20"/>
          <w:lang w:eastAsia="en-US"/>
        </w:rPr>
      </w:pPr>
      <w:r w:rsidRPr="00BF4B7C">
        <w:rPr>
          <w:rFonts w:ascii="Arial" w:hAnsi="Arial" w:cs="Arial"/>
          <w:snapToGrid w:val="0"/>
          <w:sz w:val="20"/>
          <w:lang w:eastAsia="en-US"/>
        </w:rPr>
        <w:t>MTA = microwave tissue ablation; RFA = radiofrequency ablation</w:t>
      </w:r>
    </w:p>
    <w:p w14:paraId="4240A9BA" w14:textId="77777777" w:rsidR="009D1F87" w:rsidRPr="00862680" w:rsidRDefault="009D1F87" w:rsidP="009D1F87">
      <w:pPr>
        <w:keepNext/>
        <w:outlineLvl w:val="2"/>
        <w:rPr>
          <w:b/>
          <w:smallCaps/>
          <w:noProof/>
          <w:szCs w:val="24"/>
        </w:rPr>
      </w:pPr>
    </w:p>
    <w:p w14:paraId="4240A9BB" w14:textId="77777777" w:rsidR="009D1F87" w:rsidRPr="00862680" w:rsidRDefault="009D1F87" w:rsidP="009D1F87">
      <w:pPr>
        <w:rPr>
          <w:b/>
        </w:rPr>
      </w:pPr>
      <w:r w:rsidRPr="00862680">
        <w:rPr>
          <w:b/>
        </w:rPr>
        <w:t>Sensitivity analyses</w:t>
      </w:r>
    </w:p>
    <w:p w14:paraId="4240A9BC" w14:textId="77777777" w:rsidR="009D1F87" w:rsidRPr="00862680" w:rsidRDefault="009D1F87" w:rsidP="009D1F87">
      <w:pPr>
        <w:rPr>
          <w:szCs w:val="24"/>
        </w:rPr>
      </w:pPr>
      <w:r w:rsidRPr="00862680">
        <w:rPr>
          <w:szCs w:val="24"/>
        </w:rPr>
        <w:t xml:space="preserve">Sensitivity analyses are presented in </w:t>
      </w:r>
      <w:r w:rsidR="004249FA">
        <w:rPr>
          <w:szCs w:val="24"/>
        </w:rPr>
        <w:fldChar w:fldCharType="begin"/>
      </w:r>
      <w:r w:rsidR="004249FA">
        <w:rPr>
          <w:szCs w:val="24"/>
        </w:rPr>
        <w:instrText xml:space="preserve"> REF _Ref457558503 \h  \* MERGEFORMAT </w:instrText>
      </w:r>
      <w:r w:rsidR="004249FA">
        <w:rPr>
          <w:szCs w:val="24"/>
        </w:rPr>
      </w:r>
      <w:r w:rsidR="004249FA">
        <w:rPr>
          <w:szCs w:val="24"/>
        </w:rPr>
        <w:fldChar w:fldCharType="separate"/>
      </w:r>
      <w:r w:rsidR="003967F8" w:rsidRPr="003967F8">
        <w:rPr>
          <w:szCs w:val="24"/>
        </w:rPr>
        <w:t>Table 8</w:t>
      </w:r>
      <w:r w:rsidR="004249FA">
        <w:rPr>
          <w:szCs w:val="24"/>
        </w:rPr>
        <w:fldChar w:fldCharType="end"/>
      </w:r>
      <w:r w:rsidRPr="00862680">
        <w:rPr>
          <w:szCs w:val="24"/>
        </w:rPr>
        <w:t>, and include assessment of the cost impact of varying costs associated with procedures: MBS fees charged (stratified on the basis of number of lesions), hospital costs, anaesthesia cost and number of ablation sessions required. An additional analysis assumed a 10 per cent relative reduction in chemotherapy usage with MTA.</w:t>
      </w:r>
    </w:p>
    <w:p w14:paraId="4240A9BD" w14:textId="77777777" w:rsidR="009D1F87" w:rsidRPr="00862680" w:rsidRDefault="009D1F87" w:rsidP="009D1F87">
      <w:pPr>
        <w:rPr>
          <w:szCs w:val="24"/>
        </w:rPr>
      </w:pPr>
    </w:p>
    <w:p w14:paraId="4240A9BE" w14:textId="77777777" w:rsidR="009D1F87" w:rsidRPr="00862680" w:rsidRDefault="009D1F87" w:rsidP="009D1F87">
      <w:pPr>
        <w:rPr>
          <w:szCs w:val="24"/>
        </w:rPr>
      </w:pPr>
      <w:r w:rsidRPr="00862680">
        <w:rPr>
          <w:szCs w:val="24"/>
        </w:rPr>
        <w:t>A sensitivity analysis considering the weighted cost of MTA based on the number of lesions treated per patient ($817 for treating up to 5 lesions, $1,300 for treating &gt;5 lesions) was performed. Approximately 60 per cent of the patient population with liver cancer metastasis is estimated to h</w:t>
      </w:r>
      <w:r w:rsidR="00AD4345">
        <w:rPr>
          <w:szCs w:val="24"/>
        </w:rPr>
        <w:t>ave more than five lesions</w:t>
      </w:r>
      <w:r w:rsidRPr="00862680">
        <w:rPr>
          <w:szCs w:val="24"/>
        </w:rPr>
        <w:t>. % stratification equates to $1,107.</w:t>
      </w:r>
    </w:p>
    <w:p w14:paraId="4240A9BF" w14:textId="77777777" w:rsidR="009D1F87" w:rsidRPr="00862680" w:rsidRDefault="009D1F87" w:rsidP="009D1F87">
      <w:pPr>
        <w:rPr>
          <w:szCs w:val="24"/>
        </w:rPr>
      </w:pPr>
    </w:p>
    <w:p w14:paraId="4240A9C0" w14:textId="77777777" w:rsidR="009D1F87" w:rsidRPr="00862680" w:rsidRDefault="009D1F87" w:rsidP="009D1F87">
      <w:pPr>
        <w:rPr>
          <w:szCs w:val="24"/>
        </w:rPr>
      </w:pPr>
      <w:r w:rsidRPr="00862680">
        <w:rPr>
          <w:szCs w:val="24"/>
        </w:rPr>
        <w:t>MBS data suggested that, on average, patients required 1.</w:t>
      </w:r>
      <w:r w:rsidR="00AD4345">
        <w:rPr>
          <w:szCs w:val="24"/>
        </w:rPr>
        <w:t>1–1.2 RFA sessions</w:t>
      </w:r>
      <w:r w:rsidRPr="00862680">
        <w:rPr>
          <w:szCs w:val="24"/>
        </w:rPr>
        <w:t xml:space="preserve"> for treating primary HCC. No such data are available to estimate the number of ablation sessions required per patient for Population 2 with secondary liver metastasis. This patient group is expected to be sicker and to have more liver lesions than Population 1. As such, the number of sessions required per patient may be higher than for Population 1.</w:t>
      </w:r>
    </w:p>
    <w:p w14:paraId="4240A9C1" w14:textId="77777777" w:rsidR="009D1F87" w:rsidRPr="00862680" w:rsidRDefault="009D1F87" w:rsidP="009D1F87">
      <w:pPr>
        <w:rPr>
          <w:szCs w:val="24"/>
        </w:rPr>
      </w:pPr>
    </w:p>
    <w:p w14:paraId="4240A9C2" w14:textId="77777777" w:rsidR="009D1F87" w:rsidRPr="00BF4B7C" w:rsidRDefault="009D1F87" w:rsidP="009D1F87">
      <w:pPr>
        <w:keepNext/>
        <w:rPr>
          <w:rFonts w:ascii="Arial" w:hAnsi="Arial" w:cs="Arial"/>
          <w:b/>
          <w:bCs/>
          <w:sz w:val="20"/>
        </w:rPr>
      </w:pPr>
      <w:bookmarkStart w:id="49" w:name="_Ref457558503"/>
      <w:bookmarkStart w:id="50" w:name="OLE_LINK212"/>
      <w:bookmarkStart w:id="51" w:name="_Toc460406505"/>
      <w:r w:rsidRPr="00BF4B7C">
        <w:rPr>
          <w:rFonts w:ascii="Arial" w:hAnsi="Arial" w:cs="Arial"/>
          <w:b/>
          <w:bCs/>
          <w:sz w:val="20"/>
        </w:rPr>
        <w:t xml:space="preserve">Table </w:t>
      </w:r>
      <w:r w:rsidRPr="00BF4B7C">
        <w:rPr>
          <w:rFonts w:ascii="Arial" w:hAnsi="Arial" w:cs="Arial"/>
          <w:b/>
          <w:bCs/>
          <w:sz w:val="20"/>
        </w:rPr>
        <w:fldChar w:fldCharType="begin"/>
      </w:r>
      <w:r w:rsidRPr="00BF4B7C">
        <w:rPr>
          <w:rFonts w:ascii="Arial" w:hAnsi="Arial" w:cs="Arial"/>
          <w:b/>
          <w:bCs/>
          <w:sz w:val="20"/>
        </w:rPr>
        <w:instrText xml:space="preserve"> SEQ Table \* ARABIC </w:instrText>
      </w:r>
      <w:r w:rsidRPr="00BF4B7C">
        <w:rPr>
          <w:rFonts w:ascii="Arial" w:hAnsi="Arial" w:cs="Arial"/>
          <w:b/>
          <w:bCs/>
          <w:sz w:val="20"/>
        </w:rPr>
        <w:fldChar w:fldCharType="separate"/>
      </w:r>
      <w:r w:rsidR="003967F8">
        <w:rPr>
          <w:rFonts w:ascii="Arial" w:hAnsi="Arial" w:cs="Arial"/>
          <w:b/>
          <w:bCs/>
          <w:noProof/>
          <w:sz w:val="20"/>
        </w:rPr>
        <w:t>8</w:t>
      </w:r>
      <w:r w:rsidRPr="00BF4B7C">
        <w:rPr>
          <w:rFonts w:ascii="Arial" w:hAnsi="Arial" w:cs="Arial"/>
          <w:b/>
          <w:bCs/>
          <w:noProof/>
          <w:sz w:val="20"/>
        </w:rPr>
        <w:fldChar w:fldCharType="end"/>
      </w:r>
      <w:bookmarkEnd w:id="49"/>
      <w:r w:rsidRPr="00BF4B7C">
        <w:rPr>
          <w:rFonts w:ascii="Arial" w:hAnsi="Arial" w:cs="Arial"/>
          <w:b/>
          <w:bCs/>
          <w:sz w:val="20"/>
        </w:rPr>
        <w:tab/>
      </w:r>
      <w:r w:rsidR="004249FA">
        <w:rPr>
          <w:rFonts w:ascii="Arial" w:hAnsi="Arial" w:cs="Arial"/>
          <w:b/>
          <w:bCs/>
          <w:sz w:val="20"/>
        </w:rPr>
        <w:tab/>
      </w:r>
      <w:r w:rsidRPr="00BF4B7C">
        <w:rPr>
          <w:rFonts w:ascii="Arial" w:hAnsi="Arial" w:cs="Arial"/>
          <w:b/>
          <w:bCs/>
          <w:sz w:val="20"/>
        </w:rPr>
        <w:t>One-way sensitivity analyses of key parameters, Population 2</w:t>
      </w:r>
      <w:bookmarkEnd w:id="50"/>
      <w:bookmarkEnd w:id="51"/>
    </w:p>
    <w:tbl>
      <w:tblPr>
        <w:tblStyle w:val="TableGrid1"/>
        <w:tblW w:w="5405" w:type="pct"/>
        <w:tblInd w:w="-9" w:type="dxa"/>
        <w:tblLayout w:type="fixed"/>
        <w:tblCellMar>
          <w:left w:w="28" w:type="dxa"/>
          <w:right w:w="28" w:type="dxa"/>
        </w:tblCellMar>
        <w:tblLook w:val="04A0" w:firstRow="1" w:lastRow="0" w:firstColumn="1" w:lastColumn="0" w:noHBand="0" w:noVBand="1"/>
        <w:tblDescription w:val="Table 34 One-way sensitivity analyses of key parameters, Population 2"/>
      </w:tblPr>
      <w:tblGrid>
        <w:gridCol w:w="5936"/>
        <w:gridCol w:w="1233"/>
        <w:gridCol w:w="1233"/>
        <w:gridCol w:w="1416"/>
      </w:tblGrid>
      <w:tr w:rsidR="009D1F87" w:rsidRPr="00BF4B7C" w14:paraId="4240A9C8" w14:textId="77777777" w:rsidTr="00162CD8">
        <w:trPr>
          <w:trHeight w:val="300"/>
          <w:tblHeader/>
        </w:trPr>
        <w:tc>
          <w:tcPr>
            <w:tcW w:w="3023" w:type="pct"/>
            <w:noWrap/>
            <w:hideMark/>
          </w:tcPr>
          <w:p w14:paraId="4240A9C3" w14:textId="77777777" w:rsidR="009D1F87" w:rsidRPr="00BF4B7C" w:rsidRDefault="009D1F87" w:rsidP="00162CD8">
            <w:pPr>
              <w:keepNext/>
              <w:spacing w:before="0"/>
              <w:rPr>
                <w:rFonts w:ascii="Arial" w:hAnsi="Arial" w:cs="Arial"/>
                <w:b/>
                <w:sz w:val="20"/>
              </w:rPr>
            </w:pPr>
            <w:r w:rsidRPr="00BF4B7C">
              <w:rPr>
                <w:rFonts w:ascii="Arial" w:hAnsi="Arial" w:cs="Arial"/>
                <w:b/>
                <w:sz w:val="20"/>
              </w:rPr>
              <w:t>Sensitivity analyses</w:t>
            </w:r>
          </w:p>
        </w:tc>
        <w:tc>
          <w:tcPr>
            <w:tcW w:w="628" w:type="pct"/>
            <w:noWrap/>
            <w:hideMark/>
          </w:tcPr>
          <w:p w14:paraId="4240A9C4" w14:textId="77777777" w:rsidR="009D1F87" w:rsidRPr="00BF4B7C" w:rsidRDefault="009D1F87" w:rsidP="00162CD8">
            <w:pPr>
              <w:keepNext/>
              <w:spacing w:before="0"/>
              <w:rPr>
                <w:rFonts w:ascii="Arial" w:hAnsi="Arial" w:cs="Arial"/>
                <w:b/>
                <w:sz w:val="20"/>
              </w:rPr>
            </w:pPr>
            <w:r w:rsidRPr="00BF4B7C">
              <w:rPr>
                <w:rFonts w:ascii="Arial" w:hAnsi="Arial" w:cs="Arial"/>
                <w:b/>
                <w:sz w:val="20"/>
              </w:rPr>
              <w:t>MTA</w:t>
            </w:r>
          </w:p>
        </w:tc>
        <w:tc>
          <w:tcPr>
            <w:tcW w:w="628" w:type="pct"/>
            <w:noWrap/>
            <w:hideMark/>
          </w:tcPr>
          <w:p w14:paraId="4240A9C5" w14:textId="77777777" w:rsidR="009D1F87" w:rsidRPr="00BF4B7C" w:rsidRDefault="009D1F87" w:rsidP="00162CD8">
            <w:pPr>
              <w:keepNext/>
              <w:spacing w:before="0"/>
              <w:rPr>
                <w:rFonts w:ascii="Arial" w:hAnsi="Arial" w:cs="Arial"/>
                <w:b/>
                <w:sz w:val="20"/>
              </w:rPr>
            </w:pPr>
            <w:r w:rsidRPr="00BF4B7C">
              <w:rPr>
                <w:rFonts w:ascii="Arial" w:hAnsi="Arial" w:cs="Arial"/>
                <w:b/>
                <w:sz w:val="20"/>
              </w:rPr>
              <w:t>RFA</w:t>
            </w:r>
          </w:p>
        </w:tc>
        <w:tc>
          <w:tcPr>
            <w:tcW w:w="721" w:type="pct"/>
            <w:noWrap/>
            <w:hideMark/>
          </w:tcPr>
          <w:p w14:paraId="4240A9C6" w14:textId="77777777" w:rsidR="009D1F87" w:rsidRPr="00BF4B7C" w:rsidRDefault="009D1F87" w:rsidP="00162CD8">
            <w:pPr>
              <w:keepNext/>
              <w:spacing w:before="0"/>
              <w:rPr>
                <w:rFonts w:ascii="Arial" w:hAnsi="Arial" w:cs="Arial"/>
                <w:b/>
                <w:sz w:val="20"/>
              </w:rPr>
            </w:pPr>
            <w:r w:rsidRPr="00BF4B7C">
              <w:rPr>
                <w:rFonts w:ascii="Arial" w:hAnsi="Arial" w:cs="Arial"/>
                <w:b/>
                <w:sz w:val="20"/>
              </w:rPr>
              <w:t>Incremental cost</w:t>
            </w:r>
          </w:p>
          <w:p w14:paraId="4240A9C7" w14:textId="77777777" w:rsidR="009D1F87" w:rsidRPr="00BF4B7C" w:rsidRDefault="009D1F87" w:rsidP="00162CD8">
            <w:pPr>
              <w:keepNext/>
              <w:spacing w:before="0"/>
              <w:rPr>
                <w:rFonts w:ascii="Arial" w:hAnsi="Arial" w:cs="Arial"/>
                <w:b/>
                <w:sz w:val="20"/>
              </w:rPr>
            </w:pPr>
            <w:r w:rsidRPr="00BF4B7C">
              <w:rPr>
                <w:rFonts w:ascii="Arial" w:hAnsi="Arial" w:cs="Arial"/>
                <w:b/>
                <w:sz w:val="20"/>
              </w:rPr>
              <w:t>per patient</w:t>
            </w:r>
          </w:p>
        </w:tc>
      </w:tr>
      <w:tr w:rsidR="009D1F87" w:rsidRPr="00BF4B7C" w14:paraId="4240A9CD" w14:textId="77777777" w:rsidTr="00162CD8">
        <w:trPr>
          <w:trHeight w:val="300"/>
        </w:trPr>
        <w:tc>
          <w:tcPr>
            <w:tcW w:w="3023" w:type="pct"/>
            <w:noWrap/>
          </w:tcPr>
          <w:p w14:paraId="4240A9C9" w14:textId="77777777" w:rsidR="009D1F87" w:rsidRPr="00BF4B7C" w:rsidRDefault="009D1F87" w:rsidP="00162CD8">
            <w:pPr>
              <w:spacing w:before="0"/>
              <w:rPr>
                <w:rFonts w:ascii="Arial" w:hAnsi="Arial" w:cs="Arial"/>
                <w:b/>
                <w:sz w:val="20"/>
              </w:rPr>
            </w:pPr>
            <w:r w:rsidRPr="00BF4B7C">
              <w:rPr>
                <w:rFonts w:ascii="Arial" w:hAnsi="Arial" w:cs="Arial"/>
                <w:b/>
                <w:sz w:val="20"/>
              </w:rPr>
              <w:t>Base case</w:t>
            </w:r>
          </w:p>
        </w:tc>
        <w:tc>
          <w:tcPr>
            <w:tcW w:w="628" w:type="pct"/>
            <w:noWrap/>
          </w:tcPr>
          <w:p w14:paraId="4240A9CA" w14:textId="77777777" w:rsidR="009D1F87" w:rsidRPr="00BF4B7C" w:rsidRDefault="009D1F87" w:rsidP="00162CD8">
            <w:pPr>
              <w:spacing w:before="0"/>
              <w:ind w:right="398"/>
              <w:rPr>
                <w:rFonts w:ascii="Arial" w:hAnsi="Arial" w:cs="Arial"/>
                <w:b/>
                <w:sz w:val="20"/>
              </w:rPr>
            </w:pPr>
            <w:r w:rsidRPr="00BF4B7C">
              <w:rPr>
                <w:rFonts w:ascii="Arial" w:hAnsi="Arial" w:cs="Arial"/>
                <w:b/>
                <w:sz w:val="20"/>
              </w:rPr>
              <w:t>$8,039</w:t>
            </w:r>
          </w:p>
        </w:tc>
        <w:tc>
          <w:tcPr>
            <w:tcW w:w="628" w:type="pct"/>
            <w:noWrap/>
          </w:tcPr>
          <w:p w14:paraId="4240A9CB" w14:textId="77777777" w:rsidR="009D1F87" w:rsidRPr="00BF4B7C" w:rsidRDefault="009D1F87" w:rsidP="00162CD8">
            <w:pPr>
              <w:spacing w:before="0"/>
              <w:ind w:right="398"/>
              <w:rPr>
                <w:rFonts w:ascii="Arial" w:hAnsi="Arial" w:cs="Arial"/>
                <w:b/>
                <w:sz w:val="20"/>
              </w:rPr>
            </w:pPr>
            <w:r w:rsidRPr="00BF4B7C">
              <w:rPr>
                <w:rFonts w:ascii="Arial" w:hAnsi="Arial" w:cs="Arial"/>
                <w:b/>
                <w:sz w:val="20"/>
              </w:rPr>
              <w:t>$8,039</w:t>
            </w:r>
          </w:p>
        </w:tc>
        <w:tc>
          <w:tcPr>
            <w:tcW w:w="721" w:type="pct"/>
            <w:noWrap/>
          </w:tcPr>
          <w:p w14:paraId="4240A9CC" w14:textId="77777777" w:rsidR="009D1F87" w:rsidRPr="00BF4B7C" w:rsidRDefault="009D1F87" w:rsidP="00162CD8">
            <w:pPr>
              <w:spacing w:before="0"/>
              <w:ind w:right="500"/>
              <w:rPr>
                <w:rFonts w:ascii="Arial" w:hAnsi="Arial" w:cs="Arial"/>
                <w:b/>
                <w:sz w:val="20"/>
              </w:rPr>
            </w:pPr>
            <w:r w:rsidRPr="00BF4B7C">
              <w:rPr>
                <w:rFonts w:ascii="Arial" w:hAnsi="Arial" w:cs="Arial"/>
                <w:b/>
                <w:sz w:val="20"/>
              </w:rPr>
              <w:t>$0</w:t>
            </w:r>
          </w:p>
        </w:tc>
      </w:tr>
      <w:tr w:rsidR="009D1F87" w:rsidRPr="00BF4B7C" w14:paraId="4240A9D2" w14:textId="77777777" w:rsidTr="00162CD8">
        <w:trPr>
          <w:trHeight w:val="300"/>
        </w:trPr>
        <w:tc>
          <w:tcPr>
            <w:tcW w:w="3023" w:type="pct"/>
            <w:noWrap/>
            <w:hideMark/>
          </w:tcPr>
          <w:p w14:paraId="4240A9CE" w14:textId="77777777" w:rsidR="009D1F87" w:rsidRPr="00BF4B7C" w:rsidRDefault="009D1F87" w:rsidP="00162CD8">
            <w:pPr>
              <w:spacing w:before="0"/>
              <w:rPr>
                <w:rFonts w:ascii="Arial" w:hAnsi="Arial" w:cs="Arial"/>
                <w:sz w:val="20"/>
              </w:rPr>
            </w:pPr>
            <w:r w:rsidRPr="00BF4B7C">
              <w:rPr>
                <w:rFonts w:ascii="Arial" w:hAnsi="Arial" w:cs="Arial"/>
                <w:sz w:val="20"/>
              </w:rPr>
              <w:t>Weighted MBS fee of MTA: $1,107</w:t>
            </w:r>
          </w:p>
        </w:tc>
        <w:tc>
          <w:tcPr>
            <w:tcW w:w="628" w:type="pct"/>
            <w:noWrap/>
            <w:hideMark/>
          </w:tcPr>
          <w:p w14:paraId="4240A9CF" w14:textId="77777777" w:rsidR="009D1F87" w:rsidRPr="00BF4B7C" w:rsidRDefault="009D1F87" w:rsidP="00162CD8">
            <w:pPr>
              <w:spacing w:before="0"/>
              <w:ind w:right="398"/>
              <w:rPr>
                <w:rFonts w:ascii="Arial" w:hAnsi="Arial" w:cs="Arial"/>
                <w:sz w:val="20"/>
              </w:rPr>
            </w:pPr>
            <w:r w:rsidRPr="00BF4B7C">
              <w:rPr>
                <w:rFonts w:ascii="Arial" w:hAnsi="Arial" w:cs="Arial"/>
                <w:sz w:val="20"/>
              </w:rPr>
              <w:t>$8,329</w:t>
            </w:r>
          </w:p>
        </w:tc>
        <w:tc>
          <w:tcPr>
            <w:tcW w:w="628" w:type="pct"/>
            <w:noWrap/>
            <w:hideMark/>
          </w:tcPr>
          <w:p w14:paraId="4240A9D0" w14:textId="77777777" w:rsidR="009D1F87" w:rsidRPr="00BF4B7C" w:rsidRDefault="009D1F87" w:rsidP="00162CD8">
            <w:pPr>
              <w:spacing w:before="0"/>
              <w:ind w:right="398"/>
              <w:rPr>
                <w:rFonts w:ascii="Arial" w:hAnsi="Arial" w:cs="Arial"/>
                <w:sz w:val="20"/>
              </w:rPr>
            </w:pPr>
            <w:r w:rsidRPr="00BF4B7C">
              <w:rPr>
                <w:rFonts w:ascii="Arial" w:hAnsi="Arial" w:cs="Arial"/>
                <w:sz w:val="20"/>
              </w:rPr>
              <w:t>$8,039</w:t>
            </w:r>
          </w:p>
        </w:tc>
        <w:tc>
          <w:tcPr>
            <w:tcW w:w="721" w:type="pct"/>
            <w:noWrap/>
            <w:hideMark/>
          </w:tcPr>
          <w:p w14:paraId="4240A9D1" w14:textId="77777777" w:rsidR="009D1F87" w:rsidRPr="00BF4B7C" w:rsidRDefault="009D1F87" w:rsidP="00162CD8">
            <w:pPr>
              <w:spacing w:before="0"/>
              <w:ind w:right="500"/>
              <w:rPr>
                <w:rFonts w:ascii="Arial" w:hAnsi="Arial" w:cs="Arial"/>
                <w:sz w:val="20"/>
              </w:rPr>
            </w:pPr>
            <w:r w:rsidRPr="00BF4B7C">
              <w:rPr>
                <w:rFonts w:ascii="Arial" w:hAnsi="Arial" w:cs="Arial"/>
                <w:sz w:val="20"/>
              </w:rPr>
              <w:t>$290</w:t>
            </w:r>
          </w:p>
        </w:tc>
      </w:tr>
      <w:tr w:rsidR="009D1F87" w:rsidRPr="00BF4B7C" w14:paraId="4240A9D7" w14:textId="77777777" w:rsidTr="00BF4B7C">
        <w:trPr>
          <w:trHeight w:val="300"/>
        </w:trPr>
        <w:tc>
          <w:tcPr>
            <w:tcW w:w="3023" w:type="pct"/>
            <w:noWrap/>
            <w:hideMark/>
          </w:tcPr>
          <w:p w14:paraId="4240A9D3" w14:textId="77777777" w:rsidR="009D1F87" w:rsidRPr="00BF4B7C" w:rsidRDefault="009D1F87" w:rsidP="00162CD8">
            <w:pPr>
              <w:spacing w:before="0"/>
              <w:rPr>
                <w:rFonts w:ascii="Arial" w:hAnsi="Arial" w:cs="Arial"/>
                <w:sz w:val="20"/>
              </w:rPr>
            </w:pPr>
            <w:r w:rsidRPr="00BF4B7C">
              <w:rPr>
                <w:rFonts w:ascii="Arial" w:hAnsi="Arial" w:cs="Arial"/>
                <w:sz w:val="20"/>
              </w:rPr>
              <w:t>Reducing hospital costs of MTA by 10%</w:t>
            </w:r>
          </w:p>
        </w:tc>
        <w:tc>
          <w:tcPr>
            <w:tcW w:w="628" w:type="pct"/>
            <w:noWrap/>
            <w:hideMark/>
          </w:tcPr>
          <w:p w14:paraId="4240A9D4" w14:textId="77777777" w:rsidR="009D1F87" w:rsidRPr="00BF4B7C" w:rsidRDefault="009D1F87" w:rsidP="00162CD8">
            <w:pPr>
              <w:spacing w:before="0"/>
              <w:ind w:right="398"/>
              <w:rPr>
                <w:rFonts w:ascii="Arial" w:hAnsi="Arial" w:cs="Arial"/>
                <w:sz w:val="20"/>
              </w:rPr>
            </w:pPr>
            <w:r w:rsidRPr="00BF4B7C">
              <w:rPr>
                <w:rFonts w:ascii="Arial" w:hAnsi="Arial" w:cs="Arial"/>
                <w:sz w:val="20"/>
              </w:rPr>
              <w:t>$7,416</w:t>
            </w:r>
          </w:p>
        </w:tc>
        <w:tc>
          <w:tcPr>
            <w:tcW w:w="628" w:type="pct"/>
            <w:noWrap/>
            <w:hideMark/>
          </w:tcPr>
          <w:p w14:paraId="4240A9D5" w14:textId="77777777" w:rsidR="009D1F87" w:rsidRPr="00BF4B7C" w:rsidRDefault="009D1F87" w:rsidP="00162CD8">
            <w:pPr>
              <w:spacing w:before="0"/>
              <w:ind w:right="398"/>
              <w:rPr>
                <w:rFonts w:ascii="Arial" w:hAnsi="Arial" w:cs="Arial"/>
                <w:sz w:val="20"/>
              </w:rPr>
            </w:pPr>
            <w:r w:rsidRPr="00BF4B7C">
              <w:rPr>
                <w:rFonts w:ascii="Arial" w:hAnsi="Arial" w:cs="Arial"/>
                <w:sz w:val="20"/>
              </w:rPr>
              <w:t>$8,039</w:t>
            </w:r>
          </w:p>
        </w:tc>
        <w:tc>
          <w:tcPr>
            <w:tcW w:w="721" w:type="pct"/>
            <w:shd w:val="clear" w:color="auto" w:fill="D9D9D9" w:themeFill="background1" w:themeFillShade="D9"/>
            <w:noWrap/>
            <w:hideMark/>
          </w:tcPr>
          <w:p w14:paraId="4240A9D6" w14:textId="77777777" w:rsidR="009D1F87" w:rsidRPr="00BF4B7C" w:rsidRDefault="009D1F87" w:rsidP="00162CD8">
            <w:pPr>
              <w:spacing w:before="0"/>
              <w:ind w:right="500"/>
              <w:rPr>
                <w:rFonts w:ascii="Arial" w:hAnsi="Arial" w:cs="Arial"/>
                <w:sz w:val="20"/>
              </w:rPr>
            </w:pPr>
            <w:r w:rsidRPr="00BF4B7C">
              <w:rPr>
                <w:rFonts w:ascii="Arial" w:hAnsi="Arial" w:cs="Arial"/>
                <w:sz w:val="20"/>
              </w:rPr>
              <w:t>−$624</w:t>
            </w:r>
          </w:p>
        </w:tc>
      </w:tr>
      <w:tr w:rsidR="009D1F87" w:rsidRPr="00BF4B7C" w14:paraId="4240A9DC" w14:textId="77777777" w:rsidTr="00BF4B7C">
        <w:trPr>
          <w:trHeight w:val="300"/>
        </w:trPr>
        <w:tc>
          <w:tcPr>
            <w:tcW w:w="3023" w:type="pct"/>
            <w:noWrap/>
            <w:hideMark/>
          </w:tcPr>
          <w:p w14:paraId="4240A9D8" w14:textId="77777777" w:rsidR="009D1F87" w:rsidRPr="00BF4B7C" w:rsidRDefault="009D1F87" w:rsidP="00162CD8">
            <w:pPr>
              <w:spacing w:before="0"/>
              <w:rPr>
                <w:rFonts w:ascii="Arial" w:hAnsi="Arial" w:cs="Arial"/>
                <w:sz w:val="20"/>
              </w:rPr>
            </w:pPr>
            <w:r w:rsidRPr="00BF4B7C">
              <w:rPr>
                <w:rFonts w:ascii="Arial" w:hAnsi="Arial" w:cs="Arial"/>
                <w:sz w:val="20"/>
              </w:rPr>
              <w:t>Reducing hospital costs of MTA by 20%</w:t>
            </w:r>
          </w:p>
        </w:tc>
        <w:tc>
          <w:tcPr>
            <w:tcW w:w="628" w:type="pct"/>
            <w:noWrap/>
            <w:hideMark/>
          </w:tcPr>
          <w:p w14:paraId="4240A9D9" w14:textId="77777777" w:rsidR="009D1F87" w:rsidRPr="00BF4B7C" w:rsidRDefault="009D1F87" w:rsidP="00162CD8">
            <w:pPr>
              <w:spacing w:before="0"/>
              <w:ind w:right="398"/>
              <w:rPr>
                <w:rFonts w:ascii="Arial" w:hAnsi="Arial" w:cs="Arial"/>
                <w:sz w:val="20"/>
              </w:rPr>
            </w:pPr>
            <w:r w:rsidRPr="00BF4B7C">
              <w:rPr>
                <w:rFonts w:ascii="Arial" w:hAnsi="Arial" w:cs="Arial"/>
                <w:sz w:val="20"/>
              </w:rPr>
              <w:t>$6,792</w:t>
            </w:r>
          </w:p>
        </w:tc>
        <w:tc>
          <w:tcPr>
            <w:tcW w:w="628" w:type="pct"/>
            <w:noWrap/>
            <w:hideMark/>
          </w:tcPr>
          <w:p w14:paraId="4240A9DA" w14:textId="77777777" w:rsidR="009D1F87" w:rsidRPr="00BF4B7C" w:rsidRDefault="009D1F87" w:rsidP="00162CD8">
            <w:pPr>
              <w:spacing w:before="0"/>
              <w:ind w:right="398"/>
              <w:rPr>
                <w:rFonts w:ascii="Arial" w:hAnsi="Arial" w:cs="Arial"/>
                <w:sz w:val="20"/>
              </w:rPr>
            </w:pPr>
            <w:r w:rsidRPr="00BF4B7C">
              <w:rPr>
                <w:rFonts w:ascii="Arial" w:hAnsi="Arial" w:cs="Arial"/>
                <w:sz w:val="20"/>
              </w:rPr>
              <w:t>$8,039</w:t>
            </w:r>
          </w:p>
        </w:tc>
        <w:tc>
          <w:tcPr>
            <w:tcW w:w="721" w:type="pct"/>
            <w:shd w:val="clear" w:color="auto" w:fill="D9D9D9" w:themeFill="background1" w:themeFillShade="D9"/>
            <w:noWrap/>
            <w:hideMark/>
          </w:tcPr>
          <w:p w14:paraId="4240A9DB" w14:textId="77777777" w:rsidR="009D1F87" w:rsidRPr="00BF4B7C" w:rsidRDefault="009D1F87" w:rsidP="00162CD8">
            <w:pPr>
              <w:spacing w:before="0"/>
              <w:ind w:right="500"/>
              <w:rPr>
                <w:rFonts w:ascii="Arial" w:hAnsi="Arial" w:cs="Arial"/>
                <w:sz w:val="20"/>
              </w:rPr>
            </w:pPr>
            <w:r w:rsidRPr="00BF4B7C">
              <w:rPr>
                <w:rFonts w:ascii="Arial" w:hAnsi="Arial" w:cs="Arial"/>
                <w:sz w:val="20"/>
              </w:rPr>
              <w:t>−$1,247</w:t>
            </w:r>
          </w:p>
        </w:tc>
      </w:tr>
      <w:tr w:rsidR="009D1F87" w:rsidRPr="00BF4B7C" w14:paraId="4240A9E1" w14:textId="77777777" w:rsidTr="00BF4B7C">
        <w:trPr>
          <w:trHeight w:val="300"/>
        </w:trPr>
        <w:tc>
          <w:tcPr>
            <w:tcW w:w="3023" w:type="pct"/>
            <w:noWrap/>
            <w:hideMark/>
          </w:tcPr>
          <w:p w14:paraId="4240A9DD" w14:textId="77777777" w:rsidR="009D1F87" w:rsidRPr="00BF4B7C" w:rsidRDefault="009D1F87" w:rsidP="00162CD8">
            <w:pPr>
              <w:spacing w:before="0"/>
              <w:rPr>
                <w:rFonts w:ascii="Arial" w:hAnsi="Arial" w:cs="Arial"/>
                <w:sz w:val="20"/>
              </w:rPr>
            </w:pPr>
            <w:r w:rsidRPr="00BF4B7C">
              <w:rPr>
                <w:rFonts w:ascii="Arial" w:hAnsi="Arial" w:cs="Arial"/>
                <w:sz w:val="20"/>
              </w:rPr>
              <w:t>Reducing 1 basic unit of anaesthesia for MTA</w:t>
            </w:r>
          </w:p>
        </w:tc>
        <w:tc>
          <w:tcPr>
            <w:tcW w:w="628" w:type="pct"/>
            <w:noWrap/>
            <w:hideMark/>
          </w:tcPr>
          <w:p w14:paraId="4240A9DE" w14:textId="77777777" w:rsidR="009D1F87" w:rsidRPr="00BF4B7C" w:rsidRDefault="009D1F87" w:rsidP="00162CD8">
            <w:pPr>
              <w:spacing w:before="0"/>
              <w:ind w:right="398"/>
              <w:rPr>
                <w:rFonts w:ascii="Arial" w:hAnsi="Arial" w:cs="Arial"/>
                <w:sz w:val="20"/>
              </w:rPr>
            </w:pPr>
            <w:r w:rsidRPr="00BF4B7C">
              <w:rPr>
                <w:rFonts w:ascii="Arial" w:hAnsi="Arial" w:cs="Arial"/>
                <w:sz w:val="20"/>
              </w:rPr>
              <w:t>$8,019</w:t>
            </w:r>
          </w:p>
        </w:tc>
        <w:tc>
          <w:tcPr>
            <w:tcW w:w="628" w:type="pct"/>
            <w:noWrap/>
            <w:hideMark/>
          </w:tcPr>
          <w:p w14:paraId="4240A9DF" w14:textId="77777777" w:rsidR="009D1F87" w:rsidRPr="00BF4B7C" w:rsidRDefault="009D1F87" w:rsidP="00162CD8">
            <w:pPr>
              <w:spacing w:before="0"/>
              <w:ind w:right="398"/>
              <w:rPr>
                <w:rFonts w:ascii="Arial" w:hAnsi="Arial" w:cs="Arial"/>
                <w:sz w:val="20"/>
              </w:rPr>
            </w:pPr>
            <w:r w:rsidRPr="00BF4B7C">
              <w:rPr>
                <w:rFonts w:ascii="Arial" w:hAnsi="Arial" w:cs="Arial"/>
                <w:sz w:val="20"/>
              </w:rPr>
              <w:t>$8,039</w:t>
            </w:r>
          </w:p>
        </w:tc>
        <w:tc>
          <w:tcPr>
            <w:tcW w:w="721" w:type="pct"/>
            <w:shd w:val="clear" w:color="auto" w:fill="D9D9D9" w:themeFill="background1" w:themeFillShade="D9"/>
            <w:noWrap/>
            <w:hideMark/>
          </w:tcPr>
          <w:p w14:paraId="4240A9E0" w14:textId="77777777" w:rsidR="009D1F87" w:rsidRPr="00BF4B7C" w:rsidRDefault="009D1F87" w:rsidP="00162CD8">
            <w:pPr>
              <w:spacing w:before="0"/>
              <w:ind w:right="500"/>
              <w:rPr>
                <w:rFonts w:ascii="Arial" w:hAnsi="Arial" w:cs="Arial"/>
                <w:sz w:val="20"/>
              </w:rPr>
            </w:pPr>
            <w:r w:rsidRPr="00BF4B7C">
              <w:rPr>
                <w:rFonts w:ascii="Arial" w:hAnsi="Arial" w:cs="Arial"/>
                <w:sz w:val="20"/>
              </w:rPr>
              <w:t>−$20</w:t>
            </w:r>
          </w:p>
        </w:tc>
      </w:tr>
      <w:tr w:rsidR="009D1F87" w:rsidRPr="00BF4B7C" w14:paraId="4240A9E6" w14:textId="77777777" w:rsidTr="00BF4B7C">
        <w:trPr>
          <w:trHeight w:val="300"/>
        </w:trPr>
        <w:tc>
          <w:tcPr>
            <w:tcW w:w="3023" w:type="pct"/>
            <w:noWrap/>
            <w:hideMark/>
          </w:tcPr>
          <w:p w14:paraId="4240A9E2" w14:textId="77777777" w:rsidR="009D1F87" w:rsidRPr="00BF4B7C" w:rsidRDefault="009D1F87" w:rsidP="00162CD8">
            <w:pPr>
              <w:spacing w:before="0"/>
              <w:rPr>
                <w:rFonts w:ascii="Arial" w:hAnsi="Arial" w:cs="Arial"/>
                <w:sz w:val="20"/>
              </w:rPr>
            </w:pPr>
            <w:r w:rsidRPr="00BF4B7C">
              <w:rPr>
                <w:rFonts w:ascii="Arial" w:hAnsi="Arial" w:cs="Arial"/>
                <w:sz w:val="20"/>
              </w:rPr>
              <w:t>Reducing 2 basic units of anaesthesia for MTA</w:t>
            </w:r>
          </w:p>
        </w:tc>
        <w:tc>
          <w:tcPr>
            <w:tcW w:w="628" w:type="pct"/>
            <w:noWrap/>
            <w:hideMark/>
          </w:tcPr>
          <w:p w14:paraId="4240A9E3" w14:textId="77777777" w:rsidR="009D1F87" w:rsidRPr="00BF4B7C" w:rsidRDefault="009D1F87" w:rsidP="00162CD8">
            <w:pPr>
              <w:spacing w:before="0"/>
              <w:ind w:right="398"/>
              <w:rPr>
                <w:rFonts w:ascii="Arial" w:hAnsi="Arial" w:cs="Arial"/>
                <w:sz w:val="20"/>
              </w:rPr>
            </w:pPr>
            <w:r w:rsidRPr="00BF4B7C">
              <w:rPr>
                <w:rFonts w:ascii="Arial" w:hAnsi="Arial" w:cs="Arial"/>
                <w:sz w:val="20"/>
              </w:rPr>
              <w:t>$8,000</w:t>
            </w:r>
          </w:p>
        </w:tc>
        <w:tc>
          <w:tcPr>
            <w:tcW w:w="628" w:type="pct"/>
            <w:noWrap/>
            <w:hideMark/>
          </w:tcPr>
          <w:p w14:paraId="4240A9E4" w14:textId="77777777" w:rsidR="009D1F87" w:rsidRPr="00BF4B7C" w:rsidRDefault="009D1F87" w:rsidP="00162CD8">
            <w:pPr>
              <w:spacing w:before="0"/>
              <w:ind w:right="398"/>
              <w:rPr>
                <w:rFonts w:ascii="Arial" w:hAnsi="Arial" w:cs="Arial"/>
                <w:sz w:val="20"/>
              </w:rPr>
            </w:pPr>
            <w:r w:rsidRPr="00BF4B7C">
              <w:rPr>
                <w:rFonts w:ascii="Arial" w:hAnsi="Arial" w:cs="Arial"/>
                <w:sz w:val="20"/>
              </w:rPr>
              <w:t>$8,039</w:t>
            </w:r>
          </w:p>
        </w:tc>
        <w:tc>
          <w:tcPr>
            <w:tcW w:w="721" w:type="pct"/>
            <w:shd w:val="clear" w:color="auto" w:fill="D9D9D9" w:themeFill="background1" w:themeFillShade="D9"/>
            <w:noWrap/>
            <w:hideMark/>
          </w:tcPr>
          <w:p w14:paraId="4240A9E5" w14:textId="77777777" w:rsidR="009D1F87" w:rsidRPr="00BF4B7C" w:rsidRDefault="009D1F87" w:rsidP="00162CD8">
            <w:pPr>
              <w:spacing w:before="0"/>
              <w:ind w:right="500"/>
              <w:rPr>
                <w:rFonts w:ascii="Arial" w:hAnsi="Arial" w:cs="Arial"/>
                <w:sz w:val="20"/>
              </w:rPr>
            </w:pPr>
            <w:r w:rsidRPr="00BF4B7C">
              <w:rPr>
                <w:rFonts w:ascii="Arial" w:hAnsi="Arial" w:cs="Arial"/>
                <w:sz w:val="20"/>
              </w:rPr>
              <w:t>−$40</w:t>
            </w:r>
          </w:p>
        </w:tc>
      </w:tr>
      <w:tr w:rsidR="009D1F87" w:rsidRPr="00BF4B7C" w14:paraId="4240A9EB" w14:textId="77777777" w:rsidTr="00162CD8">
        <w:trPr>
          <w:trHeight w:val="300"/>
        </w:trPr>
        <w:tc>
          <w:tcPr>
            <w:tcW w:w="3023" w:type="pct"/>
            <w:noWrap/>
          </w:tcPr>
          <w:p w14:paraId="4240A9E7" w14:textId="77777777" w:rsidR="009D1F87" w:rsidRPr="00BF4B7C" w:rsidRDefault="009D1F87" w:rsidP="00162CD8">
            <w:pPr>
              <w:spacing w:before="0"/>
              <w:rPr>
                <w:rFonts w:ascii="Arial" w:hAnsi="Arial" w:cs="Arial"/>
                <w:sz w:val="20"/>
              </w:rPr>
            </w:pPr>
            <w:r w:rsidRPr="00BF4B7C">
              <w:rPr>
                <w:rFonts w:ascii="Arial" w:hAnsi="Arial" w:cs="Arial"/>
                <w:sz w:val="20"/>
              </w:rPr>
              <w:t>Number of MTA sessions required per patient: 2.4</w:t>
            </w:r>
          </w:p>
        </w:tc>
        <w:tc>
          <w:tcPr>
            <w:tcW w:w="628" w:type="pct"/>
            <w:noWrap/>
          </w:tcPr>
          <w:p w14:paraId="4240A9E8" w14:textId="77777777" w:rsidR="009D1F87" w:rsidRPr="00BF4B7C" w:rsidRDefault="009D1F87" w:rsidP="00162CD8">
            <w:pPr>
              <w:spacing w:before="0"/>
              <w:ind w:right="398"/>
              <w:rPr>
                <w:rFonts w:ascii="Arial" w:hAnsi="Arial" w:cs="Arial"/>
                <w:sz w:val="20"/>
              </w:rPr>
            </w:pPr>
            <w:r w:rsidRPr="00BF4B7C">
              <w:rPr>
                <w:rFonts w:ascii="Arial" w:hAnsi="Arial" w:cs="Arial"/>
                <w:sz w:val="20"/>
              </w:rPr>
              <w:t>$19,294</w:t>
            </w:r>
          </w:p>
        </w:tc>
        <w:tc>
          <w:tcPr>
            <w:tcW w:w="628" w:type="pct"/>
            <w:noWrap/>
          </w:tcPr>
          <w:p w14:paraId="4240A9E9" w14:textId="77777777" w:rsidR="009D1F87" w:rsidRPr="00BF4B7C" w:rsidRDefault="009D1F87" w:rsidP="00162CD8">
            <w:pPr>
              <w:spacing w:before="0"/>
              <w:ind w:right="398"/>
              <w:rPr>
                <w:rFonts w:ascii="Arial" w:hAnsi="Arial" w:cs="Arial"/>
                <w:sz w:val="20"/>
              </w:rPr>
            </w:pPr>
            <w:r w:rsidRPr="00BF4B7C">
              <w:rPr>
                <w:rFonts w:ascii="Arial" w:hAnsi="Arial" w:cs="Arial"/>
                <w:sz w:val="20"/>
              </w:rPr>
              <w:t>$8,039</w:t>
            </w:r>
          </w:p>
        </w:tc>
        <w:tc>
          <w:tcPr>
            <w:tcW w:w="721" w:type="pct"/>
            <w:noWrap/>
          </w:tcPr>
          <w:p w14:paraId="4240A9EA" w14:textId="77777777" w:rsidR="009D1F87" w:rsidRPr="00BF4B7C" w:rsidRDefault="009D1F87" w:rsidP="00162CD8">
            <w:pPr>
              <w:spacing w:before="0"/>
              <w:ind w:right="500"/>
              <w:rPr>
                <w:rFonts w:ascii="Arial" w:hAnsi="Arial" w:cs="Arial"/>
                <w:sz w:val="20"/>
              </w:rPr>
            </w:pPr>
            <w:r w:rsidRPr="00BF4B7C">
              <w:rPr>
                <w:rFonts w:ascii="Arial" w:hAnsi="Arial" w:cs="Arial"/>
                <w:sz w:val="20"/>
              </w:rPr>
              <w:t>$11,255</w:t>
            </w:r>
          </w:p>
        </w:tc>
      </w:tr>
      <w:tr w:rsidR="009D1F87" w:rsidRPr="00BF4B7C" w14:paraId="4240A9F0" w14:textId="77777777" w:rsidTr="00BF4B7C">
        <w:trPr>
          <w:trHeight w:val="300"/>
        </w:trPr>
        <w:tc>
          <w:tcPr>
            <w:tcW w:w="3023" w:type="pct"/>
            <w:noWrap/>
          </w:tcPr>
          <w:p w14:paraId="4240A9EC" w14:textId="77777777" w:rsidR="009D1F87" w:rsidRPr="00BF4B7C" w:rsidRDefault="009D1F87" w:rsidP="00162CD8">
            <w:pPr>
              <w:spacing w:before="0"/>
              <w:rPr>
                <w:rFonts w:ascii="Arial" w:hAnsi="Arial" w:cs="Arial"/>
                <w:sz w:val="20"/>
              </w:rPr>
            </w:pPr>
            <w:r w:rsidRPr="00BF4B7C">
              <w:rPr>
                <w:rFonts w:ascii="Arial" w:hAnsi="Arial" w:cs="Arial"/>
                <w:sz w:val="20"/>
              </w:rPr>
              <w:t>Number of RFA sessions required per patient: 1.2</w:t>
            </w:r>
          </w:p>
        </w:tc>
        <w:tc>
          <w:tcPr>
            <w:tcW w:w="628" w:type="pct"/>
            <w:noWrap/>
          </w:tcPr>
          <w:p w14:paraId="4240A9ED" w14:textId="77777777" w:rsidR="009D1F87" w:rsidRPr="00BF4B7C" w:rsidRDefault="009D1F87" w:rsidP="00162CD8">
            <w:pPr>
              <w:spacing w:before="0"/>
              <w:ind w:right="398"/>
              <w:rPr>
                <w:rFonts w:ascii="Arial" w:hAnsi="Arial" w:cs="Arial"/>
                <w:sz w:val="20"/>
              </w:rPr>
            </w:pPr>
            <w:r w:rsidRPr="00BF4B7C">
              <w:rPr>
                <w:rFonts w:ascii="Arial" w:hAnsi="Arial" w:cs="Arial"/>
                <w:sz w:val="20"/>
              </w:rPr>
              <w:t>$8,039</w:t>
            </w:r>
          </w:p>
        </w:tc>
        <w:tc>
          <w:tcPr>
            <w:tcW w:w="628" w:type="pct"/>
            <w:noWrap/>
          </w:tcPr>
          <w:p w14:paraId="4240A9EE" w14:textId="77777777" w:rsidR="009D1F87" w:rsidRPr="00BF4B7C" w:rsidRDefault="009D1F87" w:rsidP="00162CD8">
            <w:pPr>
              <w:spacing w:before="0"/>
              <w:ind w:right="398"/>
              <w:rPr>
                <w:rFonts w:ascii="Arial" w:hAnsi="Arial" w:cs="Arial"/>
                <w:sz w:val="20"/>
              </w:rPr>
            </w:pPr>
            <w:r w:rsidRPr="00BF4B7C">
              <w:rPr>
                <w:rFonts w:ascii="Arial" w:hAnsi="Arial" w:cs="Arial"/>
                <w:sz w:val="20"/>
              </w:rPr>
              <w:t>$9,647</w:t>
            </w:r>
          </w:p>
        </w:tc>
        <w:tc>
          <w:tcPr>
            <w:tcW w:w="721" w:type="pct"/>
            <w:shd w:val="clear" w:color="auto" w:fill="D9D9D9" w:themeFill="background1" w:themeFillShade="D9"/>
            <w:noWrap/>
          </w:tcPr>
          <w:p w14:paraId="4240A9EF" w14:textId="77777777" w:rsidR="009D1F87" w:rsidRPr="00BF4B7C" w:rsidRDefault="009D1F87" w:rsidP="00162CD8">
            <w:pPr>
              <w:spacing w:before="0"/>
              <w:ind w:right="500"/>
              <w:rPr>
                <w:rFonts w:ascii="Arial" w:hAnsi="Arial" w:cs="Arial"/>
                <w:sz w:val="20"/>
              </w:rPr>
            </w:pPr>
            <w:r w:rsidRPr="00BF4B7C">
              <w:rPr>
                <w:rFonts w:ascii="Arial" w:hAnsi="Arial" w:cs="Arial"/>
                <w:sz w:val="20"/>
              </w:rPr>
              <w:t>−$1,608</w:t>
            </w:r>
          </w:p>
        </w:tc>
      </w:tr>
      <w:tr w:rsidR="009D1F87" w:rsidRPr="00BF4B7C" w14:paraId="4240A9F5" w14:textId="77777777" w:rsidTr="00BF4B7C">
        <w:trPr>
          <w:trHeight w:val="300"/>
        </w:trPr>
        <w:tc>
          <w:tcPr>
            <w:tcW w:w="3023" w:type="pct"/>
            <w:noWrap/>
          </w:tcPr>
          <w:p w14:paraId="4240A9F1" w14:textId="77777777" w:rsidR="009D1F87" w:rsidRPr="00BF4B7C" w:rsidRDefault="009D1F87" w:rsidP="00162CD8">
            <w:pPr>
              <w:spacing w:before="0"/>
              <w:rPr>
                <w:rFonts w:ascii="Arial" w:hAnsi="Arial" w:cs="Arial"/>
                <w:sz w:val="20"/>
              </w:rPr>
            </w:pPr>
            <w:r w:rsidRPr="00BF4B7C">
              <w:rPr>
                <w:rFonts w:ascii="Arial" w:hAnsi="Arial" w:cs="Arial"/>
                <w:sz w:val="20"/>
              </w:rPr>
              <w:t>Number of RFA sessions required per patient: 2</w:t>
            </w:r>
          </w:p>
        </w:tc>
        <w:tc>
          <w:tcPr>
            <w:tcW w:w="628" w:type="pct"/>
            <w:noWrap/>
          </w:tcPr>
          <w:p w14:paraId="4240A9F2" w14:textId="77777777" w:rsidR="009D1F87" w:rsidRPr="00BF4B7C" w:rsidRDefault="009D1F87" w:rsidP="00162CD8">
            <w:pPr>
              <w:spacing w:before="0"/>
              <w:ind w:right="398"/>
              <w:rPr>
                <w:rFonts w:ascii="Arial" w:hAnsi="Arial" w:cs="Arial"/>
                <w:sz w:val="20"/>
              </w:rPr>
            </w:pPr>
            <w:r w:rsidRPr="00BF4B7C">
              <w:rPr>
                <w:rFonts w:ascii="Arial" w:hAnsi="Arial" w:cs="Arial"/>
                <w:sz w:val="20"/>
              </w:rPr>
              <w:t>$8,039</w:t>
            </w:r>
          </w:p>
        </w:tc>
        <w:tc>
          <w:tcPr>
            <w:tcW w:w="628" w:type="pct"/>
            <w:noWrap/>
          </w:tcPr>
          <w:p w14:paraId="4240A9F3" w14:textId="77777777" w:rsidR="009D1F87" w:rsidRPr="00BF4B7C" w:rsidRDefault="009D1F87" w:rsidP="00162CD8">
            <w:pPr>
              <w:spacing w:before="0"/>
              <w:ind w:right="398"/>
              <w:rPr>
                <w:rFonts w:ascii="Arial" w:hAnsi="Arial" w:cs="Arial"/>
                <w:sz w:val="20"/>
              </w:rPr>
            </w:pPr>
            <w:r w:rsidRPr="00BF4B7C">
              <w:rPr>
                <w:rFonts w:ascii="Arial" w:hAnsi="Arial" w:cs="Arial"/>
                <w:sz w:val="20"/>
              </w:rPr>
              <w:t>$16,078</w:t>
            </w:r>
          </w:p>
        </w:tc>
        <w:tc>
          <w:tcPr>
            <w:tcW w:w="721" w:type="pct"/>
            <w:shd w:val="clear" w:color="auto" w:fill="D9D9D9" w:themeFill="background1" w:themeFillShade="D9"/>
            <w:noWrap/>
          </w:tcPr>
          <w:p w14:paraId="4240A9F4" w14:textId="77777777" w:rsidR="009D1F87" w:rsidRPr="00BF4B7C" w:rsidRDefault="009D1F87" w:rsidP="00162CD8">
            <w:pPr>
              <w:spacing w:before="0"/>
              <w:ind w:right="500"/>
              <w:rPr>
                <w:rFonts w:ascii="Arial" w:hAnsi="Arial" w:cs="Arial"/>
                <w:sz w:val="20"/>
              </w:rPr>
            </w:pPr>
            <w:r w:rsidRPr="00BF4B7C">
              <w:rPr>
                <w:rFonts w:ascii="Arial" w:hAnsi="Arial" w:cs="Arial"/>
                <w:sz w:val="20"/>
              </w:rPr>
              <w:t>−$8,039</w:t>
            </w:r>
          </w:p>
        </w:tc>
      </w:tr>
      <w:tr w:rsidR="009D1F87" w:rsidRPr="00BF4B7C" w14:paraId="4240A9FA" w14:textId="77777777" w:rsidTr="00BF4B7C">
        <w:trPr>
          <w:trHeight w:val="300"/>
        </w:trPr>
        <w:tc>
          <w:tcPr>
            <w:tcW w:w="3023" w:type="pct"/>
            <w:noWrap/>
          </w:tcPr>
          <w:p w14:paraId="4240A9F6" w14:textId="77777777" w:rsidR="009D1F87" w:rsidRPr="00BF4B7C" w:rsidRDefault="009D1F87" w:rsidP="00162CD8">
            <w:pPr>
              <w:spacing w:before="0"/>
              <w:rPr>
                <w:rFonts w:ascii="Arial" w:hAnsi="Arial" w:cs="Arial"/>
                <w:sz w:val="20"/>
              </w:rPr>
            </w:pPr>
            <w:r w:rsidRPr="00BF4B7C">
              <w:rPr>
                <w:rFonts w:ascii="Arial" w:hAnsi="Arial" w:cs="Arial"/>
                <w:sz w:val="20"/>
              </w:rPr>
              <w:t>Relative reduction of 10% in chemotherapy usage with MTA</w:t>
            </w:r>
          </w:p>
        </w:tc>
        <w:tc>
          <w:tcPr>
            <w:tcW w:w="628" w:type="pct"/>
            <w:noWrap/>
          </w:tcPr>
          <w:p w14:paraId="4240A9F7" w14:textId="77777777" w:rsidR="009D1F87" w:rsidRPr="00BF4B7C" w:rsidRDefault="009D1F87" w:rsidP="00162CD8">
            <w:pPr>
              <w:spacing w:before="0"/>
              <w:ind w:right="398"/>
              <w:rPr>
                <w:rFonts w:ascii="Arial" w:hAnsi="Arial" w:cs="Arial"/>
                <w:sz w:val="20"/>
              </w:rPr>
            </w:pPr>
            <w:r w:rsidRPr="00BF4B7C">
              <w:rPr>
                <w:rFonts w:ascii="Arial" w:hAnsi="Arial" w:cs="Arial"/>
                <w:sz w:val="20"/>
              </w:rPr>
              <w:t>$7,887</w:t>
            </w:r>
          </w:p>
        </w:tc>
        <w:tc>
          <w:tcPr>
            <w:tcW w:w="628" w:type="pct"/>
            <w:noWrap/>
          </w:tcPr>
          <w:p w14:paraId="4240A9F8" w14:textId="77777777" w:rsidR="009D1F87" w:rsidRPr="00BF4B7C" w:rsidRDefault="009D1F87" w:rsidP="00162CD8">
            <w:pPr>
              <w:spacing w:before="0"/>
              <w:ind w:right="398"/>
              <w:rPr>
                <w:rFonts w:ascii="Arial" w:hAnsi="Arial" w:cs="Arial"/>
                <w:sz w:val="20"/>
              </w:rPr>
            </w:pPr>
            <w:r w:rsidRPr="00BF4B7C">
              <w:rPr>
                <w:rFonts w:ascii="Arial" w:hAnsi="Arial" w:cs="Arial"/>
                <w:sz w:val="20"/>
              </w:rPr>
              <w:t>$8,039</w:t>
            </w:r>
          </w:p>
        </w:tc>
        <w:tc>
          <w:tcPr>
            <w:tcW w:w="721" w:type="pct"/>
            <w:shd w:val="clear" w:color="auto" w:fill="D9D9D9" w:themeFill="background1" w:themeFillShade="D9"/>
            <w:noWrap/>
          </w:tcPr>
          <w:p w14:paraId="4240A9F9" w14:textId="77777777" w:rsidR="009D1F87" w:rsidRPr="00BF4B7C" w:rsidRDefault="009D1F87" w:rsidP="00162CD8">
            <w:pPr>
              <w:spacing w:before="0"/>
              <w:ind w:right="500"/>
              <w:rPr>
                <w:rFonts w:ascii="Arial" w:hAnsi="Arial" w:cs="Arial"/>
                <w:sz w:val="20"/>
              </w:rPr>
            </w:pPr>
            <w:r w:rsidRPr="00BF4B7C">
              <w:rPr>
                <w:rFonts w:ascii="Arial" w:hAnsi="Arial" w:cs="Arial"/>
                <w:sz w:val="20"/>
              </w:rPr>
              <w:t>−$152</w:t>
            </w:r>
          </w:p>
        </w:tc>
      </w:tr>
    </w:tbl>
    <w:p w14:paraId="4240A9FB" w14:textId="77777777" w:rsidR="009D1F87" w:rsidRPr="00BF4B7C" w:rsidRDefault="009D1F87" w:rsidP="009D1F87">
      <w:pPr>
        <w:widowControl w:val="0"/>
        <w:rPr>
          <w:rFonts w:ascii="Arial" w:hAnsi="Arial" w:cs="Arial"/>
          <w:snapToGrid w:val="0"/>
          <w:sz w:val="20"/>
          <w:lang w:eastAsia="en-US"/>
        </w:rPr>
      </w:pPr>
      <w:r w:rsidRPr="00BF4B7C">
        <w:rPr>
          <w:rFonts w:ascii="Arial" w:hAnsi="Arial" w:cs="Arial"/>
          <w:snapToGrid w:val="0"/>
          <w:sz w:val="20"/>
          <w:lang w:eastAsia="en-US"/>
        </w:rPr>
        <w:t>MBS = Medicare Benefits Schedule; MTA = microwave tissue ablation; RFA = radiofrequency ablation</w:t>
      </w:r>
    </w:p>
    <w:p w14:paraId="4240A9FC" w14:textId="77777777" w:rsidR="009D1F87" w:rsidRPr="00BF4B7C" w:rsidRDefault="009D1F87" w:rsidP="0074658A">
      <w:pPr>
        <w:widowControl w:val="0"/>
        <w:spacing w:after="240"/>
        <w:rPr>
          <w:rFonts w:ascii="Arial" w:hAnsi="Arial" w:cs="Arial"/>
          <w:snapToGrid w:val="0"/>
          <w:sz w:val="20"/>
          <w:lang w:eastAsia="en-US"/>
        </w:rPr>
      </w:pPr>
      <w:r w:rsidRPr="00BF4B7C">
        <w:rPr>
          <w:rFonts w:ascii="Arial" w:hAnsi="Arial" w:cs="Arial"/>
          <w:snapToGrid w:val="0"/>
          <w:sz w:val="20"/>
          <w:lang w:eastAsia="en-US"/>
        </w:rPr>
        <w:t>Shaded cells show analyses indicating a potential cost saving (negative value for incremental cost) with the proposed treatment with MTA</w:t>
      </w:r>
    </w:p>
    <w:p w14:paraId="4240A9FD" w14:textId="77777777" w:rsidR="009D1F87" w:rsidRDefault="009D1F87" w:rsidP="009D1F87">
      <w:pPr>
        <w:rPr>
          <w:szCs w:val="24"/>
        </w:rPr>
      </w:pPr>
      <w:r w:rsidRPr="00862680">
        <w:rPr>
          <w:szCs w:val="24"/>
        </w:rPr>
        <w:t xml:space="preserve">As seen in </w:t>
      </w:r>
      <w:r w:rsidR="004249FA">
        <w:rPr>
          <w:szCs w:val="24"/>
        </w:rPr>
        <w:fldChar w:fldCharType="begin"/>
      </w:r>
      <w:r w:rsidR="004249FA">
        <w:rPr>
          <w:szCs w:val="24"/>
        </w:rPr>
        <w:instrText xml:space="preserve"> REF _Ref457558503 \h  \* MERGEFORMAT </w:instrText>
      </w:r>
      <w:r w:rsidR="004249FA">
        <w:rPr>
          <w:szCs w:val="24"/>
        </w:rPr>
      </w:r>
      <w:r w:rsidR="004249FA">
        <w:rPr>
          <w:szCs w:val="24"/>
        </w:rPr>
        <w:fldChar w:fldCharType="separate"/>
      </w:r>
      <w:r w:rsidR="003967F8" w:rsidRPr="003967F8">
        <w:rPr>
          <w:szCs w:val="24"/>
        </w:rPr>
        <w:t>Table 8</w:t>
      </w:r>
      <w:r w:rsidR="004249FA">
        <w:rPr>
          <w:szCs w:val="24"/>
        </w:rPr>
        <w:fldChar w:fldCharType="end"/>
      </w:r>
      <w:r w:rsidRPr="00862680">
        <w:rPr>
          <w:szCs w:val="24"/>
        </w:rPr>
        <w:t xml:space="preserve">, the MBS fee for MTA, hospital costs and the number of sessions required for either procedure are the key drivers of the economic analysis. If treatment with MTA </w:t>
      </w:r>
      <w:r w:rsidRPr="00862680">
        <w:rPr>
          <w:szCs w:val="24"/>
        </w:rPr>
        <w:lastRenderedPageBreak/>
        <w:t>results in a reduction in associated hospital costs or in the number of sessions compared with RFA, it may result in potential cost-savings when the same fee as RFA is applied.</w:t>
      </w:r>
    </w:p>
    <w:p w14:paraId="4240A9FE" w14:textId="77777777" w:rsidR="009D1F87" w:rsidRPr="00862680" w:rsidRDefault="009D1F87" w:rsidP="009D1F87">
      <w:pPr>
        <w:rPr>
          <w:szCs w:val="24"/>
        </w:rPr>
      </w:pPr>
    </w:p>
    <w:p w14:paraId="4240A9FF" w14:textId="77777777" w:rsidR="009D1F87" w:rsidRPr="00862680" w:rsidRDefault="009D1F87" w:rsidP="009D1F87">
      <w:pPr>
        <w:rPr>
          <w:szCs w:val="24"/>
        </w:rPr>
      </w:pPr>
      <w:r w:rsidRPr="00862680">
        <w:rPr>
          <w:szCs w:val="24"/>
        </w:rPr>
        <w:t>However, if the proposed g</w:t>
      </w:r>
      <w:r w:rsidR="0023448C">
        <w:rPr>
          <w:szCs w:val="24"/>
        </w:rPr>
        <w:t>raduated fee scheme is applied</w:t>
      </w:r>
      <w:r w:rsidRPr="00862680">
        <w:rPr>
          <w:szCs w:val="24"/>
        </w:rPr>
        <w:t>, the incremental cost will vary from −$7,077 to +$13,567 with a base-ca</w:t>
      </w:r>
      <w:r w:rsidR="00AD4345">
        <w:rPr>
          <w:szCs w:val="24"/>
        </w:rPr>
        <w:t>se incremental cost of $963</w:t>
      </w:r>
      <w:r w:rsidRPr="00862680">
        <w:rPr>
          <w:szCs w:val="24"/>
        </w:rPr>
        <w:t>.</w:t>
      </w:r>
      <w:bookmarkStart w:id="52" w:name="_Ref378945269"/>
    </w:p>
    <w:bookmarkEnd w:id="52"/>
    <w:p w14:paraId="4240AA00" w14:textId="77777777" w:rsidR="00BC1364" w:rsidRPr="00F715D1" w:rsidRDefault="00BC1364" w:rsidP="000B1709">
      <w:pPr>
        <w:pStyle w:val="Heading1"/>
        <w:ind w:left="0" w:firstLine="0"/>
      </w:pPr>
      <w:r w:rsidRPr="00F715D1">
        <w:t>Financial/budgetary impacts</w:t>
      </w:r>
    </w:p>
    <w:p w14:paraId="4240AA01" w14:textId="77777777" w:rsidR="00782A4D" w:rsidRDefault="00782A4D" w:rsidP="00782A4D">
      <w:pPr>
        <w:rPr>
          <w:szCs w:val="24"/>
        </w:rPr>
      </w:pPr>
      <w:r w:rsidRPr="00862680">
        <w:rPr>
          <w:szCs w:val="24"/>
        </w:rPr>
        <w:t>There may be some financial implications (cost-savings) for state and territory government health budgets, such as for public hospitals (including inpatient admissions, emergency department visits and outpatient clinic visits) due to the extension of services in the private sector. However, quantification of such cost shifts (from state health budgets to MBS) is harder, since the proposed listing is much broader than the existing listing for RFA, and because both RFA and MTA are being performed currently in Australian hospitals.</w:t>
      </w:r>
    </w:p>
    <w:p w14:paraId="4240AA02" w14:textId="77777777" w:rsidR="00782A4D" w:rsidRPr="00862680" w:rsidRDefault="00782A4D" w:rsidP="00782A4D">
      <w:pPr>
        <w:rPr>
          <w:szCs w:val="24"/>
        </w:rPr>
      </w:pPr>
    </w:p>
    <w:p w14:paraId="4240AA03" w14:textId="77777777" w:rsidR="00782A4D" w:rsidRPr="00862680" w:rsidRDefault="004249FA" w:rsidP="00782A4D">
      <w:pPr>
        <w:rPr>
          <w:szCs w:val="24"/>
        </w:rPr>
      </w:pPr>
      <w:r>
        <w:rPr>
          <w:szCs w:val="24"/>
        </w:rPr>
        <w:fldChar w:fldCharType="begin"/>
      </w:r>
      <w:r>
        <w:rPr>
          <w:szCs w:val="24"/>
        </w:rPr>
        <w:instrText xml:space="preserve"> REF _Ref469399698 \h  \* MERGEFORMAT </w:instrText>
      </w:r>
      <w:r>
        <w:rPr>
          <w:szCs w:val="24"/>
        </w:rPr>
      </w:r>
      <w:r>
        <w:rPr>
          <w:szCs w:val="24"/>
        </w:rPr>
        <w:fldChar w:fldCharType="separate"/>
      </w:r>
      <w:r w:rsidR="003967F8" w:rsidRPr="003967F8">
        <w:rPr>
          <w:szCs w:val="24"/>
        </w:rPr>
        <w:t>Table 9</w:t>
      </w:r>
      <w:r>
        <w:rPr>
          <w:szCs w:val="24"/>
        </w:rPr>
        <w:fldChar w:fldCharType="end"/>
      </w:r>
      <w:r w:rsidR="00782A4D" w:rsidRPr="00862680">
        <w:rPr>
          <w:szCs w:val="24"/>
        </w:rPr>
        <w:t xml:space="preserve"> presents the estimated financial implications of the proposed MTA listing (assuming no growth in the market) for other healthcare budgets. These estimates should be interpreted with caution as there may be some increase in the number of ablations performed in clinical practice, in which case the estimates presented will overestimate the cost offsets associated with MTA listing. The cost of ablation services performed in public hospitals is taken from AR-DRG </w:t>
      </w:r>
      <w:bookmarkStart w:id="53" w:name="OLE_LINK19"/>
      <w:bookmarkStart w:id="54" w:name="OLE_LINK20"/>
      <w:r w:rsidR="00782A4D" w:rsidRPr="00862680">
        <w:rPr>
          <w:noProof/>
          <w:szCs w:val="24"/>
        </w:rPr>
        <w:t>H05B</w:t>
      </w:r>
      <w:bookmarkEnd w:id="53"/>
      <w:bookmarkEnd w:id="54"/>
      <w:r w:rsidR="00782A4D" w:rsidRPr="00862680">
        <w:rPr>
          <w:szCs w:val="24"/>
        </w:rPr>
        <w:t xml:space="preserve"> (Hepatobiliary Diagnostic Procedures without Catastrophic Complications) </w:t>
      </w:r>
      <w:r w:rsidR="00782A4D" w:rsidRPr="00862680">
        <w:rPr>
          <w:szCs w:val="24"/>
        </w:rPr>
        <w:fldChar w:fldCharType="begin"/>
      </w:r>
      <w:r w:rsidR="00782A4D" w:rsidRPr="00862680">
        <w:rPr>
          <w:szCs w:val="24"/>
        </w:rPr>
        <w:instrText xml:space="preserve"> ADDIN EN.CITE &lt;EndNote&gt;&lt;Cite&gt;&lt;Author&gt;Independent Hospital Pricing Authority (IHPA)&lt;/Author&gt;&lt;Year&gt;2015&lt;/Year&gt;&lt;RecNum&gt;9&lt;/RecNum&gt;&lt;DisplayText&gt;(Independent Hospital Pricing Authority (IHPA) 2015a)&lt;/DisplayText&gt;&lt;record&gt;&lt;rec-number&gt;9&lt;/rec-number&gt;&lt;foreign-keys&gt;&lt;key app="EN" db-id="9a2derfsovsvvwertx05dadyt2aarw2vvpd2" timestamp="1467944631"&gt;9&lt;/key&gt;&lt;/foreign-keys&gt;&lt;ref-type name="Web Page"&gt;12&lt;/ref-type&gt;&lt;contributors&gt;&lt;authors&gt;&lt;author&gt;Independent Hospital Pricing Authority (IHPA),&lt;/author&gt;&lt;/authors&gt;&lt;/contributors&gt;&lt;titles&gt;&lt;title&gt;National Hospital Cost Data Collection (NHCDC), Round 18 Private Sector Overnight (2013-14), Appendix E-National Consolidation Cost Weight tables- AR-DRG V6.0X&lt;/title&gt;&lt;/titles&gt;&lt;volume&gt;2016&lt;/volume&gt;&lt;number&gt;March&lt;/number&gt;&lt;dates&gt;&lt;year&gt;2015&lt;/year&gt;&lt;/dates&gt;&lt;urls&gt;&lt;related-urls&gt;&lt;url&gt;https://www.ihpa.gov.au/sites/g/files/net636/f/publications/national-efficient-price-determination-2015-16.pdf&lt;/url&gt;&lt;/related-urls&gt;&lt;/urls&gt;&lt;/record&gt;&lt;/Cite&gt;&lt;/EndNote&gt;</w:instrText>
      </w:r>
      <w:r w:rsidR="00782A4D" w:rsidRPr="00862680">
        <w:rPr>
          <w:szCs w:val="24"/>
        </w:rPr>
        <w:fldChar w:fldCharType="separate"/>
      </w:r>
      <w:bookmarkStart w:id="55" w:name="OLE_LINK867"/>
      <w:bookmarkStart w:id="56" w:name="OLE_LINK866"/>
      <w:r w:rsidR="00782A4D" w:rsidRPr="00862680">
        <w:rPr>
          <w:noProof/>
          <w:szCs w:val="24"/>
        </w:rPr>
        <w:t>(</w:t>
      </w:r>
      <w:hyperlink w:anchor="_ENREF_36" w:tooltip="Independent Hospital Pricing Authority (IHPA), 2015 #9" w:history="1">
        <w:r w:rsidR="00782A4D" w:rsidRPr="00862680">
          <w:rPr>
            <w:noProof/>
            <w:szCs w:val="24"/>
          </w:rPr>
          <w:t>Independent Hospital Pricing Authority (IHPA) 2015a</w:t>
        </w:r>
      </w:hyperlink>
      <w:bookmarkEnd w:id="55"/>
      <w:bookmarkEnd w:id="56"/>
      <w:r w:rsidR="00782A4D" w:rsidRPr="00862680">
        <w:rPr>
          <w:noProof/>
          <w:szCs w:val="24"/>
        </w:rPr>
        <w:t>)</w:t>
      </w:r>
      <w:r w:rsidR="00782A4D" w:rsidRPr="00862680">
        <w:rPr>
          <w:szCs w:val="24"/>
        </w:rPr>
        <w:fldChar w:fldCharType="end"/>
      </w:r>
      <w:r w:rsidR="00782A4D" w:rsidRPr="00862680">
        <w:rPr>
          <w:szCs w:val="24"/>
        </w:rPr>
        <w:t xml:space="preserve"> and adjusted for inflation: $6,840 ($7,048 in 2016 AUD). MTA performed in the private sector will incur costs to Medicare, pri</w:t>
      </w:r>
      <w:r w:rsidR="0074658A">
        <w:rPr>
          <w:szCs w:val="24"/>
        </w:rPr>
        <w:t>vate hospitals and patients or private health insurer</w:t>
      </w:r>
      <w:r w:rsidR="00782A4D" w:rsidRPr="00862680">
        <w:rPr>
          <w:szCs w:val="24"/>
        </w:rPr>
        <w:t xml:space="preserve">s. Costs to </w:t>
      </w:r>
      <w:bookmarkStart w:id="57" w:name="OLE_LINK327"/>
      <w:bookmarkStart w:id="58" w:name="OLE_LINK328"/>
      <w:r w:rsidR="00782A4D" w:rsidRPr="00862680">
        <w:rPr>
          <w:szCs w:val="24"/>
        </w:rPr>
        <w:t xml:space="preserve">PHIs </w:t>
      </w:r>
      <w:bookmarkEnd w:id="57"/>
      <w:bookmarkEnd w:id="58"/>
      <w:r w:rsidR="00782A4D" w:rsidRPr="00862680">
        <w:rPr>
          <w:szCs w:val="24"/>
        </w:rPr>
        <w:t>are calculated as the sum of healthcare costs excluding costs to Medicare and co-payments associated with MTA ($6,236 + $204 = $6,440).</w:t>
      </w:r>
    </w:p>
    <w:p w14:paraId="4240AA04" w14:textId="77777777" w:rsidR="00F46C1D" w:rsidRDefault="00F46C1D" w:rsidP="00B823C0">
      <w:pPr>
        <w:rPr>
          <w:b/>
          <w:bCs/>
          <w:szCs w:val="24"/>
        </w:rPr>
      </w:pPr>
      <w:bookmarkStart w:id="59" w:name="_Ref458423562"/>
      <w:bookmarkStart w:id="60" w:name="OLE_LINK379"/>
      <w:bookmarkStart w:id="61" w:name="_Toc460406517"/>
    </w:p>
    <w:p w14:paraId="4240AA05" w14:textId="77777777" w:rsidR="00782A4D" w:rsidRPr="004249FA" w:rsidRDefault="00782A4D" w:rsidP="004249FA">
      <w:pPr>
        <w:ind w:left="1440" w:hanging="1440"/>
        <w:rPr>
          <w:rFonts w:ascii="Arial" w:hAnsi="Arial" w:cs="Arial"/>
          <w:b/>
          <w:bCs/>
          <w:sz w:val="20"/>
        </w:rPr>
      </w:pPr>
      <w:bookmarkStart w:id="62" w:name="_Ref469399698"/>
      <w:r w:rsidRPr="004249FA">
        <w:rPr>
          <w:rFonts w:ascii="Arial" w:hAnsi="Arial" w:cs="Arial"/>
          <w:b/>
          <w:bCs/>
          <w:sz w:val="20"/>
        </w:rPr>
        <w:t xml:space="preserve">Table </w:t>
      </w:r>
      <w:r w:rsidRPr="004249FA">
        <w:rPr>
          <w:rFonts w:ascii="Arial" w:hAnsi="Arial" w:cs="Arial"/>
          <w:b/>
          <w:bCs/>
          <w:sz w:val="20"/>
        </w:rPr>
        <w:fldChar w:fldCharType="begin"/>
      </w:r>
      <w:r w:rsidRPr="004249FA">
        <w:rPr>
          <w:rFonts w:ascii="Arial" w:hAnsi="Arial" w:cs="Arial"/>
          <w:b/>
          <w:bCs/>
          <w:sz w:val="20"/>
        </w:rPr>
        <w:instrText xml:space="preserve"> SEQ Table \* ARABIC </w:instrText>
      </w:r>
      <w:r w:rsidRPr="004249FA">
        <w:rPr>
          <w:rFonts w:ascii="Arial" w:hAnsi="Arial" w:cs="Arial"/>
          <w:b/>
          <w:bCs/>
          <w:sz w:val="20"/>
        </w:rPr>
        <w:fldChar w:fldCharType="separate"/>
      </w:r>
      <w:r w:rsidR="003967F8">
        <w:rPr>
          <w:rFonts w:ascii="Arial" w:hAnsi="Arial" w:cs="Arial"/>
          <w:b/>
          <w:bCs/>
          <w:noProof/>
          <w:sz w:val="20"/>
        </w:rPr>
        <w:t>9</w:t>
      </w:r>
      <w:r w:rsidRPr="004249FA">
        <w:rPr>
          <w:rFonts w:ascii="Arial" w:hAnsi="Arial" w:cs="Arial"/>
          <w:b/>
          <w:bCs/>
          <w:noProof/>
          <w:sz w:val="20"/>
        </w:rPr>
        <w:fldChar w:fldCharType="end"/>
      </w:r>
      <w:bookmarkEnd w:id="59"/>
      <w:bookmarkEnd w:id="62"/>
      <w:r w:rsidRPr="004249FA">
        <w:rPr>
          <w:rFonts w:ascii="Arial" w:hAnsi="Arial" w:cs="Arial"/>
          <w:b/>
          <w:bCs/>
          <w:sz w:val="20"/>
        </w:rPr>
        <w:tab/>
        <w:t>Cost implications for other healthcare budgets (assuming no growth in number of ablations)*</w:t>
      </w:r>
      <w:bookmarkEnd w:id="60"/>
      <w:bookmarkEnd w:id="61"/>
    </w:p>
    <w:tbl>
      <w:tblPr>
        <w:tblW w:w="5000"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Table 46 Cost implications for other healthcare budgets (assuming no growth in number of ablations)*"/>
      </w:tblPr>
      <w:tblGrid>
        <w:gridCol w:w="2599"/>
        <w:gridCol w:w="1297"/>
        <w:gridCol w:w="1297"/>
        <w:gridCol w:w="1297"/>
        <w:gridCol w:w="1297"/>
        <w:gridCol w:w="1295"/>
      </w:tblGrid>
      <w:tr w:rsidR="00782A4D" w:rsidRPr="004249FA" w14:paraId="4240AA0C" w14:textId="77777777" w:rsidTr="00162CD8">
        <w:trPr>
          <w:trHeight w:val="300"/>
          <w:tblHeader/>
        </w:trPr>
        <w:tc>
          <w:tcPr>
            <w:tcW w:w="1431" w:type="pct"/>
            <w:tcBorders>
              <w:bottom w:val="single" w:sz="4" w:space="0" w:color="auto"/>
            </w:tcBorders>
            <w:shd w:val="clear" w:color="auto" w:fill="auto"/>
            <w:vAlign w:val="center"/>
          </w:tcPr>
          <w:p w14:paraId="4240AA06" w14:textId="77777777" w:rsidR="00782A4D" w:rsidRPr="004249FA" w:rsidRDefault="00782A4D" w:rsidP="00162CD8">
            <w:pPr>
              <w:keepNext/>
              <w:outlineLvl w:val="5"/>
              <w:rPr>
                <w:rFonts w:ascii="Arial" w:hAnsi="Arial" w:cs="Arial"/>
                <w:sz w:val="20"/>
              </w:rPr>
            </w:pPr>
            <w:r w:rsidRPr="004249FA">
              <w:rPr>
                <w:rFonts w:ascii="Arial" w:hAnsi="Arial" w:cs="Arial"/>
                <w:sz w:val="20"/>
              </w:rPr>
              <w:t>-</w:t>
            </w:r>
          </w:p>
        </w:tc>
        <w:tc>
          <w:tcPr>
            <w:tcW w:w="714" w:type="pct"/>
            <w:tcBorders>
              <w:bottom w:val="single" w:sz="4" w:space="0" w:color="auto"/>
            </w:tcBorders>
          </w:tcPr>
          <w:p w14:paraId="4240AA07" w14:textId="77777777" w:rsidR="00782A4D" w:rsidRPr="004249FA" w:rsidRDefault="00782A4D" w:rsidP="00162CD8">
            <w:pPr>
              <w:keepNext/>
              <w:rPr>
                <w:rFonts w:ascii="Arial" w:hAnsi="Arial" w:cs="Arial"/>
                <w:b/>
                <w:sz w:val="20"/>
              </w:rPr>
            </w:pPr>
            <w:r w:rsidRPr="004249FA">
              <w:rPr>
                <w:rFonts w:ascii="Arial" w:hAnsi="Arial" w:cs="Arial"/>
                <w:b/>
                <w:sz w:val="20"/>
              </w:rPr>
              <w:t>2017–18</w:t>
            </w:r>
          </w:p>
        </w:tc>
        <w:tc>
          <w:tcPr>
            <w:tcW w:w="714" w:type="pct"/>
            <w:tcBorders>
              <w:bottom w:val="single" w:sz="4" w:space="0" w:color="auto"/>
            </w:tcBorders>
            <w:shd w:val="clear" w:color="auto" w:fill="auto"/>
          </w:tcPr>
          <w:p w14:paraId="4240AA08" w14:textId="77777777" w:rsidR="00782A4D" w:rsidRPr="004249FA" w:rsidRDefault="00782A4D" w:rsidP="00162CD8">
            <w:pPr>
              <w:keepNext/>
              <w:rPr>
                <w:rFonts w:ascii="Arial" w:hAnsi="Arial" w:cs="Arial"/>
                <w:b/>
                <w:sz w:val="20"/>
              </w:rPr>
            </w:pPr>
            <w:r w:rsidRPr="004249FA">
              <w:rPr>
                <w:rFonts w:ascii="Arial" w:hAnsi="Arial" w:cs="Arial"/>
                <w:b/>
                <w:sz w:val="20"/>
              </w:rPr>
              <w:t>2018–19</w:t>
            </w:r>
          </w:p>
        </w:tc>
        <w:tc>
          <w:tcPr>
            <w:tcW w:w="714" w:type="pct"/>
            <w:tcBorders>
              <w:bottom w:val="single" w:sz="4" w:space="0" w:color="auto"/>
            </w:tcBorders>
            <w:shd w:val="clear" w:color="auto" w:fill="auto"/>
          </w:tcPr>
          <w:p w14:paraId="4240AA09" w14:textId="77777777" w:rsidR="00782A4D" w:rsidRPr="004249FA" w:rsidRDefault="00782A4D" w:rsidP="00162CD8">
            <w:pPr>
              <w:keepNext/>
              <w:rPr>
                <w:rFonts w:ascii="Arial" w:hAnsi="Arial" w:cs="Arial"/>
                <w:b/>
                <w:sz w:val="20"/>
              </w:rPr>
            </w:pPr>
            <w:r w:rsidRPr="004249FA">
              <w:rPr>
                <w:rFonts w:ascii="Arial" w:hAnsi="Arial" w:cs="Arial"/>
                <w:b/>
                <w:sz w:val="20"/>
              </w:rPr>
              <w:t>2019–20</w:t>
            </w:r>
          </w:p>
        </w:tc>
        <w:tc>
          <w:tcPr>
            <w:tcW w:w="714" w:type="pct"/>
            <w:tcBorders>
              <w:bottom w:val="single" w:sz="4" w:space="0" w:color="auto"/>
            </w:tcBorders>
            <w:shd w:val="clear" w:color="auto" w:fill="auto"/>
          </w:tcPr>
          <w:p w14:paraId="4240AA0A" w14:textId="77777777" w:rsidR="00782A4D" w:rsidRPr="004249FA" w:rsidRDefault="00782A4D" w:rsidP="00162CD8">
            <w:pPr>
              <w:keepNext/>
              <w:rPr>
                <w:rFonts w:ascii="Arial" w:hAnsi="Arial" w:cs="Arial"/>
                <w:b/>
                <w:sz w:val="20"/>
              </w:rPr>
            </w:pPr>
            <w:r w:rsidRPr="004249FA">
              <w:rPr>
                <w:rFonts w:ascii="Arial" w:hAnsi="Arial" w:cs="Arial"/>
                <w:b/>
                <w:sz w:val="20"/>
              </w:rPr>
              <w:t>2020–21</w:t>
            </w:r>
          </w:p>
        </w:tc>
        <w:tc>
          <w:tcPr>
            <w:tcW w:w="713" w:type="pct"/>
            <w:tcBorders>
              <w:bottom w:val="single" w:sz="4" w:space="0" w:color="auto"/>
            </w:tcBorders>
            <w:shd w:val="clear" w:color="auto" w:fill="auto"/>
          </w:tcPr>
          <w:p w14:paraId="4240AA0B" w14:textId="77777777" w:rsidR="00782A4D" w:rsidRPr="004249FA" w:rsidRDefault="00782A4D" w:rsidP="00162CD8">
            <w:pPr>
              <w:keepNext/>
              <w:rPr>
                <w:rFonts w:ascii="Arial" w:hAnsi="Arial" w:cs="Arial"/>
                <w:b/>
                <w:sz w:val="20"/>
              </w:rPr>
            </w:pPr>
            <w:r w:rsidRPr="004249FA">
              <w:rPr>
                <w:rFonts w:ascii="Arial" w:hAnsi="Arial" w:cs="Arial"/>
                <w:b/>
                <w:sz w:val="20"/>
              </w:rPr>
              <w:t>2021–22</w:t>
            </w:r>
          </w:p>
        </w:tc>
      </w:tr>
      <w:tr w:rsidR="00782A4D" w:rsidRPr="004249FA" w14:paraId="4240AA13" w14:textId="77777777" w:rsidTr="00162CD8">
        <w:trPr>
          <w:trHeight w:val="300"/>
        </w:trPr>
        <w:tc>
          <w:tcPr>
            <w:tcW w:w="1431" w:type="pct"/>
            <w:shd w:val="clear" w:color="auto" w:fill="auto"/>
          </w:tcPr>
          <w:p w14:paraId="4240AA0D" w14:textId="77777777" w:rsidR="00782A4D" w:rsidRPr="004249FA" w:rsidRDefault="00782A4D" w:rsidP="00162CD8">
            <w:pPr>
              <w:autoSpaceDE w:val="0"/>
              <w:autoSpaceDN w:val="0"/>
              <w:adjustRightInd w:val="0"/>
              <w:rPr>
                <w:rFonts w:ascii="Arial" w:hAnsi="Arial" w:cs="Arial"/>
                <w:color w:val="000000"/>
                <w:sz w:val="20"/>
              </w:rPr>
            </w:pPr>
            <w:r w:rsidRPr="004249FA">
              <w:rPr>
                <w:rFonts w:ascii="Arial" w:hAnsi="Arial" w:cs="Arial"/>
                <w:color w:val="000000"/>
                <w:sz w:val="20"/>
              </w:rPr>
              <w:t>State governments: number of MTA services offset</w:t>
            </w:r>
          </w:p>
        </w:tc>
        <w:tc>
          <w:tcPr>
            <w:tcW w:w="714" w:type="pct"/>
          </w:tcPr>
          <w:p w14:paraId="4240AA0E" w14:textId="77777777" w:rsidR="00782A4D" w:rsidRPr="004249FA" w:rsidRDefault="00782A4D" w:rsidP="00162CD8">
            <w:pPr>
              <w:rPr>
                <w:rFonts w:ascii="Arial" w:hAnsi="Arial" w:cs="Arial"/>
                <w:sz w:val="20"/>
              </w:rPr>
            </w:pPr>
            <w:r w:rsidRPr="004249FA">
              <w:rPr>
                <w:rFonts w:ascii="Arial" w:hAnsi="Arial" w:cs="Arial"/>
                <w:sz w:val="20"/>
              </w:rPr>
              <w:t>9</w:t>
            </w:r>
          </w:p>
        </w:tc>
        <w:tc>
          <w:tcPr>
            <w:tcW w:w="714" w:type="pct"/>
            <w:shd w:val="clear" w:color="auto" w:fill="auto"/>
          </w:tcPr>
          <w:p w14:paraId="4240AA0F" w14:textId="77777777" w:rsidR="00782A4D" w:rsidRPr="004249FA" w:rsidRDefault="00782A4D" w:rsidP="00162CD8">
            <w:pPr>
              <w:rPr>
                <w:rFonts w:ascii="Arial" w:hAnsi="Arial" w:cs="Arial"/>
                <w:sz w:val="20"/>
              </w:rPr>
            </w:pPr>
            <w:r w:rsidRPr="004249FA">
              <w:rPr>
                <w:rFonts w:ascii="Arial" w:hAnsi="Arial" w:cs="Arial"/>
                <w:sz w:val="20"/>
              </w:rPr>
              <w:t>19</w:t>
            </w:r>
          </w:p>
        </w:tc>
        <w:tc>
          <w:tcPr>
            <w:tcW w:w="714" w:type="pct"/>
            <w:shd w:val="clear" w:color="auto" w:fill="auto"/>
          </w:tcPr>
          <w:p w14:paraId="4240AA10" w14:textId="77777777" w:rsidR="00782A4D" w:rsidRPr="004249FA" w:rsidRDefault="00782A4D" w:rsidP="00162CD8">
            <w:pPr>
              <w:rPr>
                <w:rFonts w:ascii="Arial" w:hAnsi="Arial" w:cs="Arial"/>
                <w:sz w:val="20"/>
              </w:rPr>
            </w:pPr>
            <w:r w:rsidRPr="004249FA">
              <w:rPr>
                <w:rFonts w:ascii="Arial" w:hAnsi="Arial" w:cs="Arial"/>
                <w:sz w:val="20"/>
              </w:rPr>
              <w:t>29</w:t>
            </w:r>
          </w:p>
        </w:tc>
        <w:tc>
          <w:tcPr>
            <w:tcW w:w="714" w:type="pct"/>
            <w:shd w:val="clear" w:color="auto" w:fill="auto"/>
          </w:tcPr>
          <w:p w14:paraId="4240AA11" w14:textId="77777777" w:rsidR="00782A4D" w:rsidRPr="004249FA" w:rsidRDefault="00782A4D" w:rsidP="00162CD8">
            <w:pPr>
              <w:rPr>
                <w:rFonts w:ascii="Arial" w:hAnsi="Arial" w:cs="Arial"/>
                <w:sz w:val="20"/>
              </w:rPr>
            </w:pPr>
            <w:r w:rsidRPr="004249FA">
              <w:rPr>
                <w:rFonts w:ascii="Arial" w:hAnsi="Arial" w:cs="Arial"/>
                <w:sz w:val="20"/>
              </w:rPr>
              <w:t>40</w:t>
            </w:r>
          </w:p>
        </w:tc>
        <w:tc>
          <w:tcPr>
            <w:tcW w:w="713" w:type="pct"/>
            <w:shd w:val="clear" w:color="auto" w:fill="auto"/>
          </w:tcPr>
          <w:p w14:paraId="4240AA12" w14:textId="77777777" w:rsidR="00782A4D" w:rsidRPr="004249FA" w:rsidRDefault="00782A4D" w:rsidP="00162CD8">
            <w:pPr>
              <w:rPr>
                <w:rFonts w:ascii="Arial" w:hAnsi="Arial" w:cs="Arial"/>
                <w:sz w:val="20"/>
              </w:rPr>
            </w:pPr>
            <w:r w:rsidRPr="004249FA">
              <w:rPr>
                <w:rFonts w:ascii="Arial" w:hAnsi="Arial" w:cs="Arial"/>
                <w:sz w:val="20"/>
              </w:rPr>
              <w:t>52</w:t>
            </w:r>
          </w:p>
        </w:tc>
      </w:tr>
      <w:tr w:rsidR="00782A4D" w:rsidRPr="004249FA" w14:paraId="4240AA1A" w14:textId="77777777" w:rsidTr="00162CD8">
        <w:trPr>
          <w:trHeight w:val="315"/>
        </w:trPr>
        <w:tc>
          <w:tcPr>
            <w:tcW w:w="1431" w:type="pct"/>
            <w:tcBorders>
              <w:bottom w:val="single" w:sz="4" w:space="0" w:color="auto"/>
            </w:tcBorders>
            <w:shd w:val="clear" w:color="auto" w:fill="auto"/>
          </w:tcPr>
          <w:p w14:paraId="4240AA14" w14:textId="77777777" w:rsidR="00782A4D" w:rsidRPr="004249FA" w:rsidRDefault="00782A4D" w:rsidP="00162CD8">
            <w:pPr>
              <w:rPr>
                <w:rFonts w:ascii="Arial" w:hAnsi="Arial" w:cs="Arial"/>
                <w:sz w:val="20"/>
              </w:rPr>
            </w:pPr>
            <w:r w:rsidRPr="004249FA">
              <w:rPr>
                <w:rFonts w:ascii="Arial" w:hAnsi="Arial" w:cs="Arial"/>
                <w:sz w:val="20"/>
              </w:rPr>
              <w:t>Cost savings to state governments</w:t>
            </w:r>
          </w:p>
        </w:tc>
        <w:tc>
          <w:tcPr>
            <w:tcW w:w="714" w:type="pct"/>
            <w:tcBorders>
              <w:bottom w:val="single" w:sz="4" w:space="0" w:color="auto"/>
            </w:tcBorders>
          </w:tcPr>
          <w:p w14:paraId="4240AA15" w14:textId="77777777" w:rsidR="00782A4D" w:rsidRPr="004249FA" w:rsidRDefault="00782A4D" w:rsidP="00162CD8">
            <w:pPr>
              <w:rPr>
                <w:rFonts w:ascii="Arial" w:hAnsi="Arial" w:cs="Arial"/>
                <w:sz w:val="20"/>
              </w:rPr>
            </w:pPr>
            <w:r w:rsidRPr="004249FA">
              <w:rPr>
                <w:rFonts w:ascii="Arial" w:hAnsi="Arial" w:cs="Arial"/>
                <w:sz w:val="20"/>
              </w:rPr>
              <w:t>$58,258</w:t>
            </w:r>
          </w:p>
        </w:tc>
        <w:tc>
          <w:tcPr>
            <w:tcW w:w="714" w:type="pct"/>
            <w:tcBorders>
              <w:bottom w:val="single" w:sz="4" w:space="0" w:color="auto"/>
            </w:tcBorders>
            <w:shd w:val="clear" w:color="auto" w:fill="auto"/>
          </w:tcPr>
          <w:p w14:paraId="4240AA16" w14:textId="77777777" w:rsidR="00782A4D" w:rsidRPr="004249FA" w:rsidRDefault="00782A4D" w:rsidP="00162CD8">
            <w:pPr>
              <w:rPr>
                <w:rFonts w:ascii="Arial" w:hAnsi="Arial" w:cs="Arial"/>
                <w:sz w:val="20"/>
              </w:rPr>
            </w:pPr>
            <w:r w:rsidRPr="004249FA">
              <w:rPr>
                <w:rFonts w:ascii="Arial" w:hAnsi="Arial" w:cs="Arial"/>
                <w:sz w:val="20"/>
              </w:rPr>
              <w:t>$127,921</w:t>
            </w:r>
          </w:p>
        </w:tc>
        <w:tc>
          <w:tcPr>
            <w:tcW w:w="714" w:type="pct"/>
            <w:tcBorders>
              <w:bottom w:val="single" w:sz="4" w:space="0" w:color="auto"/>
            </w:tcBorders>
            <w:shd w:val="clear" w:color="auto" w:fill="auto"/>
          </w:tcPr>
          <w:p w14:paraId="4240AA17" w14:textId="77777777" w:rsidR="00782A4D" w:rsidRPr="004249FA" w:rsidRDefault="00782A4D" w:rsidP="00162CD8">
            <w:pPr>
              <w:rPr>
                <w:rFonts w:ascii="Arial" w:hAnsi="Arial" w:cs="Arial"/>
                <w:sz w:val="20"/>
              </w:rPr>
            </w:pPr>
            <w:r w:rsidRPr="004249FA">
              <w:rPr>
                <w:rFonts w:ascii="Arial" w:hAnsi="Arial" w:cs="Arial"/>
                <w:sz w:val="20"/>
              </w:rPr>
              <w:t>$196,182</w:t>
            </w:r>
          </w:p>
        </w:tc>
        <w:tc>
          <w:tcPr>
            <w:tcW w:w="714" w:type="pct"/>
            <w:tcBorders>
              <w:bottom w:val="single" w:sz="4" w:space="0" w:color="auto"/>
            </w:tcBorders>
            <w:shd w:val="clear" w:color="auto" w:fill="auto"/>
          </w:tcPr>
          <w:p w14:paraId="4240AA18" w14:textId="77777777" w:rsidR="00782A4D" w:rsidRPr="004249FA" w:rsidRDefault="00782A4D" w:rsidP="00162CD8">
            <w:pPr>
              <w:rPr>
                <w:rFonts w:ascii="Arial" w:hAnsi="Arial" w:cs="Arial"/>
                <w:sz w:val="20"/>
              </w:rPr>
            </w:pPr>
            <w:r w:rsidRPr="004249FA">
              <w:rPr>
                <w:rFonts w:ascii="Arial" w:hAnsi="Arial" w:cs="Arial"/>
                <w:sz w:val="20"/>
              </w:rPr>
              <w:t>$273,085</w:t>
            </w:r>
          </w:p>
        </w:tc>
        <w:tc>
          <w:tcPr>
            <w:tcW w:w="713" w:type="pct"/>
            <w:tcBorders>
              <w:bottom w:val="single" w:sz="4" w:space="0" w:color="auto"/>
            </w:tcBorders>
            <w:shd w:val="clear" w:color="auto" w:fill="auto"/>
          </w:tcPr>
          <w:p w14:paraId="4240AA19" w14:textId="77777777" w:rsidR="00782A4D" w:rsidRPr="004249FA" w:rsidRDefault="00782A4D" w:rsidP="00162CD8">
            <w:pPr>
              <w:rPr>
                <w:rFonts w:ascii="Arial" w:hAnsi="Arial" w:cs="Arial"/>
                <w:sz w:val="20"/>
              </w:rPr>
            </w:pPr>
            <w:r w:rsidRPr="004249FA">
              <w:rPr>
                <w:rFonts w:ascii="Arial" w:hAnsi="Arial" w:cs="Arial"/>
                <w:sz w:val="20"/>
              </w:rPr>
              <w:t>$355,445</w:t>
            </w:r>
          </w:p>
        </w:tc>
      </w:tr>
    </w:tbl>
    <w:p w14:paraId="4240AA1B" w14:textId="77777777" w:rsidR="00782A4D" w:rsidRPr="004249FA" w:rsidRDefault="00782A4D" w:rsidP="00782A4D">
      <w:pPr>
        <w:widowControl w:val="0"/>
        <w:rPr>
          <w:rFonts w:ascii="Arial" w:hAnsi="Arial" w:cs="Arial"/>
          <w:snapToGrid w:val="0"/>
          <w:sz w:val="20"/>
          <w:lang w:eastAsia="en-US"/>
        </w:rPr>
      </w:pPr>
      <w:r w:rsidRPr="004249FA">
        <w:rPr>
          <w:rFonts w:ascii="Arial" w:hAnsi="Arial" w:cs="Arial"/>
          <w:snapToGrid w:val="0"/>
          <w:sz w:val="20"/>
          <w:lang w:eastAsia="en-US"/>
        </w:rPr>
        <w:t>* It is assumed that there would be no growth in the number of ablations performed; and there will be extension of services in the private settings. Thus, a cost shift from public sector to private sector.</w:t>
      </w:r>
    </w:p>
    <w:p w14:paraId="4240AA1C" w14:textId="77777777" w:rsidR="00782A4D" w:rsidRPr="004249FA" w:rsidRDefault="00782A4D" w:rsidP="00782A4D">
      <w:pPr>
        <w:widowControl w:val="0"/>
        <w:rPr>
          <w:rFonts w:ascii="Arial" w:hAnsi="Arial" w:cs="Arial"/>
          <w:snapToGrid w:val="0"/>
          <w:sz w:val="20"/>
          <w:lang w:eastAsia="en-US"/>
        </w:rPr>
      </w:pPr>
      <w:r w:rsidRPr="004249FA">
        <w:rPr>
          <w:rFonts w:ascii="Arial" w:hAnsi="Arial" w:cs="Arial"/>
          <w:snapToGrid w:val="0"/>
          <w:sz w:val="20"/>
          <w:lang w:eastAsia="en-US"/>
        </w:rPr>
        <w:t>MBS = Medicare Benefits Schedule; MTA = microwave tissue ablation</w:t>
      </w:r>
    </w:p>
    <w:p w14:paraId="4240AA1D" w14:textId="77777777" w:rsidR="00782A4D" w:rsidRPr="00862680" w:rsidRDefault="00782A4D" w:rsidP="00782A4D">
      <w:pPr>
        <w:widowControl w:val="0"/>
        <w:rPr>
          <w:snapToGrid w:val="0"/>
          <w:szCs w:val="24"/>
          <w:lang w:eastAsia="en-US"/>
        </w:rPr>
      </w:pPr>
    </w:p>
    <w:p w14:paraId="4240AA1E" w14:textId="77777777" w:rsidR="00782A4D" w:rsidRDefault="004249FA" w:rsidP="00782A4D">
      <w:pPr>
        <w:rPr>
          <w:szCs w:val="24"/>
        </w:rPr>
      </w:pPr>
      <w:r>
        <w:rPr>
          <w:szCs w:val="24"/>
        </w:rPr>
        <w:fldChar w:fldCharType="begin"/>
      </w:r>
      <w:r>
        <w:rPr>
          <w:szCs w:val="24"/>
        </w:rPr>
        <w:instrText xml:space="preserve"> REF _Ref458430526 \h  \* MERGEFORMAT </w:instrText>
      </w:r>
      <w:r>
        <w:rPr>
          <w:szCs w:val="24"/>
        </w:rPr>
      </w:r>
      <w:r>
        <w:rPr>
          <w:szCs w:val="24"/>
        </w:rPr>
        <w:fldChar w:fldCharType="separate"/>
      </w:r>
      <w:r w:rsidR="003967F8" w:rsidRPr="003967F8">
        <w:rPr>
          <w:szCs w:val="24"/>
        </w:rPr>
        <w:t>Table 10</w:t>
      </w:r>
      <w:r>
        <w:rPr>
          <w:szCs w:val="24"/>
        </w:rPr>
        <w:fldChar w:fldCharType="end"/>
      </w:r>
      <w:r w:rsidR="00782A4D" w:rsidRPr="00862680">
        <w:rPr>
          <w:szCs w:val="24"/>
        </w:rPr>
        <w:t xml:space="preserve"> presents the financial implications to the private sector (patients or PHI) of listing MTA.</w:t>
      </w:r>
    </w:p>
    <w:p w14:paraId="4240AA1F" w14:textId="77777777" w:rsidR="00782A4D" w:rsidRPr="00862680" w:rsidRDefault="00782A4D" w:rsidP="00782A4D">
      <w:pPr>
        <w:rPr>
          <w:szCs w:val="24"/>
        </w:rPr>
      </w:pPr>
    </w:p>
    <w:p w14:paraId="4240AA20" w14:textId="77777777" w:rsidR="00782A4D" w:rsidRPr="004249FA" w:rsidRDefault="00782A4D" w:rsidP="00782A4D">
      <w:pPr>
        <w:keepNext/>
        <w:tabs>
          <w:tab w:val="left" w:pos="1134"/>
        </w:tabs>
        <w:rPr>
          <w:rFonts w:ascii="Arial" w:hAnsi="Arial" w:cs="Arial"/>
          <w:b/>
          <w:bCs/>
          <w:sz w:val="20"/>
        </w:rPr>
      </w:pPr>
      <w:bookmarkStart w:id="63" w:name="_Ref458430526"/>
      <w:bookmarkStart w:id="64" w:name="OLE_LINK382"/>
      <w:bookmarkStart w:id="65" w:name="_Toc460406518"/>
      <w:r w:rsidRPr="004249FA">
        <w:rPr>
          <w:rFonts w:ascii="Arial" w:hAnsi="Arial" w:cs="Arial"/>
          <w:b/>
          <w:bCs/>
          <w:sz w:val="20"/>
        </w:rPr>
        <w:t xml:space="preserve">Table </w:t>
      </w:r>
      <w:r w:rsidRPr="004249FA">
        <w:rPr>
          <w:rFonts w:ascii="Arial" w:hAnsi="Arial" w:cs="Arial"/>
          <w:b/>
          <w:bCs/>
          <w:sz w:val="20"/>
        </w:rPr>
        <w:fldChar w:fldCharType="begin"/>
      </w:r>
      <w:r w:rsidRPr="004249FA">
        <w:rPr>
          <w:rFonts w:ascii="Arial" w:hAnsi="Arial" w:cs="Arial"/>
          <w:b/>
          <w:bCs/>
          <w:sz w:val="20"/>
        </w:rPr>
        <w:instrText xml:space="preserve"> SEQ Table \* ARABIC </w:instrText>
      </w:r>
      <w:r w:rsidRPr="004249FA">
        <w:rPr>
          <w:rFonts w:ascii="Arial" w:hAnsi="Arial" w:cs="Arial"/>
          <w:b/>
          <w:bCs/>
          <w:sz w:val="20"/>
        </w:rPr>
        <w:fldChar w:fldCharType="separate"/>
      </w:r>
      <w:r w:rsidR="003967F8">
        <w:rPr>
          <w:rFonts w:ascii="Arial" w:hAnsi="Arial" w:cs="Arial"/>
          <w:b/>
          <w:bCs/>
          <w:noProof/>
          <w:sz w:val="20"/>
        </w:rPr>
        <w:t>10</w:t>
      </w:r>
      <w:r w:rsidRPr="004249FA">
        <w:rPr>
          <w:rFonts w:ascii="Arial" w:hAnsi="Arial" w:cs="Arial"/>
          <w:b/>
          <w:bCs/>
          <w:noProof/>
          <w:sz w:val="20"/>
        </w:rPr>
        <w:fldChar w:fldCharType="end"/>
      </w:r>
      <w:bookmarkEnd w:id="63"/>
      <w:r w:rsidRPr="004249FA">
        <w:rPr>
          <w:rFonts w:ascii="Arial" w:hAnsi="Arial" w:cs="Arial"/>
          <w:b/>
          <w:bCs/>
          <w:sz w:val="20"/>
        </w:rPr>
        <w:tab/>
        <w:t>Total costs to private sector associated with MTA listing for Population 1</w:t>
      </w:r>
      <w:bookmarkEnd w:id="64"/>
      <w:bookmarkEnd w:id="65"/>
    </w:p>
    <w:tbl>
      <w:tblPr>
        <w:tblW w:w="5000"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Table 47 Total costs to private sector associated with MTA listing for Population 1"/>
      </w:tblPr>
      <w:tblGrid>
        <w:gridCol w:w="2555"/>
        <w:gridCol w:w="1253"/>
        <w:gridCol w:w="1254"/>
        <w:gridCol w:w="1340"/>
        <w:gridCol w:w="1340"/>
        <w:gridCol w:w="1340"/>
      </w:tblGrid>
      <w:tr w:rsidR="00782A4D" w:rsidRPr="004249FA" w14:paraId="4240AA27" w14:textId="77777777" w:rsidTr="00162CD8">
        <w:trPr>
          <w:trHeight w:val="300"/>
          <w:tblHeader/>
        </w:trPr>
        <w:tc>
          <w:tcPr>
            <w:tcW w:w="1431" w:type="pct"/>
            <w:tcBorders>
              <w:bottom w:val="single" w:sz="4" w:space="0" w:color="auto"/>
            </w:tcBorders>
            <w:shd w:val="clear" w:color="auto" w:fill="auto"/>
            <w:vAlign w:val="center"/>
          </w:tcPr>
          <w:p w14:paraId="4240AA21" w14:textId="77777777" w:rsidR="00782A4D" w:rsidRPr="004249FA" w:rsidRDefault="00782A4D" w:rsidP="00162CD8">
            <w:pPr>
              <w:keepNext/>
              <w:outlineLvl w:val="5"/>
              <w:rPr>
                <w:rFonts w:ascii="Arial" w:hAnsi="Arial" w:cs="Arial"/>
                <w:sz w:val="20"/>
              </w:rPr>
            </w:pPr>
            <w:r w:rsidRPr="004249FA">
              <w:rPr>
                <w:rFonts w:ascii="Arial" w:hAnsi="Arial" w:cs="Arial"/>
                <w:sz w:val="20"/>
              </w:rPr>
              <w:t>-</w:t>
            </w:r>
          </w:p>
        </w:tc>
        <w:tc>
          <w:tcPr>
            <w:tcW w:w="714" w:type="pct"/>
            <w:tcBorders>
              <w:bottom w:val="single" w:sz="4" w:space="0" w:color="auto"/>
            </w:tcBorders>
          </w:tcPr>
          <w:p w14:paraId="4240AA22" w14:textId="77777777" w:rsidR="00782A4D" w:rsidRPr="004249FA" w:rsidRDefault="00782A4D" w:rsidP="00162CD8">
            <w:pPr>
              <w:keepNext/>
              <w:rPr>
                <w:rFonts w:ascii="Arial" w:hAnsi="Arial" w:cs="Arial"/>
                <w:b/>
                <w:sz w:val="20"/>
              </w:rPr>
            </w:pPr>
            <w:r w:rsidRPr="004249FA">
              <w:rPr>
                <w:rFonts w:ascii="Arial" w:hAnsi="Arial" w:cs="Arial"/>
                <w:b/>
                <w:sz w:val="20"/>
              </w:rPr>
              <w:t>2017–18</w:t>
            </w:r>
          </w:p>
        </w:tc>
        <w:tc>
          <w:tcPr>
            <w:tcW w:w="714" w:type="pct"/>
            <w:tcBorders>
              <w:bottom w:val="single" w:sz="4" w:space="0" w:color="auto"/>
            </w:tcBorders>
            <w:shd w:val="clear" w:color="auto" w:fill="auto"/>
          </w:tcPr>
          <w:p w14:paraId="4240AA23" w14:textId="77777777" w:rsidR="00782A4D" w:rsidRPr="004249FA" w:rsidRDefault="00782A4D" w:rsidP="00162CD8">
            <w:pPr>
              <w:keepNext/>
              <w:rPr>
                <w:rFonts w:ascii="Arial" w:hAnsi="Arial" w:cs="Arial"/>
                <w:b/>
                <w:sz w:val="20"/>
              </w:rPr>
            </w:pPr>
            <w:r w:rsidRPr="004249FA">
              <w:rPr>
                <w:rFonts w:ascii="Arial" w:hAnsi="Arial" w:cs="Arial"/>
                <w:b/>
                <w:sz w:val="20"/>
              </w:rPr>
              <w:t>2018–19</w:t>
            </w:r>
          </w:p>
        </w:tc>
        <w:tc>
          <w:tcPr>
            <w:tcW w:w="714" w:type="pct"/>
            <w:tcBorders>
              <w:bottom w:val="single" w:sz="4" w:space="0" w:color="auto"/>
            </w:tcBorders>
            <w:shd w:val="clear" w:color="auto" w:fill="auto"/>
          </w:tcPr>
          <w:p w14:paraId="4240AA24" w14:textId="77777777" w:rsidR="00782A4D" w:rsidRPr="004249FA" w:rsidRDefault="00782A4D" w:rsidP="00162CD8">
            <w:pPr>
              <w:keepNext/>
              <w:rPr>
                <w:rFonts w:ascii="Arial" w:hAnsi="Arial" w:cs="Arial"/>
                <w:b/>
                <w:sz w:val="20"/>
              </w:rPr>
            </w:pPr>
            <w:r w:rsidRPr="004249FA">
              <w:rPr>
                <w:rFonts w:ascii="Arial" w:hAnsi="Arial" w:cs="Arial"/>
                <w:b/>
                <w:sz w:val="20"/>
              </w:rPr>
              <w:t>2019–20</w:t>
            </w:r>
          </w:p>
        </w:tc>
        <w:tc>
          <w:tcPr>
            <w:tcW w:w="714" w:type="pct"/>
            <w:tcBorders>
              <w:bottom w:val="single" w:sz="4" w:space="0" w:color="auto"/>
            </w:tcBorders>
            <w:shd w:val="clear" w:color="auto" w:fill="auto"/>
          </w:tcPr>
          <w:p w14:paraId="4240AA25" w14:textId="77777777" w:rsidR="00782A4D" w:rsidRPr="004249FA" w:rsidRDefault="00782A4D" w:rsidP="00162CD8">
            <w:pPr>
              <w:keepNext/>
              <w:rPr>
                <w:rFonts w:ascii="Arial" w:hAnsi="Arial" w:cs="Arial"/>
                <w:b/>
                <w:sz w:val="20"/>
              </w:rPr>
            </w:pPr>
            <w:r w:rsidRPr="004249FA">
              <w:rPr>
                <w:rFonts w:ascii="Arial" w:hAnsi="Arial" w:cs="Arial"/>
                <w:b/>
                <w:sz w:val="20"/>
              </w:rPr>
              <w:t>2020–21</w:t>
            </w:r>
          </w:p>
        </w:tc>
        <w:tc>
          <w:tcPr>
            <w:tcW w:w="713" w:type="pct"/>
            <w:tcBorders>
              <w:bottom w:val="single" w:sz="4" w:space="0" w:color="auto"/>
            </w:tcBorders>
            <w:shd w:val="clear" w:color="auto" w:fill="auto"/>
          </w:tcPr>
          <w:p w14:paraId="4240AA26" w14:textId="77777777" w:rsidR="00782A4D" w:rsidRPr="004249FA" w:rsidRDefault="00782A4D" w:rsidP="00162CD8">
            <w:pPr>
              <w:keepNext/>
              <w:rPr>
                <w:rFonts w:ascii="Arial" w:hAnsi="Arial" w:cs="Arial"/>
                <w:b/>
                <w:sz w:val="20"/>
              </w:rPr>
            </w:pPr>
            <w:r w:rsidRPr="004249FA">
              <w:rPr>
                <w:rFonts w:ascii="Arial" w:hAnsi="Arial" w:cs="Arial"/>
                <w:b/>
                <w:sz w:val="20"/>
              </w:rPr>
              <w:t>2021–22</w:t>
            </w:r>
          </w:p>
        </w:tc>
      </w:tr>
      <w:tr w:rsidR="00782A4D" w:rsidRPr="004249FA" w14:paraId="4240AA2E" w14:textId="77777777" w:rsidTr="00162CD8">
        <w:trPr>
          <w:trHeight w:val="300"/>
        </w:trPr>
        <w:tc>
          <w:tcPr>
            <w:tcW w:w="1431" w:type="pct"/>
            <w:shd w:val="clear" w:color="auto" w:fill="auto"/>
          </w:tcPr>
          <w:p w14:paraId="4240AA28" w14:textId="77777777" w:rsidR="00782A4D" w:rsidRPr="004249FA" w:rsidRDefault="00782A4D" w:rsidP="00162CD8">
            <w:pPr>
              <w:autoSpaceDE w:val="0"/>
              <w:autoSpaceDN w:val="0"/>
              <w:adjustRightInd w:val="0"/>
              <w:rPr>
                <w:rFonts w:ascii="Arial" w:hAnsi="Arial" w:cs="Arial"/>
                <w:color w:val="000000"/>
                <w:sz w:val="20"/>
              </w:rPr>
            </w:pPr>
            <w:r w:rsidRPr="004249FA">
              <w:rPr>
                <w:rFonts w:ascii="Arial" w:hAnsi="Arial" w:cs="Arial"/>
                <w:color w:val="000000"/>
                <w:sz w:val="20"/>
              </w:rPr>
              <w:t>Number of MTA services</w:t>
            </w:r>
          </w:p>
        </w:tc>
        <w:tc>
          <w:tcPr>
            <w:tcW w:w="714" w:type="pct"/>
          </w:tcPr>
          <w:p w14:paraId="4240AA29" w14:textId="77777777" w:rsidR="00782A4D" w:rsidRPr="004249FA" w:rsidRDefault="00782A4D" w:rsidP="00162CD8">
            <w:pPr>
              <w:rPr>
                <w:rFonts w:ascii="Arial" w:hAnsi="Arial" w:cs="Arial"/>
                <w:sz w:val="20"/>
              </w:rPr>
            </w:pPr>
            <w:r w:rsidRPr="004249FA">
              <w:rPr>
                <w:rFonts w:ascii="Arial" w:hAnsi="Arial" w:cs="Arial"/>
                <w:sz w:val="20"/>
              </w:rPr>
              <w:t>130</w:t>
            </w:r>
          </w:p>
        </w:tc>
        <w:tc>
          <w:tcPr>
            <w:tcW w:w="714" w:type="pct"/>
            <w:shd w:val="clear" w:color="auto" w:fill="auto"/>
          </w:tcPr>
          <w:p w14:paraId="4240AA2A" w14:textId="77777777" w:rsidR="00782A4D" w:rsidRPr="004249FA" w:rsidRDefault="00782A4D" w:rsidP="00162CD8">
            <w:pPr>
              <w:rPr>
                <w:rFonts w:ascii="Arial" w:hAnsi="Arial" w:cs="Arial"/>
                <w:sz w:val="20"/>
              </w:rPr>
            </w:pPr>
            <w:r w:rsidRPr="004249FA">
              <w:rPr>
                <w:rFonts w:ascii="Arial" w:hAnsi="Arial" w:cs="Arial"/>
                <w:sz w:val="20"/>
              </w:rPr>
              <w:t>145</w:t>
            </w:r>
          </w:p>
        </w:tc>
        <w:tc>
          <w:tcPr>
            <w:tcW w:w="714" w:type="pct"/>
            <w:shd w:val="clear" w:color="auto" w:fill="auto"/>
          </w:tcPr>
          <w:p w14:paraId="4240AA2B" w14:textId="77777777" w:rsidR="00782A4D" w:rsidRPr="004249FA" w:rsidRDefault="00782A4D" w:rsidP="00162CD8">
            <w:pPr>
              <w:rPr>
                <w:rFonts w:ascii="Arial" w:hAnsi="Arial" w:cs="Arial"/>
                <w:sz w:val="20"/>
              </w:rPr>
            </w:pPr>
            <w:r w:rsidRPr="004249FA">
              <w:rPr>
                <w:rFonts w:ascii="Arial" w:hAnsi="Arial" w:cs="Arial"/>
                <w:sz w:val="20"/>
              </w:rPr>
              <w:t>160</w:t>
            </w:r>
          </w:p>
        </w:tc>
        <w:tc>
          <w:tcPr>
            <w:tcW w:w="714" w:type="pct"/>
            <w:shd w:val="clear" w:color="auto" w:fill="auto"/>
          </w:tcPr>
          <w:p w14:paraId="4240AA2C" w14:textId="77777777" w:rsidR="00782A4D" w:rsidRPr="004249FA" w:rsidRDefault="00782A4D" w:rsidP="00162CD8">
            <w:pPr>
              <w:rPr>
                <w:rFonts w:ascii="Arial" w:hAnsi="Arial" w:cs="Arial"/>
                <w:sz w:val="20"/>
              </w:rPr>
            </w:pPr>
            <w:r w:rsidRPr="004249FA">
              <w:rPr>
                <w:rFonts w:ascii="Arial" w:hAnsi="Arial" w:cs="Arial"/>
                <w:sz w:val="20"/>
              </w:rPr>
              <w:t>176</w:t>
            </w:r>
          </w:p>
        </w:tc>
        <w:tc>
          <w:tcPr>
            <w:tcW w:w="713" w:type="pct"/>
            <w:shd w:val="clear" w:color="auto" w:fill="auto"/>
          </w:tcPr>
          <w:p w14:paraId="4240AA2D" w14:textId="77777777" w:rsidR="00782A4D" w:rsidRPr="004249FA" w:rsidRDefault="00782A4D" w:rsidP="00162CD8">
            <w:pPr>
              <w:rPr>
                <w:rFonts w:ascii="Arial" w:hAnsi="Arial" w:cs="Arial"/>
                <w:sz w:val="20"/>
              </w:rPr>
            </w:pPr>
            <w:r w:rsidRPr="004249FA">
              <w:rPr>
                <w:rFonts w:ascii="Arial" w:hAnsi="Arial" w:cs="Arial"/>
                <w:sz w:val="20"/>
              </w:rPr>
              <w:t>194</w:t>
            </w:r>
          </w:p>
        </w:tc>
      </w:tr>
      <w:tr w:rsidR="00782A4D" w:rsidRPr="004249FA" w14:paraId="4240AA35" w14:textId="77777777" w:rsidTr="00162CD8">
        <w:trPr>
          <w:trHeight w:val="300"/>
        </w:trPr>
        <w:tc>
          <w:tcPr>
            <w:tcW w:w="1431" w:type="pct"/>
            <w:tcBorders>
              <w:bottom w:val="single" w:sz="4" w:space="0" w:color="auto"/>
            </w:tcBorders>
            <w:shd w:val="clear" w:color="auto" w:fill="auto"/>
          </w:tcPr>
          <w:p w14:paraId="4240AA2F" w14:textId="77777777" w:rsidR="00782A4D" w:rsidRPr="004249FA" w:rsidRDefault="00782A4D" w:rsidP="00162CD8">
            <w:pPr>
              <w:autoSpaceDE w:val="0"/>
              <w:autoSpaceDN w:val="0"/>
              <w:adjustRightInd w:val="0"/>
              <w:rPr>
                <w:rFonts w:ascii="Arial" w:hAnsi="Arial" w:cs="Arial"/>
                <w:color w:val="000000"/>
                <w:sz w:val="20"/>
              </w:rPr>
            </w:pPr>
            <w:r w:rsidRPr="004249FA">
              <w:rPr>
                <w:rFonts w:ascii="Arial" w:hAnsi="Arial" w:cs="Arial"/>
                <w:color w:val="000000"/>
                <w:sz w:val="20"/>
              </w:rPr>
              <w:t>Cost to private sector</w:t>
            </w:r>
          </w:p>
        </w:tc>
        <w:tc>
          <w:tcPr>
            <w:tcW w:w="714" w:type="pct"/>
            <w:tcBorders>
              <w:bottom w:val="single" w:sz="4" w:space="0" w:color="auto"/>
            </w:tcBorders>
          </w:tcPr>
          <w:p w14:paraId="4240AA30" w14:textId="77777777" w:rsidR="00782A4D" w:rsidRPr="004249FA" w:rsidRDefault="00782A4D" w:rsidP="00162CD8">
            <w:pPr>
              <w:ind w:right="283"/>
              <w:rPr>
                <w:rFonts w:ascii="Arial" w:hAnsi="Arial" w:cs="Arial"/>
                <w:sz w:val="20"/>
              </w:rPr>
            </w:pPr>
            <w:r w:rsidRPr="004249FA">
              <w:rPr>
                <w:rFonts w:ascii="Arial" w:hAnsi="Arial" w:cs="Arial"/>
                <w:sz w:val="20"/>
              </w:rPr>
              <w:t>$825,654</w:t>
            </w:r>
          </w:p>
        </w:tc>
        <w:tc>
          <w:tcPr>
            <w:tcW w:w="714" w:type="pct"/>
            <w:tcBorders>
              <w:bottom w:val="single" w:sz="4" w:space="0" w:color="auto"/>
            </w:tcBorders>
            <w:shd w:val="clear" w:color="auto" w:fill="auto"/>
          </w:tcPr>
          <w:p w14:paraId="4240AA31" w14:textId="77777777" w:rsidR="00782A4D" w:rsidRPr="004249FA" w:rsidRDefault="00782A4D" w:rsidP="00162CD8">
            <w:pPr>
              <w:ind w:right="283"/>
              <w:rPr>
                <w:rFonts w:ascii="Arial" w:hAnsi="Arial" w:cs="Arial"/>
                <w:sz w:val="20"/>
              </w:rPr>
            </w:pPr>
            <w:r w:rsidRPr="004249FA">
              <w:rPr>
                <w:rFonts w:ascii="Arial" w:hAnsi="Arial" w:cs="Arial"/>
                <w:sz w:val="20"/>
              </w:rPr>
              <w:t>$922,268</w:t>
            </w:r>
          </w:p>
        </w:tc>
        <w:tc>
          <w:tcPr>
            <w:tcW w:w="714" w:type="pct"/>
            <w:tcBorders>
              <w:bottom w:val="single" w:sz="4" w:space="0" w:color="auto"/>
            </w:tcBorders>
            <w:shd w:val="clear" w:color="auto" w:fill="auto"/>
          </w:tcPr>
          <w:p w14:paraId="4240AA32" w14:textId="77777777" w:rsidR="00782A4D" w:rsidRPr="004249FA" w:rsidRDefault="00782A4D" w:rsidP="00162CD8">
            <w:pPr>
              <w:ind w:right="283"/>
              <w:rPr>
                <w:rFonts w:ascii="Arial" w:hAnsi="Arial" w:cs="Arial"/>
                <w:sz w:val="20"/>
              </w:rPr>
            </w:pPr>
            <w:r w:rsidRPr="004249FA">
              <w:rPr>
                <w:rFonts w:ascii="Arial" w:hAnsi="Arial" w:cs="Arial"/>
                <w:sz w:val="20"/>
              </w:rPr>
              <w:t>$1,018,149</w:t>
            </w:r>
          </w:p>
        </w:tc>
        <w:tc>
          <w:tcPr>
            <w:tcW w:w="714" w:type="pct"/>
            <w:tcBorders>
              <w:bottom w:val="single" w:sz="4" w:space="0" w:color="auto"/>
            </w:tcBorders>
            <w:shd w:val="clear" w:color="auto" w:fill="auto"/>
          </w:tcPr>
          <w:p w14:paraId="4240AA33" w14:textId="77777777" w:rsidR="00782A4D" w:rsidRPr="004249FA" w:rsidRDefault="00782A4D" w:rsidP="00162CD8">
            <w:pPr>
              <w:ind w:right="283"/>
              <w:rPr>
                <w:rFonts w:ascii="Arial" w:hAnsi="Arial" w:cs="Arial"/>
                <w:sz w:val="20"/>
              </w:rPr>
            </w:pPr>
            <w:r w:rsidRPr="004249FA">
              <w:rPr>
                <w:rFonts w:ascii="Arial" w:hAnsi="Arial" w:cs="Arial"/>
                <w:sz w:val="20"/>
              </w:rPr>
              <w:t>$1,122,653</w:t>
            </w:r>
          </w:p>
        </w:tc>
        <w:tc>
          <w:tcPr>
            <w:tcW w:w="713" w:type="pct"/>
            <w:tcBorders>
              <w:bottom w:val="single" w:sz="4" w:space="0" w:color="auto"/>
            </w:tcBorders>
            <w:shd w:val="clear" w:color="auto" w:fill="auto"/>
          </w:tcPr>
          <w:p w14:paraId="4240AA34" w14:textId="77777777" w:rsidR="00782A4D" w:rsidRPr="004249FA" w:rsidRDefault="00782A4D" w:rsidP="00162CD8">
            <w:pPr>
              <w:ind w:right="283"/>
              <w:rPr>
                <w:rFonts w:ascii="Arial" w:hAnsi="Arial" w:cs="Arial"/>
                <w:sz w:val="20"/>
              </w:rPr>
            </w:pPr>
            <w:r w:rsidRPr="004249FA">
              <w:rPr>
                <w:rFonts w:ascii="Arial" w:hAnsi="Arial" w:cs="Arial"/>
                <w:sz w:val="20"/>
              </w:rPr>
              <w:t>$1,232,765</w:t>
            </w:r>
          </w:p>
        </w:tc>
      </w:tr>
      <w:tr w:rsidR="00782A4D" w:rsidRPr="004249FA" w14:paraId="4240AA3C" w14:textId="77777777" w:rsidTr="00162CD8">
        <w:trPr>
          <w:trHeight w:val="300"/>
        </w:trPr>
        <w:tc>
          <w:tcPr>
            <w:tcW w:w="1431" w:type="pct"/>
            <w:tcBorders>
              <w:right w:val="nil"/>
            </w:tcBorders>
            <w:shd w:val="clear" w:color="auto" w:fill="auto"/>
          </w:tcPr>
          <w:p w14:paraId="4240AA36" w14:textId="77777777" w:rsidR="00782A4D" w:rsidRPr="004249FA" w:rsidRDefault="00782A4D" w:rsidP="00162CD8">
            <w:pPr>
              <w:autoSpaceDE w:val="0"/>
              <w:autoSpaceDN w:val="0"/>
              <w:adjustRightInd w:val="0"/>
              <w:rPr>
                <w:rFonts w:ascii="Arial" w:hAnsi="Arial" w:cs="Arial"/>
                <w:b/>
                <w:color w:val="000000"/>
                <w:sz w:val="20"/>
              </w:rPr>
            </w:pPr>
            <w:r w:rsidRPr="004249FA">
              <w:rPr>
                <w:rFonts w:ascii="Arial" w:hAnsi="Arial" w:cs="Arial"/>
                <w:b/>
                <w:color w:val="000000"/>
                <w:sz w:val="20"/>
              </w:rPr>
              <w:t>Offsets</w:t>
            </w:r>
          </w:p>
        </w:tc>
        <w:tc>
          <w:tcPr>
            <w:tcW w:w="714" w:type="pct"/>
            <w:tcBorders>
              <w:left w:val="nil"/>
              <w:right w:val="nil"/>
            </w:tcBorders>
          </w:tcPr>
          <w:p w14:paraId="4240AA37" w14:textId="77777777" w:rsidR="00782A4D" w:rsidRPr="004249FA" w:rsidRDefault="00782A4D" w:rsidP="00162CD8">
            <w:pPr>
              <w:rPr>
                <w:rFonts w:ascii="Arial" w:hAnsi="Arial" w:cs="Arial"/>
                <w:color w:val="FFFFFF" w:themeColor="background1"/>
                <w:sz w:val="20"/>
              </w:rPr>
            </w:pPr>
            <w:r w:rsidRPr="004249FA">
              <w:rPr>
                <w:rFonts w:ascii="Arial" w:hAnsi="Arial" w:cs="Arial"/>
                <w:color w:val="FFFFFF" w:themeColor="background1"/>
                <w:sz w:val="20"/>
              </w:rPr>
              <w:t>-</w:t>
            </w:r>
          </w:p>
        </w:tc>
        <w:tc>
          <w:tcPr>
            <w:tcW w:w="714" w:type="pct"/>
            <w:tcBorders>
              <w:left w:val="nil"/>
              <w:right w:val="nil"/>
            </w:tcBorders>
            <w:shd w:val="clear" w:color="auto" w:fill="auto"/>
          </w:tcPr>
          <w:p w14:paraId="4240AA38" w14:textId="77777777" w:rsidR="00782A4D" w:rsidRPr="004249FA" w:rsidRDefault="00782A4D" w:rsidP="00162CD8">
            <w:pPr>
              <w:rPr>
                <w:rFonts w:ascii="Arial" w:hAnsi="Arial" w:cs="Arial"/>
                <w:color w:val="FFFFFF" w:themeColor="background1"/>
                <w:sz w:val="20"/>
              </w:rPr>
            </w:pPr>
            <w:r w:rsidRPr="004249FA">
              <w:rPr>
                <w:rFonts w:ascii="Arial" w:hAnsi="Arial" w:cs="Arial"/>
                <w:color w:val="FFFFFF" w:themeColor="background1"/>
                <w:sz w:val="20"/>
              </w:rPr>
              <w:t>-</w:t>
            </w:r>
          </w:p>
        </w:tc>
        <w:tc>
          <w:tcPr>
            <w:tcW w:w="714" w:type="pct"/>
            <w:tcBorders>
              <w:left w:val="nil"/>
              <w:right w:val="nil"/>
            </w:tcBorders>
            <w:shd w:val="clear" w:color="auto" w:fill="auto"/>
          </w:tcPr>
          <w:p w14:paraId="4240AA39" w14:textId="77777777" w:rsidR="00782A4D" w:rsidRPr="004249FA" w:rsidRDefault="00782A4D" w:rsidP="00162CD8">
            <w:pPr>
              <w:rPr>
                <w:rFonts w:ascii="Arial" w:hAnsi="Arial" w:cs="Arial"/>
                <w:color w:val="FFFFFF" w:themeColor="background1"/>
                <w:sz w:val="20"/>
              </w:rPr>
            </w:pPr>
            <w:r w:rsidRPr="004249FA">
              <w:rPr>
                <w:rFonts w:ascii="Arial" w:hAnsi="Arial" w:cs="Arial"/>
                <w:color w:val="FFFFFF" w:themeColor="background1"/>
                <w:sz w:val="20"/>
              </w:rPr>
              <w:t>-</w:t>
            </w:r>
          </w:p>
        </w:tc>
        <w:tc>
          <w:tcPr>
            <w:tcW w:w="714" w:type="pct"/>
            <w:tcBorders>
              <w:left w:val="nil"/>
              <w:right w:val="nil"/>
            </w:tcBorders>
            <w:shd w:val="clear" w:color="auto" w:fill="auto"/>
          </w:tcPr>
          <w:p w14:paraId="4240AA3A" w14:textId="77777777" w:rsidR="00782A4D" w:rsidRPr="004249FA" w:rsidRDefault="00782A4D" w:rsidP="00162CD8">
            <w:pPr>
              <w:rPr>
                <w:rFonts w:ascii="Arial" w:hAnsi="Arial" w:cs="Arial"/>
                <w:color w:val="FFFFFF" w:themeColor="background1"/>
                <w:sz w:val="20"/>
              </w:rPr>
            </w:pPr>
            <w:r w:rsidRPr="004249FA">
              <w:rPr>
                <w:rFonts w:ascii="Arial" w:hAnsi="Arial" w:cs="Arial"/>
                <w:color w:val="FFFFFF" w:themeColor="background1"/>
                <w:sz w:val="20"/>
              </w:rPr>
              <w:t>-</w:t>
            </w:r>
          </w:p>
        </w:tc>
        <w:tc>
          <w:tcPr>
            <w:tcW w:w="713" w:type="pct"/>
            <w:tcBorders>
              <w:left w:val="nil"/>
            </w:tcBorders>
            <w:shd w:val="clear" w:color="auto" w:fill="auto"/>
          </w:tcPr>
          <w:p w14:paraId="4240AA3B" w14:textId="77777777" w:rsidR="00782A4D" w:rsidRPr="004249FA" w:rsidRDefault="00782A4D" w:rsidP="00162CD8">
            <w:pPr>
              <w:rPr>
                <w:rFonts w:ascii="Arial" w:hAnsi="Arial" w:cs="Arial"/>
                <w:color w:val="FFFFFF" w:themeColor="background1"/>
                <w:sz w:val="20"/>
              </w:rPr>
            </w:pPr>
            <w:r w:rsidRPr="004249FA">
              <w:rPr>
                <w:rFonts w:ascii="Arial" w:hAnsi="Arial" w:cs="Arial"/>
                <w:color w:val="FFFFFF" w:themeColor="background1"/>
                <w:sz w:val="20"/>
              </w:rPr>
              <w:t>-</w:t>
            </w:r>
          </w:p>
        </w:tc>
      </w:tr>
      <w:tr w:rsidR="00782A4D" w:rsidRPr="004249FA" w14:paraId="4240AA43" w14:textId="77777777" w:rsidTr="00162CD8">
        <w:trPr>
          <w:trHeight w:val="300"/>
        </w:trPr>
        <w:tc>
          <w:tcPr>
            <w:tcW w:w="1431" w:type="pct"/>
            <w:shd w:val="clear" w:color="auto" w:fill="auto"/>
          </w:tcPr>
          <w:p w14:paraId="4240AA3D" w14:textId="77777777" w:rsidR="00782A4D" w:rsidRPr="004249FA" w:rsidRDefault="00782A4D" w:rsidP="00162CD8">
            <w:pPr>
              <w:autoSpaceDE w:val="0"/>
              <w:autoSpaceDN w:val="0"/>
              <w:adjustRightInd w:val="0"/>
              <w:rPr>
                <w:rFonts w:ascii="Arial" w:hAnsi="Arial" w:cs="Arial"/>
                <w:color w:val="000000"/>
                <w:sz w:val="20"/>
              </w:rPr>
            </w:pPr>
            <w:r w:rsidRPr="004249FA">
              <w:rPr>
                <w:rFonts w:ascii="Arial" w:hAnsi="Arial" w:cs="Arial"/>
                <w:color w:val="000000"/>
                <w:sz w:val="20"/>
              </w:rPr>
              <w:t>Number of services offset</w:t>
            </w:r>
          </w:p>
        </w:tc>
        <w:tc>
          <w:tcPr>
            <w:tcW w:w="714" w:type="pct"/>
          </w:tcPr>
          <w:p w14:paraId="4240AA3E" w14:textId="77777777" w:rsidR="00782A4D" w:rsidRPr="004249FA" w:rsidRDefault="00782A4D" w:rsidP="00162CD8">
            <w:pPr>
              <w:rPr>
                <w:rFonts w:ascii="Arial" w:hAnsi="Arial" w:cs="Arial"/>
                <w:sz w:val="20"/>
              </w:rPr>
            </w:pPr>
            <w:r w:rsidRPr="004249FA">
              <w:rPr>
                <w:rFonts w:ascii="Arial" w:hAnsi="Arial" w:cs="Arial"/>
                <w:sz w:val="20"/>
              </w:rPr>
              <w:t>121</w:t>
            </w:r>
          </w:p>
        </w:tc>
        <w:tc>
          <w:tcPr>
            <w:tcW w:w="714" w:type="pct"/>
            <w:shd w:val="clear" w:color="auto" w:fill="auto"/>
          </w:tcPr>
          <w:p w14:paraId="4240AA3F" w14:textId="77777777" w:rsidR="00782A4D" w:rsidRPr="004249FA" w:rsidRDefault="00782A4D" w:rsidP="00162CD8">
            <w:pPr>
              <w:rPr>
                <w:rFonts w:ascii="Arial" w:hAnsi="Arial" w:cs="Arial"/>
                <w:sz w:val="20"/>
              </w:rPr>
            </w:pPr>
            <w:r w:rsidRPr="004249FA">
              <w:rPr>
                <w:rFonts w:ascii="Arial" w:hAnsi="Arial" w:cs="Arial"/>
                <w:sz w:val="20"/>
              </w:rPr>
              <w:t>126</w:t>
            </w:r>
          </w:p>
        </w:tc>
        <w:tc>
          <w:tcPr>
            <w:tcW w:w="714" w:type="pct"/>
            <w:shd w:val="clear" w:color="auto" w:fill="auto"/>
          </w:tcPr>
          <w:p w14:paraId="4240AA40" w14:textId="77777777" w:rsidR="00782A4D" w:rsidRPr="004249FA" w:rsidRDefault="00782A4D" w:rsidP="00162CD8">
            <w:pPr>
              <w:rPr>
                <w:rFonts w:ascii="Arial" w:hAnsi="Arial" w:cs="Arial"/>
                <w:sz w:val="20"/>
              </w:rPr>
            </w:pPr>
            <w:r w:rsidRPr="004249FA">
              <w:rPr>
                <w:rFonts w:ascii="Arial" w:hAnsi="Arial" w:cs="Arial"/>
                <w:sz w:val="20"/>
              </w:rPr>
              <w:t>131</w:t>
            </w:r>
          </w:p>
        </w:tc>
        <w:tc>
          <w:tcPr>
            <w:tcW w:w="714" w:type="pct"/>
            <w:shd w:val="clear" w:color="auto" w:fill="auto"/>
          </w:tcPr>
          <w:p w14:paraId="4240AA41" w14:textId="77777777" w:rsidR="00782A4D" w:rsidRPr="004249FA" w:rsidRDefault="00782A4D" w:rsidP="00162CD8">
            <w:pPr>
              <w:rPr>
                <w:rFonts w:ascii="Arial" w:hAnsi="Arial" w:cs="Arial"/>
                <w:sz w:val="20"/>
              </w:rPr>
            </w:pPr>
            <w:r w:rsidRPr="004249FA">
              <w:rPr>
                <w:rFonts w:ascii="Arial" w:hAnsi="Arial" w:cs="Arial"/>
                <w:sz w:val="20"/>
              </w:rPr>
              <w:t>137</w:t>
            </w:r>
          </w:p>
        </w:tc>
        <w:tc>
          <w:tcPr>
            <w:tcW w:w="713" w:type="pct"/>
            <w:shd w:val="clear" w:color="auto" w:fill="auto"/>
          </w:tcPr>
          <w:p w14:paraId="4240AA42" w14:textId="77777777" w:rsidR="00782A4D" w:rsidRPr="004249FA" w:rsidRDefault="00782A4D" w:rsidP="00162CD8">
            <w:pPr>
              <w:rPr>
                <w:rFonts w:ascii="Arial" w:hAnsi="Arial" w:cs="Arial"/>
                <w:sz w:val="20"/>
              </w:rPr>
            </w:pPr>
            <w:r w:rsidRPr="004249FA">
              <w:rPr>
                <w:rFonts w:ascii="Arial" w:hAnsi="Arial" w:cs="Arial"/>
                <w:sz w:val="20"/>
              </w:rPr>
              <w:t>142</w:t>
            </w:r>
          </w:p>
        </w:tc>
      </w:tr>
      <w:tr w:rsidR="00782A4D" w:rsidRPr="004249FA" w14:paraId="4240AA4A" w14:textId="77777777" w:rsidTr="00162CD8">
        <w:trPr>
          <w:trHeight w:val="300"/>
        </w:trPr>
        <w:tc>
          <w:tcPr>
            <w:tcW w:w="1431" w:type="pct"/>
            <w:shd w:val="clear" w:color="auto" w:fill="auto"/>
          </w:tcPr>
          <w:p w14:paraId="4240AA44" w14:textId="77777777" w:rsidR="00782A4D" w:rsidRPr="004249FA" w:rsidRDefault="00782A4D" w:rsidP="00162CD8">
            <w:pPr>
              <w:autoSpaceDE w:val="0"/>
              <w:autoSpaceDN w:val="0"/>
              <w:adjustRightInd w:val="0"/>
              <w:rPr>
                <w:rFonts w:ascii="Arial" w:hAnsi="Arial" w:cs="Arial"/>
                <w:color w:val="000000"/>
                <w:sz w:val="20"/>
              </w:rPr>
            </w:pPr>
            <w:r w:rsidRPr="004249FA">
              <w:rPr>
                <w:rFonts w:ascii="Arial" w:hAnsi="Arial" w:cs="Arial"/>
                <w:color w:val="000000"/>
                <w:sz w:val="20"/>
              </w:rPr>
              <w:t>Costs offset</w:t>
            </w:r>
          </w:p>
        </w:tc>
        <w:tc>
          <w:tcPr>
            <w:tcW w:w="714" w:type="pct"/>
          </w:tcPr>
          <w:p w14:paraId="4240AA45" w14:textId="77777777" w:rsidR="00782A4D" w:rsidRPr="004249FA" w:rsidRDefault="00782A4D" w:rsidP="00162CD8">
            <w:pPr>
              <w:ind w:right="283"/>
              <w:rPr>
                <w:rFonts w:ascii="Arial" w:hAnsi="Arial" w:cs="Arial"/>
                <w:sz w:val="20"/>
              </w:rPr>
            </w:pPr>
            <w:r w:rsidRPr="004249FA">
              <w:rPr>
                <w:rFonts w:ascii="Arial" w:hAnsi="Arial" w:cs="Arial"/>
                <w:sz w:val="20"/>
              </w:rPr>
              <w:t>$770,986</w:t>
            </w:r>
          </w:p>
        </w:tc>
        <w:tc>
          <w:tcPr>
            <w:tcW w:w="714" w:type="pct"/>
            <w:shd w:val="clear" w:color="auto" w:fill="auto"/>
          </w:tcPr>
          <w:p w14:paraId="4240AA46" w14:textId="77777777" w:rsidR="00782A4D" w:rsidRPr="004249FA" w:rsidRDefault="00782A4D" w:rsidP="00162CD8">
            <w:pPr>
              <w:ind w:right="283"/>
              <w:rPr>
                <w:rFonts w:ascii="Arial" w:hAnsi="Arial" w:cs="Arial"/>
                <w:sz w:val="20"/>
              </w:rPr>
            </w:pPr>
            <w:r w:rsidRPr="004249FA">
              <w:rPr>
                <w:rFonts w:ascii="Arial" w:hAnsi="Arial" w:cs="Arial"/>
                <w:sz w:val="20"/>
              </w:rPr>
              <w:t>$802,774</w:t>
            </w:r>
          </w:p>
        </w:tc>
        <w:tc>
          <w:tcPr>
            <w:tcW w:w="714" w:type="pct"/>
            <w:shd w:val="clear" w:color="auto" w:fill="auto"/>
          </w:tcPr>
          <w:p w14:paraId="4240AA47" w14:textId="77777777" w:rsidR="00782A4D" w:rsidRPr="004249FA" w:rsidRDefault="00782A4D" w:rsidP="00162CD8">
            <w:pPr>
              <w:ind w:right="283"/>
              <w:rPr>
                <w:rFonts w:ascii="Arial" w:hAnsi="Arial" w:cs="Arial"/>
                <w:sz w:val="20"/>
              </w:rPr>
            </w:pPr>
            <w:r w:rsidRPr="004249FA">
              <w:rPr>
                <w:rFonts w:ascii="Arial" w:hAnsi="Arial" w:cs="Arial"/>
                <w:sz w:val="20"/>
              </w:rPr>
              <w:t>$835,134</w:t>
            </w:r>
          </w:p>
        </w:tc>
        <w:tc>
          <w:tcPr>
            <w:tcW w:w="714" w:type="pct"/>
            <w:shd w:val="clear" w:color="auto" w:fill="auto"/>
          </w:tcPr>
          <w:p w14:paraId="4240AA48" w14:textId="77777777" w:rsidR="00782A4D" w:rsidRPr="004249FA" w:rsidRDefault="00782A4D" w:rsidP="00162CD8">
            <w:pPr>
              <w:ind w:right="283"/>
              <w:rPr>
                <w:rFonts w:ascii="Arial" w:hAnsi="Arial" w:cs="Arial"/>
                <w:sz w:val="20"/>
              </w:rPr>
            </w:pPr>
            <w:r w:rsidRPr="004249FA">
              <w:rPr>
                <w:rFonts w:ascii="Arial" w:hAnsi="Arial" w:cs="Arial"/>
                <w:sz w:val="20"/>
              </w:rPr>
              <w:t>$868,077</w:t>
            </w:r>
          </w:p>
        </w:tc>
        <w:tc>
          <w:tcPr>
            <w:tcW w:w="713" w:type="pct"/>
            <w:shd w:val="clear" w:color="auto" w:fill="auto"/>
          </w:tcPr>
          <w:p w14:paraId="4240AA49" w14:textId="77777777" w:rsidR="00782A4D" w:rsidRPr="004249FA" w:rsidRDefault="00782A4D" w:rsidP="00162CD8">
            <w:pPr>
              <w:ind w:right="283"/>
              <w:rPr>
                <w:rFonts w:ascii="Arial" w:hAnsi="Arial" w:cs="Arial"/>
                <w:sz w:val="20"/>
              </w:rPr>
            </w:pPr>
            <w:r w:rsidRPr="004249FA">
              <w:rPr>
                <w:rFonts w:ascii="Arial" w:hAnsi="Arial" w:cs="Arial"/>
                <w:sz w:val="20"/>
              </w:rPr>
              <w:t>$901,550</w:t>
            </w:r>
          </w:p>
        </w:tc>
      </w:tr>
      <w:tr w:rsidR="00782A4D" w:rsidRPr="004249FA" w14:paraId="4240AA51" w14:textId="77777777" w:rsidTr="00162CD8">
        <w:trPr>
          <w:trHeight w:val="315"/>
        </w:trPr>
        <w:tc>
          <w:tcPr>
            <w:tcW w:w="1431" w:type="pct"/>
            <w:tcBorders>
              <w:bottom w:val="single" w:sz="4" w:space="0" w:color="auto"/>
            </w:tcBorders>
            <w:shd w:val="clear" w:color="auto" w:fill="auto"/>
          </w:tcPr>
          <w:p w14:paraId="4240AA4B" w14:textId="77777777" w:rsidR="00782A4D" w:rsidRPr="004249FA" w:rsidRDefault="00782A4D" w:rsidP="00162CD8">
            <w:pPr>
              <w:rPr>
                <w:rFonts w:ascii="Arial" w:hAnsi="Arial" w:cs="Arial"/>
                <w:b/>
                <w:sz w:val="20"/>
              </w:rPr>
            </w:pPr>
            <w:r w:rsidRPr="004249FA">
              <w:rPr>
                <w:rFonts w:ascii="Arial" w:hAnsi="Arial" w:cs="Arial"/>
                <w:b/>
                <w:sz w:val="20"/>
              </w:rPr>
              <w:t>Net costs to private sector (including co-payments)</w:t>
            </w:r>
          </w:p>
        </w:tc>
        <w:tc>
          <w:tcPr>
            <w:tcW w:w="714" w:type="pct"/>
            <w:tcBorders>
              <w:bottom w:val="single" w:sz="4" w:space="0" w:color="auto"/>
            </w:tcBorders>
          </w:tcPr>
          <w:p w14:paraId="4240AA4C" w14:textId="77777777" w:rsidR="00782A4D" w:rsidRPr="004249FA" w:rsidRDefault="00782A4D" w:rsidP="00162CD8">
            <w:pPr>
              <w:ind w:right="283"/>
              <w:rPr>
                <w:rFonts w:ascii="Arial" w:hAnsi="Arial" w:cs="Arial"/>
                <w:b/>
                <w:sz w:val="20"/>
              </w:rPr>
            </w:pPr>
            <w:r w:rsidRPr="004249FA">
              <w:rPr>
                <w:rFonts w:ascii="Arial" w:hAnsi="Arial" w:cs="Arial"/>
                <w:sz w:val="20"/>
              </w:rPr>
              <w:t>$54,668</w:t>
            </w:r>
          </w:p>
        </w:tc>
        <w:tc>
          <w:tcPr>
            <w:tcW w:w="714" w:type="pct"/>
            <w:tcBorders>
              <w:bottom w:val="single" w:sz="4" w:space="0" w:color="auto"/>
            </w:tcBorders>
            <w:shd w:val="clear" w:color="auto" w:fill="auto"/>
          </w:tcPr>
          <w:p w14:paraId="4240AA4D" w14:textId="77777777" w:rsidR="00782A4D" w:rsidRPr="004249FA" w:rsidRDefault="00782A4D" w:rsidP="00162CD8">
            <w:pPr>
              <w:ind w:right="283"/>
              <w:rPr>
                <w:rFonts w:ascii="Arial" w:hAnsi="Arial" w:cs="Arial"/>
                <w:b/>
                <w:sz w:val="20"/>
              </w:rPr>
            </w:pPr>
            <w:r w:rsidRPr="004249FA">
              <w:rPr>
                <w:rFonts w:ascii="Arial" w:hAnsi="Arial" w:cs="Arial"/>
                <w:sz w:val="20"/>
              </w:rPr>
              <w:t>$119,493</w:t>
            </w:r>
          </w:p>
        </w:tc>
        <w:tc>
          <w:tcPr>
            <w:tcW w:w="714" w:type="pct"/>
            <w:tcBorders>
              <w:bottom w:val="single" w:sz="4" w:space="0" w:color="auto"/>
            </w:tcBorders>
            <w:shd w:val="clear" w:color="auto" w:fill="auto"/>
          </w:tcPr>
          <w:p w14:paraId="4240AA4E" w14:textId="77777777" w:rsidR="00782A4D" w:rsidRPr="004249FA" w:rsidRDefault="00782A4D" w:rsidP="00162CD8">
            <w:pPr>
              <w:ind w:right="283"/>
              <w:rPr>
                <w:rFonts w:ascii="Arial" w:hAnsi="Arial" w:cs="Arial"/>
                <w:b/>
                <w:sz w:val="20"/>
              </w:rPr>
            </w:pPr>
            <w:r w:rsidRPr="004249FA">
              <w:rPr>
                <w:rFonts w:ascii="Arial" w:hAnsi="Arial" w:cs="Arial"/>
                <w:sz w:val="20"/>
              </w:rPr>
              <w:t>$183,015</w:t>
            </w:r>
          </w:p>
        </w:tc>
        <w:tc>
          <w:tcPr>
            <w:tcW w:w="714" w:type="pct"/>
            <w:tcBorders>
              <w:bottom w:val="single" w:sz="4" w:space="0" w:color="auto"/>
            </w:tcBorders>
            <w:shd w:val="clear" w:color="auto" w:fill="auto"/>
          </w:tcPr>
          <w:p w14:paraId="4240AA4F" w14:textId="77777777" w:rsidR="00782A4D" w:rsidRPr="004249FA" w:rsidRDefault="00782A4D" w:rsidP="00162CD8">
            <w:pPr>
              <w:ind w:right="283"/>
              <w:rPr>
                <w:rFonts w:ascii="Arial" w:hAnsi="Arial" w:cs="Arial"/>
                <w:b/>
                <w:sz w:val="20"/>
              </w:rPr>
            </w:pPr>
            <w:r w:rsidRPr="004249FA">
              <w:rPr>
                <w:rFonts w:ascii="Arial" w:hAnsi="Arial" w:cs="Arial"/>
                <w:sz w:val="20"/>
              </w:rPr>
              <w:t>$254,576</w:t>
            </w:r>
          </w:p>
        </w:tc>
        <w:tc>
          <w:tcPr>
            <w:tcW w:w="713" w:type="pct"/>
            <w:tcBorders>
              <w:bottom w:val="single" w:sz="4" w:space="0" w:color="auto"/>
            </w:tcBorders>
            <w:shd w:val="clear" w:color="auto" w:fill="auto"/>
          </w:tcPr>
          <w:p w14:paraId="4240AA50" w14:textId="77777777" w:rsidR="00782A4D" w:rsidRPr="004249FA" w:rsidRDefault="00782A4D" w:rsidP="00162CD8">
            <w:pPr>
              <w:ind w:right="283"/>
              <w:rPr>
                <w:rFonts w:ascii="Arial" w:hAnsi="Arial" w:cs="Arial"/>
                <w:b/>
                <w:sz w:val="20"/>
              </w:rPr>
            </w:pPr>
            <w:r w:rsidRPr="004249FA">
              <w:rPr>
                <w:rFonts w:ascii="Arial" w:hAnsi="Arial" w:cs="Arial"/>
                <w:sz w:val="20"/>
              </w:rPr>
              <w:t>$331,215</w:t>
            </w:r>
          </w:p>
        </w:tc>
      </w:tr>
    </w:tbl>
    <w:p w14:paraId="4240AA52" w14:textId="77777777" w:rsidR="00782A4D" w:rsidRPr="004249FA" w:rsidRDefault="00782A4D" w:rsidP="00782A4D">
      <w:pPr>
        <w:widowControl w:val="0"/>
        <w:rPr>
          <w:rFonts w:ascii="Arial" w:hAnsi="Arial" w:cs="Arial"/>
          <w:snapToGrid w:val="0"/>
          <w:sz w:val="20"/>
          <w:lang w:eastAsia="en-US"/>
        </w:rPr>
      </w:pPr>
      <w:r w:rsidRPr="004249FA">
        <w:rPr>
          <w:rFonts w:ascii="Arial" w:hAnsi="Arial" w:cs="Arial"/>
          <w:snapToGrid w:val="0"/>
          <w:sz w:val="20"/>
          <w:lang w:eastAsia="en-US"/>
        </w:rPr>
        <w:t>MBS = Medicare Benefits Schedule; MTA = microwave tissue ablation</w:t>
      </w:r>
    </w:p>
    <w:p w14:paraId="4240AA53" w14:textId="77777777" w:rsidR="0027665C" w:rsidRDefault="0027665C" w:rsidP="00B823C0">
      <w:pPr>
        <w:rPr>
          <w:rFonts w:ascii="Arial" w:hAnsi="Arial" w:cs="Arial"/>
          <w:sz w:val="20"/>
        </w:rPr>
      </w:pPr>
    </w:p>
    <w:p w14:paraId="4240AA54" w14:textId="77777777" w:rsidR="0027665C" w:rsidRDefault="0027665C" w:rsidP="00B823C0">
      <w:pPr>
        <w:rPr>
          <w:rFonts w:ascii="Arial" w:hAnsi="Arial" w:cs="Arial"/>
          <w:sz w:val="20"/>
        </w:rPr>
      </w:pPr>
    </w:p>
    <w:p w14:paraId="4240AA55" w14:textId="77777777" w:rsidR="00782A4D" w:rsidRPr="0027665C" w:rsidRDefault="00782A4D" w:rsidP="007E26D2">
      <w:pPr>
        <w:rPr>
          <w:szCs w:val="24"/>
        </w:rPr>
      </w:pPr>
      <w:r w:rsidRPr="0027665C">
        <w:rPr>
          <w:szCs w:val="24"/>
        </w:rPr>
        <w:lastRenderedPageBreak/>
        <w:t xml:space="preserve">As seen in </w:t>
      </w:r>
      <w:r w:rsidRPr="0027665C">
        <w:rPr>
          <w:szCs w:val="24"/>
        </w:rPr>
        <w:fldChar w:fldCharType="begin"/>
      </w:r>
      <w:r w:rsidRPr="0027665C">
        <w:rPr>
          <w:szCs w:val="24"/>
        </w:rPr>
        <w:instrText xml:space="preserve"> REF _Ref458423562 \h  \* MERGEFORMAT </w:instrText>
      </w:r>
      <w:r w:rsidRPr="0027665C">
        <w:rPr>
          <w:szCs w:val="24"/>
        </w:rPr>
      </w:r>
      <w:r w:rsidRPr="0027665C">
        <w:rPr>
          <w:szCs w:val="24"/>
        </w:rPr>
        <w:fldChar w:fldCharType="separate"/>
      </w:r>
      <w:r w:rsidR="003967F8" w:rsidRPr="0027665C">
        <w:rPr>
          <w:szCs w:val="24"/>
        </w:rPr>
        <w:t>Table</w:t>
      </w:r>
      <w:r w:rsidR="003967F8" w:rsidRPr="0027665C">
        <w:rPr>
          <w:noProof/>
          <w:szCs w:val="24"/>
        </w:rPr>
        <w:t xml:space="preserve"> </w:t>
      </w:r>
      <w:r w:rsidR="003967F8" w:rsidRPr="0027665C">
        <w:rPr>
          <w:b/>
          <w:bCs/>
          <w:noProof/>
          <w:szCs w:val="24"/>
        </w:rPr>
        <w:t>9</w:t>
      </w:r>
      <w:r w:rsidRPr="0027665C">
        <w:rPr>
          <w:szCs w:val="24"/>
        </w:rPr>
        <w:fldChar w:fldCharType="end"/>
      </w:r>
      <w:r w:rsidRPr="0027665C">
        <w:rPr>
          <w:szCs w:val="24"/>
        </w:rPr>
        <w:t xml:space="preserve"> and </w:t>
      </w:r>
      <w:r w:rsidRPr="0027665C">
        <w:rPr>
          <w:szCs w:val="24"/>
        </w:rPr>
        <w:fldChar w:fldCharType="begin"/>
      </w:r>
      <w:r w:rsidRPr="0027665C">
        <w:rPr>
          <w:szCs w:val="24"/>
        </w:rPr>
        <w:instrText xml:space="preserve"> REF _Ref458430526 \h  \* MERGEFORMAT </w:instrText>
      </w:r>
      <w:r w:rsidRPr="0027665C">
        <w:rPr>
          <w:szCs w:val="24"/>
        </w:rPr>
      </w:r>
      <w:r w:rsidRPr="0027665C">
        <w:rPr>
          <w:szCs w:val="24"/>
        </w:rPr>
        <w:fldChar w:fldCharType="separate"/>
      </w:r>
      <w:r w:rsidR="003967F8" w:rsidRPr="0027665C">
        <w:rPr>
          <w:szCs w:val="24"/>
        </w:rPr>
        <w:t xml:space="preserve">Table </w:t>
      </w:r>
      <w:r w:rsidR="003967F8" w:rsidRPr="0027665C">
        <w:rPr>
          <w:noProof/>
          <w:szCs w:val="24"/>
        </w:rPr>
        <w:t>10</w:t>
      </w:r>
      <w:r w:rsidRPr="0027665C">
        <w:rPr>
          <w:szCs w:val="24"/>
        </w:rPr>
        <w:fldChar w:fldCharType="end"/>
      </w:r>
      <w:r w:rsidRPr="0027665C">
        <w:rPr>
          <w:szCs w:val="24"/>
        </w:rPr>
        <w:t>, MTA listing may result in cost shifting from the state government healthcare budgets to Medicare and PHI.</w:t>
      </w:r>
    </w:p>
    <w:p w14:paraId="4240AA56" w14:textId="77777777" w:rsidR="00782A4D" w:rsidRPr="00F97AD3" w:rsidRDefault="006A0D97" w:rsidP="00782A4D">
      <w:pPr>
        <w:pStyle w:val="Heading1"/>
        <w:ind w:left="0" w:firstLine="0"/>
      </w:pPr>
      <w:r w:rsidRPr="00F715D1">
        <w:t>Key issues from ESC for MSAC</w:t>
      </w:r>
    </w:p>
    <w:p w14:paraId="4240AA57" w14:textId="77777777" w:rsidR="00782A4D" w:rsidRPr="00782A4D" w:rsidRDefault="00AB62D6" w:rsidP="00AB62D6">
      <w:pPr>
        <w:rPr>
          <w:szCs w:val="24"/>
        </w:rPr>
      </w:pPr>
      <w:r>
        <w:rPr>
          <w:szCs w:val="24"/>
        </w:rPr>
        <w:t>ESC noted the following issues in regard to s</w:t>
      </w:r>
      <w:r w:rsidR="00782A4D" w:rsidRPr="00782A4D">
        <w:rPr>
          <w:szCs w:val="24"/>
        </w:rPr>
        <w:t>afety</w:t>
      </w:r>
      <w:r>
        <w:rPr>
          <w:szCs w:val="24"/>
        </w:rPr>
        <w:t>:</w:t>
      </w:r>
    </w:p>
    <w:p w14:paraId="4240AA58" w14:textId="77777777" w:rsidR="00782A4D" w:rsidRPr="00AB62D6" w:rsidRDefault="00782A4D" w:rsidP="00AB62D6">
      <w:pPr>
        <w:pStyle w:val="ListParagraph"/>
        <w:numPr>
          <w:ilvl w:val="0"/>
          <w:numId w:val="10"/>
        </w:numPr>
        <w:ind w:left="709" w:hanging="425"/>
        <w:rPr>
          <w:szCs w:val="24"/>
        </w:rPr>
      </w:pPr>
      <w:r w:rsidRPr="00AB62D6">
        <w:rPr>
          <w:szCs w:val="24"/>
        </w:rPr>
        <w:t>Population 1 – difficult to draw conclusions -  as safe – non-inferior</w:t>
      </w:r>
    </w:p>
    <w:p w14:paraId="4240AA59" w14:textId="77777777" w:rsidR="00AB62D6" w:rsidRDefault="00782A4D" w:rsidP="00AB62D6">
      <w:pPr>
        <w:pStyle w:val="ListParagraph"/>
        <w:numPr>
          <w:ilvl w:val="0"/>
          <w:numId w:val="10"/>
        </w:numPr>
        <w:ind w:left="709" w:hanging="425"/>
        <w:rPr>
          <w:szCs w:val="24"/>
        </w:rPr>
      </w:pPr>
      <w:r w:rsidRPr="00AB62D6">
        <w:rPr>
          <w:szCs w:val="24"/>
        </w:rPr>
        <w:t>Populations 2 and 3 – no comparative evidence on safety</w:t>
      </w:r>
    </w:p>
    <w:p w14:paraId="4240AA5A" w14:textId="77777777" w:rsidR="00AB62D6" w:rsidRPr="00AB62D6" w:rsidRDefault="00AB62D6" w:rsidP="00AB62D6">
      <w:pPr>
        <w:ind w:left="284"/>
        <w:rPr>
          <w:szCs w:val="24"/>
        </w:rPr>
      </w:pPr>
    </w:p>
    <w:p w14:paraId="4240AA5B" w14:textId="77777777" w:rsidR="00782A4D" w:rsidRPr="00AB62D6" w:rsidRDefault="00AB62D6" w:rsidP="00AB62D6">
      <w:pPr>
        <w:rPr>
          <w:szCs w:val="24"/>
        </w:rPr>
      </w:pPr>
      <w:r>
        <w:rPr>
          <w:szCs w:val="24"/>
        </w:rPr>
        <w:t>ESC noted the following issues in regard to e</w:t>
      </w:r>
      <w:r w:rsidR="00782A4D" w:rsidRPr="00AB62D6">
        <w:rPr>
          <w:szCs w:val="24"/>
        </w:rPr>
        <w:t>ffectiveness</w:t>
      </w:r>
      <w:r>
        <w:rPr>
          <w:szCs w:val="24"/>
        </w:rPr>
        <w:t>:</w:t>
      </w:r>
      <w:r w:rsidR="00782A4D" w:rsidRPr="00AB62D6">
        <w:rPr>
          <w:szCs w:val="24"/>
        </w:rPr>
        <w:t xml:space="preserve"> </w:t>
      </w:r>
    </w:p>
    <w:p w14:paraId="4240AA5C" w14:textId="77777777" w:rsidR="00782A4D" w:rsidRPr="00AB62D6" w:rsidRDefault="00782A4D" w:rsidP="00AB62D6">
      <w:pPr>
        <w:pStyle w:val="ListParagraph"/>
        <w:numPr>
          <w:ilvl w:val="0"/>
          <w:numId w:val="11"/>
        </w:numPr>
        <w:ind w:left="709" w:hanging="425"/>
        <w:rPr>
          <w:szCs w:val="24"/>
        </w:rPr>
      </w:pPr>
      <w:r w:rsidRPr="00AB62D6">
        <w:rPr>
          <w:szCs w:val="24"/>
        </w:rPr>
        <w:t>Population 1</w:t>
      </w:r>
      <w:r w:rsidR="00AB62D6" w:rsidRPr="00AB62D6">
        <w:rPr>
          <w:szCs w:val="24"/>
        </w:rPr>
        <w:t xml:space="preserve"> - </w:t>
      </w:r>
      <w:r w:rsidRPr="00AB62D6">
        <w:rPr>
          <w:szCs w:val="24"/>
        </w:rPr>
        <w:t>some evidence of non-inferior safety and effectiveness</w:t>
      </w:r>
    </w:p>
    <w:p w14:paraId="4240AA5D" w14:textId="77777777" w:rsidR="00782A4D" w:rsidRPr="00AB62D6" w:rsidRDefault="00AB62D6" w:rsidP="00AB62D6">
      <w:pPr>
        <w:pStyle w:val="ListParagraph"/>
        <w:numPr>
          <w:ilvl w:val="0"/>
          <w:numId w:val="11"/>
        </w:numPr>
        <w:ind w:left="709" w:hanging="425"/>
        <w:rPr>
          <w:szCs w:val="24"/>
        </w:rPr>
      </w:pPr>
      <w:r w:rsidRPr="00AB62D6">
        <w:rPr>
          <w:szCs w:val="24"/>
        </w:rPr>
        <w:t xml:space="preserve">Population 2 - </w:t>
      </w:r>
      <w:r w:rsidR="00782A4D" w:rsidRPr="00AB62D6">
        <w:rPr>
          <w:szCs w:val="24"/>
        </w:rPr>
        <w:t>limited evidence of non-inferior safety and effectiveness – however the comparator of RFA is not listed</w:t>
      </w:r>
    </w:p>
    <w:p w14:paraId="4240AA5E" w14:textId="77777777" w:rsidR="00782A4D" w:rsidRPr="00AB62D6" w:rsidRDefault="00AB62D6" w:rsidP="00AB62D6">
      <w:pPr>
        <w:pStyle w:val="ListParagraph"/>
        <w:numPr>
          <w:ilvl w:val="0"/>
          <w:numId w:val="11"/>
        </w:numPr>
        <w:ind w:left="709" w:hanging="425"/>
        <w:rPr>
          <w:szCs w:val="24"/>
        </w:rPr>
      </w:pPr>
      <w:r w:rsidRPr="00AB62D6">
        <w:rPr>
          <w:szCs w:val="24"/>
        </w:rPr>
        <w:t xml:space="preserve">Population 3 - </w:t>
      </w:r>
      <w:r w:rsidR="00782A4D" w:rsidRPr="00AB62D6">
        <w:rPr>
          <w:szCs w:val="24"/>
        </w:rPr>
        <w:t>insufficient evidence</w:t>
      </w:r>
    </w:p>
    <w:p w14:paraId="4240AA5F" w14:textId="77777777" w:rsidR="00AB62D6" w:rsidRDefault="00AB62D6" w:rsidP="00AB62D6">
      <w:pPr>
        <w:rPr>
          <w:szCs w:val="24"/>
        </w:rPr>
      </w:pPr>
    </w:p>
    <w:p w14:paraId="4240AA60" w14:textId="77777777" w:rsidR="00AB62D6" w:rsidRDefault="00AB62D6" w:rsidP="00AB62D6">
      <w:pPr>
        <w:rPr>
          <w:szCs w:val="24"/>
        </w:rPr>
      </w:pPr>
      <w:r>
        <w:rPr>
          <w:szCs w:val="24"/>
        </w:rPr>
        <w:t>ESC noted the following issues in regard to the e</w:t>
      </w:r>
      <w:r w:rsidR="00782A4D" w:rsidRPr="00782A4D">
        <w:rPr>
          <w:szCs w:val="24"/>
        </w:rPr>
        <w:t>conomics</w:t>
      </w:r>
      <w:r>
        <w:rPr>
          <w:szCs w:val="24"/>
        </w:rPr>
        <w:t xml:space="preserve"> and fee:</w:t>
      </w:r>
    </w:p>
    <w:p w14:paraId="4240AA61" w14:textId="77777777" w:rsidR="00782A4D" w:rsidRPr="00AB62D6" w:rsidRDefault="00AB62D6" w:rsidP="00AB62D6">
      <w:pPr>
        <w:pStyle w:val="ListParagraph"/>
        <w:numPr>
          <w:ilvl w:val="0"/>
          <w:numId w:val="12"/>
        </w:numPr>
        <w:ind w:left="709" w:hanging="425"/>
        <w:rPr>
          <w:szCs w:val="24"/>
        </w:rPr>
      </w:pPr>
      <w:r>
        <w:rPr>
          <w:szCs w:val="24"/>
        </w:rPr>
        <w:t>C</w:t>
      </w:r>
      <w:r w:rsidR="00782A4D" w:rsidRPr="00AB62D6">
        <w:rPr>
          <w:szCs w:val="24"/>
        </w:rPr>
        <w:t>ost minimisation using same fee as RFA</w:t>
      </w:r>
    </w:p>
    <w:p w14:paraId="4240AA62" w14:textId="77777777" w:rsidR="00782A4D" w:rsidRPr="00AB62D6" w:rsidRDefault="00782A4D" w:rsidP="00AB62D6">
      <w:pPr>
        <w:pStyle w:val="ListParagraph"/>
        <w:numPr>
          <w:ilvl w:val="0"/>
          <w:numId w:val="12"/>
        </w:numPr>
        <w:ind w:left="709" w:hanging="425"/>
        <w:rPr>
          <w:szCs w:val="24"/>
        </w:rPr>
      </w:pPr>
      <w:r w:rsidRPr="00AB62D6">
        <w:rPr>
          <w:szCs w:val="24"/>
        </w:rPr>
        <w:t>Key drive</w:t>
      </w:r>
      <w:r w:rsidR="00AB62D6">
        <w:rPr>
          <w:szCs w:val="24"/>
        </w:rPr>
        <w:t>r</w:t>
      </w:r>
      <w:r w:rsidRPr="00AB62D6">
        <w:rPr>
          <w:szCs w:val="24"/>
        </w:rPr>
        <w:t>s – hospital costs and number of sessions</w:t>
      </w:r>
    </w:p>
    <w:p w14:paraId="4240AA63" w14:textId="77777777" w:rsidR="00782A4D" w:rsidRPr="00782A4D" w:rsidRDefault="00782A4D" w:rsidP="0053065D">
      <w:pPr>
        <w:numPr>
          <w:ilvl w:val="0"/>
          <w:numId w:val="4"/>
        </w:numPr>
        <w:ind w:left="284" w:firstLine="0"/>
        <w:rPr>
          <w:szCs w:val="24"/>
        </w:rPr>
      </w:pPr>
      <w:r w:rsidRPr="00782A4D">
        <w:rPr>
          <w:szCs w:val="24"/>
        </w:rPr>
        <w:t>Unclear private- public split</w:t>
      </w:r>
    </w:p>
    <w:p w14:paraId="4240AA64" w14:textId="77777777" w:rsidR="00782A4D" w:rsidRPr="00782A4D" w:rsidRDefault="00782A4D" w:rsidP="00AB62D6">
      <w:pPr>
        <w:numPr>
          <w:ilvl w:val="0"/>
          <w:numId w:val="4"/>
        </w:numPr>
        <w:ind w:left="709" w:hanging="425"/>
        <w:rPr>
          <w:szCs w:val="24"/>
        </w:rPr>
      </w:pPr>
      <w:r w:rsidRPr="00782A4D">
        <w:rPr>
          <w:szCs w:val="24"/>
        </w:rPr>
        <w:t>Population 2 potential out of pocket costs if MTA introduced as better than RFA – noting RFA not funded by MSAC in this population</w:t>
      </w:r>
    </w:p>
    <w:p w14:paraId="4240AA65" w14:textId="77777777" w:rsidR="00782A4D" w:rsidRPr="00AB62D6" w:rsidRDefault="00AB62D6" w:rsidP="00AB62D6">
      <w:pPr>
        <w:numPr>
          <w:ilvl w:val="0"/>
          <w:numId w:val="4"/>
        </w:numPr>
        <w:ind w:left="709" w:hanging="425"/>
        <w:rPr>
          <w:szCs w:val="24"/>
        </w:rPr>
      </w:pPr>
      <w:r>
        <w:t>B</w:t>
      </w:r>
      <w:r w:rsidR="00782A4D" w:rsidRPr="00782A4D">
        <w:t>ased on lack of demonstrated superiority it may be more appropriate that MTA fees are consistent with RFA fees</w:t>
      </w:r>
      <w:r>
        <w:t>.</w:t>
      </w:r>
    </w:p>
    <w:p w14:paraId="4240AA66" w14:textId="77777777" w:rsidR="00AD2E25" w:rsidRDefault="00AD2E25" w:rsidP="00782A4D">
      <w:pPr>
        <w:rPr>
          <w:szCs w:val="24"/>
        </w:rPr>
      </w:pPr>
    </w:p>
    <w:p w14:paraId="4240AA67" w14:textId="77777777" w:rsidR="00782A4D" w:rsidRPr="00782A4D" w:rsidRDefault="00782A4D" w:rsidP="00782A4D">
      <w:pPr>
        <w:rPr>
          <w:szCs w:val="24"/>
        </w:rPr>
      </w:pPr>
      <w:r w:rsidRPr="00782A4D">
        <w:rPr>
          <w:szCs w:val="24"/>
        </w:rPr>
        <w:t>ESC noted the Consumer Representatives issues included:</w:t>
      </w:r>
    </w:p>
    <w:p w14:paraId="4240AA68" w14:textId="77777777" w:rsidR="00782A4D" w:rsidRPr="00782A4D" w:rsidRDefault="00AD2E25" w:rsidP="0053065D">
      <w:pPr>
        <w:numPr>
          <w:ilvl w:val="0"/>
          <w:numId w:val="4"/>
        </w:numPr>
        <w:ind w:left="284" w:firstLine="0"/>
        <w:rPr>
          <w:szCs w:val="24"/>
        </w:rPr>
      </w:pPr>
      <w:r>
        <w:rPr>
          <w:szCs w:val="24"/>
        </w:rPr>
        <w:t>access for rural and regional;</w:t>
      </w:r>
      <w:r w:rsidR="00782A4D" w:rsidRPr="00782A4D">
        <w:rPr>
          <w:szCs w:val="24"/>
        </w:rPr>
        <w:t xml:space="preserve"> </w:t>
      </w:r>
    </w:p>
    <w:p w14:paraId="4240AA69" w14:textId="77777777" w:rsidR="00782A4D" w:rsidRPr="00782A4D" w:rsidRDefault="00782A4D" w:rsidP="0053065D">
      <w:pPr>
        <w:numPr>
          <w:ilvl w:val="0"/>
          <w:numId w:val="4"/>
        </w:numPr>
        <w:ind w:left="284" w:firstLine="0"/>
        <w:rPr>
          <w:szCs w:val="24"/>
        </w:rPr>
      </w:pPr>
      <w:r w:rsidRPr="00782A4D">
        <w:rPr>
          <w:szCs w:val="24"/>
        </w:rPr>
        <w:t xml:space="preserve">its non-inferiority to current practice, and </w:t>
      </w:r>
    </w:p>
    <w:p w14:paraId="4240AA6A" w14:textId="77777777" w:rsidR="00782A4D" w:rsidRPr="00782A4D" w:rsidRDefault="00782A4D" w:rsidP="0053065D">
      <w:pPr>
        <w:numPr>
          <w:ilvl w:val="0"/>
          <w:numId w:val="4"/>
        </w:numPr>
        <w:ind w:left="284" w:firstLine="0"/>
        <w:rPr>
          <w:szCs w:val="24"/>
        </w:rPr>
      </w:pPr>
      <w:r w:rsidRPr="00782A4D">
        <w:rPr>
          <w:szCs w:val="24"/>
        </w:rPr>
        <w:t>incremental costs as the incidence rate increases.</w:t>
      </w:r>
    </w:p>
    <w:p w14:paraId="4240AA6B" w14:textId="77777777" w:rsidR="00D90A38" w:rsidRPr="00F715D1" w:rsidRDefault="00BC1364" w:rsidP="005D3707">
      <w:pPr>
        <w:pStyle w:val="Heading1"/>
        <w:ind w:left="0" w:firstLine="0"/>
      </w:pPr>
      <w:r w:rsidRPr="00F715D1">
        <w:t>Other significant factors</w:t>
      </w:r>
    </w:p>
    <w:p w14:paraId="4240AA6C" w14:textId="77777777" w:rsidR="00BC1364" w:rsidRPr="00F715D1" w:rsidRDefault="00BC1364" w:rsidP="00F715D1">
      <w:pPr>
        <w:spacing w:after="240"/>
        <w:rPr>
          <w:szCs w:val="24"/>
        </w:rPr>
      </w:pPr>
      <w:r w:rsidRPr="00F715D1">
        <w:rPr>
          <w:szCs w:val="24"/>
        </w:rPr>
        <w:t>Nil</w:t>
      </w:r>
      <w:r w:rsidR="0090092E">
        <w:rPr>
          <w:szCs w:val="24"/>
        </w:rPr>
        <w:t>.</w:t>
      </w:r>
    </w:p>
    <w:p w14:paraId="4240AA6D" w14:textId="77777777" w:rsidR="00BC1364" w:rsidRPr="00F715D1" w:rsidRDefault="00BC1364" w:rsidP="005D3707">
      <w:pPr>
        <w:pStyle w:val="Heading1"/>
        <w:ind w:left="0" w:firstLine="0"/>
      </w:pPr>
      <w:r w:rsidRPr="00F715D1">
        <w:t xml:space="preserve">Applicant’s comments on MSAC’s </w:t>
      </w:r>
      <w:r w:rsidR="00DA56AA" w:rsidRPr="00F715D1">
        <w:t>Public Summary Document</w:t>
      </w:r>
    </w:p>
    <w:p w14:paraId="4240AA6E" w14:textId="77777777" w:rsidR="00BC1364" w:rsidRPr="0027665C" w:rsidRDefault="007D2203" w:rsidP="00F715D1">
      <w:pPr>
        <w:spacing w:after="240"/>
        <w:rPr>
          <w:szCs w:val="24"/>
        </w:rPr>
      </w:pPr>
      <w:r w:rsidRPr="0027665C">
        <w:rPr>
          <w:szCs w:val="24"/>
        </w:rPr>
        <w:t>The applicant had no comment.</w:t>
      </w:r>
    </w:p>
    <w:p w14:paraId="4240AA6F" w14:textId="77777777" w:rsidR="00BC1364" w:rsidRPr="00F715D1" w:rsidRDefault="00271F18" w:rsidP="005D3707">
      <w:pPr>
        <w:pStyle w:val="Heading1"/>
        <w:ind w:left="0" w:firstLine="0"/>
      </w:pPr>
      <w:r w:rsidRPr="00F715D1">
        <w:t>Further information on MSAC</w:t>
      </w:r>
    </w:p>
    <w:p w14:paraId="4240AA70"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history="1">
        <w:r w:rsidR="00BC2667" w:rsidRPr="00F715D1">
          <w:rPr>
            <w:rStyle w:val="Hyperlink"/>
            <w:szCs w:val="24"/>
          </w:rPr>
          <w:t>visit the MSAC website</w:t>
        </w:r>
      </w:hyperlink>
    </w:p>
    <w:sectPr w:rsidR="00BC1364" w:rsidRPr="00F715D1"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0AA75" w14:textId="77777777" w:rsidR="00A90DE3" w:rsidRDefault="00A90DE3" w:rsidP="00065623">
      <w:r>
        <w:separator/>
      </w:r>
    </w:p>
  </w:endnote>
  <w:endnote w:type="continuationSeparator" w:id="0">
    <w:p w14:paraId="4240AA76" w14:textId="77777777" w:rsidR="00A90DE3" w:rsidRDefault="00A90DE3"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4161C" w14:textId="77777777" w:rsidR="00B8755E" w:rsidRDefault="00B875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4240AA77" w14:textId="77777777" w:rsidR="00F9168A" w:rsidRDefault="00F9168A">
        <w:pPr>
          <w:pStyle w:val="Footer"/>
          <w:jc w:val="right"/>
        </w:pPr>
        <w:r>
          <w:fldChar w:fldCharType="begin"/>
        </w:r>
        <w:r>
          <w:instrText xml:space="preserve"> PAGE   \* MERGEFORMAT </w:instrText>
        </w:r>
        <w:r>
          <w:fldChar w:fldCharType="separate"/>
        </w:r>
        <w:r w:rsidR="00B8755E">
          <w:rPr>
            <w:noProof/>
          </w:rPr>
          <w:t>4</w:t>
        </w:r>
        <w:r>
          <w:rPr>
            <w:noProof/>
          </w:rPr>
          <w:fldChar w:fldCharType="end"/>
        </w:r>
      </w:p>
    </w:sdtContent>
  </w:sdt>
  <w:p w14:paraId="4240AA78" w14:textId="77777777" w:rsidR="00F9168A" w:rsidRDefault="00F91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80F84" w14:textId="77777777" w:rsidR="00B8755E" w:rsidRDefault="00B87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0AA73" w14:textId="77777777" w:rsidR="00A90DE3" w:rsidRDefault="00A90DE3" w:rsidP="00065623">
      <w:r>
        <w:separator/>
      </w:r>
    </w:p>
  </w:footnote>
  <w:footnote w:type="continuationSeparator" w:id="0">
    <w:p w14:paraId="4240AA74" w14:textId="77777777" w:rsidR="00A90DE3" w:rsidRDefault="00A90DE3"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A0CB2" w14:textId="77777777" w:rsidR="00B8755E" w:rsidRDefault="00B875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60FBE" w14:textId="77777777" w:rsidR="00B8755E" w:rsidRDefault="00B875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5FD94" w14:textId="77777777" w:rsidR="00B8755E" w:rsidRDefault="00B875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273EFC"/>
    <w:multiLevelType w:val="hybridMultilevel"/>
    <w:tmpl w:val="81C29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F456934"/>
    <w:multiLevelType w:val="hybridMultilevel"/>
    <w:tmpl w:val="5FC0D5C8"/>
    <w:lvl w:ilvl="0" w:tplc="EF621D56">
      <w:start w:val="1"/>
      <w:numFmt w:val="bullet"/>
      <w:lvlText w:val=""/>
      <w:lvlJc w:val="left"/>
      <w:pPr>
        <w:tabs>
          <w:tab w:val="num" w:pos="720"/>
        </w:tabs>
        <w:ind w:left="720" w:hanging="360"/>
      </w:pPr>
      <w:rPr>
        <w:rFonts w:ascii="Wingdings" w:hAnsi="Wingdings" w:hint="default"/>
      </w:rPr>
    </w:lvl>
    <w:lvl w:ilvl="1" w:tplc="DF0C74D6" w:tentative="1">
      <w:start w:val="1"/>
      <w:numFmt w:val="bullet"/>
      <w:lvlText w:val=""/>
      <w:lvlJc w:val="left"/>
      <w:pPr>
        <w:tabs>
          <w:tab w:val="num" w:pos="1440"/>
        </w:tabs>
        <w:ind w:left="1440" w:hanging="360"/>
      </w:pPr>
      <w:rPr>
        <w:rFonts w:ascii="Wingdings" w:hAnsi="Wingdings" w:hint="default"/>
      </w:rPr>
    </w:lvl>
    <w:lvl w:ilvl="2" w:tplc="D53AAE0A" w:tentative="1">
      <w:start w:val="1"/>
      <w:numFmt w:val="bullet"/>
      <w:lvlText w:val=""/>
      <w:lvlJc w:val="left"/>
      <w:pPr>
        <w:tabs>
          <w:tab w:val="num" w:pos="2160"/>
        </w:tabs>
        <w:ind w:left="2160" w:hanging="360"/>
      </w:pPr>
      <w:rPr>
        <w:rFonts w:ascii="Wingdings" w:hAnsi="Wingdings" w:hint="default"/>
      </w:rPr>
    </w:lvl>
    <w:lvl w:ilvl="3" w:tplc="54DE2E4E" w:tentative="1">
      <w:start w:val="1"/>
      <w:numFmt w:val="bullet"/>
      <w:lvlText w:val=""/>
      <w:lvlJc w:val="left"/>
      <w:pPr>
        <w:tabs>
          <w:tab w:val="num" w:pos="2880"/>
        </w:tabs>
        <w:ind w:left="2880" w:hanging="360"/>
      </w:pPr>
      <w:rPr>
        <w:rFonts w:ascii="Wingdings" w:hAnsi="Wingdings" w:hint="default"/>
      </w:rPr>
    </w:lvl>
    <w:lvl w:ilvl="4" w:tplc="C87A68AC" w:tentative="1">
      <w:start w:val="1"/>
      <w:numFmt w:val="bullet"/>
      <w:lvlText w:val=""/>
      <w:lvlJc w:val="left"/>
      <w:pPr>
        <w:tabs>
          <w:tab w:val="num" w:pos="3600"/>
        </w:tabs>
        <w:ind w:left="3600" w:hanging="360"/>
      </w:pPr>
      <w:rPr>
        <w:rFonts w:ascii="Wingdings" w:hAnsi="Wingdings" w:hint="default"/>
      </w:rPr>
    </w:lvl>
    <w:lvl w:ilvl="5" w:tplc="1FA41FCC" w:tentative="1">
      <w:start w:val="1"/>
      <w:numFmt w:val="bullet"/>
      <w:lvlText w:val=""/>
      <w:lvlJc w:val="left"/>
      <w:pPr>
        <w:tabs>
          <w:tab w:val="num" w:pos="4320"/>
        </w:tabs>
        <w:ind w:left="4320" w:hanging="360"/>
      </w:pPr>
      <w:rPr>
        <w:rFonts w:ascii="Wingdings" w:hAnsi="Wingdings" w:hint="default"/>
      </w:rPr>
    </w:lvl>
    <w:lvl w:ilvl="6" w:tplc="54A60012" w:tentative="1">
      <w:start w:val="1"/>
      <w:numFmt w:val="bullet"/>
      <w:lvlText w:val=""/>
      <w:lvlJc w:val="left"/>
      <w:pPr>
        <w:tabs>
          <w:tab w:val="num" w:pos="5040"/>
        </w:tabs>
        <w:ind w:left="5040" w:hanging="360"/>
      </w:pPr>
      <w:rPr>
        <w:rFonts w:ascii="Wingdings" w:hAnsi="Wingdings" w:hint="default"/>
      </w:rPr>
    </w:lvl>
    <w:lvl w:ilvl="7" w:tplc="330A97CE" w:tentative="1">
      <w:start w:val="1"/>
      <w:numFmt w:val="bullet"/>
      <w:lvlText w:val=""/>
      <w:lvlJc w:val="left"/>
      <w:pPr>
        <w:tabs>
          <w:tab w:val="num" w:pos="5760"/>
        </w:tabs>
        <w:ind w:left="5760" w:hanging="360"/>
      </w:pPr>
      <w:rPr>
        <w:rFonts w:ascii="Wingdings" w:hAnsi="Wingdings" w:hint="default"/>
      </w:rPr>
    </w:lvl>
    <w:lvl w:ilvl="8" w:tplc="22A0D4E8" w:tentative="1">
      <w:start w:val="1"/>
      <w:numFmt w:val="bullet"/>
      <w:lvlText w:val=""/>
      <w:lvlJc w:val="left"/>
      <w:pPr>
        <w:tabs>
          <w:tab w:val="num" w:pos="6480"/>
        </w:tabs>
        <w:ind w:left="6480" w:hanging="360"/>
      </w:pPr>
      <w:rPr>
        <w:rFonts w:ascii="Wingdings" w:hAnsi="Wingdings" w:hint="default"/>
      </w:rPr>
    </w:lvl>
  </w:abstractNum>
  <w:abstractNum w:abstractNumId="3">
    <w:nsid w:val="43A843FB"/>
    <w:multiLevelType w:val="hybridMultilevel"/>
    <w:tmpl w:val="474826C6"/>
    <w:lvl w:ilvl="0" w:tplc="75280C82">
      <w:numFmt w:val="bullet"/>
      <w:lvlText w:val="•"/>
      <w:lvlJc w:val="left"/>
      <w:pPr>
        <w:ind w:left="180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9440A25"/>
    <w:multiLevelType w:val="hybridMultilevel"/>
    <w:tmpl w:val="AE941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A3D42A4"/>
    <w:multiLevelType w:val="hybridMultilevel"/>
    <w:tmpl w:val="9D6CB7B6"/>
    <w:lvl w:ilvl="0" w:tplc="75280C82">
      <w:numFmt w:val="bullet"/>
      <w:lvlText w:val="•"/>
      <w:lvlJc w:val="left"/>
      <w:pPr>
        <w:ind w:left="1800" w:hanging="360"/>
      </w:pPr>
      <w:rPr>
        <w:rFonts w:ascii="Calibri" w:eastAsia="Calibri" w:hAnsi="Calibri"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66190B36"/>
    <w:multiLevelType w:val="hybridMultilevel"/>
    <w:tmpl w:val="80329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A660F5C"/>
    <w:multiLevelType w:val="hybridMultilevel"/>
    <w:tmpl w:val="D9809CDE"/>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6AE36E4"/>
    <w:multiLevelType w:val="hybridMultilevel"/>
    <w:tmpl w:val="12F6E152"/>
    <w:lvl w:ilvl="0" w:tplc="75280C82">
      <w:numFmt w:val="bullet"/>
      <w:lvlText w:val="•"/>
      <w:lvlJc w:val="left"/>
      <w:pPr>
        <w:ind w:left="180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78619C7"/>
    <w:multiLevelType w:val="hybridMultilevel"/>
    <w:tmpl w:val="5F2A2FB2"/>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8397873"/>
    <w:multiLevelType w:val="hybridMultilevel"/>
    <w:tmpl w:val="57B093DE"/>
    <w:lvl w:ilvl="0" w:tplc="75280C82">
      <w:numFmt w:val="bullet"/>
      <w:lvlText w:val="•"/>
      <w:lvlJc w:val="left"/>
      <w:pPr>
        <w:ind w:left="180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6"/>
  </w:num>
  <w:num w:numId="6">
    <w:abstractNumId w:val="2"/>
  </w:num>
  <w:num w:numId="7">
    <w:abstractNumId w:val="0"/>
  </w:num>
  <w:num w:numId="8">
    <w:abstractNumId w:val="4"/>
  </w:num>
  <w:num w:numId="9">
    <w:abstractNumId w:val="1"/>
  </w:num>
  <w:num w:numId="10">
    <w:abstractNumId w:val="10"/>
  </w:num>
  <w:num w:numId="11">
    <w:abstractNumId w:val="8"/>
  </w:num>
  <w:num w:numId="12">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107"/>
    <w:rsid w:val="00011A36"/>
    <w:rsid w:val="00015403"/>
    <w:rsid w:val="000247B4"/>
    <w:rsid w:val="00047606"/>
    <w:rsid w:val="00065623"/>
    <w:rsid w:val="00067003"/>
    <w:rsid w:val="000756B9"/>
    <w:rsid w:val="000963B2"/>
    <w:rsid w:val="00096B67"/>
    <w:rsid w:val="00096DAF"/>
    <w:rsid w:val="000B1709"/>
    <w:rsid w:val="000C0FC8"/>
    <w:rsid w:val="000C2F47"/>
    <w:rsid w:val="000C61DC"/>
    <w:rsid w:val="000D6C00"/>
    <w:rsid w:val="000E4E04"/>
    <w:rsid w:val="000F0E7C"/>
    <w:rsid w:val="000F14B4"/>
    <w:rsid w:val="000F75DF"/>
    <w:rsid w:val="00111E07"/>
    <w:rsid w:val="001328FA"/>
    <w:rsid w:val="00147AAF"/>
    <w:rsid w:val="001552C0"/>
    <w:rsid w:val="00162CD8"/>
    <w:rsid w:val="001640B1"/>
    <w:rsid w:val="00171B95"/>
    <w:rsid w:val="0018435E"/>
    <w:rsid w:val="001935CA"/>
    <w:rsid w:val="001B0490"/>
    <w:rsid w:val="001D79B1"/>
    <w:rsid w:val="001F65D5"/>
    <w:rsid w:val="002041A1"/>
    <w:rsid w:val="002054F0"/>
    <w:rsid w:val="00230D6B"/>
    <w:rsid w:val="00232068"/>
    <w:rsid w:val="002330F2"/>
    <w:rsid w:val="0023448C"/>
    <w:rsid w:val="00243D9E"/>
    <w:rsid w:val="00253B66"/>
    <w:rsid w:val="00261DF1"/>
    <w:rsid w:val="00271F18"/>
    <w:rsid w:val="0027665C"/>
    <w:rsid w:val="00282779"/>
    <w:rsid w:val="0028334D"/>
    <w:rsid w:val="002B7FFA"/>
    <w:rsid w:val="002C2BCF"/>
    <w:rsid w:val="002F279D"/>
    <w:rsid w:val="002F43B8"/>
    <w:rsid w:val="0031178B"/>
    <w:rsid w:val="00336856"/>
    <w:rsid w:val="0034554D"/>
    <w:rsid w:val="003502B9"/>
    <w:rsid w:val="00352224"/>
    <w:rsid w:val="003671E6"/>
    <w:rsid w:val="00384272"/>
    <w:rsid w:val="00386D67"/>
    <w:rsid w:val="003945B8"/>
    <w:rsid w:val="003967F8"/>
    <w:rsid w:val="003A2CCB"/>
    <w:rsid w:val="003D7F29"/>
    <w:rsid w:val="00405A6B"/>
    <w:rsid w:val="00407B1F"/>
    <w:rsid w:val="00414C57"/>
    <w:rsid w:val="0041758C"/>
    <w:rsid w:val="004249FA"/>
    <w:rsid w:val="004539DE"/>
    <w:rsid w:val="004A2CF1"/>
    <w:rsid w:val="004C3035"/>
    <w:rsid w:val="004C307F"/>
    <w:rsid w:val="004E4BA8"/>
    <w:rsid w:val="004F340F"/>
    <w:rsid w:val="004F7B7C"/>
    <w:rsid w:val="00502986"/>
    <w:rsid w:val="0052243D"/>
    <w:rsid w:val="0053065D"/>
    <w:rsid w:val="00532435"/>
    <w:rsid w:val="00550354"/>
    <w:rsid w:val="00571236"/>
    <w:rsid w:val="005763DB"/>
    <w:rsid w:val="005953A1"/>
    <w:rsid w:val="005B0ED0"/>
    <w:rsid w:val="005D0332"/>
    <w:rsid w:val="005D0D8C"/>
    <w:rsid w:val="005D3707"/>
    <w:rsid w:val="006776AE"/>
    <w:rsid w:val="006A0D97"/>
    <w:rsid w:val="006B1F86"/>
    <w:rsid w:val="006C0A91"/>
    <w:rsid w:val="007054BB"/>
    <w:rsid w:val="00707064"/>
    <w:rsid w:val="00730683"/>
    <w:rsid w:val="0074658A"/>
    <w:rsid w:val="0075261F"/>
    <w:rsid w:val="0075468E"/>
    <w:rsid w:val="007665D8"/>
    <w:rsid w:val="00766E36"/>
    <w:rsid w:val="007677C3"/>
    <w:rsid w:val="007765F4"/>
    <w:rsid w:val="00776633"/>
    <w:rsid w:val="00782A4D"/>
    <w:rsid w:val="00784D53"/>
    <w:rsid w:val="00797797"/>
    <w:rsid w:val="007A63C9"/>
    <w:rsid w:val="007B32D1"/>
    <w:rsid w:val="007B7095"/>
    <w:rsid w:val="007D2203"/>
    <w:rsid w:val="007D24E1"/>
    <w:rsid w:val="007D6288"/>
    <w:rsid w:val="007E26D2"/>
    <w:rsid w:val="007F4CE9"/>
    <w:rsid w:val="007F4E20"/>
    <w:rsid w:val="00822C7E"/>
    <w:rsid w:val="00830544"/>
    <w:rsid w:val="00847060"/>
    <w:rsid w:val="0085322D"/>
    <w:rsid w:val="00856A33"/>
    <w:rsid w:val="00892620"/>
    <w:rsid w:val="008C7D37"/>
    <w:rsid w:val="008D5885"/>
    <w:rsid w:val="008E20EA"/>
    <w:rsid w:val="0090092E"/>
    <w:rsid w:val="00923FA2"/>
    <w:rsid w:val="00936C72"/>
    <w:rsid w:val="00951310"/>
    <w:rsid w:val="0096060D"/>
    <w:rsid w:val="00974A50"/>
    <w:rsid w:val="0097585A"/>
    <w:rsid w:val="009921AA"/>
    <w:rsid w:val="009924B0"/>
    <w:rsid w:val="009942C9"/>
    <w:rsid w:val="009A4AA7"/>
    <w:rsid w:val="009B35C4"/>
    <w:rsid w:val="009B6EBF"/>
    <w:rsid w:val="009C630A"/>
    <w:rsid w:val="009D1F87"/>
    <w:rsid w:val="009E0D98"/>
    <w:rsid w:val="00A06448"/>
    <w:rsid w:val="00A068A1"/>
    <w:rsid w:val="00A1207D"/>
    <w:rsid w:val="00A12FD8"/>
    <w:rsid w:val="00A3161F"/>
    <w:rsid w:val="00A346FC"/>
    <w:rsid w:val="00A62A86"/>
    <w:rsid w:val="00A64A2B"/>
    <w:rsid w:val="00A652B7"/>
    <w:rsid w:val="00A822AF"/>
    <w:rsid w:val="00A84F93"/>
    <w:rsid w:val="00A90DE3"/>
    <w:rsid w:val="00AB1AC5"/>
    <w:rsid w:val="00AB3BFC"/>
    <w:rsid w:val="00AB62D6"/>
    <w:rsid w:val="00AC4F2E"/>
    <w:rsid w:val="00AD0C37"/>
    <w:rsid w:val="00AD2E25"/>
    <w:rsid w:val="00AD385F"/>
    <w:rsid w:val="00AD4345"/>
    <w:rsid w:val="00AE6E2A"/>
    <w:rsid w:val="00AF2AD9"/>
    <w:rsid w:val="00B31E9C"/>
    <w:rsid w:val="00B35595"/>
    <w:rsid w:val="00B51C6D"/>
    <w:rsid w:val="00B823C0"/>
    <w:rsid w:val="00B86D64"/>
    <w:rsid w:val="00B8755E"/>
    <w:rsid w:val="00B91D26"/>
    <w:rsid w:val="00BA4AC5"/>
    <w:rsid w:val="00BA74F6"/>
    <w:rsid w:val="00BC1364"/>
    <w:rsid w:val="00BC2667"/>
    <w:rsid w:val="00BC7DE9"/>
    <w:rsid w:val="00BF479B"/>
    <w:rsid w:val="00BF4B7C"/>
    <w:rsid w:val="00C02577"/>
    <w:rsid w:val="00C06CF5"/>
    <w:rsid w:val="00C204FB"/>
    <w:rsid w:val="00C20BEE"/>
    <w:rsid w:val="00C2158D"/>
    <w:rsid w:val="00C67DD2"/>
    <w:rsid w:val="00C725CB"/>
    <w:rsid w:val="00C76F5C"/>
    <w:rsid w:val="00C83AE1"/>
    <w:rsid w:val="00C96BAD"/>
    <w:rsid w:val="00CA6944"/>
    <w:rsid w:val="00CB0F8E"/>
    <w:rsid w:val="00CB7E7D"/>
    <w:rsid w:val="00CC2911"/>
    <w:rsid w:val="00CF0C6D"/>
    <w:rsid w:val="00CF7307"/>
    <w:rsid w:val="00CF7C68"/>
    <w:rsid w:val="00D124FA"/>
    <w:rsid w:val="00D340DE"/>
    <w:rsid w:val="00D36F66"/>
    <w:rsid w:val="00D55723"/>
    <w:rsid w:val="00D5785B"/>
    <w:rsid w:val="00D62FAD"/>
    <w:rsid w:val="00D70450"/>
    <w:rsid w:val="00D83BFD"/>
    <w:rsid w:val="00D90A38"/>
    <w:rsid w:val="00D91CFF"/>
    <w:rsid w:val="00DA0515"/>
    <w:rsid w:val="00DA171E"/>
    <w:rsid w:val="00DA56AA"/>
    <w:rsid w:val="00DB5833"/>
    <w:rsid w:val="00DD2858"/>
    <w:rsid w:val="00E03E33"/>
    <w:rsid w:val="00E059E0"/>
    <w:rsid w:val="00E3642A"/>
    <w:rsid w:val="00E415C4"/>
    <w:rsid w:val="00E50016"/>
    <w:rsid w:val="00E50EAA"/>
    <w:rsid w:val="00E647DE"/>
    <w:rsid w:val="00E653EE"/>
    <w:rsid w:val="00E656D6"/>
    <w:rsid w:val="00E706CB"/>
    <w:rsid w:val="00E76EA0"/>
    <w:rsid w:val="00E977EE"/>
    <w:rsid w:val="00EA2F24"/>
    <w:rsid w:val="00EA67A2"/>
    <w:rsid w:val="00EB6B6F"/>
    <w:rsid w:val="00EC4F98"/>
    <w:rsid w:val="00ED0542"/>
    <w:rsid w:val="00EF5ED4"/>
    <w:rsid w:val="00F12F02"/>
    <w:rsid w:val="00F270C0"/>
    <w:rsid w:val="00F32E0D"/>
    <w:rsid w:val="00F35134"/>
    <w:rsid w:val="00F41812"/>
    <w:rsid w:val="00F443A8"/>
    <w:rsid w:val="00F46C1D"/>
    <w:rsid w:val="00F54010"/>
    <w:rsid w:val="00F715D1"/>
    <w:rsid w:val="00F73333"/>
    <w:rsid w:val="00F9168A"/>
    <w:rsid w:val="00F95D8F"/>
    <w:rsid w:val="00F97AD3"/>
    <w:rsid w:val="00FB0D37"/>
    <w:rsid w:val="00FB350A"/>
    <w:rsid w:val="00FB4C5D"/>
    <w:rsid w:val="00FD0A4B"/>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40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5322D"/>
    <w:pPr>
      <w:keepNext/>
      <w:keepLines/>
      <w:numPr>
        <w:numId w:val="1"/>
      </w:numPr>
      <w:spacing w:before="240" w:after="240"/>
      <w:ind w:left="714" w:hanging="357"/>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322D"/>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A652B7"/>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A652B7"/>
    <w:rPr>
      <w:rFonts w:ascii="Arial Narrow" w:eastAsia="Times New Roman" w:hAnsi="Arial Narrow" w:cs="Arial"/>
      <w:b/>
      <w:bCs/>
      <w:iCs/>
      <w:sz w:val="20"/>
      <w:szCs w:val="20"/>
      <w:lang w:eastAsia="en-US"/>
    </w:rPr>
  </w:style>
  <w:style w:type="paragraph" w:customStyle="1" w:styleId="Tablenotes">
    <w:name w:val="Tablenotes"/>
    <w:basedOn w:val="Normal"/>
    <w:link w:val="TablenotesChar"/>
    <w:qFormat/>
    <w:rsid w:val="00A652B7"/>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A652B7"/>
    <w:rPr>
      <w:rFonts w:ascii="Arial Narrow" w:eastAsia="Times New Roman" w:hAnsi="Arial Narrow" w:cs="Arial"/>
      <w:snapToGrid w:val="0"/>
      <w:sz w:val="18"/>
      <w:szCs w:val="20"/>
      <w:lang w:eastAsia="en-US"/>
    </w:rPr>
  </w:style>
  <w:style w:type="paragraph" w:customStyle="1" w:styleId="Tablefont">
    <w:name w:val="Table font"/>
    <w:basedOn w:val="Normal"/>
    <w:link w:val="TablefontChar"/>
    <w:qFormat/>
    <w:rsid w:val="00A652B7"/>
    <w:pPr>
      <w:spacing w:before="120" w:after="120"/>
    </w:pPr>
    <w:rPr>
      <w:rFonts w:ascii="Arial Narrow" w:eastAsia="Calibri" w:hAnsi="Arial Narrow"/>
      <w:sz w:val="18"/>
      <w:szCs w:val="22"/>
      <w:lang w:eastAsia="en-US"/>
    </w:rPr>
  </w:style>
  <w:style w:type="character" w:customStyle="1" w:styleId="TablefontChar">
    <w:name w:val="Table font Char"/>
    <w:basedOn w:val="DefaultParagraphFont"/>
    <w:link w:val="Tablefont"/>
    <w:rsid w:val="00A652B7"/>
    <w:rPr>
      <w:rFonts w:ascii="Arial Narrow" w:hAnsi="Arial Narrow"/>
      <w:sz w:val="18"/>
      <w:lang w:eastAsia="en-US"/>
    </w:rPr>
  </w:style>
  <w:style w:type="table" w:customStyle="1" w:styleId="TableGrid1">
    <w:name w:val="Table Grid1"/>
    <w:basedOn w:val="TableNormal"/>
    <w:next w:val="TableGrid"/>
    <w:uiPriority w:val="59"/>
    <w:rsid w:val="009D1F87"/>
    <w:pPr>
      <w:spacing w:before="40" w:after="40"/>
    </w:pPr>
    <w:rPr>
      <w:rFonts w:asciiTheme="minorHAnsi" w:eastAsia="Times New Roman"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9D1F87"/>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9D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3502B9"/>
    <w:pPr>
      <w:keepNext/>
      <w:spacing w:before="40" w:after="40"/>
    </w:pPr>
    <w:rPr>
      <w:rFonts w:ascii="Arial Narrow" w:hAnsi="Arial Narrow" w:cs="Tahoma"/>
      <w:b/>
      <w:sz w:val="20"/>
    </w:rPr>
  </w:style>
  <w:style w:type="character" w:customStyle="1" w:styleId="TableHeadingChar">
    <w:name w:val="TableHeading Char"/>
    <w:link w:val="TableHeading"/>
    <w:rsid w:val="003502B9"/>
    <w:rPr>
      <w:rFonts w:ascii="Arial Narrow" w:eastAsia="Times New Roman" w:hAnsi="Arial Narrow" w:cs="Tahoma"/>
      <w:b/>
      <w:sz w:val="20"/>
      <w:szCs w:val="20"/>
    </w:rPr>
  </w:style>
  <w:style w:type="paragraph" w:customStyle="1" w:styleId="Tabletext">
    <w:name w:val="Table text"/>
    <w:basedOn w:val="Normal"/>
    <w:link w:val="TabletextChar"/>
    <w:qFormat/>
    <w:rsid w:val="003502B9"/>
    <w:pPr>
      <w:spacing w:before="40" w:after="40"/>
    </w:pPr>
    <w:rPr>
      <w:rFonts w:ascii="Arial Narrow" w:hAnsi="Arial Narrow" w:cs="Tahoma"/>
      <w:sz w:val="20"/>
    </w:rPr>
  </w:style>
  <w:style w:type="character" w:customStyle="1" w:styleId="TabletextChar">
    <w:name w:val="Table text Char"/>
    <w:link w:val="Tabletext"/>
    <w:rsid w:val="003502B9"/>
    <w:rPr>
      <w:rFonts w:ascii="Arial Narrow" w:eastAsia="Times New Roman" w:hAnsi="Arial Narrow"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5322D"/>
    <w:pPr>
      <w:keepNext/>
      <w:keepLines/>
      <w:numPr>
        <w:numId w:val="1"/>
      </w:numPr>
      <w:spacing w:before="240" w:after="240"/>
      <w:ind w:left="714" w:hanging="357"/>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322D"/>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A652B7"/>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A652B7"/>
    <w:rPr>
      <w:rFonts w:ascii="Arial Narrow" w:eastAsia="Times New Roman" w:hAnsi="Arial Narrow" w:cs="Arial"/>
      <w:b/>
      <w:bCs/>
      <w:iCs/>
      <w:sz w:val="20"/>
      <w:szCs w:val="20"/>
      <w:lang w:eastAsia="en-US"/>
    </w:rPr>
  </w:style>
  <w:style w:type="paragraph" w:customStyle="1" w:styleId="Tablenotes">
    <w:name w:val="Tablenotes"/>
    <w:basedOn w:val="Normal"/>
    <w:link w:val="TablenotesChar"/>
    <w:qFormat/>
    <w:rsid w:val="00A652B7"/>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A652B7"/>
    <w:rPr>
      <w:rFonts w:ascii="Arial Narrow" w:eastAsia="Times New Roman" w:hAnsi="Arial Narrow" w:cs="Arial"/>
      <w:snapToGrid w:val="0"/>
      <w:sz w:val="18"/>
      <w:szCs w:val="20"/>
      <w:lang w:eastAsia="en-US"/>
    </w:rPr>
  </w:style>
  <w:style w:type="paragraph" w:customStyle="1" w:styleId="Tablefont">
    <w:name w:val="Table font"/>
    <w:basedOn w:val="Normal"/>
    <w:link w:val="TablefontChar"/>
    <w:qFormat/>
    <w:rsid w:val="00A652B7"/>
    <w:pPr>
      <w:spacing w:before="120" w:after="120"/>
    </w:pPr>
    <w:rPr>
      <w:rFonts w:ascii="Arial Narrow" w:eastAsia="Calibri" w:hAnsi="Arial Narrow"/>
      <w:sz w:val="18"/>
      <w:szCs w:val="22"/>
      <w:lang w:eastAsia="en-US"/>
    </w:rPr>
  </w:style>
  <w:style w:type="character" w:customStyle="1" w:styleId="TablefontChar">
    <w:name w:val="Table font Char"/>
    <w:basedOn w:val="DefaultParagraphFont"/>
    <w:link w:val="Tablefont"/>
    <w:rsid w:val="00A652B7"/>
    <w:rPr>
      <w:rFonts w:ascii="Arial Narrow" w:hAnsi="Arial Narrow"/>
      <w:sz w:val="18"/>
      <w:lang w:eastAsia="en-US"/>
    </w:rPr>
  </w:style>
  <w:style w:type="table" w:customStyle="1" w:styleId="TableGrid1">
    <w:name w:val="Table Grid1"/>
    <w:basedOn w:val="TableNormal"/>
    <w:next w:val="TableGrid"/>
    <w:uiPriority w:val="59"/>
    <w:rsid w:val="009D1F87"/>
    <w:pPr>
      <w:spacing w:before="40" w:after="40"/>
    </w:pPr>
    <w:rPr>
      <w:rFonts w:asciiTheme="minorHAnsi" w:eastAsia="Times New Roman"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9D1F87"/>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9D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3502B9"/>
    <w:pPr>
      <w:keepNext/>
      <w:spacing w:before="40" w:after="40"/>
    </w:pPr>
    <w:rPr>
      <w:rFonts w:ascii="Arial Narrow" w:hAnsi="Arial Narrow" w:cs="Tahoma"/>
      <w:b/>
      <w:sz w:val="20"/>
    </w:rPr>
  </w:style>
  <w:style w:type="character" w:customStyle="1" w:styleId="TableHeadingChar">
    <w:name w:val="TableHeading Char"/>
    <w:link w:val="TableHeading"/>
    <w:rsid w:val="003502B9"/>
    <w:rPr>
      <w:rFonts w:ascii="Arial Narrow" w:eastAsia="Times New Roman" w:hAnsi="Arial Narrow" w:cs="Tahoma"/>
      <w:b/>
      <w:sz w:val="20"/>
      <w:szCs w:val="20"/>
    </w:rPr>
  </w:style>
  <w:style w:type="paragraph" w:customStyle="1" w:styleId="Tabletext">
    <w:name w:val="Table text"/>
    <w:basedOn w:val="Normal"/>
    <w:link w:val="TabletextChar"/>
    <w:qFormat/>
    <w:rsid w:val="003502B9"/>
    <w:pPr>
      <w:spacing w:before="40" w:after="40"/>
    </w:pPr>
    <w:rPr>
      <w:rFonts w:ascii="Arial Narrow" w:hAnsi="Arial Narrow" w:cs="Tahoma"/>
      <w:sz w:val="20"/>
    </w:rPr>
  </w:style>
  <w:style w:type="character" w:customStyle="1" w:styleId="TabletextChar">
    <w:name w:val="Table text Char"/>
    <w:link w:val="Tabletext"/>
    <w:rsid w:val="003502B9"/>
    <w:rPr>
      <w:rFonts w:ascii="Arial Narrow" w:eastAsia="Times New Roman" w:hAnsi="Arial Narrow"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1352">
      <w:bodyDiv w:val="1"/>
      <w:marLeft w:val="0"/>
      <w:marRight w:val="0"/>
      <w:marTop w:val="0"/>
      <w:marBottom w:val="0"/>
      <w:divBdr>
        <w:top w:val="none" w:sz="0" w:space="0" w:color="auto"/>
        <w:left w:val="none" w:sz="0" w:space="0" w:color="auto"/>
        <w:bottom w:val="none" w:sz="0" w:space="0" w:color="auto"/>
        <w:right w:val="none" w:sz="0" w:space="0" w:color="auto"/>
      </w:divBdr>
      <w:divsChild>
        <w:div w:id="421805539">
          <w:marLeft w:val="547"/>
          <w:marRight w:val="0"/>
          <w:marTop w:val="96"/>
          <w:marBottom w:val="0"/>
          <w:divBdr>
            <w:top w:val="none" w:sz="0" w:space="0" w:color="auto"/>
            <w:left w:val="none" w:sz="0" w:space="0" w:color="auto"/>
            <w:bottom w:val="none" w:sz="0" w:space="0" w:color="auto"/>
            <w:right w:val="none" w:sz="0" w:space="0" w:color="auto"/>
          </w:divBdr>
        </w:div>
        <w:div w:id="1978485714">
          <w:marLeft w:val="547"/>
          <w:marRight w:val="0"/>
          <w:marTop w:val="96"/>
          <w:marBottom w:val="0"/>
          <w:divBdr>
            <w:top w:val="none" w:sz="0" w:space="0" w:color="auto"/>
            <w:left w:val="none" w:sz="0" w:space="0" w:color="auto"/>
            <w:bottom w:val="none" w:sz="0" w:space="0" w:color="auto"/>
            <w:right w:val="none" w:sz="0" w:space="0" w:color="auto"/>
          </w:divBdr>
        </w:div>
        <w:div w:id="466776278">
          <w:marLeft w:val="547"/>
          <w:marRight w:val="0"/>
          <w:marTop w:val="96"/>
          <w:marBottom w:val="0"/>
          <w:divBdr>
            <w:top w:val="none" w:sz="0" w:space="0" w:color="auto"/>
            <w:left w:val="none" w:sz="0" w:space="0" w:color="auto"/>
            <w:bottom w:val="none" w:sz="0" w:space="0" w:color="auto"/>
            <w:right w:val="none" w:sz="0" w:space="0" w:color="auto"/>
          </w:divBdr>
        </w:div>
        <w:div w:id="355160834">
          <w:marLeft w:val="547"/>
          <w:marRight w:val="0"/>
          <w:marTop w:val="96"/>
          <w:marBottom w:val="0"/>
          <w:divBdr>
            <w:top w:val="none" w:sz="0" w:space="0" w:color="auto"/>
            <w:left w:val="none" w:sz="0" w:space="0" w:color="auto"/>
            <w:bottom w:val="none" w:sz="0" w:space="0" w:color="auto"/>
            <w:right w:val="none" w:sz="0" w:space="0" w:color="auto"/>
          </w:divBdr>
        </w:div>
      </w:divsChild>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internet/msac/publishing.nsf/Content/7C71F4E12D561F16CA25801000123B7F/$File/1052-One-Page-Summary.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823D-3CA6-4461-AFFC-7EE6D4DB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5446</Words>
  <Characters>31327</Characters>
  <Application>Microsoft Office Word</Application>
  <DocSecurity>0</DocSecurity>
  <Lines>1010</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1402 Final PSD</dc:title>
  <dc:creator/>
  <cp:lastModifiedBy/>
  <cp:revision>1</cp:revision>
  <dcterms:created xsi:type="dcterms:W3CDTF">2017-02-14T02:40:00Z</dcterms:created>
  <dcterms:modified xsi:type="dcterms:W3CDTF">2017-02-14T02:40:00Z</dcterms:modified>
</cp:coreProperties>
</file>